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xml" ContentType="application/vnd.openxmlformats-officedocument.wordprocessingml.header+xml"/>
  <Override PartName="/word/header160.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AFA266" w14:textId="7601D1B2" w:rsidR="00327FF1" w:rsidRDefault="00E406C7" w:rsidP="00E406C7">
      <w:pPr>
        <w:pStyle w:val="Pagedecouverture"/>
        <w:rPr>
          <w:noProof/>
        </w:rPr>
      </w:pPr>
      <w:bookmarkStart w:id="0" w:name="LW_BM_COVERPAGE"/>
      <w:r>
        <w:rPr>
          <w:noProof/>
        </w:rPr>
        <w:pict w14:anchorId="0F75B0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9F813ADD-C312-4C30-A30B-3BFD699A6CC2" style="width:455.25pt;height:410.25pt">
            <v:imagedata r:id="rId11" o:title=""/>
          </v:shape>
        </w:pict>
      </w:r>
    </w:p>
    <w:bookmarkEnd w:id="0"/>
    <w:p w14:paraId="6EF61DDC" w14:textId="77777777" w:rsidR="00327FF1" w:rsidRDefault="00327FF1">
      <w:pPr>
        <w:rPr>
          <w:noProof/>
        </w:rPr>
        <w:sectPr w:rsidR="00327FF1" w:rsidSect="00E406C7">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60"/>
        </w:sectPr>
      </w:pPr>
    </w:p>
    <w:p w14:paraId="72E475F5" w14:textId="77777777" w:rsidR="00327FF1" w:rsidRDefault="00E406C7">
      <w:pPr>
        <w:pStyle w:val="P68B1DB1-Heading11"/>
        <w:jc w:val="center"/>
        <w:rPr>
          <w:bCs/>
          <w:noProof/>
        </w:rPr>
      </w:pPr>
      <w:bookmarkStart w:id="1" w:name="_GoBack"/>
      <w:bookmarkEnd w:id="1"/>
      <w:r>
        <w:rPr>
          <w:noProof/>
        </w:rPr>
        <w:lastRenderedPageBreak/>
        <w:t>PIELIKUMS</w:t>
      </w:r>
    </w:p>
    <w:p w14:paraId="418E2DB7" w14:textId="77777777" w:rsidR="00327FF1" w:rsidRDefault="00E406C7">
      <w:pPr>
        <w:pStyle w:val="P68B1DB1-Heading12"/>
        <w:keepLines w:val="0"/>
        <w:numPr>
          <w:ilvl w:val="3"/>
          <w:numId w:val="57"/>
        </w:numPr>
        <w:spacing w:after="120" w:line="240" w:lineRule="auto"/>
        <w:ind w:left="851" w:hanging="851"/>
        <w:jc w:val="both"/>
        <w:rPr>
          <w:bCs/>
          <w:noProof/>
        </w:rPr>
      </w:pPr>
      <w:r>
        <w:rPr>
          <w:noProof/>
        </w:rPr>
        <w:t>REFORMU UN INVESTĪCIJU APRAKSTS</w:t>
      </w:r>
    </w:p>
    <w:p w14:paraId="067CAD1C" w14:textId="77777777" w:rsidR="00327FF1" w:rsidRDefault="00E406C7">
      <w:pPr>
        <w:pStyle w:val="P68B1DB1-Heading23"/>
        <w:numPr>
          <w:ilvl w:val="0"/>
          <w:numId w:val="68"/>
        </w:numPr>
        <w:spacing w:line="279" w:lineRule="auto"/>
        <w:rPr>
          <w:bCs/>
          <w:noProof/>
        </w:rPr>
      </w:pPr>
      <w:r>
        <w:rPr>
          <w:noProof/>
        </w:rPr>
        <w:t>MISIJAS 1. KOMPONENTS</w:t>
      </w:r>
    </w:p>
    <w:p w14:paraId="7809C6A9" w14:textId="77777777" w:rsidR="00327FF1" w:rsidRDefault="00E406C7">
      <w:pPr>
        <w:pStyle w:val="Descriptiontitle"/>
        <w:ind w:left="0"/>
        <w:rPr>
          <w:rFonts w:eastAsiaTheme="minorEastAsia"/>
          <w:noProof/>
        </w:rPr>
      </w:pPr>
      <w:r>
        <w:rPr>
          <w:b/>
          <w:noProof/>
        </w:rPr>
        <w:t>Ass — Publiskās pārvaldes digitalizācija</w:t>
      </w:r>
      <w:r>
        <w:rPr>
          <w:noProof/>
        </w:rPr>
        <w:t xml:space="preserve">: Itālijas atveseļošanas un noturības plāna </w:t>
      </w:r>
      <w:r>
        <w:rPr>
          <w:noProof/>
        </w:rPr>
        <w:t xml:space="preserve">komponenta M1C1 1. ass ietver pasākumus, kuru mērķis ir veicināt Itālijas valsts pārvaldes digitalizāciju, un ietver septiņas investīcijas un trīs reformas. Ieguldījumu mērķis jo īpaši ir: I) racionalizēt un konsolidēt esošās publiskās pārvaldes digitālās </w:t>
      </w:r>
      <w:r>
        <w:rPr>
          <w:noProof/>
        </w:rPr>
        <w:t>infrastruktūras; II) veicināt mākoņdatošanas ieviešanu, iii) īpašu uzmanību pievēršot platformu un datu pakalpojumu saskaņošanai un sadarbspējai, vienreizējas iesniegšanas principa īstenošanai un datu pieejamībai, izmantojot lietojumprogrammu saskarņu (API</w:t>
      </w:r>
      <w:r>
        <w:rPr>
          <w:noProof/>
        </w:rPr>
        <w:t>) katalogu; IV) uzlabot visu digitālo publisko pakalpojumu pieejamību, efektivitāti un piekļūstamību, lai palielinātu pieņemšanas līmeni un lietotāju apmierinātību, v) stiprināt Itālijas aizsardzību pret kibernoziedzības radītajiem riskiem, vi) veicināt li</w:t>
      </w:r>
      <w:r>
        <w:rPr>
          <w:noProof/>
        </w:rPr>
        <w:t>elu centrālo pārvalžu digitālo pārveidi; VII) digitālās plaisas novēršana, stiprinot iedzīvotāju digitālās prasmes. Reformas saskaņā ar šo virzienu jo īpaši ir vērstas uz to, lai i) racionalizētu un paātrinātu iepirkuma procesu informācijas un komunikācija</w:t>
      </w:r>
      <w:r>
        <w:rPr>
          <w:noProof/>
        </w:rPr>
        <w:t xml:space="preserve">s tehnoloģiju (IKT) risinājumiem, ko veic valsts pārvalde; II) atbalstīt publiskās pārvaldes digitālo pārveidi un iii) novērst šķēršļus mākoņdatošanas ieviešanai publiskās pārvaldes iestādēs un racionalizēt datu apmaiņas procesus starp publiskās pārvaldes </w:t>
      </w:r>
      <w:r>
        <w:rPr>
          <w:noProof/>
        </w:rPr>
        <w:t>iestādēm.</w:t>
      </w:r>
    </w:p>
    <w:p w14:paraId="2A174A24" w14:textId="77777777" w:rsidR="00327FF1" w:rsidRDefault="00E406C7">
      <w:pPr>
        <w:pStyle w:val="Descriptiontitle"/>
        <w:ind w:left="0"/>
        <w:rPr>
          <w:rFonts w:eastAsiaTheme="minorEastAsia"/>
          <w:noProof/>
        </w:rPr>
      </w:pPr>
      <w:r>
        <w:rPr>
          <w:noProof/>
        </w:rPr>
        <w:t>Investīcijas un reformas saskaņā ar šo komponentu palīdz īstenot Itālijai 2020. un 2019. gadā adresētos ieteikumus par nepieciešamību “uzlabot valsts pārvaldes efektivitāti, tostarp investējot publiskā sektora darbinieku prasmēs, paātrinot digita</w:t>
      </w:r>
      <w:r>
        <w:rPr>
          <w:noProof/>
        </w:rPr>
        <w:t>lizāciju un palielinot vietējo sabiedrisko pakalpojumu efektivitāti un kvalitāti” (2019. gada konkrētai valstij adresētais ieteikums Nr. 3) un “koncentrēt investīcijas uz zaļo un digitālo pārkārtošanos, jo īpaši uz [...] pastiprinātu digitālo infrastruktūr</w:t>
      </w:r>
      <w:r>
        <w:rPr>
          <w:noProof/>
        </w:rPr>
        <w:t>u, lai nodrošinātu pamatpakalpojumu sniegšanu” (2020. gada konkrētai valstij adresētais ieteikums Nr. 3).</w:t>
      </w:r>
    </w:p>
    <w:p w14:paraId="5A840D96" w14:textId="77777777" w:rsidR="00327FF1" w:rsidRDefault="00E406C7">
      <w:pPr>
        <w:pStyle w:val="Descriptiontitle"/>
        <w:ind w:left="0"/>
        <w:rPr>
          <w:rFonts w:eastAsiaTheme="minorEastAsia"/>
          <w:noProof/>
        </w:rPr>
      </w:pPr>
      <w:r>
        <w:rPr>
          <w:b/>
          <w:noProof/>
        </w:rPr>
        <w:t>Ass — Tiesiskums</w:t>
      </w:r>
      <w:r>
        <w:rPr>
          <w:noProof/>
        </w:rPr>
        <w:t>: Kā norādīts jaunākajā Eiropas Komisijas ziņojumā par tiesu sistēmas efektivitāti (CEPEJ), Itālijas tiesu sistēmas darbība joprojām i</w:t>
      </w:r>
      <w:r>
        <w:rPr>
          <w:noProof/>
        </w:rPr>
        <w:t>r tālu no citu dalībvalstu tiesu sistēmas darbības ilguma. Atveseļošanas un noturības plāna komponenta M1C1 2. asī ir ietverti pasākumi, kuru mērķis ir padarīt tiesu sistēmu efektīvāku, samazinot tiesvedības ilgumu un tuvinot Itāliju ES mediānai. Šis kompo</w:t>
      </w:r>
      <w:r>
        <w:rPr>
          <w:noProof/>
        </w:rPr>
        <w:t xml:space="preserve">nents attiecas uz Itālijai 2020. un 2019. gadā adresētajiem ieteikumiem par civillietu izskatīšanas ilguma samazināšanu un korupcijas apkarošanas efektivitātes uzlabošanu (2020. gada valstij adresētie ieteikumi Nr. 4, 2019. un 4. ieteikums). Turklāt tiesu </w:t>
      </w:r>
      <w:r>
        <w:rPr>
          <w:noProof/>
        </w:rPr>
        <w:t>sistēmas digitalizācija ir svarīga arī digitālajai pārejai.</w:t>
      </w:r>
    </w:p>
    <w:p w14:paraId="170A0A69" w14:textId="77777777" w:rsidR="00327FF1" w:rsidRDefault="00E406C7">
      <w:pPr>
        <w:pStyle w:val="Descriptiontitle"/>
        <w:ind w:left="0"/>
        <w:rPr>
          <w:noProof/>
        </w:rPr>
      </w:pPr>
      <w:r>
        <w:rPr>
          <w:b/>
          <w:noProof/>
        </w:rPr>
        <w:t>Ass — Publiskā pārvalde</w:t>
      </w:r>
      <w:r>
        <w:rPr>
          <w:noProof/>
        </w:rPr>
        <w:t>: Atveseļošanas un noturības plāna komponenta M1C1 3. asī ir ietverti pasākumi, kuru mērķis ir reformēt Itālijas valsts pārvaldi un uzlabot administratīvo spēju. Gan valdība</w:t>
      </w:r>
      <w:r>
        <w:rPr>
          <w:noProof/>
        </w:rPr>
        <w:t>s efektivitātes, gan uzticēšanās valdībai Itālijas rādītāji ir zemāki par ES-27 vidējo rādītāju. Itālijas valsts pārvaldes reformas ietekmēja būtiskas lejupējo reformu īstenošanas nepilnības un vērtīgo augšupējo inovāciju nepietiekama atzīšana un izplatīša</w:t>
      </w:r>
      <w:r>
        <w:rPr>
          <w:noProof/>
        </w:rPr>
        <w:t>na. Administratīvās spējas ir ļoti zemas. Būtu jāturpina centieni stiprināt stratēģiskās plānošanas spējas, uzraudzības un novērtēšanas mehānismus un uz pierādījumiem balstītus politikas veidošanas instrumentus. Šā komponenta galvenais mērķis ir uzlabot It</w:t>
      </w:r>
      <w:r>
        <w:rPr>
          <w:noProof/>
        </w:rPr>
        <w:t>ālijas valsts pārvaldes iestāžu administratīvās spējas centrālā un vietējā līmenī gan attiecībā uz cilvēkkapitālu (atlase, kompetences un karjeras), gan administratīvo procedūru vienkāršošanu. Šajā iedaļā ir izklāstīta visaptveroša strukturālā cilvēkresurs</w:t>
      </w:r>
      <w:r>
        <w:rPr>
          <w:noProof/>
        </w:rPr>
        <w:t>u stratēģija, sākot no atlases procesiem līdz karjeras virzībai. Reforma ietver arī pasākumus procedūru vienkāršošanai. Investīcijas jaunos digitālos rīkkopās un pastiprinātās darbībās mūžizglītības jomā ir iekļautas 1. misijas 1. komponentā. Šis komponent</w:t>
      </w:r>
      <w:r>
        <w:rPr>
          <w:noProof/>
        </w:rPr>
        <w:t>s attiecas uz Itālijai 2020. un 2019. gadā adresētajiem ieteikumiem par valsts pārvaldes efektivitātes uzlabošanu (konkrētajai valstij adresētais ieteikums Nr. 3, 2019. gads un valstij adresētais ieteikums Nr. 4, 2020. gads).</w:t>
      </w:r>
    </w:p>
    <w:p w14:paraId="773E2C97" w14:textId="77777777" w:rsidR="00327FF1" w:rsidRDefault="00E406C7">
      <w:pPr>
        <w:pStyle w:val="Descriptiontitle"/>
        <w:ind w:left="0"/>
        <w:rPr>
          <w:noProof/>
        </w:rPr>
      </w:pPr>
      <w:r>
        <w:rPr>
          <w:b/>
          <w:noProof/>
        </w:rPr>
        <w:t xml:space="preserve">Ass — Publiskais iepirkums un </w:t>
      </w:r>
      <w:r>
        <w:rPr>
          <w:b/>
          <w:noProof/>
        </w:rPr>
        <w:t>administrācijas maksājumi</w:t>
      </w:r>
      <w:r>
        <w:rPr>
          <w:noProof/>
        </w:rPr>
        <w:t>: Atveseļošanas un noturības plāna komponenta M1C1 4. asī ir ietverti pasākumi, kuru mērķis ir reformēt dažus būtiskus Itālijas publiskā iepirkuma tiesiskā regulējuma aspektus un samazināt valsts pārvaldes iestāžu maksājumu kavējum</w:t>
      </w:r>
      <w:r>
        <w:rPr>
          <w:noProof/>
        </w:rPr>
        <w:t>us centrālajās, reģionālajās un vietējās iestādēs, kā arī reģionālajās veselības iestādēs. Reformas galvenais mērķis ir vienkāršot publiskā iepirkuma noteikumus, palielināt juridisko noteiktību uzņēmumiem un paātrināt publiskā iepirkuma līgumu slēgšanas ti</w:t>
      </w:r>
      <w:r>
        <w:rPr>
          <w:noProof/>
        </w:rPr>
        <w:t>esību piešķiršanu, vienlaikus saglabājot procesuālās garantijas pārredzamības un vienlīdzīgas attieksmes ziņā. Tāpēc šīs reformas atbalsta plāna finansēto infrastruktūru un projektu savlaicīgu īstenošanu.</w:t>
      </w:r>
    </w:p>
    <w:p w14:paraId="2741A3E1" w14:textId="77777777" w:rsidR="00327FF1" w:rsidRDefault="00E406C7">
      <w:pPr>
        <w:pStyle w:val="Descriptiontitle"/>
        <w:ind w:left="0"/>
        <w:rPr>
          <w:noProof/>
        </w:rPr>
      </w:pPr>
      <w:r>
        <w:rPr>
          <w:b/>
          <w:noProof/>
        </w:rPr>
        <w:t>Ass — fiskālās un strukturālās reformas (Nodokļu po</w:t>
      </w:r>
      <w:r>
        <w:rPr>
          <w:b/>
          <w:noProof/>
        </w:rPr>
        <w:t>litika un publiskie izdevumi)</w:t>
      </w:r>
      <w:r>
        <w:rPr>
          <w:noProof/>
        </w:rPr>
        <w:t>: Atveseļošanas un noturības komponenta M1C1 5. ass ietver vairākas reformas, kuru mērķis ir atbalstīt Itālijas publisko finanšu ilgtspēju (2019. gada konkrētai valstij adresētais ieteikums Nr. 1). Attiecībā uz ieņēmumiem refor</w:t>
      </w:r>
      <w:r>
        <w:rPr>
          <w:noProof/>
        </w:rPr>
        <w:t>mu mērķis ir uzlabot nodokļu iekasēšanas procesu, veicināt nodokļu saistību izpildi un apkarot izvairīšanos no nodokļu maksāšanas, lai samazinātu atbilstības nodrošināšanas izmaksas nodokļu maksātājiem un palielinātu vispārējās valdības ieņēmumus, tādējādi</w:t>
      </w:r>
      <w:r>
        <w:rPr>
          <w:noProof/>
        </w:rPr>
        <w:t xml:space="preserve"> palīdzot uzlabot publisko finanšu ilgtspēju. Attiecībā uz izdevumiem reformu mērķis ir uzlabot publisko izdevumu efektivitāti gan centrālajā līmenī, stiprinot esošo ikgadējo izdevumu pārskatīšanas sistēmu, gan vietējā un reģionālajā līmenī, pabeidzot fisk</w:t>
      </w:r>
      <w:r>
        <w:rPr>
          <w:noProof/>
        </w:rPr>
        <w:t>ālo attiecību reformu dažādos valdības līmeņos.</w:t>
      </w:r>
    </w:p>
    <w:p w14:paraId="1C38AE81" w14:textId="77777777" w:rsidR="00327FF1" w:rsidRDefault="00E406C7">
      <w:pPr>
        <w:pStyle w:val="P68B1DB1-Heading34"/>
        <w:ind w:left="850" w:hanging="850"/>
        <w:rPr>
          <w:b/>
          <w:bCs/>
          <w:i/>
          <w:iCs/>
          <w:noProof/>
          <w:u w:val="single"/>
        </w:rPr>
      </w:pPr>
      <w:r>
        <w:rPr>
          <w:b/>
          <w:noProof/>
          <w:u w:val="single"/>
        </w:rPr>
        <w:t xml:space="preserve">A.1. </w:t>
      </w:r>
      <w:r>
        <w:rPr>
          <w:noProof/>
        </w:rPr>
        <w:t xml:space="preserve"> </w:t>
      </w:r>
      <w:r>
        <w:rPr>
          <w:b/>
          <w:noProof/>
          <w:u w:val="single"/>
        </w:rPr>
        <w:t>Reformu un investīciju apraksts neatmaksājamam finansiālajam atbalstam</w:t>
      </w:r>
    </w:p>
    <w:p w14:paraId="458B5471" w14:textId="77777777" w:rsidR="00327FF1" w:rsidRDefault="00E406C7">
      <w:pPr>
        <w:pStyle w:val="Axistitle"/>
        <w:ind w:left="0"/>
        <w:rPr>
          <w:noProof/>
        </w:rPr>
      </w:pPr>
      <w:r>
        <w:rPr>
          <w:noProof/>
        </w:rPr>
        <w:t>Ass — Publiskās pārvaldes digitalizācija</w:t>
      </w:r>
    </w:p>
    <w:p w14:paraId="0D335B21" w14:textId="77777777" w:rsidR="00327FF1" w:rsidRDefault="00E406C7">
      <w:pPr>
        <w:pStyle w:val="P68B1DB1-Normal5"/>
        <w:spacing w:before="240" w:after="120"/>
        <w:jc w:val="both"/>
        <w:rPr>
          <w:noProof/>
        </w:rPr>
      </w:pPr>
      <w:r>
        <w:rPr>
          <w:noProof/>
        </w:rPr>
        <w:t>Investīcija 1.1. — Digitālā infrastruktūra</w:t>
      </w:r>
    </w:p>
    <w:p w14:paraId="063BBFEF" w14:textId="77777777" w:rsidR="00327FF1" w:rsidRDefault="00E406C7">
      <w:pPr>
        <w:pStyle w:val="Descriptiontitle"/>
        <w:ind w:left="0"/>
        <w:rPr>
          <w:noProof/>
        </w:rPr>
      </w:pPr>
      <w:r>
        <w:rPr>
          <w:noProof/>
        </w:rPr>
        <w:t xml:space="preserve">Šīs investīcijas mērķis ir nodrošināt, ka </w:t>
      </w:r>
      <w:r>
        <w:rPr>
          <w:noProof/>
        </w:rPr>
        <w:t xml:space="preserve">publiskās pārvaldes sistēmas, datu kopas un lietotnes tiek mitinātas datu centros ar augstiem drošības, veiktspējas, mērogojamības, Eiropas sadarbspējas un energoefektivitātes standartiem. Investīcija ietver valsts pārvaldes datu kopu un lietojumprogrammu </w:t>
      </w:r>
      <w:r>
        <w:rPr>
          <w:noProof/>
        </w:rPr>
        <w:t>migrēšanu uz PSN vai uz drošiem sertificētiem publiskiem mākoņdatošanas pakalpojumu sniedzējiem.</w:t>
      </w:r>
    </w:p>
    <w:p w14:paraId="2F8ACD25" w14:textId="77777777" w:rsidR="00327FF1" w:rsidRDefault="00E406C7">
      <w:pPr>
        <w:pStyle w:val="P68B1DB1-Normal5"/>
        <w:spacing w:before="120" w:after="120"/>
        <w:jc w:val="both"/>
        <w:rPr>
          <w:noProof/>
        </w:rPr>
      </w:pPr>
      <w:r>
        <w:rPr>
          <w:noProof/>
        </w:rPr>
        <w:t>Investīcija 1.2. — Mākoņdatošanas veicināšana vietējai PN</w:t>
      </w:r>
    </w:p>
    <w:p w14:paraId="7AECDB21" w14:textId="77777777" w:rsidR="00327FF1" w:rsidRDefault="00E406C7">
      <w:pPr>
        <w:pStyle w:val="Descriptiontitle"/>
        <w:ind w:left="0"/>
        <w:rPr>
          <w:noProof/>
        </w:rPr>
      </w:pPr>
      <w:r>
        <w:rPr>
          <w:noProof/>
        </w:rPr>
        <w:t>Šīs investīcijas mērķis ir pārvietot būtiskas vietējās publiskās pārvaldes daļas datu kopas un lietoj</w:t>
      </w:r>
      <w:r>
        <w:rPr>
          <w:noProof/>
        </w:rPr>
        <w:t xml:space="preserve">umus uz drošu mākoņdatošanas infrastruktūru, ļaujot katrai administrācijai brīvi izvēlēties sertificētu publisko mākoņu vidi kopumā. </w:t>
      </w:r>
    </w:p>
    <w:p w14:paraId="6B9F8742" w14:textId="4861EC7F" w:rsidR="00327FF1" w:rsidRDefault="00E406C7">
      <w:pPr>
        <w:pStyle w:val="Descriptiontitle"/>
        <w:ind w:left="0"/>
        <w:rPr>
          <w:noProof/>
        </w:rPr>
      </w:pPr>
      <w:r>
        <w:rPr>
          <w:noProof/>
        </w:rPr>
        <w:t>Pasākums paredz arī “migrācijas kā pakalpojuma” atbalsta paketi administrācijām, kas ietver: I) sākotnējo novērtējumu, ii)</w:t>
      </w:r>
      <w:r>
        <w:rPr>
          <w:noProof/>
        </w:rPr>
        <w:t xml:space="preserve"> procesuālo/administratīvo atbalstu, kas nepieciešams centienu uzsākšanai, iii) sarunas par nepieciešamo ārējo atbalstu un iv) projekta vispārējo vadību izpildes gaitā. Paredzams, ka Tehnoloģiju inovācijas un digitālās pārkārtošanās ministrijas (MITD) uzra</w:t>
      </w:r>
      <w:r>
        <w:rPr>
          <w:noProof/>
        </w:rPr>
        <w:t>udzīta grupa noteiks un sertificēs plašu kvalificētu pakalpojumu sniedzēju sarakstu un risinās sarunas par standarta atbalsta pasākumu kopumu, kas pielāgots administrācijas lielumam un ar migrāciju saistītajiem dienestiem.</w:t>
      </w:r>
    </w:p>
    <w:p w14:paraId="3D3ED71E" w14:textId="77777777" w:rsidR="00327FF1" w:rsidRDefault="00E406C7">
      <w:pPr>
        <w:pStyle w:val="P68B1DB1-Normal5"/>
        <w:spacing w:before="240" w:after="120"/>
        <w:jc w:val="both"/>
        <w:rPr>
          <w:noProof/>
        </w:rPr>
      </w:pPr>
      <w:r>
        <w:rPr>
          <w:noProof/>
        </w:rPr>
        <w:t>Investīcija Nr. 1.3 — Dati un sad</w:t>
      </w:r>
      <w:r>
        <w:rPr>
          <w:noProof/>
        </w:rPr>
        <w:t>arbspēja</w:t>
      </w:r>
    </w:p>
    <w:p w14:paraId="2ECF6295" w14:textId="77777777" w:rsidR="00327FF1" w:rsidRDefault="00E406C7">
      <w:pPr>
        <w:pStyle w:val="Descriptiontitle"/>
        <w:ind w:left="0"/>
        <w:rPr>
          <w:noProof/>
        </w:rPr>
      </w:pPr>
      <w:r>
        <w:rPr>
          <w:noProof/>
        </w:rPr>
        <w:t>Šīs investīcijas mērķis ir nodrošināt galveno datu kopu un pakalpojumu pilnīgu sadarbspēju starp centrālajām un vietējām publiskās pārvaldes iestādēm. Pasākums ietver valsts digitālo datu platformas (“Piattaforma Digitale Nazionale Dati”) izveidi,</w:t>
      </w:r>
      <w:r>
        <w:rPr>
          <w:noProof/>
        </w:rPr>
        <w:t xml:space="preserve"> kas nodrošina datu kopu sadarbspēju, izmantojot lietojumprogrammu saskarņu (API) katalogu, kas tiek kopīgots starp centrālajām un vietējām pārvaldes iestādēm.</w:t>
      </w:r>
    </w:p>
    <w:p w14:paraId="65C6D9AA" w14:textId="77777777" w:rsidR="00327FF1" w:rsidRDefault="00E406C7">
      <w:pPr>
        <w:rPr>
          <w:rFonts w:ascii="Times New Roman" w:eastAsia="Times New Roman" w:hAnsi="Times New Roman" w:cs="Times New Roman"/>
          <w:b/>
          <w:noProof/>
        </w:rPr>
      </w:pPr>
      <w:r>
        <w:rPr>
          <w:noProof/>
        </w:rPr>
        <w:br w:type="page"/>
      </w:r>
    </w:p>
    <w:p w14:paraId="6FD7811A" w14:textId="4A3170F2" w:rsidR="00327FF1" w:rsidRDefault="00E406C7">
      <w:pPr>
        <w:pStyle w:val="P68B1DB1-Descriptiontitle6"/>
        <w:ind w:left="0"/>
        <w:rPr>
          <w:noProof/>
        </w:rPr>
      </w:pPr>
      <w:r>
        <w:rPr>
          <w:noProof/>
        </w:rPr>
        <w:t>Investīcija. Digitālie pakalpojumi un iedzīvotāju pieredze</w:t>
      </w:r>
    </w:p>
    <w:p w14:paraId="3980AE1E" w14:textId="77777777" w:rsidR="00327FF1" w:rsidRDefault="00E406C7">
      <w:pPr>
        <w:pStyle w:val="Descriptiontitle"/>
        <w:ind w:left="0"/>
        <w:rPr>
          <w:noProof/>
        </w:rPr>
      </w:pPr>
      <w:r>
        <w:rPr>
          <w:noProof/>
        </w:rPr>
        <w:t>Šīs investīcijas mērķis ir izveidot</w:t>
      </w:r>
      <w:r>
        <w:rPr>
          <w:noProof/>
        </w:rPr>
        <w:t xml:space="preserve"> integrētu un uz iedzīvotājiem orientētu digitālo publisko pakalpojumu ekosistēmu, nodrošināt to plašu ieviešanu centrālajās un vietējās pārvaldes iestādēs un uzlabot vispārējo lietotāju pieredzi. </w:t>
      </w:r>
    </w:p>
    <w:p w14:paraId="18A48F7D" w14:textId="77777777" w:rsidR="00327FF1" w:rsidRDefault="00E406C7">
      <w:pPr>
        <w:pStyle w:val="Descriptiontitle"/>
        <w:ind w:left="0"/>
        <w:rPr>
          <w:noProof/>
        </w:rPr>
      </w:pPr>
      <w:r>
        <w:rPr>
          <w:noProof/>
        </w:rPr>
        <w:t xml:space="preserve">Pasākums: </w:t>
      </w:r>
    </w:p>
    <w:p w14:paraId="7C217909" w14:textId="77777777" w:rsidR="00327FF1" w:rsidRDefault="00E406C7">
      <w:pPr>
        <w:pStyle w:val="Descriptiontitle"/>
        <w:numPr>
          <w:ilvl w:val="0"/>
          <w:numId w:val="56"/>
        </w:numPr>
        <w:ind w:left="578" w:hanging="578"/>
        <w:rPr>
          <w:noProof/>
        </w:rPr>
      </w:pPr>
      <w:r>
        <w:rPr>
          <w:noProof/>
        </w:rPr>
        <w:t>definē atkārtoti izmantojamus pakalpojumu snieg</w:t>
      </w:r>
      <w:r>
        <w:rPr>
          <w:noProof/>
        </w:rPr>
        <w:t>šanas modeļus, kas nodrošina pilnīgas piekļūstamības prasības (1.4.1. investīcija — Iedzīvotāju pieredze — digitālo publisko pakalpojumu kvalitātes un izmantojamības uzlabošana);</w:t>
      </w:r>
    </w:p>
    <w:p w14:paraId="2B2D4B2D" w14:textId="77777777" w:rsidR="00327FF1" w:rsidRDefault="00E406C7">
      <w:pPr>
        <w:pStyle w:val="Descriptiontitle"/>
        <w:numPr>
          <w:ilvl w:val="0"/>
          <w:numId w:val="56"/>
        </w:numPr>
        <w:ind w:left="578" w:hanging="578"/>
        <w:rPr>
          <w:noProof/>
        </w:rPr>
      </w:pPr>
      <w:r>
        <w:rPr>
          <w:noProof/>
        </w:rPr>
        <w:t xml:space="preserve">uzlabo digitālo publisko pakalpojumu pieejamību (Investīcija 1.4.2. — </w:t>
      </w:r>
      <w:r>
        <w:rPr>
          <w:noProof/>
        </w:rPr>
        <w:t>Iedzīvotāju iekļaušana: Digitālo publisko pakalpojumu pieejamības uzlabošana);</w:t>
      </w:r>
    </w:p>
    <w:p w14:paraId="03A9CF66" w14:textId="77777777" w:rsidR="00327FF1" w:rsidRDefault="00E406C7">
      <w:pPr>
        <w:pStyle w:val="Descriptiontitle"/>
        <w:numPr>
          <w:ilvl w:val="0"/>
          <w:numId w:val="56"/>
        </w:numPr>
        <w:ind w:left="578" w:hanging="578"/>
        <w:rPr>
          <w:noProof/>
        </w:rPr>
      </w:pPr>
      <w:r>
        <w:rPr>
          <w:noProof/>
        </w:rPr>
        <w:t>paredz pieņemt digitālo lietotni maksājumiem starp iedzīvotājiem un valsts pārvaldes iestādēm (PagoPa) un lietotni “IO” (Investīcija 1.4.3. — PagoPA platformas pakalpojumu un li</w:t>
      </w:r>
      <w:r>
        <w:rPr>
          <w:noProof/>
        </w:rPr>
        <w:t>etotnes “IO” ieviešana);</w:t>
      </w:r>
    </w:p>
    <w:p w14:paraId="24862B90" w14:textId="77777777" w:rsidR="00327FF1" w:rsidRDefault="00E406C7">
      <w:pPr>
        <w:pStyle w:val="Descriptiontitle"/>
        <w:numPr>
          <w:ilvl w:val="0"/>
          <w:numId w:val="56"/>
        </w:numPr>
        <w:ind w:left="578" w:hanging="578"/>
        <w:rPr>
          <w:noProof/>
        </w:rPr>
      </w:pPr>
      <w:r>
        <w:rPr>
          <w:noProof/>
        </w:rPr>
        <w:t>veicina valsts digitālās identitātes platformu (Sistema Pubblico di Identità Digitale, SPID un Carta d’Identità Elettronica, CIE) un valsts reģistra (Anagrafe nazionale della popolazione residente, ANPR) pieņemšanu (investīcija 1.4</w:t>
      </w:r>
      <w:r>
        <w:rPr>
          <w:noProof/>
        </w:rPr>
        <w:t>.4. — Valsts digitālās identitātes platformu (SPID, CIE) un valsts reģistra (ANPR) paplašināšana);</w:t>
      </w:r>
    </w:p>
    <w:p w14:paraId="4A41ECEF" w14:textId="77777777" w:rsidR="00327FF1" w:rsidRDefault="00E406C7">
      <w:pPr>
        <w:pStyle w:val="Descriptiontitle"/>
        <w:numPr>
          <w:ilvl w:val="0"/>
          <w:numId w:val="56"/>
        </w:numPr>
        <w:ind w:left="578" w:hanging="578"/>
        <w:rPr>
          <w:noProof/>
        </w:rPr>
      </w:pPr>
      <w:r>
        <w:rPr>
          <w:noProof/>
        </w:rPr>
        <w:t>izveido vienotu paziņošanas platformu (Investīcija 1.4.5. — Publisko paziņojumu digitalizācija);</w:t>
      </w:r>
    </w:p>
    <w:p w14:paraId="5E2B5A73" w14:textId="6FBAB085" w:rsidR="00327FF1" w:rsidRDefault="00E406C7">
      <w:pPr>
        <w:pStyle w:val="Descriptiontitle"/>
        <w:numPr>
          <w:ilvl w:val="0"/>
          <w:numId w:val="56"/>
        </w:numPr>
        <w:ind w:left="578" w:hanging="578"/>
        <w:rPr>
          <w:noProof/>
        </w:rPr>
      </w:pPr>
      <w:r>
        <w:rPr>
          <w:noProof/>
        </w:rPr>
        <w:t>paredz pieņemt Mobilitāti kā pakalpojumu (MaaS) (Investīcija</w:t>
      </w:r>
      <w:r>
        <w:rPr>
          <w:noProof/>
        </w:rPr>
        <w:t xml:space="preserve"> 1.4.6. — Mobilitāte kā pakalpojums Itālijai, un šis pēdējais pasākums tiek finansēts, pamatojoties uz neatmaksājamu finansiālu atbalstu).</w:t>
      </w:r>
    </w:p>
    <w:p w14:paraId="6505A8F2" w14:textId="77777777" w:rsidR="00327FF1" w:rsidRDefault="00E406C7">
      <w:pPr>
        <w:pStyle w:val="P68B1DB1-Normal5"/>
        <w:spacing w:before="240" w:after="120"/>
        <w:jc w:val="both"/>
        <w:rPr>
          <w:noProof/>
        </w:rPr>
      </w:pPr>
      <w:r>
        <w:rPr>
          <w:noProof/>
        </w:rPr>
        <w:t>Investīcija 1.5. — Kiberdrošība</w:t>
      </w:r>
    </w:p>
    <w:p w14:paraId="252F3C4F" w14:textId="77777777" w:rsidR="00327FF1" w:rsidRDefault="00E406C7">
      <w:pPr>
        <w:pStyle w:val="Descriptiontitle"/>
        <w:ind w:left="0"/>
        <w:rPr>
          <w:noProof/>
        </w:rPr>
      </w:pPr>
      <w:r>
        <w:rPr>
          <w:noProof/>
        </w:rPr>
        <w:t>Šīs investīcijas mērķis ir stiprināt Itālijas aizsardzību pret kibernoziedzības radīt</w:t>
      </w:r>
      <w:r>
        <w:rPr>
          <w:noProof/>
        </w:rPr>
        <w:t>ajiem riskiem, jo īpaši īstenojot “valsts kiberdrošības perimetru” (PSNC) saskaņā ar drošības prasībām, kas noteiktas Direktīvā (ES) 2016/1148 par tīklu un informācijas sistēmu drošību (TID direktīva), un stiprinot valstu kiberaizsardzības spējas tehniskās</w:t>
      </w:r>
      <w:r>
        <w:rPr>
          <w:noProof/>
        </w:rPr>
        <w:t xml:space="preserve"> inspekcijas un riska uzraudzības jomā.</w:t>
      </w:r>
    </w:p>
    <w:p w14:paraId="202967DC" w14:textId="77777777" w:rsidR="00327FF1" w:rsidRDefault="00E406C7">
      <w:pPr>
        <w:pStyle w:val="Descriptiontitle"/>
        <w:ind w:left="0"/>
        <w:rPr>
          <w:noProof/>
        </w:rPr>
      </w:pPr>
      <w:r>
        <w:rPr>
          <w:noProof/>
        </w:rPr>
        <w:t xml:space="preserve">Pasākums paredz attīstīt mūsdienīgu, integrētu sistēmu, cieši savienojot dažādas struktūras visā valstī un starptautiski savienojot partnerus un uzticamus tehnoloģiju nodrošinātājus. Tas ir formulēts četros pīlāros: </w:t>
      </w:r>
      <w:r>
        <w:rPr>
          <w:noProof/>
        </w:rPr>
        <w:t>stiprināt pirmās līnijas spējas attiecībā uz sabiedrību un uzņēmumiem/vienībām, lai pārvaldītu brīdinājumus un faktiskus publiski atzītus notikumus; II) uzlabot/stiprināt valsts pārbaudes un revīzijas spējas attiecībā uz aparatūru un programmatūru, ko izma</w:t>
      </w:r>
      <w:r>
        <w:rPr>
          <w:noProof/>
        </w:rPr>
        <w:t>nto subjekti ar būtiskām funkcijām, lai apliecinātu uzticamību/novērstus apdraudējumus; III) tiesībaizsardzības un kibervienību varas vienības policijas spēkos, kas atbild par noziedzīgu darbību izmeklēšanu; IV) būtiski stiprināt kiberaktīvus un cilvēkresu</w:t>
      </w:r>
      <w:r>
        <w:rPr>
          <w:noProof/>
        </w:rPr>
        <w:t>rsus, kas atbild par valsts drošību un reaģēšanu uz kiberdraudiem.</w:t>
      </w:r>
    </w:p>
    <w:p w14:paraId="27D750DD" w14:textId="77777777" w:rsidR="00327FF1" w:rsidRDefault="00E406C7">
      <w:pPr>
        <w:pStyle w:val="P68B1DB1-Normal5"/>
        <w:spacing w:before="120" w:after="120"/>
        <w:jc w:val="both"/>
        <w:rPr>
          <w:noProof/>
        </w:rPr>
      </w:pPr>
      <w:r>
        <w:rPr>
          <w:noProof/>
        </w:rPr>
        <w:t>Investīcija 1.6. Lielo centrālo pārvalžu digitālā pārveide</w:t>
      </w:r>
    </w:p>
    <w:p w14:paraId="0A45E656" w14:textId="17750E41" w:rsidR="00327FF1" w:rsidRDefault="00E406C7">
      <w:pPr>
        <w:pStyle w:val="P68B1DB1-Normal7"/>
        <w:jc w:val="both"/>
        <w:rPr>
          <w:noProof/>
        </w:rPr>
      </w:pPr>
      <w:r>
        <w:rPr>
          <w:noProof/>
        </w:rPr>
        <w:t>Šīs investīcijas mērķis ir palielināt efektivitāti un vienkāršot procedūras galvenajās centrālajās pārvaldēs, tostarp i) Iekšlietu</w:t>
      </w:r>
      <w:r>
        <w:rPr>
          <w:noProof/>
        </w:rPr>
        <w:t xml:space="preserve"> ministrijā, ii) Tieslietu ministrijā, iii) Valsts sociālā nodrošinājuma institūtā (INPS) un Valsts apdrošināšanas institūtā pret nelaimes gadījumiem darbā (INAIL), iv) Aizsardzības ministrijā, v) Valsts padomē un vi) Finanšu policijā. Ieguldījumu veido pr</w:t>
      </w:r>
      <w:r>
        <w:rPr>
          <w:noProof/>
        </w:rPr>
        <w:t>ioritāro procesu, darbību un pakalpojumu kopuma pārveide un digitalizācija, kas ir to kompetencē.</w:t>
      </w:r>
    </w:p>
    <w:p w14:paraId="6F822F7F" w14:textId="77777777" w:rsidR="00327FF1" w:rsidRDefault="00E406C7">
      <w:pPr>
        <w:pStyle w:val="P68B1DB1-Normal5"/>
        <w:spacing w:before="240" w:after="120"/>
        <w:jc w:val="both"/>
        <w:rPr>
          <w:noProof/>
        </w:rPr>
      </w:pPr>
      <w:r>
        <w:rPr>
          <w:noProof/>
        </w:rPr>
        <w:t>Investīcija 1.7. — Digitālās pamatprasmes</w:t>
      </w:r>
    </w:p>
    <w:p w14:paraId="70650D66" w14:textId="77777777" w:rsidR="00327FF1" w:rsidRDefault="00E406C7">
      <w:pPr>
        <w:pStyle w:val="Descriptiontitle"/>
        <w:ind w:left="0"/>
        <w:rPr>
          <w:noProof/>
        </w:rPr>
      </w:pPr>
      <w:r>
        <w:rPr>
          <w:rFonts w:eastAsiaTheme="minorEastAsia"/>
          <w:noProof/>
        </w:rPr>
        <w:t>Šīs investīcijas mērķis ir samazināt to iedzīvotāju īpatsvaru</w:t>
      </w:r>
      <w:r>
        <w:rPr>
          <w:noProof/>
        </w:rPr>
        <w:t>, kuriem draud digitālā</w:t>
      </w:r>
      <w:r>
        <w:rPr>
          <w:rFonts w:eastAsiaTheme="minorEastAsia"/>
          <w:noProof/>
        </w:rPr>
        <w:t xml:space="preserve"> atstumtība, nodrošinot digitālo</w:t>
      </w:r>
      <w:r>
        <w:rPr>
          <w:rFonts w:eastAsiaTheme="minorEastAsia"/>
          <w:noProof/>
        </w:rPr>
        <w:t xml:space="preserve"> izglītību</w:t>
      </w:r>
      <w:r>
        <w:rPr>
          <w:noProof/>
        </w:rPr>
        <w:t xml:space="preserve">. </w:t>
      </w:r>
      <w:r>
        <w:rPr>
          <w:rFonts w:eastAsiaTheme="minorEastAsia"/>
          <w:noProof/>
        </w:rPr>
        <w:t>Toveido apmācība, lainodrošinātu digitālu izglītošanu cilvēkiem,</w:t>
      </w:r>
      <w:r>
        <w:rPr>
          <w:noProof/>
        </w:rPr>
        <w:t>kuriem draud digitālā atstumtība, un digitālo atvieglojumu centru tīkla stiprināšana.</w:t>
      </w:r>
    </w:p>
    <w:p w14:paraId="34292F77" w14:textId="70C0E751" w:rsidR="00327FF1" w:rsidRDefault="00E406C7">
      <w:pPr>
        <w:pStyle w:val="P68B1DB1-Normal5"/>
        <w:rPr>
          <w:noProof/>
        </w:rPr>
      </w:pPr>
      <w:r>
        <w:rPr>
          <w:noProof/>
        </w:rPr>
        <w:t>Reforma Nr. 1.1. — IKT iepirkums</w:t>
      </w:r>
    </w:p>
    <w:p w14:paraId="2B0EC06C" w14:textId="77777777" w:rsidR="00327FF1" w:rsidRDefault="00E406C7">
      <w:pPr>
        <w:pStyle w:val="P68B1DB1-Normal8"/>
        <w:spacing w:before="120" w:after="120"/>
        <w:jc w:val="both"/>
        <w:rPr>
          <w:noProof/>
        </w:rPr>
      </w:pPr>
      <w:r>
        <w:rPr>
          <w:noProof/>
        </w:rPr>
        <w:t>Šīs reformas mērķis ir nodrošināt, ka valsts pārvalde var sav</w:t>
      </w:r>
      <w:r>
        <w:rPr>
          <w:noProof/>
        </w:rPr>
        <w:t>laicīgāk un efektīvāk iepirkt informācijas un komunikācijas tehnoloģiju (IKT) risinājumus, racionalizējot un paātrinot IKT pakalpojumu un aktīvu iepirkuma procesu.</w:t>
      </w:r>
    </w:p>
    <w:p w14:paraId="6FF8C10E" w14:textId="77777777" w:rsidR="00327FF1" w:rsidRDefault="00E406C7">
      <w:pPr>
        <w:spacing w:before="120" w:after="120"/>
        <w:jc w:val="both"/>
        <w:rPr>
          <w:rFonts w:ascii="Times New Roman" w:eastAsia="Times New Roman" w:hAnsi="Times New Roman" w:cs="Times New Roman"/>
          <w:noProof/>
        </w:rPr>
      </w:pPr>
      <w:r>
        <w:rPr>
          <w:rFonts w:ascii="Times New Roman" w:eastAsia="Times New Roman" w:hAnsi="Times New Roman" w:cs="Times New Roman"/>
          <w:noProof/>
        </w:rPr>
        <w:t>Reformas īstenošana sastāv no trim darbību virzieniem. Pirmkārt, izveido vienotu datubāzi, k</w:t>
      </w:r>
      <w:r>
        <w:rPr>
          <w:rFonts w:ascii="Times New Roman" w:eastAsia="Times New Roman" w:hAnsi="Times New Roman" w:cs="Times New Roman"/>
          <w:noProof/>
        </w:rPr>
        <w:t>urā ir to ekonomikas dalībnieku baltais saraksts, kuriem ir atļauts piegādāt preces un sniegt pakalpojumus valsts pārvaldes iestādēm, un ievieš īpašu tehnoloģisko infrastruktūru, kas ļauj sertificēt piegādātājus. Otrkārt, tiek pieņemta vienkāršota pieeja (</w:t>
      </w:r>
      <w:r>
        <w:rPr>
          <w:rFonts w:ascii="Times New Roman" w:eastAsia="Times New Roman" w:hAnsi="Times New Roman" w:cs="Times New Roman"/>
          <w:noProof/>
        </w:rPr>
        <w:t>“paātrinātā pieeja”), lai racionalizētu IKT iepirkumus PNRR projektiem. Treškārt, izveido digitālā iepirkuma pakalpojumu, lai i) iekļautu tikai sertificētus piegādātājus (ekonomikas dalībnieki jebkurā laikā var pieprasīt, lai tos sertificē saskaņā ar Direk</w:t>
      </w:r>
      <w:r>
        <w:rPr>
          <w:rFonts w:ascii="Times New Roman" w:eastAsia="Times New Roman" w:hAnsi="Times New Roman" w:cs="Times New Roman"/>
          <w:noProof/>
        </w:rPr>
        <w:t>tīvas 2014/24/ES 64. pantu); II) ļauj ātri identificēt piegādātājus, kas apmierina konkrētas vajadzības (piemēram, izmantojot konfiguratoru); III) sniegt administrācijām intuitīvu lietotāja pieredzi (piemēram, skaidru piedāvāto pakalpojumu aprakstu, piegād</w:t>
      </w:r>
      <w:r>
        <w:rPr>
          <w:rFonts w:ascii="Times New Roman" w:eastAsia="Times New Roman" w:hAnsi="Times New Roman" w:cs="Times New Roman"/>
          <w:noProof/>
        </w:rPr>
        <w:t xml:space="preserve">ātāju salīdzinošu novērtējumu). Šīs vispārējās struktūras pamatā ir Itālijas valsts iestādes — CONSIP — esošās spējas iepirkuma jomā. </w:t>
      </w:r>
    </w:p>
    <w:p w14:paraId="35131D6A" w14:textId="77777777" w:rsidR="00327FF1" w:rsidRDefault="00E406C7">
      <w:pPr>
        <w:spacing w:before="120" w:after="120"/>
        <w:jc w:val="both"/>
        <w:rPr>
          <w:noProof/>
        </w:rPr>
      </w:pPr>
      <w:r>
        <w:rPr>
          <w:rFonts w:ascii="Times New Roman" w:hAnsi="Times New Roman" w:cs="Times New Roman"/>
          <w:b/>
          <w:noProof/>
        </w:rPr>
        <w:t>Reforma. Atbalsts pārveidei</w:t>
      </w:r>
      <w:r>
        <w:rPr>
          <w:noProof/>
        </w:rPr>
        <w:t xml:space="preserve"> </w:t>
      </w:r>
    </w:p>
    <w:p w14:paraId="20E65B26" w14:textId="5246D89C" w:rsidR="00327FF1" w:rsidRDefault="00E406C7">
      <w:pPr>
        <w:pStyle w:val="P68B1DB1-Normal8"/>
        <w:spacing w:before="120" w:after="120"/>
        <w:jc w:val="both"/>
        <w:rPr>
          <w:noProof/>
        </w:rPr>
      </w:pPr>
      <w:r>
        <w:rPr>
          <w:noProof/>
        </w:rPr>
        <w:t>Šīs reformas mērķis ir atbalstīt visu centrālās un vietējās publiskās pārvaldes iestāžu digi</w:t>
      </w:r>
      <w:r>
        <w:rPr>
          <w:noProof/>
        </w:rPr>
        <w:t>tālo pārveidi, izveidojot īpašu “Digitālās MA pārveides biroju”. Transformācijas birojs sastāv no pagaidu tehnoloģiju jomā kompetenta resursu fonda, kas koordinē un atbalsta migrācijas centienus un centralizētas sarunas par sertificēta ārējā atbalsta “pake</w:t>
      </w:r>
      <w:r>
        <w:rPr>
          <w:noProof/>
        </w:rPr>
        <w:t xml:space="preserve">tēm”. </w:t>
      </w:r>
    </w:p>
    <w:p w14:paraId="4043819E" w14:textId="77777777" w:rsidR="00327FF1" w:rsidRDefault="00E406C7">
      <w:pPr>
        <w:pStyle w:val="P68B1DB1-Normal7"/>
        <w:spacing w:before="120" w:after="120"/>
        <w:jc w:val="both"/>
        <w:rPr>
          <w:noProof/>
        </w:rPr>
      </w:pPr>
      <w:r>
        <w:rPr>
          <w:noProof/>
        </w:rPr>
        <w:t>Turklāt pasākums paredz izveidot uzņēmumu, kas koncentrējas uz programmatūras izstrādi un darbības pārvaldību, lai atbalstītu centrālo pārvalžu digitālo uzlabošanu. Pārveides birojs jo īpaši atbalsta valsts pārvaldi šajā komponentā iekļauto investīc</w:t>
      </w:r>
      <w:r>
        <w:rPr>
          <w:noProof/>
        </w:rPr>
        <w:t>iju 1.1.–1.7. īstenošanā, kā arī 6. misijā iekļauto investīciju un reformu īstenošanu veselības aprūpes digitalizācijā.</w:t>
      </w:r>
    </w:p>
    <w:p w14:paraId="78D068CE" w14:textId="77777777" w:rsidR="00327FF1" w:rsidRDefault="00E406C7">
      <w:pPr>
        <w:pStyle w:val="P68B1DB1-Normal5"/>
        <w:spacing w:before="240" w:after="120"/>
        <w:jc w:val="both"/>
        <w:rPr>
          <w:noProof/>
        </w:rPr>
      </w:pPr>
      <w:r>
        <w:rPr>
          <w:noProof/>
        </w:rPr>
        <w:t>Reforma. Mākonis vispirms un sadarbspēja</w:t>
      </w:r>
    </w:p>
    <w:p w14:paraId="6E51A1F1" w14:textId="77777777" w:rsidR="00327FF1" w:rsidRDefault="00E406C7">
      <w:pPr>
        <w:pStyle w:val="P68B1DB1-Normal8"/>
        <w:spacing w:before="120" w:after="120"/>
        <w:jc w:val="both"/>
        <w:rPr>
          <w:noProof/>
        </w:rPr>
      </w:pPr>
      <w:r>
        <w:rPr>
          <w:noProof/>
        </w:rPr>
        <w:t xml:space="preserve">Šīs reformas mērķis ir novērst šķēršļus mākoņdatošanas ieviešanai un racionalizēt birokrātiju, </w:t>
      </w:r>
      <w:r>
        <w:rPr>
          <w:noProof/>
        </w:rPr>
        <w:t>kas palēnina datu apmaiņas procesus starp publiskās pārvaldes iestādēm, ieviešot stimulu un pienākumu kopumu, kura mērķis ir atvieglot pāreju uz mākoņdatošanu un likvidēt procedurālos ierobežojumus digitālo pakalpojumu plašai ieviešanai.</w:t>
      </w:r>
    </w:p>
    <w:p w14:paraId="4CBE852C" w14:textId="77777777" w:rsidR="00327FF1" w:rsidRDefault="00E406C7">
      <w:pPr>
        <w:pStyle w:val="P68B1DB1-Normal8"/>
        <w:spacing w:before="120" w:after="120"/>
        <w:jc w:val="both"/>
        <w:rPr>
          <w:noProof/>
        </w:rPr>
      </w:pPr>
      <w:r>
        <w:rPr>
          <w:noProof/>
        </w:rPr>
        <w:t>Reforma ietver trī</w:t>
      </w:r>
      <w:r>
        <w:rPr>
          <w:noProof/>
        </w:rPr>
        <w:t>s darbības virzienus. Pirmkārt, tā kā mākoņdatošanas risinājumi veicina izmaksu efektivitāti informācijas un komunikācijas tehnoloģiju (IKT) jomā, pēc iepriekš noteikta “labvēlības perioda” (piemēram, trīs gadus pēc pārveides sākuma) pārvaldes iestādes, ka</w:t>
      </w:r>
      <w:r>
        <w:rPr>
          <w:noProof/>
        </w:rPr>
        <w:t xml:space="preserve">s nav ievērojušas mākoņdatošanas pārveidi, savā IKT izdevumu budžetā saskata ierobežojumu. </w:t>
      </w:r>
    </w:p>
    <w:p w14:paraId="4407D51B" w14:textId="77777777" w:rsidR="00327FF1" w:rsidRDefault="00E406C7">
      <w:pPr>
        <w:pStyle w:val="P68B1DB1-Normal8"/>
        <w:spacing w:before="120" w:after="120"/>
        <w:jc w:val="both"/>
        <w:rPr>
          <w:noProof/>
        </w:rPr>
      </w:pPr>
      <w:r>
        <w:rPr>
          <w:noProof/>
        </w:rPr>
        <w:t>Otrkārt, mākoņdatošanas migrācijas stimulu ietvaros jāpārskata pašreizējie publiskās uzskaites noteikumi par izdevumiem, kas saistīti ar mākoņpakalpojumiem. Ņemot v</w:t>
      </w:r>
      <w:r>
        <w:rPr>
          <w:noProof/>
        </w:rPr>
        <w:t>ērā to, ka migrācija uz mākoņdatošanu pašlaik ietver budžeta pārvietošanu no kapitālizdevumiem uz darbības izdevumiem, ir jāpārskata publiskās uzskaites noteikumi par izdevumiem, kas saistīti ar mākoņpakalpojumiem, lai nekavētu mākoņdatošanas migrāciju pub</w:t>
      </w:r>
      <w:r>
        <w:rPr>
          <w:noProof/>
        </w:rPr>
        <w:t>liskās pārvaldes iestādēm.</w:t>
      </w:r>
    </w:p>
    <w:p w14:paraId="7B874AC4" w14:textId="77777777" w:rsidR="00327FF1" w:rsidRDefault="00E406C7">
      <w:pPr>
        <w:spacing w:before="120" w:after="120"/>
        <w:jc w:val="both"/>
        <w:rPr>
          <w:rFonts w:ascii="Times New Roman" w:eastAsia="Times New Roman" w:hAnsi="Times New Roman" w:cs="Times New Roman"/>
          <w:noProof/>
        </w:rPr>
      </w:pPr>
      <w:r>
        <w:rPr>
          <w:rFonts w:ascii="Times New Roman" w:eastAsia="Times New Roman" w:hAnsi="Times New Roman" w:cs="Times New Roman"/>
          <w:noProof/>
        </w:rPr>
        <w:t>Treškārt, saskaņā ar noteikumiem par atklātajiem datiem un personas datu apstrādi pārskata normas, kas saistītas ar datu sadarbspējas noteikumiem, un vienkāršo pašreizējās procedūras datu apmaiņai starp publiskās pārvaldes iestād</w:t>
      </w:r>
      <w:r>
        <w:rPr>
          <w:rFonts w:ascii="Times New Roman" w:eastAsia="Times New Roman" w:hAnsi="Times New Roman" w:cs="Times New Roman"/>
          <w:noProof/>
        </w:rPr>
        <w:t>ēm, lai racionalizētu procesuālos aspektus un paātrinātu sadarbspējas īstenošanu starp publiskās pārvaldes datubāzēm. Turklāt digitālo domicilu pārskata un integrē valsts rezidentu reģistrā (ANPR), lai nodrošinātu noteiktu un drošu digitālo kopreakcijustar</w:t>
      </w:r>
      <w:r>
        <w:rPr>
          <w:rFonts w:ascii="Times New Roman" w:eastAsia="Times New Roman" w:hAnsi="Times New Roman" w:cs="Times New Roman"/>
          <w:noProof/>
        </w:rPr>
        <w:t>p iedzīvotājiem un valsts pārvaldes iestādēm.</w:t>
      </w:r>
    </w:p>
    <w:p w14:paraId="104C38DE" w14:textId="77777777" w:rsidR="00327FF1" w:rsidRDefault="00E406C7">
      <w:pPr>
        <w:pStyle w:val="Axistitle"/>
        <w:ind w:left="0"/>
        <w:rPr>
          <w:noProof/>
        </w:rPr>
      </w:pPr>
      <w:r>
        <w:rPr>
          <w:noProof/>
        </w:rPr>
        <w:t>Ass — Tiesiskums</w:t>
      </w:r>
    </w:p>
    <w:p w14:paraId="572E5345" w14:textId="77777777" w:rsidR="00327FF1" w:rsidRDefault="00E406C7">
      <w:pPr>
        <w:pStyle w:val="P68B1DB1-Normal5"/>
        <w:spacing w:before="240" w:after="120"/>
        <w:jc w:val="both"/>
        <w:rPr>
          <w:noProof/>
        </w:rPr>
      </w:pPr>
      <w:r>
        <w:rPr>
          <w:noProof/>
        </w:rPr>
        <w:t>Reforma. Civiltiesības</w:t>
      </w:r>
    </w:p>
    <w:p w14:paraId="273D67DE" w14:textId="77777777" w:rsidR="00327FF1" w:rsidRDefault="00E406C7">
      <w:pPr>
        <w:pStyle w:val="P68B1DB1-Normal8"/>
        <w:spacing w:before="120" w:after="120"/>
        <w:jc w:val="both"/>
        <w:rPr>
          <w:noProof/>
        </w:rPr>
      </w:pPr>
      <w:r>
        <w:rPr>
          <w:noProof/>
        </w:rPr>
        <w:t>Šīs reformas mērķis ir saīsināt civilprocesa ilgumu un novērst civillietu tiesu neizskatīto lietu uzkrāšanos. Reforma ietver likumdošanas pasākumu pieņemšanu, lai samazin</w:t>
      </w:r>
      <w:r>
        <w:rPr>
          <w:noProof/>
        </w:rPr>
        <w:t>ātu tiesā ienākošo lietu skaitu, vienkāršotu esošās procedūras un palielinātu tiesu produktivitāti.</w:t>
      </w:r>
    </w:p>
    <w:p w14:paraId="79C67567" w14:textId="77777777" w:rsidR="00327FF1" w:rsidRDefault="00E406C7">
      <w:pPr>
        <w:pStyle w:val="P68B1DB1-Normal5"/>
        <w:spacing w:before="120" w:after="120"/>
        <w:jc w:val="both"/>
        <w:rPr>
          <w:noProof/>
        </w:rPr>
      </w:pPr>
      <w:r>
        <w:rPr>
          <w:noProof/>
        </w:rPr>
        <w:t>Reforma Nr. 1.5 — Krimināltiesības</w:t>
      </w:r>
    </w:p>
    <w:p w14:paraId="4D92F4BE" w14:textId="69478345" w:rsidR="00327FF1" w:rsidRDefault="00E406C7">
      <w:pPr>
        <w:pStyle w:val="P68B1DB1-Normal8"/>
        <w:spacing w:before="120" w:after="120"/>
        <w:jc w:val="both"/>
        <w:rPr>
          <w:noProof/>
        </w:rPr>
      </w:pPr>
      <w:r>
        <w:rPr>
          <w:noProof/>
        </w:rPr>
        <w:t>Šīs reformas mērķis ir saīsināt kriminālprocesa ilgumu. Reforma ietver tādu darbību pieņemšanu, kas vienkāršo esošās proc</w:t>
      </w:r>
      <w:r>
        <w:rPr>
          <w:noProof/>
        </w:rPr>
        <w:t>edūras un palielina tiesu produktivitāti.</w:t>
      </w:r>
    </w:p>
    <w:p w14:paraId="19C3EE79" w14:textId="77777777" w:rsidR="00327FF1" w:rsidRDefault="00E406C7">
      <w:pPr>
        <w:pStyle w:val="P68B1DB1-Normal5"/>
        <w:spacing w:before="240" w:after="120"/>
        <w:jc w:val="both"/>
        <w:rPr>
          <w:noProof/>
        </w:rPr>
      </w:pPr>
      <w:r>
        <w:rPr>
          <w:noProof/>
        </w:rPr>
        <w:t>Reforma. Maksātnespēja</w:t>
      </w:r>
    </w:p>
    <w:p w14:paraId="0CA05C72" w14:textId="77777777" w:rsidR="00327FF1" w:rsidRDefault="00E406C7">
      <w:pPr>
        <w:pStyle w:val="P68B1DB1-Normal8"/>
        <w:spacing w:before="120" w:after="120"/>
        <w:jc w:val="both"/>
        <w:rPr>
          <w:noProof/>
        </w:rPr>
      </w:pPr>
      <w:r>
        <w:rPr>
          <w:noProof/>
        </w:rPr>
        <w:t xml:space="preserve">Reformas mērķis ir digitalizēt un uzlabot maksātnespējas procedūras, ieviešot agrīnās brīdināšanas mehānismus pirms maksātnespējas, tiesu un pirmstiesas iestāžu specializāciju, lai efektīvāk </w:t>
      </w:r>
      <w:r>
        <w:rPr>
          <w:noProof/>
        </w:rPr>
        <w:t xml:space="preserve">pārvaldītu visus maksātnespējas procedūru posmus, tostarp nodrošinot tiesu un administratīvo iestāžu locekļu apmācību un specializāciju. </w:t>
      </w:r>
    </w:p>
    <w:p w14:paraId="7F0735A3" w14:textId="77777777" w:rsidR="00327FF1" w:rsidRDefault="00E406C7">
      <w:pPr>
        <w:pStyle w:val="P68B1DB1-Normal5"/>
        <w:spacing w:before="240" w:after="120"/>
        <w:jc w:val="both"/>
        <w:rPr>
          <w:noProof/>
        </w:rPr>
      </w:pPr>
      <w:r>
        <w:rPr>
          <w:noProof/>
        </w:rPr>
        <w:t>Reforma Nr. 1.7 — Nodokļu tiesas</w:t>
      </w:r>
    </w:p>
    <w:p w14:paraId="52A19F35" w14:textId="77777777" w:rsidR="00327FF1" w:rsidRDefault="00E406C7">
      <w:pPr>
        <w:pStyle w:val="P68B1DB1-Normal8"/>
        <w:spacing w:before="120" w:after="120"/>
        <w:jc w:val="both"/>
        <w:rPr>
          <w:noProof/>
        </w:rPr>
      </w:pPr>
      <w:r>
        <w:rPr>
          <w:noProof/>
        </w:rPr>
        <w:t>Reformas mērķis ir padarīt efektīvāku nodokļu tiesību aktu izpildi un samazināt lielo</w:t>
      </w:r>
      <w:r>
        <w:rPr>
          <w:noProof/>
        </w:rPr>
        <w:t xml:space="preserve"> apelācijas sūdzību skaitu Kasācijas tiesā.</w:t>
      </w:r>
    </w:p>
    <w:p w14:paraId="1D658ACC" w14:textId="77777777" w:rsidR="00327FF1" w:rsidRDefault="00E406C7">
      <w:pPr>
        <w:pStyle w:val="P68B1DB1-Normal5"/>
        <w:spacing w:before="240" w:after="120"/>
        <w:jc w:val="both"/>
        <w:rPr>
          <w:noProof/>
        </w:rPr>
      </w:pPr>
      <w:r>
        <w:rPr>
          <w:noProof/>
        </w:rPr>
        <w:t>Reforma. Tiesu sistēmas digitalizācija</w:t>
      </w:r>
    </w:p>
    <w:p w14:paraId="5B8A8614" w14:textId="77777777" w:rsidR="00327FF1" w:rsidRDefault="00E406C7">
      <w:pPr>
        <w:pStyle w:val="P68B1DB1-Normal7"/>
        <w:spacing w:before="120" w:after="120"/>
        <w:jc w:val="both"/>
        <w:rPr>
          <w:noProof/>
        </w:rPr>
      </w:pPr>
      <w:r>
        <w:rPr>
          <w:noProof/>
        </w:rPr>
        <w:t xml:space="preserve">Šīs reformas mērķis ir digitalizēt civilprocesu un kriminālprocesu. Šī reforma ietver obligātas dokumentu elektroniskas iesniegšanas ieviešanu, elektroniskas darbplūsmas </w:t>
      </w:r>
      <w:r>
        <w:rPr>
          <w:noProof/>
        </w:rPr>
        <w:t>izveidi civilprocesiem, pirmās instances kriminālprocesa digitalizāciju un civiltiesību nolēmumu datubāzes izveidi.</w:t>
      </w:r>
    </w:p>
    <w:p w14:paraId="6C46A287" w14:textId="77777777" w:rsidR="00327FF1" w:rsidRDefault="00E406C7">
      <w:pPr>
        <w:pStyle w:val="P68B1DB1-Normal5"/>
        <w:spacing w:before="240" w:after="120"/>
        <w:jc w:val="both"/>
        <w:rPr>
          <w:noProof/>
        </w:rPr>
      </w:pPr>
      <w:r>
        <w:rPr>
          <w:noProof/>
        </w:rPr>
        <w:t>Investīcija. Civiltiesu, krimināltiesu un administratīvo tiesu darbā pieņemšanas procedūras</w:t>
      </w:r>
    </w:p>
    <w:p w14:paraId="6CD5F925" w14:textId="77777777" w:rsidR="00327FF1" w:rsidRDefault="00E406C7">
      <w:pPr>
        <w:pStyle w:val="P68B1DB1-Normal7"/>
        <w:spacing w:before="120" w:after="120"/>
        <w:jc w:val="both"/>
        <w:rPr>
          <w:noProof/>
        </w:rPr>
      </w:pPr>
      <w:r>
        <w:rPr>
          <w:noProof/>
        </w:rPr>
        <w:t xml:space="preserve">Šā pasākuma mērķis ir uzlabot tiesu iestāžu </w:t>
      </w:r>
      <w:r>
        <w:rPr>
          <w:noProof/>
        </w:rPr>
        <w:t>kvalitāti, atbalstot administratīvo, civiltiesu un krimināltiesu, kā arī Tieslietu ministrijas teritoriālo un centrālo dienestu, kas ir atbildīgi par ANP izpildi un digitālo pārkārtošanos tiesu sistēmā, darbību. Investīcijas ietver pagaidu darbinieku pieņe</w:t>
      </w:r>
      <w:r>
        <w:rPr>
          <w:noProof/>
        </w:rPr>
        <w:t>mšanu darbā izmēģinājuma birojā un tehnisko un administratīvo personālu, kas atbalsta ANP mērķu īstenošanu.</w:t>
      </w:r>
    </w:p>
    <w:p w14:paraId="67C3F40E" w14:textId="77777777" w:rsidR="00327FF1" w:rsidRDefault="00E406C7">
      <w:pPr>
        <w:pStyle w:val="Axistitle"/>
        <w:ind w:left="0"/>
        <w:rPr>
          <w:noProof/>
        </w:rPr>
      </w:pPr>
      <w:r>
        <w:rPr>
          <w:noProof/>
        </w:rPr>
        <w:t>Ass — Publiskā pārvalde</w:t>
      </w:r>
    </w:p>
    <w:p w14:paraId="6376A16A" w14:textId="77777777" w:rsidR="00327FF1" w:rsidRDefault="00E406C7">
      <w:pPr>
        <w:pStyle w:val="P68B1DB1-Normal5"/>
        <w:spacing w:before="240" w:after="120"/>
        <w:jc w:val="both"/>
        <w:rPr>
          <w:noProof/>
        </w:rPr>
      </w:pPr>
      <w:r>
        <w:rPr>
          <w:noProof/>
        </w:rPr>
        <w:t>Reforma Nr. 1.9 — Valsts nodarbinātības reforma un vienkāršošanas reforma</w:t>
      </w:r>
    </w:p>
    <w:p w14:paraId="591B41AA" w14:textId="77777777" w:rsidR="00327FF1" w:rsidRDefault="00E406C7">
      <w:pPr>
        <w:pStyle w:val="P68B1DB1-Normal7"/>
        <w:spacing w:before="120" w:after="120"/>
        <w:jc w:val="both"/>
        <w:rPr>
          <w:noProof/>
        </w:rPr>
      </w:pPr>
      <w:r>
        <w:rPr>
          <w:noProof/>
        </w:rPr>
        <w:t>Šīs reformas mērķis ir stiprināt valsts nodarbināt</w:t>
      </w:r>
      <w:r>
        <w:rPr>
          <w:noProof/>
        </w:rPr>
        <w:t>ības sistēmu un vienkāršot administratīvās procedūras uzņēmumu un iedzīvotāju labā. Reforma ietver vairāku pasākumu pieņemšanu, atceļot nevajadzīgus pienākumus, ieviešot mehānismus klusas piekrišanas sniegšanai, vienkāršojot saziņu, vienādojot režīmus, kas</w:t>
      </w:r>
      <w:r>
        <w:rPr>
          <w:noProof/>
        </w:rPr>
        <w:t xml:space="preserve"> kopīgi ar reģioniem un pašvaldībām, nodrošinot uzņēmējdarbības un būvniecības procedūru (SUAP un SUE) sadarbspēju un nosakot galveno darbības rādītāju (KPI) kopumu, lai vadītu organizatoriskas pārmaiņas pārvaldes iestādēs.</w:t>
      </w:r>
    </w:p>
    <w:p w14:paraId="05B2EEA7" w14:textId="77777777" w:rsidR="00327FF1" w:rsidRDefault="00E406C7">
      <w:pPr>
        <w:pStyle w:val="P68B1DB1-Normal5"/>
        <w:spacing w:before="120" w:after="120"/>
        <w:jc w:val="both"/>
        <w:rPr>
          <w:noProof/>
        </w:rPr>
      </w:pPr>
      <w:r>
        <w:rPr>
          <w:noProof/>
        </w:rPr>
        <w:t>Reforma 1.9.a — reforma kohēzija</w:t>
      </w:r>
      <w:r>
        <w:rPr>
          <w:noProof/>
        </w:rPr>
        <w:t>s politikas īstenošanas paātrināšanai</w:t>
      </w:r>
    </w:p>
    <w:p w14:paraId="3C7A329E" w14:textId="77777777" w:rsidR="00327FF1" w:rsidRDefault="00E406C7">
      <w:pPr>
        <w:spacing w:before="120" w:after="120"/>
        <w:jc w:val="both"/>
        <w:rPr>
          <w:rFonts w:ascii="Times New Roman" w:hAnsi="Times New Roman" w:cs="Times New Roman"/>
          <w:b/>
          <w:noProof/>
        </w:rPr>
      </w:pPr>
      <w:r>
        <w:rPr>
          <w:rFonts w:ascii="Times New Roman" w:hAnsi="Times New Roman" w:cs="Times New Roman"/>
          <w:noProof/>
        </w:rPr>
        <w:t xml:space="preserve">Reformas mērķis ir paātrināt kohēzijas politikas īstenošanu un efektivitāti, papildinot NANP. Tajā paredz vienotās īpašās ekonomiskās zonas stratēģiskā plāna apstiprināšanas datumu. </w:t>
      </w:r>
      <w:r>
        <w:rPr>
          <w:rStyle w:val="s10"/>
          <w:rFonts w:ascii="Times New Roman" w:hAnsi="Times New Roman" w:cs="Times New Roman"/>
          <w:noProof/>
          <w:color w:val="000000" w:themeColor="text1"/>
        </w:rPr>
        <w:t xml:space="preserve">Valsts </w:t>
      </w:r>
      <w:r>
        <w:rPr>
          <w:rFonts w:ascii="Times New Roman" w:hAnsi="Times New Roman" w:cs="Times New Roman"/>
          <w:noProof/>
        </w:rPr>
        <w:t xml:space="preserve"> </w:t>
      </w:r>
      <w:r>
        <w:rPr>
          <w:rStyle w:val="s10"/>
          <w:rFonts w:ascii="Times New Roman" w:hAnsi="Times New Roman" w:cs="Times New Roman"/>
          <w:noProof/>
          <w:color w:val="000000" w:themeColor="text1"/>
        </w:rPr>
        <w:t>tiesību aktos ir prasīts Vie</w:t>
      </w:r>
      <w:r>
        <w:rPr>
          <w:rStyle w:val="s10"/>
          <w:rFonts w:ascii="Times New Roman" w:hAnsi="Times New Roman" w:cs="Times New Roman"/>
          <w:noProof/>
          <w:color w:val="000000" w:themeColor="text1"/>
        </w:rPr>
        <w:t xml:space="preserve">notās konferences atzinums pirms tās pārveidošanas par likumu, kā paredzēts Likumdošanas dekrētā Nr. 281/1997. </w:t>
      </w:r>
      <w:r>
        <w:rPr>
          <w:rFonts w:ascii="Times New Roman" w:hAnsi="Times New Roman" w:cs="Times New Roman"/>
          <w:noProof/>
        </w:rPr>
        <w:t>Kā paredzēts Regulas (ES) 2021/241 9. pantā, reforma var saņemt atbalstu no citām Savienības programmām un instrumentiem ar noteikumu, ka šāds at</w:t>
      </w:r>
      <w:r>
        <w:rPr>
          <w:rFonts w:ascii="Times New Roman" w:hAnsi="Times New Roman" w:cs="Times New Roman"/>
          <w:noProof/>
        </w:rPr>
        <w:t>balsts nesedz tās pašas izmaksas. ANM nesedz nekādas reformas izmaksas.</w:t>
      </w:r>
    </w:p>
    <w:p w14:paraId="36F4A8D9" w14:textId="77777777" w:rsidR="00327FF1" w:rsidRDefault="00E406C7">
      <w:pPr>
        <w:pStyle w:val="P68B1DB1-Normal5"/>
        <w:spacing w:before="240" w:after="120"/>
        <w:jc w:val="both"/>
        <w:rPr>
          <w:noProof/>
        </w:rPr>
      </w:pPr>
      <w:r>
        <w:rPr>
          <w:noProof/>
        </w:rPr>
        <w:t>Investīcija 1.9. Sniegt tehnisko palīdzību un stiprināt spēju veidošanu Itālijas atveseļošanas un noturības plāna īstenošanai</w:t>
      </w:r>
    </w:p>
    <w:p w14:paraId="62FE5151" w14:textId="77777777" w:rsidR="00327FF1" w:rsidRDefault="00E406C7">
      <w:pPr>
        <w:pStyle w:val="P68B1DB1-Normal7"/>
        <w:spacing w:before="120" w:after="120"/>
        <w:jc w:val="both"/>
        <w:rPr>
          <w:noProof/>
        </w:rPr>
      </w:pPr>
      <w:r>
        <w:rPr>
          <w:noProof/>
        </w:rPr>
        <w:t xml:space="preserve">Šīs investīcijas mērķis ir stiprināt administratīvo spēju </w:t>
      </w:r>
      <w:r>
        <w:rPr>
          <w:noProof/>
        </w:rPr>
        <w:t>Itālijas atveseļošanas un noturības plāna (ANP) īstenošanai. Investīcija ietver ekspertu grupas pagaidu pieņemšanu darbā, kas sniegs tehnisko palīdzību pārvaldes iestādēm un stiprinās to spēju īstenot konkrētas ANP paredzētas iniciatīvas, un ietvers publis</w:t>
      </w:r>
      <w:r>
        <w:rPr>
          <w:noProof/>
        </w:rPr>
        <w:t xml:space="preserve">kā sektora darbinieku apmācības programmas, lai pastiprinātu spēju veidošanu. </w:t>
      </w:r>
    </w:p>
    <w:p w14:paraId="51826B03" w14:textId="77777777" w:rsidR="00327FF1" w:rsidRDefault="00E406C7">
      <w:pPr>
        <w:pStyle w:val="Axistitle"/>
        <w:ind w:left="0"/>
        <w:rPr>
          <w:noProof/>
        </w:rPr>
      </w:pPr>
      <w:r>
        <w:rPr>
          <w:noProof/>
        </w:rPr>
        <w:t>Ass — Publiskais iepirkums un valsts pārvaldes iestāžu maksājumi</w:t>
      </w:r>
    </w:p>
    <w:p w14:paraId="13504316" w14:textId="77777777" w:rsidR="00327FF1" w:rsidRDefault="00E406C7">
      <w:pPr>
        <w:pStyle w:val="P68B1DB1-Normal5"/>
        <w:spacing w:before="240" w:after="120"/>
        <w:jc w:val="both"/>
        <w:rPr>
          <w:bCs/>
          <w:noProof/>
        </w:rPr>
      </w:pPr>
      <w:r>
        <w:rPr>
          <w:noProof/>
        </w:rPr>
        <w:t>Reforma Nr. 1.10. Publiskā iepirkuma tiesiskā regulējuma reforma</w:t>
      </w:r>
    </w:p>
    <w:p w14:paraId="092A532D" w14:textId="6812C185" w:rsidR="00327FF1" w:rsidRDefault="00E406C7">
      <w:pPr>
        <w:pStyle w:val="P68B1DB1-Normal7"/>
        <w:jc w:val="both"/>
        <w:rPr>
          <w:b/>
          <w:noProof/>
        </w:rPr>
      </w:pPr>
      <w:r>
        <w:rPr>
          <w:noProof/>
        </w:rPr>
        <w:t>Šīs reformas mērķis ir uzlabot līgumslēdzēju ie</w:t>
      </w:r>
      <w:r>
        <w:rPr>
          <w:noProof/>
        </w:rPr>
        <w:t>stāžu kvalifikāciju un profesionalizāciju, palielināt konkurenci, vienkāršot un digitalizēt centralizēto iepirkumu struktūru procedūras un ieviest valsts e-iepirkumu sistēmas darbību. Šajā nolūkā reforma ietver tiesību aktu pieņemšanu, tostarp grozījumus P</w:t>
      </w:r>
      <w:r>
        <w:rPr>
          <w:noProof/>
        </w:rPr>
        <w:t>ubliskā iepirkuma kodeksā.</w:t>
      </w:r>
    </w:p>
    <w:p w14:paraId="37C590F5" w14:textId="77777777" w:rsidR="00327FF1" w:rsidRDefault="00E406C7">
      <w:pPr>
        <w:pStyle w:val="P68B1DB1-Normal5"/>
        <w:spacing w:before="240" w:after="120"/>
        <w:jc w:val="both"/>
        <w:rPr>
          <w:noProof/>
        </w:rPr>
      </w:pPr>
      <w:r>
        <w:rPr>
          <w:noProof/>
        </w:rPr>
        <w:t>Reforma Nr. 1.11. Valsts pārvaldes un veselības aprūpes iestāžu maksājumu kavējumu samazināšana</w:t>
      </w:r>
    </w:p>
    <w:p w14:paraId="3156D5E8" w14:textId="77777777" w:rsidR="00327FF1" w:rsidRDefault="00E406C7">
      <w:pPr>
        <w:pStyle w:val="P68B1DB1-Normal7"/>
        <w:spacing w:before="240" w:after="120"/>
        <w:jc w:val="both"/>
        <w:rPr>
          <w:noProof/>
        </w:rPr>
      </w:pPr>
      <w:r>
        <w:rPr>
          <w:noProof/>
        </w:rPr>
        <w:t>Reformas mērķis ir novērst trūkumus, kas kavē Itālijas centrālās, reģionālās, vietējās un veselības aprūpes iestāžu maksājumu izpildi</w:t>
      </w:r>
      <w:r>
        <w:rPr>
          <w:noProof/>
        </w:rPr>
        <w:t xml:space="preserve"> uzņēmumiem, jo īpaši pieņemot strukturālas darbības un mērķtiecīgus likumdošanas pasākumus.</w:t>
      </w:r>
    </w:p>
    <w:p w14:paraId="6B58E305" w14:textId="77777777" w:rsidR="00327FF1" w:rsidRDefault="00E406C7">
      <w:pPr>
        <w:pStyle w:val="Axistitle"/>
        <w:ind w:left="0"/>
        <w:rPr>
          <w:noProof/>
        </w:rPr>
      </w:pPr>
      <w:r>
        <w:rPr>
          <w:noProof/>
        </w:rPr>
        <w:t>Ass — fiskālās un strukturālās reformas (Nodokļu politika un publiskie izdevumi)</w:t>
      </w:r>
    </w:p>
    <w:p w14:paraId="4C0A2A6E" w14:textId="77777777" w:rsidR="00327FF1" w:rsidRDefault="00E406C7">
      <w:pPr>
        <w:pStyle w:val="P68B1DB1-Normal5"/>
        <w:spacing w:before="240" w:after="120"/>
        <w:jc w:val="both"/>
        <w:rPr>
          <w:noProof/>
        </w:rPr>
      </w:pPr>
      <w:r>
        <w:rPr>
          <w:noProof/>
        </w:rPr>
        <w:t>Reforma Nr. 1.12 — Nodokļu administrācijas reforma</w:t>
      </w:r>
    </w:p>
    <w:p w14:paraId="3D0AA24A" w14:textId="77777777" w:rsidR="00327FF1" w:rsidRDefault="00E406C7">
      <w:pPr>
        <w:pStyle w:val="P68B1DB1-Normal7"/>
        <w:jc w:val="both"/>
        <w:rPr>
          <w:noProof/>
        </w:rPr>
      </w:pPr>
      <w:r>
        <w:rPr>
          <w:noProof/>
        </w:rPr>
        <w:t>Šīs nodokļu administrācijas ref</w:t>
      </w:r>
      <w:r>
        <w:rPr>
          <w:noProof/>
        </w:rPr>
        <w:t>ormas mērķis ir veicināt nodokļu saistību izpildi, palielināt revīziju un kontroļu efektivitāti un samazināt atbilstības nodrošināšanas izmaksas nodokļu maksātājiem, pieņemot un izpildot mērķtiecīgus leģislatīvus un regulatīvus pasākumus.</w:t>
      </w:r>
    </w:p>
    <w:p w14:paraId="5C00D30A" w14:textId="77777777" w:rsidR="00327FF1" w:rsidRDefault="00E406C7">
      <w:pPr>
        <w:pStyle w:val="P68B1DB1-Normal5"/>
        <w:spacing w:before="240" w:after="120"/>
        <w:jc w:val="both"/>
        <w:rPr>
          <w:noProof/>
        </w:rPr>
      </w:pPr>
      <w:r>
        <w:rPr>
          <w:noProof/>
        </w:rPr>
        <w:t xml:space="preserve">Reforma Nr. 1.13 </w:t>
      </w:r>
      <w:r>
        <w:rPr>
          <w:noProof/>
        </w:rPr>
        <w:t>— tēriņu pārskatīšanas sistēmas reforma</w:t>
      </w:r>
    </w:p>
    <w:p w14:paraId="26ACFE87" w14:textId="77777777" w:rsidR="00327FF1" w:rsidRDefault="00E406C7">
      <w:pPr>
        <w:pStyle w:val="P68B1DB1-Normal7"/>
        <w:jc w:val="both"/>
        <w:rPr>
          <w:noProof/>
        </w:rPr>
      </w:pPr>
      <w:r>
        <w:rPr>
          <w:noProof/>
        </w:rPr>
        <w:t xml:space="preserve">Šīs reformas mērķis ir palielināt valsts izdevumu pārskatīšanas sistēmas efektivitāti. Reforma ietver apņemšanos 2023.–2025. gada periodā veikt ikgadēju izdevumu pārskatīšanu un uzlabot zaļās un dzimumu līdztiesības </w:t>
      </w:r>
      <w:r>
        <w:rPr>
          <w:noProof/>
        </w:rPr>
        <w:t>principa ievērošanu budžeta plānošanā.</w:t>
      </w:r>
    </w:p>
    <w:p w14:paraId="55AD36FE" w14:textId="77777777" w:rsidR="00327FF1" w:rsidRDefault="00E406C7">
      <w:pPr>
        <w:pStyle w:val="P68B1DB1-Normal5"/>
        <w:rPr>
          <w:noProof/>
        </w:rPr>
      </w:pPr>
      <w:r>
        <w:rPr>
          <w:noProof/>
        </w:rPr>
        <w:t>Reforma Nr. 1.14. Vietējā un reģionālā līmeņa fiskālās sistēmas reforma</w:t>
      </w:r>
    </w:p>
    <w:p w14:paraId="71237FB8" w14:textId="77777777" w:rsidR="00327FF1" w:rsidRDefault="00E406C7">
      <w:pPr>
        <w:pStyle w:val="P68B1DB1-Normal7"/>
        <w:jc w:val="both"/>
        <w:rPr>
          <w:noProof/>
        </w:rPr>
      </w:pPr>
      <w:r>
        <w:rPr>
          <w:noProof/>
        </w:rPr>
        <w:t>Šīs reformas mērķis ir palielināt fiskālo attiecību pārredzamību dažādos valdības līmeņos. Reforma ietver “fiskālā federālisma” parametru noteikš</w:t>
      </w:r>
      <w:r>
        <w:rPr>
          <w:noProof/>
        </w:rPr>
        <w:t>anu reģioniem ar parastu statusu un tiesību aktu pieņemšanu attiecībā uz “fiskālo federālismu” provincēm un lielpilsētu pilsētām.</w:t>
      </w:r>
    </w:p>
    <w:p w14:paraId="6733BACD" w14:textId="77777777" w:rsidR="00327FF1" w:rsidRDefault="00E406C7">
      <w:pPr>
        <w:pStyle w:val="P68B1DB1-Normal7"/>
        <w:rPr>
          <w:b/>
          <w:noProof/>
        </w:rPr>
      </w:pPr>
      <w:r>
        <w:rPr>
          <w:noProof/>
        </w:rPr>
        <w:br w:type="page"/>
      </w:r>
    </w:p>
    <w:p w14:paraId="79E7A0B0" w14:textId="02F0B3F0" w:rsidR="00327FF1" w:rsidRDefault="00E406C7">
      <w:pPr>
        <w:pStyle w:val="P68B1DB1-Normal5"/>
        <w:spacing w:before="240" w:after="120"/>
        <w:jc w:val="both"/>
        <w:rPr>
          <w:noProof/>
        </w:rPr>
      </w:pPr>
      <w:r>
        <w:rPr>
          <w:noProof/>
        </w:rPr>
        <w:t>Reforma Nr. 1.15 — Publiskās uzskaites noteikumu reforma</w:t>
      </w:r>
    </w:p>
    <w:p w14:paraId="460C810A" w14:textId="77777777" w:rsidR="00327FF1" w:rsidRDefault="00E406C7">
      <w:pPr>
        <w:pStyle w:val="P68B1DB1-Normal7"/>
        <w:jc w:val="both"/>
        <w:rPr>
          <w:noProof/>
        </w:rPr>
      </w:pPr>
      <w:r>
        <w:rPr>
          <w:noProof/>
        </w:rPr>
        <w:t xml:space="preserve">Šīs reformas mērķis ir ieviest vienotu uzkrājumu grāmatvedības </w:t>
      </w:r>
      <w:r>
        <w:rPr>
          <w:noProof/>
        </w:rPr>
        <w:t>sistēmu publiskajam sektoram, atskaitot valstij piederošus uzņēmumus. Reforma ietver konceptuālās sistēmas, uzkrājumu grāmatvedības standartu kopuma un daudzdimensionālās kontu shēmas pieņemšanu, kā arī apmācības nodrošināšanu pārejai uz jauno uzkrājumu gr</w:t>
      </w:r>
      <w:r>
        <w:rPr>
          <w:noProof/>
        </w:rPr>
        <w:t>āmatvedības sistēmu.</w:t>
      </w:r>
    </w:p>
    <w:p w14:paraId="68BF3545" w14:textId="77777777" w:rsidR="00327FF1" w:rsidRDefault="00E406C7">
      <w:pPr>
        <w:pStyle w:val="P68B1DB1-Normal5"/>
        <w:spacing w:before="120" w:after="120"/>
        <w:jc w:val="both"/>
        <w:rPr>
          <w:bCs/>
          <w:noProof/>
        </w:rPr>
      </w:pPr>
      <w:r>
        <w:rPr>
          <w:noProof/>
        </w:rPr>
        <w:t xml:space="preserve">Investīcija 1.10. — Atbalsts kvalifikācijai un e-iepirkums </w:t>
      </w:r>
    </w:p>
    <w:p w14:paraId="0A6B93B4" w14:textId="77777777" w:rsidR="00327FF1" w:rsidRDefault="00E406C7">
      <w:pPr>
        <w:pStyle w:val="P68B1DB1-Normal7"/>
        <w:spacing w:before="120" w:after="120"/>
        <w:jc w:val="both"/>
        <w:rPr>
          <w:noProof/>
        </w:rPr>
      </w:pPr>
      <w:r>
        <w:rPr>
          <w:noProof/>
        </w:rPr>
        <w:t>Ar šo investīciju Publisko iepirkumu profesionalizācijas stratēģijas ietvaros izveido iepirkuma atbalsta funkciju, kas paredzēta līgumslēdzējām iestādēm, lai izpildītu Publisk</w:t>
      </w:r>
      <w:r>
        <w:rPr>
          <w:noProof/>
        </w:rPr>
        <w:t>ā iepirkuma kodeksa II.4. pielikuma prasības un atbalstītu tās e-iepirkuma procesā, atbalstītu digitālo prasmju apguvi un sniegtu tehnisko atbalstu publiskā iepirkuma digitalizācijas pieņemšanā, tostarp dinamisko iepirkumu sistēmu izmantošanā.</w:t>
      </w:r>
    </w:p>
    <w:p w14:paraId="5C0E08A0" w14:textId="77777777" w:rsidR="00327FF1" w:rsidRDefault="00327FF1">
      <w:pPr>
        <w:spacing w:before="120" w:after="120"/>
        <w:jc w:val="both"/>
        <w:rPr>
          <w:noProof/>
        </w:rPr>
        <w:sectPr w:rsidR="00327FF1" w:rsidSect="005F11B9">
          <w:headerReference w:type="even" r:id="rId18"/>
          <w:headerReference w:type="default" r:id="rId19"/>
          <w:footerReference w:type="even" r:id="rId20"/>
          <w:footerReference w:type="default" r:id="rId21"/>
          <w:headerReference w:type="first" r:id="rId22"/>
          <w:footerReference w:type="first" r:id="rId23"/>
          <w:pgSz w:w="11907" w:h="16839"/>
          <w:pgMar w:top="1440" w:right="1440" w:bottom="1440" w:left="1440" w:header="567" w:footer="567" w:gutter="0"/>
          <w:cols w:space="720"/>
          <w:docGrid w:linePitch="360"/>
        </w:sectPr>
      </w:pPr>
    </w:p>
    <w:p w14:paraId="216DD0B9" w14:textId="77777777" w:rsidR="00327FF1" w:rsidRDefault="00E406C7">
      <w:pPr>
        <w:pStyle w:val="P68B1DB1-Heading39"/>
        <w:ind w:left="850" w:hanging="850"/>
        <w:rPr>
          <w:b/>
          <w:bCs/>
          <w:i/>
          <w:iCs/>
          <w:noProof/>
          <w:u w:val="single"/>
        </w:rPr>
      </w:pPr>
      <w:r>
        <w:rPr>
          <w:b/>
          <w:noProof/>
          <w:u w:val="single"/>
        </w:rPr>
        <w:t xml:space="preserve">A.2. </w:t>
      </w:r>
      <w:r>
        <w:rPr>
          <w:noProof/>
        </w:rPr>
        <w:t xml:space="preserve"> </w:t>
      </w:r>
      <w:r>
        <w:rPr>
          <w:b/>
          <w:noProof/>
          <w:u w:val="single"/>
        </w:rPr>
        <w:t>Starpposma mērķi, mērķrādītāji, rādītāji un neatmaksājama finansiālā atbalsta uzraudzības un īstenošanas grafiks</w:t>
      </w:r>
    </w:p>
    <w:tbl>
      <w:tblPr>
        <w:tblW w:w="15735"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135"/>
        <w:gridCol w:w="1417"/>
        <w:gridCol w:w="992"/>
        <w:gridCol w:w="1418"/>
        <w:gridCol w:w="1559"/>
        <w:gridCol w:w="1276"/>
        <w:gridCol w:w="1417"/>
        <w:gridCol w:w="1418"/>
        <w:gridCol w:w="992"/>
        <w:gridCol w:w="852"/>
        <w:gridCol w:w="3259"/>
      </w:tblGrid>
      <w:tr w:rsidR="00327FF1" w14:paraId="4D5CE700" w14:textId="77777777">
        <w:trPr>
          <w:trHeight w:val="765"/>
          <w:tblHeader/>
        </w:trPr>
        <w:tc>
          <w:tcPr>
            <w:tcW w:w="1135" w:type="dxa"/>
            <w:vMerge w:val="restart"/>
            <w:shd w:val="clear" w:color="auto" w:fill="BDD7EE"/>
            <w:vAlign w:val="center"/>
            <w:hideMark/>
          </w:tcPr>
          <w:p w14:paraId="0CED0095" w14:textId="77777777" w:rsidR="00327FF1" w:rsidRDefault="00E406C7">
            <w:pPr>
              <w:pStyle w:val="P68B1DB1-Normal10"/>
              <w:jc w:val="center"/>
              <w:rPr>
                <w:rFonts w:cs="Arial"/>
                <w:bCs/>
                <w:noProof/>
                <w:szCs w:val="20"/>
              </w:rPr>
            </w:pPr>
            <w:r>
              <w:rPr>
                <w:noProof/>
              </w:rPr>
              <w:t>Kārtas numurs</w:t>
            </w:r>
          </w:p>
        </w:tc>
        <w:tc>
          <w:tcPr>
            <w:tcW w:w="1417" w:type="dxa"/>
            <w:vMerge w:val="restart"/>
            <w:shd w:val="clear" w:color="auto" w:fill="BDD7EE"/>
            <w:vAlign w:val="center"/>
            <w:hideMark/>
          </w:tcPr>
          <w:p w14:paraId="7B3C1085" w14:textId="77777777" w:rsidR="00327FF1" w:rsidRDefault="00E406C7">
            <w:pPr>
              <w:pStyle w:val="P68B1DB1-Normal10"/>
              <w:jc w:val="center"/>
              <w:rPr>
                <w:rFonts w:cs="Arial"/>
                <w:bCs/>
                <w:noProof/>
                <w:szCs w:val="20"/>
              </w:rPr>
            </w:pPr>
            <w:r>
              <w:rPr>
                <w:noProof/>
              </w:rPr>
              <w:t>Saistītais pasākums (reforma vai ieguldījums)</w:t>
            </w:r>
          </w:p>
        </w:tc>
        <w:tc>
          <w:tcPr>
            <w:tcW w:w="992" w:type="dxa"/>
            <w:vMerge w:val="restart"/>
            <w:shd w:val="clear" w:color="auto" w:fill="BDD7EE"/>
            <w:vAlign w:val="center"/>
            <w:hideMark/>
          </w:tcPr>
          <w:p w14:paraId="5FF42DA3" w14:textId="7C89005B" w:rsidR="00327FF1" w:rsidRDefault="00E406C7">
            <w:pPr>
              <w:pStyle w:val="P68B1DB1-Normal10"/>
              <w:jc w:val="center"/>
              <w:rPr>
                <w:rFonts w:cs="Arial"/>
                <w:bCs/>
                <w:noProof/>
                <w:szCs w:val="20"/>
              </w:rPr>
            </w:pPr>
            <w:r>
              <w:rPr>
                <w:noProof/>
              </w:rPr>
              <w:t>Atskaites punkts/mērķrādītājs</w:t>
            </w:r>
          </w:p>
        </w:tc>
        <w:tc>
          <w:tcPr>
            <w:tcW w:w="1418" w:type="dxa"/>
            <w:vMerge w:val="restart"/>
            <w:shd w:val="clear" w:color="auto" w:fill="BDD7EE"/>
            <w:vAlign w:val="center"/>
            <w:hideMark/>
          </w:tcPr>
          <w:p w14:paraId="3587A1A1" w14:textId="77777777" w:rsidR="00327FF1" w:rsidRDefault="00E406C7">
            <w:pPr>
              <w:pStyle w:val="P68B1DB1-Normal10"/>
              <w:jc w:val="center"/>
              <w:rPr>
                <w:rFonts w:cs="Arial"/>
                <w:bCs/>
                <w:noProof/>
                <w:szCs w:val="20"/>
              </w:rPr>
            </w:pPr>
            <w:r>
              <w:rPr>
                <w:noProof/>
              </w:rPr>
              <w:t>Nosaukums</w:t>
            </w:r>
          </w:p>
        </w:tc>
        <w:tc>
          <w:tcPr>
            <w:tcW w:w="1559" w:type="dxa"/>
            <w:vMerge w:val="restart"/>
            <w:shd w:val="clear" w:color="auto" w:fill="BDD7EE"/>
            <w:vAlign w:val="center"/>
            <w:hideMark/>
          </w:tcPr>
          <w:p w14:paraId="2F50680B" w14:textId="77777777" w:rsidR="00327FF1" w:rsidRDefault="00E406C7">
            <w:pPr>
              <w:jc w:val="center"/>
              <w:rPr>
                <w:rFonts w:ascii="Arial Narrow" w:hAnsi="Arial Narrow" w:cs="Arial"/>
                <w:b/>
                <w:bCs/>
                <w:noProof/>
                <w:sz w:val="20"/>
                <w:szCs w:val="20"/>
              </w:rPr>
            </w:pPr>
            <w:r>
              <w:rPr>
                <w:rFonts w:ascii="Arial Narrow" w:hAnsi="Arial Narrow"/>
                <w:b/>
                <w:noProof/>
                <w:sz w:val="20"/>
              </w:rPr>
              <w:t>Kvalitātes rādītāji</w:t>
            </w:r>
            <w:r>
              <w:rPr>
                <w:rFonts w:ascii="Arial Narrow" w:hAnsi="Arial Narrow"/>
                <w:noProof/>
                <w:sz w:val="20"/>
              </w:rPr>
              <w:t xml:space="preserve"> </w:t>
            </w:r>
            <w:r>
              <w:rPr>
                <w:noProof/>
              </w:rPr>
              <w:br/>
            </w:r>
            <w:r>
              <w:rPr>
                <w:rFonts w:ascii="Arial Narrow" w:hAnsi="Arial Narrow"/>
                <w:b/>
                <w:noProof/>
                <w:sz w:val="20"/>
              </w:rPr>
              <w:t>(attiecībā uz starpposma mērķiem)</w:t>
            </w:r>
          </w:p>
        </w:tc>
        <w:tc>
          <w:tcPr>
            <w:tcW w:w="4111" w:type="dxa"/>
            <w:gridSpan w:val="3"/>
            <w:shd w:val="clear" w:color="auto" w:fill="BDD7EE"/>
            <w:vAlign w:val="center"/>
            <w:hideMark/>
          </w:tcPr>
          <w:p w14:paraId="3AB43D92" w14:textId="77777777" w:rsidR="00327FF1" w:rsidRDefault="00E406C7">
            <w:pPr>
              <w:jc w:val="center"/>
              <w:rPr>
                <w:rFonts w:ascii="Arial Narrow" w:hAnsi="Arial Narrow" w:cs="Arial"/>
                <w:b/>
                <w:bCs/>
                <w:noProof/>
                <w:sz w:val="20"/>
                <w:szCs w:val="20"/>
              </w:rPr>
            </w:pPr>
            <w:r>
              <w:rPr>
                <w:rFonts w:ascii="Arial Narrow" w:hAnsi="Arial Narrow"/>
                <w:b/>
                <w:noProof/>
                <w:sz w:val="20"/>
              </w:rPr>
              <w:t>Kvantitatīvie rādītāji</w:t>
            </w:r>
            <w:r>
              <w:rPr>
                <w:rFonts w:ascii="Arial Narrow" w:hAnsi="Arial Narrow"/>
                <w:noProof/>
                <w:sz w:val="20"/>
              </w:rPr>
              <w:t xml:space="preserve"> </w:t>
            </w:r>
            <w:r>
              <w:rPr>
                <w:noProof/>
              </w:rPr>
              <w:br/>
            </w:r>
            <w:r>
              <w:rPr>
                <w:rFonts w:ascii="Arial Narrow" w:hAnsi="Arial Narrow"/>
                <w:b/>
                <w:noProof/>
                <w:sz w:val="20"/>
              </w:rPr>
              <w:t>(mērķiem)</w:t>
            </w:r>
          </w:p>
        </w:tc>
        <w:tc>
          <w:tcPr>
            <w:tcW w:w="1844" w:type="dxa"/>
            <w:gridSpan w:val="2"/>
            <w:shd w:val="clear" w:color="auto" w:fill="BDD7EE"/>
            <w:vAlign w:val="center"/>
            <w:hideMark/>
          </w:tcPr>
          <w:p w14:paraId="2FAAE022" w14:textId="77777777" w:rsidR="00327FF1" w:rsidRDefault="00E406C7">
            <w:pPr>
              <w:pStyle w:val="P68B1DB1-Normal10"/>
              <w:jc w:val="center"/>
              <w:rPr>
                <w:rFonts w:cs="Arial"/>
                <w:bCs/>
                <w:noProof/>
                <w:szCs w:val="20"/>
              </w:rPr>
            </w:pPr>
            <w:r>
              <w:rPr>
                <w:noProof/>
              </w:rPr>
              <w:t>Orientējošs pabeigšanas termiņš</w:t>
            </w:r>
          </w:p>
        </w:tc>
        <w:tc>
          <w:tcPr>
            <w:tcW w:w="3259" w:type="dxa"/>
            <w:vMerge w:val="restart"/>
            <w:shd w:val="clear" w:color="auto" w:fill="BDD7EE"/>
            <w:vAlign w:val="center"/>
            <w:hideMark/>
          </w:tcPr>
          <w:p w14:paraId="496546E0" w14:textId="77777777" w:rsidR="00327FF1" w:rsidRDefault="00E406C7">
            <w:pPr>
              <w:pStyle w:val="P68B1DB1-Normal10"/>
              <w:jc w:val="center"/>
              <w:rPr>
                <w:rFonts w:cs="Arial"/>
                <w:bCs/>
                <w:noProof/>
                <w:szCs w:val="20"/>
              </w:rPr>
            </w:pPr>
            <w:r>
              <w:rPr>
                <w:noProof/>
              </w:rPr>
              <w:t>Apraksts par katru atskaites punktu un mērķrādītāju</w:t>
            </w:r>
          </w:p>
        </w:tc>
      </w:tr>
      <w:tr w:rsidR="00327FF1" w14:paraId="32D29FD6" w14:textId="77777777">
        <w:trPr>
          <w:trHeight w:val="561"/>
          <w:tblHeader/>
        </w:trPr>
        <w:tc>
          <w:tcPr>
            <w:tcW w:w="1135" w:type="dxa"/>
            <w:vMerge/>
            <w:vAlign w:val="center"/>
            <w:hideMark/>
          </w:tcPr>
          <w:p w14:paraId="0016CCDC" w14:textId="77777777" w:rsidR="00327FF1" w:rsidRDefault="00327FF1">
            <w:pPr>
              <w:jc w:val="center"/>
              <w:rPr>
                <w:rFonts w:ascii="Arial Narrow" w:hAnsi="Arial Narrow" w:cs="Arial"/>
                <w:b/>
                <w:bCs/>
                <w:noProof/>
                <w:sz w:val="20"/>
                <w:szCs w:val="20"/>
              </w:rPr>
            </w:pPr>
          </w:p>
        </w:tc>
        <w:tc>
          <w:tcPr>
            <w:tcW w:w="1417" w:type="dxa"/>
            <w:vMerge/>
            <w:vAlign w:val="center"/>
            <w:hideMark/>
          </w:tcPr>
          <w:p w14:paraId="05BDCFF1" w14:textId="77777777" w:rsidR="00327FF1" w:rsidRDefault="00327FF1">
            <w:pPr>
              <w:jc w:val="center"/>
              <w:rPr>
                <w:rFonts w:ascii="Arial Narrow" w:hAnsi="Arial Narrow" w:cs="Arial"/>
                <w:b/>
                <w:bCs/>
                <w:noProof/>
                <w:sz w:val="20"/>
                <w:szCs w:val="20"/>
              </w:rPr>
            </w:pPr>
          </w:p>
        </w:tc>
        <w:tc>
          <w:tcPr>
            <w:tcW w:w="992" w:type="dxa"/>
            <w:vMerge/>
            <w:vAlign w:val="center"/>
            <w:hideMark/>
          </w:tcPr>
          <w:p w14:paraId="5DDF16FC" w14:textId="77777777" w:rsidR="00327FF1" w:rsidRDefault="00327FF1">
            <w:pPr>
              <w:jc w:val="center"/>
              <w:rPr>
                <w:rFonts w:ascii="Arial Narrow" w:hAnsi="Arial Narrow" w:cs="Arial"/>
                <w:b/>
                <w:bCs/>
                <w:noProof/>
                <w:sz w:val="20"/>
                <w:szCs w:val="20"/>
              </w:rPr>
            </w:pPr>
          </w:p>
        </w:tc>
        <w:tc>
          <w:tcPr>
            <w:tcW w:w="1418" w:type="dxa"/>
            <w:vMerge/>
            <w:vAlign w:val="center"/>
            <w:hideMark/>
          </w:tcPr>
          <w:p w14:paraId="52819F26" w14:textId="77777777" w:rsidR="00327FF1" w:rsidRDefault="00327FF1">
            <w:pPr>
              <w:jc w:val="center"/>
              <w:rPr>
                <w:rFonts w:ascii="Arial Narrow" w:hAnsi="Arial Narrow" w:cs="Arial"/>
                <w:b/>
                <w:bCs/>
                <w:noProof/>
                <w:sz w:val="20"/>
                <w:szCs w:val="20"/>
              </w:rPr>
            </w:pPr>
          </w:p>
        </w:tc>
        <w:tc>
          <w:tcPr>
            <w:tcW w:w="1559" w:type="dxa"/>
            <w:vMerge/>
            <w:vAlign w:val="center"/>
            <w:hideMark/>
          </w:tcPr>
          <w:p w14:paraId="51C3681E" w14:textId="77777777" w:rsidR="00327FF1" w:rsidRDefault="00327FF1">
            <w:pPr>
              <w:jc w:val="center"/>
              <w:rPr>
                <w:rFonts w:ascii="Arial Narrow" w:hAnsi="Arial Narrow" w:cs="Arial"/>
                <w:b/>
                <w:bCs/>
                <w:noProof/>
                <w:sz w:val="20"/>
                <w:szCs w:val="20"/>
              </w:rPr>
            </w:pPr>
          </w:p>
        </w:tc>
        <w:tc>
          <w:tcPr>
            <w:tcW w:w="1276" w:type="dxa"/>
            <w:shd w:val="clear" w:color="auto" w:fill="BDD7EE"/>
            <w:vAlign w:val="center"/>
            <w:hideMark/>
          </w:tcPr>
          <w:p w14:paraId="507E35A4" w14:textId="77777777" w:rsidR="00327FF1" w:rsidRDefault="00E406C7">
            <w:pPr>
              <w:pStyle w:val="P68B1DB1-Normal10"/>
              <w:jc w:val="center"/>
              <w:rPr>
                <w:rFonts w:cs="Arial"/>
                <w:bCs/>
                <w:noProof/>
                <w:szCs w:val="20"/>
              </w:rPr>
            </w:pPr>
            <w:r>
              <w:rPr>
                <w:noProof/>
              </w:rPr>
              <w:t>Mēra vienība</w:t>
            </w:r>
          </w:p>
        </w:tc>
        <w:tc>
          <w:tcPr>
            <w:tcW w:w="1417" w:type="dxa"/>
            <w:shd w:val="clear" w:color="auto" w:fill="BDD7EE"/>
            <w:vAlign w:val="center"/>
            <w:hideMark/>
          </w:tcPr>
          <w:p w14:paraId="14DCC041" w14:textId="77777777" w:rsidR="00327FF1" w:rsidRDefault="00E406C7">
            <w:pPr>
              <w:pStyle w:val="P68B1DB1-Normal10"/>
              <w:jc w:val="center"/>
              <w:rPr>
                <w:rFonts w:cs="Arial"/>
                <w:bCs/>
                <w:noProof/>
                <w:szCs w:val="20"/>
              </w:rPr>
            </w:pPr>
            <w:r>
              <w:rPr>
                <w:noProof/>
              </w:rPr>
              <w:t>Pamatscenārijs</w:t>
            </w:r>
          </w:p>
        </w:tc>
        <w:tc>
          <w:tcPr>
            <w:tcW w:w="1418" w:type="dxa"/>
            <w:shd w:val="clear" w:color="auto" w:fill="BDD7EE"/>
            <w:vAlign w:val="center"/>
            <w:hideMark/>
          </w:tcPr>
          <w:p w14:paraId="73C831C3" w14:textId="77777777" w:rsidR="00327FF1" w:rsidRDefault="00E406C7">
            <w:pPr>
              <w:pStyle w:val="P68B1DB1-Normal10"/>
              <w:jc w:val="center"/>
              <w:rPr>
                <w:rFonts w:cs="Arial"/>
                <w:bCs/>
                <w:noProof/>
                <w:szCs w:val="20"/>
              </w:rPr>
            </w:pPr>
            <w:r>
              <w:rPr>
                <w:noProof/>
              </w:rPr>
              <w:t>Mērķis</w:t>
            </w:r>
          </w:p>
        </w:tc>
        <w:tc>
          <w:tcPr>
            <w:tcW w:w="992" w:type="dxa"/>
            <w:shd w:val="clear" w:color="auto" w:fill="BDD7EE"/>
            <w:vAlign w:val="center"/>
            <w:hideMark/>
          </w:tcPr>
          <w:p w14:paraId="6229EFDD" w14:textId="77777777" w:rsidR="00327FF1" w:rsidRDefault="00E406C7">
            <w:pPr>
              <w:pStyle w:val="P68B1DB1-Normal10"/>
              <w:jc w:val="center"/>
              <w:rPr>
                <w:rFonts w:cs="Arial"/>
                <w:bCs/>
                <w:noProof/>
                <w:szCs w:val="20"/>
              </w:rPr>
            </w:pPr>
            <w:r>
              <w:rPr>
                <w:noProof/>
              </w:rPr>
              <w:t>Ceturkšņa laikā</w:t>
            </w:r>
          </w:p>
        </w:tc>
        <w:tc>
          <w:tcPr>
            <w:tcW w:w="852" w:type="dxa"/>
            <w:shd w:val="clear" w:color="auto" w:fill="BDD7EE"/>
            <w:vAlign w:val="center"/>
            <w:hideMark/>
          </w:tcPr>
          <w:p w14:paraId="7DE3CC05" w14:textId="77777777" w:rsidR="00327FF1" w:rsidRDefault="00E406C7">
            <w:pPr>
              <w:pStyle w:val="P68B1DB1-Normal10"/>
              <w:jc w:val="center"/>
              <w:rPr>
                <w:rFonts w:cs="Arial"/>
                <w:bCs/>
                <w:noProof/>
                <w:szCs w:val="20"/>
              </w:rPr>
            </w:pPr>
            <w:r>
              <w:rPr>
                <w:noProof/>
              </w:rPr>
              <w:t>Gadu</w:t>
            </w:r>
          </w:p>
        </w:tc>
        <w:tc>
          <w:tcPr>
            <w:tcW w:w="3259" w:type="dxa"/>
            <w:vMerge/>
            <w:vAlign w:val="center"/>
            <w:hideMark/>
          </w:tcPr>
          <w:p w14:paraId="2716DABF" w14:textId="77777777" w:rsidR="00327FF1" w:rsidRDefault="00327FF1">
            <w:pPr>
              <w:jc w:val="center"/>
              <w:rPr>
                <w:rFonts w:ascii="Arial Narrow" w:hAnsi="Arial Narrow" w:cs="Arial"/>
                <w:b/>
                <w:bCs/>
                <w:noProof/>
                <w:sz w:val="20"/>
                <w:szCs w:val="20"/>
              </w:rPr>
            </w:pPr>
          </w:p>
        </w:tc>
      </w:tr>
      <w:tr w:rsidR="00327FF1" w14:paraId="2805B3B2" w14:textId="77777777">
        <w:trPr>
          <w:trHeight w:val="309"/>
        </w:trPr>
        <w:tc>
          <w:tcPr>
            <w:tcW w:w="1135" w:type="dxa"/>
            <w:shd w:val="clear" w:color="auto" w:fill="C6EFCE"/>
            <w:noWrap/>
            <w:vAlign w:val="center"/>
          </w:tcPr>
          <w:p w14:paraId="554AB566" w14:textId="77777777" w:rsidR="00327FF1" w:rsidRDefault="00E406C7">
            <w:pPr>
              <w:pStyle w:val="P68B1DB1-Normal11"/>
              <w:jc w:val="both"/>
              <w:rPr>
                <w:rFonts w:cs="Arial"/>
                <w:noProof/>
                <w:szCs w:val="20"/>
              </w:rPr>
            </w:pPr>
            <w:r>
              <w:rPr>
                <w:noProof/>
              </w:rPr>
              <w:t>M1C1–1</w:t>
            </w:r>
          </w:p>
        </w:tc>
        <w:tc>
          <w:tcPr>
            <w:tcW w:w="1417" w:type="dxa"/>
            <w:shd w:val="clear" w:color="auto" w:fill="C6EFCE"/>
            <w:noWrap/>
            <w:vAlign w:val="center"/>
          </w:tcPr>
          <w:p w14:paraId="2E1DF009" w14:textId="77777777" w:rsidR="00327FF1" w:rsidRDefault="00E406C7">
            <w:pPr>
              <w:pStyle w:val="P68B1DB1-Normal11"/>
              <w:jc w:val="center"/>
              <w:rPr>
                <w:rFonts w:cs="Arial"/>
                <w:noProof/>
                <w:szCs w:val="20"/>
              </w:rPr>
            </w:pPr>
            <w:r>
              <w:rPr>
                <w:noProof/>
              </w:rPr>
              <w:t>Reforma Nr. 1.1: IKT iepirkums</w:t>
            </w:r>
          </w:p>
        </w:tc>
        <w:tc>
          <w:tcPr>
            <w:tcW w:w="992" w:type="dxa"/>
            <w:shd w:val="clear" w:color="auto" w:fill="C6EFCE"/>
            <w:noWrap/>
            <w:vAlign w:val="center"/>
          </w:tcPr>
          <w:p w14:paraId="4D8E44E9"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65F68EF6" w14:textId="77777777" w:rsidR="00327FF1" w:rsidRDefault="00E406C7">
            <w:pPr>
              <w:pStyle w:val="P68B1DB1-Normal11"/>
              <w:jc w:val="center"/>
              <w:rPr>
                <w:rFonts w:cs="Arial"/>
                <w:noProof/>
                <w:szCs w:val="20"/>
              </w:rPr>
            </w:pPr>
            <w:r>
              <w:rPr>
                <w:noProof/>
              </w:rPr>
              <w:t>Likuma dekrētu stāšanās spēkā attiecībā uz 1.1. reformu “IKT iepirkums”</w:t>
            </w:r>
          </w:p>
        </w:tc>
        <w:tc>
          <w:tcPr>
            <w:tcW w:w="1559" w:type="dxa"/>
            <w:shd w:val="clear" w:color="auto" w:fill="C6EFCE"/>
            <w:noWrap/>
            <w:vAlign w:val="center"/>
          </w:tcPr>
          <w:p w14:paraId="3ED757EC" w14:textId="77777777" w:rsidR="00327FF1" w:rsidRDefault="00E406C7">
            <w:pPr>
              <w:pStyle w:val="P68B1DB1-Normal12"/>
              <w:jc w:val="center"/>
              <w:rPr>
                <w:rFonts w:cs="Arial"/>
                <w:noProof/>
              </w:rPr>
            </w:pPr>
            <w:r>
              <w:rPr>
                <w:noProof/>
              </w:rPr>
              <w:t>Likuma noteikums, kas norāda, ka stājas spēkā dekrēts par IKT iepirkuma reformu</w:t>
            </w:r>
          </w:p>
        </w:tc>
        <w:tc>
          <w:tcPr>
            <w:tcW w:w="1276" w:type="dxa"/>
            <w:shd w:val="clear" w:color="auto" w:fill="C6EFCE"/>
            <w:noWrap/>
            <w:vAlign w:val="center"/>
          </w:tcPr>
          <w:p w14:paraId="6654C96E"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5DC072DA"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3B02F2A2"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7B22F7BB"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0786BAB2" w14:textId="77777777" w:rsidR="00327FF1" w:rsidRDefault="00E406C7">
            <w:pPr>
              <w:pStyle w:val="P68B1DB1-Normal11"/>
              <w:jc w:val="center"/>
              <w:rPr>
                <w:rFonts w:cs="Arial"/>
                <w:noProof/>
                <w:szCs w:val="20"/>
              </w:rPr>
            </w:pPr>
            <w:r>
              <w:rPr>
                <w:noProof/>
              </w:rPr>
              <w:t>2021</w:t>
            </w:r>
          </w:p>
        </w:tc>
        <w:tc>
          <w:tcPr>
            <w:tcW w:w="3259" w:type="dxa"/>
            <w:shd w:val="clear" w:color="auto" w:fill="C6EFCE"/>
            <w:noWrap/>
            <w:vAlign w:val="center"/>
          </w:tcPr>
          <w:p w14:paraId="56B4F895" w14:textId="77777777" w:rsidR="00327FF1" w:rsidRDefault="00E406C7">
            <w:pPr>
              <w:pStyle w:val="P68B1DB1-Normal12"/>
              <w:spacing w:after="120"/>
              <w:rPr>
                <w:noProof/>
              </w:rPr>
            </w:pPr>
            <w:r>
              <w:rPr>
                <w:noProof/>
              </w:rPr>
              <w:t>Nepieciešamie</w:t>
            </w:r>
            <w:r>
              <w:rPr>
                <w:noProof/>
              </w:rPr>
              <w:t xml:space="preserve"> tiesību akti ietver likumdošanas iejaukšanos dekrētā par vienkāršojumiem (“Decreto Legge Semplificazioni”). Tajos nosaka:</w:t>
            </w:r>
          </w:p>
          <w:p w14:paraId="77B155A0" w14:textId="77777777" w:rsidR="00327FF1" w:rsidRDefault="00E406C7">
            <w:pPr>
              <w:pStyle w:val="P68B1DB1-ListParagraph13"/>
              <w:ind w:left="0"/>
              <w:rPr>
                <w:rFonts w:cs="Arial"/>
                <w:noProof/>
              </w:rPr>
            </w:pPr>
            <w:r>
              <w:rPr>
                <w:noProof/>
              </w:rPr>
              <w:t>I) Iespēja izmantot Publisko līgumu kodeksa 48. panta 3. punktā minēto procedūru arī attiecībā uz līgumiem, kas pārsniedz Publisko lī</w:t>
            </w:r>
            <w:r>
              <w:rPr>
                <w:noProof/>
              </w:rPr>
              <w:t>gumu kodeksa 35. pantā minētās robežvērtības, attiecībā uz pirkumiem saistībā ar datorpreču un pakalpojumu iegādi, jo īpaši, pamatojoties uz mākoņdatošanas tehnoloģiju, kā arī savienojamības pakalpojumiem, ko pilnībā vai daļēji finansē no PNRR projektu īst</w:t>
            </w:r>
            <w:r>
              <w:rPr>
                <w:noProof/>
              </w:rPr>
              <w:t>enošanai paredzētajiem resursiem;</w:t>
            </w:r>
          </w:p>
          <w:p w14:paraId="692ED1BC" w14:textId="77777777" w:rsidR="00327FF1" w:rsidRDefault="00E406C7">
            <w:pPr>
              <w:pStyle w:val="P68B1DB1-ListParagraph13"/>
              <w:ind w:left="0"/>
              <w:rPr>
                <w:rFonts w:cs="Arial"/>
                <w:noProof/>
              </w:rPr>
            </w:pPr>
            <w:r>
              <w:rPr>
                <w:noProof/>
              </w:rPr>
              <w:t>II) Sadarbspēja starp dažādajām datubāzēm, ko pārvalda sertifikācijas iestādes, kuras iesaistītas Publisko līgumu kodeksa 80. pantā minēto prasību pārbaudes procesā;</w:t>
            </w:r>
          </w:p>
          <w:p w14:paraId="443107D1" w14:textId="77777777" w:rsidR="00327FF1" w:rsidRDefault="00E406C7">
            <w:pPr>
              <w:pStyle w:val="P68B1DB1-ListParagraph13"/>
              <w:ind w:left="0"/>
              <w:rPr>
                <w:rFonts w:cs="Arial"/>
                <w:noProof/>
              </w:rPr>
            </w:pPr>
            <w:r>
              <w:rPr>
                <w:noProof/>
              </w:rPr>
              <w:t>III) Izveidot tādu ekonomikas dalībnieku virtuālu datni,</w:t>
            </w:r>
            <w:r>
              <w:rPr>
                <w:noProof/>
              </w:rPr>
              <w:t xml:space="preserve"> kuros ir iekļauti dati, lai pārbaudītu, vai nav 80. pantā minēto izslēgšanas iemeslu, kas ļauj izveidot to ekonomikas dalībnieku balto sarakstu, attiecībā uz kuriem verifikācija jau ir veikta.</w:t>
            </w:r>
          </w:p>
        </w:tc>
      </w:tr>
      <w:tr w:rsidR="00327FF1" w14:paraId="0BE7AD67" w14:textId="77777777">
        <w:trPr>
          <w:trHeight w:val="789"/>
        </w:trPr>
        <w:tc>
          <w:tcPr>
            <w:tcW w:w="1135" w:type="dxa"/>
            <w:shd w:val="clear" w:color="auto" w:fill="C6EFCE"/>
            <w:noWrap/>
            <w:vAlign w:val="center"/>
          </w:tcPr>
          <w:p w14:paraId="7DCB742D" w14:textId="77777777" w:rsidR="00327FF1" w:rsidRDefault="00E406C7">
            <w:pPr>
              <w:pStyle w:val="P68B1DB1-Normal11"/>
              <w:jc w:val="center"/>
              <w:rPr>
                <w:rFonts w:cs="Arial"/>
                <w:noProof/>
                <w:szCs w:val="20"/>
              </w:rPr>
            </w:pPr>
            <w:r>
              <w:rPr>
                <w:noProof/>
              </w:rPr>
              <w:t>M1C1–2</w:t>
            </w:r>
          </w:p>
        </w:tc>
        <w:tc>
          <w:tcPr>
            <w:tcW w:w="1417" w:type="dxa"/>
            <w:shd w:val="clear" w:color="auto" w:fill="C6EFCE"/>
            <w:noWrap/>
            <w:vAlign w:val="center"/>
          </w:tcPr>
          <w:p w14:paraId="0134CB40" w14:textId="77777777" w:rsidR="00327FF1" w:rsidRDefault="00E406C7">
            <w:pPr>
              <w:pStyle w:val="P68B1DB1-Normal11"/>
              <w:jc w:val="center"/>
              <w:rPr>
                <w:rFonts w:cs="Arial"/>
                <w:noProof/>
                <w:szCs w:val="20"/>
              </w:rPr>
            </w:pPr>
            <w:r>
              <w:rPr>
                <w:noProof/>
              </w:rPr>
              <w:t xml:space="preserve">Reforma Nr. 1.3. Mākoņdatošana pirmajā vietā un </w:t>
            </w:r>
            <w:r>
              <w:rPr>
                <w:noProof/>
              </w:rPr>
              <w:t>sadarbspēja</w:t>
            </w:r>
          </w:p>
        </w:tc>
        <w:tc>
          <w:tcPr>
            <w:tcW w:w="992" w:type="dxa"/>
            <w:shd w:val="clear" w:color="auto" w:fill="C6EFCE"/>
            <w:noWrap/>
            <w:vAlign w:val="center"/>
          </w:tcPr>
          <w:p w14:paraId="6166151D"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2444E296" w14:textId="77777777" w:rsidR="00327FF1" w:rsidRDefault="00E406C7">
            <w:pPr>
              <w:pStyle w:val="P68B1DB1-Normal11"/>
              <w:jc w:val="center"/>
              <w:rPr>
                <w:rFonts w:cs="Arial"/>
                <w:noProof/>
                <w:szCs w:val="20"/>
              </w:rPr>
            </w:pPr>
            <w:r>
              <w:rPr>
                <w:noProof/>
              </w:rPr>
              <w:t>Likuma dekrētu stāšanās spēkā attiecībā uz 1.3. reformu “Mākonis vispirms un sadarbspēja”</w:t>
            </w:r>
          </w:p>
        </w:tc>
        <w:tc>
          <w:tcPr>
            <w:tcW w:w="1559" w:type="dxa"/>
            <w:shd w:val="clear" w:color="auto" w:fill="C6EFCE"/>
            <w:noWrap/>
            <w:vAlign w:val="center"/>
          </w:tcPr>
          <w:p w14:paraId="01B56CC3" w14:textId="77777777" w:rsidR="00327FF1" w:rsidRDefault="00E406C7">
            <w:pPr>
              <w:pStyle w:val="P68B1DB1-Normal12"/>
              <w:jc w:val="center"/>
              <w:rPr>
                <w:rFonts w:cs="Arial"/>
                <w:noProof/>
              </w:rPr>
            </w:pPr>
            <w:r>
              <w:rPr>
                <w:noProof/>
              </w:rPr>
              <w:t>Likuma noteikums, kas norāda uz likuma dekrēta stāšanos spēkā attiecībā uz mākoņdatošanu pirmajā vietā un sadarbspējas reformu</w:t>
            </w:r>
          </w:p>
        </w:tc>
        <w:tc>
          <w:tcPr>
            <w:tcW w:w="1276" w:type="dxa"/>
            <w:shd w:val="clear" w:color="auto" w:fill="C6EFCE"/>
            <w:noWrap/>
            <w:vAlign w:val="center"/>
          </w:tcPr>
          <w:p w14:paraId="281A2745"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0E613EEA"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43B74E01"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6A3862A3"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102D0519" w14:textId="77777777" w:rsidR="00327FF1" w:rsidRDefault="00E406C7">
            <w:pPr>
              <w:pStyle w:val="P68B1DB1-Normal11"/>
              <w:jc w:val="center"/>
              <w:rPr>
                <w:rFonts w:cs="Arial"/>
                <w:noProof/>
                <w:szCs w:val="20"/>
              </w:rPr>
            </w:pPr>
            <w:r>
              <w:rPr>
                <w:noProof/>
              </w:rPr>
              <w:t>2021</w:t>
            </w:r>
          </w:p>
        </w:tc>
        <w:tc>
          <w:tcPr>
            <w:tcW w:w="3259" w:type="dxa"/>
            <w:shd w:val="clear" w:color="auto" w:fill="C6EFCE"/>
            <w:noWrap/>
            <w:vAlign w:val="center"/>
          </w:tcPr>
          <w:p w14:paraId="2A29498E" w14:textId="77777777" w:rsidR="00327FF1" w:rsidRDefault="00E406C7">
            <w:pPr>
              <w:pStyle w:val="P68B1DB1-Normal11"/>
              <w:spacing w:after="120"/>
              <w:rPr>
                <w:rFonts w:cs="Arial"/>
                <w:noProof/>
                <w:szCs w:val="20"/>
              </w:rPr>
            </w:pPr>
            <w:r>
              <w:rPr>
                <w:noProof/>
              </w:rPr>
              <w:t>Vajadzīgie tiesību akti ietver:</w:t>
            </w:r>
          </w:p>
          <w:p w14:paraId="0CF78C47" w14:textId="77777777" w:rsidR="00327FF1" w:rsidRDefault="00E406C7">
            <w:pPr>
              <w:pStyle w:val="P68B1DB1-Normal12"/>
              <w:spacing w:after="120"/>
              <w:rPr>
                <w:rFonts w:cs="Arial"/>
                <w:noProof/>
              </w:rPr>
            </w:pPr>
            <w:r>
              <w:rPr>
                <w:noProof/>
              </w:rPr>
              <w:t>Īstenošanas normatīvie akti jo īpaši attiecas uz i) Agenzia per l’Italia digitale (AgID) regulu par Polo Strategico Nazionale (PSN) (paredzēta Dekrētlikuma 179/212 33. pantā) un ii) AgID pama</w:t>
            </w:r>
            <w:r>
              <w:rPr>
                <w:noProof/>
              </w:rPr>
              <w:t>tnostādnēm par sadarbspēju (paredzētas Codice dell’Amministrazione Digitale (CAD) 50. un 50.ter pantā).</w:t>
            </w:r>
          </w:p>
          <w:p w14:paraId="0FCD4268" w14:textId="77777777" w:rsidR="00327FF1" w:rsidRDefault="00E406C7">
            <w:pPr>
              <w:pStyle w:val="P68B1DB1-Normal11"/>
              <w:spacing w:after="120"/>
              <w:rPr>
                <w:rFonts w:cs="Arial"/>
                <w:noProof/>
                <w:szCs w:val="20"/>
              </w:rPr>
            </w:pPr>
            <w:r>
              <w:rPr>
                <w:noProof/>
              </w:rPr>
              <w:t>CAD 50. panta grozījumi:</w:t>
            </w:r>
          </w:p>
          <w:p w14:paraId="5079559D" w14:textId="77777777" w:rsidR="00327FF1" w:rsidRDefault="00E406C7">
            <w:pPr>
              <w:pStyle w:val="P68B1DB1-Normal12"/>
              <w:spacing w:after="120"/>
              <w:rPr>
                <w:rFonts w:cs="Arial"/>
                <w:noProof/>
              </w:rPr>
            </w:pPr>
            <w:r>
              <w:rPr>
                <w:noProof/>
              </w:rPr>
              <w:t>I) atcelt pienākumu slēgt pamatnolīgumus pārvaldes iestādēm, kas piekļūst valsts digitālo datu platformai;</w:t>
            </w:r>
          </w:p>
          <w:p w14:paraId="59D64CF6" w14:textId="77777777" w:rsidR="00327FF1" w:rsidRDefault="00E406C7">
            <w:pPr>
              <w:pStyle w:val="P68B1DB1-Normal11"/>
              <w:spacing w:after="120"/>
              <w:rPr>
                <w:rFonts w:cs="Arial"/>
                <w:noProof/>
                <w:szCs w:val="20"/>
              </w:rPr>
            </w:pPr>
            <w:r>
              <w:rPr>
                <w:noProof/>
              </w:rPr>
              <w:t xml:space="preserve">II) precizējumi par </w:t>
            </w:r>
            <w:r>
              <w:rPr>
                <w:noProof/>
              </w:rPr>
              <w:t>privātuma jautājumu: datu nosūtīšana no vienas informācijas sistēmas uz citu nemaina datu īpašumtiesības un apstrādi, neskarot to valsts pārvaldes iestāžu pienākumus, kuras saņem un apstrādā datus kā autonomi datu pārziņi.</w:t>
            </w:r>
          </w:p>
          <w:p w14:paraId="0D536CE9" w14:textId="77777777" w:rsidR="00327FF1" w:rsidRDefault="00E406C7">
            <w:pPr>
              <w:pStyle w:val="P68B1DB1-Normal12"/>
              <w:spacing w:after="120"/>
              <w:rPr>
                <w:rFonts w:cs="Arial"/>
                <w:noProof/>
              </w:rPr>
            </w:pPr>
            <w:r>
              <w:rPr>
                <w:noProof/>
              </w:rPr>
              <w:t xml:space="preserve">Grozījumi Decreto del Presidente </w:t>
            </w:r>
            <w:r>
              <w:rPr>
                <w:noProof/>
              </w:rPr>
              <w:t>della Repubblica (DPR) 445/2000 attiecībā uz piekļuvi datiem:</w:t>
            </w:r>
          </w:p>
          <w:p w14:paraId="5485DD91" w14:textId="77777777" w:rsidR="00327FF1" w:rsidRDefault="00E406C7">
            <w:pPr>
              <w:pStyle w:val="P68B1DB1-Normal12"/>
              <w:spacing w:after="120"/>
              <w:rPr>
                <w:rFonts w:cs="Arial"/>
                <w:noProof/>
              </w:rPr>
            </w:pPr>
            <w:r>
              <w:rPr>
                <w:noProof/>
              </w:rPr>
              <w:t>I) tādas atļaujas atcelšana, kas vajadzīga tiešai piekļuvei datiem;</w:t>
            </w:r>
          </w:p>
          <w:p w14:paraId="2E91E2FC" w14:textId="77777777" w:rsidR="00327FF1" w:rsidRDefault="00E406C7">
            <w:pPr>
              <w:pStyle w:val="P68B1DB1-Normal11"/>
              <w:spacing w:after="120"/>
              <w:rPr>
                <w:rFonts w:cs="Arial"/>
                <w:noProof/>
                <w:szCs w:val="20"/>
              </w:rPr>
            </w:pPr>
            <w:r>
              <w:rPr>
                <w:noProof/>
              </w:rPr>
              <w:t>atsauces uz pamatnolīgumiem svītrošana 72. pantā.</w:t>
            </w:r>
          </w:p>
          <w:p w14:paraId="2DBDB930" w14:textId="77777777" w:rsidR="00327FF1" w:rsidRDefault="00E406C7">
            <w:pPr>
              <w:pStyle w:val="P68B1DB1-Normal11"/>
              <w:spacing w:after="120"/>
              <w:rPr>
                <w:rFonts w:cs="Arial"/>
                <w:noProof/>
                <w:szCs w:val="20"/>
              </w:rPr>
            </w:pPr>
            <w:r>
              <w:rPr>
                <w:noProof/>
              </w:rPr>
              <w:t>Grozījumi Dekrētlikuma Nr. 179/2012 33. pantā:</w:t>
            </w:r>
          </w:p>
          <w:p w14:paraId="62761F88" w14:textId="77777777" w:rsidR="00327FF1" w:rsidRDefault="00E406C7">
            <w:pPr>
              <w:pStyle w:val="P68B1DB1-Normal12"/>
              <w:spacing w:after="120"/>
              <w:rPr>
                <w:rFonts w:cs="Arial"/>
                <w:noProof/>
              </w:rPr>
            </w:pPr>
            <w:r>
              <w:rPr>
                <w:noProof/>
              </w:rPr>
              <w:t>I) ieviest iespēju AgID ar Ce</w:t>
            </w:r>
            <w:r>
              <w:rPr>
                <w:noProof/>
              </w:rPr>
              <w:t>ntri Elaborazione Dati (CED) un Mākoņdatošanas noteikumiem reglamentēt noteikumus un metodes, ar kurām valsts pārvaldes iestādēm jāveic CED migrācija;</w:t>
            </w:r>
          </w:p>
          <w:p w14:paraId="68A48DFA" w14:textId="77777777" w:rsidR="00327FF1" w:rsidRDefault="00E406C7">
            <w:pPr>
              <w:pStyle w:val="P68B1DB1-Normal12"/>
              <w:spacing w:after="120"/>
              <w:rPr>
                <w:rFonts w:cs="Arial"/>
                <w:noProof/>
              </w:rPr>
            </w:pPr>
            <w:r>
              <w:rPr>
                <w:noProof/>
              </w:rPr>
              <w:t>II) ieviest sankcijas par pienākumu nepildīšanu migrēt uz mākoni.</w:t>
            </w:r>
          </w:p>
        </w:tc>
      </w:tr>
      <w:tr w:rsidR="00327FF1" w14:paraId="6BF5A39D" w14:textId="77777777">
        <w:trPr>
          <w:trHeight w:val="309"/>
        </w:trPr>
        <w:tc>
          <w:tcPr>
            <w:tcW w:w="1135" w:type="dxa"/>
            <w:shd w:val="clear" w:color="auto" w:fill="C6EFCE"/>
            <w:noWrap/>
            <w:vAlign w:val="center"/>
            <w:hideMark/>
          </w:tcPr>
          <w:p w14:paraId="51F40C61" w14:textId="77777777" w:rsidR="00327FF1" w:rsidRDefault="00E406C7">
            <w:pPr>
              <w:pStyle w:val="P68B1DB1-Normal11"/>
              <w:jc w:val="center"/>
              <w:rPr>
                <w:rFonts w:cs="Arial"/>
                <w:noProof/>
                <w:szCs w:val="20"/>
              </w:rPr>
            </w:pPr>
            <w:r>
              <w:rPr>
                <w:noProof/>
              </w:rPr>
              <w:t>M1C1–3</w:t>
            </w:r>
          </w:p>
        </w:tc>
        <w:tc>
          <w:tcPr>
            <w:tcW w:w="1417" w:type="dxa"/>
            <w:shd w:val="clear" w:color="auto" w:fill="C6EFCE"/>
            <w:noWrap/>
            <w:vAlign w:val="center"/>
            <w:hideMark/>
          </w:tcPr>
          <w:p w14:paraId="1A8BB56A" w14:textId="77777777" w:rsidR="00327FF1" w:rsidRDefault="00E406C7">
            <w:pPr>
              <w:pStyle w:val="P68B1DB1-Normal11"/>
              <w:jc w:val="center"/>
              <w:rPr>
                <w:rFonts w:cs="Arial"/>
                <w:noProof/>
                <w:szCs w:val="20"/>
              </w:rPr>
            </w:pPr>
            <w:r>
              <w:rPr>
                <w:noProof/>
              </w:rPr>
              <w:t xml:space="preserve">Investīcija 1.1: Digitālā </w:t>
            </w:r>
            <w:r>
              <w:rPr>
                <w:noProof/>
              </w:rPr>
              <w:t>infrastruktūra</w:t>
            </w:r>
          </w:p>
        </w:tc>
        <w:tc>
          <w:tcPr>
            <w:tcW w:w="992" w:type="dxa"/>
            <w:shd w:val="clear" w:color="auto" w:fill="C6EFCE"/>
            <w:noWrap/>
            <w:vAlign w:val="center"/>
            <w:hideMark/>
          </w:tcPr>
          <w:p w14:paraId="7CBB649E"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hideMark/>
          </w:tcPr>
          <w:p w14:paraId="3C0FFBAF" w14:textId="77777777" w:rsidR="00327FF1" w:rsidRDefault="00E406C7">
            <w:pPr>
              <w:pStyle w:val="P68B1DB1-Normal12"/>
              <w:jc w:val="center"/>
              <w:rPr>
                <w:rFonts w:cs="Arial"/>
                <w:noProof/>
              </w:rPr>
            </w:pPr>
            <w:r>
              <w:rPr>
                <w:noProof/>
              </w:rPr>
              <w:t>Polo Strategico Nazionale (PSN) pabeigšana</w:t>
            </w:r>
          </w:p>
        </w:tc>
        <w:tc>
          <w:tcPr>
            <w:tcW w:w="1559" w:type="dxa"/>
            <w:shd w:val="clear" w:color="auto" w:fill="C6EFCE"/>
            <w:noWrap/>
            <w:vAlign w:val="center"/>
            <w:hideMark/>
          </w:tcPr>
          <w:p w14:paraId="4C372CD5" w14:textId="77777777" w:rsidR="00327FF1" w:rsidRDefault="00E406C7">
            <w:pPr>
              <w:pStyle w:val="P68B1DB1-Normal11"/>
              <w:jc w:val="center"/>
              <w:rPr>
                <w:rFonts w:cs="Arial"/>
                <w:noProof/>
                <w:szCs w:val="20"/>
              </w:rPr>
            </w:pPr>
            <w:r>
              <w:rPr>
                <w:noProof/>
              </w:rPr>
              <w:t>Mākoņdatošanas ieviešanas ziņojums, Tehnoloģiju inovācijas un digitālās pārkārtošanās ministrija (MITD)</w:t>
            </w:r>
          </w:p>
        </w:tc>
        <w:tc>
          <w:tcPr>
            <w:tcW w:w="1276" w:type="dxa"/>
            <w:shd w:val="clear" w:color="auto" w:fill="C6EFCE"/>
            <w:noWrap/>
            <w:vAlign w:val="center"/>
          </w:tcPr>
          <w:p w14:paraId="7BBFD36C"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091ED398"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7EA81D58"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hideMark/>
          </w:tcPr>
          <w:p w14:paraId="127AC2D7"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hideMark/>
          </w:tcPr>
          <w:p w14:paraId="0A916DFA" w14:textId="77777777" w:rsidR="00327FF1" w:rsidRDefault="00E406C7">
            <w:pPr>
              <w:pStyle w:val="P68B1DB1-Normal11"/>
              <w:jc w:val="center"/>
              <w:rPr>
                <w:rFonts w:cs="Arial"/>
                <w:noProof/>
                <w:szCs w:val="20"/>
              </w:rPr>
            </w:pPr>
            <w:r>
              <w:rPr>
                <w:noProof/>
              </w:rPr>
              <w:t>2022</w:t>
            </w:r>
          </w:p>
        </w:tc>
        <w:tc>
          <w:tcPr>
            <w:tcW w:w="3259" w:type="dxa"/>
            <w:shd w:val="clear" w:color="auto" w:fill="C6EFCE"/>
            <w:noWrap/>
            <w:vAlign w:val="center"/>
            <w:hideMark/>
          </w:tcPr>
          <w:p w14:paraId="0834C852" w14:textId="77777777" w:rsidR="00327FF1" w:rsidRDefault="00E406C7">
            <w:pPr>
              <w:pStyle w:val="P68B1DB1-Normal12"/>
              <w:spacing w:after="120"/>
              <w:rPr>
                <w:rFonts w:cs="Arial"/>
                <w:noProof/>
              </w:rPr>
            </w:pPr>
            <w:r>
              <w:rPr>
                <w:noProof/>
              </w:rPr>
              <w:t xml:space="preserve">Visa projekta pilnīgu pabeigšanu </w:t>
            </w:r>
            <w:r>
              <w:rPr>
                <w:noProof/>
              </w:rPr>
              <w:t>panāk, kad visas mērķa publiskās pārvaldes iestādes ir pabeigušas identificēto plauktu pārvietošanu uz Polo Strategico Nazionale (PSN) un ir sekmīgi pabeigta četru datu centru testēšana, kas ļauj sākt mērķtiecīgu valsts pārvaldes iestāžu datu kopu un lieto</w:t>
            </w:r>
            <w:r>
              <w:rPr>
                <w:noProof/>
              </w:rPr>
              <w:t>jumu migrācijas procesu uz PSN.</w:t>
            </w:r>
          </w:p>
        </w:tc>
      </w:tr>
      <w:tr w:rsidR="00327FF1" w14:paraId="2EB45B54" w14:textId="77777777">
        <w:trPr>
          <w:trHeight w:val="309"/>
        </w:trPr>
        <w:tc>
          <w:tcPr>
            <w:tcW w:w="1135" w:type="dxa"/>
            <w:shd w:val="clear" w:color="auto" w:fill="C6EFCE"/>
            <w:noWrap/>
            <w:vAlign w:val="center"/>
          </w:tcPr>
          <w:p w14:paraId="4992B638" w14:textId="77777777" w:rsidR="00327FF1" w:rsidRDefault="00E406C7">
            <w:pPr>
              <w:pStyle w:val="P68B1DB1-Normal11"/>
              <w:jc w:val="center"/>
              <w:rPr>
                <w:rFonts w:cs="Arial"/>
                <w:noProof/>
                <w:szCs w:val="20"/>
              </w:rPr>
            </w:pPr>
            <w:r>
              <w:rPr>
                <w:noProof/>
              </w:rPr>
              <w:t>M1C1–4</w:t>
            </w:r>
          </w:p>
        </w:tc>
        <w:tc>
          <w:tcPr>
            <w:tcW w:w="1417" w:type="dxa"/>
            <w:shd w:val="clear" w:color="auto" w:fill="C6EFCE"/>
            <w:noWrap/>
            <w:vAlign w:val="center"/>
          </w:tcPr>
          <w:p w14:paraId="1C6569AC" w14:textId="77777777" w:rsidR="00327FF1" w:rsidRDefault="00E406C7">
            <w:pPr>
              <w:pStyle w:val="P68B1DB1-Normal11"/>
              <w:jc w:val="center"/>
              <w:rPr>
                <w:rFonts w:cs="Arial"/>
                <w:noProof/>
                <w:szCs w:val="20"/>
              </w:rPr>
            </w:pPr>
            <w:r>
              <w:rPr>
                <w:noProof/>
              </w:rPr>
              <w:t>Investīcija 1.3.1.: Valsts digitālo datu platforma</w:t>
            </w:r>
          </w:p>
        </w:tc>
        <w:tc>
          <w:tcPr>
            <w:tcW w:w="992" w:type="dxa"/>
            <w:shd w:val="clear" w:color="auto" w:fill="C6EFCE"/>
            <w:noWrap/>
            <w:vAlign w:val="center"/>
          </w:tcPr>
          <w:p w14:paraId="7993B177"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320C1519" w14:textId="77777777" w:rsidR="00327FF1" w:rsidRDefault="00E406C7">
            <w:pPr>
              <w:pStyle w:val="P68B1DB1-Normal11"/>
              <w:jc w:val="center"/>
              <w:rPr>
                <w:rFonts w:cs="Arial"/>
                <w:noProof/>
                <w:szCs w:val="20"/>
              </w:rPr>
            </w:pPr>
            <w:r>
              <w:rPr>
                <w:noProof/>
              </w:rPr>
              <w:t>Darbojas valsts digitālo datu platforma</w:t>
            </w:r>
          </w:p>
        </w:tc>
        <w:tc>
          <w:tcPr>
            <w:tcW w:w="1559" w:type="dxa"/>
            <w:shd w:val="clear" w:color="auto" w:fill="C6EFCE"/>
            <w:noWrap/>
            <w:vAlign w:val="center"/>
          </w:tcPr>
          <w:p w14:paraId="14922518" w14:textId="77777777" w:rsidR="00327FF1" w:rsidRDefault="00E406C7">
            <w:pPr>
              <w:pStyle w:val="P68B1DB1-Normal12"/>
              <w:jc w:val="center"/>
              <w:rPr>
                <w:rFonts w:cs="Arial"/>
                <w:noProof/>
              </w:rPr>
            </w:pPr>
            <w:r>
              <w:rPr>
                <w:noProof/>
              </w:rPr>
              <w:t>Tehnoloģiskās inovācijas un digitālās pārkārtošanās ministrijas (MITD) ziņojums,</w:t>
            </w:r>
            <w:r>
              <w:rPr>
                <w:noProof/>
              </w:rPr>
              <w:t xml:space="preserve"> kurā parādīta valsts digitālo datu platformas darbības uzsākšana</w:t>
            </w:r>
          </w:p>
        </w:tc>
        <w:tc>
          <w:tcPr>
            <w:tcW w:w="1276" w:type="dxa"/>
            <w:shd w:val="clear" w:color="auto" w:fill="C6EFCE"/>
            <w:noWrap/>
            <w:vAlign w:val="center"/>
          </w:tcPr>
          <w:p w14:paraId="45A5C85C"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04044592"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32EDA4D7"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61D9ABCA"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76A03C7F" w14:textId="77777777" w:rsidR="00327FF1" w:rsidRDefault="00E406C7">
            <w:pPr>
              <w:pStyle w:val="P68B1DB1-Normal11"/>
              <w:jc w:val="center"/>
              <w:rPr>
                <w:rFonts w:cs="Arial"/>
                <w:noProof/>
                <w:szCs w:val="20"/>
              </w:rPr>
            </w:pPr>
            <w:r>
              <w:rPr>
                <w:noProof/>
              </w:rPr>
              <w:t>2022</w:t>
            </w:r>
          </w:p>
        </w:tc>
        <w:tc>
          <w:tcPr>
            <w:tcW w:w="3259" w:type="dxa"/>
            <w:shd w:val="clear" w:color="auto" w:fill="C6EFCE"/>
            <w:noWrap/>
            <w:vAlign w:val="center"/>
          </w:tcPr>
          <w:p w14:paraId="7C3DC55A" w14:textId="77777777" w:rsidR="00327FF1" w:rsidRDefault="00E406C7">
            <w:pPr>
              <w:pStyle w:val="P68B1DB1-Normal11"/>
              <w:spacing w:after="120"/>
              <w:rPr>
                <w:rFonts w:cs="Arial"/>
                <w:noProof/>
                <w:szCs w:val="20"/>
              </w:rPr>
            </w:pPr>
            <w:r>
              <w:rPr>
                <w:noProof/>
              </w:rPr>
              <w:t>Platforma ļauj aģentūrām:</w:t>
            </w:r>
          </w:p>
          <w:p w14:paraId="68C8F937" w14:textId="77777777" w:rsidR="00327FF1" w:rsidRDefault="00E406C7">
            <w:pPr>
              <w:pStyle w:val="P68B1DB1-Normal11"/>
              <w:spacing w:after="120"/>
              <w:rPr>
                <w:rFonts w:cs="Arial"/>
                <w:noProof/>
                <w:szCs w:val="20"/>
              </w:rPr>
            </w:pPr>
            <w:r>
              <w:rPr>
                <w:noProof/>
              </w:rPr>
              <w:t>— publicēt savas lietojumprogrammu saskarnes (API) platformas API katalogā;</w:t>
            </w:r>
          </w:p>
          <w:p w14:paraId="010DA600" w14:textId="77777777" w:rsidR="00327FF1" w:rsidRDefault="00E406C7">
            <w:pPr>
              <w:pStyle w:val="P68B1DB1-Normal12"/>
              <w:spacing w:after="120"/>
              <w:rPr>
                <w:rFonts w:cs="Arial"/>
                <w:noProof/>
              </w:rPr>
            </w:pPr>
            <w:r>
              <w:rPr>
                <w:noProof/>
              </w:rPr>
              <w:t>— ar platformas starpniecību izveidot un para</w:t>
            </w:r>
            <w:r>
              <w:rPr>
                <w:noProof/>
              </w:rPr>
              <w:t>kstīt digitālās sadarbspējas nolīgumus;</w:t>
            </w:r>
          </w:p>
          <w:p w14:paraId="03A5FA83" w14:textId="77777777" w:rsidR="00327FF1" w:rsidRDefault="00E406C7">
            <w:pPr>
              <w:pStyle w:val="P68B1DB1-Normal11"/>
              <w:spacing w:after="120"/>
              <w:rPr>
                <w:rFonts w:cs="Arial"/>
                <w:noProof/>
                <w:szCs w:val="20"/>
              </w:rPr>
            </w:pPr>
            <w:r>
              <w:rPr>
                <w:noProof/>
              </w:rPr>
              <w:t>— autentificēt un atļaut piekļuvi API, izmantojot platformas funkcijas;</w:t>
            </w:r>
          </w:p>
          <w:p w14:paraId="11882306" w14:textId="77777777" w:rsidR="00327FF1" w:rsidRDefault="00E406C7">
            <w:pPr>
              <w:pStyle w:val="P68B1DB1-Normal12"/>
              <w:spacing w:after="120"/>
              <w:rPr>
                <w:rFonts w:cs="Arial"/>
                <w:noProof/>
              </w:rPr>
            </w:pPr>
            <w:r>
              <w:rPr>
                <w:noProof/>
              </w:rPr>
              <w:t>— validēt un novērtēt atbilstību valsts sadarbspējas satvaram.</w:t>
            </w:r>
          </w:p>
        </w:tc>
      </w:tr>
      <w:tr w:rsidR="00327FF1" w14:paraId="6ED6DAE6" w14:textId="77777777">
        <w:trPr>
          <w:trHeight w:val="309"/>
        </w:trPr>
        <w:tc>
          <w:tcPr>
            <w:tcW w:w="1135" w:type="dxa"/>
            <w:shd w:val="clear" w:color="auto" w:fill="C6EFCE"/>
            <w:noWrap/>
            <w:vAlign w:val="center"/>
          </w:tcPr>
          <w:p w14:paraId="58207E49" w14:textId="77777777" w:rsidR="00327FF1" w:rsidRDefault="00E406C7">
            <w:pPr>
              <w:pStyle w:val="P68B1DB1-Normal11"/>
              <w:jc w:val="center"/>
              <w:rPr>
                <w:rFonts w:cs="Arial"/>
                <w:noProof/>
                <w:szCs w:val="20"/>
              </w:rPr>
            </w:pPr>
            <w:r>
              <w:rPr>
                <w:noProof/>
              </w:rPr>
              <w:t>M1C1–5</w:t>
            </w:r>
          </w:p>
        </w:tc>
        <w:tc>
          <w:tcPr>
            <w:tcW w:w="1417" w:type="dxa"/>
            <w:shd w:val="clear" w:color="auto" w:fill="C6EFCE"/>
            <w:noWrap/>
            <w:vAlign w:val="center"/>
          </w:tcPr>
          <w:p w14:paraId="7199A197" w14:textId="77777777" w:rsidR="00327FF1" w:rsidRDefault="00E406C7">
            <w:pPr>
              <w:pStyle w:val="P68B1DB1-Normal11"/>
              <w:jc w:val="center"/>
              <w:rPr>
                <w:rFonts w:cs="Arial"/>
                <w:noProof/>
                <w:szCs w:val="20"/>
              </w:rPr>
            </w:pPr>
            <w:r>
              <w:rPr>
                <w:noProof/>
              </w:rPr>
              <w:t>Investīcija Nr. 1.5: Kiberdrošība</w:t>
            </w:r>
          </w:p>
        </w:tc>
        <w:tc>
          <w:tcPr>
            <w:tcW w:w="992" w:type="dxa"/>
            <w:shd w:val="clear" w:color="auto" w:fill="C6EFCE"/>
            <w:noWrap/>
            <w:vAlign w:val="center"/>
          </w:tcPr>
          <w:p w14:paraId="2DD90D5A"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7AE1F3F5" w14:textId="77777777" w:rsidR="00327FF1" w:rsidRDefault="00E406C7">
            <w:pPr>
              <w:pStyle w:val="P68B1DB1-Normal11"/>
              <w:jc w:val="center"/>
              <w:rPr>
                <w:rFonts w:cs="Arial"/>
                <w:noProof/>
                <w:szCs w:val="20"/>
              </w:rPr>
            </w:pPr>
            <w:r>
              <w:rPr>
                <w:noProof/>
              </w:rPr>
              <w:t xml:space="preserve">Jaunas Valsts </w:t>
            </w:r>
            <w:r>
              <w:rPr>
                <w:noProof/>
              </w:rPr>
              <w:t>kiberdrošības aģentūras izveide</w:t>
            </w:r>
          </w:p>
        </w:tc>
        <w:tc>
          <w:tcPr>
            <w:tcW w:w="1559" w:type="dxa"/>
            <w:shd w:val="clear" w:color="auto" w:fill="C6EFCE"/>
            <w:noWrap/>
            <w:vAlign w:val="center"/>
          </w:tcPr>
          <w:p w14:paraId="4958FC08" w14:textId="77777777" w:rsidR="00327FF1" w:rsidRDefault="00E406C7">
            <w:pPr>
              <w:pStyle w:val="P68B1DB1-Normal11"/>
              <w:jc w:val="center"/>
              <w:rPr>
                <w:rFonts w:cs="Arial"/>
                <w:noProof/>
                <w:szCs w:val="20"/>
              </w:rPr>
            </w:pPr>
            <w:r>
              <w:rPr>
                <w:noProof/>
              </w:rPr>
              <w:t>Administratīvās izveides akts</w:t>
            </w:r>
          </w:p>
        </w:tc>
        <w:tc>
          <w:tcPr>
            <w:tcW w:w="1276" w:type="dxa"/>
            <w:shd w:val="clear" w:color="auto" w:fill="C6EFCE"/>
            <w:noWrap/>
            <w:vAlign w:val="center"/>
          </w:tcPr>
          <w:p w14:paraId="75C9ACD3"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54F80666"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4A1A58B0"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6FC92569"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12AD264F" w14:textId="77777777" w:rsidR="00327FF1" w:rsidRDefault="00E406C7">
            <w:pPr>
              <w:pStyle w:val="P68B1DB1-Normal11"/>
              <w:jc w:val="center"/>
              <w:rPr>
                <w:rFonts w:cs="Arial"/>
                <w:noProof/>
                <w:szCs w:val="20"/>
              </w:rPr>
            </w:pPr>
            <w:r>
              <w:rPr>
                <w:noProof/>
              </w:rPr>
              <w:t>2022</w:t>
            </w:r>
          </w:p>
        </w:tc>
        <w:tc>
          <w:tcPr>
            <w:tcW w:w="3259" w:type="dxa"/>
            <w:shd w:val="clear" w:color="auto" w:fill="C6EFCE"/>
            <w:noWrap/>
            <w:vAlign w:val="center"/>
          </w:tcPr>
          <w:p w14:paraId="17A34D3D" w14:textId="77777777" w:rsidR="00327FF1" w:rsidRDefault="00E406C7">
            <w:pPr>
              <w:pStyle w:val="P68B1DB1-Normal12"/>
              <w:spacing w:after="120"/>
              <w:rPr>
                <w:rFonts w:cs="Arial"/>
                <w:noProof/>
              </w:rPr>
            </w:pPr>
            <w:r>
              <w:rPr>
                <w:noProof/>
              </w:rPr>
              <w:t xml:space="preserve">Atskaites punktu sasniedz, 1) pārveidojot par likumu Dekrētlikumu, kas veido Valsts kiberdrošības aģentūru un kas pašlaik tiek pabeigts; (2) </w:t>
            </w:r>
            <w:r>
              <w:rPr>
                <w:noProof/>
              </w:rPr>
              <w:t>Premjerministra dekrēta (Decreto del Presidente del Consiglio dei Ministri, DPCM), kurā ietverts Valsts kiberdrošības aģentūras iekšējais regulējums, publicēšana Oficiālajā Vēstnesī.</w:t>
            </w:r>
          </w:p>
        </w:tc>
      </w:tr>
      <w:tr w:rsidR="00327FF1" w14:paraId="19389E19" w14:textId="77777777">
        <w:trPr>
          <w:trHeight w:val="309"/>
        </w:trPr>
        <w:tc>
          <w:tcPr>
            <w:tcW w:w="1135" w:type="dxa"/>
            <w:shd w:val="clear" w:color="auto" w:fill="C6EFCE"/>
            <w:noWrap/>
            <w:vAlign w:val="center"/>
          </w:tcPr>
          <w:p w14:paraId="43989D2B" w14:textId="77777777" w:rsidR="00327FF1" w:rsidRDefault="00E406C7">
            <w:pPr>
              <w:pStyle w:val="P68B1DB1-Normal11"/>
              <w:jc w:val="center"/>
              <w:rPr>
                <w:rFonts w:cs="Arial"/>
                <w:noProof/>
                <w:szCs w:val="20"/>
              </w:rPr>
            </w:pPr>
            <w:r>
              <w:rPr>
                <w:noProof/>
              </w:rPr>
              <w:t>M1C1–6</w:t>
            </w:r>
          </w:p>
        </w:tc>
        <w:tc>
          <w:tcPr>
            <w:tcW w:w="1417" w:type="dxa"/>
            <w:shd w:val="clear" w:color="auto" w:fill="C6EFCE"/>
            <w:noWrap/>
            <w:vAlign w:val="center"/>
          </w:tcPr>
          <w:p w14:paraId="50D25EF3" w14:textId="77777777" w:rsidR="00327FF1" w:rsidRDefault="00E406C7">
            <w:pPr>
              <w:pStyle w:val="P68B1DB1-Normal11"/>
              <w:jc w:val="center"/>
              <w:rPr>
                <w:rFonts w:cs="Arial"/>
                <w:noProof/>
                <w:szCs w:val="20"/>
              </w:rPr>
            </w:pPr>
            <w:r>
              <w:rPr>
                <w:noProof/>
              </w:rPr>
              <w:t>Investīcija Nr. 1.5: Kiberdrošība</w:t>
            </w:r>
          </w:p>
        </w:tc>
        <w:tc>
          <w:tcPr>
            <w:tcW w:w="992" w:type="dxa"/>
            <w:shd w:val="clear" w:color="auto" w:fill="C6EFCE"/>
            <w:noWrap/>
            <w:vAlign w:val="center"/>
          </w:tcPr>
          <w:p w14:paraId="3191726F"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33DFE437" w14:textId="77777777" w:rsidR="00327FF1" w:rsidRDefault="00E406C7">
            <w:pPr>
              <w:pStyle w:val="P68B1DB1-Normal11"/>
              <w:jc w:val="center"/>
              <w:rPr>
                <w:rFonts w:cs="Arial"/>
                <w:noProof/>
                <w:szCs w:val="20"/>
              </w:rPr>
            </w:pPr>
            <w:r>
              <w:rPr>
                <w:noProof/>
              </w:rPr>
              <w:t xml:space="preserve">Valstu </w:t>
            </w:r>
            <w:r>
              <w:rPr>
                <w:noProof/>
              </w:rPr>
              <w:t>kiberdrošības pakalpojumu sākotnējā izvēršana</w:t>
            </w:r>
          </w:p>
        </w:tc>
        <w:tc>
          <w:tcPr>
            <w:tcW w:w="1559" w:type="dxa"/>
            <w:shd w:val="clear" w:color="auto" w:fill="C6EFCE"/>
            <w:noWrap/>
            <w:vAlign w:val="center"/>
          </w:tcPr>
          <w:p w14:paraId="2F42EE4B" w14:textId="77777777" w:rsidR="00327FF1" w:rsidRDefault="00E406C7">
            <w:pPr>
              <w:pStyle w:val="P68B1DB1-Normal12"/>
              <w:jc w:val="center"/>
              <w:rPr>
                <w:rFonts w:cs="Arial"/>
                <w:noProof/>
              </w:rPr>
            </w:pPr>
            <w:r>
              <w:rPr>
                <w:noProof/>
              </w:rPr>
              <w:t>Ziņojums, kas parāda valsts kiberdrošības pakalpojumu pilnīgu uzbūvi</w:t>
            </w:r>
          </w:p>
        </w:tc>
        <w:tc>
          <w:tcPr>
            <w:tcW w:w="1276" w:type="dxa"/>
            <w:shd w:val="clear" w:color="auto" w:fill="C6EFCE"/>
            <w:noWrap/>
            <w:vAlign w:val="center"/>
          </w:tcPr>
          <w:p w14:paraId="35BC84B2"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1C3B6527"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2DA43D65"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10D41653"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33691E55" w14:textId="77777777" w:rsidR="00327FF1" w:rsidRDefault="00E406C7">
            <w:pPr>
              <w:pStyle w:val="P68B1DB1-Normal11"/>
              <w:jc w:val="center"/>
              <w:rPr>
                <w:rFonts w:cs="Arial"/>
                <w:noProof/>
                <w:szCs w:val="20"/>
              </w:rPr>
            </w:pPr>
            <w:r>
              <w:rPr>
                <w:noProof/>
              </w:rPr>
              <w:t>2022</w:t>
            </w:r>
          </w:p>
        </w:tc>
        <w:tc>
          <w:tcPr>
            <w:tcW w:w="3259" w:type="dxa"/>
            <w:shd w:val="clear" w:color="auto" w:fill="C6EFCE"/>
            <w:noWrap/>
            <w:vAlign w:val="center"/>
          </w:tcPr>
          <w:p w14:paraId="62BD74D9" w14:textId="77777777" w:rsidR="00327FF1" w:rsidRDefault="00E406C7">
            <w:pPr>
              <w:pStyle w:val="P68B1DB1-Normal12"/>
              <w:spacing w:after="120"/>
              <w:rPr>
                <w:rFonts w:cs="Arial"/>
                <w:noProof/>
              </w:rPr>
            </w:pPr>
            <w:r>
              <w:rPr>
                <w:noProof/>
              </w:rPr>
              <w:t xml:space="preserve">Atskaites punktu sasniedz, nosakot detalizētu visas valsts kiberdrošības arhitektūras ekosistēmas </w:t>
            </w:r>
            <w:r>
              <w:rPr>
                <w:noProof/>
              </w:rPr>
              <w:t>arhitektūru (t. i., valsts informācijas apmaiņas un analīzes centru (ISAC), datorapdraudējumu reaģēšanas vienību (CERT) tīklu, valsts HyperSOC, augstas veiktspējas datošanu, kas integrēta mākslīgā intelekta/mašīnmācīšanās (MI/ML) rīkos, lai analizētu valst</w:t>
            </w:r>
            <w:r>
              <w:rPr>
                <w:noProof/>
              </w:rPr>
              <w:t>s līmeņa kiberdrošības incidentus).</w:t>
            </w:r>
          </w:p>
        </w:tc>
      </w:tr>
      <w:tr w:rsidR="00327FF1" w14:paraId="12A0E0A5" w14:textId="77777777">
        <w:trPr>
          <w:trHeight w:val="309"/>
        </w:trPr>
        <w:tc>
          <w:tcPr>
            <w:tcW w:w="1135" w:type="dxa"/>
            <w:shd w:val="clear" w:color="auto" w:fill="C6EFCE"/>
            <w:noWrap/>
            <w:vAlign w:val="center"/>
          </w:tcPr>
          <w:p w14:paraId="2C15E2D3" w14:textId="77777777" w:rsidR="00327FF1" w:rsidRDefault="00E406C7">
            <w:pPr>
              <w:pStyle w:val="P68B1DB1-Normal11"/>
              <w:jc w:val="center"/>
              <w:rPr>
                <w:rFonts w:cs="Arial"/>
                <w:noProof/>
                <w:szCs w:val="20"/>
              </w:rPr>
            </w:pPr>
            <w:r>
              <w:rPr>
                <w:noProof/>
              </w:rPr>
              <w:t>M1C1–7</w:t>
            </w:r>
          </w:p>
        </w:tc>
        <w:tc>
          <w:tcPr>
            <w:tcW w:w="1417" w:type="dxa"/>
            <w:shd w:val="clear" w:color="auto" w:fill="C6EFCE"/>
            <w:noWrap/>
            <w:vAlign w:val="center"/>
          </w:tcPr>
          <w:p w14:paraId="5EAB85E7" w14:textId="77777777" w:rsidR="00327FF1" w:rsidRDefault="00E406C7">
            <w:pPr>
              <w:pStyle w:val="P68B1DB1-Normal11"/>
              <w:jc w:val="center"/>
              <w:rPr>
                <w:rFonts w:cs="Arial"/>
                <w:noProof/>
                <w:szCs w:val="20"/>
              </w:rPr>
            </w:pPr>
            <w:r>
              <w:rPr>
                <w:noProof/>
              </w:rPr>
              <w:t>Investīcija Nr. 1.5: Kiberdrošība</w:t>
            </w:r>
          </w:p>
        </w:tc>
        <w:tc>
          <w:tcPr>
            <w:tcW w:w="992" w:type="dxa"/>
            <w:shd w:val="clear" w:color="auto" w:fill="C6EFCE"/>
            <w:noWrap/>
            <w:vAlign w:val="center"/>
          </w:tcPr>
          <w:p w14:paraId="753CD32B"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397E1A2C" w14:textId="77777777" w:rsidR="00327FF1" w:rsidRDefault="00E406C7">
            <w:pPr>
              <w:pStyle w:val="P68B1DB1-Normal11"/>
              <w:jc w:val="center"/>
              <w:rPr>
                <w:rFonts w:cs="Arial"/>
                <w:noProof/>
                <w:szCs w:val="20"/>
              </w:rPr>
            </w:pPr>
            <w:r>
              <w:rPr>
                <w:noProof/>
              </w:rPr>
              <w:t>Kiberdrošības skrīninga un sertifikācijas laboratoriju tīkla izveide</w:t>
            </w:r>
          </w:p>
        </w:tc>
        <w:tc>
          <w:tcPr>
            <w:tcW w:w="1559" w:type="dxa"/>
            <w:shd w:val="clear" w:color="auto" w:fill="C6EFCE"/>
            <w:noWrap/>
            <w:vAlign w:val="center"/>
          </w:tcPr>
          <w:p w14:paraId="35BEE612" w14:textId="77777777" w:rsidR="00327FF1" w:rsidRDefault="00E406C7">
            <w:pPr>
              <w:pStyle w:val="P68B1DB1-Normal12"/>
              <w:jc w:val="center"/>
              <w:rPr>
                <w:rFonts w:cs="Arial"/>
                <w:noProof/>
              </w:rPr>
            </w:pPr>
            <w:r>
              <w:rPr>
                <w:noProof/>
              </w:rPr>
              <w:t>Iesniegtā dokumentācija, kas apliecina apzinātos procesus un procedūras, ar kurām jāapmainās</w:t>
            </w:r>
            <w:r>
              <w:rPr>
                <w:noProof/>
              </w:rPr>
              <w:t xml:space="preserve"> laboratorijām, un ziņojumi, kas apliecina vismaz vienas laboratorijas aktivizēšanu</w:t>
            </w:r>
          </w:p>
        </w:tc>
        <w:tc>
          <w:tcPr>
            <w:tcW w:w="1276" w:type="dxa"/>
            <w:shd w:val="clear" w:color="auto" w:fill="C6EFCE"/>
            <w:noWrap/>
            <w:vAlign w:val="center"/>
          </w:tcPr>
          <w:p w14:paraId="778D2371"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7C959D42"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12BEECE2"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41924FFA"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2512F44D" w14:textId="77777777" w:rsidR="00327FF1" w:rsidRDefault="00E406C7">
            <w:pPr>
              <w:pStyle w:val="P68B1DB1-Normal11"/>
              <w:jc w:val="center"/>
              <w:rPr>
                <w:rFonts w:cs="Arial"/>
                <w:noProof/>
                <w:szCs w:val="20"/>
              </w:rPr>
            </w:pPr>
            <w:r>
              <w:rPr>
                <w:noProof/>
              </w:rPr>
              <w:t>2022</w:t>
            </w:r>
          </w:p>
        </w:tc>
        <w:tc>
          <w:tcPr>
            <w:tcW w:w="3259" w:type="dxa"/>
            <w:shd w:val="clear" w:color="auto" w:fill="C6EFCE"/>
            <w:noWrap/>
            <w:vAlign w:val="center"/>
          </w:tcPr>
          <w:p w14:paraId="6332F694" w14:textId="77777777" w:rsidR="00327FF1" w:rsidRDefault="00E406C7">
            <w:pPr>
              <w:pStyle w:val="P68B1DB1-Normal11"/>
              <w:spacing w:after="120"/>
              <w:rPr>
                <w:rFonts w:cs="Arial"/>
                <w:noProof/>
                <w:szCs w:val="20"/>
              </w:rPr>
            </w:pPr>
            <w:r>
              <w:rPr>
                <w:noProof/>
              </w:rPr>
              <w:t>Starpposma mērķi sasniedz ar:</w:t>
            </w:r>
          </w:p>
          <w:p w14:paraId="352A65FB" w14:textId="77777777" w:rsidR="00327FF1" w:rsidRDefault="00E406C7">
            <w:pPr>
              <w:pStyle w:val="P68B1DB1-Normal12"/>
              <w:rPr>
                <w:rFonts w:cs="Arial"/>
                <w:noProof/>
              </w:rPr>
            </w:pPr>
            <w:r>
              <w:rPr>
                <w:noProof/>
              </w:rPr>
              <w:t>I) Valsts kiberdrošības aģentūra apzina, kur tiks izveidotas skrīninga un sertifikācijas laboratori</w:t>
            </w:r>
            <w:r>
              <w:rPr>
                <w:noProof/>
              </w:rPr>
              <w:t>jas un centri, darbā pieņemamo ekspertu profilus, pilnīgu to procesu un procedūru definīciju, ar kuriem laboratorijām jāapmainās.</w:t>
            </w:r>
          </w:p>
          <w:p w14:paraId="36971C56" w14:textId="77777777" w:rsidR="00327FF1" w:rsidRDefault="00E406C7">
            <w:pPr>
              <w:pStyle w:val="P68B1DB1-Normal11"/>
              <w:spacing w:before="120" w:after="120"/>
              <w:rPr>
                <w:rFonts w:cs="Arial"/>
                <w:noProof/>
                <w:szCs w:val="20"/>
              </w:rPr>
            </w:pPr>
            <w:r>
              <w:rPr>
                <w:noProof/>
              </w:rPr>
              <w:t>II) Vienas laboratorijas aktivizēšana.</w:t>
            </w:r>
          </w:p>
          <w:p w14:paraId="5E26D406" w14:textId="77777777" w:rsidR="00327FF1" w:rsidRDefault="00E406C7">
            <w:pPr>
              <w:pStyle w:val="P68B1DB1-Normal12"/>
              <w:spacing w:after="120"/>
              <w:rPr>
                <w:rFonts w:cs="Arial"/>
                <w:noProof/>
                <w:color w:val="FF0000"/>
              </w:rPr>
            </w:pPr>
            <w:r>
              <w:rPr>
                <w:noProof/>
              </w:rPr>
              <w:t xml:space="preserve">Darbības, kas izveidotas, lai izveidotu un aktivizētu pārbaudes laboratorijas, uzrauga </w:t>
            </w:r>
            <w:r>
              <w:rPr>
                <w:noProof/>
              </w:rPr>
              <w:t>Ministero dello Sviluppo Economico (MISE) kopā ar valsts kiberdrošības pārbaudes un sertifikācijas laboratoriju (CV), un Iekšlietu ministrija un Aizsardzības ministrija tos integrē izvērtēšanas centrā (CV).</w:t>
            </w:r>
          </w:p>
        </w:tc>
      </w:tr>
      <w:tr w:rsidR="00327FF1" w14:paraId="63637089" w14:textId="77777777">
        <w:trPr>
          <w:trHeight w:val="309"/>
        </w:trPr>
        <w:tc>
          <w:tcPr>
            <w:tcW w:w="1135" w:type="dxa"/>
            <w:shd w:val="clear" w:color="auto" w:fill="C6EFCE"/>
            <w:noWrap/>
            <w:vAlign w:val="center"/>
          </w:tcPr>
          <w:p w14:paraId="40D6D416" w14:textId="77777777" w:rsidR="00327FF1" w:rsidRDefault="00E406C7">
            <w:pPr>
              <w:pStyle w:val="P68B1DB1-Normal11"/>
              <w:jc w:val="center"/>
              <w:rPr>
                <w:rFonts w:cs="Arial"/>
                <w:noProof/>
                <w:szCs w:val="20"/>
              </w:rPr>
            </w:pPr>
            <w:r>
              <w:rPr>
                <w:noProof/>
              </w:rPr>
              <w:t>M1C1–8</w:t>
            </w:r>
          </w:p>
        </w:tc>
        <w:tc>
          <w:tcPr>
            <w:tcW w:w="1417" w:type="dxa"/>
            <w:shd w:val="clear" w:color="auto" w:fill="C6EFCE"/>
            <w:noWrap/>
            <w:vAlign w:val="center"/>
          </w:tcPr>
          <w:p w14:paraId="0C932809" w14:textId="77777777" w:rsidR="00327FF1" w:rsidRDefault="00E406C7">
            <w:pPr>
              <w:pStyle w:val="P68B1DB1-Normal11"/>
              <w:jc w:val="center"/>
              <w:rPr>
                <w:rFonts w:cs="Arial"/>
                <w:noProof/>
                <w:szCs w:val="20"/>
              </w:rPr>
            </w:pPr>
            <w:r>
              <w:rPr>
                <w:noProof/>
              </w:rPr>
              <w:t>Investīcija Nr. 1.5: Kiberdrošība</w:t>
            </w:r>
          </w:p>
        </w:tc>
        <w:tc>
          <w:tcPr>
            <w:tcW w:w="992" w:type="dxa"/>
            <w:shd w:val="clear" w:color="auto" w:fill="C6EFCE"/>
            <w:noWrap/>
            <w:vAlign w:val="center"/>
          </w:tcPr>
          <w:p w14:paraId="0473A529"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6393B8BC" w14:textId="77777777" w:rsidR="00327FF1" w:rsidRDefault="00E406C7">
            <w:pPr>
              <w:pStyle w:val="P68B1DB1-Normal11"/>
              <w:jc w:val="center"/>
              <w:rPr>
                <w:rFonts w:cs="Arial"/>
                <w:noProof/>
                <w:szCs w:val="20"/>
              </w:rPr>
            </w:pPr>
            <w:r>
              <w:rPr>
                <w:noProof/>
              </w:rPr>
              <w:t>Centrālās revīzijas nodaļas aktivizēšana PSNC un TID drošības pasākumiem</w:t>
            </w:r>
          </w:p>
        </w:tc>
        <w:tc>
          <w:tcPr>
            <w:tcW w:w="1559" w:type="dxa"/>
            <w:shd w:val="clear" w:color="auto" w:fill="C6EFCE"/>
            <w:noWrap/>
            <w:vAlign w:val="center"/>
          </w:tcPr>
          <w:p w14:paraId="3522EFE5" w14:textId="77777777" w:rsidR="00327FF1" w:rsidRDefault="00E406C7">
            <w:pPr>
              <w:pStyle w:val="P68B1DB1-Normal12"/>
              <w:jc w:val="center"/>
              <w:rPr>
                <w:rFonts w:cs="Arial"/>
                <w:noProof/>
              </w:rPr>
            </w:pPr>
            <w:r>
              <w:rPr>
                <w:noProof/>
              </w:rPr>
              <w:t>Iesniegtie ziņojumi, kas apliecina Centrālās revīzijas nodaļas darbības uzsākšanu</w:t>
            </w:r>
          </w:p>
        </w:tc>
        <w:tc>
          <w:tcPr>
            <w:tcW w:w="1276" w:type="dxa"/>
            <w:shd w:val="clear" w:color="auto" w:fill="C6EFCE"/>
            <w:noWrap/>
            <w:vAlign w:val="center"/>
          </w:tcPr>
          <w:p w14:paraId="1859F7BD"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4E81D571"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65E62A56"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49F320B9"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0F3B403D" w14:textId="77777777" w:rsidR="00327FF1" w:rsidRDefault="00E406C7">
            <w:pPr>
              <w:pStyle w:val="P68B1DB1-Normal11"/>
              <w:jc w:val="center"/>
              <w:rPr>
                <w:rFonts w:cs="Arial"/>
                <w:noProof/>
                <w:szCs w:val="20"/>
              </w:rPr>
            </w:pPr>
            <w:r>
              <w:rPr>
                <w:noProof/>
              </w:rPr>
              <w:t>2022</w:t>
            </w:r>
          </w:p>
        </w:tc>
        <w:tc>
          <w:tcPr>
            <w:tcW w:w="3259" w:type="dxa"/>
            <w:shd w:val="clear" w:color="auto" w:fill="C6EFCE"/>
            <w:noWrap/>
            <w:vAlign w:val="center"/>
          </w:tcPr>
          <w:p w14:paraId="6F1C0E44" w14:textId="77777777" w:rsidR="00327FF1" w:rsidRDefault="00E406C7">
            <w:pPr>
              <w:pStyle w:val="P68B1DB1-Normal11"/>
              <w:spacing w:after="120"/>
              <w:rPr>
                <w:rFonts w:cs="Arial"/>
                <w:noProof/>
                <w:szCs w:val="20"/>
              </w:rPr>
            </w:pPr>
            <w:r>
              <w:rPr>
                <w:noProof/>
              </w:rPr>
              <w:t xml:space="preserve">Valsts kiberdrošības aģentūrā ieceļ </w:t>
            </w:r>
            <w:r>
              <w:rPr>
                <w:noProof/>
              </w:rPr>
              <w:t>iekšēju struktūrvienību, kurai ir pilnvaras veikt darbības centrālajā revīzijas nodaļā, kas atbild par PSNC un TID drošības pasākumiem.</w:t>
            </w:r>
          </w:p>
          <w:p w14:paraId="225C4A0E" w14:textId="77777777" w:rsidR="00327FF1" w:rsidRDefault="00E406C7">
            <w:pPr>
              <w:pStyle w:val="P68B1DB1-Normal12"/>
              <w:spacing w:after="120"/>
              <w:rPr>
                <w:rFonts w:cs="Arial"/>
                <w:noProof/>
              </w:rPr>
            </w:pPr>
            <w:r>
              <w:rPr>
                <w:noProof/>
              </w:rPr>
              <w:t>Procesus, loģistiku un darbības kārtību formalizē atbilstīgā dokumentācijā, īpašu uzmanību pievēršot darbības procesiem,</w:t>
            </w:r>
            <w:r>
              <w:rPr>
                <w:noProof/>
              </w:rPr>
              <w:t xml:space="preserve"> t. i., noteikumiem par iesaisti, revīziju un ziņošanas procedūrām.</w:t>
            </w:r>
          </w:p>
          <w:p w14:paraId="4991BE99" w14:textId="77777777" w:rsidR="00327FF1" w:rsidRDefault="00E406C7">
            <w:pPr>
              <w:pStyle w:val="P68B1DB1-Normal12"/>
              <w:spacing w:after="120"/>
              <w:rPr>
                <w:rFonts w:cs="Arial"/>
                <w:noProof/>
              </w:rPr>
            </w:pPr>
            <w:r>
              <w:rPr>
                <w:noProof/>
              </w:rPr>
              <w:t>It rīki apkopo, pārvalda un analizē audita datus, un tos izstrādā un izmanto Revīzijas nodaļa.</w:t>
            </w:r>
          </w:p>
          <w:p w14:paraId="7749C04E" w14:textId="77777777" w:rsidR="00327FF1" w:rsidRDefault="00E406C7">
            <w:pPr>
              <w:pStyle w:val="P68B1DB1-Normal11"/>
              <w:spacing w:after="120"/>
              <w:rPr>
                <w:rFonts w:cs="Arial"/>
                <w:noProof/>
                <w:szCs w:val="20"/>
              </w:rPr>
            </w:pPr>
            <w:r>
              <w:rPr>
                <w:noProof/>
              </w:rPr>
              <w:t>Iesniedz dokumentāciju par rīku izstrādes pabeigšanu.</w:t>
            </w:r>
          </w:p>
        </w:tc>
      </w:tr>
      <w:tr w:rsidR="00327FF1" w14:paraId="448539D5" w14:textId="77777777">
        <w:trPr>
          <w:trHeight w:val="309"/>
        </w:trPr>
        <w:tc>
          <w:tcPr>
            <w:tcW w:w="1135" w:type="dxa"/>
            <w:shd w:val="clear" w:color="auto" w:fill="C6EFCE"/>
            <w:noWrap/>
            <w:vAlign w:val="center"/>
          </w:tcPr>
          <w:p w14:paraId="78E12FE0" w14:textId="77777777" w:rsidR="00327FF1" w:rsidRDefault="00E406C7">
            <w:pPr>
              <w:pStyle w:val="P68B1DB1-Normal11"/>
              <w:jc w:val="center"/>
              <w:rPr>
                <w:rFonts w:cs="Arial"/>
                <w:noProof/>
                <w:szCs w:val="20"/>
              </w:rPr>
            </w:pPr>
            <w:r>
              <w:rPr>
                <w:noProof/>
              </w:rPr>
              <w:t>M1C1–9</w:t>
            </w:r>
          </w:p>
        </w:tc>
        <w:tc>
          <w:tcPr>
            <w:tcW w:w="1417" w:type="dxa"/>
            <w:shd w:val="clear" w:color="auto" w:fill="C6EFCE"/>
            <w:noWrap/>
            <w:vAlign w:val="center"/>
          </w:tcPr>
          <w:p w14:paraId="71F6AB18" w14:textId="77777777" w:rsidR="00327FF1" w:rsidRDefault="00E406C7">
            <w:pPr>
              <w:pStyle w:val="P68B1DB1-Normal11"/>
              <w:jc w:val="center"/>
              <w:rPr>
                <w:rFonts w:cs="Arial"/>
                <w:noProof/>
                <w:szCs w:val="20"/>
              </w:rPr>
            </w:pPr>
            <w:r>
              <w:rPr>
                <w:noProof/>
              </w:rPr>
              <w:t xml:space="preserve">Investīcija Nr. 1.5: </w:t>
            </w:r>
            <w:r>
              <w:rPr>
                <w:noProof/>
              </w:rPr>
              <w:t>Kiberdrošība</w:t>
            </w:r>
          </w:p>
        </w:tc>
        <w:tc>
          <w:tcPr>
            <w:tcW w:w="992" w:type="dxa"/>
            <w:shd w:val="clear" w:color="auto" w:fill="C6EFCE"/>
            <w:noWrap/>
            <w:vAlign w:val="center"/>
          </w:tcPr>
          <w:p w14:paraId="1F0EA857" w14:textId="77777777" w:rsidR="00327FF1" w:rsidRDefault="00E406C7">
            <w:pPr>
              <w:pStyle w:val="P68B1DB1-Normal11"/>
              <w:jc w:val="center"/>
              <w:rPr>
                <w:rFonts w:cs="Arial"/>
                <w:noProof/>
                <w:szCs w:val="20"/>
              </w:rPr>
            </w:pPr>
            <w:r>
              <w:rPr>
                <w:noProof/>
              </w:rPr>
              <w:t>Mērķa</w:t>
            </w:r>
          </w:p>
        </w:tc>
        <w:tc>
          <w:tcPr>
            <w:tcW w:w="1418" w:type="dxa"/>
            <w:shd w:val="clear" w:color="auto" w:fill="C6EFCE"/>
            <w:noWrap/>
            <w:vAlign w:val="center"/>
          </w:tcPr>
          <w:p w14:paraId="105CC562" w14:textId="77777777" w:rsidR="00327FF1" w:rsidRDefault="00E406C7">
            <w:pPr>
              <w:pStyle w:val="P68B1DB1-Normal11"/>
              <w:jc w:val="center"/>
              <w:rPr>
                <w:rFonts w:cs="Arial"/>
                <w:noProof/>
                <w:szCs w:val="20"/>
              </w:rPr>
            </w:pPr>
            <w:r>
              <w:rPr>
                <w:noProof/>
              </w:rPr>
              <w:t>Atbalsts drošības struktūru modernizācijai T1</w:t>
            </w:r>
          </w:p>
        </w:tc>
        <w:tc>
          <w:tcPr>
            <w:tcW w:w="1559" w:type="dxa"/>
            <w:shd w:val="clear" w:color="auto" w:fill="C6EFCE"/>
            <w:noWrap/>
            <w:vAlign w:val="center"/>
          </w:tcPr>
          <w:p w14:paraId="520D07C8" w14:textId="77777777" w:rsidR="00327FF1" w:rsidRDefault="00E406C7">
            <w:pPr>
              <w:pStyle w:val="P68B1DB1-Normal11"/>
              <w:jc w:val="center"/>
              <w:rPr>
                <w:rFonts w:cs="Arial"/>
                <w:noProof/>
                <w:szCs w:val="20"/>
              </w:rPr>
            </w:pPr>
            <w:r>
              <w:rPr>
                <w:noProof/>
              </w:rPr>
              <w:t>NEPIEMĒRO</w:t>
            </w:r>
          </w:p>
        </w:tc>
        <w:tc>
          <w:tcPr>
            <w:tcW w:w="1276" w:type="dxa"/>
            <w:shd w:val="clear" w:color="auto" w:fill="C6EFCE"/>
            <w:noWrap/>
            <w:vAlign w:val="center"/>
          </w:tcPr>
          <w:p w14:paraId="58F072EC" w14:textId="77777777" w:rsidR="00327FF1" w:rsidRDefault="00E406C7">
            <w:pPr>
              <w:pStyle w:val="P68B1DB1-Normal11"/>
              <w:jc w:val="center"/>
              <w:rPr>
                <w:rFonts w:cs="Arial"/>
                <w:noProof/>
                <w:szCs w:val="20"/>
              </w:rPr>
            </w:pPr>
            <w:r>
              <w:rPr>
                <w:noProof/>
              </w:rPr>
              <w:t>Skaits</w:t>
            </w:r>
          </w:p>
        </w:tc>
        <w:tc>
          <w:tcPr>
            <w:tcW w:w="1417" w:type="dxa"/>
            <w:shd w:val="clear" w:color="auto" w:fill="C6EFCE"/>
            <w:noWrap/>
            <w:vAlign w:val="center"/>
          </w:tcPr>
          <w:p w14:paraId="1B75BDD3" w14:textId="77777777" w:rsidR="00327FF1" w:rsidRDefault="00E406C7">
            <w:pPr>
              <w:pStyle w:val="P68B1DB1-Normal11"/>
              <w:jc w:val="center"/>
              <w:rPr>
                <w:rFonts w:cs="Arial"/>
                <w:noProof/>
                <w:szCs w:val="20"/>
              </w:rPr>
            </w:pPr>
            <w:r>
              <w:rPr>
                <w:noProof/>
              </w:rPr>
              <w:t>0</w:t>
            </w:r>
          </w:p>
        </w:tc>
        <w:tc>
          <w:tcPr>
            <w:tcW w:w="1418" w:type="dxa"/>
            <w:shd w:val="clear" w:color="auto" w:fill="C6EFCE"/>
            <w:noWrap/>
            <w:vAlign w:val="center"/>
          </w:tcPr>
          <w:p w14:paraId="0F000552" w14:textId="77777777" w:rsidR="00327FF1" w:rsidRDefault="00E406C7">
            <w:pPr>
              <w:pStyle w:val="P68B1DB1-Normal11"/>
              <w:jc w:val="center"/>
              <w:rPr>
                <w:rFonts w:cs="Arial"/>
                <w:noProof/>
                <w:szCs w:val="20"/>
              </w:rPr>
            </w:pPr>
            <w:r>
              <w:rPr>
                <w:noProof/>
              </w:rPr>
              <w:t>5</w:t>
            </w:r>
          </w:p>
        </w:tc>
        <w:tc>
          <w:tcPr>
            <w:tcW w:w="992" w:type="dxa"/>
            <w:shd w:val="clear" w:color="auto" w:fill="C6EFCE"/>
            <w:noWrap/>
            <w:vAlign w:val="center"/>
          </w:tcPr>
          <w:p w14:paraId="0ED8E113"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313F57EA" w14:textId="77777777" w:rsidR="00327FF1" w:rsidRDefault="00E406C7">
            <w:pPr>
              <w:pStyle w:val="P68B1DB1-Normal11"/>
              <w:jc w:val="center"/>
              <w:rPr>
                <w:rFonts w:cs="Arial"/>
                <w:noProof/>
                <w:szCs w:val="20"/>
              </w:rPr>
            </w:pPr>
            <w:r>
              <w:rPr>
                <w:noProof/>
              </w:rPr>
              <w:t>2022</w:t>
            </w:r>
          </w:p>
        </w:tc>
        <w:tc>
          <w:tcPr>
            <w:tcW w:w="3259" w:type="dxa"/>
            <w:shd w:val="clear" w:color="auto" w:fill="C6EFCE"/>
            <w:noWrap/>
            <w:vAlign w:val="center"/>
          </w:tcPr>
          <w:p w14:paraId="661C86D2" w14:textId="77777777" w:rsidR="00327FF1" w:rsidRDefault="00E406C7">
            <w:pPr>
              <w:pStyle w:val="P68B1DB1-Normal11"/>
              <w:spacing w:after="120"/>
              <w:rPr>
                <w:rFonts w:cs="Arial"/>
                <w:noProof/>
                <w:szCs w:val="20"/>
              </w:rPr>
            </w:pPr>
            <w:r>
              <w:rPr>
                <w:noProof/>
              </w:rPr>
              <w:t xml:space="preserve">Valsts drošības perimetrā kiberjomā (PSNC) un tīklu un informācijas sistēmu (TID) nozarēs pabeigti vismaz pieci stiprināšanas pasākumi, ar kuriem tiek </w:t>
            </w:r>
            <w:r>
              <w:rPr>
                <w:noProof/>
              </w:rPr>
              <w:t>uzlabotas drošības struktūras.</w:t>
            </w:r>
          </w:p>
          <w:p w14:paraId="6F6D05D2" w14:textId="77777777" w:rsidR="00327FF1" w:rsidRDefault="00E406C7">
            <w:pPr>
              <w:pStyle w:val="P68B1DB1-Normal12"/>
              <w:spacing w:after="120"/>
              <w:rPr>
                <w:rFonts w:cs="Arial"/>
                <w:noProof/>
              </w:rPr>
            </w:pPr>
            <w:r>
              <w:rPr>
                <w:noProof/>
              </w:rPr>
              <w:t>Intervences veidi ietver drošības operāciju centru (SOC) modernizāciju, kiberrobežu aizsardzības uzlabojumus un iekšējās uzraudzības un kontroles spējas. Intervences ir vērstas uz veselības aprūpes, enerģētikas un vides (dzer</w:t>
            </w:r>
            <w:r>
              <w:rPr>
                <w:noProof/>
              </w:rPr>
              <w:t>amā ūdensapgādes) nozarēm.</w:t>
            </w:r>
          </w:p>
        </w:tc>
      </w:tr>
      <w:tr w:rsidR="00327FF1" w14:paraId="7B3E28DB" w14:textId="77777777">
        <w:trPr>
          <w:trHeight w:val="309"/>
        </w:trPr>
        <w:tc>
          <w:tcPr>
            <w:tcW w:w="1135" w:type="dxa"/>
            <w:shd w:val="clear" w:color="auto" w:fill="C6EFCE"/>
            <w:noWrap/>
            <w:vAlign w:val="center"/>
          </w:tcPr>
          <w:p w14:paraId="460873A0" w14:textId="77777777" w:rsidR="00327FF1" w:rsidRDefault="00E406C7">
            <w:pPr>
              <w:pStyle w:val="P68B1DB1-Normal11"/>
              <w:jc w:val="center"/>
              <w:rPr>
                <w:rFonts w:cs="Arial"/>
                <w:noProof/>
                <w:szCs w:val="20"/>
              </w:rPr>
            </w:pPr>
            <w:r>
              <w:rPr>
                <w:noProof/>
              </w:rPr>
              <w:t>M1C1–10</w:t>
            </w:r>
          </w:p>
        </w:tc>
        <w:tc>
          <w:tcPr>
            <w:tcW w:w="1417" w:type="dxa"/>
            <w:shd w:val="clear" w:color="auto" w:fill="C6EFCE"/>
            <w:noWrap/>
            <w:vAlign w:val="center"/>
          </w:tcPr>
          <w:p w14:paraId="4D489365" w14:textId="77777777" w:rsidR="00327FF1" w:rsidRDefault="00E406C7">
            <w:pPr>
              <w:pStyle w:val="P68B1DB1-Normal11"/>
              <w:jc w:val="center"/>
              <w:rPr>
                <w:rFonts w:cs="Arial"/>
                <w:noProof/>
                <w:szCs w:val="20"/>
              </w:rPr>
            </w:pPr>
            <w:r>
              <w:rPr>
                <w:noProof/>
              </w:rPr>
              <w:t>Reforma Nr. 1.2. Atbalsts pārveidei</w:t>
            </w:r>
          </w:p>
        </w:tc>
        <w:tc>
          <w:tcPr>
            <w:tcW w:w="992" w:type="dxa"/>
            <w:shd w:val="clear" w:color="auto" w:fill="C6EFCE"/>
            <w:noWrap/>
            <w:vAlign w:val="center"/>
          </w:tcPr>
          <w:p w14:paraId="744B7476"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0DBFCCDB" w14:textId="77777777" w:rsidR="00327FF1" w:rsidRDefault="00E406C7">
            <w:pPr>
              <w:pStyle w:val="P68B1DB1-Normal12"/>
              <w:jc w:val="center"/>
              <w:rPr>
                <w:rFonts w:cs="Arial"/>
                <w:noProof/>
              </w:rPr>
            </w:pPr>
            <w:r>
              <w:rPr>
                <w:noProof/>
              </w:rPr>
              <w:t>Pārveides grupas un NewCo izveides stāšanās spēkā</w:t>
            </w:r>
          </w:p>
        </w:tc>
        <w:tc>
          <w:tcPr>
            <w:tcW w:w="1559" w:type="dxa"/>
            <w:shd w:val="clear" w:color="auto" w:fill="C6EFCE"/>
            <w:noWrap/>
            <w:vAlign w:val="center"/>
          </w:tcPr>
          <w:p w14:paraId="122295F3" w14:textId="77777777" w:rsidR="00327FF1" w:rsidRDefault="00E406C7">
            <w:pPr>
              <w:pStyle w:val="P68B1DB1-Normal12"/>
              <w:jc w:val="center"/>
              <w:rPr>
                <w:rFonts w:cs="Arial"/>
                <w:noProof/>
              </w:rPr>
            </w:pPr>
            <w:r>
              <w:rPr>
                <w:noProof/>
              </w:rPr>
              <w:t>Tiesību akta noteikums, kas norāda, ka ir stājies spēkā tiesību akts, ar ko izveido Transformācijas biroju, un stājas</w:t>
            </w:r>
            <w:r>
              <w:rPr>
                <w:noProof/>
              </w:rPr>
              <w:t xml:space="preserve"> spēkā tiesību akts, ar ko izveido NewCo</w:t>
            </w:r>
          </w:p>
        </w:tc>
        <w:tc>
          <w:tcPr>
            <w:tcW w:w="1276" w:type="dxa"/>
            <w:shd w:val="clear" w:color="auto" w:fill="C6EFCE"/>
            <w:noWrap/>
            <w:vAlign w:val="center"/>
          </w:tcPr>
          <w:p w14:paraId="53DF3B15"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35EA6A1F"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7CF60AC3"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0607E370"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77ACF841" w14:textId="77777777" w:rsidR="00327FF1" w:rsidRDefault="00E406C7">
            <w:pPr>
              <w:pStyle w:val="P68B1DB1-Normal11"/>
              <w:jc w:val="center"/>
              <w:rPr>
                <w:rFonts w:cs="Arial"/>
                <w:noProof/>
                <w:szCs w:val="20"/>
              </w:rPr>
            </w:pPr>
            <w:r>
              <w:rPr>
                <w:noProof/>
              </w:rPr>
              <w:t>2022</w:t>
            </w:r>
          </w:p>
        </w:tc>
        <w:tc>
          <w:tcPr>
            <w:tcW w:w="3259" w:type="dxa"/>
            <w:shd w:val="clear" w:color="auto" w:fill="C6EFCE"/>
            <w:noWrap/>
            <w:vAlign w:val="center"/>
          </w:tcPr>
          <w:p w14:paraId="41BCDB23" w14:textId="77777777" w:rsidR="00327FF1" w:rsidRDefault="00E406C7">
            <w:pPr>
              <w:pStyle w:val="P68B1DB1-Normal14"/>
              <w:spacing w:after="120"/>
              <w:rPr>
                <w:rFonts w:cs="Arial"/>
                <w:noProof/>
                <w:color w:val="006100"/>
                <w:szCs w:val="20"/>
              </w:rPr>
            </w:pPr>
            <w:r>
              <w:rPr>
                <w:noProof/>
                <w:color w:val="006100"/>
              </w:rPr>
              <w:t>Pārveides biroja izveidei nepieciešamie tiesību akti ietver:</w:t>
            </w:r>
          </w:p>
          <w:p w14:paraId="052F9B92" w14:textId="77777777" w:rsidR="00327FF1" w:rsidRDefault="00E406C7">
            <w:pPr>
              <w:pStyle w:val="P68B1DB1-ListParagraph13"/>
              <w:numPr>
                <w:ilvl w:val="0"/>
                <w:numId w:val="19"/>
              </w:numPr>
              <w:spacing w:before="120" w:after="120" w:line="240" w:lineRule="auto"/>
              <w:ind w:left="314" w:hanging="232"/>
              <w:rPr>
                <w:rFonts w:cs="Arial"/>
                <w:noProof/>
              </w:rPr>
            </w:pPr>
            <w:r>
              <w:rPr>
                <w:noProof/>
              </w:rPr>
              <w:t>Likuma dekrēta “reclutamento” publicēšana (jau apstiprināta Ministru padomē 2021. gada 4. jūnijā Nr. 22</w:t>
            </w:r>
            <w:r>
              <w:rPr>
                <w:noProof/>
                <w:vertAlign w:val="superscript"/>
              </w:rPr>
              <w:t>un</w:t>
            </w:r>
            <w:r>
              <w:rPr>
                <w:noProof/>
              </w:rPr>
              <w:t xml:space="preserve"> publi</w:t>
            </w:r>
            <w:r>
              <w:rPr>
                <w:noProof/>
              </w:rPr>
              <w:t>cēta Oficiālajā Vēstnesī (“Gazzetta Ufficiale”) 2021. gada 10.</w:t>
            </w:r>
            <w:r>
              <w:rPr>
                <w:noProof/>
                <w:vertAlign w:val="superscript"/>
              </w:rPr>
              <w:t>jūnijā</w:t>
            </w:r>
            <w:r>
              <w:rPr>
                <w:noProof/>
              </w:rPr>
              <w:t>);</w:t>
            </w:r>
          </w:p>
          <w:p w14:paraId="0E6FD8F4" w14:textId="77777777" w:rsidR="00327FF1" w:rsidRDefault="00E406C7">
            <w:pPr>
              <w:pStyle w:val="P68B1DB1-ListParagraph15"/>
              <w:numPr>
                <w:ilvl w:val="0"/>
                <w:numId w:val="19"/>
              </w:numPr>
              <w:spacing w:before="120" w:after="120" w:line="240" w:lineRule="auto"/>
              <w:ind w:left="314" w:hanging="232"/>
              <w:rPr>
                <w:rFonts w:cs="Arial"/>
                <w:noProof/>
                <w:szCs w:val="20"/>
              </w:rPr>
            </w:pPr>
            <w:r>
              <w:rPr>
                <w:noProof/>
              </w:rPr>
              <w:t>Uzaicinājuma izteikt ieinteresētību publicēšana;</w:t>
            </w:r>
          </w:p>
          <w:p w14:paraId="73E2C2DB" w14:textId="77777777" w:rsidR="00327FF1" w:rsidRDefault="00E406C7">
            <w:pPr>
              <w:pStyle w:val="P68B1DB1-ListParagraph13"/>
              <w:numPr>
                <w:ilvl w:val="0"/>
                <w:numId w:val="19"/>
              </w:numPr>
              <w:spacing w:before="120" w:after="120" w:line="240" w:lineRule="auto"/>
              <w:ind w:left="314" w:hanging="232"/>
              <w:rPr>
                <w:rFonts w:cs="Arial"/>
                <w:noProof/>
              </w:rPr>
            </w:pPr>
            <w:r>
              <w:rPr>
                <w:noProof/>
              </w:rPr>
              <w:t>Ekspertu izraudzīšanos un uzdevumu uzticēšanu ekspertiem (uz laiku uz ANM darbības laiku).</w:t>
            </w:r>
          </w:p>
          <w:p w14:paraId="5D5A50EE" w14:textId="77777777" w:rsidR="00327FF1" w:rsidRDefault="00E406C7">
            <w:pPr>
              <w:pStyle w:val="P68B1DB1-Normal12"/>
              <w:spacing w:after="120"/>
              <w:rPr>
                <w:rFonts w:cs="Arial"/>
                <w:noProof/>
              </w:rPr>
            </w:pPr>
            <w:r>
              <w:rPr>
                <w:noProof/>
              </w:rPr>
              <w:t>Attiecībā uz NewCo galvenie soļi ir šādi:</w:t>
            </w:r>
          </w:p>
          <w:p w14:paraId="6CDFA096" w14:textId="77777777" w:rsidR="00327FF1" w:rsidRDefault="00E406C7">
            <w:pPr>
              <w:pStyle w:val="P68B1DB1-ListParagraph15"/>
              <w:numPr>
                <w:ilvl w:val="0"/>
                <w:numId w:val="19"/>
              </w:numPr>
              <w:spacing w:before="120" w:after="120" w:line="240" w:lineRule="auto"/>
              <w:ind w:left="314" w:hanging="232"/>
              <w:rPr>
                <w:rFonts w:cs="Arial"/>
                <w:noProof/>
                <w:szCs w:val="20"/>
              </w:rPr>
            </w:pPr>
            <w:r>
              <w:rPr>
                <w:noProof/>
              </w:rPr>
              <w:t>Lik</w:t>
            </w:r>
            <w:r>
              <w:rPr>
                <w:noProof/>
              </w:rPr>
              <w:t>umdošanas atļauja;</w:t>
            </w:r>
          </w:p>
          <w:p w14:paraId="5A208A6F" w14:textId="77777777" w:rsidR="00327FF1" w:rsidRDefault="00E406C7">
            <w:pPr>
              <w:pStyle w:val="P68B1DB1-ListParagraph13"/>
              <w:numPr>
                <w:ilvl w:val="0"/>
                <w:numId w:val="19"/>
              </w:numPr>
              <w:spacing w:before="120" w:after="120" w:line="240" w:lineRule="auto"/>
              <w:ind w:left="314" w:hanging="232"/>
              <w:rPr>
                <w:rFonts w:cs="Arial"/>
                <w:noProof/>
              </w:rPr>
            </w:pPr>
            <w:r>
              <w:rPr>
                <w:noProof/>
              </w:rPr>
              <w:t>Decreto del Presidente del Consiglio dei Ministri (DPCM), kas atļauj dibināt sabiedrību un noteikt sabiedrības mērķus, pamatkapitālu, darbības ilgumu un direktorus;</w:t>
            </w:r>
          </w:p>
          <w:p w14:paraId="2D6BAC8D" w14:textId="77777777" w:rsidR="00327FF1" w:rsidRDefault="00E406C7">
            <w:pPr>
              <w:pStyle w:val="P68B1DB1-ListParagraph15"/>
              <w:numPr>
                <w:ilvl w:val="0"/>
                <w:numId w:val="19"/>
              </w:numPr>
              <w:spacing w:before="120" w:after="120" w:line="240" w:lineRule="auto"/>
              <w:ind w:left="314" w:hanging="232"/>
              <w:rPr>
                <w:rFonts w:cs="Arial"/>
                <w:noProof/>
                <w:szCs w:val="20"/>
              </w:rPr>
            </w:pPr>
            <w:r>
              <w:rPr>
                <w:noProof/>
              </w:rPr>
              <w:t>Sabiedrības institūcija ar notariālu aktu;</w:t>
            </w:r>
          </w:p>
          <w:p w14:paraId="16C76A1A" w14:textId="77777777" w:rsidR="00327FF1" w:rsidRDefault="00E406C7">
            <w:pPr>
              <w:pStyle w:val="P68B1DB1-ListParagraph15"/>
              <w:numPr>
                <w:ilvl w:val="0"/>
                <w:numId w:val="19"/>
              </w:numPr>
              <w:spacing w:before="120" w:after="120" w:line="240" w:lineRule="auto"/>
              <w:ind w:left="314" w:hanging="232"/>
              <w:rPr>
                <w:rFonts w:cs="Arial"/>
                <w:noProof/>
                <w:szCs w:val="20"/>
              </w:rPr>
            </w:pPr>
            <w:r>
              <w:rPr>
                <w:noProof/>
              </w:rPr>
              <w:t xml:space="preserve">Darbības, kas nepieciešamas, </w:t>
            </w:r>
            <w:r>
              <w:rPr>
                <w:noProof/>
              </w:rPr>
              <w:t>lai sabiedrība varētu darboties — statūti un dažādi noteikumi.</w:t>
            </w:r>
          </w:p>
        </w:tc>
      </w:tr>
      <w:tr w:rsidR="00327FF1" w14:paraId="0DEC7F26" w14:textId="77777777">
        <w:trPr>
          <w:trHeight w:val="309"/>
        </w:trPr>
        <w:tc>
          <w:tcPr>
            <w:tcW w:w="1135" w:type="dxa"/>
            <w:shd w:val="clear" w:color="auto" w:fill="C6EFCE"/>
            <w:noWrap/>
            <w:vAlign w:val="center"/>
          </w:tcPr>
          <w:p w14:paraId="1AB2495B" w14:textId="77777777" w:rsidR="00327FF1" w:rsidRDefault="00E406C7">
            <w:pPr>
              <w:pStyle w:val="P68B1DB1-Normal11"/>
              <w:jc w:val="center"/>
              <w:rPr>
                <w:rFonts w:cs="Arial"/>
                <w:noProof/>
                <w:szCs w:val="20"/>
              </w:rPr>
            </w:pPr>
            <w:r>
              <w:rPr>
                <w:noProof/>
              </w:rPr>
              <w:t>M1C1–11</w:t>
            </w:r>
          </w:p>
        </w:tc>
        <w:tc>
          <w:tcPr>
            <w:tcW w:w="1417" w:type="dxa"/>
            <w:shd w:val="clear" w:color="auto" w:fill="C6EFCE"/>
            <w:noWrap/>
            <w:vAlign w:val="center"/>
          </w:tcPr>
          <w:p w14:paraId="44B4DBD6" w14:textId="77777777" w:rsidR="00327FF1" w:rsidRDefault="00E406C7">
            <w:pPr>
              <w:pStyle w:val="P68B1DB1-Normal11"/>
              <w:jc w:val="center"/>
              <w:rPr>
                <w:rFonts w:cs="Arial"/>
                <w:noProof/>
                <w:szCs w:val="20"/>
              </w:rPr>
            </w:pPr>
            <w:r>
              <w:rPr>
                <w:noProof/>
              </w:rPr>
              <w:t>Ieguldījums 1.6.6.: Finanšu policijas digitalizācija</w:t>
            </w:r>
          </w:p>
        </w:tc>
        <w:tc>
          <w:tcPr>
            <w:tcW w:w="992" w:type="dxa"/>
            <w:shd w:val="clear" w:color="auto" w:fill="C6EFCE"/>
            <w:noWrap/>
            <w:vAlign w:val="center"/>
          </w:tcPr>
          <w:p w14:paraId="696267EC" w14:textId="77777777" w:rsidR="00327FF1" w:rsidRDefault="00E406C7">
            <w:pPr>
              <w:pStyle w:val="P68B1DB1-Normal11"/>
              <w:jc w:val="center"/>
              <w:rPr>
                <w:rFonts w:cs="Arial"/>
                <w:noProof/>
                <w:szCs w:val="20"/>
              </w:rPr>
            </w:pPr>
            <w:r>
              <w:rPr>
                <w:noProof/>
              </w:rPr>
              <w:t>Mērķa</w:t>
            </w:r>
          </w:p>
        </w:tc>
        <w:tc>
          <w:tcPr>
            <w:tcW w:w="1418" w:type="dxa"/>
            <w:shd w:val="clear" w:color="auto" w:fill="C6EFCE"/>
            <w:noWrap/>
            <w:vAlign w:val="center"/>
          </w:tcPr>
          <w:p w14:paraId="7F39B800" w14:textId="77777777" w:rsidR="00327FF1" w:rsidRDefault="00E406C7">
            <w:pPr>
              <w:pStyle w:val="P68B1DB1-Normal11"/>
              <w:jc w:val="center"/>
              <w:rPr>
                <w:rFonts w:cs="Arial"/>
                <w:noProof/>
                <w:szCs w:val="20"/>
              </w:rPr>
            </w:pPr>
            <w:r>
              <w:rPr>
                <w:noProof/>
              </w:rPr>
              <w:t>Finanšu policija — profesionālo datu zinātnes pakalpojumu iegāde T1</w:t>
            </w:r>
          </w:p>
        </w:tc>
        <w:tc>
          <w:tcPr>
            <w:tcW w:w="1559" w:type="dxa"/>
            <w:shd w:val="clear" w:color="auto" w:fill="C6EFCE"/>
            <w:noWrap/>
            <w:vAlign w:val="center"/>
          </w:tcPr>
          <w:p w14:paraId="6454CE16" w14:textId="77777777" w:rsidR="00327FF1" w:rsidRDefault="00E406C7">
            <w:pPr>
              <w:pStyle w:val="P68B1DB1-Normal11"/>
              <w:jc w:val="center"/>
              <w:rPr>
                <w:rFonts w:cs="Arial"/>
                <w:noProof/>
                <w:szCs w:val="20"/>
              </w:rPr>
            </w:pPr>
            <w:r>
              <w:rPr>
                <w:noProof/>
              </w:rPr>
              <w:t>NEPIEMĒRO</w:t>
            </w:r>
          </w:p>
        </w:tc>
        <w:tc>
          <w:tcPr>
            <w:tcW w:w="1276" w:type="dxa"/>
            <w:shd w:val="clear" w:color="auto" w:fill="C6EFCE"/>
            <w:noWrap/>
            <w:vAlign w:val="center"/>
          </w:tcPr>
          <w:p w14:paraId="24730606" w14:textId="77777777" w:rsidR="00327FF1" w:rsidRDefault="00E406C7">
            <w:pPr>
              <w:pStyle w:val="P68B1DB1-Normal11"/>
              <w:jc w:val="center"/>
              <w:rPr>
                <w:rFonts w:cs="Arial"/>
                <w:noProof/>
                <w:szCs w:val="20"/>
              </w:rPr>
            </w:pPr>
            <w:r>
              <w:rPr>
                <w:noProof/>
              </w:rPr>
              <w:t>Skaits</w:t>
            </w:r>
          </w:p>
        </w:tc>
        <w:tc>
          <w:tcPr>
            <w:tcW w:w="1417" w:type="dxa"/>
            <w:shd w:val="clear" w:color="auto" w:fill="C6EFCE"/>
            <w:noWrap/>
            <w:vAlign w:val="center"/>
          </w:tcPr>
          <w:p w14:paraId="6BBADA76" w14:textId="77777777" w:rsidR="00327FF1" w:rsidRDefault="00E406C7">
            <w:pPr>
              <w:pStyle w:val="P68B1DB1-Normal11"/>
              <w:jc w:val="center"/>
              <w:rPr>
                <w:rFonts w:cs="Arial"/>
                <w:noProof/>
                <w:szCs w:val="20"/>
              </w:rPr>
            </w:pPr>
            <w:r>
              <w:rPr>
                <w:noProof/>
              </w:rPr>
              <w:t>0</w:t>
            </w:r>
          </w:p>
        </w:tc>
        <w:tc>
          <w:tcPr>
            <w:tcW w:w="1418" w:type="dxa"/>
            <w:shd w:val="clear" w:color="auto" w:fill="C6EFCE"/>
            <w:noWrap/>
            <w:vAlign w:val="center"/>
          </w:tcPr>
          <w:p w14:paraId="7A5BC93D" w14:textId="77777777" w:rsidR="00327FF1" w:rsidRDefault="00E406C7">
            <w:pPr>
              <w:pStyle w:val="P68B1DB1-Normal11"/>
              <w:jc w:val="center"/>
              <w:rPr>
                <w:rFonts w:cs="Arial"/>
                <w:noProof/>
                <w:szCs w:val="20"/>
              </w:rPr>
            </w:pPr>
            <w:r>
              <w:rPr>
                <w:noProof/>
              </w:rPr>
              <w:t>5</w:t>
            </w:r>
          </w:p>
        </w:tc>
        <w:tc>
          <w:tcPr>
            <w:tcW w:w="992" w:type="dxa"/>
            <w:shd w:val="clear" w:color="auto" w:fill="C6EFCE"/>
            <w:noWrap/>
            <w:vAlign w:val="center"/>
          </w:tcPr>
          <w:p w14:paraId="2E442A6A" w14:textId="77777777" w:rsidR="00327FF1" w:rsidRDefault="00E406C7">
            <w:pPr>
              <w:pStyle w:val="P68B1DB1-Normal11"/>
              <w:jc w:val="center"/>
              <w:rPr>
                <w:rFonts w:cs="Arial"/>
                <w:noProof/>
                <w:szCs w:val="20"/>
              </w:rPr>
            </w:pPr>
            <w:r>
              <w:rPr>
                <w:noProof/>
              </w:rPr>
              <w:t>Q1</w:t>
            </w:r>
          </w:p>
        </w:tc>
        <w:tc>
          <w:tcPr>
            <w:tcW w:w="852" w:type="dxa"/>
            <w:shd w:val="clear" w:color="auto" w:fill="C6EFCE"/>
            <w:noWrap/>
            <w:vAlign w:val="center"/>
          </w:tcPr>
          <w:p w14:paraId="081BE4BA" w14:textId="77777777" w:rsidR="00327FF1" w:rsidRDefault="00E406C7">
            <w:pPr>
              <w:pStyle w:val="P68B1DB1-Normal11"/>
              <w:jc w:val="center"/>
              <w:rPr>
                <w:rFonts w:cs="Arial"/>
                <w:noProof/>
                <w:szCs w:val="20"/>
              </w:rPr>
            </w:pPr>
            <w:r>
              <w:rPr>
                <w:noProof/>
              </w:rPr>
              <w:t>2023</w:t>
            </w:r>
          </w:p>
        </w:tc>
        <w:tc>
          <w:tcPr>
            <w:tcW w:w="3259" w:type="dxa"/>
            <w:shd w:val="clear" w:color="auto" w:fill="C6EFCE"/>
            <w:noWrap/>
            <w:vAlign w:val="center"/>
          </w:tcPr>
          <w:p w14:paraId="31225A3C" w14:textId="77777777" w:rsidR="00327FF1" w:rsidRDefault="00E406C7">
            <w:pPr>
              <w:pStyle w:val="P68B1DB1-Normal11"/>
              <w:spacing w:after="120"/>
              <w:rPr>
                <w:rFonts w:cs="Arial"/>
                <w:noProof/>
                <w:szCs w:val="20"/>
              </w:rPr>
            </w:pPr>
            <w:r>
              <w:rPr>
                <w:noProof/>
              </w:rPr>
              <w:t xml:space="preserve">Profesionālo datu zinātnes </w:t>
            </w:r>
            <w:r>
              <w:rPr>
                <w:noProof/>
              </w:rPr>
              <w:t>pakalpojumu iegāde, slēdzot līgumu ar konsultāciju pakalpojumu sniedzēju, kurā iesaistīti pieci cilvēkresursi, kas kopumā atbild gan par datu arhitektūras izstrādi, gan par lielo datu analīzes nodaļas algoritmu rakstītu. Ir publicēts piešķirtais līgums par</w:t>
            </w:r>
            <w:r>
              <w:rPr>
                <w:noProof/>
              </w:rPr>
              <w:t xml:space="preserve"> datu zinātnes pakalpojumu iegādi saskaņā ar Tehniskajiem norādījumiem “nenodari būtisku kaitējumu” (2021/C58/01), izmantojot izslēgšanas sarakstu un prasību par atbilstību attiecīgajiem ES un valstu tiesību aktiem vides jomā, kā arī valsts mērogā publicēj</w:t>
            </w:r>
            <w:r>
              <w:rPr>
                <w:noProof/>
              </w:rPr>
              <w:t>ot jaunus rīkus pirmajā analīzes modulī (IT pamats).</w:t>
            </w:r>
          </w:p>
        </w:tc>
      </w:tr>
      <w:tr w:rsidR="00327FF1" w14:paraId="4A883ED1" w14:textId="77777777">
        <w:trPr>
          <w:trHeight w:val="309"/>
        </w:trPr>
        <w:tc>
          <w:tcPr>
            <w:tcW w:w="1135" w:type="dxa"/>
            <w:shd w:val="clear" w:color="auto" w:fill="C6EFCE"/>
            <w:noWrap/>
            <w:vAlign w:val="center"/>
          </w:tcPr>
          <w:p w14:paraId="44D695FE" w14:textId="77777777" w:rsidR="00327FF1" w:rsidRDefault="00E406C7">
            <w:pPr>
              <w:pStyle w:val="P68B1DB1-Normal11"/>
              <w:jc w:val="center"/>
              <w:rPr>
                <w:rFonts w:cs="Arial"/>
                <w:noProof/>
                <w:szCs w:val="20"/>
              </w:rPr>
            </w:pPr>
            <w:r>
              <w:rPr>
                <w:noProof/>
              </w:rPr>
              <w:t>M1C1–12</w:t>
            </w:r>
          </w:p>
        </w:tc>
        <w:tc>
          <w:tcPr>
            <w:tcW w:w="1417" w:type="dxa"/>
            <w:shd w:val="clear" w:color="auto" w:fill="C6EFCE"/>
            <w:noWrap/>
            <w:vAlign w:val="center"/>
          </w:tcPr>
          <w:p w14:paraId="77450C29" w14:textId="77777777" w:rsidR="00327FF1" w:rsidRDefault="00E406C7">
            <w:pPr>
              <w:pStyle w:val="P68B1DB1-Normal12"/>
              <w:jc w:val="center"/>
              <w:rPr>
                <w:rFonts w:cs="Arial"/>
                <w:noProof/>
              </w:rPr>
            </w:pPr>
            <w:r>
              <w:rPr>
                <w:noProof/>
              </w:rPr>
              <w:t>Investīcija 1.3.2. “Vienota digitālā vārteja”</w:t>
            </w:r>
          </w:p>
        </w:tc>
        <w:tc>
          <w:tcPr>
            <w:tcW w:w="992" w:type="dxa"/>
            <w:shd w:val="clear" w:color="auto" w:fill="C6EFCE"/>
            <w:noWrap/>
            <w:vAlign w:val="center"/>
          </w:tcPr>
          <w:p w14:paraId="2EF06766" w14:textId="77777777" w:rsidR="00327FF1" w:rsidRDefault="00E406C7">
            <w:pPr>
              <w:pStyle w:val="P68B1DB1-Normal11"/>
              <w:jc w:val="center"/>
              <w:rPr>
                <w:rFonts w:cs="Arial"/>
                <w:noProof/>
                <w:szCs w:val="20"/>
              </w:rPr>
            </w:pPr>
            <w:r>
              <w:rPr>
                <w:noProof/>
              </w:rPr>
              <w:t>Mērķa</w:t>
            </w:r>
          </w:p>
        </w:tc>
        <w:tc>
          <w:tcPr>
            <w:tcW w:w="1418" w:type="dxa"/>
            <w:shd w:val="clear" w:color="auto" w:fill="C6EFCE"/>
            <w:noWrap/>
            <w:vAlign w:val="center"/>
          </w:tcPr>
          <w:p w14:paraId="57BB7A1D" w14:textId="77777777" w:rsidR="00327FF1" w:rsidRDefault="00E406C7">
            <w:pPr>
              <w:pStyle w:val="P68B1DB1-Normal11"/>
              <w:jc w:val="center"/>
              <w:rPr>
                <w:rFonts w:cs="Arial"/>
                <w:noProof/>
                <w:szCs w:val="20"/>
              </w:rPr>
            </w:pPr>
            <w:r>
              <w:rPr>
                <w:noProof/>
              </w:rPr>
              <w:t>Vienotā digitālā vārteja</w:t>
            </w:r>
          </w:p>
        </w:tc>
        <w:tc>
          <w:tcPr>
            <w:tcW w:w="1559" w:type="dxa"/>
            <w:shd w:val="clear" w:color="auto" w:fill="C6EFCE"/>
            <w:noWrap/>
            <w:vAlign w:val="center"/>
          </w:tcPr>
          <w:p w14:paraId="4E487E01" w14:textId="77777777" w:rsidR="00327FF1" w:rsidRDefault="00E406C7">
            <w:pPr>
              <w:pStyle w:val="P68B1DB1-Normal11"/>
              <w:jc w:val="center"/>
              <w:rPr>
                <w:rFonts w:cs="Arial"/>
                <w:noProof/>
                <w:szCs w:val="20"/>
              </w:rPr>
            </w:pPr>
            <w:r>
              <w:rPr>
                <w:noProof/>
              </w:rPr>
              <w:t>NEPIEMĒRO</w:t>
            </w:r>
          </w:p>
        </w:tc>
        <w:tc>
          <w:tcPr>
            <w:tcW w:w="1276" w:type="dxa"/>
            <w:shd w:val="clear" w:color="auto" w:fill="C6EFCE"/>
            <w:noWrap/>
            <w:vAlign w:val="center"/>
          </w:tcPr>
          <w:p w14:paraId="4E16D38A" w14:textId="77777777" w:rsidR="00327FF1" w:rsidRDefault="00E406C7">
            <w:pPr>
              <w:pStyle w:val="P68B1DB1-Normal11"/>
              <w:jc w:val="center"/>
              <w:rPr>
                <w:rFonts w:cs="Arial"/>
                <w:noProof/>
                <w:szCs w:val="20"/>
              </w:rPr>
            </w:pPr>
            <w:r>
              <w:rPr>
                <w:noProof/>
              </w:rPr>
              <w:t>Skaits</w:t>
            </w:r>
          </w:p>
        </w:tc>
        <w:tc>
          <w:tcPr>
            <w:tcW w:w="1417" w:type="dxa"/>
            <w:shd w:val="clear" w:color="auto" w:fill="C6EFCE"/>
            <w:noWrap/>
            <w:vAlign w:val="center"/>
          </w:tcPr>
          <w:p w14:paraId="5CBE338B" w14:textId="77777777" w:rsidR="00327FF1" w:rsidRDefault="00E406C7">
            <w:pPr>
              <w:pStyle w:val="P68B1DB1-Normal11"/>
              <w:jc w:val="center"/>
              <w:rPr>
                <w:rFonts w:cs="Arial"/>
                <w:noProof/>
                <w:szCs w:val="20"/>
              </w:rPr>
            </w:pPr>
            <w:r>
              <w:rPr>
                <w:noProof/>
              </w:rPr>
              <w:t>0</w:t>
            </w:r>
          </w:p>
        </w:tc>
        <w:tc>
          <w:tcPr>
            <w:tcW w:w="1418" w:type="dxa"/>
            <w:shd w:val="clear" w:color="auto" w:fill="C6EFCE"/>
            <w:noWrap/>
            <w:vAlign w:val="center"/>
          </w:tcPr>
          <w:p w14:paraId="07CC303E" w14:textId="77777777" w:rsidR="00327FF1" w:rsidRDefault="00E406C7">
            <w:pPr>
              <w:pStyle w:val="P68B1DB1-Normal11"/>
              <w:jc w:val="center"/>
              <w:rPr>
                <w:rFonts w:cs="Arial"/>
                <w:noProof/>
                <w:szCs w:val="20"/>
              </w:rPr>
            </w:pPr>
            <w:r>
              <w:rPr>
                <w:noProof/>
              </w:rPr>
              <w:t>19</w:t>
            </w:r>
          </w:p>
        </w:tc>
        <w:tc>
          <w:tcPr>
            <w:tcW w:w="992" w:type="dxa"/>
            <w:shd w:val="clear" w:color="auto" w:fill="C6EFCE"/>
            <w:noWrap/>
            <w:vAlign w:val="center"/>
          </w:tcPr>
          <w:p w14:paraId="3F637EB5"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6700CAD5" w14:textId="77777777" w:rsidR="00327FF1" w:rsidRDefault="00E406C7">
            <w:pPr>
              <w:pStyle w:val="P68B1DB1-Normal11"/>
              <w:jc w:val="center"/>
              <w:rPr>
                <w:rFonts w:cs="Arial"/>
                <w:noProof/>
                <w:szCs w:val="20"/>
              </w:rPr>
            </w:pPr>
            <w:r>
              <w:rPr>
                <w:noProof/>
              </w:rPr>
              <w:t>2023</w:t>
            </w:r>
          </w:p>
        </w:tc>
        <w:tc>
          <w:tcPr>
            <w:tcW w:w="3259" w:type="dxa"/>
            <w:shd w:val="clear" w:color="auto" w:fill="C6EFCE"/>
            <w:noWrap/>
            <w:vAlign w:val="center"/>
          </w:tcPr>
          <w:p w14:paraId="2472287E" w14:textId="77777777" w:rsidR="00327FF1" w:rsidRDefault="00E406C7">
            <w:pPr>
              <w:pStyle w:val="P68B1DB1-Normal11"/>
              <w:spacing w:after="120"/>
              <w:rPr>
                <w:rFonts w:cs="Arial"/>
                <w:noProof/>
                <w:szCs w:val="20"/>
              </w:rPr>
            </w:pPr>
            <w:r>
              <w:rPr>
                <w:noProof/>
              </w:rPr>
              <w:t>Itālijā piemērojamās 19 prioritārās administratīvās procedūras no 21, kas definēta</w:t>
            </w:r>
            <w:r>
              <w:rPr>
                <w:noProof/>
              </w:rPr>
              <w:t xml:space="preserve"> Regulā (ES) 2018/1724, pilnībā atbilst ES Regulas 2018/1724 6. pantā noteiktajām prasībām. Konkrētāk: a) lietotāju identifikāciju, informācijas un apstiprinošu pierādījumu sniegšanu, parakstu un galīgo iesniegšanu veic elektroniski no attāluma, izmantojot</w:t>
            </w:r>
            <w:r>
              <w:rPr>
                <w:noProof/>
              </w:rPr>
              <w:t xml:space="preserve"> pakalpojumu kanālu, kas ļauj lietotājiem lietotājdraudzīgā un strukturētā veidā izpildīt ar procedūru saistītās prasības; b) lietotājiem sniedz automātisku apstiprinājumu par saņemšanu, ja vien procedūras izvadi netiek piegādāti nekavējoties; C) procedūra</w:t>
            </w:r>
            <w:r>
              <w:rPr>
                <w:noProof/>
              </w:rPr>
              <w:t>s iznākumu piegādā elektroniski vai, ja tas nepieciešams, lai izpildītu piemērojamos Savienības vai valsts tiesību aktus, sniedz ar fiziskiem līdzekļiem; d) lietotājiem sniedz elektronisku paziņojumu par procedūras pabeigšanu.</w:t>
            </w:r>
          </w:p>
        </w:tc>
      </w:tr>
      <w:tr w:rsidR="00327FF1" w14:paraId="32DD049A" w14:textId="77777777">
        <w:trPr>
          <w:trHeight w:val="309"/>
        </w:trPr>
        <w:tc>
          <w:tcPr>
            <w:tcW w:w="1135" w:type="dxa"/>
            <w:shd w:val="clear" w:color="auto" w:fill="C6EFCE"/>
            <w:noWrap/>
            <w:vAlign w:val="center"/>
          </w:tcPr>
          <w:p w14:paraId="67DEB7FB" w14:textId="77777777" w:rsidR="00327FF1" w:rsidRDefault="00E406C7">
            <w:pPr>
              <w:pStyle w:val="P68B1DB1-Normal11"/>
              <w:jc w:val="center"/>
              <w:rPr>
                <w:rFonts w:cs="Arial"/>
                <w:noProof/>
                <w:szCs w:val="20"/>
              </w:rPr>
            </w:pPr>
            <w:r>
              <w:rPr>
                <w:noProof/>
              </w:rPr>
              <w:t>M1C1–13</w:t>
            </w:r>
          </w:p>
        </w:tc>
        <w:tc>
          <w:tcPr>
            <w:tcW w:w="1417" w:type="dxa"/>
            <w:shd w:val="clear" w:color="auto" w:fill="C6EFCE"/>
            <w:noWrap/>
            <w:vAlign w:val="center"/>
          </w:tcPr>
          <w:p w14:paraId="66451324" w14:textId="77777777" w:rsidR="00327FF1" w:rsidRDefault="00E406C7">
            <w:pPr>
              <w:pStyle w:val="P68B1DB1-Normal11"/>
              <w:jc w:val="center"/>
              <w:rPr>
                <w:rFonts w:cs="Arial"/>
                <w:noProof/>
                <w:szCs w:val="20"/>
              </w:rPr>
            </w:pPr>
            <w:r>
              <w:rPr>
                <w:noProof/>
              </w:rPr>
              <w:t>Investīcija 1.4.6.:</w:t>
            </w:r>
          </w:p>
          <w:p w14:paraId="02FC28B2" w14:textId="77777777" w:rsidR="00327FF1" w:rsidRDefault="00E406C7">
            <w:pPr>
              <w:pStyle w:val="P68B1DB1-Normal11"/>
              <w:jc w:val="center"/>
              <w:rPr>
                <w:rFonts w:cs="Arial"/>
                <w:noProof/>
                <w:szCs w:val="20"/>
              </w:rPr>
            </w:pPr>
            <w:r>
              <w:rPr>
                <w:noProof/>
              </w:rPr>
              <w:t>Mobilitāte kā dienests Itālijā</w:t>
            </w:r>
          </w:p>
        </w:tc>
        <w:tc>
          <w:tcPr>
            <w:tcW w:w="992" w:type="dxa"/>
            <w:shd w:val="clear" w:color="auto" w:fill="C6EFCE"/>
            <w:noWrap/>
            <w:vAlign w:val="center"/>
          </w:tcPr>
          <w:p w14:paraId="1EB1D543"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274F1F58" w14:textId="77777777" w:rsidR="00327FF1" w:rsidRDefault="00E406C7">
            <w:pPr>
              <w:pStyle w:val="P68B1DB1-Normal11"/>
              <w:jc w:val="center"/>
              <w:rPr>
                <w:rFonts w:cs="Arial"/>
                <w:noProof/>
                <w:szCs w:val="20"/>
              </w:rPr>
            </w:pPr>
            <w:r>
              <w:rPr>
                <w:noProof/>
              </w:rPr>
              <w:t>Mobilitāte kā pakalpojumu risinājumi M1</w:t>
            </w:r>
          </w:p>
        </w:tc>
        <w:tc>
          <w:tcPr>
            <w:tcW w:w="1559" w:type="dxa"/>
            <w:shd w:val="clear" w:color="auto" w:fill="C6EFCE"/>
            <w:noWrap/>
            <w:vAlign w:val="center"/>
          </w:tcPr>
          <w:p w14:paraId="21723FB3" w14:textId="77777777" w:rsidR="00327FF1" w:rsidRDefault="00E406C7">
            <w:pPr>
              <w:pStyle w:val="P68B1DB1-Normal12"/>
              <w:jc w:val="center"/>
              <w:rPr>
                <w:rFonts w:cs="Arial"/>
                <w:noProof/>
              </w:rPr>
            </w:pPr>
            <w:r>
              <w:rPr>
                <w:noProof/>
              </w:rPr>
              <w:t xml:space="preserve">Ministero delle Infrastrutture e della Mobilità Sostenibili (MIMS) ziņojums sadarbībā ar universitātēm, kurā aprakstīta trīs izmēģinājuma projektu īstenošana un </w:t>
            </w:r>
            <w:r>
              <w:rPr>
                <w:noProof/>
              </w:rPr>
              <w:t>rezultātu novērtēšana</w:t>
            </w:r>
          </w:p>
        </w:tc>
        <w:tc>
          <w:tcPr>
            <w:tcW w:w="1276" w:type="dxa"/>
            <w:shd w:val="clear" w:color="auto" w:fill="C6EFCE"/>
            <w:noWrap/>
            <w:vAlign w:val="center"/>
          </w:tcPr>
          <w:p w14:paraId="37026981"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72964B88"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0ADCA02A"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4CF91332"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0A6237E3" w14:textId="77777777" w:rsidR="00327FF1" w:rsidRDefault="00E406C7">
            <w:pPr>
              <w:pStyle w:val="P68B1DB1-Normal11"/>
              <w:jc w:val="center"/>
              <w:rPr>
                <w:rFonts w:cs="Arial"/>
                <w:noProof/>
                <w:szCs w:val="20"/>
              </w:rPr>
            </w:pPr>
            <w:r>
              <w:rPr>
                <w:noProof/>
              </w:rPr>
              <w:t>2023</w:t>
            </w:r>
          </w:p>
        </w:tc>
        <w:tc>
          <w:tcPr>
            <w:tcW w:w="3259" w:type="dxa"/>
            <w:shd w:val="clear" w:color="auto" w:fill="C6EFCE"/>
            <w:noWrap/>
            <w:vAlign w:val="center"/>
          </w:tcPr>
          <w:p w14:paraId="7506C751" w14:textId="77777777" w:rsidR="00327FF1" w:rsidRDefault="00E406C7">
            <w:pPr>
              <w:pStyle w:val="P68B1DB1-Normal12"/>
              <w:spacing w:after="120"/>
              <w:rPr>
                <w:rFonts w:cs="Arial"/>
                <w:noProof/>
              </w:rPr>
            </w:pPr>
            <w:r>
              <w:rPr>
                <w:noProof/>
              </w:rPr>
              <w:t>Ir īstenoti trīs izmēģinājuma projekti, kuru mērķis ir izmēģināt mobilitāti kā pakalpojumu risinājumus tehnoloģiski attīstītās lielpilsētās.</w:t>
            </w:r>
          </w:p>
          <w:p w14:paraId="2019760C" w14:textId="77777777" w:rsidR="00327FF1" w:rsidRDefault="00E406C7">
            <w:pPr>
              <w:pStyle w:val="P68B1DB1-Normal11"/>
              <w:spacing w:after="120"/>
              <w:rPr>
                <w:rFonts w:cs="Arial"/>
                <w:noProof/>
                <w:szCs w:val="20"/>
              </w:rPr>
            </w:pPr>
            <w:r>
              <w:rPr>
                <w:noProof/>
              </w:rPr>
              <w:t>Izmēģinājuma periodā katru risinājumu ir izmantoju</w:t>
            </w:r>
            <w:r>
              <w:rPr>
                <w:noProof/>
              </w:rPr>
              <w:t>ši vismaz 1000 lietotāji.</w:t>
            </w:r>
          </w:p>
          <w:p w14:paraId="0BD27B83" w14:textId="15EFCB07" w:rsidR="00327FF1" w:rsidRDefault="00E406C7">
            <w:pPr>
              <w:pStyle w:val="P68B1DB1-Normal12"/>
              <w:spacing w:after="120"/>
              <w:rPr>
                <w:rFonts w:cs="Arial"/>
                <w:noProof/>
              </w:rPr>
            </w:pPr>
            <w:r>
              <w:rPr>
                <w:noProof/>
              </w:rPr>
              <w:t xml:space="preserve">Katrs izmēģinājuma projekts ir atvērts vismaz 1000 lietotājiem, kuri var tam piekļūt brīvprātīgi un par saviem līdzekļiem un sniedz individuālu novērtējumu ar iespēju izvēlēties un iegādāties mobilitātes pakalpojumus no platformā </w:t>
            </w:r>
            <w:r>
              <w:rPr>
                <w:noProof/>
              </w:rPr>
              <w:t>pieejamajiem.</w:t>
            </w:r>
          </w:p>
          <w:p w14:paraId="24D8F934" w14:textId="77777777" w:rsidR="00327FF1" w:rsidRDefault="00E406C7">
            <w:pPr>
              <w:pStyle w:val="P68B1DB1-Normal12"/>
              <w:spacing w:after="120"/>
              <w:rPr>
                <w:rFonts w:cs="Arial"/>
                <w:noProof/>
              </w:rPr>
            </w:pPr>
            <w:r>
              <w:rPr>
                <w:noProof/>
              </w:rPr>
              <w:t>MaaS pakalpojums, izmantojot vienotu tehnoloģisko platformu, piedāvā pilsonim lietotājam labāko ceļošanas risinājumu, pamatojoties uz viņa vajadzībām, izmantojot integrāciju starp dažādām pieejamajām mobilitātes iespējām (vietējais sabiedrisk</w:t>
            </w:r>
            <w:r>
              <w:rPr>
                <w:noProof/>
              </w:rPr>
              <w:t>ais transports, koplietošana, kabīne, automašīnu noma), lai optimizētu ceļošanas pieredzi gan plānošanas ziņā (intermodālo maršrutu plānotājs un reāllaika informācija par laikiem un attālumiem), gan izmantošanas ziņā (rezervēšana un pakalpojumu apmaksa).</w:t>
            </w:r>
          </w:p>
        </w:tc>
      </w:tr>
      <w:tr w:rsidR="00327FF1" w14:paraId="559E5AA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065113" w14:textId="77777777" w:rsidR="00327FF1" w:rsidRDefault="00E406C7">
            <w:pPr>
              <w:pStyle w:val="P68B1DB1-Normal11"/>
              <w:jc w:val="center"/>
              <w:rPr>
                <w:rFonts w:cs="Arial"/>
                <w:noProof/>
              </w:rPr>
            </w:pPr>
            <w:r>
              <w:rPr>
                <w:noProof/>
              </w:rPr>
              <w:t>M1C1–14bis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612A88" w14:textId="77777777" w:rsidR="00327FF1" w:rsidRDefault="00E406C7">
            <w:pPr>
              <w:pStyle w:val="P68B1DB1-Normal11"/>
              <w:jc w:val="center"/>
              <w:rPr>
                <w:rFonts w:cs="Arial"/>
                <w:noProof/>
              </w:rPr>
            </w:pPr>
            <w:r>
              <w:rPr>
                <w:noProof/>
              </w:rPr>
              <w:t>Reforma Nr. 1.9.a: Reforma kohēzijas politikas īstenošanas paātrināšanai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A97B12" w14:textId="77777777" w:rsidR="00327FF1" w:rsidRDefault="00E406C7">
            <w:pPr>
              <w:pStyle w:val="P68B1DB1-Normal11"/>
              <w:jc w:val="center"/>
              <w:rPr>
                <w:rFonts w:cs="Arial"/>
                <w:noProof/>
              </w:rPr>
            </w:pPr>
            <w:r>
              <w:rPr>
                <w:noProof/>
              </w:rPr>
              <w:t xml:space="preserve">Atskaites punkts </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34F4F" w14:textId="77777777" w:rsidR="00327FF1" w:rsidRDefault="00E406C7">
            <w:pPr>
              <w:pStyle w:val="P68B1DB1-Normal11"/>
              <w:jc w:val="center"/>
              <w:rPr>
                <w:rFonts w:cs="Arial"/>
                <w:noProof/>
              </w:rPr>
            </w:pPr>
            <w:r>
              <w:rPr>
                <w:noProof/>
              </w:rPr>
              <w:t>Tādu valsts tiesību aktu stāšanās spēkā, ar kuriem paātrina kohēzijas politikas īstenošanu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666783" w14:textId="77777777" w:rsidR="00327FF1" w:rsidRDefault="00E406C7">
            <w:pPr>
              <w:pStyle w:val="P68B1DB1-Normal12"/>
              <w:jc w:val="center"/>
              <w:rPr>
                <w:rFonts w:cs="Arial"/>
                <w:noProof/>
              </w:rPr>
            </w:pPr>
            <w:r>
              <w:rPr>
                <w:noProof/>
              </w:rPr>
              <w:t xml:space="preserve">Tiesību akta noteikums, kas norāda uz valsts tiesību aktu stāšanos spēkā, lai paātrinātu kohēzijas politikas īstenošanu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9DCFF4" w14:textId="77777777" w:rsidR="00327FF1" w:rsidRDefault="00E406C7">
            <w:pPr>
              <w:pStyle w:val="P68B1DB1-Normal11"/>
              <w:jc w:val="center"/>
              <w:rPr>
                <w:rFonts w:cs="Arial"/>
                <w:noProof/>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3F826E" w14:textId="77777777" w:rsidR="00327FF1" w:rsidRDefault="00E406C7">
            <w:pPr>
              <w:pStyle w:val="P68B1DB1-Normal11"/>
              <w:jc w:val="center"/>
              <w:rPr>
                <w:rFonts w:cs="Arial"/>
                <w:noProof/>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7B980B" w14:textId="77777777" w:rsidR="00327FF1" w:rsidRDefault="00E406C7">
            <w:pPr>
              <w:pStyle w:val="P68B1DB1-Normal11"/>
              <w:jc w:val="center"/>
              <w:rPr>
                <w:rFonts w:cs="Arial"/>
                <w:noProof/>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84AEEB" w14:textId="77777777" w:rsidR="00327FF1" w:rsidRDefault="00E406C7">
            <w:pPr>
              <w:pStyle w:val="P68B1DB1-Normal11"/>
              <w:jc w:val="center"/>
              <w:rPr>
                <w:rFonts w:cs="Arial"/>
                <w:noProof/>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74DCD" w14:textId="77777777" w:rsidR="00327FF1" w:rsidRDefault="00E406C7">
            <w:pPr>
              <w:pStyle w:val="P68B1DB1-Normal11"/>
              <w:jc w:val="center"/>
              <w:rPr>
                <w:rFonts w:cs="Arial"/>
                <w:noProof/>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B0A8E9" w14:textId="77777777" w:rsidR="00327FF1" w:rsidRDefault="00E406C7">
            <w:pPr>
              <w:pStyle w:val="P68B1DB1-Normal12"/>
              <w:spacing w:after="120"/>
              <w:rPr>
                <w:rFonts w:cs="Arial"/>
                <w:noProof/>
              </w:rPr>
            </w:pPr>
            <w:r>
              <w:rPr>
                <w:noProof/>
              </w:rPr>
              <w:t>Stājas spēkā valsts tiesību akti, kuros saskaņā ar partnerības nolīgumu un visām pašreizējām prog</w:t>
            </w:r>
            <w:r>
              <w:rPr>
                <w:noProof/>
              </w:rPr>
              <w:t xml:space="preserve">rammām ir noteikti pasākumi, kas vajadzīgi, lai paātrinātu un uzlabotu kohēzijas politikas īstenošanu. </w:t>
            </w:r>
          </w:p>
          <w:p w14:paraId="364CBAA7" w14:textId="77777777" w:rsidR="00327FF1" w:rsidRDefault="00E406C7">
            <w:pPr>
              <w:pStyle w:val="P68B1DB1-Normal12"/>
              <w:spacing w:after="120"/>
              <w:rPr>
                <w:rFonts w:cs="Arial"/>
                <w:noProof/>
              </w:rPr>
            </w:pPr>
            <w:r>
              <w:rPr>
                <w:noProof/>
              </w:rPr>
              <w:t xml:space="preserve">Lai nodrošinātu institucionālo dialogu un sadarbību, kā arī kopīgu izpratni par nepieciešamajām darbībām, valdība līdz 2023. gada 31. decembrim izveido </w:t>
            </w:r>
            <w:r>
              <w:rPr>
                <w:noProof/>
              </w:rPr>
              <w:t>tehnisku darba grupu ar visu Cabina di regia PNRR reģionālo un valsts programmu vadošajām iestādēm, neskarot valstu tiesību aktus par vienoto konferenci.</w:t>
            </w:r>
          </w:p>
          <w:p w14:paraId="38A16180" w14:textId="77777777" w:rsidR="00327FF1" w:rsidRDefault="00E406C7">
            <w:pPr>
              <w:pStyle w:val="P68B1DB1-Normal12"/>
              <w:spacing w:after="0" w:line="240" w:lineRule="auto"/>
              <w:rPr>
                <w:rFonts w:cs="Arial"/>
                <w:noProof/>
              </w:rPr>
            </w:pPr>
            <w:r>
              <w:rPr>
                <w:noProof/>
              </w:rPr>
              <w:t>Tiesību aktos nosaka kārtību, kas vajadzīga, lai piešķirtu prioritāti intervencēm šādās stratēģiskās n</w:t>
            </w:r>
            <w:r>
              <w:rPr>
                <w:noProof/>
              </w:rPr>
              <w:t>ozarēs, stingri ievērojot plānošanas dokumentus, kas noteikti attiecīgajiem veicinošajiem nosacījumiem, un lai tos konkrēti īstenotu, tostarp konkrēti iejaucoties administratīvās spējas stiprināšanai šajās nozarēs:</w:t>
            </w:r>
          </w:p>
          <w:p w14:paraId="22263442" w14:textId="77777777" w:rsidR="00327FF1" w:rsidRDefault="00E406C7">
            <w:pPr>
              <w:pStyle w:val="P68B1DB1-Normal11"/>
              <w:tabs>
                <w:tab w:val="left" w:pos="195"/>
              </w:tabs>
              <w:spacing w:after="0" w:line="240" w:lineRule="auto"/>
              <w:rPr>
                <w:rFonts w:cs="Arial"/>
                <w:noProof/>
              </w:rPr>
            </w:pPr>
            <w:r>
              <w:rPr>
                <w:noProof/>
              </w:rPr>
              <w:t>—</w:t>
            </w:r>
            <w:r>
              <w:rPr>
                <w:noProof/>
              </w:rPr>
              <w:tab/>
              <w:t>Ūdens;</w:t>
            </w:r>
          </w:p>
          <w:p w14:paraId="2EAF89C4" w14:textId="77777777" w:rsidR="00327FF1" w:rsidRDefault="00E406C7">
            <w:pPr>
              <w:pStyle w:val="P68B1DB1-Normal11"/>
              <w:tabs>
                <w:tab w:val="left" w:pos="195"/>
              </w:tabs>
              <w:spacing w:after="0" w:line="240" w:lineRule="auto"/>
              <w:rPr>
                <w:rFonts w:cs="Arial"/>
                <w:noProof/>
              </w:rPr>
            </w:pPr>
            <w:r>
              <w:rPr>
                <w:noProof/>
              </w:rPr>
              <w:t>—</w:t>
            </w:r>
            <w:r>
              <w:rPr>
                <w:noProof/>
              </w:rPr>
              <w:tab/>
              <w:t>hidroģeoloģiskā riska un vides</w:t>
            </w:r>
            <w:r>
              <w:rPr>
                <w:noProof/>
              </w:rPr>
              <w:t xml:space="preserve"> aizsardzības infrastruktūras;</w:t>
            </w:r>
          </w:p>
          <w:p w14:paraId="1F44EA1D" w14:textId="77777777" w:rsidR="00327FF1" w:rsidRDefault="00E406C7">
            <w:pPr>
              <w:pStyle w:val="P68B1DB1-Normal11"/>
              <w:tabs>
                <w:tab w:val="left" w:pos="195"/>
              </w:tabs>
              <w:spacing w:after="0" w:line="240" w:lineRule="auto"/>
              <w:rPr>
                <w:rFonts w:cs="Arial"/>
                <w:noProof/>
              </w:rPr>
            </w:pPr>
            <w:r>
              <w:rPr>
                <w:noProof/>
              </w:rPr>
              <w:t>—</w:t>
            </w:r>
            <w:r>
              <w:rPr>
                <w:noProof/>
              </w:rPr>
              <w:tab/>
              <w:t>Atkritumiem,</w:t>
            </w:r>
          </w:p>
          <w:p w14:paraId="31D62012" w14:textId="77777777" w:rsidR="00327FF1" w:rsidRDefault="00E406C7">
            <w:pPr>
              <w:pStyle w:val="P68B1DB1-Normal11"/>
              <w:tabs>
                <w:tab w:val="left" w:pos="195"/>
              </w:tabs>
              <w:spacing w:after="0" w:line="240" w:lineRule="auto"/>
              <w:rPr>
                <w:rFonts w:cs="Arial"/>
                <w:noProof/>
              </w:rPr>
            </w:pPr>
            <w:r>
              <w:rPr>
                <w:noProof/>
              </w:rPr>
              <w:t>—</w:t>
            </w:r>
            <w:r>
              <w:rPr>
                <w:noProof/>
              </w:rPr>
              <w:tab/>
              <w:t>Transports un ilgtspējīga mobilitāte;</w:t>
            </w:r>
          </w:p>
          <w:p w14:paraId="7E991B97" w14:textId="77777777" w:rsidR="00327FF1" w:rsidRDefault="00E406C7">
            <w:pPr>
              <w:pStyle w:val="P68B1DB1-Normal11"/>
              <w:tabs>
                <w:tab w:val="left" w:pos="195"/>
              </w:tabs>
              <w:spacing w:after="0" w:line="240" w:lineRule="auto"/>
              <w:rPr>
                <w:rFonts w:cs="Arial"/>
                <w:noProof/>
              </w:rPr>
            </w:pPr>
            <w:r>
              <w:rPr>
                <w:noProof/>
              </w:rPr>
              <w:t>—</w:t>
            </w:r>
            <w:r>
              <w:rPr>
                <w:noProof/>
              </w:rPr>
              <w:tab/>
              <w:t>Enerģiju;</w:t>
            </w:r>
          </w:p>
          <w:p w14:paraId="52C473E1" w14:textId="77777777" w:rsidR="00327FF1" w:rsidRDefault="00E406C7">
            <w:pPr>
              <w:pStyle w:val="P68B1DB1-Normal11"/>
              <w:tabs>
                <w:tab w:val="left" w:pos="195"/>
              </w:tabs>
              <w:spacing w:after="0" w:line="240" w:lineRule="auto"/>
              <w:rPr>
                <w:rFonts w:cs="Arial"/>
                <w:noProof/>
              </w:rPr>
            </w:pPr>
            <w:r>
              <w:rPr>
                <w:noProof/>
              </w:rPr>
              <w:t>—</w:t>
            </w:r>
            <w:r>
              <w:rPr>
                <w:noProof/>
              </w:rPr>
              <w:tab/>
              <w:t>Atbalsts uzņēmējdarbības attīstībai un pievilcībai, arī attiecībā uz digitālo un zaļo pārkārtošanos.</w:t>
            </w:r>
          </w:p>
        </w:tc>
      </w:tr>
      <w:tr w:rsidR="00327FF1" w14:paraId="16AAA73C" w14:textId="77777777">
        <w:trPr>
          <w:trHeight w:val="309"/>
        </w:trPr>
        <w:tc>
          <w:tcPr>
            <w:tcW w:w="1135" w:type="dxa"/>
            <w:shd w:val="clear" w:color="auto" w:fill="C6EFCE"/>
            <w:noWrap/>
            <w:vAlign w:val="center"/>
          </w:tcPr>
          <w:p w14:paraId="370973D1" w14:textId="77777777" w:rsidR="00327FF1" w:rsidRDefault="00E406C7">
            <w:pPr>
              <w:pStyle w:val="P68B1DB1-Normal11"/>
              <w:jc w:val="center"/>
              <w:rPr>
                <w:rFonts w:cs="Arial"/>
                <w:noProof/>
                <w:szCs w:val="20"/>
              </w:rPr>
            </w:pPr>
            <w:r>
              <w:rPr>
                <w:noProof/>
              </w:rPr>
              <w:t>M1C1–15</w:t>
            </w:r>
          </w:p>
        </w:tc>
        <w:tc>
          <w:tcPr>
            <w:tcW w:w="1417" w:type="dxa"/>
            <w:shd w:val="clear" w:color="auto" w:fill="C6EFCE"/>
            <w:noWrap/>
            <w:vAlign w:val="center"/>
          </w:tcPr>
          <w:p w14:paraId="00ACF205" w14:textId="77777777" w:rsidR="00327FF1" w:rsidRDefault="00E406C7">
            <w:pPr>
              <w:pStyle w:val="P68B1DB1-Normal11"/>
              <w:jc w:val="center"/>
              <w:rPr>
                <w:rFonts w:cs="Arial"/>
                <w:noProof/>
                <w:szCs w:val="20"/>
              </w:rPr>
            </w:pPr>
            <w:r>
              <w:rPr>
                <w:noProof/>
              </w:rPr>
              <w:t xml:space="preserve">Ieguldījums 1.6.6.: Finanšu policijas </w:t>
            </w:r>
            <w:r>
              <w:rPr>
                <w:noProof/>
              </w:rPr>
              <w:t>digitalizācija</w:t>
            </w:r>
          </w:p>
        </w:tc>
        <w:tc>
          <w:tcPr>
            <w:tcW w:w="992" w:type="dxa"/>
            <w:shd w:val="clear" w:color="auto" w:fill="C6EFCE"/>
            <w:noWrap/>
            <w:vAlign w:val="center"/>
          </w:tcPr>
          <w:p w14:paraId="05CD5C2C" w14:textId="77777777" w:rsidR="00327FF1" w:rsidRDefault="00E406C7">
            <w:pPr>
              <w:pStyle w:val="P68B1DB1-Normal11"/>
              <w:jc w:val="center"/>
              <w:rPr>
                <w:rFonts w:cs="Arial"/>
                <w:noProof/>
                <w:szCs w:val="20"/>
              </w:rPr>
            </w:pPr>
            <w:r>
              <w:rPr>
                <w:noProof/>
              </w:rPr>
              <w:t>Mērķa</w:t>
            </w:r>
          </w:p>
        </w:tc>
        <w:tc>
          <w:tcPr>
            <w:tcW w:w="1418" w:type="dxa"/>
            <w:shd w:val="clear" w:color="auto" w:fill="C6EFCE"/>
            <w:noWrap/>
            <w:vAlign w:val="center"/>
          </w:tcPr>
          <w:p w14:paraId="3255B9DC" w14:textId="77777777" w:rsidR="00327FF1" w:rsidRDefault="00E406C7">
            <w:pPr>
              <w:pStyle w:val="P68B1DB1-Normal11"/>
              <w:jc w:val="center"/>
              <w:rPr>
                <w:rFonts w:cs="Arial"/>
                <w:noProof/>
                <w:szCs w:val="20"/>
              </w:rPr>
            </w:pPr>
            <w:r>
              <w:rPr>
                <w:noProof/>
              </w:rPr>
              <w:t>Finanšu policija — profesionālo datu zinātnes pakalpojumu iegāde T2</w:t>
            </w:r>
          </w:p>
        </w:tc>
        <w:tc>
          <w:tcPr>
            <w:tcW w:w="1559" w:type="dxa"/>
            <w:shd w:val="clear" w:color="auto" w:fill="C6EFCE"/>
            <w:noWrap/>
            <w:vAlign w:val="center"/>
          </w:tcPr>
          <w:p w14:paraId="1DC802E6" w14:textId="77777777" w:rsidR="00327FF1" w:rsidRDefault="00E406C7">
            <w:pPr>
              <w:pStyle w:val="P68B1DB1-Normal11"/>
              <w:jc w:val="center"/>
              <w:rPr>
                <w:rFonts w:cs="Arial"/>
                <w:noProof/>
                <w:szCs w:val="20"/>
              </w:rPr>
            </w:pPr>
            <w:r>
              <w:rPr>
                <w:noProof/>
              </w:rPr>
              <w:t>NEPIEMĒRO</w:t>
            </w:r>
          </w:p>
        </w:tc>
        <w:tc>
          <w:tcPr>
            <w:tcW w:w="1276" w:type="dxa"/>
            <w:shd w:val="clear" w:color="auto" w:fill="C6EFCE"/>
            <w:noWrap/>
            <w:vAlign w:val="center"/>
          </w:tcPr>
          <w:p w14:paraId="1D24012B" w14:textId="77777777" w:rsidR="00327FF1" w:rsidRDefault="00E406C7">
            <w:pPr>
              <w:pStyle w:val="P68B1DB1-Normal11"/>
              <w:jc w:val="center"/>
              <w:rPr>
                <w:rFonts w:cs="Arial"/>
                <w:noProof/>
                <w:szCs w:val="20"/>
              </w:rPr>
            </w:pPr>
            <w:r>
              <w:rPr>
                <w:noProof/>
              </w:rPr>
              <w:t>Skaits</w:t>
            </w:r>
          </w:p>
        </w:tc>
        <w:tc>
          <w:tcPr>
            <w:tcW w:w="1417" w:type="dxa"/>
            <w:shd w:val="clear" w:color="auto" w:fill="C6EFCE"/>
            <w:noWrap/>
            <w:vAlign w:val="center"/>
          </w:tcPr>
          <w:p w14:paraId="094D9505" w14:textId="77777777" w:rsidR="00327FF1" w:rsidRDefault="00E406C7">
            <w:pPr>
              <w:pStyle w:val="P68B1DB1-Normal11"/>
              <w:jc w:val="center"/>
              <w:rPr>
                <w:rFonts w:cs="Arial"/>
                <w:noProof/>
                <w:szCs w:val="20"/>
              </w:rPr>
            </w:pPr>
            <w:r>
              <w:rPr>
                <w:noProof/>
              </w:rPr>
              <w:t>5</w:t>
            </w:r>
          </w:p>
        </w:tc>
        <w:tc>
          <w:tcPr>
            <w:tcW w:w="1418" w:type="dxa"/>
            <w:shd w:val="clear" w:color="auto" w:fill="C6EFCE"/>
            <w:noWrap/>
            <w:vAlign w:val="center"/>
          </w:tcPr>
          <w:p w14:paraId="005A9A1A" w14:textId="77777777" w:rsidR="00327FF1" w:rsidRDefault="00E406C7">
            <w:pPr>
              <w:pStyle w:val="P68B1DB1-Normal11"/>
              <w:jc w:val="center"/>
              <w:rPr>
                <w:rFonts w:cs="Arial"/>
                <w:noProof/>
                <w:szCs w:val="20"/>
              </w:rPr>
            </w:pPr>
            <w:r>
              <w:rPr>
                <w:noProof/>
              </w:rPr>
              <w:t>10</w:t>
            </w:r>
          </w:p>
        </w:tc>
        <w:tc>
          <w:tcPr>
            <w:tcW w:w="992" w:type="dxa"/>
            <w:shd w:val="clear" w:color="auto" w:fill="C6EFCE"/>
            <w:noWrap/>
            <w:vAlign w:val="center"/>
          </w:tcPr>
          <w:p w14:paraId="2ED698E6" w14:textId="77777777" w:rsidR="00327FF1" w:rsidRDefault="00E406C7">
            <w:pPr>
              <w:pStyle w:val="P68B1DB1-Normal11"/>
              <w:jc w:val="center"/>
              <w:rPr>
                <w:rFonts w:cs="Arial"/>
                <w:noProof/>
                <w:szCs w:val="20"/>
              </w:rPr>
            </w:pPr>
            <w:r>
              <w:rPr>
                <w:noProof/>
              </w:rPr>
              <w:t>Q1</w:t>
            </w:r>
          </w:p>
        </w:tc>
        <w:tc>
          <w:tcPr>
            <w:tcW w:w="852" w:type="dxa"/>
            <w:shd w:val="clear" w:color="auto" w:fill="C6EFCE"/>
            <w:noWrap/>
            <w:vAlign w:val="center"/>
          </w:tcPr>
          <w:p w14:paraId="79B46949" w14:textId="77777777" w:rsidR="00327FF1" w:rsidRDefault="00E406C7">
            <w:pPr>
              <w:pStyle w:val="P68B1DB1-Normal11"/>
              <w:jc w:val="center"/>
              <w:rPr>
                <w:rFonts w:cs="Arial"/>
                <w:noProof/>
                <w:szCs w:val="20"/>
              </w:rPr>
            </w:pPr>
            <w:r>
              <w:rPr>
                <w:noProof/>
              </w:rPr>
              <w:t>2024</w:t>
            </w:r>
          </w:p>
        </w:tc>
        <w:tc>
          <w:tcPr>
            <w:tcW w:w="3259" w:type="dxa"/>
            <w:shd w:val="clear" w:color="auto" w:fill="C6EFCE"/>
            <w:noWrap/>
            <w:vAlign w:val="center"/>
          </w:tcPr>
          <w:p w14:paraId="19380F2B" w14:textId="77777777" w:rsidR="00327FF1" w:rsidRDefault="00E406C7">
            <w:pPr>
              <w:pStyle w:val="P68B1DB1-Normal12"/>
              <w:spacing w:after="120"/>
              <w:rPr>
                <w:rFonts w:cs="Arial"/>
                <w:noProof/>
              </w:rPr>
            </w:pPr>
            <w:r>
              <w:rPr>
                <w:noProof/>
              </w:rPr>
              <w:t xml:space="preserve">Profesionālo datu zinātnes pakalpojumu iegāde, slēdzot līgumu ar konsultāciju pakalpojumu sniedzēju, kurā iesaistīti pieci papildu </w:t>
            </w:r>
            <w:r>
              <w:rPr>
                <w:noProof/>
              </w:rPr>
              <w:t>cilvēkresursi (kopumā desmit), kas atbild gan par datu arhitektūras izstrādi, gan par lielo datu analīzes nodaļas algoritmu sagatavošanu. Ir publicēts piešķirtais līgums par datu zinātnes pakalpojumu iegādi saskaņā ar Tehniskajiem norādījumiem “nenodari bū</w:t>
            </w:r>
            <w:r>
              <w:rPr>
                <w:noProof/>
              </w:rPr>
              <w:t>tisku kaitējumu” (2021/C58/01), izmantojot izslēgšanas sarakstu un prasību par atbilstību attiecīgajiem ES un valstu tiesību aktiem vides jomā, kā arī valsts mērogā publicējot jaunus rīkus pirmajā analīzes modulī (IT pamats).</w:t>
            </w:r>
          </w:p>
        </w:tc>
      </w:tr>
      <w:tr w:rsidR="00327FF1" w14:paraId="771E9DE4" w14:textId="77777777">
        <w:trPr>
          <w:trHeight w:val="309"/>
        </w:trPr>
        <w:tc>
          <w:tcPr>
            <w:tcW w:w="1135" w:type="dxa"/>
            <w:shd w:val="clear" w:color="auto" w:fill="C6EFCE"/>
            <w:noWrap/>
            <w:vAlign w:val="center"/>
            <w:hideMark/>
          </w:tcPr>
          <w:p w14:paraId="2BDE6EA2" w14:textId="77777777" w:rsidR="00327FF1" w:rsidRDefault="00E406C7">
            <w:pPr>
              <w:pStyle w:val="P68B1DB1-Normal11"/>
              <w:jc w:val="center"/>
              <w:rPr>
                <w:rFonts w:cs="Arial"/>
                <w:noProof/>
                <w:szCs w:val="20"/>
              </w:rPr>
            </w:pPr>
            <w:r>
              <w:rPr>
                <w:noProof/>
              </w:rPr>
              <w:t>M1C1–17</w:t>
            </w:r>
          </w:p>
        </w:tc>
        <w:tc>
          <w:tcPr>
            <w:tcW w:w="1417" w:type="dxa"/>
            <w:shd w:val="clear" w:color="auto" w:fill="C6EFCE"/>
            <w:noWrap/>
            <w:vAlign w:val="center"/>
            <w:hideMark/>
          </w:tcPr>
          <w:p w14:paraId="0F46FB6C" w14:textId="77777777" w:rsidR="00327FF1" w:rsidRDefault="00E406C7">
            <w:pPr>
              <w:pStyle w:val="P68B1DB1-Normal11"/>
              <w:jc w:val="center"/>
              <w:rPr>
                <w:rFonts w:cs="Arial"/>
                <w:noProof/>
                <w:szCs w:val="20"/>
              </w:rPr>
            </w:pPr>
            <w:r>
              <w:rPr>
                <w:noProof/>
              </w:rPr>
              <w:t xml:space="preserve">Investīcija 1.1: </w:t>
            </w:r>
            <w:r>
              <w:rPr>
                <w:noProof/>
              </w:rPr>
              <w:t>Digitālā infrastruktūra</w:t>
            </w:r>
          </w:p>
        </w:tc>
        <w:tc>
          <w:tcPr>
            <w:tcW w:w="992" w:type="dxa"/>
            <w:shd w:val="clear" w:color="auto" w:fill="C6EFCE"/>
            <w:noWrap/>
            <w:vAlign w:val="center"/>
            <w:hideMark/>
          </w:tcPr>
          <w:p w14:paraId="3128050C" w14:textId="77777777" w:rsidR="00327FF1" w:rsidRDefault="00E406C7">
            <w:pPr>
              <w:pStyle w:val="P68B1DB1-Normal11"/>
              <w:jc w:val="center"/>
              <w:rPr>
                <w:rFonts w:cs="Arial"/>
                <w:noProof/>
                <w:szCs w:val="20"/>
              </w:rPr>
            </w:pPr>
            <w:r>
              <w:rPr>
                <w:noProof/>
              </w:rPr>
              <w:t>Mērķa</w:t>
            </w:r>
          </w:p>
        </w:tc>
        <w:tc>
          <w:tcPr>
            <w:tcW w:w="1418" w:type="dxa"/>
            <w:shd w:val="clear" w:color="auto" w:fill="C6EFCE"/>
            <w:noWrap/>
            <w:vAlign w:val="center"/>
            <w:hideMark/>
          </w:tcPr>
          <w:p w14:paraId="67567AA5" w14:textId="77777777" w:rsidR="00327FF1" w:rsidRDefault="00E406C7">
            <w:pPr>
              <w:pStyle w:val="P68B1DB1-Normal12"/>
              <w:jc w:val="center"/>
              <w:rPr>
                <w:rFonts w:cs="Arial"/>
                <w:noProof/>
              </w:rPr>
            </w:pPr>
            <w:r>
              <w:rPr>
                <w:noProof/>
              </w:rPr>
              <w:t>Migrācija uz Polo Strategico Nazionale T1</w:t>
            </w:r>
          </w:p>
        </w:tc>
        <w:tc>
          <w:tcPr>
            <w:tcW w:w="1559" w:type="dxa"/>
            <w:shd w:val="clear" w:color="auto" w:fill="C6EFCE"/>
            <w:noWrap/>
            <w:vAlign w:val="center"/>
          </w:tcPr>
          <w:p w14:paraId="7BABEB3F" w14:textId="77777777" w:rsidR="00327FF1" w:rsidRDefault="00E406C7">
            <w:pPr>
              <w:pStyle w:val="P68B1DB1-Normal11"/>
              <w:jc w:val="center"/>
              <w:rPr>
                <w:rFonts w:cs="Arial"/>
                <w:noProof/>
                <w:szCs w:val="20"/>
              </w:rPr>
            </w:pPr>
            <w:r>
              <w:rPr>
                <w:noProof/>
              </w:rPr>
              <w:t>NEPIEMĒRO</w:t>
            </w:r>
          </w:p>
        </w:tc>
        <w:tc>
          <w:tcPr>
            <w:tcW w:w="1276" w:type="dxa"/>
            <w:shd w:val="clear" w:color="auto" w:fill="C6EFCE"/>
            <w:noWrap/>
            <w:vAlign w:val="center"/>
            <w:hideMark/>
          </w:tcPr>
          <w:p w14:paraId="0D6CD1E4" w14:textId="77777777" w:rsidR="00327FF1" w:rsidRDefault="00E406C7">
            <w:pPr>
              <w:pStyle w:val="P68B1DB1-Normal11"/>
              <w:jc w:val="center"/>
              <w:rPr>
                <w:rFonts w:cs="Arial"/>
                <w:noProof/>
                <w:szCs w:val="20"/>
              </w:rPr>
            </w:pPr>
            <w:r>
              <w:rPr>
                <w:noProof/>
              </w:rPr>
              <w:t>Skaits</w:t>
            </w:r>
          </w:p>
        </w:tc>
        <w:tc>
          <w:tcPr>
            <w:tcW w:w="1417" w:type="dxa"/>
            <w:shd w:val="clear" w:color="auto" w:fill="C6EFCE"/>
            <w:noWrap/>
            <w:vAlign w:val="center"/>
            <w:hideMark/>
          </w:tcPr>
          <w:p w14:paraId="22BCD100" w14:textId="77777777" w:rsidR="00327FF1" w:rsidRDefault="00E406C7">
            <w:pPr>
              <w:pStyle w:val="P68B1DB1-Normal11"/>
              <w:jc w:val="center"/>
              <w:rPr>
                <w:rFonts w:cs="Arial"/>
                <w:noProof/>
                <w:szCs w:val="20"/>
              </w:rPr>
            </w:pPr>
            <w:r>
              <w:rPr>
                <w:noProof/>
              </w:rPr>
              <w:t>0</w:t>
            </w:r>
          </w:p>
        </w:tc>
        <w:tc>
          <w:tcPr>
            <w:tcW w:w="1418" w:type="dxa"/>
            <w:shd w:val="clear" w:color="auto" w:fill="C6EFCE"/>
            <w:noWrap/>
            <w:vAlign w:val="center"/>
            <w:hideMark/>
          </w:tcPr>
          <w:p w14:paraId="40AAB72E" w14:textId="77777777" w:rsidR="00327FF1" w:rsidRDefault="00E406C7">
            <w:pPr>
              <w:pStyle w:val="P68B1DB1-Normal11"/>
              <w:jc w:val="center"/>
              <w:rPr>
                <w:rFonts w:cs="Arial"/>
                <w:noProof/>
                <w:szCs w:val="20"/>
              </w:rPr>
            </w:pPr>
            <w:r>
              <w:rPr>
                <w:noProof/>
              </w:rPr>
              <w:t>100</w:t>
            </w:r>
          </w:p>
        </w:tc>
        <w:tc>
          <w:tcPr>
            <w:tcW w:w="992" w:type="dxa"/>
            <w:shd w:val="clear" w:color="auto" w:fill="C6EFCE"/>
            <w:noWrap/>
            <w:vAlign w:val="center"/>
            <w:hideMark/>
          </w:tcPr>
          <w:p w14:paraId="704232CE" w14:textId="77777777" w:rsidR="00327FF1" w:rsidRDefault="00E406C7">
            <w:pPr>
              <w:pStyle w:val="P68B1DB1-Normal11"/>
              <w:jc w:val="center"/>
              <w:rPr>
                <w:rFonts w:cs="Arial"/>
                <w:noProof/>
                <w:szCs w:val="20"/>
              </w:rPr>
            </w:pPr>
            <w:r>
              <w:rPr>
                <w:noProof/>
              </w:rPr>
              <w:t>CET.</w:t>
            </w:r>
          </w:p>
        </w:tc>
        <w:tc>
          <w:tcPr>
            <w:tcW w:w="852" w:type="dxa"/>
            <w:shd w:val="clear" w:color="auto" w:fill="C6EFCE"/>
            <w:noWrap/>
            <w:vAlign w:val="center"/>
            <w:hideMark/>
          </w:tcPr>
          <w:p w14:paraId="36A3F389" w14:textId="77777777" w:rsidR="00327FF1" w:rsidRDefault="00E406C7">
            <w:pPr>
              <w:pStyle w:val="P68B1DB1-Normal11"/>
              <w:jc w:val="center"/>
              <w:rPr>
                <w:rFonts w:cs="Arial"/>
                <w:noProof/>
                <w:szCs w:val="20"/>
              </w:rPr>
            </w:pPr>
            <w:r>
              <w:rPr>
                <w:noProof/>
              </w:rPr>
              <w:t>2024</w:t>
            </w:r>
          </w:p>
        </w:tc>
        <w:tc>
          <w:tcPr>
            <w:tcW w:w="3259" w:type="dxa"/>
            <w:shd w:val="clear" w:color="auto" w:fill="C6EFCE"/>
            <w:noWrap/>
            <w:vAlign w:val="center"/>
            <w:hideMark/>
          </w:tcPr>
          <w:p w14:paraId="4AC29B6C" w14:textId="77777777" w:rsidR="00327FF1" w:rsidRDefault="00E406C7">
            <w:pPr>
              <w:pStyle w:val="P68B1DB1-Normal12"/>
              <w:spacing w:after="120"/>
              <w:rPr>
                <w:rFonts w:cs="Arial"/>
                <w:noProof/>
              </w:rPr>
            </w:pPr>
            <w:r>
              <w:rPr>
                <w:noProof/>
              </w:rPr>
              <w:t xml:space="preserve">Vismaz 100 centrālās valsts pārvaldes un vietējās veselības aprūpes iestādes (Aziende Sanitarie Locali/Aziende ospedaliere) pilnībā migrē vismaz vienu administrācijas pakalpojumu (tostarp sistēmas, datu kopas un lietojumprogrammas) uz infrastruktūru (Polo </w:t>
            </w:r>
            <w:r>
              <w:rPr>
                <w:noProof/>
              </w:rPr>
              <w:t xml:space="preserve">Strategico Nazionale). Pilnībā migrēts var nozīmēt, ka katrai iestādei ir šāds apvienojums: nav gatava mākonī tīri mitināšanai, pacelšanas un nobīdes migrācijai, modernizācijai uz infrastruktūru kā pakalpojumu (IaaS), platformai kā pakalpojumam (Paas) vai </w:t>
            </w:r>
            <w:r>
              <w:rPr>
                <w:noProof/>
              </w:rPr>
              <w:t>programmatūrai kā pakalpojumam (SaaS). Migrēšanu uz Polo Strategico Nazionale var veikt dažādos veidos atkarībā no jaunākās uz vietas esošās programmatūras IT arhitektūras, kas pieder katrai migrējošajai valsts pārvaldei. Šīs stratēģijas var būt atšķirīgas</w:t>
            </w:r>
            <w:r>
              <w:rPr>
                <w:noProof/>
              </w:rPr>
              <w:t>, sākot no vienkāršas mitināšanas un pacelšanas un nomaiņas migrācijas attiecībā uz programmatūru, kas nav gatava mākonī, līdz migrācijai uz IaaS, PaaS vai SaaS mākoņdatošanas vajadzībām gatavai programmatūrai. PSN katrai migrējošajai valsts pārvaldei pied</w:t>
            </w:r>
            <w:r>
              <w:rPr>
                <w:noProof/>
              </w:rPr>
              <w:t>āvā visas migrācijas stratēģijas, kas ir atbilstīgas, lai ņemtu vērā sasniegto mērķi “migrācija uz Polo Strategico Nazionale”.</w:t>
            </w:r>
          </w:p>
          <w:p w14:paraId="26D1511B" w14:textId="77777777" w:rsidR="00327FF1" w:rsidRDefault="00E406C7">
            <w:pPr>
              <w:pStyle w:val="P68B1DB1-Normal11"/>
              <w:rPr>
                <w:rFonts w:cs="Arial"/>
                <w:noProof/>
                <w:szCs w:val="20"/>
              </w:rPr>
            </w:pPr>
            <w:r>
              <w:rPr>
                <w:noProof/>
              </w:rPr>
              <w:t>Darbības jomā ietilpstošās publiskās pārvaldes iestādes kopā ietver:</w:t>
            </w:r>
          </w:p>
          <w:p w14:paraId="47214E9A" w14:textId="77777777" w:rsidR="00327FF1" w:rsidRDefault="00E406C7">
            <w:pPr>
              <w:pStyle w:val="P68B1DB1-Normal12"/>
              <w:rPr>
                <w:rFonts w:cs="Arial"/>
                <w:noProof/>
              </w:rPr>
            </w:pPr>
            <w:r>
              <w:rPr>
                <w:noProof/>
              </w:rPr>
              <w:t>• Centrālās publiskās pārvaldes, kas veido lielāko daļu info</w:t>
            </w:r>
            <w:r>
              <w:rPr>
                <w:noProof/>
              </w:rPr>
              <w:t>rmācijas un komunikācijas tehnoloģiju (IKT) izdevumu (piemēram, Valsts sociālā nodrošinājuma institūts un Tieslietu ministrija);</w:t>
            </w:r>
          </w:p>
          <w:p w14:paraId="63D142F5" w14:textId="77777777" w:rsidR="00327FF1" w:rsidRDefault="00E406C7">
            <w:pPr>
              <w:pStyle w:val="P68B1DB1-Normal12"/>
              <w:rPr>
                <w:rFonts w:cs="Arial"/>
                <w:noProof/>
              </w:rPr>
            </w:pPr>
            <w:r>
              <w:rPr>
                <w:noProof/>
              </w:rPr>
              <w:t>• Centrālās publiskās pārvaldes iestādes, kas mitina datus novecojušos datu centros, kā norādīts nesen veiktajā aptaujā par “mā</w:t>
            </w:r>
            <w:r>
              <w:rPr>
                <w:noProof/>
              </w:rPr>
              <w:t>koņgatavību”;</w:t>
            </w:r>
          </w:p>
          <w:p w14:paraId="6E02A91D" w14:textId="77777777" w:rsidR="00327FF1" w:rsidRDefault="00E406C7">
            <w:pPr>
              <w:pStyle w:val="P68B1DB1-Normal12"/>
              <w:rPr>
                <w:rFonts w:cs="Arial"/>
                <w:noProof/>
              </w:rPr>
            </w:pPr>
            <w:r>
              <w:rPr>
                <w:noProof/>
              </w:rPr>
              <w:t>• Vietējās veselības aprūpes iestādes (Aziende Sanitarie Locali/Aziende Ospedaliere), kas galvenokārt atrodas Itālijas centrālajā un dienvidu daļā un kam trūkst atbilstošas infrastruktūras datu drošības nodrošināšanai.</w:t>
            </w:r>
          </w:p>
        </w:tc>
      </w:tr>
      <w:tr w:rsidR="00327FF1" w14:paraId="56078194" w14:textId="77777777">
        <w:trPr>
          <w:trHeight w:val="309"/>
        </w:trPr>
        <w:tc>
          <w:tcPr>
            <w:tcW w:w="1135" w:type="dxa"/>
            <w:shd w:val="clear" w:color="auto" w:fill="C6EFCE"/>
            <w:noWrap/>
            <w:vAlign w:val="center"/>
          </w:tcPr>
          <w:p w14:paraId="6C9C2471" w14:textId="77777777" w:rsidR="00327FF1" w:rsidRDefault="00E406C7">
            <w:pPr>
              <w:pStyle w:val="P68B1DB1-Normal11"/>
              <w:jc w:val="center"/>
              <w:rPr>
                <w:rFonts w:cs="Arial"/>
                <w:noProof/>
                <w:szCs w:val="20"/>
              </w:rPr>
            </w:pPr>
            <w:r>
              <w:rPr>
                <w:noProof/>
              </w:rPr>
              <w:t>M1C1–18</w:t>
            </w:r>
          </w:p>
        </w:tc>
        <w:tc>
          <w:tcPr>
            <w:tcW w:w="1417" w:type="dxa"/>
            <w:shd w:val="clear" w:color="auto" w:fill="C6EFCE"/>
            <w:noWrap/>
            <w:vAlign w:val="center"/>
          </w:tcPr>
          <w:p w14:paraId="3D2F038E" w14:textId="77777777" w:rsidR="00327FF1" w:rsidRDefault="00E406C7">
            <w:pPr>
              <w:pStyle w:val="P68B1DB1-Normal11"/>
              <w:jc w:val="center"/>
              <w:rPr>
                <w:rFonts w:cs="Arial"/>
                <w:noProof/>
                <w:szCs w:val="20"/>
              </w:rPr>
            </w:pPr>
            <w:r>
              <w:rPr>
                <w:noProof/>
              </w:rPr>
              <w:t xml:space="preserve">Investīcija </w:t>
            </w:r>
            <w:r>
              <w:rPr>
                <w:noProof/>
              </w:rPr>
              <w:t>1.3.1.: Valsts digitālo datu platforma</w:t>
            </w:r>
          </w:p>
        </w:tc>
        <w:tc>
          <w:tcPr>
            <w:tcW w:w="992" w:type="dxa"/>
            <w:shd w:val="clear" w:color="auto" w:fill="C6EFCE"/>
            <w:noWrap/>
            <w:vAlign w:val="center"/>
          </w:tcPr>
          <w:p w14:paraId="4FA825D8" w14:textId="77777777" w:rsidR="00327FF1" w:rsidRDefault="00E406C7">
            <w:pPr>
              <w:pStyle w:val="P68B1DB1-Normal11"/>
              <w:jc w:val="center"/>
              <w:rPr>
                <w:rFonts w:cs="Arial"/>
                <w:noProof/>
                <w:szCs w:val="20"/>
              </w:rPr>
            </w:pPr>
            <w:r>
              <w:rPr>
                <w:noProof/>
              </w:rPr>
              <w:t>Mērķa</w:t>
            </w:r>
          </w:p>
        </w:tc>
        <w:tc>
          <w:tcPr>
            <w:tcW w:w="1418" w:type="dxa"/>
            <w:shd w:val="clear" w:color="auto" w:fill="C6EFCE"/>
            <w:noWrap/>
            <w:vAlign w:val="center"/>
          </w:tcPr>
          <w:p w14:paraId="00C09F59" w14:textId="77777777" w:rsidR="00327FF1" w:rsidRDefault="00E406C7">
            <w:pPr>
              <w:pStyle w:val="P68B1DB1-Normal11"/>
              <w:jc w:val="center"/>
              <w:rPr>
                <w:rFonts w:cs="Arial"/>
                <w:noProof/>
                <w:szCs w:val="20"/>
              </w:rPr>
            </w:pPr>
            <w:r>
              <w:rPr>
                <w:noProof/>
              </w:rPr>
              <w:t>API valsts digitālo datu platformā T1</w:t>
            </w:r>
          </w:p>
        </w:tc>
        <w:tc>
          <w:tcPr>
            <w:tcW w:w="1559" w:type="dxa"/>
            <w:shd w:val="clear" w:color="auto" w:fill="C6EFCE"/>
            <w:noWrap/>
            <w:vAlign w:val="center"/>
          </w:tcPr>
          <w:p w14:paraId="78ADBE91" w14:textId="77777777" w:rsidR="00327FF1" w:rsidRDefault="00E406C7">
            <w:pPr>
              <w:pStyle w:val="P68B1DB1-Normal11"/>
              <w:jc w:val="center"/>
              <w:rPr>
                <w:rFonts w:cs="Arial"/>
                <w:noProof/>
                <w:szCs w:val="20"/>
              </w:rPr>
            </w:pPr>
            <w:r>
              <w:rPr>
                <w:noProof/>
              </w:rPr>
              <w:t>NEPIEMĒRO</w:t>
            </w:r>
          </w:p>
        </w:tc>
        <w:tc>
          <w:tcPr>
            <w:tcW w:w="1276" w:type="dxa"/>
            <w:shd w:val="clear" w:color="auto" w:fill="C6EFCE"/>
            <w:noWrap/>
            <w:vAlign w:val="center"/>
          </w:tcPr>
          <w:p w14:paraId="3C74CB72" w14:textId="77777777" w:rsidR="00327FF1" w:rsidRDefault="00E406C7">
            <w:pPr>
              <w:pStyle w:val="P68B1DB1-Normal11"/>
              <w:jc w:val="center"/>
              <w:rPr>
                <w:rFonts w:cs="Arial"/>
                <w:noProof/>
                <w:szCs w:val="20"/>
              </w:rPr>
            </w:pPr>
            <w:r>
              <w:rPr>
                <w:noProof/>
              </w:rPr>
              <w:t>Skaits</w:t>
            </w:r>
          </w:p>
        </w:tc>
        <w:tc>
          <w:tcPr>
            <w:tcW w:w="1417" w:type="dxa"/>
            <w:shd w:val="clear" w:color="auto" w:fill="C6EFCE"/>
            <w:noWrap/>
            <w:vAlign w:val="center"/>
          </w:tcPr>
          <w:p w14:paraId="67ADA2B6" w14:textId="77777777" w:rsidR="00327FF1" w:rsidRDefault="00E406C7">
            <w:pPr>
              <w:pStyle w:val="P68B1DB1-Normal11"/>
              <w:jc w:val="center"/>
              <w:rPr>
                <w:rFonts w:cs="Arial"/>
                <w:noProof/>
                <w:szCs w:val="20"/>
              </w:rPr>
            </w:pPr>
            <w:r>
              <w:rPr>
                <w:noProof/>
              </w:rPr>
              <w:t>0</w:t>
            </w:r>
          </w:p>
        </w:tc>
        <w:tc>
          <w:tcPr>
            <w:tcW w:w="1418" w:type="dxa"/>
            <w:shd w:val="clear" w:color="auto" w:fill="C6EFCE"/>
            <w:noWrap/>
            <w:vAlign w:val="center"/>
          </w:tcPr>
          <w:p w14:paraId="0B481934" w14:textId="77777777" w:rsidR="00327FF1" w:rsidRDefault="00E406C7">
            <w:pPr>
              <w:pStyle w:val="P68B1DB1-Normal11"/>
              <w:jc w:val="center"/>
              <w:rPr>
                <w:rFonts w:cs="Arial"/>
                <w:noProof/>
                <w:szCs w:val="20"/>
              </w:rPr>
            </w:pPr>
            <w:r>
              <w:rPr>
                <w:noProof/>
              </w:rPr>
              <w:t>3 000</w:t>
            </w:r>
          </w:p>
        </w:tc>
        <w:tc>
          <w:tcPr>
            <w:tcW w:w="992" w:type="dxa"/>
            <w:shd w:val="clear" w:color="auto" w:fill="C6EFCE"/>
            <w:noWrap/>
            <w:vAlign w:val="center"/>
          </w:tcPr>
          <w:p w14:paraId="67FBA7BF"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3C5F2BA5" w14:textId="77777777" w:rsidR="00327FF1" w:rsidRDefault="00E406C7">
            <w:pPr>
              <w:pStyle w:val="P68B1DB1-Normal11"/>
              <w:jc w:val="center"/>
              <w:rPr>
                <w:rFonts w:cs="Arial"/>
                <w:noProof/>
                <w:szCs w:val="20"/>
              </w:rPr>
            </w:pPr>
            <w:r>
              <w:rPr>
                <w:noProof/>
              </w:rPr>
              <w:t>2024</w:t>
            </w:r>
          </w:p>
        </w:tc>
        <w:tc>
          <w:tcPr>
            <w:tcW w:w="3259" w:type="dxa"/>
            <w:shd w:val="clear" w:color="auto" w:fill="C6EFCE"/>
            <w:noWrap/>
            <w:vAlign w:val="center"/>
          </w:tcPr>
          <w:p w14:paraId="2A1A29F1" w14:textId="77777777" w:rsidR="00327FF1" w:rsidRDefault="00E406C7">
            <w:pPr>
              <w:pStyle w:val="P68B1DB1-Normal12"/>
              <w:spacing w:after="120"/>
              <w:rPr>
                <w:rFonts w:cs="Arial"/>
                <w:noProof/>
              </w:rPr>
            </w:pPr>
            <w:r>
              <w:rPr>
                <w:noProof/>
              </w:rPr>
              <w:t xml:space="preserve">Šis mērķrādītājs ir sasniegt vismaz 3000 lietojumprogrammu saskarnes (API), ko izveidojušas publiskās pārvaldes iestādes, kas </w:t>
            </w:r>
            <w:r>
              <w:rPr>
                <w:noProof/>
              </w:rPr>
              <w:t>publicētas API katalogā un integrētas valsts digitālo datu platformā. Publicētās API ietekmē vairākas jomas, kas var ietvert (bet ne tikai):</w:t>
            </w:r>
          </w:p>
          <w:p w14:paraId="48C7C397" w14:textId="77777777" w:rsidR="00327FF1" w:rsidRDefault="00E406C7">
            <w:pPr>
              <w:spacing w:after="120"/>
              <w:rPr>
                <w:rFonts w:ascii="Arial Narrow" w:hAnsi="Arial Narrow" w:cs="Arial"/>
                <w:noProof/>
                <w:color w:val="006100"/>
                <w:sz w:val="20"/>
                <w:szCs w:val="20"/>
              </w:rPr>
            </w:pPr>
            <w:r>
              <w:rPr>
                <w:rFonts w:ascii="Arial Narrow" w:hAnsi="Arial Narrow"/>
                <w:noProof/>
                <w:color w:val="006100"/>
                <w:sz w:val="20"/>
                <w:szCs w:val="20"/>
              </w:rPr>
              <w:t>I) Sociālā nodrošinājuma un labklājības pakalpojumi,</w:t>
            </w:r>
            <w:r>
              <w:rPr>
                <w:noProof/>
              </w:rPr>
              <w:t xml:space="preserve"> </w:t>
            </w:r>
            <w:r>
              <w:rPr>
                <w:rFonts w:ascii="Arial Narrow" w:hAnsi="Arial Narrow"/>
                <w:noProof/>
                <w:color w:val="006100"/>
                <w:sz w:val="20"/>
                <w:szCs w:val="20"/>
              </w:rPr>
              <w:t>iepirkuma pakalpojumu pārvaldība vai valstu pamatreģistri (pie</w:t>
            </w:r>
            <w:r>
              <w:rPr>
                <w:rFonts w:ascii="Arial Narrow" w:hAnsi="Arial Narrow"/>
                <w:noProof/>
                <w:color w:val="006100"/>
                <w:sz w:val="20"/>
                <w:szCs w:val="20"/>
              </w:rPr>
              <w:t>mēram, Iedzīvotāju reģistrs un automobiļu licenču reģistrs);</w:t>
            </w:r>
          </w:p>
          <w:p w14:paraId="32A744CF" w14:textId="77777777" w:rsidR="00327FF1" w:rsidRDefault="00E406C7">
            <w:pPr>
              <w:pStyle w:val="P68B1DB1-Normal12"/>
              <w:spacing w:after="120"/>
              <w:rPr>
                <w:rFonts w:cs="Arial"/>
                <w:noProof/>
              </w:rPr>
            </w:pPr>
            <w:r>
              <w:rPr>
                <w:noProof/>
              </w:rPr>
              <w:t>Katra API īstenošana un dokumentācija atbilst valsts sadarbspējas standartiem. Valsts digitālo datu platformas satvars nodrošina funkcijas minētās atbilstības novērtēšanai.</w:t>
            </w:r>
          </w:p>
        </w:tc>
      </w:tr>
      <w:tr w:rsidR="00327FF1" w14:paraId="00BAEB66" w14:textId="77777777">
        <w:trPr>
          <w:trHeight w:val="309"/>
        </w:trPr>
        <w:tc>
          <w:tcPr>
            <w:tcW w:w="1135" w:type="dxa"/>
            <w:shd w:val="clear" w:color="auto" w:fill="C6EFCE"/>
            <w:noWrap/>
            <w:vAlign w:val="center"/>
          </w:tcPr>
          <w:p w14:paraId="7902F66F" w14:textId="77777777" w:rsidR="00327FF1" w:rsidRDefault="00E406C7">
            <w:pPr>
              <w:pStyle w:val="P68B1DB1-Normal11"/>
              <w:jc w:val="center"/>
              <w:rPr>
                <w:rFonts w:cs="Arial"/>
                <w:noProof/>
                <w:szCs w:val="20"/>
              </w:rPr>
            </w:pPr>
            <w:r>
              <w:rPr>
                <w:noProof/>
              </w:rPr>
              <w:t>M1C1–19</w:t>
            </w:r>
          </w:p>
        </w:tc>
        <w:tc>
          <w:tcPr>
            <w:tcW w:w="1417" w:type="dxa"/>
            <w:shd w:val="clear" w:color="auto" w:fill="C6EFCE"/>
            <w:noWrap/>
            <w:vAlign w:val="center"/>
          </w:tcPr>
          <w:p w14:paraId="01B50134" w14:textId="77777777" w:rsidR="00327FF1" w:rsidRDefault="00E406C7">
            <w:pPr>
              <w:pStyle w:val="P68B1DB1-Normal11"/>
              <w:jc w:val="center"/>
              <w:rPr>
                <w:rFonts w:cs="Arial"/>
                <w:noProof/>
                <w:szCs w:val="20"/>
              </w:rPr>
            </w:pPr>
            <w:r>
              <w:rPr>
                <w:noProof/>
              </w:rPr>
              <w:t xml:space="preserve">Investīcija </w:t>
            </w:r>
            <w:r>
              <w:rPr>
                <w:noProof/>
              </w:rPr>
              <w:t>Nr. 1.5: Kiberdrošība</w:t>
            </w:r>
          </w:p>
        </w:tc>
        <w:tc>
          <w:tcPr>
            <w:tcW w:w="992" w:type="dxa"/>
            <w:shd w:val="clear" w:color="auto" w:fill="C6EFCE"/>
            <w:noWrap/>
            <w:vAlign w:val="center"/>
          </w:tcPr>
          <w:p w14:paraId="17FBEB8E" w14:textId="77777777" w:rsidR="00327FF1" w:rsidRDefault="00E406C7">
            <w:pPr>
              <w:pStyle w:val="P68B1DB1-Normal11"/>
              <w:jc w:val="center"/>
              <w:rPr>
                <w:rFonts w:cs="Arial"/>
                <w:noProof/>
                <w:szCs w:val="20"/>
              </w:rPr>
            </w:pPr>
            <w:r>
              <w:rPr>
                <w:noProof/>
              </w:rPr>
              <w:t>Mērķa</w:t>
            </w:r>
          </w:p>
        </w:tc>
        <w:tc>
          <w:tcPr>
            <w:tcW w:w="1418" w:type="dxa"/>
            <w:shd w:val="clear" w:color="auto" w:fill="C6EFCE"/>
            <w:noWrap/>
            <w:vAlign w:val="center"/>
          </w:tcPr>
          <w:p w14:paraId="36885AE4" w14:textId="77777777" w:rsidR="00327FF1" w:rsidRDefault="00E406C7">
            <w:pPr>
              <w:pStyle w:val="P68B1DB1-Normal11"/>
              <w:jc w:val="center"/>
              <w:rPr>
                <w:rFonts w:cs="Arial"/>
                <w:noProof/>
                <w:szCs w:val="20"/>
              </w:rPr>
            </w:pPr>
            <w:r>
              <w:rPr>
                <w:noProof/>
              </w:rPr>
              <w:t>Atbalsts drošības struktūru modernizācijai T2</w:t>
            </w:r>
          </w:p>
        </w:tc>
        <w:tc>
          <w:tcPr>
            <w:tcW w:w="1559" w:type="dxa"/>
            <w:shd w:val="clear" w:color="auto" w:fill="C6EFCE"/>
            <w:noWrap/>
            <w:vAlign w:val="center"/>
          </w:tcPr>
          <w:p w14:paraId="28139F11" w14:textId="77777777" w:rsidR="00327FF1" w:rsidRDefault="00E406C7">
            <w:pPr>
              <w:pStyle w:val="P68B1DB1-Normal11"/>
              <w:jc w:val="center"/>
              <w:rPr>
                <w:rFonts w:cs="Arial"/>
                <w:noProof/>
                <w:szCs w:val="20"/>
              </w:rPr>
            </w:pPr>
            <w:r>
              <w:rPr>
                <w:noProof/>
              </w:rPr>
              <w:t>NEPIEMĒRO</w:t>
            </w:r>
          </w:p>
        </w:tc>
        <w:tc>
          <w:tcPr>
            <w:tcW w:w="1276" w:type="dxa"/>
            <w:shd w:val="clear" w:color="auto" w:fill="C6EFCE"/>
            <w:noWrap/>
            <w:vAlign w:val="center"/>
          </w:tcPr>
          <w:p w14:paraId="13CA1889" w14:textId="77777777" w:rsidR="00327FF1" w:rsidRDefault="00E406C7">
            <w:pPr>
              <w:pStyle w:val="P68B1DB1-Normal11"/>
              <w:jc w:val="center"/>
              <w:rPr>
                <w:rFonts w:cs="Arial"/>
                <w:noProof/>
                <w:szCs w:val="20"/>
              </w:rPr>
            </w:pPr>
            <w:r>
              <w:rPr>
                <w:noProof/>
              </w:rPr>
              <w:t>Skaits</w:t>
            </w:r>
          </w:p>
        </w:tc>
        <w:tc>
          <w:tcPr>
            <w:tcW w:w="1417" w:type="dxa"/>
            <w:shd w:val="clear" w:color="auto" w:fill="C6EFCE"/>
            <w:noWrap/>
            <w:vAlign w:val="center"/>
          </w:tcPr>
          <w:p w14:paraId="4B1BEC94" w14:textId="77777777" w:rsidR="00327FF1" w:rsidRDefault="00E406C7">
            <w:pPr>
              <w:pStyle w:val="P68B1DB1-Normal11"/>
              <w:jc w:val="center"/>
              <w:rPr>
                <w:rFonts w:cs="Arial"/>
                <w:noProof/>
                <w:szCs w:val="20"/>
              </w:rPr>
            </w:pPr>
            <w:r>
              <w:rPr>
                <w:noProof/>
              </w:rPr>
              <w:t>5</w:t>
            </w:r>
          </w:p>
        </w:tc>
        <w:tc>
          <w:tcPr>
            <w:tcW w:w="1418" w:type="dxa"/>
            <w:shd w:val="clear" w:color="auto" w:fill="C6EFCE"/>
            <w:noWrap/>
            <w:vAlign w:val="center"/>
          </w:tcPr>
          <w:p w14:paraId="094FB512" w14:textId="77777777" w:rsidR="00327FF1" w:rsidRDefault="00E406C7">
            <w:pPr>
              <w:pStyle w:val="P68B1DB1-Normal11"/>
              <w:jc w:val="center"/>
              <w:rPr>
                <w:rFonts w:cs="Arial"/>
                <w:noProof/>
                <w:szCs w:val="20"/>
              </w:rPr>
            </w:pPr>
            <w:r>
              <w:rPr>
                <w:noProof/>
              </w:rPr>
              <w:t>50</w:t>
            </w:r>
          </w:p>
        </w:tc>
        <w:tc>
          <w:tcPr>
            <w:tcW w:w="992" w:type="dxa"/>
            <w:shd w:val="clear" w:color="auto" w:fill="C6EFCE"/>
            <w:noWrap/>
            <w:vAlign w:val="center"/>
          </w:tcPr>
          <w:p w14:paraId="51E23C12"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6F2751C8" w14:textId="77777777" w:rsidR="00327FF1" w:rsidRDefault="00E406C7">
            <w:pPr>
              <w:pStyle w:val="P68B1DB1-Normal11"/>
              <w:jc w:val="center"/>
              <w:rPr>
                <w:rFonts w:cs="Arial"/>
                <w:noProof/>
                <w:szCs w:val="20"/>
              </w:rPr>
            </w:pPr>
            <w:r>
              <w:rPr>
                <w:noProof/>
              </w:rPr>
              <w:t>2024</w:t>
            </w:r>
          </w:p>
        </w:tc>
        <w:tc>
          <w:tcPr>
            <w:tcW w:w="3259" w:type="dxa"/>
            <w:shd w:val="clear" w:color="auto" w:fill="C6EFCE"/>
            <w:noWrap/>
            <w:vAlign w:val="center"/>
          </w:tcPr>
          <w:p w14:paraId="52795E4A" w14:textId="77777777" w:rsidR="00327FF1" w:rsidRDefault="00E406C7">
            <w:pPr>
              <w:pStyle w:val="P68B1DB1-Normal12"/>
              <w:spacing w:after="120"/>
              <w:rPr>
                <w:rFonts w:cs="Arial"/>
                <w:noProof/>
              </w:rPr>
            </w:pPr>
            <w:r>
              <w:rPr>
                <w:noProof/>
              </w:rPr>
              <w:t>Valsts drošības perimetra kiberjomā (PSNC) un tīklu un informācijas sistēmu (TID) nozarēs pabeigti vismaz 50 stiprināšanas pasākumi.</w:t>
            </w:r>
          </w:p>
          <w:p w14:paraId="152327CF" w14:textId="77777777" w:rsidR="00327FF1" w:rsidRDefault="00E406C7">
            <w:pPr>
              <w:pStyle w:val="P68B1DB1-Normal12"/>
              <w:spacing w:after="120"/>
              <w:rPr>
                <w:rFonts w:cs="Arial"/>
                <w:noProof/>
              </w:rPr>
            </w:pPr>
            <w:r>
              <w:rPr>
                <w:noProof/>
              </w:rPr>
              <w:t xml:space="preserve">Intervences </w:t>
            </w:r>
            <w:r>
              <w:rPr>
                <w:noProof/>
              </w:rPr>
              <w:t>veidi ietver, piemēram, drošības operāciju centrus (SOC), kiberrobežu aizsardzības uzlabojumus un iekšējās uzraudzības un kontroles spējas saskaņā ar TID un PSNC prasībām. Veicot intervences TID nozarēs, īpašu uzmanību pievērš veselības aprūpes, enerģētika</w:t>
            </w:r>
            <w:r>
              <w:rPr>
                <w:noProof/>
              </w:rPr>
              <w:t>s un vides (dzeramā ūdensapgāde un atkritumu apsaimniekošana) nozarēm.</w:t>
            </w:r>
          </w:p>
        </w:tc>
      </w:tr>
      <w:tr w:rsidR="00327FF1" w14:paraId="3A22A535" w14:textId="77777777">
        <w:trPr>
          <w:trHeight w:val="309"/>
        </w:trPr>
        <w:tc>
          <w:tcPr>
            <w:tcW w:w="1135" w:type="dxa"/>
            <w:shd w:val="clear" w:color="auto" w:fill="C6EFCE"/>
            <w:noWrap/>
            <w:vAlign w:val="center"/>
          </w:tcPr>
          <w:p w14:paraId="1DE54834" w14:textId="77777777" w:rsidR="00327FF1" w:rsidRDefault="00E406C7">
            <w:pPr>
              <w:pStyle w:val="P68B1DB1-Normal11"/>
              <w:jc w:val="center"/>
              <w:rPr>
                <w:rFonts w:cs="Arial"/>
                <w:noProof/>
                <w:szCs w:val="20"/>
              </w:rPr>
            </w:pPr>
            <w:r>
              <w:rPr>
                <w:noProof/>
              </w:rPr>
              <w:t>M1C1–20</w:t>
            </w:r>
          </w:p>
        </w:tc>
        <w:tc>
          <w:tcPr>
            <w:tcW w:w="1417" w:type="dxa"/>
            <w:shd w:val="clear" w:color="auto" w:fill="C6EFCE"/>
            <w:noWrap/>
            <w:vAlign w:val="center"/>
          </w:tcPr>
          <w:p w14:paraId="000FA373" w14:textId="77777777" w:rsidR="00327FF1" w:rsidRDefault="00E406C7">
            <w:pPr>
              <w:pStyle w:val="P68B1DB1-Normal11"/>
              <w:jc w:val="center"/>
              <w:rPr>
                <w:rFonts w:cs="Arial"/>
                <w:noProof/>
                <w:szCs w:val="20"/>
              </w:rPr>
            </w:pPr>
            <w:r>
              <w:rPr>
                <w:noProof/>
              </w:rPr>
              <w:t>Investīcija Nr. 1.5: Kiberdrošība</w:t>
            </w:r>
          </w:p>
        </w:tc>
        <w:tc>
          <w:tcPr>
            <w:tcW w:w="992" w:type="dxa"/>
            <w:shd w:val="clear" w:color="auto" w:fill="C6EFCE"/>
            <w:noWrap/>
            <w:vAlign w:val="center"/>
          </w:tcPr>
          <w:p w14:paraId="72FE265D"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1B12AD18" w14:textId="77777777" w:rsidR="00327FF1" w:rsidRDefault="00E406C7">
            <w:pPr>
              <w:pStyle w:val="P68B1DB1-Normal11"/>
              <w:jc w:val="center"/>
              <w:rPr>
                <w:rFonts w:cs="Arial"/>
                <w:noProof/>
                <w:szCs w:val="20"/>
              </w:rPr>
            </w:pPr>
            <w:r>
              <w:rPr>
                <w:noProof/>
              </w:rPr>
              <w:t>Valstu kiberdrošības pakalpojumu pilnīga ieviešana</w:t>
            </w:r>
          </w:p>
        </w:tc>
        <w:tc>
          <w:tcPr>
            <w:tcW w:w="1559" w:type="dxa"/>
            <w:shd w:val="clear" w:color="auto" w:fill="C6EFCE"/>
            <w:noWrap/>
            <w:vAlign w:val="center"/>
          </w:tcPr>
          <w:p w14:paraId="36873F6C" w14:textId="77777777" w:rsidR="00327FF1" w:rsidRDefault="00E406C7">
            <w:pPr>
              <w:pStyle w:val="P68B1DB1-Normal12"/>
              <w:jc w:val="center"/>
              <w:rPr>
                <w:rFonts w:cs="Arial"/>
                <w:noProof/>
              </w:rPr>
            </w:pPr>
            <w:r>
              <w:rPr>
                <w:noProof/>
              </w:rPr>
              <w:t xml:space="preserve">Ziņojums, kas apliecina valsts kiberdrošības pakalpojumu pilnīgu </w:t>
            </w:r>
            <w:r>
              <w:rPr>
                <w:noProof/>
              </w:rPr>
              <w:t>aktivizēšanu</w:t>
            </w:r>
          </w:p>
        </w:tc>
        <w:tc>
          <w:tcPr>
            <w:tcW w:w="1276" w:type="dxa"/>
            <w:shd w:val="clear" w:color="auto" w:fill="C6EFCE"/>
            <w:noWrap/>
            <w:vAlign w:val="center"/>
          </w:tcPr>
          <w:p w14:paraId="7D98D392"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6AF970DD"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7E6BAC9E"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03CA1D9E"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7BDEDF62" w14:textId="77777777" w:rsidR="00327FF1" w:rsidRDefault="00E406C7">
            <w:pPr>
              <w:pStyle w:val="P68B1DB1-Normal11"/>
              <w:jc w:val="center"/>
              <w:rPr>
                <w:rFonts w:cs="Arial"/>
                <w:noProof/>
                <w:szCs w:val="20"/>
              </w:rPr>
            </w:pPr>
            <w:r>
              <w:rPr>
                <w:noProof/>
              </w:rPr>
              <w:t>2024</w:t>
            </w:r>
          </w:p>
        </w:tc>
        <w:tc>
          <w:tcPr>
            <w:tcW w:w="3259" w:type="dxa"/>
            <w:shd w:val="clear" w:color="auto" w:fill="C6EFCE"/>
            <w:noWrap/>
            <w:vAlign w:val="center"/>
          </w:tcPr>
          <w:p w14:paraId="302C9A27" w14:textId="77777777" w:rsidR="00327FF1" w:rsidRDefault="00E406C7">
            <w:pPr>
              <w:pStyle w:val="P68B1DB1-Normal12"/>
              <w:spacing w:after="120"/>
              <w:rPr>
                <w:rFonts w:cs="Arial"/>
                <w:noProof/>
              </w:rPr>
            </w:pPr>
            <w:r>
              <w:rPr>
                <w:noProof/>
              </w:rPr>
              <w:t>Šo atskaites punktu pabeidz, aktivizējot teritoriālās datorapdraudējumu reaģēšanas vienības (CERT), kas ir savienotas ar Itālijas datordrošības incidentu reaģēšanas vienību (CSIRT), aktivizējot Inform</w:t>
            </w:r>
            <w:r>
              <w:rPr>
                <w:noProof/>
              </w:rPr>
              <w:t>ācijas apmaiņas un analīzes centru (ISAC), integrējot vismaz piecus drošības operāciju centrus (SOC) ar valsts HyperSOC, pilnībā darbojoties kiberdrošības riska pārvaldības pakalpojumiem, tostarp piegādes ķēdes analīzes un kiberriska apdrošināšanas pakalpo</w:t>
            </w:r>
            <w:r>
              <w:rPr>
                <w:noProof/>
              </w:rPr>
              <w:t>jumiem.</w:t>
            </w:r>
          </w:p>
        </w:tc>
      </w:tr>
      <w:tr w:rsidR="00327FF1" w14:paraId="7C17F838" w14:textId="77777777">
        <w:trPr>
          <w:trHeight w:val="309"/>
        </w:trPr>
        <w:tc>
          <w:tcPr>
            <w:tcW w:w="1135" w:type="dxa"/>
            <w:shd w:val="clear" w:color="auto" w:fill="C6EFCE"/>
            <w:noWrap/>
            <w:vAlign w:val="center"/>
          </w:tcPr>
          <w:p w14:paraId="5E28B054" w14:textId="77777777" w:rsidR="00327FF1" w:rsidRDefault="00E406C7">
            <w:pPr>
              <w:pStyle w:val="P68B1DB1-Normal11"/>
              <w:jc w:val="center"/>
              <w:rPr>
                <w:rFonts w:cs="Arial"/>
                <w:noProof/>
                <w:szCs w:val="20"/>
              </w:rPr>
            </w:pPr>
            <w:r>
              <w:rPr>
                <w:noProof/>
              </w:rPr>
              <w:t>M1C1–21</w:t>
            </w:r>
          </w:p>
        </w:tc>
        <w:tc>
          <w:tcPr>
            <w:tcW w:w="1417" w:type="dxa"/>
            <w:shd w:val="clear" w:color="auto" w:fill="C6EFCE"/>
            <w:noWrap/>
            <w:vAlign w:val="center"/>
          </w:tcPr>
          <w:p w14:paraId="5A016AB2" w14:textId="77777777" w:rsidR="00327FF1" w:rsidRDefault="00E406C7">
            <w:pPr>
              <w:pStyle w:val="P68B1DB1-Normal11"/>
              <w:jc w:val="center"/>
              <w:rPr>
                <w:rFonts w:cs="Arial"/>
                <w:noProof/>
                <w:szCs w:val="20"/>
              </w:rPr>
            </w:pPr>
            <w:r>
              <w:rPr>
                <w:noProof/>
              </w:rPr>
              <w:t>Investīcija Nr. 1.5: Kiberdrošība</w:t>
            </w:r>
          </w:p>
        </w:tc>
        <w:tc>
          <w:tcPr>
            <w:tcW w:w="992" w:type="dxa"/>
            <w:shd w:val="clear" w:color="auto" w:fill="C6EFCE"/>
            <w:noWrap/>
            <w:vAlign w:val="center"/>
          </w:tcPr>
          <w:p w14:paraId="036702E3"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21E6783D" w14:textId="77777777" w:rsidR="00327FF1" w:rsidRDefault="00E406C7">
            <w:pPr>
              <w:pStyle w:val="P68B1DB1-Normal11"/>
              <w:jc w:val="center"/>
              <w:rPr>
                <w:rFonts w:cs="Arial"/>
                <w:noProof/>
                <w:szCs w:val="20"/>
              </w:rPr>
            </w:pPr>
            <w:r>
              <w:rPr>
                <w:noProof/>
              </w:rPr>
              <w:t>Kiberdrošības skrīninga un sertifikācijas laboratoriju tīkla, izvērtēšanas centru tīkla pabeigšana</w:t>
            </w:r>
          </w:p>
        </w:tc>
        <w:tc>
          <w:tcPr>
            <w:tcW w:w="1559" w:type="dxa"/>
            <w:shd w:val="clear" w:color="auto" w:fill="C6EFCE"/>
            <w:noWrap/>
            <w:vAlign w:val="center"/>
          </w:tcPr>
          <w:p w14:paraId="219F715D" w14:textId="77777777" w:rsidR="00327FF1" w:rsidRDefault="00E406C7">
            <w:pPr>
              <w:pStyle w:val="P68B1DB1-Normal12"/>
              <w:jc w:val="center"/>
              <w:rPr>
                <w:rFonts w:cs="Arial"/>
                <w:noProof/>
              </w:rPr>
            </w:pPr>
            <w:r>
              <w:rPr>
                <w:noProof/>
              </w:rPr>
              <w:t xml:space="preserve">Sniegti ziņojumi, kas apliecina vismaz 10 laboratoriju un 2 izvērtēšanas centru (CV) </w:t>
            </w:r>
            <w:r>
              <w:rPr>
                <w:noProof/>
              </w:rPr>
              <w:t>pilnīgu aktivizēšanu</w:t>
            </w:r>
          </w:p>
        </w:tc>
        <w:tc>
          <w:tcPr>
            <w:tcW w:w="1276" w:type="dxa"/>
            <w:shd w:val="clear" w:color="auto" w:fill="C6EFCE"/>
            <w:noWrap/>
            <w:vAlign w:val="center"/>
          </w:tcPr>
          <w:p w14:paraId="7CCCAEE9"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535F0E57"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00B5F674"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5FBC6142"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58EC05C1" w14:textId="77777777" w:rsidR="00327FF1" w:rsidRDefault="00E406C7">
            <w:pPr>
              <w:pStyle w:val="P68B1DB1-Normal11"/>
              <w:jc w:val="center"/>
              <w:rPr>
                <w:rFonts w:cs="Arial"/>
                <w:noProof/>
                <w:szCs w:val="20"/>
              </w:rPr>
            </w:pPr>
            <w:r>
              <w:rPr>
                <w:noProof/>
              </w:rPr>
              <w:t>2024</w:t>
            </w:r>
          </w:p>
        </w:tc>
        <w:tc>
          <w:tcPr>
            <w:tcW w:w="3259" w:type="dxa"/>
            <w:shd w:val="clear" w:color="auto" w:fill="C6EFCE"/>
            <w:noWrap/>
            <w:vAlign w:val="center"/>
          </w:tcPr>
          <w:p w14:paraId="71A5AE2D" w14:textId="77777777" w:rsidR="00327FF1" w:rsidRDefault="00E406C7">
            <w:pPr>
              <w:pStyle w:val="P68B1DB1-Normal11"/>
              <w:spacing w:after="120"/>
              <w:rPr>
                <w:rFonts w:cs="Arial"/>
                <w:noProof/>
                <w:szCs w:val="20"/>
              </w:rPr>
            </w:pPr>
            <w:r>
              <w:rPr>
                <w:noProof/>
              </w:rPr>
              <w:t>Aktivizē vismaz 10 skrīninga un sertifikācijas laboratorijas un 2 izvērtēšanas centrus (CV).</w:t>
            </w:r>
          </w:p>
        </w:tc>
      </w:tr>
      <w:tr w:rsidR="00327FF1" w14:paraId="4AEA97CB" w14:textId="77777777">
        <w:trPr>
          <w:trHeight w:val="309"/>
        </w:trPr>
        <w:tc>
          <w:tcPr>
            <w:tcW w:w="1135" w:type="dxa"/>
            <w:shd w:val="clear" w:color="auto" w:fill="C6EFCE"/>
            <w:noWrap/>
            <w:vAlign w:val="center"/>
          </w:tcPr>
          <w:p w14:paraId="3E9A708F" w14:textId="77777777" w:rsidR="00327FF1" w:rsidRDefault="00E406C7">
            <w:pPr>
              <w:pStyle w:val="P68B1DB1-Normal11"/>
              <w:jc w:val="center"/>
              <w:rPr>
                <w:rFonts w:cs="Arial"/>
                <w:noProof/>
                <w:szCs w:val="20"/>
              </w:rPr>
            </w:pPr>
            <w:r>
              <w:rPr>
                <w:noProof/>
              </w:rPr>
              <w:t>M1C1–22</w:t>
            </w:r>
          </w:p>
        </w:tc>
        <w:tc>
          <w:tcPr>
            <w:tcW w:w="1417" w:type="dxa"/>
            <w:shd w:val="clear" w:color="auto" w:fill="C6EFCE"/>
            <w:noWrap/>
            <w:vAlign w:val="center"/>
          </w:tcPr>
          <w:p w14:paraId="45DCED4C" w14:textId="77777777" w:rsidR="00327FF1" w:rsidRDefault="00E406C7">
            <w:pPr>
              <w:pStyle w:val="P68B1DB1-Normal11"/>
              <w:jc w:val="center"/>
              <w:rPr>
                <w:rFonts w:cs="Arial"/>
                <w:noProof/>
                <w:szCs w:val="20"/>
              </w:rPr>
            </w:pPr>
            <w:r>
              <w:rPr>
                <w:noProof/>
              </w:rPr>
              <w:t>Investīcija Nr. 1.5: Kiberdrošība</w:t>
            </w:r>
          </w:p>
        </w:tc>
        <w:tc>
          <w:tcPr>
            <w:tcW w:w="992" w:type="dxa"/>
            <w:shd w:val="clear" w:color="auto" w:fill="C6EFCE"/>
            <w:noWrap/>
            <w:vAlign w:val="center"/>
          </w:tcPr>
          <w:p w14:paraId="47886429"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567753C8" w14:textId="77777777" w:rsidR="00327FF1" w:rsidRDefault="00E406C7">
            <w:pPr>
              <w:pStyle w:val="P68B1DB1-Normal11"/>
              <w:jc w:val="center"/>
              <w:rPr>
                <w:rFonts w:cs="Arial"/>
                <w:noProof/>
                <w:szCs w:val="20"/>
              </w:rPr>
            </w:pPr>
            <w:r>
              <w:rPr>
                <w:noProof/>
              </w:rPr>
              <w:t xml:space="preserve">Centrālās revīzijas nodaļas pilnīga </w:t>
            </w:r>
            <w:r>
              <w:rPr>
                <w:noProof/>
              </w:rPr>
              <w:t>darbība attiecībā uz PSNC un TID drošības pasākumiem, pabeidzot vismaz 30 pārbaudes</w:t>
            </w:r>
          </w:p>
        </w:tc>
        <w:tc>
          <w:tcPr>
            <w:tcW w:w="1559" w:type="dxa"/>
            <w:shd w:val="clear" w:color="auto" w:fill="C6EFCE"/>
            <w:noWrap/>
            <w:vAlign w:val="center"/>
          </w:tcPr>
          <w:p w14:paraId="3AD60629" w14:textId="77777777" w:rsidR="00327FF1" w:rsidRDefault="00E406C7">
            <w:pPr>
              <w:pStyle w:val="P68B1DB1-Normal11"/>
              <w:jc w:val="center"/>
              <w:rPr>
                <w:rFonts w:cs="Arial"/>
                <w:noProof/>
                <w:szCs w:val="20"/>
              </w:rPr>
            </w:pPr>
            <w:r>
              <w:rPr>
                <w:noProof/>
              </w:rPr>
              <w:t>Sniegti ziņojumi, inspekcijas ziņojumi</w:t>
            </w:r>
          </w:p>
        </w:tc>
        <w:tc>
          <w:tcPr>
            <w:tcW w:w="1276" w:type="dxa"/>
            <w:shd w:val="clear" w:color="auto" w:fill="C6EFCE"/>
            <w:noWrap/>
            <w:vAlign w:val="center"/>
          </w:tcPr>
          <w:p w14:paraId="3FB718F4"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6E451C1C"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6C544559"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77F545D0"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17843EB7" w14:textId="77777777" w:rsidR="00327FF1" w:rsidRDefault="00E406C7">
            <w:pPr>
              <w:pStyle w:val="P68B1DB1-Normal11"/>
              <w:jc w:val="center"/>
              <w:rPr>
                <w:rFonts w:cs="Arial"/>
                <w:noProof/>
                <w:szCs w:val="20"/>
              </w:rPr>
            </w:pPr>
            <w:r>
              <w:rPr>
                <w:noProof/>
              </w:rPr>
              <w:t>2024</w:t>
            </w:r>
          </w:p>
        </w:tc>
        <w:tc>
          <w:tcPr>
            <w:tcW w:w="3259" w:type="dxa"/>
            <w:shd w:val="clear" w:color="auto" w:fill="C6EFCE"/>
            <w:noWrap/>
            <w:vAlign w:val="center"/>
          </w:tcPr>
          <w:p w14:paraId="4766B996" w14:textId="77777777" w:rsidR="00327FF1" w:rsidRDefault="00E406C7">
            <w:pPr>
              <w:pStyle w:val="P68B1DB1-Normal11"/>
              <w:spacing w:after="120"/>
              <w:rPr>
                <w:rFonts w:cs="Arial"/>
                <w:noProof/>
                <w:szCs w:val="20"/>
              </w:rPr>
            </w:pPr>
            <w:r>
              <w:rPr>
                <w:noProof/>
              </w:rPr>
              <w:t>Centrālās revīzijas nodaļas pilnīga darbība ar pabeigtām vismaz 30 pārbaudēm.</w:t>
            </w:r>
          </w:p>
        </w:tc>
      </w:tr>
      <w:tr w:rsidR="00327FF1" w14:paraId="45292BA0" w14:textId="77777777">
        <w:trPr>
          <w:trHeight w:val="309"/>
        </w:trPr>
        <w:tc>
          <w:tcPr>
            <w:tcW w:w="1135" w:type="dxa"/>
            <w:shd w:val="clear" w:color="auto" w:fill="C6EFCE"/>
            <w:noWrap/>
            <w:vAlign w:val="center"/>
          </w:tcPr>
          <w:p w14:paraId="24CE1A98" w14:textId="77777777" w:rsidR="00327FF1" w:rsidRDefault="00E406C7">
            <w:pPr>
              <w:pStyle w:val="P68B1DB1-Normal12"/>
              <w:jc w:val="center"/>
              <w:rPr>
                <w:rFonts w:cs="Arial"/>
                <w:noProof/>
                <w:highlight w:val="yellow"/>
              </w:rPr>
            </w:pPr>
            <w:r>
              <w:rPr>
                <w:noProof/>
              </w:rPr>
              <w:t>M1C1–23</w:t>
            </w:r>
          </w:p>
        </w:tc>
        <w:tc>
          <w:tcPr>
            <w:tcW w:w="1417" w:type="dxa"/>
            <w:shd w:val="clear" w:color="auto" w:fill="C6EFCE"/>
            <w:noWrap/>
            <w:vAlign w:val="center"/>
          </w:tcPr>
          <w:p w14:paraId="11DEF683" w14:textId="77777777" w:rsidR="00327FF1" w:rsidRDefault="00E406C7">
            <w:pPr>
              <w:pStyle w:val="P68B1DB1-Normal11"/>
              <w:jc w:val="center"/>
              <w:rPr>
                <w:rFonts w:cs="Arial"/>
                <w:noProof/>
                <w:szCs w:val="20"/>
              </w:rPr>
            </w:pPr>
            <w:r>
              <w:rPr>
                <w:noProof/>
              </w:rPr>
              <w:t>Investīcija 1.4.6.: Mobilitāte kā dienests Itālijā</w:t>
            </w:r>
          </w:p>
        </w:tc>
        <w:tc>
          <w:tcPr>
            <w:tcW w:w="992" w:type="dxa"/>
            <w:shd w:val="clear" w:color="auto" w:fill="C6EFCE"/>
            <w:noWrap/>
            <w:vAlign w:val="center"/>
          </w:tcPr>
          <w:p w14:paraId="31A3C965"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7371FE4E" w14:textId="77777777" w:rsidR="00327FF1" w:rsidRDefault="00E406C7">
            <w:pPr>
              <w:pStyle w:val="P68B1DB1-Normal11"/>
              <w:jc w:val="center"/>
              <w:rPr>
                <w:rFonts w:cs="Arial"/>
                <w:noProof/>
                <w:szCs w:val="20"/>
              </w:rPr>
            </w:pPr>
            <w:r>
              <w:rPr>
                <w:noProof/>
              </w:rPr>
              <w:t>Mobilitāte kā pakalpojumu risinājumi M2</w:t>
            </w:r>
          </w:p>
        </w:tc>
        <w:tc>
          <w:tcPr>
            <w:tcW w:w="1559" w:type="dxa"/>
            <w:shd w:val="clear" w:color="auto" w:fill="C6EFCE"/>
            <w:noWrap/>
            <w:vAlign w:val="center"/>
          </w:tcPr>
          <w:p w14:paraId="7735F5A3" w14:textId="353DE87B" w:rsidR="00327FF1" w:rsidRDefault="00E406C7">
            <w:pPr>
              <w:pStyle w:val="P68B1DB1-Normal12"/>
              <w:jc w:val="center"/>
              <w:rPr>
                <w:rFonts w:cs="Arial"/>
                <w:noProof/>
              </w:rPr>
            </w:pPr>
            <w:r>
              <w:rPr>
                <w:noProof/>
              </w:rPr>
              <w:t xml:space="preserve">Mobilitāte kā pakalpojumu izmēģinājuma projekti </w:t>
            </w:r>
          </w:p>
        </w:tc>
        <w:tc>
          <w:tcPr>
            <w:tcW w:w="1276" w:type="dxa"/>
            <w:shd w:val="clear" w:color="auto" w:fill="C6EFCE"/>
            <w:noWrap/>
            <w:vAlign w:val="center"/>
          </w:tcPr>
          <w:p w14:paraId="6C1D5F6E"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3DE2EA7C"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454A63B3"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51DF9CE6" w14:textId="77777777" w:rsidR="00327FF1" w:rsidRDefault="00E406C7">
            <w:pPr>
              <w:pStyle w:val="P68B1DB1-Normal12"/>
              <w:jc w:val="center"/>
              <w:rPr>
                <w:rFonts w:cs="Arial"/>
                <w:noProof/>
              </w:rPr>
            </w:pPr>
            <w:r>
              <w:rPr>
                <w:noProof/>
              </w:rPr>
              <w:t>2. CET.</w:t>
            </w:r>
          </w:p>
        </w:tc>
        <w:tc>
          <w:tcPr>
            <w:tcW w:w="852" w:type="dxa"/>
            <w:shd w:val="clear" w:color="auto" w:fill="C6EFCE"/>
            <w:noWrap/>
            <w:vAlign w:val="center"/>
          </w:tcPr>
          <w:p w14:paraId="0A92F95A" w14:textId="77777777" w:rsidR="00327FF1" w:rsidRDefault="00E406C7">
            <w:pPr>
              <w:pStyle w:val="P68B1DB1-Normal11"/>
              <w:jc w:val="center"/>
              <w:rPr>
                <w:rFonts w:cs="Arial"/>
                <w:noProof/>
                <w:szCs w:val="20"/>
              </w:rPr>
            </w:pPr>
            <w:r>
              <w:rPr>
                <w:noProof/>
              </w:rPr>
              <w:t>2025</w:t>
            </w:r>
          </w:p>
        </w:tc>
        <w:tc>
          <w:tcPr>
            <w:tcW w:w="3259" w:type="dxa"/>
            <w:shd w:val="clear" w:color="auto" w:fill="C6EFCE"/>
            <w:noWrap/>
            <w:vAlign w:val="center"/>
          </w:tcPr>
          <w:p w14:paraId="4374A459" w14:textId="77777777" w:rsidR="00327FF1" w:rsidRDefault="00E406C7">
            <w:pPr>
              <w:pStyle w:val="P68B1DB1-Normal12"/>
              <w:spacing w:after="120"/>
              <w:rPr>
                <w:rFonts w:cs="Arial"/>
                <w:noProof/>
              </w:rPr>
            </w:pPr>
            <w:r>
              <w:rPr>
                <w:noProof/>
              </w:rPr>
              <w:t xml:space="preserve">Septiņi izmēģinājuma projekti, no kuriem vismaz trīs ir </w:t>
            </w:r>
            <w:r>
              <w:rPr>
                <w:noProof/>
              </w:rPr>
              <w:t>dienvidos, pārbauda mobilitātes kā pakalpojuma (MaaS) risinājumus.</w:t>
            </w:r>
          </w:p>
          <w:p w14:paraId="6CD1BC14" w14:textId="77777777" w:rsidR="00327FF1" w:rsidRDefault="00E406C7">
            <w:pPr>
              <w:pStyle w:val="P68B1DB1-Normal12"/>
              <w:spacing w:after="120"/>
              <w:rPr>
                <w:rFonts w:cs="Arial"/>
                <w:noProof/>
              </w:rPr>
            </w:pPr>
            <w:r>
              <w:rPr>
                <w:noProof/>
              </w:rPr>
              <w:t>Mobilitāte kā pakalpojums, izmantojot vienotu tehnoloģisko platformu, nodrošina lietotājiem labākās ceļošanas iespējas, pamatojoties uz viņu vajadzībām, integrējot dažādas mobilitātes iespē</w:t>
            </w:r>
            <w:r>
              <w:rPr>
                <w:noProof/>
              </w:rPr>
              <w:t>jas (piemēram, sabiedrisko transportu, koplietošanas pakalpojumus, taksometrus, automašīnu nomu) un optimizējot ceļojuma plānošanu un vispārējo lietotāju pieredzi.</w:t>
            </w:r>
          </w:p>
        </w:tc>
      </w:tr>
      <w:tr w:rsidR="00327FF1" w14:paraId="7C63440E" w14:textId="77777777">
        <w:trPr>
          <w:trHeight w:val="309"/>
        </w:trPr>
        <w:tc>
          <w:tcPr>
            <w:tcW w:w="1135" w:type="dxa"/>
            <w:shd w:val="clear" w:color="auto" w:fill="C6EFCE"/>
            <w:noWrap/>
            <w:vAlign w:val="center"/>
          </w:tcPr>
          <w:p w14:paraId="577B6361" w14:textId="77777777" w:rsidR="00327FF1" w:rsidRDefault="00E406C7">
            <w:pPr>
              <w:pStyle w:val="P68B1DB1-Normal11"/>
              <w:jc w:val="center"/>
              <w:rPr>
                <w:rFonts w:cs="Arial"/>
                <w:noProof/>
                <w:szCs w:val="20"/>
              </w:rPr>
            </w:pPr>
            <w:r>
              <w:rPr>
                <w:noProof/>
              </w:rPr>
              <w:t>M1C1–24</w:t>
            </w:r>
          </w:p>
        </w:tc>
        <w:tc>
          <w:tcPr>
            <w:tcW w:w="1417" w:type="dxa"/>
            <w:shd w:val="clear" w:color="auto" w:fill="C6EFCE"/>
            <w:noWrap/>
            <w:vAlign w:val="center"/>
          </w:tcPr>
          <w:p w14:paraId="33A05A4E" w14:textId="77777777" w:rsidR="00327FF1" w:rsidRDefault="00E406C7">
            <w:pPr>
              <w:pStyle w:val="P68B1DB1-Normal11"/>
              <w:jc w:val="center"/>
              <w:rPr>
                <w:rFonts w:cs="Arial"/>
                <w:noProof/>
                <w:szCs w:val="20"/>
              </w:rPr>
            </w:pPr>
            <w:r>
              <w:rPr>
                <w:noProof/>
              </w:rPr>
              <w:t>Investīcija 1.7.1: Digitālais civildienests</w:t>
            </w:r>
          </w:p>
        </w:tc>
        <w:tc>
          <w:tcPr>
            <w:tcW w:w="992" w:type="dxa"/>
            <w:shd w:val="clear" w:color="auto" w:fill="C6EFCE"/>
            <w:noWrap/>
            <w:vAlign w:val="center"/>
          </w:tcPr>
          <w:p w14:paraId="29B5228D" w14:textId="77777777" w:rsidR="00327FF1" w:rsidRDefault="00E406C7">
            <w:pPr>
              <w:pStyle w:val="P68B1DB1-Normal11"/>
              <w:jc w:val="center"/>
              <w:rPr>
                <w:rFonts w:cs="Arial"/>
                <w:noProof/>
                <w:szCs w:val="20"/>
              </w:rPr>
            </w:pPr>
            <w:r>
              <w:rPr>
                <w:noProof/>
              </w:rPr>
              <w:t>Mērķa</w:t>
            </w:r>
          </w:p>
        </w:tc>
        <w:tc>
          <w:tcPr>
            <w:tcW w:w="1418" w:type="dxa"/>
            <w:shd w:val="clear" w:color="auto" w:fill="C6EFCE"/>
            <w:noWrap/>
            <w:vAlign w:val="center"/>
          </w:tcPr>
          <w:p w14:paraId="24FB4840" w14:textId="77777777" w:rsidR="00327FF1" w:rsidRDefault="00E406C7">
            <w:pPr>
              <w:pStyle w:val="P68B1DB1-Normal12"/>
              <w:jc w:val="center"/>
              <w:rPr>
                <w:rFonts w:cs="Arial"/>
                <w:noProof/>
              </w:rPr>
            </w:pPr>
            <w:r>
              <w:rPr>
                <w:noProof/>
              </w:rPr>
              <w:t>Brīvprātīgie ir apmācīti</w:t>
            </w:r>
          </w:p>
        </w:tc>
        <w:tc>
          <w:tcPr>
            <w:tcW w:w="1559" w:type="dxa"/>
            <w:shd w:val="clear" w:color="auto" w:fill="C6EFCE"/>
            <w:noWrap/>
            <w:vAlign w:val="center"/>
          </w:tcPr>
          <w:p w14:paraId="570F8E99" w14:textId="77777777" w:rsidR="00327FF1" w:rsidRDefault="00E406C7">
            <w:pPr>
              <w:pStyle w:val="P68B1DB1-Normal11"/>
              <w:jc w:val="center"/>
              <w:rPr>
                <w:rFonts w:cs="Arial"/>
                <w:noProof/>
                <w:szCs w:val="20"/>
              </w:rPr>
            </w:pPr>
            <w:r>
              <w:rPr>
                <w:noProof/>
              </w:rPr>
              <w:t>NEPIEMĒRO</w:t>
            </w:r>
          </w:p>
        </w:tc>
        <w:tc>
          <w:tcPr>
            <w:tcW w:w="1276" w:type="dxa"/>
            <w:shd w:val="clear" w:color="auto" w:fill="C6EFCE"/>
            <w:noWrap/>
            <w:vAlign w:val="center"/>
          </w:tcPr>
          <w:p w14:paraId="0ADE6B23" w14:textId="77777777" w:rsidR="00327FF1" w:rsidRDefault="00E406C7">
            <w:pPr>
              <w:pStyle w:val="P68B1DB1-Normal11"/>
              <w:jc w:val="center"/>
              <w:rPr>
                <w:rFonts w:cs="Arial"/>
                <w:noProof/>
                <w:szCs w:val="20"/>
              </w:rPr>
            </w:pPr>
            <w:r>
              <w:rPr>
                <w:noProof/>
              </w:rPr>
              <w:t>Skaits</w:t>
            </w:r>
          </w:p>
        </w:tc>
        <w:tc>
          <w:tcPr>
            <w:tcW w:w="1417" w:type="dxa"/>
            <w:shd w:val="clear" w:color="auto" w:fill="C6EFCE"/>
            <w:noWrap/>
            <w:vAlign w:val="center"/>
          </w:tcPr>
          <w:p w14:paraId="11C0D23E" w14:textId="77777777" w:rsidR="00327FF1" w:rsidRDefault="00E406C7">
            <w:pPr>
              <w:pStyle w:val="P68B1DB1-Normal11"/>
              <w:jc w:val="center"/>
              <w:rPr>
                <w:rFonts w:cs="Arial"/>
                <w:noProof/>
                <w:szCs w:val="20"/>
              </w:rPr>
            </w:pPr>
            <w:r>
              <w:rPr>
                <w:noProof/>
              </w:rPr>
              <w:t>0</w:t>
            </w:r>
          </w:p>
        </w:tc>
        <w:tc>
          <w:tcPr>
            <w:tcW w:w="1418" w:type="dxa"/>
            <w:shd w:val="clear" w:color="auto" w:fill="C6EFCE"/>
            <w:noWrap/>
            <w:vAlign w:val="center"/>
          </w:tcPr>
          <w:p w14:paraId="2D4E54AA" w14:textId="77777777" w:rsidR="00327FF1" w:rsidRDefault="00E406C7">
            <w:pPr>
              <w:pStyle w:val="P68B1DB1-Normal12"/>
              <w:jc w:val="center"/>
              <w:rPr>
                <w:rFonts w:cs="Arial"/>
                <w:noProof/>
              </w:rPr>
            </w:pPr>
            <w:r>
              <w:rPr>
                <w:noProof/>
              </w:rPr>
              <w:t>8 300</w:t>
            </w:r>
          </w:p>
        </w:tc>
        <w:tc>
          <w:tcPr>
            <w:tcW w:w="992" w:type="dxa"/>
            <w:shd w:val="clear" w:color="auto" w:fill="C6EFCE"/>
            <w:noWrap/>
            <w:vAlign w:val="center"/>
          </w:tcPr>
          <w:p w14:paraId="3112C3D1" w14:textId="77777777" w:rsidR="00327FF1" w:rsidRDefault="00E406C7">
            <w:pPr>
              <w:pStyle w:val="P68B1DB1-Normal11"/>
              <w:jc w:val="center"/>
              <w:rPr>
                <w:rFonts w:cs="Arial"/>
                <w:noProof/>
                <w:szCs w:val="20"/>
              </w:rPr>
            </w:pPr>
            <w:r>
              <w:rPr>
                <w:noProof/>
              </w:rPr>
              <w:t>4. CET.</w:t>
            </w:r>
          </w:p>
        </w:tc>
        <w:tc>
          <w:tcPr>
            <w:tcW w:w="852" w:type="dxa"/>
            <w:shd w:val="clear" w:color="auto" w:fill="C6EFCE"/>
            <w:noWrap/>
            <w:vAlign w:val="center"/>
          </w:tcPr>
          <w:p w14:paraId="37EEFC66" w14:textId="77777777" w:rsidR="00327FF1" w:rsidRDefault="00E406C7">
            <w:pPr>
              <w:pStyle w:val="P68B1DB1-Normal11"/>
              <w:jc w:val="center"/>
              <w:rPr>
                <w:rFonts w:cs="Arial"/>
                <w:noProof/>
                <w:szCs w:val="20"/>
              </w:rPr>
            </w:pPr>
            <w:r>
              <w:rPr>
                <w:noProof/>
              </w:rPr>
              <w:t>2025</w:t>
            </w:r>
          </w:p>
        </w:tc>
        <w:tc>
          <w:tcPr>
            <w:tcW w:w="3259" w:type="dxa"/>
            <w:shd w:val="clear" w:color="auto" w:fill="C6EFCE"/>
            <w:noWrap/>
            <w:vAlign w:val="center"/>
          </w:tcPr>
          <w:p w14:paraId="665595DE" w14:textId="48600C6A" w:rsidR="00327FF1" w:rsidRDefault="00E406C7">
            <w:pPr>
              <w:pStyle w:val="P68B1DB1-Normal12"/>
              <w:rPr>
                <w:rFonts w:cs="Arial"/>
                <w:noProof/>
              </w:rPr>
            </w:pPr>
            <w:r>
              <w:rPr>
                <w:noProof/>
              </w:rPr>
              <w:t>Digitālās pārveides departaments apmāca vismaz 8300 brīvprātīgo digitālo kompetenču jomā, lai nodrošinātu digitālo izglītību cilvēkiem, kuriem draud digitālā atstumtība, organizācijās, kas reģistrētas vispārējā civildi</w:t>
            </w:r>
            <w:r>
              <w:rPr>
                <w:noProof/>
              </w:rPr>
              <w:t xml:space="preserve">enesta organizāciju valsts reģistrā. </w:t>
            </w:r>
          </w:p>
        </w:tc>
      </w:tr>
      <w:tr w:rsidR="00327FF1" w14:paraId="649B1C7A" w14:textId="77777777">
        <w:trPr>
          <w:trHeight w:val="309"/>
        </w:trPr>
        <w:tc>
          <w:tcPr>
            <w:tcW w:w="1135" w:type="dxa"/>
            <w:shd w:val="clear" w:color="auto" w:fill="C6EFCE"/>
            <w:noWrap/>
            <w:vAlign w:val="center"/>
          </w:tcPr>
          <w:p w14:paraId="0736C832" w14:textId="77777777" w:rsidR="00327FF1" w:rsidRDefault="00E406C7">
            <w:pPr>
              <w:pStyle w:val="P68B1DB1-Normal11"/>
              <w:jc w:val="center"/>
              <w:rPr>
                <w:rFonts w:cs="Arial"/>
                <w:noProof/>
                <w:szCs w:val="20"/>
              </w:rPr>
            </w:pPr>
            <w:r>
              <w:rPr>
                <w:noProof/>
              </w:rPr>
              <w:t>M1C1–25</w:t>
            </w:r>
          </w:p>
        </w:tc>
        <w:tc>
          <w:tcPr>
            <w:tcW w:w="1417" w:type="dxa"/>
            <w:shd w:val="clear" w:color="auto" w:fill="C6EFCE"/>
            <w:noWrap/>
            <w:vAlign w:val="center"/>
          </w:tcPr>
          <w:p w14:paraId="5BAAEA6C" w14:textId="77777777" w:rsidR="00327FF1" w:rsidRDefault="00E406C7">
            <w:pPr>
              <w:pStyle w:val="P68B1DB1-Normal11"/>
              <w:jc w:val="center"/>
              <w:rPr>
                <w:rFonts w:cs="Arial"/>
                <w:noProof/>
                <w:szCs w:val="20"/>
              </w:rPr>
            </w:pPr>
            <w:r>
              <w:rPr>
                <w:noProof/>
              </w:rPr>
              <w:t>Ieguldījums 1.6.6.: Finanšu policijas digitalizācija</w:t>
            </w:r>
          </w:p>
        </w:tc>
        <w:tc>
          <w:tcPr>
            <w:tcW w:w="992" w:type="dxa"/>
            <w:shd w:val="clear" w:color="auto" w:fill="C6EFCE"/>
            <w:noWrap/>
            <w:vAlign w:val="center"/>
          </w:tcPr>
          <w:p w14:paraId="46F01D48" w14:textId="77777777" w:rsidR="00327FF1" w:rsidRDefault="00E406C7">
            <w:pPr>
              <w:pStyle w:val="P68B1DB1-Normal11"/>
              <w:jc w:val="center"/>
              <w:rPr>
                <w:rFonts w:cs="Arial"/>
                <w:noProof/>
                <w:szCs w:val="20"/>
              </w:rPr>
            </w:pPr>
            <w:r>
              <w:rPr>
                <w:noProof/>
              </w:rPr>
              <w:t>Atskaites punkts</w:t>
            </w:r>
          </w:p>
        </w:tc>
        <w:tc>
          <w:tcPr>
            <w:tcW w:w="1418" w:type="dxa"/>
            <w:shd w:val="clear" w:color="auto" w:fill="C6EFCE"/>
            <w:noWrap/>
            <w:vAlign w:val="center"/>
          </w:tcPr>
          <w:p w14:paraId="04A02A27" w14:textId="77777777" w:rsidR="00327FF1" w:rsidRDefault="00E406C7">
            <w:pPr>
              <w:pStyle w:val="P68B1DB1-Normal12"/>
              <w:jc w:val="center"/>
              <w:rPr>
                <w:rFonts w:cs="Arial"/>
                <w:noProof/>
              </w:rPr>
            </w:pPr>
            <w:r>
              <w:rPr>
                <w:noProof/>
              </w:rPr>
              <w:t>Attīstīt informācijas sistēmas, ko izmanto cīņā pret ekonomiskajiem noziegumiem</w:t>
            </w:r>
          </w:p>
        </w:tc>
        <w:tc>
          <w:tcPr>
            <w:tcW w:w="1559" w:type="dxa"/>
            <w:shd w:val="clear" w:color="auto" w:fill="C6EFCE"/>
            <w:noWrap/>
            <w:vAlign w:val="center"/>
          </w:tcPr>
          <w:p w14:paraId="0F7DC93A" w14:textId="230C7D58" w:rsidR="00327FF1" w:rsidRDefault="00E406C7">
            <w:pPr>
              <w:pStyle w:val="P68B1DB1-Normal12"/>
              <w:jc w:val="center"/>
              <w:rPr>
                <w:rFonts w:cs="Arial"/>
                <w:noProof/>
              </w:rPr>
            </w:pPr>
            <w:r>
              <w:rPr>
                <w:noProof/>
              </w:rPr>
              <w:t>It sistēmas ar jaunām funkcijām</w:t>
            </w:r>
          </w:p>
        </w:tc>
        <w:tc>
          <w:tcPr>
            <w:tcW w:w="1276" w:type="dxa"/>
            <w:shd w:val="clear" w:color="auto" w:fill="C6EFCE"/>
            <w:noWrap/>
            <w:vAlign w:val="center"/>
          </w:tcPr>
          <w:p w14:paraId="679D6C3E" w14:textId="77777777" w:rsidR="00327FF1" w:rsidRDefault="00E406C7">
            <w:pPr>
              <w:pStyle w:val="P68B1DB1-Normal11"/>
              <w:jc w:val="center"/>
              <w:rPr>
                <w:rFonts w:cs="Arial"/>
                <w:noProof/>
                <w:szCs w:val="20"/>
              </w:rPr>
            </w:pPr>
            <w:r>
              <w:rPr>
                <w:noProof/>
              </w:rPr>
              <w:t>NEPIEMĒRO</w:t>
            </w:r>
          </w:p>
        </w:tc>
        <w:tc>
          <w:tcPr>
            <w:tcW w:w="1417" w:type="dxa"/>
            <w:shd w:val="clear" w:color="auto" w:fill="C6EFCE"/>
            <w:noWrap/>
            <w:vAlign w:val="center"/>
          </w:tcPr>
          <w:p w14:paraId="1D4E6CE1" w14:textId="77777777" w:rsidR="00327FF1" w:rsidRDefault="00E406C7">
            <w:pPr>
              <w:pStyle w:val="P68B1DB1-Normal11"/>
              <w:jc w:val="center"/>
              <w:rPr>
                <w:rFonts w:cs="Arial"/>
                <w:noProof/>
                <w:szCs w:val="20"/>
              </w:rPr>
            </w:pPr>
            <w:r>
              <w:rPr>
                <w:noProof/>
              </w:rPr>
              <w:t>NEPIEMĒRO</w:t>
            </w:r>
          </w:p>
        </w:tc>
        <w:tc>
          <w:tcPr>
            <w:tcW w:w="1418" w:type="dxa"/>
            <w:shd w:val="clear" w:color="auto" w:fill="C6EFCE"/>
            <w:noWrap/>
            <w:vAlign w:val="center"/>
          </w:tcPr>
          <w:p w14:paraId="64B3ABDC" w14:textId="77777777" w:rsidR="00327FF1" w:rsidRDefault="00E406C7">
            <w:pPr>
              <w:pStyle w:val="P68B1DB1-Normal11"/>
              <w:jc w:val="center"/>
              <w:rPr>
                <w:rFonts w:cs="Arial"/>
                <w:noProof/>
                <w:szCs w:val="20"/>
              </w:rPr>
            </w:pPr>
            <w:r>
              <w:rPr>
                <w:noProof/>
              </w:rPr>
              <w:t>NEPIEMĒRO</w:t>
            </w:r>
          </w:p>
        </w:tc>
        <w:tc>
          <w:tcPr>
            <w:tcW w:w="992" w:type="dxa"/>
            <w:shd w:val="clear" w:color="auto" w:fill="C6EFCE"/>
            <w:noWrap/>
            <w:vAlign w:val="center"/>
          </w:tcPr>
          <w:p w14:paraId="5BD4F2A2" w14:textId="77777777" w:rsidR="00327FF1" w:rsidRDefault="00E406C7">
            <w:pPr>
              <w:pStyle w:val="P68B1DB1-Normal11"/>
              <w:jc w:val="center"/>
              <w:rPr>
                <w:rFonts w:cs="Arial"/>
                <w:noProof/>
                <w:szCs w:val="20"/>
              </w:rPr>
            </w:pPr>
            <w:r>
              <w:rPr>
                <w:noProof/>
              </w:rPr>
              <w:t>2. CET.</w:t>
            </w:r>
          </w:p>
        </w:tc>
        <w:tc>
          <w:tcPr>
            <w:tcW w:w="852" w:type="dxa"/>
            <w:shd w:val="clear" w:color="auto" w:fill="C6EFCE"/>
            <w:noWrap/>
            <w:vAlign w:val="center"/>
          </w:tcPr>
          <w:p w14:paraId="136D1748" w14:textId="77777777" w:rsidR="00327FF1" w:rsidRDefault="00E406C7">
            <w:pPr>
              <w:pStyle w:val="P68B1DB1-Normal11"/>
              <w:jc w:val="center"/>
              <w:rPr>
                <w:rFonts w:cs="Arial"/>
                <w:noProof/>
                <w:szCs w:val="20"/>
              </w:rPr>
            </w:pPr>
            <w:r>
              <w:rPr>
                <w:noProof/>
              </w:rPr>
              <w:t>2025</w:t>
            </w:r>
          </w:p>
        </w:tc>
        <w:tc>
          <w:tcPr>
            <w:tcW w:w="3259" w:type="dxa"/>
            <w:shd w:val="clear" w:color="auto" w:fill="C6EFCE"/>
            <w:noWrap/>
            <w:vAlign w:val="center"/>
          </w:tcPr>
          <w:p w14:paraId="5B22E43F" w14:textId="77777777" w:rsidR="00327FF1" w:rsidRDefault="00E406C7">
            <w:pPr>
              <w:pStyle w:val="P68B1DB1-Normal12"/>
              <w:rPr>
                <w:rFonts w:cs="Arial"/>
                <w:noProof/>
              </w:rPr>
            </w:pPr>
            <w:r>
              <w:rPr>
                <w:noProof/>
              </w:rPr>
              <w:t>Jaunu funkciju publiskošana informācijas sistēmām, ko izmanto cīņā pret ekonomiskajiem noziegumiem.</w:t>
            </w:r>
          </w:p>
        </w:tc>
      </w:tr>
      <w:tr w:rsidR="00327FF1" w14:paraId="04472B31" w14:textId="77777777">
        <w:trPr>
          <w:trHeight w:val="309"/>
        </w:trPr>
        <w:tc>
          <w:tcPr>
            <w:tcW w:w="1135" w:type="dxa"/>
            <w:shd w:val="clear" w:color="auto" w:fill="C6EFCE"/>
            <w:noWrap/>
            <w:vAlign w:val="center"/>
            <w:hideMark/>
          </w:tcPr>
          <w:p w14:paraId="2DA05B20" w14:textId="77777777" w:rsidR="00327FF1" w:rsidRDefault="00E406C7">
            <w:pPr>
              <w:pStyle w:val="P68B1DB1-Normal11"/>
              <w:jc w:val="center"/>
              <w:rPr>
                <w:rFonts w:cs="Arial"/>
                <w:noProof/>
                <w:szCs w:val="20"/>
              </w:rPr>
            </w:pPr>
            <w:r>
              <w:rPr>
                <w:noProof/>
              </w:rPr>
              <w:t>M1C1–26</w:t>
            </w:r>
          </w:p>
        </w:tc>
        <w:tc>
          <w:tcPr>
            <w:tcW w:w="1417" w:type="dxa"/>
            <w:shd w:val="clear" w:color="auto" w:fill="C6EFCE"/>
            <w:noWrap/>
            <w:vAlign w:val="center"/>
            <w:hideMark/>
          </w:tcPr>
          <w:p w14:paraId="7BD49631" w14:textId="77777777" w:rsidR="00327FF1" w:rsidRDefault="00E406C7">
            <w:pPr>
              <w:pStyle w:val="P68B1DB1-Normal11"/>
              <w:jc w:val="center"/>
              <w:rPr>
                <w:rFonts w:cs="Arial"/>
                <w:noProof/>
                <w:szCs w:val="20"/>
              </w:rPr>
            </w:pPr>
            <w:r>
              <w:rPr>
                <w:noProof/>
              </w:rPr>
              <w:t>Investīcija 1.1: Digitālā infrastruktūra</w:t>
            </w:r>
          </w:p>
        </w:tc>
        <w:tc>
          <w:tcPr>
            <w:tcW w:w="992" w:type="dxa"/>
            <w:shd w:val="clear" w:color="auto" w:fill="C6EFCE"/>
            <w:noWrap/>
            <w:vAlign w:val="center"/>
            <w:hideMark/>
          </w:tcPr>
          <w:p w14:paraId="2592BF27" w14:textId="77777777" w:rsidR="00327FF1" w:rsidRDefault="00E406C7">
            <w:pPr>
              <w:pStyle w:val="P68B1DB1-Normal11"/>
              <w:jc w:val="center"/>
              <w:rPr>
                <w:rFonts w:cs="Arial"/>
                <w:noProof/>
                <w:szCs w:val="20"/>
              </w:rPr>
            </w:pPr>
            <w:r>
              <w:rPr>
                <w:noProof/>
              </w:rPr>
              <w:t>Mērķa</w:t>
            </w:r>
          </w:p>
        </w:tc>
        <w:tc>
          <w:tcPr>
            <w:tcW w:w="1418" w:type="dxa"/>
            <w:shd w:val="clear" w:color="auto" w:fill="C6EFCE"/>
            <w:noWrap/>
            <w:vAlign w:val="center"/>
            <w:hideMark/>
          </w:tcPr>
          <w:p w14:paraId="09BBFDA2" w14:textId="77777777" w:rsidR="00327FF1" w:rsidRDefault="00E406C7">
            <w:pPr>
              <w:pStyle w:val="P68B1DB1-Normal12"/>
              <w:jc w:val="center"/>
              <w:rPr>
                <w:rFonts w:cs="Arial"/>
                <w:noProof/>
              </w:rPr>
            </w:pPr>
            <w:r>
              <w:rPr>
                <w:noProof/>
              </w:rPr>
              <w:t>Migrācija uz Polo Strategico Nazionale vai drošu, sertificētu publisko mākoņu</w:t>
            </w:r>
            <w:r>
              <w:rPr>
                <w:noProof/>
              </w:rPr>
              <w:t xml:space="preserve"> vidi</w:t>
            </w:r>
          </w:p>
        </w:tc>
        <w:tc>
          <w:tcPr>
            <w:tcW w:w="1559" w:type="dxa"/>
            <w:shd w:val="clear" w:color="auto" w:fill="C6EFCE"/>
            <w:noWrap/>
            <w:vAlign w:val="center"/>
            <w:hideMark/>
          </w:tcPr>
          <w:p w14:paraId="0BFDE7C0" w14:textId="77777777" w:rsidR="00327FF1" w:rsidRDefault="00E406C7">
            <w:pPr>
              <w:pStyle w:val="P68B1DB1-Normal11"/>
              <w:jc w:val="center"/>
              <w:rPr>
                <w:rFonts w:cs="Arial"/>
                <w:noProof/>
                <w:szCs w:val="20"/>
              </w:rPr>
            </w:pPr>
            <w:r>
              <w:rPr>
                <w:noProof/>
              </w:rPr>
              <w:t>NEPIEMĒRO</w:t>
            </w:r>
          </w:p>
        </w:tc>
        <w:tc>
          <w:tcPr>
            <w:tcW w:w="1276" w:type="dxa"/>
            <w:shd w:val="clear" w:color="auto" w:fill="C6EFCE"/>
            <w:noWrap/>
            <w:vAlign w:val="center"/>
            <w:hideMark/>
          </w:tcPr>
          <w:p w14:paraId="26B0778F" w14:textId="77777777" w:rsidR="00327FF1" w:rsidRDefault="00E406C7">
            <w:pPr>
              <w:pStyle w:val="P68B1DB1-Normal11"/>
              <w:jc w:val="center"/>
              <w:rPr>
                <w:rFonts w:cs="Arial"/>
                <w:noProof/>
                <w:szCs w:val="20"/>
              </w:rPr>
            </w:pPr>
            <w:r>
              <w:rPr>
                <w:noProof/>
              </w:rPr>
              <w:t>Skaits</w:t>
            </w:r>
          </w:p>
        </w:tc>
        <w:tc>
          <w:tcPr>
            <w:tcW w:w="1417" w:type="dxa"/>
            <w:shd w:val="clear" w:color="auto" w:fill="C6EFCE"/>
            <w:noWrap/>
            <w:vAlign w:val="center"/>
            <w:hideMark/>
          </w:tcPr>
          <w:p w14:paraId="5AE77560" w14:textId="77777777" w:rsidR="00327FF1" w:rsidRDefault="00E406C7">
            <w:pPr>
              <w:pStyle w:val="P68B1DB1-Normal11"/>
              <w:jc w:val="center"/>
              <w:rPr>
                <w:rFonts w:cs="Arial"/>
                <w:noProof/>
                <w:szCs w:val="20"/>
              </w:rPr>
            </w:pPr>
            <w:r>
              <w:rPr>
                <w:noProof/>
              </w:rPr>
              <w:t>100</w:t>
            </w:r>
          </w:p>
        </w:tc>
        <w:tc>
          <w:tcPr>
            <w:tcW w:w="1418" w:type="dxa"/>
            <w:shd w:val="clear" w:color="auto" w:fill="C6EFCE"/>
            <w:noWrap/>
            <w:vAlign w:val="center"/>
            <w:hideMark/>
          </w:tcPr>
          <w:p w14:paraId="7C8EC833" w14:textId="77777777" w:rsidR="00327FF1" w:rsidRDefault="00E406C7">
            <w:pPr>
              <w:pStyle w:val="P68B1DB1-Normal11"/>
              <w:jc w:val="center"/>
              <w:rPr>
                <w:rFonts w:cs="Arial"/>
                <w:noProof/>
                <w:szCs w:val="20"/>
              </w:rPr>
            </w:pPr>
            <w:r>
              <w:rPr>
                <w:noProof/>
              </w:rPr>
              <w:t>280</w:t>
            </w:r>
          </w:p>
        </w:tc>
        <w:tc>
          <w:tcPr>
            <w:tcW w:w="992" w:type="dxa"/>
            <w:shd w:val="clear" w:color="auto" w:fill="C6EFCE"/>
            <w:noWrap/>
            <w:vAlign w:val="center"/>
            <w:hideMark/>
          </w:tcPr>
          <w:p w14:paraId="0CA3550D" w14:textId="77777777" w:rsidR="00327FF1" w:rsidRDefault="00E406C7">
            <w:pPr>
              <w:pStyle w:val="P68B1DB1-Normal12"/>
              <w:jc w:val="center"/>
              <w:rPr>
                <w:rFonts w:cs="Arial"/>
                <w:noProof/>
              </w:rPr>
            </w:pPr>
            <w:r>
              <w:rPr>
                <w:noProof/>
              </w:rPr>
              <w:t>2. CET.</w:t>
            </w:r>
          </w:p>
        </w:tc>
        <w:tc>
          <w:tcPr>
            <w:tcW w:w="852" w:type="dxa"/>
            <w:shd w:val="clear" w:color="auto" w:fill="C6EFCE"/>
            <w:noWrap/>
            <w:vAlign w:val="center"/>
            <w:hideMark/>
          </w:tcPr>
          <w:p w14:paraId="71028566" w14:textId="77777777" w:rsidR="00327FF1" w:rsidRDefault="00E406C7">
            <w:pPr>
              <w:pStyle w:val="P68B1DB1-Normal12"/>
              <w:jc w:val="center"/>
              <w:rPr>
                <w:rFonts w:cs="Arial"/>
                <w:noProof/>
              </w:rPr>
            </w:pPr>
            <w:r>
              <w:rPr>
                <w:noProof/>
              </w:rPr>
              <w:t>2026</w:t>
            </w:r>
          </w:p>
        </w:tc>
        <w:tc>
          <w:tcPr>
            <w:tcW w:w="3259" w:type="dxa"/>
            <w:shd w:val="clear" w:color="auto" w:fill="C6EFCE"/>
            <w:noWrap/>
            <w:vAlign w:val="center"/>
            <w:hideMark/>
          </w:tcPr>
          <w:p w14:paraId="08C4844F" w14:textId="77777777" w:rsidR="00327FF1" w:rsidRDefault="00E406C7">
            <w:pPr>
              <w:pStyle w:val="P68B1DB1-Normal16"/>
              <w:spacing w:after="120"/>
              <w:rPr>
                <w:rFonts w:cs="Arial"/>
                <w:noProof/>
                <w:color w:val="006100"/>
              </w:rPr>
            </w:pPr>
            <w:r>
              <w:rPr>
                <w:noProof/>
                <w:color w:val="006100"/>
              </w:rPr>
              <w:t>Vismaz 280 centrālās valsts pārvaldes un vietējās veselības aprūpes iestādes (Aziende Sanitarie Locali/Aziende Ospedaliere) migrēja uz “Polo Strategico Nazionale” (PSN) vai uz drošu, sertificētu publisko mākoņu v</w:t>
            </w:r>
            <w:r>
              <w:rPr>
                <w:noProof/>
                <w:color w:val="006100"/>
              </w:rPr>
              <w:t>idi</w:t>
            </w:r>
            <w:r>
              <w:rPr>
                <w:noProof/>
              </w:rPr>
              <w:t xml:space="preserve"> </w:t>
            </w:r>
            <w:r>
              <w:rPr>
                <w:noProof/>
                <w:color w:val="006100"/>
              </w:rPr>
              <w:t xml:space="preserve">saskaņā ar Digitālās pārveides departamenta apstiprināto migrācijas plānu. </w:t>
            </w:r>
          </w:p>
          <w:p w14:paraId="76146DB0" w14:textId="77777777" w:rsidR="00327FF1" w:rsidRDefault="00E406C7">
            <w:pPr>
              <w:pStyle w:val="P68B1DB1-Normal12"/>
              <w:spacing w:after="120"/>
              <w:rPr>
                <w:rFonts w:cs="Arial"/>
                <w:noProof/>
              </w:rPr>
            </w:pPr>
            <w:r>
              <w:rPr>
                <w:noProof/>
              </w:rPr>
              <w:t>Migrēšanu var veikt dažādos veidos atkarībā no jaunākās uz vietas esošās programmatūras IT arhitektūras, kas pieder katrai migrējošajai valsts pārvaldei.</w:t>
            </w:r>
          </w:p>
          <w:p w14:paraId="08C0F27A" w14:textId="77777777" w:rsidR="00327FF1" w:rsidRDefault="00E406C7">
            <w:pPr>
              <w:pStyle w:val="P68B1DB1-Normal12"/>
              <w:spacing w:after="120"/>
              <w:rPr>
                <w:rFonts w:cs="Arial"/>
                <w:noProof/>
              </w:rPr>
            </w:pPr>
            <w:r>
              <w:rPr>
                <w:noProof/>
              </w:rPr>
              <w:t>Šīs stratēģijas var bū</w:t>
            </w:r>
            <w:r>
              <w:rPr>
                <w:noProof/>
              </w:rPr>
              <w:t>t dažādas, sākot no vienkāršas mitināšanas un pacelšanas un nobīdes migrācijai no programmatūras, kas nav gatava mākonī, līdz migrācijai uz infrastruktūru kā pakalpojumu (IaaS), platformu kā pakalpojumu (PaaS) vai programmatūru kā pakalpojumu (SaaS) mākoņd</w:t>
            </w:r>
            <w:r>
              <w:rPr>
                <w:noProof/>
              </w:rPr>
              <w:t>atošanai gatavai programmatūrai.</w:t>
            </w:r>
          </w:p>
          <w:p w14:paraId="6D22D768" w14:textId="77777777" w:rsidR="00327FF1" w:rsidRDefault="00E406C7">
            <w:pPr>
              <w:pStyle w:val="P68B1DB1-Normal12"/>
              <w:spacing w:after="120"/>
              <w:rPr>
                <w:rFonts w:cs="Arial"/>
                <w:noProof/>
              </w:rPr>
            </w:pPr>
            <w:r>
              <w:rPr>
                <w:noProof/>
              </w:rPr>
              <w:t>Vismaz 40 % no migrētajiem pakalpojumiem īsteno, izmantojot IaaS, PaaS vai SaaS risinājumus.</w:t>
            </w:r>
          </w:p>
          <w:p w14:paraId="6CAEAD9C" w14:textId="77777777" w:rsidR="00327FF1" w:rsidRDefault="00E406C7">
            <w:pPr>
              <w:pStyle w:val="P68B1DB1-Normal12"/>
              <w:spacing w:after="120"/>
              <w:rPr>
                <w:rFonts w:cs="Arial"/>
                <w:noProof/>
              </w:rPr>
            </w:pPr>
            <w:r>
              <w:rPr>
                <w:noProof/>
              </w:rPr>
              <w:t>PSN vai alternatīvs drošs un sertificēts publiskais mākoņdatošanas pakalpojumu sniedzējs katrai migrējošajai publiskajai pārvaldei</w:t>
            </w:r>
            <w:r>
              <w:rPr>
                <w:noProof/>
              </w:rPr>
              <w:t xml:space="preserve"> piedāvā visas migrācijas stratēģijas, kas ir atbilstīgas, lai ņemtu vērā sasniegto mērķrādītāju.</w:t>
            </w:r>
          </w:p>
        </w:tc>
      </w:tr>
      <w:tr w:rsidR="00327FF1" w14:paraId="4731F318" w14:textId="77777777">
        <w:trPr>
          <w:trHeight w:val="309"/>
        </w:trPr>
        <w:tc>
          <w:tcPr>
            <w:tcW w:w="1135" w:type="dxa"/>
            <w:shd w:val="clear" w:color="auto" w:fill="C6EFCE"/>
            <w:noWrap/>
            <w:vAlign w:val="center"/>
          </w:tcPr>
          <w:p w14:paraId="3950B178" w14:textId="77777777" w:rsidR="00327FF1" w:rsidRDefault="00E406C7">
            <w:pPr>
              <w:pStyle w:val="P68B1DB1-Normal11"/>
              <w:jc w:val="center"/>
              <w:rPr>
                <w:rFonts w:cs="Arial"/>
                <w:noProof/>
                <w:szCs w:val="20"/>
              </w:rPr>
            </w:pPr>
            <w:r>
              <w:rPr>
                <w:noProof/>
              </w:rPr>
              <w:t>M1C1–27</w:t>
            </w:r>
          </w:p>
        </w:tc>
        <w:tc>
          <w:tcPr>
            <w:tcW w:w="1417" w:type="dxa"/>
            <w:shd w:val="clear" w:color="auto" w:fill="C6EFCE"/>
            <w:noWrap/>
            <w:vAlign w:val="center"/>
          </w:tcPr>
          <w:p w14:paraId="67B52B0C" w14:textId="77777777" w:rsidR="00327FF1" w:rsidRDefault="00E406C7">
            <w:pPr>
              <w:pStyle w:val="P68B1DB1-Normal11"/>
              <w:jc w:val="center"/>
              <w:rPr>
                <w:rFonts w:cs="Arial"/>
                <w:noProof/>
                <w:szCs w:val="20"/>
              </w:rPr>
            </w:pPr>
            <w:r>
              <w:rPr>
                <w:noProof/>
              </w:rPr>
              <w:t>Investīcija 1.3.1.: Valsts digitālo datu platforma</w:t>
            </w:r>
          </w:p>
        </w:tc>
        <w:tc>
          <w:tcPr>
            <w:tcW w:w="992" w:type="dxa"/>
            <w:shd w:val="clear" w:color="auto" w:fill="C6EFCE"/>
            <w:noWrap/>
            <w:vAlign w:val="center"/>
          </w:tcPr>
          <w:p w14:paraId="2C415F20" w14:textId="77777777" w:rsidR="00327FF1" w:rsidRDefault="00E406C7">
            <w:pPr>
              <w:pStyle w:val="P68B1DB1-Normal11"/>
              <w:jc w:val="center"/>
              <w:rPr>
                <w:rFonts w:cs="Arial"/>
                <w:noProof/>
                <w:szCs w:val="20"/>
              </w:rPr>
            </w:pPr>
            <w:r>
              <w:rPr>
                <w:noProof/>
              </w:rPr>
              <w:t>Mērķa</w:t>
            </w:r>
          </w:p>
        </w:tc>
        <w:tc>
          <w:tcPr>
            <w:tcW w:w="1418" w:type="dxa"/>
            <w:shd w:val="clear" w:color="auto" w:fill="C6EFCE"/>
            <w:noWrap/>
            <w:vAlign w:val="center"/>
          </w:tcPr>
          <w:p w14:paraId="62EB1A73" w14:textId="77777777" w:rsidR="00327FF1" w:rsidRDefault="00E406C7">
            <w:pPr>
              <w:pStyle w:val="P68B1DB1-Normal11"/>
              <w:jc w:val="center"/>
              <w:rPr>
                <w:rFonts w:cs="Arial"/>
                <w:noProof/>
                <w:szCs w:val="20"/>
              </w:rPr>
            </w:pPr>
            <w:r>
              <w:rPr>
                <w:noProof/>
              </w:rPr>
              <w:t>API valsts digitālo datu platformā T2</w:t>
            </w:r>
          </w:p>
        </w:tc>
        <w:tc>
          <w:tcPr>
            <w:tcW w:w="1559" w:type="dxa"/>
            <w:shd w:val="clear" w:color="auto" w:fill="C6EFCE"/>
            <w:noWrap/>
            <w:vAlign w:val="center"/>
          </w:tcPr>
          <w:p w14:paraId="7062A715" w14:textId="77777777" w:rsidR="00327FF1" w:rsidRDefault="00E406C7">
            <w:pPr>
              <w:pStyle w:val="P68B1DB1-Normal11"/>
              <w:jc w:val="center"/>
              <w:rPr>
                <w:rFonts w:cs="Arial"/>
                <w:noProof/>
                <w:szCs w:val="20"/>
              </w:rPr>
            </w:pPr>
            <w:r>
              <w:rPr>
                <w:noProof/>
              </w:rPr>
              <w:t>NEPIEMĒRO</w:t>
            </w:r>
          </w:p>
        </w:tc>
        <w:tc>
          <w:tcPr>
            <w:tcW w:w="1276" w:type="dxa"/>
            <w:shd w:val="clear" w:color="auto" w:fill="C6EFCE"/>
            <w:noWrap/>
            <w:vAlign w:val="center"/>
          </w:tcPr>
          <w:p w14:paraId="13B0D3C2" w14:textId="77777777" w:rsidR="00327FF1" w:rsidRDefault="00E406C7">
            <w:pPr>
              <w:pStyle w:val="P68B1DB1-Normal11"/>
              <w:jc w:val="center"/>
              <w:rPr>
                <w:rFonts w:cs="Arial"/>
                <w:noProof/>
                <w:szCs w:val="20"/>
              </w:rPr>
            </w:pPr>
            <w:r>
              <w:rPr>
                <w:noProof/>
              </w:rPr>
              <w:t>Skaits</w:t>
            </w:r>
          </w:p>
        </w:tc>
        <w:tc>
          <w:tcPr>
            <w:tcW w:w="1417" w:type="dxa"/>
            <w:shd w:val="clear" w:color="auto" w:fill="C6EFCE"/>
            <w:noWrap/>
            <w:vAlign w:val="center"/>
          </w:tcPr>
          <w:p w14:paraId="01B86829" w14:textId="77777777" w:rsidR="00327FF1" w:rsidRDefault="00E406C7">
            <w:pPr>
              <w:pStyle w:val="P68B1DB1-Normal11"/>
              <w:jc w:val="center"/>
              <w:rPr>
                <w:rFonts w:cs="Arial"/>
                <w:noProof/>
                <w:szCs w:val="20"/>
              </w:rPr>
            </w:pPr>
            <w:r>
              <w:rPr>
                <w:noProof/>
              </w:rPr>
              <w:t>3 000</w:t>
            </w:r>
          </w:p>
        </w:tc>
        <w:tc>
          <w:tcPr>
            <w:tcW w:w="1418" w:type="dxa"/>
            <w:shd w:val="clear" w:color="auto" w:fill="C6EFCE"/>
            <w:noWrap/>
            <w:vAlign w:val="center"/>
          </w:tcPr>
          <w:p w14:paraId="1A80A698" w14:textId="77777777" w:rsidR="00327FF1" w:rsidRDefault="00E406C7">
            <w:pPr>
              <w:pStyle w:val="P68B1DB1-Normal11"/>
              <w:jc w:val="center"/>
              <w:rPr>
                <w:rFonts w:cs="Arial"/>
                <w:noProof/>
                <w:szCs w:val="20"/>
              </w:rPr>
            </w:pPr>
            <w:r>
              <w:rPr>
                <w:noProof/>
              </w:rPr>
              <w:t>7 000</w:t>
            </w:r>
          </w:p>
        </w:tc>
        <w:tc>
          <w:tcPr>
            <w:tcW w:w="992" w:type="dxa"/>
            <w:shd w:val="clear" w:color="auto" w:fill="C6EFCE"/>
            <w:noWrap/>
            <w:vAlign w:val="center"/>
          </w:tcPr>
          <w:p w14:paraId="5483C373" w14:textId="77777777" w:rsidR="00327FF1" w:rsidRDefault="00E406C7">
            <w:pPr>
              <w:pStyle w:val="P68B1DB1-Normal12"/>
              <w:jc w:val="center"/>
              <w:rPr>
                <w:rFonts w:cs="Arial"/>
                <w:noProof/>
              </w:rPr>
            </w:pPr>
            <w:r>
              <w:rPr>
                <w:noProof/>
              </w:rPr>
              <w:t>4. CET.</w:t>
            </w:r>
          </w:p>
        </w:tc>
        <w:tc>
          <w:tcPr>
            <w:tcW w:w="852" w:type="dxa"/>
            <w:shd w:val="clear" w:color="auto" w:fill="C6EFCE"/>
            <w:noWrap/>
            <w:vAlign w:val="center"/>
          </w:tcPr>
          <w:p w14:paraId="5DEE0664" w14:textId="77777777" w:rsidR="00327FF1" w:rsidRDefault="00E406C7">
            <w:pPr>
              <w:pStyle w:val="P68B1DB1-Normal12"/>
              <w:jc w:val="center"/>
              <w:rPr>
                <w:rFonts w:cs="Arial"/>
                <w:noProof/>
              </w:rPr>
            </w:pPr>
            <w:r>
              <w:rPr>
                <w:noProof/>
              </w:rPr>
              <w:t>2025</w:t>
            </w:r>
          </w:p>
        </w:tc>
        <w:tc>
          <w:tcPr>
            <w:tcW w:w="3259" w:type="dxa"/>
            <w:shd w:val="clear" w:color="auto" w:fill="C6EFCE"/>
            <w:noWrap/>
            <w:vAlign w:val="center"/>
          </w:tcPr>
          <w:p w14:paraId="0F780E96" w14:textId="77777777" w:rsidR="00327FF1" w:rsidRDefault="00E406C7">
            <w:pPr>
              <w:pStyle w:val="P68B1DB1-Normal12"/>
              <w:spacing w:after="120"/>
              <w:rPr>
                <w:rFonts w:cs="Arial"/>
                <w:noProof/>
              </w:rPr>
            </w:pPr>
            <w:r>
              <w:rPr>
                <w:noProof/>
              </w:rPr>
              <w:t>Šis mērķis ir sasniegt vismaz 4000 papildu lietojumprogrammu saskarnes (API), kas publicētas API katalogā (kopumā 7000).</w:t>
            </w:r>
          </w:p>
          <w:p w14:paraId="0BD44552" w14:textId="77777777" w:rsidR="00327FF1" w:rsidRDefault="00E406C7">
            <w:pPr>
              <w:pStyle w:val="P68B1DB1-Normal12"/>
              <w:spacing w:after="120"/>
              <w:rPr>
                <w:rFonts w:cs="Arial"/>
                <w:noProof/>
              </w:rPr>
            </w:pPr>
            <w:r>
              <w:rPr>
                <w:noProof/>
              </w:rPr>
              <w:t>Publicētās API ietekmē vairākas jomas, kas var ietvert (bet ne tikai):</w:t>
            </w:r>
          </w:p>
          <w:p w14:paraId="6974106F" w14:textId="77777777" w:rsidR="00327FF1" w:rsidRDefault="00E406C7">
            <w:pPr>
              <w:pStyle w:val="P68B1DB1-Normal12"/>
              <w:spacing w:after="120"/>
              <w:ind w:right="-62"/>
              <w:rPr>
                <w:rFonts w:cs="Arial"/>
                <w:noProof/>
              </w:rPr>
            </w:pPr>
            <w:r>
              <w:rPr>
                <w:noProof/>
              </w:rPr>
              <w:t>I) valsts dati, kas saistīti ar pieņemšanu darbā, pensionēšanos,</w:t>
            </w:r>
            <w:r>
              <w:rPr>
                <w:noProof/>
              </w:rPr>
              <w:t xml:space="preserve"> uzņemšanu skolā un universitātē (piemēram, Valsts studentu reģistrs un valsts pārvaldes reģistrs), fiskālo atbilstību vai valsts informācijas sistēmu attiecībā uz medicīniskajiem datiem un ārkārtas situācijām sanitārajā jomā.</w:t>
            </w:r>
          </w:p>
          <w:p w14:paraId="24A774A0" w14:textId="77777777" w:rsidR="00327FF1" w:rsidRDefault="00E406C7">
            <w:pPr>
              <w:pStyle w:val="P68B1DB1-Normal12"/>
              <w:spacing w:after="120"/>
              <w:ind w:right="-62"/>
              <w:rPr>
                <w:rFonts w:cs="Arial"/>
                <w:noProof/>
              </w:rPr>
            </w:pPr>
            <w:r>
              <w:rPr>
                <w:noProof/>
              </w:rPr>
              <w:t>Katra API īstenošana un dokum</w:t>
            </w:r>
            <w:r>
              <w:rPr>
                <w:noProof/>
              </w:rPr>
              <w:t>entācija atbilst valsts sadarbspējas standartiem. Valsts digitālo datu platformas satvars nodrošina funkcijas minētās atbilstības novērtēšanai.</w:t>
            </w:r>
          </w:p>
        </w:tc>
      </w:tr>
      <w:tr w:rsidR="00327FF1" w14:paraId="02288AA6" w14:textId="77777777">
        <w:trPr>
          <w:trHeight w:val="309"/>
        </w:trPr>
        <w:tc>
          <w:tcPr>
            <w:tcW w:w="1135" w:type="dxa"/>
            <w:shd w:val="clear" w:color="auto" w:fill="C6EFCE"/>
            <w:noWrap/>
            <w:vAlign w:val="center"/>
          </w:tcPr>
          <w:p w14:paraId="6247B8CF" w14:textId="77777777" w:rsidR="00327FF1" w:rsidRDefault="00E406C7">
            <w:pPr>
              <w:pStyle w:val="P68B1DB1-Normal11"/>
              <w:jc w:val="center"/>
              <w:rPr>
                <w:rFonts w:cs="Arial"/>
                <w:noProof/>
                <w:szCs w:val="20"/>
              </w:rPr>
            </w:pPr>
            <w:r>
              <w:rPr>
                <w:noProof/>
              </w:rPr>
              <w:t>M1C1–28</w:t>
            </w:r>
          </w:p>
        </w:tc>
        <w:tc>
          <w:tcPr>
            <w:tcW w:w="1417" w:type="dxa"/>
            <w:shd w:val="clear" w:color="auto" w:fill="C6EFCE"/>
            <w:noWrap/>
            <w:vAlign w:val="center"/>
          </w:tcPr>
          <w:p w14:paraId="7489B5E9" w14:textId="77777777" w:rsidR="00327FF1" w:rsidRDefault="00E406C7">
            <w:pPr>
              <w:pStyle w:val="P68B1DB1-Normal11"/>
              <w:jc w:val="center"/>
              <w:rPr>
                <w:rFonts w:cs="Arial"/>
                <w:noProof/>
                <w:szCs w:val="20"/>
              </w:rPr>
            </w:pPr>
            <w:r>
              <w:rPr>
                <w:noProof/>
              </w:rPr>
              <w:t>Investīcija 1.7.2.: Digitālo atvieglojumu pakalpojumu tīkls</w:t>
            </w:r>
          </w:p>
        </w:tc>
        <w:tc>
          <w:tcPr>
            <w:tcW w:w="992" w:type="dxa"/>
            <w:shd w:val="clear" w:color="auto" w:fill="C6EFCE"/>
            <w:noWrap/>
            <w:vAlign w:val="center"/>
          </w:tcPr>
          <w:p w14:paraId="6214AE3E" w14:textId="77777777" w:rsidR="00327FF1" w:rsidRDefault="00E406C7">
            <w:pPr>
              <w:pStyle w:val="P68B1DB1-Normal11"/>
              <w:jc w:val="center"/>
              <w:rPr>
                <w:rFonts w:cs="Arial"/>
                <w:noProof/>
                <w:szCs w:val="20"/>
              </w:rPr>
            </w:pPr>
            <w:r>
              <w:rPr>
                <w:noProof/>
              </w:rPr>
              <w:t>Mērķa</w:t>
            </w:r>
          </w:p>
        </w:tc>
        <w:tc>
          <w:tcPr>
            <w:tcW w:w="1418" w:type="dxa"/>
            <w:shd w:val="clear" w:color="auto" w:fill="C6EFCE"/>
            <w:noWrap/>
            <w:vAlign w:val="center"/>
          </w:tcPr>
          <w:p w14:paraId="4E6D7171" w14:textId="77777777" w:rsidR="00327FF1" w:rsidRDefault="00E406C7">
            <w:pPr>
              <w:pStyle w:val="P68B1DB1-Normal12"/>
              <w:jc w:val="center"/>
              <w:rPr>
                <w:rFonts w:cs="Arial"/>
                <w:noProof/>
              </w:rPr>
            </w:pPr>
            <w:r>
              <w:rPr>
                <w:noProof/>
              </w:rPr>
              <w:t xml:space="preserve">To iedzīvotāju skaits, kuri piedalās </w:t>
            </w:r>
            <w:r>
              <w:rPr>
                <w:noProof/>
              </w:rPr>
              <w:t>digitālās izglītības un/vai veicināšanas iniciatīvās, ko nodrošina digitālās veicināšanas centri</w:t>
            </w:r>
          </w:p>
        </w:tc>
        <w:tc>
          <w:tcPr>
            <w:tcW w:w="1559" w:type="dxa"/>
            <w:shd w:val="clear" w:color="auto" w:fill="C6EFCE"/>
            <w:noWrap/>
            <w:vAlign w:val="center"/>
          </w:tcPr>
          <w:p w14:paraId="57A5CBA0" w14:textId="77777777" w:rsidR="00327FF1" w:rsidRDefault="00E406C7">
            <w:pPr>
              <w:pStyle w:val="P68B1DB1-Normal11"/>
              <w:jc w:val="center"/>
              <w:rPr>
                <w:rFonts w:cs="Arial"/>
                <w:noProof/>
                <w:szCs w:val="20"/>
              </w:rPr>
            </w:pPr>
            <w:r>
              <w:rPr>
                <w:noProof/>
              </w:rPr>
              <w:t>NEPIEMĒRO</w:t>
            </w:r>
          </w:p>
        </w:tc>
        <w:tc>
          <w:tcPr>
            <w:tcW w:w="1276" w:type="dxa"/>
            <w:shd w:val="clear" w:color="auto" w:fill="C6EFCE"/>
            <w:noWrap/>
            <w:vAlign w:val="center"/>
          </w:tcPr>
          <w:p w14:paraId="0E818F39" w14:textId="77777777" w:rsidR="00327FF1" w:rsidRDefault="00E406C7">
            <w:pPr>
              <w:pStyle w:val="P68B1DB1-Normal11"/>
              <w:jc w:val="center"/>
              <w:rPr>
                <w:rFonts w:cs="Arial"/>
                <w:noProof/>
                <w:szCs w:val="20"/>
              </w:rPr>
            </w:pPr>
            <w:r>
              <w:rPr>
                <w:noProof/>
              </w:rPr>
              <w:t>Skaits</w:t>
            </w:r>
          </w:p>
        </w:tc>
        <w:tc>
          <w:tcPr>
            <w:tcW w:w="1417" w:type="dxa"/>
            <w:shd w:val="clear" w:color="auto" w:fill="C6EFCE"/>
            <w:noWrap/>
            <w:vAlign w:val="center"/>
          </w:tcPr>
          <w:p w14:paraId="1B6025DF" w14:textId="77777777" w:rsidR="00327FF1" w:rsidRDefault="00E406C7">
            <w:pPr>
              <w:pStyle w:val="P68B1DB1-Normal11"/>
              <w:jc w:val="center"/>
              <w:rPr>
                <w:rFonts w:cs="Arial"/>
                <w:noProof/>
                <w:szCs w:val="20"/>
              </w:rPr>
            </w:pPr>
            <w:r>
              <w:rPr>
                <w:noProof/>
              </w:rPr>
              <w:t>0</w:t>
            </w:r>
          </w:p>
        </w:tc>
        <w:tc>
          <w:tcPr>
            <w:tcW w:w="1418" w:type="dxa"/>
            <w:shd w:val="clear" w:color="auto" w:fill="C6EFCE"/>
            <w:noWrap/>
            <w:vAlign w:val="center"/>
          </w:tcPr>
          <w:p w14:paraId="52999D46" w14:textId="77777777" w:rsidR="00327FF1" w:rsidRDefault="00E406C7">
            <w:pPr>
              <w:pStyle w:val="P68B1DB1-Normal11"/>
              <w:jc w:val="center"/>
              <w:rPr>
                <w:rFonts w:cs="Arial"/>
                <w:noProof/>
                <w:szCs w:val="20"/>
              </w:rPr>
            </w:pPr>
            <w:r>
              <w:rPr>
                <w:noProof/>
              </w:rPr>
              <w:t>2 000 000</w:t>
            </w:r>
          </w:p>
        </w:tc>
        <w:tc>
          <w:tcPr>
            <w:tcW w:w="992" w:type="dxa"/>
            <w:shd w:val="clear" w:color="auto" w:fill="C6EFCE"/>
            <w:noWrap/>
            <w:vAlign w:val="center"/>
          </w:tcPr>
          <w:p w14:paraId="6A336849" w14:textId="77777777" w:rsidR="00327FF1" w:rsidRDefault="00E406C7">
            <w:pPr>
              <w:pStyle w:val="P68B1DB1-Normal11"/>
              <w:jc w:val="center"/>
              <w:rPr>
                <w:rFonts w:cs="Arial"/>
                <w:noProof/>
                <w:szCs w:val="20"/>
              </w:rPr>
            </w:pPr>
            <w:r>
              <w:rPr>
                <w:noProof/>
              </w:rPr>
              <w:t>2. CET.</w:t>
            </w:r>
          </w:p>
        </w:tc>
        <w:tc>
          <w:tcPr>
            <w:tcW w:w="852" w:type="dxa"/>
            <w:shd w:val="clear" w:color="auto" w:fill="C6EFCE"/>
            <w:noWrap/>
            <w:vAlign w:val="center"/>
          </w:tcPr>
          <w:p w14:paraId="51349AE6" w14:textId="77777777" w:rsidR="00327FF1" w:rsidRDefault="00E406C7">
            <w:pPr>
              <w:pStyle w:val="P68B1DB1-Normal11"/>
              <w:jc w:val="center"/>
              <w:rPr>
                <w:rFonts w:cs="Arial"/>
                <w:noProof/>
                <w:szCs w:val="20"/>
              </w:rPr>
            </w:pPr>
            <w:r>
              <w:rPr>
                <w:noProof/>
              </w:rPr>
              <w:t>2026</w:t>
            </w:r>
          </w:p>
        </w:tc>
        <w:tc>
          <w:tcPr>
            <w:tcW w:w="3259" w:type="dxa"/>
            <w:shd w:val="clear" w:color="auto" w:fill="C6EFCE"/>
            <w:noWrap/>
            <w:vAlign w:val="center"/>
          </w:tcPr>
          <w:p w14:paraId="6A275659" w14:textId="4CF51013" w:rsidR="00327FF1" w:rsidRDefault="00E406C7">
            <w:pPr>
              <w:pStyle w:val="P68B1DB1-Normal12"/>
              <w:spacing w:after="120"/>
              <w:rPr>
                <w:rFonts w:cs="Arial"/>
                <w:noProof/>
              </w:rPr>
            </w:pPr>
            <w:r>
              <w:rPr>
                <w:noProof/>
              </w:rPr>
              <w:t xml:space="preserve">Vismaz 2000000 iedzīvotāju, no kuriem 30 % atrodas Itālijas dienvidos, piedalījās digitālās izglītības un/vai </w:t>
            </w:r>
            <w:r>
              <w:rPr>
                <w:noProof/>
              </w:rPr>
              <w:t>veicināšanas iniciatīvās saskaņā ar reģistrāciju Digitālās pārveides departamenta platformā “Facilita”.</w:t>
            </w:r>
          </w:p>
        </w:tc>
      </w:tr>
      <w:tr w:rsidR="00327FF1" w14:paraId="5F000AB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5BAE83" w14:textId="77777777" w:rsidR="00327FF1" w:rsidRDefault="00E406C7">
            <w:pPr>
              <w:pStyle w:val="P68B1DB1-Normal11"/>
              <w:jc w:val="center"/>
              <w:rPr>
                <w:rFonts w:cs="Arial"/>
                <w:noProof/>
                <w:szCs w:val="20"/>
              </w:rPr>
            </w:pPr>
            <w:r>
              <w:rPr>
                <w:noProof/>
              </w:rPr>
              <w:t>M1C1–29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2B7E1" w14:textId="77777777" w:rsidR="00327FF1" w:rsidRDefault="00E406C7">
            <w:pPr>
              <w:pStyle w:val="P68B1DB1-Normal11"/>
              <w:jc w:val="center"/>
              <w:rPr>
                <w:rFonts w:cs="Arial"/>
                <w:noProof/>
                <w:szCs w:val="20"/>
              </w:rPr>
            </w:pPr>
            <w:r>
              <w:rPr>
                <w:noProof/>
              </w:rPr>
              <w:t>Reforma Nr. 1.4. Civiltiesību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94E684"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C1D22" w14:textId="77777777" w:rsidR="00327FF1" w:rsidRDefault="00E406C7">
            <w:pPr>
              <w:pStyle w:val="P68B1DB1-Normal11"/>
              <w:jc w:val="center"/>
              <w:rPr>
                <w:rFonts w:cs="Arial"/>
                <w:noProof/>
                <w:szCs w:val="20"/>
              </w:rPr>
            </w:pPr>
            <w:r>
              <w:rPr>
                <w:noProof/>
              </w:rPr>
              <w:t>Civiltiesību reformai paredzētu tiesību aktu stāšanās spēkā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D6909F" w14:textId="77777777" w:rsidR="00327FF1" w:rsidRDefault="00E406C7">
            <w:pPr>
              <w:pStyle w:val="P68B1DB1-Normal12"/>
              <w:jc w:val="center"/>
              <w:rPr>
                <w:rFonts w:cs="Arial"/>
                <w:noProof/>
              </w:rPr>
            </w:pPr>
            <w:r>
              <w:rPr>
                <w:noProof/>
              </w:rPr>
              <w:t>Likuma noteikums, kas norāda</w:t>
            </w:r>
            <w:r>
              <w:rPr>
                <w:noProof/>
              </w:rPr>
              <w:t xml:space="preserve"> uz pilnvarojuma tiesību akta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76F390"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6A9FF3"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86EF70"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9C8470"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919F85"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A17B32" w14:textId="77777777" w:rsidR="00327FF1" w:rsidRDefault="00E406C7">
            <w:pPr>
              <w:pStyle w:val="P68B1DB1-Normal12"/>
              <w:rPr>
                <w:rFonts w:cs="Arial"/>
                <w:noProof/>
              </w:rPr>
            </w:pPr>
            <w:r>
              <w:rPr>
                <w:noProof/>
              </w:rPr>
              <w:t>Veicinošie tiesību akti ietver vismaz šādus pasākumus: vienkāršotas procedūras ieviešana pirmās instances/tiesas līmenī un “filtrēšanas procedūru” piemērošanas stiprinā</w:t>
            </w:r>
            <w:r>
              <w:rPr>
                <w:noProof/>
              </w:rPr>
              <w:t>šana apelācijas līmenī, tostarp vienkāršoto procedūru plašāka izmantošana un to lietu klāsts, kurās viena tiesneša kompetencē ir izskatīt lietu; nodrošināt, ka faktiski tiek īstenoti saistoši procedūru termiņi un kalendārs pierādījumu vākšanai un elektroni</w:t>
            </w:r>
            <w:r>
              <w:rPr>
                <w:noProof/>
              </w:rPr>
              <w:t>skai visu attiecīgo aktu un dokumentu iesniegšanai; reformēt mediācijas un strīdu alternatīvas izšķiršanas izmantošanu kopā ar atbalstītu mediāciju, šķīrējtiesu un jebkuru citu iespējamu alternatīvu, lai padarītu šos institūtus efektīvākus, lai mazinātu sp</w:t>
            </w:r>
            <w:r>
              <w:rPr>
                <w:noProof/>
              </w:rPr>
              <w:t>iedienu uz civiltiesību sistēmu, tostarp ar stimuliem; IV) reformēt piespiedu izpildes procedūru, lai samazinātu esošo vidējo laiku, tostarp padarot deklarēto summu piedzīšanu ātrāku un lētāku; reformēt pašreizējo sistēmu attiecībā uz maksu par juridiskiem</w:t>
            </w:r>
            <w:r>
              <w:rPr>
                <w:noProof/>
              </w:rPr>
              <w:t xml:space="preserve"> pakalpojumiem apmēra noteikšanu un atgūšanu, lai samazinātu nepamatotu tiesvedību; ieviest uzraudzības sistēmu tiesas līmenī un palielināt civiltiesu produktivitāti, izmantojot stimulus, lai nodrošinātu saprātīgu tiesvedības ilgumu un vienādu sniegumu vis</w:t>
            </w:r>
            <w:r>
              <w:rPr>
                <w:noProof/>
              </w:rPr>
              <w:t>ās tiesās.</w:t>
            </w:r>
          </w:p>
        </w:tc>
      </w:tr>
      <w:tr w:rsidR="00327FF1" w14:paraId="580A756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93C92" w14:textId="77777777" w:rsidR="00327FF1" w:rsidRDefault="00E406C7">
            <w:pPr>
              <w:pStyle w:val="P68B1DB1-Normal11"/>
              <w:jc w:val="center"/>
              <w:rPr>
                <w:rFonts w:cs="Arial"/>
                <w:noProof/>
                <w:szCs w:val="20"/>
              </w:rPr>
            </w:pPr>
            <w:r>
              <w:rPr>
                <w:noProof/>
              </w:rPr>
              <w:t>M1C1–30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857831" w14:textId="77777777" w:rsidR="00327FF1" w:rsidRDefault="00E406C7">
            <w:pPr>
              <w:pStyle w:val="P68B1DB1-Normal11"/>
              <w:jc w:val="center"/>
              <w:rPr>
                <w:rFonts w:cs="Arial"/>
                <w:noProof/>
                <w:szCs w:val="20"/>
              </w:rPr>
            </w:pPr>
            <w:r>
              <w:rPr>
                <w:noProof/>
              </w:rPr>
              <w:t>Reforma Nr. 1.5: Krimināltiesību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60D0C2"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357DF6" w14:textId="77777777" w:rsidR="00327FF1" w:rsidRDefault="00E406C7">
            <w:pPr>
              <w:pStyle w:val="P68B1DB1-Normal11"/>
              <w:jc w:val="center"/>
              <w:rPr>
                <w:rFonts w:cs="Arial"/>
                <w:noProof/>
                <w:szCs w:val="20"/>
              </w:rPr>
            </w:pPr>
            <w:r>
              <w:rPr>
                <w:noProof/>
              </w:rPr>
              <w:t>Krimināltiesību reformai paredzētu tiesību aktu stāšanās spēkā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2E3E40" w14:textId="77777777" w:rsidR="00327FF1" w:rsidRDefault="00E406C7">
            <w:pPr>
              <w:pStyle w:val="P68B1DB1-Normal12"/>
              <w:jc w:val="center"/>
              <w:rPr>
                <w:rFonts w:cs="Arial"/>
                <w:noProof/>
              </w:rPr>
            </w:pPr>
            <w:r>
              <w:rPr>
                <w:noProof/>
              </w:rPr>
              <w:t>Likuma noteikums, kas norāda uz pilnvarojuma tiesību akta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170F10"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A9D5B7"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78C5E5"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4C91C5"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811984"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BCCCD3" w14:textId="77777777" w:rsidR="00327FF1" w:rsidRDefault="00E406C7">
            <w:pPr>
              <w:pStyle w:val="P68B1DB1-Normal12"/>
              <w:spacing w:after="120"/>
              <w:rPr>
                <w:rFonts w:cs="Arial"/>
                <w:noProof/>
              </w:rPr>
            </w:pPr>
            <w:r>
              <w:rPr>
                <w:noProof/>
              </w:rPr>
              <w:t>Veicinoši tiesību akti, kas ietver vismaz šādus pasākumus: pārskatīta paziņošanas sistēma, ii) vienkāršoto procedūru plašāka izmantošana, iii) dokumentu elektroniskas iesniegšanas plašāka izmantošana, iv) vienkāršoti noteikumi par pierādījumiem, v) ieprie</w:t>
            </w:r>
            <w:r>
              <w:rPr>
                <w:noProof/>
              </w:rPr>
              <w:t>kšējas izmeklēšanas ilguma termiņu noteikšana un pasākumi, lai izvairītos no stagnācijas izmeklēšanas posmā, vi) iespējas paplašināšana izbeigt noziegumu, ja ir atlīdzināti zaudējumi, vii) uzraudzības sistēmas ieviešana tiesas līmenī un krimināltiesu produ</w:t>
            </w:r>
            <w:r>
              <w:rPr>
                <w:noProof/>
              </w:rPr>
              <w:t>ktivitātes palielināšana, izmantojot stimulus nodrošināt saprātīgu tiesvedības ilgumu un vienādu sniegumu visās tiesās.</w:t>
            </w:r>
          </w:p>
        </w:tc>
      </w:tr>
      <w:tr w:rsidR="00327FF1" w14:paraId="7DB9A1F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468D1E" w14:textId="77777777" w:rsidR="00327FF1" w:rsidRDefault="00E406C7">
            <w:pPr>
              <w:pStyle w:val="P68B1DB1-Normal11"/>
              <w:jc w:val="center"/>
              <w:rPr>
                <w:rFonts w:cs="Arial"/>
                <w:noProof/>
                <w:szCs w:val="20"/>
              </w:rPr>
            </w:pPr>
            <w:r>
              <w:rPr>
                <w:noProof/>
              </w:rPr>
              <w:t>M1C1–31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0812E" w14:textId="77777777" w:rsidR="00327FF1" w:rsidRDefault="00E406C7">
            <w:pPr>
              <w:pStyle w:val="P68B1DB1-Normal11"/>
              <w:jc w:val="center"/>
              <w:rPr>
                <w:rFonts w:cs="Arial"/>
                <w:noProof/>
                <w:szCs w:val="20"/>
              </w:rPr>
            </w:pPr>
            <w:r>
              <w:rPr>
                <w:noProof/>
              </w:rPr>
              <w:t>Reforma Nr. 1.6. Maksātnespējas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888DEA"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B9196F" w14:textId="77777777" w:rsidR="00327FF1" w:rsidRDefault="00E406C7">
            <w:pPr>
              <w:pStyle w:val="P68B1DB1-Normal11"/>
              <w:jc w:val="center"/>
              <w:rPr>
                <w:rFonts w:cs="Arial"/>
                <w:noProof/>
                <w:szCs w:val="20"/>
              </w:rPr>
            </w:pPr>
            <w:r>
              <w:rPr>
                <w:noProof/>
              </w:rPr>
              <w:t xml:space="preserve">Maksātnespējas reformas satvaram labvēlīgu tiesību aktu </w:t>
            </w:r>
            <w:r>
              <w:rPr>
                <w:noProof/>
              </w:rPr>
              <w:t>stāšanās spēkā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117F7B" w14:textId="77777777" w:rsidR="00327FF1" w:rsidRDefault="00E406C7">
            <w:pPr>
              <w:pStyle w:val="P68B1DB1-Normal12"/>
              <w:jc w:val="center"/>
              <w:rPr>
                <w:rFonts w:cs="Arial"/>
                <w:noProof/>
              </w:rPr>
            </w:pPr>
            <w:r>
              <w:rPr>
                <w:noProof/>
              </w:rPr>
              <w:t>Likuma noteikums, kas norāda uz pilnvarojuma tiesību akta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546873"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37EAA8"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1F192"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0D2CE8"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8082F8"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2D30E5" w14:textId="77777777" w:rsidR="00327FF1" w:rsidRDefault="00E406C7">
            <w:pPr>
              <w:pStyle w:val="P68B1DB1-Normal12"/>
              <w:spacing w:after="120"/>
              <w:rPr>
                <w:rFonts w:cs="Arial"/>
                <w:noProof/>
              </w:rPr>
            </w:pPr>
            <w:r>
              <w:rPr>
                <w:noProof/>
              </w:rPr>
              <w:t>Maksātnespējas reforma ietver vismaz šādus pasākumus: pārskatīt ārpustiesas strīdu izšķiršanas kārtību, lai noteiktu jomas, k</w:t>
            </w:r>
            <w:r>
              <w:rPr>
                <w:noProof/>
              </w:rPr>
              <w:t>urās var būt nepieciešami turpmāki uzlabojumi, lai stimulētu attiecīgās puses plašāk izmantot šādu tiesvedību; ieviest agrīnās brīdināšanas mehānismus un piekļuvi informācijai pirms maksātnespējas posma; pāreja uz tiesu specializāciju (komerctiesības, maks</w:t>
            </w:r>
            <w:r>
              <w:rPr>
                <w:noProof/>
              </w:rPr>
              <w:t>ātnespējas nodaļa/palāta), kā arī pirmstiesas iestāžu specializāciju, lai pārvaldītu maksātnespējas procedūras maksātnespējas gadījumā; IV) ļaut vispirms samaksāt nodrošinātajiem kreditoriem (pirms nodokļu prasījumiem un darbinieku prasījumiem); atļaut uzņ</w:t>
            </w:r>
            <w:r>
              <w:rPr>
                <w:noProof/>
              </w:rPr>
              <w:t>ēmumiem piešķirt tiesības uz drošību, kas nav īpašuma tiesības. Papildus maksātnespējas reformai tiek nodrošināta to tiesu un administratīvo iestāžu darbinieku apmācība un specializācija, kuri nodarbojas ar pārstrukturēšanas procedūrām, kā arī tiek nodroši</w:t>
            </w:r>
            <w:r>
              <w:rPr>
                <w:noProof/>
              </w:rPr>
              <w:t xml:space="preserve">nāta pārstrukturēšanas un maksātnespējas procedūru vispārēja digitalizācija un tiešsaistes platformas izveide strīdu izšķiršanai ārpustiesas kārtībā, jo īpaši posmā pirms maksātnespējas, kuras izmantošana tiek stimulēta, lai samazinātu tiesu iestāžu slogu </w:t>
            </w:r>
            <w:r>
              <w:rPr>
                <w:noProof/>
              </w:rPr>
              <w:t>(pirmsmaksātnespējas pārstrukturēšanas pieteikumi, daudzpusējas pārstrukturēšanas veicināšana un iepriekš apstiprinātas automatizētas pārstrukturēšanas procedūras un risinājumi mazas vērtības lietās). Šāda tiešsaistes platforma arī nodrošina sadarbspēju ar</w:t>
            </w:r>
            <w:r>
              <w:rPr>
                <w:noProof/>
              </w:rPr>
              <w:t xml:space="preserve"> banku IT sistēmām, kā arī citām publiskām iestādēm un datubāzēm, lai nodrošinātu ātru, elektronisku dokumentācijas un datu apmaiņu starp parādniekiem un kreditoriem. Šajā nolūkā pieteikuma iesniedzējs (parādnieks) piekristu apmainīties ar saviem personas </w:t>
            </w:r>
            <w:r>
              <w:rPr>
                <w:noProof/>
              </w:rPr>
              <w:t>datiem saskaņā ar VDAR, un šis noteikums būtu jāiekļauj tiesību aktos. Ar reformu izveido nodrošinājuma reģistru.</w:t>
            </w:r>
          </w:p>
        </w:tc>
      </w:tr>
      <w:tr w:rsidR="00327FF1" w14:paraId="7BFBE34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88A78D" w14:textId="77777777" w:rsidR="00327FF1" w:rsidRDefault="00E406C7">
            <w:pPr>
              <w:pStyle w:val="P68B1DB1-Normal11"/>
              <w:jc w:val="center"/>
              <w:rPr>
                <w:rFonts w:cs="Arial"/>
                <w:noProof/>
                <w:szCs w:val="20"/>
              </w:rPr>
            </w:pPr>
            <w:r>
              <w:rPr>
                <w:noProof/>
              </w:rPr>
              <w:t>M1C1–32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90A60F" w14:textId="77777777" w:rsidR="00327FF1" w:rsidRDefault="00E406C7">
            <w:pPr>
              <w:pStyle w:val="P68B1DB1-Normal12"/>
              <w:jc w:val="center"/>
              <w:rPr>
                <w:rFonts w:cs="Arial"/>
                <w:noProof/>
              </w:rPr>
            </w:pPr>
            <w:r>
              <w:rPr>
                <w:noProof/>
              </w:rPr>
              <w:t>Investīciju 1.8: Darbā pieņemšanas procedūras civiltiesās, krimināltiesās un administratīvajās tiesās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3F857C"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0BF95" w14:textId="77777777" w:rsidR="00327FF1" w:rsidRDefault="00E406C7">
            <w:pPr>
              <w:pStyle w:val="P68B1DB1-Normal11"/>
              <w:jc w:val="center"/>
              <w:rPr>
                <w:rFonts w:cs="Arial"/>
                <w:noProof/>
                <w:szCs w:val="20"/>
              </w:rPr>
            </w:pPr>
            <w:r>
              <w:rPr>
                <w:noProof/>
              </w:rPr>
              <w:t>Stājas spēkā īpaši tiesību akti, kas reglamentē nacionālo atveseļošanas un noturības plānu pieņemšanu darbā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F2B9A7" w14:textId="77777777" w:rsidR="00327FF1" w:rsidRDefault="00E406C7">
            <w:pPr>
              <w:pStyle w:val="P68B1DB1-Normal12"/>
              <w:jc w:val="center"/>
              <w:rPr>
                <w:rFonts w:cs="Arial"/>
                <w:noProof/>
              </w:rPr>
            </w:pPr>
            <w:r>
              <w:rPr>
                <w:noProof/>
              </w:rPr>
              <w:t>Likuma noteikums, kas norāda, ka stājas spēkā īpašie tiesību akti, kas reglamentē nacionālo atveseļošanas un noturības plānu pieņemšanu darbā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C925B1" w14:textId="77777777" w:rsidR="00327FF1" w:rsidRDefault="00E406C7">
            <w:pPr>
              <w:pStyle w:val="P68B1DB1-Normal11"/>
              <w:jc w:val="center"/>
              <w:rPr>
                <w:rFonts w:cs="Arial"/>
                <w:noProof/>
                <w:szCs w:val="20"/>
              </w:rPr>
            </w:pPr>
            <w:r>
              <w:rPr>
                <w:noProof/>
              </w:rPr>
              <w:t>NEPIEM</w:t>
            </w:r>
            <w:r>
              <w:rPr>
                <w:noProof/>
              </w:rPr>
              <w:t>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B7D1F7"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FEC254"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71E2EF"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1BE389"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F4CA25" w14:textId="77777777" w:rsidR="00327FF1" w:rsidRDefault="00E406C7">
            <w:pPr>
              <w:pStyle w:val="P68B1DB1-Normal12"/>
              <w:spacing w:after="120"/>
              <w:rPr>
                <w:rFonts w:cs="Arial"/>
                <w:noProof/>
              </w:rPr>
            </w:pPr>
            <w:r>
              <w:rPr>
                <w:noProof/>
              </w:rPr>
              <w:t>Apstiprināt īpašus tiesību aktus, kas reglamentē nacionālo atveseļošanas un noturības plānu pieņemšanu darbā ar atļauju izsludināt un pieņemt darbā.</w:t>
            </w:r>
          </w:p>
        </w:tc>
      </w:tr>
      <w:tr w:rsidR="00327FF1" w14:paraId="1B00597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BF677" w14:textId="77777777" w:rsidR="00327FF1" w:rsidRDefault="00E406C7">
            <w:pPr>
              <w:pStyle w:val="P68B1DB1-Normal11"/>
              <w:jc w:val="center"/>
              <w:rPr>
                <w:rFonts w:cs="Arial"/>
                <w:noProof/>
                <w:szCs w:val="20"/>
              </w:rPr>
            </w:pPr>
            <w:r>
              <w:rPr>
                <w:noProof/>
              </w:rPr>
              <w:t>M1C1–33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3ADF83" w14:textId="77777777" w:rsidR="00327FF1" w:rsidRDefault="00E406C7">
            <w:pPr>
              <w:pStyle w:val="P68B1DB1-Normal11"/>
              <w:jc w:val="center"/>
              <w:rPr>
                <w:rFonts w:cs="Arial"/>
                <w:noProof/>
                <w:szCs w:val="20"/>
              </w:rPr>
            </w:pPr>
            <w:r>
              <w:rPr>
                <w:noProof/>
              </w:rPr>
              <w:t xml:space="preserve">Investīciju 1.8: Darbā pieņemšanas procedūras </w:t>
            </w:r>
            <w:r>
              <w:rPr>
                <w:noProof/>
              </w:rPr>
              <w:t>administratīvajās tiesās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9D8BD7"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0A9C7C" w14:textId="77777777" w:rsidR="00327FF1" w:rsidRDefault="00E406C7">
            <w:pPr>
              <w:pStyle w:val="P68B1DB1-Normal11"/>
              <w:jc w:val="center"/>
              <w:rPr>
                <w:rFonts w:cs="Arial"/>
                <w:noProof/>
                <w:szCs w:val="20"/>
              </w:rPr>
            </w:pPr>
            <w:r>
              <w:rPr>
                <w:noProof/>
              </w:rPr>
              <w:t>Administratīvo tiesu darbā pieņemšanas procedūru sākšana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211AC" w14:textId="77777777" w:rsidR="00327FF1" w:rsidRDefault="00E406C7">
            <w:pPr>
              <w:pStyle w:val="P68B1DB1-Normal11"/>
              <w:jc w:val="center"/>
              <w:rPr>
                <w:noProof/>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0CB80C"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FD5F8E" w14:textId="77777777" w:rsidR="00327FF1" w:rsidRDefault="00E406C7">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479117" w14:textId="77777777" w:rsidR="00327FF1" w:rsidRDefault="00E406C7">
            <w:pPr>
              <w:pStyle w:val="P68B1DB1-Normal11"/>
              <w:jc w:val="center"/>
              <w:rPr>
                <w:rFonts w:cs="Arial"/>
                <w:noProof/>
                <w:szCs w:val="20"/>
              </w:rPr>
            </w:pPr>
            <w:r>
              <w:rPr>
                <w:noProof/>
              </w:rPr>
              <w:t>168</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961CA3"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D567AA"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F6C56A" w14:textId="77777777" w:rsidR="00327FF1" w:rsidRDefault="00E406C7">
            <w:pPr>
              <w:pStyle w:val="P68B1DB1-Normal11"/>
              <w:spacing w:after="120"/>
              <w:rPr>
                <w:rFonts w:cs="Arial"/>
                <w:noProof/>
                <w:szCs w:val="20"/>
              </w:rPr>
            </w:pPr>
            <w:r>
              <w:rPr>
                <w:noProof/>
              </w:rPr>
              <w:t xml:space="preserve">Sākt darbā pieņemšanas procedūras attiecībā uz vismaz 168 personāla vienībām tiesas birojā un administratīvajās tiesās un nodot </w:t>
            </w:r>
            <w:r>
              <w:rPr>
                <w:noProof/>
              </w:rPr>
              <w:t>darbā nodaļas. Pamatscenārijs ir darbinieku skaits 2021. gada 31. decembrī.</w:t>
            </w:r>
          </w:p>
        </w:tc>
      </w:tr>
      <w:tr w:rsidR="00327FF1" w14:paraId="6038784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75CC0D" w14:textId="77777777" w:rsidR="00327FF1" w:rsidRDefault="00E406C7">
            <w:pPr>
              <w:pStyle w:val="P68B1DB1-Normal11"/>
              <w:jc w:val="center"/>
              <w:rPr>
                <w:rFonts w:cs="Arial"/>
                <w:noProof/>
                <w:szCs w:val="20"/>
              </w:rPr>
            </w:pPr>
            <w:r>
              <w:rPr>
                <w:noProof/>
              </w:rPr>
              <w:t>M1C1–34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21FF09" w14:textId="77777777" w:rsidR="00327FF1" w:rsidRDefault="00E406C7">
            <w:pPr>
              <w:pStyle w:val="P68B1DB1-Normal11"/>
              <w:jc w:val="center"/>
              <w:rPr>
                <w:rFonts w:cs="Arial"/>
                <w:noProof/>
                <w:szCs w:val="20"/>
              </w:rPr>
            </w:pPr>
            <w:r>
              <w:rPr>
                <w:noProof/>
              </w:rPr>
              <w:t>Investīciju 1.8: Darbā pieņemšanas procedūras civiltiesu un krimināltiesu tiesas birojam</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20744"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1D6D15" w14:textId="77777777" w:rsidR="00327FF1" w:rsidRDefault="00E406C7">
            <w:pPr>
              <w:pStyle w:val="P68B1DB1-Normal11"/>
              <w:jc w:val="center"/>
              <w:rPr>
                <w:rFonts w:cs="Arial"/>
                <w:noProof/>
                <w:szCs w:val="20"/>
              </w:rPr>
            </w:pPr>
            <w:r>
              <w:rPr>
                <w:noProof/>
              </w:rPr>
              <w:t>Civiltiesu un krimināltiesu darbā pieņemšanas procedūru sākšana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EE8D00"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A4390D"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2D91E6" w14:textId="77777777" w:rsidR="00327FF1" w:rsidRDefault="00E406C7">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42E6DF" w14:textId="77777777" w:rsidR="00327FF1" w:rsidRDefault="00E406C7">
            <w:pPr>
              <w:pStyle w:val="P68B1DB1-Normal11"/>
              <w:jc w:val="center"/>
              <w:rPr>
                <w:rFonts w:cs="Arial"/>
                <w:noProof/>
                <w:szCs w:val="20"/>
              </w:rPr>
            </w:pPr>
            <w:r>
              <w:rPr>
                <w:noProof/>
              </w:rPr>
              <w:t>8 764</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9FA2F9"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3BF982"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DFBBE7" w14:textId="77777777" w:rsidR="00327FF1" w:rsidRDefault="00E406C7">
            <w:pPr>
              <w:pStyle w:val="P68B1DB1-Normal11"/>
              <w:spacing w:after="120"/>
              <w:rPr>
                <w:rFonts w:cs="Arial"/>
                <w:noProof/>
                <w:szCs w:val="20"/>
              </w:rPr>
            </w:pPr>
            <w:r>
              <w:rPr>
                <w:noProof/>
              </w:rPr>
              <w:t>Sākt darbā pieņemšanas procedūras vismaz 8764 personāla nodaļām civiltiesu un krimināltiesu tiesas birojā un nodot amatā vienībām. Bāzlīnija ir darbinieku skaits 2021. gada beigās.</w:t>
            </w:r>
          </w:p>
        </w:tc>
      </w:tr>
      <w:tr w:rsidR="00327FF1" w14:paraId="1E1321D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6B93E2" w14:textId="77777777" w:rsidR="00327FF1" w:rsidRDefault="00E406C7">
            <w:pPr>
              <w:pStyle w:val="P68B1DB1-Normal11"/>
              <w:jc w:val="center"/>
              <w:rPr>
                <w:rFonts w:cs="Arial"/>
                <w:noProof/>
                <w:szCs w:val="20"/>
              </w:rPr>
            </w:pPr>
            <w:r>
              <w:rPr>
                <w:noProof/>
              </w:rPr>
              <w:t>M1C1–35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153F9C" w14:textId="77777777" w:rsidR="00327FF1" w:rsidRDefault="00E406C7">
            <w:pPr>
              <w:pStyle w:val="P68B1DB1-Normal11"/>
              <w:jc w:val="center"/>
              <w:rPr>
                <w:rFonts w:cs="Arial"/>
                <w:noProof/>
                <w:szCs w:val="20"/>
              </w:rPr>
            </w:pPr>
            <w:r>
              <w:rPr>
                <w:noProof/>
              </w:rPr>
              <w:t>Reforma Nr. 1.7: Nodokļu tiesu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361CEA"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FFFD4C" w14:textId="77777777" w:rsidR="00327FF1" w:rsidRDefault="00E406C7">
            <w:pPr>
              <w:pStyle w:val="P68B1DB1-Normal11"/>
              <w:jc w:val="center"/>
              <w:rPr>
                <w:rFonts w:cs="Arial"/>
                <w:noProof/>
                <w:szCs w:val="20"/>
              </w:rPr>
            </w:pPr>
            <w:r>
              <w:rPr>
                <w:noProof/>
              </w:rPr>
              <w:t>Visaptveroša pirmās un otrās instances nodokļu tiesu reforma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A5209B" w14:textId="77777777" w:rsidR="00327FF1" w:rsidRDefault="00E406C7">
            <w:pPr>
              <w:pStyle w:val="P68B1DB1-Normal12"/>
              <w:jc w:val="center"/>
              <w:rPr>
                <w:rFonts w:cs="Arial"/>
                <w:noProof/>
              </w:rPr>
            </w:pPr>
            <w:r>
              <w:rPr>
                <w:noProof/>
              </w:rPr>
              <w:t>Likuma noteikums, kas norāda uz pārskatītā tiesiskā regulējuma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E0A589"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3B60B2"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F96408"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7F58CE"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7E9EC5"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9DAD6E" w14:textId="77777777" w:rsidR="00327FF1" w:rsidRDefault="00E406C7">
            <w:pPr>
              <w:pStyle w:val="P68B1DB1-Normal11"/>
              <w:spacing w:after="120"/>
              <w:rPr>
                <w:rFonts w:cs="Arial"/>
                <w:noProof/>
                <w:szCs w:val="20"/>
              </w:rPr>
            </w:pPr>
            <w:r>
              <w:rPr>
                <w:noProof/>
              </w:rPr>
              <w:t xml:space="preserve">Pārskatītais tiesiskais regulējums padarīs efektīvāku </w:t>
            </w:r>
            <w:r>
              <w:rPr>
                <w:noProof/>
              </w:rPr>
              <w:t>nodokļu tiesību aktu izpildi un samazinās lielo pārsūdzību skaitu Kasācijas tiesā.</w:t>
            </w:r>
          </w:p>
        </w:tc>
      </w:tr>
      <w:tr w:rsidR="00327FF1" w14:paraId="62BD747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5F684" w14:textId="77777777" w:rsidR="00327FF1" w:rsidRDefault="00E406C7">
            <w:pPr>
              <w:pStyle w:val="P68B1DB1-Normal11"/>
              <w:jc w:val="center"/>
              <w:rPr>
                <w:rFonts w:cs="Arial"/>
                <w:noProof/>
                <w:szCs w:val="20"/>
              </w:rPr>
            </w:pPr>
            <w:r>
              <w:rPr>
                <w:noProof/>
              </w:rPr>
              <w:t>M1C1–36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CF15C0" w14:textId="77777777" w:rsidR="00327FF1" w:rsidRDefault="00E406C7">
            <w:pPr>
              <w:pStyle w:val="P68B1DB1-Normal11"/>
              <w:jc w:val="center"/>
              <w:rPr>
                <w:rFonts w:cs="Arial"/>
                <w:noProof/>
                <w:szCs w:val="20"/>
              </w:rPr>
            </w:pPr>
            <w:r>
              <w:rPr>
                <w:noProof/>
              </w:rPr>
              <w:t>1.4., 1.5. un 1.6. reforma: Civiltiesību un krimināltiesību reforma un maksātnespējas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821A86"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40743A" w14:textId="77777777" w:rsidR="00327FF1" w:rsidRDefault="00E406C7">
            <w:pPr>
              <w:pStyle w:val="P68B1DB1-Normal11"/>
              <w:jc w:val="center"/>
              <w:rPr>
                <w:rFonts w:cs="Arial"/>
                <w:noProof/>
                <w:szCs w:val="20"/>
              </w:rPr>
            </w:pPr>
            <w:r>
              <w:rPr>
                <w:noProof/>
              </w:rPr>
              <w:t xml:space="preserve">Deleģēto aktu stāšanās spēkā attiecībā uz </w:t>
            </w:r>
            <w:r>
              <w:rPr>
                <w:noProof/>
              </w:rPr>
              <w:t>civiltiesību un krimināltiesību reformām un maksātnespējas reformu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B7B4FB" w14:textId="77777777" w:rsidR="00327FF1" w:rsidRDefault="00E406C7">
            <w:pPr>
              <w:pStyle w:val="P68B1DB1-Normal12"/>
              <w:jc w:val="center"/>
              <w:rPr>
                <w:rFonts w:cs="Arial"/>
                <w:noProof/>
              </w:rPr>
            </w:pPr>
            <w:r>
              <w:rPr>
                <w:noProof/>
              </w:rPr>
              <w:t>Deleģēto aktu noteikums, kas norāda uz deleģēto aktu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A6C7D8"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4D67F5"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9A0E94"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2DFEE2"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980A02"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C4A368" w14:textId="77777777" w:rsidR="00327FF1" w:rsidRDefault="00E406C7">
            <w:pPr>
              <w:pStyle w:val="P68B1DB1-Normal12"/>
              <w:spacing w:after="120"/>
              <w:rPr>
                <w:rFonts w:cs="Arial"/>
                <w:noProof/>
              </w:rPr>
            </w:pPr>
            <w:r>
              <w:rPr>
                <w:noProof/>
              </w:rPr>
              <w:t>Stājas spēkā visi deleģētie akti, kuru saturs ir norādīts tiesību aktos par ci</w:t>
            </w:r>
            <w:r>
              <w:rPr>
                <w:noProof/>
              </w:rPr>
              <w:t>viltiesību un krimināltiesību reformām un maksātnespējas reformu.</w:t>
            </w:r>
          </w:p>
        </w:tc>
      </w:tr>
      <w:tr w:rsidR="00327FF1" w14:paraId="3BE651D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2AE9F5" w14:textId="77777777" w:rsidR="00327FF1" w:rsidRDefault="00E406C7">
            <w:pPr>
              <w:pStyle w:val="P68B1DB1-Normal11"/>
              <w:jc w:val="center"/>
              <w:rPr>
                <w:rFonts w:cs="Arial"/>
                <w:noProof/>
                <w:szCs w:val="20"/>
              </w:rPr>
            </w:pPr>
            <w:r>
              <w:rPr>
                <w:noProof/>
              </w:rPr>
              <w:t>M1C1–37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5E09DD" w14:textId="77777777" w:rsidR="00327FF1" w:rsidRDefault="00E406C7">
            <w:pPr>
              <w:pStyle w:val="P68B1DB1-Normal11"/>
              <w:jc w:val="center"/>
              <w:rPr>
                <w:rFonts w:cs="Arial"/>
                <w:noProof/>
                <w:szCs w:val="20"/>
              </w:rPr>
            </w:pPr>
            <w:r>
              <w:rPr>
                <w:noProof/>
              </w:rPr>
              <w:t>Un 1.5. reforma: Civiltiesību un krimināltiesību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AD1D0F"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407DA6" w14:textId="77777777" w:rsidR="00327FF1" w:rsidRDefault="00E406C7">
            <w:pPr>
              <w:pStyle w:val="P68B1DB1-Normal11"/>
              <w:jc w:val="center"/>
              <w:rPr>
                <w:rFonts w:cs="Arial"/>
                <w:noProof/>
                <w:szCs w:val="20"/>
              </w:rPr>
            </w:pPr>
            <w:r>
              <w:rPr>
                <w:noProof/>
              </w:rPr>
              <w:t>Civiltiesību un krimināltiesību reformas stāšanās spēkā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2121CB" w14:textId="77777777" w:rsidR="00327FF1" w:rsidRDefault="00E406C7">
            <w:pPr>
              <w:pStyle w:val="P68B1DB1-Normal12"/>
              <w:jc w:val="center"/>
              <w:rPr>
                <w:rFonts w:cs="Arial"/>
                <w:noProof/>
              </w:rPr>
            </w:pPr>
            <w:r>
              <w:rPr>
                <w:noProof/>
              </w:rPr>
              <w:t xml:space="preserve">Sekundāro tiesību aktu noteikums, kas norāda uz </w:t>
            </w:r>
            <w:r>
              <w:rPr>
                <w:noProof/>
              </w:rPr>
              <w:t>sekundāro tiesību aktu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1A5672"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7303E5"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692FAD"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56BE43"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CDF5F2"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610415" w14:textId="77777777" w:rsidR="00327FF1" w:rsidRDefault="00E406C7">
            <w:pPr>
              <w:pStyle w:val="P68B1DB1-Normal11"/>
              <w:spacing w:after="120"/>
              <w:rPr>
                <w:rFonts w:cs="Arial"/>
                <w:noProof/>
                <w:szCs w:val="20"/>
              </w:rPr>
            </w:pPr>
            <w:r>
              <w:rPr>
                <w:noProof/>
              </w:rPr>
              <w:t>Pabeigt visu to regulu un sekundāro tiesību aktu avotu pieņemšanu, kas vajadzīgi, lai efektīvi piemērotu tiesību aktus, kas ļauj veikt tiesu sistēmas reformas.</w:t>
            </w:r>
          </w:p>
        </w:tc>
      </w:tr>
      <w:tr w:rsidR="00327FF1" w14:paraId="0DA629F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DDEE56" w14:textId="77777777" w:rsidR="00327FF1" w:rsidRDefault="00E406C7">
            <w:pPr>
              <w:pStyle w:val="P68B1DB1-Normal11"/>
              <w:jc w:val="center"/>
              <w:rPr>
                <w:rFonts w:cs="Arial"/>
                <w:noProof/>
                <w:szCs w:val="20"/>
              </w:rPr>
            </w:pPr>
            <w:r>
              <w:rPr>
                <w:noProof/>
              </w:rPr>
              <w:t>M1C1–38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D1530" w14:textId="77777777" w:rsidR="00327FF1" w:rsidRDefault="00E406C7">
            <w:pPr>
              <w:pStyle w:val="P68B1DB1-Normal12"/>
              <w:jc w:val="center"/>
              <w:rPr>
                <w:rFonts w:cs="Arial"/>
                <w:noProof/>
              </w:rPr>
            </w:pPr>
            <w:r>
              <w:rPr>
                <w:noProof/>
              </w:rPr>
              <w:t>Reforma Nr. 1.8: Tieslietu sistēmu digitalizācija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F291E8"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D41EFE" w14:textId="77777777" w:rsidR="00327FF1" w:rsidRDefault="00E406C7">
            <w:pPr>
              <w:pStyle w:val="P68B1DB1-Normal12"/>
              <w:jc w:val="center"/>
              <w:rPr>
                <w:rFonts w:cs="Arial"/>
                <w:noProof/>
              </w:rPr>
            </w:pPr>
            <w:r>
              <w:rPr>
                <w:noProof/>
              </w:rPr>
              <w:t>Tiesu sistēmas digitalizācija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5A21C" w14:textId="77777777" w:rsidR="00327FF1" w:rsidRDefault="00E406C7">
            <w:pPr>
              <w:pStyle w:val="P68B1DB1-Normal12"/>
              <w:jc w:val="center"/>
              <w:rPr>
                <w:rFonts w:cs="Arial"/>
                <w:noProof/>
              </w:rPr>
            </w:pPr>
            <w:r>
              <w:rPr>
                <w:noProof/>
              </w:rPr>
              <w:t>Primāro un sekundāro tiesību aktu noteikums, kas norāda uz attiecīgo tiesību aktu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18C99E"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FB63C7"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2F97AA"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DA6050"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ADAF8F"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34DA44" w14:textId="77777777" w:rsidR="00327FF1" w:rsidRDefault="00E406C7">
            <w:pPr>
              <w:pStyle w:val="P68B1DB1-Normal12"/>
              <w:spacing w:after="120"/>
              <w:rPr>
                <w:rFonts w:cs="Arial"/>
                <w:noProof/>
              </w:rPr>
            </w:pPr>
            <w:r>
              <w:rPr>
                <w:noProof/>
              </w:rPr>
              <w:t>Civilprocesam izvei</w:t>
            </w:r>
            <w:r>
              <w:rPr>
                <w:noProof/>
              </w:rPr>
              <w:t>do obligātu visu dokumentu elektronisku iesniegšanu un pilnu elektronisko darbplūsmu. Digitalizēti pirmās instances kriminālprocesi (izņemot pirmstiesas izmeklēšanas biroju). Izveidot bezmaksas, pilnībā pieejamu un meklējamu civillietu nolēmumu datubāzi sa</w:t>
            </w:r>
            <w:r>
              <w:rPr>
                <w:noProof/>
              </w:rPr>
              <w:t>skaņā ar tiesību aktiem.</w:t>
            </w:r>
          </w:p>
        </w:tc>
      </w:tr>
      <w:tr w:rsidR="00327FF1" w14:paraId="62D786D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4923E" w14:textId="77777777" w:rsidR="00327FF1" w:rsidRDefault="00E406C7">
            <w:pPr>
              <w:pStyle w:val="P68B1DB1-Normal11"/>
              <w:jc w:val="center"/>
              <w:rPr>
                <w:rFonts w:cs="Arial"/>
                <w:noProof/>
              </w:rPr>
            </w:pPr>
            <w:r>
              <w:rPr>
                <w:noProof/>
              </w:rPr>
              <w:t>M1C1–38bis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8B2020" w14:textId="77777777" w:rsidR="00327FF1" w:rsidRDefault="00E406C7">
            <w:pPr>
              <w:pStyle w:val="P68B1DB1-Normal12"/>
              <w:jc w:val="center"/>
              <w:rPr>
                <w:rFonts w:cs="Arial"/>
                <w:noProof/>
              </w:rPr>
            </w:pPr>
            <w:r>
              <w:rPr>
                <w:noProof/>
              </w:rPr>
              <w:t>Reforma Nr. 1.8: Tieslietu sistēmu digitalizācija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5C5008" w14:textId="77777777" w:rsidR="00327FF1" w:rsidRDefault="00E406C7">
            <w:pPr>
              <w:pStyle w:val="P68B1DB1-Normal11"/>
              <w:jc w:val="center"/>
              <w:rPr>
                <w:rFonts w:cs="Arial"/>
                <w:noProof/>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7705AC" w14:textId="77777777" w:rsidR="00327FF1" w:rsidRDefault="00E406C7">
            <w:pPr>
              <w:pStyle w:val="P68B1DB1-Normal12"/>
              <w:jc w:val="center"/>
              <w:rPr>
                <w:rFonts w:cs="Arial"/>
                <w:noProof/>
              </w:rPr>
            </w:pPr>
            <w:r>
              <w:rPr>
                <w:noProof/>
              </w:rPr>
              <w:t>Tiesu sistēmas digitalizācija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2144E4" w14:textId="77777777" w:rsidR="00327FF1" w:rsidRDefault="00E406C7">
            <w:pPr>
              <w:pStyle w:val="P68B1DB1-Normal12"/>
              <w:jc w:val="center"/>
              <w:rPr>
                <w:rFonts w:cs="Arial"/>
                <w:noProof/>
              </w:rPr>
            </w:pPr>
            <w:r>
              <w:rPr>
                <w:noProof/>
              </w:rPr>
              <w:t>Pirmās instances kriminālprocesi ir digitalizēti, un PDR, PDP un APP ir sadarbspējīgi</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5CBB85" w14:textId="77777777" w:rsidR="00327FF1" w:rsidRDefault="00E406C7">
            <w:pPr>
              <w:pStyle w:val="P68B1DB1-Normal11"/>
              <w:jc w:val="center"/>
              <w:rPr>
                <w:rFonts w:cs="Arial"/>
                <w:noProof/>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284E2" w14:textId="77777777" w:rsidR="00327FF1" w:rsidRDefault="00E406C7">
            <w:pPr>
              <w:pStyle w:val="P68B1DB1-Normal11"/>
              <w:jc w:val="center"/>
              <w:rPr>
                <w:rFonts w:cs="Arial"/>
                <w:noProof/>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0081FC" w14:textId="77777777" w:rsidR="00327FF1" w:rsidRDefault="00E406C7">
            <w:pPr>
              <w:pStyle w:val="P68B1DB1-Normal11"/>
              <w:jc w:val="center"/>
              <w:rPr>
                <w:rFonts w:cs="Arial"/>
                <w:noProof/>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8756A5" w14:textId="77777777" w:rsidR="00327FF1" w:rsidRDefault="00E406C7">
            <w:pPr>
              <w:pStyle w:val="P68B1DB1-Normal11"/>
              <w:jc w:val="center"/>
              <w:rPr>
                <w:rFonts w:cs="Arial"/>
                <w:noProof/>
              </w:rPr>
            </w:pPr>
            <w:r>
              <w:rPr>
                <w:noProof/>
              </w:rPr>
              <w:t xml:space="preserve">4. </w:t>
            </w:r>
            <w:r>
              <w:rPr>
                <w:noProof/>
              </w:rPr>
              <w:t>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13D754" w14:textId="77777777" w:rsidR="00327FF1" w:rsidRDefault="00E406C7">
            <w:pPr>
              <w:pStyle w:val="P68B1DB1-Normal11"/>
              <w:jc w:val="center"/>
              <w:rPr>
                <w:rFonts w:cs="Arial"/>
                <w:noProof/>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386DC1" w14:textId="77777777" w:rsidR="00327FF1" w:rsidRDefault="00E406C7">
            <w:pPr>
              <w:pStyle w:val="P68B1DB1-Normal12"/>
              <w:spacing w:after="120"/>
              <w:rPr>
                <w:rFonts w:cs="Arial"/>
                <w:noProof/>
              </w:rPr>
            </w:pPr>
            <w:r>
              <w:rPr>
                <w:noProof/>
              </w:rPr>
              <w:t>Pirmās instances kriminālprocesa digitalizācija līdz noslēgumam, izmantojot “portale delle notizie di reato” (PNR), “portale dei depositi penali” (PDP) un “applicativo processo penale” (APP). Platformas ir savstarpēji sadarbspējīgas.</w:t>
            </w:r>
          </w:p>
        </w:tc>
      </w:tr>
      <w:tr w:rsidR="00327FF1" w14:paraId="39F9B75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5BC397" w14:textId="77777777" w:rsidR="00327FF1" w:rsidRDefault="00E406C7">
            <w:pPr>
              <w:pStyle w:val="P68B1DB1-Normal11"/>
              <w:jc w:val="center"/>
              <w:rPr>
                <w:rFonts w:cs="Arial"/>
                <w:noProof/>
                <w:szCs w:val="20"/>
              </w:rPr>
            </w:pPr>
            <w:r>
              <w:rPr>
                <w:noProof/>
              </w:rPr>
              <w:t>M1C1–39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6B2C28" w14:textId="77777777" w:rsidR="00327FF1" w:rsidRDefault="00E406C7">
            <w:pPr>
              <w:pStyle w:val="P68B1DB1-Normal11"/>
              <w:jc w:val="center"/>
              <w:rPr>
                <w:rFonts w:cs="Arial"/>
                <w:noProof/>
                <w:szCs w:val="20"/>
              </w:rPr>
            </w:pPr>
            <w:r>
              <w:rPr>
                <w:noProof/>
              </w:rPr>
              <w:t>Investīciju 1.8: Darbā pieņemšanas procedūras civiltiesās un krimināltiesās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89CC22"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68EBDF" w14:textId="77777777" w:rsidR="00327FF1" w:rsidRDefault="00E406C7">
            <w:pPr>
              <w:pStyle w:val="P68B1DB1-Normal11"/>
              <w:jc w:val="center"/>
              <w:rPr>
                <w:rFonts w:cs="Arial"/>
                <w:noProof/>
                <w:szCs w:val="20"/>
              </w:rPr>
            </w:pPr>
            <w:r>
              <w:rPr>
                <w:noProof/>
              </w:rPr>
              <w:t>Darbā pieņemšanas vai</w:t>
            </w:r>
            <w:r>
              <w:rPr>
                <w:noProof/>
              </w:rPr>
              <w:t xml:space="preserve"> pagarināšanas procedūras civiltiesām un krimināltiesām un par ANP īstenošanu atbildīgajiem Tieslietu ministrijas teritoriālajiem un centrālajiem dienestiem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2DBAB6"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608381"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A1A5DC" w14:textId="77777777" w:rsidR="00327FF1" w:rsidRDefault="00E406C7">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64CA04" w14:textId="77777777" w:rsidR="00327FF1" w:rsidRDefault="00E406C7">
            <w:pPr>
              <w:pStyle w:val="P68B1DB1-Normal11"/>
              <w:jc w:val="center"/>
              <w:rPr>
                <w:rFonts w:cs="Arial"/>
                <w:noProof/>
                <w:szCs w:val="20"/>
              </w:rPr>
            </w:pPr>
            <w:r>
              <w:rPr>
                <w:noProof/>
              </w:rPr>
              <w:t>10 000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A6FC1B"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226D00"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BC86FE" w14:textId="77777777" w:rsidR="00327FF1" w:rsidRDefault="00E406C7">
            <w:pPr>
              <w:pStyle w:val="P68B1DB1-Normal11"/>
              <w:spacing w:after="120"/>
              <w:rPr>
                <w:rFonts w:cs="Arial"/>
                <w:noProof/>
                <w:szCs w:val="20"/>
              </w:rPr>
            </w:pPr>
            <w:r>
              <w:rPr>
                <w:noProof/>
              </w:rPr>
              <w:t>Pabeigt procedūras vismaz 10000 personāla vienību pieņemšana</w:t>
            </w:r>
            <w:r>
              <w:rPr>
                <w:noProof/>
              </w:rPr>
              <w:t>i darbā vai pagarināšanai izmēģinājuma birojā un tehniskajam administratīvajam personālam un nodot tos darbā.</w:t>
            </w:r>
          </w:p>
          <w:p w14:paraId="2193B0FE" w14:textId="77777777" w:rsidR="00327FF1" w:rsidRDefault="00E406C7">
            <w:pPr>
              <w:pStyle w:val="P68B1DB1-Normal12"/>
              <w:spacing w:after="120"/>
              <w:rPr>
                <w:rFonts w:cs="Arial"/>
                <w:noProof/>
              </w:rPr>
            </w:pPr>
            <w:r>
              <w:rPr>
                <w:noProof/>
              </w:rPr>
              <w:t>Šajā mērķrādītājā ieskaita tikai pieņemšanu darbā vai pagarināšanas procedūras, kas pabeigtas kopš 2022. gada 1. janvāra.</w:t>
            </w:r>
          </w:p>
        </w:tc>
      </w:tr>
      <w:tr w:rsidR="00327FF1" w14:paraId="361DBF5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B9837" w14:textId="77777777" w:rsidR="00327FF1" w:rsidRDefault="00E406C7">
            <w:pPr>
              <w:pStyle w:val="P68B1DB1-Normal11"/>
              <w:jc w:val="center"/>
              <w:rPr>
                <w:rFonts w:cs="Arial"/>
                <w:noProof/>
                <w:szCs w:val="20"/>
              </w:rPr>
            </w:pPr>
            <w:r>
              <w:rPr>
                <w:noProof/>
              </w:rPr>
              <w:t>M1C1–40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0B4960" w14:textId="77777777" w:rsidR="00327FF1" w:rsidRDefault="00E406C7">
            <w:pPr>
              <w:pStyle w:val="P68B1DB1-Normal11"/>
              <w:jc w:val="center"/>
              <w:rPr>
                <w:rFonts w:cs="Arial"/>
                <w:noProof/>
                <w:szCs w:val="20"/>
              </w:rPr>
            </w:pPr>
            <w:bookmarkStart w:id="2" w:name="_Hlk160473086"/>
            <w:r>
              <w:rPr>
                <w:noProof/>
              </w:rPr>
              <w:t xml:space="preserve">Investīciju </w:t>
            </w:r>
            <w:r>
              <w:rPr>
                <w:noProof/>
              </w:rPr>
              <w:t>1.8: Darbā pieņemšanas procedūras administratīvajās tiesās</w:t>
            </w:r>
            <w:bookmarkEnd w:id="2"/>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0AC815"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AAB02A" w14:textId="77777777" w:rsidR="00327FF1" w:rsidRDefault="00E406C7">
            <w:pPr>
              <w:pStyle w:val="P68B1DB1-Normal11"/>
              <w:jc w:val="center"/>
              <w:rPr>
                <w:rFonts w:cs="Arial"/>
                <w:noProof/>
                <w:szCs w:val="20"/>
              </w:rPr>
            </w:pPr>
            <w:r>
              <w:rPr>
                <w:noProof/>
              </w:rPr>
              <w:t>Darbā pieņemšanas vai pagarināšanas procedūras administratīvajās tiesās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34E943"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E59D6A"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D4AF77" w14:textId="77777777" w:rsidR="00327FF1" w:rsidRDefault="00E406C7">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5C5EC4" w14:textId="77777777" w:rsidR="00327FF1" w:rsidRDefault="00E406C7">
            <w:pPr>
              <w:pStyle w:val="P68B1DB1-Normal11"/>
              <w:jc w:val="center"/>
              <w:rPr>
                <w:rFonts w:cs="Arial"/>
                <w:noProof/>
                <w:szCs w:val="20"/>
              </w:rPr>
            </w:pPr>
            <w:r>
              <w:rPr>
                <w:noProof/>
              </w:rPr>
              <w:t>158</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AC6CAF"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D22321"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9A939D" w14:textId="77777777" w:rsidR="00327FF1" w:rsidRDefault="00E406C7">
            <w:pPr>
              <w:pStyle w:val="P68B1DB1-Normal12"/>
              <w:spacing w:after="120"/>
              <w:rPr>
                <w:rFonts w:cs="Arial"/>
                <w:noProof/>
              </w:rPr>
            </w:pPr>
            <w:r>
              <w:rPr>
                <w:noProof/>
              </w:rPr>
              <w:t>Pabeigt procedūras, lai pieņemtu darbā vai pagarinātu vismaz 158 personāla vienības</w:t>
            </w:r>
            <w:r>
              <w:rPr>
                <w:noProof/>
              </w:rPr>
              <w:t xml:space="preserve"> tiesas birojā un administratīvajās tiesās, kā arī nodot ekspluatācijā nodaļas. Šajā mērķrādītājā ieskaita tikai pieņemšanu darbā vai pagarināšanas procedūras, kas pabeigtas kopš 2022. gada 1. janvāra.</w:t>
            </w:r>
          </w:p>
        </w:tc>
      </w:tr>
      <w:tr w:rsidR="00327FF1" w14:paraId="116D05F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41FCCB" w14:textId="77777777" w:rsidR="00327FF1" w:rsidRDefault="00E406C7">
            <w:pPr>
              <w:pStyle w:val="P68B1DB1-Normal11"/>
              <w:jc w:val="center"/>
              <w:rPr>
                <w:rFonts w:cs="Arial"/>
                <w:noProof/>
                <w:szCs w:val="20"/>
              </w:rPr>
            </w:pPr>
            <w:r>
              <w:rPr>
                <w:noProof/>
              </w:rPr>
              <w:t>M1C1–41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8BB437" w14:textId="77777777" w:rsidR="00327FF1" w:rsidRDefault="00E406C7">
            <w:pPr>
              <w:pStyle w:val="P68B1DB1-Normal11"/>
              <w:jc w:val="center"/>
              <w:rPr>
                <w:rFonts w:cs="Arial"/>
                <w:noProof/>
                <w:szCs w:val="20"/>
              </w:rPr>
            </w:pPr>
            <w:r>
              <w:rPr>
                <w:noProof/>
              </w:rPr>
              <w:t>Investīciju 1.8: Darbā pieņemšanas procedūras</w:t>
            </w:r>
            <w:r>
              <w:rPr>
                <w:noProof/>
              </w:rPr>
              <w:t xml:space="preserve"> administratīvajās tiesās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D6BDB"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FB482" w14:textId="77777777" w:rsidR="00327FF1" w:rsidRDefault="00E406C7">
            <w:pPr>
              <w:pStyle w:val="P68B1DB1-Normal11"/>
              <w:jc w:val="center"/>
              <w:rPr>
                <w:rFonts w:cs="Arial"/>
                <w:noProof/>
                <w:szCs w:val="20"/>
              </w:rPr>
            </w:pPr>
            <w:r>
              <w:rPr>
                <w:noProof/>
              </w:rPr>
              <w:t>Neizskatīto lietu samazināšana administratīvajās apgabaltiesās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6CB41F"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6DB62"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5B1B70" w14:textId="77777777" w:rsidR="00327FF1" w:rsidRDefault="00E406C7">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8738C" w14:textId="77777777" w:rsidR="00327FF1" w:rsidRDefault="00E406C7">
            <w:pPr>
              <w:pStyle w:val="P68B1DB1-Normal11"/>
              <w:jc w:val="center"/>
              <w:rPr>
                <w:rFonts w:cs="Arial"/>
                <w:noProof/>
                <w:szCs w:val="20"/>
              </w:rPr>
            </w:pPr>
            <w:r>
              <w:rPr>
                <w:noProof/>
              </w:rPr>
              <w:t>75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B5B639"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1C85EA"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A60B7" w14:textId="77777777" w:rsidR="00327FF1" w:rsidRDefault="00E406C7">
            <w:pPr>
              <w:pStyle w:val="P68B1DB1-Normal11"/>
              <w:spacing w:after="120"/>
              <w:rPr>
                <w:rFonts w:cs="Arial"/>
                <w:noProof/>
                <w:szCs w:val="20"/>
              </w:rPr>
            </w:pPr>
            <w:r>
              <w:rPr>
                <w:noProof/>
              </w:rPr>
              <w:t xml:space="preserve">Par 25 % samazināt neizskatīto lietu skaitu 2019. gadā (109029) administratīvajās reģionālajās tiesās </w:t>
            </w:r>
            <w:r>
              <w:rPr>
                <w:noProof/>
              </w:rPr>
              <w:t>(pirmās instances administratīvajās tiesās).</w:t>
            </w:r>
          </w:p>
        </w:tc>
      </w:tr>
      <w:tr w:rsidR="00327FF1" w14:paraId="4B9EC16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8A2155" w14:textId="77777777" w:rsidR="00327FF1" w:rsidRDefault="00E406C7">
            <w:pPr>
              <w:pStyle w:val="P68B1DB1-Normal11"/>
              <w:jc w:val="center"/>
              <w:rPr>
                <w:rFonts w:cs="Arial"/>
                <w:noProof/>
                <w:szCs w:val="20"/>
              </w:rPr>
            </w:pPr>
            <w:r>
              <w:rPr>
                <w:noProof/>
              </w:rPr>
              <w:t>M1C1–42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2D7C7E" w14:textId="77777777" w:rsidR="00327FF1" w:rsidRDefault="00E406C7">
            <w:pPr>
              <w:pStyle w:val="P68B1DB1-Normal11"/>
              <w:jc w:val="center"/>
              <w:rPr>
                <w:rFonts w:cs="Arial"/>
                <w:noProof/>
                <w:szCs w:val="20"/>
              </w:rPr>
            </w:pPr>
            <w:r>
              <w:rPr>
                <w:noProof/>
              </w:rPr>
              <w:t>Investīciju 1.8: Darbā pieņemšanas procedūras administratīvajās tiesās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0DB39B"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0263D" w14:textId="77777777" w:rsidR="00327FF1" w:rsidRDefault="00E406C7">
            <w:pPr>
              <w:pStyle w:val="P68B1DB1-Normal11"/>
              <w:jc w:val="center"/>
              <w:rPr>
                <w:rFonts w:cs="Arial"/>
                <w:noProof/>
                <w:szCs w:val="20"/>
              </w:rPr>
            </w:pPr>
            <w:r>
              <w:rPr>
                <w:noProof/>
              </w:rPr>
              <w:t>Neizskatīto lietu skaita samazināšana Valsts padomē</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B7BF56"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342388"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43D15B" w14:textId="77777777" w:rsidR="00327FF1" w:rsidRDefault="00E406C7">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C34556" w14:textId="77777777" w:rsidR="00327FF1" w:rsidRDefault="00E406C7">
            <w:pPr>
              <w:pStyle w:val="P68B1DB1-Normal11"/>
              <w:jc w:val="center"/>
              <w:rPr>
                <w:rFonts w:cs="Arial"/>
                <w:noProof/>
                <w:szCs w:val="20"/>
              </w:rPr>
            </w:pPr>
            <w:r>
              <w:rPr>
                <w:noProof/>
              </w:rPr>
              <w:t>65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47AD57"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D1A5D1"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D31A24" w14:textId="77777777" w:rsidR="00327FF1" w:rsidRDefault="00E406C7">
            <w:pPr>
              <w:pStyle w:val="P68B1DB1-Normal11"/>
              <w:spacing w:after="120"/>
              <w:rPr>
                <w:rFonts w:cs="Arial"/>
                <w:noProof/>
                <w:szCs w:val="20"/>
              </w:rPr>
            </w:pPr>
            <w:r>
              <w:rPr>
                <w:noProof/>
              </w:rPr>
              <w:t xml:space="preserve">Par 35 % samazināt </w:t>
            </w:r>
            <w:r>
              <w:rPr>
                <w:noProof/>
              </w:rPr>
              <w:t>neizskatīto lietu skaitu 2019. gadā (24010) Valsts padomē (otrā instance).</w:t>
            </w:r>
          </w:p>
        </w:tc>
      </w:tr>
      <w:tr w:rsidR="00327FF1" w14:paraId="084D85A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6E5C98" w14:textId="77777777" w:rsidR="00327FF1" w:rsidRDefault="00E406C7">
            <w:pPr>
              <w:pStyle w:val="P68B1DB1-Normal11"/>
              <w:jc w:val="center"/>
              <w:rPr>
                <w:rFonts w:cs="Arial"/>
                <w:noProof/>
                <w:szCs w:val="20"/>
              </w:rPr>
            </w:pPr>
            <w:r>
              <w:rPr>
                <w:noProof/>
              </w:rPr>
              <w:t>M1C1–43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E2F455" w14:textId="77777777" w:rsidR="00327FF1" w:rsidRDefault="00E406C7">
            <w:pPr>
              <w:pStyle w:val="P68B1DB1-Normal11"/>
              <w:jc w:val="center"/>
              <w:rPr>
                <w:rFonts w:cs="Arial"/>
                <w:noProof/>
                <w:szCs w:val="20"/>
              </w:rPr>
            </w:pPr>
            <w:r>
              <w:rPr>
                <w:noProof/>
              </w:rPr>
              <w:t>Reforma Nr. 1.4. Civiltiesību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C434CC"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2A60BD" w14:textId="77777777" w:rsidR="00327FF1" w:rsidRDefault="00E406C7">
            <w:pPr>
              <w:pStyle w:val="P68B1DB1-Normal11"/>
              <w:jc w:val="center"/>
              <w:rPr>
                <w:rFonts w:cs="Arial"/>
                <w:noProof/>
                <w:szCs w:val="20"/>
              </w:rPr>
            </w:pPr>
            <w:r>
              <w:rPr>
                <w:noProof/>
              </w:rPr>
              <w:t>Neizskatīto lietu samazināšana parastajās civillietu tiesās (pirmā instance)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CDD20F"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00410C"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CC51A7" w14:textId="77777777" w:rsidR="00327FF1" w:rsidRDefault="00E406C7">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653860" w14:textId="77777777" w:rsidR="00327FF1" w:rsidRDefault="00E406C7">
            <w:pPr>
              <w:pStyle w:val="P68B1DB1-Normal11"/>
              <w:jc w:val="center"/>
              <w:rPr>
                <w:rFonts w:cs="Arial"/>
                <w:noProof/>
                <w:szCs w:val="20"/>
              </w:rPr>
            </w:pPr>
            <w:r>
              <w:rPr>
                <w:noProof/>
              </w:rPr>
              <w:t>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30AA5D"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04BCC7"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CAF608" w14:textId="70768A4E" w:rsidR="00327FF1" w:rsidRDefault="00E406C7">
            <w:pPr>
              <w:pStyle w:val="P68B1DB1-Normal12"/>
              <w:spacing w:after="120"/>
              <w:rPr>
                <w:rFonts w:cs="Arial"/>
                <w:noProof/>
              </w:rPr>
            </w:pPr>
            <w:r>
              <w:rPr>
                <w:noProof/>
              </w:rPr>
              <w:t>Par 95 % samazināt izskatīšanā esošo lietu skaitu 2020. gada 31. janvārī (333218) parastajās civillietu tiesās (pirmā instance). Pamatscenārijs ir to lietu skaits, kas vairāk nekā trīs gadus tiek izskatītas vispārējās civillietu tiesās (2020. gada 31. jan</w:t>
            </w:r>
            <w:r>
              <w:rPr>
                <w:noProof/>
              </w:rPr>
              <w:t>vārī).</w:t>
            </w:r>
          </w:p>
        </w:tc>
      </w:tr>
      <w:tr w:rsidR="00327FF1" w14:paraId="66173C6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0CE4A2" w14:textId="77777777" w:rsidR="00327FF1" w:rsidRDefault="00E406C7">
            <w:pPr>
              <w:pStyle w:val="P68B1DB1-Normal11"/>
              <w:jc w:val="center"/>
              <w:rPr>
                <w:rFonts w:cs="Arial"/>
                <w:noProof/>
                <w:szCs w:val="20"/>
              </w:rPr>
            </w:pPr>
            <w:r>
              <w:rPr>
                <w:noProof/>
              </w:rPr>
              <w:t>M1C1–44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BDE97" w14:textId="77777777" w:rsidR="00327FF1" w:rsidRDefault="00E406C7">
            <w:pPr>
              <w:pStyle w:val="P68B1DB1-Normal11"/>
              <w:jc w:val="center"/>
              <w:rPr>
                <w:rFonts w:cs="Arial"/>
                <w:noProof/>
                <w:szCs w:val="20"/>
              </w:rPr>
            </w:pPr>
            <w:r>
              <w:rPr>
                <w:noProof/>
              </w:rPr>
              <w:t>Reforma Nr. 1.4. Civiltiesību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870221"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95319" w14:textId="77777777" w:rsidR="00327FF1" w:rsidRDefault="00E406C7">
            <w:pPr>
              <w:pStyle w:val="P68B1DB1-Normal11"/>
              <w:jc w:val="center"/>
              <w:rPr>
                <w:rFonts w:cs="Arial"/>
                <w:noProof/>
                <w:szCs w:val="20"/>
              </w:rPr>
            </w:pPr>
            <w:r>
              <w:rPr>
                <w:noProof/>
              </w:rPr>
              <w:t>Neizskatīto lietu samazināšana civillietu apelācijas tiesā (otrā instance)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A5DF3D"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721C6D"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B93F6A" w14:textId="77777777" w:rsidR="00327FF1" w:rsidRDefault="00E406C7">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C299BA" w14:textId="77777777" w:rsidR="00327FF1" w:rsidRDefault="00E406C7">
            <w:pPr>
              <w:pStyle w:val="P68B1DB1-Normal11"/>
              <w:jc w:val="center"/>
              <w:rPr>
                <w:rFonts w:cs="Arial"/>
                <w:noProof/>
                <w:szCs w:val="20"/>
              </w:rPr>
            </w:pPr>
            <w:r>
              <w:rPr>
                <w:noProof/>
              </w:rPr>
              <w:t>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9054B5"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0E58F4"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776121" w14:textId="0EA4D7A3" w:rsidR="00327FF1" w:rsidRDefault="00E406C7">
            <w:pPr>
              <w:pStyle w:val="P68B1DB1-Normal12"/>
              <w:spacing w:after="120"/>
              <w:rPr>
                <w:rFonts w:cs="Arial"/>
                <w:noProof/>
              </w:rPr>
            </w:pPr>
            <w:r>
              <w:rPr>
                <w:noProof/>
              </w:rPr>
              <w:t xml:space="preserve">Par 95 % samazināt neizskatīto lietu skaitu 2020. gada 31. janvārī (97251) civillietu apelācijas tiesās (otrā instance). </w:t>
            </w:r>
          </w:p>
          <w:p w14:paraId="39D61CAF" w14:textId="77777777" w:rsidR="00327FF1" w:rsidRDefault="00E406C7">
            <w:pPr>
              <w:pStyle w:val="P68B1DB1-Normal11"/>
              <w:spacing w:after="120"/>
              <w:rPr>
                <w:rFonts w:cs="Arial"/>
                <w:noProof/>
                <w:szCs w:val="20"/>
              </w:rPr>
            </w:pPr>
            <w:r>
              <w:rPr>
                <w:noProof/>
              </w:rPr>
              <w:t>Pamatscenārijs ir to lietu skaits, kas vairāk nekā divus gadus tiek izskatītas civillietu apelācijas tiesās (2020.</w:t>
            </w:r>
            <w:r>
              <w:rPr>
                <w:noProof/>
                <w:szCs w:val="20"/>
              </w:rPr>
              <w:t>gada 31. janvārī</w:t>
            </w:r>
            <w:r>
              <w:rPr>
                <w:noProof/>
              </w:rPr>
              <w:t>).</w:t>
            </w:r>
          </w:p>
        </w:tc>
      </w:tr>
      <w:tr w:rsidR="00327FF1" w14:paraId="2F1E77A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759C5B" w14:textId="77777777" w:rsidR="00327FF1" w:rsidRDefault="00E406C7">
            <w:pPr>
              <w:pStyle w:val="P68B1DB1-Normal11"/>
              <w:jc w:val="center"/>
              <w:rPr>
                <w:rFonts w:cs="Arial"/>
                <w:noProof/>
                <w:szCs w:val="20"/>
              </w:rPr>
            </w:pPr>
            <w:r>
              <w:rPr>
                <w:noProof/>
              </w:rPr>
              <w:t>M1C1–37a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FC0D79" w14:textId="77777777" w:rsidR="00327FF1" w:rsidRDefault="00E406C7">
            <w:pPr>
              <w:pStyle w:val="P68B1DB1-Normal11"/>
              <w:jc w:val="center"/>
              <w:rPr>
                <w:rFonts w:cs="Arial"/>
                <w:noProof/>
                <w:szCs w:val="20"/>
              </w:rPr>
            </w:pPr>
            <w:r>
              <w:rPr>
                <w:noProof/>
              </w:rPr>
              <w:t>Reforma Nr. 1.4. Civiltiesību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9DC090"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F1137A" w14:textId="77777777" w:rsidR="00327FF1" w:rsidRDefault="00E406C7">
            <w:pPr>
              <w:pStyle w:val="P68B1DB1-Normal11"/>
              <w:jc w:val="center"/>
              <w:rPr>
                <w:rFonts w:cs="Arial"/>
                <w:noProof/>
                <w:szCs w:val="20"/>
              </w:rPr>
            </w:pPr>
            <w:r>
              <w:rPr>
                <w:noProof/>
              </w:rPr>
              <w:t>Tādu pasākumu stāšanās spēkā, kuru mērķis ir samazināt neizskatīto lietu skaitu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850DE2" w14:textId="77777777" w:rsidR="00327FF1" w:rsidRDefault="00E406C7">
            <w:pPr>
              <w:pStyle w:val="P68B1DB1-Normal12"/>
              <w:jc w:val="center"/>
              <w:rPr>
                <w:rFonts w:cs="Arial"/>
                <w:noProof/>
              </w:rPr>
            </w:pPr>
            <w:r>
              <w:rPr>
                <w:noProof/>
              </w:rPr>
              <w:t xml:space="preserve">Likuma noteikums, kas norāda uz primāro tiesību aktu un sekundāro aktu stāšanos spēkā, lai samazinātu </w:t>
            </w:r>
            <w:r>
              <w:rPr>
                <w:noProof/>
              </w:rPr>
              <w:t>neizskatīto lietu skaitu</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2536B" w14:textId="77777777" w:rsidR="00327FF1" w:rsidRDefault="00327FF1">
            <w:pPr>
              <w:jc w:val="center"/>
              <w:rPr>
                <w:rFonts w:ascii="Arial Narrow" w:hAnsi="Arial Narrow" w:cs="Arial"/>
                <w:noProof/>
                <w:color w:val="0061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F7122D" w14:textId="77777777" w:rsidR="00327FF1" w:rsidRDefault="00327FF1">
            <w:pPr>
              <w:jc w:val="center"/>
              <w:rPr>
                <w:rFonts w:ascii="Arial Narrow" w:hAnsi="Arial Narrow" w:cs="Arial"/>
                <w:noProof/>
                <w:color w:val="0061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812E2D" w14:textId="77777777" w:rsidR="00327FF1" w:rsidRDefault="00327FF1">
            <w:pPr>
              <w:jc w:val="center"/>
              <w:rPr>
                <w:rFonts w:ascii="Arial Narrow" w:hAnsi="Arial Narrow" w:cs="Arial"/>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D5486B"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480312"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AA86FB" w14:textId="77777777" w:rsidR="00327FF1" w:rsidRDefault="00E406C7">
            <w:pPr>
              <w:pStyle w:val="P68B1DB1-Normal11"/>
              <w:rPr>
                <w:rFonts w:cs="Arial"/>
                <w:noProof/>
                <w:szCs w:val="20"/>
              </w:rPr>
            </w:pPr>
            <w:r>
              <w:rPr>
                <w:noProof/>
              </w:rPr>
              <w:t>Primāro tiesību aktu un sekundāro tiesību aktu avotu stāšanās spēkā, lai varētu:</w:t>
            </w:r>
          </w:p>
          <w:p w14:paraId="440922ED" w14:textId="77777777" w:rsidR="00327FF1" w:rsidRDefault="00E406C7">
            <w:pPr>
              <w:pStyle w:val="P68B1DB1-ListParagraph13"/>
              <w:numPr>
                <w:ilvl w:val="0"/>
                <w:numId w:val="59"/>
              </w:numPr>
              <w:spacing w:before="120" w:after="120" w:line="240" w:lineRule="auto"/>
              <w:ind w:left="304" w:hanging="142"/>
              <w:rPr>
                <w:rFonts w:cs="Arial"/>
                <w:noProof/>
              </w:rPr>
            </w:pPr>
            <w:r>
              <w:rPr>
                <w:noProof/>
              </w:rPr>
              <w:t xml:space="preserve">Izmēģinājuma biroju stiprināšana, tostarp ar stimuliem, lai piesaistītu un saglabātu personāla vienības, kas pieņemtas darbā, pamatojoties </w:t>
            </w:r>
            <w:r>
              <w:rPr>
                <w:noProof/>
              </w:rPr>
              <w:t>uz darbā pieņemšanas shēmu valsts atveseļošanas un noturības plāna vajadzībām;</w:t>
            </w:r>
          </w:p>
          <w:p w14:paraId="2D8DAC79" w14:textId="77777777" w:rsidR="00327FF1" w:rsidRDefault="00E406C7">
            <w:pPr>
              <w:pStyle w:val="P68B1DB1-ListParagraph13"/>
              <w:numPr>
                <w:ilvl w:val="0"/>
                <w:numId w:val="59"/>
              </w:numPr>
              <w:spacing w:before="120" w:after="120" w:line="240" w:lineRule="auto"/>
              <w:ind w:left="304" w:hanging="142"/>
              <w:rPr>
                <w:rFonts w:cs="Arial"/>
                <w:noProof/>
              </w:rPr>
            </w:pPr>
            <w:r>
              <w:rPr>
                <w:noProof/>
              </w:rPr>
              <w:t>Stimulu radīšana, lai: 1) atbalstīt mazāk efektīvas tiesas, lai samazinātu neizskatīto civillietu skaitu; 2) atalgot tiesnešus amatus, kas sasniedz konkrētus gada mērķus, proti,</w:t>
            </w:r>
            <w:r>
              <w:rPr>
                <w:noProof/>
              </w:rPr>
              <w:t xml:space="preserve"> samazināt neizskatīto lietu skaitu civiltiesību sistēmā.</w:t>
            </w:r>
          </w:p>
        </w:tc>
      </w:tr>
      <w:tr w:rsidR="00327FF1" w14:paraId="67453C1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E0DF0A" w14:textId="77777777" w:rsidR="00327FF1" w:rsidRDefault="00E406C7">
            <w:pPr>
              <w:pStyle w:val="P68B1DB1-Normal11"/>
              <w:jc w:val="center"/>
              <w:rPr>
                <w:rFonts w:cs="Arial"/>
                <w:noProof/>
                <w:szCs w:val="20"/>
              </w:rPr>
            </w:pPr>
            <w:r>
              <w:rPr>
                <w:noProof/>
              </w:rPr>
              <w:t>M1C1–45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D96443" w14:textId="77777777" w:rsidR="00327FF1" w:rsidRDefault="00E406C7">
            <w:pPr>
              <w:pStyle w:val="P68B1DB1-Normal11"/>
              <w:jc w:val="center"/>
              <w:rPr>
                <w:rFonts w:cs="Arial"/>
                <w:noProof/>
                <w:szCs w:val="20"/>
              </w:rPr>
            </w:pPr>
            <w:r>
              <w:rPr>
                <w:noProof/>
              </w:rPr>
              <w:t>Reforma Nr. 1.4: Civiltiesību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8522E"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A58182" w14:textId="77777777" w:rsidR="00327FF1" w:rsidRDefault="00E406C7">
            <w:pPr>
              <w:pStyle w:val="P68B1DB1-Normal11"/>
              <w:jc w:val="center"/>
              <w:rPr>
                <w:rFonts w:cs="Arial"/>
                <w:noProof/>
                <w:szCs w:val="20"/>
              </w:rPr>
            </w:pPr>
            <w:r>
              <w:rPr>
                <w:noProof/>
              </w:rPr>
              <w:t>Civilprocesa ilguma samazināšana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66270E"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F4FADB"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489B4C" w14:textId="77777777" w:rsidR="00327FF1" w:rsidRDefault="00E406C7">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7A701F" w14:textId="77777777" w:rsidR="00327FF1" w:rsidRDefault="00E406C7">
            <w:pPr>
              <w:pStyle w:val="P68B1DB1-Normal11"/>
              <w:jc w:val="center"/>
              <w:rPr>
                <w:rFonts w:cs="Arial"/>
                <w:noProof/>
                <w:szCs w:val="20"/>
              </w:rPr>
            </w:pPr>
            <w:r>
              <w:rPr>
                <w:noProof/>
              </w:rPr>
              <w:t>60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2C5A55"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925F7F"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666534" w14:textId="67FFE847" w:rsidR="00327FF1" w:rsidRDefault="00E406C7">
            <w:pPr>
              <w:pStyle w:val="P68B1DB1-Normal12"/>
              <w:spacing w:after="120"/>
              <w:rPr>
                <w:rFonts w:cs="Arial"/>
                <w:noProof/>
              </w:rPr>
            </w:pPr>
            <w:r>
              <w:rPr>
                <w:noProof/>
              </w:rPr>
              <w:t xml:space="preserve">Samazināt nolēmuma pieņemšanas laiku par 40 % no visām </w:t>
            </w:r>
            <w:r>
              <w:rPr>
                <w:noProof/>
              </w:rPr>
              <w:t>civillietu un komerclietu lietām salīdzinājumā ar 2019. gada 31. decembri (2512 dienas).</w:t>
            </w:r>
          </w:p>
        </w:tc>
      </w:tr>
      <w:tr w:rsidR="00327FF1" w14:paraId="0AF6A40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1FA4D5" w14:textId="77777777" w:rsidR="00327FF1" w:rsidRDefault="00E406C7">
            <w:pPr>
              <w:pStyle w:val="P68B1DB1-Normal11"/>
              <w:jc w:val="center"/>
              <w:rPr>
                <w:rFonts w:cs="Arial"/>
                <w:noProof/>
                <w:szCs w:val="20"/>
              </w:rPr>
            </w:pPr>
            <w:r>
              <w:rPr>
                <w:noProof/>
              </w:rPr>
              <w:t>M1C1–46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037517" w14:textId="77777777" w:rsidR="00327FF1" w:rsidRDefault="00E406C7">
            <w:pPr>
              <w:pStyle w:val="P68B1DB1-Normal11"/>
              <w:jc w:val="center"/>
              <w:rPr>
                <w:rFonts w:cs="Arial"/>
                <w:noProof/>
                <w:szCs w:val="20"/>
              </w:rPr>
            </w:pPr>
            <w:r>
              <w:rPr>
                <w:noProof/>
              </w:rPr>
              <w:t>Reforma Nr. 1.5: Krimināltiesību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AFDAE9"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6DD12C" w14:textId="77777777" w:rsidR="00327FF1" w:rsidRDefault="00E406C7">
            <w:pPr>
              <w:pStyle w:val="P68B1DB1-Normal11"/>
              <w:jc w:val="center"/>
              <w:rPr>
                <w:rFonts w:cs="Arial"/>
                <w:noProof/>
                <w:szCs w:val="20"/>
              </w:rPr>
            </w:pPr>
            <w:r>
              <w:rPr>
                <w:noProof/>
              </w:rPr>
              <w:t>Kriminālprocesa ilguma samazināšana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FE451F"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EA2AF"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3E71F" w14:textId="77777777" w:rsidR="00327FF1" w:rsidRDefault="00E406C7">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E6580B" w14:textId="77777777" w:rsidR="00327FF1" w:rsidRDefault="00E406C7">
            <w:pPr>
              <w:pStyle w:val="P68B1DB1-Normal11"/>
              <w:jc w:val="center"/>
              <w:rPr>
                <w:rFonts w:cs="Arial"/>
                <w:noProof/>
                <w:szCs w:val="20"/>
              </w:rPr>
            </w:pPr>
            <w:r>
              <w:rPr>
                <w:noProof/>
              </w:rPr>
              <w:t>75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CC7848"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2F5DA3"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281D3E" w14:textId="2267305D" w:rsidR="00327FF1" w:rsidRDefault="00E406C7">
            <w:pPr>
              <w:pStyle w:val="P68B1DB1-Normal11"/>
              <w:spacing w:after="120"/>
              <w:rPr>
                <w:rFonts w:cs="Arial"/>
                <w:noProof/>
                <w:szCs w:val="20"/>
              </w:rPr>
            </w:pPr>
            <w:r>
              <w:rPr>
                <w:noProof/>
              </w:rPr>
              <w:t xml:space="preserve">Samazināt nolēmuma </w:t>
            </w:r>
            <w:r>
              <w:rPr>
                <w:noProof/>
              </w:rPr>
              <w:t>pieņemšanas laiku par 25 % no visiem krimināllietu gadījumiem salīdzinājumā ar 2019. gada 31. decembri (1392 dienas).</w:t>
            </w:r>
          </w:p>
        </w:tc>
      </w:tr>
      <w:tr w:rsidR="00327FF1" w14:paraId="643F6D4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FE4AA0" w14:textId="77777777" w:rsidR="00327FF1" w:rsidRDefault="00E406C7">
            <w:pPr>
              <w:pStyle w:val="P68B1DB1-Normal11"/>
              <w:jc w:val="center"/>
              <w:rPr>
                <w:rFonts w:cs="Arial"/>
                <w:noProof/>
                <w:szCs w:val="20"/>
              </w:rPr>
            </w:pPr>
            <w:r>
              <w:rPr>
                <w:noProof/>
              </w:rPr>
              <w:t>M1C1–47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819F8F" w14:textId="77777777" w:rsidR="00327FF1" w:rsidRDefault="00E406C7">
            <w:pPr>
              <w:pStyle w:val="P68B1DB1-Normal11"/>
              <w:jc w:val="center"/>
              <w:rPr>
                <w:rFonts w:cs="Arial"/>
                <w:noProof/>
                <w:szCs w:val="20"/>
              </w:rPr>
            </w:pPr>
            <w:r>
              <w:rPr>
                <w:noProof/>
              </w:rPr>
              <w:t>Reforma Nr. 1.4. Civiltiesību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D31D12"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0F1980" w14:textId="77777777" w:rsidR="00327FF1" w:rsidRDefault="00E406C7">
            <w:pPr>
              <w:pStyle w:val="P68B1DB1-Normal11"/>
              <w:jc w:val="center"/>
              <w:rPr>
                <w:rFonts w:cs="Arial"/>
                <w:noProof/>
                <w:szCs w:val="20"/>
              </w:rPr>
            </w:pPr>
            <w:r>
              <w:rPr>
                <w:noProof/>
              </w:rPr>
              <w:t>Neizskatīto lietu samazināšana parastajās civillietu tiesās (pirmā instance)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5214CC"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F4B305"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84A9A5" w14:textId="77777777" w:rsidR="00327FF1" w:rsidRDefault="00E406C7">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6D0F30" w14:textId="77777777" w:rsidR="00327FF1" w:rsidRDefault="00E406C7">
            <w:pPr>
              <w:pStyle w:val="P68B1DB1-Normal11"/>
              <w:jc w:val="center"/>
              <w:rPr>
                <w:rFonts w:cs="Arial"/>
                <w:noProof/>
                <w:szCs w:val="20"/>
              </w:rPr>
            </w:pPr>
            <w:r>
              <w:rPr>
                <w:noProof/>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EC5BA9"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853737"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A40422" w14:textId="77777777" w:rsidR="00327FF1" w:rsidRDefault="00E406C7">
            <w:pPr>
              <w:pStyle w:val="P68B1DB1-Normal11"/>
              <w:spacing w:after="120"/>
              <w:rPr>
                <w:rFonts w:cs="Arial"/>
                <w:noProof/>
                <w:szCs w:val="20"/>
              </w:rPr>
            </w:pPr>
            <w:r>
              <w:rPr>
                <w:noProof/>
              </w:rPr>
              <w:t>Par 90 % samazināt to neizskatīto lietu skaitu, kuras bija uzsāktas laikposmā no 2017. gada 1. februāra līdz 2022. gada 31. decembrim un kuras 2022. gada 31. decembrī vēl nebija izskatītas vispārējās civ</w:t>
            </w:r>
            <w:r>
              <w:rPr>
                <w:noProof/>
              </w:rPr>
              <w:t xml:space="preserve">illietu tiesās (pirmā instance). </w:t>
            </w:r>
          </w:p>
        </w:tc>
      </w:tr>
      <w:tr w:rsidR="00327FF1" w14:paraId="171F21E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514B2F" w14:textId="77777777" w:rsidR="00327FF1" w:rsidRDefault="00E406C7">
            <w:pPr>
              <w:pStyle w:val="P68B1DB1-Normal11"/>
              <w:jc w:val="center"/>
              <w:rPr>
                <w:rFonts w:cs="Arial"/>
                <w:noProof/>
                <w:szCs w:val="20"/>
              </w:rPr>
            </w:pPr>
            <w:r>
              <w:rPr>
                <w:noProof/>
              </w:rPr>
              <w:t>M1C1–48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BE41F5" w14:textId="77777777" w:rsidR="00327FF1" w:rsidRDefault="00E406C7">
            <w:pPr>
              <w:pStyle w:val="P68B1DB1-Normal11"/>
              <w:jc w:val="center"/>
              <w:rPr>
                <w:rFonts w:cs="Arial"/>
                <w:noProof/>
                <w:szCs w:val="20"/>
              </w:rPr>
            </w:pPr>
            <w:r>
              <w:rPr>
                <w:noProof/>
              </w:rPr>
              <w:t>Reforma Nr. 1.4. Civiltiesību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F545D3"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845FD4" w14:textId="77777777" w:rsidR="00327FF1" w:rsidRDefault="00E406C7">
            <w:pPr>
              <w:pStyle w:val="P68B1DB1-Normal11"/>
              <w:jc w:val="center"/>
              <w:rPr>
                <w:rFonts w:cs="Arial"/>
                <w:noProof/>
                <w:szCs w:val="20"/>
              </w:rPr>
            </w:pPr>
            <w:r>
              <w:rPr>
                <w:noProof/>
              </w:rPr>
              <w:t>Neizskatīto lietu samazināšana civillietu apelācijas tiesā (otrā instance)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5D4059"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7A8B98"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4A2A65" w14:textId="77777777" w:rsidR="00327FF1" w:rsidRDefault="00E406C7">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495F45" w14:textId="77777777" w:rsidR="00327FF1" w:rsidRDefault="00E406C7">
            <w:pPr>
              <w:pStyle w:val="P68B1DB1-Normal11"/>
              <w:jc w:val="center"/>
              <w:rPr>
                <w:rFonts w:cs="Arial"/>
                <w:noProof/>
                <w:szCs w:val="20"/>
              </w:rPr>
            </w:pPr>
            <w:r>
              <w:rPr>
                <w:noProof/>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D8E090"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2BCFF3"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57CBD" w14:textId="2985CB0A" w:rsidR="00327FF1" w:rsidRDefault="00E406C7">
            <w:pPr>
              <w:pStyle w:val="P68B1DB1-Normal11"/>
              <w:spacing w:after="120"/>
              <w:rPr>
                <w:rFonts w:cs="Arial"/>
                <w:noProof/>
                <w:szCs w:val="20"/>
              </w:rPr>
            </w:pPr>
            <w:r>
              <w:rPr>
                <w:noProof/>
              </w:rPr>
              <w:t xml:space="preserve">Par 90 % samazināt to neizskatīto lietu skaitu, kuras bija sāktas laikposmā no 2018. gada 1. februāra līdz 2022. gada 31. decembrim un kuras 2022. gada 31. decembrī vēl nebija izskatītas civillietu apelācijas tiesās (otrā instance). </w:t>
            </w:r>
          </w:p>
        </w:tc>
      </w:tr>
      <w:tr w:rsidR="00327FF1" w14:paraId="5823CD7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633F3B" w14:textId="77777777" w:rsidR="00327FF1" w:rsidRDefault="00E406C7">
            <w:pPr>
              <w:pStyle w:val="P68B1DB1-Normal11"/>
              <w:jc w:val="center"/>
              <w:rPr>
                <w:rFonts w:cs="Arial"/>
                <w:noProof/>
                <w:szCs w:val="20"/>
              </w:rPr>
            </w:pPr>
            <w:r>
              <w:rPr>
                <w:noProof/>
              </w:rPr>
              <w:t>M1C1–49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7D7E65" w14:textId="77777777" w:rsidR="00327FF1" w:rsidRDefault="00E406C7">
            <w:pPr>
              <w:pStyle w:val="P68B1DB1-Normal11"/>
              <w:jc w:val="center"/>
              <w:rPr>
                <w:rFonts w:cs="Arial"/>
                <w:noProof/>
                <w:szCs w:val="20"/>
              </w:rPr>
            </w:pPr>
            <w:r>
              <w:rPr>
                <w:noProof/>
              </w:rPr>
              <w:t xml:space="preserve">Investīciju </w:t>
            </w:r>
            <w:r>
              <w:rPr>
                <w:noProof/>
              </w:rPr>
              <w:t>1.8: Darbā pieņemšanas procedūras administratīvajās tiesās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66B8DD"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CEDDC4" w14:textId="77777777" w:rsidR="00327FF1" w:rsidRDefault="00E406C7">
            <w:pPr>
              <w:pStyle w:val="P68B1DB1-Normal11"/>
              <w:jc w:val="center"/>
              <w:rPr>
                <w:rFonts w:cs="Arial"/>
                <w:noProof/>
                <w:szCs w:val="20"/>
              </w:rPr>
            </w:pPr>
            <w:r>
              <w:rPr>
                <w:noProof/>
              </w:rPr>
              <w:t>Neizskatīto lietu samazināšana administratīvajās apgabaltiesās (pirmā instance)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1E55C3"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CCDE19"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715122" w14:textId="77777777" w:rsidR="00327FF1" w:rsidRDefault="00E406C7">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423621" w14:textId="77777777" w:rsidR="00327FF1" w:rsidRDefault="00E406C7">
            <w:pPr>
              <w:pStyle w:val="P68B1DB1-Normal11"/>
              <w:jc w:val="center"/>
              <w:rPr>
                <w:rFonts w:cs="Arial"/>
                <w:noProof/>
                <w:szCs w:val="20"/>
              </w:rPr>
            </w:pPr>
            <w:r>
              <w:rPr>
                <w:noProof/>
              </w:rPr>
              <w:t>20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237359"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0CCB44"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DEB071" w14:textId="0EAE50A6" w:rsidR="00327FF1" w:rsidRDefault="00E406C7">
            <w:pPr>
              <w:pStyle w:val="P68B1DB1-Normal12"/>
              <w:spacing w:after="120"/>
              <w:rPr>
                <w:rFonts w:cs="Arial"/>
                <w:noProof/>
              </w:rPr>
            </w:pPr>
            <w:r>
              <w:rPr>
                <w:noProof/>
              </w:rPr>
              <w:t>Par 80 % samazināt to neizskatīto lietu kopējo skaitu, kas</w:t>
            </w:r>
            <w:r>
              <w:rPr>
                <w:noProof/>
              </w:rPr>
              <w:t xml:space="preserve"> 2023. gada 30. jūnijā vēl nav izskatītas visās administratīvajās reģionālajās tiesās (pirmās instances administratīvā tiesa) (102144).</w:t>
            </w:r>
          </w:p>
        </w:tc>
      </w:tr>
      <w:tr w:rsidR="00327FF1" w14:paraId="5C7C723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8F5115" w14:textId="77777777" w:rsidR="00327FF1" w:rsidRDefault="00E406C7">
            <w:pPr>
              <w:pStyle w:val="P68B1DB1-Normal11"/>
              <w:jc w:val="center"/>
              <w:rPr>
                <w:rFonts w:cs="Arial"/>
                <w:noProof/>
                <w:szCs w:val="20"/>
              </w:rPr>
            </w:pPr>
            <w:r>
              <w:rPr>
                <w:noProof/>
              </w:rPr>
              <w:t>M1C1–50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268B90" w14:textId="77777777" w:rsidR="00327FF1" w:rsidRDefault="00E406C7">
            <w:pPr>
              <w:pStyle w:val="P68B1DB1-Normal11"/>
              <w:jc w:val="center"/>
              <w:rPr>
                <w:rFonts w:cs="Arial"/>
                <w:noProof/>
                <w:szCs w:val="20"/>
              </w:rPr>
            </w:pPr>
            <w:r>
              <w:rPr>
                <w:noProof/>
              </w:rPr>
              <w:t>Investīciju 1.8: Darbā pieņemšanas procedūras administratīvajās tiesās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C4F3BE"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C7B776" w14:textId="77777777" w:rsidR="00327FF1" w:rsidRDefault="00E406C7">
            <w:pPr>
              <w:pStyle w:val="P68B1DB1-Normal11"/>
              <w:jc w:val="center"/>
              <w:rPr>
                <w:rFonts w:cs="Arial"/>
                <w:noProof/>
                <w:szCs w:val="20"/>
              </w:rPr>
            </w:pPr>
            <w:r>
              <w:rPr>
                <w:noProof/>
              </w:rPr>
              <w:t xml:space="preserve">Neizskatīto lietu skaita </w:t>
            </w:r>
            <w:r>
              <w:rPr>
                <w:noProof/>
              </w:rPr>
              <w:t>samazināšana Valsts padomē</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D5F205"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2A6F2"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BB78F2" w14:textId="77777777" w:rsidR="00327FF1" w:rsidRDefault="00E406C7">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1B8606" w14:textId="77777777" w:rsidR="00327FF1" w:rsidRDefault="00E406C7">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F1712A"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8F420F"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E5FF35" w14:textId="746D575E" w:rsidR="00327FF1" w:rsidRDefault="00E406C7">
            <w:pPr>
              <w:pStyle w:val="P68B1DB1-Normal12"/>
              <w:spacing w:after="120"/>
              <w:rPr>
                <w:rFonts w:cs="Arial"/>
                <w:noProof/>
              </w:rPr>
            </w:pPr>
            <w:r>
              <w:rPr>
                <w:noProof/>
              </w:rPr>
              <w:t>Par 70 % samazināt to lietu skaitu, kuras Valsts padomē (otrā instance) 2024. gada 30. jūnijā vēl nav izskatītas (12287).</w:t>
            </w:r>
          </w:p>
        </w:tc>
      </w:tr>
      <w:tr w:rsidR="00327FF1" w14:paraId="04A1B22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367947" w14:textId="77777777" w:rsidR="00327FF1" w:rsidRDefault="00E406C7">
            <w:pPr>
              <w:pStyle w:val="P68B1DB1-Normal11"/>
              <w:jc w:val="center"/>
              <w:rPr>
                <w:rFonts w:cs="Arial"/>
                <w:noProof/>
                <w:szCs w:val="20"/>
              </w:rPr>
            </w:pPr>
            <w:r>
              <w:rPr>
                <w:noProof/>
              </w:rPr>
              <w:t>M1C1–51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D775B5" w14:textId="77777777" w:rsidR="00327FF1" w:rsidRDefault="00E406C7">
            <w:pPr>
              <w:pStyle w:val="P68B1DB1-Normal11"/>
              <w:jc w:val="center"/>
              <w:rPr>
                <w:rFonts w:cs="Arial"/>
                <w:noProof/>
                <w:szCs w:val="20"/>
              </w:rPr>
            </w:pPr>
            <w:r>
              <w:rPr>
                <w:noProof/>
              </w:rPr>
              <w:t>Reforma Nr. 1.9: Valsts pārvaldes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CB5D38"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C41D96" w14:textId="77777777" w:rsidR="00327FF1" w:rsidRDefault="00E406C7">
            <w:pPr>
              <w:pStyle w:val="P68B1DB1-Normal11"/>
              <w:jc w:val="center"/>
              <w:rPr>
                <w:rFonts w:cs="Arial"/>
                <w:noProof/>
                <w:szCs w:val="20"/>
              </w:rPr>
            </w:pPr>
            <w:r>
              <w:rPr>
                <w:noProof/>
              </w:rPr>
              <w:t>Primāro tiesību aktu par Itālijas atveseļošanas un noturības plāna pārvaldību stāšanās spēkā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AFE13A" w14:textId="77777777" w:rsidR="00327FF1" w:rsidRDefault="00E406C7">
            <w:pPr>
              <w:pStyle w:val="P68B1DB1-Normal12"/>
              <w:jc w:val="center"/>
              <w:rPr>
                <w:rFonts w:cs="Arial"/>
                <w:noProof/>
              </w:rPr>
            </w:pPr>
            <w:r>
              <w:rPr>
                <w:noProof/>
              </w:rPr>
              <w:t>Likuma norma, kas norāda uz likuma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6050D4"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0997ED"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1640CF"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C0F348"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41DFD4"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34BD94" w14:textId="77777777" w:rsidR="00327FF1" w:rsidRDefault="00E406C7">
            <w:pPr>
              <w:pStyle w:val="P68B1DB1-Normal11"/>
              <w:spacing w:after="120"/>
              <w:rPr>
                <w:rFonts w:cs="Arial"/>
                <w:noProof/>
                <w:szCs w:val="20"/>
              </w:rPr>
            </w:pPr>
            <w:r>
              <w:rPr>
                <w:noProof/>
              </w:rPr>
              <w:t>Primārie tiesību akti attiecas vismaz uz:</w:t>
            </w:r>
          </w:p>
          <w:p w14:paraId="5759B074" w14:textId="77777777" w:rsidR="00327FF1" w:rsidRDefault="00E406C7">
            <w:pPr>
              <w:pStyle w:val="P68B1DB1-Normal11"/>
              <w:spacing w:after="120"/>
              <w:rPr>
                <w:rFonts w:cs="Arial"/>
                <w:noProof/>
                <w:szCs w:val="20"/>
              </w:rPr>
            </w:pPr>
            <w:r>
              <w:rPr>
                <w:noProof/>
              </w:rPr>
              <w:t>1) Itālijas</w:t>
            </w:r>
            <w:r>
              <w:rPr>
                <w:noProof/>
              </w:rPr>
              <w:t xml:space="preserve"> atveseļošanas un noturības plāna projektu koordinācija un uzraudzība centrālā līmenī;</w:t>
            </w:r>
          </w:p>
          <w:p w14:paraId="26D33C3E" w14:textId="77777777" w:rsidR="00327FF1" w:rsidRDefault="00E406C7">
            <w:pPr>
              <w:pStyle w:val="P68B1DB1-Normal11"/>
              <w:spacing w:after="120"/>
              <w:rPr>
                <w:rFonts w:cs="Arial"/>
                <w:noProof/>
                <w:szCs w:val="20"/>
              </w:rPr>
            </w:pPr>
            <w:r>
              <w:rPr>
                <w:noProof/>
              </w:rPr>
              <w:t>2) kompetenču definēšana un nodalīšana un Itālijas atveseļošanas un noturības plāna koordinēšanā, uzraudzībā un īstenošanā iesaistīto dažādo struktūru un pārvaldes iestā</w:t>
            </w:r>
            <w:r>
              <w:rPr>
                <w:noProof/>
              </w:rPr>
              <w:t>žu attiecīgo pilnvaru apstiprināšana;</w:t>
            </w:r>
          </w:p>
          <w:p w14:paraId="10BAD1CC" w14:textId="77777777" w:rsidR="00327FF1" w:rsidRDefault="00E406C7">
            <w:pPr>
              <w:pStyle w:val="P68B1DB1-Normal11"/>
              <w:spacing w:after="120"/>
              <w:rPr>
                <w:rFonts w:cs="Arial"/>
                <w:noProof/>
                <w:szCs w:val="20"/>
              </w:rPr>
            </w:pPr>
            <w:r>
              <w:rPr>
                <w:noProof/>
              </w:rPr>
              <w:t>3) sistēmas definēšana īstenošanas problēmu agrīnai atklāšanai;</w:t>
            </w:r>
          </w:p>
          <w:p w14:paraId="6A0F2638" w14:textId="77777777" w:rsidR="00327FF1" w:rsidRDefault="00E406C7">
            <w:pPr>
              <w:pStyle w:val="P68B1DB1-Normal12"/>
              <w:spacing w:after="120"/>
              <w:rPr>
                <w:rFonts w:cs="Arial"/>
                <w:noProof/>
              </w:rPr>
            </w:pPr>
            <w:r>
              <w:rPr>
                <w:noProof/>
              </w:rPr>
              <w:t>Izpildes mehānisma ex ante definīcija, lai atrisinātu īstenošanas problēmas un izvairītos no kavēšanās, jo īpaši attiecībā uz dažādiem pārvaldes līmeņiem;</w:t>
            </w:r>
          </w:p>
          <w:p w14:paraId="623A2B80" w14:textId="77777777" w:rsidR="00327FF1" w:rsidRDefault="00E406C7">
            <w:pPr>
              <w:pStyle w:val="P68B1DB1-Normal12"/>
              <w:spacing w:after="120"/>
              <w:rPr>
                <w:rFonts w:cs="Arial"/>
                <w:noProof/>
              </w:rPr>
            </w:pPr>
            <w:r>
              <w:rPr>
                <w:noProof/>
              </w:rPr>
              <w:t>5) Tā personāla definīcija (skaits un speciālās zināšanas), kas paredzēts Itālijas atveseļošanas un noturības plāna koordinēšanai, uzraudzībai un īstenošanai iesaistītajās administrācijās;</w:t>
            </w:r>
          </w:p>
          <w:p w14:paraId="6CA3C2AF" w14:textId="77777777" w:rsidR="00327FF1" w:rsidRDefault="00E406C7">
            <w:pPr>
              <w:pStyle w:val="P68B1DB1-Normal12"/>
              <w:spacing w:after="120"/>
              <w:rPr>
                <w:rFonts w:cs="Arial"/>
                <w:noProof/>
              </w:rPr>
            </w:pPr>
            <w:r>
              <w:rPr>
                <w:noProof/>
              </w:rPr>
              <w:t>Definēt tehnisko palīdzību, ko sniedz Itālijas atveseļošanas un no</w:t>
            </w:r>
            <w:r>
              <w:rPr>
                <w:noProof/>
              </w:rPr>
              <w:t>turības plāna īstenošanā iesaistītajām pārvaldes iestādēm, jo īpaši vietējā līmenī, nodrošinot administratīvās spējas palielināšanu valsts pārvaldē;</w:t>
            </w:r>
          </w:p>
          <w:p w14:paraId="6170B712" w14:textId="77777777" w:rsidR="00327FF1" w:rsidRDefault="00E406C7">
            <w:pPr>
              <w:pStyle w:val="P68B1DB1-Normal12"/>
              <w:spacing w:after="120"/>
              <w:rPr>
                <w:rFonts w:cs="Arial"/>
                <w:noProof/>
              </w:rPr>
            </w:pPr>
            <w:r>
              <w:rPr>
                <w:noProof/>
              </w:rPr>
              <w:t>7) “paātrinātās” procedūras Itālijas atveseļošanas un noturības plāna īstenošanai un savlaicīgai līdzekļu a</w:t>
            </w:r>
            <w:r>
              <w:rPr>
                <w:noProof/>
              </w:rPr>
              <w:t>pguvei;</w:t>
            </w:r>
          </w:p>
          <w:p w14:paraId="3C2C255A" w14:textId="77777777" w:rsidR="00327FF1" w:rsidRDefault="00E406C7">
            <w:pPr>
              <w:pStyle w:val="P68B1DB1-Normal11"/>
              <w:spacing w:after="120"/>
              <w:rPr>
                <w:rFonts w:cs="Arial"/>
                <w:noProof/>
                <w:szCs w:val="20"/>
              </w:rPr>
            </w:pPr>
            <w:r>
              <w:rPr>
                <w:noProof/>
              </w:rPr>
              <w:t>8) Itālijas atveseļošanas un noturības plāna revīzijas un kontroles organizācija un procedūras.</w:t>
            </w:r>
          </w:p>
        </w:tc>
      </w:tr>
      <w:tr w:rsidR="00327FF1" w14:paraId="69A7CE0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3D694D" w14:textId="77777777" w:rsidR="00327FF1" w:rsidRDefault="00E406C7">
            <w:pPr>
              <w:pStyle w:val="P68B1DB1-Normal11"/>
              <w:jc w:val="center"/>
              <w:rPr>
                <w:rFonts w:cs="Arial"/>
                <w:noProof/>
                <w:szCs w:val="20"/>
              </w:rPr>
            </w:pPr>
            <w:r>
              <w:rPr>
                <w:noProof/>
              </w:rPr>
              <w:t>M1C1–52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FD799A" w14:textId="77777777" w:rsidR="00327FF1" w:rsidRDefault="00E406C7">
            <w:pPr>
              <w:pStyle w:val="P68B1DB1-Normal11"/>
              <w:jc w:val="center"/>
              <w:rPr>
                <w:rFonts w:cs="Arial"/>
                <w:noProof/>
                <w:szCs w:val="20"/>
              </w:rPr>
            </w:pPr>
            <w:r>
              <w:rPr>
                <w:noProof/>
              </w:rPr>
              <w:t>Reforma Nr. 1.9: Valsts pārvaldes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2EDF7E"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409062" w14:textId="77777777" w:rsidR="00327FF1" w:rsidRDefault="00E406C7">
            <w:pPr>
              <w:pStyle w:val="P68B1DB1-Normal11"/>
              <w:jc w:val="center"/>
              <w:rPr>
                <w:rFonts w:cs="Arial"/>
                <w:noProof/>
                <w:szCs w:val="20"/>
              </w:rPr>
            </w:pPr>
            <w:r>
              <w:rPr>
                <w:noProof/>
              </w:rPr>
              <w:t>Stājas spēkā primārie</w:t>
            </w:r>
            <w:r>
              <w:rPr>
                <w:noProof/>
              </w:rPr>
              <w:t xml:space="preserve"> tiesību akti par administratīvo procedūru vienkāršošanu Itālijas atveseļošanas un noturības plāna īstenošanai.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EFCE80" w14:textId="77777777" w:rsidR="00327FF1" w:rsidRDefault="00E406C7">
            <w:pPr>
              <w:pStyle w:val="P68B1DB1-Normal12"/>
              <w:jc w:val="center"/>
              <w:rPr>
                <w:rFonts w:cs="Arial"/>
                <w:noProof/>
              </w:rPr>
            </w:pPr>
            <w:r>
              <w:rPr>
                <w:noProof/>
              </w:rPr>
              <w:t>Likuma norma, kas norāda uz likuma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1E89A"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D54F8F"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5A0534"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867714"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931648"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A7DBC" w14:textId="77777777" w:rsidR="00327FF1" w:rsidRDefault="00E406C7">
            <w:pPr>
              <w:pStyle w:val="P68B1DB1-Normal11"/>
              <w:spacing w:after="120"/>
              <w:rPr>
                <w:rFonts w:cs="Arial"/>
                <w:noProof/>
                <w:szCs w:val="20"/>
              </w:rPr>
            </w:pPr>
            <w:r>
              <w:rPr>
                <w:noProof/>
              </w:rPr>
              <w:t>Šie pasākumi ir šādi:</w:t>
            </w:r>
          </w:p>
          <w:p w14:paraId="734643E6" w14:textId="77777777" w:rsidR="00327FF1" w:rsidRDefault="00E406C7">
            <w:pPr>
              <w:pStyle w:val="P68B1DB1-Normal12"/>
              <w:spacing w:after="120"/>
              <w:rPr>
                <w:rFonts w:cs="Arial"/>
                <w:noProof/>
              </w:rPr>
            </w:pPr>
            <w:r>
              <w:rPr>
                <w:noProof/>
              </w:rPr>
              <w:t>1) būtisku sastrēgumposmu nov</w:t>
            </w:r>
            <w:r>
              <w:rPr>
                <w:noProof/>
              </w:rPr>
              <w:t xml:space="preserve">ēršana, jo īpaši saistībā ar valsts un reģionālo ietekmes uz vidi novērtējumu, jaunu atkritumu pārstrādes iekārtu atļaušanu, atļauju piešķiršanas procedūrām attiecībā uz atjaunojamo enerģiju un procedūrām, kas vajadzīgas ēku energoefektivitātes panākšanai </w:t>
            </w:r>
            <w:r>
              <w:rPr>
                <w:noProof/>
              </w:rPr>
              <w:t>(tā dēvētais Super Bonus) un pilsētvides reģenerācijai. Īpašas darbības velta procedūru vienkāršošanai “Conferenza di servizi” (oficiāla vienošanās starp divām vai vairākām valsts pārvaldes iestādēm).</w:t>
            </w:r>
          </w:p>
        </w:tc>
      </w:tr>
      <w:tr w:rsidR="00327FF1" w14:paraId="1214E88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97070E" w14:textId="77777777" w:rsidR="00327FF1" w:rsidRDefault="00E406C7">
            <w:pPr>
              <w:pStyle w:val="P68B1DB1-Normal11"/>
              <w:jc w:val="center"/>
              <w:rPr>
                <w:rFonts w:cs="Arial"/>
                <w:noProof/>
                <w:szCs w:val="20"/>
              </w:rPr>
            </w:pPr>
            <w:r>
              <w:rPr>
                <w:noProof/>
              </w:rPr>
              <w:t>M1C1–53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6863D" w14:textId="77777777" w:rsidR="00327FF1" w:rsidRDefault="00E406C7">
            <w:pPr>
              <w:pStyle w:val="P68B1DB1-Normal12"/>
              <w:jc w:val="center"/>
              <w:rPr>
                <w:rFonts w:cs="Arial"/>
                <w:noProof/>
              </w:rPr>
            </w:pPr>
            <w:r>
              <w:rPr>
                <w:noProof/>
              </w:rPr>
              <w:t>Investīcija Nr. 1.9: Sniegt tehnisko palīdzību</w:t>
            </w:r>
            <w:r>
              <w:rPr>
                <w:noProof/>
              </w:rPr>
              <w:t xml:space="preserve"> un stiprināt spēju veidošanu Itālijas atveseļošanas un noturības plāna īstenošanai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88D06B"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B04EE6" w14:textId="77777777" w:rsidR="00327FF1" w:rsidRDefault="00E406C7">
            <w:pPr>
              <w:pStyle w:val="P68B1DB1-Normal12"/>
              <w:jc w:val="center"/>
              <w:rPr>
                <w:rFonts w:cs="Arial"/>
                <w:noProof/>
              </w:rPr>
            </w:pPr>
            <w:r>
              <w:rPr>
                <w:noProof/>
              </w:rPr>
              <w:t>Primāro tiesību aktu stāšanās spēkā, lai sniegtu tehnisko palīdzību un stiprinātu spēju veidošanu Itālijas atveseļošanas un noturības plāna īstenošanai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F7F9B" w14:textId="77777777" w:rsidR="00327FF1" w:rsidRDefault="00E406C7">
            <w:pPr>
              <w:pStyle w:val="P68B1DB1-Normal12"/>
              <w:jc w:val="center"/>
              <w:rPr>
                <w:rFonts w:cs="Arial"/>
                <w:noProof/>
              </w:rPr>
            </w:pPr>
            <w:r>
              <w:rPr>
                <w:noProof/>
              </w:rPr>
              <w:t>Lik</w:t>
            </w:r>
            <w:r>
              <w:rPr>
                <w:noProof/>
              </w:rPr>
              <w:t>uma norma, kas norāda uz likuma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F4409"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C1E83B"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F70CE7"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B6E238"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115231"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8ADF18" w14:textId="77777777" w:rsidR="00327FF1" w:rsidRDefault="00E406C7">
            <w:pPr>
              <w:pStyle w:val="P68B1DB1-Normal11"/>
              <w:spacing w:after="120"/>
              <w:rPr>
                <w:rFonts w:cs="Arial"/>
                <w:noProof/>
                <w:szCs w:val="20"/>
              </w:rPr>
            </w:pPr>
            <w:r>
              <w:rPr>
                <w:noProof/>
              </w:rPr>
              <w:t>Pasākumi ietver noteikumu, kas ļauj uz laiku pieņemt darbā:</w:t>
            </w:r>
          </w:p>
          <w:p w14:paraId="379D6586" w14:textId="77777777" w:rsidR="00327FF1" w:rsidRDefault="00E406C7">
            <w:pPr>
              <w:pStyle w:val="P68B1DB1-Normal12"/>
              <w:spacing w:after="120"/>
              <w:rPr>
                <w:rFonts w:cs="Arial"/>
                <w:noProof/>
              </w:rPr>
            </w:pPr>
            <w:r>
              <w:rPr>
                <w:noProof/>
              </w:rPr>
              <w:t>2800 tehnisko datu, kas paredzēti dienvidu valsts pārvaldes stiprināšanai un ko maksā no valsts budžeta;</w:t>
            </w:r>
          </w:p>
          <w:p w14:paraId="2C4C9C4C" w14:textId="77777777" w:rsidR="00327FF1" w:rsidRDefault="00E406C7">
            <w:pPr>
              <w:pStyle w:val="P68B1DB1-Normal12"/>
              <w:spacing w:after="120"/>
              <w:rPr>
                <w:rFonts w:cs="Arial"/>
                <w:noProof/>
              </w:rPr>
            </w:pPr>
            <w:r>
              <w:rPr>
                <w:noProof/>
              </w:rPr>
              <w:t>I</w:t>
            </w:r>
            <w:r>
              <w:rPr>
                <w:noProof/>
              </w:rPr>
              <w:t>I) 1000 ekspertu rezervi, ko paredzēts izvietot trīs gadus, lai palīdzētu pārvaldes iestādēm pārvaldīt jaunās procedūras, kas sniedz tehnisko palīdzību.</w:t>
            </w:r>
          </w:p>
        </w:tc>
      </w:tr>
      <w:tr w:rsidR="00327FF1" w14:paraId="26EEDEC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2A3400" w14:textId="77777777" w:rsidR="00327FF1" w:rsidRDefault="00E406C7">
            <w:pPr>
              <w:pStyle w:val="P68B1DB1-Normal11"/>
              <w:jc w:val="center"/>
              <w:rPr>
                <w:rFonts w:cs="Arial"/>
                <w:noProof/>
                <w:szCs w:val="20"/>
              </w:rPr>
            </w:pPr>
            <w:r>
              <w:rPr>
                <w:noProof/>
              </w:rPr>
              <w:t>M1C1–54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19C87B" w14:textId="77777777" w:rsidR="00327FF1" w:rsidRDefault="00E406C7">
            <w:pPr>
              <w:pStyle w:val="P68B1DB1-Normal12"/>
              <w:jc w:val="center"/>
              <w:rPr>
                <w:rFonts w:cs="Arial"/>
                <w:noProof/>
              </w:rPr>
            </w:pPr>
            <w:r>
              <w:rPr>
                <w:noProof/>
              </w:rPr>
              <w:t xml:space="preserve">Investīcija Nr. 1.9: Sniegt tehnisko palīdzību un stiprināt spēju veidošanu Itālijas </w:t>
            </w:r>
            <w:r>
              <w:rPr>
                <w:noProof/>
              </w:rPr>
              <w:t>atveseļošanas un noturības plāna īstenošanai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2CE06A"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AA1228" w14:textId="77777777" w:rsidR="00327FF1" w:rsidRDefault="00E406C7">
            <w:pPr>
              <w:pStyle w:val="P68B1DB1-Normal11"/>
              <w:jc w:val="center"/>
              <w:rPr>
                <w:rFonts w:cs="Arial"/>
                <w:noProof/>
                <w:szCs w:val="20"/>
              </w:rPr>
            </w:pPr>
            <w:r>
              <w:rPr>
                <w:noProof/>
              </w:rPr>
              <w:t>Pabeigta ekspertu pieņemšana darbā Itālijas atveseļošanas un noturības plāna īstenošanai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876597"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142A0"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75B5D6" w14:textId="77777777" w:rsidR="00327FF1" w:rsidRDefault="00E406C7">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CDB80B" w14:textId="77777777" w:rsidR="00327FF1" w:rsidRDefault="00E406C7">
            <w:pPr>
              <w:pStyle w:val="P68B1DB1-Normal11"/>
              <w:jc w:val="center"/>
              <w:rPr>
                <w:rFonts w:cs="Arial"/>
                <w:noProof/>
                <w:szCs w:val="20"/>
              </w:rPr>
            </w:pPr>
            <w:r>
              <w:rPr>
                <w:noProof/>
              </w:rPr>
              <w:t>1 000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1A6E03"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FB5823"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70F189" w14:textId="77777777" w:rsidR="00327FF1" w:rsidRDefault="00E406C7">
            <w:pPr>
              <w:pStyle w:val="P68B1DB1-Normal12"/>
              <w:spacing w:after="120"/>
              <w:rPr>
                <w:rFonts w:cs="Arial"/>
                <w:noProof/>
              </w:rPr>
            </w:pPr>
            <w:r>
              <w:rPr>
                <w:noProof/>
              </w:rPr>
              <w:t>Pabeigt darbā pieņemšanas procedūras 1000 ekspertu rezervei, ko paredzēts izvi</w:t>
            </w:r>
            <w:r>
              <w:rPr>
                <w:noProof/>
              </w:rPr>
              <w:t>etot trīs gadus, lai palīdzētu pārvaldes iestādēm pārvaldīt jaunās tehniskās palīdzības procedūras.</w:t>
            </w:r>
          </w:p>
        </w:tc>
      </w:tr>
      <w:tr w:rsidR="00327FF1" w14:paraId="20EC640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623A2" w14:textId="77777777" w:rsidR="00327FF1" w:rsidRDefault="00E406C7">
            <w:pPr>
              <w:pStyle w:val="P68B1DB1-Normal11"/>
              <w:jc w:val="center"/>
              <w:rPr>
                <w:rFonts w:cs="Arial"/>
                <w:noProof/>
                <w:szCs w:val="20"/>
              </w:rPr>
            </w:pPr>
            <w:r>
              <w:rPr>
                <w:noProof/>
              </w:rPr>
              <w:t>M1C1–55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F1CA6D" w14:textId="77777777" w:rsidR="00327FF1" w:rsidRDefault="00E406C7">
            <w:pPr>
              <w:pStyle w:val="P68B1DB1-Normal11"/>
              <w:jc w:val="center"/>
              <w:rPr>
                <w:rFonts w:cs="Arial"/>
                <w:noProof/>
                <w:szCs w:val="20"/>
              </w:rPr>
            </w:pPr>
            <w:r>
              <w:rPr>
                <w:noProof/>
              </w:rPr>
              <w:t>Reforma Nr. 1.9: Valsts pārvaldes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EFA9DE"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545D46" w14:textId="77777777" w:rsidR="00327FF1" w:rsidRDefault="00E406C7">
            <w:pPr>
              <w:pStyle w:val="P68B1DB1-Normal12"/>
              <w:jc w:val="center"/>
              <w:rPr>
                <w:rFonts w:cs="Arial"/>
                <w:noProof/>
              </w:rPr>
            </w:pPr>
            <w:r>
              <w:rPr>
                <w:noProof/>
              </w:rPr>
              <w:t xml:space="preserve">Itālijas atveseļošanas un noturības plānam piemērotās metodikas paplašināšana, </w:t>
            </w:r>
            <w:r>
              <w:rPr>
                <w:noProof/>
              </w:rPr>
              <w:t>attiecinot to arī uz valsts budžetu, lai palielinātu investīciju apguvi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8B2609" w14:textId="77777777" w:rsidR="00327FF1" w:rsidRDefault="00E406C7">
            <w:pPr>
              <w:pStyle w:val="P68B1DB1-Normal12"/>
              <w:jc w:val="center"/>
              <w:rPr>
                <w:rFonts w:cs="Arial"/>
                <w:noProof/>
              </w:rPr>
            </w:pPr>
            <w:r>
              <w:rPr>
                <w:noProof/>
              </w:rPr>
              <w:t>Likuma noteikums, kas norāda uz metodoloģijas paplašināšanas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F1EC7"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8CADB5"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0C46E"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AC9B56"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FF0E3"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58E23F" w14:textId="77777777" w:rsidR="00327FF1" w:rsidRDefault="00E406C7">
            <w:pPr>
              <w:pStyle w:val="P68B1DB1-Normal12"/>
              <w:spacing w:after="120"/>
              <w:rPr>
                <w:rFonts w:cs="Arial"/>
                <w:noProof/>
              </w:rPr>
            </w:pPr>
            <w:r>
              <w:rPr>
                <w:noProof/>
              </w:rPr>
              <w:t>Izveidot vienkāršotu atskaites punktu un mērķrādītāju sistēmu, ka</w:t>
            </w:r>
            <w:r>
              <w:rPr>
                <w:noProof/>
              </w:rPr>
              <w:t>s līdzīga ANM, attiecībā uz papildu investīciju fonda projektu plānošanu, izpildi un finansēšanu (30,5 miljardi EUR).</w:t>
            </w:r>
          </w:p>
        </w:tc>
      </w:tr>
      <w:tr w:rsidR="00327FF1" w14:paraId="2FE6088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C731DF" w14:textId="77777777" w:rsidR="00327FF1" w:rsidRDefault="00E406C7">
            <w:pPr>
              <w:pStyle w:val="P68B1DB1-Normal11"/>
              <w:jc w:val="center"/>
              <w:rPr>
                <w:rFonts w:cs="Arial"/>
                <w:noProof/>
                <w:szCs w:val="20"/>
              </w:rPr>
            </w:pPr>
            <w:r>
              <w:rPr>
                <w:noProof/>
              </w:rPr>
              <w:t>M1C1–56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D1081D" w14:textId="77777777" w:rsidR="00327FF1" w:rsidRDefault="00E406C7">
            <w:pPr>
              <w:pStyle w:val="P68B1DB1-Normal11"/>
              <w:jc w:val="center"/>
              <w:rPr>
                <w:rFonts w:cs="Arial"/>
                <w:noProof/>
                <w:szCs w:val="20"/>
              </w:rPr>
            </w:pPr>
            <w:r>
              <w:rPr>
                <w:noProof/>
              </w:rPr>
              <w:t>Reforma Nr. 1.9: Valsts pārvaldes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30FAAE"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0DBD41" w14:textId="77777777" w:rsidR="00327FF1" w:rsidRDefault="00E406C7">
            <w:pPr>
              <w:pStyle w:val="P68B1DB1-Normal11"/>
              <w:jc w:val="center"/>
              <w:rPr>
                <w:rFonts w:cs="Arial"/>
                <w:noProof/>
                <w:szCs w:val="20"/>
              </w:rPr>
            </w:pPr>
            <w:r>
              <w:rPr>
                <w:noProof/>
              </w:rPr>
              <w:t>Valsts nodarbinātības reformu veicinošo tiesību aktu stāšanās spēkā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222A80" w14:textId="77777777" w:rsidR="00327FF1" w:rsidRDefault="00E406C7">
            <w:pPr>
              <w:pStyle w:val="P68B1DB1-Normal12"/>
              <w:jc w:val="center"/>
              <w:rPr>
                <w:rFonts w:cs="Arial"/>
                <w:noProof/>
              </w:rPr>
            </w:pPr>
            <w:r>
              <w:rPr>
                <w:noProof/>
              </w:rPr>
              <w:t>Likuma norma, kas norāda uz likuma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C539B4"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4399FE"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775275"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A31A49"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343CD0"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0DA651" w14:textId="77777777" w:rsidR="00327FF1" w:rsidRDefault="00E406C7">
            <w:pPr>
              <w:pStyle w:val="P68B1DB1-Normal11"/>
              <w:spacing w:after="120"/>
              <w:rPr>
                <w:rFonts w:cs="Arial"/>
                <w:noProof/>
                <w:szCs w:val="20"/>
              </w:rPr>
            </w:pPr>
            <w:r>
              <w:rPr>
                <w:noProof/>
              </w:rPr>
              <w:t>Pilnvarojošie tiesību akti ietver šādus pasākumus:</w:t>
            </w:r>
          </w:p>
          <w:p w14:paraId="64B25873" w14:textId="77777777" w:rsidR="00327FF1" w:rsidRDefault="00E406C7">
            <w:pPr>
              <w:pStyle w:val="P68B1DB1-Normal11"/>
              <w:spacing w:after="120"/>
              <w:rPr>
                <w:rFonts w:cs="Arial"/>
                <w:noProof/>
                <w:szCs w:val="20"/>
              </w:rPr>
            </w:pPr>
            <w:r>
              <w:rPr>
                <w:noProof/>
              </w:rPr>
              <w:t>— definēt īpašus amatu profilus publiskajam sektoram, lai piesaistītu vajadzīgās kompetences un prasmes;</w:t>
            </w:r>
          </w:p>
          <w:p w14:paraId="28F82A9E" w14:textId="77777777" w:rsidR="00327FF1" w:rsidRDefault="00E406C7">
            <w:pPr>
              <w:pStyle w:val="P68B1DB1-Normal12"/>
              <w:spacing w:after="120"/>
              <w:rPr>
                <w:rFonts w:cs="Arial"/>
                <w:noProof/>
              </w:rPr>
            </w:pPr>
            <w:r>
              <w:rPr>
                <w:noProof/>
              </w:rPr>
              <w:t>— vieno</w:t>
            </w:r>
            <w:r>
              <w:rPr>
                <w:noProof/>
              </w:rPr>
              <w:t>tas darbā pieņemšanas platformas izveide, lai centralizētu publiskā sektora darbā pieņemšanas procedūras visās centrālajās publiskās pārvaldes iestādēs, apņemoties paplašināt platformas izmantošanu, attiecinot to arī uz vietējām pārvaldes iestādēm;</w:t>
            </w:r>
          </w:p>
          <w:p w14:paraId="5387A605" w14:textId="77777777" w:rsidR="00327FF1" w:rsidRDefault="00E406C7">
            <w:pPr>
              <w:pStyle w:val="P68B1DB1-Normal12"/>
              <w:spacing w:after="120"/>
              <w:rPr>
                <w:rFonts w:cs="Arial"/>
                <w:noProof/>
              </w:rPr>
            </w:pPr>
            <w:r>
              <w:rPr>
                <w:noProof/>
              </w:rPr>
              <w:t>darbā p</w:t>
            </w:r>
            <w:r>
              <w:rPr>
                <w:noProof/>
              </w:rPr>
              <w:t>ieņemšanas procesa reforma, lai: I) pāriet no sistēmas, kas balstīta tikai uz zināšanām, uz sistēmu, kas galvenokārt balstās uz kompetencēm un atbilstīgām spējām; novērtē civildienesta ierēdņu kompetences; III) nošķirt darbā pieņemšanas procesus starp sāko</w:t>
            </w:r>
            <w:r>
              <w:rPr>
                <w:noProof/>
              </w:rPr>
              <w:t>tnējā līmeņa pieņemšanu darbā, kas balstās tikai uz kompetenci, un specializētu profilu pieņemšanu darbā, kam būtu jāapvieno kompetences ar attiecīgu darba pieredzi un kas nodrošinātu piekļuvi karjerai augstākā līmenī. Valsts pārvaldes ministrija nodrošina</w:t>
            </w:r>
            <w:r>
              <w:rPr>
                <w:noProof/>
              </w:rPr>
              <w:t xml:space="preserve"> jaunā procesa konsekventu īstenošanu visās pārvaldes iestādēs;</w:t>
            </w:r>
          </w:p>
          <w:p w14:paraId="15F8F79E" w14:textId="77777777" w:rsidR="00327FF1" w:rsidRDefault="00E406C7">
            <w:pPr>
              <w:pStyle w:val="P68B1DB1-Normal12"/>
              <w:spacing w:after="120"/>
              <w:rPr>
                <w:rFonts w:cs="Arial"/>
                <w:noProof/>
              </w:rPr>
            </w:pPr>
            <w:r>
              <w:rPr>
                <w:noProof/>
              </w:rPr>
              <w:t>— augstākā līmeņa civildienesta reforma, lai vienādotu iecelšanas procedūras visā valsts pārvaldē, nosakot amatu profilus un viņu snieguma novērtējumu;</w:t>
            </w:r>
          </w:p>
          <w:p w14:paraId="0B402E29" w14:textId="77777777" w:rsidR="00327FF1" w:rsidRDefault="00E406C7">
            <w:pPr>
              <w:pStyle w:val="P68B1DB1-Normal11"/>
              <w:spacing w:after="120"/>
              <w:rPr>
                <w:rFonts w:cs="Arial"/>
                <w:noProof/>
                <w:szCs w:val="20"/>
              </w:rPr>
            </w:pPr>
            <w:r>
              <w:rPr>
                <w:noProof/>
              </w:rPr>
              <w:t>— stiprināt saikni starp mūžizglītības u</w:t>
            </w:r>
            <w:r>
              <w:rPr>
                <w:noProof/>
              </w:rPr>
              <w:t>n apmācības iespējām darbiniekiem un līdzdalības stimuliem, piemēram, paredzot atalgošanas mehānismus vai īpašus karjeras ceļus, īpašu uzmanību pievēršot divējādās pārkārtošanās procesam;</w:t>
            </w:r>
          </w:p>
          <w:p w14:paraId="3837927E" w14:textId="77777777" w:rsidR="00327FF1" w:rsidRDefault="00E406C7">
            <w:pPr>
              <w:pStyle w:val="P68B1DB1-Normal11"/>
              <w:spacing w:after="120"/>
              <w:rPr>
                <w:rFonts w:cs="Arial"/>
                <w:noProof/>
                <w:szCs w:val="20"/>
              </w:rPr>
            </w:pPr>
            <w:r>
              <w:rPr>
                <w:noProof/>
              </w:rPr>
              <w:t>— definēt vai atjaunināt valsts pārvaldes ētikas principus, izmantoj</w:t>
            </w:r>
            <w:r>
              <w:rPr>
                <w:noProof/>
              </w:rPr>
              <w:t>ot skaidrus noteikumus, rīcības kodeksus un apmācības moduļus par šo tematu;</w:t>
            </w:r>
          </w:p>
          <w:p w14:paraId="46FBBD12" w14:textId="77777777" w:rsidR="00327FF1" w:rsidRDefault="00E406C7">
            <w:pPr>
              <w:pStyle w:val="P68B1DB1-Normal11"/>
              <w:spacing w:after="120"/>
              <w:rPr>
                <w:rFonts w:cs="Arial"/>
                <w:noProof/>
                <w:szCs w:val="20"/>
              </w:rPr>
            </w:pPr>
            <w:r>
              <w:rPr>
                <w:noProof/>
              </w:rPr>
              <w:t>stiprināt apņemšanos nodrošināt dzimumu līdzsvaru;</w:t>
            </w:r>
          </w:p>
          <w:p w14:paraId="42913873" w14:textId="77777777" w:rsidR="00327FF1" w:rsidRDefault="00E406C7">
            <w:pPr>
              <w:pStyle w:val="P68B1DB1-Normal12"/>
              <w:spacing w:after="120"/>
              <w:rPr>
                <w:rFonts w:cs="Arial"/>
                <w:noProof/>
              </w:rPr>
            </w:pPr>
            <w:r>
              <w:rPr>
                <w:noProof/>
              </w:rPr>
              <w:t>pārskatīt vertikālās mobilitātes tiesisko regulējumu, reformējot karjeras ceļus, lai izveidotu vidēja līmeņa vadītāju amatus (“q</w:t>
            </w:r>
            <w:r>
              <w:rPr>
                <w:noProof/>
              </w:rPr>
              <w:t>uadri”) un piekļūtu tiem, un piekļūtu augstākā līmeņa civildienestiem (“dirigenti di prima e seconda fascia”) no administrācijas. Tas ietver darbības izvērtēšanas sistēmas reformu un saiknes stiprināšanu starp karjeras attīstību un snieguma izvērtēšanu;</w:t>
            </w:r>
          </w:p>
          <w:p w14:paraId="582F769B" w14:textId="77777777" w:rsidR="00327FF1" w:rsidRDefault="00E406C7">
            <w:pPr>
              <w:pStyle w:val="P68B1DB1-Normal12"/>
              <w:rPr>
                <w:rFonts w:cs="Arial"/>
                <w:noProof/>
              </w:rPr>
            </w:pPr>
            <w:r>
              <w:rPr>
                <w:noProof/>
              </w:rPr>
              <w:t>pā</w:t>
            </w:r>
            <w:r>
              <w:rPr>
                <w:noProof/>
              </w:rPr>
              <w:t>rskatīt tiesisko regulējumu horizontālās mobilitātes jomā, lai panāktu efektīvu darba tirgu valsts pārvaldē, tostarp a) izveidot pārredzamu vienotu reklāmas sistēmu attiecībā uz visām brīvajām amata vietām centrālajā un vietējā pārvaldē, b) iespēju pieteik</w:t>
            </w:r>
            <w:r>
              <w:rPr>
                <w:noProof/>
              </w:rPr>
              <w:t>ties uz jebkuru pieejamu amatu jebkurā vietā, c) atcelt atļauju mobilitātei no izcelsmes valsts pārvaldes un d) ieviest būtiskus ierobežojumus alternatīvu mobilitātes līdzekļu izmantošanai, kas neizraisa pārcelšanu (t. i., “comandi” un “distacchi”), lai to</w:t>
            </w:r>
            <w:r>
              <w:rPr>
                <w:noProof/>
              </w:rPr>
              <w:t>s padarītu par izņēmuma kārtāem un stingriem termiņiem.</w:t>
            </w:r>
          </w:p>
        </w:tc>
      </w:tr>
      <w:tr w:rsidR="00327FF1" w14:paraId="2B55368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E2E6CF" w14:textId="77777777" w:rsidR="00327FF1" w:rsidRDefault="00E406C7">
            <w:pPr>
              <w:pStyle w:val="P68B1DB1-Normal11"/>
              <w:jc w:val="center"/>
              <w:rPr>
                <w:rFonts w:cs="Arial"/>
                <w:noProof/>
                <w:szCs w:val="20"/>
              </w:rPr>
            </w:pPr>
            <w:r>
              <w:rPr>
                <w:noProof/>
              </w:rPr>
              <w:t>M1C1–57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BD6804" w14:textId="77777777" w:rsidR="00327FF1" w:rsidRDefault="00E406C7">
            <w:pPr>
              <w:pStyle w:val="P68B1DB1-Normal11"/>
              <w:jc w:val="center"/>
              <w:rPr>
                <w:rFonts w:cs="Arial"/>
                <w:noProof/>
                <w:szCs w:val="20"/>
              </w:rPr>
            </w:pPr>
            <w:r>
              <w:rPr>
                <w:noProof/>
              </w:rPr>
              <w:t>Reforma Nr. 1.9: Valsts pārvaldes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4C52F9"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17D50D" w14:textId="77777777" w:rsidR="00327FF1" w:rsidRDefault="00E406C7">
            <w:pPr>
              <w:pStyle w:val="P68B1DB1-Normal11"/>
              <w:jc w:val="center"/>
              <w:rPr>
                <w:rFonts w:cs="Arial"/>
                <w:noProof/>
                <w:szCs w:val="20"/>
              </w:rPr>
            </w:pPr>
            <w:r>
              <w:rPr>
                <w:noProof/>
              </w:rPr>
              <w:t>Administratīvo procedūru stāšanās spēkā attiecībā uz vienkāršošanas reformu, kuras mērķis ir ANM īstenošana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552F35" w14:textId="77777777" w:rsidR="00327FF1" w:rsidRDefault="00E406C7">
            <w:pPr>
              <w:pStyle w:val="P68B1DB1-Normal12"/>
              <w:jc w:val="center"/>
              <w:rPr>
                <w:rFonts w:cs="Arial"/>
                <w:noProof/>
              </w:rPr>
            </w:pPr>
            <w:r>
              <w:rPr>
                <w:noProof/>
              </w:rPr>
              <w:t>Likuma norma, kas norāda</w:t>
            </w:r>
            <w:r>
              <w:rPr>
                <w:noProof/>
              </w:rPr>
              <w:t xml:space="preserve"> uz sekundāro tiesību aktu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00FC25"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D5BC89"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AE83DF"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05F360"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56A343"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C1FEB5" w14:textId="77777777" w:rsidR="00327FF1" w:rsidRDefault="00E406C7">
            <w:pPr>
              <w:pStyle w:val="P68B1DB1-Normal12"/>
              <w:spacing w:after="120"/>
              <w:rPr>
                <w:rFonts w:cs="Arial"/>
                <w:noProof/>
              </w:rPr>
            </w:pPr>
            <w:r>
              <w:rPr>
                <w:noProof/>
              </w:rPr>
              <w:t>Stājas spēkā visi saistītie deleģētie akti, ministriju dekrēti, sekundārie tiesību akti un visi citi noteikumi, kas vajadzīgi, lai efektīvi īstenotu vienkāršošanu, tostarp</w:t>
            </w:r>
            <w:r>
              <w:rPr>
                <w:noProof/>
              </w:rPr>
              <w:t xml:space="preserve"> nolīgumi ar reģioniem ekskluzīvas un vienlaicīgas reģionālās kompetences gadījumā.</w:t>
            </w:r>
          </w:p>
        </w:tc>
      </w:tr>
      <w:tr w:rsidR="00327FF1" w14:paraId="7907740C"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19B9E7" w14:textId="77777777" w:rsidR="00327FF1" w:rsidRDefault="00E406C7">
            <w:pPr>
              <w:pStyle w:val="P68B1DB1-Normal11"/>
              <w:jc w:val="center"/>
              <w:rPr>
                <w:rFonts w:cs="Arial"/>
                <w:noProof/>
                <w:szCs w:val="20"/>
              </w:rPr>
            </w:pPr>
            <w:r>
              <w:rPr>
                <w:noProof/>
              </w:rPr>
              <w:t>M1C1–58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FDD5AC" w14:textId="77777777" w:rsidR="00327FF1" w:rsidRDefault="00E406C7">
            <w:pPr>
              <w:pStyle w:val="P68B1DB1-Normal11"/>
              <w:jc w:val="center"/>
              <w:rPr>
                <w:rFonts w:cs="Arial"/>
                <w:noProof/>
                <w:szCs w:val="20"/>
              </w:rPr>
            </w:pPr>
            <w:r>
              <w:rPr>
                <w:noProof/>
              </w:rPr>
              <w:t>Reforma Nr. 1.9: Valsts pārvaldes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FAD99C"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7B235F" w14:textId="77777777" w:rsidR="00327FF1" w:rsidRDefault="00E406C7">
            <w:pPr>
              <w:pStyle w:val="P68B1DB1-Normal11"/>
              <w:jc w:val="center"/>
              <w:rPr>
                <w:rFonts w:cs="Arial"/>
                <w:noProof/>
                <w:szCs w:val="20"/>
              </w:rPr>
            </w:pPr>
            <w:r>
              <w:rPr>
                <w:noProof/>
              </w:rPr>
              <w:t>Valsts nodarbinātības reformas tiesību aktu stāšanās spēkā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08A3FD" w14:textId="77777777" w:rsidR="00327FF1" w:rsidRDefault="00E406C7">
            <w:pPr>
              <w:pStyle w:val="P68B1DB1-Normal12"/>
              <w:jc w:val="center"/>
              <w:rPr>
                <w:rFonts w:cs="Arial"/>
                <w:noProof/>
              </w:rPr>
            </w:pPr>
            <w:r>
              <w:rPr>
                <w:noProof/>
              </w:rPr>
              <w:t xml:space="preserve">Noteikums, kas norāda uz valsts </w:t>
            </w:r>
            <w:r>
              <w:rPr>
                <w:noProof/>
              </w:rPr>
              <w:t>nodarbinātības reformas tiesību aktu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880EC1"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AAE70A"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6E5E2C"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1F9B46"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948561"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CD8F83" w14:textId="77777777" w:rsidR="00327FF1" w:rsidRDefault="00E406C7">
            <w:pPr>
              <w:pStyle w:val="P68B1DB1-Normal12"/>
              <w:spacing w:after="120"/>
              <w:rPr>
                <w:rFonts w:cs="Arial"/>
                <w:noProof/>
              </w:rPr>
            </w:pPr>
            <w:r>
              <w:rPr>
                <w:noProof/>
              </w:rPr>
              <w:t>Stājas spēkā visi saistītie deleģētie akti, ministrijas dekrēti, sekundārie tiesību akti un visi citi noteikumi, kas vajadzīgi reformas efektīvai īstenošanai.</w:t>
            </w:r>
          </w:p>
        </w:tc>
      </w:tr>
      <w:tr w:rsidR="00327FF1" w14:paraId="0DC6F82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FBD9EF" w14:textId="77777777" w:rsidR="00327FF1" w:rsidRDefault="00E406C7">
            <w:pPr>
              <w:pStyle w:val="P68B1DB1-Normal11"/>
              <w:jc w:val="center"/>
              <w:rPr>
                <w:rFonts w:cs="Arial"/>
                <w:noProof/>
                <w:szCs w:val="20"/>
              </w:rPr>
            </w:pPr>
            <w:r>
              <w:rPr>
                <w:noProof/>
              </w:rPr>
              <w:t>M1C1–59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E47D1E" w14:textId="77777777" w:rsidR="00327FF1" w:rsidRDefault="00E406C7">
            <w:pPr>
              <w:pStyle w:val="P68B1DB1-Normal11"/>
              <w:jc w:val="center"/>
              <w:rPr>
                <w:rFonts w:cs="Arial"/>
                <w:noProof/>
                <w:szCs w:val="20"/>
              </w:rPr>
            </w:pPr>
            <w:r>
              <w:rPr>
                <w:noProof/>
              </w:rPr>
              <w:t>Reforma Nr. 1.9: Valsts pārvaldes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0B2D4"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F93B12" w14:textId="77777777" w:rsidR="00327FF1" w:rsidRDefault="00E406C7">
            <w:pPr>
              <w:pStyle w:val="P68B1DB1-Normal11"/>
              <w:jc w:val="center"/>
              <w:rPr>
                <w:rFonts w:cs="Arial"/>
                <w:noProof/>
                <w:szCs w:val="20"/>
              </w:rPr>
            </w:pPr>
            <w:r>
              <w:rPr>
                <w:noProof/>
              </w:rPr>
              <w:t>Stratēģiskas cilvēkresursu pārvaldības stāšanās spēkā publiskajā pārvaldē</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5BE308" w14:textId="77777777" w:rsidR="00327FF1" w:rsidRDefault="00E406C7">
            <w:pPr>
              <w:pStyle w:val="P68B1DB1-Normal12"/>
              <w:jc w:val="center"/>
              <w:rPr>
                <w:rFonts w:cs="Arial"/>
                <w:noProof/>
              </w:rPr>
            </w:pPr>
            <w:r>
              <w:rPr>
                <w:noProof/>
              </w:rPr>
              <w:t xml:space="preserve">Noteikums, kas norāda, ka stājas spēkā tiesību akti par stratēģiskas cilvēkresursu pārvaldības ieviešanu valsts </w:t>
            </w:r>
            <w:r>
              <w:rPr>
                <w:noProof/>
              </w:rPr>
              <w:t>pārvaldē</w:t>
            </w:r>
          </w:p>
          <w:p w14:paraId="242153F1" w14:textId="77777777" w:rsidR="00327FF1" w:rsidRDefault="00327FF1">
            <w:pPr>
              <w:jc w:val="center"/>
              <w:rPr>
                <w:rFonts w:ascii="Arial Narrow" w:hAnsi="Arial Narrow" w:cs="Arial"/>
                <w:noProof/>
                <w:color w:val="0061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9E1A92"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6E1A99"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FF24F8"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39F936"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1A7286"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A8335A" w14:textId="77777777" w:rsidR="00327FF1" w:rsidRDefault="00E406C7">
            <w:pPr>
              <w:pStyle w:val="P68B1DB1-Normal12"/>
              <w:spacing w:after="120"/>
              <w:rPr>
                <w:rFonts w:cs="Arial"/>
                <w:noProof/>
              </w:rPr>
            </w:pPr>
            <w:r>
              <w:rPr>
                <w:noProof/>
              </w:rPr>
              <w:t>Tiesību akti un deleģētie akti par cilvēkresursu stratēģiskās pārvaldības ieviešanu valsts pārvaldē ietver: saistībā ar integrēto darbības un organizācijas plānu (PIAO) definēt cilvēkresursu stratēģiskos</w:t>
            </w:r>
            <w:r>
              <w:rPr>
                <w:noProof/>
              </w:rPr>
              <w:t xml:space="preserve"> plānus pieņemšanai darbā, karjeras attīstībai un apmācībai visām centrālajām un reģionālajām pārvaldes iestādēm, izmantojot integrētu datubāzi ar prasmēm un profiliem; izveidot centrālu piegādes vienību, kas koordinē un atbalsta cilvēkresursu plānošanas s</w:t>
            </w:r>
            <w:r>
              <w:rPr>
                <w:noProof/>
              </w:rPr>
              <w:t>istēmu. Otrajā posmā cilvēkresursu stratēģiskos plānus attiecina arī uz lielām pašvaldībām, savukārt uz mazām un vidējām pašvaldībām attiecas īpašas investīcijas spēju veidošanā.</w:t>
            </w:r>
          </w:p>
        </w:tc>
      </w:tr>
      <w:tr w:rsidR="00327FF1" w14:paraId="161961A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2A1488" w14:textId="77777777" w:rsidR="00327FF1" w:rsidRDefault="00E406C7">
            <w:pPr>
              <w:pStyle w:val="P68B1DB1-Normal11"/>
              <w:jc w:val="center"/>
              <w:rPr>
                <w:rFonts w:cs="Arial"/>
                <w:noProof/>
                <w:szCs w:val="20"/>
              </w:rPr>
            </w:pPr>
            <w:r>
              <w:rPr>
                <w:noProof/>
              </w:rPr>
              <w:t>M1C1–59BIS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6279A0" w14:textId="77777777" w:rsidR="00327FF1" w:rsidRDefault="00E406C7">
            <w:pPr>
              <w:pStyle w:val="P68B1DB1-Normal11"/>
              <w:jc w:val="center"/>
              <w:rPr>
                <w:rFonts w:cs="Arial"/>
                <w:noProof/>
                <w:szCs w:val="20"/>
              </w:rPr>
            </w:pPr>
            <w:r>
              <w:rPr>
                <w:noProof/>
              </w:rPr>
              <w:t>Reforma Nr. 1.9: Valsts pārvaldes reforma</w:t>
            </w:r>
          </w:p>
          <w:p w14:paraId="0EE0CF43" w14:textId="77777777" w:rsidR="00327FF1" w:rsidRDefault="00327FF1">
            <w:pPr>
              <w:jc w:val="center"/>
              <w:rPr>
                <w:rFonts w:ascii="Arial Narrow" w:hAnsi="Arial Narrow" w:cs="Arial"/>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7BF28A"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14709F" w14:textId="77777777" w:rsidR="00327FF1" w:rsidRDefault="00E406C7">
            <w:pPr>
              <w:pStyle w:val="P68B1DB1-Normal11"/>
              <w:jc w:val="center"/>
              <w:rPr>
                <w:rFonts w:cs="Arial"/>
                <w:noProof/>
                <w:szCs w:val="20"/>
              </w:rPr>
            </w:pPr>
            <w:r>
              <w:rPr>
                <w:noProof/>
              </w:rPr>
              <w:t>Cilvēkresursu stratēģiskās pārvaldības īstenošana valsts pārvaldē</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17176" w14:textId="77777777" w:rsidR="00327FF1" w:rsidRDefault="00E406C7">
            <w:pPr>
              <w:pStyle w:val="P68B1DB1-Normal11"/>
              <w:jc w:val="center"/>
              <w:rPr>
                <w:rFonts w:cs="Arial"/>
                <w:noProof/>
                <w:szCs w:val="20"/>
              </w:rPr>
            </w:pPr>
            <w:r>
              <w:rPr>
                <w:noProof/>
              </w:rPr>
              <w:t>Publicēts pirmais pusgada ziņojums par galvenajiem darbības rādītājiem.</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DA6C59"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7B59D0"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316557"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09A036"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3F6C8"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2F3538" w14:textId="77777777" w:rsidR="00327FF1" w:rsidRDefault="00E406C7">
            <w:pPr>
              <w:pStyle w:val="P68B1DB1-Normal11"/>
              <w:rPr>
                <w:rFonts w:cs="Arial"/>
                <w:noProof/>
                <w:szCs w:val="20"/>
              </w:rPr>
            </w:pPr>
            <w:r>
              <w:rPr>
                <w:noProof/>
              </w:rPr>
              <w:t>Publicē pirmo pusgada ziņojumu par GDR.</w:t>
            </w:r>
          </w:p>
        </w:tc>
      </w:tr>
      <w:tr w:rsidR="00327FF1" w14:paraId="688BDC2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C472B3" w14:textId="77777777" w:rsidR="00327FF1" w:rsidRDefault="00E406C7">
            <w:pPr>
              <w:pStyle w:val="P68B1DB1-Normal11"/>
              <w:jc w:val="center"/>
              <w:rPr>
                <w:noProof/>
              </w:rPr>
            </w:pPr>
            <w:r>
              <w:rPr>
                <w:noProof/>
              </w:rPr>
              <w:t>M1C1–59ter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7122DC" w14:textId="77777777" w:rsidR="00327FF1" w:rsidRDefault="00E406C7">
            <w:pPr>
              <w:pStyle w:val="P68B1DB1-Normal11"/>
              <w:jc w:val="center"/>
              <w:rPr>
                <w:noProof/>
              </w:rPr>
            </w:pPr>
            <w:r>
              <w:rPr>
                <w:noProof/>
              </w:rPr>
              <w:t>Reforma Nr. 1.9: Valsts</w:t>
            </w:r>
            <w:r>
              <w:rPr>
                <w:noProof/>
              </w:rPr>
              <w:t xml:space="preserve"> pārvaldes reforma</w:t>
            </w:r>
          </w:p>
          <w:p w14:paraId="2452FFA1" w14:textId="77777777" w:rsidR="00327FF1" w:rsidRDefault="00327FF1">
            <w:pPr>
              <w:jc w:val="center"/>
              <w:rPr>
                <w:rFonts w:ascii="Arial Narrow" w:hAnsi="Arial Narrow"/>
                <w:noProof/>
                <w:color w:val="0061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2595B0" w14:textId="77777777" w:rsidR="00327FF1" w:rsidRDefault="00E406C7">
            <w:pPr>
              <w:pStyle w:val="P68B1DB1-Normal11"/>
              <w:jc w:val="center"/>
              <w:rPr>
                <w:noProof/>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EC3E60" w14:textId="77777777" w:rsidR="00327FF1" w:rsidRDefault="00E406C7">
            <w:pPr>
              <w:pStyle w:val="P68B1DB1-Normal12"/>
              <w:jc w:val="center"/>
              <w:rPr>
                <w:noProof/>
              </w:rPr>
            </w:pPr>
            <w:r>
              <w:rPr>
                <w:noProof/>
              </w:rPr>
              <w:t>Cilvēkresursu stratēģiskās pārvaldības īstenošana valsts pārvaldē</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21E6FB" w14:textId="77777777" w:rsidR="00327FF1" w:rsidRDefault="00E406C7">
            <w:pPr>
              <w:pStyle w:val="P68B1DB1-Normal12"/>
              <w:jc w:val="center"/>
              <w:rPr>
                <w:noProof/>
              </w:rPr>
            </w:pPr>
            <w:r>
              <w:rPr>
                <w:noProof/>
              </w:rPr>
              <w:t xml:space="preserve">Rīkkopa HRM-Minerva darbojas, ir sadarbspējīga ar inPA, Syllabus un PIAO digitālo platformu un pārbauda cilvēkresursu stratēģiskos plānus.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A6F9A3" w14:textId="77777777" w:rsidR="00327FF1" w:rsidRDefault="00E406C7">
            <w:pPr>
              <w:pStyle w:val="P68B1DB1-Normal11"/>
              <w:jc w:val="center"/>
              <w:rPr>
                <w:noProof/>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C39C82" w14:textId="77777777" w:rsidR="00327FF1" w:rsidRDefault="00E406C7">
            <w:pPr>
              <w:pStyle w:val="P68B1DB1-Normal11"/>
              <w:jc w:val="center"/>
              <w:rPr>
                <w:noProof/>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580D35" w14:textId="77777777" w:rsidR="00327FF1" w:rsidRDefault="00E406C7">
            <w:pPr>
              <w:pStyle w:val="P68B1DB1-Normal11"/>
              <w:jc w:val="center"/>
              <w:rPr>
                <w:noProof/>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FF65E5" w14:textId="77777777" w:rsidR="00327FF1" w:rsidRDefault="00E406C7">
            <w:pPr>
              <w:pStyle w:val="P68B1DB1-Normal11"/>
              <w:jc w:val="center"/>
              <w:rPr>
                <w:noProof/>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F4F282" w14:textId="77777777" w:rsidR="00327FF1" w:rsidRDefault="00E406C7">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0849DB" w14:textId="165ABDAA" w:rsidR="00327FF1" w:rsidRDefault="00E406C7">
            <w:pPr>
              <w:pStyle w:val="P68B1DB1-Normal12"/>
              <w:spacing w:before="120"/>
              <w:contextualSpacing/>
              <w:rPr>
                <w:noProof/>
              </w:rPr>
            </w:pPr>
            <w:r>
              <w:rPr>
                <w:i/>
                <w:noProof/>
              </w:rPr>
              <w:t>Verbale di collaudo e verifica di conformità, kas pierāda</w:t>
            </w:r>
            <w:r>
              <w:rPr>
                <w:noProof/>
              </w:rPr>
              <w:t xml:space="preserve">, ka i) “Toolkit HRM-Minerva” darbojas un ii) ir sadarbspējīgs ar darbā pieņemšanas platformu (inPA), platformu “Syllabus” un PIAO digitālo platformu, </w:t>
            </w:r>
          </w:p>
          <w:p w14:paraId="60062E39" w14:textId="77777777" w:rsidR="00327FF1" w:rsidRDefault="00327FF1">
            <w:pPr>
              <w:spacing w:before="120"/>
              <w:contextualSpacing/>
              <w:rPr>
                <w:rFonts w:ascii="Arial Narrow" w:hAnsi="Arial Narrow"/>
                <w:noProof/>
                <w:color w:val="006100"/>
                <w:sz w:val="20"/>
                <w:szCs w:val="20"/>
              </w:rPr>
            </w:pPr>
          </w:p>
          <w:p w14:paraId="68282E7A" w14:textId="5C26D3C5" w:rsidR="00327FF1" w:rsidRDefault="00E406C7">
            <w:pPr>
              <w:pStyle w:val="P68B1DB1-Normal12"/>
              <w:rPr>
                <w:noProof/>
              </w:rPr>
            </w:pPr>
            <w:r>
              <w:rPr>
                <w:noProof/>
              </w:rPr>
              <w:t>Publisko funk</w:t>
            </w:r>
            <w:r>
              <w:rPr>
                <w:noProof/>
              </w:rPr>
              <w:t>ciju departamenta ziņojumā attiecībā uz valsts un reģionālajām pārvaldes iestādēm, kas iesaistītas izmēģinājuma projektā “Toolkit HRM — Minerva”, pārbauda attiecīgo PIAO iekļauto cilvēkresursu stratēģisko plānu (Programma Triennale dei fabbisogni del Perso</w:t>
            </w:r>
            <w:r>
              <w:rPr>
                <w:noProof/>
              </w:rPr>
              <w:t>nale) saturu. Ziņojumā norāda turpmākos pasākumus, ko ieteikusi DFP, un to, kā tika ņemti vērā GDR pusgada ziņojumu rezultāti.</w:t>
            </w:r>
          </w:p>
        </w:tc>
      </w:tr>
      <w:tr w:rsidR="00327FF1" w14:paraId="2572413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8C7B6" w14:textId="77777777" w:rsidR="00327FF1" w:rsidRDefault="00E406C7">
            <w:pPr>
              <w:pStyle w:val="P68B1DB1-Normal11"/>
              <w:jc w:val="center"/>
              <w:rPr>
                <w:rFonts w:cs="Arial"/>
                <w:noProof/>
                <w:szCs w:val="20"/>
              </w:rPr>
            </w:pPr>
            <w:r>
              <w:rPr>
                <w:noProof/>
              </w:rPr>
              <w:t>M1C1–60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627646" w14:textId="77777777" w:rsidR="00327FF1" w:rsidRDefault="00E406C7">
            <w:pPr>
              <w:pStyle w:val="P68B1DB1-Normal11"/>
              <w:jc w:val="center"/>
              <w:rPr>
                <w:rFonts w:cs="Arial"/>
                <w:noProof/>
                <w:szCs w:val="20"/>
              </w:rPr>
            </w:pPr>
            <w:r>
              <w:rPr>
                <w:noProof/>
              </w:rPr>
              <w:t>Reforma Nr. 1.9: Valsts pārvaldes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601725"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64DDBB" w14:textId="77777777" w:rsidR="00327FF1" w:rsidRDefault="00E406C7">
            <w:pPr>
              <w:pStyle w:val="P68B1DB1-Normal11"/>
              <w:jc w:val="center"/>
              <w:rPr>
                <w:rFonts w:cs="Arial"/>
                <w:noProof/>
                <w:szCs w:val="20"/>
              </w:rPr>
            </w:pPr>
            <w:r>
              <w:rPr>
                <w:noProof/>
              </w:rPr>
              <w:t xml:space="preserve">200 kritiski svarīgu procedūru vienkāršošana un/vai digitalizācija, kas </w:t>
            </w:r>
            <w:r>
              <w:rPr>
                <w:noProof/>
              </w:rPr>
              <w:t>ietekmē iedzīvotājus un uzņēmumus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B0901"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B53C6F"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DC5CB2" w14:textId="77777777" w:rsidR="00327FF1" w:rsidRDefault="00E406C7">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DCE191" w14:textId="77777777" w:rsidR="00327FF1" w:rsidRDefault="00E406C7">
            <w:pPr>
              <w:pStyle w:val="P68B1DB1-Normal11"/>
              <w:jc w:val="center"/>
              <w:rPr>
                <w:rFonts w:cs="Arial"/>
                <w:noProof/>
                <w:szCs w:val="20"/>
              </w:rPr>
            </w:pPr>
            <w:r>
              <w:rPr>
                <w:noProof/>
              </w:rPr>
              <w:t>200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C66DC3"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6DB5DF"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E6F24C" w14:textId="77777777" w:rsidR="00327FF1" w:rsidRDefault="00E406C7">
            <w:pPr>
              <w:pStyle w:val="P68B1DB1-Normal12"/>
              <w:spacing w:before="120"/>
              <w:contextualSpacing/>
              <w:rPr>
                <w:noProof/>
              </w:rPr>
            </w:pPr>
            <w:r>
              <w:rPr>
                <w:noProof/>
              </w:rPr>
              <w:t>Procedūru vienkāršošana un/vai digitalizācija attiecas vismaz uz šādu jomu:</w:t>
            </w:r>
          </w:p>
          <w:p w14:paraId="1CEA0FA0" w14:textId="77777777" w:rsidR="00327FF1" w:rsidRDefault="00E406C7">
            <w:pPr>
              <w:pStyle w:val="P68B1DB1-Normal12"/>
              <w:rPr>
                <w:noProof/>
              </w:rPr>
            </w:pPr>
            <w:r>
              <w:rPr>
                <w:noProof/>
              </w:rPr>
              <w:t>1) vide un enerģētika, atjaunojamie energoresursi un zaļā ekonomika;</w:t>
            </w:r>
          </w:p>
          <w:p w14:paraId="5A662193" w14:textId="77777777" w:rsidR="00327FF1" w:rsidRDefault="00E406C7">
            <w:pPr>
              <w:pStyle w:val="P68B1DB1-Normal12"/>
              <w:rPr>
                <w:noProof/>
              </w:rPr>
            </w:pPr>
            <w:r>
              <w:rPr>
                <w:noProof/>
              </w:rPr>
              <w:t xml:space="preserve">Būvniecība un pilsētas pārkvalifikācija; </w:t>
            </w:r>
          </w:p>
          <w:p w14:paraId="1B22E3F0" w14:textId="77777777" w:rsidR="00327FF1" w:rsidRDefault="00E406C7">
            <w:pPr>
              <w:pStyle w:val="P68B1DB1-Normal12"/>
              <w:rPr>
                <w:noProof/>
              </w:rPr>
            </w:pPr>
            <w:r>
              <w:rPr>
                <w:noProof/>
              </w:rPr>
              <w:t>Elektronisko sakaru infrastruktūra;</w:t>
            </w:r>
          </w:p>
          <w:p w14:paraId="248F385E" w14:textId="77777777" w:rsidR="00327FF1" w:rsidRDefault="00E406C7">
            <w:pPr>
              <w:pStyle w:val="P68B1DB1-Normal12"/>
              <w:rPr>
                <w:rFonts w:cs="Arial"/>
                <w:noProof/>
              </w:rPr>
            </w:pPr>
            <w:r>
              <w:rPr>
                <w:noProof/>
              </w:rPr>
              <w:t>Saimnieciskās darbības veikšana un veikšana.</w:t>
            </w:r>
          </w:p>
        </w:tc>
      </w:tr>
      <w:tr w:rsidR="00327FF1" w14:paraId="48CC60C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3DD239" w14:textId="77777777" w:rsidR="00327FF1" w:rsidRDefault="00E406C7">
            <w:pPr>
              <w:pStyle w:val="P68B1DB1-Normal12"/>
              <w:jc w:val="center"/>
              <w:rPr>
                <w:rFonts w:cs="Arial"/>
                <w:noProof/>
              </w:rPr>
            </w:pPr>
            <w:r>
              <w:rPr>
                <w:noProof/>
              </w:rPr>
              <w:t>M1C1–62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B6A15B" w14:textId="77777777" w:rsidR="00327FF1" w:rsidRDefault="00E406C7">
            <w:pPr>
              <w:pStyle w:val="P68B1DB1-Normal11"/>
              <w:jc w:val="center"/>
              <w:rPr>
                <w:rFonts w:cs="Arial"/>
                <w:noProof/>
                <w:szCs w:val="20"/>
              </w:rPr>
            </w:pPr>
            <w:bookmarkStart w:id="3" w:name="_Hlk160472673"/>
            <w:r>
              <w:rPr>
                <w:noProof/>
              </w:rPr>
              <w:t>Reforma Nr. 1.9: Valsts pārvaldes reforma</w:t>
            </w:r>
            <w:bookmarkEnd w:id="3"/>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59194A"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2C2831" w14:textId="77777777" w:rsidR="00327FF1" w:rsidRDefault="00E406C7">
            <w:pPr>
              <w:pStyle w:val="P68B1DB1-Normal11"/>
              <w:jc w:val="center"/>
              <w:rPr>
                <w:rFonts w:cs="Arial"/>
                <w:noProof/>
                <w:szCs w:val="20"/>
              </w:rPr>
            </w:pPr>
            <w:r>
              <w:rPr>
                <w:noProof/>
              </w:rPr>
              <w:t>Palielināt ieguldījumu apgūšanu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0EA064" w14:textId="77777777" w:rsidR="00327FF1" w:rsidRDefault="00E406C7">
            <w:pPr>
              <w:pStyle w:val="P68B1DB1-Normal11"/>
              <w:jc w:val="center"/>
              <w:rPr>
                <w:rFonts w:cs="Arial"/>
                <w:noProof/>
                <w:szCs w:val="20"/>
              </w:rPr>
            </w:pPr>
            <w:r>
              <w:rPr>
                <w:noProof/>
              </w:rPr>
              <w:t>Finanšu ministrijas ziņojuma publicēšana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2BE5D5"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1CFD7C"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356779"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CF563D" w14:textId="77777777" w:rsidR="00327FF1" w:rsidRDefault="00E406C7">
            <w:pPr>
              <w:pStyle w:val="P68B1DB1-Normal11"/>
              <w:jc w:val="center"/>
              <w:rPr>
                <w:rFonts w:cs="Arial"/>
                <w:noProof/>
                <w:szCs w:val="20"/>
              </w:rPr>
            </w:pPr>
            <w:r>
              <w:rPr>
                <w:noProof/>
              </w:rPr>
              <w:t xml:space="preserve">2. </w:t>
            </w:r>
            <w:r>
              <w:rPr>
                <w:noProof/>
              </w:rPr>
              <w:t>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2C2E5C" w14:textId="77777777" w:rsidR="00327FF1" w:rsidRDefault="00E406C7">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FB7536" w14:textId="610E5463" w:rsidR="00327FF1" w:rsidRDefault="00E406C7">
            <w:pPr>
              <w:pStyle w:val="P68B1DB1-Normal12"/>
              <w:spacing w:after="120"/>
              <w:rPr>
                <w:rFonts w:cs="Arial"/>
                <w:noProof/>
              </w:rPr>
            </w:pPr>
            <w:r>
              <w:rPr>
                <w:noProof/>
              </w:rPr>
              <w:t>Tiek publicēts ziņojums, ar ko mēra līdz 2024. gadam piešķirto papildu fonda līdzekļu apguvi.</w:t>
            </w:r>
          </w:p>
        </w:tc>
      </w:tr>
      <w:tr w:rsidR="00327FF1" w14:paraId="44A591D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A962B2" w14:textId="77777777" w:rsidR="00327FF1" w:rsidRDefault="00E406C7">
            <w:pPr>
              <w:pStyle w:val="P68B1DB1-Normal11"/>
              <w:jc w:val="center"/>
              <w:rPr>
                <w:rFonts w:cs="Arial"/>
                <w:noProof/>
                <w:szCs w:val="20"/>
              </w:rPr>
            </w:pPr>
            <w:r>
              <w:rPr>
                <w:noProof/>
              </w:rPr>
              <w:t>M1C1–63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3C2D8A" w14:textId="77777777" w:rsidR="00327FF1" w:rsidRDefault="00E406C7">
            <w:pPr>
              <w:pStyle w:val="P68B1DB1-Normal11"/>
              <w:jc w:val="center"/>
              <w:rPr>
                <w:rFonts w:cs="Arial"/>
                <w:noProof/>
                <w:szCs w:val="20"/>
              </w:rPr>
            </w:pPr>
            <w:r>
              <w:rPr>
                <w:noProof/>
              </w:rPr>
              <w:t>Reforma Nr. 1.9: Valsts pārvaldes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ABF008"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244823" w14:textId="77777777" w:rsidR="00327FF1" w:rsidRDefault="00E406C7">
            <w:pPr>
              <w:pStyle w:val="P68B1DB1-Normal12"/>
              <w:jc w:val="center"/>
              <w:rPr>
                <w:rFonts w:cs="Arial"/>
                <w:noProof/>
              </w:rPr>
            </w:pPr>
            <w:r>
              <w:rPr>
                <w:noProof/>
              </w:rPr>
              <w:t xml:space="preserve">Visu vienkāršoto un/vai digitalizēto procedūru repozitorija publicēšana </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F02967" w14:textId="77777777" w:rsidR="00327FF1" w:rsidRDefault="00E406C7">
            <w:pPr>
              <w:pStyle w:val="P68B1DB1-Normal11"/>
              <w:jc w:val="center"/>
              <w:rPr>
                <w:rFonts w:cs="Arial"/>
                <w:noProof/>
                <w:szCs w:val="20"/>
              </w:rPr>
            </w:pPr>
            <w:r>
              <w:rPr>
                <w:noProof/>
              </w:rPr>
              <w:t>Repozitorija publicēšana Publisko funkciju departamenta tīmekļa vietnē</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712139"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44227"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3A9FB8"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E2F9B"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453E60"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76C664" w14:textId="07861456" w:rsidR="00327FF1" w:rsidRDefault="00E406C7">
            <w:pPr>
              <w:pStyle w:val="P68B1DB1-Normal11"/>
              <w:rPr>
                <w:rFonts w:cs="Arial"/>
                <w:noProof/>
                <w:szCs w:val="20"/>
              </w:rPr>
            </w:pPr>
            <w:r>
              <w:rPr>
                <w:noProof/>
              </w:rPr>
              <w:t xml:space="preserve">Vienkāršoto un/vai digitalizēto procedūru </w:t>
            </w:r>
            <w:r>
              <w:rPr>
                <w:noProof/>
                <w:szCs w:val="20"/>
              </w:rPr>
              <w:t>repozitorijs ir pieejams Publiskās funkcijas departamenta pārvaldītajā tīmekļa vietnē (www.italiasem</w:t>
            </w:r>
            <w:r>
              <w:rPr>
                <w:noProof/>
                <w:szCs w:val="20"/>
              </w:rPr>
              <w:t>plice.gov.it). Dati par Sportello Unico Attività Produttive (SUAP) un Sportello Unico Edilizia (SUE) pieejamību visā valsts teritorijā ir pieejami tīmekļa vietnē www.impresainungiorno.gov.it</w:t>
            </w:r>
            <w:r>
              <w:rPr>
                <w:noProof/>
              </w:rPr>
              <w:t>.</w:t>
            </w:r>
          </w:p>
        </w:tc>
      </w:tr>
      <w:tr w:rsidR="00327FF1" w14:paraId="4355ABF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D7CE34" w14:textId="77777777" w:rsidR="00327FF1" w:rsidRDefault="00E406C7">
            <w:pPr>
              <w:pStyle w:val="P68B1DB1-Normal12"/>
              <w:jc w:val="center"/>
              <w:rPr>
                <w:rFonts w:cs="Arial"/>
                <w:noProof/>
              </w:rPr>
            </w:pPr>
            <w:r>
              <w:rPr>
                <w:noProof/>
              </w:rPr>
              <w:t>M1C1–66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0E6693" w14:textId="77777777" w:rsidR="00327FF1" w:rsidRDefault="00E406C7">
            <w:pPr>
              <w:pStyle w:val="P68B1DB1-Normal12"/>
              <w:jc w:val="center"/>
              <w:rPr>
                <w:rFonts w:cs="Arial"/>
                <w:noProof/>
              </w:rPr>
            </w:pPr>
            <w:r>
              <w:rPr>
                <w:noProof/>
              </w:rPr>
              <w:t xml:space="preserve">Investīcija Nr. 1.9: Sniegt tehnisko palīdzību un </w:t>
            </w:r>
            <w:r>
              <w:rPr>
                <w:noProof/>
              </w:rPr>
              <w:t>stiprināt spēju veidošanu Itālijas atveseļošanas un noturības plāna īstenošanai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81EC65"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56B41D" w14:textId="77777777" w:rsidR="00327FF1" w:rsidRDefault="00E406C7">
            <w:pPr>
              <w:pStyle w:val="P68B1DB1-Normal11"/>
              <w:jc w:val="center"/>
              <w:rPr>
                <w:rFonts w:cs="Arial"/>
                <w:noProof/>
                <w:szCs w:val="20"/>
              </w:rPr>
            </w:pPr>
            <w:r>
              <w:rPr>
                <w:noProof/>
              </w:rPr>
              <w:t>Izglītība un apmācība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4872B5"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65701C"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8AB14C" w14:textId="77777777" w:rsidR="00327FF1" w:rsidRDefault="00E406C7">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C08340" w14:textId="6BC559C6" w:rsidR="00327FF1" w:rsidRDefault="00E406C7">
            <w:pPr>
              <w:pStyle w:val="P68B1DB1-Normal12"/>
              <w:jc w:val="center"/>
              <w:rPr>
                <w:rFonts w:cs="Arial"/>
                <w:noProof/>
              </w:rPr>
            </w:pPr>
            <w:r>
              <w:rPr>
                <w:noProof/>
              </w:rPr>
              <w:t>441 750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783BDD"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9D72D0"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4A7420" w14:textId="50E0E100" w:rsidR="00327FF1" w:rsidRDefault="00E406C7">
            <w:pPr>
              <w:pStyle w:val="P68B1DB1-Normal12"/>
              <w:spacing w:after="120"/>
              <w:rPr>
                <w:rFonts w:cs="Arial"/>
                <w:noProof/>
              </w:rPr>
            </w:pPr>
            <w:r>
              <w:rPr>
                <w:noProof/>
              </w:rPr>
              <w:t xml:space="preserve">Syllabus platformā ir pieejami vismaz 441750 publiskā sektora darbinieku apmācības sertifikātu un Syllabus platformā ir pieejami vismaz 1500000 apmācības sertifikātu mācību pasākumiem. </w:t>
            </w:r>
          </w:p>
        </w:tc>
      </w:tr>
      <w:tr w:rsidR="00327FF1" w14:paraId="651E05D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3E30F" w14:textId="77777777" w:rsidR="00327FF1" w:rsidRDefault="00E406C7">
            <w:pPr>
              <w:pStyle w:val="P68B1DB1-Normal11"/>
              <w:jc w:val="center"/>
              <w:rPr>
                <w:rFonts w:cs="Arial"/>
                <w:noProof/>
                <w:szCs w:val="20"/>
              </w:rPr>
            </w:pPr>
            <w:r>
              <w:rPr>
                <w:noProof/>
              </w:rPr>
              <w:t>M1C1–68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9A6F78" w14:textId="77777777" w:rsidR="00327FF1" w:rsidRDefault="00E406C7">
            <w:pPr>
              <w:pStyle w:val="P68B1DB1-Normal11"/>
              <w:jc w:val="center"/>
              <w:rPr>
                <w:rFonts w:cs="Arial"/>
                <w:noProof/>
                <w:szCs w:val="20"/>
              </w:rPr>
            </w:pPr>
            <w:r>
              <w:rPr>
                <w:noProof/>
              </w:rPr>
              <w:t>Reforma Nr. 1.9: Valsts pārvaldes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B33133"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735855" w14:textId="77777777" w:rsidR="00327FF1" w:rsidRDefault="00E406C7">
            <w:pPr>
              <w:pStyle w:val="P68B1DB1-Normal11"/>
              <w:jc w:val="center"/>
              <w:rPr>
                <w:rFonts w:cs="Arial"/>
                <w:noProof/>
                <w:szCs w:val="20"/>
              </w:rPr>
            </w:pPr>
            <w:r>
              <w:rPr>
                <w:noProof/>
              </w:rPr>
              <w:t>Revīzijas un kontroles repozitorija sistēma: informācija ANM īstenošanas uzraudzībai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107073" w14:textId="77777777" w:rsidR="00327FF1" w:rsidRDefault="00E406C7">
            <w:pPr>
              <w:pStyle w:val="P68B1DB1-Normal11"/>
              <w:jc w:val="center"/>
              <w:rPr>
                <w:rFonts w:cs="Arial"/>
                <w:noProof/>
                <w:szCs w:val="20"/>
              </w:rPr>
            </w:pPr>
            <w:r>
              <w:rPr>
                <w:noProof/>
              </w:rPr>
              <w:t>Revīzijas ziņojums, kas apstiprina repozitorija sistēmas funkcijas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B6AEC4"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5B5784"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393347"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70F9D9"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2D9F26"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3F39D0" w14:textId="77777777" w:rsidR="00327FF1" w:rsidRDefault="00E406C7">
            <w:pPr>
              <w:pStyle w:val="P68B1DB1-Normal12"/>
              <w:spacing w:after="120"/>
              <w:rPr>
                <w:rFonts w:cs="Arial"/>
                <w:noProof/>
              </w:rPr>
            </w:pPr>
            <w:r>
              <w:rPr>
                <w:noProof/>
              </w:rPr>
              <w:t>Ir izveidota un darbojas repozitorija sistēma ANM īstenošanas</w:t>
            </w:r>
            <w:r>
              <w:rPr>
                <w:noProof/>
              </w:rPr>
              <w:t xml:space="preserve"> uzraudzībai.</w:t>
            </w:r>
          </w:p>
          <w:p w14:paraId="5099C591" w14:textId="77777777" w:rsidR="00327FF1" w:rsidRDefault="00E406C7">
            <w:pPr>
              <w:pStyle w:val="P68B1DB1-Normal11"/>
              <w:spacing w:after="120"/>
              <w:rPr>
                <w:rFonts w:cs="Arial"/>
                <w:noProof/>
                <w:szCs w:val="20"/>
              </w:rPr>
            </w:pPr>
            <w:r>
              <w:rPr>
                <w:noProof/>
              </w:rPr>
              <w:t>Sistēmai ir vismaz šādas minimālās funkcijas:</w:t>
            </w:r>
          </w:p>
          <w:p w14:paraId="363D1FD2" w14:textId="77777777" w:rsidR="00327FF1" w:rsidRDefault="00E406C7">
            <w:pPr>
              <w:pStyle w:val="P68B1DB1-Normal12"/>
              <w:spacing w:after="120"/>
              <w:rPr>
                <w:rFonts w:cs="Arial"/>
                <w:noProof/>
              </w:rPr>
            </w:pPr>
            <w:r>
              <w:rPr>
                <w:noProof/>
              </w:rPr>
              <w:t>a) vākt datus un uzraudzīt atskaites punktu un mērķrādītāju sasniegšanu;</w:t>
            </w:r>
          </w:p>
          <w:p w14:paraId="61FA9474" w14:textId="77777777" w:rsidR="00327FF1" w:rsidRDefault="00E406C7">
            <w:pPr>
              <w:pStyle w:val="P68B1DB1-Normal12"/>
              <w:spacing w:after="120"/>
              <w:rPr>
                <w:rFonts w:cs="Arial"/>
                <w:noProof/>
              </w:rPr>
            </w:pPr>
            <w:r>
              <w:rPr>
                <w:noProof/>
              </w:rPr>
              <w:t>vāc un glabā ANM regulas 22. panta 2. punkta d) apakšpunkta i)–iii) punktā prasītos datus un nodrošina piekļuvi tiem.</w:t>
            </w:r>
          </w:p>
        </w:tc>
      </w:tr>
      <w:tr w:rsidR="00327FF1" w14:paraId="11B518A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D247C5" w14:textId="77777777" w:rsidR="00327FF1" w:rsidRDefault="00E406C7">
            <w:pPr>
              <w:pStyle w:val="P68B1DB1-Normal11"/>
              <w:jc w:val="center"/>
              <w:rPr>
                <w:rFonts w:cs="Arial"/>
                <w:noProof/>
                <w:szCs w:val="20"/>
              </w:rPr>
            </w:pPr>
            <w:r>
              <w:rPr>
                <w:noProof/>
              </w:rPr>
              <w:t>M1C1–69.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181B6B"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E0C353"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B1E666" w14:textId="77777777" w:rsidR="00327FF1" w:rsidRDefault="00E406C7">
            <w:pPr>
              <w:pStyle w:val="P68B1DB1-Normal11"/>
              <w:jc w:val="center"/>
              <w:rPr>
                <w:rFonts w:cs="Arial"/>
                <w:noProof/>
                <w:szCs w:val="20"/>
              </w:rPr>
            </w:pPr>
            <w:r>
              <w:rPr>
                <w:noProof/>
              </w:rPr>
              <w:t>Dekrēta par publiskā iepirkuma sistēmas vienkāršošanu stāšanās spēkā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E0A714" w14:textId="77777777" w:rsidR="00327FF1" w:rsidRDefault="00E406C7">
            <w:pPr>
              <w:pStyle w:val="P68B1DB1-Normal12"/>
              <w:jc w:val="center"/>
              <w:rPr>
                <w:rFonts w:cs="Arial"/>
                <w:noProof/>
              </w:rPr>
            </w:pPr>
            <w:r>
              <w:rPr>
                <w:noProof/>
              </w:rPr>
              <w:t xml:space="preserve">Likuma noteikums, kas norāda uz likuma dekrēta stāšanos spēkā, lai vienkāršotu publiskā </w:t>
            </w:r>
            <w:r>
              <w:rPr>
                <w:noProof/>
              </w:rPr>
              <w:t>iepirkuma sistēmu.</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68F44"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31E35"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8AD6DC"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1764A"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03A97C"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89C127" w14:textId="77777777" w:rsidR="00327FF1" w:rsidRDefault="00E406C7">
            <w:pPr>
              <w:pStyle w:val="P68B1DB1-Normal11"/>
              <w:spacing w:after="120"/>
              <w:rPr>
                <w:rFonts w:cs="Arial"/>
                <w:noProof/>
                <w:szCs w:val="20"/>
              </w:rPr>
            </w:pPr>
            <w:r>
              <w:rPr>
                <w:noProof/>
              </w:rPr>
              <w:t>Likums vienkāršo publiskā iepirkuma sistēmu, veicot vismaz šādus steidzamus pasākumus:</w:t>
            </w:r>
          </w:p>
          <w:p w14:paraId="7AC3DD77" w14:textId="77777777" w:rsidR="00327FF1" w:rsidRDefault="00E406C7">
            <w:pPr>
              <w:pStyle w:val="P68B1DB1-Normal12"/>
              <w:spacing w:after="120"/>
              <w:rPr>
                <w:rFonts w:cs="Arial"/>
                <w:noProof/>
              </w:rPr>
            </w:pPr>
            <w:r>
              <w:rPr>
                <w:noProof/>
              </w:rPr>
              <w:t>i. nosaka mērķus, lai samazinātu laiku starp publicēšanu un līguma slēgšanas tiesību piešķiršanu.</w:t>
            </w:r>
          </w:p>
          <w:p w14:paraId="47141870" w14:textId="77777777" w:rsidR="00327FF1" w:rsidRDefault="00E406C7">
            <w:pPr>
              <w:pStyle w:val="P68B1DB1-Normal12"/>
              <w:spacing w:after="120"/>
              <w:rPr>
                <w:rFonts w:cs="Arial"/>
                <w:noProof/>
              </w:rPr>
            </w:pPr>
            <w:r>
              <w:rPr>
                <w:noProof/>
              </w:rPr>
              <w:t>II. Nosak</w:t>
            </w:r>
            <w:r>
              <w:rPr>
                <w:noProof/>
              </w:rPr>
              <w:t>a mērķus un uzraudzības sistēmu, lai samazinātu laiku starp līguma slēgšanas tiesību piešķiršanu un infrastruktūras pabeigšanu (“fase esecutiva”).</w:t>
            </w:r>
          </w:p>
          <w:p w14:paraId="68FA646A" w14:textId="77777777" w:rsidR="00327FF1" w:rsidRDefault="00E406C7">
            <w:pPr>
              <w:pStyle w:val="P68B1DB1-Normal12"/>
              <w:spacing w:after="120"/>
              <w:rPr>
                <w:rFonts w:cs="Arial"/>
                <w:noProof/>
              </w:rPr>
            </w:pPr>
            <w:r>
              <w:rPr>
                <w:noProof/>
              </w:rPr>
              <w:t>III. Pieprasa, lai dati par visiem līgumiem tiktu reģistrēti valsts pretkorupcijas iestādes (ANAC) pretkorupc</w:t>
            </w:r>
            <w:r>
              <w:rPr>
                <w:noProof/>
              </w:rPr>
              <w:t>ijas datubāzē.</w:t>
            </w:r>
          </w:p>
          <w:p w14:paraId="68EB2DA4" w14:textId="77777777" w:rsidR="00327FF1" w:rsidRDefault="00E406C7">
            <w:pPr>
              <w:pStyle w:val="P68B1DB1-Normal12"/>
              <w:spacing w:after="120"/>
              <w:rPr>
                <w:rFonts w:cs="Arial"/>
                <w:noProof/>
              </w:rPr>
            </w:pPr>
            <w:r>
              <w:rPr>
                <w:noProof/>
              </w:rPr>
              <w:t>IV. Īstenot un stimulēt alternatīvus strīdu izšķiršanas mehānismus publisko līgumu izpildes posmā.</w:t>
            </w:r>
          </w:p>
          <w:p w14:paraId="2142E571" w14:textId="77777777" w:rsidR="00327FF1" w:rsidRDefault="00E406C7">
            <w:pPr>
              <w:pStyle w:val="P68B1DB1-Normal12"/>
              <w:spacing w:after="120"/>
              <w:rPr>
                <w:rFonts w:cs="Arial"/>
                <w:noProof/>
              </w:rPr>
            </w:pPr>
            <w:r>
              <w:rPr>
                <w:noProof/>
              </w:rPr>
              <w:t>izveidot īpašus birojus, kas atbild par publiskā iepirkuma procedūrām ministrijās, reģionos un lielpilsētās.</w:t>
            </w:r>
          </w:p>
          <w:p w14:paraId="1E68D301" w14:textId="77777777" w:rsidR="00327FF1" w:rsidRDefault="00E406C7">
            <w:pPr>
              <w:pStyle w:val="P68B1DB1-Normal11"/>
              <w:spacing w:after="120"/>
              <w:rPr>
                <w:rFonts w:cs="Arial"/>
                <w:noProof/>
                <w:szCs w:val="20"/>
              </w:rPr>
            </w:pPr>
            <w:r>
              <w:rPr>
                <w:noProof/>
              </w:rPr>
              <w:t>Papildu specifikācijas:</w:t>
            </w:r>
          </w:p>
          <w:p w14:paraId="3673949F" w14:textId="77777777" w:rsidR="00327FF1" w:rsidRDefault="00E406C7">
            <w:pPr>
              <w:pStyle w:val="P68B1DB1-Normal12"/>
              <w:spacing w:after="120"/>
              <w:rPr>
                <w:rFonts w:cs="Arial"/>
                <w:noProof/>
              </w:rPr>
            </w:pPr>
            <w:r>
              <w:rPr>
                <w:noProof/>
              </w:rPr>
              <w:t>Centraliz</w:t>
            </w:r>
            <w:r>
              <w:rPr>
                <w:noProof/>
              </w:rPr>
              <w:t>ēto iepirkumu struktūru procedūru vienkāršošana un digitalizācija (“centrali di committedtenza”);</w:t>
            </w:r>
          </w:p>
          <w:p w14:paraId="0B1967A4" w14:textId="77777777" w:rsidR="00327FF1" w:rsidRDefault="00E406C7">
            <w:pPr>
              <w:pStyle w:val="P68B1DB1-Normal11"/>
              <w:spacing w:after="120"/>
              <w:rPr>
                <w:rFonts w:cs="Arial"/>
                <w:noProof/>
                <w:szCs w:val="20"/>
              </w:rPr>
            </w:pPr>
            <w:r>
              <w:rPr>
                <w:noProof/>
              </w:rPr>
              <w:t>— Īstenot pašreizējā Publiskā iepirkuma kodeksa 41. un 44. pantu;</w:t>
            </w:r>
          </w:p>
          <w:p w14:paraId="68A9A3D1" w14:textId="77777777" w:rsidR="00327FF1" w:rsidRDefault="00E406C7">
            <w:pPr>
              <w:pStyle w:val="P68B1DB1-Normal11"/>
              <w:spacing w:after="120"/>
              <w:rPr>
                <w:rFonts w:cs="Arial"/>
                <w:noProof/>
                <w:szCs w:val="20"/>
              </w:rPr>
            </w:pPr>
            <w:r>
              <w:rPr>
                <w:noProof/>
              </w:rPr>
              <w:t>Noteikt, kā būtu jādigitalizē procedūras attiecībā uz visiem publiskajiem līgumiem un konces</w:t>
            </w:r>
            <w:r>
              <w:rPr>
                <w:noProof/>
              </w:rPr>
              <w:t>ijām, un noteikt sadarbspējas un savienojamības prasības;</w:t>
            </w:r>
          </w:p>
          <w:p w14:paraId="4EFE6D54" w14:textId="77777777" w:rsidR="00327FF1" w:rsidRDefault="00E406C7">
            <w:pPr>
              <w:pStyle w:val="P68B1DB1-Normal11"/>
              <w:spacing w:after="120"/>
              <w:rPr>
                <w:rFonts w:cs="Arial"/>
                <w:noProof/>
                <w:szCs w:val="20"/>
              </w:rPr>
            </w:pPr>
            <w:r>
              <w:rPr>
                <w:noProof/>
              </w:rPr>
              <w:t>— Īstenot pašreizējā Publiskā iepirkuma kodeksa 44. pantu.</w:t>
            </w:r>
          </w:p>
        </w:tc>
      </w:tr>
      <w:tr w:rsidR="00327FF1" w14:paraId="2EA8A20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7F1F58" w14:textId="77777777" w:rsidR="00327FF1" w:rsidRDefault="00E406C7">
            <w:pPr>
              <w:pStyle w:val="P68B1DB1-Normal11"/>
              <w:jc w:val="center"/>
              <w:rPr>
                <w:rFonts w:cs="Arial"/>
                <w:noProof/>
                <w:szCs w:val="20"/>
              </w:rPr>
            </w:pPr>
            <w:r>
              <w:rPr>
                <w:noProof/>
              </w:rPr>
              <w:t>M1C1–70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E27606"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D66BD1"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F30E24" w14:textId="77777777" w:rsidR="00327FF1" w:rsidRDefault="00E406C7">
            <w:pPr>
              <w:pStyle w:val="P68B1DB1-Normal12"/>
              <w:jc w:val="center"/>
              <w:rPr>
                <w:rFonts w:cs="Arial"/>
                <w:noProof/>
              </w:rPr>
            </w:pPr>
            <w:r>
              <w:rPr>
                <w:noProof/>
              </w:rPr>
              <w:t xml:space="preserve">Publiskā iepirkuma kodeksa pārskatīšanas </w:t>
            </w:r>
            <w:r>
              <w:rPr>
                <w:noProof/>
              </w:rPr>
              <w:t>stāšanās spēkā (D.Lgs. Nr. 50/2016)</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722D0E" w14:textId="77777777" w:rsidR="00327FF1" w:rsidRDefault="00E406C7">
            <w:pPr>
              <w:pStyle w:val="P68B1DB1-Normal12"/>
              <w:jc w:val="center"/>
              <w:rPr>
                <w:rFonts w:cs="Arial"/>
                <w:noProof/>
              </w:rPr>
            </w:pPr>
            <w:r>
              <w:rPr>
                <w:noProof/>
              </w:rPr>
              <w:t>Likuma norma, kas norāda, ka stājas spēkā Deleģēšanas likums, ar kuru tiek reformēts pašreizējais Publisko iepirkumu sistēmas kodekss (D.Lgs. Nr. 50/2016)</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3751D7"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4BAA8E"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DAD065"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797F1F"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0E863B"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0413B" w14:textId="77777777" w:rsidR="00327FF1" w:rsidRDefault="00E406C7">
            <w:pPr>
              <w:pStyle w:val="P68B1DB1-Normal12"/>
              <w:spacing w:after="120"/>
              <w:rPr>
                <w:rFonts w:cs="Arial"/>
                <w:noProof/>
              </w:rPr>
            </w:pPr>
            <w:r>
              <w:rPr>
                <w:noProof/>
              </w:rPr>
              <w:t>Likumā ir noteikti vis</w:t>
            </w:r>
            <w:r>
              <w:rPr>
                <w:noProof/>
              </w:rPr>
              <w:t>i precīzie kritēriji un principi Publisko iepirkumu kodeksa sistēmiskajai reformai.</w:t>
            </w:r>
          </w:p>
          <w:p w14:paraId="751325F5" w14:textId="77777777" w:rsidR="00327FF1" w:rsidRDefault="00E406C7">
            <w:pPr>
              <w:pStyle w:val="P68B1DB1-Normal11"/>
              <w:spacing w:after="120"/>
              <w:rPr>
                <w:rFonts w:cs="Arial"/>
                <w:noProof/>
                <w:szCs w:val="20"/>
              </w:rPr>
            </w:pPr>
            <w:r>
              <w:rPr>
                <w:noProof/>
              </w:rPr>
              <w:t>Deleģēšanas tiesības nosaka vismaz šādus principus un kritērijus:</w:t>
            </w:r>
          </w:p>
          <w:p w14:paraId="7AA42AAD" w14:textId="77777777" w:rsidR="00327FF1" w:rsidRDefault="00E406C7">
            <w:pPr>
              <w:pStyle w:val="P68B1DB1-Normal12"/>
              <w:spacing w:after="120"/>
              <w:rPr>
                <w:rFonts w:cs="Arial"/>
                <w:noProof/>
              </w:rPr>
            </w:pPr>
            <w:r>
              <w:rPr>
                <w:noProof/>
              </w:rPr>
              <w:t>i. mazināt līgumslēdzēju iestāžu sadrumstalotību, 1) noteikt kvalifikācijas sistēmas pamatelementus, 2) no</w:t>
            </w:r>
            <w:r>
              <w:rPr>
                <w:noProof/>
              </w:rPr>
              <w:t>teikt e-platformu kā pamatprasību, lai piedalītos iepirkuma spēju novērtēšanā valsts mērogā, 3) pilnvarot valsts pretkorupcijas iestādi (ANAC) pārskatīt līgumslēdzēju iestāžu kvalifikāciju attiecībā uz iepirkuma spēju (iepirkumu veidi un apjomi), 4) nodroš</w:t>
            </w:r>
            <w:r>
              <w:rPr>
                <w:noProof/>
              </w:rPr>
              <w:t>ināt stimulus izmantot esošās profesionālās centralizēto iepirkumu struktūras.</w:t>
            </w:r>
          </w:p>
          <w:p w14:paraId="070626A9" w14:textId="77777777" w:rsidR="00327FF1" w:rsidRDefault="00E406C7">
            <w:pPr>
              <w:pStyle w:val="P68B1DB1-Normal12"/>
              <w:spacing w:after="120"/>
              <w:rPr>
                <w:rFonts w:cs="Arial"/>
                <w:noProof/>
              </w:rPr>
            </w:pPr>
            <w:r>
              <w:rPr>
                <w:noProof/>
              </w:rPr>
              <w:t>II. Vienkāršot un digitalizēt centralizēto iepirkumu struktūru (“centrali di committedtenza”) procedūras</w:t>
            </w:r>
          </w:p>
          <w:p w14:paraId="1205E5F5" w14:textId="77777777" w:rsidR="00327FF1" w:rsidRDefault="00E406C7">
            <w:pPr>
              <w:pStyle w:val="P68B1DB1-Normal11"/>
              <w:spacing w:after="120"/>
              <w:rPr>
                <w:rFonts w:cs="Arial"/>
                <w:noProof/>
                <w:szCs w:val="20"/>
              </w:rPr>
            </w:pPr>
            <w:r>
              <w:rPr>
                <w:noProof/>
              </w:rPr>
              <w:t xml:space="preserve">III. Nosaka, kā digitalizēt procedūras attiecībā uz visiem publiskajiem </w:t>
            </w:r>
            <w:r>
              <w:rPr>
                <w:noProof/>
              </w:rPr>
              <w:t>līgumiem un koncesijām, un nosaka sadarbspējas un savienojamības prasības.</w:t>
            </w:r>
          </w:p>
          <w:p w14:paraId="0753A333" w14:textId="77777777" w:rsidR="00327FF1" w:rsidRDefault="00E406C7">
            <w:pPr>
              <w:pStyle w:val="P68B1DB1-Normal11"/>
              <w:spacing w:after="120"/>
              <w:rPr>
                <w:rFonts w:cs="Arial"/>
                <w:noProof/>
                <w:szCs w:val="20"/>
              </w:rPr>
            </w:pPr>
            <w:r>
              <w:rPr>
                <w:noProof/>
              </w:rPr>
              <w:t>IV. Pakāpeniski samazināt ierobežojumus attiecībā uz apakšuzņēmuma līgumu slēgšanu.</w:t>
            </w:r>
          </w:p>
        </w:tc>
      </w:tr>
      <w:tr w:rsidR="00327FF1" w14:paraId="333E1CA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5D0A30" w14:textId="77777777" w:rsidR="00327FF1" w:rsidRDefault="00E406C7">
            <w:pPr>
              <w:pStyle w:val="P68B1DB1-Normal11"/>
              <w:jc w:val="center"/>
              <w:rPr>
                <w:rFonts w:cs="Arial"/>
                <w:noProof/>
                <w:szCs w:val="20"/>
              </w:rPr>
            </w:pPr>
            <w:r>
              <w:rPr>
                <w:noProof/>
              </w:rPr>
              <w:t>M1C1–71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5CA1E4"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BB6220"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B0253E" w14:textId="77777777" w:rsidR="00327FF1" w:rsidRDefault="00E406C7">
            <w:pPr>
              <w:pStyle w:val="P68B1DB1-Normal11"/>
              <w:jc w:val="center"/>
              <w:rPr>
                <w:rFonts w:cs="Arial"/>
                <w:noProof/>
                <w:szCs w:val="20"/>
              </w:rPr>
            </w:pPr>
            <w:r>
              <w:rPr>
                <w:noProof/>
              </w:rPr>
              <w:t>Stājas</w:t>
            </w:r>
            <w:r>
              <w:rPr>
                <w:noProof/>
              </w:rPr>
              <w:t xml:space="preserve"> spēkā visi publiskā iepirkuma sistēmai nepieciešamie tiesību akti, noteikumi un īstenošanas akti (tostarp sekundārie tiesību akti)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91772B" w14:textId="77777777" w:rsidR="00327FF1" w:rsidRDefault="00E406C7">
            <w:pPr>
              <w:pStyle w:val="P68B1DB1-Normal11"/>
              <w:jc w:val="center"/>
              <w:rPr>
                <w:rFonts w:cs="Arial"/>
                <w:noProof/>
                <w:szCs w:val="20"/>
              </w:rPr>
            </w:pPr>
            <w:r>
              <w:rPr>
                <w:noProof/>
              </w:rPr>
              <w:t>Visu nepieciešamo tiesību aktu un īstenošanas aktu stāšanās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957693"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F2C9F5"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A8CB5"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34A0EB"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0E34D0"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0CBB8C" w14:textId="77777777" w:rsidR="00327FF1" w:rsidRDefault="00E406C7">
            <w:pPr>
              <w:pStyle w:val="P68B1DB1-Normal11"/>
              <w:spacing w:after="120"/>
              <w:rPr>
                <w:rFonts w:cs="Arial"/>
                <w:noProof/>
                <w:szCs w:val="20"/>
              </w:rPr>
            </w:pPr>
            <w:r>
              <w:rPr>
                <w:noProof/>
              </w:rPr>
              <w:t xml:space="preserve">Visos </w:t>
            </w:r>
            <w:r>
              <w:rPr>
                <w:noProof/>
              </w:rPr>
              <w:t>nepieciešamajos tiesību aktos, noteikumos un īstenošanas aktos (tostarp vajadzības gadījumā sekundārajos tiesību aktos) iegūst šādus rezultātus:</w:t>
            </w:r>
          </w:p>
          <w:p w14:paraId="7383B53C" w14:textId="77777777" w:rsidR="00327FF1" w:rsidRDefault="00E406C7">
            <w:pPr>
              <w:pStyle w:val="P68B1DB1-Normal12"/>
              <w:spacing w:after="120"/>
              <w:rPr>
                <w:rFonts w:cs="Arial"/>
                <w:noProof/>
              </w:rPr>
            </w:pPr>
            <w:r>
              <w:rPr>
                <w:noProof/>
              </w:rPr>
              <w:t>i. Vienotajai publiskā iepirkuma politikas koordinācijas struktūrai ir atbilstošs (jānosaka darbības kārtībā) p</w:t>
            </w:r>
            <w:r>
              <w:rPr>
                <w:noProof/>
              </w:rPr>
              <w:t>ersonāla un finanšu resursu līmenis, lai tā varētu darboties pilnībā, arī tāpēc, ka to atbalsta īpaša ANAC struktūra.</w:t>
            </w:r>
          </w:p>
          <w:p w14:paraId="1ECCB4A9" w14:textId="77777777" w:rsidR="00327FF1" w:rsidRDefault="00E406C7">
            <w:pPr>
              <w:pStyle w:val="P68B1DB1-Normal12"/>
              <w:spacing w:after="120"/>
              <w:rPr>
                <w:rFonts w:cs="Arial"/>
                <w:noProof/>
              </w:rPr>
            </w:pPr>
            <w:r>
              <w:rPr>
                <w:noProof/>
              </w:rPr>
              <w:t>II. Vienotā publiskā iepirkuma politikas koordinācijas struktūra ar ANAC un Valsts Administrācijas skolas atbalstu pieņem profesionalizāci</w:t>
            </w:r>
            <w:r>
              <w:rPr>
                <w:noProof/>
              </w:rPr>
              <w:t>jas stratēģiju (sk. Itālijas VSIP ierosināto reformu 2.1.6.), kas ietver apmācības veidus dažādos līmeņos, īpašu apmācību un darbības pamatnostādņu izstrādi.</w:t>
            </w:r>
          </w:p>
          <w:p w14:paraId="2E3B8698" w14:textId="77777777" w:rsidR="00327FF1" w:rsidRDefault="00E406C7">
            <w:pPr>
              <w:pStyle w:val="P68B1DB1-Normal12"/>
              <w:spacing w:after="120"/>
              <w:rPr>
                <w:rFonts w:cs="Arial"/>
                <w:noProof/>
              </w:rPr>
            </w:pPr>
            <w:r>
              <w:rPr>
                <w:noProof/>
              </w:rPr>
              <w:t>III. Dinamiskās iepirkumu sistēmas dara pieejamas Consip, un tās atbilst publiskā iepirkuma direkt</w:t>
            </w:r>
            <w:r>
              <w:rPr>
                <w:noProof/>
              </w:rPr>
              <w:t>īvām.</w:t>
            </w:r>
          </w:p>
          <w:p w14:paraId="3CA74ED5" w14:textId="77777777" w:rsidR="00327FF1" w:rsidRDefault="00E406C7">
            <w:pPr>
              <w:pStyle w:val="P68B1DB1-Normal11"/>
              <w:spacing w:after="120"/>
              <w:rPr>
                <w:rFonts w:cs="Arial"/>
                <w:noProof/>
                <w:szCs w:val="20"/>
              </w:rPr>
            </w:pPr>
            <w:r>
              <w:rPr>
                <w:noProof/>
              </w:rPr>
              <w:t>IV. ANAC pabeidz līgumslēdzēju iestāžu kvalificēšanu attiecībā uz iepirkuma spēju pēc Publisko iepirkumu kodeksa 38. panta īstenošanas.</w:t>
            </w:r>
          </w:p>
          <w:p w14:paraId="79882481" w14:textId="77777777" w:rsidR="00327FF1" w:rsidRDefault="00E406C7">
            <w:pPr>
              <w:pStyle w:val="P68B1DB1-Normal11"/>
              <w:spacing w:after="120"/>
              <w:rPr>
                <w:rFonts w:cs="Arial"/>
                <w:noProof/>
                <w:szCs w:val="20"/>
              </w:rPr>
            </w:pPr>
            <w:r>
              <w:rPr>
                <w:noProof/>
              </w:rPr>
              <w:t>darbojas uzraudzības sistēma laikposmam starp līguma slēgšanas tiesību piešķiršanu un infrastruktūras darbu pabeig</w:t>
            </w:r>
            <w:r>
              <w:rPr>
                <w:noProof/>
              </w:rPr>
              <w:t>šanu.</w:t>
            </w:r>
          </w:p>
          <w:p w14:paraId="76ED74FA" w14:textId="77777777" w:rsidR="00327FF1" w:rsidRDefault="00E406C7">
            <w:pPr>
              <w:pStyle w:val="P68B1DB1-Normal11"/>
              <w:spacing w:after="120"/>
              <w:rPr>
                <w:rFonts w:cs="Arial"/>
                <w:noProof/>
                <w:szCs w:val="20"/>
              </w:rPr>
            </w:pPr>
            <w:r>
              <w:rPr>
                <w:noProof/>
              </w:rPr>
              <w:t>VI. Dati par visiem līgumiem ir reģistrēti valsts pretkorupcijas iestādes (ANAC) pretkorupcijas datubāzē.</w:t>
            </w:r>
          </w:p>
          <w:p w14:paraId="0EAD8E70" w14:textId="77777777" w:rsidR="00327FF1" w:rsidRDefault="00E406C7">
            <w:pPr>
              <w:pStyle w:val="P68B1DB1-Normal12"/>
              <w:spacing w:after="120"/>
              <w:rPr>
                <w:rFonts w:cs="Arial"/>
                <w:noProof/>
              </w:rPr>
            </w:pPr>
            <w:r>
              <w:rPr>
                <w:noProof/>
              </w:rPr>
              <w:t>VII. Visi īpašie biroji, kas atbild par publiskā iepirkuma procedūrām ministrijās, reģionos un lielpilsētās.</w:t>
            </w:r>
          </w:p>
        </w:tc>
      </w:tr>
      <w:tr w:rsidR="00327FF1" w14:paraId="5025E30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DE14D2" w14:textId="77777777" w:rsidR="00327FF1" w:rsidRDefault="00E406C7">
            <w:pPr>
              <w:pStyle w:val="P68B1DB1-Normal11"/>
              <w:jc w:val="center"/>
              <w:rPr>
                <w:rFonts w:cs="Arial"/>
                <w:noProof/>
                <w:szCs w:val="20"/>
              </w:rPr>
            </w:pPr>
            <w:r>
              <w:rPr>
                <w:noProof/>
              </w:rPr>
              <w:t>M1C1–72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D1BA8C" w14:textId="77777777" w:rsidR="00327FF1" w:rsidRDefault="00E406C7">
            <w:pPr>
              <w:pStyle w:val="P68B1DB1-Normal12"/>
              <w:jc w:val="center"/>
              <w:rPr>
                <w:rFonts w:cs="Arial"/>
                <w:noProof/>
              </w:rPr>
            </w:pPr>
            <w:r>
              <w:rPr>
                <w:noProof/>
              </w:rPr>
              <w:t xml:space="preserve">Reforma Nr. 1.11. Valsts </w:t>
            </w:r>
            <w:r>
              <w:rPr>
                <w:noProof/>
              </w:rPr>
              <w:t>pārvaldes un veselības aprūpes iestāžu maksājumu kavējumu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EE42E3"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88B084" w14:textId="77777777" w:rsidR="00327FF1" w:rsidRDefault="00E406C7">
            <w:pPr>
              <w:pStyle w:val="P68B1DB1-Normal12"/>
              <w:jc w:val="center"/>
              <w:rPr>
                <w:rFonts w:cs="Arial"/>
                <w:noProof/>
              </w:rPr>
            </w:pPr>
            <w:r>
              <w:rPr>
                <w:noProof/>
              </w:rPr>
              <w:t>Ir apstiprināti pasākumi, lai samazinātu valsts pārvaldes maksājumu kavējumus uzņēmumiem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89EAD" w14:textId="77777777" w:rsidR="00327FF1" w:rsidRDefault="00E406C7">
            <w:pPr>
              <w:pStyle w:val="P68B1DB1-Normal12"/>
              <w:jc w:val="center"/>
              <w:rPr>
                <w:rFonts w:cs="Arial"/>
                <w:noProof/>
              </w:rPr>
            </w:pPr>
            <w:r>
              <w:rPr>
                <w:noProof/>
              </w:rPr>
              <w:t>Likuma noteikums, kas norāda uz tādu noteikumu stāšanos spēkā, kuru mērķis ir s</w:t>
            </w:r>
            <w:r>
              <w:rPr>
                <w:noProof/>
              </w:rPr>
              <w:t>amazināt maksājumu kavējumus no maksājumu aģentūras uzņēmumiem</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1C542C"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D6099B"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3B4F30"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5989AD"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039640"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A7FE5F" w14:textId="77777777" w:rsidR="00327FF1" w:rsidRDefault="00E406C7">
            <w:pPr>
              <w:pStyle w:val="P68B1DB1-Normal12"/>
              <w:spacing w:after="120"/>
              <w:rPr>
                <w:rFonts w:cs="Arial"/>
                <w:noProof/>
              </w:rPr>
            </w:pPr>
            <w:r>
              <w:rPr>
                <w:noProof/>
              </w:rPr>
              <w:t>Stājas spēkā jauni noteikumi, kuru mērķis ir samazināt valsts pārvaldes maksājumu kavējumus uzņēmumiem.</w:t>
            </w:r>
          </w:p>
          <w:p w14:paraId="60D67CA5" w14:textId="77777777" w:rsidR="00327FF1" w:rsidRDefault="00E406C7">
            <w:pPr>
              <w:pStyle w:val="P68B1DB1-Normal11"/>
              <w:spacing w:after="120"/>
              <w:rPr>
                <w:rFonts w:cs="Arial"/>
                <w:noProof/>
                <w:szCs w:val="20"/>
              </w:rPr>
            </w:pPr>
            <w:r>
              <w:rPr>
                <w:noProof/>
              </w:rPr>
              <w:t>Pasākumi ietver vismaz šādus galvenos elementus:</w:t>
            </w:r>
          </w:p>
          <w:p w14:paraId="1F78A2C8" w14:textId="77777777" w:rsidR="00327FF1" w:rsidRDefault="00E406C7">
            <w:pPr>
              <w:pStyle w:val="P68B1DB1-Normal16"/>
              <w:spacing w:after="120"/>
              <w:rPr>
                <w:rFonts w:cs="Arial"/>
                <w:noProof/>
                <w:color w:val="006100"/>
              </w:rPr>
            </w:pPr>
            <w:r>
              <w:rPr>
                <w:noProof/>
                <w:color w:val="006100"/>
              </w:rPr>
              <w:t>I.</w:t>
            </w:r>
            <w:r>
              <w:rPr>
                <w:noProof/>
                <w:color w:val="006100"/>
              </w:rPr>
              <w:t xml:space="preserve"> Sistēmas</w:t>
            </w:r>
            <w:r>
              <w:rPr>
                <w:noProof/>
              </w:rPr>
              <w:t xml:space="preserve"> </w:t>
            </w:r>
            <w:r>
              <w:rPr>
                <w:noProof/>
                <w:color w:val="006100"/>
              </w:rPr>
              <w:t>iekšējo IT sistēmu izvieto centrālajā valsts pārvaldē, lai atbalstītu ekonomikas un finanšu uzskaiti un publisko izdevumu izpildi.</w:t>
            </w:r>
          </w:p>
          <w:p w14:paraId="72098827" w14:textId="75D02406" w:rsidR="00327FF1" w:rsidRDefault="00E406C7">
            <w:pPr>
              <w:pStyle w:val="P68B1DB1-Normal16"/>
              <w:spacing w:after="120"/>
              <w:rPr>
                <w:rFonts w:cs="Arial"/>
                <w:noProof/>
                <w:color w:val="006100"/>
              </w:rPr>
            </w:pPr>
            <w:r>
              <w:rPr>
                <w:noProof/>
                <w:color w:val="006100"/>
              </w:rPr>
              <w:t>II.</w:t>
            </w:r>
            <w:r>
              <w:rPr>
                <w:noProof/>
              </w:rPr>
              <w:t xml:space="preserve"> </w:t>
            </w:r>
            <w:r>
              <w:rPr>
                <w:noProof/>
                <w:color w:val="006100"/>
              </w:rPr>
              <w:t xml:space="preserve">Maksājumu kavējumi — FM IT sistēmas (Commercial Credit Platform — PCC) datubāzē balstītie rādītāji ir vidējais </w:t>
            </w:r>
            <w:r>
              <w:rPr>
                <w:noProof/>
                <w:color w:val="006100"/>
              </w:rPr>
              <w:t>svērtais publisko iestāžu maksājumu laiks uzņēmumiem un vidējais svērtais publisko iestāžu maksājumu kavējums uzņēmumiem katrā no šādiem publiskās pārvaldes līmeņiem:</w:t>
            </w:r>
          </w:p>
          <w:p w14:paraId="72B93487" w14:textId="77777777" w:rsidR="00327FF1" w:rsidRDefault="00E406C7">
            <w:pPr>
              <w:pStyle w:val="P68B1DB1-Normal12"/>
              <w:numPr>
                <w:ilvl w:val="0"/>
                <w:numId w:val="20"/>
              </w:numPr>
              <w:spacing w:after="120" w:line="240" w:lineRule="auto"/>
              <w:ind w:left="341" w:hanging="283"/>
              <w:rPr>
                <w:rFonts w:cs="Arial"/>
                <w:noProof/>
              </w:rPr>
            </w:pPr>
            <w:r>
              <w:rPr>
                <w:noProof/>
              </w:rPr>
              <w:t>centrālās iestādes (Amministrazioni dello Stato, enti pubblici nazionali e altri enti)</w:t>
            </w:r>
          </w:p>
          <w:p w14:paraId="462122B1" w14:textId="77777777" w:rsidR="00327FF1" w:rsidRDefault="00E406C7">
            <w:pPr>
              <w:pStyle w:val="P68B1DB1-Normal12"/>
              <w:numPr>
                <w:ilvl w:val="0"/>
                <w:numId w:val="20"/>
              </w:numPr>
              <w:spacing w:after="120" w:line="240" w:lineRule="auto"/>
              <w:ind w:left="341" w:hanging="283"/>
              <w:rPr>
                <w:rFonts w:cs="Arial"/>
                <w:noProof/>
              </w:rPr>
            </w:pPr>
            <w:r>
              <w:rPr>
                <w:noProof/>
              </w:rPr>
              <w:t>re</w:t>
            </w:r>
            <w:r>
              <w:rPr>
                <w:noProof/>
              </w:rPr>
              <w:t>ģionālās iestādes (Regioni un province Autonome),</w:t>
            </w:r>
          </w:p>
          <w:p w14:paraId="003CBFB0" w14:textId="77777777" w:rsidR="00327FF1" w:rsidRDefault="00E406C7">
            <w:pPr>
              <w:pStyle w:val="P68B1DB1-Normal12"/>
              <w:numPr>
                <w:ilvl w:val="0"/>
                <w:numId w:val="20"/>
              </w:numPr>
              <w:spacing w:after="120" w:line="240" w:lineRule="auto"/>
              <w:ind w:left="341" w:hanging="283"/>
              <w:rPr>
                <w:rFonts w:cs="Arial"/>
                <w:noProof/>
              </w:rPr>
            </w:pPr>
            <w:r>
              <w:rPr>
                <w:noProof/>
              </w:rPr>
              <w:t>vietējās pašvaldības (enti locali)</w:t>
            </w:r>
          </w:p>
          <w:p w14:paraId="35927F2E" w14:textId="77777777" w:rsidR="00327FF1" w:rsidRDefault="00E406C7">
            <w:pPr>
              <w:pStyle w:val="P68B1DB1-Normal12"/>
              <w:numPr>
                <w:ilvl w:val="0"/>
                <w:numId w:val="20"/>
              </w:numPr>
              <w:spacing w:after="120" w:line="240" w:lineRule="auto"/>
              <w:ind w:left="341" w:hanging="283"/>
              <w:rPr>
                <w:rFonts w:cs="Arial"/>
                <w:noProof/>
              </w:rPr>
            </w:pPr>
            <w:r>
              <w:rPr>
                <w:noProof/>
              </w:rPr>
              <w:t>sabiedrības veselības iestādes (enti del Servizio sanitario nazionale).</w:t>
            </w:r>
          </w:p>
        </w:tc>
      </w:tr>
      <w:tr w:rsidR="00327FF1" w14:paraId="644BA14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43BB1" w14:textId="77777777" w:rsidR="00327FF1" w:rsidRDefault="00E406C7">
            <w:pPr>
              <w:pStyle w:val="P68B1DB1-Normal11"/>
              <w:jc w:val="center"/>
              <w:rPr>
                <w:rFonts w:cs="Arial"/>
                <w:noProof/>
                <w:szCs w:val="20"/>
              </w:rPr>
            </w:pPr>
            <w:r>
              <w:rPr>
                <w:noProof/>
              </w:rPr>
              <w:t>M1C1–72bis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F2EA90" w14:textId="77777777" w:rsidR="00327FF1" w:rsidRDefault="00E406C7">
            <w:pPr>
              <w:pStyle w:val="P68B1DB1-Normal12"/>
              <w:jc w:val="center"/>
              <w:rPr>
                <w:rFonts w:cs="Arial"/>
                <w:noProof/>
              </w:rPr>
            </w:pPr>
            <w:r>
              <w:rPr>
                <w:noProof/>
              </w:rPr>
              <w:t xml:space="preserve">Reforma Nr. 1.11. Valsts pārvaldes un veselības aprūpes iestāžu maksājumu kavējumu </w:t>
            </w:r>
            <w:r>
              <w:rPr>
                <w:noProof/>
              </w:rPr>
              <w:t>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1D7A6A"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EE281E" w14:textId="77777777" w:rsidR="00327FF1" w:rsidRDefault="00E406C7">
            <w:pPr>
              <w:pStyle w:val="P68B1DB1-Normal12"/>
              <w:jc w:val="center"/>
              <w:rPr>
                <w:rFonts w:cs="Arial"/>
                <w:noProof/>
              </w:rPr>
            </w:pPr>
            <w:r>
              <w:rPr>
                <w:noProof/>
              </w:rPr>
              <w:t>Likumdošanas un īpašas darbības, lai samazinātu maksājumu kavējumus centrālā/vietējā līmenī</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861198" w14:textId="77777777" w:rsidR="00327FF1" w:rsidRDefault="00E406C7">
            <w:pPr>
              <w:pStyle w:val="P68B1DB1-Normal12"/>
              <w:jc w:val="center"/>
              <w:rPr>
                <w:rFonts w:cs="Arial"/>
                <w:noProof/>
              </w:rPr>
            </w:pPr>
            <w:r>
              <w:rPr>
                <w:noProof/>
              </w:rPr>
              <w:t xml:space="preserve">Tiesību akta noteikums, kurā norādīta stāšanās spēkā, pieņemtie cirkulāri un pasākumi, kas veikti, lai samazinātu valsts pārvaldes </w:t>
            </w:r>
            <w:r>
              <w:rPr>
                <w:noProof/>
              </w:rPr>
              <w:t>maksājumu kavējumus uzņēmumiem</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5DB016"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391ADB"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C7F562"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1DA8CA"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E10E59"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F03250" w14:textId="77777777" w:rsidR="00327FF1" w:rsidRDefault="00E406C7">
            <w:pPr>
              <w:pStyle w:val="P68B1DB1-Normal11"/>
              <w:spacing w:after="120"/>
              <w:rPr>
                <w:rFonts w:cs="Arial"/>
                <w:noProof/>
              </w:rPr>
            </w:pPr>
            <w:r>
              <w:rPr>
                <w:noProof/>
              </w:rPr>
              <w:t>Stājas spēkā šādi tiesību akti:</w:t>
            </w:r>
          </w:p>
          <w:p w14:paraId="60C719ED" w14:textId="77777777" w:rsidR="00327FF1" w:rsidRDefault="00E406C7">
            <w:pPr>
              <w:pStyle w:val="P68B1DB1-Normal11"/>
              <w:spacing w:after="120"/>
              <w:rPr>
                <w:rFonts w:cs="Arial"/>
                <w:noProof/>
                <w:szCs w:val="20"/>
              </w:rPr>
            </w:pPr>
            <w:r>
              <w:rPr>
                <w:noProof/>
              </w:rPr>
              <w:t xml:space="preserve">apkārtrakstu, kurā precizēta komerciālo un nekomerciālo darījumu darbības joma saskaņā ar Maksājumu kavējumu direktīvu; </w:t>
            </w:r>
          </w:p>
          <w:p w14:paraId="513A8478" w14:textId="77777777" w:rsidR="00327FF1" w:rsidRDefault="00E406C7">
            <w:pPr>
              <w:pStyle w:val="P68B1DB1-Normal11"/>
              <w:spacing w:after="120"/>
              <w:rPr>
                <w:rFonts w:cs="Arial"/>
                <w:noProof/>
                <w:szCs w:val="20"/>
              </w:rPr>
            </w:pPr>
            <w:r>
              <w:rPr>
                <w:noProof/>
              </w:rPr>
              <w:t>apkārtrakstu, kurā precizēta Maksā</w:t>
            </w:r>
            <w:r>
              <w:rPr>
                <w:noProof/>
              </w:rPr>
              <w:t>jumu kavējumu direktīvas 4. panta 6. punkta darbības joma saskaņā ar Maksājumu kavējumu direktīvas 4. panta 6. punktu;</w:t>
            </w:r>
          </w:p>
          <w:p w14:paraId="4CF8D499" w14:textId="77777777" w:rsidR="00327FF1" w:rsidRDefault="00E406C7">
            <w:pPr>
              <w:pStyle w:val="P68B1DB1-Normal11"/>
              <w:spacing w:after="120"/>
              <w:rPr>
                <w:rFonts w:cs="Arial"/>
                <w:noProof/>
                <w:szCs w:val="20"/>
              </w:rPr>
            </w:pPr>
            <w:r>
              <w:rPr>
                <w:noProof/>
              </w:rPr>
              <w:t>tiesību akti, lai nodrošinātu, ka parastie reģioni un vietējās pašvaldības saņem līdzekļus rēķinu savlaicīgai apmaksai no centrālā līmeņa</w:t>
            </w:r>
            <w:r>
              <w:rPr>
                <w:noProof/>
              </w:rPr>
              <w:t>;</w:t>
            </w:r>
          </w:p>
          <w:p w14:paraId="0100C5BB" w14:textId="77777777" w:rsidR="00327FF1" w:rsidRDefault="00E406C7">
            <w:pPr>
              <w:pStyle w:val="P68B1DB1-Normal11"/>
              <w:spacing w:after="120"/>
              <w:rPr>
                <w:rFonts w:cs="Arial"/>
                <w:noProof/>
                <w:szCs w:val="20"/>
              </w:rPr>
            </w:pPr>
            <w:r>
              <w:rPr>
                <w:noProof/>
              </w:rPr>
              <w:t>tiesību akti, kas paredz, ka valsts iestādēm ir jāpieņem ikgadēji naudas plūsmas plāni, nodrošinot likumā noteikto maksājumu termiņu ievērošanu;</w:t>
            </w:r>
          </w:p>
          <w:p w14:paraId="15AE49BD" w14:textId="77777777" w:rsidR="00327FF1" w:rsidRDefault="00E406C7">
            <w:pPr>
              <w:pStyle w:val="P68B1DB1-Normal12"/>
              <w:rPr>
                <w:noProof/>
              </w:rPr>
            </w:pPr>
            <w:r>
              <w:rPr>
                <w:noProof/>
              </w:rPr>
              <w:t>— tiesību akti, ar kuriem ievieš noteikumus, kas ļauj piešķirt kredītu trešām personām pēc 30 dienu klusēšana</w:t>
            </w:r>
            <w:r>
              <w:rPr>
                <w:noProof/>
              </w:rPr>
              <w:t>s/valsts pārvaldes iestāžu bezdarbības.</w:t>
            </w:r>
          </w:p>
          <w:p w14:paraId="3979D0CD" w14:textId="03CB501E" w:rsidR="00327FF1" w:rsidRDefault="00E406C7">
            <w:pPr>
              <w:pStyle w:val="P68B1DB1-Normal11"/>
              <w:rPr>
                <w:b/>
                <w:bCs/>
                <w:noProof/>
                <w:szCs w:val="20"/>
              </w:rPr>
            </w:pPr>
            <w:r>
              <w:rPr>
                <w:noProof/>
              </w:rPr>
              <w:t xml:space="preserve">Centrālā </w:t>
            </w:r>
            <w:r>
              <w:rPr>
                <w:b/>
                <w:noProof/>
              </w:rPr>
              <w:t>līmenī veic šādas darbības:</w:t>
            </w:r>
            <w:r>
              <w:rPr>
                <w:noProof/>
              </w:rPr>
              <w:t xml:space="preserve"> </w:t>
            </w:r>
          </w:p>
          <w:p w14:paraId="114C21F1" w14:textId="77777777" w:rsidR="00327FF1" w:rsidRDefault="00E406C7">
            <w:pPr>
              <w:pStyle w:val="P68B1DB1-Normal12"/>
              <w:spacing w:after="120"/>
              <w:rPr>
                <w:rFonts w:cs="Arial"/>
                <w:noProof/>
              </w:rPr>
            </w:pPr>
            <w:r>
              <w:rPr>
                <w:noProof/>
              </w:rPr>
              <w:t xml:space="preserve">Tādu tiesību aktu stāšanās spēkā, ar kuriem centrālajā līmenī identificē kavētos maksātājus un pieprasa pieņemt pasākumus, lai nodrošinātu, ka tie maksā 30 dienu laikā; </w:t>
            </w:r>
          </w:p>
          <w:p w14:paraId="30BEC962" w14:textId="77777777" w:rsidR="00327FF1" w:rsidRDefault="00E406C7">
            <w:pPr>
              <w:pStyle w:val="P68B1DB1-Normal11"/>
              <w:spacing w:after="120"/>
              <w:rPr>
                <w:rFonts w:cs="Arial"/>
                <w:noProof/>
                <w:szCs w:val="20"/>
              </w:rPr>
            </w:pPr>
            <w:r>
              <w:rPr>
                <w:noProof/>
              </w:rPr>
              <w:t xml:space="preserve">— Reizi </w:t>
            </w:r>
            <w:r>
              <w:rPr>
                <w:noProof/>
              </w:rPr>
              <w:t>ceturksnī atjauninātā ministriju nokavēto maksājumu krājuma publicēšana;</w:t>
            </w:r>
          </w:p>
          <w:p w14:paraId="22407C3C" w14:textId="77777777" w:rsidR="00327FF1" w:rsidRDefault="00E406C7">
            <w:pPr>
              <w:pStyle w:val="P68B1DB1-Normal12"/>
              <w:spacing w:after="120"/>
              <w:rPr>
                <w:rFonts w:cs="Arial"/>
                <w:noProof/>
              </w:rPr>
            </w:pPr>
            <w:r>
              <w:rPr>
                <w:noProof/>
              </w:rPr>
              <w:t xml:space="preserve">— Darba grupu izveide, ja to prasa tiesību akti. </w:t>
            </w:r>
          </w:p>
          <w:p w14:paraId="1EEAD627" w14:textId="77777777" w:rsidR="00327FF1" w:rsidRDefault="00E406C7">
            <w:pPr>
              <w:pStyle w:val="P68B1DB1-Normal11"/>
              <w:spacing w:after="120"/>
              <w:rPr>
                <w:rFonts w:cs="Arial"/>
                <w:b/>
                <w:bCs/>
                <w:noProof/>
                <w:szCs w:val="20"/>
              </w:rPr>
            </w:pPr>
            <w:r>
              <w:rPr>
                <w:b/>
                <w:noProof/>
              </w:rPr>
              <w:t>Vietējā līmenī</w:t>
            </w:r>
            <w:r>
              <w:rPr>
                <w:noProof/>
              </w:rPr>
              <w:t>veic šādas darbības:</w:t>
            </w:r>
            <w:r>
              <w:rPr>
                <w:b/>
                <w:noProof/>
              </w:rPr>
              <w:t xml:space="preserve"> </w:t>
            </w:r>
          </w:p>
          <w:p w14:paraId="32264D2B" w14:textId="29CD4034" w:rsidR="00327FF1" w:rsidRDefault="00E406C7">
            <w:pPr>
              <w:pStyle w:val="P68B1DB1-Normal12"/>
              <w:spacing w:after="120"/>
              <w:rPr>
                <w:rFonts w:cs="Arial"/>
                <w:noProof/>
              </w:rPr>
            </w:pPr>
            <w:r>
              <w:rPr>
                <w:noProof/>
              </w:rPr>
              <w:t xml:space="preserve">Tādu tiesību aktu stāšanās spēkā, ar kuriem vietējā līmenī identificē kavētos maksātājus un pieprasa pieņemt pasākumus, lai nodrošinātu, ka tie maksā 30 dienu laikā; </w:t>
            </w:r>
          </w:p>
          <w:p w14:paraId="026B2A8A" w14:textId="77777777" w:rsidR="00327FF1" w:rsidRDefault="00E406C7">
            <w:pPr>
              <w:pStyle w:val="P68B1DB1-Normal11"/>
              <w:spacing w:after="120"/>
              <w:rPr>
                <w:rFonts w:cs="Arial"/>
                <w:noProof/>
                <w:szCs w:val="20"/>
              </w:rPr>
            </w:pPr>
            <w:r>
              <w:rPr>
                <w:noProof/>
              </w:rPr>
              <w:t>— Šo iestāžu nokavēto maksājumu krājumu publicēšana tiek atjaunināta reizi ceturksnī.</w:t>
            </w:r>
          </w:p>
        </w:tc>
      </w:tr>
      <w:tr w:rsidR="00327FF1" w14:paraId="4EEB828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774D5B" w14:textId="77777777" w:rsidR="00327FF1" w:rsidRDefault="00E406C7">
            <w:pPr>
              <w:pStyle w:val="P68B1DB1-Normal12"/>
              <w:jc w:val="center"/>
              <w:rPr>
                <w:rFonts w:cs="Arial"/>
                <w:noProof/>
              </w:rPr>
            </w:pPr>
            <w:r>
              <w:rPr>
                <w:noProof/>
              </w:rPr>
              <w:t>M1C1–72ter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DF72C0" w14:textId="77777777" w:rsidR="00327FF1" w:rsidRDefault="00E406C7">
            <w:pPr>
              <w:pStyle w:val="P68B1DB1-Normal12"/>
              <w:jc w:val="center"/>
              <w:rPr>
                <w:rFonts w:cs="Arial"/>
                <w:noProof/>
              </w:rPr>
            </w:pPr>
            <w:r>
              <w:rPr>
                <w:noProof/>
              </w:rPr>
              <w:t>Reforma Nr. 1.11. Valsts pārvaldes un veselības aprūpes iestāžu maksājumu kavējumu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420FA9"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5F8D0D" w14:textId="77777777" w:rsidR="00327FF1" w:rsidRDefault="00E406C7">
            <w:pPr>
              <w:pStyle w:val="P68B1DB1-Normal11"/>
              <w:jc w:val="center"/>
              <w:rPr>
                <w:rFonts w:cs="Arial"/>
                <w:noProof/>
                <w:szCs w:val="20"/>
              </w:rPr>
            </w:pPr>
            <w:r>
              <w:rPr>
                <w:noProof/>
              </w:rPr>
              <w:t>Palielināt ar maksājumiem saistītos cilvēkresursus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B31094" w14:textId="4224D24C" w:rsidR="00327FF1" w:rsidRDefault="00E406C7">
            <w:pPr>
              <w:pStyle w:val="P68B1DB1-Normal12"/>
              <w:jc w:val="center"/>
              <w:rPr>
                <w:rFonts w:cs="Arial"/>
                <w:noProof/>
              </w:rPr>
            </w:pPr>
            <w:r>
              <w:rPr>
                <w:noProof/>
              </w:rPr>
              <w:t xml:space="preserve">Noteikums par to, ka stājas spēkā tiesību akti, kas paredz iespēju palielināt ar </w:t>
            </w:r>
            <w:r>
              <w:rPr>
                <w:noProof/>
              </w:rPr>
              <w:t>maksājumiem saistītos cilvēkresursus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8FC3F9"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5E08DC"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86E538"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147494"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C9266F"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D453E7" w14:textId="77777777" w:rsidR="00327FF1" w:rsidRDefault="00E406C7">
            <w:pPr>
              <w:pStyle w:val="P68B1DB1-Normal12"/>
              <w:spacing w:after="120"/>
              <w:rPr>
                <w:rFonts w:cs="Arial"/>
                <w:noProof/>
              </w:rPr>
            </w:pPr>
            <w:r>
              <w:rPr>
                <w:noProof/>
              </w:rPr>
              <w:t>Stājas spēkā tiesību akti, kas paredz iespēju palielināt cilvēkresursus, kuri nodarbojas ar maksājumiem šādās jomās:</w:t>
            </w:r>
          </w:p>
          <w:p w14:paraId="1BA3AE32" w14:textId="77777777" w:rsidR="00327FF1" w:rsidRDefault="00E406C7">
            <w:pPr>
              <w:pStyle w:val="P68B1DB1-Normal12"/>
              <w:spacing w:after="120"/>
              <w:rPr>
                <w:rFonts w:cs="Arial"/>
                <w:noProof/>
              </w:rPr>
            </w:pPr>
            <w:r>
              <w:rPr>
                <w:noProof/>
              </w:rPr>
              <w:t>Ministrijas, kas identificētas kā novēloti maksātāji un kas</w:t>
            </w:r>
            <w:r>
              <w:rPr>
                <w:noProof/>
              </w:rPr>
              <w:t xml:space="preserve"> iesniegušas intervences plānu saskaņā ar 2024. gada 2. marta Dekrētlikumu Nr. 19, kas pārveidots ar 2024. gada 29. aprīļa Likumu Nr. 56;</w:t>
            </w:r>
          </w:p>
          <w:p w14:paraId="715E6F94" w14:textId="31862F88" w:rsidR="00327FF1" w:rsidRDefault="00E406C7">
            <w:pPr>
              <w:pStyle w:val="P68B1DB1-Normal12"/>
              <w:spacing w:after="120"/>
              <w:rPr>
                <w:rFonts w:cs="Arial"/>
                <w:noProof/>
              </w:rPr>
            </w:pPr>
            <w:r>
              <w:rPr>
                <w:noProof/>
              </w:rPr>
              <w:t>— pašvaldības, kurās ir vairāk nekā 60000 iedzīvotāju, provinces un lielpilsētas, kas identificētas kā novēloti maksāt</w:t>
            </w:r>
            <w:r>
              <w:rPr>
                <w:noProof/>
              </w:rPr>
              <w:t>āji un kas iesniedza intervences plānu saskaņā ar 2024. gada 2. marta Dekrētlikumu Nr. 19, kas pārveidots ar 2024. gada 29. aprīļa Likumu Nr. 56.</w:t>
            </w:r>
          </w:p>
        </w:tc>
      </w:tr>
      <w:tr w:rsidR="00327FF1" w14:paraId="0B0A6D1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BD90D" w14:textId="77777777" w:rsidR="00327FF1" w:rsidRDefault="00E406C7">
            <w:pPr>
              <w:pStyle w:val="P68B1DB1-Normal11"/>
              <w:jc w:val="center"/>
              <w:rPr>
                <w:rFonts w:cs="Arial"/>
                <w:noProof/>
                <w:szCs w:val="20"/>
              </w:rPr>
            </w:pPr>
            <w:r>
              <w:rPr>
                <w:noProof/>
              </w:rPr>
              <w:t>M1C1–72quater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C2974C" w14:textId="77777777" w:rsidR="00327FF1" w:rsidRDefault="00E406C7">
            <w:pPr>
              <w:pStyle w:val="P68B1DB1-Normal12"/>
              <w:jc w:val="center"/>
              <w:rPr>
                <w:rFonts w:cs="Arial"/>
                <w:noProof/>
              </w:rPr>
            </w:pPr>
            <w:r>
              <w:rPr>
                <w:noProof/>
              </w:rPr>
              <w:t>Reforma Nr. 1.11. Valsts pārvaldes un veselības aprūpes iestāžu maksājumu kavējumu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3314B5"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AE0BEB" w14:textId="77777777" w:rsidR="00327FF1" w:rsidRDefault="00E406C7">
            <w:pPr>
              <w:pStyle w:val="P68B1DB1-Normal12"/>
              <w:jc w:val="center"/>
              <w:rPr>
                <w:noProof/>
              </w:rPr>
            </w:pPr>
            <w:r>
              <w:rPr>
                <w:noProof/>
              </w:rPr>
              <w:t>Revīzijas plāna pieņemšana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0BF7A2" w14:textId="77777777" w:rsidR="00327FF1" w:rsidRDefault="00327FF1">
            <w:pPr>
              <w:jc w:val="center"/>
              <w:rPr>
                <w:rFonts w:ascii="Arial Narrow" w:hAnsi="Arial Narrow"/>
                <w:noProof/>
                <w:color w:val="006100"/>
                <w:sz w:val="20"/>
                <w:szCs w:val="20"/>
              </w:rPr>
            </w:pPr>
          </w:p>
          <w:p w14:paraId="7327E3B5" w14:textId="77777777" w:rsidR="00327FF1" w:rsidRDefault="00E406C7">
            <w:pPr>
              <w:pStyle w:val="P68B1DB1-Normal12"/>
              <w:jc w:val="center"/>
              <w:rPr>
                <w:noProof/>
              </w:rPr>
            </w:pPr>
            <w:r>
              <w:rPr>
                <w:noProof/>
              </w:rPr>
              <w:t>Revīzijas plāna pieņemšana</w:t>
            </w:r>
          </w:p>
          <w:p w14:paraId="5C577949" w14:textId="77777777" w:rsidR="00327FF1" w:rsidRDefault="00327FF1">
            <w:pPr>
              <w:spacing w:line="276" w:lineRule="auto"/>
              <w:jc w:val="center"/>
              <w:rPr>
                <w:rFonts w:ascii="Arial Narrow" w:hAnsi="Arial Narrow"/>
                <w:noProof/>
                <w:color w:val="0061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D4B9F7"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F0767"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BEFFB"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3249CC"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5FA3E"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9DDBE9" w14:textId="77777777" w:rsidR="00327FF1" w:rsidRDefault="00E406C7">
            <w:pPr>
              <w:pStyle w:val="P68B1DB1-Normal12"/>
              <w:spacing w:after="120"/>
              <w:rPr>
                <w:noProof/>
              </w:rPr>
            </w:pPr>
            <w:r>
              <w:rPr>
                <w:noProof/>
              </w:rPr>
              <w:t>Revīzijas plāna, tostarp tā īstenošanas ceļveža, pieņemšana par vismaz 130 valsts pārvaldes iestāžu, kas identificētas kā novēloti maksātāj</w:t>
            </w:r>
            <w:r>
              <w:rPr>
                <w:noProof/>
              </w:rPr>
              <w:t>i, esošo maksājumu procesu atbilstību un savlaicīgumu: I) centrālā līmenī (tostarp ministriju teritoriālās nodaļas); II) pašvaldības; un iii) sabiedrības veselības aizsardzības iestādes.</w:t>
            </w:r>
          </w:p>
        </w:tc>
      </w:tr>
      <w:tr w:rsidR="00327FF1" w14:paraId="79CEF00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08A17E" w14:textId="77777777" w:rsidR="00327FF1" w:rsidRDefault="00E406C7">
            <w:pPr>
              <w:pStyle w:val="P68B1DB1-Normal11"/>
              <w:jc w:val="center"/>
              <w:rPr>
                <w:rFonts w:cs="Arial"/>
                <w:noProof/>
                <w:szCs w:val="20"/>
              </w:rPr>
            </w:pPr>
            <w:bookmarkStart w:id="4" w:name="_Hlk160473292"/>
            <w:r>
              <w:rPr>
                <w:noProof/>
              </w:rPr>
              <w:t>M1C1–72kvīni</w:t>
            </w:r>
            <w:bookmarkEnd w:id="4"/>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281BD7" w14:textId="77777777" w:rsidR="00327FF1" w:rsidRDefault="00E406C7">
            <w:pPr>
              <w:pStyle w:val="P68B1DB1-Normal12"/>
              <w:jc w:val="center"/>
              <w:rPr>
                <w:rFonts w:cs="Arial"/>
                <w:noProof/>
              </w:rPr>
            </w:pPr>
            <w:bookmarkStart w:id="5" w:name="_Hlk160473280"/>
            <w:r>
              <w:rPr>
                <w:noProof/>
              </w:rPr>
              <w:t>Reforma Nr. 1.11. Valsts pārvaldes un veselības aprūpes</w:t>
            </w:r>
            <w:r>
              <w:rPr>
                <w:noProof/>
              </w:rPr>
              <w:t xml:space="preserve"> iestāžu maksājumu kavējumu samazināšana</w:t>
            </w:r>
            <w:bookmarkEnd w:id="5"/>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C0E25F"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D4E47" w14:textId="1263B960" w:rsidR="00327FF1" w:rsidRDefault="00E406C7">
            <w:pPr>
              <w:pStyle w:val="P68B1DB1-Normal11"/>
              <w:jc w:val="center"/>
              <w:rPr>
                <w:noProof/>
                <w:szCs w:val="20"/>
              </w:rPr>
            </w:pPr>
            <w:r>
              <w:rPr>
                <w:noProof/>
              </w:rPr>
              <w:t>Tīmekļa vietne, kurā sniegta informācija un dati par valsts pārvaldes maksājumiem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2B7AC7" w14:textId="1152BF25" w:rsidR="00327FF1" w:rsidRDefault="00E406C7">
            <w:pPr>
              <w:pStyle w:val="P68B1DB1-Normal11"/>
              <w:jc w:val="center"/>
              <w:rPr>
                <w:rFonts w:cs="Arial"/>
                <w:noProof/>
                <w:szCs w:val="20"/>
              </w:rPr>
            </w:pPr>
            <w:r>
              <w:rPr>
                <w:noProof/>
              </w:rPr>
              <w:t>Tīmekļa vietne, kurā sniegta informācija un dati par valsts pārvaldes maksājumiem</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1207E0"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C4DF36"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B3F55A"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D87C9F" w14:textId="77777777" w:rsidR="00327FF1" w:rsidRDefault="00E406C7">
            <w:pPr>
              <w:pStyle w:val="P68B1DB1-Normal11"/>
              <w:jc w:val="center"/>
              <w:rPr>
                <w:rFonts w:cs="Arial"/>
                <w:noProof/>
                <w:szCs w:val="20"/>
              </w:rPr>
            </w:pPr>
            <w:r>
              <w:rPr>
                <w:noProof/>
              </w:rPr>
              <w:t>4. C</w:t>
            </w:r>
            <w:r>
              <w:rPr>
                <w:noProof/>
              </w:rPr>
              <w:t>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31D493" w14:textId="77777777" w:rsidR="00327FF1" w:rsidRDefault="00E406C7">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B4EC0F" w14:textId="681F0C55" w:rsidR="00327FF1" w:rsidRDefault="00E406C7">
            <w:pPr>
              <w:pStyle w:val="P68B1DB1-Normal11"/>
              <w:spacing w:after="120"/>
              <w:rPr>
                <w:rFonts w:cs="Arial"/>
                <w:noProof/>
                <w:szCs w:val="20"/>
              </w:rPr>
            </w:pPr>
            <w:r>
              <w:rPr>
                <w:noProof/>
              </w:rPr>
              <w:t xml:space="preserve"> Īpašā tīmekļa vietnē publicē šādu informāciju:</w:t>
            </w:r>
          </w:p>
          <w:p w14:paraId="3664F49B" w14:textId="77777777" w:rsidR="00327FF1" w:rsidRDefault="00E406C7">
            <w:pPr>
              <w:pStyle w:val="P68B1DB1-Normal12"/>
              <w:spacing w:after="120"/>
              <w:rPr>
                <w:noProof/>
              </w:rPr>
            </w:pPr>
            <w:r>
              <w:rPr>
                <w:noProof/>
              </w:rPr>
              <w:t>— Skaidrojums par tiesisko regulējumu attiecībā uz valsts pārvaldes iestāžu komercrēķinu apmaksas termiņiem, tostarp maksājumu termiņiem un tiesiskās aizsardzības līdzekļiem, kas pieejami kreditoriem</w:t>
            </w:r>
            <w:r>
              <w:rPr>
                <w:noProof/>
              </w:rPr>
              <w:t xml:space="preserve"> kavētu maksājumu gadījumā;</w:t>
            </w:r>
          </w:p>
          <w:p w14:paraId="5A08A843" w14:textId="64E5159C" w:rsidR="00327FF1" w:rsidRDefault="00E406C7">
            <w:pPr>
              <w:pStyle w:val="P68B1DB1-Normal12"/>
              <w:spacing w:after="120"/>
              <w:rPr>
                <w:noProof/>
              </w:rPr>
            </w:pPr>
            <w:r>
              <w:rPr>
                <w:noProof/>
              </w:rPr>
              <w:t>— Analīzes, kuru pamatā ir valsts pārvaldes maksājumu termiņu uzraudzība;</w:t>
            </w:r>
          </w:p>
          <w:p w14:paraId="192BF6E5" w14:textId="77777777" w:rsidR="00327FF1" w:rsidRDefault="00E406C7">
            <w:pPr>
              <w:pStyle w:val="P68B1DB1-Normal12"/>
              <w:spacing w:after="120"/>
              <w:rPr>
                <w:noProof/>
              </w:rPr>
            </w:pPr>
            <w:r>
              <w:rPr>
                <w:noProof/>
              </w:rPr>
              <w:t>— Dati par vidējo svērto maksājuma laiku, vidējo svērto maksājuma kavējumu, attiecību starp samaksāto komercsummu un maksājamo komercsummu, faktūrrēķinu s</w:t>
            </w:r>
            <w:r>
              <w:rPr>
                <w:noProof/>
              </w:rPr>
              <w:t xml:space="preserve">ummu un nekomerciālo rēķinu summu, atjaunināti reizi ceturksnī vismaz par katru izdevumu ministriju (katra Ministero con Portafoglio un Presidenza del Consiglio dei Ministri), katru reģionu un autonomo provinci, katru pašvaldību un katru veselības aprūpes </w:t>
            </w:r>
            <w:r>
              <w:rPr>
                <w:noProof/>
              </w:rPr>
              <w:t>iestādi (katra Azienda Sanitaria Locale);</w:t>
            </w:r>
          </w:p>
          <w:p w14:paraId="46AB7FE4" w14:textId="77777777" w:rsidR="00327FF1" w:rsidRDefault="00E406C7">
            <w:pPr>
              <w:pStyle w:val="P68B1DB1-Normal12"/>
              <w:spacing w:after="120"/>
              <w:rPr>
                <w:noProof/>
              </w:rPr>
            </w:pPr>
            <w:r>
              <w:rPr>
                <w:noProof/>
              </w:rPr>
              <w:t>— Bieži uzdotie jautājumi par valsts pārvaldes maksājumiem.</w:t>
            </w:r>
          </w:p>
          <w:p w14:paraId="4E17957E" w14:textId="77777777" w:rsidR="00327FF1" w:rsidRDefault="00E406C7">
            <w:pPr>
              <w:pStyle w:val="P68B1DB1-Normal12"/>
              <w:spacing w:after="120"/>
              <w:rPr>
                <w:noProof/>
              </w:rPr>
            </w:pPr>
            <w:r>
              <w:rPr>
                <w:noProof/>
              </w:rPr>
              <w:t>Visu izdevumu ministriju (Ministeri con Portafoglio un Presidenza del Consiglio dei Ministri) tīmekļa vietnē ir saite uz šo tīmekļa vietni.</w:t>
            </w:r>
          </w:p>
        </w:tc>
      </w:tr>
      <w:tr w:rsidR="00327FF1" w14:paraId="650E583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DAC337" w14:textId="77777777" w:rsidR="00327FF1" w:rsidRDefault="00E406C7">
            <w:pPr>
              <w:pStyle w:val="P68B1DB1-Normal11"/>
              <w:jc w:val="center"/>
              <w:rPr>
                <w:rFonts w:cs="Arial"/>
                <w:noProof/>
                <w:szCs w:val="20"/>
              </w:rPr>
            </w:pPr>
            <w:r>
              <w:rPr>
                <w:noProof/>
              </w:rPr>
              <w:t>M1C1–72ix</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FCEE6" w14:textId="77777777" w:rsidR="00327FF1" w:rsidRDefault="00E406C7">
            <w:pPr>
              <w:pStyle w:val="P68B1DB1-Normal12"/>
              <w:jc w:val="center"/>
              <w:rPr>
                <w:rFonts w:cs="Arial"/>
                <w:noProof/>
              </w:rPr>
            </w:pPr>
            <w:r>
              <w:rPr>
                <w:noProof/>
              </w:rPr>
              <w:t>Reforma Nr. 1.11. Valsts pārvaldes un veselības aprūpes iestāžu maksājumu kavējumu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31370D"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19E456" w14:textId="77777777" w:rsidR="00327FF1" w:rsidRDefault="00E406C7">
            <w:pPr>
              <w:pStyle w:val="P68B1DB1-Normal11"/>
              <w:jc w:val="center"/>
              <w:rPr>
                <w:rFonts w:cs="Arial"/>
                <w:noProof/>
                <w:szCs w:val="20"/>
              </w:rPr>
            </w:pPr>
            <w:r>
              <w:rPr>
                <w:noProof/>
              </w:rPr>
              <w:t>Revīzijas plāna galīgā revīzijas ziņojuma pieņemšana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597F53" w14:textId="77777777" w:rsidR="00327FF1" w:rsidRDefault="00E406C7">
            <w:pPr>
              <w:pStyle w:val="P68B1DB1-Normal11"/>
              <w:jc w:val="center"/>
              <w:rPr>
                <w:rFonts w:cs="Arial"/>
                <w:noProof/>
                <w:szCs w:val="20"/>
              </w:rPr>
            </w:pPr>
            <w:r>
              <w:rPr>
                <w:noProof/>
              </w:rPr>
              <w:t>Revīzijas plāna galīgā revīzijas ziņojuma pieņemšana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7662F3"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EEF46"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EE38F4"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0BD163"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6CC09F" w14:textId="77777777" w:rsidR="00327FF1" w:rsidRDefault="00E406C7">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265EC5" w14:textId="77777777" w:rsidR="00327FF1" w:rsidRDefault="00E406C7">
            <w:pPr>
              <w:pStyle w:val="P68B1DB1-Normal11"/>
              <w:spacing w:after="120"/>
              <w:rPr>
                <w:rFonts w:cs="Arial"/>
                <w:noProof/>
                <w:szCs w:val="20"/>
              </w:rPr>
            </w:pPr>
            <w:r>
              <w:rPr>
                <w:noProof/>
              </w:rPr>
              <w:t>Revīzijas plāna galīgā revīzijas ziņojuma pieņemšana, tostarp korektīvie pasākumi, kas īstenoti līdz 2025. gada 4. ceturksnim saskaņā ar revīzijas darbību rezultātiem.</w:t>
            </w:r>
          </w:p>
        </w:tc>
      </w:tr>
      <w:tr w:rsidR="00327FF1" w14:paraId="278E618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5B666F" w14:textId="77777777" w:rsidR="00327FF1" w:rsidRDefault="00E406C7">
            <w:pPr>
              <w:pStyle w:val="P68B1DB1-Normal11"/>
              <w:jc w:val="center"/>
              <w:rPr>
                <w:rFonts w:cs="Arial"/>
                <w:noProof/>
                <w:szCs w:val="20"/>
              </w:rPr>
            </w:pPr>
            <w:r>
              <w:rPr>
                <w:noProof/>
              </w:rPr>
              <w:t>M1C1–73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75A776"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62C84"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684D6" w14:textId="77777777" w:rsidR="00327FF1" w:rsidRDefault="00E406C7">
            <w:pPr>
              <w:pStyle w:val="P68B1DB1-Normal11"/>
              <w:jc w:val="center"/>
              <w:rPr>
                <w:rFonts w:cs="Arial"/>
                <w:noProof/>
                <w:szCs w:val="20"/>
              </w:rPr>
            </w:pPr>
            <w:r>
              <w:rPr>
                <w:noProof/>
              </w:rPr>
              <w:t>Publiskā iepirkuma kodeksa reformas stāšanās spēkā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23117B" w14:textId="77777777" w:rsidR="00327FF1" w:rsidRDefault="00E406C7">
            <w:pPr>
              <w:pStyle w:val="P68B1DB1-Normal12"/>
              <w:jc w:val="center"/>
              <w:rPr>
                <w:rFonts w:cs="Arial"/>
                <w:noProof/>
              </w:rPr>
            </w:pPr>
            <w:r>
              <w:rPr>
                <w:noProof/>
              </w:rPr>
              <w:t>Likuma noteikums, kas norāda uz leģislatīvā dekrēta stāšanos spēkā, lai īstenotu visus deleģēšanas likuma par Publisko iepirkumu kodeksa reformu noteikumus.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292BF"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474FD"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28F250"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4D031"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139534"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4FEEF1" w14:textId="77777777" w:rsidR="00327FF1" w:rsidRDefault="00E406C7">
            <w:pPr>
              <w:pStyle w:val="P68B1DB1-Normal11"/>
              <w:spacing w:before="100" w:beforeAutospacing="1" w:after="120"/>
              <w:rPr>
                <w:rFonts w:cs="Arial"/>
                <w:noProof/>
                <w:szCs w:val="20"/>
              </w:rPr>
            </w:pPr>
            <w:r>
              <w:rPr>
                <w:noProof/>
              </w:rPr>
              <w:t>Stājas spēkā Likumdošanas dekrēts, lai īstenotu visus deleģēšanas likuma priekšrakstus Publiskā iepirkuma kodeksa reformēšanai.</w:t>
            </w:r>
          </w:p>
        </w:tc>
      </w:tr>
      <w:tr w:rsidR="00327FF1" w14:paraId="09EEF92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13B70" w14:textId="77777777" w:rsidR="00327FF1" w:rsidRDefault="00E406C7">
            <w:pPr>
              <w:pStyle w:val="P68B1DB1-Normal11"/>
              <w:jc w:val="center"/>
              <w:rPr>
                <w:rFonts w:cs="Arial"/>
                <w:noProof/>
                <w:szCs w:val="20"/>
              </w:rPr>
            </w:pPr>
            <w:r>
              <w:rPr>
                <w:noProof/>
              </w:rPr>
              <w:t>M1C1–74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91E9AB"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BDFE84"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D9ED09" w14:textId="77777777" w:rsidR="00327FF1" w:rsidRDefault="00E406C7">
            <w:pPr>
              <w:pStyle w:val="P68B1DB1-Normal11"/>
              <w:jc w:val="center"/>
              <w:rPr>
                <w:rFonts w:cs="Arial"/>
                <w:noProof/>
                <w:szCs w:val="20"/>
              </w:rPr>
            </w:pPr>
            <w:r>
              <w:rPr>
                <w:noProof/>
              </w:rPr>
              <w:t xml:space="preserve">Stājas spēkā visi </w:t>
            </w:r>
            <w:r>
              <w:rPr>
                <w:noProof/>
              </w:rPr>
              <w:t>nepieciešamie īstenošanas pasākumi un sekundārie tiesību akti attiecībā uz Publiskā iepirkuma kodeksa vienkāršošanas reformu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675F5E" w14:textId="77777777" w:rsidR="00327FF1" w:rsidRDefault="00E406C7">
            <w:pPr>
              <w:pStyle w:val="P68B1DB1-Normal11"/>
              <w:jc w:val="center"/>
              <w:rPr>
                <w:rFonts w:cs="Arial"/>
                <w:noProof/>
                <w:szCs w:val="20"/>
              </w:rPr>
            </w:pPr>
            <w:r>
              <w:rPr>
                <w:noProof/>
              </w:rPr>
              <w:t>Visu nepieciešamo īstenošanas pasākumu un sekundāro tiesību aktu stāšanās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C25E9B"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B448C2"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81C43"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40EB76"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9605C2"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678890" w14:textId="77777777" w:rsidR="00327FF1" w:rsidRDefault="00E406C7">
            <w:pPr>
              <w:pStyle w:val="P68B1DB1-Normal12"/>
              <w:spacing w:before="100" w:beforeAutospacing="1" w:after="120"/>
              <w:rPr>
                <w:rFonts w:cs="Arial"/>
                <w:noProof/>
              </w:rPr>
            </w:pPr>
            <w:r>
              <w:rPr>
                <w:noProof/>
              </w:rPr>
              <w:t>Stājas s</w:t>
            </w:r>
            <w:r>
              <w:rPr>
                <w:noProof/>
              </w:rPr>
              <w:t>pēkā visi nepieciešamie īstenošanas pasākumi un sekundārie tiesību akti publiskā iepirkuma sistēmas reformai/vienkāršošanai (kas izriet arī no Publiskā iepirkuma kodeksa pārskatīšanas).</w:t>
            </w:r>
          </w:p>
        </w:tc>
      </w:tr>
      <w:tr w:rsidR="00327FF1" w14:paraId="7745D03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D8CB72" w14:textId="77777777" w:rsidR="00327FF1" w:rsidRDefault="00E406C7">
            <w:pPr>
              <w:pStyle w:val="P68B1DB1-Normal11"/>
              <w:spacing w:line="256" w:lineRule="auto"/>
              <w:jc w:val="center"/>
              <w:rPr>
                <w:rFonts w:eastAsia="Arial Narrow" w:cs="Arial Narrow"/>
                <w:noProof/>
                <w:szCs w:val="20"/>
              </w:rPr>
            </w:pPr>
            <w:r>
              <w:rPr>
                <w:noProof/>
              </w:rPr>
              <w:t>M1C1–73bis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01A770" w14:textId="77777777" w:rsidR="00327FF1" w:rsidRDefault="00E406C7">
            <w:pPr>
              <w:pStyle w:val="P68B1DB1-Normal11"/>
              <w:spacing w:line="256" w:lineRule="auto"/>
              <w:jc w:val="center"/>
              <w:rPr>
                <w:rFonts w:eastAsia="Arial Narrow" w:cs="Arial Narrow"/>
                <w:noProof/>
                <w:szCs w:val="20"/>
              </w:rPr>
            </w:pPr>
            <w:r>
              <w:rPr>
                <w:noProof/>
              </w:rPr>
              <w:t xml:space="preserve">Reforma Nr. 1.10. Publiskā iepirkuma tiesiskā regulējuma </w:t>
            </w:r>
            <w:r>
              <w:rPr>
                <w:noProof/>
              </w:rPr>
              <w:t>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81310D" w14:textId="77777777" w:rsidR="00327FF1" w:rsidRDefault="00E406C7">
            <w:pPr>
              <w:pStyle w:val="P68B1DB1-Normal11"/>
              <w:spacing w:line="256" w:lineRule="auto"/>
              <w:jc w:val="center"/>
              <w:rPr>
                <w:rFonts w:eastAsia="Arial Narrow" w:cs="Arial Narrow"/>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43B6DB" w14:textId="77777777" w:rsidR="00327FF1" w:rsidRDefault="00E406C7">
            <w:pPr>
              <w:pStyle w:val="P68B1DB1-Normal11"/>
              <w:spacing w:beforeAutospacing="1" w:after="120" w:line="256" w:lineRule="auto"/>
              <w:jc w:val="center"/>
              <w:rPr>
                <w:rFonts w:eastAsia="Arial Narrow" w:cs="Arial Narrow"/>
                <w:noProof/>
                <w:szCs w:val="20"/>
              </w:rPr>
            </w:pPr>
            <w:r>
              <w:rPr>
                <w:noProof/>
              </w:rPr>
              <w:t>Apkārtraksta, kurā sniegti norādījumi līgumslēdzējām iestādēm par kvalifikācijas sistēmu, pieņemšana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CAE890" w14:textId="77777777" w:rsidR="00327FF1" w:rsidRDefault="00E406C7">
            <w:pPr>
              <w:pStyle w:val="P68B1DB1-Normal11"/>
              <w:spacing w:beforeAutospacing="1" w:after="120" w:line="256" w:lineRule="auto"/>
              <w:jc w:val="center"/>
              <w:rPr>
                <w:rFonts w:eastAsia="Arial Narrow" w:cs="Arial Narrow"/>
                <w:noProof/>
                <w:szCs w:val="20"/>
              </w:rPr>
            </w:pPr>
            <w:r>
              <w:rPr>
                <w:noProof/>
              </w:rPr>
              <w:t>Apkārtraksta, kurā sniegti norādījumi līgumslēdzējām iestādēm par kvalifikācijas sistēmu, pieņemšana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48EA01" w14:textId="77777777" w:rsidR="00327FF1" w:rsidRDefault="00E406C7">
            <w:pPr>
              <w:pStyle w:val="P68B1DB1-Normal11"/>
              <w:spacing w:line="256" w:lineRule="auto"/>
              <w:jc w:val="center"/>
              <w:rPr>
                <w:rFonts w:eastAsia="Arial Narrow" w:cs="Arial Narrow"/>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5EE6B" w14:textId="77777777" w:rsidR="00327FF1" w:rsidRDefault="00E406C7">
            <w:pPr>
              <w:pStyle w:val="P68B1DB1-Normal11"/>
              <w:spacing w:line="256" w:lineRule="auto"/>
              <w:jc w:val="center"/>
              <w:rPr>
                <w:rFonts w:eastAsia="Arial Narrow" w:cs="Arial Narrow"/>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D878B4" w14:textId="77777777" w:rsidR="00327FF1" w:rsidRDefault="00E406C7">
            <w:pPr>
              <w:pStyle w:val="P68B1DB1-Normal11"/>
              <w:spacing w:line="256" w:lineRule="auto"/>
              <w:jc w:val="center"/>
              <w:rPr>
                <w:rFonts w:eastAsia="Arial Narrow" w:cs="Arial Narrow"/>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9B78B8" w14:textId="77777777" w:rsidR="00327FF1" w:rsidRDefault="00E406C7">
            <w:pPr>
              <w:pStyle w:val="P68B1DB1-Normal11"/>
              <w:spacing w:line="256" w:lineRule="auto"/>
              <w:jc w:val="center"/>
              <w:rPr>
                <w:rFonts w:eastAsia="Arial Narrow" w:cs="Arial Narrow"/>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72F0D4" w14:textId="77777777" w:rsidR="00327FF1" w:rsidRDefault="00E406C7">
            <w:pPr>
              <w:pStyle w:val="P68B1DB1-Normal11"/>
              <w:spacing w:line="256" w:lineRule="auto"/>
              <w:jc w:val="center"/>
              <w:rPr>
                <w:rFonts w:eastAsia="Arial Narrow" w:cs="Arial Narrow"/>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8DC185" w14:textId="77777777" w:rsidR="00327FF1" w:rsidRDefault="00E406C7">
            <w:pPr>
              <w:pStyle w:val="P68B1DB1-Normal11"/>
              <w:spacing w:beforeAutospacing="1" w:after="120" w:line="256" w:lineRule="auto"/>
              <w:rPr>
                <w:rFonts w:eastAsia="Arial Narrow" w:cs="Arial Narrow"/>
                <w:noProof/>
                <w:szCs w:val="20"/>
              </w:rPr>
            </w:pPr>
            <w:r>
              <w:rPr>
                <w:noProof/>
              </w:rPr>
              <w:t>Pēc apspriešanās ar ANAC pieņemt apkārtrakstu, kurā sniegti norādījumi par spēkā esošajiem piemērojamajiem noteikumiem par kvalifikāciju un centralizāciju, lai paskaidrotu, ka ir iespējama un ieteicama kvalificēšana un/vai centralizēto iepirk</w:t>
            </w:r>
            <w:r>
              <w:rPr>
                <w:noProof/>
              </w:rPr>
              <w:t xml:space="preserve">umu struktūru izmantošana arī līgumiem, kuru vērtība ir mazāka par robežvērtību. </w:t>
            </w:r>
          </w:p>
        </w:tc>
      </w:tr>
      <w:tr w:rsidR="00327FF1" w14:paraId="3982244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530549" w14:textId="77777777" w:rsidR="00327FF1" w:rsidRDefault="00E406C7">
            <w:pPr>
              <w:pStyle w:val="P68B1DB1-Normal12"/>
              <w:jc w:val="center"/>
              <w:rPr>
                <w:rFonts w:cs="Arial"/>
                <w:noProof/>
              </w:rPr>
            </w:pPr>
            <w:r>
              <w:rPr>
                <w:noProof/>
              </w:rPr>
              <w:t>M1C1–73ter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FE99DD"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616CAE" w14:textId="77777777" w:rsidR="00327FF1" w:rsidRDefault="00E406C7">
            <w:pPr>
              <w:pStyle w:val="P68B1DB1-Normal11"/>
              <w:spacing w:before="100" w:beforeAutospacing="1" w:after="120"/>
              <w:jc w:val="center"/>
              <w:rPr>
                <w:rFonts w:cs="Arial"/>
                <w:noProof/>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932E4B" w14:textId="77777777" w:rsidR="00327FF1" w:rsidRDefault="00E406C7">
            <w:pPr>
              <w:pStyle w:val="P68B1DB1-Normal12"/>
              <w:spacing w:before="100" w:beforeAutospacing="1" w:after="120"/>
              <w:jc w:val="center"/>
              <w:rPr>
                <w:rFonts w:cs="Arial"/>
                <w:noProof/>
              </w:rPr>
            </w:pPr>
            <w:r>
              <w:rPr>
                <w:noProof/>
              </w:rPr>
              <w:t>Stimuli līgumslēdzēju iestāžu kvalifikācijai un profesionalizācijai.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3E06B" w14:textId="77777777" w:rsidR="00327FF1" w:rsidRDefault="00E406C7">
            <w:pPr>
              <w:pStyle w:val="P68B1DB1-Normal12"/>
              <w:spacing w:before="100" w:beforeAutospacing="1" w:after="120"/>
              <w:jc w:val="center"/>
              <w:rPr>
                <w:rFonts w:cs="Arial"/>
                <w:noProof/>
              </w:rPr>
            </w:pPr>
            <w:r>
              <w:rPr>
                <w:noProof/>
              </w:rPr>
              <w:t>Cabina di Regia veiktā analīze, dalības mācību pasākumos un pašnovērtējuma pasākumu rezultātu publicēšana un iniciatīvu un instrumentu pieņemšana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A5354C"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FA88F1"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64416B"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2E84BB"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A6D21F"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D7E772" w14:textId="77777777" w:rsidR="00327FF1" w:rsidRDefault="00E406C7">
            <w:pPr>
              <w:pStyle w:val="P68B1DB1-Normal12"/>
              <w:spacing w:before="100" w:beforeAutospacing="1" w:after="120"/>
              <w:rPr>
                <w:rFonts w:cs="Arial"/>
                <w:noProof/>
              </w:rPr>
            </w:pPr>
            <w:r>
              <w:rPr>
                <w:noProof/>
              </w:rPr>
              <w:t xml:space="preserve">Cabina di Regia (saskaņā ar Publisko iepirkumu kodeksa 221. pantu) </w:t>
            </w:r>
            <w:r>
              <w:rPr>
                <w:noProof/>
              </w:rPr>
              <w:t xml:space="preserve">pēc apspriešanās ar ANAC veiktā analīze par Publisko iepirkumu kodeksa piemērošanas ietekmi uz: </w:t>
            </w:r>
          </w:p>
          <w:p w14:paraId="35D6E7BE" w14:textId="77777777" w:rsidR="00327FF1" w:rsidRDefault="00E406C7">
            <w:pPr>
              <w:pStyle w:val="P68B1DB1-ListParagraph13"/>
              <w:numPr>
                <w:ilvl w:val="0"/>
                <w:numId w:val="21"/>
              </w:numPr>
              <w:spacing w:before="100" w:beforeAutospacing="1" w:after="120" w:line="240" w:lineRule="auto"/>
              <w:rPr>
                <w:rFonts w:cs="Arial"/>
                <w:noProof/>
              </w:rPr>
            </w:pPr>
            <w:r>
              <w:rPr>
                <w:noProof/>
              </w:rPr>
              <w:t xml:space="preserve">kvalificēto līgumslēdzēju iestāžu un centralizēto iepirkumu struktūru skaits; </w:t>
            </w:r>
          </w:p>
          <w:p w14:paraId="10852A02" w14:textId="77777777" w:rsidR="00327FF1" w:rsidRDefault="00E406C7">
            <w:pPr>
              <w:pStyle w:val="P68B1DB1-ListParagraph13"/>
              <w:numPr>
                <w:ilvl w:val="0"/>
                <w:numId w:val="21"/>
              </w:numPr>
              <w:spacing w:before="100" w:beforeAutospacing="1" w:after="120" w:line="240" w:lineRule="auto"/>
              <w:rPr>
                <w:rFonts w:cs="Arial"/>
                <w:noProof/>
              </w:rPr>
            </w:pPr>
            <w:r>
              <w:rPr>
                <w:noProof/>
              </w:rPr>
              <w:t>to publisko līgumu skaits un vērtība, kurus savā un nekvalificēto struktūru vārd</w:t>
            </w:r>
            <w:r>
              <w:rPr>
                <w:noProof/>
              </w:rPr>
              <w:t xml:space="preserve">ā pārvalda kvalificētas līgumslēdzējas iestādes; </w:t>
            </w:r>
          </w:p>
          <w:p w14:paraId="5FA95B3A" w14:textId="2E7BA883" w:rsidR="00327FF1" w:rsidRDefault="00E406C7">
            <w:pPr>
              <w:pStyle w:val="P68B1DB1-ListParagraph13"/>
              <w:numPr>
                <w:ilvl w:val="0"/>
                <w:numId w:val="21"/>
              </w:numPr>
              <w:spacing w:before="100" w:beforeAutospacing="1" w:after="120" w:line="240" w:lineRule="auto"/>
              <w:rPr>
                <w:rFonts w:cs="Arial"/>
                <w:noProof/>
              </w:rPr>
            </w:pPr>
            <w:r>
              <w:rPr>
                <w:noProof/>
              </w:rPr>
              <w:t xml:space="preserve">kvalifikācijas process, lai uzlabotu lēmumu pieņemšanas ātrumu publisko līgumu slēgšanas tiesību piešķiršanā. </w:t>
            </w:r>
          </w:p>
          <w:p w14:paraId="7F1DAB5D" w14:textId="77777777" w:rsidR="00327FF1" w:rsidRDefault="00E406C7">
            <w:pPr>
              <w:pStyle w:val="P68B1DB1-Normal11"/>
              <w:spacing w:before="100" w:beforeAutospacing="1" w:after="120"/>
              <w:rPr>
                <w:rFonts w:cs="Arial"/>
                <w:noProof/>
                <w:szCs w:val="20"/>
              </w:rPr>
            </w:pPr>
            <w:r>
              <w:rPr>
                <w:noProof/>
              </w:rPr>
              <w:t xml:space="preserve">Publicē rezultātus, kas gūti, kartējot nekvalificēto struktūru dalību apmācības pasākumos un </w:t>
            </w:r>
            <w:r>
              <w:rPr>
                <w:noProof/>
                <w:szCs w:val="20"/>
              </w:rPr>
              <w:t>pa</w:t>
            </w:r>
            <w:r>
              <w:rPr>
                <w:noProof/>
                <w:szCs w:val="20"/>
              </w:rPr>
              <w:t xml:space="preserve">šnovērtējuma </w:t>
            </w:r>
            <w:r>
              <w:rPr>
                <w:noProof/>
              </w:rPr>
              <w:t xml:space="preserve">vingrinājumus. </w:t>
            </w:r>
          </w:p>
          <w:p w14:paraId="3044132F" w14:textId="77777777" w:rsidR="00327FF1" w:rsidRDefault="00E406C7">
            <w:pPr>
              <w:pStyle w:val="P68B1DB1-Normal12"/>
              <w:spacing w:before="100" w:beforeAutospacing="1" w:after="120"/>
              <w:rPr>
                <w:rFonts w:cs="Arial"/>
                <w:noProof/>
              </w:rPr>
            </w:pPr>
            <w:r>
              <w:rPr>
                <w:noProof/>
              </w:rPr>
              <w:t xml:space="preserve">Pieņem iniciatīvas, kuru mērķis ir uzlabot līgumslēdzēju iestāžu kvalifikāciju, mazināt nekvalificēto subjektu sadrumstalotību un profesionalizāciju. </w:t>
            </w:r>
          </w:p>
          <w:p w14:paraId="3EA0CA6A" w14:textId="58FC7AA9" w:rsidR="00327FF1" w:rsidRDefault="00E406C7">
            <w:pPr>
              <w:pStyle w:val="P68B1DB1-Normal12"/>
              <w:spacing w:before="100" w:beforeAutospacing="1" w:after="120"/>
              <w:rPr>
                <w:rFonts w:cs="Arial"/>
                <w:noProof/>
              </w:rPr>
            </w:pPr>
            <w:r>
              <w:rPr>
                <w:noProof/>
              </w:rPr>
              <w:t>Līgumslēdzējām iestādēm nodrošina tehniskā/administratīvā atbalsta instrumen</w:t>
            </w:r>
            <w:r>
              <w:rPr>
                <w:noProof/>
              </w:rPr>
              <w:t>tus.</w:t>
            </w:r>
          </w:p>
        </w:tc>
      </w:tr>
      <w:tr w:rsidR="00327FF1" w14:paraId="67C1807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B623C9" w14:textId="77777777" w:rsidR="00327FF1" w:rsidRDefault="00E406C7">
            <w:pPr>
              <w:pStyle w:val="P68B1DB1-Normal11"/>
              <w:jc w:val="center"/>
              <w:rPr>
                <w:rFonts w:cs="Arial"/>
                <w:noProof/>
                <w:szCs w:val="20"/>
              </w:rPr>
            </w:pPr>
            <w:r>
              <w:rPr>
                <w:noProof/>
              </w:rPr>
              <w:t>M1C1–773quater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87C31D"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551B5B"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075A95" w14:textId="77777777" w:rsidR="00327FF1" w:rsidRDefault="00E406C7">
            <w:pPr>
              <w:pStyle w:val="P68B1DB1-Normal11"/>
              <w:spacing w:before="100" w:beforeAutospacing="1" w:after="120"/>
              <w:jc w:val="center"/>
              <w:rPr>
                <w:rFonts w:cs="Arial"/>
                <w:noProof/>
                <w:szCs w:val="20"/>
              </w:rPr>
            </w:pPr>
            <w:r>
              <w:rPr>
                <w:noProof/>
              </w:rPr>
              <w:t>Pamatnostādņu par iepirkumu, kas nepārsniedz ES robežvērtību, stāšanās spēkā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2AEEE1" w14:textId="77777777" w:rsidR="00327FF1" w:rsidRDefault="00E406C7">
            <w:pPr>
              <w:pStyle w:val="P68B1DB1-Normal11"/>
              <w:spacing w:before="100" w:beforeAutospacing="1" w:after="120"/>
              <w:jc w:val="center"/>
              <w:rPr>
                <w:rFonts w:cs="Arial"/>
                <w:noProof/>
                <w:szCs w:val="20"/>
              </w:rPr>
            </w:pPr>
            <w:r>
              <w:rPr>
                <w:noProof/>
              </w:rPr>
              <w:t>Pamatnostādņu par iepirkumu, kas nepārsniedz ES robežvērtību, stāšanās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1B0508"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9CCED5"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B7B3CB"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795A99"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956FFB"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F5C633" w14:textId="77777777" w:rsidR="00327FF1" w:rsidRDefault="00E406C7">
            <w:pPr>
              <w:pStyle w:val="P68B1DB1-Normal11"/>
              <w:spacing w:before="100" w:beforeAutospacing="1" w:after="120"/>
              <w:rPr>
                <w:rFonts w:cs="Arial"/>
                <w:noProof/>
                <w:szCs w:val="20"/>
              </w:rPr>
            </w:pPr>
            <w:r>
              <w:rPr>
                <w:noProof/>
              </w:rPr>
              <w:t>Apkārtraksts par iepirkumu, kas nepārsniedz ES robežvērtību, pieņemts un publicēts Itālijas Oficiālajā Vēstnesī. Apkārtrakstā precizē, ka līgumslēdzējas iestādes var izmantot atklātas un slēgtas procedūras iepirk</w:t>
            </w:r>
            <w:r>
              <w:rPr>
                <w:noProof/>
              </w:rPr>
              <w:t>umam, kas nepārsniedz ES robežvērtību.</w:t>
            </w:r>
          </w:p>
        </w:tc>
      </w:tr>
      <w:tr w:rsidR="00327FF1" w14:paraId="549F295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69812A" w14:textId="77777777" w:rsidR="00327FF1" w:rsidRDefault="00E406C7">
            <w:pPr>
              <w:pStyle w:val="P68B1DB1-Normal11"/>
              <w:jc w:val="center"/>
              <w:rPr>
                <w:rFonts w:cs="Arial"/>
                <w:noProof/>
                <w:szCs w:val="20"/>
              </w:rPr>
            </w:pPr>
            <w:r>
              <w:rPr>
                <w:noProof/>
              </w:rPr>
              <w:t>M1C1–73quinquies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8CE360"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FBBFC8"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F91055" w14:textId="77777777" w:rsidR="00327FF1" w:rsidRDefault="00E406C7">
            <w:pPr>
              <w:pStyle w:val="P68B1DB1-Normal11"/>
              <w:spacing w:before="100" w:beforeAutospacing="1" w:after="120"/>
              <w:jc w:val="center"/>
              <w:rPr>
                <w:rFonts w:cs="Arial"/>
                <w:noProof/>
                <w:szCs w:val="20"/>
              </w:rPr>
            </w:pPr>
            <w:r>
              <w:rPr>
                <w:noProof/>
              </w:rPr>
              <w:t>Jaunu tiesību normu par projektu finansēšanu stāšanās spēkā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F45AF4" w14:textId="77777777" w:rsidR="00327FF1" w:rsidRDefault="00E406C7">
            <w:pPr>
              <w:pStyle w:val="P68B1DB1-Normal12"/>
              <w:spacing w:before="100" w:beforeAutospacing="1" w:after="120"/>
              <w:jc w:val="center"/>
              <w:rPr>
                <w:rFonts w:cs="Arial"/>
                <w:noProof/>
              </w:rPr>
            </w:pPr>
            <w:r>
              <w:rPr>
                <w:noProof/>
              </w:rPr>
              <w:t xml:space="preserve">Likuma noteikums, kas norāda uz jaunu tiesību normu </w:t>
            </w:r>
            <w:r>
              <w:rPr>
                <w:noProof/>
              </w:rPr>
              <w:t>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5226D3"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A81A82"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0DCD5B"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8C1DFD"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672531"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0A77B5" w14:textId="77777777" w:rsidR="00327FF1" w:rsidRDefault="00E406C7">
            <w:pPr>
              <w:pStyle w:val="P68B1DB1-Normal12"/>
              <w:spacing w:before="100" w:beforeAutospacing="1" w:after="120"/>
              <w:rPr>
                <w:rFonts w:cs="Arial"/>
                <w:noProof/>
              </w:rPr>
            </w:pPr>
            <w:r>
              <w:rPr>
                <w:noProof/>
              </w:rPr>
              <w:t>Stājas spēkā jaunas tiesību normas par projektu finansēšanu, kuru mērķis ir uzlabot efektivitāti un konkurenci, jo īpaši, lai palielinātu koncesiju sāncensību.</w:t>
            </w:r>
          </w:p>
        </w:tc>
      </w:tr>
      <w:tr w:rsidR="00327FF1" w14:paraId="2BE0521B"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25049" w14:textId="77777777" w:rsidR="00327FF1" w:rsidRDefault="00E406C7">
            <w:pPr>
              <w:pStyle w:val="P68B1DB1-Normal11"/>
              <w:jc w:val="center"/>
              <w:rPr>
                <w:rFonts w:cs="Arial"/>
                <w:noProof/>
                <w:szCs w:val="20"/>
              </w:rPr>
            </w:pPr>
            <w:r>
              <w:rPr>
                <w:noProof/>
              </w:rPr>
              <w:t>M1C1–75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CF049E"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F1043A"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C1551" w14:textId="77777777" w:rsidR="00327FF1" w:rsidRDefault="00E406C7">
            <w:pPr>
              <w:pStyle w:val="P68B1DB1-Normal11"/>
              <w:jc w:val="center"/>
              <w:rPr>
                <w:rFonts w:cs="Arial"/>
                <w:noProof/>
                <w:szCs w:val="20"/>
              </w:rPr>
            </w:pPr>
            <w:r>
              <w:rPr>
                <w:noProof/>
              </w:rPr>
              <w:t>Valsts e-iepirkumu sistēmas pilnīga darbība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A7BA5" w14:textId="77777777" w:rsidR="00327FF1" w:rsidRDefault="00E406C7">
            <w:pPr>
              <w:pStyle w:val="P68B1DB1-Normal11"/>
              <w:jc w:val="center"/>
              <w:rPr>
                <w:rFonts w:cs="Arial"/>
                <w:noProof/>
                <w:szCs w:val="20"/>
              </w:rPr>
            </w:pPr>
            <w:r>
              <w:rPr>
                <w:noProof/>
              </w:rPr>
              <w:t>Priekšizpētē noteikto funkciju pieejamība (jāizstrādā kā projekta 1. uzdevums)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366420"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ABF652"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56156"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43E6E6"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FDEA68"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16845A" w14:textId="77777777" w:rsidR="00327FF1" w:rsidRDefault="00E406C7">
            <w:pPr>
              <w:pStyle w:val="P68B1DB1-Normal12"/>
              <w:spacing w:before="100" w:beforeAutospacing="1" w:after="120"/>
              <w:rPr>
                <w:rFonts w:cs="Arial"/>
                <w:noProof/>
              </w:rPr>
            </w:pPr>
            <w:r>
              <w:rPr>
                <w:noProof/>
              </w:rPr>
              <w:t xml:space="preserve">Valsts </w:t>
            </w:r>
            <w:r>
              <w:rPr>
                <w:noProof/>
              </w:rPr>
              <w:t>e-iepirkuma sistēma darbojas un pilnībā atbilst ES publiskā iepirkuma direktīvām un ietver procedūru pilnīgu digitalizāciju līdz līguma izpildei (viedais iepirkums), ir sadarbspējīga ar valsts pārvaldes pārvaldības sistēmām, ietver RO digitālo habilitāciju</w:t>
            </w:r>
            <w:r>
              <w:rPr>
                <w:noProof/>
              </w:rPr>
              <w:t>, izsoļu sesijas, mašīnmācīšanos, lai atklātu tendences, KSI ar sarunbotiem, digitālo iesaisti un statusa ķēdi.</w:t>
            </w:r>
          </w:p>
        </w:tc>
      </w:tr>
      <w:tr w:rsidR="00327FF1" w14:paraId="7D295CC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BA8E61" w14:textId="77777777" w:rsidR="00327FF1" w:rsidRDefault="00E406C7">
            <w:pPr>
              <w:pStyle w:val="P68B1DB1-Normal11"/>
              <w:jc w:val="center"/>
              <w:rPr>
                <w:rFonts w:cs="Arial"/>
                <w:noProof/>
                <w:szCs w:val="20"/>
              </w:rPr>
            </w:pPr>
            <w:r>
              <w:rPr>
                <w:noProof/>
              </w:rPr>
              <w:t>M1C1–75a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F4FE66" w14:textId="77777777" w:rsidR="00327FF1" w:rsidRDefault="00E406C7">
            <w:pPr>
              <w:pStyle w:val="P68B1DB1-Normal11"/>
              <w:jc w:val="center"/>
              <w:rPr>
                <w:rFonts w:cs="Arial"/>
                <w:noProof/>
                <w:szCs w:val="20"/>
              </w:rPr>
            </w:pPr>
            <w:r>
              <w:rPr>
                <w:noProof/>
              </w:rPr>
              <w:t>Investīcija 1.10.: Atbalsts kvalifikācijai un e-iepirkumiem</w:t>
            </w:r>
          </w:p>
          <w:p w14:paraId="13D05CC2" w14:textId="77777777" w:rsidR="00327FF1" w:rsidRDefault="00327FF1">
            <w:pPr>
              <w:jc w:val="center"/>
              <w:rPr>
                <w:rFonts w:ascii="Arial Narrow" w:hAnsi="Arial Narrow" w:cs="Arial"/>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833FD1"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33F763" w14:textId="77777777" w:rsidR="00327FF1" w:rsidRDefault="00E406C7">
            <w:pPr>
              <w:pStyle w:val="P68B1DB1-Normal11"/>
              <w:jc w:val="center"/>
              <w:rPr>
                <w:rFonts w:cs="Arial"/>
                <w:noProof/>
                <w:szCs w:val="20"/>
              </w:rPr>
            </w:pPr>
            <w:r>
              <w:rPr>
                <w:noProof/>
              </w:rPr>
              <w:t>Atbalsts kvalifikācijai un e-iepirkumiem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66F3A" w14:textId="77777777" w:rsidR="00327FF1" w:rsidRDefault="00E406C7">
            <w:pPr>
              <w:pStyle w:val="P68B1DB1-Normal11"/>
              <w:jc w:val="center"/>
              <w:rPr>
                <w:rFonts w:cs="Arial"/>
                <w:noProof/>
                <w:szCs w:val="20"/>
              </w:rPr>
            </w:pPr>
            <w:r>
              <w:rPr>
                <w:noProof/>
              </w:rPr>
              <w:t xml:space="preserve">Iepirkuma atbalsta funkcijas nodošana ekspluatācijā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5CAE0"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44E62A"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3EBD97"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FC05A5"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718933"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A91F7B" w14:textId="77777777" w:rsidR="00327FF1" w:rsidRDefault="00E406C7">
            <w:pPr>
              <w:pStyle w:val="P68B1DB1-Normal12"/>
              <w:spacing w:before="100" w:beforeAutospacing="1" w:after="120"/>
              <w:rPr>
                <w:rFonts w:cs="Arial"/>
                <w:noProof/>
              </w:rPr>
            </w:pPr>
            <w:r>
              <w:rPr>
                <w:noProof/>
              </w:rPr>
              <w:t>Iepirkuma atbalsta funkciju izveido saskaņā ar Publisko iepirkumu profesionalizācijas stratēģiju. Iepirkuma atbalsta funkcija ir paredzēta līgumslēdzējām iestād</w:t>
            </w:r>
            <w:r>
              <w:rPr>
                <w:noProof/>
              </w:rPr>
              <w:t xml:space="preserve">ēm, lai izpildītu Publiskā iepirkuma kodeksa II.4. pielikuma prasības un atbalstītu tās e-iepirkuma procesā, atbalstot digitālo prasmju apguvi un sniedzot tehnisko atbalstu publiskā iepirkuma digitalizācijas pieņemšanā, tostarp dinamisko iepirkumu sistēmu </w:t>
            </w:r>
            <w:r>
              <w:rPr>
                <w:noProof/>
              </w:rPr>
              <w:t>izmantošanā.</w:t>
            </w:r>
          </w:p>
        </w:tc>
      </w:tr>
      <w:tr w:rsidR="00327FF1" w14:paraId="5B566A2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D8B60D" w14:textId="77777777" w:rsidR="00327FF1" w:rsidRDefault="00E406C7">
            <w:pPr>
              <w:pStyle w:val="P68B1DB1-Normal11"/>
              <w:jc w:val="center"/>
              <w:rPr>
                <w:rFonts w:cs="Arial"/>
                <w:noProof/>
                <w:szCs w:val="20"/>
              </w:rPr>
            </w:pPr>
            <w:r>
              <w:rPr>
                <w:noProof/>
              </w:rPr>
              <w:t>M1C1–76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CEB76" w14:textId="77777777" w:rsidR="00327FF1" w:rsidRDefault="00E406C7">
            <w:pPr>
              <w:pStyle w:val="P68B1DB1-Normal12"/>
              <w:jc w:val="center"/>
              <w:rPr>
                <w:rFonts w:cs="Arial"/>
                <w:noProof/>
              </w:rPr>
            </w:pPr>
            <w:r>
              <w:rPr>
                <w:noProof/>
              </w:rPr>
              <w:t>Reforma Nr. 1.11. Valsts pārvaldes un veselības aprūpes iestāžu maksājumu kavējumu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71E66E"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A1FE9F" w14:textId="77777777" w:rsidR="00327FF1" w:rsidRDefault="00E406C7">
            <w:pPr>
              <w:pStyle w:val="P68B1DB1-Normal12"/>
              <w:jc w:val="center"/>
              <w:rPr>
                <w:rFonts w:cs="Arial"/>
                <w:noProof/>
              </w:rPr>
            </w:pPr>
            <w:r>
              <w:rPr>
                <w:noProof/>
              </w:rPr>
              <w:t>Ir samazināts vidējais dienu skaits, ko centrālās publiskās iestādes pavada, lai maksātu uzņēmumiem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B212EC"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8CB6A2" w14:textId="77777777" w:rsidR="00327FF1" w:rsidRDefault="00E406C7">
            <w:pPr>
              <w:pStyle w:val="P68B1DB1-Normal11"/>
              <w:jc w:val="center"/>
              <w:rPr>
                <w:rFonts w:cs="Arial"/>
                <w:noProof/>
                <w:szCs w:val="20"/>
              </w:rPr>
            </w:pPr>
            <w:r>
              <w:rPr>
                <w:noProof/>
              </w:rPr>
              <w:t xml:space="preserve">Vidējais svērtais </w:t>
            </w:r>
            <w:r>
              <w:rPr>
                <w:noProof/>
              </w:rPr>
              <w:t>maksājuma laiks (dienās)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748F5"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C6AC41" w14:textId="77777777" w:rsidR="00327FF1" w:rsidRDefault="00E406C7">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CB1DDF"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45A8FD" w14:textId="77777777" w:rsidR="00327FF1" w:rsidRDefault="00E406C7">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70B57F" w14:textId="432068DD" w:rsidR="00327FF1" w:rsidRDefault="00E406C7">
            <w:pPr>
              <w:pStyle w:val="P68B1DB1-Normal12"/>
              <w:spacing w:before="100" w:beforeAutospacing="1" w:after="0" w:line="240" w:lineRule="auto"/>
              <w:rPr>
                <w:rFonts w:eastAsia="Times New Roman" w:cs="Times New Roman"/>
                <w:noProof/>
              </w:rPr>
            </w:pPr>
            <w:r>
              <w:rPr>
                <w:noProof/>
              </w:rPr>
              <w:t>Pamatojoties uz Komerciālo kredītu platformas (“Piattaforma Crediti Commerciali”) datiem, kas saistīti ar 2024. gadā izsniegtajiem rēķiniem, centrālo publisko iestāžu (</w:t>
            </w:r>
            <w:r>
              <w:rPr>
                <w:i/>
                <w:noProof/>
              </w:rPr>
              <w:t>Amministrazioni centrali</w:t>
            </w:r>
            <w:r>
              <w:rPr>
                <w:noProof/>
              </w:rPr>
              <w:t>) maksājumiem uzņē</w:t>
            </w:r>
            <w:r>
              <w:rPr>
                <w:noProof/>
              </w:rPr>
              <w:t xml:space="preserve">mumiem ir šādi rādītāji: </w:t>
            </w:r>
          </w:p>
          <w:p w14:paraId="63EF9CD4" w14:textId="77777777" w:rsidR="00327FF1" w:rsidRDefault="00E406C7">
            <w:pPr>
              <w:pStyle w:val="P68B1DB1-Normal12"/>
              <w:spacing w:before="100" w:beforeAutospacing="1" w:after="0" w:line="240" w:lineRule="auto"/>
              <w:rPr>
                <w:rFonts w:eastAsia="Times New Roman" w:cs="Times New Roman"/>
                <w:noProof/>
              </w:rPr>
            </w:pPr>
            <w:r>
              <w:rPr>
                <w:noProof/>
              </w:rPr>
              <w:t xml:space="preserve">— vidējais svērtais maksājuma laiks (“tempo medio di pagamento ponderato”): ne vairāk kā 30 dienas; </w:t>
            </w:r>
          </w:p>
          <w:p w14:paraId="7A606D18" w14:textId="68FA93C3" w:rsidR="00327FF1" w:rsidRDefault="00E406C7">
            <w:pPr>
              <w:pStyle w:val="P68B1DB1-Normal12"/>
              <w:spacing w:before="100" w:beforeAutospacing="1" w:after="0" w:line="240" w:lineRule="auto"/>
              <w:rPr>
                <w:noProof/>
              </w:rPr>
            </w:pPr>
            <w:r>
              <w:rPr>
                <w:noProof/>
              </w:rPr>
              <w:t xml:space="preserve">— vidējais svērtais maksājuma kavējums (“tempo medio di ritardo ponderato”): ne vairāk kā 0 dienas. </w:t>
            </w:r>
          </w:p>
          <w:p w14:paraId="4E48D669" w14:textId="3D56874D" w:rsidR="00327FF1" w:rsidRDefault="00E406C7">
            <w:pPr>
              <w:pStyle w:val="P68B1DB1-Normal12"/>
              <w:spacing w:before="100" w:beforeAutospacing="1" w:after="0" w:line="240" w:lineRule="auto"/>
              <w:rPr>
                <w:rFonts w:eastAsia="Times New Roman" w:cs="Times New Roman"/>
                <w:b/>
                <w:noProof/>
              </w:rPr>
            </w:pPr>
            <w:r>
              <w:rPr>
                <w:noProof/>
              </w:rPr>
              <w:t xml:space="preserve">Turklāt starpība starp </w:t>
            </w:r>
            <w:r>
              <w:rPr>
                <w:noProof/>
              </w:rPr>
              <w:t>vidējo nesvērto maksājuma laiku (“tempo medio di pagamento semplice”) un vidējo svērto maksājuma laiku nepārsniedz 20 dienas, ja vien nesvērtais vidējais maksājuma laiks nav mazāks par 30 dienām.</w:t>
            </w:r>
          </w:p>
        </w:tc>
      </w:tr>
      <w:tr w:rsidR="00327FF1" w14:paraId="6D25A74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395F1" w14:textId="77777777" w:rsidR="00327FF1" w:rsidRDefault="00E406C7">
            <w:pPr>
              <w:pStyle w:val="P68B1DB1-Normal11"/>
              <w:jc w:val="center"/>
              <w:rPr>
                <w:rFonts w:cs="Arial"/>
                <w:noProof/>
                <w:szCs w:val="20"/>
              </w:rPr>
            </w:pPr>
            <w:r>
              <w:rPr>
                <w:noProof/>
              </w:rPr>
              <w:t>M1C1–77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BF95E" w14:textId="77777777" w:rsidR="00327FF1" w:rsidRDefault="00E406C7">
            <w:pPr>
              <w:pStyle w:val="P68B1DB1-Normal11"/>
              <w:jc w:val="center"/>
              <w:rPr>
                <w:rFonts w:cs="Arial"/>
                <w:noProof/>
                <w:szCs w:val="20"/>
              </w:rPr>
            </w:pPr>
            <w:r>
              <w:rPr>
                <w:noProof/>
              </w:rPr>
              <w:t xml:space="preserve">Reforma Nr. 1.11. Valsts pārvaldes un veselības </w:t>
            </w:r>
            <w:r>
              <w:rPr>
                <w:noProof/>
              </w:rPr>
              <w:t>aprūpes iestāžu maksājumu kavējumu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6A7B8A"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1248A8" w14:textId="77777777" w:rsidR="00327FF1" w:rsidRDefault="00E406C7">
            <w:pPr>
              <w:pStyle w:val="P68B1DB1-Normal11"/>
              <w:jc w:val="center"/>
              <w:rPr>
                <w:rFonts w:cs="Arial"/>
                <w:noProof/>
                <w:szCs w:val="20"/>
              </w:rPr>
            </w:pPr>
            <w:r>
              <w:rPr>
                <w:noProof/>
              </w:rPr>
              <w:t>Ir samazināts vidējais dienu skaits reģionālajām publiskajām iestādēm, lai maksātu uzņēmumiem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7A219C"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682992" w14:textId="77777777" w:rsidR="00327FF1" w:rsidRDefault="00E406C7">
            <w:pPr>
              <w:pStyle w:val="P68B1DB1-Normal11"/>
              <w:jc w:val="center"/>
              <w:rPr>
                <w:rFonts w:cs="Arial"/>
                <w:noProof/>
                <w:szCs w:val="20"/>
              </w:rPr>
            </w:pPr>
            <w:r>
              <w:rPr>
                <w:noProof/>
              </w:rPr>
              <w:t>Vidējais svērtais maksājuma laiks (dienās)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0FC652"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37EA12" w14:textId="77777777" w:rsidR="00327FF1" w:rsidRDefault="00E406C7">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1B6372"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C2DB04" w14:textId="77777777" w:rsidR="00327FF1" w:rsidRDefault="00E406C7">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58F0AF" w14:textId="574F718F" w:rsidR="00327FF1" w:rsidRDefault="00E406C7">
            <w:pPr>
              <w:pStyle w:val="P68B1DB1-Normal12"/>
              <w:spacing w:before="100" w:beforeAutospacing="1" w:after="0" w:line="240" w:lineRule="auto"/>
              <w:rPr>
                <w:noProof/>
              </w:rPr>
            </w:pPr>
            <w:r>
              <w:rPr>
                <w:noProof/>
              </w:rPr>
              <w:t>Pamatojoties uz Komerciālo kredītu platformas (“Piattaforma Crediti Commerciali”) datiem, kas saistīti ar 2024. gadā izsniegtajiem rēķiniem, attiecībā uz reģionālo publisko iestāžu (</w:t>
            </w:r>
            <w:r>
              <w:rPr>
                <w:i/>
                <w:noProof/>
              </w:rPr>
              <w:t>Regioni — Province Autonome)</w:t>
            </w:r>
            <w:r>
              <w:rPr>
                <w:noProof/>
              </w:rPr>
              <w:t>maksājumiem uzņēmumiem ir šādi rādītāji:</w:t>
            </w:r>
          </w:p>
          <w:p w14:paraId="6616474F" w14:textId="77777777" w:rsidR="00327FF1" w:rsidRDefault="00E406C7">
            <w:pPr>
              <w:pStyle w:val="ListParagraph"/>
              <w:numPr>
                <w:ilvl w:val="0"/>
                <w:numId w:val="69"/>
              </w:numPr>
              <w:spacing w:before="100" w:beforeAutospacing="1" w:after="0" w:line="240" w:lineRule="auto"/>
              <w:jc w:val="both"/>
              <w:rPr>
                <w:rFonts w:ascii="Arial Narrow" w:hAnsi="Arial Narrow" w:cs="Arial"/>
                <w:noProof/>
                <w:color w:val="006100"/>
                <w:sz w:val="20"/>
                <w:szCs w:val="20"/>
              </w:rPr>
            </w:pPr>
            <w:r>
              <w:rPr>
                <w:rFonts w:ascii="Arial Narrow" w:hAnsi="Arial Narrow"/>
                <w:noProof/>
                <w:color w:val="006100"/>
                <w:sz w:val="20"/>
              </w:rPr>
              <w:t>attie</w:t>
            </w:r>
            <w:r>
              <w:rPr>
                <w:rFonts w:ascii="Arial Narrow" w:hAnsi="Arial Narrow"/>
                <w:noProof/>
                <w:color w:val="006100"/>
                <w:sz w:val="20"/>
              </w:rPr>
              <w:t>cībā uz vidējo svērto maksājuma</w:t>
            </w:r>
            <w:r>
              <w:rPr>
                <w:noProof/>
              </w:rPr>
              <w:t xml:space="preserve"> </w:t>
            </w:r>
            <w:r>
              <w:rPr>
                <w:rFonts w:ascii="Arial Narrow" w:hAnsi="Arial Narrow"/>
                <w:noProof/>
                <w:color w:val="006100"/>
                <w:sz w:val="20"/>
              </w:rPr>
              <w:t xml:space="preserve">laiku (“tempo medio di pagamento ponderato”): ne vairāk kā 30 dienas; </w:t>
            </w:r>
          </w:p>
          <w:p w14:paraId="7FBA8473" w14:textId="77777777" w:rsidR="00327FF1" w:rsidRDefault="00E406C7">
            <w:pPr>
              <w:pStyle w:val="P68B1DB1-ListParagraph15"/>
              <w:numPr>
                <w:ilvl w:val="0"/>
                <w:numId w:val="69"/>
              </w:numPr>
              <w:spacing w:before="100" w:beforeAutospacing="1" w:after="120" w:line="240" w:lineRule="auto"/>
              <w:jc w:val="both"/>
              <w:rPr>
                <w:rFonts w:cs="Arial"/>
                <w:noProof/>
                <w:szCs w:val="20"/>
              </w:rPr>
            </w:pPr>
            <w:r>
              <w:rPr>
                <w:noProof/>
              </w:rPr>
              <w:t>vidējais svērtais maksājuma kavējums (“tempo medio di ritardo ponderato”): ne vairāk kā 0 dienas.</w:t>
            </w:r>
          </w:p>
          <w:p w14:paraId="31783F6B" w14:textId="77777777" w:rsidR="00327FF1" w:rsidRDefault="00E406C7">
            <w:pPr>
              <w:pStyle w:val="P68B1DB1-Normal17"/>
              <w:spacing w:before="100" w:beforeAutospacing="1"/>
              <w:rPr>
                <w:noProof/>
              </w:rPr>
            </w:pPr>
            <w:r>
              <w:rPr>
                <w:noProof/>
              </w:rPr>
              <w:t xml:space="preserve">Turklāt starpība starp vidējo nesvērto maksājuma laiku </w:t>
            </w:r>
            <w:r>
              <w:rPr>
                <w:noProof/>
              </w:rPr>
              <w:t>(“tempo medio di pagamento semplice”) un vidējo svērto maksājuma laiku nepārsniedz 20 dienas, ja vien nesvērtais vidējais maksājuma laiks nav mazāks par 30 dienām.</w:t>
            </w:r>
          </w:p>
        </w:tc>
      </w:tr>
      <w:tr w:rsidR="00327FF1" w14:paraId="230B4D4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F9D4B" w14:textId="77777777" w:rsidR="00327FF1" w:rsidRDefault="00E406C7">
            <w:pPr>
              <w:pStyle w:val="P68B1DB1-Normal11"/>
              <w:jc w:val="center"/>
              <w:rPr>
                <w:rFonts w:cs="Arial"/>
                <w:noProof/>
                <w:szCs w:val="20"/>
              </w:rPr>
            </w:pPr>
            <w:r>
              <w:rPr>
                <w:noProof/>
              </w:rPr>
              <w:t>M1C1–78.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92372A" w14:textId="77777777" w:rsidR="00327FF1" w:rsidRDefault="00E406C7">
            <w:pPr>
              <w:pStyle w:val="P68B1DB1-Normal11"/>
              <w:jc w:val="center"/>
              <w:rPr>
                <w:rFonts w:cs="Arial"/>
                <w:noProof/>
                <w:szCs w:val="20"/>
              </w:rPr>
            </w:pPr>
            <w:r>
              <w:rPr>
                <w:noProof/>
              </w:rPr>
              <w:t>Reforma Nr. 1.11. Valsts pārvaldes un veselības aprūpes iestāžu maksājumu kavējumu</w:t>
            </w:r>
            <w:r>
              <w:rPr>
                <w:noProof/>
              </w:rPr>
              <w:t xml:space="preserve">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5B15D5"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61627A" w14:textId="77777777" w:rsidR="00327FF1" w:rsidRDefault="00E406C7">
            <w:pPr>
              <w:pStyle w:val="P68B1DB1-Normal11"/>
              <w:jc w:val="center"/>
              <w:rPr>
                <w:rFonts w:cs="Arial"/>
                <w:noProof/>
                <w:szCs w:val="20"/>
              </w:rPr>
            </w:pPr>
            <w:r>
              <w:rPr>
                <w:noProof/>
              </w:rPr>
              <w:t>Ir samazināts vidējais dienu skaits, kas vietējām valsts iestādēm atvēlēts, lai maksātu uzņēmumiem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0B8A7B"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3050A1" w14:textId="520CB974" w:rsidR="00327FF1" w:rsidRDefault="00E406C7">
            <w:pPr>
              <w:pStyle w:val="P68B1DB1-Normal11"/>
              <w:jc w:val="center"/>
              <w:rPr>
                <w:rFonts w:cs="Arial"/>
                <w:noProof/>
                <w:szCs w:val="20"/>
              </w:rPr>
            </w:pPr>
            <w:r>
              <w:rPr>
                <w:noProof/>
              </w:rPr>
              <w:t>Vidējais svērtais maksājuma laiks (dienās)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9219D7"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F60F91" w14:textId="77777777" w:rsidR="00327FF1" w:rsidRDefault="00E406C7">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C00BEF"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96BCFE" w14:textId="77777777" w:rsidR="00327FF1" w:rsidRDefault="00E406C7">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DD4F10" w14:textId="01A451C3" w:rsidR="00327FF1" w:rsidRDefault="00E406C7">
            <w:pPr>
              <w:pStyle w:val="P68B1DB1-Normal12"/>
              <w:spacing w:before="100" w:beforeAutospacing="1" w:after="120"/>
              <w:rPr>
                <w:noProof/>
              </w:rPr>
            </w:pPr>
            <w:r>
              <w:rPr>
                <w:noProof/>
              </w:rPr>
              <w:t xml:space="preserve">Pamatojoties uz Komerciālo kredītu platformas (“Piattaforma </w:t>
            </w:r>
            <w:r>
              <w:rPr>
                <w:noProof/>
              </w:rPr>
              <w:t>Crediti Commerciali”) datiem, kas saistīti ar 2024. gadā izsniegtajiem rēķiniem, vietējo publisko iestāžu (</w:t>
            </w:r>
            <w:r>
              <w:rPr>
                <w:i/>
                <w:noProof/>
              </w:rPr>
              <w:t>enti locali</w:t>
            </w:r>
            <w:r>
              <w:rPr>
                <w:noProof/>
              </w:rPr>
              <w:t>) maksājumiem uzņēmumiem ir šādi rādītāji:</w:t>
            </w:r>
          </w:p>
          <w:p w14:paraId="192EFD25" w14:textId="17E15A71" w:rsidR="00327FF1" w:rsidRDefault="00E406C7">
            <w:pPr>
              <w:pStyle w:val="P68B1DB1-ListParagraph18"/>
              <w:numPr>
                <w:ilvl w:val="0"/>
                <w:numId w:val="69"/>
              </w:numPr>
              <w:spacing w:before="100" w:beforeAutospacing="1" w:after="120" w:line="240" w:lineRule="auto"/>
              <w:jc w:val="both"/>
              <w:rPr>
                <w:rFonts w:ascii="Arial Narrow" w:hAnsi="Arial Narrow" w:cs="Arial"/>
                <w:noProof/>
                <w:szCs w:val="20"/>
              </w:rPr>
            </w:pPr>
            <w:r>
              <w:rPr>
                <w:rFonts w:ascii="Arial Narrow" w:hAnsi="Arial Narrow" w:cs="Arial"/>
                <w:noProof/>
                <w:szCs w:val="20"/>
              </w:rPr>
              <w:t>Attiecībā uz vidējo svērto maksājuma laiku (“tempo medio di pagamento ponderato”):</w:t>
            </w:r>
            <w:r>
              <w:rPr>
                <w:rFonts w:ascii="Arial Narrow" w:hAnsi="Arial Narrow"/>
                <w:noProof/>
              </w:rPr>
              <w:t xml:space="preserve"> ne vairāk kā 30 dienas; </w:t>
            </w:r>
          </w:p>
          <w:p w14:paraId="3AB2303C" w14:textId="77777777" w:rsidR="00327FF1" w:rsidRDefault="00E406C7">
            <w:pPr>
              <w:pStyle w:val="P68B1DB1-ListParagraph15"/>
              <w:numPr>
                <w:ilvl w:val="0"/>
                <w:numId w:val="69"/>
              </w:numPr>
              <w:spacing w:before="100" w:beforeAutospacing="1" w:after="120" w:line="240" w:lineRule="auto"/>
              <w:jc w:val="both"/>
              <w:rPr>
                <w:rFonts w:cs="Arial"/>
                <w:noProof/>
                <w:szCs w:val="20"/>
              </w:rPr>
            </w:pPr>
            <w:r>
              <w:rPr>
                <w:noProof/>
              </w:rPr>
              <w:t>vidējais svērtais maksājuma kavējums (“tempo medio di ritardo ponderato”): ne vairāk kā 0 dienas.</w:t>
            </w:r>
          </w:p>
          <w:p w14:paraId="60F145B0" w14:textId="0BC525DF" w:rsidR="00327FF1" w:rsidRDefault="00E406C7">
            <w:pPr>
              <w:pStyle w:val="P68B1DB1-Normal17"/>
              <w:spacing w:before="100" w:beforeAutospacing="1"/>
              <w:rPr>
                <w:noProof/>
              </w:rPr>
            </w:pPr>
            <w:r>
              <w:rPr>
                <w:noProof/>
              </w:rPr>
              <w:t>Turklāt starpība starp vidējo nesvērto maksājuma laiku (“tempo medio di pagamento semplice”) un vidējo svērto maksājuma laiku nepārs</w:t>
            </w:r>
            <w:r>
              <w:rPr>
                <w:noProof/>
              </w:rPr>
              <w:t>niedz 20 dienas, ja vien nesvērtais vidējais maksājuma laiks nav mazāks par 30 dienām.</w:t>
            </w:r>
          </w:p>
        </w:tc>
      </w:tr>
      <w:tr w:rsidR="00327FF1" w14:paraId="3C0D497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9F61B3" w14:textId="77777777" w:rsidR="00327FF1" w:rsidRDefault="00E406C7">
            <w:pPr>
              <w:pStyle w:val="P68B1DB1-Normal11"/>
              <w:jc w:val="center"/>
              <w:rPr>
                <w:rFonts w:cs="Arial"/>
                <w:noProof/>
                <w:szCs w:val="20"/>
              </w:rPr>
            </w:pPr>
            <w:r>
              <w:rPr>
                <w:noProof/>
              </w:rPr>
              <w:t>M1C1–79.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73D484" w14:textId="77777777" w:rsidR="00327FF1" w:rsidRDefault="00E406C7">
            <w:pPr>
              <w:pStyle w:val="P68B1DB1-Normal12"/>
              <w:jc w:val="center"/>
              <w:rPr>
                <w:rFonts w:cs="Arial"/>
                <w:noProof/>
              </w:rPr>
            </w:pPr>
            <w:r>
              <w:rPr>
                <w:noProof/>
              </w:rPr>
              <w:t>Reforma Nr. 1.11. Valsts pārvaldes un veselības aprūpes iestāžu maksājumu kavējumu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C802E"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E2F58" w14:textId="77777777" w:rsidR="00327FF1" w:rsidRDefault="00E406C7">
            <w:pPr>
              <w:pStyle w:val="P68B1DB1-Normal11"/>
              <w:jc w:val="center"/>
              <w:rPr>
                <w:rFonts w:cs="Arial"/>
                <w:noProof/>
                <w:szCs w:val="20"/>
              </w:rPr>
            </w:pPr>
            <w:r>
              <w:rPr>
                <w:noProof/>
              </w:rPr>
              <w:t xml:space="preserve">Ir samazināts vidējais dienu skaits, ko sabiedrības </w:t>
            </w:r>
            <w:r>
              <w:rPr>
                <w:noProof/>
              </w:rPr>
              <w:t>veselības iestādes var izmantot, lai maksātu uzņēmumiem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2AF326"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BECAC8" w14:textId="77777777" w:rsidR="00327FF1" w:rsidRDefault="00E406C7">
            <w:pPr>
              <w:pStyle w:val="P68B1DB1-Normal11"/>
              <w:rPr>
                <w:rFonts w:cs="Arial"/>
                <w:noProof/>
                <w:szCs w:val="20"/>
              </w:rPr>
            </w:pPr>
            <w:r>
              <w:rPr>
                <w:noProof/>
              </w:rPr>
              <w:t>Vidējais svērtais maksājuma laiks (dienās)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760332"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6552E8" w14:textId="77777777" w:rsidR="00327FF1" w:rsidRDefault="00E406C7">
            <w:pPr>
              <w:pStyle w:val="P68B1DB1-Normal11"/>
              <w:jc w:val="center"/>
              <w:rPr>
                <w:rFonts w:cs="Arial"/>
                <w:noProof/>
                <w:szCs w:val="20"/>
              </w:rPr>
            </w:pPr>
            <w:r>
              <w:rPr>
                <w:noProof/>
              </w:rPr>
              <w:t>60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2A5B88"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0654A9" w14:textId="77777777" w:rsidR="00327FF1" w:rsidRDefault="00E406C7">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EAB294" w14:textId="77777777" w:rsidR="00327FF1" w:rsidRDefault="00E406C7">
            <w:pPr>
              <w:pStyle w:val="P68B1DB1-Normal12"/>
              <w:spacing w:before="100" w:beforeAutospacing="1" w:after="120"/>
              <w:rPr>
                <w:noProof/>
              </w:rPr>
            </w:pPr>
            <w:r>
              <w:rPr>
                <w:noProof/>
              </w:rPr>
              <w:t>Pamatojoties uz Komerciālo kredītu platformas (“Piattaforma Crediti Commerciali”) datiem, kas saistīti ar 2024. gadā izsniegta</w:t>
            </w:r>
            <w:r>
              <w:rPr>
                <w:noProof/>
              </w:rPr>
              <w:t>jiem rēķiniem, sabiedrības veselības iestāžu (</w:t>
            </w:r>
            <w:r>
              <w:rPr>
                <w:i/>
                <w:noProof/>
              </w:rPr>
              <w:t>enti del Servizio sanitario nazionale</w:t>
            </w:r>
            <w:r>
              <w:rPr>
                <w:noProof/>
              </w:rPr>
              <w:t>) maksājumiem uzņēmumiem ir šādi rādītāji:</w:t>
            </w:r>
          </w:p>
          <w:p w14:paraId="30D1DA24" w14:textId="77777777" w:rsidR="00327FF1" w:rsidRDefault="00E406C7">
            <w:pPr>
              <w:pStyle w:val="P68B1DB1-Normal12"/>
              <w:spacing w:beforeAutospacing="1" w:after="120"/>
              <w:rPr>
                <w:noProof/>
              </w:rPr>
            </w:pPr>
            <w:r>
              <w:rPr>
                <w:noProof/>
              </w:rPr>
              <w:t xml:space="preserve">— vidējais svērtais maksājuma laiks (“tempo medio di pagamento ponderato”): ne vairāk kā 60 dienas; </w:t>
            </w:r>
          </w:p>
          <w:p w14:paraId="7DAA7303" w14:textId="70038F08" w:rsidR="00327FF1" w:rsidRDefault="00E406C7">
            <w:pPr>
              <w:pStyle w:val="P68B1DB1-Normal12"/>
              <w:spacing w:beforeAutospacing="1" w:after="120"/>
              <w:rPr>
                <w:noProof/>
              </w:rPr>
            </w:pPr>
            <w:r>
              <w:rPr>
                <w:noProof/>
              </w:rPr>
              <w:t>— vidējais svērtais maksājuma</w:t>
            </w:r>
            <w:r>
              <w:rPr>
                <w:noProof/>
              </w:rPr>
              <w:t xml:space="preserve"> kavējums (“tempo medio di ritardo ponderato”): ne vairāk kā 0 dienas; </w:t>
            </w:r>
          </w:p>
          <w:p w14:paraId="0F0B356D" w14:textId="77777777" w:rsidR="00327FF1" w:rsidRDefault="00E406C7">
            <w:pPr>
              <w:pStyle w:val="P68B1DB1-Normal12"/>
              <w:spacing w:beforeAutospacing="1" w:after="120"/>
              <w:rPr>
                <w:rFonts w:cs="Arial"/>
                <w:noProof/>
              </w:rPr>
            </w:pPr>
            <w:r>
              <w:rPr>
                <w:noProof/>
              </w:rPr>
              <w:t>Turklāt starpība starp vidējo nesvērto maksājuma laiku (“tempo medio di pagamento semplice”) un vidējo svērto maksājuma laiku nepārsniedz 30 dienas, ja vien nesvērtais vidējais maksāju</w:t>
            </w:r>
            <w:r>
              <w:rPr>
                <w:noProof/>
              </w:rPr>
              <w:t>ma laiks nav mazāks par 60 dienām.</w:t>
            </w:r>
          </w:p>
        </w:tc>
      </w:tr>
      <w:tr w:rsidR="00327FF1" w14:paraId="2E25C6F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60CCF8" w14:textId="77777777" w:rsidR="00327FF1" w:rsidRDefault="00E406C7">
            <w:pPr>
              <w:pStyle w:val="P68B1DB1-Normal11"/>
              <w:jc w:val="center"/>
              <w:rPr>
                <w:rFonts w:cs="Arial"/>
                <w:noProof/>
                <w:szCs w:val="20"/>
              </w:rPr>
            </w:pPr>
            <w:r>
              <w:rPr>
                <w:noProof/>
              </w:rPr>
              <w:t>M1C1–84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A414B1"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BAB8E4"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406ED" w14:textId="77777777" w:rsidR="00327FF1" w:rsidRDefault="00E406C7">
            <w:pPr>
              <w:pStyle w:val="P68B1DB1-Normal11"/>
              <w:jc w:val="center"/>
              <w:rPr>
                <w:rFonts w:cs="Arial"/>
                <w:noProof/>
                <w:szCs w:val="20"/>
              </w:rPr>
            </w:pPr>
            <w:r>
              <w:rPr>
                <w:noProof/>
              </w:rPr>
              <w:t>Vidējais laiks starp publicēšanu un līguma slēgšanas tiesību piešķiršanu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9A94EE"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503858"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8E3F31" w14:textId="77777777" w:rsidR="00327FF1" w:rsidRDefault="00E406C7">
            <w:pPr>
              <w:pStyle w:val="P68B1DB1-Normal11"/>
              <w:jc w:val="center"/>
              <w:rPr>
                <w:rFonts w:cs="Arial"/>
                <w:noProof/>
                <w:szCs w:val="20"/>
              </w:rPr>
            </w:pPr>
            <w:r>
              <w:rPr>
                <w:noProof/>
              </w:rPr>
              <w:t>139</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1B0FA0" w14:textId="77777777" w:rsidR="00327FF1" w:rsidRDefault="00E406C7">
            <w:pPr>
              <w:pStyle w:val="P68B1DB1-Normal11"/>
              <w:jc w:val="center"/>
              <w:rPr>
                <w:rFonts w:cs="Arial"/>
                <w:noProof/>
                <w:szCs w:val="20"/>
              </w:rPr>
            </w:pPr>
            <w:r>
              <w:rPr>
                <w:noProof/>
              </w:rPr>
              <w:t>100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3311EB"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431EF6"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7C537" w14:textId="77777777" w:rsidR="00327FF1" w:rsidRDefault="00E406C7">
            <w:pPr>
              <w:pStyle w:val="P68B1DB1-Normal12"/>
              <w:spacing w:before="100" w:beforeAutospacing="1" w:after="120"/>
              <w:rPr>
                <w:rFonts w:cs="Arial"/>
                <w:noProof/>
              </w:rPr>
            </w:pPr>
            <w:r>
              <w:rPr>
                <w:noProof/>
              </w:rPr>
              <w:t xml:space="preserve">Pamatojoties uz ES Oficiālā </w:t>
            </w:r>
            <w:r>
              <w:rPr>
                <w:noProof/>
              </w:rPr>
              <w:t>Vēstneša (TED datubāze) pieņemtajām metodēm, izmantojot datus no ANAC pārvaldītās IT valsts publiskā iepirkuma datubāzes (BDNCP), vidējo laiku starp piedāvājumu iesniegšanas termiņu un līguma slēgšanas tiesību piešķiršanu samazina līdz mazāk nekā 100 dienā</w:t>
            </w:r>
            <w:r>
              <w:rPr>
                <w:noProof/>
              </w:rPr>
              <w:t xml:space="preserve">m attiecībā uz līgumiem, kas pārsniedz ES publiskā iepirkuma direktīvās noteiktās robežvērtības. </w:t>
            </w:r>
          </w:p>
        </w:tc>
      </w:tr>
      <w:tr w:rsidR="00327FF1" w14:paraId="366E076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4DDE0B" w14:textId="77777777" w:rsidR="00327FF1" w:rsidRDefault="00E406C7">
            <w:pPr>
              <w:pStyle w:val="P68B1DB1-Normal11"/>
              <w:jc w:val="center"/>
              <w:rPr>
                <w:rFonts w:cs="Arial"/>
                <w:noProof/>
                <w:szCs w:val="20"/>
              </w:rPr>
            </w:pPr>
            <w:r>
              <w:rPr>
                <w:noProof/>
              </w:rPr>
              <w:t>M1C1–84a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4C4BAD"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FFF31B"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1E22AF" w14:textId="77777777" w:rsidR="00327FF1" w:rsidRDefault="00E406C7">
            <w:pPr>
              <w:pStyle w:val="P68B1DB1-Normal11"/>
              <w:jc w:val="center"/>
              <w:rPr>
                <w:rFonts w:cs="Arial"/>
                <w:noProof/>
                <w:szCs w:val="20"/>
              </w:rPr>
            </w:pPr>
            <w:r>
              <w:rPr>
                <w:noProof/>
              </w:rPr>
              <w:t xml:space="preserve">Pasākumi, kuru mērķis ir uzlabot līgumslēdzēju iestāžu lēmumu </w:t>
            </w:r>
            <w:r>
              <w:rPr>
                <w:noProof/>
              </w:rPr>
              <w:t>pieņemšanas ātrumu līguma slēgšanas tiesību piešķiršanā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55F2E" w14:textId="77777777" w:rsidR="00327FF1" w:rsidRDefault="00E406C7">
            <w:pPr>
              <w:pStyle w:val="P68B1DB1-Normal12"/>
              <w:jc w:val="center"/>
              <w:rPr>
                <w:rFonts w:cs="Arial"/>
                <w:noProof/>
              </w:rPr>
            </w:pPr>
            <w:r>
              <w:rPr>
                <w:noProof/>
              </w:rPr>
              <w:t>Ar lēmuma pieņemšanas ātrumu saistītu pasākumu pieņemšana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125C0"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D21FE0"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1DA825"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C87021"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826FEB"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0C3A41" w14:textId="77777777" w:rsidR="00327FF1" w:rsidRDefault="00E406C7">
            <w:pPr>
              <w:pStyle w:val="P68B1DB1-Normal12"/>
              <w:spacing w:before="100" w:beforeAutospacing="1" w:after="120"/>
              <w:rPr>
                <w:rFonts w:cs="Arial"/>
                <w:noProof/>
              </w:rPr>
            </w:pPr>
            <w:r>
              <w:rPr>
                <w:noProof/>
              </w:rPr>
              <w:t>Cabina di regia saskaņā ar pantu. Publisko līgumu kodeksa 221. pantā pēc apspriešanās ar ANAC pieņe</w:t>
            </w:r>
            <w:r>
              <w:rPr>
                <w:noProof/>
              </w:rPr>
              <w:t>m:</w:t>
            </w:r>
          </w:p>
          <w:p w14:paraId="612385B6" w14:textId="77777777" w:rsidR="00327FF1" w:rsidRDefault="00E406C7">
            <w:pPr>
              <w:pStyle w:val="P68B1DB1-Normal12"/>
              <w:spacing w:before="100" w:beforeAutospacing="1" w:after="120"/>
              <w:rPr>
                <w:rFonts w:cs="Arial"/>
                <w:noProof/>
              </w:rPr>
            </w:pPr>
            <w:r>
              <w:rPr>
                <w:noProof/>
              </w:rPr>
              <w:t>analīze, kurā novērtēta e-iepirkuma ietekme uz līguma slēgšanas tiesību piešķiršanas grafiku, sākot no piedāvājumu iesniegšanas termiņa līdz līguma parakstīšanai;</w:t>
            </w:r>
          </w:p>
          <w:p w14:paraId="2ACD7681" w14:textId="77777777" w:rsidR="00327FF1" w:rsidRDefault="00E406C7">
            <w:pPr>
              <w:pStyle w:val="P68B1DB1-Normal12"/>
              <w:spacing w:before="100" w:beforeAutospacing="1" w:after="120"/>
              <w:rPr>
                <w:rFonts w:cs="Arial"/>
                <w:noProof/>
              </w:rPr>
            </w:pPr>
            <w:r>
              <w:rPr>
                <w:noProof/>
              </w:rPr>
              <w:t xml:space="preserve">—ziņojums par TED rādītāja “Lēmuma ātrums” 2024. gada datiem; “Lēmuma pieņemšanas ātrums” </w:t>
            </w:r>
            <w:r>
              <w:rPr>
                <w:noProof/>
              </w:rPr>
              <w:t xml:space="preserve">ir laiks starp piedāvājumu iesniegšanas termiņu un līguma parakstīšanas dienu; </w:t>
            </w:r>
          </w:p>
          <w:p w14:paraId="2747EF1C" w14:textId="77777777" w:rsidR="00327FF1" w:rsidRDefault="00E406C7">
            <w:pPr>
              <w:pStyle w:val="P68B1DB1-Normal12"/>
              <w:spacing w:before="100" w:beforeAutospacing="1" w:after="120"/>
              <w:rPr>
                <w:noProof/>
              </w:rPr>
            </w:pPr>
            <w:r>
              <w:rPr>
                <w:noProof/>
              </w:rPr>
              <w:t>— ziņojums par līgumslēdzēju iestāžu paraugpraksi, kuras mērķis ir saīsināt līgumu slēgšanas tiesību piešķiršanas grafiku, un par iniciatīvām lēmuma pieņemšanas ātruma samazinā</w:t>
            </w:r>
            <w:r>
              <w:rPr>
                <w:noProof/>
              </w:rPr>
              <w:t>šanai.</w:t>
            </w:r>
          </w:p>
          <w:p w14:paraId="0DACBA26" w14:textId="77777777" w:rsidR="00327FF1" w:rsidRDefault="00E406C7">
            <w:pPr>
              <w:pStyle w:val="P68B1DB1-Normal12"/>
              <w:spacing w:before="100" w:beforeAutospacing="1" w:after="120"/>
              <w:rPr>
                <w:rFonts w:cs="Arial"/>
                <w:noProof/>
              </w:rPr>
            </w:pPr>
            <w:r>
              <w:rPr>
                <w:noProof/>
              </w:rPr>
              <w:t xml:space="preserve">Kvalificētām līgumslēdzējām iestādēm, kuru vidējais lēmumu pieņemšanas ātrums TED ir lielāks par 160 dienām, ir jāīsteno korektīvi pasākumi. </w:t>
            </w:r>
          </w:p>
        </w:tc>
      </w:tr>
      <w:tr w:rsidR="00327FF1" w14:paraId="268873F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1E5B06" w14:textId="77777777" w:rsidR="00327FF1" w:rsidRDefault="00E406C7">
            <w:pPr>
              <w:pStyle w:val="P68B1DB1-Normal11"/>
              <w:jc w:val="center"/>
              <w:rPr>
                <w:rFonts w:cs="Arial"/>
                <w:noProof/>
                <w:szCs w:val="20"/>
              </w:rPr>
            </w:pPr>
            <w:r>
              <w:rPr>
                <w:noProof/>
              </w:rPr>
              <w:t>M1C1–85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96CAE6"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F2AB9A"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AE08D1" w14:textId="77777777" w:rsidR="00327FF1" w:rsidRDefault="00E406C7">
            <w:pPr>
              <w:pStyle w:val="P68B1DB1-Normal11"/>
              <w:jc w:val="center"/>
              <w:rPr>
                <w:rFonts w:cs="Arial"/>
                <w:noProof/>
                <w:szCs w:val="20"/>
              </w:rPr>
            </w:pPr>
            <w:r>
              <w:rPr>
                <w:noProof/>
              </w:rPr>
              <w:t>Vidējais laiks starp līguma</w:t>
            </w:r>
            <w:r>
              <w:rPr>
                <w:noProof/>
              </w:rPr>
              <w:t xml:space="preserve"> slēgšanas tiesību piešķiršanu un infrastruktūras realizāciju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4F38C"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500F7D"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6EE8C7" w14:textId="77777777" w:rsidR="00327FF1" w:rsidRDefault="00E406C7">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E5073E" w14:textId="77777777" w:rsidR="00327FF1" w:rsidRDefault="00E406C7">
            <w:pPr>
              <w:pStyle w:val="P68B1DB1-Normal11"/>
              <w:jc w:val="center"/>
              <w:rPr>
                <w:rFonts w:cs="Arial"/>
                <w:noProof/>
                <w:szCs w:val="20"/>
              </w:rPr>
            </w:pPr>
            <w:r>
              <w:rPr>
                <w:noProof/>
              </w:rPr>
              <w:t>90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538D32"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5C8F6E"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F747C1" w14:textId="77777777" w:rsidR="00327FF1" w:rsidRDefault="00E406C7">
            <w:pPr>
              <w:pStyle w:val="P68B1DB1-Normal12"/>
              <w:spacing w:before="100" w:beforeAutospacing="1" w:after="120"/>
              <w:rPr>
                <w:rFonts w:cs="Arial"/>
                <w:noProof/>
              </w:rPr>
            </w:pPr>
            <w:r>
              <w:rPr>
                <w:noProof/>
              </w:rPr>
              <w:t>Vidējo laiku starp līguma slēgšanas tiesību piešķiršanu un infrastruktūras realizāciju (“izpildes posms”) samazina vismaz par 10 %, salīdzino</w:t>
            </w:r>
            <w:r>
              <w:rPr>
                <w:noProof/>
              </w:rPr>
              <w:t>t i) būvdarbus, kuru slēgšanas tiesības piešķirtas no 2019. gada 1. janvāra līdz 31. decembrim un kuri pabeigti līdz 2021. gada 30. jūnijam, un ii) būvdarbus, kas piešķirti laikā no 2021. gada 1. jūlija līdz 2022. gada 30. jūnijam un pabeigti līdz 2023. ga</w:t>
            </w:r>
            <w:r>
              <w:rPr>
                <w:noProof/>
              </w:rPr>
              <w:t>da 31. decembrim.</w:t>
            </w:r>
          </w:p>
        </w:tc>
      </w:tr>
      <w:tr w:rsidR="00327FF1" w14:paraId="1395373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D5445C" w14:textId="77777777" w:rsidR="00327FF1" w:rsidRDefault="00E406C7">
            <w:pPr>
              <w:pStyle w:val="P68B1DB1-Normal11"/>
              <w:jc w:val="center"/>
              <w:rPr>
                <w:noProof/>
              </w:rPr>
            </w:pPr>
            <w:r>
              <w:rPr>
                <w:noProof/>
              </w:rPr>
              <w:t>M1C1–86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C6CC5" w14:textId="77777777" w:rsidR="00327FF1" w:rsidRDefault="00E406C7">
            <w:pPr>
              <w:pStyle w:val="P68B1DB1-Normal11"/>
              <w:jc w:val="center"/>
              <w:rPr>
                <w:noProof/>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D571E5" w14:textId="77777777" w:rsidR="00327FF1" w:rsidRDefault="00E406C7">
            <w:pPr>
              <w:pStyle w:val="P68B1DB1-Normal11"/>
              <w:jc w:val="center"/>
              <w:rPr>
                <w:noProof/>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7F3E19" w14:textId="77777777" w:rsidR="00327FF1" w:rsidRDefault="00E406C7">
            <w:pPr>
              <w:pStyle w:val="P68B1DB1-Normal11"/>
              <w:jc w:val="center"/>
              <w:rPr>
                <w:noProof/>
              </w:rPr>
            </w:pPr>
            <w:r>
              <w:rPr>
                <w:noProof/>
              </w:rPr>
              <w:t>Ierēdņi, kas apmācīti, izmantojot publiskā iepirkuma profesionalizācijas stratēģiju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7E321A" w14:textId="77777777" w:rsidR="00327FF1" w:rsidRDefault="00E406C7">
            <w:pPr>
              <w:pStyle w:val="P68B1DB1-Normal11"/>
              <w:jc w:val="center"/>
              <w:rPr>
                <w:noProof/>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54F460" w14:textId="77777777" w:rsidR="00327FF1" w:rsidRDefault="00E406C7">
            <w:pPr>
              <w:pStyle w:val="P68B1DB1-Normal11"/>
              <w:jc w:val="center"/>
              <w:rPr>
                <w:noProof/>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2FD40D" w14:textId="77777777" w:rsidR="00327FF1" w:rsidRDefault="00E406C7">
            <w:pPr>
              <w:pStyle w:val="P68B1DB1-Normal11"/>
              <w:jc w:val="center"/>
              <w:rPr>
                <w:noProof/>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E6D401" w14:textId="77777777" w:rsidR="00327FF1" w:rsidRDefault="00E406C7">
            <w:pPr>
              <w:pStyle w:val="P68B1DB1-Normal11"/>
              <w:jc w:val="center"/>
              <w:rPr>
                <w:noProof/>
              </w:rPr>
            </w:pPr>
            <w:r>
              <w:rPr>
                <w:noProof/>
              </w:rPr>
              <w:t>20 000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60300A" w14:textId="77777777" w:rsidR="00327FF1" w:rsidRDefault="00E406C7">
            <w:pPr>
              <w:pStyle w:val="P68B1DB1-Normal11"/>
              <w:jc w:val="center"/>
              <w:rPr>
                <w:noProof/>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1FA4E9" w14:textId="77777777" w:rsidR="00327FF1" w:rsidRDefault="00E406C7">
            <w:pPr>
              <w:pStyle w:val="P68B1DB1-Normal11"/>
              <w:jc w:val="center"/>
              <w:rPr>
                <w:noProof/>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0637BE" w14:textId="77777777" w:rsidR="00327FF1" w:rsidRDefault="00E406C7">
            <w:pPr>
              <w:pStyle w:val="P68B1DB1-Normal11"/>
              <w:spacing w:before="100" w:beforeAutospacing="1" w:after="120"/>
              <w:rPr>
                <w:noProof/>
              </w:rPr>
            </w:pPr>
            <w:r>
              <w:rPr>
                <w:noProof/>
              </w:rPr>
              <w:t xml:space="preserve">Vismaz 20000 ierēdņu ir apmācīti, izmantojot Publisko iepirkumu profesionalizācijas stratēģiju. </w:t>
            </w:r>
          </w:p>
        </w:tc>
      </w:tr>
      <w:tr w:rsidR="00327FF1" w14:paraId="53C87EF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74D003" w14:textId="77777777" w:rsidR="00327FF1" w:rsidRDefault="00E406C7">
            <w:pPr>
              <w:pStyle w:val="P68B1DB1-Normal11"/>
              <w:jc w:val="center"/>
              <w:rPr>
                <w:rFonts w:cs="Arial"/>
                <w:noProof/>
                <w:szCs w:val="20"/>
              </w:rPr>
            </w:pPr>
            <w:r>
              <w:rPr>
                <w:noProof/>
              </w:rPr>
              <w:t>M1C1–87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5CED6A"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0CCBAF"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EEB9B0" w14:textId="77777777" w:rsidR="00327FF1" w:rsidRDefault="00E406C7">
            <w:pPr>
              <w:pStyle w:val="P68B1DB1-Normal11"/>
              <w:jc w:val="center"/>
              <w:rPr>
                <w:rFonts w:cs="Arial"/>
                <w:noProof/>
                <w:szCs w:val="20"/>
              </w:rPr>
            </w:pPr>
            <w:r>
              <w:rPr>
                <w:noProof/>
              </w:rPr>
              <w:t>Līgumslēdzējas iestādes, kas izmanto dinamiskās iepirkumu sistēmas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5668DC"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019B2F"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AB3D0E" w14:textId="77777777" w:rsidR="00327FF1" w:rsidRDefault="00E406C7">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5219E8" w14:textId="77777777" w:rsidR="00327FF1" w:rsidRDefault="00E406C7">
            <w:pPr>
              <w:pStyle w:val="P68B1DB1-Normal11"/>
              <w:jc w:val="center"/>
              <w:rPr>
                <w:rFonts w:cs="Arial"/>
                <w:noProof/>
                <w:szCs w:val="20"/>
              </w:rPr>
            </w:pPr>
            <w:r>
              <w:rPr>
                <w:noProof/>
              </w:rPr>
              <w:t>15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B88842"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5047E9"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E379E8" w14:textId="77777777" w:rsidR="00327FF1" w:rsidRDefault="00E406C7">
            <w:pPr>
              <w:pStyle w:val="P68B1DB1-Normal12"/>
              <w:spacing w:before="100" w:beforeAutospacing="1" w:after="120"/>
              <w:rPr>
                <w:rFonts w:cs="Arial"/>
                <w:noProof/>
              </w:rPr>
            </w:pPr>
            <w:r>
              <w:rPr>
                <w:noProof/>
              </w:rPr>
              <w:t xml:space="preserve">Vismaz 15 % līgumslēdzēju iestāžu izmanto dinamiskās iepirkumu sistēmas saskaņā ar ES Direktīvu 2014/24 (divu gadu novērošanas laikposms un ņemot vērā to, ka Itālijā DPS izmantošana galvenokārt ir vērsta uz </w:t>
            </w:r>
            <w:r>
              <w:rPr>
                <w:noProof/>
              </w:rPr>
              <w:t xml:space="preserve">iepirkumiem, kas pārsniedz robežvērtību, ņemot vērā to, ka cenas, kas ir zemākas par robežvērtību, galvenokārt tiek veiktas, izmantojot eMarketplaces). Mērķrādītājs attiecas uz centrālās valdības līgumslēdzējām iestādēm (250 MA, kas reģistrētas 2021. gada </w:t>
            </w:r>
            <w:r>
              <w:rPr>
                <w:noProof/>
              </w:rPr>
              <w:t>30. aprīlī valsts e-iepirkumu sistēmā, ko pārvalda Consip MEF vārdā).</w:t>
            </w:r>
          </w:p>
        </w:tc>
      </w:tr>
      <w:tr w:rsidR="00327FF1" w14:paraId="64BD8E2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BBA0B9" w14:textId="77777777" w:rsidR="00327FF1" w:rsidRDefault="00E406C7">
            <w:pPr>
              <w:pStyle w:val="P68B1DB1-Normal11"/>
              <w:jc w:val="center"/>
              <w:rPr>
                <w:rFonts w:cs="Arial"/>
                <w:noProof/>
                <w:szCs w:val="20"/>
              </w:rPr>
            </w:pPr>
            <w:r>
              <w:rPr>
                <w:noProof/>
              </w:rPr>
              <w:t>M1C1–88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11AEA0" w14:textId="77777777" w:rsidR="00327FF1" w:rsidRDefault="00E406C7">
            <w:pPr>
              <w:pStyle w:val="P68B1DB1-Normal12"/>
              <w:jc w:val="center"/>
              <w:rPr>
                <w:rFonts w:cs="Arial"/>
                <w:noProof/>
              </w:rPr>
            </w:pPr>
            <w:r>
              <w:rPr>
                <w:noProof/>
              </w:rPr>
              <w:t>Reforma Nr. 1.11. Valsts pārvaldes un veselības aprūpes iestāžu maksājumu kavējumu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650CA9"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A395C0" w14:textId="77777777" w:rsidR="00327FF1" w:rsidRDefault="00E406C7">
            <w:pPr>
              <w:pStyle w:val="P68B1DB1-Normal12"/>
              <w:jc w:val="center"/>
              <w:rPr>
                <w:rFonts w:cs="Arial"/>
                <w:noProof/>
              </w:rPr>
            </w:pPr>
            <w:r>
              <w:rPr>
                <w:noProof/>
              </w:rPr>
              <w:t xml:space="preserve">Ir samazināts vidējais dienu skaits, ko centrālās publiskās iestādes </w:t>
            </w:r>
            <w:r>
              <w:rPr>
                <w:noProof/>
              </w:rPr>
              <w:t>pavada, lai maksātu uzņēmumiem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B49F06"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56C78" w14:textId="77777777" w:rsidR="00327FF1" w:rsidRDefault="00E406C7">
            <w:pPr>
              <w:pStyle w:val="P68B1DB1-Normal11"/>
              <w:jc w:val="center"/>
              <w:rPr>
                <w:rFonts w:cs="Arial"/>
                <w:noProof/>
                <w:szCs w:val="20"/>
              </w:rPr>
            </w:pPr>
            <w:r>
              <w:rPr>
                <w:noProof/>
              </w:rPr>
              <w:t>Vidējais svērtais maksājuma laiks (dienās)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5EEF6B" w14:textId="77777777" w:rsidR="00327FF1" w:rsidRDefault="00E406C7">
            <w:pPr>
              <w:pStyle w:val="P68B1DB1-Normal11"/>
              <w:jc w:val="center"/>
              <w:rPr>
                <w:rFonts w:cs="Arial"/>
                <w:noProof/>
                <w:szCs w:val="20"/>
              </w:rPr>
            </w:pPr>
            <w:r>
              <w:rPr>
                <w:noProof/>
              </w:rPr>
              <w:t xml:space="preserve"> 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39BB6" w14:textId="77777777" w:rsidR="00327FF1" w:rsidRDefault="00E406C7">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4965AB"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E0EB7"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1741CB" w14:textId="77777777" w:rsidR="00327FF1" w:rsidRDefault="00E406C7">
            <w:pPr>
              <w:spacing w:before="100" w:beforeAutospacing="1" w:after="120"/>
              <w:rPr>
                <w:rStyle w:val="CommentReference"/>
                <w:rFonts w:ascii="Arial Narrow" w:hAnsi="Arial Narrow"/>
                <w:i/>
                <w:noProof/>
                <w:color w:val="006100"/>
                <w:sz w:val="20"/>
                <w:szCs w:val="20"/>
              </w:rPr>
            </w:pPr>
            <w:r>
              <w:rPr>
                <w:rFonts w:ascii="Arial Narrow" w:hAnsi="Arial Narrow"/>
                <w:noProof/>
                <w:color w:val="006100"/>
                <w:sz w:val="20"/>
                <w:szCs w:val="20"/>
              </w:rPr>
              <w:t>Pamatojoties uz Komerciālo kredītu platformas (“Piattaforma Crediti Commerciali”) datiem, kas saistīti ar 2025. gadā izsniegtajiem rēķiniem, attiecībā</w:t>
            </w:r>
            <w:r>
              <w:rPr>
                <w:rFonts w:ascii="Arial Narrow" w:hAnsi="Arial Narrow"/>
                <w:noProof/>
                <w:color w:val="006100"/>
                <w:sz w:val="20"/>
                <w:szCs w:val="20"/>
              </w:rPr>
              <w:t xml:space="preserve"> uz centrālo publisko iestāžu (Aministrazioni</w:t>
            </w:r>
            <w:r>
              <w:rPr>
                <w:rFonts w:ascii="Arial Narrow" w:hAnsi="Arial Narrow"/>
                <w:i/>
                <w:noProof/>
                <w:color w:val="006100"/>
                <w:sz w:val="20"/>
                <w:szCs w:val="20"/>
              </w:rPr>
              <w:t>centrali)</w:t>
            </w:r>
            <w:r>
              <w:rPr>
                <w:rFonts w:ascii="Arial Narrow" w:hAnsi="Arial Narrow"/>
                <w:noProof/>
                <w:color w:val="006100"/>
                <w:sz w:val="20"/>
                <w:szCs w:val="20"/>
              </w:rPr>
              <w:t>maksājumiem uzņēmumiem ir šādi rādītāji</w:t>
            </w:r>
            <w:r>
              <w:rPr>
                <w:rStyle w:val="CommentReference"/>
                <w:noProof/>
              </w:rPr>
              <w:t>:</w:t>
            </w:r>
          </w:p>
          <w:p w14:paraId="2343F53F" w14:textId="77777777" w:rsidR="00327FF1" w:rsidRDefault="00E406C7">
            <w:pPr>
              <w:pStyle w:val="P68B1DB1-Normal12"/>
              <w:spacing w:before="100" w:beforeAutospacing="1" w:after="120"/>
              <w:rPr>
                <w:rFonts w:eastAsia="Times New Roman" w:cs="Times New Roman"/>
                <w:noProof/>
              </w:rPr>
            </w:pPr>
            <w:r>
              <w:rPr>
                <w:noProof/>
              </w:rPr>
              <w:t xml:space="preserve">— vidējais svērtais maksājuma laiks (“tempo medio di pagamento ponderato”): ne vairāk kā 30 dienas; </w:t>
            </w:r>
          </w:p>
          <w:p w14:paraId="01243181" w14:textId="53931506" w:rsidR="00327FF1" w:rsidRDefault="00E406C7">
            <w:pPr>
              <w:pStyle w:val="P68B1DB1-Normal12"/>
              <w:spacing w:before="100" w:beforeAutospacing="1" w:after="120"/>
              <w:rPr>
                <w:noProof/>
              </w:rPr>
            </w:pPr>
            <w:r>
              <w:rPr>
                <w:noProof/>
              </w:rPr>
              <w:t>— vidējais svērtais maksājuma kavējums (“tempo medio di rita</w:t>
            </w:r>
            <w:r>
              <w:rPr>
                <w:noProof/>
              </w:rPr>
              <w:t xml:space="preserve">rdo ponderato”): ne vairāk kā 0 dienas; </w:t>
            </w:r>
          </w:p>
          <w:p w14:paraId="648BDD81" w14:textId="77777777" w:rsidR="00327FF1" w:rsidRDefault="00E406C7">
            <w:pPr>
              <w:pStyle w:val="P68B1DB1-Normal12"/>
              <w:spacing w:before="100" w:beforeAutospacing="1" w:after="120"/>
              <w:rPr>
                <w:rFonts w:cs="Arial"/>
                <w:noProof/>
              </w:rPr>
            </w:pPr>
            <w:r>
              <w:rPr>
                <w:noProof/>
              </w:rPr>
              <w:t>Turklāt starpība starp vidējo nesvērto maksājuma laiku (“tempo medio di pagamento semplice”): un vidējais svērtais maksājuma laiks nepārsniedz 15 dienas, ja vien nesvērtais vidējais maksājuma laiks nav mazāks par 30</w:t>
            </w:r>
            <w:r>
              <w:rPr>
                <w:noProof/>
              </w:rPr>
              <w:t xml:space="preserve"> dienām. </w:t>
            </w:r>
          </w:p>
        </w:tc>
      </w:tr>
      <w:tr w:rsidR="00327FF1" w14:paraId="35137D4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046ABA" w14:textId="77777777" w:rsidR="00327FF1" w:rsidRDefault="00E406C7">
            <w:pPr>
              <w:pStyle w:val="P68B1DB1-Normal11"/>
              <w:jc w:val="center"/>
              <w:rPr>
                <w:rFonts w:cs="Arial"/>
                <w:noProof/>
                <w:szCs w:val="20"/>
              </w:rPr>
            </w:pPr>
            <w:r>
              <w:rPr>
                <w:noProof/>
              </w:rPr>
              <w:t>M1C1–89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7F509D" w14:textId="77777777" w:rsidR="00327FF1" w:rsidRDefault="00E406C7">
            <w:pPr>
              <w:pStyle w:val="P68B1DB1-Normal11"/>
              <w:jc w:val="center"/>
              <w:rPr>
                <w:rFonts w:cs="Arial"/>
                <w:noProof/>
                <w:szCs w:val="20"/>
              </w:rPr>
            </w:pPr>
            <w:r>
              <w:rPr>
                <w:noProof/>
              </w:rPr>
              <w:t>Reforma Nr. 1.11. Valsts pārvaldes un veselības aprūpes iestāžu maksājumu kavējumu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47838"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C4C660" w14:textId="77777777" w:rsidR="00327FF1" w:rsidRDefault="00E406C7">
            <w:pPr>
              <w:pStyle w:val="P68B1DB1-Normal11"/>
              <w:jc w:val="center"/>
              <w:rPr>
                <w:rFonts w:cs="Arial"/>
                <w:noProof/>
                <w:szCs w:val="20"/>
              </w:rPr>
            </w:pPr>
            <w:r>
              <w:rPr>
                <w:noProof/>
              </w:rPr>
              <w:t>Ir samazināts vidējais dienu skaits reģionālajām publiskajām iestādēm, lai maksātu uzņēmumiem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FB1609"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8923D9" w14:textId="77777777" w:rsidR="00327FF1" w:rsidRDefault="00E406C7">
            <w:pPr>
              <w:pStyle w:val="P68B1DB1-Normal11"/>
              <w:jc w:val="center"/>
              <w:rPr>
                <w:rFonts w:cs="Arial"/>
                <w:noProof/>
                <w:szCs w:val="20"/>
              </w:rPr>
            </w:pPr>
            <w:r>
              <w:rPr>
                <w:noProof/>
              </w:rPr>
              <w:t xml:space="preserve">Vidējais svērtais maksājuma </w:t>
            </w:r>
            <w:r>
              <w:rPr>
                <w:noProof/>
              </w:rPr>
              <w:t>laiks (dienās)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3107BC"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29135" w14:textId="77777777" w:rsidR="00327FF1" w:rsidRDefault="00E406C7">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899D41"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62C252"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C5996E" w14:textId="5DE866AC" w:rsidR="00327FF1" w:rsidRDefault="00E406C7">
            <w:pPr>
              <w:pStyle w:val="P68B1DB1-Normal12"/>
              <w:spacing w:before="100" w:beforeAutospacing="1" w:after="120"/>
              <w:rPr>
                <w:noProof/>
              </w:rPr>
            </w:pPr>
            <w:r>
              <w:rPr>
                <w:noProof/>
              </w:rPr>
              <w:t>Pamatojoties uz Komerckredītu platformas (“Piattaforma Crediti Commerciali”) datiem, kas saistīti ar 2025. gadā izsniegtajiem rēķiniem, attiecībā uz reģionālo publisko iestāžu (</w:t>
            </w:r>
            <w:r>
              <w:rPr>
                <w:i/>
                <w:noProof/>
              </w:rPr>
              <w:t>Regioni — Province Autonome)</w:t>
            </w:r>
            <w:r>
              <w:rPr>
                <w:noProof/>
              </w:rPr>
              <w:t>maksājumiem uzņ</w:t>
            </w:r>
            <w:r>
              <w:rPr>
                <w:noProof/>
              </w:rPr>
              <w:t>ēmumiem ir šādi rādītāji:</w:t>
            </w:r>
          </w:p>
          <w:p w14:paraId="669C0266" w14:textId="77777777" w:rsidR="00327FF1" w:rsidRDefault="00E406C7">
            <w:pPr>
              <w:pStyle w:val="P68B1DB1-ListParagraph13"/>
              <w:numPr>
                <w:ilvl w:val="0"/>
                <w:numId w:val="70"/>
              </w:numPr>
              <w:spacing w:before="100" w:beforeAutospacing="1" w:after="120" w:line="240" w:lineRule="auto"/>
              <w:jc w:val="both"/>
              <w:rPr>
                <w:rFonts w:cs="Arial"/>
                <w:noProof/>
              </w:rPr>
            </w:pPr>
            <w:r>
              <w:rPr>
                <w:noProof/>
              </w:rPr>
              <w:t>attiecībā uz vidējo svērto maksājuma laiku (“tempo medio di pagamento ponderato”): ne vairāk kā 30 dienas;</w:t>
            </w:r>
          </w:p>
          <w:p w14:paraId="0A15038F" w14:textId="77777777" w:rsidR="00327FF1" w:rsidRDefault="00E406C7">
            <w:pPr>
              <w:pStyle w:val="P68B1DB1-ListParagraph13"/>
              <w:numPr>
                <w:ilvl w:val="0"/>
                <w:numId w:val="70"/>
              </w:numPr>
              <w:spacing w:before="100" w:beforeAutospacing="1" w:after="120" w:line="240" w:lineRule="auto"/>
              <w:jc w:val="both"/>
              <w:rPr>
                <w:rFonts w:cs="Arial"/>
                <w:noProof/>
              </w:rPr>
            </w:pPr>
            <w:r>
              <w:rPr>
                <w:noProof/>
              </w:rPr>
              <w:t>vidējais svērtais maksājuma kavējums (“tempo medio di ritardo ponderato”): ne vairāk kā 0 dienas.</w:t>
            </w:r>
          </w:p>
          <w:p w14:paraId="63364C21" w14:textId="77777777" w:rsidR="00327FF1" w:rsidRDefault="00E406C7">
            <w:pPr>
              <w:pStyle w:val="P68B1DB1-Normal17"/>
              <w:spacing w:before="100" w:beforeAutospacing="1"/>
              <w:rPr>
                <w:noProof/>
              </w:rPr>
            </w:pPr>
            <w:r>
              <w:rPr>
                <w:noProof/>
              </w:rPr>
              <w:t>Turklāt starpība starp vi</w:t>
            </w:r>
            <w:r>
              <w:rPr>
                <w:noProof/>
              </w:rPr>
              <w:t>dējo nesvērto maksājuma laiku (“tempo medio di pagamento semplice”) un vidējo svērto maksājuma laiku nepārsniedz 15 dienas, ja vien nesvērtais vidējais maksājuma laiks nav mazāks par 30 dienām.</w:t>
            </w:r>
          </w:p>
        </w:tc>
      </w:tr>
      <w:tr w:rsidR="00327FF1" w14:paraId="566EB07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B91CB3" w14:textId="77777777" w:rsidR="00327FF1" w:rsidRDefault="00E406C7">
            <w:pPr>
              <w:pStyle w:val="P68B1DB1-Normal11"/>
              <w:jc w:val="center"/>
              <w:rPr>
                <w:rFonts w:cs="Arial"/>
                <w:noProof/>
                <w:szCs w:val="20"/>
              </w:rPr>
            </w:pPr>
            <w:r>
              <w:rPr>
                <w:noProof/>
              </w:rPr>
              <w:t>M1C1–90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8EE30F" w14:textId="77777777" w:rsidR="00327FF1" w:rsidRDefault="00E406C7">
            <w:pPr>
              <w:pStyle w:val="P68B1DB1-Normal11"/>
              <w:jc w:val="center"/>
              <w:rPr>
                <w:rFonts w:cs="Arial"/>
                <w:noProof/>
                <w:szCs w:val="20"/>
              </w:rPr>
            </w:pPr>
            <w:r>
              <w:rPr>
                <w:noProof/>
              </w:rPr>
              <w:t xml:space="preserve">Reforma Nr. 1.11. Valsts pārvaldes un veselības </w:t>
            </w:r>
            <w:r>
              <w:rPr>
                <w:noProof/>
              </w:rPr>
              <w:t>aprūpes iestāžu maksājumu kavējumu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97CBC"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22FA4E" w14:textId="77777777" w:rsidR="00327FF1" w:rsidRDefault="00E406C7">
            <w:pPr>
              <w:pStyle w:val="P68B1DB1-Normal11"/>
              <w:jc w:val="center"/>
              <w:rPr>
                <w:rFonts w:cs="Arial"/>
                <w:noProof/>
                <w:szCs w:val="20"/>
              </w:rPr>
            </w:pPr>
            <w:r>
              <w:rPr>
                <w:noProof/>
              </w:rPr>
              <w:t>Ir samazināts vidējais dienu skaits, kas vietējām valsts iestādēm atvēlēts, lai maksātu uzņēmumiem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E98384"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671821" w14:textId="77777777" w:rsidR="00327FF1" w:rsidRDefault="00E406C7">
            <w:pPr>
              <w:pStyle w:val="P68B1DB1-Normal11"/>
              <w:jc w:val="center"/>
              <w:rPr>
                <w:rFonts w:cs="Arial"/>
                <w:noProof/>
                <w:szCs w:val="20"/>
              </w:rPr>
            </w:pPr>
            <w:r>
              <w:rPr>
                <w:noProof/>
              </w:rPr>
              <w:t>Vidējais svērtais maksājuma laiks (dienās)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154DCD" w14:textId="77777777" w:rsidR="00327FF1" w:rsidRDefault="00E406C7">
            <w:pPr>
              <w:pStyle w:val="P68B1DB1-Normal11"/>
              <w:jc w:val="center"/>
              <w:rPr>
                <w:rFonts w:cs="Arial"/>
                <w:noProof/>
                <w:szCs w:val="20"/>
              </w:rPr>
            </w:pPr>
            <w:r>
              <w:rPr>
                <w:noProof/>
              </w:rPr>
              <w:t xml:space="preserve"> 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56AAEF" w14:textId="77777777" w:rsidR="00327FF1" w:rsidRDefault="00E406C7">
            <w:pPr>
              <w:pStyle w:val="P68B1DB1-Normal11"/>
              <w:jc w:val="center"/>
              <w:rPr>
                <w:rFonts w:cs="Arial"/>
                <w:noProof/>
                <w:szCs w:val="20"/>
              </w:rPr>
            </w:pPr>
            <w:r>
              <w:rPr>
                <w:noProof/>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E862C6"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21881"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12C6C9" w14:textId="3B40EA68" w:rsidR="00327FF1" w:rsidRDefault="00E406C7">
            <w:pPr>
              <w:pStyle w:val="P68B1DB1-Normal12"/>
              <w:spacing w:before="100" w:beforeAutospacing="1" w:after="120"/>
              <w:rPr>
                <w:noProof/>
              </w:rPr>
            </w:pPr>
            <w:r>
              <w:rPr>
                <w:noProof/>
              </w:rPr>
              <w:t xml:space="preserve">Pamatojoties uz Komerciālo </w:t>
            </w:r>
            <w:r>
              <w:rPr>
                <w:noProof/>
              </w:rPr>
              <w:t>kredītu platformas (“Piattaforma Crediti Commerciali”) datiem, kas saistīti ar 2025. gadā izsniegtajiem rēķiniem, vietējo publisko iestāžu (</w:t>
            </w:r>
            <w:r>
              <w:rPr>
                <w:i/>
                <w:noProof/>
              </w:rPr>
              <w:t>enti locali</w:t>
            </w:r>
            <w:r>
              <w:rPr>
                <w:noProof/>
              </w:rPr>
              <w:t>) maksājumiem uzņēmumiem ir šādi rādītāji:</w:t>
            </w:r>
          </w:p>
          <w:p w14:paraId="5260D028" w14:textId="1ECC7F20" w:rsidR="00327FF1" w:rsidRDefault="00E406C7">
            <w:pPr>
              <w:pStyle w:val="P68B1DB1-ListParagraph13"/>
              <w:numPr>
                <w:ilvl w:val="0"/>
                <w:numId w:val="71"/>
              </w:numPr>
              <w:spacing w:before="100" w:beforeAutospacing="1" w:after="120" w:line="240" w:lineRule="auto"/>
              <w:jc w:val="both"/>
              <w:rPr>
                <w:rFonts w:cs="Arial"/>
                <w:noProof/>
              </w:rPr>
            </w:pPr>
            <w:r>
              <w:rPr>
                <w:noProof/>
              </w:rPr>
              <w:t>attiecībā uz vidējo svērto maksājuma laiku (“tempo medio di pa</w:t>
            </w:r>
            <w:r>
              <w:rPr>
                <w:noProof/>
              </w:rPr>
              <w:t>gamento ponderato”): ne vairāk kā 30 dienas;</w:t>
            </w:r>
          </w:p>
          <w:p w14:paraId="671E5EC7" w14:textId="37B7BCA3" w:rsidR="00327FF1" w:rsidRDefault="00E406C7">
            <w:pPr>
              <w:pStyle w:val="P68B1DB1-ListParagraph13"/>
              <w:numPr>
                <w:ilvl w:val="0"/>
                <w:numId w:val="71"/>
              </w:numPr>
              <w:spacing w:before="100" w:beforeAutospacing="1" w:after="120" w:line="240" w:lineRule="auto"/>
              <w:jc w:val="both"/>
              <w:rPr>
                <w:rFonts w:cs="Arial"/>
                <w:noProof/>
              </w:rPr>
            </w:pPr>
            <w:r>
              <w:rPr>
                <w:noProof/>
              </w:rPr>
              <w:t>vidējais svērtais maksājuma kavējums (“tempo medio di ritardo ponderato”): ne vairāk kā 0 dienas.</w:t>
            </w:r>
          </w:p>
          <w:p w14:paraId="1326E6BE" w14:textId="77777777" w:rsidR="00327FF1" w:rsidRDefault="00E406C7">
            <w:pPr>
              <w:pStyle w:val="P68B1DB1-Normal12"/>
              <w:spacing w:before="100" w:beforeAutospacing="1"/>
              <w:rPr>
                <w:rFonts w:cs="Arial"/>
                <w:noProof/>
              </w:rPr>
            </w:pPr>
            <w:r>
              <w:rPr>
                <w:noProof/>
              </w:rPr>
              <w:t>Turklāt starpība starp vidējo nesvērto maksājuma laiku (“tempo medio di pagamento semplice”) un vidējo svērto mak</w:t>
            </w:r>
            <w:r>
              <w:rPr>
                <w:noProof/>
              </w:rPr>
              <w:t>sājuma laiku nepārsniedz 15 dienas, ja vien nesvērtais vidējais maksājuma laiks nav mazāks par 30 dienām.</w:t>
            </w:r>
          </w:p>
        </w:tc>
      </w:tr>
      <w:tr w:rsidR="00327FF1" w14:paraId="6791A38C"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46380" w14:textId="77777777" w:rsidR="00327FF1" w:rsidRDefault="00E406C7">
            <w:pPr>
              <w:pStyle w:val="P68B1DB1-Normal11"/>
              <w:jc w:val="center"/>
              <w:rPr>
                <w:rFonts w:cs="Arial"/>
                <w:noProof/>
                <w:szCs w:val="20"/>
              </w:rPr>
            </w:pPr>
            <w:r>
              <w:rPr>
                <w:noProof/>
              </w:rPr>
              <w:t>M1C1–91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1A0E06" w14:textId="77777777" w:rsidR="00327FF1" w:rsidRDefault="00E406C7">
            <w:pPr>
              <w:pStyle w:val="P68B1DB1-Normal12"/>
              <w:jc w:val="center"/>
              <w:rPr>
                <w:rFonts w:cs="Arial"/>
                <w:noProof/>
              </w:rPr>
            </w:pPr>
            <w:r>
              <w:rPr>
                <w:noProof/>
              </w:rPr>
              <w:t>Reforma Nr. 1.11. Valsts pārvaldes un veselības aprūpes iestāžu maksājumu kavējumu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98E502"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96359F" w14:textId="77777777" w:rsidR="00327FF1" w:rsidRDefault="00E406C7">
            <w:pPr>
              <w:pStyle w:val="P68B1DB1-Normal11"/>
              <w:jc w:val="center"/>
              <w:rPr>
                <w:rFonts w:cs="Arial"/>
                <w:noProof/>
                <w:szCs w:val="20"/>
              </w:rPr>
            </w:pPr>
            <w:r>
              <w:rPr>
                <w:noProof/>
              </w:rPr>
              <w:t>Ir samazināts vidējais dienu skaits, ko</w:t>
            </w:r>
            <w:r>
              <w:rPr>
                <w:noProof/>
              </w:rPr>
              <w:t xml:space="preserve"> sabiedrības veselības iestādes var izmantot, lai maksātu uzņēmumiem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9401EE"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1AFA41" w14:textId="77777777" w:rsidR="00327FF1" w:rsidRDefault="00E406C7">
            <w:pPr>
              <w:pStyle w:val="P68B1DB1-Normal12"/>
              <w:jc w:val="center"/>
              <w:rPr>
                <w:rFonts w:cs="Arial"/>
                <w:noProof/>
              </w:rPr>
            </w:pPr>
            <w:r>
              <w:rPr>
                <w:noProof/>
              </w:rPr>
              <w:t>Vidējais svērtais maksājuma laiks (jn dienas)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FF4D95"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008ED" w14:textId="77777777" w:rsidR="00327FF1" w:rsidRDefault="00E406C7">
            <w:pPr>
              <w:pStyle w:val="P68B1DB1-Normal11"/>
              <w:jc w:val="center"/>
              <w:rPr>
                <w:rFonts w:cs="Arial"/>
                <w:noProof/>
                <w:szCs w:val="20"/>
              </w:rPr>
            </w:pPr>
            <w:r>
              <w:rPr>
                <w:noProof/>
              </w:rPr>
              <w:t>60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731DA0"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445F6F"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0E1D22" w14:textId="77777777" w:rsidR="00327FF1" w:rsidRDefault="00E406C7">
            <w:pPr>
              <w:pStyle w:val="P68B1DB1-Normal12"/>
              <w:spacing w:before="100" w:beforeAutospacing="1" w:after="120"/>
              <w:rPr>
                <w:noProof/>
              </w:rPr>
            </w:pPr>
            <w:r>
              <w:rPr>
                <w:noProof/>
              </w:rPr>
              <w:t>Pamatojoties uz Komerckredītu platformas (“Piattaforma Crediti Commerciali”) datiem, kas saistīti ar 2025. gad</w:t>
            </w:r>
            <w:r>
              <w:rPr>
                <w:noProof/>
              </w:rPr>
              <w:t>ā izsniegtajiem rēķiniem, sabiedrības veselības iestāžu (</w:t>
            </w:r>
            <w:r>
              <w:rPr>
                <w:i/>
                <w:noProof/>
              </w:rPr>
              <w:t>enti del Servizio sanitario nazionale</w:t>
            </w:r>
            <w:r>
              <w:rPr>
                <w:noProof/>
              </w:rPr>
              <w:t>) maksājumiem uzņēmumiem ir šādi rādītāji:</w:t>
            </w:r>
          </w:p>
          <w:p w14:paraId="7F808C45" w14:textId="77777777" w:rsidR="00327FF1" w:rsidRDefault="00E406C7">
            <w:pPr>
              <w:pStyle w:val="P68B1DB1-Normal12"/>
              <w:spacing w:beforeAutospacing="1" w:after="120"/>
              <w:rPr>
                <w:noProof/>
              </w:rPr>
            </w:pPr>
            <w:r>
              <w:rPr>
                <w:noProof/>
              </w:rPr>
              <w:t xml:space="preserve">— vidējais svērtais maksājuma laiks (“tempo medio di pagamento ponderato”): ne vairāk kā 60 dienas; </w:t>
            </w:r>
          </w:p>
          <w:p w14:paraId="01923B11" w14:textId="5BB0B5A8" w:rsidR="00327FF1" w:rsidRDefault="00E406C7">
            <w:pPr>
              <w:pStyle w:val="P68B1DB1-Normal12"/>
              <w:spacing w:beforeAutospacing="1" w:after="120"/>
              <w:rPr>
                <w:noProof/>
              </w:rPr>
            </w:pPr>
            <w:r>
              <w:rPr>
                <w:noProof/>
              </w:rPr>
              <w:t xml:space="preserve">— vidējais svērtais maksājuma kavējums (“tempo medio di ritardo ponderato”): ne vairāk kā 0 dienas; </w:t>
            </w:r>
          </w:p>
          <w:p w14:paraId="61F0A25D" w14:textId="77777777" w:rsidR="00327FF1" w:rsidRDefault="00E406C7">
            <w:pPr>
              <w:pStyle w:val="P68B1DB1-Normal12"/>
              <w:spacing w:before="100" w:beforeAutospacing="1" w:after="120"/>
              <w:rPr>
                <w:noProof/>
              </w:rPr>
            </w:pPr>
            <w:r>
              <w:rPr>
                <w:noProof/>
              </w:rPr>
              <w:t>Turklāt starpība starp vidējo nesvērto maksājuma laiku (“tempo medio di pagamento semplice”) un vidējo svērto maksājuma laiku nepārsniedz 20 dienas, ja vie</w:t>
            </w:r>
            <w:r>
              <w:rPr>
                <w:noProof/>
              </w:rPr>
              <w:t>n nesvērtais vidējais maksājuma laiks nav mazāks par 60 dienām.</w:t>
            </w:r>
          </w:p>
        </w:tc>
      </w:tr>
      <w:tr w:rsidR="00327FF1" w14:paraId="7125BB3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3C2E64" w14:textId="61C60670" w:rsidR="00327FF1" w:rsidRDefault="00E406C7">
            <w:pPr>
              <w:pStyle w:val="P68B1DB1-Normal11"/>
              <w:jc w:val="center"/>
              <w:rPr>
                <w:rFonts w:cs="Arial"/>
                <w:noProof/>
                <w:szCs w:val="20"/>
              </w:rPr>
            </w:pPr>
            <w:r>
              <w:rPr>
                <w:noProof/>
              </w:rPr>
              <w:t>M1C1–96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CC87D2"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8366CB"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B5BF9" w14:textId="7E3062D2" w:rsidR="00327FF1" w:rsidRDefault="00E406C7">
            <w:pPr>
              <w:pStyle w:val="P68B1DB1-Normal11"/>
              <w:jc w:val="center"/>
              <w:rPr>
                <w:rFonts w:cs="Arial"/>
                <w:noProof/>
                <w:szCs w:val="20"/>
              </w:rPr>
            </w:pPr>
            <w:r>
              <w:rPr>
                <w:noProof/>
              </w:rPr>
              <w:t>Vidējais laiks no piedāvājumu saņemšanas termiņa līdz līguma parakstīšanas dienai</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D464AE"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273F8D" w14:textId="45A56336" w:rsidR="00327FF1" w:rsidRDefault="00E406C7">
            <w:pPr>
              <w:pStyle w:val="P68B1DB1-Normal11"/>
              <w:jc w:val="center"/>
              <w:rPr>
                <w:rFonts w:cs="Arial"/>
                <w:noProof/>
                <w:szCs w:val="20"/>
              </w:rPr>
            </w:pPr>
            <w:r>
              <w:rPr>
                <w:noProof/>
              </w:rPr>
              <w:t xml:space="preserve">Procentuālais </w:t>
            </w:r>
            <w:r>
              <w:rPr>
                <w:noProof/>
              </w:rPr>
              <w:t>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BDE3FA" w14:textId="66C3C40A" w:rsidR="00327FF1" w:rsidRDefault="00E406C7">
            <w:pPr>
              <w:pStyle w:val="P68B1DB1-Normal11"/>
              <w:jc w:val="center"/>
              <w:rPr>
                <w:rFonts w:cs="Arial"/>
                <w:noProof/>
                <w:szCs w:val="20"/>
              </w:rPr>
            </w:pPr>
            <w:r>
              <w:rPr>
                <w:noProof/>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DFF344" w14:textId="3118E7FB" w:rsidR="00327FF1" w:rsidRDefault="00E406C7">
            <w:pPr>
              <w:pStyle w:val="P68B1DB1-Normal12"/>
              <w:jc w:val="center"/>
              <w:rPr>
                <w:rFonts w:cs="Arial"/>
                <w:noProof/>
              </w:rPr>
            </w:pPr>
            <w:r>
              <w:rPr>
                <w:noProof/>
              </w:rPr>
              <w:t>80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8464E1"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1EB1CD" w14:textId="77777777" w:rsidR="00327FF1" w:rsidRDefault="00E406C7">
            <w:pPr>
              <w:pStyle w:val="P68B1DB1-Normal12"/>
              <w:jc w:val="center"/>
              <w:rPr>
                <w:rFonts w:cs="Arial"/>
                <w:noProof/>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F13FB3" w14:textId="1A78FD6C" w:rsidR="00327FF1" w:rsidRDefault="00E406C7">
            <w:pPr>
              <w:pStyle w:val="P68B1DB1-Normal19"/>
              <w:spacing w:before="100" w:beforeAutospacing="1" w:after="120"/>
              <w:rPr>
                <w:rFonts w:ascii="Arial Narrow" w:hAnsi="Arial Narrow" w:cs="Arial"/>
                <w:noProof/>
              </w:rPr>
            </w:pPr>
            <w:r>
              <w:rPr>
                <w:rFonts w:ascii="Arial Narrow" w:hAnsi="Arial Narrow"/>
                <w:noProof/>
              </w:rPr>
              <w:t>Pamatojoties uz datiem, kas iegūti no ANAC Banca Dati Nazionale Contratti Pubblici kā IT valsts eSender un TED datubāzes, vidējais laiks starp piedāvājumu saņemšanas termiņu un līguma parakstīšanas datumu 12 mēnešu periodā, par</w:t>
            </w:r>
            <w:r>
              <w:rPr>
                <w:rFonts w:ascii="Arial Narrow" w:hAnsi="Arial Narrow"/>
                <w:noProof/>
              </w:rPr>
              <w:t xml:space="preserve"> atsauci ņemot līguma parakstīšanas datumu, kas sākas ne agrāk kā 2024. gada 1.</w:t>
            </w:r>
            <w:r>
              <w:rPr>
                <w:rFonts w:ascii="Arial Narrow" w:eastAsia="Arial Narrow" w:hAnsi="Arial Narrow" w:cs="Arial Narrow"/>
                <w:noProof/>
                <w:vertAlign w:val="superscript"/>
              </w:rPr>
              <w:t>septembrī</w:t>
            </w:r>
            <w:r>
              <w:rPr>
                <w:rFonts w:ascii="Arial Narrow" w:hAnsi="Arial Narrow"/>
                <w:noProof/>
              </w:rPr>
              <w:t>, tiek samazināts vismaz par 20 % salīdzinājumā ar 2018. gada lēmuma ātruma rādītāju, kas publicēts ES vienotā tirgus rezultātu apkopojumā attiecībā uz līgumiem, kuru v</w:t>
            </w:r>
            <w:r>
              <w:rPr>
                <w:rFonts w:ascii="Arial Narrow" w:hAnsi="Arial Narrow"/>
                <w:noProof/>
              </w:rPr>
              <w:t>ērtība pārsniedz ES publiskā iepirkuma direktīvās noteikto robežvērtību.</w:t>
            </w:r>
          </w:p>
        </w:tc>
      </w:tr>
      <w:tr w:rsidR="00327FF1" w14:paraId="248E972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8D5E97" w14:textId="77777777" w:rsidR="00327FF1" w:rsidRDefault="00E406C7">
            <w:pPr>
              <w:pStyle w:val="P68B1DB1-Normal11"/>
              <w:jc w:val="center"/>
              <w:rPr>
                <w:noProof/>
                <w:szCs w:val="20"/>
              </w:rPr>
            </w:pPr>
            <w:r>
              <w:rPr>
                <w:noProof/>
              </w:rPr>
              <w:t>M1C1–97ter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72A6AF" w14:textId="77777777" w:rsidR="00327FF1" w:rsidRDefault="00E406C7">
            <w:pPr>
              <w:pStyle w:val="P68B1DB1-Normal11"/>
              <w:jc w:val="center"/>
              <w:rPr>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7193FE" w14:textId="77777777" w:rsidR="00327FF1" w:rsidRDefault="00E406C7">
            <w:pPr>
              <w:pStyle w:val="P68B1DB1-Normal12"/>
              <w:jc w:val="center"/>
              <w:rPr>
                <w:noProof/>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473A09" w14:textId="5B280DA0" w:rsidR="00327FF1" w:rsidRDefault="00E406C7">
            <w:pPr>
              <w:pStyle w:val="P68B1DB1-Normal11"/>
              <w:jc w:val="center"/>
              <w:rPr>
                <w:noProof/>
                <w:szCs w:val="20"/>
              </w:rPr>
            </w:pPr>
            <w:r>
              <w:rPr>
                <w:noProof/>
              </w:rPr>
              <w:t>Pasākumi, kas saistīti ar izpildes ātrumu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8A3F0B" w14:textId="77777777" w:rsidR="00327FF1" w:rsidRDefault="00E406C7">
            <w:pPr>
              <w:pStyle w:val="P68B1DB1-Normal12"/>
              <w:jc w:val="center"/>
              <w:rPr>
                <w:noProof/>
              </w:rPr>
            </w:pPr>
            <w:r>
              <w:rPr>
                <w:noProof/>
              </w:rPr>
              <w:t>Ar izpildes ātrumu saistītu pasākumu pieņemšana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13F52" w14:textId="77777777" w:rsidR="00327FF1" w:rsidRDefault="00E406C7">
            <w:pPr>
              <w:pStyle w:val="P68B1DB1-Normal11"/>
              <w:jc w:val="center"/>
              <w:rPr>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6FAB7" w14:textId="77777777" w:rsidR="00327FF1" w:rsidRDefault="00E406C7">
            <w:pPr>
              <w:pStyle w:val="P68B1DB1-Normal11"/>
              <w:jc w:val="center"/>
              <w:rPr>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CD14B9" w14:textId="77777777" w:rsidR="00327FF1" w:rsidRDefault="00E406C7">
            <w:pPr>
              <w:pStyle w:val="P68B1DB1-Normal11"/>
              <w:jc w:val="center"/>
              <w:rPr>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A0D9AB" w14:textId="77777777" w:rsidR="00327FF1" w:rsidRDefault="00E406C7">
            <w:pPr>
              <w:pStyle w:val="P68B1DB1-Normal11"/>
              <w:jc w:val="center"/>
              <w:rPr>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CB5482" w14:textId="77777777" w:rsidR="00327FF1" w:rsidRDefault="00E406C7">
            <w:pPr>
              <w:pStyle w:val="P68B1DB1-Normal11"/>
              <w:jc w:val="center"/>
              <w:rPr>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75BB78" w14:textId="61CC5F0D" w:rsidR="00327FF1" w:rsidRDefault="00E406C7">
            <w:pPr>
              <w:pStyle w:val="P68B1DB1-ListParagraph13"/>
              <w:numPr>
                <w:ilvl w:val="0"/>
                <w:numId w:val="72"/>
              </w:numPr>
              <w:spacing w:before="100" w:beforeAutospacing="1" w:after="120" w:line="240" w:lineRule="auto"/>
              <w:ind w:left="245" w:hanging="284"/>
              <w:jc w:val="both"/>
              <w:rPr>
                <w:noProof/>
              </w:rPr>
            </w:pPr>
            <w:r>
              <w:rPr>
                <w:noProof/>
              </w:rPr>
              <w:t>Jaunu tehnisko noteikumu publicēšana Agenzia per l’Italia Digitale (AGID) tīmekļa vietnē, kas ļauj vākt informāciju publisko līgumu izpildes digitālai uzraudzībai.</w:t>
            </w:r>
          </w:p>
          <w:p w14:paraId="37A5C5EF" w14:textId="77777777" w:rsidR="00327FF1" w:rsidRDefault="00327FF1">
            <w:pPr>
              <w:pStyle w:val="ListParagraph"/>
              <w:spacing w:before="100" w:beforeAutospacing="1"/>
              <w:ind w:left="245"/>
              <w:rPr>
                <w:rFonts w:ascii="Arial Narrow" w:hAnsi="Arial Narrow"/>
                <w:noProof/>
                <w:color w:val="006100"/>
                <w:sz w:val="20"/>
                <w:szCs w:val="20"/>
              </w:rPr>
            </w:pPr>
          </w:p>
          <w:p w14:paraId="6DA72568" w14:textId="786759C0" w:rsidR="00327FF1" w:rsidRDefault="00E406C7">
            <w:pPr>
              <w:pStyle w:val="P68B1DB1-ListParagraph13"/>
              <w:numPr>
                <w:ilvl w:val="0"/>
                <w:numId w:val="72"/>
              </w:numPr>
              <w:spacing w:before="100" w:beforeAutospacing="1" w:after="120" w:line="240" w:lineRule="auto"/>
              <w:ind w:left="245" w:hanging="284"/>
              <w:jc w:val="both"/>
              <w:rPr>
                <w:noProof/>
              </w:rPr>
            </w:pPr>
            <w:r>
              <w:rPr>
                <w:noProof/>
              </w:rPr>
              <w:t>Saprašanās memoranda parakstīšana starp Ekonomi</w:t>
            </w:r>
            <w:r>
              <w:rPr>
                <w:noProof/>
              </w:rPr>
              <w:t>kas un finanšu ministriju un Autorità Nazionale Anticorruzione (ANAC), ar ko ievieš tehniskos noteikumus par datu, kas attiecas uz valsts finansēm un publisko būvdarbu maksājumiem, sadarbspēju ar ANAC datubāzi (Banca Dati Nazionale dei Contratti Pubblici).</w:t>
            </w:r>
          </w:p>
          <w:p w14:paraId="405300D7" w14:textId="77777777" w:rsidR="00327FF1" w:rsidRDefault="00327FF1">
            <w:pPr>
              <w:pStyle w:val="ListParagraph"/>
              <w:rPr>
                <w:rFonts w:ascii="Arial Narrow" w:hAnsi="Arial Narrow"/>
                <w:noProof/>
                <w:color w:val="006100"/>
                <w:sz w:val="20"/>
                <w:szCs w:val="20"/>
              </w:rPr>
            </w:pPr>
          </w:p>
          <w:p w14:paraId="4B540DE6" w14:textId="48BACB6D" w:rsidR="00327FF1" w:rsidRDefault="00E406C7">
            <w:pPr>
              <w:pStyle w:val="P68B1DB1-ListParagraph13"/>
              <w:numPr>
                <w:ilvl w:val="0"/>
                <w:numId w:val="72"/>
              </w:numPr>
              <w:spacing w:before="100" w:beforeAutospacing="1" w:after="120" w:line="240" w:lineRule="auto"/>
              <w:ind w:left="245" w:hanging="284"/>
              <w:jc w:val="both"/>
              <w:rPr>
                <w:noProof/>
              </w:rPr>
            </w:pPr>
            <w:r>
              <w:rPr>
                <w:noProof/>
              </w:rPr>
              <w:t xml:space="preserve">Stājas spēkā tiesību akti, kas ļauj līgumslēdzējām iestādēm paredzēt un izmantot ietaupījumus, kas izriet no līguma slēgšanas tiesību piešķiršanas zem pamatcenas, lai finansētu prēmijas par būvdarbu priekšlaicīgu pabeigšanu. </w:t>
            </w:r>
          </w:p>
          <w:p w14:paraId="72A60991" w14:textId="77777777" w:rsidR="00327FF1" w:rsidRDefault="00327FF1">
            <w:pPr>
              <w:pStyle w:val="ListParagraph"/>
              <w:rPr>
                <w:rFonts w:ascii="Arial Narrow" w:hAnsi="Arial Narrow"/>
                <w:noProof/>
                <w:color w:val="006100"/>
                <w:sz w:val="20"/>
                <w:szCs w:val="20"/>
              </w:rPr>
            </w:pPr>
          </w:p>
          <w:p w14:paraId="66C9F7C9" w14:textId="543A8913" w:rsidR="00327FF1" w:rsidRDefault="00E406C7">
            <w:pPr>
              <w:pStyle w:val="P68B1DB1-ListParagraph13"/>
              <w:numPr>
                <w:ilvl w:val="0"/>
                <w:numId w:val="72"/>
              </w:numPr>
              <w:spacing w:before="100" w:beforeAutospacing="1" w:after="120" w:line="240" w:lineRule="auto"/>
              <w:ind w:left="245" w:hanging="284"/>
              <w:jc w:val="both"/>
              <w:rPr>
                <w:noProof/>
              </w:rPr>
            </w:pPr>
            <w:r>
              <w:rPr>
                <w:noProof/>
              </w:rPr>
              <w:t xml:space="preserve">Infrastruktūras un </w:t>
            </w:r>
            <w:r>
              <w:rPr>
                <w:noProof/>
              </w:rPr>
              <w:t>transporta ministrijas (MIT) tīmekļa vietnē publicētas pamatnostādnes, ko pieņēmusi MIT pēc apspriešanās ar ANAC, par priekšlaicīgas pabeigšanas prēmiju klauzulām un par sadarbības nolīgumu satura paraugiem saskaņā ar Likumdošanas dekrēta 36/2023 (Publiskā</w:t>
            </w:r>
            <w:r>
              <w:rPr>
                <w:noProof/>
              </w:rPr>
              <w:t xml:space="preserve"> iepirkuma kodekss) 82.a pantu, lai saīsinātu darbu pabeigšanas laiku. </w:t>
            </w:r>
          </w:p>
          <w:p w14:paraId="6D33BA73" w14:textId="77777777" w:rsidR="00327FF1" w:rsidRDefault="00327FF1">
            <w:pPr>
              <w:pStyle w:val="ListParagraph"/>
              <w:rPr>
                <w:rFonts w:ascii="Arial Narrow" w:hAnsi="Arial Narrow"/>
                <w:noProof/>
                <w:color w:val="006100"/>
                <w:sz w:val="20"/>
                <w:szCs w:val="20"/>
              </w:rPr>
            </w:pPr>
          </w:p>
          <w:p w14:paraId="7484C536" w14:textId="64A970EC" w:rsidR="00327FF1" w:rsidRDefault="00E406C7">
            <w:pPr>
              <w:pStyle w:val="P68B1DB1-ListParagraph13"/>
              <w:numPr>
                <w:ilvl w:val="0"/>
                <w:numId w:val="72"/>
              </w:numPr>
              <w:spacing w:before="100" w:beforeAutospacing="1" w:after="120" w:line="240" w:lineRule="auto"/>
              <w:ind w:left="245" w:hanging="284"/>
              <w:jc w:val="both"/>
              <w:rPr>
                <w:noProof/>
              </w:rPr>
            </w:pPr>
            <w:r>
              <w:rPr>
                <w:noProof/>
              </w:rPr>
              <w:t>Vadlīniju publicēšana MIT tīmekļa vietnē, lai palīdzētu līgumslēdzējām iestādēm izmantot ēku informācijas modelēšanu (BIM) publiskiem būvdarbiem.</w:t>
            </w:r>
          </w:p>
        </w:tc>
      </w:tr>
      <w:tr w:rsidR="00327FF1" w14:paraId="2B12BC5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8F08F" w14:textId="77777777" w:rsidR="00327FF1" w:rsidRDefault="00E406C7">
            <w:pPr>
              <w:pStyle w:val="P68B1DB1-Normal11"/>
              <w:jc w:val="center"/>
              <w:rPr>
                <w:rFonts w:cs="Arial"/>
                <w:noProof/>
                <w:szCs w:val="20"/>
              </w:rPr>
            </w:pPr>
            <w:r>
              <w:rPr>
                <w:noProof/>
              </w:rPr>
              <w:t>M1C1–98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41656E" w14:textId="77777777" w:rsidR="00327FF1" w:rsidRDefault="00E406C7">
            <w:pPr>
              <w:pStyle w:val="P68B1DB1-Normal11"/>
              <w:jc w:val="center"/>
              <w:rPr>
                <w:rFonts w:cs="Arial"/>
                <w:noProof/>
                <w:szCs w:val="20"/>
              </w:rPr>
            </w:pPr>
            <w:r>
              <w:rPr>
                <w:noProof/>
              </w:rPr>
              <w:t xml:space="preserve">Reforma Nr. 1.10. Publiskā </w:t>
            </w:r>
            <w:r>
              <w:rPr>
                <w:noProof/>
              </w:rPr>
              <w:t>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D11BD"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FE6543" w14:textId="77777777" w:rsidR="00327FF1" w:rsidRDefault="00E406C7">
            <w:pPr>
              <w:pStyle w:val="P68B1DB1-Normal11"/>
              <w:jc w:val="center"/>
              <w:rPr>
                <w:rFonts w:cs="Arial"/>
                <w:noProof/>
                <w:szCs w:val="20"/>
              </w:rPr>
            </w:pPr>
            <w:r>
              <w:rPr>
                <w:noProof/>
              </w:rPr>
              <w:t>Ierēdņi, kas apmācīti, izmantojot publiskā iepirkuma profesionalizācijas stratēģiju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FA0DE"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B4349"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610ACE" w14:textId="77777777" w:rsidR="00327FF1" w:rsidRDefault="00E406C7">
            <w:pPr>
              <w:pStyle w:val="P68B1DB1-Normal11"/>
              <w:jc w:val="center"/>
              <w:rPr>
                <w:rFonts w:cs="Arial"/>
                <w:noProof/>
                <w:szCs w:val="20"/>
              </w:rPr>
            </w:pPr>
            <w:r>
              <w:rPr>
                <w:noProof/>
              </w:rPr>
              <w:t>20 000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E85F06" w14:textId="77777777" w:rsidR="00327FF1" w:rsidRDefault="00E406C7">
            <w:pPr>
              <w:pStyle w:val="P68B1DB1-Normal11"/>
              <w:jc w:val="center"/>
              <w:rPr>
                <w:rFonts w:cs="Arial"/>
                <w:noProof/>
                <w:szCs w:val="20"/>
              </w:rPr>
            </w:pPr>
            <w:r>
              <w:rPr>
                <w:noProof/>
              </w:rPr>
              <w:t>40 000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922904"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3C755E"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6F54BD" w14:textId="77777777" w:rsidR="00327FF1" w:rsidRDefault="00E406C7">
            <w:pPr>
              <w:pStyle w:val="P68B1DB1-Normal11"/>
              <w:spacing w:before="100" w:beforeAutospacing="1" w:after="120"/>
              <w:rPr>
                <w:rFonts w:cs="Arial"/>
                <w:noProof/>
                <w:szCs w:val="20"/>
              </w:rPr>
            </w:pPr>
            <w:r>
              <w:rPr>
                <w:noProof/>
              </w:rPr>
              <w:t xml:space="preserve">Vismaz 40000 ierēdņu ir apmācīti, izmantojot Publisko iepirkumu profesionalizācijas </w:t>
            </w:r>
            <w:r>
              <w:rPr>
                <w:noProof/>
              </w:rPr>
              <w:t>stratēģiju.</w:t>
            </w:r>
          </w:p>
        </w:tc>
      </w:tr>
      <w:tr w:rsidR="00327FF1" w14:paraId="37C3BA6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D01BBE" w14:textId="77777777" w:rsidR="00327FF1" w:rsidRDefault="00E406C7">
            <w:pPr>
              <w:pStyle w:val="P68B1DB1-Normal11"/>
              <w:jc w:val="center"/>
              <w:rPr>
                <w:rFonts w:cs="Arial"/>
                <w:noProof/>
                <w:szCs w:val="20"/>
              </w:rPr>
            </w:pPr>
            <w:r>
              <w:rPr>
                <w:noProof/>
              </w:rPr>
              <w:t>M1C1–98bis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4FC1A"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082E23"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DED380" w14:textId="77777777" w:rsidR="00327FF1" w:rsidRDefault="00E406C7">
            <w:pPr>
              <w:pStyle w:val="P68B1DB1-Normal11"/>
              <w:jc w:val="center"/>
              <w:rPr>
                <w:rFonts w:cs="Arial"/>
                <w:noProof/>
                <w:szCs w:val="20"/>
              </w:rPr>
            </w:pPr>
            <w:r>
              <w:rPr>
                <w:noProof/>
              </w:rPr>
              <w:t>Ierēdņi, kas apmācīti, izmantojot publiskā iepirkuma profesionalizācijas stratēģiju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64A6BA"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5CDD27"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9CE1C2" w14:textId="77777777" w:rsidR="00327FF1" w:rsidRDefault="00E406C7">
            <w:pPr>
              <w:pStyle w:val="P68B1DB1-Normal11"/>
              <w:jc w:val="center"/>
              <w:rPr>
                <w:rFonts w:cs="Arial"/>
                <w:noProof/>
                <w:szCs w:val="20"/>
              </w:rPr>
            </w:pPr>
            <w:r>
              <w:rPr>
                <w:noProof/>
              </w:rPr>
              <w:t>40 000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8D98FC" w14:textId="77777777" w:rsidR="00327FF1" w:rsidRDefault="00E406C7">
            <w:pPr>
              <w:pStyle w:val="P68B1DB1-Normal11"/>
              <w:jc w:val="center"/>
              <w:rPr>
                <w:rFonts w:cs="Arial"/>
                <w:noProof/>
                <w:szCs w:val="20"/>
              </w:rPr>
            </w:pPr>
            <w:r>
              <w:rPr>
                <w:noProof/>
              </w:rPr>
              <w:t>60 000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32B64A" w14:textId="77777777" w:rsidR="00327FF1" w:rsidRDefault="00E406C7">
            <w:pPr>
              <w:pStyle w:val="P68B1DB1-Normal12"/>
              <w:jc w:val="center"/>
              <w:rPr>
                <w:rFonts w:cs="Arial"/>
                <w:noProof/>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881E4F" w14:textId="77777777" w:rsidR="00327FF1" w:rsidRDefault="00E406C7">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FF85FA" w14:textId="77777777" w:rsidR="00327FF1" w:rsidRDefault="00E406C7">
            <w:pPr>
              <w:pStyle w:val="P68B1DB1-Normal12"/>
              <w:spacing w:before="100" w:beforeAutospacing="1" w:after="120"/>
              <w:rPr>
                <w:noProof/>
              </w:rPr>
            </w:pPr>
            <w:r>
              <w:rPr>
                <w:noProof/>
              </w:rPr>
              <w:t>Vismaz 60000 ierēdņu ir apmācīti,</w:t>
            </w:r>
            <w:r>
              <w:rPr>
                <w:noProof/>
              </w:rPr>
              <w:t xml:space="preserve"> izmantojot Publisko iepirkumu profesionalizācijas stratēģiju. Kopējais skaits var ietvert ierēdņus, kuri jau ir apmācīti iepriekšējos gados un par kuriem ir ziņots attiecībā uz M1C1–86 un M1C1–98 mērķiem, tikai tad, ja viņi ir ieguvuši augstāka līmeņa, sp</w:t>
            </w:r>
            <w:r>
              <w:rPr>
                <w:noProof/>
              </w:rPr>
              <w:t>ecializētu vai padziļinātu apmācību.</w:t>
            </w:r>
          </w:p>
        </w:tc>
      </w:tr>
      <w:tr w:rsidR="00327FF1" w14:paraId="214E74A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D23776" w14:textId="77777777" w:rsidR="00327FF1" w:rsidRDefault="00E406C7">
            <w:pPr>
              <w:pStyle w:val="P68B1DB1-Normal11"/>
              <w:jc w:val="center"/>
              <w:rPr>
                <w:rFonts w:cs="Arial"/>
                <w:noProof/>
                <w:szCs w:val="20"/>
              </w:rPr>
            </w:pPr>
            <w:r>
              <w:rPr>
                <w:noProof/>
              </w:rPr>
              <w:t>M1C1–99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A69F5B" w14:textId="77777777" w:rsidR="00327FF1" w:rsidRDefault="00E406C7">
            <w:pPr>
              <w:pStyle w:val="P68B1DB1-Normal11"/>
              <w:jc w:val="center"/>
              <w:rPr>
                <w:rFonts w:cs="Arial"/>
                <w:noProof/>
                <w:szCs w:val="20"/>
              </w:rPr>
            </w:pPr>
            <w:r>
              <w:rPr>
                <w:noProof/>
              </w:rPr>
              <w:t>Reforma Nr. 1.10. Publiskā iepirkuma tiesiskā regulējuma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3C38B5"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838A4" w14:textId="77777777" w:rsidR="00327FF1" w:rsidRDefault="00E406C7">
            <w:pPr>
              <w:pStyle w:val="P68B1DB1-Normal11"/>
              <w:jc w:val="center"/>
              <w:rPr>
                <w:rFonts w:cs="Arial"/>
                <w:noProof/>
                <w:szCs w:val="20"/>
              </w:rPr>
            </w:pPr>
            <w:r>
              <w:rPr>
                <w:noProof/>
              </w:rPr>
              <w:t>Līgumslēdzējas iestādes, kas izmanto dinamiskās iepirkumu sistēmas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81D0F5" w14:textId="77777777" w:rsidR="00327FF1" w:rsidRDefault="00E406C7">
            <w:pPr>
              <w:pStyle w:val="P68B1DB1-Normal11"/>
              <w:jc w:val="center"/>
              <w:rPr>
                <w:rFonts w:cs="Arial"/>
                <w:noProof/>
                <w:szCs w:val="20"/>
              </w:rPr>
            </w:pPr>
            <w:r>
              <w:rPr>
                <w:noProof/>
              </w:rPr>
              <w:t xml:space="preserve">To centrālās valdības līgumslēdzēju iestāžu procentuālā daļa, kuras </w:t>
            </w:r>
            <w:r>
              <w:rPr>
                <w:noProof/>
              </w:rPr>
              <w:t>izmanto dinamiskās iepirkumu sistēmas saskaņā ar ES Direktīvu 2014/24</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3A17A1"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A9400C" w14:textId="77777777" w:rsidR="00327FF1" w:rsidRDefault="00E406C7">
            <w:pPr>
              <w:pStyle w:val="P68B1DB1-Normal11"/>
              <w:jc w:val="center"/>
              <w:rPr>
                <w:rFonts w:cs="Arial"/>
                <w:noProof/>
                <w:szCs w:val="20"/>
              </w:rPr>
            </w:pPr>
            <w:r>
              <w:rPr>
                <w:noProof/>
              </w:rPr>
              <w:t>15</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0AEDEA" w14:textId="77777777" w:rsidR="00327FF1" w:rsidRDefault="00E406C7">
            <w:pPr>
              <w:pStyle w:val="P68B1DB1-Normal11"/>
              <w:jc w:val="center"/>
              <w:rPr>
                <w:rFonts w:cs="Arial"/>
                <w:noProof/>
                <w:szCs w:val="20"/>
              </w:rPr>
            </w:pPr>
            <w:r>
              <w:rPr>
                <w:noProof/>
              </w:rPr>
              <w:t>20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561708" w14:textId="77777777" w:rsidR="00327FF1" w:rsidRDefault="00E406C7">
            <w:pPr>
              <w:pStyle w:val="P68B1DB1-Normal11"/>
              <w:jc w:val="center"/>
              <w:rPr>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BE4C78"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888B22" w14:textId="77777777" w:rsidR="00327FF1" w:rsidRDefault="00E406C7">
            <w:pPr>
              <w:pStyle w:val="P68B1DB1-Normal12"/>
              <w:spacing w:before="100" w:beforeAutospacing="1" w:after="120"/>
              <w:rPr>
                <w:rFonts w:cs="Arial"/>
                <w:noProof/>
              </w:rPr>
            </w:pPr>
            <w:r>
              <w:rPr>
                <w:noProof/>
              </w:rPr>
              <w:t xml:space="preserve">Vismaz 20 % līgumslēdzēju iestāžu izmanto dinamiskās iepirkumu sistēmas saskaņā ar Direktīvu 2014/24 (novērošanas termiņš sākas 2022. gada 1. </w:t>
            </w:r>
            <w:r>
              <w:rPr>
                <w:noProof/>
              </w:rPr>
              <w:t>janvārī). Centrālās valdības līgumslēdzējas iestādes ir 250 publiskās pārvaldes iestādes (kā 2021. gada 30. aprīlī reģistrētas valsts e-iepirkumu sistēmā, ko MEF vārdā pārvalda Consip).</w:t>
            </w:r>
          </w:p>
        </w:tc>
      </w:tr>
      <w:tr w:rsidR="00327FF1" w14:paraId="151ADB6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43D0FD" w14:textId="77777777" w:rsidR="00327FF1" w:rsidRDefault="00E406C7">
            <w:pPr>
              <w:pStyle w:val="P68B1DB1-Normal11"/>
              <w:jc w:val="center"/>
              <w:rPr>
                <w:rFonts w:cs="Arial"/>
                <w:noProof/>
                <w:szCs w:val="20"/>
              </w:rPr>
            </w:pPr>
            <w:r>
              <w:rPr>
                <w:noProof/>
              </w:rPr>
              <w:t>M1C1–100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B53973" w14:textId="77777777" w:rsidR="00327FF1" w:rsidRDefault="00E406C7">
            <w:pPr>
              <w:pStyle w:val="P68B1DB1-Normal11"/>
              <w:jc w:val="center"/>
              <w:rPr>
                <w:rFonts w:cs="Arial"/>
                <w:noProof/>
                <w:szCs w:val="20"/>
              </w:rPr>
            </w:pPr>
            <w:r>
              <w:rPr>
                <w:noProof/>
              </w:rPr>
              <w:t>Reforma Nr. 1.13. Izdevumu pārskatīšanas sistēmas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69CBD1"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BCDF00" w14:textId="77777777" w:rsidR="00327FF1" w:rsidRDefault="00E406C7">
            <w:pPr>
              <w:pStyle w:val="P68B1DB1-Normal11"/>
              <w:jc w:val="center"/>
              <w:rPr>
                <w:rFonts w:cs="Arial"/>
                <w:noProof/>
                <w:szCs w:val="20"/>
              </w:rPr>
            </w:pPr>
            <w:r>
              <w:rPr>
                <w:noProof/>
              </w:rPr>
              <w:t>Tādu tiesību aktu stāšanās spēkā, ar kuriem uzlabo izdevumu pārskatīšanas efektivitāti — Finanšu ministrijas stiprināšana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C3E72F" w14:textId="77777777" w:rsidR="00327FF1" w:rsidRDefault="00E406C7">
            <w:pPr>
              <w:pStyle w:val="P68B1DB1-Normal12"/>
              <w:jc w:val="center"/>
              <w:rPr>
                <w:rFonts w:cs="Arial"/>
                <w:noProof/>
              </w:rPr>
            </w:pPr>
            <w:r>
              <w:rPr>
                <w:noProof/>
              </w:rPr>
              <w:t>Likuma norma, kas norāda uz likuma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88A3EE"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05C198"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E0BFC8"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2A3425"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1F5D23"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4DE8E" w14:textId="77777777" w:rsidR="00327FF1" w:rsidRDefault="00E406C7">
            <w:pPr>
              <w:pStyle w:val="P68B1DB1-Normal12"/>
              <w:spacing w:before="100" w:beforeAutospacing="1" w:after="120"/>
              <w:rPr>
                <w:rFonts w:cs="Arial"/>
                <w:noProof/>
              </w:rPr>
            </w:pPr>
            <w:r>
              <w:rPr>
                <w:noProof/>
              </w:rPr>
              <w:t xml:space="preserve">Pārskatītā sistēma </w:t>
            </w:r>
            <w:r>
              <w:rPr>
                <w:noProof/>
              </w:rPr>
              <w:t>izdevumu pārskatīšanai centrālajās valsts pārvaldēs (ministrijās) uzlabos tās efektivitāti, pastiprinot Ekonomikas un finanšu ministrijas lomu. Jo īpaši tā paredz pastiprinātu Ekonomikas un finanšu ministrijas lomu ex ante novērtēšanā, uzraudzības procesos</w:t>
            </w:r>
            <w:r>
              <w:rPr>
                <w:noProof/>
              </w:rPr>
              <w:t xml:space="preserve"> un ex post novērtēšanā, ļaujot pilnībā īstenot pārskatīšanu un sasniegt paredzētos mērķus.</w:t>
            </w:r>
          </w:p>
        </w:tc>
      </w:tr>
      <w:tr w:rsidR="00327FF1" w14:paraId="7DABC09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0EFBD" w14:textId="77777777" w:rsidR="00327FF1" w:rsidRDefault="00E406C7">
            <w:pPr>
              <w:pStyle w:val="P68B1DB1-Normal11"/>
              <w:jc w:val="center"/>
              <w:rPr>
                <w:rFonts w:cs="Arial"/>
                <w:noProof/>
                <w:szCs w:val="20"/>
              </w:rPr>
            </w:pPr>
            <w:r>
              <w:rPr>
                <w:noProof/>
              </w:rPr>
              <w:t>M1C1–101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DA0B44" w14:textId="77777777" w:rsidR="00327FF1" w:rsidRDefault="00E406C7">
            <w:pPr>
              <w:pStyle w:val="P68B1DB1-Normal11"/>
              <w:jc w:val="center"/>
              <w:rPr>
                <w:rFonts w:cs="Arial"/>
                <w:noProof/>
                <w:szCs w:val="20"/>
              </w:rPr>
            </w:pPr>
            <w:r>
              <w:rPr>
                <w:noProof/>
              </w:rPr>
              <w:t>Reforma Nr. 1.12:</w:t>
            </w:r>
          </w:p>
          <w:p w14:paraId="16EEEEDF" w14:textId="77777777" w:rsidR="00327FF1" w:rsidRDefault="00E406C7">
            <w:pPr>
              <w:pStyle w:val="P68B1DB1-Normal11"/>
              <w:jc w:val="center"/>
              <w:rPr>
                <w:rFonts w:cs="Arial"/>
                <w:noProof/>
                <w:szCs w:val="20"/>
              </w:rPr>
            </w:pPr>
            <w:r>
              <w:rPr>
                <w:noProof/>
              </w:rPr>
              <w:t>Nodokļu administrācijas reforma</w:t>
            </w:r>
          </w:p>
          <w:p w14:paraId="674E9935" w14:textId="77777777" w:rsidR="00327FF1" w:rsidRDefault="00327FF1">
            <w:pPr>
              <w:jc w:val="center"/>
              <w:rPr>
                <w:rFonts w:ascii="Arial Narrow" w:hAnsi="Arial Narrow" w:cs="Arial"/>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868EF"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BE7B21" w14:textId="77777777" w:rsidR="00327FF1" w:rsidRDefault="00E406C7">
            <w:pPr>
              <w:pStyle w:val="P68B1DB1-Normal12"/>
              <w:jc w:val="center"/>
              <w:rPr>
                <w:rFonts w:cs="Arial"/>
                <w:noProof/>
              </w:rPr>
            </w:pPr>
            <w:r>
              <w:rPr>
                <w:noProof/>
              </w:rPr>
              <w:t xml:space="preserve">Pārskatīšanas pieņemšana par iespējamiem pasākumiem, lai samazinātu izvairīšanos no </w:t>
            </w:r>
            <w:r>
              <w:rPr>
                <w:noProof/>
              </w:rPr>
              <w:t>nodokļu maksāšanas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8686D1" w14:textId="77777777" w:rsidR="00327FF1" w:rsidRDefault="00E406C7">
            <w:pPr>
              <w:pStyle w:val="P68B1DB1-Normal11"/>
              <w:jc w:val="center"/>
              <w:rPr>
                <w:rFonts w:cs="Arial"/>
                <w:noProof/>
                <w:szCs w:val="20"/>
              </w:rPr>
            </w:pPr>
            <w:r>
              <w:rPr>
                <w:noProof/>
              </w:rPr>
              <w:t>Pārskatīšanas publicēšana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EED3FF"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7AFD6"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31622F"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907CD1"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112C4C" w14:textId="77777777" w:rsidR="00327FF1" w:rsidRDefault="00E406C7">
            <w:pPr>
              <w:pStyle w:val="P68B1DB1-Normal11"/>
              <w:jc w:val="center"/>
              <w:rPr>
                <w:rFonts w:cs="Arial"/>
                <w:noProof/>
                <w:szCs w:val="20"/>
              </w:rPr>
            </w:pPr>
            <w:r>
              <w:rPr>
                <w:noProof/>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DD5FAA" w14:textId="77777777" w:rsidR="00327FF1" w:rsidRDefault="00E406C7">
            <w:pPr>
              <w:pStyle w:val="P68B1DB1-Normal11"/>
              <w:spacing w:before="100" w:beforeAutospacing="1" w:after="120"/>
              <w:rPr>
                <w:rFonts w:cs="Arial"/>
                <w:noProof/>
                <w:szCs w:val="20"/>
              </w:rPr>
            </w:pPr>
            <w:r>
              <w:rPr>
                <w:noProof/>
              </w:rPr>
              <w:t>Pieņemt ziņojumu, lai sniegtu informāciju valdības pasākumiem, kuru mērķis ir samazināt izvairīšanos no nodokļu maksāšanas, jo īpaši nozarēs, kuras visvairāk skar izvai</w:t>
            </w:r>
            <w:r>
              <w:rPr>
                <w:noProof/>
              </w:rPr>
              <w:t>rīšanās no nodokļu maksāšanas, tostarp izmantojot mērķtiecīgus stimulus patērētājiem.</w:t>
            </w:r>
          </w:p>
        </w:tc>
      </w:tr>
      <w:tr w:rsidR="00327FF1" w14:paraId="48FA3CE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076347" w14:textId="77777777" w:rsidR="00327FF1" w:rsidRDefault="00E406C7">
            <w:pPr>
              <w:pStyle w:val="P68B1DB1-Normal11"/>
              <w:jc w:val="center"/>
              <w:rPr>
                <w:rFonts w:cs="Arial"/>
                <w:noProof/>
                <w:szCs w:val="20"/>
              </w:rPr>
            </w:pPr>
            <w:r>
              <w:rPr>
                <w:noProof/>
              </w:rPr>
              <w:t>M1C1–102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786426" w14:textId="77777777" w:rsidR="00327FF1" w:rsidRDefault="00E406C7">
            <w:pPr>
              <w:pStyle w:val="P68B1DB1-Normal11"/>
              <w:jc w:val="center"/>
              <w:rPr>
                <w:rFonts w:cs="Arial"/>
                <w:noProof/>
                <w:szCs w:val="20"/>
              </w:rPr>
            </w:pPr>
            <w:r>
              <w:rPr>
                <w:noProof/>
              </w:rPr>
              <w:t>Reforma Nr. 1.13. Izdevumu pārskatīšanas sistēmas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A6D8FA"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DEBA20" w14:textId="77777777" w:rsidR="00327FF1" w:rsidRDefault="00E406C7">
            <w:pPr>
              <w:pStyle w:val="P68B1DB1-Normal11"/>
              <w:jc w:val="center"/>
              <w:rPr>
                <w:rFonts w:cs="Arial"/>
                <w:noProof/>
                <w:szCs w:val="20"/>
              </w:rPr>
            </w:pPr>
            <w:r>
              <w:rPr>
                <w:noProof/>
              </w:rPr>
              <w:t xml:space="preserve">Ziņojuma pieņemšana par to, cik efektīva ir prakse, ko izvēlētas publiskās pārvaldes </w:t>
            </w:r>
            <w:r>
              <w:rPr>
                <w:noProof/>
              </w:rPr>
              <w:t>iestādes izmanto uzkrājumu plānu formulēšanā un īstenošanā</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972627" w14:textId="77777777" w:rsidR="00327FF1" w:rsidRDefault="00E406C7">
            <w:pPr>
              <w:pStyle w:val="P68B1DB1-Normal11"/>
              <w:jc w:val="center"/>
              <w:rPr>
                <w:rFonts w:cs="Arial"/>
                <w:noProof/>
                <w:szCs w:val="20"/>
              </w:rPr>
            </w:pPr>
            <w:r>
              <w:rPr>
                <w:noProof/>
              </w:rPr>
              <w:t>Ziņojuma publicēšana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9F9FC7"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167A4"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B1C9F5"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9D8B82"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FDA2FD"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62968F" w14:textId="77777777" w:rsidR="00327FF1" w:rsidRDefault="00E406C7">
            <w:pPr>
              <w:pStyle w:val="P68B1DB1-Normal11"/>
              <w:spacing w:before="100" w:beforeAutospacing="1" w:after="120"/>
              <w:rPr>
                <w:rFonts w:cs="Arial"/>
                <w:noProof/>
                <w:szCs w:val="20"/>
              </w:rPr>
            </w:pPr>
            <w:r>
              <w:rPr>
                <w:noProof/>
              </w:rPr>
              <w:t>Ziņojumu sagatavo Finanšu ministrijas Grāmatvedības departaments sadarbībā ar atsevišķām pārvaldes iestādēm, lai:</w:t>
            </w:r>
          </w:p>
          <w:p w14:paraId="1636ACD7" w14:textId="77777777" w:rsidR="00327FF1" w:rsidRDefault="00E406C7">
            <w:pPr>
              <w:pStyle w:val="P68B1DB1-ListParagraph15"/>
              <w:numPr>
                <w:ilvl w:val="0"/>
                <w:numId w:val="22"/>
              </w:numPr>
              <w:spacing w:before="120" w:after="120" w:line="240" w:lineRule="auto"/>
              <w:ind w:left="324" w:hanging="283"/>
              <w:rPr>
                <w:rFonts w:cs="Arial"/>
                <w:noProof/>
                <w:szCs w:val="20"/>
              </w:rPr>
            </w:pPr>
            <w:r>
              <w:rPr>
                <w:noProof/>
              </w:rPr>
              <w:t xml:space="preserve">Novērtēt savu </w:t>
            </w:r>
            <w:r>
              <w:rPr>
                <w:noProof/>
              </w:rPr>
              <w:t>praksi uzkrājumu plānu izstrādē un īstenošanā.</w:t>
            </w:r>
          </w:p>
          <w:p w14:paraId="4A91731F" w14:textId="77777777" w:rsidR="00327FF1" w:rsidRDefault="00E406C7">
            <w:pPr>
              <w:pStyle w:val="P68B1DB1-ListParagraph15"/>
              <w:numPr>
                <w:ilvl w:val="0"/>
                <w:numId w:val="22"/>
              </w:numPr>
              <w:spacing w:before="120" w:after="120" w:line="240" w:lineRule="auto"/>
              <w:ind w:left="324" w:hanging="283"/>
              <w:rPr>
                <w:rFonts w:cs="Arial"/>
                <w:noProof/>
                <w:szCs w:val="20"/>
              </w:rPr>
            </w:pPr>
            <w:r>
              <w:rPr>
                <w:noProof/>
              </w:rPr>
              <w:t>Noteikt pamatnostādnes visām valsts pārvaldes iestādēm.</w:t>
            </w:r>
          </w:p>
        </w:tc>
      </w:tr>
      <w:tr w:rsidR="00327FF1" w14:paraId="04A2166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FE9506" w14:textId="77777777" w:rsidR="00327FF1" w:rsidRDefault="00E406C7">
            <w:pPr>
              <w:pStyle w:val="P68B1DB1-Normal11"/>
              <w:jc w:val="center"/>
              <w:rPr>
                <w:rFonts w:cs="Arial"/>
                <w:noProof/>
                <w:szCs w:val="20"/>
              </w:rPr>
            </w:pPr>
            <w:r>
              <w:rPr>
                <w:noProof/>
              </w:rPr>
              <w:t>M1C1–103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7E8BD" w14:textId="77777777" w:rsidR="00327FF1" w:rsidRDefault="00E406C7">
            <w:pPr>
              <w:pStyle w:val="P68B1DB1-Normal11"/>
              <w:jc w:val="center"/>
              <w:rPr>
                <w:rFonts w:cs="Arial"/>
                <w:noProof/>
                <w:szCs w:val="20"/>
              </w:rPr>
            </w:pPr>
            <w:r>
              <w:rPr>
                <w:noProof/>
              </w:rPr>
              <w:t>Reforma Nr. 1.12: Nodokļu administrācijas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98612B"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D48589" w14:textId="77777777" w:rsidR="00327FF1" w:rsidRDefault="00E406C7">
            <w:pPr>
              <w:pStyle w:val="P68B1DB1-Normal11"/>
              <w:jc w:val="center"/>
              <w:rPr>
                <w:rFonts w:cs="Arial"/>
                <w:noProof/>
                <w:szCs w:val="20"/>
              </w:rPr>
            </w:pPr>
            <w:r>
              <w:rPr>
                <w:noProof/>
              </w:rPr>
              <w:t>Primāro un sekundāro tiesību aktu un reglamentējošo noteikumu stāšanās spēkā</w:t>
            </w:r>
            <w:r>
              <w:rPr>
                <w:noProof/>
              </w:rPr>
              <w:t xml:space="preserve"> un administratīvo procesu pabeigšana, lai veicinātu nodokļu saistību izpildi un uzlabotu revīzijas un kontroles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3CD96" w14:textId="77777777" w:rsidR="00327FF1" w:rsidRDefault="00E406C7">
            <w:pPr>
              <w:pStyle w:val="P68B1DB1-Normal12"/>
              <w:jc w:val="center"/>
              <w:rPr>
                <w:rFonts w:cs="Arial"/>
                <w:noProof/>
              </w:rPr>
            </w:pPr>
            <w:r>
              <w:rPr>
                <w:noProof/>
              </w:rPr>
              <w:t>Normatīvo aktu noteikumi, kas norāda stāšanos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C2ADDD"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94BDDE"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44CB89"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41111A"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39CD1D"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7EB3FE" w14:textId="77777777" w:rsidR="00327FF1" w:rsidRDefault="00E406C7">
            <w:pPr>
              <w:pStyle w:val="P68B1DB1-Normal11"/>
              <w:spacing w:after="120"/>
              <w:rPr>
                <w:rFonts w:cs="Arial"/>
                <w:noProof/>
                <w:szCs w:val="20"/>
              </w:rPr>
            </w:pPr>
            <w:r>
              <w:rPr>
                <w:noProof/>
              </w:rPr>
              <w:t>Noteikumi ietver:</w:t>
            </w:r>
          </w:p>
          <w:p w14:paraId="1DCBE4AD" w14:textId="77777777" w:rsidR="00327FF1" w:rsidRDefault="00E406C7">
            <w:pPr>
              <w:pStyle w:val="P68B1DB1-Normal12"/>
              <w:spacing w:after="120"/>
              <w:rPr>
                <w:rFonts w:cs="Arial"/>
                <w:noProof/>
              </w:rPr>
            </w:pPr>
            <w:r>
              <w:rPr>
                <w:noProof/>
              </w:rPr>
              <w:t xml:space="preserve">pilnībā darboties datubāze un </w:t>
            </w:r>
            <w:r>
              <w:rPr>
                <w:noProof/>
              </w:rPr>
              <w:t>īpaša IT infrastruktūra iepriekš aizpildītas PVN deklarācijas izdošanai, kā paredzēts Likumdošanas dekrēta Nr. 127/2015 4. panta 1. punktā.</w:t>
            </w:r>
          </w:p>
          <w:p w14:paraId="32108CAD" w14:textId="77777777" w:rsidR="00327FF1" w:rsidRDefault="00E406C7">
            <w:pPr>
              <w:pStyle w:val="P68B1DB1-Normal11"/>
              <w:spacing w:after="120"/>
              <w:rPr>
                <w:rFonts w:cs="Arial"/>
                <w:noProof/>
                <w:szCs w:val="20"/>
              </w:rPr>
            </w:pPr>
            <w:r>
              <w:rPr>
                <w:noProof/>
              </w:rPr>
              <w:t>II) datubāze, ko izmanto “atbilstības vēstulēm” (kas sniedz agrīnus paziņojumus nodokļu maksātājiem, attiecībā uz ku</w:t>
            </w:r>
            <w:r>
              <w:rPr>
                <w:noProof/>
              </w:rPr>
              <w:t>riem ir konstatētas novirzes), ir uzlabota, lai samazinātu kļūdaini pozitīvu ziņojumu biežumu un palielinātu nodokļu maksātājiem nosūtīto paziņojumu skaitu.</w:t>
            </w:r>
          </w:p>
          <w:p w14:paraId="3FF19BCB" w14:textId="77777777" w:rsidR="00327FF1" w:rsidRDefault="00E406C7">
            <w:pPr>
              <w:pStyle w:val="P68B1DB1-Normal12"/>
              <w:spacing w:after="120"/>
              <w:rPr>
                <w:rFonts w:cs="Arial"/>
                <w:noProof/>
              </w:rPr>
            </w:pPr>
            <w:r>
              <w:rPr>
                <w:noProof/>
              </w:rPr>
              <w:t>III) reformēto tiesību aktu stāšanās spēkā, lai nodrošinātu efektīvas administratīvās sankcijas gad</w:t>
            </w:r>
            <w:r>
              <w:rPr>
                <w:noProof/>
              </w:rPr>
              <w:t>ījumos, kad privātie pakalpojumu sniedzēji atsakās pieņemt elektroniskos maksājumus (sākotnējais 23. pants Dekrētlikumā Nr. 124/2019, kas tika atcelts, to pārveidojot par likumu, ir atsauce).</w:t>
            </w:r>
          </w:p>
          <w:p w14:paraId="32F29782" w14:textId="77777777" w:rsidR="00327FF1" w:rsidRDefault="00E406C7">
            <w:pPr>
              <w:pStyle w:val="P68B1DB1-Normal11"/>
              <w:spacing w:after="120"/>
              <w:rPr>
                <w:rFonts w:cs="Arial"/>
                <w:noProof/>
                <w:szCs w:val="20"/>
              </w:rPr>
            </w:pPr>
            <w:r>
              <w:rPr>
                <w:noProof/>
              </w:rPr>
              <w:t>IV) Pabeigt datu pseidonimizācijas procesu, kas paredzēts Likuma</w:t>
            </w:r>
            <w:r>
              <w:rPr>
                <w:noProof/>
              </w:rPr>
              <w:t xml:space="preserve"> Nr. 160/2019 1. panta 681.–686. punktā, un izveidot digitālo infrastruktūru to lielo datu analīzei, kas iegūti, izmantojot pilnībā pseidonimizētu datubāzu sadarbspēju, lai palielinātu atlases procesa pamatā esošās riska analīzes efektivitāti.</w:t>
            </w:r>
          </w:p>
          <w:p w14:paraId="1FAB2B1F" w14:textId="77777777" w:rsidR="00327FF1" w:rsidRDefault="00E406C7">
            <w:pPr>
              <w:pStyle w:val="P68B1DB1-Normal12"/>
              <w:spacing w:after="120"/>
              <w:rPr>
                <w:rFonts w:cs="Arial"/>
                <w:noProof/>
              </w:rPr>
            </w:pPr>
            <w:r>
              <w:rPr>
                <w:noProof/>
              </w:rPr>
              <w:t>V) Stājas sp</w:t>
            </w:r>
            <w:r>
              <w:rPr>
                <w:noProof/>
              </w:rPr>
              <w:t>ēkā primārie un sekundārie tiesību akti, ar kuriem īsteno efektīvas papildu darbības, pamatojoties uz konstatējumiem, kas gūti, pārskatot iespējamos pasākumus, kuru mērķis ir samazināt izvairīšanos no nodokļu maksāšanas, ja netiek izrakstīti rēķini.</w:t>
            </w:r>
          </w:p>
        </w:tc>
      </w:tr>
      <w:tr w:rsidR="00327FF1" w14:paraId="4E03B82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418A70" w14:textId="77777777" w:rsidR="00327FF1" w:rsidRDefault="00E406C7">
            <w:pPr>
              <w:pStyle w:val="P68B1DB1-Normal11"/>
              <w:jc w:val="center"/>
              <w:rPr>
                <w:rFonts w:cs="Arial"/>
                <w:noProof/>
                <w:szCs w:val="20"/>
              </w:rPr>
            </w:pPr>
            <w:r>
              <w:rPr>
                <w:noProof/>
              </w:rPr>
              <w:t>M1C1–104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8C68D" w14:textId="77777777" w:rsidR="00327FF1" w:rsidRDefault="00E406C7">
            <w:pPr>
              <w:pStyle w:val="P68B1DB1-Normal11"/>
              <w:jc w:val="center"/>
              <w:rPr>
                <w:rFonts w:cs="Arial"/>
                <w:noProof/>
                <w:szCs w:val="20"/>
              </w:rPr>
            </w:pPr>
            <w:r>
              <w:rPr>
                <w:noProof/>
              </w:rPr>
              <w:t>Reforma Nr. 1.13. Izdevumu pārskatīšanas sistēmas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95DD39"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4B0EB" w14:textId="77777777" w:rsidR="00327FF1" w:rsidRDefault="00E406C7">
            <w:pPr>
              <w:pStyle w:val="P68B1DB1-Normal11"/>
              <w:jc w:val="center"/>
              <w:rPr>
                <w:rFonts w:cs="Arial"/>
                <w:noProof/>
                <w:szCs w:val="20"/>
              </w:rPr>
            </w:pPr>
            <w:r>
              <w:rPr>
                <w:noProof/>
              </w:rPr>
              <w:t>Ietaupījumu mērķrādītāju pieņemšana izdevumu pārskatīšanai 2023.–2025. gadam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13FFB7" w14:textId="77777777" w:rsidR="00327FF1" w:rsidRDefault="00E406C7">
            <w:pPr>
              <w:pStyle w:val="P68B1DB1-Normal11"/>
              <w:jc w:val="center"/>
              <w:rPr>
                <w:rFonts w:cs="Arial"/>
                <w:noProof/>
                <w:szCs w:val="20"/>
              </w:rPr>
            </w:pPr>
            <w:r>
              <w:rPr>
                <w:noProof/>
              </w:rPr>
              <w:t xml:space="preserve">Ekonomikas un finanšu dokumentā definēto centrālo valsts pārvaldes iestāžu kvantitatīvo </w:t>
            </w:r>
            <w:r>
              <w:rPr>
                <w:noProof/>
              </w:rPr>
              <w:t>ietaupījumu mērķis — euro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45C8E0"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381875"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0F2D99"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53267"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7B81F1"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34E35F" w14:textId="77777777" w:rsidR="00327FF1" w:rsidRDefault="00E406C7">
            <w:pPr>
              <w:pStyle w:val="P68B1DB1-Normal12"/>
              <w:spacing w:before="100" w:beforeAutospacing="1" w:after="120"/>
              <w:rPr>
                <w:rFonts w:cs="Arial"/>
                <w:noProof/>
              </w:rPr>
            </w:pPr>
            <w:r>
              <w:rPr>
                <w:noProof/>
              </w:rPr>
              <w:t>Pamatojoties uz 2016. gada dekrētlikumiem Nr. 90 un 93 un Likumu Nr. 163/2016, ekonomikas finanšu dokumentā ir noteikti mērķi gada izdevumu pārskatīšanai attiecībā uz centrālo valsts admi</w:t>
            </w:r>
            <w:r>
              <w:rPr>
                <w:noProof/>
              </w:rPr>
              <w:t>nistrāciju kopsummu 2023., 2024. un 2025. gadā. Ietaupījumu mērķi atspoguļo pienācīgu vērienīguma līmeni.</w:t>
            </w:r>
          </w:p>
        </w:tc>
      </w:tr>
      <w:tr w:rsidR="00327FF1" w14:paraId="646FA63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BBDDAB" w14:textId="77777777" w:rsidR="00327FF1" w:rsidRDefault="00E406C7">
            <w:pPr>
              <w:pStyle w:val="P68B1DB1-Normal11"/>
              <w:jc w:val="center"/>
              <w:rPr>
                <w:rFonts w:cs="Arial"/>
                <w:noProof/>
                <w:szCs w:val="20"/>
              </w:rPr>
            </w:pPr>
            <w:r>
              <w:rPr>
                <w:noProof/>
              </w:rPr>
              <w:t>M1C1–105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33E9D9" w14:textId="77777777" w:rsidR="00327FF1" w:rsidRDefault="00E406C7">
            <w:pPr>
              <w:pStyle w:val="P68B1DB1-Normal11"/>
              <w:jc w:val="center"/>
              <w:rPr>
                <w:rFonts w:cs="Arial"/>
                <w:noProof/>
                <w:szCs w:val="20"/>
              </w:rPr>
            </w:pPr>
            <w:r>
              <w:rPr>
                <w:noProof/>
              </w:rPr>
              <w:t>Reforma Nr. 1.12: Nodokļu administrācijas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9F0612"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B8AB04" w14:textId="77777777" w:rsidR="00327FF1" w:rsidRDefault="00E406C7">
            <w:pPr>
              <w:pStyle w:val="P68B1DB1-Normal11"/>
              <w:jc w:val="center"/>
              <w:rPr>
                <w:rFonts w:cs="Arial"/>
                <w:noProof/>
                <w:szCs w:val="20"/>
              </w:rPr>
            </w:pPr>
            <w:r>
              <w:rPr>
                <w:noProof/>
              </w:rPr>
              <w:t>Lielāks “atbilstības vēstuļu” skaits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85A76D"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74B472"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B6DED" w14:textId="77777777" w:rsidR="00327FF1" w:rsidRDefault="00E406C7">
            <w:pPr>
              <w:pStyle w:val="P68B1DB1-Normal11"/>
              <w:jc w:val="center"/>
              <w:rPr>
                <w:rFonts w:cs="Arial"/>
                <w:noProof/>
                <w:szCs w:val="20"/>
              </w:rPr>
            </w:pPr>
            <w:r>
              <w:rPr>
                <w:noProof/>
              </w:rPr>
              <w:t>2 150 908</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F50853" w14:textId="77777777" w:rsidR="00327FF1" w:rsidRDefault="00E406C7">
            <w:pPr>
              <w:pStyle w:val="P68B1DB1-Normal11"/>
              <w:jc w:val="center"/>
              <w:rPr>
                <w:rFonts w:cs="Arial"/>
                <w:noProof/>
                <w:szCs w:val="20"/>
              </w:rPr>
            </w:pPr>
            <w:r>
              <w:rPr>
                <w:noProof/>
              </w:rPr>
              <w:t>2 581 090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4D08DC"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5995F2"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DA3D55" w14:textId="77777777" w:rsidR="00327FF1" w:rsidRDefault="00E406C7">
            <w:pPr>
              <w:pStyle w:val="P68B1DB1-Normal12"/>
              <w:spacing w:before="100" w:beforeAutospacing="1" w:after="120"/>
              <w:rPr>
                <w:rFonts w:cs="Arial"/>
                <w:noProof/>
              </w:rPr>
            </w:pPr>
            <w:r>
              <w:rPr>
                <w:noProof/>
              </w:rPr>
              <w:t>To “atbilstības vēstuļu” skaitu, kas nodrošina agrīnu saziņu ar nodokļu maksātājiem, attiecībā uz kuriem ir konstatētas novirzes, palielina vismaz par 20 % salīdzinājumā ar 2019. gadu.</w:t>
            </w:r>
          </w:p>
        </w:tc>
      </w:tr>
      <w:tr w:rsidR="00327FF1" w14:paraId="58A4A947"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49737D" w14:textId="77777777" w:rsidR="00327FF1" w:rsidRDefault="00E406C7">
            <w:pPr>
              <w:pStyle w:val="P68B1DB1-Normal11"/>
              <w:jc w:val="center"/>
              <w:rPr>
                <w:rFonts w:cs="Arial"/>
                <w:noProof/>
                <w:szCs w:val="20"/>
              </w:rPr>
            </w:pPr>
            <w:r>
              <w:rPr>
                <w:noProof/>
              </w:rPr>
              <w:t>M1C1–106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E04984" w14:textId="77777777" w:rsidR="00327FF1" w:rsidRDefault="00E406C7">
            <w:pPr>
              <w:pStyle w:val="P68B1DB1-Normal11"/>
              <w:jc w:val="center"/>
              <w:rPr>
                <w:rFonts w:cs="Arial"/>
                <w:noProof/>
                <w:szCs w:val="20"/>
              </w:rPr>
            </w:pPr>
            <w:r>
              <w:rPr>
                <w:noProof/>
              </w:rPr>
              <w:t>Reforma Nr. 1.12: Nodokļu administrācijas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713540"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14D275" w14:textId="77777777" w:rsidR="00327FF1" w:rsidRDefault="00E406C7">
            <w:pPr>
              <w:pStyle w:val="P68B1DB1-Normal11"/>
              <w:jc w:val="center"/>
              <w:rPr>
                <w:rFonts w:cs="Arial"/>
                <w:noProof/>
                <w:szCs w:val="20"/>
              </w:rPr>
            </w:pPr>
            <w:r>
              <w:rPr>
                <w:noProof/>
              </w:rPr>
              <w:t>Kļūdaini pozitīvu “atbilstības vēstuļu” skaita samazināšana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DAB629"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8B0CB4"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305A5" w14:textId="77777777" w:rsidR="00327FF1" w:rsidRDefault="00E406C7">
            <w:pPr>
              <w:pStyle w:val="P68B1DB1-Normal11"/>
              <w:jc w:val="center"/>
              <w:rPr>
                <w:rFonts w:cs="Arial"/>
                <w:noProof/>
                <w:szCs w:val="20"/>
              </w:rPr>
            </w:pPr>
            <w:r>
              <w:rPr>
                <w:noProof/>
              </w:rPr>
              <w:t>126 500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AC63E1" w14:textId="77777777" w:rsidR="00327FF1" w:rsidRDefault="00E406C7">
            <w:pPr>
              <w:pStyle w:val="P68B1DB1-Normal11"/>
              <w:jc w:val="center"/>
              <w:rPr>
                <w:rFonts w:cs="Arial"/>
                <w:noProof/>
                <w:szCs w:val="20"/>
              </w:rPr>
            </w:pPr>
            <w:r>
              <w:rPr>
                <w:noProof/>
              </w:rPr>
              <w:t>132 825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809FE1"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25F5D"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9170E4" w14:textId="77777777" w:rsidR="00327FF1" w:rsidRDefault="00E406C7">
            <w:pPr>
              <w:pStyle w:val="P68B1DB1-Normal11"/>
              <w:spacing w:before="100" w:beforeAutospacing="1" w:after="120"/>
              <w:rPr>
                <w:rFonts w:cs="Arial"/>
                <w:noProof/>
                <w:szCs w:val="20"/>
              </w:rPr>
            </w:pPr>
            <w:r>
              <w:rPr>
                <w:noProof/>
              </w:rPr>
              <w:t>To kļūdaini pozitīvo “atbilstības vēstuļu” skaitu (kas sniedz agrīnu paziņojumu nodokļu maksātājiem, attiecībā uz kuriem ir atklātas novirzes, bet att</w:t>
            </w:r>
            <w:r>
              <w:rPr>
                <w:noProof/>
              </w:rPr>
              <w:t>iecībā uz kurām krāpšana nav atklāta ex post) samazina vismaz par 5 % salīdzinājumā ar 2019. gadu.</w:t>
            </w:r>
          </w:p>
        </w:tc>
      </w:tr>
      <w:tr w:rsidR="00327FF1" w14:paraId="5F6022A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FEE973" w14:textId="77777777" w:rsidR="00327FF1" w:rsidRDefault="00E406C7">
            <w:pPr>
              <w:pStyle w:val="P68B1DB1-Normal11"/>
              <w:jc w:val="center"/>
              <w:rPr>
                <w:rFonts w:cs="Arial"/>
                <w:noProof/>
                <w:szCs w:val="20"/>
              </w:rPr>
            </w:pPr>
            <w:r>
              <w:rPr>
                <w:noProof/>
              </w:rPr>
              <w:t>M1C1–107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EC6C2" w14:textId="77777777" w:rsidR="00327FF1" w:rsidRDefault="00E406C7">
            <w:pPr>
              <w:pStyle w:val="P68B1DB1-Normal11"/>
              <w:jc w:val="center"/>
              <w:rPr>
                <w:rFonts w:cs="Arial"/>
                <w:noProof/>
                <w:szCs w:val="20"/>
              </w:rPr>
            </w:pPr>
            <w:r>
              <w:rPr>
                <w:noProof/>
              </w:rPr>
              <w:t>Reforma Nr. 1.12: Nodokļu administrācijas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2BBC1F"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DCBB37" w14:textId="77777777" w:rsidR="00327FF1" w:rsidRDefault="00E406C7">
            <w:pPr>
              <w:pStyle w:val="P68B1DB1-Normal11"/>
              <w:jc w:val="center"/>
              <w:rPr>
                <w:rFonts w:cs="Arial"/>
                <w:noProof/>
                <w:szCs w:val="20"/>
              </w:rPr>
            </w:pPr>
            <w:r>
              <w:rPr>
                <w:noProof/>
              </w:rPr>
              <w:t>“Atbilstības vēstuļu” radīto nodokļu ieņēmumu pieaugums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071189"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388578" w14:textId="77777777" w:rsidR="00327FF1" w:rsidRDefault="00E406C7">
            <w:pPr>
              <w:pStyle w:val="P68B1DB1-Normal11"/>
              <w:jc w:val="center"/>
              <w:rPr>
                <w:rFonts w:cs="Arial"/>
                <w:noProof/>
                <w:szCs w:val="20"/>
              </w:rPr>
            </w:pPr>
            <w:r>
              <w:rPr>
                <w:noProof/>
              </w:rPr>
              <w:t>Euro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651820" w14:textId="77777777" w:rsidR="00327FF1" w:rsidRDefault="00E406C7">
            <w:pPr>
              <w:pStyle w:val="P68B1DB1-Normal11"/>
              <w:jc w:val="center"/>
              <w:rPr>
                <w:rFonts w:cs="Arial"/>
                <w:noProof/>
                <w:szCs w:val="20"/>
              </w:rPr>
            </w:pPr>
            <w:r>
              <w:rPr>
                <w:noProof/>
              </w:rPr>
              <w:t>2 130 000 000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5B3AB3" w14:textId="77777777" w:rsidR="00327FF1" w:rsidRDefault="00E406C7">
            <w:pPr>
              <w:pStyle w:val="P68B1DB1-Normal11"/>
              <w:jc w:val="center"/>
              <w:rPr>
                <w:rFonts w:cs="Arial"/>
                <w:noProof/>
                <w:szCs w:val="20"/>
              </w:rPr>
            </w:pPr>
            <w:r>
              <w:rPr>
                <w:noProof/>
              </w:rPr>
              <w:t>2 449 500 000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E7ABE9"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BADD0A" w14:textId="77777777" w:rsidR="00327FF1" w:rsidRDefault="00E406C7">
            <w:pPr>
              <w:pStyle w:val="P68B1DB1-Normal11"/>
              <w:jc w:val="center"/>
              <w:rPr>
                <w:rFonts w:cs="Arial"/>
                <w:noProof/>
                <w:szCs w:val="20"/>
              </w:rPr>
            </w:pPr>
            <w:r>
              <w:rPr>
                <w:noProof/>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EA8D7" w14:textId="77777777" w:rsidR="00327FF1" w:rsidRDefault="00E406C7">
            <w:pPr>
              <w:pStyle w:val="P68B1DB1-Normal11"/>
              <w:spacing w:before="100" w:beforeAutospacing="1" w:after="120"/>
              <w:rPr>
                <w:rFonts w:cs="Arial"/>
                <w:noProof/>
                <w:szCs w:val="20"/>
              </w:rPr>
            </w:pPr>
            <w:r>
              <w:rPr>
                <w:noProof/>
              </w:rPr>
              <w:t>Nodokļu ieņēmumi no “atbilstības vēstulēm” palielinās par 15 % salīdzinājumā ar 2019. gadu.</w:t>
            </w:r>
          </w:p>
        </w:tc>
      </w:tr>
      <w:tr w:rsidR="00327FF1" w14:paraId="40619C52"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1D9B97" w14:textId="77777777" w:rsidR="00327FF1" w:rsidRDefault="00E406C7">
            <w:pPr>
              <w:pStyle w:val="P68B1DB1-Normal11"/>
              <w:jc w:val="center"/>
              <w:rPr>
                <w:rFonts w:cs="Arial"/>
                <w:noProof/>
                <w:szCs w:val="20"/>
              </w:rPr>
            </w:pPr>
            <w:r>
              <w:rPr>
                <w:noProof/>
              </w:rPr>
              <w:t>M1C1–108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E69133" w14:textId="77777777" w:rsidR="00327FF1" w:rsidRDefault="00E406C7">
            <w:pPr>
              <w:pStyle w:val="P68B1DB1-Normal11"/>
              <w:jc w:val="center"/>
              <w:rPr>
                <w:rFonts w:cs="Arial"/>
                <w:noProof/>
                <w:szCs w:val="20"/>
              </w:rPr>
            </w:pPr>
            <w:r>
              <w:rPr>
                <w:noProof/>
              </w:rPr>
              <w:t>Reforma Nr. 1.15. Publiskās uzskaites noteikumu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5D24DA"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5B7213" w14:textId="77777777" w:rsidR="00327FF1" w:rsidRDefault="00E406C7">
            <w:pPr>
              <w:pStyle w:val="P68B1DB1-Normal11"/>
              <w:jc w:val="center"/>
              <w:rPr>
                <w:rFonts w:cs="Arial"/>
                <w:noProof/>
                <w:szCs w:val="20"/>
              </w:rPr>
            </w:pPr>
            <w:r>
              <w:rPr>
                <w:noProof/>
              </w:rPr>
              <w:t xml:space="preserve">Konceptuālās sistēmas, uzkrājumu grāmatvedības </w:t>
            </w:r>
            <w:r>
              <w:rPr>
                <w:noProof/>
              </w:rPr>
              <w:t>standartu kopuma un daudzdimensionālās kontu kartes apstiprināšana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40332" w14:textId="77777777" w:rsidR="00327FF1" w:rsidRDefault="00E406C7">
            <w:pPr>
              <w:pStyle w:val="P68B1DB1-Normal11"/>
              <w:jc w:val="center"/>
              <w:rPr>
                <w:rFonts w:cs="Arial"/>
                <w:noProof/>
                <w:szCs w:val="20"/>
              </w:rPr>
            </w:pPr>
            <w:r>
              <w:rPr>
                <w:noProof/>
              </w:rPr>
              <w:t>Finanšu ministrijas Grāmatvedības departamenta rezolūcija par Uzkrātās grāmatvedības pārvaldības struktūras apstiprināšanu</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6B512A"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158690"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D7EEAB"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EC0456"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6F5EF0"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70EDA" w14:textId="77777777" w:rsidR="00327FF1" w:rsidRDefault="00E406C7">
            <w:pPr>
              <w:spacing w:before="100" w:beforeAutospacing="1" w:after="120"/>
              <w:rPr>
                <w:noProof/>
              </w:rPr>
            </w:pPr>
            <w:r>
              <w:rPr>
                <w:rFonts w:ascii="Arial Narrow" w:hAnsi="Arial Narrow"/>
                <w:noProof/>
                <w:color w:val="006100"/>
                <w:sz w:val="20"/>
              </w:rPr>
              <w:t>Izstrādāt konceptuālu s</w:t>
            </w:r>
            <w:r>
              <w:rPr>
                <w:rFonts w:ascii="Arial Narrow" w:hAnsi="Arial Narrow"/>
                <w:noProof/>
                <w:color w:val="006100"/>
                <w:sz w:val="20"/>
              </w:rPr>
              <w:t>istēmu kā atsauci uzkrājumu grāmatvedības sistēmai saskaņā ar Eurostat (EPSAS darba grupas) definētajām kvalitatīvajām iezīmēm;</w:t>
            </w:r>
            <w:r>
              <w:rPr>
                <w:rFonts w:ascii="Arial Narrow" w:hAnsi="Arial Narrow"/>
                <w:noProof/>
                <w:sz w:val="20"/>
              </w:rPr>
              <w:t xml:space="preserve"> </w:t>
            </w:r>
            <w:r>
              <w:rPr>
                <w:noProof/>
              </w:rPr>
              <w:t xml:space="preserve"> </w:t>
            </w:r>
          </w:p>
          <w:p w14:paraId="2E9B0861" w14:textId="51F167B5" w:rsidR="00327FF1" w:rsidRDefault="00E406C7">
            <w:pPr>
              <w:pStyle w:val="P68B1DB1-Normal11"/>
              <w:spacing w:before="100" w:beforeAutospacing="1" w:after="120"/>
              <w:rPr>
                <w:noProof/>
              </w:rPr>
            </w:pPr>
            <w:r>
              <w:rPr>
                <w:noProof/>
              </w:rPr>
              <w:t xml:space="preserve">Uzkrājumu grāmatvedības standartu noteikšana, pamatojoties uz IPSAS; </w:t>
            </w:r>
          </w:p>
          <w:p w14:paraId="2F99F53B" w14:textId="3F3D52B7" w:rsidR="00327FF1" w:rsidRDefault="00E406C7">
            <w:pPr>
              <w:pStyle w:val="P68B1DB1-Normal11"/>
              <w:spacing w:before="100" w:beforeAutospacing="1" w:after="120"/>
              <w:rPr>
                <w:rFonts w:cs="Arial"/>
                <w:noProof/>
                <w:szCs w:val="20"/>
              </w:rPr>
            </w:pPr>
            <w:r>
              <w:rPr>
                <w:noProof/>
              </w:rPr>
              <w:t>Izstrādāt daudzdimensionālu un daudzpakāpju kontu plānu.</w:t>
            </w:r>
          </w:p>
        </w:tc>
      </w:tr>
      <w:tr w:rsidR="00327FF1" w14:paraId="6F6A1E1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B6BEFE" w14:textId="77777777" w:rsidR="00327FF1" w:rsidRDefault="00E406C7">
            <w:pPr>
              <w:pStyle w:val="P68B1DB1-Normal11"/>
              <w:jc w:val="center"/>
              <w:rPr>
                <w:rFonts w:cs="Arial"/>
                <w:noProof/>
                <w:szCs w:val="20"/>
              </w:rPr>
            </w:pPr>
            <w:r>
              <w:rPr>
                <w:noProof/>
              </w:rPr>
              <w:t>M1C1–109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CA01DF" w14:textId="77777777" w:rsidR="00327FF1" w:rsidRDefault="00E406C7">
            <w:pPr>
              <w:pStyle w:val="P68B1DB1-Normal11"/>
              <w:jc w:val="center"/>
              <w:rPr>
                <w:rFonts w:cs="Arial"/>
                <w:noProof/>
                <w:szCs w:val="20"/>
              </w:rPr>
            </w:pPr>
            <w:r>
              <w:rPr>
                <w:noProof/>
              </w:rPr>
              <w:t>Reforma Nr. 1.12: Nodokļu administrācijas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B69B8E"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7A84BB" w14:textId="77777777" w:rsidR="00327FF1" w:rsidRDefault="00E406C7">
            <w:pPr>
              <w:pStyle w:val="P68B1DB1-Normal11"/>
              <w:jc w:val="center"/>
              <w:rPr>
                <w:rFonts w:cs="Arial"/>
                <w:noProof/>
                <w:szCs w:val="20"/>
              </w:rPr>
            </w:pPr>
            <w:r>
              <w:rPr>
                <w:noProof/>
              </w:rPr>
              <w:t>Pirmo iepriekš aizpildīto PVN deklarāciju nosūtīšana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42D439"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D463D3"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067CAE" w14:textId="77777777" w:rsidR="00327FF1" w:rsidRDefault="00E406C7">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9EFAE" w14:textId="77777777" w:rsidR="00327FF1" w:rsidRDefault="00E406C7">
            <w:pPr>
              <w:pStyle w:val="P68B1DB1-Normal11"/>
              <w:jc w:val="center"/>
              <w:rPr>
                <w:rFonts w:cs="Arial"/>
                <w:noProof/>
                <w:szCs w:val="20"/>
              </w:rPr>
            </w:pPr>
            <w:r>
              <w:rPr>
                <w:noProof/>
              </w:rPr>
              <w:t>2 300 000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9CE990"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8FCD4"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C7F762" w14:textId="77777777" w:rsidR="00327FF1" w:rsidRDefault="00E406C7">
            <w:pPr>
              <w:pStyle w:val="P68B1DB1-Normal11"/>
              <w:spacing w:before="100" w:beforeAutospacing="1" w:after="120"/>
              <w:rPr>
                <w:rFonts w:cs="Arial"/>
                <w:noProof/>
                <w:szCs w:val="20"/>
              </w:rPr>
            </w:pPr>
            <w:r>
              <w:rPr>
                <w:noProof/>
              </w:rPr>
              <w:t>Vismaz 2300000 nodokļu maksātāju saņem iepriekš aizpildītas PVN nodokļa deklarācijas par 2022.</w:t>
            </w:r>
            <w:r>
              <w:rPr>
                <w:noProof/>
              </w:rPr>
              <w:t xml:space="preserve"> taksācijas gadu.</w:t>
            </w:r>
          </w:p>
        </w:tc>
      </w:tr>
      <w:tr w:rsidR="00327FF1" w14:paraId="7606A65B"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10B6F0" w14:textId="77777777" w:rsidR="00327FF1" w:rsidRDefault="00E406C7">
            <w:pPr>
              <w:pStyle w:val="P68B1DB1-Normal11"/>
              <w:jc w:val="center"/>
              <w:rPr>
                <w:rFonts w:cs="Arial"/>
                <w:noProof/>
                <w:szCs w:val="20"/>
              </w:rPr>
            </w:pPr>
            <w:r>
              <w:rPr>
                <w:noProof/>
              </w:rPr>
              <w:t>M1C1–110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4705A7" w14:textId="77777777" w:rsidR="00327FF1" w:rsidRDefault="00E406C7">
            <w:pPr>
              <w:pStyle w:val="P68B1DB1-Normal11"/>
              <w:jc w:val="center"/>
              <w:rPr>
                <w:rFonts w:cs="Arial"/>
                <w:noProof/>
                <w:szCs w:val="20"/>
              </w:rPr>
            </w:pPr>
            <w:r>
              <w:rPr>
                <w:noProof/>
              </w:rPr>
              <w:t>Reforma Nr. 1.13. Izdevumu pārskatīšanas sistēmas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B0CA29"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484F5A" w14:textId="77777777" w:rsidR="00327FF1" w:rsidRDefault="00E406C7">
            <w:pPr>
              <w:pStyle w:val="P68B1DB1-Normal11"/>
              <w:jc w:val="center"/>
              <w:rPr>
                <w:rFonts w:cs="Arial"/>
                <w:noProof/>
                <w:szCs w:val="20"/>
              </w:rPr>
            </w:pPr>
            <w:r>
              <w:rPr>
                <w:noProof/>
              </w:rPr>
              <w:t>Valsts vispārējā budžeta pārklasificēšana, atsaucoties uz vides izdevumiem un izdevumiem, kas veicina dzimumu līdztiesību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18FBF8" w14:textId="77777777" w:rsidR="00327FF1" w:rsidRDefault="00E406C7">
            <w:pPr>
              <w:pStyle w:val="P68B1DB1-Normal11"/>
              <w:jc w:val="center"/>
              <w:rPr>
                <w:rFonts w:cs="Arial"/>
                <w:noProof/>
                <w:szCs w:val="20"/>
              </w:rPr>
            </w:pPr>
            <w:r>
              <w:rPr>
                <w:noProof/>
              </w:rPr>
              <w:t xml:space="preserve">Valsts vispārējā budžeta </w:t>
            </w:r>
            <w:r>
              <w:rPr>
                <w:noProof/>
              </w:rPr>
              <w:t>pārklasificēšanas ar atsauci uz vides izdevumiem un izdevumiem, kas veicina dzimumu līdztiesību, iekļaušana 2024. gada budžeta likumā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8755D9"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F5504F"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169E71"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C95AA6"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A7670C"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2921E8" w14:textId="77777777" w:rsidR="00327FF1" w:rsidRDefault="00E406C7">
            <w:pPr>
              <w:pStyle w:val="P68B1DB1-Normal12"/>
              <w:spacing w:before="100" w:beforeAutospacing="1" w:after="120"/>
              <w:rPr>
                <w:rFonts w:cs="Arial"/>
                <w:noProof/>
              </w:rPr>
            </w:pPr>
            <w:r>
              <w:rPr>
                <w:noProof/>
              </w:rPr>
              <w:t>Likums par 2024. gada budžetu sniedz parlamentam ilgtspējīgas attīstības budžet</w:t>
            </w:r>
            <w:r>
              <w:rPr>
                <w:noProof/>
              </w:rPr>
              <w:t>u, ko veido vispārējā valsts budžeta klasifikācija, atsaucoties uz vides izdevumiem un izdevumiem, kas veicina dzimumu līdztiesību. Klasifikācija atbilst kritērijiem, kas ir ilgtspējīgas attīstības mērķu un Programmas 2030. gadam mērķrādītāju noteikšanas p</w:t>
            </w:r>
            <w:r>
              <w:rPr>
                <w:noProof/>
              </w:rPr>
              <w:t>amatā.</w:t>
            </w:r>
          </w:p>
        </w:tc>
      </w:tr>
      <w:tr w:rsidR="00327FF1" w14:paraId="7A24A7B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28F288" w14:textId="77777777" w:rsidR="00327FF1" w:rsidRDefault="00E406C7">
            <w:pPr>
              <w:pStyle w:val="P68B1DB1-Normal11"/>
              <w:jc w:val="center"/>
              <w:rPr>
                <w:rFonts w:cs="Arial"/>
                <w:noProof/>
                <w:szCs w:val="20"/>
              </w:rPr>
            </w:pPr>
            <w:r>
              <w:rPr>
                <w:noProof/>
              </w:rPr>
              <w:t>M1C1–111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D46D0" w14:textId="77777777" w:rsidR="00327FF1" w:rsidRDefault="00E406C7">
            <w:pPr>
              <w:pStyle w:val="P68B1DB1-Normal11"/>
              <w:jc w:val="center"/>
              <w:rPr>
                <w:rFonts w:cs="Arial"/>
                <w:noProof/>
                <w:szCs w:val="20"/>
              </w:rPr>
            </w:pPr>
            <w:r>
              <w:rPr>
                <w:noProof/>
              </w:rPr>
              <w:t>Reforma Nr. 1.13. Izdevumu pārskatīšanas sistēmas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C279B3"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C37D3A" w14:textId="77777777" w:rsidR="00327FF1" w:rsidRDefault="00E406C7">
            <w:pPr>
              <w:pStyle w:val="P68B1DB1-Normal11"/>
              <w:jc w:val="center"/>
              <w:rPr>
                <w:rFonts w:cs="Arial"/>
                <w:noProof/>
                <w:szCs w:val="20"/>
              </w:rPr>
            </w:pPr>
            <w:r>
              <w:rPr>
                <w:noProof/>
              </w:rPr>
              <w:t>2023. gada izdevumu ikgadējās pārskatīšanas pabeigšana, atsaucoties uz ietaupījumu mērķi, kas 2022. gadā noteikts 2023. gadam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A7F290" w14:textId="77777777" w:rsidR="00327FF1" w:rsidRDefault="00E406C7">
            <w:pPr>
              <w:pStyle w:val="P68B1DB1-Normal11"/>
              <w:jc w:val="center"/>
              <w:rPr>
                <w:rFonts w:cs="Arial"/>
                <w:noProof/>
                <w:szCs w:val="20"/>
              </w:rPr>
            </w:pPr>
            <w:r>
              <w:rPr>
                <w:noProof/>
              </w:rPr>
              <w:t xml:space="preserve">Pieņemts Finanšu ministrijas ziņojums </w:t>
            </w:r>
            <w:r>
              <w:rPr>
                <w:noProof/>
              </w:rPr>
              <w:t>par izdevumu pārskatīšanu 2023. gadā, kas apliecina procesa pabeigšanu un mērķrādītāja sasniegšanu.</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1145A4"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A9A1C9"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B06393"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E8EA27"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6B956F"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50B729" w14:textId="77777777" w:rsidR="00327FF1" w:rsidRDefault="00E406C7">
            <w:pPr>
              <w:pStyle w:val="P68B1DB1-Normal11"/>
              <w:spacing w:after="120"/>
              <w:rPr>
                <w:rFonts w:cs="Arial"/>
                <w:noProof/>
                <w:szCs w:val="20"/>
              </w:rPr>
            </w:pPr>
            <w:r>
              <w:rPr>
                <w:noProof/>
              </w:rPr>
              <w:t xml:space="preserve">Finanšu ministrijas ziņojumā, kas jānosūta Ministru padomei saskaņā ar 2016. gada dekrētlikumiem Nr. 90 un 93 un </w:t>
            </w:r>
            <w:r>
              <w:rPr>
                <w:noProof/>
              </w:rPr>
              <w:t>Likumu Nr. 163/2016:</w:t>
            </w:r>
          </w:p>
          <w:p w14:paraId="7C8F9933" w14:textId="77777777" w:rsidR="00327FF1" w:rsidRDefault="00E406C7">
            <w:pPr>
              <w:pStyle w:val="P68B1DB1-Normal11"/>
              <w:spacing w:after="120"/>
              <w:rPr>
                <w:rFonts w:cs="Arial"/>
                <w:noProof/>
                <w:szCs w:val="20"/>
              </w:rPr>
            </w:pPr>
            <w:r>
              <w:rPr>
                <w:noProof/>
              </w:rPr>
              <w:t>—sertificēt izdevumu pārskatīšanas procesa pabeigšanu 2023. gadam attiecībā uz noteikumu par izdevumu pārskatīšanas satvaru.</w:t>
            </w:r>
          </w:p>
          <w:p w14:paraId="2BF53CA7" w14:textId="77777777" w:rsidR="00327FF1" w:rsidRDefault="00E406C7">
            <w:pPr>
              <w:pStyle w:val="P68B1DB1-Normal11"/>
              <w:spacing w:after="120"/>
              <w:rPr>
                <w:rFonts w:cs="Arial"/>
                <w:noProof/>
                <w:szCs w:val="20"/>
              </w:rPr>
            </w:pPr>
            <w:r>
              <w:rPr>
                <w:noProof/>
              </w:rPr>
              <w:t>—sertificēt 2022. gadā noteiktā mērķrādītāja sasniegšanu.</w:t>
            </w:r>
          </w:p>
        </w:tc>
      </w:tr>
      <w:tr w:rsidR="00327FF1" w14:paraId="73B8CC4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42D12C" w14:textId="77777777" w:rsidR="00327FF1" w:rsidRDefault="00E406C7">
            <w:pPr>
              <w:pStyle w:val="P68B1DB1-Normal11"/>
              <w:jc w:val="center"/>
              <w:rPr>
                <w:rFonts w:cs="Arial"/>
                <w:noProof/>
                <w:szCs w:val="20"/>
              </w:rPr>
            </w:pPr>
            <w:r>
              <w:rPr>
                <w:noProof/>
              </w:rPr>
              <w:t>M1C1–112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F8017" w14:textId="77777777" w:rsidR="00327FF1" w:rsidRDefault="00E406C7">
            <w:pPr>
              <w:pStyle w:val="P68B1DB1-Normal11"/>
              <w:jc w:val="center"/>
              <w:rPr>
                <w:rFonts w:cs="Arial"/>
                <w:noProof/>
                <w:szCs w:val="20"/>
              </w:rPr>
            </w:pPr>
            <w:r>
              <w:rPr>
                <w:noProof/>
              </w:rPr>
              <w:t xml:space="preserve">Reforma Nr. 1.12: Nodokļu administrācijas </w:t>
            </w:r>
            <w:r>
              <w:rPr>
                <w:noProof/>
              </w:rPr>
              <w:t>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C1DCFA"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74EF1" w14:textId="77777777" w:rsidR="00327FF1" w:rsidRDefault="00E406C7">
            <w:pPr>
              <w:pStyle w:val="P68B1DB1-Normal12"/>
              <w:jc w:val="center"/>
              <w:rPr>
                <w:rFonts w:cs="Arial"/>
                <w:noProof/>
              </w:rPr>
            </w:pPr>
            <w:r>
              <w:rPr>
                <w:noProof/>
              </w:rPr>
              <w:t>Uzlabot nodokļu administrācijas darbības spējas saskaņā ar Ieņēmumu aģentūras “Darbības plāna 2021.–2023. gadam” darbā pieņemšanas mērķiem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AC5182"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BFDFE3" w14:textId="77777777" w:rsidR="00327FF1" w:rsidRDefault="00E406C7">
            <w:pPr>
              <w:pStyle w:val="P68B1DB1-Normal11"/>
              <w:jc w:val="center"/>
              <w:rPr>
                <w:rFonts w:cs="Arial"/>
                <w:noProof/>
                <w:szCs w:val="20"/>
              </w:rPr>
            </w:pPr>
            <w:r>
              <w:rPr>
                <w:noProof/>
              </w:rPr>
              <w:t>Darbā pieņemto darbinieku 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FCE474" w14:textId="77777777" w:rsidR="00327FF1" w:rsidRDefault="00E406C7">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D4F994" w14:textId="77777777" w:rsidR="00327FF1" w:rsidRDefault="00E406C7">
            <w:pPr>
              <w:pStyle w:val="P68B1DB1-Normal11"/>
              <w:jc w:val="center"/>
              <w:rPr>
                <w:rFonts w:cs="Arial"/>
                <w:noProof/>
                <w:szCs w:val="20"/>
              </w:rPr>
            </w:pPr>
            <w:r>
              <w:rPr>
                <w:noProof/>
              </w:rPr>
              <w:t>4 113</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776887"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1BAA4" w14:textId="77777777" w:rsidR="00327FF1" w:rsidRDefault="00E406C7">
            <w:pPr>
              <w:pStyle w:val="P68B1DB1-Normal11"/>
              <w:jc w:val="center"/>
              <w:rPr>
                <w:rFonts w:cs="Arial"/>
                <w:noProof/>
                <w:szCs w:val="20"/>
              </w:rPr>
            </w:pPr>
            <w:r>
              <w:rPr>
                <w:noProof/>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91F6E0" w14:textId="48489E32" w:rsidR="00327FF1" w:rsidRDefault="00E406C7">
            <w:pPr>
              <w:pStyle w:val="P68B1DB1-Normal12"/>
              <w:spacing w:before="100" w:beforeAutospacing="1" w:after="120"/>
              <w:rPr>
                <w:rFonts w:cs="Arial"/>
                <w:noProof/>
              </w:rPr>
            </w:pPr>
            <w:r>
              <w:rPr>
                <w:noProof/>
              </w:rPr>
              <w:t>Ieņēmumu aģentūra pieņem darbā 4113 jaunas personāla vienības saskaņā ar “Darbības plāna 2021.–2023. gadam” darbā pieņemšanas mērķiem.</w:t>
            </w:r>
          </w:p>
        </w:tc>
      </w:tr>
      <w:tr w:rsidR="00327FF1" w14:paraId="0AB57553"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81EF5A" w14:textId="77777777" w:rsidR="00327FF1" w:rsidRDefault="00E406C7">
            <w:pPr>
              <w:pStyle w:val="P68B1DB1-Normal11"/>
              <w:jc w:val="center"/>
              <w:rPr>
                <w:rFonts w:cs="Arial"/>
                <w:noProof/>
                <w:szCs w:val="20"/>
              </w:rPr>
            </w:pPr>
            <w:r>
              <w:rPr>
                <w:noProof/>
              </w:rPr>
              <w:t>M1C1–113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819A5" w14:textId="77777777" w:rsidR="00327FF1" w:rsidRDefault="00E406C7">
            <w:pPr>
              <w:pStyle w:val="P68B1DB1-Normal11"/>
              <w:jc w:val="center"/>
              <w:rPr>
                <w:rFonts w:cs="Arial"/>
                <w:noProof/>
                <w:szCs w:val="20"/>
              </w:rPr>
            </w:pPr>
            <w:r>
              <w:rPr>
                <w:noProof/>
              </w:rPr>
              <w:t>Reforma Nr. 1.12: Nodokļu administrācijas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8CD9DB"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8E9DC5" w14:textId="77777777" w:rsidR="00327FF1" w:rsidRDefault="00E406C7">
            <w:pPr>
              <w:pStyle w:val="P68B1DB1-Normal11"/>
              <w:jc w:val="center"/>
              <w:rPr>
                <w:rFonts w:cs="Arial"/>
                <w:noProof/>
                <w:szCs w:val="20"/>
              </w:rPr>
            </w:pPr>
            <w:r>
              <w:rPr>
                <w:noProof/>
              </w:rPr>
              <w:t>Lielāks “atbilstības vēstuļu” skaits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76809"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ED01A" w14:textId="77777777" w:rsidR="00327FF1" w:rsidRDefault="00E406C7">
            <w:pPr>
              <w:pStyle w:val="P68B1DB1-Normal11"/>
              <w:jc w:val="center"/>
              <w:rPr>
                <w:rFonts w:cs="Arial"/>
                <w:noProof/>
                <w:szCs w:val="20"/>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23D14" w14:textId="77777777" w:rsidR="00327FF1" w:rsidRDefault="00E406C7">
            <w:pPr>
              <w:pStyle w:val="P68B1DB1-Normal11"/>
              <w:jc w:val="center"/>
              <w:rPr>
                <w:rFonts w:cs="Arial"/>
                <w:noProof/>
                <w:szCs w:val="20"/>
              </w:rPr>
            </w:pPr>
            <w:r>
              <w:rPr>
                <w:noProof/>
              </w:rPr>
              <w:t>2 150 908</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5DF49F" w14:textId="77777777" w:rsidR="00327FF1" w:rsidRDefault="00E406C7">
            <w:pPr>
              <w:pStyle w:val="P68B1DB1-Normal11"/>
              <w:jc w:val="center"/>
              <w:rPr>
                <w:rFonts w:cs="Arial"/>
                <w:noProof/>
                <w:szCs w:val="20"/>
              </w:rPr>
            </w:pPr>
            <w:r>
              <w:rPr>
                <w:noProof/>
              </w:rPr>
              <w:t>3 011 271</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7E2EC2" w14:textId="77777777" w:rsidR="00327FF1" w:rsidRDefault="00E406C7">
            <w:pPr>
              <w:pStyle w:val="P68B1DB1-Normal11"/>
              <w:jc w:val="center"/>
              <w:rPr>
                <w:rFonts w:cs="Arial"/>
                <w:noProof/>
                <w:szCs w:val="20"/>
              </w:rPr>
            </w:pPr>
            <w:r>
              <w:rPr>
                <w:noProof/>
              </w:rPr>
              <w:t xml:space="preserve"> 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D4AEC1"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0F9A1" w14:textId="77777777" w:rsidR="00327FF1" w:rsidRDefault="00E406C7">
            <w:pPr>
              <w:pStyle w:val="P68B1DB1-Normal12"/>
              <w:spacing w:before="100" w:beforeAutospacing="1" w:after="120"/>
              <w:rPr>
                <w:rFonts w:cs="Arial"/>
                <w:noProof/>
              </w:rPr>
            </w:pPr>
            <w:r>
              <w:rPr>
                <w:noProof/>
              </w:rPr>
              <w:t>To “atbilstības vēstuļu” skaitu, kas nodrošina agrīnu saziņu ar nodokļu maksātājiem, attiecībā uz kuriem ir konstatētas novirzes, palielina vismaz par 40 % salīdzinājumā ar 2019. gadu.</w:t>
            </w:r>
          </w:p>
        </w:tc>
      </w:tr>
      <w:tr w:rsidR="00327FF1" w14:paraId="7E8BD4CF"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62B0D7" w14:textId="77777777" w:rsidR="00327FF1" w:rsidRDefault="00E406C7">
            <w:pPr>
              <w:pStyle w:val="P68B1DB1-Normal11"/>
              <w:jc w:val="center"/>
              <w:rPr>
                <w:rFonts w:cs="Arial"/>
                <w:noProof/>
                <w:szCs w:val="20"/>
              </w:rPr>
            </w:pPr>
            <w:r>
              <w:rPr>
                <w:noProof/>
              </w:rPr>
              <w:t>M1C1–114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271114" w14:textId="77777777" w:rsidR="00327FF1" w:rsidRDefault="00E406C7">
            <w:pPr>
              <w:pStyle w:val="P68B1DB1-Normal11"/>
              <w:jc w:val="center"/>
              <w:rPr>
                <w:rFonts w:cs="Arial"/>
                <w:noProof/>
                <w:szCs w:val="20"/>
              </w:rPr>
            </w:pPr>
            <w:r>
              <w:rPr>
                <w:noProof/>
              </w:rPr>
              <w:t xml:space="preserve">Reforma Nr. 1.12: Nodokļu </w:t>
            </w:r>
            <w:r>
              <w:rPr>
                <w:noProof/>
              </w:rPr>
              <w:t>administrācijas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C7188A"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052BAA" w14:textId="77777777" w:rsidR="00327FF1" w:rsidRDefault="00E406C7">
            <w:pPr>
              <w:pStyle w:val="P68B1DB1-Normal11"/>
              <w:jc w:val="center"/>
              <w:rPr>
                <w:rFonts w:cs="Arial"/>
                <w:noProof/>
                <w:szCs w:val="20"/>
              </w:rPr>
            </w:pPr>
            <w:r>
              <w:rPr>
                <w:noProof/>
              </w:rPr>
              <w:t>“Atbilstības vēstuļu” radīto nodokļu ieņēmumu pieaugums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69082E"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6B8402" w14:textId="77777777" w:rsidR="00327FF1" w:rsidRDefault="00E406C7">
            <w:pPr>
              <w:pStyle w:val="P68B1DB1-Normal11"/>
              <w:jc w:val="center"/>
              <w:rPr>
                <w:rFonts w:cs="Arial"/>
                <w:noProof/>
                <w:szCs w:val="20"/>
              </w:rPr>
            </w:pPr>
            <w:r>
              <w:rPr>
                <w:noProof/>
              </w:rPr>
              <w:t>Euro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B41C83" w14:textId="77777777" w:rsidR="00327FF1" w:rsidRDefault="00E406C7">
            <w:pPr>
              <w:pStyle w:val="P68B1DB1-Normal11"/>
              <w:jc w:val="center"/>
              <w:rPr>
                <w:rFonts w:cs="Arial"/>
                <w:noProof/>
                <w:szCs w:val="20"/>
              </w:rPr>
            </w:pPr>
            <w:r>
              <w:rPr>
                <w:noProof/>
              </w:rPr>
              <w:t>2 130 000 000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B6BAFD" w14:textId="77777777" w:rsidR="00327FF1" w:rsidRDefault="00E406C7">
            <w:pPr>
              <w:pStyle w:val="P68B1DB1-Normal11"/>
              <w:jc w:val="center"/>
              <w:rPr>
                <w:rFonts w:cs="Arial"/>
                <w:noProof/>
                <w:szCs w:val="20"/>
              </w:rPr>
            </w:pPr>
            <w:r>
              <w:rPr>
                <w:noProof/>
              </w:rPr>
              <w:t>2 769 000 000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3036E1" w14:textId="77777777" w:rsidR="00327FF1" w:rsidRDefault="00E406C7">
            <w:pPr>
              <w:pStyle w:val="P68B1DB1-Normal11"/>
              <w:jc w:val="center"/>
              <w:rPr>
                <w:rFonts w:cs="Arial"/>
                <w:noProof/>
                <w:szCs w:val="20"/>
              </w:rPr>
            </w:pPr>
            <w:r>
              <w:rPr>
                <w:noProof/>
              </w:rPr>
              <w:t xml:space="preserve"> 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B62DB5" w14:textId="77777777" w:rsidR="00327FF1" w:rsidRDefault="00E406C7">
            <w:pPr>
              <w:pStyle w:val="P68B1DB1-Normal11"/>
              <w:jc w:val="center"/>
              <w:rPr>
                <w:rFonts w:cs="Arial"/>
                <w:noProof/>
                <w:szCs w:val="20"/>
              </w:rPr>
            </w:pPr>
            <w:r>
              <w:rPr>
                <w:noProof/>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0435AC" w14:textId="77777777" w:rsidR="00327FF1" w:rsidRDefault="00E406C7">
            <w:pPr>
              <w:pStyle w:val="P68B1DB1-Normal11"/>
              <w:spacing w:before="100" w:beforeAutospacing="1" w:after="120"/>
              <w:rPr>
                <w:rFonts w:cs="Arial"/>
                <w:noProof/>
                <w:szCs w:val="20"/>
              </w:rPr>
            </w:pPr>
            <w:r>
              <w:rPr>
                <w:noProof/>
              </w:rPr>
              <w:t>Nodokļu ieņēmumi no “atbilstības vēstulēm” palielinās par 30 % salīdzinājumā ar 2019. gadu.</w:t>
            </w:r>
          </w:p>
        </w:tc>
      </w:tr>
      <w:tr w:rsidR="00327FF1" w14:paraId="0228E01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6FF46C" w14:textId="77777777" w:rsidR="00327FF1" w:rsidRDefault="00E406C7">
            <w:pPr>
              <w:pStyle w:val="P68B1DB1-Normal11"/>
              <w:jc w:val="center"/>
              <w:rPr>
                <w:rFonts w:cs="Arial"/>
                <w:noProof/>
                <w:szCs w:val="20"/>
              </w:rPr>
            </w:pPr>
            <w:r>
              <w:rPr>
                <w:noProof/>
              </w:rPr>
              <w:t>M1C1–115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00AA60" w14:textId="77777777" w:rsidR="00327FF1" w:rsidRDefault="00E406C7">
            <w:pPr>
              <w:pStyle w:val="P68B1DB1-Normal11"/>
              <w:jc w:val="center"/>
              <w:rPr>
                <w:rFonts w:cs="Arial"/>
                <w:noProof/>
                <w:szCs w:val="20"/>
              </w:rPr>
            </w:pPr>
            <w:r>
              <w:rPr>
                <w:noProof/>
              </w:rPr>
              <w:t>Reforma Nr.</w:t>
            </w:r>
            <w:r>
              <w:rPr>
                <w:noProof/>
              </w:rPr>
              <w:t xml:space="preserve"> 1.13. Izdevumu pārskatīšanas sistēmas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95083C"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6993BA" w14:textId="77777777" w:rsidR="00327FF1" w:rsidRDefault="00E406C7">
            <w:pPr>
              <w:pStyle w:val="P68B1DB1-Normal11"/>
              <w:jc w:val="center"/>
              <w:rPr>
                <w:rFonts w:cs="Arial"/>
                <w:noProof/>
                <w:szCs w:val="20"/>
              </w:rPr>
            </w:pPr>
            <w:r>
              <w:rPr>
                <w:noProof/>
              </w:rPr>
              <w:t>2024. gada izdevumu ikgadējās pārskatīšanas pabeigšana, atsaucoties uz ietaupījumu mērķi, kas noteikts 2022. un 2023. gadā 2024. gadam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552DAC" w14:textId="77777777" w:rsidR="00327FF1" w:rsidRDefault="00E406C7">
            <w:pPr>
              <w:pStyle w:val="P68B1DB1-Normal11"/>
              <w:jc w:val="center"/>
              <w:rPr>
                <w:rFonts w:cs="Arial"/>
                <w:noProof/>
                <w:szCs w:val="20"/>
              </w:rPr>
            </w:pPr>
            <w:r>
              <w:rPr>
                <w:noProof/>
              </w:rPr>
              <w:t>Finanšu ministrijas ziņojuma par izdevumu pārskatīšanu 2024. gadā pieņemšana, kas apliecina procesa pabeigšanu un mērķrādītāja sasniegšanu.</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C5F6EE"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EBAF7"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77598B"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B2EBBC"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0A54A7" w14:textId="77777777" w:rsidR="00327FF1" w:rsidRDefault="00E406C7">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5E5DD7" w14:textId="77777777" w:rsidR="00327FF1" w:rsidRDefault="00E406C7">
            <w:pPr>
              <w:pStyle w:val="P68B1DB1-Normal11"/>
              <w:spacing w:after="120"/>
              <w:rPr>
                <w:rFonts w:cs="Arial"/>
                <w:noProof/>
                <w:szCs w:val="20"/>
              </w:rPr>
            </w:pPr>
            <w:r>
              <w:rPr>
                <w:noProof/>
              </w:rPr>
              <w:t>Finanšu ministrijas ziņojumā, kas jānosūta Ministru padomei saskaņā ar 20</w:t>
            </w:r>
            <w:r>
              <w:rPr>
                <w:noProof/>
              </w:rPr>
              <w:t>16. gada dekrētlikumiem Nr. 90 un 93 un Likumu Nr. 163/2016:</w:t>
            </w:r>
          </w:p>
          <w:p w14:paraId="5142CC68" w14:textId="77777777" w:rsidR="00327FF1" w:rsidRDefault="00E406C7">
            <w:pPr>
              <w:pStyle w:val="P68B1DB1-Normal11"/>
              <w:spacing w:after="120"/>
              <w:rPr>
                <w:rFonts w:cs="Arial"/>
                <w:noProof/>
                <w:szCs w:val="20"/>
              </w:rPr>
            </w:pPr>
            <w:r>
              <w:rPr>
                <w:noProof/>
              </w:rPr>
              <w:t>— aplieciniet, ka izdevumu pārskatīšanas process 2024. gadam ir pabeigts attiecībā uz noteikumu par izdevumu pārskatīšanas satvaru.</w:t>
            </w:r>
          </w:p>
          <w:p w14:paraId="0AA8A0AE" w14:textId="77777777" w:rsidR="00327FF1" w:rsidRDefault="00E406C7">
            <w:pPr>
              <w:pStyle w:val="P68B1DB1-Normal11"/>
              <w:spacing w:after="120"/>
              <w:rPr>
                <w:rFonts w:cs="Arial"/>
                <w:noProof/>
                <w:szCs w:val="20"/>
              </w:rPr>
            </w:pPr>
            <w:r>
              <w:rPr>
                <w:noProof/>
              </w:rPr>
              <w:t>—apliecina 2022. un 2023. gadā noteiktā mērķrādītāja sasniegšan</w:t>
            </w:r>
            <w:r>
              <w:rPr>
                <w:noProof/>
              </w:rPr>
              <w:t>u.</w:t>
            </w:r>
          </w:p>
        </w:tc>
      </w:tr>
      <w:tr w:rsidR="00327FF1" w14:paraId="2A97CFE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9CAFD" w14:textId="77777777" w:rsidR="00327FF1" w:rsidRDefault="00E406C7">
            <w:pPr>
              <w:pStyle w:val="P68B1DB1-Normal11"/>
              <w:jc w:val="center"/>
              <w:rPr>
                <w:rFonts w:cs="Arial"/>
                <w:noProof/>
                <w:szCs w:val="20"/>
              </w:rPr>
            </w:pPr>
            <w:r>
              <w:rPr>
                <w:noProof/>
              </w:rPr>
              <w:t>M1C1–116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5D36AF" w14:textId="77777777" w:rsidR="00327FF1" w:rsidRDefault="00E406C7">
            <w:pPr>
              <w:pStyle w:val="P68B1DB1-Normal11"/>
              <w:jc w:val="center"/>
              <w:rPr>
                <w:rFonts w:cs="Arial"/>
                <w:noProof/>
                <w:szCs w:val="20"/>
              </w:rPr>
            </w:pPr>
            <w:r>
              <w:rPr>
                <w:noProof/>
              </w:rPr>
              <w:t>Reforma Nr. 1.12: Nodokļu administrācijas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7C233"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B1E436" w14:textId="77777777" w:rsidR="00327FF1" w:rsidRDefault="00E406C7">
            <w:pPr>
              <w:pStyle w:val="P68B1DB1-Normal11"/>
              <w:jc w:val="center"/>
              <w:rPr>
                <w:rFonts w:cs="Arial"/>
                <w:noProof/>
                <w:szCs w:val="20"/>
              </w:rPr>
            </w:pPr>
            <w:r>
              <w:rPr>
                <w:noProof/>
              </w:rPr>
              <w:t>Izvairīšanās no nodokļu maksāšanas samazināšana, kas definēta ar rādītāju “pietiekamība izvairīties”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8CC29C"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12B017" w14:textId="77777777" w:rsidR="00327FF1" w:rsidRDefault="00E406C7">
            <w:pPr>
              <w:pStyle w:val="P68B1DB1-Normal11"/>
              <w:jc w:val="center"/>
              <w:rPr>
                <w:rFonts w:cs="Arial"/>
                <w:noProof/>
                <w:szCs w:val="20"/>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FA3EE4" w14:textId="77777777" w:rsidR="00327FF1" w:rsidRDefault="00E406C7">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4B972E" w14:textId="77777777" w:rsidR="00327FF1" w:rsidRDefault="00E406C7">
            <w:pPr>
              <w:pStyle w:val="P68B1DB1-Normal12"/>
              <w:jc w:val="center"/>
              <w:rPr>
                <w:rFonts w:cs="Arial"/>
                <w:noProof/>
              </w:rPr>
            </w:pPr>
            <w:r>
              <w:rPr>
                <w:noProof/>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F39E31" w14:textId="77777777" w:rsidR="00327FF1" w:rsidRDefault="00E406C7">
            <w:pPr>
              <w:pStyle w:val="P68B1DB1-Normal11"/>
              <w:jc w:val="center"/>
              <w:rPr>
                <w:rFonts w:cs="Arial"/>
                <w:noProof/>
                <w:szCs w:val="20"/>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08BFE0" w14:textId="77777777" w:rsidR="00327FF1" w:rsidRDefault="00E406C7">
            <w:pPr>
              <w:pStyle w:val="P68B1DB1-Normal11"/>
              <w:jc w:val="center"/>
              <w:rPr>
                <w:rFonts w:cs="Arial"/>
                <w:noProof/>
                <w:szCs w:val="20"/>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B5DACE" w14:textId="20827FDD" w:rsidR="00327FF1" w:rsidRDefault="00E406C7">
            <w:pPr>
              <w:pStyle w:val="P68B1DB1-Normal12"/>
              <w:spacing w:before="100" w:beforeAutospacing="1" w:after="120"/>
              <w:rPr>
                <w:rFonts w:cs="Arial"/>
                <w:noProof/>
              </w:rPr>
            </w:pPr>
            <w:r>
              <w:rPr>
                <w:noProof/>
              </w:rPr>
              <w:t xml:space="preserve">Atjauninātajā valdības ziņojumā </w:t>
            </w:r>
            <w:r>
              <w:rPr>
                <w:noProof/>
              </w:rPr>
              <w:t>par ēnu ekonomiku, kas publicēts 2025. gadā saskaņā ar Likumdošanas dekrēta Nr. 160/2015 2. pantu, apliecina vidēji 10</w:t>
            </w:r>
            <w:bookmarkStart w:id="6" w:name="_Hlk212534320"/>
            <w:r>
              <w:rPr>
                <w:noProof/>
              </w:rPr>
              <w:t>%</w:t>
            </w:r>
            <w:bookmarkEnd w:id="6"/>
            <w:r>
              <w:rPr>
                <w:noProof/>
              </w:rPr>
              <w:t xml:space="preserve"> samazinājumu 2022.–2023. gadā attiecībā uz visiem nodokļiem, izņemot īpašuma nodokļus (“Imposta Municipale Unica”) un akcīzes nodokli, s</w:t>
            </w:r>
            <w:r>
              <w:rPr>
                <w:noProof/>
              </w:rPr>
              <w:t>alīdzinājumā ar 2019. gadu.</w:t>
            </w:r>
          </w:p>
        </w:tc>
      </w:tr>
      <w:tr w:rsidR="00327FF1" w14:paraId="4763B434"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08EB1" w14:textId="77777777" w:rsidR="00327FF1" w:rsidRDefault="00E406C7">
            <w:pPr>
              <w:pStyle w:val="P68B1DB1-Normal11"/>
              <w:jc w:val="center"/>
              <w:rPr>
                <w:rFonts w:cs="Arial"/>
                <w:noProof/>
                <w:szCs w:val="20"/>
              </w:rPr>
            </w:pPr>
            <w:r>
              <w:rPr>
                <w:noProof/>
              </w:rPr>
              <w:t>M1C1–117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EDCBE" w14:textId="77777777" w:rsidR="00327FF1" w:rsidRDefault="00E406C7">
            <w:pPr>
              <w:pStyle w:val="P68B1DB1-Normal11"/>
              <w:spacing w:line="276" w:lineRule="auto"/>
              <w:jc w:val="center"/>
              <w:rPr>
                <w:rFonts w:cs="Arial"/>
                <w:noProof/>
                <w:szCs w:val="20"/>
              </w:rPr>
            </w:pPr>
            <w:r>
              <w:rPr>
                <w:noProof/>
              </w:rPr>
              <w:t>Reforma Nr. 1.15.</w:t>
            </w:r>
          </w:p>
          <w:p w14:paraId="49A72097" w14:textId="77777777" w:rsidR="00327FF1" w:rsidRDefault="00E406C7">
            <w:pPr>
              <w:pStyle w:val="P68B1DB1-Normal11"/>
              <w:spacing w:line="276" w:lineRule="auto"/>
              <w:jc w:val="center"/>
              <w:rPr>
                <w:rFonts w:cs="Arial"/>
                <w:noProof/>
                <w:szCs w:val="20"/>
              </w:rPr>
            </w:pPr>
            <w:r>
              <w:rPr>
                <w:noProof/>
              </w:rPr>
              <w:t>Publiskās uzskaites noteikumu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A2A35" w14:textId="77777777" w:rsidR="00327FF1" w:rsidRDefault="00E406C7">
            <w:pPr>
              <w:pStyle w:val="P68B1DB1-Normal11"/>
              <w:jc w:val="center"/>
              <w:rPr>
                <w:rFonts w:cs="Arial"/>
                <w:noProof/>
                <w:szCs w:val="20"/>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51F591" w14:textId="77777777" w:rsidR="00327FF1" w:rsidRDefault="00E406C7">
            <w:pPr>
              <w:pStyle w:val="P68B1DB1-Normal11"/>
              <w:jc w:val="center"/>
              <w:rPr>
                <w:rFonts w:cs="Arial"/>
                <w:noProof/>
                <w:szCs w:val="20"/>
              </w:rPr>
            </w:pPr>
            <w:r>
              <w:rPr>
                <w:noProof/>
              </w:rPr>
              <w:t xml:space="preserve">Publisko struktūru pārstāvji, kas apmācīti </w:t>
            </w:r>
            <w:r>
              <w:rPr>
                <w:noProof/>
                <w:szCs w:val="20"/>
              </w:rPr>
              <w:t>par</w:t>
            </w:r>
            <w:r>
              <w:rPr>
                <w:noProof/>
              </w:rPr>
              <w:t xml:space="preserve"> jauno uzkrājumu grāmatvedības sistēmu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468BFF" w14:textId="77777777" w:rsidR="00327FF1" w:rsidRDefault="00E406C7">
            <w:pPr>
              <w:pStyle w:val="P68B1DB1-Normal11"/>
              <w:jc w:val="center"/>
              <w:rPr>
                <w:rFonts w:cs="Arial"/>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75AB0D" w14:textId="77777777" w:rsidR="00327FF1" w:rsidRDefault="00E406C7">
            <w:pPr>
              <w:pStyle w:val="P68B1DB1-Normal11"/>
              <w:jc w:val="center"/>
              <w:rPr>
                <w:rFonts w:cs="Arial"/>
                <w:noProof/>
                <w:szCs w:val="20"/>
              </w:rPr>
            </w:pPr>
            <w:r>
              <w:rPr>
                <w:noProof/>
              </w:rPr>
              <w:t xml:space="preserve">Procentuālais daudzums </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FDD66" w14:textId="77777777" w:rsidR="00327FF1" w:rsidRDefault="00E406C7">
            <w:pPr>
              <w:pStyle w:val="P68B1DB1-Normal11"/>
              <w:jc w:val="center"/>
              <w:rPr>
                <w:rFonts w:cs="Arial"/>
                <w:noProof/>
                <w:szCs w:val="20"/>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D7D6D" w14:textId="77777777" w:rsidR="00327FF1" w:rsidRDefault="00E406C7">
            <w:pPr>
              <w:pStyle w:val="P68B1DB1-Normal11"/>
              <w:jc w:val="center"/>
              <w:rPr>
                <w:rFonts w:cs="Arial"/>
                <w:noProof/>
                <w:szCs w:val="20"/>
              </w:rPr>
            </w:pPr>
            <w:r>
              <w:rPr>
                <w:noProof/>
              </w:rPr>
              <w:t>90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D1A3AD" w14:textId="77777777" w:rsidR="00327FF1" w:rsidRDefault="00E406C7">
            <w:pPr>
              <w:pStyle w:val="P68B1DB1-Normal11"/>
              <w:jc w:val="center"/>
              <w:rPr>
                <w:rFonts w:cs="Arial"/>
                <w:noProof/>
                <w:szCs w:val="20"/>
              </w:rPr>
            </w:pPr>
            <w:r>
              <w:rPr>
                <w:noProof/>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80FEF7"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C1F869" w14:textId="77777777" w:rsidR="00327FF1" w:rsidRDefault="00E406C7">
            <w:pPr>
              <w:pStyle w:val="P68B1DB1-Normal12"/>
              <w:rPr>
                <w:rFonts w:cs="Arial"/>
                <w:noProof/>
              </w:rPr>
            </w:pPr>
            <w:r>
              <w:rPr>
                <w:noProof/>
              </w:rPr>
              <w:t xml:space="preserve">Pamatojoties uz datiem </w:t>
            </w:r>
            <w:r>
              <w:rPr>
                <w:noProof/>
              </w:rPr>
              <w:t xml:space="preserve">no centrālās digitālās platformas apmācībai par jauno grāmatvedības sistēmu, pirmo apmācības kārtu par jauno uzkrājumu grāmatvedības sistēmu pabeidz publiskā sektora struktūru pārstāvji, aptverot vismaz 90 % no visa publiskā sektora primārajiem izdevumiem </w:t>
            </w:r>
            <w:r>
              <w:rPr>
                <w:noProof/>
              </w:rPr>
              <w:t>(atskaitot valstij piederošos uzņēmumus).</w:t>
            </w:r>
          </w:p>
        </w:tc>
      </w:tr>
      <w:tr w:rsidR="00327FF1" w14:paraId="1E96DCB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05037C" w14:textId="77777777" w:rsidR="00327FF1" w:rsidRDefault="00E406C7">
            <w:pPr>
              <w:pStyle w:val="P68B1DB1-Normal12"/>
              <w:jc w:val="center"/>
              <w:rPr>
                <w:rFonts w:cs="Arial"/>
                <w:noProof/>
              </w:rPr>
            </w:pPr>
            <w:r>
              <w:rPr>
                <w:noProof/>
              </w:rPr>
              <w:t>M1C1–118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6388A8" w14:textId="77777777" w:rsidR="00327FF1" w:rsidRDefault="00E406C7">
            <w:pPr>
              <w:pStyle w:val="P68B1DB1-Normal11"/>
              <w:spacing w:line="276" w:lineRule="auto"/>
              <w:jc w:val="center"/>
              <w:rPr>
                <w:rFonts w:cs="Arial"/>
                <w:noProof/>
                <w:szCs w:val="20"/>
              </w:rPr>
            </w:pPr>
            <w:bookmarkStart w:id="7" w:name="_Hlk160472732"/>
            <w:r>
              <w:rPr>
                <w:noProof/>
              </w:rPr>
              <w:t>Reforma Nr. 1.15.</w:t>
            </w:r>
          </w:p>
          <w:p w14:paraId="637E825A" w14:textId="77777777" w:rsidR="00327FF1" w:rsidRDefault="00E406C7">
            <w:pPr>
              <w:pStyle w:val="P68B1DB1-Normal11"/>
              <w:spacing w:line="276" w:lineRule="auto"/>
              <w:jc w:val="center"/>
              <w:rPr>
                <w:rFonts w:cs="Arial"/>
                <w:noProof/>
                <w:szCs w:val="20"/>
              </w:rPr>
            </w:pPr>
            <w:r>
              <w:rPr>
                <w:noProof/>
              </w:rPr>
              <w:t>Publiskās uzskaites noteikumu reforma</w:t>
            </w:r>
            <w:bookmarkEnd w:id="7"/>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5B9123"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DBA868" w14:textId="77777777" w:rsidR="00327FF1" w:rsidRDefault="00E406C7">
            <w:pPr>
              <w:pStyle w:val="P68B1DB1-Normal12"/>
              <w:jc w:val="center"/>
              <w:rPr>
                <w:rFonts w:cs="Arial"/>
                <w:noProof/>
              </w:rPr>
            </w:pPr>
            <w:r>
              <w:rPr>
                <w:noProof/>
              </w:rPr>
              <w:t xml:space="preserve">Finanšu pārskatu izdošana un tiesību akta par uzkrājumu grāmatvedības reformu stāšanās spēkā publiskā sektora struktūrām, kas sedz </w:t>
            </w:r>
            <w:r>
              <w:rPr>
                <w:noProof/>
              </w:rPr>
              <w:t xml:space="preserve">vismaz 90 % no visa publiskā sektora primārajiem izdevumiem, atskaitot valstij piederošos uzņēmumus. </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D87C91" w14:textId="77777777" w:rsidR="00327FF1" w:rsidRDefault="00E406C7">
            <w:pPr>
              <w:pStyle w:val="P68B1DB1-Normal12"/>
              <w:jc w:val="center"/>
              <w:rPr>
                <w:rFonts w:cs="Arial"/>
                <w:noProof/>
              </w:rPr>
            </w:pPr>
            <w:r>
              <w:rPr>
                <w:noProof/>
              </w:rPr>
              <w:t xml:space="preserve">Tiesību akta noteikums, kas norāda uz leģislatīvā akta stāšanos spēkā.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2F97E6"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E3287F"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957717"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0676DC" w14:textId="77777777" w:rsidR="00327FF1" w:rsidRDefault="00E406C7">
            <w:pPr>
              <w:pStyle w:val="P68B1DB1-Normal11"/>
              <w:jc w:val="center"/>
              <w:rPr>
                <w:rFonts w:cs="Arial"/>
                <w:noProof/>
                <w:szCs w:val="20"/>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0AB707"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1C70F7" w14:textId="77777777" w:rsidR="00327FF1" w:rsidRDefault="00E406C7">
            <w:pPr>
              <w:pStyle w:val="P68B1DB1-Normal12"/>
              <w:spacing w:after="120"/>
              <w:rPr>
                <w:rFonts w:cs="Arial"/>
                <w:noProof/>
              </w:rPr>
            </w:pPr>
            <w:r>
              <w:rPr>
                <w:noProof/>
              </w:rPr>
              <w:t>Kā izmēģinājuma posmu tiesību aktam par</w:t>
            </w:r>
            <w:r>
              <w:rPr>
                <w:noProof/>
              </w:rPr>
              <w:t xml:space="preserve"> publiskās grāmatvedības noteikumiem sagatavo valsts pārvaldes finanšu pārskatus publiskā sektora struktūrām, kas sedz vismaz 90 % no visa publiskā sektora primārajiem izdevumiem, atskaitot valstij piederošos uzņēmumus.</w:t>
            </w:r>
          </w:p>
          <w:p w14:paraId="6026A35F" w14:textId="77777777" w:rsidR="00327FF1" w:rsidRDefault="00E406C7">
            <w:pPr>
              <w:spacing w:after="120"/>
              <w:rPr>
                <w:rFonts w:ascii="Arial Narrow" w:hAnsi="Arial Narrow" w:cs="Arial"/>
                <w:noProof/>
                <w:color w:val="006100"/>
                <w:sz w:val="20"/>
                <w:szCs w:val="20"/>
              </w:rPr>
            </w:pPr>
            <w:r>
              <w:rPr>
                <w:rFonts w:ascii="Arial Narrow" w:hAnsi="Arial Narrow"/>
                <w:noProof/>
                <w:color w:val="006100"/>
                <w:sz w:val="20"/>
                <w:szCs w:val="20"/>
              </w:rPr>
              <w:t>Turklāt stājas spēkā tiesību akts, a</w:t>
            </w:r>
            <w:r>
              <w:rPr>
                <w:rFonts w:ascii="Arial Narrow" w:hAnsi="Arial Narrow"/>
                <w:noProof/>
                <w:color w:val="006100"/>
                <w:sz w:val="20"/>
                <w:szCs w:val="20"/>
              </w:rPr>
              <w:t>r ko nosaka ceļvedi jaunās uzkrājumu grāmatvedības sistēmas pakāpeniskai ieviešanai. Ceļvedī paredz, ka līdz 2030. gadam (finanšu gadam) ir jāievieš jauna uzkrājumu grāmatvedības sistēma publiskā sektora struktūrām, kas sedz vismaz 90 % no visa publiskā se</w:t>
            </w:r>
            <w:r>
              <w:rPr>
                <w:rFonts w:ascii="Arial Narrow" w:hAnsi="Arial Narrow"/>
                <w:noProof/>
                <w:color w:val="006100"/>
                <w:sz w:val="20"/>
                <w:szCs w:val="20"/>
              </w:rPr>
              <w:t>ktora primārajiem izdevumiem, atskaitot valstij piederošos uzņēmumus.</w:t>
            </w:r>
            <w:r>
              <w:rPr>
                <w:noProof/>
              </w:rPr>
              <w:br/>
            </w:r>
            <w:r>
              <w:rPr>
                <w:rFonts w:ascii="Arial Narrow" w:hAnsi="Arial Narrow"/>
                <w:noProof/>
                <w:color w:val="006100"/>
                <w:sz w:val="20"/>
                <w:szCs w:val="20"/>
              </w:rPr>
              <w:t>Tiesību aktā paredz arī mācību programmu organizēšanu pārejai uz jauno uzkrājumu grāmatvedības sistēmu.</w:t>
            </w:r>
          </w:p>
          <w:p w14:paraId="45566614" w14:textId="77FB1438" w:rsidR="00327FF1" w:rsidRDefault="00E406C7">
            <w:pPr>
              <w:pStyle w:val="P68B1DB1-Normal12"/>
              <w:spacing w:after="120"/>
              <w:rPr>
                <w:rFonts w:cs="Arial"/>
                <w:noProof/>
              </w:rPr>
            </w:pPr>
            <w:r>
              <w:rPr>
                <w:noProof/>
              </w:rPr>
              <w:t xml:space="preserve">Turklāt norādījumus par katra grāmatvedības standarta piemērošanu publicē </w:t>
            </w:r>
            <w:r>
              <w:rPr>
                <w:noProof/>
              </w:rPr>
              <w:t>Ekonomikas un finanšu ministrijas tīmekļa vietnē.</w:t>
            </w:r>
          </w:p>
        </w:tc>
      </w:tr>
      <w:tr w:rsidR="00327FF1" w14:paraId="2BD4661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9D3A76" w14:textId="77777777" w:rsidR="00327FF1" w:rsidRDefault="00E406C7">
            <w:pPr>
              <w:pStyle w:val="P68B1DB1-Normal11"/>
              <w:jc w:val="center"/>
              <w:rPr>
                <w:rFonts w:cs="Arial"/>
                <w:noProof/>
                <w:szCs w:val="20"/>
              </w:rPr>
            </w:pPr>
            <w:r>
              <w:rPr>
                <w:noProof/>
              </w:rPr>
              <w:t>M1C1–119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D87145" w14:textId="77777777" w:rsidR="00327FF1" w:rsidRDefault="00E406C7">
            <w:pPr>
              <w:pStyle w:val="P68B1DB1-Normal11"/>
              <w:spacing w:line="276" w:lineRule="auto"/>
              <w:jc w:val="center"/>
              <w:rPr>
                <w:rFonts w:cs="Arial"/>
                <w:noProof/>
                <w:szCs w:val="20"/>
              </w:rPr>
            </w:pPr>
            <w:r>
              <w:rPr>
                <w:noProof/>
              </w:rPr>
              <w:t>Reforma Nr. 1.14.</w:t>
            </w:r>
          </w:p>
          <w:p w14:paraId="487E4AF1" w14:textId="77777777" w:rsidR="00327FF1" w:rsidRDefault="00E406C7">
            <w:pPr>
              <w:pStyle w:val="P68B1DB1-Normal11"/>
              <w:spacing w:line="276" w:lineRule="auto"/>
              <w:jc w:val="center"/>
              <w:rPr>
                <w:rFonts w:cs="Arial"/>
                <w:noProof/>
                <w:szCs w:val="20"/>
              </w:rPr>
            </w:pPr>
            <w:r>
              <w:rPr>
                <w:noProof/>
              </w:rPr>
              <w:t>Vietējā un reģionālā līmeņa fiskālās sistēmas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0DE874"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9B6902" w14:textId="496FF43C" w:rsidR="00327FF1" w:rsidRDefault="00E406C7">
            <w:pPr>
              <w:pStyle w:val="P68B1DB1-Normal12"/>
              <w:jc w:val="center"/>
              <w:rPr>
                <w:rFonts w:cs="Arial"/>
                <w:noProof/>
              </w:rPr>
            </w:pPr>
            <w:r>
              <w:rPr>
                <w:noProof/>
              </w:rPr>
              <w:t>Reģionālā fiskālā federālisma parametru noteikšana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18346B" w14:textId="063829FE" w:rsidR="00327FF1" w:rsidRDefault="00E406C7">
            <w:pPr>
              <w:pStyle w:val="P68B1DB1-Normal12"/>
              <w:jc w:val="center"/>
              <w:rPr>
                <w:noProof/>
              </w:rPr>
            </w:pPr>
            <w:r>
              <w:rPr>
                <w:noProof/>
              </w:rPr>
              <w:t xml:space="preserve">Tiesību akta, ar ko nosaka fiskālā federālisma </w:t>
            </w:r>
            <w:r>
              <w:rPr>
                <w:noProof/>
              </w:rPr>
              <w:t>parametrus reģioniem ar parastu statusu, stāšanās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9F9350"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E31E81"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162EC8"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0D620E" w14:textId="77777777" w:rsidR="00327FF1" w:rsidRDefault="00E406C7">
            <w:pPr>
              <w:pStyle w:val="P68B1DB1-Normal12"/>
              <w:jc w:val="center"/>
              <w:rPr>
                <w:rFonts w:cs="Arial"/>
                <w:noProof/>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7A427"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E149AE" w14:textId="767EED2F" w:rsidR="00327FF1" w:rsidRDefault="00E406C7">
            <w:pPr>
              <w:pStyle w:val="P68B1DB1-Normal12"/>
              <w:spacing w:after="120"/>
              <w:rPr>
                <w:rFonts w:cs="Arial"/>
                <w:noProof/>
              </w:rPr>
            </w:pPr>
            <w:r>
              <w:rPr>
                <w:noProof/>
              </w:rPr>
              <w:t>Stājas spēkā tiesību akti, kuros nosaka pamatpakalpojumu pamatlīmeņus (“livelli essenziali delle prestazioni”) fiskālajam federālismam reģioniem ar parastu s</w:t>
            </w:r>
            <w:r>
              <w:rPr>
                <w:noProof/>
              </w:rPr>
              <w:t>tatusu vismaz divās politikas jomās.</w:t>
            </w:r>
          </w:p>
        </w:tc>
      </w:tr>
      <w:tr w:rsidR="00327FF1" w14:paraId="0A607F2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5C4317" w14:textId="77777777" w:rsidR="00327FF1" w:rsidRDefault="00E406C7">
            <w:pPr>
              <w:pStyle w:val="P68B1DB1-Normal12"/>
              <w:jc w:val="center"/>
              <w:rPr>
                <w:rFonts w:cs="Arial"/>
                <w:noProof/>
              </w:rPr>
            </w:pPr>
            <w:r>
              <w:rPr>
                <w:noProof/>
              </w:rPr>
              <w:t>M1C1–120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868394" w14:textId="77777777" w:rsidR="00327FF1" w:rsidRDefault="00E406C7">
            <w:pPr>
              <w:pStyle w:val="P68B1DB1-Normal11"/>
              <w:spacing w:line="276" w:lineRule="auto"/>
              <w:jc w:val="center"/>
              <w:rPr>
                <w:rFonts w:cs="Arial"/>
                <w:noProof/>
                <w:szCs w:val="20"/>
              </w:rPr>
            </w:pPr>
            <w:r>
              <w:rPr>
                <w:noProof/>
              </w:rPr>
              <w:t>Reforma Nr. 1.14.</w:t>
            </w:r>
          </w:p>
          <w:p w14:paraId="37727D6A" w14:textId="77777777" w:rsidR="00327FF1" w:rsidRDefault="00E406C7">
            <w:pPr>
              <w:pStyle w:val="P68B1DB1-Normal11"/>
              <w:spacing w:line="276" w:lineRule="auto"/>
              <w:jc w:val="center"/>
              <w:rPr>
                <w:rFonts w:cs="Arial"/>
                <w:noProof/>
                <w:szCs w:val="20"/>
              </w:rPr>
            </w:pPr>
            <w:r>
              <w:rPr>
                <w:noProof/>
              </w:rPr>
              <w:t>Vietējā un reģionālā līmeņa fiskālās sistēmas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420B46"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74603" w14:textId="7E5E1E34" w:rsidR="00327FF1" w:rsidRDefault="00E406C7">
            <w:pPr>
              <w:pStyle w:val="P68B1DB1-Normal12"/>
              <w:jc w:val="center"/>
              <w:rPr>
                <w:noProof/>
              </w:rPr>
            </w:pPr>
            <w:r>
              <w:rPr>
                <w:noProof/>
              </w:rPr>
              <w:t>Stājas spēkā tiesību akts, ar ko nosaka provinču un lielpilsētu fiskālo federālismu.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5A2CD" w14:textId="7BB9B416" w:rsidR="00327FF1" w:rsidRDefault="00E406C7">
            <w:pPr>
              <w:pStyle w:val="P68B1DB1-Normal12"/>
              <w:jc w:val="center"/>
              <w:rPr>
                <w:rFonts w:cs="Arial"/>
                <w:noProof/>
              </w:rPr>
            </w:pPr>
            <w:r>
              <w:rPr>
                <w:noProof/>
              </w:rPr>
              <w:t xml:space="preserve">Stājas spēkā tiesību akts, ar ko </w:t>
            </w:r>
            <w:r>
              <w:rPr>
                <w:noProof/>
              </w:rPr>
              <w:t>nosaka provinču un lielpilsētu fiskālo federālismu.</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4377C7"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56D6F3"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80F0F6"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A8C831" w14:textId="77777777" w:rsidR="00327FF1" w:rsidRDefault="00E406C7">
            <w:pPr>
              <w:pStyle w:val="P68B1DB1-Normal12"/>
              <w:jc w:val="center"/>
              <w:rPr>
                <w:rFonts w:cs="Arial"/>
                <w:noProof/>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14A377"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CFF7C2" w14:textId="1E3EB24B" w:rsidR="00327FF1" w:rsidRDefault="00E406C7">
            <w:pPr>
              <w:pStyle w:val="P68B1DB1-Normal12"/>
              <w:rPr>
                <w:rFonts w:cs="Arial"/>
                <w:noProof/>
              </w:rPr>
            </w:pPr>
            <w:r>
              <w:rPr>
                <w:noProof/>
              </w:rPr>
              <w:t>Stājas spēkā tiesību akti par fiskālu federālismu provincēs un lielpilsētās.</w:t>
            </w:r>
          </w:p>
        </w:tc>
      </w:tr>
      <w:tr w:rsidR="00327FF1" w14:paraId="43CD2B0E"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9CF128" w14:textId="77777777" w:rsidR="00327FF1" w:rsidRDefault="00E406C7">
            <w:pPr>
              <w:pStyle w:val="P68B1DB1-Normal20"/>
              <w:jc w:val="center"/>
              <w:rPr>
                <w:rFonts w:hint="default"/>
                <w:noProof/>
              </w:rPr>
            </w:pPr>
            <w:r>
              <w:rPr>
                <w:noProof/>
              </w:rPr>
              <w:t>M1C1</w:t>
            </w:r>
            <w:r>
              <w:rPr>
                <w:noProof/>
              </w:rPr>
              <w:t>–</w:t>
            </w:r>
            <w:r>
              <w:rPr>
                <w:noProof/>
              </w:rPr>
              <w:t>121 bis </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DC44DB" w14:textId="7A3B890B" w:rsidR="00327FF1" w:rsidRDefault="00E406C7">
            <w:pPr>
              <w:pStyle w:val="P68B1DB1-Normal11"/>
              <w:spacing w:after="200" w:line="276" w:lineRule="auto"/>
              <w:jc w:val="center"/>
              <w:rPr>
                <w:noProof/>
              </w:rPr>
            </w:pPr>
            <w:r>
              <w:rPr>
                <w:noProof/>
              </w:rPr>
              <w:t>Reforma Nr. 1.12:</w:t>
            </w:r>
          </w:p>
          <w:p w14:paraId="284A3750" w14:textId="77777777" w:rsidR="00327FF1" w:rsidRDefault="00E406C7">
            <w:pPr>
              <w:pStyle w:val="P68B1DB1-Normal20"/>
              <w:spacing w:line="276" w:lineRule="auto"/>
              <w:jc w:val="center"/>
              <w:rPr>
                <w:rFonts w:hint="default"/>
                <w:noProof/>
              </w:rPr>
            </w:pPr>
            <w:r>
              <w:rPr>
                <w:noProof/>
              </w:rPr>
              <w:t>Nodokļu administrācijas reforma </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38C2EB" w14:textId="77777777" w:rsidR="00327FF1" w:rsidRDefault="00E406C7">
            <w:pPr>
              <w:pStyle w:val="P68B1DB1-Normal11"/>
              <w:jc w:val="center"/>
              <w:rPr>
                <w:noProof/>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A7675" w14:textId="664ABC4A" w:rsidR="00327FF1" w:rsidRDefault="00E406C7">
            <w:pPr>
              <w:pStyle w:val="P68B1DB1-Normal12"/>
              <w:jc w:val="center"/>
              <w:rPr>
                <w:noProof/>
              </w:rPr>
            </w:pPr>
            <w:r>
              <w:rPr>
                <w:noProof/>
              </w:rPr>
              <w:t>Tiesību akta stāšanās spēkā, lai uzlabotu nodokļu iekasēšanu</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F2C1D" w14:textId="42E2EC25" w:rsidR="00327FF1" w:rsidRDefault="00E406C7">
            <w:pPr>
              <w:pStyle w:val="P68B1DB1-Normal20"/>
              <w:jc w:val="center"/>
              <w:rPr>
                <w:rFonts w:hint="default"/>
                <w:noProof/>
              </w:rPr>
            </w:pPr>
            <w:r>
              <w:rPr>
                <w:noProof/>
              </w:rPr>
              <w:t xml:space="preserve">Tiesību akta noteikumi par stāšanos spēkā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0C248F" w14:textId="4C95F40B" w:rsidR="00327FF1" w:rsidRDefault="00E406C7">
            <w:pPr>
              <w:pStyle w:val="P68B1DB1-Normal11"/>
              <w:jc w:val="center"/>
              <w:rPr>
                <w:noProof/>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E35B7D" w14:textId="77777777" w:rsidR="00327FF1" w:rsidRDefault="00E406C7">
            <w:pPr>
              <w:pStyle w:val="P68B1DB1-Normal11"/>
              <w:jc w:val="center"/>
              <w:rPr>
                <w:noProof/>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39A693" w14:textId="77777777" w:rsidR="00327FF1" w:rsidRDefault="00E406C7">
            <w:pPr>
              <w:pStyle w:val="P68B1DB1-Normal11"/>
              <w:jc w:val="center"/>
              <w:rPr>
                <w:noProof/>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818EA" w14:textId="77777777" w:rsidR="00327FF1" w:rsidRDefault="00E406C7">
            <w:pPr>
              <w:pStyle w:val="P68B1DB1-Normal11"/>
              <w:jc w:val="center"/>
              <w:rPr>
                <w:noProof/>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095BD" w14:textId="77777777" w:rsidR="00327FF1" w:rsidRDefault="00E406C7">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9D2722" w14:textId="793FB981" w:rsidR="00327FF1" w:rsidRDefault="00E406C7">
            <w:pPr>
              <w:pStyle w:val="P68B1DB1-Normal11"/>
              <w:rPr>
                <w:noProof/>
              </w:rPr>
            </w:pPr>
            <w:r>
              <w:rPr>
                <w:noProof/>
              </w:rPr>
              <w:t>Stājas spēkā tiesību akts, kurā paredzēts, ka:</w:t>
            </w:r>
          </w:p>
          <w:p w14:paraId="1DF33B64" w14:textId="77777777" w:rsidR="00327FF1" w:rsidRDefault="00E406C7">
            <w:pPr>
              <w:pStyle w:val="P68B1DB1-Normal12"/>
              <w:rPr>
                <w:noProof/>
              </w:rPr>
            </w:pPr>
            <w:r>
              <w:rPr>
                <w:noProof/>
              </w:rPr>
              <w:t xml:space="preserve">1. Elektronisko rēķinu datus dara pieejamus Aģentūrai, kas ir </w:t>
            </w:r>
            <w:r>
              <w:rPr>
                <w:noProof/>
              </w:rPr>
              <w:t>atbildīga par nesamaksāto nodokļu saistību iekasēšanu (“Agenzia Entrate Riscossione”);</w:t>
            </w:r>
          </w:p>
          <w:p w14:paraId="173A1E82" w14:textId="15BC7308" w:rsidR="00327FF1" w:rsidRDefault="00E406C7">
            <w:pPr>
              <w:pStyle w:val="P68B1DB1-Normal12"/>
              <w:rPr>
                <w:noProof/>
              </w:rPr>
            </w:pPr>
            <w:r>
              <w:rPr>
                <w:noProof/>
              </w:rPr>
              <w:t>2. Nodokļu kompensācijas ir atļautas tikai tad, ja nesamaksātās nodokļu saistības nepārsniedz 50 000 EUR.</w:t>
            </w:r>
          </w:p>
          <w:p w14:paraId="2BB11707" w14:textId="77777777" w:rsidR="00327FF1" w:rsidRDefault="00E406C7">
            <w:pPr>
              <w:pStyle w:val="P68B1DB1-Normal12"/>
              <w:rPr>
                <w:noProof/>
              </w:rPr>
            </w:pPr>
            <w:r>
              <w:rPr>
                <w:noProof/>
              </w:rPr>
              <w:t xml:space="preserve">3. Ieņēmumu aģentūrai ir atļauts nosūtīt paziņojumus nodokļu </w:t>
            </w:r>
            <w:r>
              <w:rPr>
                <w:noProof/>
              </w:rPr>
              <w:t>maksātājiem, ja ir izsniegti elektroniskie rēķini, bet par to pašu laikposmu nav iesniegta PVN deklarācija.</w:t>
            </w:r>
          </w:p>
        </w:tc>
      </w:tr>
      <w:tr w:rsidR="00327FF1" w14:paraId="6C48EB51"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F984D0" w14:textId="77777777" w:rsidR="00327FF1" w:rsidRDefault="00E406C7">
            <w:pPr>
              <w:pStyle w:val="P68B1DB1-Normal11"/>
              <w:jc w:val="center"/>
              <w:rPr>
                <w:rFonts w:cs="Arial"/>
                <w:noProof/>
                <w:szCs w:val="20"/>
              </w:rPr>
            </w:pPr>
            <w:r>
              <w:rPr>
                <w:noProof/>
              </w:rPr>
              <w:t>M1C1–122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68F966" w14:textId="77777777" w:rsidR="00327FF1" w:rsidRDefault="00E406C7">
            <w:pPr>
              <w:pStyle w:val="P68B1DB1-Normal11"/>
              <w:spacing w:line="276" w:lineRule="auto"/>
              <w:jc w:val="center"/>
              <w:rPr>
                <w:rFonts w:cs="Arial"/>
                <w:noProof/>
                <w:szCs w:val="20"/>
              </w:rPr>
            </w:pPr>
            <w:r>
              <w:rPr>
                <w:noProof/>
              </w:rPr>
              <w:t>Reforma Nr. 1.13. Izdevumu pārskatīšanas sistēmas reforma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34B617" w14:textId="77777777" w:rsidR="00327FF1" w:rsidRDefault="00E406C7">
            <w:pPr>
              <w:pStyle w:val="P68B1DB1-Normal11"/>
              <w:jc w:val="center"/>
              <w:rPr>
                <w:rFonts w:cs="Arial"/>
                <w:noProof/>
                <w:szCs w:val="20"/>
              </w:rPr>
            </w:pPr>
            <w:r>
              <w:rPr>
                <w:noProof/>
              </w:rPr>
              <w:t>Atskaites punkts</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3A69E5" w14:textId="77777777" w:rsidR="00327FF1" w:rsidRDefault="00E406C7">
            <w:pPr>
              <w:pStyle w:val="P68B1DB1-Normal11"/>
              <w:jc w:val="center"/>
              <w:rPr>
                <w:rFonts w:cs="Arial"/>
                <w:noProof/>
                <w:szCs w:val="20"/>
              </w:rPr>
            </w:pPr>
            <w:r>
              <w:rPr>
                <w:noProof/>
              </w:rPr>
              <w:t>2025. gada izdevumu ikgadējās pārskatīšanas pabeigšana, atsaucoties uz ietaupījumu mērķi, kas noteikts 2022., 2023. un 2024. gadam 2025. gadam.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FD525A" w14:textId="0EC28DFF" w:rsidR="00327FF1" w:rsidRDefault="00E406C7">
            <w:pPr>
              <w:pStyle w:val="P68B1DB1-Normal11"/>
              <w:jc w:val="center"/>
              <w:rPr>
                <w:rFonts w:cs="Arial"/>
                <w:noProof/>
                <w:szCs w:val="20"/>
              </w:rPr>
            </w:pPr>
            <w:r>
              <w:rPr>
                <w:noProof/>
              </w:rPr>
              <w:t>Finanšu ministrijas ziņojuma par izdevumu pārskatīšanu 2025. gadā pieņemšana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4D3092" w14:textId="77777777" w:rsidR="00327FF1" w:rsidRDefault="00E406C7">
            <w:pPr>
              <w:pStyle w:val="P68B1DB1-Normal11"/>
              <w:jc w:val="center"/>
              <w:rPr>
                <w:rFonts w:cs="Arial"/>
                <w:noProof/>
                <w:szCs w:val="20"/>
              </w:rPr>
            </w:pPr>
            <w:r>
              <w:rPr>
                <w:noProof/>
              </w:rPr>
              <w:t>NEPIEMĒRO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4D1DC4" w14:textId="77777777" w:rsidR="00327FF1" w:rsidRDefault="00E406C7">
            <w:pPr>
              <w:pStyle w:val="P68B1DB1-Normal11"/>
              <w:jc w:val="center"/>
              <w:rPr>
                <w:rFonts w:cs="Arial"/>
                <w:noProof/>
                <w:szCs w:val="20"/>
              </w:rPr>
            </w:pPr>
            <w:r>
              <w:rPr>
                <w:noProof/>
              </w:rPr>
              <w:t>NEPIEMĒRO</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7BC20C" w14:textId="77777777" w:rsidR="00327FF1" w:rsidRDefault="00E406C7">
            <w:pPr>
              <w:pStyle w:val="P68B1DB1-Normal11"/>
              <w:jc w:val="center"/>
              <w:rPr>
                <w:rFonts w:cs="Arial"/>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CFF1AB" w14:textId="77777777" w:rsidR="00327FF1" w:rsidRDefault="00E406C7">
            <w:pPr>
              <w:pStyle w:val="P68B1DB1-Normal11"/>
              <w:jc w:val="center"/>
              <w:rPr>
                <w:rFonts w:cs="Arial"/>
                <w:noProof/>
                <w:szCs w:val="20"/>
              </w:rPr>
            </w:pPr>
            <w:r>
              <w:rPr>
                <w:noProof/>
              </w:rPr>
              <w:t>2. CE</w:t>
            </w:r>
            <w:r>
              <w:rPr>
                <w:noProof/>
              </w:rPr>
              <w:t>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770683" w14:textId="77777777" w:rsidR="00327FF1" w:rsidRDefault="00E406C7">
            <w:pPr>
              <w:pStyle w:val="P68B1DB1-Normal11"/>
              <w:jc w:val="center"/>
              <w:rPr>
                <w:rFonts w:cs="Arial"/>
                <w:noProof/>
                <w:szCs w:val="20"/>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19DD1" w14:textId="77777777" w:rsidR="00327FF1" w:rsidRDefault="00E406C7">
            <w:pPr>
              <w:pStyle w:val="P68B1DB1-Normal11"/>
              <w:spacing w:after="120"/>
              <w:rPr>
                <w:rFonts w:cs="Arial"/>
                <w:noProof/>
                <w:szCs w:val="20"/>
              </w:rPr>
            </w:pPr>
            <w:r>
              <w:rPr>
                <w:noProof/>
              </w:rPr>
              <w:t>Finanšu ministrijas ziņojumā, kas jānosūta Ministru padomei saskaņā ar 2016. gada dekrētlikumiem Nr. 90 un 93 un Likumu Nr. 163/2016:</w:t>
            </w:r>
          </w:p>
          <w:p w14:paraId="1A5026AE" w14:textId="58CE1E77" w:rsidR="00327FF1" w:rsidRDefault="00E406C7">
            <w:pPr>
              <w:pStyle w:val="P68B1DB1-Normal11"/>
              <w:spacing w:after="120"/>
              <w:rPr>
                <w:rFonts w:cs="Arial"/>
                <w:noProof/>
                <w:szCs w:val="20"/>
              </w:rPr>
            </w:pPr>
            <w:r>
              <w:rPr>
                <w:noProof/>
              </w:rPr>
              <w:t>— apstipriniet 2025. gada izdevumu pārskatīšanas procesa pabeigšanu attiecībā uz noteikumu par izdevumu pārskatīša</w:t>
            </w:r>
            <w:r>
              <w:rPr>
                <w:noProof/>
              </w:rPr>
              <w:t>nas satvaru.</w:t>
            </w:r>
          </w:p>
          <w:p w14:paraId="0FE8AD31" w14:textId="77777777" w:rsidR="00327FF1" w:rsidRDefault="00E406C7">
            <w:pPr>
              <w:pStyle w:val="P68B1DB1-Normal11"/>
              <w:spacing w:after="120"/>
              <w:rPr>
                <w:rFonts w:cs="Arial"/>
                <w:noProof/>
                <w:szCs w:val="20"/>
              </w:rPr>
            </w:pPr>
            <w:r>
              <w:rPr>
                <w:noProof/>
              </w:rPr>
              <w:t>—apliecina 2022., 2023. un 2024. gadā noteiktā mērķrādītāja sasniegšanu.</w:t>
            </w:r>
          </w:p>
        </w:tc>
      </w:tr>
      <w:tr w:rsidR="00327FF1" w14:paraId="30A2A56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146914" w14:textId="537111DF" w:rsidR="00327FF1" w:rsidRDefault="00E406C7">
            <w:pPr>
              <w:pStyle w:val="P68B1DB1-Normal11"/>
              <w:jc w:val="center"/>
              <w:rPr>
                <w:noProof/>
              </w:rPr>
            </w:pPr>
            <w:r>
              <w:rPr>
                <w:noProof/>
              </w:rPr>
              <w:t>M1C1–144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101F39" w14:textId="33C770A7" w:rsidR="00327FF1" w:rsidRDefault="00E406C7">
            <w:pPr>
              <w:pStyle w:val="P68B1DB1-Normal11"/>
              <w:spacing w:line="276" w:lineRule="auto"/>
              <w:jc w:val="center"/>
              <w:rPr>
                <w:noProof/>
              </w:rPr>
            </w:pPr>
            <w:r>
              <w:rPr>
                <w:noProof/>
              </w:rPr>
              <w:t xml:space="preserve">Investīcija </w:t>
            </w:r>
            <w:bookmarkStart w:id="8" w:name="_Hlk197447732"/>
            <w:r>
              <w:rPr>
                <w:noProof/>
              </w:rPr>
              <w:t>1.4.2. — Iedzīvotāju iekļaušana — digitālo publisko pakalpojumu pieejamības uzlabošana</w:t>
            </w:r>
            <w:bookmarkEnd w:id="8"/>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8AAA52" w14:textId="05398BF1" w:rsidR="00327FF1" w:rsidRDefault="00E406C7">
            <w:pPr>
              <w:pStyle w:val="P68B1DB1-Normal11"/>
              <w:jc w:val="center"/>
              <w:rPr>
                <w:noProof/>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B4D2BF" w14:textId="0BBA44CA" w:rsidR="00327FF1" w:rsidRDefault="00E406C7">
            <w:pPr>
              <w:pStyle w:val="P68B1DB1-Normal12"/>
              <w:jc w:val="center"/>
              <w:rPr>
                <w:noProof/>
              </w:rPr>
            </w:pPr>
            <w:r>
              <w:rPr>
                <w:noProof/>
              </w:rPr>
              <w:t xml:space="preserve">Uzlabota digitālo publisko pakalpojumu/intervences </w:t>
            </w:r>
            <w:r>
              <w:rPr>
                <w:noProof/>
              </w:rPr>
              <w:t>pieejamība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05C3C0" w14:textId="03EDC19E" w:rsidR="00327FF1" w:rsidRDefault="00E406C7">
            <w:pPr>
              <w:pStyle w:val="P68B1DB1-Normal11"/>
              <w:jc w:val="center"/>
              <w:rPr>
                <w:noProof/>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3378D6" w14:textId="532981C5" w:rsidR="00327FF1" w:rsidRDefault="00E406C7">
            <w:pPr>
              <w:pStyle w:val="P68B1DB1-Normal11"/>
              <w:jc w:val="center"/>
              <w:rPr>
                <w:noProof/>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AF8CA5" w14:textId="7A644552" w:rsidR="00327FF1" w:rsidRDefault="00E406C7">
            <w:pPr>
              <w:pStyle w:val="P68B1DB1-Normal11"/>
              <w:jc w:val="center"/>
              <w:rPr>
                <w:noProof/>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B38D26" w14:textId="73C4440F" w:rsidR="00327FF1" w:rsidRDefault="00E406C7">
            <w:pPr>
              <w:pStyle w:val="P68B1DB1-Normal11"/>
              <w:jc w:val="center"/>
              <w:rPr>
                <w:noProof/>
              </w:rPr>
            </w:pPr>
            <w:r>
              <w:rPr>
                <w:noProof/>
              </w:rPr>
              <w:t>55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3AEAA2" w14:textId="4B73FB98" w:rsidR="00327FF1" w:rsidRDefault="00E406C7">
            <w:pPr>
              <w:pStyle w:val="P68B1DB1-Normal12"/>
              <w:jc w:val="center"/>
              <w:rPr>
                <w:noProof/>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481E32" w14:textId="3B87D1B5" w:rsidR="00327FF1" w:rsidRDefault="00E406C7">
            <w:pPr>
              <w:pStyle w:val="P68B1DB1-Normal12"/>
              <w:jc w:val="center"/>
              <w:rPr>
                <w:noProof/>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84DE46" w14:textId="77777777" w:rsidR="00327FF1" w:rsidRDefault="00E406C7">
            <w:pPr>
              <w:pStyle w:val="P68B1DB1-Normal12"/>
              <w:rPr>
                <w:noProof/>
              </w:rPr>
            </w:pPr>
            <w:r>
              <w:rPr>
                <w:noProof/>
              </w:rPr>
              <w:t>Agenzia per l’Italia Digitale (AgID) sniedz atbalstu 55 vietējām publiskās pārvaldes iestādēm, izmantojot nolīgumus, kas ietver šādas darbības, kuras jāveic 55 vietējām publiskās pārvaldes iestādēm:</w:t>
            </w:r>
          </w:p>
          <w:p w14:paraId="5850153F" w14:textId="77777777" w:rsidR="00327FF1" w:rsidRDefault="00E406C7">
            <w:pPr>
              <w:pStyle w:val="P68B1DB1-Normal12"/>
              <w:spacing w:after="120"/>
              <w:rPr>
                <w:noProof/>
              </w:rPr>
            </w:pPr>
            <w:r>
              <w:rPr>
                <w:noProof/>
              </w:rPr>
              <w:t xml:space="preserve">— Par 50 % </w:t>
            </w:r>
            <w:r>
              <w:rPr>
                <w:noProof/>
              </w:rPr>
              <w:t>samazināt katras administrācijas veiktajā novērtējumā konstatēto kļūdu skaitu vismaz par 2 digitālajiem pakalpojumiem.</w:t>
            </w:r>
          </w:p>
          <w:p w14:paraId="33BB39BC" w14:textId="134BE85B" w:rsidR="00327FF1" w:rsidRDefault="00E406C7">
            <w:pPr>
              <w:pStyle w:val="P68B1DB1-Normal12"/>
              <w:spacing w:after="120"/>
              <w:rPr>
                <w:noProof/>
              </w:rPr>
            </w:pPr>
            <w:r>
              <w:rPr>
                <w:noProof/>
              </w:rPr>
              <w:t>— Nodrošināt vairākas palīgtehnoloģijas, kas aptver vismaz 50 % no katras administrācijas sniegtajā novērtējumā identificēto maksājumu aģ</w:t>
            </w:r>
            <w:r>
              <w:rPr>
                <w:noProof/>
              </w:rPr>
              <w:t>entūru darbinieku ar invaliditāti vajadzībām.</w:t>
            </w:r>
          </w:p>
        </w:tc>
      </w:tr>
      <w:tr w:rsidR="00327FF1" w14:paraId="5E98411D"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1A4780" w14:textId="689C444A" w:rsidR="00327FF1" w:rsidRDefault="00E406C7">
            <w:pPr>
              <w:pStyle w:val="P68B1DB1-Normal11"/>
              <w:jc w:val="center"/>
              <w:rPr>
                <w:noProof/>
              </w:rPr>
            </w:pPr>
            <w:r>
              <w:rPr>
                <w:noProof/>
              </w:rPr>
              <w:t>M1C1–147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35E159" w14:textId="4DF4C025" w:rsidR="00327FF1" w:rsidRDefault="00E406C7">
            <w:pPr>
              <w:pStyle w:val="P68B1DB1-Normal11"/>
              <w:spacing w:line="276" w:lineRule="auto"/>
              <w:jc w:val="center"/>
              <w:rPr>
                <w:noProof/>
              </w:rPr>
            </w:pPr>
            <w:r>
              <w:rPr>
                <w:noProof/>
              </w:rPr>
              <w:t>Investīcija 1.2. — Mākoņdatošanas veicināšana vietējai PN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130A19" w14:textId="417C2F8C" w:rsidR="00327FF1" w:rsidRDefault="00E406C7">
            <w:pPr>
              <w:pStyle w:val="P68B1DB1-Normal11"/>
              <w:jc w:val="center"/>
              <w:rPr>
                <w:noProof/>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7710D0" w14:textId="5438DB1C" w:rsidR="00327FF1" w:rsidRDefault="00E406C7">
            <w:pPr>
              <w:pStyle w:val="P68B1DB1-Normal11"/>
              <w:jc w:val="center"/>
              <w:rPr>
                <w:noProof/>
              </w:rPr>
            </w:pPr>
            <w:r>
              <w:rPr>
                <w:noProof/>
              </w:rPr>
              <w:t>Mākoņdatošanas iespējošana vietējai valsts pārvaldei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CCCA16" w14:textId="243AA56E" w:rsidR="00327FF1" w:rsidRDefault="00E406C7">
            <w:pPr>
              <w:pStyle w:val="P68B1DB1-Normal11"/>
              <w:jc w:val="center"/>
              <w:rPr>
                <w:noProof/>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71959E" w14:textId="78E921C8" w:rsidR="00327FF1" w:rsidRDefault="00E406C7">
            <w:pPr>
              <w:pStyle w:val="P68B1DB1-Normal11"/>
              <w:jc w:val="center"/>
              <w:rPr>
                <w:noProof/>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85B040" w14:textId="22C1F809" w:rsidR="00327FF1" w:rsidRDefault="00E406C7">
            <w:pPr>
              <w:pStyle w:val="P68B1DB1-Normal11"/>
              <w:jc w:val="center"/>
              <w:rPr>
                <w:noProof/>
              </w:rPr>
            </w:pPr>
            <w:r>
              <w:rPr>
                <w:noProof/>
              </w:rPr>
              <w:t>4 083</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C79000" w14:textId="065526D9" w:rsidR="00327FF1" w:rsidRDefault="00E406C7">
            <w:pPr>
              <w:pStyle w:val="P68B1DB1-Normal11"/>
              <w:jc w:val="center"/>
              <w:rPr>
                <w:noProof/>
              </w:rPr>
            </w:pPr>
            <w:r>
              <w:rPr>
                <w:noProof/>
              </w:rPr>
              <w:t>12 464</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EBF025" w14:textId="0BC00171" w:rsidR="00327FF1" w:rsidRDefault="00E406C7">
            <w:pPr>
              <w:pStyle w:val="P68B1DB1-Normal11"/>
              <w:jc w:val="center"/>
              <w:rPr>
                <w:noProof/>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68925B" w14:textId="6003FEC7" w:rsidR="00327FF1" w:rsidRDefault="00E406C7">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C3B8E0" w14:textId="1451F103" w:rsidR="00327FF1" w:rsidRDefault="00E406C7">
            <w:pPr>
              <w:pStyle w:val="P68B1DB1-Normal21"/>
              <w:spacing w:after="120"/>
              <w:rPr>
                <w:rFonts w:ascii="Arial Narrow" w:hAnsi="Arial Narrow"/>
                <w:noProof/>
              </w:rPr>
            </w:pPr>
            <w:r>
              <w:rPr>
                <w:rFonts w:ascii="Arial Narrow" w:hint="eastAsia"/>
                <w:noProof/>
              </w:rPr>
              <w:t xml:space="preserve">Uzskata, ka </w:t>
            </w:r>
            <w:r>
              <w:rPr>
                <w:rFonts w:ascii="Arial Narrow" w:hAnsi="Arial Narrow"/>
                <w:noProof/>
              </w:rPr>
              <w:t xml:space="preserve">12464 vietējo valsts </w:t>
            </w:r>
            <w:r>
              <w:rPr>
                <w:rFonts w:ascii="Arial Narrow" w:hAnsi="Arial Narrow"/>
                <w:noProof/>
              </w:rPr>
              <w:t>pārvaldes iestāžu migrācija uz sertificētām mākoņdatošanas vidēm ir panākta, ja ir sekmīgi testētas visas katrā migrācijas plānā iekļautās sistēmas, datu kopas un lietojumprogrammu migrācija.</w:t>
            </w:r>
          </w:p>
        </w:tc>
      </w:tr>
      <w:tr w:rsidR="00327FF1" w14:paraId="36EEEEF9"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389DE7" w14:textId="644CE2FE" w:rsidR="00327FF1" w:rsidRDefault="00E406C7">
            <w:pPr>
              <w:pStyle w:val="P68B1DB1-Normal11"/>
              <w:jc w:val="center"/>
              <w:rPr>
                <w:noProof/>
              </w:rPr>
            </w:pPr>
            <w:r>
              <w:rPr>
                <w:noProof/>
              </w:rPr>
              <w:t>M1C1–148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0E9B95" w14:textId="74AD1AD0" w:rsidR="00327FF1" w:rsidRDefault="00E406C7">
            <w:pPr>
              <w:pStyle w:val="P68B1DB1-Normal11"/>
              <w:spacing w:line="276" w:lineRule="auto"/>
              <w:jc w:val="center"/>
              <w:rPr>
                <w:noProof/>
              </w:rPr>
            </w:pPr>
            <w:r>
              <w:rPr>
                <w:noProof/>
              </w:rPr>
              <w:t>Investīcija — Iedzīvotāju pieredze — digitālo publisko</w:t>
            </w:r>
            <w:r>
              <w:rPr>
                <w:noProof/>
              </w:rPr>
              <w:t xml:space="preserve"> pakalpojumu kvalitātes un izmantojamības uzlabošana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7375EC" w14:textId="2FEA9706" w:rsidR="00327FF1" w:rsidRDefault="00E406C7">
            <w:pPr>
              <w:pStyle w:val="P68B1DB1-Normal11"/>
              <w:jc w:val="center"/>
              <w:rPr>
                <w:noProof/>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FD3EC" w14:textId="55B08597" w:rsidR="00327FF1" w:rsidRDefault="00E406C7">
            <w:pPr>
              <w:pStyle w:val="P68B1DB1-Normal12"/>
              <w:jc w:val="center"/>
              <w:rPr>
                <w:noProof/>
              </w:rPr>
            </w:pPr>
            <w:r>
              <w:rPr>
                <w:noProof/>
              </w:rPr>
              <w:t>Digitālo publisko pakalpojumu T2 kvalitātes un izmantojamības uzlabošana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F1E1E0" w14:textId="7001C579" w:rsidR="00327FF1" w:rsidRDefault="00E406C7">
            <w:pPr>
              <w:pStyle w:val="P68B1DB1-Normal11"/>
              <w:jc w:val="center"/>
              <w:rPr>
                <w:noProof/>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2F962" w14:textId="0F01A813" w:rsidR="00327FF1" w:rsidRDefault="00E406C7">
            <w:pPr>
              <w:pStyle w:val="P68B1DB1-Normal11"/>
              <w:jc w:val="center"/>
              <w:rPr>
                <w:noProof/>
              </w:rPr>
            </w:pPr>
            <w:r>
              <w:rPr>
                <w:noProof/>
              </w:rPr>
              <w:t>Procentuālais daudzums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D6087A" w14:textId="4D9990C8" w:rsidR="00327FF1" w:rsidRDefault="00E406C7">
            <w:pPr>
              <w:pStyle w:val="P68B1DB1-Normal11"/>
              <w:jc w:val="center"/>
              <w:rPr>
                <w:noProof/>
              </w:rPr>
            </w:pPr>
            <w:r>
              <w:rPr>
                <w:noProof/>
              </w:rPr>
              <w:t>40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103564" w14:textId="1754251F" w:rsidR="00327FF1" w:rsidRDefault="00E406C7">
            <w:pPr>
              <w:pStyle w:val="P68B1DB1-Normal11"/>
              <w:jc w:val="center"/>
              <w:rPr>
                <w:noProof/>
              </w:rPr>
            </w:pPr>
            <w:r>
              <w:rPr>
                <w:noProof/>
              </w:rPr>
              <w:t>80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D2DF3" w14:textId="1220CF49" w:rsidR="00327FF1" w:rsidRDefault="00E406C7">
            <w:pPr>
              <w:pStyle w:val="P68B1DB1-Normal11"/>
              <w:jc w:val="center"/>
              <w:rPr>
                <w:noProof/>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38770F" w14:textId="0FBCDFC4" w:rsidR="00327FF1" w:rsidRDefault="00E406C7">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E1172D" w14:textId="00B8B315" w:rsidR="00327FF1" w:rsidRDefault="00E406C7">
            <w:pPr>
              <w:pStyle w:val="P68B1DB1-Normal12"/>
              <w:spacing w:after="120"/>
              <w:rPr>
                <w:noProof/>
              </w:rPr>
            </w:pPr>
            <w:r>
              <w:rPr>
                <w:noProof/>
              </w:rPr>
              <w:t>Pārvaldes (pašvaldības, pirmās un</w:t>
            </w:r>
            <w:r>
              <w:rPr>
                <w:noProof/>
                <w:vertAlign w:val="superscript"/>
              </w:rPr>
              <w:t>otrās</w:t>
            </w:r>
            <w:r>
              <w:rPr>
                <w:noProof/>
              </w:rPr>
              <w:t xml:space="preserve"> pakāpes izglītības iestāžu pamats</w:t>
            </w:r>
            <w:r>
              <w:rPr>
                <w:noProof/>
              </w:rPr>
              <w:t>kolas</w:t>
            </w:r>
            <w:r>
              <w:rPr>
                <w:noProof/>
                <w:vertAlign w:val="superscript"/>
              </w:rPr>
              <w:t>un</w:t>
            </w:r>
            <w:r>
              <w:rPr>
                <w:noProof/>
              </w:rPr>
              <w:t xml:space="preserve"> vidusskolas) ievēro vienotu tīmekļa vietņu un digitālo pakalpojumu modeli un dizaina sistēmu, vienkāršojot lietotāju mijiedarbību un atvieglojot uzturēšanu.</w:t>
            </w:r>
          </w:p>
          <w:p w14:paraId="623C1B44" w14:textId="6543034B" w:rsidR="00327FF1" w:rsidRDefault="00E406C7">
            <w:pPr>
              <w:pStyle w:val="P68B1DB1-Normal12"/>
              <w:spacing w:after="120"/>
              <w:rPr>
                <w:noProof/>
              </w:rPr>
            </w:pPr>
            <w:r>
              <w:rPr>
                <w:noProof/>
              </w:rPr>
              <w:t>Pašvaldības, kas sniedz ieguldījumu mērķa sasniegšanā, garantē kopējā modeļa un projektēšan</w:t>
            </w:r>
            <w:r>
              <w:rPr>
                <w:noProof/>
              </w:rPr>
              <w:t>as sistēmas ievērošanu vidēji vismaz 3,5 pakalpojumiem.</w:t>
            </w:r>
          </w:p>
        </w:tc>
      </w:tr>
      <w:tr w:rsidR="00327FF1" w14:paraId="67A1C710"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7F88D" w14:textId="4E798EC4" w:rsidR="00327FF1" w:rsidRDefault="00E406C7">
            <w:pPr>
              <w:pStyle w:val="P68B1DB1-Normal12"/>
              <w:jc w:val="center"/>
              <w:rPr>
                <w:noProof/>
              </w:rPr>
            </w:pPr>
            <w:r>
              <w:rPr>
                <w:noProof/>
              </w:rPr>
              <w:t>M1C1–149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57203F" w14:textId="2866DBA2" w:rsidR="00327FF1" w:rsidRDefault="00E406C7">
            <w:pPr>
              <w:pStyle w:val="P68B1DB1-Normal12"/>
              <w:spacing w:line="276" w:lineRule="auto"/>
              <w:jc w:val="center"/>
              <w:rPr>
                <w:noProof/>
              </w:rPr>
            </w:pPr>
            <w:r>
              <w:rPr>
                <w:noProof/>
              </w:rPr>
              <w:t>Investīcija 1.4.3. PagoPA platformas pakalpojumu un lietotnes “IO” pieņemšana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D07CD" w14:textId="0D0494F2" w:rsidR="00327FF1" w:rsidRDefault="00E406C7">
            <w:pPr>
              <w:pStyle w:val="P68B1DB1-Normal11"/>
              <w:jc w:val="center"/>
              <w:rPr>
                <w:noProof/>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A10123" w14:textId="03D2B925" w:rsidR="00327FF1" w:rsidRDefault="00E406C7">
            <w:pPr>
              <w:pStyle w:val="P68B1DB1-Normal12"/>
              <w:jc w:val="center"/>
              <w:rPr>
                <w:noProof/>
              </w:rPr>
            </w:pPr>
            <w:r>
              <w:rPr>
                <w:noProof/>
              </w:rPr>
              <w:t>PagoPA platformas pakalpojumu T2 ieviešana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B5885D" w14:textId="461580E1" w:rsidR="00327FF1" w:rsidRDefault="00E406C7">
            <w:pPr>
              <w:pStyle w:val="P68B1DB1-Normal11"/>
              <w:jc w:val="center"/>
              <w:rPr>
                <w:noProof/>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3D19F3" w14:textId="41FE19AB" w:rsidR="00327FF1" w:rsidRDefault="00E406C7">
            <w:pPr>
              <w:pStyle w:val="P68B1DB1-Normal11"/>
              <w:jc w:val="center"/>
              <w:rPr>
                <w:noProof/>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1941AB" w14:textId="4C2B9E78" w:rsidR="00327FF1" w:rsidRDefault="00E406C7">
            <w:pPr>
              <w:pStyle w:val="P68B1DB1-Normal12"/>
              <w:jc w:val="center"/>
              <w:rPr>
                <w:noProof/>
              </w:rPr>
            </w:pPr>
            <w:r>
              <w:rPr>
                <w:noProof/>
              </w:rPr>
              <w:t>11 450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8EE0C" w14:textId="406B4A45" w:rsidR="00327FF1" w:rsidRDefault="00E406C7">
            <w:pPr>
              <w:pStyle w:val="P68B1DB1-Normal11"/>
              <w:jc w:val="center"/>
              <w:rPr>
                <w:noProof/>
              </w:rPr>
            </w:pPr>
            <w:r>
              <w:rPr>
                <w:noProof/>
              </w:rPr>
              <w:t>14 100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D133A8" w14:textId="6F0D0963" w:rsidR="00327FF1" w:rsidRDefault="00E406C7">
            <w:pPr>
              <w:pStyle w:val="P68B1DB1-Normal11"/>
              <w:jc w:val="center"/>
              <w:rPr>
                <w:noProof/>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B759B8" w14:textId="622E1060" w:rsidR="00327FF1" w:rsidRDefault="00E406C7">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F9CFB3" w14:textId="2AB21EEC" w:rsidR="00327FF1" w:rsidRDefault="00E406C7">
            <w:pPr>
              <w:pStyle w:val="P68B1DB1-Normal12"/>
              <w:spacing w:after="120"/>
              <w:rPr>
                <w:noProof/>
              </w:rPr>
            </w:pPr>
            <w:r>
              <w:rPr>
                <w:noProof/>
              </w:rPr>
              <w:t>PagoPA platformā ir</w:t>
            </w:r>
            <w:r>
              <w:rPr>
                <w:noProof/>
              </w:rPr>
              <w:t xml:space="preserve"> vismaz 14100 publiskās pārvaldes iestāžu, kas piedāvā vairākus pakalpojumus: vidēji 35 pakalpojumi pašvaldībām, 15 pakalpojumi reģioniem, 15 pakalpojumi veselības aprūpes iestādēm un 8 pakalpojumi skolām un universitātēm.</w:t>
            </w:r>
          </w:p>
        </w:tc>
      </w:tr>
      <w:tr w:rsidR="00327FF1" w14:paraId="43F7B6BA"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3D589B" w14:textId="0A92F041" w:rsidR="00327FF1" w:rsidRDefault="00E406C7">
            <w:pPr>
              <w:pStyle w:val="P68B1DB1-Normal11"/>
              <w:jc w:val="center"/>
              <w:rPr>
                <w:noProof/>
              </w:rPr>
            </w:pPr>
            <w:r>
              <w:rPr>
                <w:noProof/>
              </w:rPr>
              <w:t>M1C1–150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7CEB41" w14:textId="4217A822" w:rsidR="00327FF1" w:rsidRDefault="00E406C7">
            <w:pPr>
              <w:pStyle w:val="P68B1DB1-Normal12"/>
              <w:spacing w:line="276" w:lineRule="auto"/>
              <w:jc w:val="center"/>
              <w:rPr>
                <w:noProof/>
              </w:rPr>
            </w:pPr>
            <w:r>
              <w:rPr>
                <w:noProof/>
              </w:rPr>
              <w:t xml:space="preserve">Investīcija 1.4.3. </w:t>
            </w:r>
            <w:r>
              <w:rPr>
                <w:noProof/>
              </w:rPr>
              <w:t>PagoPA platformas pakalpojumu un lietotnes “IO” pieņemšana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59F840" w14:textId="2099F4DF" w:rsidR="00327FF1" w:rsidRDefault="00E406C7">
            <w:pPr>
              <w:pStyle w:val="P68B1DB1-Normal11"/>
              <w:jc w:val="center"/>
              <w:rPr>
                <w:noProof/>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58EB5" w14:textId="4D53E4A7" w:rsidR="00327FF1" w:rsidRDefault="00E406C7">
            <w:pPr>
              <w:pStyle w:val="P68B1DB1-Normal12"/>
              <w:jc w:val="center"/>
              <w:rPr>
                <w:noProof/>
              </w:rPr>
            </w:pPr>
            <w:r>
              <w:rPr>
                <w:noProof/>
              </w:rPr>
              <w:t>“IO” lietotnes T2 pieņemšana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909F55" w14:textId="2677CC1C" w:rsidR="00327FF1" w:rsidRDefault="00E406C7">
            <w:pPr>
              <w:pStyle w:val="P68B1DB1-Normal11"/>
              <w:jc w:val="center"/>
              <w:rPr>
                <w:noProof/>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D30BC" w14:textId="5CDE2829" w:rsidR="00327FF1" w:rsidRDefault="00E406C7">
            <w:pPr>
              <w:pStyle w:val="P68B1DB1-Normal11"/>
              <w:jc w:val="center"/>
              <w:rPr>
                <w:noProof/>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836041" w14:textId="51B78C81" w:rsidR="00327FF1" w:rsidRDefault="00E406C7">
            <w:pPr>
              <w:pStyle w:val="P68B1DB1-Normal11"/>
              <w:jc w:val="center"/>
              <w:rPr>
                <w:noProof/>
              </w:rPr>
            </w:pPr>
            <w:r>
              <w:rPr>
                <w:noProof/>
              </w:rPr>
              <w:t>7 000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109427" w14:textId="09960204" w:rsidR="00327FF1" w:rsidRDefault="00E406C7">
            <w:pPr>
              <w:pStyle w:val="P68B1DB1-Normal11"/>
              <w:jc w:val="center"/>
              <w:rPr>
                <w:noProof/>
              </w:rPr>
            </w:pPr>
            <w:r>
              <w:rPr>
                <w:noProof/>
              </w:rPr>
              <w:t>14 100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105D47" w14:textId="5AD7FC10" w:rsidR="00327FF1" w:rsidRDefault="00E406C7">
            <w:pPr>
              <w:pStyle w:val="P68B1DB1-Normal11"/>
              <w:jc w:val="center"/>
              <w:rPr>
                <w:noProof/>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D76713" w14:textId="2AEDDCE3" w:rsidR="00327FF1" w:rsidRDefault="00E406C7">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9A2E86" w14:textId="09609E24" w:rsidR="00327FF1" w:rsidRDefault="00E406C7">
            <w:pPr>
              <w:pStyle w:val="P68B1DB1-Normal12"/>
              <w:spacing w:after="120"/>
              <w:rPr>
                <w:noProof/>
              </w:rPr>
            </w:pPr>
            <w:r>
              <w:rPr>
                <w:noProof/>
              </w:rPr>
              <w:t>Lietotnē “IO” ir vismaz 14100 publiskās pārvaldes iestāžu, kas piedāvā vairākus pakalpojumus: vidēji 35 pakalpojumi paš</w:t>
            </w:r>
            <w:r>
              <w:rPr>
                <w:noProof/>
              </w:rPr>
              <w:t>valdībām, 15 pakalpojumi reģioniem, 15 pakalpojumi veselības aprūpes iestādēm un 8 pakalpojumi skolām un universitātēm.</w:t>
            </w:r>
          </w:p>
        </w:tc>
      </w:tr>
      <w:tr w:rsidR="00327FF1" w14:paraId="41B65626"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B8D272" w14:textId="03A05AF9" w:rsidR="00327FF1" w:rsidRDefault="00E406C7">
            <w:pPr>
              <w:pStyle w:val="P68B1DB1-Normal11"/>
              <w:jc w:val="center"/>
              <w:rPr>
                <w:noProof/>
              </w:rPr>
            </w:pPr>
            <w:r>
              <w:rPr>
                <w:noProof/>
              </w:rPr>
              <w:t>M1C1–152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6E3009" w14:textId="39CEA7FF" w:rsidR="00327FF1" w:rsidRDefault="00E406C7">
            <w:pPr>
              <w:pStyle w:val="P68B1DB1-Normal11"/>
              <w:spacing w:line="276" w:lineRule="auto"/>
              <w:jc w:val="center"/>
              <w:rPr>
                <w:noProof/>
                <w:szCs w:val="20"/>
              </w:rPr>
            </w:pPr>
            <w:r>
              <w:rPr>
                <w:noProof/>
              </w:rPr>
              <w:t>Investīcija 1.6.1. — Iekšlietu ministrijas digitalizācija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35B432" w14:textId="480FBB8D" w:rsidR="00327FF1" w:rsidRDefault="00E406C7">
            <w:pPr>
              <w:pStyle w:val="P68B1DB1-Normal11"/>
              <w:jc w:val="center"/>
              <w:rPr>
                <w:noProof/>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4E9D5B" w14:textId="1E9AE8DD" w:rsidR="00327FF1" w:rsidRDefault="00E406C7">
            <w:pPr>
              <w:pStyle w:val="P68B1DB1-Normal12"/>
              <w:jc w:val="center"/>
              <w:rPr>
                <w:noProof/>
              </w:rPr>
            </w:pPr>
            <w:r>
              <w:rPr>
                <w:noProof/>
              </w:rPr>
              <w:t>Iekšlietu ministrija — pārveidoti un digitalizēti procesi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F798EF" w14:textId="37E43B8E" w:rsidR="00327FF1" w:rsidRDefault="00E406C7">
            <w:pPr>
              <w:pStyle w:val="P68B1DB1-Normal11"/>
              <w:jc w:val="center"/>
              <w:rPr>
                <w:noProof/>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B2B961" w14:textId="49CD852F" w:rsidR="00327FF1" w:rsidRDefault="00E406C7">
            <w:pPr>
              <w:pStyle w:val="P68B1DB1-Normal11"/>
              <w:jc w:val="center"/>
              <w:rPr>
                <w:noProof/>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7E8CB0" w14:textId="6C7B4AAA" w:rsidR="00327FF1" w:rsidRDefault="00E406C7">
            <w:pPr>
              <w:pStyle w:val="P68B1DB1-Normal11"/>
              <w:jc w:val="center"/>
              <w:rPr>
                <w:noProof/>
              </w:rPr>
            </w:pPr>
            <w:r>
              <w:rPr>
                <w:noProof/>
              </w:rPr>
              <w:t>7</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E81C98" w14:textId="50EC5FDB" w:rsidR="00327FF1" w:rsidRDefault="00E406C7">
            <w:pPr>
              <w:pStyle w:val="P68B1DB1-Normal11"/>
              <w:jc w:val="center"/>
              <w:rPr>
                <w:noProof/>
              </w:rPr>
            </w:pPr>
            <w:r>
              <w:rPr>
                <w:noProof/>
              </w:rPr>
              <w:t>45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9DD958" w14:textId="17263764" w:rsidR="00327FF1" w:rsidRDefault="00E406C7">
            <w:pPr>
              <w:pStyle w:val="P68B1DB1-Normal11"/>
              <w:jc w:val="center"/>
              <w:rPr>
                <w:noProof/>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A7F4EA" w14:textId="3027C135" w:rsidR="00327FF1" w:rsidRDefault="00E406C7">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6B76B7" w14:textId="002BEBD8" w:rsidR="00327FF1" w:rsidRDefault="00E406C7">
            <w:pPr>
              <w:pStyle w:val="P68B1DB1-Normal12"/>
              <w:spacing w:after="120"/>
              <w:rPr>
                <w:noProof/>
              </w:rPr>
            </w:pPr>
            <w:r>
              <w:rPr>
                <w:noProof/>
              </w:rPr>
              <w:t>Iekšējie procesi tiek pārveidoti un digitalizēti.</w:t>
            </w:r>
          </w:p>
        </w:tc>
      </w:tr>
      <w:tr w:rsidR="00327FF1" w14:paraId="1919F518"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2D1E3" w14:textId="1252A1EE" w:rsidR="00327FF1" w:rsidRDefault="00E406C7">
            <w:pPr>
              <w:pStyle w:val="P68B1DB1-Normal11"/>
              <w:jc w:val="center"/>
              <w:rPr>
                <w:noProof/>
              </w:rPr>
            </w:pPr>
            <w:r>
              <w:rPr>
                <w:noProof/>
              </w:rPr>
              <w:t>M1C1–153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AAB952" w14:textId="071ADF49" w:rsidR="00327FF1" w:rsidRDefault="00E406C7">
            <w:pPr>
              <w:pStyle w:val="P68B1DB1-Normal11"/>
              <w:spacing w:line="276" w:lineRule="auto"/>
              <w:jc w:val="center"/>
              <w:rPr>
                <w:noProof/>
              </w:rPr>
            </w:pPr>
            <w:r>
              <w:rPr>
                <w:noProof/>
              </w:rPr>
              <w:t>Investīcija 1.6.2. — Tieslietu ministrijas digitalizācija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94600C" w14:textId="2CF4B35C" w:rsidR="00327FF1" w:rsidRDefault="00E406C7">
            <w:pPr>
              <w:pStyle w:val="P68B1DB1-Normal11"/>
              <w:jc w:val="center"/>
              <w:rPr>
                <w:noProof/>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357D5C" w14:textId="4291A0F8" w:rsidR="00327FF1" w:rsidRDefault="00E406C7">
            <w:pPr>
              <w:pStyle w:val="P68B1DB1-Normal11"/>
              <w:jc w:val="center"/>
              <w:rPr>
                <w:noProof/>
                <w:szCs w:val="20"/>
              </w:rPr>
            </w:pPr>
            <w:r>
              <w:rPr>
                <w:noProof/>
              </w:rPr>
              <w:t>Digitalizētas tiesvedības lietas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16F376" w14:textId="67D92E0C" w:rsidR="00327FF1" w:rsidRDefault="00E406C7">
            <w:pPr>
              <w:pStyle w:val="P68B1DB1-Normal11"/>
              <w:jc w:val="center"/>
              <w:rPr>
                <w:noProof/>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86C2D1" w14:textId="11C8680A" w:rsidR="00327FF1" w:rsidRDefault="00E406C7">
            <w:pPr>
              <w:pStyle w:val="P68B1DB1-Normal11"/>
              <w:jc w:val="center"/>
              <w:rPr>
                <w:noProof/>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ECBAAC" w14:textId="504C0DC4" w:rsidR="00327FF1" w:rsidRDefault="00E406C7">
            <w:pPr>
              <w:pStyle w:val="P68B1DB1-Normal11"/>
              <w:jc w:val="center"/>
              <w:rPr>
                <w:noProof/>
              </w:rPr>
            </w:pPr>
            <w:r>
              <w:rPr>
                <w:noProof/>
              </w:rPr>
              <w:t>3 500 000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C21DF1" w14:textId="10B8F2A5" w:rsidR="00327FF1" w:rsidRDefault="00E406C7">
            <w:pPr>
              <w:pStyle w:val="P68B1DB1-Normal11"/>
              <w:jc w:val="center"/>
              <w:rPr>
                <w:noProof/>
              </w:rPr>
            </w:pPr>
            <w:r>
              <w:rPr>
                <w:noProof/>
              </w:rPr>
              <w:t>7 750 000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038F00" w14:textId="224160A3" w:rsidR="00327FF1" w:rsidRDefault="00E406C7">
            <w:pPr>
              <w:pStyle w:val="P68B1DB1-Normal11"/>
              <w:jc w:val="center"/>
              <w:rPr>
                <w:noProof/>
              </w:rPr>
            </w:pPr>
            <w:r>
              <w:rPr>
                <w:noProof/>
              </w:rPr>
              <w:t>4.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91D4C9" w14:textId="412505A3" w:rsidR="00327FF1" w:rsidRDefault="00E406C7">
            <w:pPr>
              <w:pStyle w:val="P68B1DB1-Normal11"/>
              <w:jc w:val="center"/>
              <w:rPr>
                <w:noProof/>
              </w:rPr>
            </w:pPr>
            <w:r>
              <w:rPr>
                <w:noProof/>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9CD812" w14:textId="44560F70" w:rsidR="00327FF1" w:rsidRDefault="00E406C7">
            <w:pPr>
              <w:pStyle w:val="P68B1DB1-Normal22"/>
              <w:spacing w:after="120"/>
              <w:rPr>
                <w:rFonts w:hAnsi="Arial Narrow" w:hint="default"/>
                <w:noProof/>
              </w:rPr>
            </w:pPr>
            <w:r>
              <w:rPr>
                <w:noProof/>
              </w:rPr>
              <w:t>T</w:t>
            </w:r>
            <w:r>
              <w:rPr>
                <w:noProof/>
              </w:rPr>
              <w:t>ā</w:t>
            </w:r>
            <w:r>
              <w:rPr>
                <w:noProof/>
              </w:rPr>
              <w:t xml:space="preserve">du </w:t>
            </w:r>
            <w:r>
              <w:rPr>
                <w:noProof/>
              </w:rPr>
              <w:t>7750000 tiesu lietu digitaliz</w:t>
            </w:r>
            <w:r>
              <w:rPr>
                <w:noProof/>
              </w:rPr>
              <w:t>ā</w:t>
            </w:r>
            <w:r>
              <w:rPr>
                <w:noProof/>
              </w:rPr>
              <w:t>cija, kas attiecas uz p</w:t>
            </w:r>
            <w:r>
              <w:rPr>
                <w:noProof/>
              </w:rPr>
              <w:t>ē</w:t>
            </w:r>
            <w:r>
              <w:rPr>
                <w:noProof/>
              </w:rPr>
              <w:t>d</w:t>
            </w:r>
            <w:r>
              <w:rPr>
                <w:noProof/>
              </w:rPr>
              <w:t>ē</w:t>
            </w:r>
            <w:r>
              <w:rPr>
                <w:noProof/>
              </w:rPr>
              <w:t>jiem 20 gadiem (01.01.2006.</w:t>
            </w:r>
            <w:r>
              <w:rPr>
                <w:noProof/>
              </w:rPr>
              <w:t>–</w:t>
            </w:r>
            <w:r>
              <w:rPr>
                <w:noProof/>
              </w:rPr>
              <w:t>30.06.2026.) saist</w:t>
            </w:r>
            <w:r>
              <w:rPr>
                <w:noProof/>
              </w:rPr>
              <w:t>ī</w:t>
            </w:r>
            <w:r>
              <w:rPr>
                <w:noProof/>
              </w:rPr>
              <w:t>b</w:t>
            </w:r>
            <w:r>
              <w:rPr>
                <w:noProof/>
              </w:rPr>
              <w:t>ā</w:t>
            </w:r>
            <w:r>
              <w:rPr>
                <w:noProof/>
              </w:rPr>
              <w:t xml:space="preserve"> ar pabeigtiem vai notieko</w:t>
            </w:r>
            <w:r>
              <w:rPr>
                <w:noProof/>
              </w:rPr>
              <w:t>š</w:t>
            </w:r>
            <w:r>
              <w:rPr>
                <w:noProof/>
              </w:rPr>
              <w:t>iem tiesas procesiem.</w:t>
            </w:r>
          </w:p>
        </w:tc>
      </w:tr>
      <w:tr w:rsidR="00327FF1" w14:paraId="69BB1885" w14:textId="77777777">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8D6F8E" w14:textId="349B11A2" w:rsidR="00327FF1" w:rsidRDefault="00E406C7">
            <w:pPr>
              <w:pStyle w:val="P68B1DB1-Normal11"/>
              <w:jc w:val="center"/>
              <w:rPr>
                <w:noProof/>
              </w:rPr>
            </w:pPr>
            <w:r>
              <w:rPr>
                <w:noProof/>
              </w:rPr>
              <w:t>M1C1–154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FD62AC" w14:textId="3C003471" w:rsidR="00327FF1" w:rsidRDefault="00E406C7">
            <w:pPr>
              <w:pStyle w:val="P68B1DB1-Normal11"/>
              <w:spacing w:line="276" w:lineRule="auto"/>
              <w:jc w:val="center"/>
              <w:rPr>
                <w:noProof/>
              </w:rPr>
            </w:pPr>
            <w:r>
              <w:rPr>
                <w:noProof/>
              </w:rPr>
              <w:t>Investīcija 1.6.2. — Tieslietu ministrijas digitalizācija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BF09EB" w14:textId="6EE89C8E" w:rsidR="00327FF1" w:rsidRDefault="00E406C7">
            <w:pPr>
              <w:pStyle w:val="P68B1DB1-Normal11"/>
              <w:jc w:val="center"/>
              <w:rPr>
                <w:noProof/>
              </w:rPr>
            </w:pPr>
            <w:r>
              <w:rPr>
                <w:noProof/>
              </w:rPr>
              <w:t>Mērķa</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EC675F" w14:textId="6CCAD4B1" w:rsidR="00327FF1" w:rsidRDefault="00E406C7">
            <w:pPr>
              <w:pStyle w:val="P68B1DB1-Normal11"/>
              <w:jc w:val="center"/>
              <w:rPr>
                <w:noProof/>
                <w:szCs w:val="20"/>
              </w:rPr>
            </w:pPr>
            <w:r>
              <w:rPr>
                <w:noProof/>
              </w:rPr>
              <w:t xml:space="preserve">Zināšanu sistēmas </w:t>
            </w:r>
            <w:r>
              <w:rPr>
                <w:noProof/>
              </w:rPr>
              <w:t>“Tiesiskums datu vilcināšanās”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669AD" w14:textId="3C4E73BA" w:rsidR="00327FF1" w:rsidRDefault="00E406C7">
            <w:pPr>
              <w:pStyle w:val="P68B1DB1-Normal11"/>
              <w:jc w:val="center"/>
              <w:rPr>
                <w:noProof/>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50D43C" w14:textId="28BA6FED" w:rsidR="00327FF1" w:rsidRDefault="00E406C7">
            <w:pPr>
              <w:pStyle w:val="P68B1DB1-Normal11"/>
              <w:jc w:val="center"/>
              <w:rPr>
                <w:noProof/>
              </w:rPr>
            </w:pPr>
            <w:r>
              <w:rPr>
                <w:noProof/>
              </w:rPr>
              <w:t>Skaits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EAD918" w14:textId="1364AA45" w:rsidR="00327FF1" w:rsidRDefault="00E406C7">
            <w:pPr>
              <w:pStyle w:val="P68B1DB1-Normal11"/>
              <w:jc w:val="center"/>
              <w:rPr>
                <w:noProof/>
              </w:rPr>
            </w:pPr>
            <w:r>
              <w:rPr>
                <w:noProof/>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971249" w14:textId="17E4E45F" w:rsidR="00327FF1" w:rsidRDefault="00E406C7">
            <w:pPr>
              <w:pStyle w:val="P68B1DB1-Normal11"/>
              <w:jc w:val="center"/>
              <w:rPr>
                <w:noProof/>
              </w:rPr>
            </w:pPr>
            <w:r>
              <w:rPr>
                <w:noProof/>
              </w:rPr>
              <w:t>6</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A54693" w14:textId="4319D90B" w:rsidR="00327FF1" w:rsidRDefault="00E406C7">
            <w:pPr>
              <w:pStyle w:val="P68B1DB1-Normal11"/>
              <w:jc w:val="center"/>
              <w:rPr>
                <w:noProof/>
              </w:rPr>
            </w:pPr>
            <w:r>
              <w:rPr>
                <w:noProof/>
              </w:rPr>
              <w:t>2. CET.</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14DE5" w14:textId="51A84E3E" w:rsidR="00327FF1" w:rsidRDefault="00E406C7">
            <w:pPr>
              <w:pStyle w:val="P68B1DB1-Normal11"/>
              <w:jc w:val="center"/>
              <w:rPr>
                <w:noProof/>
              </w:rPr>
            </w:pPr>
            <w:r>
              <w:rPr>
                <w:noProof/>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CE72CC" w14:textId="4C91453C" w:rsidR="00327FF1" w:rsidRDefault="00E406C7">
            <w:pPr>
              <w:pStyle w:val="P68B1DB1-Normal12"/>
              <w:spacing w:after="120"/>
              <w:rPr>
                <w:noProof/>
              </w:rPr>
            </w:pPr>
            <w:r>
              <w:rPr>
                <w:noProof/>
              </w:rPr>
              <w:t>Sešu jaunu “Datu ezera” zināšanu sistēmu ieviešana.</w:t>
            </w:r>
          </w:p>
          <w:p w14:paraId="4B16C085" w14:textId="77777777" w:rsidR="00327FF1" w:rsidRDefault="00E406C7">
            <w:pPr>
              <w:pStyle w:val="P68B1DB1-ListParagraph15"/>
              <w:numPr>
                <w:ilvl w:val="0"/>
                <w:numId w:val="55"/>
              </w:numPr>
              <w:spacing w:after="0" w:line="240" w:lineRule="auto"/>
              <w:ind w:left="357" w:hanging="357"/>
              <w:contextualSpacing w:val="0"/>
              <w:rPr>
                <w:noProof/>
                <w:szCs w:val="20"/>
              </w:rPr>
            </w:pPr>
            <w:r>
              <w:rPr>
                <w:noProof/>
              </w:rPr>
              <w:t>Civiltiesisko sodu un kriminālsodu anonimizācijas sistēma</w:t>
            </w:r>
          </w:p>
          <w:p w14:paraId="42E481F0" w14:textId="77777777" w:rsidR="00327FF1" w:rsidRDefault="00E406C7">
            <w:pPr>
              <w:pStyle w:val="P68B1DB1-ListParagraph15"/>
              <w:numPr>
                <w:ilvl w:val="0"/>
                <w:numId w:val="55"/>
              </w:numPr>
              <w:spacing w:after="0" w:line="240" w:lineRule="auto"/>
              <w:ind w:left="357" w:hanging="357"/>
              <w:contextualSpacing w:val="0"/>
              <w:rPr>
                <w:noProof/>
                <w:szCs w:val="20"/>
              </w:rPr>
            </w:pPr>
            <w:r>
              <w:rPr>
                <w:noProof/>
              </w:rPr>
              <w:t>Integrēta pārvaldības sistēma</w:t>
            </w:r>
          </w:p>
          <w:p w14:paraId="5359A2F0" w14:textId="77777777" w:rsidR="00327FF1" w:rsidRDefault="00E406C7">
            <w:pPr>
              <w:pStyle w:val="P68B1DB1-ListParagraph15"/>
              <w:numPr>
                <w:ilvl w:val="0"/>
                <w:numId w:val="55"/>
              </w:numPr>
              <w:spacing w:after="0" w:line="240" w:lineRule="auto"/>
              <w:ind w:left="357" w:hanging="357"/>
              <w:contextualSpacing w:val="0"/>
              <w:rPr>
                <w:noProof/>
                <w:szCs w:val="20"/>
              </w:rPr>
            </w:pPr>
            <w:r>
              <w:rPr>
                <w:noProof/>
              </w:rPr>
              <w:t>Civillietu pārvaldības un analīzes sistēma</w:t>
            </w:r>
          </w:p>
          <w:p w14:paraId="30CCA75B" w14:textId="77777777" w:rsidR="00327FF1" w:rsidRDefault="00E406C7">
            <w:pPr>
              <w:pStyle w:val="P68B1DB1-ListParagraph15"/>
              <w:numPr>
                <w:ilvl w:val="0"/>
                <w:numId w:val="55"/>
              </w:numPr>
              <w:spacing w:after="0" w:line="240" w:lineRule="auto"/>
              <w:ind w:left="357" w:hanging="357"/>
              <w:contextualSpacing w:val="0"/>
              <w:rPr>
                <w:noProof/>
                <w:szCs w:val="20"/>
              </w:rPr>
            </w:pPr>
            <w:r>
              <w:rPr>
                <w:noProof/>
              </w:rPr>
              <w:t>Krimi</w:t>
            </w:r>
            <w:r>
              <w:rPr>
                <w:noProof/>
              </w:rPr>
              <w:t>nāllietu pārvaldības un analīzes sistēma</w:t>
            </w:r>
          </w:p>
          <w:p w14:paraId="363D238D" w14:textId="77777777" w:rsidR="00327FF1" w:rsidRDefault="00E406C7">
            <w:pPr>
              <w:pStyle w:val="P68B1DB1-ListParagraph15"/>
              <w:numPr>
                <w:ilvl w:val="0"/>
                <w:numId w:val="55"/>
              </w:numPr>
              <w:spacing w:after="0" w:line="240" w:lineRule="auto"/>
              <w:ind w:left="357" w:hanging="357"/>
              <w:contextualSpacing w:val="0"/>
              <w:rPr>
                <w:noProof/>
                <w:szCs w:val="20"/>
              </w:rPr>
            </w:pPr>
            <w:r>
              <w:rPr>
                <w:noProof/>
              </w:rPr>
              <w:t>Uzlabota statistikas sistēma par civilprocesiem un krimināllietām</w:t>
            </w:r>
          </w:p>
          <w:p w14:paraId="6289BBBA" w14:textId="77777777" w:rsidR="00327FF1" w:rsidRDefault="00E406C7">
            <w:pPr>
              <w:pStyle w:val="P68B1DB1-ListParagraph23"/>
              <w:numPr>
                <w:ilvl w:val="0"/>
                <w:numId w:val="55"/>
              </w:numPr>
              <w:spacing w:after="0" w:line="240" w:lineRule="auto"/>
              <w:ind w:left="357" w:hanging="357"/>
              <w:rPr>
                <w:noProof/>
              </w:rPr>
            </w:pPr>
            <w:r>
              <w:rPr>
                <w:noProof/>
              </w:rPr>
              <w:t>Automatizēta sistēma cietušā un likumpārkāpēja attiecību identificēšanai.</w:t>
            </w:r>
          </w:p>
          <w:p w14:paraId="5F661186" w14:textId="77777777" w:rsidR="00327FF1" w:rsidRDefault="00327FF1">
            <w:pPr>
              <w:spacing w:after="120"/>
              <w:rPr>
                <w:rFonts w:ascii="Arial Narrow" w:hAnsi="Arial Narrow"/>
                <w:noProof/>
                <w:color w:val="006100"/>
                <w:sz w:val="20"/>
                <w:szCs w:val="20"/>
              </w:rPr>
            </w:pPr>
          </w:p>
        </w:tc>
      </w:tr>
    </w:tbl>
    <w:p w14:paraId="44787D4F" w14:textId="77777777" w:rsidR="00327FF1" w:rsidRDefault="00327FF1">
      <w:pPr>
        <w:tabs>
          <w:tab w:val="left" w:pos="4252"/>
        </w:tabs>
        <w:rPr>
          <w:i/>
          <w:noProof/>
        </w:rPr>
        <w:sectPr w:rsidR="00327FF1" w:rsidSect="005F11B9">
          <w:headerReference w:type="even" r:id="rId24"/>
          <w:headerReference w:type="default" r:id="rId25"/>
          <w:footerReference w:type="even" r:id="rId26"/>
          <w:footerReference w:type="default" r:id="rId27"/>
          <w:headerReference w:type="first" r:id="rId28"/>
          <w:footerReference w:type="first" r:id="rId29"/>
          <w:pgSz w:w="16838" w:h="11906" w:orient="landscape" w:code="9"/>
          <w:pgMar w:top="1134" w:right="1134" w:bottom="1134" w:left="1134" w:header="567" w:footer="567" w:gutter="0"/>
          <w:cols w:space="720"/>
          <w:docGrid w:linePitch="360"/>
        </w:sectPr>
      </w:pPr>
    </w:p>
    <w:p w14:paraId="5D6C1557" w14:textId="77777777" w:rsidR="00327FF1" w:rsidRDefault="00E406C7">
      <w:pPr>
        <w:pStyle w:val="P68B1DB1-Heading34"/>
        <w:ind w:left="850" w:hanging="850"/>
        <w:rPr>
          <w:b/>
          <w:bCs/>
          <w:i/>
          <w:iCs/>
          <w:noProof/>
          <w:u w:val="single"/>
        </w:rPr>
      </w:pPr>
      <w:r>
        <w:rPr>
          <w:b/>
          <w:noProof/>
          <w:u w:val="single"/>
        </w:rPr>
        <w:t xml:space="preserve">A.3. </w:t>
      </w:r>
      <w:r>
        <w:rPr>
          <w:noProof/>
        </w:rPr>
        <w:t xml:space="preserve"> </w:t>
      </w:r>
      <w:r>
        <w:rPr>
          <w:b/>
          <w:noProof/>
          <w:u w:val="single"/>
        </w:rPr>
        <w:t xml:space="preserve">Aizdevumam pieteikto reformu un investīciju apraksts </w:t>
      </w:r>
    </w:p>
    <w:p w14:paraId="167B9C0D" w14:textId="77777777" w:rsidR="00327FF1" w:rsidRDefault="00327FF1">
      <w:pPr>
        <w:spacing w:before="120" w:after="120"/>
        <w:jc w:val="both"/>
        <w:rPr>
          <w:b/>
          <w:noProof/>
        </w:rPr>
      </w:pPr>
    </w:p>
    <w:p w14:paraId="1F1E525A" w14:textId="77777777" w:rsidR="00327FF1" w:rsidRDefault="00E406C7">
      <w:pPr>
        <w:pStyle w:val="P68B1DB1-Normal5"/>
        <w:spacing w:before="120" w:after="120"/>
        <w:jc w:val="both"/>
        <w:rPr>
          <w:noProof/>
        </w:rPr>
      </w:pPr>
      <w:r>
        <w:rPr>
          <w:noProof/>
        </w:rPr>
        <w:t>Investīcija 1.2. — Mākoņdatošanas veicināšana vietējai PN</w:t>
      </w:r>
    </w:p>
    <w:p w14:paraId="6949FFF0" w14:textId="77777777" w:rsidR="00327FF1" w:rsidRDefault="00E406C7">
      <w:pPr>
        <w:pStyle w:val="Descriptiontitle"/>
        <w:ind w:left="0"/>
        <w:rPr>
          <w:noProof/>
        </w:rPr>
      </w:pPr>
      <w:r>
        <w:rPr>
          <w:noProof/>
        </w:rPr>
        <w:t>Šīs investīcijas mērķis ir pārvietot būtiskas vietējās publiskās pārvaldes daļas datu kopas un lietojumus uz drošu mākoņdatošanas infrastruktūr</w:t>
      </w:r>
      <w:r>
        <w:rPr>
          <w:noProof/>
        </w:rPr>
        <w:t xml:space="preserve">u, ļaujot katrai administrācijai brīvi izvēlēties sertificētu publisko mākoņu vidi kopumā. </w:t>
      </w:r>
    </w:p>
    <w:p w14:paraId="56EC91B2" w14:textId="36132F47" w:rsidR="00327FF1" w:rsidRDefault="00E406C7">
      <w:pPr>
        <w:pStyle w:val="Descriptiontitle"/>
        <w:ind w:left="0"/>
        <w:rPr>
          <w:noProof/>
        </w:rPr>
      </w:pPr>
      <w:r>
        <w:rPr>
          <w:noProof/>
        </w:rPr>
        <w:t>Pasākums paredz arī “migrācijas kā pakalpojuma” atbalsta paketi administrācijām, kas ietver: I) sākotnējo novērtējumu, ii) procesuālo/administratīvo atbalstu, kas n</w:t>
      </w:r>
      <w:r>
        <w:rPr>
          <w:noProof/>
        </w:rPr>
        <w:t>epieciešams centienu uzsākšanai, iii) sarunas par nepieciešamo ārējo atbalstu un iv) projekta vispārējo vadību izpildes gaitā. Paredzams, ka Tehnoloģiju inovācijas un digitālās pārkārtošanās ministrijas (MITD) uzraudzīta grupa noteiks un sertificēs plašu k</w:t>
      </w:r>
      <w:r>
        <w:rPr>
          <w:noProof/>
        </w:rPr>
        <w:t>valificētu pakalpojumu sniedzēju sarakstu un risinās sarunas par standarta atbalsta pasākumu kopumu, kas pielāgots administrācijas lielumam un ar migrāciju saistītajiem dienestiem.</w:t>
      </w:r>
    </w:p>
    <w:p w14:paraId="4C9E4F00" w14:textId="77777777" w:rsidR="00327FF1" w:rsidRDefault="00E406C7">
      <w:pPr>
        <w:pStyle w:val="P68B1DB1-Descriptiontitle6"/>
        <w:ind w:left="0"/>
        <w:rPr>
          <w:noProof/>
        </w:rPr>
      </w:pPr>
      <w:r>
        <w:rPr>
          <w:noProof/>
        </w:rPr>
        <w:t>Investīcija. Digitālie pakalpojumi un iedzīvotāju pieredze</w:t>
      </w:r>
    </w:p>
    <w:p w14:paraId="70499E12" w14:textId="77777777" w:rsidR="00327FF1" w:rsidRDefault="00E406C7">
      <w:pPr>
        <w:pStyle w:val="Descriptiontitle"/>
        <w:ind w:left="0"/>
        <w:rPr>
          <w:noProof/>
        </w:rPr>
      </w:pPr>
      <w:r>
        <w:rPr>
          <w:noProof/>
        </w:rPr>
        <w:t>Šīs investīcijas</w:t>
      </w:r>
      <w:r>
        <w:rPr>
          <w:noProof/>
        </w:rPr>
        <w:t xml:space="preserve"> mērķis ir izveidot integrētu un uz iedzīvotājiem orientētu digitālo publisko pakalpojumu ekosistēmu, nodrošināt to plašu ieviešanu centrālajās un vietējās pārvaldes iestādēs un uzlabot vispārējo lietotāju pieredzi. </w:t>
      </w:r>
    </w:p>
    <w:p w14:paraId="53420808" w14:textId="3F4AE916" w:rsidR="00327FF1" w:rsidRDefault="00E406C7">
      <w:pPr>
        <w:pStyle w:val="Descriptiontitle"/>
        <w:ind w:left="0"/>
        <w:rPr>
          <w:noProof/>
        </w:rPr>
      </w:pPr>
      <w:r>
        <w:rPr>
          <w:noProof/>
        </w:rPr>
        <w:t xml:space="preserve">Pasākums: </w:t>
      </w:r>
    </w:p>
    <w:p w14:paraId="273AFF89" w14:textId="77777777" w:rsidR="00327FF1" w:rsidRDefault="00E406C7">
      <w:pPr>
        <w:pStyle w:val="Descriptiontitle"/>
        <w:numPr>
          <w:ilvl w:val="0"/>
          <w:numId w:val="56"/>
        </w:numPr>
        <w:ind w:left="578" w:hanging="578"/>
        <w:rPr>
          <w:noProof/>
        </w:rPr>
      </w:pPr>
      <w:r>
        <w:rPr>
          <w:noProof/>
        </w:rPr>
        <w:t>definē atkārtoti izmantojamu</w:t>
      </w:r>
      <w:r>
        <w:rPr>
          <w:noProof/>
        </w:rPr>
        <w:t>s pakalpojumu sniegšanas modeļus, kas nodrošina pilnīgas piekļūstamības prasības (1.4.1. investīcija — Iedzīvotāju pieredze — digitālo publisko pakalpojumu kvalitātes un izmantojamības uzlabošana);</w:t>
      </w:r>
    </w:p>
    <w:p w14:paraId="1D6A0270" w14:textId="77777777" w:rsidR="00327FF1" w:rsidRDefault="00E406C7">
      <w:pPr>
        <w:pStyle w:val="Descriptiontitle"/>
        <w:numPr>
          <w:ilvl w:val="0"/>
          <w:numId w:val="56"/>
        </w:numPr>
        <w:ind w:left="578" w:hanging="578"/>
        <w:rPr>
          <w:noProof/>
        </w:rPr>
      </w:pPr>
      <w:r>
        <w:rPr>
          <w:noProof/>
        </w:rPr>
        <w:t>uzlabo digitālo publisko pakalpojumu pieejamību (Investīci</w:t>
      </w:r>
      <w:r>
        <w:rPr>
          <w:noProof/>
        </w:rPr>
        <w:t>ja 1.4.2. — Iedzīvotāju iekļaušana: Digitālo publisko pakalpojumu pieejamības uzlabošana);</w:t>
      </w:r>
    </w:p>
    <w:p w14:paraId="06EC4A19" w14:textId="77777777" w:rsidR="00327FF1" w:rsidRDefault="00E406C7">
      <w:pPr>
        <w:pStyle w:val="Descriptiontitle"/>
        <w:numPr>
          <w:ilvl w:val="0"/>
          <w:numId w:val="56"/>
        </w:numPr>
        <w:ind w:left="578" w:hanging="578"/>
        <w:rPr>
          <w:noProof/>
        </w:rPr>
      </w:pPr>
      <w:r>
        <w:rPr>
          <w:noProof/>
        </w:rPr>
        <w:t>paredz pieņemt digitālo lietotni maksājumiem starp iedzīvotājiem un valsts pārvaldes iestādēm (PagoPa) un lietotni “IO” (Investīcija 1.4.3. — PagoPA platformas pakal</w:t>
      </w:r>
      <w:r>
        <w:rPr>
          <w:noProof/>
        </w:rPr>
        <w:t>pojumu un lietotnes “IO” ieviešana);</w:t>
      </w:r>
    </w:p>
    <w:p w14:paraId="31E35888" w14:textId="77777777" w:rsidR="00327FF1" w:rsidRDefault="00E406C7">
      <w:pPr>
        <w:pStyle w:val="Descriptiontitle"/>
        <w:numPr>
          <w:ilvl w:val="0"/>
          <w:numId w:val="56"/>
        </w:numPr>
        <w:ind w:left="578" w:hanging="578"/>
        <w:rPr>
          <w:noProof/>
        </w:rPr>
      </w:pPr>
      <w:r>
        <w:rPr>
          <w:noProof/>
        </w:rPr>
        <w:t>veicina valsts digitālās identitātes platformu (Sistema Pubblico di Identità Digitale, SPID un Carta d’Identità Elettronica, CIE) un valsts reģistra (Anagrafe nazionale della popolazione residente, ANPR) pieņemšanu (inv</w:t>
      </w:r>
      <w:r>
        <w:rPr>
          <w:noProof/>
        </w:rPr>
        <w:t>estīcija 1.4.4. — Valsts digitālās identitātes platformu (SPID, CIE) un valsts reģistra (ANPR) paplašināšana);</w:t>
      </w:r>
    </w:p>
    <w:p w14:paraId="79C81CC3" w14:textId="77777777" w:rsidR="00327FF1" w:rsidRDefault="00E406C7">
      <w:pPr>
        <w:pStyle w:val="Descriptiontitle"/>
        <w:numPr>
          <w:ilvl w:val="0"/>
          <w:numId w:val="56"/>
        </w:numPr>
        <w:ind w:left="578" w:hanging="578"/>
        <w:rPr>
          <w:noProof/>
        </w:rPr>
      </w:pPr>
      <w:r>
        <w:rPr>
          <w:noProof/>
        </w:rPr>
        <w:t>izveido vienotu paziņošanas platformu (Investīcija 1.4.5. — Publisko paziņojumu digitalizācija);</w:t>
      </w:r>
    </w:p>
    <w:p w14:paraId="0D04705C" w14:textId="7673A939" w:rsidR="00327FF1" w:rsidRDefault="00E406C7">
      <w:pPr>
        <w:pStyle w:val="Descriptiontitle"/>
        <w:numPr>
          <w:ilvl w:val="0"/>
          <w:numId w:val="56"/>
        </w:numPr>
        <w:ind w:left="578" w:hanging="578"/>
        <w:rPr>
          <w:noProof/>
        </w:rPr>
      </w:pPr>
      <w:r>
        <w:rPr>
          <w:noProof/>
        </w:rPr>
        <w:t xml:space="preserve">paredz pieņemt Mobilitāti kā pakalpojumu (MaaS) </w:t>
      </w:r>
      <w:r>
        <w:rPr>
          <w:noProof/>
        </w:rPr>
        <w:t>(Investīcija 1.4.6. — Mobilitāte kā pakalpojums Itālijai, un šis pēdējais pasākums tiek finansēts, pamatojoties uz neatmaksājamu finansiālu atbalstu).</w:t>
      </w:r>
    </w:p>
    <w:p w14:paraId="7E573549" w14:textId="77777777" w:rsidR="00327FF1" w:rsidRDefault="00E406C7">
      <w:pPr>
        <w:pStyle w:val="P68B1DB1-Normal5"/>
        <w:spacing w:before="120" w:after="120"/>
        <w:jc w:val="both"/>
        <w:rPr>
          <w:noProof/>
        </w:rPr>
      </w:pPr>
      <w:r>
        <w:rPr>
          <w:noProof/>
        </w:rPr>
        <w:t>Investīcija 1.6. Lielo centrālo pārvalžu digitālā pārveide</w:t>
      </w:r>
    </w:p>
    <w:p w14:paraId="72A436BD" w14:textId="77777777" w:rsidR="00327FF1" w:rsidRDefault="00E406C7">
      <w:pPr>
        <w:pStyle w:val="P68B1DB1-Normal7"/>
        <w:jc w:val="both"/>
        <w:rPr>
          <w:noProof/>
        </w:rPr>
      </w:pPr>
      <w:r>
        <w:rPr>
          <w:noProof/>
        </w:rPr>
        <w:t xml:space="preserve">Šīs investīcijas mērķis ir palielināt </w:t>
      </w:r>
      <w:r>
        <w:rPr>
          <w:noProof/>
        </w:rPr>
        <w:t>efektivitāti un vienkāršot procedūras galvenajās centrālajās pārvaldēs, tostarp i) Valsts sociālā nodrošinājuma institūtā (INPS) un Valsts apdrošināšanas institūtā pret nelaimes gadījumiem darbā (INAIL), ii) tiesu sistēmā, iii) Aizsardzības ministrijā, iv)</w:t>
      </w:r>
      <w:r>
        <w:rPr>
          <w:noProof/>
        </w:rPr>
        <w:t xml:space="preserve"> Iekšlietu ministrijā, v) Finanšu policijā. Ieguldījumu veido prioritāro procesu, darbību un pakalpojumu kopuma pārveide un digitalizācija, kas ir to kompetencē.</w:t>
      </w:r>
    </w:p>
    <w:p w14:paraId="04E83E33" w14:textId="77777777" w:rsidR="00327FF1" w:rsidRDefault="00E406C7">
      <w:pPr>
        <w:rPr>
          <w:noProof/>
        </w:rPr>
        <w:sectPr w:rsidR="00327FF1" w:rsidSect="005F11B9">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docGrid w:linePitch="360"/>
        </w:sectPr>
      </w:pPr>
      <w:r>
        <w:rPr>
          <w:noProof/>
        </w:rPr>
        <w:br w:type="page"/>
      </w:r>
    </w:p>
    <w:p w14:paraId="20D4EF5E" w14:textId="77777777" w:rsidR="00327FF1" w:rsidRDefault="00327FF1">
      <w:pPr>
        <w:rPr>
          <w:noProof/>
        </w:rPr>
      </w:pPr>
    </w:p>
    <w:p w14:paraId="3FB7696F" w14:textId="7A54AE0C" w:rsidR="00327FF1" w:rsidRDefault="00E406C7">
      <w:pPr>
        <w:rPr>
          <w:noProof/>
        </w:rPr>
      </w:pPr>
      <w:r>
        <w:rPr>
          <w:rFonts w:ascii="Times New Roman" w:eastAsia="Times New Roman" w:hAnsi="Times New Roman" w:cs="Times New Roman"/>
          <w:b/>
          <w:noProof/>
          <w:u w:val="single"/>
        </w:rPr>
        <w:t xml:space="preserve">A.4. </w:t>
      </w:r>
      <w:r>
        <w:rPr>
          <w:rFonts w:ascii="Times New Roman" w:eastAsia="Times New Roman" w:hAnsi="Times New Roman" w:cs="Times New Roman"/>
          <w:noProof/>
        </w:rPr>
        <w:t xml:space="preserve"> </w:t>
      </w:r>
      <w:r>
        <w:rPr>
          <w:rFonts w:ascii="Times New Roman" w:eastAsia="Times New Roman" w:hAnsi="Times New Roman" w:cs="Times New Roman"/>
          <w:b/>
          <w:noProof/>
          <w:u w:val="single"/>
        </w:rPr>
        <w:t>Atskaites punkti, mērķrādītāji,</w:t>
      </w:r>
      <w:r>
        <w:rPr>
          <w:rFonts w:ascii="Times New Roman" w:eastAsia="Times New Roman" w:hAnsi="Times New Roman" w:cs="Times New Roman"/>
          <w:b/>
          <w:noProof/>
          <w:u w:val="single"/>
        </w:rPr>
        <w:t xml:space="preserve"> rādītāji un aizdevumu secības uzraudzības un īstenošanas grafiks </w:t>
      </w:r>
    </w:p>
    <w:tbl>
      <w:tblPr>
        <w:tblW w:w="15678" w:type="dxa"/>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087"/>
        <w:gridCol w:w="1943"/>
        <w:gridCol w:w="992"/>
        <w:gridCol w:w="2126"/>
        <w:gridCol w:w="1701"/>
        <w:gridCol w:w="1134"/>
        <w:gridCol w:w="1276"/>
        <w:gridCol w:w="1417"/>
        <w:gridCol w:w="793"/>
        <w:gridCol w:w="625"/>
        <w:gridCol w:w="2584"/>
      </w:tblGrid>
      <w:tr w:rsidR="00327FF1" w14:paraId="06ACB4D6" w14:textId="77777777">
        <w:trPr>
          <w:trHeight w:val="774"/>
          <w:tblHeader/>
        </w:trPr>
        <w:tc>
          <w:tcPr>
            <w:tcW w:w="1087" w:type="dxa"/>
            <w:vMerge w:val="restart"/>
            <w:shd w:val="clear" w:color="auto" w:fill="BDD7EE"/>
            <w:vAlign w:val="center"/>
            <w:hideMark/>
          </w:tcPr>
          <w:p w14:paraId="23EFA29F" w14:textId="6FC07D17" w:rsidR="00327FF1" w:rsidRDefault="00E406C7">
            <w:pPr>
              <w:pStyle w:val="P68B1DB1-Normal10"/>
              <w:jc w:val="center"/>
              <w:rPr>
                <w:noProof/>
                <w:szCs w:val="20"/>
              </w:rPr>
            </w:pPr>
            <w:r>
              <w:rPr>
                <w:noProof/>
              </w:rPr>
              <w:t>Kārtas numurs</w:t>
            </w:r>
          </w:p>
        </w:tc>
        <w:tc>
          <w:tcPr>
            <w:tcW w:w="1943" w:type="dxa"/>
            <w:vMerge w:val="restart"/>
            <w:shd w:val="clear" w:color="auto" w:fill="BDD7EE"/>
            <w:vAlign w:val="center"/>
            <w:hideMark/>
          </w:tcPr>
          <w:p w14:paraId="3B3E6D74" w14:textId="77777777" w:rsidR="00327FF1" w:rsidRDefault="00E406C7">
            <w:pPr>
              <w:pStyle w:val="P68B1DB1-Normal10"/>
              <w:jc w:val="center"/>
              <w:rPr>
                <w:noProof/>
                <w:szCs w:val="20"/>
              </w:rPr>
            </w:pPr>
            <w:r>
              <w:rPr>
                <w:noProof/>
              </w:rPr>
              <w:t>Saistītais pasākums (reforma vai ieguldījums)</w:t>
            </w:r>
          </w:p>
        </w:tc>
        <w:tc>
          <w:tcPr>
            <w:tcW w:w="992" w:type="dxa"/>
            <w:vMerge w:val="restart"/>
            <w:shd w:val="clear" w:color="auto" w:fill="BDD7EE"/>
            <w:vAlign w:val="center"/>
            <w:hideMark/>
          </w:tcPr>
          <w:p w14:paraId="64F9BDC0" w14:textId="77777777" w:rsidR="00327FF1" w:rsidRDefault="00E406C7">
            <w:pPr>
              <w:pStyle w:val="P68B1DB1-Normal10"/>
              <w:jc w:val="center"/>
              <w:rPr>
                <w:noProof/>
                <w:szCs w:val="20"/>
              </w:rPr>
            </w:pPr>
            <w:r>
              <w:rPr>
                <w:noProof/>
              </w:rPr>
              <w:t>Atskaites punkts</w:t>
            </w:r>
          </w:p>
          <w:p w14:paraId="5BF15AF2" w14:textId="468BDFC1" w:rsidR="00327FF1" w:rsidRDefault="00E406C7">
            <w:pPr>
              <w:pStyle w:val="P68B1DB1-Normal10"/>
              <w:jc w:val="center"/>
              <w:rPr>
                <w:noProof/>
                <w:szCs w:val="20"/>
              </w:rPr>
            </w:pPr>
            <w:r>
              <w:rPr>
                <w:noProof/>
              </w:rPr>
              <w:t>/Mērķrādītājs</w:t>
            </w:r>
          </w:p>
        </w:tc>
        <w:tc>
          <w:tcPr>
            <w:tcW w:w="2126" w:type="dxa"/>
            <w:vMerge w:val="restart"/>
            <w:shd w:val="clear" w:color="auto" w:fill="BDD7EE"/>
            <w:vAlign w:val="center"/>
            <w:hideMark/>
          </w:tcPr>
          <w:p w14:paraId="553ADAD7" w14:textId="77777777" w:rsidR="00327FF1" w:rsidRDefault="00E406C7">
            <w:pPr>
              <w:pStyle w:val="P68B1DB1-Normal10"/>
              <w:jc w:val="center"/>
              <w:rPr>
                <w:noProof/>
                <w:szCs w:val="20"/>
              </w:rPr>
            </w:pPr>
            <w:r>
              <w:rPr>
                <w:noProof/>
              </w:rPr>
              <w:t>Nosaukums</w:t>
            </w:r>
          </w:p>
        </w:tc>
        <w:tc>
          <w:tcPr>
            <w:tcW w:w="1701" w:type="dxa"/>
            <w:vMerge w:val="restart"/>
            <w:shd w:val="clear" w:color="auto" w:fill="BDD7EE"/>
            <w:vAlign w:val="center"/>
            <w:hideMark/>
          </w:tcPr>
          <w:p w14:paraId="4DEA5DA5" w14:textId="77777777"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3827" w:type="dxa"/>
            <w:gridSpan w:val="3"/>
            <w:shd w:val="clear" w:color="auto" w:fill="BDD7EE"/>
            <w:vAlign w:val="center"/>
            <w:hideMark/>
          </w:tcPr>
          <w:p w14:paraId="3317603A" w14:textId="77777777" w:rsidR="00327FF1" w:rsidRDefault="00E406C7">
            <w:pPr>
              <w:jc w:val="center"/>
              <w:rPr>
                <w:rFonts w:ascii="Arial Narrow" w:hAnsi="Arial Narrow"/>
                <w:b/>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418" w:type="dxa"/>
            <w:gridSpan w:val="2"/>
            <w:shd w:val="clear" w:color="auto" w:fill="BDD7EE"/>
            <w:vAlign w:val="center"/>
            <w:hideMark/>
          </w:tcPr>
          <w:p w14:paraId="22D37062" w14:textId="77777777" w:rsidR="00327FF1" w:rsidRDefault="00E406C7">
            <w:pPr>
              <w:pStyle w:val="P68B1DB1-Normal10"/>
              <w:jc w:val="center"/>
              <w:rPr>
                <w:noProof/>
                <w:szCs w:val="20"/>
              </w:rPr>
            </w:pPr>
            <w:r>
              <w:rPr>
                <w:noProof/>
              </w:rPr>
              <w:t>Orientējošs pabeigšanas termiņš</w:t>
            </w:r>
          </w:p>
        </w:tc>
        <w:tc>
          <w:tcPr>
            <w:tcW w:w="2584" w:type="dxa"/>
            <w:vMerge w:val="restart"/>
            <w:shd w:val="clear" w:color="auto" w:fill="BDD7EE"/>
            <w:vAlign w:val="center"/>
            <w:hideMark/>
          </w:tcPr>
          <w:p w14:paraId="248B14E1" w14:textId="77777777" w:rsidR="00327FF1" w:rsidRDefault="00E406C7">
            <w:pPr>
              <w:pStyle w:val="P68B1DB1-Normal10"/>
              <w:jc w:val="center"/>
              <w:rPr>
                <w:noProof/>
                <w:szCs w:val="20"/>
              </w:rPr>
            </w:pPr>
            <w:r>
              <w:rPr>
                <w:noProof/>
              </w:rPr>
              <w:t>Apraksts par katru atskaites punktu un mērķrādītāju</w:t>
            </w:r>
          </w:p>
        </w:tc>
      </w:tr>
      <w:tr w:rsidR="00327FF1" w14:paraId="4424822C" w14:textId="77777777">
        <w:trPr>
          <w:trHeight w:val="686"/>
          <w:tblHeader/>
        </w:trPr>
        <w:tc>
          <w:tcPr>
            <w:tcW w:w="1087" w:type="dxa"/>
            <w:vMerge/>
            <w:vAlign w:val="center"/>
            <w:hideMark/>
          </w:tcPr>
          <w:p w14:paraId="2AA238F4" w14:textId="77777777" w:rsidR="00327FF1" w:rsidRDefault="00327FF1">
            <w:pPr>
              <w:jc w:val="center"/>
              <w:rPr>
                <w:rFonts w:ascii="Arial Narrow" w:hAnsi="Arial Narrow"/>
                <w:b/>
                <w:noProof/>
                <w:sz w:val="20"/>
                <w:szCs w:val="20"/>
              </w:rPr>
            </w:pPr>
          </w:p>
        </w:tc>
        <w:tc>
          <w:tcPr>
            <w:tcW w:w="1943" w:type="dxa"/>
            <w:vMerge/>
            <w:vAlign w:val="center"/>
            <w:hideMark/>
          </w:tcPr>
          <w:p w14:paraId="2C6FBFDC" w14:textId="77777777" w:rsidR="00327FF1" w:rsidRDefault="00327FF1">
            <w:pPr>
              <w:jc w:val="center"/>
              <w:rPr>
                <w:rFonts w:ascii="Arial Narrow" w:hAnsi="Arial Narrow"/>
                <w:b/>
                <w:noProof/>
                <w:sz w:val="20"/>
                <w:szCs w:val="20"/>
              </w:rPr>
            </w:pPr>
          </w:p>
        </w:tc>
        <w:tc>
          <w:tcPr>
            <w:tcW w:w="992" w:type="dxa"/>
            <w:vMerge/>
            <w:vAlign w:val="center"/>
            <w:hideMark/>
          </w:tcPr>
          <w:p w14:paraId="56201EE1" w14:textId="77777777" w:rsidR="00327FF1" w:rsidRDefault="00327FF1">
            <w:pPr>
              <w:jc w:val="center"/>
              <w:rPr>
                <w:rFonts w:ascii="Arial Narrow" w:hAnsi="Arial Narrow"/>
                <w:b/>
                <w:noProof/>
                <w:sz w:val="20"/>
                <w:szCs w:val="20"/>
              </w:rPr>
            </w:pPr>
          </w:p>
        </w:tc>
        <w:tc>
          <w:tcPr>
            <w:tcW w:w="2126" w:type="dxa"/>
            <w:vMerge/>
            <w:vAlign w:val="center"/>
            <w:hideMark/>
          </w:tcPr>
          <w:p w14:paraId="294D9447" w14:textId="77777777" w:rsidR="00327FF1" w:rsidRDefault="00327FF1">
            <w:pPr>
              <w:jc w:val="center"/>
              <w:rPr>
                <w:rFonts w:ascii="Arial Narrow" w:hAnsi="Arial Narrow"/>
                <w:b/>
                <w:noProof/>
                <w:sz w:val="20"/>
                <w:szCs w:val="20"/>
              </w:rPr>
            </w:pPr>
          </w:p>
        </w:tc>
        <w:tc>
          <w:tcPr>
            <w:tcW w:w="1701" w:type="dxa"/>
            <w:vMerge/>
            <w:vAlign w:val="center"/>
            <w:hideMark/>
          </w:tcPr>
          <w:p w14:paraId="203E28E8" w14:textId="77777777" w:rsidR="00327FF1" w:rsidRDefault="00327FF1">
            <w:pPr>
              <w:jc w:val="center"/>
              <w:rPr>
                <w:rFonts w:ascii="Arial Narrow" w:hAnsi="Arial Narrow"/>
                <w:b/>
                <w:noProof/>
                <w:sz w:val="20"/>
                <w:szCs w:val="20"/>
              </w:rPr>
            </w:pPr>
          </w:p>
        </w:tc>
        <w:tc>
          <w:tcPr>
            <w:tcW w:w="1134" w:type="dxa"/>
            <w:shd w:val="clear" w:color="auto" w:fill="BDD7EE"/>
            <w:vAlign w:val="center"/>
            <w:hideMark/>
          </w:tcPr>
          <w:p w14:paraId="18442F27" w14:textId="4697AB37" w:rsidR="00327FF1" w:rsidRDefault="00E406C7">
            <w:pPr>
              <w:pStyle w:val="P68B1DB1-Normal10"/>
              <w:jc w:val="center"/>
              <w:rPr>
                <w:noProof/>
                <w:szCs w:val="20"/>
              </w:rPr>
            </w:pPr>
            <w:r>
              <w:rPr>
                <w:noProof/>
              </w:rPr>
              <w:t>Mēra vienība</w:t>
            </w:r>
          </w:p>
        </w:tc>
        <w:tc>
          <w:tcPr>
            <w:tcW w:w="1276" w:type="dxa"/>
            <w:shd w:val="clear" w:color="auto" w:fill="BDD7EE"/>
            <w:vAlign w:val="center"/>
            <w:hideMark/>
          </w:tcPr>
          <w:p w14:paraId="0AD1B0DB" w14:textId="77777777" w:rsidR="00327FF1" w:rsidRDefault="00E406C7">
            <w:pPr>
              <w:pStyle w:val="P68B1DB1-Normal10"/>
              <w:jc w:val="center"/>
              <w:rPr>
                <w:noProof/>
                <w:szCs w:val="20"/>
              </w:rPr>
            </w:pPr>
            <w:r>
              <w:rPr>
                <w:noProof/>
              </w:rPr>
              <w:t>Pamatscenārijs</w:t>
            </w:r>
          </w:p>
        </w:tc>
        <w:tc>
          <w:tcPr>
            <w:tcW w:w="1417" w:type="dxa"/>
            <w:shd w:val="clear" w:color="auto" w:fill="BDD7EE"/>
            <w:vAlign w:val="center"/>
            <w:hideMark/>
          </w:tcPr>
          <w:p w14:paraId="297A7230" w14:textId="77777777" w:rsidR="00327FF1" w:rsidRDefault="00E406C7">
            <w:pPr>
              <w:pStyle w:val="P68B1DB1-Normal10"/>
              <w:jc w:val="center"/>
              <w:rPr>
                <w:noProof/>
                <w:szCs w:val="20"/>
              </w:rPr>
            </w:pPr>
            <w:r>
              <w:rPr>
                <w:noProof/>
              </w:rPr>
              <w:t>Mērķis</w:t>
            </w:r>
          </w:p>
        </w:tc>
        <w:tc>
          <w:tcPr>
            <w:tcW w:w="793" w:type="dxa"/>
            <w:shd w:val="clear" w:color="auto" w:fill="BDD7EE"/>
            <w:vAlign w:val="center"/>
            <w:hideMark/>
          </w:tcPr>
          <w:p w14:paraId="597B70DB" w14:textId="77777777" w:rsidR="00327FF1" w:rsidRDefault="00E406C7">
            <w:pPr>
              <w:pStyle w:val="P68B1DB1-Normal10"/>
              <w:jc w:val="center"/>
              <w:rPr>
                <w:noProof/>
                <w:szCs w:val="20"/>
              </w:rPr>
            </w:pPr>
            <w:r>
              <w:rPr>
                <w:noProof/>
              </w:rPr>
              <w:t>Ceturkšņa laikā</w:t>
            </w:r>
          </w:p>
        </w:tc>
        <w:tc>
          <w:tcPr>
            <w:tcW w:w="625" w:type="dxa"/>
            <w:shd w:val="clear" w:color="auto" w:fill="BDD7EE"/>
            <w:vAlign w:val="center"/>
            <w:hideMark/>
          </w:tcPr>
          <w:p w14:paraId="6FA55E18" w14:textId="77777777" w:rsidR="00327FF1" w:rsidRDefault="00E406C7">
            <w:pPr>
              <w:pStyle w:val="P68B1DB1-Normal10"/>
              <w:jc w:val="center"/>
              <w:rPr>
                <w:noProof/>
                <w:szCs w:val="20"/>
              </w:rPr>
            </w:pPr>
            <w:r>
              <w:rPr>
                <w:noProof/>
              </w:rPr>
              <w:t>Gadu</w:t>
            </w:r>
          </w:p>
        </w:tc>
        <w:tc>
          <w:tcPr>
            <w:tcW w:w="2584" w:type="dxa"/>
            <w:vMerge/>
            <w:vAlign w:val="center"/>
            <w:hideMark/>
          </w:tcPr>
          <w:p w14:paraId="3617A512" w14:textId="77777777" w:rsidR="00327FF1" w:rsidRDefault="00327FF1">
            <w:pPr>
              <w:rPr>
                <w:rFonts w:ascii="Arial Narrow" w:hAnsi="Arial Narrow"/>
                <w:b/>
                <w:noProof/>
                <w:sz w:val="20"/>
                <w:szCs w:val="20"/>
              </w:rPr>
            </w:pPr>
          </w:p>
        </w:tc>
      </w:tr>
      <w:tr w:rsidR="00327FF1" w14:paraId="33E2BB93" w14:textId="77777777">
        <w:trPr>
          <w:trHeight w:val="81"/>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A2BBA2" w14:textId="77777777" w:rsidR="00327FF1" w:rsidRDefault="00E406C7">
            <w:pPr>
              <w:pStyle w:val="P68B1DB1-Normal11"/>
              <w:jc w:val="center"/>
              <w:rPr>
                <w:noProof/>
              </w:rPr>
            </w:pPr>
            <w:r>
              <w:rPr>
                <w:noProof/>
              </w:rPr>
              <w:t>M1C1–14</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051409" w14:textId="77777777" w:rsidR="00327FF1" w:rsidRDefault="00E406C7">
            <w:pPr>
              <w:pStyle w:val="P68B1DB1-Normal11"/>
              <w:jc w:val="center"/>
              <w:rPr>
                <w:noProof/>
              </w:rPr>
            </w:pPr>
            <w:r>
              <w:rPr>
                <w:noProof/>
              </w:rPr>
              <w:t>Ieguldījums 1.6.5.: Valsts padomes digitalizācija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DE8378" w14:textId="77777777" w:rsidR="00327FF1" w:rsidRDefault="00E406C7">
            <w:pPr>
              <w:pStyle w:val="P68B1DB1-Normal11"/>
              <w:jc w:val="center"/>
              <w:rPr>
                <w:noProof/>
              </w:rPr>
            </w:pPr>
            <w:r>
              <w:rPr>
                <w:noProof/>
              </w:rPr>
              <w:t>Mērķa</w:t>
            </w:r>
          </w:p>
        </w:tc>
        <w:tc>
          <w:tcPr>
            <w:tcW w:w="21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668982" w14:textId="77777777" w:rsidR="00327FF1" w:rsidRDefault="00E406C7">
            <w:pPr>
              <w:pStyle w:val="P68B1DB1-Normal11"/>
              <w:jc w:val="center"/>
              <w:rPr>
                <w:noProof/>
              </w:rPr>
            </w:pPr>
            <w:r>
              <w:rPr>
                <w:noProof/>
              </w:rPr>
              <w:t xml:space="preserve">Valsts padome — Tiesas dokumenti, kas </w:t>
            </w:r>
            <w:r>
              <w:rPr>
                <w:noProof/>
              </w:rPr>
              <w:t>pieejami analīzei datu noliktavā T1</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B5FDD2" w14:textId="77777777" w:rsidR="00327FF1" w:rsidRDefault="00E406C7">
            <w:pPr>
              <w:pStyle w:val="P68B1DB1-Normal11"/>
              <w:jc w:val="center"/>
              <w:rPr>
                <w:noProof/>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D7209B" w14:textId="77777777" w:rsidR="00327FF1" w:rsidRDefault="00E406C7">
            <w:pPr>
              <w:pStyle w:val="P68B1DB1-Normal11"/>
              <w:jc w:val="center"/>
              <w:rPr>
                <w:noProof/>
              </w:rPr>
            </w:pPr>
            <w:r>
              <w:rPr>
                <w:noProof/>
              </w:rPr>
              <w:t>Skaits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0AA071" w14:textId="77777777" w:rsidR="00327FF1" w:rsidRDefault="00E406C7">
            <w:pPr>
              <w:pStyle w:val="P68B1DB1-Normal11"/>
              <w:jc w:val="center"/>
              <w:rPr>
                <w:noProof/>
              </w:rPr>
            </w:pPr>
            <w:r>
              <w:rPr>
                <w:noProof/>
              </w:rPr>
              <w:t>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B9E97C" w14:textId="77777777" w:rsidR="00327FF1" w:rsidRDefault="00E406C7">
            <w:pPr>
              <w:pStyle w:val="P68B1DB1-Normal11"/>
              <w:jc w:val="center"/>
              <w:rPr>
                <w:noProof/>
              </w:rPr>
            </w:pPr>
            <w:r>
              <w:rPr>
                <w:noProof/>
              </w:rPr>
              <w:t>800 000</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3F4378" w14:textId="77777777" w:rsidR="00327FF1" w:rsidRDefault="00E406C7">
            <w:pPr>
              <w:pStyle w:val="P68B1DB1-Normal11"/>
              <w:jc w:val="center"/>
              <w:rPr>
                <w:noProof/>
              </w:rPr>
            </w:pPr>
            <w:r>
              <w:rPr>
                <w:noProof/>
              </w:rPr>
              <w:t>4. CET.</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0C0B2B" w14:textId="77777777" w:rsidR="00327FF1" w:rsidRDefault="00E406C7">
            <w:pPr>
              <w:pStyle w:val="P68B1DB1-Normal11"/>
              <w:jc w:val="center"/>
              <w:rPr>
                <w:noProof/>
              </w:rPr>
            </w:pPr>
            <w:r>
              <w:rPr>
                <w:noProof/>
              </w:rPr>
              <w:t>2023</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15296B" w14:textId="77777777" w:rsidR="00327FF1" w:rsidRDefault="00E406C7">
            <w:pPr>
              <w:pStyle w:val="P68B1DB1-Normal12"/>
              <w:spacing w:after="120"/>
              <w:rPr>
                <w:noProof/>
              </w:rPr>
            </w:pPr>
            <w:r>
              <w:rPr>
                <w:noProof/>
              </w:rPr>
              <w:t>Ar administratīvās jurisdikcijas sistēmu saistīto tiesas dokumentu skaits (piemēram, spriedumi, atzinumi un dekrēti), kuru metadati ir pilnībā pieejami datu noliktavā.</w:t>
            </w:r>
          </w:p>
        </w:tc>
      </w:tr>
      <w:tr w:rsidR="00327FF1" w14:paraId="3DAB0791" w14:textId="77777777">
        <w:trPr>
          <w:trHeight w:val="81"/>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2B7BE" w14:textId="77777777" w:rsidR="00327FF1" w:rsidRDefault="00E406C7">
            <w:pPr>
              <w:pStyle w:val="P68B1DB1-Normal11"/>
              <w:jc w:val="center"/>
              <w:rPr>
                <w:noProof/>
              </w:rPr>
            </w:pPr>
            <w:r>
              <w:rPr>
                <w:noProof/>
              </w:rPr>
              <w:t>M1C1–16</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8FB67C" w14:textId="77777777" w:rsidR="00327FF1" w:rsidRDefault="00E406C7">
            <w:pPr>
              <w:pStyle w:val="P68B1DB1-Normal11"/>
              <w:jc w:val="center"/>
              <w:rPr>
                <w:noProof/>
              </w:rPr>
            </w:pPr>
            <w:r>
              <w:rPr>
                <w:noProof/>
              </w:rPr>
              <w:t>Ieguldījums 1.6.5.: Valsts padomes digitalizācija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58914F" w14:textId="77777777" w:rsidR="00327FF1" w:rsidRDefault="00E406C7">
            <w:pPr>
              <w:pStyle w:val="P68B1DB1-Normal11"/>
              <w:jc w:val="center"/>
              <w:rPr>
                <w:noProof/>
              </w:rPr>
            </w:pPr>
            <w:r>
              <w:rPr>
                <w:noProof/>
              </w:rPr>
              <w:t>Mērķa</w:t>
            </w:r>
          </w:p>
        </w:tc>
        <w:tc>
          <w:tcPr>
            <w:tcW w:w="21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CB4A81" w14:textId="77777777" w:rsidR="00327FF1" w:rsidRDefault="00E406C7">
            <w:pPr>
              <w:pStyle w:val="P68B1DB1-Normal11"/>
              <w:jc w:val="center"/>
              <w:rPr>
                <w:noProof/>
              </w:rPr>
            </w:pPr>
            <w:r>
              <w:rPr>
                <w:noProof/>
              </w:rPr>
              <w:t>Valsts padome — Tiesas dokumenti, kas pieejami analīzei datu noliktavā T2</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F629A8" w14:textId="77777777" w:rsidR="00327FF1" w:rsidRDefault="00E406C7">
            <w:pPr>
              <w:pStyle w:val="P68B1DB1-Normal11"/>
              <w:jc w:val="center"/>
              <w:rPr>
                <w:noProof/>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A8CFFF" w14:textId="77777777" w:rsidR="00327FF1" w:rsidRDefault="00E406C7">
            <w:pPr>
              <w:pStyle w:val="P68B1DB1-Normal11"/>
              <w:jc w:val="center"/>
              <w:rPr>
                <w:noProof/>
              </w:rPr>
            </w:pPr>
            <w:r>
              <w:rPr>
                <w:noProof/>
              </w:rPr>
              <w:t>Skaits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404BCC" w14:textId="77777777" w:rsidR="00327FF1" w:rsidRDefault="00E406C7">
            <w:pPr>
              <w:pStyle w:val="P68B1DB1-Normal11"/>
              <w:jc w:val="center"/>
              <w:rPr>
                <w:noProof/>
              </w:rPr>
            </w:pPr>
            <w:r>
              <w:rPr>
                <w:noProof/>
              </w:rPr>
              <w:t>800 000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A882A2" w14:textId="77777777" w:rsidR="00327FF1" w:rsidRDefault="00E406C7">
            <w:pPr>
              <w:pStyle w:val="P68B1DB1-Normal11"/>
              <w:jc w:val="center"/>
              <w:rPr>
                <w:noProof/>
              </w:rPr>
            </w:pPr>
            <w:r>
              <w:rPr>
                <w:noProof/>
              </w:rPr>
              <w:t>2 500 000</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A88386" w14:textId="77777777" w:rsidR="00327FF1" w:rsidRDefault="00E406C7">
            <w:pPr>
              <w:pStyle w:val="P68B1DB1-Normal11"/>
              <w:jc w:val="center"/>
              <w:rPr>
                <w:noProof/>
                <w:szCs w:val="20"/>
              </w:rPr>
            </w:pPr>
            <w:r>
              <w:rPr>
                <w:noProof/>
              </w:rPr>
              <w:t>4. CET.</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CAA37D" w14:textId="77777777" w:rsidR="00327FF1" w:rsidRDefault="00E406C7">
            <w:pPr>
              <w:pStyle w:val="P68B1DB1-Normal11"/>
              <w:jc w:val="center"/>
              <w:rPr>
                <w:noProof/>
                <w:szCs w:val="20"/>
              </w:rPr>
            </w:pPr>
            <w:r>
              <w:rPr>
                <w:noProof/>
              </w:rPr>
              <w:t>2023</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EEDD42" w14:textId="77777777" w:rsidR="00327FF1" w:rsidRDefault="00E406C7">
            <w:pPr>
              <w:pStyle w:val="P68B1DB1-Normal12"/>
              <w:spacing w:after="120"/>
              <w:rPr>
                <w:noProof/>
              </w:rPr>
            </w:pPr>
            <w:r>
              <w:rPr>
                <w:noProof/>
              </w:rPr>
              <w:t xml:space="preserve">Ar administratīvās jurisdikcijas sistēmu saistīto tiesas dokumentu skaits </w:t>
            </w:r>
            <w:r>
              <w:rPr>
                <w:noProof/>
              </w:rPr>
              <w:t>(piemēram, spriedumi, atzinumi un dekrēti), kuru metadati ir pilnībā pieejami datu noliktavā.</w:t>
            </w:r>
          </w:p>
        </w:tc>
      </w:tr>
      <w:tr w:rsidR="00327FF1" w14:paraId="5BE708E7" w14:textId="77777777">
        <w:trPr>
          <w:trHeight w:val="81"/>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4E104D" w14:textId="77777777" w:rsidR="00327FF1" w:rsidRDefault="00E406C7">
            <w:pPr>
              <w:pStyle w:val="P68B1DB1-Normal11"/>
              <w:jc w:val="center"/>
              <w:rPr>
                <w:noProof/>
                <w:szCs w:val="20"/>
              </w:rPr>
            </w:pPr>
            <w:r>
              <w:rPr>
                <w:noProof/>
              </w:rPr>
              <w:t>M1C1–123</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D456E0" w14:textId="77777777" w:rsidR="00327FF1" w:rsidRDefault="00E406C7">
            <w:pPr>
              <w:pStyle w:val="P68B1DB1-Normal11"/>
              <w:jc w:val="center"/>
              <w:rPr>
                <w:noProof/>
                <w:szCs w:val="20"/>
              </w:rPr>
            </w:pPr>
            <w:r>
              <w:rPr>
                <w:noProof/>
              </w:rPr>
              <w:t>Investīcija — Valsts sociālā nodrošinājuma institūta (INPS) un Valsts apdrošināšanas pret nelaimes gadījumiem darbā (INAIL) digitalizācija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15C7B6" w14:textId="77777777" w:rsidR="00327FF1" w:rsidRDefault="00E406C7">
            <w:pPr>
              <w:pStyle w:val="P68B1DB1-Normal11"/>
              <w:jc w:val="center"/>
              <w:rPr>
                <w:noProof/>
                <w:szCs w:val="20"/>
              </w:rPr>
            </w:pPr>
            <w:r>
              <w:rPr>
                <w:noProof/>
              </w:rPr>
              <w:t>Mērķa</w:t>
            </w:r>
          </w:p>
        </w:tc>
        <w:tc>
          <w:tcPr>
            <w:tcW w:w="21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9B602A" w14:textId="77777777" w:rsidR="00327FF1" w:rsidRDefault="00E406C7">
            <w:pPr>
              <w:pStyle w:val="P68B1DB1-Normal11"/>
              <w:jc w:val="center"/>
              <w:rPr>
                <w:noProof/>
                <w:szCs w:val="20"/>
              </w:rPr>
            </w:pPr>
            <w:r>
              <w:rPr>
                <w:noProof/>
              </w:rPr>
              <w:t xml:space="preserve">INPS — </w:t>
            </w:r>
            <w:r>
              <w:rPr>
                <w:noProof/>
              </w:rPr>
              <w:t>“Viens klikšķis pēc dizaina” pakalpojumi/satur T1</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C51D4D" w14:textId="77777777" w:rsidR="00327FF1" w:rsidRDefault="00E406C7">
            <w:pPr>
              <w:pStyle w:val="P68B1DB1-Normal11"/>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01D7FB" w14:textId="77777777" w:rsidR="00327FF1" w:rsidRDefault="00E406C7">
            <w:pPr>
              <w:pStyle w:val="P68B1DB1-Normal11"/>
              <w:jc w:val="center"/>
              <w:rPr>
                <w:noProof/>
                <w:szCs w:val="20"/>
              </w:rPr>
            </w:pPr>
            <w:r>
              <w:rPr>
                <w:noProof/>
              </w:rPr>
              <w:t>Skaits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C79D31" w14:textId="77777777" w:rsidR="00327FF1" w:rsidRDefault="00E406C7">
            <w:pPr>
              <w:pStyle w:val="P68B1DB1-Normal11"/>
              <w:jc w:val="center"/>
              <w:rPr>
                <w:noProof/>
                <w:szCs w:val="20"/>
              </w:rPr>
            </w:pPr>
            <w:r>
              <w:rPr>
                <w:noProof/>
              </w:rPr>
              <w:t>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E60E95" w14:textId="77777777" w:rsidR="00327FF1" w:rsidRDefault="00E406C7">
            <w:pPr>
              <w:pStyle w:val="P68B1DB1-Normal11"/>
              <w:jc w:val="center"/>
              <w:rPr>
                <w:noProof/>
                <w:szCs w:val="20"/>
              </w:rPr>
            </w:pPr>
            <w:r>
              <w:rPr>
                <w:noProof/>
              </w:rPr>
              <w:t>35</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CA434B" w14:textId="77777777" w:rsidR="00327FF1" w:rsidRDefault="00E406C7">
            <w:pPr>
              <w:pStyle w:val="P68B1DB1-Normal11"/>
              <w:jc w:val="center"/>
              <w:rPr>
                <w:noProof/>
                <w:szCs w:val="20"/>
              </w:rPr>
            </w:pPr>
            <w:r>
              <w:rPr>
                <w:noProof/>
              </w:rPr>
              <w:t>4. CET.</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8473ED" w14:textId="77777777" w:rsidR="00327FF1" w:rsidRDefault="00E406C7">
            <w:pPr>
              <w:pStyle w:val="P68B1DB1-Normal11"/>
              <w:jc w:val="center"/>
              <w:rPr>
                <w:noProof/>
                <w:szCs w:val="20"/>
              </w:rPr>
            </w:pPr>
            <w:r>
              <w:rPr>
                <w:noProof/>
              </w:rPr>
              <w:t>2022</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604994" w14:textId="77777777" w:rsidR="00327FF1" w:rsidRDefault="00E406C7">
            <w:pPr>
              <w:spacing w:after="120"/>
              <w:rPr>
                <w:rFonts w:ascii="Arial Narrow" w:hAnsi="Arial Narrow"/>
                <w:noProof/>
                <w:color w:val="006100"/>
                <w:sz w:val="20"/>
                <w:szCs w:val="20"/>
              </w:rPr>
            </w:pPr>
            <w:r>
              <w:rPr>
                <w:rFonts w:ascii="Arial Narrow" w:hAnsi="Arial Narrow"/>
                <w:noProof/>
                <w:color w:val="006100"/>
                <w:sz w:val="20"/>
                <w:szCs w:val="20"/>
              </w:rPr>
              <w:t>35 papildu pakalpojumi, kas izvietoti INP iestāžu tīmekļa vietnē (</w:t>
            </w:r>
            <w:hyperlink r:id="rId36">
              <w:r w:rsidR="00327FF1">
                <w:rPr>
                  <w:rStyle w:val="Hyperlink"/>
                  <w:rFonts w:ascii="Arial Narrow" w:hAnsi="Arial Narrow"/>
                  <w:noProof/>
                  <w:sz w:val="20"/>
                  <w:szCs w:val="20"/>
                </w:rPr>
                <w:t>www.inps.it</w:t>
              </w:r>
            </w:hyperlink>
            <w:r>
              <w:rPr>
                <w:rFonts w:ascii="Arial Narrow" w:hAnsi="Arial Narrow"/>
                <w:noProof/>
                <w:color w:val="006100"/>
                <w:sz w:val="20"/>
                <w:szCs w:val="20"/>
              </w:rPr>
              <w:t>)</w:t>
            </w:r>
          </w:p>
          <w:p w14:paraId="1CF37D9F" w14:textId="77777777" w:rsidR="00327FF1" w:rsidRDefault="00E406C7">
            <w:pPr>
              <w:pStyle w:val="P68B1DB1-Normal12"/>
              <w:spacing w:after="120"/>
              <w:rPr>
                <w:noProof/>
              </w:rPr>
            </w:pPr>
            <w:r>
              <w:rPr>
                <w:noProof/>
              </w:rPr>
              <w:t>Pakalpojumi ir pieejami institucionālajā vietnē, izm</w:t>
            </w:r>
            <w:r>
              <w:rPr>
                <w:noProof/>
              </w:rPr>
              <w:t>antojot atbilstošas profilēšanas loģikas (sistēma piedāvās pakalpojumus, kas varētu interesēt, pamatojoties uz vecumu, darba raksturlielumiem, uztvertajiem pabalstiem un lietotāju vēsturi).</w:t>
            </w:r>
          </w:p>
          <w:p w14:paraId="442701D8" w14:textId="77777777" w:rsidR="00327FF1" w:rsidRDefault="00E406C7">
            <w:pPr>
              <w:pStyle w:val="P68B1DB1-Normal11"/>
              <w:spacing w:after="120"/>
              <w:rPr>
                <w:noProof/>
                <w:szCs w:val="20"/>
              </w:rPr>
            </w:pPr>
            <w:r>
              <w:rPr>
                <w:noProof/>
              </w:rPr>
              <w:t>Šie 35 pakalpojumi ir saistīti ar šādām INPS institucionālajām jom</w:t>
            </w:r>
            <w:r>
              <w:rPr>
                <w:noProof/>
              </w:rPr>
              <w:t>ām:</w:t>
            </w:r>
          </w:p>
          <w:p w14:paraId="277EA771" w14:textId="77777777" w:rsidR="00327FF1" w:rsidRDefault="00E406C7">
            <w:pPr>
              <w:pStyle w:val="P68B1DB1-Normal11"/>
              <w:spacing w:after="120"/>
              <w:contextualSpacing/>
              <w:rPr>
                <w:noProof/>
                <w:szCs w:val="20"/>
              </w:rPr>
            </w:pPr>
            <w:r>
              <w:rPr>
                <w:noProof/>
              </w:rPr>
              <w:t>•Pensiju pabalsti</w:t>
            </w:r>
          </w:p>
          <w:p w14:paraId="40EA6A13" w14:textId="77777777" w:rsidR="00327FF1" w:rsidRDefault="00E406C7">
            <w:pPr>
              <w:pStyle w:val="P68B1DB1-Normal11"/>
              <w:spacing w:after="120"/>
              <w:contextualSpacing/>
              <w:rPr>
                <w:noProof/>
                <w:szCs w:val="20"/>
              </w:rPr>
            </w:pPr>
            <w:r>
              <w:rPr>
                <w:noProof/>
              </w:rPr>
              <w:t>•Sociālo trūkumu absorbētāji</w:t>
            </w:r>
          </w:p>
          <w:p w14:paraId="7BF43470" w14:textId="77777777" w:rsidR="00327FF1" w:rsidRDefault="00E406C7">
            <w:pPr>
              <w:pStyle w:val="P68B1DB1-Normal11"/>
              <w:spacing w:after="120"/>
              <w:contextualSpacing/>
              <w:rPr>
                <w:noProof/>
                <w:szCs w:val="20"/>
              </w:rPr>
            </w:pPr>
            <w:r>
              <w:rPr>
                <w:noProof/>
              </w:rPr>
              <w:t>•Bezdarbnieka pabalsti</w:t>
            </w:r>
          </w:p>
          <w:p w14:paraId="628CAF36" w14:textId="77777777" w:rsidR="00327FF1" w:rsidRDefault="00E406C7">
            <w:pPr>
              <w:pStyle w:val="P68B1DB1-Normal11"/>
              <w:spacing w:after="120"/>
              <w:contextualSpacing/>
              <w:rPr>
                <w:noProof/>
                <w:szCs w:val="20"/>
              </w:rPr>
            </w:pPr>
            <w:r>
              <w:rPr>
                <w:noProof/>
              </w:rPr>
              <w:t>•Invaliditātes pabalsti</w:t>
            </w:r>
          </w:p>
          <w:p w14:paraId="4A2A94A4" w14:textId="77777777" w:rsidR="00327FF1" w:rsidRDefault="00E406C7">
            <w:pPr>
              <w:pStyle w:val="P68B1DB1-Normal11"/>
              <w:spacing w:after="120"/>
              <w:contextualSpacing/>
              <w:rPr>
                <w:noProof/>
                <w:szCs w:val="20"/>
              </w:rPr>
            </w:pPr>
            <w:r>
              <w:rPr>
                <w:noProof/>
              </w:rPr>
              <w:t>•Atbrīvojumi</w:t>
            </w:r>
          </w:p>
          <w:p w14:paraId="5E95323D" w14:textId="77777777" w:rsidR="00327FF1" w:rsidRDefault="00E406C7">
            <w:pPr>
              <w:pStyle w:val="P68B1DB1-Normal11"/>
              <w:spacing w:after="120"/>
              <w:contextualSpacing/>
              <w:rPr>
                <w:noProof/>
                <w:szCs w:val="20"/>
              </w:rPr>
            </w:pPr>
            <w:r>
              <w:rPr>
                <w:noProof/>
              </w:rPr>
              <w:t>•Iemaksu iekasēšana uzņēmumos</w:t>
            </w:r>
          </w:p>
          <w:p w14:paraId="1CB5461F" w14:textId="77777777" w:rsidR="00327FF1" w:rsidRDefault="00E406C7">
            <w:pPr>
              <w:pStyle w:val="P68B1DB1-Normal11"/>
              <w:spacing w:after="120"/>
              <w:contextualSpacing/>
              <w:rPr>
                <w:noProof/>
                <w:szCs w:val="20"/>
              </w:rPr>
            </w:pPr>
            <w:r>
              <w:rPr>
                <w:noProof/>
              </w:rPr>
              <w:t>•Lauksaimniecības darbinieku pakalpojumi</w:t>
            </w:r>
          </w:p>
          <w:p w14:paraId="714FE5AE" w14:textId="77777777" w:rsidR="00327FF1" w:rsidRDefault="00E406C7">
            <w:pPr>
              <w:pStyle w:val="P68B1DB1-Normal12"/>
              <w:spacing w:after="120"/>
              <w:rPr>
                <w:noProof/>
              </w:rPr>
            </w:pPr>
            <w:r>
              <w:rPr>
                <w:noProof/>
              </w:rPr>
              <w:t>•Krāpšanas, korupcijas apkarošanas un pārredzamības pakalpojumi</w:t>
            </w:r>
          </w:p>
          <w:p w14:paraId="212B3CEC" w14:textId="77777777" w:rsidR="00327FF1" w:rsidRDefault="00E406C7">
            <w:pPr>
              <w:pStyle w:val="P68B1DB1-Normal11"/>
              <w:spacing w:before="120" w:after="120"/>
              <w:rPr>
                <w:noProof/>
                <w:szCs w:val="20"/>
              </w:rPr>
            </w:pPr>
            <w:r>
              <w:rPr>
                <w:noProof/>
              </w:rPr>
              <w:t>Uzskaitīta</w:t>
            </w:r>
            <w:r>
              <w:rPr>
                <w:noProof/>
              </w:rPr>
              <w:t>jās institucionālajās jomās īstenojamie pakalpojumi attieksies uz pakalpojumu pieprasījumu digitālu iesniegšanu, ieguvuma prasību pārbaudi, lietotāju veiktās prakses statusa uzraudzību, proaktīvu pakalpojumu piedāvāšanu, pamatojoties uz lietotāja vajadzībā</w:t>
            </w:r>
            <w:r>
              <w:rPr>
                <w:noProof/>
              </w:rPr>
              <w:t>m, pabalstu automātisku atjaunošanu bez nepieciešamības pēc jaunām lietojumprogrammām.</w:t>
            </w:r>
          </w:p>
          <w:p w14:paraId="12CCF531" w14:textId="77777777" w:rsidR="00327FF1" w:rsidRDefault="00E406C7">
            <w:pPr>
              <w:pStyle w:val="P68B1DB1-Normal12"/>
              <w:spacing w:after="120"/>
              <w:rPr>
                <w:noProof/>
              </w:rPr>
            </w:pPr>
            <w:r>
              <w:rPr>
                <w:noProof/>
              </w:rPr>
              <w:t>Visbeidzot, ir jāizveido uzraudzības infopaneļi, kas ļauj gan INPS uzraudzīt sniegtos ieguvumus, gan uz datiem balstītu atbalstu politikas veidotāju lēmumu pieņemšanā.</w:t>
            </w:r>
          </w:p>
        </w:tc>
      </w:tr>
      <w:tr w:rsidR="00327FF1" w14:paraId="09E46D22" w14:textId="77777777">
        <w:trPr>
          <w:trHeight w:val="309"/>
        </w:trPr>
        <w:tc>
          <w:tcPr>
            <w:tcW w:w="1087" w:type="dxa"/>
            <w:shd w:val="clear" w:color="auto" w:fill="C6EFCE"/>
            <w:noWrap/>
            <w:vAlign w:val="center"/>
          </w:tcPr>
          <w:p w14:paraId="494D7749" w14:textId="77777777" w:rsidR="00327FF1" w:rsidRDefault="00E406C7">
            <w:pPr>
              <w:pStyle w:val="P68B1DB1-Normal11"/>
              <w:jc w:val="center"/>
              <w:rPr>
                <w:noProof/>
                <w:szCs w:val="20"/>
              </w:rPr>
            </w:pPr>
            <w:r>
              <w:rPr>
                <w:noProof/>
              </w:rPr>
              <w:t>M1C1–124</w:t>
            </w:r>
          </w:p>
        </w:tc>
        <w:tc>
          <w:tcPr>
            <w:tcW w:w="1943" w:type="dxa"/>
            <w:shd w:val="clear" w:color="auto" w:fill="C6EFCE"/>
            <w:noWrap/>
            <w:vAlign w:val="center"/>
          </w:tcPr>
          <w:p w14:paraId="3BE5FE8A" w14:textId="77777777" w:rsidR="00327FF1" w:rsidRDefault="00E406C7">
            <w:pPr>
              <w:pStyle w:val="P68B1DB1-Normal11"/>
              <w:jc w:val="center"/>
              <w:rPr>
                <w:noProof/>
                <w:szCs w:val="20"/>
              </w:rPr>
            </w:pPr>
            <w:r>
              <w:rPr>
                <w:noProof/>
              </w:rPr>
              <w:t>Investīcija — Valsts sociālā nodrošinājuma institūta (INPS) un Valsts apdrošināšanas pret nelaimes gadījumiem darbā (INAIL) digitalizācija</w:t>
            </w:r>
          </w:p>
        </w:tc>
        <w:tc>
          <w:tcPr>
            <w:tcW w:w="992" w:type="dxa"/>
            <w:shd w:val="clear" w:color="auto" w:fill="C6EFCE"/>
            <w:noWrap/>
            <w:vAlign w:val="center"/>
          </w:tcPr>
          <w:p w14:paraId="0162D7DE"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48000A0F" w14:textId="77777777" w:rsidR="00327FF1" w:rsidRDefault="00E406C7">
            <w:pPr>
              <w:pStyle w:val="P68B1DB1-Normal11"/>
              <w:jc w:val="center"/>
              <w:rPr>
                <w:noProof/>
                <w:szCs w:val="20"/>
              </w:rPr>
            </w:pPr>
            <w:r>
              <w:rPr>
                <w:noProof/>
              </w:rPr>
              <w:t>INPS — Darba ņēmēji ar uzlabotām informācijas un komunikācijas tehnoloģiju (IKT) prasmēm T1</w:t>
            </w:r>
          </w:p>
        </w:tc>
        <w:tc>
          <w:tcPr>
            <w:tcW w:w="1701" w:type="dxa"/>
            <w:shd w:val="clear" w:color="auto" w:fill="C6EFCE"/>
            <w:noWrap/>
            <w:vAlign w:val="center"/>
          </w:tcPr>
          <w:p w14:paraId="448EB3F2"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319A2FB2"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03247EE8" w14:textId="77777777" w:rsidR="00327FF1" w:rsidRDefault="00E406C7">
            <w:pPr>
              <w:pStyle w:val="P68B1DB1-Normal11"/>
              <w:jc w:val="center"/>
              <w:rPr>
                <w:noProof/>
                <w:szCs w:val="20"/>
              </w:rPr>
            </w:pPr>
            <w:r>
              <w:rPr>
                <w:noProof/>
              </w:rPr>
              <w:t>0</w:t>
            </w:r>
          </w:p>
        </w:tc>
        <w:tc>
          <w:tcPr>
            <w:tcW w:w="1417" w:type="dxa"/>
            <w:shd w:val="clear" w:color="auto" w:fill="C6EFCE"/>
            <w:noWrap/>
            <w:vAlign w:val="center"/>
          </w:tcPr>
          <w:p w14:paraId="2A254973" w14:textId="77777777" w:rsidR="00327FF1" w:rsidRDefault="00E406C7">
            <w:pPr>
              <w:pStyle w:val="P68B1DB1-Normal11"/>
              <w:jc w:val="center"/>
              <w:rPr>
                <w:noProof/>
                <w:szCs w:val="20"/>
              </w:rPr>
            </w:pPr>
            <w:r>
              <w:rPr>
                <w:noProof/>
              </w:rPr>
              <w:t>4 250</w:t>
            </w:r>
          </w:p>
        </w:tc>
        <w:tc>
          <w:tcPr>
            <w:tcW w:w="793" w:type="dxa"/>
            <w:shd w:val="clear" w:color="auto" w:fill="C6EFCE"/>
            <w:noWrap/>
            <w:vAlign w:val="center"/>
          </w:tcPr>
          <w:p w14:paraId="737F78F9"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7C50E223" w14:textId="77777777" w:rsidR="00327FF1" w:rsidRDefault="00E406C7">
            <w:pPr>
              <w:pStyle w:val="P68B1DB1-Normal11"/>
              <w:jc w:val="center"/>
              <w:rPr>
                <w:noProof/>
                <w:szCs w:val="20"/>
              </w:rPr>
            </w:pPr>
            <w:r>
              <w:rPr>
                <w:noProof/>
              </w:rPr>
              <w:t>2022</w:t>
            </w:r>
          </w:p>
        </w:tc>
        <w:tc>
          <w:tcPr>
            <w:tcW w:w="2584" w:type="dxa"/>
            <w:shd w:val="clear" w:color="auto" w:fill="C6EFCE"/>
            <w:noWrap/>
            <w:vAlign w:val="center"/>
          </w:tcPr>
          <w:p w14:paraId="46005851" w14:textId="77777777" w:rsidR="00327FF1" w:rsidRDefault="00E406C7">
            <w:pPr>
              <w:pStyle w:val="P68B1DB1-Normal12"/>
              <w:spacing w:after="120"/>
              <w:rPr>
                <w:noProof/>
              </w:rPr>
            </w:pPr>
            <w:r>
              <w:rPr>
                <w:noProof/>
              </w:rPr>
              <w:t>Vismaz 4250 INPS darbinieki tika novērtēti attiecībā uz viņu informāciju un ar sertificētām uzlabotām prasmēm šādās Eiropas e-kompetenču sistēmas jomās: I) plāns; II) celtniecība; III) Run iv) Iespējams; V) Pārvaldīt.</w:t>
            </w:r>
          </w:p>
          <w:p w14:paraId="16490228" w14:textId="77777777" w:rsidR="00327FF1" w:rsidRDefault="00E406C7">
            <w:pPr>
              <w:pStyle w:val="P68B1DB1-Normal12"/>
              <w:spacing w:after="120"/>
              <w:rPr>
                <w:noProof/>
              </w:rPr>
            </w:pPr>
            <w:r>
              <w:rPr>
                <w:noProof/>
              </w:rPr>
              <w:t>Kompetence</w:t>
            </w:r>
            <w:r>
              <w:rPr>
                <w:noProof/>
              </w:rPr>
              <w:t>s uzlabošanas jomas tiks noteiktas atbilstoši izglītojamo mērķgrupai.</w:t>
            </w:r>
          </w:p>
        </w:tc>
      </w:tr>
      <w:tr w:rsidR="00327FF1" w14:paraId="51709874" w14:textId="77777777">
        <w:trPr>
          <w:trHeight w:val="309"/>
        </w:trPr>
        <w:tc>
          <w:tcPr>
            <w:tcW w:w="1087" w:type="dxa"/>
            <w:shd w:val="clear" w:color="auto" w:fill="C6EFCE"/>
            <w:noWrap/>
            <w:vAlign w:val="center"/>
          </w:tcPr>
          <w:p w14:paraId="1B3B7876" w14:textId="77777777" w:rsidR="00327FF1" w:rsidRDefault="00E406C7">
            <w:pPr>
              <w:pStyle w:val="P68B1DB1-Normal11"/>
              <w:jc w:val="center"/>
              <w:rPr>
                <w:noProof/>
                <w:szCs w:val="20"/>
              </w:rPr>
            </w:pPr>
            <w:r>
              <w:rPr>
                <w:noProof/>
              </w:rPr>
              <w:t>M1C1–125</w:t>
            </w:r>
          </w:p>
        </w:tc>
        <w:tc>
          <w:tcPr>
            <w:tcW w:w="1943" w:type="dxa"/>
            <w:shd w:val="clear" w:color="auto" w:fill="C6EFCE"/>
            <w:noWrap/>
            <w:vAlign w:val="center"/>
          </w:tcPr>
          <w:p w14:paraId="538908CE" w14:textId="77777777" w:rsidR="00327FF1" w:rsidRDefault="00E406C7">
            <w:pPr>
              <w:pStyle w:val="P68B1DB1-Normal11"/>
              <w:jc w:val="center"/>
              <w:rPr>
                <w:noProof/>
                <w:szCs w:val="20"/>
              </w:rPr>
            </w:pPr>
            <w:r>
              <w:rPr>
                <w:noProof/>
              </w:rPr>
              <w:t>Investīcija 1.2. — Mākoņdatošanas veicināšana vietējai PN</w:t>
            </w:r>
          </w:p>
        </w:tc>
        <w:tc>
          <w:tcPr>
            <w:tcW w:w="992" w:type="dxa"/>
            <w:shd w:val="clear" w:color="auto" w:fill="C6EFCE"/>
            <w:noWrap/>
            <w:vAlign w:val="center"/>
          </w:tcPr>
          <w:p w14:paraId="4B239AAE" w14:textId="77777777" w:rsidR="00327FF1" w:rsidRDefault="00E406C7">
            <w:pPr>
              <w:pStyle w:val="P68B1DB1-Normal11"/>
              <w:jc w:val="center"/>
              <w:rPr>
                <w:noProof/>
                <w:szCs w:val="20"/>
              </w:rPr>
            </w:pPr>
            <w:r>
              <w:rPr>
                <w:noProof/>
              </w:rPr>
              <w:t>Atskaites punkts</w:t>
            </w:r>
          </w:p>
        </w:tc>
        <w:tc>
          <w:tcPr>
            <w:tcW w:w="2126" w:type="dxa"/>
            <w:shd w:val="clear" w:color="auto" w:fill="C6EFCE"/>
            <w:noWrap/>
            <w:vAlign w:val="center"/>
          </w:tcPr>
          <w:p w14:paraId="2FF1E8DE" w14:textId="77777777" w:rsidR="00327FF1" w:rsidRDefault="00E406C7">
            <w:pPr>
              <w:pStyle w:val="P68B1DB1-Normal11"/>
              <w:jc w:val="center"/>
              <w:rPr>
                <w:noProof/>
                <w:szCs w:val="20"/>
              </w:rPr>
            </w:pPr>
            <w:r>
              <w:rPr>
                <w:noProof/>
              </w:rPr>
              <w:t xml:space="preserve">(Visu) publisku konkursu piešķiršana par mākoņdatošanas iespējošanu vietējās publiskās pārvaldes </w:t>
            </w:r>
            <w:r>
              <w:rPr>
                <w:noProof/>
              </w:rPr>
              <w:t>iestāžu konkursos</w:t>
            </w:r>
          </w:p>
        </w:tc>
        <w:tc>
          <w:tcPr>
            <w:tcW w:w="1701" w:type="dxa"/>
            <w:shd w:val="clear" w:color="auto" w:fill="C6EFCE"/>
            <w:noWrap/>
            <w:vAlign w:val="center"/>
          </w:tcPr>
          <w:p w14:paraId="6E7F5673" w14:textId="77777777" w:rsidR="00327FF1" w:rsidRDefault="00E406C7">
            <w:pPr>
              <w:pStyle w:val="P68B1DB1-Normal11"/>
              <w:jc w:val="center"/>
              <w:rPr>
                <w:noProof/>
                <w:szCs w:val="20"/>
              </w:rPr>
            </w:pPr>
            <w:r>
              <w:rPr>
                <w:noProof/>
              </w:rPr>
              <w:t>Paziņojums par (visu) publisko līgumu slēgšanas tiesību piešķiršanu mākoņdatošanas iespēju nodrošināšanai vietējās publiskās pārvaldes iestāžu konkursos</w:t>
            </w:r>
          </w:p>
        </w:tc>
        <w:tc>
          <w:tcPr>
            <w:tcW w:w="1134" w:type="dxa"/>
            <w:shd w:val="clear" w:color="auto" w:fill="C6EFCE"/>
            <w:noWrap/>
            <w:vAlign w:val="center"/>
          </w:tcPr>
          <w:p w14:paraId="262476C2" w14:textId="77777777" w:rsidR="00327FF1" w:rsidRDefault="00E406C7">
            <w:pPr>
              <w:pStyle w:val="P68B1DB1-Normal11"/>
              <w:jc w:val="center"/>
              <w:rPr>
                <w:noProof/>
                <w:szCs w:val="20"/>
              </w:rPr>
            </w:pPr>
            <w:r>
              <w:rPr>
                <w:noProof/>
              </w:rPr>
              <w:t>NEPIEMĒRO</w:t>
            </w:r>
          </w:p>
        </w:tc>
        <w:tc>
          <w:tcPr>
            <w:tcW w:w="1276" w:type="dxa"/>
            <w:shd w:val="clear" w:color="auto" w:fill="C6EFCE"/>
            <w:noWrap/>
            <w:vAlign w:val="center"/>
          </w:tcPr>
          <w:p w14:paraId="5FECC96A" w14:textId="77777777" w:rsidR="00327FF1" w:rsidRDefault="00E406C7">
            <w:pPr>
              <w:pStyle w:val="P68B1DB1-Normal11"/>
              <w:jc w:val="center"/>
              <w:rPr>
                <w:noProof/>
                <w:szCs w:val="20"/>
              </w:rPr>
            </w:pPr>
            <w:r>
              <w:rPr>
                <w:noProof/>
              </w:rPr>
              <w:t>NEPIEMĒRO</w:t>
            </w:r>
          </w:p>
        </w:tc>
        <w:tc>
          <w:tcPr>
            <w:tcW w:w="1417" w:type="dxa"/>
            <w:shd w:val="clear" w:color="auto" w:fill="C6EFCE"/>
            <w:noWrap/>
            <w:vAlign w:val="center"/>
          </w:tcPr>
          <w:p w14:paraId="19F7D8A7" w14:textId="77777777" w:rsidR="00327FF1" w:rsidRDefault="00E406C7">
            <w:pPr>
              <w:pStyle w:val="P68B1DB1-Normal11"/>
              <w:jc w:val="center"/>
              <w:rPr>
                <w:noProof/>
                <w:szCs w:val="20"/>
              </w:rPr>
            </w:pPr>
            <w:r>
              <w:rPr>
                <w:noProof/>
              </w:rPr>
              <w:t>NEPIEMĒRO</w:t>
            </w:r>
          </w:p>
        </w:tc>
        <w:tc>
          <w:tcPr>
            <w:tcW w:w="793" w:type="dxa"/>
            <w:shd w:val="clear" w:color="auto" w:fill="C6EFCE"/>
            <w:noWrap/>
            <w:vAlign w:val="center"/>
          </w:tcPr>
          <w:p w14:paraId="543F3CC8" w14:textId="77777777" w:rsidR="00327FF1" w:rsidRDefault="00E406C7">
            <w:pPr>
              <w:pStyle w:val="P68B1DB1-Normal11"/>
              <w:jc w:val="center"/>
              <w:rPr>
                <w:noProof/>
                <w:szCs w:val="20"/>
              </w:rPr>
            </w:pPr>
            <w:r>
              <w:rPr>
                <w:noProof/>
              </w:rPr>
              <w:t>Q1</w:t>
            </w:r>
          </w:p>
        </w:tc>
        <w:tc>
          <w:tcPr>
            <w:tcW w:w="625" w:type="dxa"/>
            <w:shd w:val="clear" w:color="auto" w:fill="C6EFCE"/>
            <w:noWrap/>
            <w:vAlign w:val="center"/>
          </w:tcPr>
          <w:p w14:paraId="190BB4C0"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7121F965" w14:textId="77777777" w:rsidR="00327FF1" w:rsidRDefault="00E406C7">
            <w:pPr>
              <w:pStyle w:val="P68B1DB1-Normal12"/>
              <w:spacing w:after="120"/>
              <w:rPr>
                <w:noProof/>
              </w:rPr>
            </w:pPr>
            <w:r>
              <w:rPr>
                <w:noProof/>
              </w:rPr>
              <w:t xml:space="preserve">Paziņojums par (visu) publisko uzaicinājumu </w:t>
            </w:r>
            <w:r>
              <w:rPr>
                <w:noProof/>
              </w:rPr>
              <w:t>piešķiršanu attiecībā uz katru iesaistīto valsts pārvaldes veidu (pašvaldības, skolas, vietējās veselības aprūpes aģentūras), lai apkopotu un novērtētu migrācijas plānus. Trīs īpašu uzaicinājumu izdošana ļauj Tehnoloģiju inovācijas un digitālās pārkārtošan</w:t>
            </w:r>
            <w:r>
              <w:rPr>
                <w:noProof/>
              </w:rPr>
              <w:t>ās ministrijai novērtēt katra iesaistītā publiskās pārvaldes veida ļoti specifiskās vajadzības.</w:t>
            </w:r>
          </w:p>
          <w:p w14:paraId="3F699B1E" w14:textId="77777777" w:rsidR="00327FF1" w:rsidRDefault="00E406C7">
            <w:pPr>
              <w:pStyle w:val="P68B1DB1-Normal11"/>
              <w:spacing w:after="120"/>
              <w:rPr>
                <w:noProof/>
                <w:szCs w:val="20"/>
              </w:rPr>
            </w:pPr>
            <w:r>
              <w:rPr>
                <w:noProof/>
              </w:rPr>
              <w:t>Piešķirtie piedāvājumi (t. i., to valsts pārvaldes iestāžu saraksta publicēšana, kurām atļauts saņemt finansējumu) attiecās uz trim publiskiem uzaicinājumiem ie</w:t>
            </w:r>
            <w:r>
              <w:rPr>
                <w:noProof/>
              </w:rPr>
              <w:t>sniegt priekšlikumus attiecīgi pašvaldībām, skolām un vietējām veselības aprūpes aģentūrām, lai vāktu un novērtētu migrācijas plānus saskaņā ar Tehniskajiem norādījumiem “nenodari būtisku kaitējumu” (2021/C58/01), izmantojot izslēgšanas sarakstu un prasību</w:t>
            </w:r>
            <w:r>
              <w:rPr>
                <w:noProof/>
              </w:rPr>
              <w:t xml:space="preserve"> par atbilstību attiecīgajiem ES un valsts tiesību aktiem vides jomā.</w:t>
            </w:r>
          </w:p>
        </w:tc>
      </w:tr>
      <w:tr w:rsidR="00327FF1" w14:paraId="79DDC58D" w14:textId="77777777">
        <w:trPr>
          <w:trHeight w:val="309"/>
        </w:trPr>
        <w:tc>
          <w:tcPr>
            <w:tcW w:w="1087" w:type="dxa"/>
            <w:shd w:val="clear" w:color="auto" w:fill="C6EFCE"/>
            <w:noWrap/>
            <w:vAlign w:val="center"/>
          </w:tcPr>
          <w:p w14:paraId="679569B6" w14:textId="77777777" w:rsidR="00327FF1" w:rsidRDefault="00E406C7">
            <w:pPr>
              <w:pStyle w:val="P68B1DB1-Normal11"/>
              <w:jc w:val="center"/>
              <w:rPr>
                <w:noProof/>
                <w:szCs w:val="20"/>
              </w:rPr>
            </w:pPr>
            <w:r>
              <w:rPr>
                <w:noProof/>
              </w:rPr>
              <w:t>M1C1–126</w:t>
            </w:r>
          </w:p>
        </w:tc>
        <w:tc>
          <w:tcPr>
            <w:tcW w:w="1943" w:type="dxa"/>
            <w:shd w:val="clear" w:color="auto" w:fill="C6EFCE"/>
            <w:noWrap/>
            <w:vAlign w:val="center"/>
          </w:tcPr>
          <w:p w14:paraId="6A056792" w14:textId="77777777" w:rsidR="00327FF1" w:rsidRDefault="00E406C7">
            <w:pPr>
              <w:pStyle w:val="P68B1DB1-Normal12"/>
              <w:jc w:val="center"/>
              <w:rPr>
                <w:noProof/>
              </w:rPr>
            </w:pPr>
            <w:r>
              <w:rPr>
                <w:noProof/>
              </w:rPr>
              <w:t>Investīcija 1.4.3. PagoPA platformas pakalpojumu un lietotnes “IO” pieņemšana</w:t>
            </w:r>
          </w:p>
        </w:tc>
        <w:tc>
          <w:tcPr>
            <w:tcW w:w="992" w:type="dxa"/>
            <w:shd w:val="clear" w:color="auto" w:fill="C6EFCE"/>
            <w:noWrap/>
            <w:vAlign w:val="center"/>
          </w:tcPr>
          <w:p w14:paraId="6C6340ED"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36BEABB9" w14:textId="77777777" w:rsidR="00327FF1" w:rsidRDefault="00E406C7">
            <w:pPr>
              <w:pStyle w:val="P68B1DB1-Normal12"/>
              <w:jc w:val="center"/>
              <w:rPr>
                <w:noProof/>
              </w:rPr>
            </w:pPr>
            <w:r>
              <w:rPr>
                <w:noProof/>
              </w:rPr>
              <w:t>PagoPA platformas pakalpojumu T1 ieviešana</w:t>
            </w:r>
          </w:p>
        </w:tc>
        <w:tc>
          <w:tcPr>
            <w:tcW w:w="1701" w:type="dxa"/>
            <w:shd w:val="clear" w:color="auto" w:fill="C6EFCE"/>
            <w:noWrap/>
            <w:vAlign w:val="center"/>
          </w:tcPr>
          <w:p w14:paraId="4BCEBA23"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54C7BA10"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0D39E07E" w14:textId="77777777" w:rsidR="00327FF1" w:rsidRDefault="00E406C7">
            <w:pPr>
              <w:pStyle w:val="P68B1DB1-Normal11"/>
              <w:jc w:val="center"/>
              <w:rPr>
                <w:noProof/>
                <w:szCs w:val="20"/>
              </w:rPr>
            </w:pPr>
            <w:r>
              <w:rPr>
                <w:noProof/>
              </w:rPr>
              <w:t>9 000</w:t>
            </w:r>
          </w:p>
        </w:tc>
        <w:tc>
          <w:tcPr>
            <w:tcW w:w="1417" w:type="dxa"/>
            <w:shd w:val="clear" w:color="auto" w:fill="C6EFCE"/>
            <w:noWrap/>
            <w:vAlign w:val="center"/>
          </w:tcPr>
          <w:p w14:paraId="0065EBBD" w14:textId="77777777" w:rsidR="00327FF1" w:rsidRDefault="00E406C7">
            <w:pPr>
              <w:pStyle w:val="P68B1DB1-Normal11"/>
              <w:jc w:val="center"/>
              <w:rPr>
                <w:noProof/>
                <w:szCs w:val="20"/>
              </w:rPr>
            </w:pPr>
            <w:r>
              <w:rPr>
                <w:noProof/>
              </w:rPr>
              <w:t xml:space="preserve">11 450 </w:t>
            </w:r>
          </w:p>
        </w:tc>
        <w:tc>
          <w:tcPr>
            <w:tcW w:w="793" w:type="dxa"/>
            <w:shd w:val="clear" w:color="auto" w:fill="C6EFCE"/>
            <w:noWrap/>
            <w:vAlign w:val="center"/>
          </w:tcPr>
          <w:p w14:paraId="61115A58"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71C3D402"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00A94A7D" w14:textId="77777777" w:rsidR="00327FF1" w:rsidRDefault="00E406C7">
            <w:pPr>
              <w:pStyle w:val="P68B1DB1-Normal11"/>
              <w:spacing w:after="120"/>
              <w:rPr>
                <w:noProof/>
                <w:szCs w:val="20"/>
              </w:rPr>
            </w:pPr>
            <w:r>
              <w:rPr>
                <w:noProof/>
              </w:rPr>
              <w:t>Nodrošināt platformā integrēto pakalpojumu skaita pieaugumu attiecībā uz:</w:t>
            </w:r>
          </w:p>
          <w:p w14:paraId="799B5754" w14:textId="77777777" w:rsidR="00327FF1" w:rsidRDefault="00E406C7">
            <w:pPr>
              <w:pStyle w:val="P68B1DB1-Normal11"/>
              <w:rPr>
                <w:noProof/>
                <w:szCs w:val="20"/>
              </w:rPr>
            </w:pPr>
            <w:r>
              <w:rPr>
                <w:noProof/>
              </w:rPr>
              <w:t>— valsts pārvaldes iestādes, kas jau atrodas pamatscenārijā (9000 vienības)</w:t>
            </w:r>
          </w:p>
          <w:p w14:paraId="57721B04" w14:textId="77777777" w:rsidR="00327FF1" w:rsidRDefault="00E406C7">
            <w:pPr>
              <w:pStyle w:val="P68B1DB1-Normal11"/>
              <w:spacing w:after="120"/>
              <w:rPr>
                <w:noProof/>
                <w:szCs w:val="20"/>
              </w:rPr>
            </w:pPr>
            <w:r>
              <w:rPr>
                <w:noProof/>
              </w:rPr>
              <w:t>— platformai pievienojas jaunas publiskās pārvaldes iestādes (2450 jaunas struktūras).</w:t>
            </w:r>
          </w:p>
          <w:p w14:paraId="4F83443D" w14:textId="77777777" w:rsidR="00327FF1" w:rsidRDefault="00E406C7">
            <w:pPr>
              <w:pStyle w:val="P68B1DB1-Normal12"/>
              <w:spacing w:before="120" w:after="120"/>
              <w:rPr>
                <w:noProof/>
              </w:rPr>
            </w:pPr>
            <w:r>
              <w:rPr>
                <w:noProof/>
              </w:rPr>
              <w:t>Abos gadījumos to p</w:t>
            </w:r>
            <w:r>
              <w:rPr>
                <w:noProof/>
              </w:rPr>
              <w:t>ubliskās pārvaldes iestāžu kopējais pakalpojumu skaits, kuras pievienojas platformai, ir jāpalielina vismaz par 20 % salīdzinājumā ar 2021. gada pakalpojumu pamatscenāriju (31.03.2021.). Integrējamo pakalpojumu skaits ir atkarīgs no administrācijas veida (</w:t>
            </w:r>
            <w:r>
              <w:rPr>
                <w:noProof/>
              </w:rPr>
              <w:t>2026. gada galīgais mērķis ir nodrošināt vidēji 35 pakalpojumus pašvaldībām, 15 pakalpojumus reģioniem, 15 pakalpojumus veselības iestādēm, 8 pakalpojumus skolām un universitātēm).</w:t>
            </w:r>
          </w:p>
        </w:tc>
      </w:tr>
      <w:tr w:rsidR="00327FF1" w14:paraId="67341C36" w14:textId="77777777">
        <w:trPr>
          <w:trHeight w:val="309"/>
        </w:trPr>
        <w:tc>
          <w:tcPr>
            <w:tcW w:w="1087" w:type="dxa"/>
            <w:shd w:val="clear" w:color="auto" w:fill="C6EFCE"/>
            <w:noWrap/>
            <w:vAlign w:val="center"/>
          </w:tcPr>
          <w:p w14:paraId="4BF0B9EB" w14:textId="77777777" w:rsidR="00327FF1" w:rsidRDefault="00E406C7">
            <w:pPr>
              <w:pStyle w:val="P68B1DB1-Normal11"/>
              <w:jc w:val="center"/>
              <w:rPr>
                <w:noProof/>
                <w:szCs w:val="20"/>
              </w:rPr>
            </w:pPr>
            <w:r>
              <w:rPr>
                <w:noProof/>
              </w:rPr>
              <w:t>M1C1–127</w:t>
            </w:r>
          </w:p>
        </w:tc>
        <w:tc>
          <w:tcPr>
            <w:tcW w:w="1943" w:type="dxa"/>
            <w:shd w:val="clear" w:color="auto" w:fill="C6EFCE"/>
            <w:noWrap/>
            <w:vAlign w:val="center"/>
          </w:tcPr>
          <w:p w14:paraId="6D194469" w14:textId="77777777" w:rsidR="00327FF1" w:rsidRDefault="00E406C7">
            <w:pPr>
              <w:pStyle w:val="P68B1DB1-Normal12"/>
              <w:jc w:val="center"/>
              <w:rPr>
                <w:noProof/>
              </w:rPr>
            </w:pPr>
            <w:r>
              <w:rPr>
                <w:noProof/>
              </w:rPr>
              <w:t xml:space="preserve">Investīcija 1.4.3. PagoPA platformas pakalpojumu un lietotnes </w:t>
            </w:r>
            <w:r>
              <w:rPr>
                <w:noProof/>
              </w:rPr>
              <w:t>“IO” pieņemšana</w:t>
            </w:r>
          </w:p>
        </w:tc>
        <w:tc>
          <w:tcPr>
            <w:tcW w:w="992" w:type="dxa"/>
            <w:shd w:val="clear" w:color="auto" w:fill="C6EFCE"/>
            <w:noWrap/>
            <w:vAlign w:val="center"/>
          </w:tcPr>
          <w:p w14:paraId="7D625A64"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41329E0C" w14:textId="77777777" w:rsidR="00327FF1" w:rsidRDefault="00E406C7">
            <w:pPr>
              <w:pStyle w:val="P68B1DB1-Normal12"/>
              <w:jc w:val="center"/>
              <w:rPr>
                <w:noProof/>
              </w:rPr>
            </w:pPr>
            <w:r>
              <w:rPr>
                <w:noProof/>
              </w:rPr>
              <w:t>“IO” lietotnes T1 pieņemšana</w:t>
            </w:r>
          </w:p>
        </w:tc>
        <w:tc>
          <w:tcPr>
            <w:tcW w:w="1701" w:type="dxa"/>
            <w:shd w:val="clear" w:color="auto" w:fill="C6EFCE"/>
            <w:noWrap/>
            <w:vAlign w:val="center"/>
          </w:tcPr>
          <w:p w14:paraId="4DE6059B"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0C71DD95"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074E618B" w14:textId="77777777" w:rsidR="00327FF1" w:rsidRDefault="00E406C7">
            <w:pPr>
              <w:pStyle w:val="P68B1DB1-Normal11"/>
              <w:jc w:val="center"/>
              <w:rPr>
                <w:noProof/>
                <w:szCs w:val="20"/>
              </w:rPr>
            </w:pPr>
            <w:r>
              <w:rPr>
                <w:noProof/>
              </w:rPr>
              <w:t>2 700</w:t>
            </w:r>
          </w:p>
        </w:tc>
        <w:tc>
          <w:tcPr>
            <w:tcW w:w="1417" w:type="dxa"/>
            <w:shd w:val="clear" w:color="auto" w:fill="C6EFCE"/>
            <w:noWrap/>
            <w:vAlign w:val="center"/>
          </w:tcPr>
          <w:p w14:paraId="6500BEC0" w14:textId="77777777" w:rsidR="00327FF1" w:rsidRDefault="00E406C7">
            <w:pPr>
              <w:pStyle w:val="P68B1DB1-Normal11"/>
              <w:jc w:val="center"/>
              <w:rPr>
                <w:noProof/>
                <w:szCs w:val="20"/>
              </w:rPr>
            </w:pPr>
            <w:r>
              <w:rPr>
                <w:noProof/>
              </w:rPr>
              <w:t>7 000</w:t>
            </w:r>
          </w:p>
        </w:tc>
        <w:tc>
          <w:tcPr>
            <w:tcW w:w="793" w:type="dxa"/>
            <w:shd w:val="clear" w:color="auto" w:fill="C6EFCE"/>
            <w:noWrap/>
            <w:vAlign w:val="center"/>
          </w:tcPr>
          <w:p w14:paraId="68A2C0DC"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46CDB474"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5C909BA2" w14:textId="77777777" w:rsidR="00327FF1" w:rsidRDefault="00E406C7">
            <w:pPr>
              <w:pStyle w:val="P68B1DB1-Normal11"/>
              <w:spacing w:after="120"/>
              <w:rPr>
                <w:noProof/>
                <w:szCs w:val="20"/>
              </w:rPr>
            </w:pPr>
            <w:r>
              <w:rPr>
                <w:noProof/>
              </w:rPr>
              <w:t>Nodrošināt, ka tiek palielināts to pakalpojumu skaits, kas integrēti dokumentā “IO “Pieteikties:</w:t>
            </w:r>
          </w:p>
          <w:p w14:paraId="32AF795C" w14:textId="77777777" w:rsidR="00327FF1" w:rsidRDefault="00E406C7">
            <w:pPr>
              <w:pStyle w:val="P68B1DB1-Normal11"/>
              <w:spacing w:before="120" w:after="120"/>
              <w:rPr>
                <w:noProof/>
                <w:szCs w:val="20"/>
              </w:rPr>
            </w:pPr>
            <w:r>
              <w:rPr>
                <w:noProof/>
              </w:rPr>
              <w:t xml:space="preserve">— valsts pārvaldes iestādes, kas jau atrodas pamatscenārijā (2700 </w:t>
            </w:r>
            <w:r>
              <w:rPr>
                <w:noProof/>
              </w:rPr>
              <w:t>vienības)</w:t>
            </w:r>
          </w:p>
          <w:p w14:paraId="10CF7A4B" w14:textId="77777777" w:rsidR="00327FF1" w:rsidRDefault="00E406C7">
            <w:pPr>
              <w:pStyle w:val="P68B1DB1-Normal11"/>
              <w:spacing w:before="120" w:after="120"/>
              <w:rPr>
                <w:noProof/>
                <w:szCs w:val="20"/>
              </w:rPr>
            </w:pPr>
            <w:r>
              <w:rPr>
                <w:noProof/>
              </w:rPr>
              <w:t>— jaunas publiskās pārvaldes iestādes, kas pievienojas platformai (4300 jaunas struktūras).</w:t>
            </w:r>
          </w:p>
          <w:p w14:paraId="029347BF" w14:textId="77777777" w:rsidR="00327FF1" w:rsidRDefault="00E406C7">
            <w:pPr>
              <w:pStyle w:val="P68B1DB1-Normal12"/>
              <w:spacing w:before="120" w:after="120"/>
              <w:rPr>
                <w:noProof/>
              </w:rPr>
            </w:pPr>
            <w:r>
              <w:rPr>
                <w:noProof/>
              </w:rPr>
              <w:t>Abos gadījumos to publiskās pārvaldes iestāžu kopējais pakalpojumu skaits, kuras pievienojas platformai, ir jāpalielina vismaz par 20 % salīdzinājumā ar 2</w:t>
            </w:r>
            <w:r>
              <w:rPr>
                <w:noProof/>
              </w:rPr>
              <w:t>021. gada pakalpojumu pamatscenāriju (31.03.2021.). Integrējamo pakalpojumu skaits ir atkarīgs no administrācijas veida (2026. gada galīgais mērķis ir nodrošināt vidēji 35 pakalpojumus pašvaldībām, 15 pakalpojumus reģioniem, 15 pakalpojumus veselības iestā</w:t>
            </w:r>
            <w:r>
              <w:rPr>
                <w:noProof/>
              </w:rPr>
              <w:t>dēm, 8 pakalpojumus skolām un universitātēm).</w:t>
            </w:r>
          </w:p>
        </w:tc>
      </w:tr>
      <w:tr w:rsidR="00327FF1" w14:paraId="6EDFFC6F" w14:textId="77777777">
        <w:trPr>
          <w:trHeight w:val="309"/>
        </w:trPr>
        <w:tc>
          <w:tcPr>
            <w:tcW w:w="1087" w:type="dxa"/>
            <w:shd w:val="clear" w:color="auto" w:fill="C6EFCE"/>
            <w:noWrap/>
            <w:vAlign w:val="center"/>
          </w:tcPr>
          <w:p w14:paraId="552B3BCE" w14:textId="77777777" w:rsidR="00327FF1" w:rsidRDefault="00E406C7">
            <w:pPr>
              <w:pStyle w:val="P68B1DB1-Normal11"/>
              <w:jc w:val="center"/>
              <w:rPr>
                <w:noProof/>
                <w:szCs w:val="20"/>
              </w:rPr>
            </w:pPr>
            <w:r>
              <w:rPr>
                <w:noProof/>
              </w:rPr>
              <w:t>M1C1–128</w:t>
            </w:r>
          </w:p>
        </w:tc>
        <w:tc>
          <w:tcPr>
            <w:tcW w:w="1943" w:type="dxa"/>
            <w:shd w:val="clear" w:color="auto" w:fill="C6EFCE"/>
            <w:noWrap/>
            <w:vAlign w:val="center"/>
          </w:tcPr>
          <w:p w14:paraId="76A225CC" w14:textId="77777777" w:rsidR="00327FF1" w:rsidRDefault="00E406C7">
            <w:pPr>
              <w:pStyle w:val="P68B1DB1-Normal11"/>
              <w:jc w:val="center"/>
              <w:rPr>
                <w:noProof/>
                <w:szCs w:val="20"/>
              </w:rPr>
            </w:pPr>
            <w:r>
              <w:rPr>
                <w:noProof/>
              </w:rPr>
              <w:t>Investīcija 1.4.5. Publisko paziņojumu digitalizācija</w:t>
            </w:r>
          </w:p>
        </w:tc>
        <w:tc>
          <w:tcPr>
            <w:tcW w:w="992" w:type="dxa"/>
            <w:shd w:val="clear" w:color="auto" w:fill="C6EFCE"/>
            <w:noWrap/>
            <w:vAlign w:val="center"/>
          </w:tcPr>
          <w:p w14:paraId="45910CC1"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68A31583" w14:textId="77777777" w:rsidR="00327FF1" w:rsidRDefault="00E406C7">
            <w:pPr>
              <w:pStyle w:val="P68B1DB1-Normal12"/>
              <w:jc w:val="center"/>
              <w:rPr>
                <w:noProof/>
              </w:rPr>
            </w:pPr>
            <w:r>
              <w:rPr>
                <w:noProof/>
              </w:rPr>
              <w:t>Digitālo publisko paziņojumu T1 ieviešana</w:t>
            </w:r>
          </w:p>
        </w:tc>
        <w:tc>
          <w:tcPr>
            <w:tcW w:w="1701" w:type="dxa"/>
            <w:shd w:val="clear" w:color="auto" w:fill="C6EFCE"/>
            <w:noWrap/>
            <w:vAlign w:val="center"/>
          </w:tcPr>
          <w:p w14:paraId="537D34C8"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055EAF9B"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1C8383B6" w14:textId="77777777" w:rsidR="00327FF1" w:rsidRDefault="00E406C7">
            <w:pPr>
              <w:pStyle w:val="P68B1DB1-Normal11"/>
              <w:jc w:val="center"/>
              <w:rPr>
                <w:noProof/>
                <w:szCs w:val="20"/>
              </w:rPr>
            </w:pPr>
            <w:r>
              <w:rPr>
                <w:noProof/>
              </w:rPr>
              <w:t>0</w:t>
            </w:r>
          </w:p>
        </w:tc>
        <w:tc>
          <w:tcPr>
            <w:tcW w:w="1417" w:type="dxa"/>
            <w:shd w:val="clear" w:color="auto" w:fill="C6EFCE"/>
            <w:noWrap/>
            <w:vAlign w:val="center"/>
          </w:tcPr>
          <w:p w14:paraId="7C608BA5" w14:textId="77777777" w:rsidR="00327FF1" w:rsidRDefault="00E406C7">
            <w:pPr>
              <w:pStyle w:val="P68B1DB1-Normal11"/>
              <w:jc w:val="center"/>
              <w:rPr>
                <w:noProof/>
                <w:szCs w:val="20"/>
              </w:rPr>
            </w:pPr>
            <w:r>
              <w:rPr>
                <w:noProof/>
              </w:rPr>
              <w:t>800</w:t>
            </w:r>
          </w:p>
        </w:tc>
        <w:tc>
          <w:tcPr>
            <w:tcW w:w="793" w:type="dxa"/>
            <w:shd w:val="clear" w:color="auto" w:fill="C6EFCE"/>
            <w:noWrap/>
            <w:vAlign w:val="center"/>
          </w:tcPr>
          <w:p w14:paraId="1EDA316E"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33A6FF6F"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28A22130" w14:textId="77777777" w:rsidR="00327FF1" w:rsidRDefault="00E406C7">
            <w:pPr>
              <w:pStyle w:val="P68B1DB1-Normal12"/>
              <w:spacing w:after="120"/>
              <w:rPr>
                <w:noProof/>
              </w:rPr>
            </w:pPr>
            <w:r>
              <w:rPr>
                <w:noProof/>
              </w:rPr>
              <w:t xml:space="preserve">Vismaz 800 centrālās publiskās pārvaldes un pašvaldības </w:t>
            </w:r>
            <w:r>
              <w:rPr>
                <w:noProof/>
              </w:rPr>
              <w:t>attiecībā uz digitālās paziņošanas platformu (DNP) sniedz digitālus juridiski saistošus paziņojumus iedzīvotājiem, juridiskām personām, apvienībām un citām publiskām vai privātām struktūrām.</w:t>
            </w:r>
          </w:p>
        </w:tc>
      </w:tr>
      <w:tr w:rsidR="00327FF1" w14:paraId="05933BF8" w14:textId="77777777">
        <w:trPr>
          <w:trHeight w:val="309"/>
        </w:trPr>
        <w:tc>
          <w:tcPr>
            <w:tcW w:w="1087" w:type="dxa"/>
            <w:shd w:val="clear" w:color="auto" w:fill="C6EFCE"/>
            <w:noWrap/>
            <w:vAlign w:val="center"/>
          </w:tcPr>
          <w:p w14:paraId="21E431E7" w14:textId="77777777" w:rsidR="00327FF1" w:rsidRDefault="00E406C7">
            <w:pPr>
              <w:pStyle w:val="P68B1DB1-Normal11"/>
              <w:jc w:val="center"/>
              <w:rPr>
                <w:noProof/>
                <w:szCs w:val="20"/>
              </w:rPr>
            </w:pPr>
            <w:r>
              <w:rPr>
                <w:noProof/>
              </w:rPr>
              <w:t>M1C1–129</w:t>
            </w:r>
          </w:p>
        </w:tc>
        <w:tc>
          <w:tcPr>
            <w:tcW w:w="1943" w:type="dxa"/>
            <w:shd w:val="clear" w:color="auto" w:fill="C6EFCE"/>
            <w:noWrap/>
            <w:vAlign w:val="center"/>
          </w:tcPr>
          <w:p w14:paraId="4A5B1CE5" w14:textId="77777777" w:rsidR="00327FF1" w:rsidRDefault="00E406C7">
            <w:pPr>
              <w:pStyle w:val="P68B1DB1-Normal11"/>
              <w:jc w:val="center"/>
              <w:rPr>
                <w:noProof/>
                <w:szCs w:val="20"/>
              </w:rPr>
            </w:pPr>
            <w:r>
              <w:rPr>
                <w:noProof/>
              </w:rPr>
              <w:t xml:space="preserve">Investīcija 1.6.1. — Iekšlietu ministrijas </w:t>
            </w:r>
            <w:r>
              <w:rPr>
                <w:noProof/>
              </w:rPr>
              <w:t>digitalizācija</w:t>
            </w:r>
          </w:p>
        </w:tc>
        <w:tc>
          <w:tcPr>
            <w:tcW w:w="992" w:type="dxa"/>
            <w:shd w:val="clear" w:color="auto" w:fill="C6EFCE"/>
            <w:noWrap/>
            <w:vAlign w:val="center"/>
          </w:tcPr>
          <w:p w14:paraId="24705CF4"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05AAB55D" w14:textId="77777777" w:rsidR="00327FF1" w:rsidRDefault="00E406C7">
            <w:pPr>
              <w:pStyle w:val="P68B1DB1-Normal11"/>
              <w:jc w:val="center"/>
              <w:rPr>
                <w:noProof/>
                <w:szCs w:val="20"/>
              </w:rPr>
            </w:pPr>
            <w:r>
              <w:rPr>
                <w:noProof/>
              </w:rPr>
              <w:t>Iekšlietu ministrija — pilnībā pārveidoti un digitalizēti procesi T1</w:t>
            </w:r>
          </w:p>
        </w:tc>
        <w:tc>
          <w:tcPr>
            <w:tcW w:w="1701" w:type="dxa"/>
            <w:shd w:val="clear" w:color="auto" w:fill="C6EFCE"/>
            <w:noWrap/>
            <w:vAlign w:val="center"/>
          </w:tcPr>
          <w:p w14:paraId="00FC7786"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7081EEC6"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43B20A62" w14:textId="77777777" w:rsidR="00327FF1" w:rsidRDefault="00E406C7">
            <w:pPr>
              <w:pStyle w:val="P68B1DB1-Normal11"/>
              <w:jc w:val="center"/>
              <w:rPr>
                <w:noProof/>
                <w:szCs w:val="20"/>
              </w:rPr>
            </w:pPr>
            <w:r>
              <w:rPr>
                <w:noProof/>
              </w:rPr>
              <w:t>0</w:t>
            </w:r>
          </w:p>
        </w:tc>
        <w:tc>
          <w:tcPr>
            <w:tcW w:w="1417" w:type="dxa"/>
            <w:shd w:val="clear" w:color="auto" w:fill="C6EFCE"/>
            <w:noWrap/>
            <w:vAlign w:val="center"/>
          </w:tcPr>
          <w:p w14:paraId="20451890" w14:textId="77777777" w:rsidR="00327FF1" w:rsidRDefault="00E406C7">
            <w:pPr>
              <w:pStyle w:val="P68B1DB1-Normal11"/>
              <w:jc w:val="center"/>
              <w:rPr>
                <w:noProof/>
                <w:szCs w:val="20"/>
              </w:rPr>
            </w:pPr>
            <w:r>
              <w:rPr>
                <w:noProof/>
              </w:rPr>
              <w:t>7</w:t>
            </w:r>
          </w:p>
        </w:tc>
        <w:tc>
          <w:tcPr>
            <w:tcW w:w="793" w:type="dxa"/>
            <w:shd w:val="clear" w:color="auto" w:fill="C6EFCE"/>
            <w:noWrap/>
            <w:vAlign w:val="center"/>
          </w:tcPr>
          <w:p w14:paraId="15CC0051"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4E34D926"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5C7B69B5" w14:textId="77777777" w:rsidR="00327FF1" w:rsidRDefault="00E406C7">
            <w:pPr>
              <w:pStyle w:val="P68B1DB1-Normal12"/>
              <w:spacing w:after="120"/>
              <w:rPr>
                <w:noProof/>
              </w:rPr>
            </w:pPr>
            <w:r>
              <w:rPr>
                <w:noProof/>
              </w:rPr>
              <w:t>Iekšējās procedūras un procesi ir pilnībā pārveidoti (kopumā līdz 2023. gada 31. decembrim — 7 procesi) un kurus var pilnībā pabeigt</w:t>
            </w:r>
            <w:r>
              <w:rPr>
                <w:noProof/>
              </w:rPr>
              <w:t xml:space="preserve"> tiešsaistē (piemēram, biroju automatizācija, mobilitātes pakalpojumi un e-mācības).</w:t>
            </w:r>
          </w:p>
        </w:tc>
      </w:tr>
      <w:tr w:rsidR="00327FF1" w14:paraId="2204764B" w14:textId="77777777">
        <w:trPr>
          <w:trHeight w:val="309"/>
        </w:trPr>
        <w:tc>
          <w:tcPr>
            <w:tcW w:w="1087" w:type="dxa"/>
            <w:shd w:val="clear" w:color="auto" w:fill="C6EFCE"/>
            <w:noWrap/>
            <w:vAlign w:val="center"/>
          </w:tcPr>
          <w:p w14:paraId="7C704C31" w14:textId="77777777" w:rsidR="00327FF1" w:rsidRDefault="00E406C7">
            <w:pPr>
              <w:pStyle w:val="P68B1DB1-Normal11"/>
              <w:jc w:val="center"/>
              <w:rPr>
                <w:noProof/>
                <w:szCs w:val="20"/>
              </w:rPr>
            </w:pPr>
            <w:r>
              <w:rPr>
                <w:noProof/>
              </w:rPr>
              <w:t>M1C1–130</w:t>
            </w:r>
          </w:p>
        </w:tc>
        <w:tc>
          <w:tcPr>
            <w:tcW w:w="1943" w:type="dxa"/>
            <w:shd w:val="clear" w:color="auto" w:fill="C6EFCE"/>
            <w:noWrap/>
            <w:vAlign w:val="center"/>
          </w:tcPr>
          <w:p w14:paraId="7B27EF5B" w14:textId="77777777" w:rsidR="00327FF1" w:rsidRDefault="00E406C7">
            <w:pPr>
              <w:pStyle w:val="P68B1DB1-Normal11"/>
              <w:jc w:val="center"/>
              <w:rPr>
                <w:noProof/>
                <w:szCs w:val="20"/>
              </w:rPr>
            </w:pPr>
            <w:r>
              <w:rPr>
                <w:noProof/>
              </w:rPr>
              <w:t>Investīcija 1.6.2. — Tieslietu ministrijas digitalizācija</w:t>
            </w:r>
          </w:p>
        </w:tc>
        <w:tc>
          <w:tcPr>
            <w:tcW w:w="992" w:type="dxa"/>
            <w:shd w:val="clear" w:color="auto" w:fill="C6EFCE"/>
            <w:noWrap/>
            <w:vAlign w:val="center"/>
          </w:tcPr>
          <w:p w14:paraId="46166421"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640C1962" w14:textId="77777777" w:rsidR="00327FF1" w:rsidRDefault="00E406C7">
            <w:pPr>
              <w:pStyle w:val="P68B1DB1-Normal11"/>
              <w:jc w:val="center"/>
              <w:rPr>
                <w:noProof/>
                <w:szCs w:val="20"/>
              </w:rPr>
            </w:pPr>
            <w:r>
              <w:rPr>
                <w:noProof/>
              </w:rPr>
              <w:t>Digitalizētas tiesvedības lietas T1</w:t>
            </w:r>
          </w:p>
        </w:tc>
        <w:tc>
          <w:tcPr>
            <w:tcW w:w="1701" w:type="dxa"/>
            <w:shd w:val="clear" w:color="auto" w:fill="C6EFCE"/>
            <w:noWrap/>
            <w:vAlign w:val="center"/>
          </w:tcPr>
          <w:p w14:paraId="3F36A4CF"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2E5D7BBB"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5360894D" w14:textId="77777777" w:rsidR="00327FF1" w:rsidRDefault="00E406C7">
            <w:pPr>
              <w:pStyle w:val="P68B1DB1-Normal11"/>
              <w:jc w:val="center"/>
              <w:rPr>
                <w:noProof/>
                <w:szCs w:val="20"/>
              </w:rPr>
            </w:pPr>
            <w:r>
              <w:rPr>
                <w:noProof/>
              </w:rPr>
              <w:t>0</w:t>
            </w:r>
          </w:p>
        </w:tc>
        <w:tc>
          <w:tcPr>
            <w:tcW w:w="1417" w:type="dxa"/>
            <w:shd w:val="clear" w:color="auto" w:fill="C6EFCE"/>
            <w:noWrap/>
            <w:vAlign w:val="center"/>
          </w:tcPr>
          <w:p w14:paraId="39803D0B" w14:textId="77777777" w:rsidR="00327FF1" w:rsidRDefault="00E406C7">
            <w:pPr>
              <w:pStyle w:val="P68B1DB1-Normal21"/>
              <w:jc w:val="center"/>
              <w:rPr>
                <w:rFonts w:ascii="Arial Narrow" w:hAnsi="Arial Narrow"/>
                <w:noProof/>
                <w:szCs w:val="20"/>
              </w:rPr>
            </w:pPr>
            <w:r>
              <w:rPr>
                <w:rFonts w:ascii="Arial Narrow" w:hAnsi="Arial Narrow"/>
                <w:noProof/>
              </w:rPr>
              <w:t>3 500</w:t>
            </w:r>
            <w:r>
              <w:rPr>
                <w:rFonts w:ascii="Arial Narrow" w:hint="eastAsia"/>
                <w:noProof/>
              </w:rPr>
              <w:t xml:space="preserve"> 000</w:t>
            </w:r>
          </w:p>
        </w:tc>
        <w:tc>
          <w:tcPr>
            <w:tcW w:w="793" w:type="dxa"/>
            <w:shd w:val="clear" w:color="auto" w:fill="C6EFCE"/>
            <w:noWrap/>
            <w:vAlign w:val="center"/>
          </w:tcPr>
          <w:p w14:paraId="07B2A252"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6B09D6AA"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737D1E68" w14:textId="77777777" w:rsidR="00327FF1" w:rsidRDefault="00E406C7">
            <w:pPr>
              <w:pStyle w:val="P68B1DB1-Normal22"/>
              <w:spacing w:after="120"/>
              <w:rPr>
                <w:rFonts w:hAnsi="Arial Narrow" w:hint="default"/>
                <w:noProof/>
              </w:rPr>
            </w:pPr>
            <w:r>
              <w:rPr>
                <w:noProof/>
              </w:rPr>
              <w:t>T</w:t>
            </w:r>
            <w:r>
              <w:rPr>
                <w:noProof/>
              </w:rPr>
              <w:t>ā</w:t>
            </w:r>
            <w:r>
              <w:rPr>
                <w:noProof/>
              </w:rPr>
              <w:t xml:space="preserve">du 3500000 tiesu </w:t>
            </w:r>
            <w:r>
              <w:rPr>
                <w:noProof/>
              </w:rPr>
              <w:t>lietu digitaliz</w:t>
            </w:r>
            <w:r>
              <w:rPr>
                <w:noProof/>
              </w:rPr>
              <w:t>ā</w:t>
            </w:r>
            <w:r>
              <w:rPr>
                <w:noProof/>
              </w:rPr>
              <w:t>cija, kas attiecas uz p</w:t>
            </w:r>
            <w:r>
              <w:rPr>
                <w:noProof/>
              </w:rPr>
              <w:t>ē</w:t>
            </w:r>
            <w:r>
              <w:rPr>
                <w:noProof/>
              </w:rPr>
              <w:t>d</w:t>
            </w:r>
            <w:r>
              <w:rPr>
                <w:noProof/>
              </w:rPr>
              <w:t>ē</w:t>
            </w:r>
            <w:r>
              <w:rPr>
                <w:noProof/>
              </w:rPr>
              <w:t>jiem 20 gadiem (01.01.2006.</w:t>
            </w:r>
            <w:r>
              <w:rPr>
                <w:noProof/>
              </w:rPr>
              <w:t>–</w:t>
            </w:r>
            <w:r>
              <w:rPr>
                <w:noProof/>
              </w:rPr>
              <w:t>30.06.2026.) saist</w:t>
            </w:r>
            <w:r>
              <w:rPr>
                <w:noProof/>
              </w:rPr>
              <w:t>ī</w:t>
            </w:r>
            <w:r>
              <w:rPr>
                <w:noProof/>
              </w:rPr>
              <w:t>b</w:t>
            </w:r>
            <w:r>
              <w:rPr>
                <w:noProof/>
              </w:rPr>
              <w:t>ā</w:t>
            </w:r>
            <w:r>
              <w:rPr>
                <w:noProof/>
              </w:rPr>
              <w:t xml:space="preserve"> ar pabeigtiem vai notieko</w:t>
            </w:r>
            <w:r>
              <w:rPr>
                <w:noProof/>
              </w:rPr>
              <w:t>š</w:t>
            </w:r>
            <w:r>
              <w:rPr>
                <w:noProof/>
              </w:rPr>
              <w:t>iem tiesas procesiem.</w:t>
            </w:r>
          </w:p>
        </w:tc>
      </w:tr>
      <w:tr w:rsidR="00327FF1" w14:paraId="068F25DD" w14:textId="77777777">
        <w:trPr>
          <w:trHeight w:val="309"/>
        </w:trPr>
        <w:tc>
          <w:tcPr>
            <w:tcW w:w="1087" w:type="dxa"/>
            <w:shd w:val="clear" w:color="auto" w:fill="C6EFCE"/>
            <w:noWrap/>
            <w:vAlign w:val="center"/>
          </w:tcPr>
          <w:p w14:paraId="203ACE20" w14:textId="77777777" w:rsidR="00327FF1" w:rsidRDefault="00E406C7">
            <w:pPr>
              <w:pStyle w:val="P68B1DB1-Normal11"/>
              <w:jc w:val="center"/>
              <w:rPr>
                <w:noProof/>
                <w:szCs w:val="20"/>
              </w:rPr>
            </w:pPr>
            <w:r>
              <w:rPr>
                <w:noProof/>
              </w:rPr>
              <w:t>M1C1–131</w:t>
            </w:r>
          </w:p>
        </w:tc>
        <w:tc>
          <w:tcPr>
            <w:tcW w:w="1943" w:type="dxa"/>
            <w:shd w:val="clear" w:color="auto" w:fill="C6EFCE"/>
            <w:noWrap/>
            <w:vAlign w:val="center"/>
          </w:tcPr>
          <w:p w14:paraId="0B0261EB" w14:textId="77777777" w:rsidR="00327FF1" w:rsidRDefault="00E406C7">
            <w:pPr>
              <w:pStyle w:val="P68B1DB1-Normal11"/>
              <w:jc w:val="center"/>
              <w:rPr>
                <w:noProof/>
                <w:szCs w:val="20"/>
              </w:rPr>
            </w:pPr>
            <w:r>
              <w:rPr>
                <w:noProof/>
              </w:rPr>
              <w:t>Investīcija 1.6.2. — Tieslietu ministrijas digitalizācija</w:t>
            </w:r>
          </w:p>
        </w:tc>
        <w:tc>
          <w:tcPr>
            <w:tcW w:w="992" w:type="dxa"/>
            <w:shd w:val="clear" w:color="auto" w:fill="C6EFCE"/>
            <w:noWrap/>
            <w:vAlign w:val="center"/>
          </w:tcPr>
          <w:p w14:paraId="75732200" w14:textId="77777777" w:rsidR="00327FF1" w:rsidRDefault="00E406C7">
            <w:pPr>
              <w:pStyle w:val="P68B1DB1-Normal11"/>
              <w:jc w:val="center"/>
              <w:rPr>
                <w:noProof/>
                <w:szCs w:val="20"/>
              </w:rPr>
            </w:pPr>
            <w:r>
              <w:rPr>
                <w:noProof/>
              </w:rPr>
              <w:t>Atskaites punkts</w:t>
            </w:r>
          </w:p>
        </w:tc>
        <w:tc>
          <w:tcPr>
            <w:tcW w:w="2126" w:type="dxa"/>
            <w:shd w:val="clear" w:color="auto" w:fill="C6EFCE"/>
            <w:noWrap/>
            <w:vAlign w:val="center"/>
          </w:tcPr>
          <w:p w14:paraId="5CEC4B97" w14:textId="77777777" w:rsidR="00327FF1" w:rsidRDefault="00E406C7">
            <w:pPr>
              <w:pStyle w:val="P68B1DB1-Normal11"/>
              <w:jc w:val="center"/>
              <w:rPr>
                <w:noProof/>
                <w:szCs w:val="20"/>
              </w:rPr>
            </w:pPr>
            <w:r>
              <w:rPr>
                <w:noProof/>
              </w:rPr>
              <w:t xml:space="preserve">“Tiesiskums” datu ezera </w:t>
            </w:r>
            <w:r>
              <w:rPr>
                <w:noProof/>
              </w:rPr>
              <w:t>zināšanu sistēmas T1</w:t>
            </w:r>
          </w:p>
        </w:tc>
        <w:tc>
          <w:tcPr>
            <w:tcW w:w="1701" w:type="dxa"/>
            <w:shd w:val="clear" w:color="auto" w:fill="C6EFCE"/>
            <w:noWrap/>
            <w:vAlign w:val="center"/>
          </w:tcPr>
          <w:p w14:paraId="701CC7C7" w14:textId="77777777" w:rsidR="00327FF1" w:rsidRDefault="00E406C7">
            <w:pPr>
              <w:pStyle w:val="P68B1DB1-Normal11"/>
              <w:jc w:val="center"/>
              <w:rPr>
                <w:noProof/>
                <w:szCs w:val="20"/>
              </w:rPr>
            </w:pPr>
            <w:r>
              <w:rPr>
                <w:noProof/>
              </w:rPr>
              <w:t>Ziņojums, kas apliecina līguma izpildes sākumu</w:t>
            </w:r>
          </w:p>
        </w:tc>
        <w:tc>
          <w:tcPr>
            <w:tcW w:w="1134" w:type="dxa"/>
            <w:shd w:val="clear" w:color="auto" w:fill="C6EFCE"/>
            <w:noWrap/>
            <w:vAlign w:val="center"/>
          </w:tcPr>
          <w:p w14:paraId="1B291B06" w14:textId="77777777" w:rsidR="00327FF1" w:rsidRDefault="00E406C7">
            <w:pPr>
              <w:pStyle w:val="P68B1DB1-Normal11"/>
              <w:jc w:val="center"/>
              <w:rPr>
                <w:noProof/>
                <w:szCs w:val="20"/>
              </w:rPr>
            </w:pPr>
            <w:r>
              <w:rPr>
                <w:noProof/>
              </w:rPr>
              <w:t>NEPIEMĒRO</w:t>
            </w:r>
          </w:p>
        </w:tc>
        <w:tc>
          <w:tcPr>
            <w:tcW w:w="1276" w:type="dxa"/>
            <w:shd w:val="clear" w:color="auto" w:fill="C6EFCE"/>
            <w:noWrap/>
            <w:vAlign w:val="center"/>
          </w:tcPr>
          <w:p w14:paraId="12FE873B" w14:textId="77777777" w:rsidR="00327FF1" w:rsidRDefault="00E406C7">
            <w:pPr>
              <w:pStyle w:val="P68B1DB1-Normal11"/>
              <w:jc w:val="center"/>
              <w:rPr>
                <w:noProof/>
                <w:szCs w:val="20"/>
              </w:rPr>
            </w:pPr>
            <w:r>
              <w:rPr>
                <w:noProof/>
              </w:rPr>
              <w:t>NEPIEMĒRO</w:t>
            </w:r>
          </w:p>
        </w:tc>
        <w:tc>
          <w:tcPr>
            <w:tcW w:w="1417" w:type="dxa"/>
            <w:shd w:val="clear" w:color="auto" w:fill="C6EFCE"/>
            <w:noWrap/>
            <w:vAlign w:val="center"/>
          </w:tcPr>
          <w:p w14:paraId="499691F0" w14:textId="77777777" w:rsidR="00327FF1" w:rsidRDefault="00E406C7">
            <w:pPr>
              <w:pStyle w:val="P68B1DB1-Normal11"/>
              <w:jc w:val="center"/>
              <w:rPr>
                <w:noProof/>
                <w:szCs w:val="20"/>
              </w:rPr>
            </w:pPr>
            <w:r>
              <w:rPr>
                <w:noProof/>
              </w:rPr>
              <w:t>NEPIEMĒRO</w:t>
            </w:r>
          </w:p>
        </w:tc>
        <w:tc>
          <w:tcPr>
            <w:tcW w:w="793" w:type="dxa"/>
            <w:shd w:val="clear" w:color="auto" w:fill="C6EFCE"/>
            <w:noWrap/>
            <w:vAlign w:val="center"/>
          </w:tcPr>
          <w:p w14:paraId="3069842C"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5B00599C"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377A9668" w14:textId="77777777" w:rsidR="00327FF1" w:rsidRDefault="00E406C7">
            <w:pPr>
              <w:pStyle w:val="P68B1DB1-Normal11"/>
              <w:spacing w:after="120"/>
              <w:rPr>
                <w:noProof/>
                <w:szCs w:val="20"/>
              </w:rPr>
            </w:pPr>
            <w:r>
              <w:rPr>
                <w:noProof/>
              </w:rPr>
              <w:t>Līguma izpildes sākums par sešu jaunu datu ezera zināšanu sistēmu ieviešanu:</w:t>
            </w:r>
          </w:p>
          <w:p w14:paraId="74E8DA5C" w14:textId="77777777" w:rsidR="00327FF1" w:rsidRDefault="00E406C7">
            <w:pPr>
              <w:pStyle w:val="P68B1DB1-ListParagraph15"/>
              <w:numPr>
                <w:ilvl w:val="0"/>
                <w:numId w:val="54"/>
              </w:numPr>
              <w:spacing w:after="120" w:line="240" w:lineRule="auto"/>
              <w:ind w:left="357" w:hanging="357"/>
              <w:rPr>
                <w:noProof/>
                <w:szCs w:val="20"/>
              </w:rPr>
            </w:pPr>
            <w:r>
              <w:rPr>
                <w:noProof/>
              </w:rPr>
              <w:t>Civiltiesisko sodu un kriminālsodu anonimizācijas sistēma</w:t>
            </w:r>
          </w:p>
          <w:p w14:paraId="240DFFAC" w14:textId="77777777" w:rsidR="00327FF1" w:rsidRDefault="00E406C7">
            <w:pPr>
              <w:pStyle w:val="P68B1DB1-ListParagraph15"/>
              <w:numPr>
                <w:ilvl w:val="0"/>
                <w:numId w:val="54"/>
              </w:numPr>
              <w:spacing w:after="120" w:line="240" w:lineRule="auto"/>
              <w:ind w:left="357" w:hanging="357"/>
              <w:rPr>
                <w:noProof/>
                <w:szCs w:val="20"/>
              </w:rPr>
            </w:pPr>
            <w:r>
              <w:rPr>
                <w:noProof/>
              </w:rPr>
              <w:t xml:space="preserve">Integrēta </w:t>
            </w:r>
            <w:r>
              <w:rPr>
                <w:noProof/>
              </w:rPr>
              <w:t>pārvaldības sistēma</w:t>
            </w:r>
          </w:p>
          <w:p w14:paraId="481633E3" w14:textId="77777777" w:rsidR="00327FF1" w:rsidRDefault="00E406C7">
            <w:pPr>
              <w:pStyle w:val="P68B1DB1-ListParagraph15"/>
              <w:numPr>
                <w:ilvl w:val="0"/>
                <w:numId w:val="54"/>
              </w:numPr>
              <w:spacing w:after="120" w:line="240" w:lineRule="auto"/>
              <w:ind w:left="357" w:hanging="357"/>
              <w:rPr>
                <w:noProof/>
                <w:szCs w:val="20"/>
              </w:rPr>
            </w:pPr>
            <w:r>
              <w:rPr>
                <w:noProof/>
              </w:rPr>
              <w:t>Civillietu pārvaldības un analīzes sistēma</w:t>
            </w:r>
          </w:p>
          <w:p w14:paraId="16D17378" w14:textId="77777777" w:rsidR="00327FF1" w:rsidRDefault="00E406C7">
            <w:pPr>
              <w:pStyle w:val="P68B1DB1-ListParagraph15"/>
              <w:numPr>
                <w:ilvl w:val="0"/>
                <w:numId w:val="54"/>
              </w:numPr>
              <w:spacing w:after="120" w:line="240" w:lineRule="auto"/>
              <w:ind w:left="357" w:hanging="357"/>
              <w:rPr>
                <w:noProof/>
                <w:szCs w:val="20"/>
              </w:rPr>
            </w:pPr>
            <w:r>
              <w:rPr>
                <w:noProof/>
              </w:rPr>
              <w:t>Krimināllietu pārvaldības un analīzes sistēma</w:t>
            </w:r>
          </w:p>
          <w:p w14:paraId="7C477A90" w14:textId="77777777" w:rsidR="00327FF1" w:rsidRDefault="00E406C7">
            <w:pPr>
              <w:pStyle w:val="P68B1DB1-ListParagraph15"/>
              <w:numPr>
                <w:ilvl w:val="0"/>
                <w:numId w:val="54"/>
              </w:numPr>
              <w:spacing w:after="120" w:line="240" w:lineRule="auto"/>
              <w:ind w:left="357" w:hanging="357"/>
              <w:rPr>
                <w:noProof/>
                <w:szCs w:val="20"/>
              </w:rPr>
            </w:pPr>
            <w:r>
              <w:rPr>
                <w:noProof/>
              </w:rPr>
              <w:t>Uzlabota statistikas sistēma par civilprocesiem un krimināllietām</w:t>
            </w:r>
          </w:p>
          <w:p w14:paraId="5D35DA73" w14:textId="77777777" w:rsidR="00327FF1" w:rsidRDefault="00E406C7">
            <w:pPr>
              <w:pStyle w:val="P68B1DB1-ListParagraph15"/>
              <w:numPr>
                <w:ilvl w:val="0"/>
                <w:numId w:val="54"/>
              </w:numPr>
              <w:spacing w:after="120" w:line="240" w:lineRule="auto"/>
              <w:ind w:left="357" w:hanging="357"/>
              <w:rPr>
                <w:noProof/>
                <w:szCs w:val="20"/>
              </w:rPr>
            </w:pPr>
            <w:r>
              <w:rPr>
                <w:noProof/>
              </w:rPr>
              <w:t xml:space="preserve">Automatizēta sistēma cietušā un vainas attiecību identificēšanai. </w:t>
            </w:r>
          </w:p>
          <w:p w14:paraId="760A5C98" w14:textId="77777777" w:rsidR="00327FF1" w:rsidRDefault="00E406C7">
            <w:pPr>
              <w:pStyle w:val="P68B1DB1-Normal12"/>
              <w:spacing w:after="120"/>
              <w:rPr>
                <w:noProof/>
              </w:rPr>
            </w:pPr>
            <w:r>
              <w:rPr>
                <w:noProof/>
              </w:rPr>
              <w:t>Katra publiskā</w:t>
            </w:r>
            <w:r>
              <w:rPr>
                <w:noProof/>
              </w:rPr>
              <w:t xml:space="preserve"> līguma izpilde sākas ar īpašu par procedūru atbildīgās personas administratīvu aktu, ko sauc par “izbeigšanas sākumu”.</w:t>
            </w:r>
          </w:p>
        </w:tc>
      </w:tr>
      <w:tr w:rsidR="00327FF1" w14:paraId="52BD5D60" w14:textId="77777777">
        <w:trPr>
          <w:trHeight w:val="309"/>
        </w:trPr>
        <w:tc>
          <w:tcPr>
            <w:tcW w:w="1087" w:type="dxa"/>
            <w:shd w:val="clear" w:color="auto" w:fill="C6EFCE"/>
            <w:noWrap/>
            <w:vAlign w:val="center"/>
          </w:tcPr>
          <w:p w14:paraId="3CAC3F77" w14:textId="77777777" w:rsidR="00327FF1" w:rsidRDefault="00E406C7">
            <w:pPr>
              <w:pStyle w:val="P68B1DB1-Normal11"/>
              <w:jc w:val="center"/>
              <w:rPr>
                <w:noProof/>
                <w:szCs w:val="20"/>
              </w:rPr>
            </w:pPr>
            <w:r>
              <w:rPr>
                <w:noProof/>
              </w:rPr>
              <w:t>M1C1–132</w:t>
            </w:r>
          </w:p>
        </w:tc>
        <w:tc>
          <w:tcPr>
            <w:tcW w:w="1943" w:type="dxa"/>
            <w:shd w:val="clear" w:color="auto" w:fill="C6EFCE"/>
            <w:noWrap/>
            <w:vAlign w:val="center"/>
          </w:tcPr>
          <w:p w14:paraId="370B8A34" w14:textId="77777777" w:rsidR="00327FF1" w:rsidRDefault="00E406C7">
            <w:pPr>
              <w:pStyle w:val="P68B1DB1-Normal11"/>
              <w:jc w:val="center"/>
              <w:rPr>
                <w:noProof/>
                <w:szCs w:val="20"/>
              </w:rPr>
            </w:pPr>
            <w:r>
              <w:rPr>
                <w:noProof/>
              </w:rPr>
              <w:t xml:space="preserve">Investīcija — Valsts sociālā nodrošinājuma institūta (INPS) un Valsts apdrošināšanas pret nelaimes gadījumiem darbā (INAIL) </w:t>
            </w:r>
            <w:r>
              <w:rPr>
                <w:noProof/>
              </w:rPr>
              <w:t>digitalizācija</w:t>
            </w:r>
          </w:p>
        </w:tc>
        <w:tc>
          <w:tcPr>
            <w:tcW w:w="992" w:type="dxa"/>
            <w:shd w:val="clear" w:color="auto" w:fill="C6EFCE"/>
            <w:noWrap/>
            <w:vAlign w:val="center"/>
          </w:tcPr>
          <w:p w14:paraId="50C1BBCA"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334E187D" w14:textId="77777777" w:rsidR="00327FF1" w:rsidRDefault="00E406C7">
            <w:pPr>
              <w:pStyle w:val="P68B1DB1-Normal11"/>
              <w:jc w:val="center"/>
              <w:rPr>
                <w:noProof/>
                <w:szCs w:val="20"/>
              </w:rPr>
            </w:pPr>
            <w:r>
              <w:rPr>
                <w:noProof/>
              </w:rPr>
              <w:t>INPS — “Viens klikšķis pēc dizaina” pakalpojumi/satur T2</w:t>
            </w:r>
          </w:p>
        </w:tc>
        <w:tc>
          <w:tcPr>
            <w:tcW w:w="1701" w:type="dxa"/>
            <w:shd w:val="clear" w:color="auto" w:fill="C6EFCE"/>
            <w:noWrap/>
            <w:vAlign w:val="center"/>
          </w:tcPr>
          <w:p w14:paraId="560E40A9"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7BD377A5"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7AA1F67D" w14:textId="77777777" w:rsidR="00327FF1" w:rsidRDefault="00E406C7">
            <w:pPr>
              <w:pStyle w:val="P68B1DB1-Normal11"/>
              <w:jc w:val="center"/>
              <w:rPr>
                <w:noProof/>
                <w:szCs w:val="20"/>
              </w:rPr>
            </w:pPr>
            <w:r>
              <w:rPr>
                <w:noProof/>
              </w:rPr>
              <w:t>35</w:t>
            </w:r>
          </w:p>
        </w:tc>
        <w:tc>
          <w:tcPr>
            <w:tcW w:w="1417" w:type="dxa"/>
            <w:shd w:val="clear" w:color="auto" w:fill="C6EFCE"/>
            <w:noWrap/>
            <w:vAlign w:val="center"/>
          </w:tcPr>
          <w:p w14:paraId="327A1BDD" w14:textId="77777777" w:rsidR="00327FF1" w:rsidRDefault="00E406C7">
            <w:pPr>
              <w:pStyle w:val="P68B1DB1-Normal11"/>
              <w:jc w:val="center"/>
              <w:rPr>
                <w:noProof/>
                <w:szCs w:val="20"/>
              </w:rPr>
            </w:pPr>
            <w:r>
              <w:rPr>
                <w:noProof/>
              </w:rPr>
              <w:t>70</w:t>
            </w:r>
          </w:p>
        </w:tc>
        <w:tc>
          <w:tcPr>
            <w:tcW w:w="793" w:type="dxa"/>
            <w:shd w:val="clear" w:color="auto" w:fill="C6EFCE"/>
            <w:noWrap/>
            <w:vAlign w:val="center"/>
          </w:tcPr>
          <w:p w14:paraId="118BA9E8"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3601DABC"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003133A5" w14:textId="77777777" w:rsidR="00327FF1" w:rsidRDefault="00E406C7">
            <w:pPr>
              <w:pStyle w:val="P68B1DB1-Normal16"/>
              <w:spacing w:after="120"/>
              <w:rPr>
                <w:noProof/>
                <w:color w:val="006100"/>
              </w:rPr>
            </w:pPr>
            <w:r>
              <w:rPr>
                <w:noProof/>
                <w:color w:val="006100"/>
              </w:rPr>
              <w:t>35 papildu pakalpojumi, kas izvietoti Inps iestāžu tīmekļa vietnē (</w:t>
            </w:r>
            <w:hyperlink r:id="rId37">
              <w:r w:rsidR="00327FF1">
                <w:rPr>
                  <w:noProof/>
                  <w:color w:val="0000FF"/>
                  <w:u w:val="single"/>
                </w:rPr>
                <w:t>www.inps.it</w:t>
              </w:r>
            </w:hyperlink>
            <w:r>
              <w:rPr>
                <w:noProof/>
                <w:color w:val="006100"/>
              </w:rPr>
              <w:t>)</w:t>
            </w:r>
          </w:p>
          <w:p w14:paraId="7A96F025" w14:textId="77777777" w:rsidR="00327FF1" w:rsidRDefault="00E406C7">
            <w:pPr>
              <w:pStyle w:val="P68B1DB1-Normal12"/>
              <w:rPr>
                <w:noProof/>
              </w:rPr>
            </w:pPr>
            <w:r>
              <w:rPr>
                <w:noProof/>
              </w:rPr>
              <w:t xml:space="preserve">Pakalpojumi ir </w:t>
            </w:r>
            <w:r>
              <w:rPr>
                <w:noProof/>
              </w:rPr>
              <w:t>pieejami institucionālajā vietnē, izmantojot piemērotas profilēšanas loģikas (sistēma iesaka pakalpojumus, kas varētu būt interesanti, pamatojoties uz vecumu, darba raksturlielumiem, saņemtajiem pabalstiem un lietotāju vēsturi).</w:t>
            </w:r>
          </w:p>
          <w:p w14:paraId="0B87A5EB" w14:textId="77777777" w:rsidR="00327FF1" w:rsidRDefault="00E406C7">
            <w:pPr>
              <w:pStyle w:val="P68B1DB1-Normal11"/>
              <w:spacing w:before="120"/>
              <w:rPr>
                <w:noProof/>
                <w:szCs w:val="20"/>
              </w:rPr>
            </w:pPr>
            <w:r>
              <w:rPr>
                <w:noProof/>
              </w:rPr>
              <w:t>Šie 35 pakalpojumi ir saist</w:t>
            </w:r>
            <w:r>
              <w:rPr>
                <w:noProof/>
              </w:rPr>
              <w:t>īti ar šādām INPS institucionālajām jomām:</w:t>
            </w:r>
          </w:p>
          <w:p w14:paraId="6DF4EE94" w14:textId="77777777" w:rsidR="00327FF1" w:rsidRDefault="00E406C7">
            <w:pPr>
              <w:pStyle w:val="P68B1DB1-Normal11"/>
              <w:ind w:left="292" w:hanging="76"/>
              <w:rPr>
                <w:noProof/>
                <w:szCs w:val="20"/>
              </w:rPr>
            </w:pPr>
            <w:r>
              <w:rPr>
                <w:noProof/>
              </w:rPr>
              <w:t>•Pensiju pabalsti</w:t>
            </w:r>
          </w:p>
          <w:p w14:paraId="6871852C" w14:textId="77777777" w:rsidR="00327FF1" w:rsidRDefault="00E406C7">
            <w:pPr>
              <w:pStyle w:val="P68B1DB1-Normal11"/>
              <w:ind w:left="292" w:hanging="76"/>
              <w:rPr>
                <w:noProof/>
                <w:szCs w:val="20"/>
              </w:rPr>
            </w:pPr>
            <w:r>
              <w:rPr>
                <w:noProof/>
              </w:rPr>
              <w:t>•Sociālo trūkumu absorbētāji</w:t>
            </w:r>
          </w:p>
          <w:p w14:paraId="660EC7EB" w14:textId="77777777" w:rsidR="00327FF1" w:rsidRDefault="00E406C7">
            <w:pPr>
              <w:pStyle w:val="P68B1DB1-Normal11"/>
              <w:ind w:left="292" w:hanging="76"/>
              <w:rPr>
                <w:noProof/>
                <w:szCs w:val="20"/>
              </w:rPr>
            </w:pPr>
            <w:r>
              <w:rPr>
                <w:noProof/>
              </w:rPr>
              <w:t>•Bezdarbnieka pabalsti</w:t>
            </w:r>
          </w:p>
          <w:p w14:paraId="60186187" w14:textId="77777777" w:rsidR="00327FF1" w:rsidRDefault="00E406C7">
            <w:pPr>
              <w:pStyle w:val="P68B1DB1-Normal11"/>
              <w:ind w:left="292" w:hanging="76"/>
              <w:rPr>
                <w:noProof/>
                <w:szCs w:val="20"/>
              </w:rPr>
            </w:pPr>
            <w:r>
              <w:rPr>
                <w:noProof/>
              </w:rPr>
              <w:t>•Invaliditātes pabalsti</w:t>
            </w:r>
          </w:p>
          <w:p w14:paraId="22626C1C" w14:textId="77777777" w:rsidR="00327FF1" w:rsidRDefault="00E406C7">
            <w:pPr>
              <w:pStyle w:val="P68B1DB1-Normal11"/>
              <w:ind w:left="292" w:hanging="76"/>
              <w:rPr>
                <w:noProof/>
                <w:szCs w:val="20"/>
              </w:rPr>
            </w:pPr>
            <w:r>
              <w:rPr>
                <w:noProof/>
              </w:rPr>
              <w:t>•Atbrīvojumi</w:t>
            </w:r>
          </w:p>
          <w:p w14:paraId="34DA2F83" w14:textId="77777777" w:rsidR="00327FF1" w:rsidRDefault="00E406C7">
            <w:pPr>
              <w:pStyle w:val="P68B1DB1-Normal11"/>
              <w:ind w:left="292" w:hanging="76"/>
              <w:rPr>
                <w:noProof/>
                <w:szCs w:val="20"/>
              </w:rPr>
            </w:pPr>
            <w:r>
              <w:rPr>
                <w:noProof/>
              </w:rPr>
              <w:t>•Iemaksu iekasēšana uzņēmumos</w:t>
            </w:r>
          </w:p>
          <w:p w14:paraId="315D770D" w14:textId="77777777" w:rsidR="00327FF1" w:rsidRDefault="00E406C7">
            <w:pPr>
              <w:pStyle w:val="P68B1DB1-Normal11"/>
              <w:ind w:left="292" w:hanging="76"/>
              <w:rPr>
                <w:noProof/>
                <w:szCs w:val="20"/>
              </w:rPr>
            </w:pPr>
            <w:r>
              <w:rPr>
                <w:noProof/>
              </w:rPr>
              <w:t>•Lauksaimniecības darbinieku pakalpojumi</w:t>
            </w:r>
          </w:p>
          <w:p w14:paraId="69AD0BFB" w14:textId="77777777" w:rsidR="00327FF1" w:rsidRDefault="00E406C7">
            <w:pPr>
              <w:pStyle w:val="P68B1DB1-Normal12"/>
              <w:ind w:left="292" w:hanging="76"/>
              <w:rPr>
                <w:noProof/>
              </w:rPr>
            </w:pPr>
            <w:r>
              <w:rPr>
                <w:noProof/>
              </w:rPr>
              <w:t xml:space="preserve">•Krāpšanas, korupcijas apkarošanas </w:t>
            </w:r>
            <w:r>
              <w:rPr>
                <w:noProof/>
              </w:rPr>
              <w:t>un pārredzamības pakalpojumi</w:t>
            </w:r>
          </w:p>
          <w:p w14:paraId="2EB1895B" w14:textId="77777777" w:rsidR="00327FF1" w:rsidRDefault="00E406C7">
            <w:pPr>
              <w:pStyle w:val="P68B1DB1-Normal11"/>
              <w:spacing w:before="120"/>
              <w:rPr>
                <w:noProof/>
                <w:szCs w:val="20"/>
              </w:rPr>
            </w:pPr>
            <w:r>
              <w:rPr>
                <w:noProof/>
              </w:rPr>
              <w:t>Uzskaitītajās institucionālajās jomās ieviešamie pakalpojumi attiecas uz pakalpojumu pieprasījuma digitālu iesniegšanu, ieguvuma prasību pārbaudi, lietotāju īstenotās prakses statusa uzraudzību, proaktīvu pakalpojumu piedāvāšan</w:t>
            </w:r>
            <w:r>
              <w:rPr>
                <w:noProof/>
              </w:rPr>
              <w:t>u, pamatojoties uz lietotāja vajadzībām, pabalstu automātisku atjaunošanu bez nepieciešamības pēc jaunām lietojumprogrammām.</w:t>
            </w:r>
          </w:p>
          <w:p w14:paraId="6BEF347C" w14:textId="77777777" w:rsidR="00327FF1" w:rsidRDefault="00E406C7">
            <w:pPr>
              <w:pStyle w:val="P68B1DB1-Normal12"/>
              <w:spacing w:before="120" w:after="120"/>
              <w:rPr>
                <w:noProof/>
              </w:rPr>
            </w:pPr>
            <w:r>
              <w:rPr>
                <w:noProof/>
              </w:rPr>
              <w:t xml:space="preserve">Visbeidzot, ir jāizveido uzraudzības infopaneļi, kas ļauj gan INPS uzraudzīt sniegtos ieguvumus, gan uz datiem balstītu atbalstu </w:t>
            </w:r>
            <w:r>
              <w:rPr>
                <w:noProof/>
              </w:rPr>
              <w:t>politikas veidotāju lēmumu pieņemšanā.</w:t>
            </w:r>
          </w:p>
        </w:tc>
      </w:tr>
      <w:tr w:rsidR="00327FF1" w14:paraId="28E90062" w14:textId="77777777">
        <w:trPr>
          <w:trHeight w:val="4119"/>
        </w:trPr>
        <w:tc>
          <w:tcPr>
            <w:tcW w:w="1087" w:type="dxa"/>
            <w:shd w:val="clear" w:color="auto" w:fill="C6EFCE"/>
            <w:noWrap/>
            <w:vAlign w:val="center"/>
          </w:tcPr>
          <w:p w14:paraId="45B40E1B" w14:textId="77777777" w:rsidR="00327FF1" w:rsidRDefault="00E406C7">
            <w:pPr>
              <w:pStyle w:val="P68B1DB1-Normal11"/>
              <w:jc w:val="center"/>
              <w:rPr>
                <w:noProof/>
                <w:szCs w:val="20"/>
              </w:rPr>
            </w:pPr>
            <w:r>
              <w:rPr>
                <w:noProof/>
              </w:rPr>
              <w:t>M1C1–133</w:t>
            </w:r>
          </w:p>
        </w:tc>
        <w:tc>
          <w:tcPr>
            <w:tcW w:w="1943" w:type="dxa"/>
            <w:shd w:val="clear" w:color="auto" w:fill="C6EFCE"/>
            <w:noWrap/>
            <w:vAlign w:val="center"/>
          </w:tcPr>
          <w:p w14:paraId="278E00AB" w14:textId="77777777" w:rsidR="00327FF1" w:rsidRDefault="00E406C7">
            <w:pPr>
              <w:pStyle w:val="P68B1DB1-Normal11"/>
              <w:jc w:val="center"/>
              <w:rPr>
                <w:noProof/>
                <w:szCs w:val="20"/>
              </w:rPr>
            </w:pPr>
            <w:r>
              <w:rPr>
                <w:noProof/>
              </w:rPr>
              <w:t>Investīcija — Valsts sociālā nodrošinājuma institūta (INPS) un Valsts apdrošināšanas pret nelaimes gadījumiem darbā (INAIL) digitalizācija</w:t>
            </w:r>
          </w:p>
        </w:tc>
        <w:tc>
          <w:tcPr>
            <w:tcW w:w="992" w:type="dxa"/>
            <w:shd w:val="clear" w:color="auto" w:fill="C6EFCE"/>
            <w:noWrap/>
            <w:vAlign w:val="center"/>
          </w:tcPr>
          <w:p w14:paraId="0DBC7851"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126066E3" w14:textId="77777777" w:rsidR="00327FF1" w:rsidRDefault="00E406C7">
            <w:pPr>
              <w:pStyle w:val="P68B1DB1-Normal11"/>
              <w:jc w:val="center"/>
              <w:rPr>
                <w:noProof/>
                <w:szCs w:val="20"/>
              </w:rPr>
            </w:pPr>
            <w:r>
              <w:rPr>
                <w:noProof/>
              </w:rPr>
              <w:t>INPS — Darba ņēmēji ar uzlabotām informācijas un komunikācijas</w:t>
            </w:r>
            <w:r>
              <w:rPr>
                <w:noProof/>
              </w:rPr>
              <w:t xml:space="preserve"> tehnoloģiju (IKT) prasmēm T2</w:t>
            </w:r>
          </w:p>
        </w:tc>
        <w:tc>
          <w:tcPr>
            <w:tcW w:w="1701" w:type="dxa"/>
            <w:shd w:val="clear" w:color="auto" w:fill="C6EFCE"/>
            <w:noWrap/>
            <w:vAlign w:val="center"/>
          </w:tcPr>
          <w:p w14:paraId="1757D36E"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1F56E8F2"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6433586A" w14:textId="77777777" w:rsidR="00327FF1" w:rsidRDefault="00E406C7">
            <w:pPr>
              <w:pStyle w:val="P68B1DB1-Normal11"/>
              <w:jc w:val="center"/>
              <w:rPr>
                <w:noProof/>
                <w:szCs w:val="20"/>
              </w:rPr>
            </w:pPr>
            <w:r>
              <w:rPr>
                <w:noProof/>
              </w:rPr>
              <w:t>4 250</w:t>
            </w:r>
          </w:p>
        </w:tc>
        <w:tc>
          <w:tcPr>
            <w:tcW w:w="1417" w:type="dxa"/>
            <w:shd w:val="clear" w:color="auto" w:fill="C6EFCE"/>
            <w:noWrap/>
            <w:vAlign w:val="center"/>
          </w:tcPr>
          <w:p w14:paraId="20D3C5CF" w14:textId="77777777" w:rsidR="00327FF1" w:rsidRDefault="00E406C7">
            <w:pPr>
              <w:pStyle w:val="P68B1DB1-Normal11"/>
              <w:jc w:val="center"/>
              <w:rPr>
                <w:noProof/>
                <w:szCs w:val="20"/>
              </w:rPr>
            </w:pPr>
            <w:r>
              <w:rPr>
                <w:noProof/>
              </w:rPr>
              <w:t>8 500</w:t>
            </w:r>
          </w:p>
        </w:tc>
        <w:tc>
          <w:tcPr>
            <w:tcW w:w="793" w:type="dxa"/>
            <w:shd w:val="clear" w:color="auto" w:fill="C6EFCE"/>
            <w:noWrap/>
            <w:vAlign w:val="center"/>
          </w:tcPr>
          <w:p w14:paraId="77584DDE"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11B03C48"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310548BC" w14:textId="77777777" w:rsidR="00327FF1" w:rsidRDefault="00E406C7">
            <w:pPr>
              <w:pStyle w:val="P68B1DB1-Normal12"/>
              <w:spacing w:after="120"/>
              <w:rPr>
                <w:noProof/>
              </w:rPr>
            </w:pPr>
            <w:r>
              <w:rPr>
                <w:noProof/>
              </w:rPr>
              <w:t>Papildus 4250 INPS darbinieki tika novērtēti ar sertificētām uzlabotām prasmēm šādās Eiropas e-kompetenču sistēmas jomās: I) plāns; II) celtniecība; III) Run iv) Iespējams; V) Pārvaldī</w:t>
            </w:r>
            <w:r>
              <w:rPr>
                <w:noProof/>
              </w:rPr>
              <w:t>t.</w:t>
            </w:r>
          </w:p>
          <w:p w14:paraId="32C41F14" w14:textId="77777777" w:rsidR="00327FF1" w:rsidRDefault="00E406C7">
            <w:pPr>
              <w:pStyle w:val="P68B1DB1-Normal12"/>
              <w:spacing w:after="120"/>
              <w:rPr>
                <w:noProof/>
              </w:rPr>
            </w:pPr>
            <w:r>
              <w:rPr>
                <w:noProof/>
              </w:rPr>
              <w:t>Kompetences uzlabošanas jomas nosaka atbilstoši izglītojamo mērķgrupai.</w:t>
            </w:r>
          </w:p>
        </w:tc>
      </w:tr>
      <w:tr w:rsidR="00327FF1" w14:paraId="4CF3B888" w14:textId="77777777">
        <w:trPr>
          <w:trHeight w:val="1276"/>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C07956" w14:textId="77777777" w:rsidR="00327FF1" w:rsidRDefault="00E406C7">
            <w:pPr>
              <w:pStyle w:val="P68B1DB1-Normal11"/>
              <w:jc w:val="center"/>
              <w:rPr>
                <w:noProof/>
                <w:szCs w:val="20"/>
              </w:rPr>
            </w:pPr>
            <w:r>
              <w:rPr>
                <w:noProof/>
              </w:rPr>
              <w:t>M1C1–134</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FB8187" w14:textId="77777777" w:rsidR="00327FF1" w:rsidRDefault="00E406C7">
            <w:pPr>
              <w:pStyle w:val="P68B1DB1-Normal11"/>
              <w:jc w:val="center"/>
              <w:rPr>
                <w:noProof/>
                <w:szCs w:val="20"/>
              </w:rPr>
            </w:pPr>
            <w:r>
              <w:rPr>
                <w:noProof/>
              </w:rPr>
              <w:t>Investīcija — Valsts sociālā nodrošinājuma institūta (INPS) un Valsts apdrošināšanas pret nelaimes gadījumiem darbā (INAIL) digitalizācija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A4F51A" w14:textId="77777777" w:rsidR="00327FF1" w:rsidRDefault="00E406C7">
            <w:pPr>
              <w:pStyle w:val="P68B1DB1-Normal11"/>
              <w:jc w:val="center"/>
              <w:rPr>
                <w:noProof/>
                <w:szCs w:val="20"/>
              </w:rPr>
            </w:pPr>
            <w:r>
              <w:rPr>
                <w:noProof/>
              </w:rPr>
              <w:t>Mērķa</w:t>
            </w:r>
          </w:p>
        </w:tc>
        <w:tc>
          <w:tcPr>
            <w:tcW w:w="21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5BD736" w14:textId="77777777" w:rsidR="00327FF1" w:rsidRDefault="00E406C7">
            <w:pPr>
              <w:pStyle w:val="P68B1DB1-Normal11"/>
              <w:jc w:val="center"/>
              <w:rPr>
                <w:noProof/>
                <w:szCs w:val="20"/>
              </w:rPr>
            </w:pPr>
            <w:r>
              <w:rPr>
                <w:noProof/>
              </w:rPr>
              <w:t>INAIL — pilnībā pārveidoti</w:t>
            </w:r>
            <w:r>
              <w:rPr>
                <w:noProof/>
              </w:rPr>
              <w:t xml:space="preserve"> un digitalizēti procesi/pakalpojumi T1</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5C1A9E" w14:textId="77777777" w:rsidR="00327FF1" w:rsidRDefault="00E406C7">
            <w:pPr>
              <w:pStyle w:val="P68B1DB1-Normal11"/>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75FDBC" w14:textId="77777777" w:rsidR="00327FF1" w:rsidRDefault="00E406C7">
            <w:pPr>
              <w:pStyle w:val="P68B1DB1-Normal11"/>
              <w:jc w:val="center"/>
              <w:rPr>
                <w:noProof/>
                <w:szCs w:val="20"/>
              </w:rPr>
            </w:pPr>
            <w:r>
              <w:rPr>
                <w:noProof/>
              </w:rPr>
              <w:t>Skaits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93E313" w14:textId="77777777" w:rsidR="00327FF1" w:rsidRDefault="00E406C7">
            <w:pPr>
              <w:pStyle w:val="P68B1DB1-Normal11"/>
              <w:jc w:val="center"/>
              <w:rPr>
                <w:noProof/>
                <w:szCs w:val="20"/>
              </w:rPr>
            </w:pPr>
            <w:r>
              <w:rPr>
                <w:noProof/>
              </w:rPr>
              <w:t>29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7B1836" w14:textId="77777777" w:rsidR="00327FF1" w:rsidRDefault="00E406C7">
            <w:pPr>
              <w:pStyle w:val="P68B1DB1-Normal11"/>
              <w:jc w:val="center"/>
              <w:rPr>
                <w:noProof/>
                <w:szCs w:val="20"/>
              </w:rPr>
            </w:pPr>
            <w:r>
              <w:rPr>
                <w:noProof/>
              </w:rPr>
              <w:t>53</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5C8DF6" w14:textId="77777777" w:rsidR="00327FF1" w:rsidRDefault="00E406C7">
            <w:pPr>
              <w:pStyle w:val="P68B1DB1-Normal11"/>
              <w:jc w:val="center"/>
              <w:rPr>
                <w:noProof/>
                <w:szCs w:val="20"/>
              </w:rPr>
            </w:pPr>
            <w:r>
              <w:rPr>
                <w:noProof/>
              </w:rPr>
              <w:t>4. CET.</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ECEA4" w14:textId="77777777" w:rsidR="00327FF1" w:rsidRDefault="00E406C7">
            <w:pPr>
              <w:pStyle w:val="P68B1DB1-Normal11"/>
              <w:jc w:val="center"/>
              <w:rPr>
                <w:noProof/>
                <w:szCs w:val="20"/>
              </w:rPr>
            </w:pPr>
            <w:r>
              <w:rPr>
                <w:noProof/>
              </w:rPr>
              <w:t>2023</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0A2CDD" w14:textId="77777777" w:rsidR="00327FF1" w:rsidRDefault="00E406C7">
            <w:pPr>
              <w:pStyle w:val="P68B1DB1-Normal12"/>
              <w:spacing w:after="120"/>
              <w:rPr>
                <w:noProof/>
              </w:rPr>
            </w:pPr>
            <w:r>
              <w:rPr>
                <w:noProof/>
              </w:rPr>
              <w:t xml:space="preserve">Mērķis ir panākt 53 (52 %) pārveidotus institucionālos procesus un pakalpojumus, lai padarītu tos pilnībā digitalizētus. </w:t>
            </w:r>
          </w:p>
          <w:p w14:paraId="5667F878" w14:textId="77777777" w:rsidR="00327FF1" w:rsidRDefault="00E406C7">
            <w:pPr>
              <w:pStyle w:val="P68B1DB1-Normal12"/>
              <w:spacing w:after="120"/>
              <w:rPr>
                <w:noProof/>
              </w:rPr>
            </w:pPr>
            <w:r>
              <w:rPr>
                <w:noProof/>
              </w:rPr>
              <w:t xml:space="preserve">Iesaistītās INAIL jomas ir šādas: Apdrošināšana, sociālie </w:t>
            </w:r>
            <w:r>
              <w:rPr>
                <w:noProof/>
              </w:rPr>
              <w:t>un veselības aprūpes pakalpojumi, profilakses un drošības darbs, sertifikācija un pārbaudes.</w:t>
            </w:r>
          </w:p>
          <w:p w14:paraId="6DB3F9CB" w14:textId="77777777" w:rsidR="00327FF1" w:rsidRDefault="00E406C7">
            <w:pPr>
              <w:pStyle w:val="P68B1DB1-Normal11"/>
              <w:spacing w:after="120"/>
              <w:rPr>
                <w:noProof/>
                <w:szCs w:val="20"/>
              </w:rPr>
            </w:pPr>
            <w:r>
              <w:rPr>
                <w:noProof/>
              </w:rPr>
              <w:t xml:space="preserve">Konkrēti, paredzamais mērķis katrai jomai ir izteikts iepriekš: </w:t>
            </w:r>
          </w:p>
          <w:p w14:paraId="2C82D7A9" w14:textId="77777777" w:rsidR="00327FF1" w:rsidRDefault="00E406C7">
            <w:pPr>
              <w:pStyle w:val="P68B1DB1-ListParagraph15"/>
              <w:numPr>
                <w:ilvl w:val="0"/>
                <w:numId w:val="23"/>
              </w:numPr>
              <w:spacing w:before="120" w:after="120" w:line="240" w:lineRule="auto"/>
              <w:ind w:left="377" w:hanging="283"/>
              <w:rPr>
                <w:noProof/>
                <w:szCs w:val="20"/>
              </w:rPr>
            </w:pPr>
            <w:r>
              <w:rPr>
                <w:noProof/>
              </w:rPr>
              <w:t xml:space="preserve">Apdrošināšana: 8 (25 %); </w:t>
            </w:r>
          </w:p>
          <w:p w14:paraId="32982C10" w14:textId="77777777" w:rsidR="00327FF1" w:rsidRDefault="00E406C7">
            <w:pPr>
              <w:pStyle w:val="P68B1DB1-ListParagraph15"/>
              <w:numPr>
                <w:ilvl w:val="0"/>
                <w:numId w:val="23"/>
              </w:numPr>
              <w:spacing w:before="120" w:after="120" w:line="240" w:lineRule="auto"/>
              <w:ind w:left="377" w:hanging="283"/>
              <w:rPr>
                <w:noProof/>
                <w:szCs w:val="20"/>
              </w:rPr>
            </w:pPr>
            <w:r>
              <w:rPr>
                <w:noProof/>
              </w:rPr>
              <w:t>Sociālie un veselības aprūpes pakalpojumi: 18 (50 %);</w:t>
            </w:r>
          </w:p>
          <w:p w14:paraId="12DF2819" w14:textId="77777777" w:rsidR="00327FF1" w:rsidRDefault="00E406C7">
            <w:pPr>
              <w:pStyle w:val="P68B1DB1-ListParagraph15"/>
              <w:numPr>
                <w:ilvl w:val="0"/>
                <w:numId w:val="23"/>
              </w:numPr>
              <w:spacing w:before="120" w:after="120" w:line="240" w:lineRule="auto"/>
              <w:ind w:left="377" w:hanging="283"/>
              <w:rPr>
                <w:noProof/>
                <w:szCs w:val="20"/>
              </w:rPr>
            </w:pPr>
            <w:r>
              <w:rPr>
                <w:noProof/>
              </w:rPr>
              <w:t xml:space="preserve">Profilakses un </w:t>
            </w:r>
            <w:r>
              <w:rPr>
                <w:noProof/>
              </w:rPr>
              <w:t>drošības darbs: 9 (80 %);</w:t>
            </w:r>
          </w:p>
          <w:p w14:paraId="16120919" w14:textId="77777777" w:rsidR="00327FF1" w:rsidRDefault="00E406C7">
            <w:pPr>
              <w:pStyle w:val="P68B1DB1-ListParagraph15"/>
              <w:numPr>
                <w:ilvl w:val="0"/>
                <w:numId w:val="23"/>
              </w:numPr>
              <w:spacing w:before="120" w:after="120" w:line="240" w:lineRule="auto"/>
              <w:ind w:left="377" w:hanging="283"/>
              <w:rPr>
                <w:noProof/>
                <w:szCs w:val="20"/>
              </w:rPr>
            </w:pPr>
            <w:r>
              <w:rPr>
                <w:noProof/>
              </w:rPr>
              <w:t>Sertifikācija un verifikācija: 18 (80 %).</w:t>
            </w:r>
          </w:p>
        </w:tc>
      </w:tr>
      <w:tr w:rsidR="00327FF1" w14:paraId="49A83CDF" w14:textId="77777777">
        <w:trPr>
          <w:trHeight w:val="309"/>
        </w:trPr>
        <w:tc>
          <w:tcPr>
            <w:tcW w:w="1087" w:type="dxa"/>
            <w:shd w:val="clear" w:color="auto" w:fill="C6EFCE"/>
            <w:noWrap/>
            <w:vAlign w:val="center"/>
          </w:tcPr>
          <w:p w14:paraId="3CFB18F1" w14:textId="77777777" w:rsidR="00327FF1" w:rsidRDefault="00E406C7">
            <w:pPr>
              <w:pStyle w:val="P68B1DB1-Normal11"/>
              <w:jc w:val="center"/>
              <w:rPr>
                <w:noProof/>
                <w:szCs w:val="20"/>
              </w:rPr>
            </w:pPr>
            <w:r>
              <w:rPr>
                <w:noProof/>
              </w:rPr>
              <w:t>M1C1–135</w:t>
            </w:r>
          </w:p>
        </w:tc>
        <w:tc>
          <w:tcPr>
            <w:tcW w:w="1943" w:type="dxa"/>
            <w:shd w:val="clear" w:color="auto" w:fill="C6EFCE"/>
            <w:noWrap/>
            <w:vAlign w:val="center"/>
          </w:tcPr>
          <w:p w14:paraId="07F89FBC" w14:textId="77777777" w:rsidR="00327FF1" w:rsidRDefault="00E406C7">
            <w:pPr>
              <w:pStyle w:val="P68B1DB1-Normal12"/>
              <w:jc w:val="center"/>
              <w:rPr>
                <w:noProof/>
              </w:rPr>
            </w:pPr>
            <w:r>
              <w:rPr>
                <w:noProof/>
              </w:rPr>
              <w:t>Investīcija 1.6.4. — Aizsardzības ministrijas digitalizācija</w:t>
            </w:r>
          </w:p>
        </w:tc>
        <w:tc>
          <w:tcPr>
            <w:tcW w:w="992" w:type="dxa"/>
            <w:shd w:val="clear" w:color="auto" w:fill="C6EFCE"/>
            <w:noWrap/>
            <w:vAlign w:val="center"/>
          </w:tcPr>
          <w:p w14:paraId="68149C07"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79B2A33D" w14:textId="77777777" w:rsidR="00327FF1" w:rsidRDefault="00E406C7">
            <w:pPr>
              <w:pStyle w:val="P68B1DB1-Normal12"/>
              <w:jc w:val="center"/>
              <w:rPr>
                <w:noProof/>
              </w:rPr>
            </w:pPr>
            <w:r>
              <w:rPr>
                <w:noProof/>
              </w:rPr>
              <w:t>Aizsardzības ministrija — Procedūru digitalizācija T1</w:t>
            </w:r>
          </w:p>
        </w:tc>
        <w:tc>
          <w:tcPr>
            <w:tcW w:w="1701" w:type="dxa"/>
            <w:shd w:val="clear" w:color="auto" w:fill="C6EFCE"/>
            <w:noWrap/>
            <w:vAlign w:val="center"/>
          </w:tcPr>
          <w:p w14:paraId="552D4E2D"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461CE74B"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5DE20501" w14:textId="77777777" w:rsidR="00327FF1" w:rsidRDefault="00E406C7">
            <w:pPr>
              <w:pStyle w:val="P68B1DB1-Normal11"/>
              <w:jc w:val="center"/>
              <w:rPr>
                <w:noProof/>
                <w:szCs w:val="20"/>
              </w:rPr>
            </w:pPr>
            <w:r>
              <w:rPr>
                <w:noProof/>
              </w:rPr>
              <w:t>4</w:t>
            </w:r>
          </w:p>
        </w:tc>
        <w:tc>
          <w:tcPr>
            <w:tcW w:w="1417" w:type="dxa"/>
            <w:shd w:val="clear" w:color="auto" w:fill="C6EFCE"/>
            <w:noWrap/>
            <w:vAlign w:val="center"/>
          </w:tcPr>
          <w:p w14:paraId="42E6F29F" w14:textId="77777777" w:rsidR="00327FF1" w:rsidRDefault="00E406C7">
            <w:pPr>
              <w:pStyle w:val="P68B1DB1-Normal11"/>
              <w:jc w:val="center"/>
              <w:rPr>
                <w:noProof/>
                <w:szCs w:val="20"/>
              </w:rPr>
            </w:pPr>
            <w:r>
              <w:rPr>
                <w:noProof/>
              </w:rPr>
              <w:t>15</w:t>
            </w:r>
          </w:p>
        </w:tc>
        <w:tc>
          <w:tcPr>
            <w:tcW w:w="793" w:type="dxa"/>
            <w:shd w:val="clear" w:color="auto" w:fill="C6EFCE"/>
            <w:noWrap/>
            <w:vAlign w:val="center"/>
          </w:tcPr>
          <w:p w14:paraId="30F68FE2"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7DFAADEF"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14EFAC0D" w14:textId="77777777" w:rsidR="00327FF1" w:rsidRDefault="00E406C7">
            <w:pPr>
              <w:pStyle w:val="P68B1DB1-Normal12"/>
              <w:spacing w:after="120"/>
              <w:rPr>
                <w:noProof/>
              </w:rPr>
            </w:pPr>
            <w:r>
              <w:rPr>
                <w:noProof/>
              </w:rPr>
              <w:t xml:space="preserve">15 tādu procedūru </w:t>
            </w:r>
            <w:r>
              <w:rPr>
                <w:noProof/>
              </w:rPr>
              <w:t>digitalizācija, pārskatīšana un automatizācija, kas saistītas ar aizsardzības personāla pārvaldību (piemēram, pieņemšana darbā, nodarbinātība un pensionēšanās, darbinieku veselība), sākot ar četru jau digitalizētu procedūru pamatscenāriju.</w:t>
            </w:r>
          </w:p>
        </w:tc>
      </w:tr>
      <w:tr w:rsidR="00327FF1" w14:paraId="7402416C" w14:textId="77777777">
        <w:trPr>
          <w:trHeight w:val="309"/>
        </w:trPr>
        <w:tc>
          <w:tcPr>
            <w:tcW w:w="1087" w:type="dxa"/>
            <w:shd w:val="clear" w:color="auto" w:fill="C6EFCE"/>
            <w:noWrap/>
            <w:vAlign w:val="center"/>
          </w:tcPr>
          <w:p w14:paraId="56342228" w14:textId="77777777" w:rsidR="00327FF1" w:rsidRDefault="00E406C7">
            <w:pPr>
              <w:pStyle w:val="P68B1DB1-Normal11"/>
              <w:jc w:val="center"/>
              <w:rPr>
                <w:noProof/>
                <w:szCs w:val="20"/>
              </w:rPr>
            </w:pPr>
            <w:r>
              <w:rPr>
                <w:noProof/>
              </w:rPr>
              <w:t>M1C1–136</w:t>
            </w:r>
          </w:p>
        </w:tc>
        <w:tc>
          <w:tcPr>
            <w:tcW w:w="1943" w:type="dxa"/>
            <w:shd w:val="clear" w:color="auto" w:fill="C6EFCE"/>
            <w:noWrap/>
            <w:vAlign w:val="center"/>
          </w:tcPr>
          <w:p w14:paraId="290F4EFF" w14:textId="77777777" w:rsidR="00327FF1" w:rsidRDefault="00E406C7">
            <w:pPr>
              <w:pStyle w:val="P68B1DB1-Normal12"/>
              <w:jc w:val="center"/>
              <w:rPr>
                <w:noProof/>
              </w:rPr>
            </w:pPr>
            <w:r>
              <w:rPr>
                <w:noProof/>
              </w:rPr>
              <w:t>Investīcija 1.6.4. — Aizsardzības ministrijas digitalizācija</w:t>
            </w:r>
          </w:p>
        </w:tc>
        <w:tc>
          <w:tcPr>
            <w:tcW w:w="992" w:type="dxa"/>
            <w:shd w:val="clear" w:color="auto" w:fill="C6EFCE"/>
            <w:noWrap/>
            <w:vAlign w:val="center"/>
          </w:tcPr>
          <w:p w14:paraId="4B5646C8"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47E63EB2" w14:textId="77777777" w:rsidR="00327FF1" w:rsidRDefault="00E406C7">
            <w:pPr>
              <w:pStyle w:val="P68B1DB1-Normal12"/>
              <w:jc w:val="center"/>
              <w:rPr>
                <w:noProof/>
              </w:rPr>
            </w:pPr>
            <w:r>
              <w:rPr>
                <w:noProof/>
              </w:rPr>
              <w:t>Aizsardzības ministrija — sertifikātu T1 digitalizācija</w:t>
            </w:r>
          </w:p>
        </w:tc>
        <w:tc>
          <w:tcPr>
            <w:tcW w:w="1701" w:type="dxa"/>
            <w:shd w:val="clear" w:color="auto" w:fill="C6EFCE"/>
            <w:noWrap/>
            <w:vAlign w:val="center"/>
          </w:tcPr>
          <w:p w14:paraId="67001CE9"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0A620637" w14:textId="77777777" w:rsidR="00327FF1" w:rsidRDefault="00E406C7">
            <w:pPr>
              <w:pStyle w:val="P68B1DB1-Normal11"/>
              <w:jc w:val="center"/>
              <w:rPr>
                <w:noProof/>
                <w:szCs w:val="20"/>
              </w:rPr>
            </w:pPr>
            <w:r>
              <w:rPr>
                <w:noProof/>
              </w:rPr>
              <w:t>Digitalizēto sertifikātu skaits</w:t>
            </w:r>
          </w:p>
        </w:tc>
        <w:tc>
          <w:tcPr>
            <w:tcW w:w="1276" w:type="dxa"/>
            <w:shd w:val="clear" w:color="auto" w:fill="C6EFCE"/>
            <w:noWrap/>
            <w:vAlign w:val="center"/>
          </w:tcPr>
          <w:p w14:paraId="6D953136" w14:textId="77777777" w:rsidR="00327FF1" w:rsidRDefault="00E406C7">
            <w:pPr>
              <w:pStyle w:val="P68B1DB1-Normal11"/>
              <w:jc w:val="center"/>
              <w:rPr>
                <w:noProof/>
                <w:szCs w:val="20"/>
              </w:rPr>
            </w:pPr>
            <w:r>
              <w:rPr>
                <w:noProof/>
              </w:rPr>
              <w:t>190 000</w:t>
            </w:r>
          </w:p>
        </w:tc>
        <w:tc>
          <w:tcPr>
            <w:tcW w:w="1417" w:type="dxa"/>
            <w:shd w:val="clear" w:color="auto" w:fill="C6EFCE"/>
            <w:noWrap/>
            <w:vAlign w:val="center"/>
          </w:tcPr>
          <w:p w14:paraId="0F8DDE87" w14:textId="77777777" w:rsidR="00327FF1" w:rsidRDefault="00E406C7">
            <w:pPr>
              <w:pStyle w:val="P68B1DB1-Normal11"/>
              <w:jc w:val="center"/>
              <w:rPr>
                <w:noProof/>
                <w:szCs w:val="20"/>
              </w:rPr>
            </w:pPr>
            <w:r>
              <w:rPr>
                <w:noProof/>
              </w:rPr>
              <w:t>450 000</w:t>
            </w:r>
          </w:p>
        </w:tc>
        <w:tc>
          <w:tcPr>
            <w:tcW w:w="793" w:type="dxa"/>
            <w:shd w:val="clear" w:color="auto" w:fill="C6EFCE"/>
            <w:noWrap/>
            <w:vAlign w:val="center"/>
          </w:tcPr>
          <w:p w14:paraId="509EA8E6"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71C260CF"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4908DC8F" w14:textId="77777777" w:rsidR="00327FF1" w:rsidRDefault="00E406C7">
            <w:pPr>
              <w:pStyle w:val="P68B1DB1-Normal12"/>
              <w:spacing w:after="120"/>
              <w:rPr>
                <w:noProof/>
              </w:rPr>
            </w:pPr>
            <w:r>
              <w:rPr>
                <w:noProof/>
              </w:rPr>
              <w:t xml:space="preserve">To digitalizēto personas apliecību skaits (450000), ko </w:t>
            </w:r>
            <w:r>
              <w:rPr>
                <w:noProof/>
              </w:rPr>
              <w:t>izdevusi Aizsardzības ministrija un kas darbojas infrastruktūrā, ko papildina negadījuma seku likvidēšanas vieta, sākot no bāzlīnijas — 190000 jau digitalizēti sertifikāti.</w:t>
            </w:r>
          </w:p>
        </w:tc>
      </w:tr>
      <w:tr w:rsidR="00327FF1" w14:paraId="79E1D779" w14:textId="77777777">
        <w:trPr>
          <w:trHeight w:val="309"/>
        </w:trPr>
        <w:tc>
          <w:tcPr>
            <w:tcW w:w="1087" w:type="dxa"/>
            <w:shd w:val="clear" w:color="auto" w:fill="C6EFCE"/>
            <w:noWrap/>
            <w:vAlign w:val="center"/>
          </w:tcPr>
          <w:p w14:paraId="1594C685" w14:textId="77777777" w:rsidR="00327FF1" w:rsidRDefault="00E406C7">
            <w:pPr>
              <w:pStyle w:val="P68B1DB1-Normal11"/>
              <w:jc w:val="center"/>
              <w:rPr>
                <w:noProof/>
                <w:szCs w:val="20"/>
              </w:rPr>
            </w:pPr>
            <w:r>
              <w:rPr>
                <w:noProof/>
              </w:rPr>
              <w:t>M1C1–137</w:t>
            </w:r>
          </w:p>
        </w:tc>
        <w:tc>
          <w:tcPr>
            <w:tcW w:w="1943" w:type="dxa"/>
            <w:shd w:val="clear" w:color="auto" w:fill="C6EFCE"/>
            <w:noWrap/>
            <w:vAlign w:val="center"/>
          </w:tcPr>
          <w:p w14:paraId="0790A094" w14:textId="77777777" w:rsidR="00327FF1" w:rsidRDefault="00E406C7">
            <w:pPr>
              <w:pStyle w:val="P68B1DB1-Normal12"/>
              <w:jc w:val="center"/>
              <w:rPr>
                <w:noProof/>
              </w:rPr>
            </w:pPr>
            <w:r>
              <w:rPr>
                <w:noProof/>
              </w:rPr>
              <w:t>Investīcija 1.6.4. — Aizsardzības ministrijas digitalizācija</w:t>
            </w:r>
          </w:p>
        </w:tc>
        <w:tc>
          <w:tcPr>
            <w:tcW w:w="992" w:type="dxa"/>
            <w:shd w:val="clear" w:color="auto" w:fill="C6EFCE"/>
            <w:noWrap/>
            <w:vAlign w:val="center"/>
          </w:tcPr>
          <w:p w14:paraId="526D1373" w14:textId="77777777" w:rsidR="00327FF1" w:rsidRDefault="00E406C7">
            <w:pPr>
              <w:pStyle w:val="P68B1DB1-Normal11"/>
              <w:jc w:val="center"/>
              <w:rPr>
                <w:noProof/>
                <w:szCs w:val="20"/>
              </w:rPr>
            </w:pPr>
            <w:r>
              <w:rPr>
                <w:noProof/>
              </w:rPr>
              <w:t xml:space="preserve">Atskaites </w:t>
            </w:r>
            <w:r>
              <w:rPr>
                <w:noProof/>
              </w:rPr>
              <w:t>punkts</w:t>
            </w:r>
          </w:p>
        </w:tc>
        <w:tc>
          <w:tcPr>
            <w:tcW w:w="2126" w:type="dxa"/>
            <w:shd w:val="clear" w:color="auto" w:fill="C6EFCE"/>
            <w:noWrap/>
            <w:vAlign w:val="center"/>
          </w:tcPr>
          <w:p w14:paraId="3D8FF9C5" w14:textId="77777777" w:rsidR="00327FF1" w:rsidRDefault="00E406C7">
            <w:pPr>
              <w:pStyle w:val="P68B1DB1-Normal12"/>
              <w:jc w:val="center"/>
              <w:rPr>
                <w:noProof/>
              </w:rPr>
            </w:pPr>
            <w:r>
              <w:rPr>
                <w:noProof/>
              </w:rPr>
              <w:t>Aizsardzības ministrija — Institucionālo tīmekļa portālu un iekštīkla portālu pilnvarošana</w:t>
            </w:r>
          </w:p>
        </w:tc>
        <w:tc>
          <w:tcPr>
            <w:tcW w:w="1701" w:type="dxa"/>
            <w:shd w:val="clear" w:color="auto" w:fill="C6EFCE"/>
            <w:noWrap/>
            <w:vAlign w:val="center"/>
          </w:tcPr>
          <w:p w14:paraId="576DCFFC" w14:textId="77777777" w:rsidR="00327FF1" w:rsidRDefault="00E406C7">
            <w:pPr>
              <w:pStyle w:val="P68B1DB1-Normal11"/>
              <w:jc w:val="center"/>
              <w:rPr>
                <w:noProof/>
                <w:szCs w:val="20"/>
              </w:rPr>
            </w:pPr>
            <w:r>
              <w:rPr>
                <w:noProof/>
              </w:rPr>
              <w:t>Iestāžu tīmekļa portāli un iekštīkla portāli, kas pilnībā darbojas</w:t>
            </w:r>
          </w:p>
        </w:tc>
        <w:tc>
          <w:tcPr>
            <w:tcW w:w="1134" w:type="dxa"/>
            <w:shd w:val="clear" w:color="auto" w:fill="C6EFCE"/>
            <w:noWrap/>
            <w:vAlign w:val="center"/>
          </w:tcPr>
          <w:p w14:paraId="2AD0D316" w14:textId="77777777" w:rsidR="00327FF1" w:rsidRDefault="00E406C7">
            <w:pPr>
              <w:pStyle w:val="P68B1DB1-Normal11"/>
              <w:jc w:val="center"/>
              <w:rPr>
                <w:noProof/>
                <w:szCs w:val="20"/>
              </w:rPr>
            </w:pPr>
            <w:r>
              <w:rPr>
                <w:noProof/>
              </w:rPr>
              <w:t>NEPIEMĒRO</w:t>
            </w:r>
          </w:p>
        </w:tc>
        <w:tc>
          <w:tcPr>
            <w:tcW w:w="1276" w:type="dxa"/>
            <w:shd w:val="clear" w:color="auto" w:fill="C6EFCE"/>
            <w:noWrap/>
            <w:vAlign w:val="center"/>
          </w:tcPr>
          <w:p w14:paraId="283EB2FC" w14:textId="77777777" w:rsidR="00327FF1" w:rsidRDefault="00E406C7">
            <w:pPr>
              <w:pStyle w:val="P68B1DB1-Normal11"/>
              <w:jc w:val="center"/>
              <w:rPr>
                <w:noProof/>
                <w:szCs w:val="20"/>
              </w:rPr>
            </w:pPr>
            <w:r>
              <w:rPr>
                <w:noProof/>
              </w:rPr>
              <w:t>NEPIEMĒRO</w:t>
            </w:r>
          </w:p>
        </w:tc>
        <w:tc>
          <w:tcPr>
            <w:tcW w:w="1417" w:type="dxa"/>
            <w:shd w:val="clear" w:color="auto" w:fill="C6EFCE"/>
            <w:noWrap/>
            <w:vAlign w:val="center"/>
          </w:tcPr>
          <w:p w14:paraId="086525AC" w14:textId="77777777" w:rsidR="00327FF1" w:rsidRDefault="00E406C7">
            <w:pPr>
              <w:pStyle w:val="P68B1DB1-Normal11"/>
              <w:jc w:val="center"/>
              <w:rPr>
                <w:noProof/>
                <w:szCs w:val="20"/>
              </w:rPr>
            </w:pPr>
            <w:r>
              <w:rPr>
                <w:noProof/>
              </w:rPr>
              <w:t>NEPIEMĒRO</w:t>
            </w:r>
          </w:p>
        </w:tc>
        <w:tc>
          <w:tcPr>
            <w:tcW w:w="793" w:type="dxa"/>
            <w:shd w:val="clear" w:color="auto" w:fill="C6EFCE"/>
            <w:noWrap/>
            <w:vAlign w:val="center"/>
          </w:tcPr>
          <w:p w14:paraId="2B62ECD6"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0D248DCF"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4E60FD4A" w14:textId="77777777" w:rsidR="00327FF1" w:rsidRDefault="00E406C7">
            <w:pPr>
              <w:pStyle w:val="P68B1DB1-Normal12"/>
              <w:spacing w:after="120"/>
              <w:rPr>
                <w:noProof/>
              </w:rPr>
            </w:pPr>
            <w:r>
              <w:rPr>
                <w:noProof/>
              </w:rPr>
              <w:t>Izstrādāt un ieviest i) iestāžu tīmekļa portālus</w:t>
            </w:r>
            <w:r>
              <w:rPr>
                <w:noProof/>
              </w:rPr>
              <w:t xml:space="preserve"> un ii) iekštīkla portālus īpašām iekšējās saziņas vajadzībām.</w:t>
            </w:r>
          </w:p>
        </w:tc>
      </w:tr>
      <w:tr w:rsidR="00327FF1" w14:paraId="2A3C9698" w14:textId="77777777">
        <w:trPr>
          <w:trHeight w:val="309"/>
        </w:trPr>
        <w:tc>
          <w:tcPr>
            <w:tcW w:w="1087" w:type="dxa"/>
            <w:shd w:val="clear" w:color="auto" w:fill="C6EFCE"/>
            <w:noWrap/>
            <w:vAlign w:val="center"/>
          </w:tcPr>
          <w:p w14:paraId="681423C2" w14:textId="77777777" w:rsidR="00327FF1" w:rsidRDefault="00E406C7">
            <w:pPr>
              <w:pStyle w:val="P68B1DB1-Normal11"/>
              <w:jc w:val="center"/>
              <w:rPr>
                <w:noProof/>
                <w:szCs w:val="20"/>
              </w:rPr>
            </w:pPr>
            <w:r>
              <w:rPr>
                <w:noProof/>
              </w:rPr>
              <w:t>M1C1–138</w:t>
            </w:r>
          </w:p>
        </w:tc>
        <w:tc>
          <w:tcPr>
            <w:tcW w:w="1943" w:type="dxa"/>
            <w:shd w:val="clear" w:color="auto" w:fill="C6EFCE"/>
            <w:noWrap/>
            <w:vAlign w:val="center"/>
          </w:tcPr>
          <w:p w14:paraId="67ACAB68" w14:textId="77777777" w:rsidR="00327FF1" w:rsidRDefault="00E406C7">
            <w:pPr>
              <w:pStyle w:val="P68B1DB1-Normal12"/>
              <w:jc w:val="center"/>
              <w:rPr>
                <w:noProof/>
              </w:rPr>
            </w:pPr>
            <w:r>
              <w:rPr>
                <w:noProof/>
              </w:rPr>
              <w:t>Investīcija 1.6.4. — Aizsardzības ministrijas digitalizācija</w:t>
            </w:r>
          </w:p>
        </w:tc>
        <w:tc>
          <w:tcPr>
            <w:tcW w:w="992" w:type="dxa"/>
            <w:shd w:val="clear" w:color="auto" w:fill="C6EFCE"/>
            <w:noWrap/>
            <w:vAlign w:val="center"/>
          </w:tcPr>
          <w:p w14:paraId="66389E21"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251740AA" w14:textId="77777777" w:rsidR="00327FF1" w:rsidRDefault="00E406C7">
            <w:pPr>
              <w:pStyle w:val="P68B1DB1-Normal12"/>
              <w:jc w:val="center"/>
              <w:rPr>
                <w:noProof/>
              </w:rPr>
            </w:pPr>
            <w:r>
              <w:rPr>
                <w:noProof/>
              </w:rPr>
              <w:t xml:space="preserve">Aizsardzības ministrija — Nemisijas kritiski svarīgu lietojumu migrācija uz risinājumu pilnīgai informācijas </w:t>
            </w:r>
            <w:r>
              <w:rPr>
                <w:noProof/>
              </w:rPr>
              <w:t>aizsardzībai ar infrastruktūras atklātību (S.C.I.P.I.O.) T1</w:t>
            </w:r>
          </w:p>
        </w:tc>
        <w:tc>
          <w:tcPr>
            <w:tcW w:w="1701" w:type="dxa"/>
            <w:shd w:val="clear" w:color="auto" w:fill="C6EFCE"/>
            <w:noWrap/>
            <w:vAlign w:val="center"/>
          </w:tcPr>
          <w:p w14:paraId="08188A16"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307616AE"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3D50DCE4" w14:textId="77777777" w:rsidR="00327FF1" w:rsidRDefault="00E406C7">
            <w:pPr>
              <w:pStyle w:val="P68B1DB1-Normal11"/>
              <w:jc w:val="center"/>
              <w:rPr>
                <w:noProof/>
                <w:szCs w:val="20"/>
              </w:rPr>
            </w:pPr>
            <w:r>
              <w:rPr>
                <w:noProof/>
              </w:rPr>
              <w:t>0</w:t>
            </w:r>
          </w:p>
        </w:tc>
        <w:tc>
          <w:tcPr>
            <w:tcW w:w="1417" w:type="dxa"/>
            <w:shd w:val="clear" w:color="auto" w:fill="C6EFCE"/>
            <w:noWrap/>
            <w:vAlign w:val="center"/>
          </w:tcPr>
          <w:p w14:paraId="6236DBD6" w14:textId="77777777" w:rsidR="00327FF1" w:rsidRDefault="00E406C7">
            <w:pPr>
              <w:pStyle w:val="P68B1DB1-Normal11"/>
              <w:jc w:val="center"/>
              <w:rPr>
                <w:noProof/>
                <w:szCs w:val="20"/>
              </w:rPr>
            </w:pPr>
            <w:r>
              <w:rPr>
                <w:noProof/>
              </w:rPr>
              <w:t>10</w:t>
            </w:r>
          </w:p>
        </w:tc>
        <w:tc>
          <w:tcPr>
            <w:tcW w:w="793" w:type="dxa"/>
            <w:shd w:val="clear" w:color="auto" w:fill="C6EFCE"/>
            <w:noWrap/>
            <w:vAlign w:val="center"/>
          </w:tcPr>
          <w:p w14:paraId="6D9C85BE"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28C3C488" w14:textId="77777777" w:rsidR="00327FF1" w:rsidRDefault="00E406C7">
            <w:pPr>
              <w:pStyle w:val="P68B1DB1-Normal11"/>
              <w:jc w:val="center"/>
              <w:rPr>
                <w:noProof/>
                <w:szCs w:val="20"/>
              </w:rPr>
            </w:pPr>
            <w:r>
              <w:rPr>
                <w:noProof/>
              </w:rPr>
              <w:t>2023</w:t>
            </w:r>
          </w:p>
        </w:tc>
        <w:tc>
          <w:tcPr>
            <w:tcW w:w="2584" w:type="dxa"/>
            <w:shd w:val="clear" w:color="auto" w:fill="C6EFCE"/>
            <w:noWrap/>
            <w:vAlign w:val="center"/>
          </w:tcPr>
          <w:p w14:paraId="79576EA5" w14:textId="77777777" w:rsidR="00327FF1" w:rsidRDefault="00E406C7">
            <w:pPr>
              <w:pStyle w:val="P68B1DB1-Normal11"/>
              <w:spacing w:after="120"/>
              <w:rPr>
                <w:noProof/>
                <w:szCs w:val="20"/>
              </w:rPr>
            </w:pPr>
            <w:r>
              <w:rPr>
                <w:noProof/>
              </w:rPr>
              <w:t>Tādu kritiski svarīgu lietojumu sākotnējā migrācija un operatīvā pieejamība, kuri nav saistīti ar emisiju, uz jaunu</w:t>
            </w:r>
            <w:r>
              <w:rPr>
                <w:noProof/>
              </w:rPr>
              <w:t xml:space="preserve"> atvērtā pirmkoda infrastruktūru. Tas ietver aparatūras vides ieviešanu, starpprogrammatūras atklātā pirmkoda komponentu uzstādīšanu un lietojumu pārstrukturizāciju.</w:t>
            </w:r>
          </w:p>
        </w:tc>
      </w:tr>
      <w:tr w:rsidR="00327FF1" w14:paraId="00AC4C35" w14:textId="77777777">
        <w:trPr>
          <w:trHeight w:val="309"/>
        </w:trPr>
        <w:tc>
          <w:tcPr>
            <w:tcW w:w="1087" w:type="dxa"/>
            <w:shd w:val="clear" w:color="auto" w:fill="C6EFCE"/>
            <w:noWrap/>
            <w:vAlign w:val="center"/>
          </w:tcPr>
          <w:p w14:paraId="716A195C" w14:textId="77777777" w:rsidR="00327FF1" w:rsidRDefault="00E406C7">
            <w:pPr>
              <w:pStyle w:val="P68B1DB1-Normal11"/>
              <w:jc w:val="center"/>
              <w:rPr>
                <w:noProof/>
                <w:szCs w:val="20"/>
              </w:rPr>
            </w:pPr>
            <w:r>
              <w:rPr>
                <w:noProof/>
              </w:rPr>
              <w:t>M1C1–139</w:t>
            </w:r>
          </w:p>
        </w:tc>
        <w:tc>
          <w:tcPr>
            <w:tcW w:w="1943" w:type="dxa"/>
            <w:shd w:val="clear" w:color="auto" w:fill="C6EFCE"/>
            <w:noWrap/>
            <w:vAlign w:val="center"/>
          </w:tcPr>
          <w:p w14:paraId="0E5BDDF4" w14:textId="77777777" w:rsidR="00327FF1" w:rsidRDefault="00E406C7">
            <w:pPr>
              <w:pStyle w:val="P68B1DB1-Normal11"/>
              <w:jc w:val="center"/>
              <w:rPr>
                <w:noProof/>
                <w:szCs w:val="20"/>
              </w:rPr>
            </w:pPr>
            <w:r>
              <w:rPr>
                <w:noProof/>
              </w:rPr>
              <w:t>Investīcija 1.2. — Mākoņdatošanas veicināšana vietējai PN</w:t>
            </w:r>
          </w:p>
        </w:tc>
        <w:tc>
          <w:tcPr>
            <w:tcW w:w="992" w:type="dxa"/>
            <w:shd w:val="clear" w:color="auto" w:fill="C6EFCE"/>
            <w:noWrap/>
            <w:vAlign w:val="center"/>
          </w:tcPr>
          <w:p w14:paraId="755E931C"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483E7F39" w14:textId="77777777" w:rsidR="00327FF1" w:rsidRDefault="00E406C7">
            <w:pPr>
              <w:pStyle w:val="P68B1DB1-Normal11"/>
              <w:jc w:val="center"/>
              <w:rPr>
                <w:noProof/>
                <w:szCs w:val="20"/>
              </w:rPr>
            </w:pPr>
            <w:r>
              <w:rPr>
                <w:noProof/>
              </w:rPr>
              <w:t xml:space="preserve">Mākoņdatošanas </w:t>
            </w:r>
            <w:r>
              <w:rPr>
                <w:noProof/>
              </w:rPr>
              <w:t>iespējošana vietējai valsts pārvaldei T1</w:t>
            </w:r>
          </w:p>
        </w:tc>
        <w:tc>
          <w:tcPr>
            <w:tcW w:w="1701" w:type="dxa"/>
            <w:shd w:val="clear" w:color="auto" w:fill="C6EFCE"/>
            <w:noWrap/>
            <w:vAlign w:val="center"/>
          </w:tcPr>
          <w:p w14:paraId="20A396D5"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3EDE3D26"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6EDCB77D" w14:textId="77777777" w:rsidR="00327FF1" w:rsidRDefault="00E406C7">
            <w:pPr>
              <w:pStyle w:val="P68B1DB1-Normal11"/>
              <w:jc w:val="center"/>
              <w:rPr>
                <w:noProof/>
                <w:szCs w:val="20"/>
              </w:rPr>
            </w:pPr>
            <w:r>
              <w:rPr>
                <w:noProof/>
              </w:rPr>
              <w:t>0</w:t>
            </w:r>
          </w:p>
        </w:tc>
        <w:tc>
          <w:tcPr>
            <w:tcW w:w="1417" w:type="dxa"/>
            <w:shd w:val="clear" w:color="auto" w:fill="C6EFCE"/>
            <w:noWrap/>
            <w:vAlign w:val="center"/>
          </w:tcPr>
          <w:p w14:paraId="24782AB3" w14:textId="77777777" w:rsidR="00327FF1" w:rsidRDefault="00E406C7">
            <w:pPr>
              <w:pStyle w:val="P68B1DB1-Normal11"/>
              <w:jc w:val="center"/>
              <w:rPr>
                <w:noProof/>
                <w:szCs w:val="20"/>
              </w:rPr>
            </w:pPr>
            <w:r>
              <w:rPr>
                <w:noProof/>
              </w:rPr>
              <w:t>4 083</w:t>
            </w:r>
          </w:p>
        </w:tc>
        <w:tc>
          <w:tcPr>
            <w:tcW w:w="793" w:type="dxa"/>
            <w:shd w:val="clear" w:color="auto" w:fill="C6EFCE"/>
            <w:noWrap/>
            <w:vAlign w:val="center"/>
          </w:tcPr>
          <w:p w14:paraId="310AEB45" w14:textId="77777777" w:rsidR="00327FF1" w:rsidRDefault="00E406C7">
            <w:pPr>
              <w:pStyle w:val="P68B1DB1-Normal11"/>
              <w:jc w:val="center"/>
              <w:rPr>
                <w:noProof/>
                <w:szCs w:val="20"/>
              </w:rPr>
            </w:pPr>
            <w:r>
              <w:rPr>
                <w:noProof/>
              </w:rPr>
              <w:t>CET.</w:t>
            </w:r>
          </w:p>
        </w:tc>
        <w:tc>
          <w:tcPr>
            <w:tcW w:w="625" w:type="dxa"/>
            <w:shd w:val="clear" w:color="auto" w:fill="C6EFCE"/>
            <w:noWrap/>
            <w:vAlign w:val="center"/>
          </w:tcPr>
          <w:p w14:paraId="0AF09288" w14:textId="77777777" w:rsidR="00327FF1" w:rsidRDefault="00E406C7">
            <w:pPr>
              <w:pStyle w:val="P68B1DB1-Normal11"/>
              <w:jc w:val="center"/>
              <w:rPr>
                <w:noProof/>
                <w:szCs w:val="20"/>
              </w:rPr>
            </w:pPr>
            <w:r>
              <w:rPr>
                <w:noProof/>
              </w:rPr>
              <w:t>2024</w:t>
            </w:r>
          </w:p>
        </w:tc>
        <w:tc>
          <w:tcPr>
            <w:tcW w:w="2584" w:type="dxa"/>
            <w:shd w:val="clear" w:color="auto" w:fill="C6EFCE"/>
            <w:noWrap/>
            <w:vAlign w:val="center"/>
          </w:tcPr>
          <w:p w14:paraId="4A32246D" w14:textId="77777777" w:rsidR="00327FF1" w:rsidRDefault="00E406C7">
            <w:pPr>
              <w:pStyle w:val="P68B1DB1-Normal21"/>
              <w:spacing w:after="120"/>
              <w:rPr>
                <w:rFonts w:ascii="Arial Narrow" w:hAnsi="Arial Narrow"/>
                <w:noProof/>
                <w:szCs w:val="20"/>
              </w:rPr>
            </w:pPr>
            <w:r>
              <w:rPr>
                <w:rFonts w:ascii="Arial Narrow" w:hAnsi="Arial Narrow"/>
                <w:noProof/>
              </w:rPr>
              <w:t>Uzskata, ka 4083</w:t>
            </w:r>
            <w:r>
              <w:rPr>
                <w:noProof/>
              </w:rPr>
              <w:t xml:space="preserve"> </w:t>
            </w:r>
            <w:r>
              <w:rPr>
                <w:rFonts w:ascii="Arial Narrow" w:hAnsi="Arial Narrow"/>
                <w:noProof/>
              </w:rPr>
              <w:t>vietējo valsts pārvaldes iestāžu migrācija uz sertificētām mākoņdatošanas vidēm ir panākta, ja ir sekmīgi testētas visas katrā migrācijas plānā iekļautās sistēmas,</w:t>
            </w:r>
            <w:r>
              <w:rPr>
                <w:rFonts w:ascii="Arial Narrow" w:hAnsi="Arial Narrow"/>
                <w:noProof/>
              </w:rPr>
              <w:t xml:space="preserve"> datu kopas un lietojumprogrammu migrācija.</w:t>
            </w:r>
          </w:p>
        </w:tc>
      </w:tr>
      <w:tr w:rsidR="00327FF1" w14:paraId="48B4C067" w14:textId="77777777">
        <w:trPr>
          <w:trHeight w:val="309"/>
        </w:trPr>
        <w:tc>
          <w:tcPr>
            <w:tcW w:w="1087" w:type="dxa"/>
            <w:shd w:val="clear" w:color="auto" w:fill="C6EFCE"/>
            <w:noWrap/>
            <w:vAlign w:val="center"/>
          </w:tcPr>
          <w:p w14:paraId="6CF4423A" w14:textId="77777777" w:rsidR="00327FF1" w:rsidRDefault="00E406C7">
            <w:pPr>
              <w:pStyle w:val="P68B1DB1-Normal11"/>
              <w:jc w:val="center"/>
              <w:rPr>
                <w:noProof/>
                <w:szCs w:val="20"/>
              </w:rPr>
            </w:pPr>
            <w:r>
              <w:rPr>
                <w:noProof/>
              </w:rPr>
              <w:t>M1C1–140</w:t>
            </w:r>
          </w:p>
        </w:tc>
        <w:tc>
          <w:tcPr>
            <w:tcW w:w="1943" w:type="dxa"/>
            <w:shd w:val="clear" w:color="auto" w:fill="C6EFCE"/>
            <w:noWrap/>
            <w:vAlign w:val="center"/>
          </w:tcPr>
          <w:p w14:paraId="719D9504" w14:textId="77777777" w:rsidR="00327FF1" w:rsidRDefault="00E406C7">
            <w:pPr>
              <w:pStyle w:val="P68B1DB1-Normal11"/>
              <w:jc w:val="center"/>
              <w:rPr>
                <w:noProof/>
                <w:szCs w:val="20"/>
              </w:rPr>
            </w:pPr>
            <w:r>
              <w:rPr>
                <w:noProof/>
              </w:rPr>
              <w:t>Investīcija — Iedzīvotāju pieredze — digitālo publisko pakalpojumu kvalitātes un izmantojamības uzlabošana</w:t>
            </w:r>
          </w:p>
        </w:tc>
        <w:tc>
          <w:tcPr>
            <w:tcW w:w="992" w:type="dxa"/>
            <w:shd w:val="clear" w:color="auto" w:fill="C6EFCE"/>
            <w:noWrap/>
            <w:vAlign w:val="center"/>
          </w:tcPr>
          <w:p w14:paraId="456AC00D"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2B568778" w14:textId="77777777" w:rsidR="00327FF1" w:rsidRDefault="00E406C7">
            <w:pPr>
              <w:pStyle w:val="P68B1DB1-Normal11"/>
              <w:jc w:val="center"/>
              <w:rPr>
                <w:noProof/>
                <w:szCs w:val="20"/>
              </w:rPr>
            </w:pPr>
            <w:r>
              <w:rPr>
                <w:noProof/>
              </w:rPr>
              <w:t>Digitālo publisko pakalpojumu T1 kvalitātes un izmantojamības uzlabošana</w:t>
            </w:r>
          </w:p>
        </w:tc>
        <w:tc>
          <w:tcPr>
            <w:tcW w:w="1701" w:type="dxa"/>
            <w:shd w:val="clear" w:color="auto" w:fill="C6EFCE"/>
            <w:noWrap/>
            <w:vAlign w:val="center"/>
          </w:tcPr>
          <w:p w14:paraId="3197CAC8"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274B1960" w14:textId="77777777" w:rsidR="00327FF1" w:rsidRDefault="00E406C7">
            <w:pPr>
              <w:pStyle w:val="P68B1DB1-Normal11"/>
              <w:jc w:val="center"/>
              <w:rPr>
                <w:noProof/>
                <w:szCs w:val="20"/>
              </w:rPr>
            </w:pPr>
            <w:r>
              <w:rPr>
                <w:noProof/>
              </w:rPr>
              <w:t>Procentuālais daudzums</w:t>
            </w:r>
          </w:p>
        </w:tc>
        <w:tc>
          <w:tcPr>
            <w:tcW w:w="1276" w:type="dxa"/>
            <w:shd w:val="clear" w:color="auto" w:fill="C6EFCE"/>
            <w:noWrap/>
            <w:vAlign w:val="center"/>
          </w:tcPr>
          <w:p w14:paraId="07192CA1" w14:textId="77777777" w:rsidR="00327FF1" w:rsidRDefault="00E406C7">
            <w:pPr>
              <w:pStyle w:val="P68B1DB1-Normal12"/>
              <w:jc w:val="center"/>
              <w:rPr>
                <w:noProof/>
              </w:rPr>
            </w:pPr>
            <w:r>
              <w:rPr>
                <w:noProof/>
              </w:rPr>
              <w:t>0</w:t>
            </w:r>
          </w:p>
        </w:tc>
        <w:tc>
          <w:tcPr>
            <w:tcW w:w="1417" w:type="dxa"/>
            <w:shd w:val="clear" w:color="auto" w:fill="C6EFCE"/>
            <w:noWrap/>
            <w:vAlign w:val="center"/>
          </w:tcPr>
          <w:p w14:paraId="6BD1CB2B" w14:textId="77777777" w:rsidR="00327FF1" w:rsidRDefault="00E406C7">
            <w:pPr>
              <w:pStyle w:val="P68B1DB1-Normal11"/>
              <w:jc w:val="center"/>
              <w:rPr>
                <w:noProof/>
                <w:szCs w:val="20"/>
              </w:rPr>
            </w:pPr>
            <w:r>
              <w:rPr>
                <w:noProof/>
              </w:rPr>
              <w:t>40</w:t>
            </w:r>
          </w:p>
        </w:tc>
        <w:tc>
          <w:tcPr>
            <w:tcW w:w="793" w:type="dxa"/>
            <w:shd w:val="clear" w:color="auto" w:fill="C6EFCE"/>
            <w:noWrap/>
            <w:vAlign w:val="center"/>
          </w:tcPr>
          <w:p w14:paraId="6A6C10AD"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4EC8B7F4" w14:textId="77777777" w:rsidR="00327FF1" w:rsidRDefault="00E406C7">
            <w:pPr>
              <w:pStyle w:val="P68B1DB1-Normal11"/>
              <w:jc w:val="center"/>
              <w:rPr>
                <w:noProof/>
                <w:szCs w:val="20"/>
              </w:rPr>
            </w:pPr>
            <w:r>
              <w:rPr>
                <w:noProof/>
              </w:rPr>
              <w:t>2024</w:t>
            </w:r>
          </w:p>
        </w:tc>
        <w:tc>
          <w:tcPr>
            <w:tcW w:w="2584" w:type="dxa"/>
            <w:shd w:val="clear" w:color="auto" w:fill="C6EFCE"/>
            <w:noWrap/>
            <w:vAlign w:val="center"/>
          </w:tcPr>
          <w:p w14:paraId="0545F631" w14:textId="77777777" w:rsidR="00327FF1" w:rsidRDefault="00E406C7">
            <w:pPr>
              <w:pStyle w:val="P68B1DB1-Normal12"/>
              <w:spacing w:after="120"/>
              <w:rPr>
                <w:noProof/>
              </w:rPr>
            </w:pPr>
            <w:r>
              <w:rPr>
                <w:noProof/>
              </w:rPr>
              <w:t>Pārvaldes iestādes (pašvaldības, pirmās un otrās pakāpes izglītības iestāžu pamatskolas un vidējās izglītības iestādes un īpašas izmēģinātas veselības aprūpes un kultūras mantojuma struktūras), kas ievēro kopīgu mod</w:t>
            </w:r>
            <w:r>
              <w:rPr>
                <w:noProof/>
              </w:rPr>
              <w:t xml:space="preserve">eli un dizaina sistēmu, vienkāršo lietotāju mijiedarbību un atvieglo uzturēšanu turpmākajos gados. </w:t>
            </w:r>
          </w:p>
          <w:p w14:paraId="68027483" w14:textId="77777777" w:rsidR="00327FF1" w:rsidRDefault="00E406C7">
            <w:pPr>
              <w:pStyle w:val="P68B1DB1-Normal11"/>
              <w:spacing w:after="120"/>
              <w:rPr>
                <w:noProof/>
                <w:szCs w:val="20"/>
              </w:rPr>
            </w:pPr>
            <w:r>
              <w:rPr>
                <w:noProof/>
              </w:rPr>
              <w:t xml:space="preserve">Tīmekļa vietņu/pakalpojumu komponentu kopīgā dizaina/modeļa ievērošana ietver: </w:t>
            </w:r>
          </w:p>
          <w:p w14:paraId="413CC711" w14:textId="77777777" w:rsidR="00327FF1" w:rsidRDefault="00E406C7">
            <w:pPr>
              <w:pStyle w:val="P68B1DB1-Normal12"/>
              <w:spacing w:after="120"/>
              <w:rPr>
                <w:noProof/>
              </w:rPr>
            </w:pPr>
            <w:r>
              <w:rPr>
                <w:noProof/>
              </w:rPr>
              <w:t>(1) Iesniegto projektu novērtēšana;</w:t>
            </w:r>
          </w:p>
          <w:p w14:paraId="53ADAC38" w14:textId="77777777" w:rsidR="00327FF1" w:rsidRDefault="00E406C7">
            <w:pPr>
              <w:pStyle w:val="P68B1DB1-Normal11"/>
              <w:spacing w:after="120"/>
              <w:rPr>
                <w:noProof/>
                <w:szCs w:val="20"/>
              </w:rPr>
            </w:pPr>
            <w:r>
              <w:rPr>
                <w:noProof/>
              </w:rPr>
              <w:t>(2) Projekta pabeigšanas novērtējums par</w:t>
            </w:r>
            <w:r>
              <w:rPr>
                <w:noProof/>
              </w:rPr>
              <w:t xml:space="preserve"> galvenajiem lietojamības rādītājiem (digitālās izmantojamības rādītāji), izmantojot jau pieejamu īpašu platformu.</w:t>
            </w:r>
          </w:p>
        </w:tc>
      </w:tr>
      <w:tr w:rsidR="00327FF1" w14:paraId="04F0CD22" w14:textId="77777777">
        <w:trPr>
          <w:trHeight w:val="309"/>
        </w:trPr>
        <w:tc>
          <w:tcPr>
            <w:tcW w:w="1087" w:type="dxa"/>
            <w:shd w:val="clear" w:color="auto" w:fill="C6EFCE"/>
            <w:noWrap/>
            <w:vAlign w:val="center"/>
          </w:tcPr>
          <w:p w14:paraId="59460403" w14:textId="77777777" w:rsidR="00327FF1" w:rsidRDefault="00E406C7">
            <w:pPr>
              <w:pStyle w:val="P68B1DB1-Normal11"/>
              <w:jc w:val="center"/>
              <w:rPr>
                <w:noProof/>
                <w:szCs w:val="20"/>
              </w:rPr>
            </w:pPr>
            <w:r>
              <w:rPr>
                <w:noProof/>
              </w:rPr>
              <w:t>M1C1–141</w:t>
            </w:r>
          </w:p>
        </w:tc>
        <w:tc>
          <w:tcPr>
            <w:tcW w:w="1943" w:type="dxa"/>
            <w:shd w:val="clear" w:color="auto" w:fill="C6EFCE"/>
            <w:noWrap/>
            <w:vAlign w:val="center"/>
          </w:tcPr>
          <w:p w14:paraId="6E14C3B3" w14:textId="77777777" w:rsidR="00327FF1" w:rsidRDefault="00E406C7">
            <w:pPr>
              <w:pStyle w:val="P68B1DB1-Normal12"/>
              <w:jc w:val="center"/>
              <w:rPr>
                <w:noProof/>
              </w:rPr>
            </w:pPr>
            <w:r>
              <w:rPr>
                <w:noProof/>
              </w:rPr>
              <w:t>Investīcija 1.6.4. — Aizsardzības ministrijas digitalizācija</w:t>
            </w:r>
          </w:p>
        </w:tc>
        <w:tc>
          <w:tcPr>
            <w:tcW w:w="992" w:type="dxa"/>
            <w:shd w:val="clear" w:color="auto" w:fill="C6EFCE"/>
            <w:noWrap/>
            <w:vAlign w:val="center"/>
          </w:tcPr>
          <w:p w14:paraId="2DA49759"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1E4F0BC6" w14:textId="77777777" w:rsidR="00327FF1" w:rsidRDefault="00E406C7">
            <w:pPr>
              <w:pStyle w:val="P68B1DB1-Normal12"/>
              <w:jc w:val="center"/>
              <w:rPr>
                <w:noProof/>
              </w:rPr>
            </w:pPr>
            <w:r>
              <w:rPr>
                <w:noProof/>
              </w:rPr>
              <w:t>Aizsardzības ministrijas procedūru digitalizācija T2</w:t>
            </w:r>
          </w:p>
        </w:tc>
        <w:tc>
          <w:tcPr>
            <w:tcW w:w="1701" w:type="dxa"/>
            <w:shd w:val="clear" w:color="auto" w:fill="C6EFCE"/>
            <w:noWrap/>
            <w:vAlign w:val="center"/>
          </w:tcPr>
          <w:p w14:paraId="5983679F"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212B1D8C"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0E195516" w14:textId="77777777" w:rsidR="00327FF1" w:rsidRDefault="00E406C7">
            <w:pPr>
              <w:pStyle w:val="P68B1DB1-Normal11"/>
              <w:jc w:val="center"/>
              <w:rPr>
                <w:noProof/>
                <w:szCs w:val="20"/>
              </w:rPr>
            </w:pPr>
            <w:r>
              <w:rPr>
                <w:noProof/>
              </w:rPr>
              <w:t>15</w:t>
            </w:r>
          </w:p>
        </w:tc>
        <w:tc>
          <w:tcPr>
            <w:tcW w:w="1417" w:type="dxa"/>
            <w:shd w:val="clear" w:color="auto" w:fill="C6EFCE"/>
            <w:noWrap/>
            <w:vAlign w:val="center"/>
          </w:tcPr>
          <w:p w14:paraId="7CE1DC91" w14:textId="77777777" w:rsidR="00327FF1" w:rsidRDefault="00E406C7">
            <w:pPr>
              <w:pStyle w:val="P68B1DB1-Normal11"/>
              <w:jc w:val="center"/>
              <w:rPr>
                <w:noProof/>
                <w:szCs w:val="20"/>
              </w:rPr>
            </w:pPr>
            <w:r>
              <w:rPr>
                <w:noProof/>
              </w:rPr>
              <w:t>20</w:t>
            </w:r>
          </w:p>
        </w:tc>
        <w:tc>
          <w:tcPr>
            <w:tcW w:w="793" w:type="dxa"/>
            <w:shd w:val="clear" w:color="auto" w:fill="C6EFCE"/>
            <w:noWrap/>
            <w:vAlign w:val="center"/>
          </w:tcPr>
          <w:p w14:paraId="7FD7B3FD"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1120E0EE" w14:textId="77777777" w:rsidR="00327FF1" w:rsidRDefault="00E406C7">
            <w:pPr>
              <w:pStyle w:val="P68B1DB1-Normal11"/>
              <w:jc w:val="center"/>
              <w:rPr>
                <w:noProof/>
                <w:szCs w:val="20"/>
              </w:rPr>
            </w:pPr>
            <w:r>
              <w:rPr>
                <w:noProof/>
              </w:rPr>
              <w:t>2024</w:t>
            </w:r>
          </w:p>
        </w:tc>
        <w:tc>
          <w:tcPr>
            <w:tcW w:w="2584" w:type="dxa"/>
            <w:shd w:val="clear" w:color="auto" w:fill="C6EFCE"/>
            <w:noWrap/>
            <w:vAlign w:val="center"/>
          </w:tcPr>
          <w:p w14:paraId="3561D338" w14:textId="77777777" w:rsidR="00327FF1" w:rsidRDefault="00E406C7">
            <w:pPr>
              <w:pStyle w:val="P68B1DB1-Normal12"/>
              <w:spacing w:after="120"/>
              <w:rPr>
                <w:noProof/>
              </w:rPr>
            </w:pPr>
            <w:r>
              <w:rPr>
                <w:noProof/>
              </w:rPr>
              <w:t>Ar aizsardzības personāla pārvaldību saistīto 20 procedūru digitalizācija, pārskatīšana un automatizācija (piemēram, pieņemšana darbā, nodarbinātība un pensionēšanās, darbinieku veselība), sākot ar 15 jau digitalizētu procedūru pa</w:t>
            </w:r>
            <w:r>
              <w:rPr>
                <w:noProof/>
              </w:rPr>
              <w:t>matscenāriju ar 1. mērķrādītāju.</w:t>
            </w:r>
          </w:p>
        </w:tc>
      </w:tr>
      <w:tr w:rsidR="00327FF1" w14:paraId="51DBA631" w14:textId="77777777">
        <w:trPr>
          <w:trHeight w:val="309"/>
        </w:trPr>
        <w:tc>
          <w:tcPr>
            <w:tcW w:w="1087" w:type="dxa"/>
            <w:shd w:val="clear" w:color="auto" w:fill="C6EFCE"/>
            <w:noWrap/>
            <w:vAlign w:val="center"/>
          </w:tcPr>
          <w:p w14:paraId="24FA5743" w14:textId="77777777" w:rsidR="00327FF1" w:rsidRDefault="00E406C7">
            <w:pPr>
              <w:pStyle w:val="P68B1DB1-Normal11"/>
              <w:jc w:val="center"/>
              <w:rPr>
                <w:noProof/>
                <w:szCs w:val="20"/>
              </w:rPr>
            </w:pPr>
            <w:r>
              <w:rPr>
                <w:noProof/>
              </w:rPr>
              <w:t>M1C1–142</w:t>
            </w:r>
          </w:p>
        </w:tc>
        <w:tc>
          <w:tcPr>
            <w:tcW w:w="1943" w:type="dxa"/>
            <w:shd w:val="clear" w:color="auto" w:fill="C6EFCE"/>
            <w:noWrap/>
            <w:vAlign w:val="center"/>
          </w:tcPr>
          <w:p w14:paraId="32F26AE0" w14:textId="77777777" w:rsidR="00327FF1" w:rsidRDefault="00E406C7">
            <w:pPr>
              <w:pStyle w:val="P68B1DB1-Normal12"/>
              <w:jc w:val="center"/>
              <w:rPr>
                <w:noProof/>
              </w:rPr>
            </w:pPr>
            <w:r>
              <w:rPr>
                <w:noProof/>
              </w:rPr>
              <w:t>Investīcija 1.6.4. — Aizsardzības ministrijas digitalizācija</w:t>
            </w:r>
          </w:p>
        </w:tc>
        <w:tc>
          <w:tcPr>
            <w:tcW w:w="992" w:type="dxa"/>
            <w:shd w:val="clear" w:color="auto" w:fill="C6EFCE"/>
            <w:noWrap/>
            <w:vAlign w:val="center"/>
          </w:tcPr>
          <w:p w14:paraId="18FADC6F"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6AE7459E" w14:textId="77777777" w:rsidR="00327FF1" w:rsidRDefault="00E406C7">
            <w:pPr>
              <w:pStyle w:val="P68B1DB1-Normal12"/>
              <w:jc w:val="center"/>
              <w:rPr>
                <w:noProof/>
              </w:rPr>
            </w:pPr>
            <w:r>
              <w:rPr>
                <w:noProof/>
              </w:rPr>
              <w:t>Aizsardzības ministrijas sertifikātu digitalizācija T2</w:t>
            </w:r>
          </w:p>
        </w:tc>
        <w:tc>
          <w:tcPr>
            <w:tcW w:w="1701" w:type="dxa"/>
            <w:shd w:val="clear" w:color="auto" w:fill="C6EFCE"/>
            <w:noWrap/>
            <w:vAlign w:val="center"/>
          </w:tcPr>
          <w:p w14:paraId="4566C08D"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11F5A855" w14:textId="77777777" w:rsidR="00327FF1" w:rsidRDefault="00E406C7">
            <w:pPr>
              <w:pStyle w:val="P68B1DB1-Normal11"/>
              <w:jc w:val="center"/>
              <w:rPr>
                <w:noProof/>
                <w:szCs w:val="20"/>
              </w:rPr>
            </w:pPr>
            <w:r>
              <w:rPr>
                <w:noProof/>
              </w:rPr>
              <w:t>Digitalizēto sertifikātu skaits</w:t>
            </w:r>
          </w:p>
        </w:tc>
        <w:tc>
          <w:tcPr>
            <w:tcW w:w="1276" w:type="dxa"/>
            <w:shd w:val="clear" w:color="auto" w:fill="C6EFCE"/>
            <w:noWrap/>
            <w:vAlign w:val="center"/>
          </w:tcPr>
          <w:p w14:paraId="184786D2" w14:textId="77777777" w:rsidR="00327FF1" w:rsidRDefault="00E406C7">
            <w:pPr>
              <w:pStyle w:val="P68B1DB1-Normal11"/>
              <w:jc w:val="center"/>
              <w:rPr>
                <w:noProof/>
                <w:szCs w:val="20"/>
              </w:rPr>
            </w:pPr>
            <w:r>
              <w:rPr>
                <w:noProof/>
              </w:rPr>
              <w:t>450 000</w:t>
            </w:r>
          </w:p>
        </w:tc>
        <w:tc>
          <w:tcPr>
            <w:tcW w:w="1417" w:type="dxa"/>
            <w:shd w:val="clear" w:color="auto" w:fill="C6EFCE"/>
            <w:noWrap/>
            <w:vAlign w:val="center"/>
          </w:tcPr>
          <w:p w14:paraId="0B0BD3C6" w14:textId="77777777" w:rsidR="00327FF1" w:rsidRDefault="00E406C7">
            <w:pPr>
              <w:pStyle w:val="P68B1DB1-Normal11"/>
              <w:jc w:val="center"/>
              <w:rPr>
                <w:noProof/>
                <w:szCs w:val="20"/>
              </w:rPr>
            </w:pPr>
            <w:r>
              <w:rPr>
                <w:noProof/>
              </w:rPr>
              <w:t>750 000</w:t>
            </w:r>
          </w:p>
        </w:tc>
        <w:tc>
          <w:tcPr>
            <w:tcW w:w="793" w:type="dxa"/>
            <w:shd w:val="clear" w:color="auto" w:fill="C6EFCE"/>
            <w:noWrap/>
            <w:vAlign w:val="center"/>
          </w:tcPr>
          <w:p w14:paraId="5FC81038"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19232484" w14:textId="77777777" w:rsidR="00327FF1" w:rsidRDefault="00E406C7">
            <w:pPr>
              <w:pStyle w:val="P68B1DB1-Normal11"/>
              <w:jc w:val="center"/>
              <w:rPr>
                <w:noProof/>
                <w:szCs w:val="20"/>
              </w:rPr>
            </w:pPr>
            <w:r>
              <w:rPr>
                <w:noProof/>
              </w:rPr>
              <w:t>2024</w:t>
            </w:r>
          </w:p>
        </w:tc>
        <w:tc>
          <w:tcPr>
            <w:tcW w:w="2584" w:type="dxa"/>
            <w:shd w:val="clear" w:color="auto" w:fill="C6EFCE"/>
            <w:noWrap/>
            <w:vAlign w:val="center"/>
          </w:tcPr>
          <w:p w14:paraId="743C8C34" w14:textId="77777777" w:rsidR="00327FF1" w:rsidRDefault="00E406C7">
            <w:pPr>
              <w:pStyle w:val="P68B1DB1-Normal12"/>
              <w:spacing w:after="120"/>
              <w:rPr>
                <w:noProof/>
              </w:rPr>
            </w:pPr>
            <w:r>
              <w:rPr>
                <w:noProof/>
              </w:rPr>
              <w:t xml:space="preserve">To digitalizēto </w:t>
            </w:r>
            <w:r>
              <w:rPr>
                <w:noProof/>
              </w:rPr>
              <w:t>personas apliecību skaits (750000), ko izdevusi Aizsardzības ministrija un kas darbojas infrastruktūrā, ko papildina negadījuma seku novēršanas vieta, sākot no bāzlīnijas — 450000 jau digitalizētu sertifikātu ar 1. mērķrādītāju.</w:t>
            </w:r>
          </w:p>
        </w:tc>
      </w:tr>
      <w:tr w:rsidR="00327FF1" w14:paraId="130A4FE3" w14:textId="77777777">
        <w:trPr>
          <w:trHeight w:val="309"/>
        </w:trPr>
        <w:tc>
          <w:tcPr>
            <w:tcW w:w="1087" w:type="dxa"/>
            <w:shd w:val="clear" w:color="auto" w:fill="C6EFCE"/>
            <w:noWrap/>
            <w:vAlign w:val="center"/>
          </w:tcPr>
          <w:p w14:paraId="72839704" w14:textId="77777777" w:rsidR="00327FF1" w:rsidRDefault="00E406C7">
            <w:pPr>
              <w:pStyle w:val="P68B1DB1-Normal11"/>
              <w:jc w:val="center"/>
              <w:rPr>
                <w:noProof/>
                <w:szCs w:val="20"/>
              </w:rPr>
            </w:pPr>
            <w:r>
              <w:rPr>
                <w:noProof/>
              </w:rPr>
              <w:t>M1C1–143</w:t>
            </w:r>
          </w:p>
        </w:tc>
        <w:tc>
          <w:tcPr>
            <w:tcW w:w="1943" w:type="dxa"/>
            <w:shd w:val="clear" w:color="auto" w:fill="C6EFCE"/>
            <w:noWrap/>
            <w:vAlign w:val="center"/>
          </w:tcPr>
          <w:p w14:paraId="3D455FE7" w14:textId="77777777" w:rsidR="00327FF1" w:rsidRDefault="00E406C7">
            <w:pPr>
              <w:pStyle w:val="P68B1DB1-Normal12"/>
              <w:jc w:val="center"/>
              <w:rPr>
                <w:noProof/>
              </w:rPr>
            </w:pPr>
            <w:r>
              <w:rPr>
                <w:noProof/>
              </w:rPr>
              <w:t xml:space="preserve">Investīcija </w:t>
            </w:r>
            <w:r>
              <w:rPr>
                <w:noProof/>
              </w:rPr>
              <w:t>1.6.4. — Aizsardzības ministrijas digitalizācija</w:t>
            </w:r>
          </w:p>
        </w:tc>
        <w:tc>
          <w:tcPr>
            <w:tcW w:w="992" w:type="dxa"/>
            <w:shd w:val="clear" w:color="auto" w:fill="C6EFCE"/>
            <w:noWrap/>
            <w:vAlign w:val="center"/>
          </w:tcPr>
          <w:p w14:paraId="297CE6AE"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37AA58CF" w14:textId="77777777" w:rsidR="00327FF1" w:rsidRDefault="00E406C7">
            <w:pPr>
              <w:pStyle w:val="P68B1DB1-Normal12"/>
              <w:jc w:val="center"/>
              <w:rPr>
                <w:noProof/>
              </w:rPr>
            </w:pPr>
            <w:r>
              <w:rPr>
                <w:noProof/>
              </w:rPr>
              <w:t>Aizsardzības ministrija — Kritisku un ar misiju nesaistītu kritiski svarīgu lietojumu migrācija uz risinājumu pilnīgai informācijas aizsardzībai ar infrastruktūras atklātību (S.C.I.P.I.O.) T2</w:t>
            </w:r>
          </w:p>
        </w:tc>
        <w:tc>
          <w:tcPr>
            <w:tcW w:w="1701" w:type="dxa"/>
            <w:shd w:val="clear" w:color="auto" w:fill="C6EFCE"/>
            <w:noWrap/>
            <w:vAlign w:val="center"/>
          </w:tcPr>
          <w:p w14:paraId="1D1DCE80"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1B87BB0D"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411F9E31" w14:textId="77777777" w:rsidR="00327FF1" w:rsidRDefault="00E406C7">
            <w:pPr>
              <w:pStyle w:val="P68B1DB1-Normal11"/>
              <w:jc w:val="center"/>
              <w:rPr>
                <w:noProof/>
                <w:szCs w:val="20"/>
              </w:rPr>
            </w:pPr>
            <w:r>
              <w:rPr>
                <w:noProof/>
              </w:rPr>
              <w:t>10</w:t>
            </w:r>
          </w:p>
        </w:tc>
        <w:tc>
          <w:tcPr>
            <w:tcW w:w="1417" w:type="dxa"/>
            <w:shd w:val="clear" w:color="auto" w:fill="C6EFCE"/>
            <w:noWrap/>
            <w:vAlign w:val="center"/>
          </w:tcPr>
          <w:p w14:paraId="750487AD" w14:textId="77777777" w:rsidR="00327FF1" w:rsidRDefault="00E406C7">
            <w:pPr>
              <w:pStyle w:val="P68B1DB1-Normal11"/>
              <w:jc w:val="center"/>
              <w:rPr>
                <w:noProof/>
                <w:szCs w:val="20"/>
              </w:rPr>
            </w:pPr>
            <w:r>
              <w:rPr>
                <w:noProof/>
              </w:rPr>
              <w:t>15</w:t>
            </w:r>
          </w:p>
        </w:tc>
        <w:tc>
          <w:tcPr>
            <w:tcW w:w="793" w:type="dxa"/>
            <w:shd w:val="clear" w:color="auto" w:fill="C6EFCE"/>
            <w:noWrap/>
            <w:vAlign w:val="center"/>
          </w:tcPr>
          <w:p w14:paraId="49D5FBCC"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31299601" w14:textId="77777777" w:rsidR="00327FF1" w:rsidRDefault="00E406C7">
            <w:pPr>
              <w:pStyle w:val="P68B1DB1-Normal11"/>
              <w:jc w:val="center"/>
              <w:rPr>
                <w:noProof/>
                <w:szCs w:val="20"/>
              </w:rPr>
            </w:pPr>
            <w:r>
              <w:rPr>
                <w:noProof/>
              </w:rPr>
              <w:t>2024</w:t>
            </w:r>
          </w:p>
        </w:tc>
        <w:tc>
          <w:tcPr>
            <w:tcW w:w="2584" w:type="dxa"/>
            <w:shd w:val="clear" w:color="auto" w:fill="C6EFCE"/>
            <w:noWrap/>
            <w:vAlign w:val="center"/>
          </w:tcPr>
          <w:p w14:paraId="236C767D" w14:textId="77777777" w:rsidR="00327FF1" w:rsidRDefault="00E406C7">
            <w:pPr>
              <w:pStyle w:val="P68B1DB1-Normal12"/>
              <w:spacing w:after="120"/>
              <w:rPr>
                <w:noProof/>
              </w:rPr>
            </w:pPr>
            <w:r>
              <w:rPr>
                <w:noProof/>
              </w:rPr>
              <w:t xml:space="preserve">Četru kritiski svarīgu misiju un vienpadsmit ar misijām nesaistītu kritiski svarīgu lietojumu galīgā migrācija uz jaunu atvērtā pirmkoda infrastruktūru, kas ietver aparatūras vides ieviešanu, starpprogrammatūras atklātā pirmkoda </w:t>
            </w:r>
            <w:r>
              <w:rPr>
                <w:noProof/>
              </w:rPr>
              <w:t>komponentu uzstādīšanu, lietojumprogrammu pārstrukturizāciju, sākot no desmit bāzlīnijas, kas jau ir migrēta ar 1. mērķrādītāju.</w:t>
            </w:r>
          </w:p>
        </w:tc>
      </w:tr>
      <w:tr w:rsidR="00327FF1" w14:paraId="220A4F3C" w14:textId="77777777">
        <w:trPr>
          <w:trHeight w:val="309"/>
        </w:trPr>
        <w:tc>
          <w:tcPr>
            <w:tcW w:w="1087" w:type="dxa"/>
            <w:shd w:val="clear" w:color="auto" w:fill="C6EFCE"/>
            <w:noWrap/>
            <w:vAlign w:val="center"/>
          </w:tcPr>
          <w:p w14:paraId="6097D069" w14:textId="77777777" w:rsidR="00327FF1" w:rsidRDefault="00E406C7">
            <w:pPr>
              <w:pStyle w:val="P68B1DB1-Normal11"/>
              <w:jc w:val="center"/>
              <w:rPr>
                <w:noProof/>
                <w:szCs w:val="20"/>
              </w:rPr>
            </w:pPr>
            <w:r>
              <w:rPr>
                <w:noProof/>
              </w:rPr>
              <w:t>M1C1–145</w:t>
            </w:r>
          </w:p>
        </w:tc>
        <w:tc>
          <w:tcPr>
            <w:tcW w:w="1943" w:type="dxa"/>
            <w:shd w:val="clear" w:color="auto" w:fill="C6EFCE"/>
            <w:noWrap/>
            <w:vAlign w:val="center"/>
          </w:tcPr>
          <w:p w14:paraId="3B2333C5" w14:textId="77777777" w:rsidR="00327FF1" w:rsidRDefault="00E406C7">
            <w:pPr>
              <w:pStyle w:val="P68B1DB1-Normal11"/>
              <w:jc w:val="center"/>
              <w:rPr>
                <w:noProof/>
                <w:szCs w:val="20"/>
              </w:rPr>
            </w:pPr>
            <w:r>
              <w:rPr>
                <w:noProof/>
              </w:rPr>
              <w:t>Investīcija 1.4.4. Valsts digitālās identitātes platformu (SPID, CIE) un nacionālā reģistra (ANPR) izvēršana</w:t>
            </w:r>
          </w:p>
        </w:tc>
        <w:tc>
          <w:tcPr>
            <w:tcW w:w="992" w:type="dxa"/>
            <w:shd w:val="clear" w:color="auto" w:fill="C6EFCE"/>
            <w:noWrap/>
            <w:vAlign w:val="center"/>
          </w:tcPr>
          <w:p w14:paraId="5085EE6C"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3D18879E" w14:textId="77777777" w:rsidR="00327FF1" w:rsidRDefault="00E406C7">
            <w:pPr>
              <w:pStyle w:val="P68B1DB1-Normal12"/>
              <w:jc w:val="center"/>
              <w:rPr>
                <w:noProof/>
              </w:rPr>
            </w:pPr>
            <w:r>
              <w:rPr>
                <w:noProof/>
              </w:rPr>
              <w:t>Valsts digitālās identitātes platforma (CIE) un valsts reģistrs (ANPR)</w:t>
            </w:r>
          </w:p>
        </w:tc>
        <w:tc>
          <w:tcPr>
            <w:tcW w:w="1701" w:type="dxa"/>
            <w:shd w:val="clear" w:color="auto" w:fill="C6EFCE"/>
            <w:noWrap/>
            <w:vAlign w:val="center"/>
          </w:tcPr>
          <w:p w14:paraId="71177ED4"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2D698154"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43934629" w14:textId="77777777" w:rsidR="00327FF1" w:rsidRDefault="00E406C7">
            <w:pPr>
              <w:pStyle w:val="P68B1DB1-Normal11"/>
              <w:jc w:val="center"/>
              <w:rPr>
                <w:noProof/>
                <w:szCs w:val="20"/>
              </w:rPr>
            </w:pPr>
            <w:r>
              <w:rPr>
                <w:noProof/>
              </w:rPr>
              <w:t>9 700 000</w:t>
            </w:r>
          </w:p>
        </w:tc>
        <w:tc>
          <w:tcPr>
            <w:tcW w:w="1417" w:type="dxa"/>
            <w:shd w:val="clear" w:color="auto" w:fill="C6EFCE"/>
            <w:noWrap/>
            <w:vAlign w:val="center"/>
          </w:tcPr>
          <w:p w14:paraId="03F77A26" w14:textId="77777777" w:rsidR="00327FF1" w:rsidRDefault="00E406C7">
            <w:pPr>
              <w:pStyle w:val="P68B1DB1-Normal11"/>
              <w:jc w:val="center"/>
              <w:rPr>
                <w:noProof/>
                <w:szCs w:val="20"/>
              </w:rPr>
            </w:pPr>
            <w:r>
              <w:rPr>
                <w:noProof/>
              </w:rPr>
              <w:t>42 300 000</w:t>
            </w:r>
          </w:p>
        </w:tc>
        <w:tc>
          <w:tcPr>
            <w:tcW w:w="793" w:type="dxa"/>
            <w:shd w:val="clear" w:color="auto" w:fill="C6EFCE"/>
            <w:noWrap/>
            <w:vAlign w:val="center"/>
          </w:tcPr>
          <w:p w14:paraId="4815C2D2" w14:textId="77777777" w:rsidR="00327FF1" w:rsidRDefault="00E406C7">
            <w:pPr>
              <w:pStyle w:val="P68B1DB1-Normal11"/>
              <w:jc w:val="center"/>
              <w:rPr>
                <w:noProof/>
                <w:szCs w:val="20"/>
              </w:rPr>
            </w:pPr>
            <w:r>
              <w:rPr>
                <w:noProof/>
              </w:rPr>
              <w:t>4. CET.</w:t>
            </w:r>
          </w:p>
        </w:tc>
        <w:tc>
          <w:tcPr>
            <w:tcW w:w="625" w:type="dxa"/>
            <w:shd w:val="clear" w:color="auto" w:fill="C6EFCE"/>
            <w:noWrap/>
            <w:vAlign w:val="center"/>
          </w:tcPr>
          <w:p w14:paraId="05DFC2EA" w14:textId="77777777" w:rsidR="00327FF1" w:rsidRDefault="00E406C7">
            <w:pPr>
              <w:pStyle w:val="P68B1DB1-Normal11"/>
              <w:jc w:val="center"/>
              <w:rPr>
                <w:noProof/>
                <w:szCs w:val="20"/>
              </w:rPr>
            </w:pPr>
            <w:r>
              <w:rPr>
                <w:noProof/>
              </w:rPr>
              <w:t>2025</w:t>
            </w:r>
          </w:p>
        </w:tc>
        <w:tc>
          <w:tcPr>
            <w:tcW w:w="2584" w:type="dxa"/>
            <w:shd w:val="clear" w:color="auto" w:fill="C6EFCE"/>
            <w:noWrap/>
            <w:vAlign w:val="center"/>
          </w:tcPr>
          <w:p w14:paraId="74454F90" w14:textId="77777777" w:rsidR="00327FF1" w:rsidRDefault="00E406C7">
            <w:pPr>
              <w:pStyle w:val="P68B1DB1-Normal12"/>
              <w:spacing w:after="120"/>
              <w:rPr>
                <w:noProof/>
              </w:rPr>
            </w:pPr>
            <w:r>
              <w:rPr>
                <w:noProof/>
              </w:rPr>
              <w:t>Valsts digitālās identitātes platformā (CIE) ir reģistrētas 42300000 personas ar derīgām digitālajām identitātēm.</w:t>
            </w:r>
          </w:p>
        </w:tc>
      </w:tr>
      <w:tr w:rsidR="00327FF1" w14:paraId="79BB774B" w14:textId="77777777">
        <w:trPr>
          <w:trHeight w:val="309"/>
        </w:trPr>
        <w:tc>
          <w:tcPr>
            <w:tcW w:w="1087" w:type="dxa"/>
            <w:shd w:val="clear" w:color="auto" w:fill="C6EFCE"/>
            <w:noWrap/>
            <w:vAlign w:val="center"/>
          </w:tcPr>
          <w:p w14:paraId="008E7775" w14:textId="77777777" w:rsidR="00327FF1" w:rsidRDefault="00E406C7">
            <w:pPr>
              <w:pStyle w:val="P68B1DB1-Normal11"/>
              <w:jc w:val="center"/>
              <w:rPr>
                <w:noProof/>
                <w:szCs w:val="20"/>
              </w:rPr>
            </w:pPr>
            <w:r>
              <w:rPr>
                <w:noProof/>
              </w:rPr>
              <w:t>M1C1–146</w:t>
            </w:r>
          </w:p>
        </w:tc>
        <w:tc>
          <w:tcPr>
            <w:tcW w:w="1943" w:type="dxa"/>
            <w:shd w:val="clear" w:color="auto" w:fill="C6EFCE"/>
            <w:noWrap/>
            <w:vAlign w:val="center"/>
          </w:tcPr>
          <w:p w14:paraId="748981FE" w14:textId="77777777" w:rsidR="00327FF1" w:rsidRDefault="00E406C7">
            <w:pPr>
              <w:pStyle w:val="P68B1DB1-Normal11"/>
              <w:jc w:val="center"/>
              <w:rPr>
                <w:noProof/>
                <w:szCs w:val="20"/>
              </w:rPr>
            </w:pPr>
            <w:r>
              <w:rPr>
                <w:noProof/>
              </w:rPr>
              <w:t>Investīcija 1.4.4. Valsts digitālās identitātes platformu (SPID, CIE) un nacionālā reģistra (ANPR) izvēršana</w:t>
            </w:r>
          </w:p>
        </w:tc>
        <w:tc>
          <w:tcPr>
            <w:tcW w:w="992" w:type="dxa"/>
            <w:shd w:val="clear" w:color="auto" w:fill="C6EFCE"/>
            <w:noWrap/>
            <w:vAlign w:val="center"/>
          </w:tcPr>
          <w:p w14:paraId="5A4CD9D8"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514E207D" w14:textId="77777777" w:rsidR="00327FF1" w:rsidRDefault="00E406C7">
            <w:pPr>
              <w:pStyle w:val="P68B1DB1-Normal11"/>
              <w:jc w:val="center"/>
              <w:rPr>
                <w:noProof/>
                <w:szCs w:val="20"/>
              </w:rPr>
            </w:pPr>
            <w:r>
              <w:rPr>
                <w:noProof/>
              </w:rPr>
              <w:t xml:space="preserve">Valstu digitālās identitātes platformas (SPID) </w:t>
            </w:r>
          </w:p>
        </w:tc>
        <w:tc>
          <w:tcPr>
            <w:tcW w:w="1701" w:type="dxa"/>
            <w:shd w:val="clear" w:color="auto" w:fill="C6EFCE"/>
            <w:noWrap/>
            <w:vAlign w:val="center"/>
          </w:tcPr>
          <w:p w14:paraId="3D414044"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0B4B36EA"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5F866A0D" w14:textId="77777777" w:rsidR="00327FF1" w:rsidRDefault="00E406C7">
            <w:pPr>
              <w:pStyle w:val="P68B1DB1-Normal11"/>
              <w:jc w:val="center"/>
              <w:rPr>
                <w:noProof/>
                <w:szCs w:val="20"/>
              </w:rPr>
            </w:pPr>
            <w:r>
              <w:rPr>
                <w:noProof/>
              </w:rPr>
              <w:t>0</w:t>
            </w:r>
          </w:p>
        </w:tc>
        <w:tc>
          <w:tcPr>
            <w:tcW w:w="1417" w:type="dxa"/>
            <w:shd w:val="clear" w:color="auto" w:fill="C6EFCE"/>
            <w:noWrap/>
            <w:vAlign w:val="center"/>
          </w:tcPr>
          <w:p w14:paraId="429F53A8" w14:textId="77777777" w:rsidR="00327FF1" w:rsidRDefault="00E406C7">
            <w:pPr>
              <w:pStyle w:val="P68B1DB1-Normal24"/>
              <w:jc w:val="center"/>
              <w:rPr>
                <w:rFonts w:hAnsi="Arial Narrow" w:hint="default"/>
                <w:noProof/>
                <w:szCs w:val="20"/>
              </w:rPr>
            </w:pPr>
            <w:r>
              <w:rPr>
                <w:noProof/>
              </w:rPr>
              <w:t>10</w:t>
            </w:r>
            <w:r>
              <w:rPr>
                <w:noProof/>
              </w:rPr>
              <w:t> </w:t>
            </w:r>
            <w:r>
              <w:rPr>
                <w:noProof/>
              </w:rPr>
              <w:t>217</w:t>
            </w:r>
          </w:p>
        </w:tc>
        <w:tc>
          <w:tcPr>
            <w:tcW w:w="793" w:type="dxa"/>
            <w:shd w:val="clear" w:color="auto" w:fill="C6EFCE"/>
            <w:noWrap/>
            <w:vAlign w:val="center"/>
          </w:tcPr>
          <w:p w14:paraId="75593330" w14:textId="77777777" w:rsidR="00327FF1" w:rsidRDefault="00E406C7">
            <w:pPr>
              <w:pStyle w:val="P68B1DB1-Normal11"/>
              <w:jc w:val="center"/>
              <w:rPr>
                <w:noProof/>
                <w:szCs w:val="20"/>
              </w:rPr>
            </w:pPr>
            <w:r>
              <w:rPr>
                <w:noProof/>
              </w:rPr>
              <w:t>2. CET.</w:t>
            </w:r>
          </w:p>
        </w:tc>
        <w:tc>
          <w:tcPr>
            <w:tcW w:w="625" w:type="dxa"/>
            <w:shd w:val="clear" w:color="auto" w:fill="C6EFCE"/>
            <w:noWrap/>
            <w:vAlign w:val="center"/>
          </w:tcPr>
          <w:p w14:paraId="7A0DAC80" w14:textId="77777777" w:rsidR="00327FF1" w:rsidRDefault="00E406C7">
            <w:pPr>
              <w:pStyle w:val="P68B1DB1-Normal11"/>
              <w:jc w:val="center"/>
              <w:rPr>
                <w:noProof/>
                <w:szCs w:val="20"/>
              </w:rPr>
            </w:pPr>
            <w:r>
              <w:rPr>
                <w:noProof/>
              </w:rPr>
              <w:t>2025</w:t>
            </w:r>
          </w:p>
        </w:tc>
        <w:tc>
          <w:tcPr>
            <w:tcW w:w="2584" w:type="dxa"/>
            <w:shd w:val="clear" w:color="auto" w:fill="C6EFCE"/>
            <w:noWrap/>
            <w:vAlign w:val="center"/>
          </w:tcPr>
          <w:p w14:paraId="799F9246" w14:textId="77777777" w:rsidR="00327FF1" w:rsidRDefault="00E406C7">
            <w:pPr>
              <w:pStyle w:val="P68B1DB1-Normal12"/>
              <w:spacing w:after="120"/>
              <w:rPr>
                <w:noProof/>
              </w:rPr>
            </w:pPr>
            <w:r>
              <w:rPr>
                <w:noProof/>
              </w:rPr>
              <w:t>Pēc 2021. gada 3. decembra elektronisko identifikāciju</w:t>
            </w:r>
            <w:r>
              <w:rPr>
                <w:noProof/>
              </w:rPr>
              <w:t xml:space="preserve"> (eID) ar publiskās digitālās identitātes sistēmas (SPID) starpniecību pieņēma 10217 vienības.</w:t>
            </w:r>
          </w:p>
        </w:tc>
      </w:tr>
      <w:tr w:rsidR="00327FF1" w14:paraId="66EF4704" w14:textId="77777777">
        <w:trPr>
          <w:trHeight w:val="309"/>
        </w:trPr>
        <w:tc>
          <w:tcPr>
            <w:tcW w:w="1087" w:type="dxa"/>
            <w:shd w:val="clear" w:color="auto" w:fill="C6EFCE"/>
            <w:noWrap/>
            <w:vAlign w:val="center"/>
          </w:tcPr>
          <w:p w14:paraId="39CB895B" w14:textId="77777777" w:rsidR="00327FF1" w:rsidRDefault="00E406C7">
            <w:pPr>
              <w:pStyle w:val="P68B1DB1-Normal11"/>
              <w:jc w:val="center"/>
              <w:rPr>
                <w:noProof/>
                <w:szCs w:val="20"/>
              </w:rPr>
            </w:pPr>
            <w:r>
              <w:rPr>
                <w:noProof/>
              </w:rPr>
              <w:t>M1C1–151</w:t>
            </w:r>
          </w:p>
        </w:tc>
        <w:tc>
          <w:tcPr>
            <w:tcW w:w="1943" w:type="dxa"/>
            <w:shd w:val="clear" w:color="auto" w:fill="C6EFCE"/>
            <w:noWrap/>
            <w:vAlign w:val="center"/>
          </w:tcPr>
          <w:p w14:paraId="506133CF" w14:textId="77777777" w:rsidR="00327FF1" w:rsidRDefault="00E406C7">
            <w:pPr>
              <w:pStyle w:val="P68B1DB1-Normal11"/>
              <w:jc w:val="center"/>
              <w:rPr>
                <w:noProof/>
                <w:szCs w:val="20"/>
              </w:rPr>
            </w:pPr>
            <w:r>
              <w:rPr>
                <w:noProof/>
              </w:rPr>
              <w:t>Investīcija 1.4.5. Publisko paziņojumu digitalizācija</w:t>
            </w:r>
          </w:p>
        </w:tc>
        <w:tc>
          <w:tcPr>
            <w:tcW w:w="992" w:type="dxa"/>
            <w:shd w:val="clear" w:color="auto" w:fill="C6EFCE"/>
            <w:noWrap/>
            <w:vAlign w:val="center"/>
          </w:tcPr>
          <w:p w14:paraId="3C0D7E8A"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6CBC5503" w14:textId="77777777" w:rsidR="00327FF1" w:rsidRDefault="00E406C7">
            <w:pPr>
              <w:pStyle w:val="P68B1DB1-Normal12"/>
              <w:jc w:val="center"/>
              <w:rPr>
                <w:noProof/>
              </w:rPr>
            </w:pPr>
            <w:r>
              <w:rPr>
                <w:noProof/>
              </w:rPr>
              <w:t>Digitālās paziņošanas platformas T2 pieņemšana</w:t>
            </w:r>
          </w:p>
        </w:tc>
        <w:tc>
          <w:tcPr>
            <w:tcW w:w="1701" w:type="dxa"/>
            <w:shd w:val="clear" w:color="auto" w:fill="C6EFCE"/>
            <w:noWrap/>
            <w:vAlign w:val="center"/>
          </w:tcPr>
          <w:p w14:paraId="10164EFA"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42E07C1A"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3905BC86" w14:textId="77777777" w:rsidR="00327FF1" w:rsidRDefault="00E406C7">
            <w:pPr>
              <w:pStyle w:val="P68B1DB1-Normal11"/>
              <w:jc w:val="center"/>
              <w:rPr>
                <w:noProof/>
                <w:szCs w:val="20"/>
              </w:rPr>
            </w:pPr>
            <w:r>
              <w:rPr>
                <w:noProof/>
              </w:rPr>
              <w:t>800</w:t>
            </w:r>
          </w:p>
        </w:tc>
        <w:tc>
          <w:tcPr>
            <w:tcW w:w="1417" w:type="dxa"/>
            <w:shd w:val="clear" w:color="auto" w:fill="C6EFCE"/>
            <w:noWrap/>
            <w:vAlign w:val="center"/>
          </w:tcPr>
          <w:p w14:paraId="2C1E3AAC" w14:textId="77777777" w:rsidR="00327FF1" w:rsidRDefault="00E406C7">
            <w:pPr>
              <w:pStyle w:val="P68B1DB1-Normal11"/>
              <w:jc w:val="center"/>
              <w:rPr>
                <w:noProof/>
                <w:szCs w:val="20"/>
              </w:rPr>
            </w:pPr>
            <w:r>
              <w:rPr>
                <w:noProof/>
              </w:rPr>
              <w:t>6 400</w:t>
            </w:r>
          </w:p>
        </w:tc>
        <w:tc>
          <w:tcPr>
            <w:tcW w:w="793" w:type="dxa"/>
            <w:shd w:val="clear" w:color="auto" w:fill="C6EFCE"/>
            <w:noWrap/>
            <w:vAlign w:val="center"/>
          </w:tcPr>
          <w:p w14:paraId="1EBD91BB" w14:textId="77777777" w:rsidR="00327FF1" w:rsidRDefault="00E406C7">
            <w:pPr>
              <w:pStyle w:val="P68B1DB1-Normal11"/>
              <w:jc w:val="center"/>
              <w:rPr>
                <w:noProof/>
                <w:szCs w:val="20"/>
              </w:rPr>
            </w:pPr>
            <w:r>
              <w:rPr>
                <w:noProof/>
              </w:rPr>
              <w:t>2. CET.</w:t>
            </w:r>
          </w:p>
        </w:tc>
        <w:tc>
          <w:tcPr>
            <w:tcW w:w="625" w:type="dxa"/>
            <w:shd w:val="clear" w:color="auto" w:fill="C6EFCE"/>
            <w:noWrap/>
            <w:vAlign w:val="center"/>
          </w:tcPr>
          <w:p w14:paraId="698C8414" w14:textId="77777777" w:rsidR="00327FF1" w:rsidRDefault="00E406C7">
            <w:pPr>
              <w:pStyle w:val="P68B1DB1-Normal11"/>
              <w:jc w:val="center"/>
              <w:rPr>
                <w:noProof/>
                <w:szCs w:val="20"/>
              </w:rPr>
            </w:pPr>
            <w:r>
              <w:rPr>
                <w:noProof/>
              </w:rPr>
              <w:t>2026</w:t>
            </w:r>
          </w:p>
        </w:tc>
        <w:tc>
          <w:tcPr>
            <w:tcW w:w="2584" w:type="dxa"/>
            <w:shd w:val="clear" w:color="auto" w:fill="C6EFCE"/>
            <w:noWrap/>
            <w:vAlign w:val="center"/>
          </w:tcPr>
          <w:p w14:paraId="4EB3E89A" w14:textId="77777777" w:rsidR="00327FF1" w:rsidRDefault="00E406C7">
            <w:pPr>
              <w:pStyle w:val="P68B1DB1-Normal12"/>
              <w:spacing w:after="120"/>
              <w:rPr>
                <w:noProof/>
              </w:rPr>
            </w:pPr>
            <w:r>
              <w:rPr>
                <w:noProof/>
              </w:rPr>
              <w:t>Vismaz 6400 publiskās pārvaldes iestādes izmanto Digitālās paziņošanas platformu (DNP), lai nosūtītu juridiski saistošus digitālos paziņojumus iedzīvotājiem, uzņēmumiem, apvienībām un citām struktūrām.</w:t>
            </w:r>
          </w:p>
        </w:tc>
      </w:tr>
      <w:tr w:rsidR="00327FF1" w14:paraId="4221523A" w14:textId="77777777">
        <w:trPr>
          <w:trHeight w:val="309"/>
        </w:trPr>
        <w:tc>
          <w:tcPr>
            <w:tcW w:w="1087" w:type="dxa"/>
            <w:shd w:val="clear" w:color="auto" w:fill="C6EFCE"/>
            <w:noWrap/>
            <w:vAlign w:val="center"/>
          </w:tcPr>
          <w:p w14:paraId="5FAB16ED" w14:textId="77777777" w:rsidR="00327FF1" w:rsidRDefault="00E406C7">
            <w:pPr>
              <w:pStyle w:val="P68B1DB1-Normal12"/>
              <w:jc w:val="center"/>
              <w:rPr>
                <w:noProof/>
              </w:rPr>
            </w:pPr>
            <w:r>
              <w:rPr>
                <w:noProof/>
              </w:rPr>
              <w:t>M1C1–155</w:t>
            </w:r>
          </w:p>
        </w:tc>
        <w:tc>
          <w:tcPr>
            <w:tcW w:w="1943" w:type="dxa"/>
            <w:shd w:val="clear" w:color="auto" w:fill="C6EFCE"/>
            <w:noWrap/>
            <w:vAlign w:val="center"/>
          </w:tcPr>
          <w:p w14:paraId="419B63BB" w14:textId="77777777" w:rsidR="00327FF1" w:rsidRDefault="00E406C7">
            <w:pPr>
              <w:pStyle w:val="P68B1DB1-Normal11"/>
              <w:jc w:val="center"/>
              <w:rPr>
                <w:noProof/>
                <w:szCs w:val="20"/>
              </w:rPr>
            </w:pPr>
            <w:r>
              <w:rPr>
                <w:noProof/>
              </w:rPr>
              <w:t xml:space="preserve">Investīcija — Valsts sociālā nodrošinājuma </w:t>
            </w:r>
            <w:r>
              <w:rPr>
                <w:noProof/>
              </w:rPr>
              <w:t>institūta (INPS) un Valsts apdrošināšanas pret nelaimes gadījumiem darbā (INAIL) digitalizācija</w:t>
            </w:r>
          </w:p>
        </w:tc>
        <w:tc>
          <w:tcPr>
            <w:tcW w:w="992" w:type="dxa"/>
            <w:shd w:val="clear" w:color="auto" w:fill="C6EFCE"/>
            <w:noWrap/>
            <w:vAlign w:val="center"/>
          </w:tcPr>
          <w:p w14:paraId="014DCA6A" w14:textId="77777777" w:rsidR="00327FF1" w:rsidRDefault="00E406C7">
            <w:pPr>
              <w:pStyle w:val="P68B1DB1-Normal11"/>
              <w:jc w:val="center"/>
              <w:rPr>
                <w:noProof/>
                <w:szCs w:val="20"/>
              </w:rPr>
            </w:pPr>
            <w:r>
              <w:rPr>
                <w:noProof/>
              </w:rPr>
              <w:t>Mērķa</w:t>
            </w:r>
          </w:p>
        </w:tc>
        <w:tc>
          <w:tcPr>
            <w:tcW w:w="2126" w:type="dxa"/>
            <w:shd w:val="clear" w:color="auto" w:fill="C6EFCE"/>
            <w:noWrap/>
            <w:vAlign w:val="center"/>
          </w:tcPr>
          <w:p w14:paraId="205AF0F1" w14:textId="77777777" w:rsidR="00327FF1" w:rsidRDefault="00E406C7">
            <w:pPr>
              <w:pStyle w:val="P68B1DB1-Normal11"/>
              <w:jc w:val="center"/>
              <w:rPr>
                <w:noProof/>
                <w:szCs w:val="20"/>
              </w:rPr>
            </w:pPr>
            <w:r>
              <w:rPr>
                <w:noProof/>
              </w:rPr>
              <w:t>INAIL — pārstrādāti un digitalizēti procesi/pakalpojumi T2</w:t>
            </w:r>
          </w:p>
        </w:tc>
        <w:tc>
          <w:tcPr>
            <w:tcW w:w="1701" w:type="dxa"/>
            <w:shd w:val="clear" w:color="auto" w:fill="C6EFCE"/>
            <w:noWrap/>
            <w:vAlign w:val="center"/>
          </w:tcPr>
          <w:p w14:paraId="5BDA1C60"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597F7783"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0A18BCA7" w14:textId="77777777" w:rsidR="00327FF1" w:rsidRDefault="00E406C7">
            <w:pPr>
              <w:pStyle w:val="P68B1DB1-Normal11"/>
              <w:jc w:val="center"/>
              <w:rPr>
                <w:noProof/>
                <w:szCs w:val="20"/>
              </w:rPr>
            </w:pPr>
            <w:r>
              <w:rPr>
                <w:noProof/>
              </w:rPr>
              <w:t>53</w:t>
            </w:r>
          </w:p>
        </w:tc>
        <w:tc>
          <w:tcPr>
            <w:tcW w:w="1417" w:type="dxa"/>
            <w:shd w:val="clear" w:color="auto" w:fill="C6EFCE"/>
            <w:noWrap/>
            <w:vAlign w:val="center"/>
          </w:tcPr>
          <w:p w14:paraId="720A00E5" w14:textId="77777777" w:rsidR="00327FF1" w:rsidRDefault="00E406C7">
            <w:pPr>
              <w:pStyle w:val="P68B1DB1-Normal11"/>
              <w:jc w:val="center"/>
              <w:rPr>
                <w:noProof/>
                <w:szCs w:val="20"/>
              </w:rPr>
            </w:pPr>
            <w:r>
              <w:rPr>
                <w:noProof/>
              </w:rPr>
              <w:t>82</w:t>
            </w:r>
          </w:p>
        </w:tc>
        <w:tc>
          <w:tcPr>
            <w:tcW w:w="793" w:type="dxa"/>
            <w:shd w:val="clear" w:color="auto" w:fill="C6EFCE"/>
            <w:noWrap/>
            <w:vAlign w:val="center"/>
          </w:tcPr>
          <w:p w14:paraId="04D1542C" w14:textId="77777777" w:rsidR="00327FF1" w:rsidRDefault="00E406C7">
            <w:pPr>
              <w:pStyle w:val="P68B1DB1-Normal11"/>
              <w:jc w:val="center"/>
              <w:rPr>
                <w:noProof/>
                <w:szCs w:val="20"/>
              </w:rPr>
            </w:pPr>
            <w:r>
              <w:rPr>
                <w:noProof/>
              </w:rPr>
              <w:t>2. CET.</w:t>
            </w:r>
          </w:p>
        </w:tc>
        <w:tc>
          <w:tcPr>
            <w:tcW w:w="625" w:type="dxa"/>
            <w:shd w:val="clear" w:color="auto" w:fill="C6EFCE"/>
            <w:noWrap/>
            <w:vAlign w:val="center"/>
          </w:tcPr>
          <w:p w14:paraId="6D96BC93" w14:textId="77777777" w:rsidR="00327FF1" w:rsidRDefault="00E406C7">
            <w:pPr>
              <w:pStyle w:val="P68B1DB1-Normal11"/>
              <w:jc w:val="center"/>
              <w:rPr>
                <w:noProof/>
                <w:szCs w:val="20"/>
              </w:rPr>
            </w:pPr>
            <w:r>
              <w:rPr>
                <w:noProof/>
              </w:rPr>
              <w:t>2026</w:t>
            </w:r>
          </w:p>
        </w:tc>
        <w:tc>
          <w:tcPr>
            <w:tcW w:w="2584" w:type="dxa"/>
            <w:shd w:val="clear" w:color="auto" w:fill="C6EFCE"/>
            <w:noWrap/>
            <w:vAlign w:val="center"/>
          </w:tcPr>
          <w:p w14:paraId="4ACD5421" w14:textId="77777777" w:rsidR="00327FF1" w:rsidRDefault="00E406C7">
            <w:pPr>
              <w:pStyle w:val="P68B1DB1-Normal12"/>
              <w:spacing w:after="120"/>
              <w:rPr>
                <w:noProof/>
              </w:rPr>
            </w:pPr>
            <w:r>
              <w:rPr>
                <w:noProof/>
              </w:rPr>
              <w:t>82 procesi vai pakalpojumi tiek pārveidoti un digitalizēti.</w:t>
            </w:r>
            <w:r>
              <w:rPr>
                <w:noProof/>
              </w:rPr>
              <w:t xml:space="preserve"> Iesaistītās INAIL jomas ir šādas: Apdrošināšana, sociālie un veselības aprūpes pakalpojumi, profilakses un drošības darbs, sertifikācija un pārbaudes.</w:t>
            </w:r>
          </w:p>
        </w:tc>
      </w:tr>
    </w:tbl>
    <w:p w14:paraId="135C458D" w14:textId="77777777" w:rsidR="00327FF1" w:rsidRDefault="00327FF1">
      <w:pPr>
        <w:pStyle w:val="Heading2"/>
        <w:rPr>
          <w:noProof/>
        </w:rPr>
      </w:pPr>
    </w:p>
    <w:p w14:paraId="471A4B70" w14:textId="77777777" w:rsidR="00327FF1" w:rsidRDefault="00327FF1">
      <w:pPr>
        <w:rPr>
          <w:rFonts w:ascii="Times New Roman" w:eastAsia="Times New Roman" w:hAnsi="Times New Roman" w:cs="Times New Roman"/>
          <w:b/>
          <w:bCs/>
          <w:noProof/>
        </w:rPr>
        <w:sectPr w:rsidR="00327FF1" w:rsidSect="000A4766">
          <w:headerReference w:type="default" r:id="rId38"/>
          <w:footerReference w:type="default" r:id="rId39"/>
          <w:pgSz w:w="16838" w:h="11906" w:orient="landscape"/>
          <w:pgMar w:top="1440" w:right="1440" w:bottom="1440" w:left="1440" w:header="708" w:footer="708" w:gutter="0"/>
          <w:cols w:space="708"/>
          <w:docGrid w:linePitch="360"/>
        </w:sectPr>
      </w:pPr>
    </w:p>
    <w:p w14:paraId="426A21A3" w14:textId="5E2EF6D7" w:rsidR="00327FF1" w:rsidRDefault="00E406C7">
      <w:pPr>
        <w:pStyle w:val="P68B1DB1-Heading23"/>
        <w:numPr>
          <w:ilvl w:val="0"/>
          <w:numId w:val="68"/>
        </w:numPr>
        <w:spacing w:line="279" w:lineRule="auto"/>
        <w:rPr>
          <w:bCs/>
          <w:noProof/>
        </w:rPr>
      </w:pPr>
      <w:r>
        <w:rPr>
          <w:noProof/>
        </w:rPr>
        <w:t>MISIJAS 2. KOMPONENTS:</w:t>
      </w:r>
    </w:p>
    <w:p w14:paraId="7C99537C" w14:textId="77777777" w:rsidR="00327FF1" w:rsidRDefault="00E406C7">
      <w:pPr>
        <w:pStyle w:val="P68B1DB1-Normal25"/>
        <w:spacing w:before="120" w:after="120"/>
        <w:jc w:val="both"/>
        <w:rPr>
          <w:bCs/>
          <w:noProof/>
        </w:rPr>
      </w:pPr>
      <w:r>
        <w:rPr>
          <w:noProof/>
        </w:rPr>
        <w:t xml:space="preserve">Ass — Ražošanas sistēmas </w:t>
      </w:r>
      <w:r>
        <w:rPr>
          <w:noProof/>
        </w:rPr>
        <w:t>digitalizācija, inovācija un konkurētspēja</w:t>
      </w:r>
    </w:p>
    <w:p w14:paraId="2124C41E" w14:textId="77777777" w:rsidR="00327FF1" w:rsidRDefault="00E406C7">
      <w:pPr>
        <w:pStyle w:val="P68B1DB1-Normal7"/>
        <w:spacing w:before="120" w:after="120"/>
        <w:jc w:val="both"/>
        <w:rPr>
          <w:noProof/>
        </w:rPr>
      </w:pPr>
      <w:r>
        <w:rPr>
          <w:noProof/>
        </w:rPr>
        <w:t>Itālijas atveseļošanas un noturības plāna 1. misijas 2. komponenta 1. ass attiecas uz investīcijām un reformām, kuru galvenais mērķis ir i) atbalstīt digitālo pārkārtošanos un ražošanas sistēmas inovāciju, stimulē</w:t>
      </w:r>
      <w:r>
        <w:rPr>
          <w:noProof/>
        </w:rPr>
        <w:t>jot investīcijas tehnoloģijās, pētniecībā, izstrādē un inovācijā; II) īpaši ātrdarbīgu platjoslas un 5G tīklu izvēršana, lai mazinātu digitālo plaisu, kā arī satelītu konstelācijas un pakalpojumi; III) veicināt stratēģisku vērtības ķēžu attīstību un atbals</w:t>
      </w:r>
      <w:r>
        <w:rPr>
          <w:noProof/>
        </w:rPr>
        <w:t>tīt uzņēmumu konkurētspēju, īpašu uzmanību pievēršot MVU.</w:t>
      </w:r>
    </w:p>
    <w:p w14:paraId="1A848758" w14:textId="77777777" w:rsidR="00327FF1" w:rsidRDefault="00E406C7">
      <w:pPr>
        <w:pStyle w:val="P68B1DB1-Normal7"/>
        <w:spacing w:before="120" w:after="120"/>
        <w:jc w:val="both"/>
        <w:rPr>
          <w:noProof/>
        </w:rPr>
      </w:pPr>
      <w:r>
        <w:rPr>
          <w:noProof/>
        </w:rPr>
        <w:t xml:space="preserve">Šā komponenta pasākumu mērķis ir novērst nepilnības, kas izriet no 2020. gada Digitālās ekonomikas un sabiedrības indeksa (DESI) attiecībā uz uzņēmumu digitālo pārveidi un savienojamības trūkumiem, </w:t>
      </w:r>
      <w:r>
        <w:rPr>
          <w:noProof/>
        </w:rPr>
        <w:t>lai stiprinātu valsts sociālo un ekonomisko noturību.</w:t>
      </w:r>
    </w:p>
    <w:p w14:paraId="694909A4" w14:textId="77777777" w:rsidR="00327FF1" w:rsidRDefault="00E406C7">
      <w:pPr>
        <w:pStyle w:val="P68B1DB1-Normal7"/>
        <w:spacing w:before="120" w:after="120"/>
        <w:jc w:val="both"/>
        <w:rPr>
          <w:noProof/>
        </w:rPr>
      </w:pPr>
      <w:r>
        <w:rPr>
          <w:noProof/>
        </w:rPr>
        <w:t>Investīcijas un reformas saskaņā ar šo komponentu palīdz īstenot Itālijai 2020. un 2019. gadā adresētos ieteikumus par nepieciešamību “stiprināt tālmācību un prasmes, tostarp digitālās prasmes” (2020. g</w:t>
      </w:r>
      <w:r>
        <w:rPr>
          <w:noProof/>
        </w:rPr>
        <w:t>ada konkrētai valstij adresētais ieteikums Nr. 2), “veicināt privātās investīcijas ekonomikas atveseļošanas veicināšanai” (2020. gada konkrētai valstij adresētais ieteikums Nr. 3) un “koncentrēt investīcijas uz zaļo un digitālo pārkārtošanos, jo īpaši uz [</w:t>
      </w:r>
      <w:r>
        <w:rPr>
          <w:noProof/>
        </w:rPr>
        <w:t>...] pastiprinātu digitālo infrastruktūru, lai nodrošinātu pamatpakalpojumu sniegšanu” (3. konkrētai valstij adresētais ieteikums), 2020), “veicināt prasmju pilnveidi, tostarp stiprinot digitālās prasmes (2019. gada konkrētai valstij adresētais ieteikums N</w:t>
      </w:r>
      <w:r>
        <w:rPr>
          <w:noProof/>
        </w:rPr>
        <w:t>r. 2)), “ar ieguldījumiem saistīto ekonomikas politiku koncentrēt uz pētniecību un inovāciju un infrastruktūras kvalitāti, ņemot vērā arī reģionālās atšķirības” (2019. gada konkrētai valstij adresētais ieteikums Nr. 3) un zināmā mērā “atbalstīt nebanku pie</w:t>
      </w:r>
      <w:r>
        <w:rPr>
          <w:noProof/>
        </w:rPr>
        <w:t xml:space="preserve">kļuvi finansējumam inovatīviem un mazākiem uzņēmumiem” (2019. gada konkrētai valstij adresētais ieteikums Nr. 5). </w:t>
      </w:r>
    </w:p>
    <w:p w14:paraId="3203CE24" w14:textId="77777777" w:rsidR="00327FF1" w:rsidRDefault="00E406C7">
      <w:pPr>
        <w:pStyle w:val="P68B1DB1-Normal7"/>
        <w:spacing w:before="120" w:after="120"/>
        <w:jc w:val="both"/>
        <w:rPr>
          <w:noProof/>
        </w:rPr>
      </w:pPr>
      <w:r>
        <w:rPr>
          <w:noProof/>
        </w:rPr>
        <w:t>Paredzams, ka neviens pasākums šajā komponentā nenodarīs būtisku kaitējumu vides mērķiem Regulas (ES) 2020/852 17. panta nozīmē, ņemot vērā p</w:t>
      </w:r>
      <w:r>
        <w:rPr>
          <w:noProof/>
        </w:rPr>
        <w:t>asākumu aprakstu un mazināšanas pasākumus, kas izklāstīti atveseļošanas un noturības plānā saskaņā ar Tehniskajiem norādījumiem “nenodari būtisku kaitējumu” (2021/C58/01).</w:t>
      </w:r>
    </w:p>
    <w:p w14:paraId="570814B1" w14:textId="77777777" w:rsidR="00327FF1" w:rsidRDefault="00E406C7">
      <w:pPr>
        <w:pStyle w:val="P68B1DB1-Normal25"/>
        <w:spacing w:before="120" w:after="120"/>
        <w:jc w:val="both"/>
        <w:rPr>
          <w:bCs/>
          <w:noProof/>
        </w:rPr>
      </w:pPr>
      <w:r>
        <w:rPr>
          <w:noProof/>
        </w:rPr>
        <w:t>Virziens — Uzņēmējdarbības vides un konkurences uzlabošana</w:t>
      </w:r>
    </w:p>
    <w:p w14:paraId="6C0EAD6E" w14:textId="77777777" w:rsidR="00327FF1" w:rsidRDefault="00E406C7">
      <w:pPr>
        <w:pStyle w:val="P68B1DB1-Normal7"/>
        <w:spacing w:before="120" w:after="120"/>
        <w:jc w:val="both"/>
        <w:rPr>
          <w:noProof/>
        </w:rPr>
      </w:pPr>
      <w:r>
        <w:rPr>
          <w:noProof/>
        </w:rPr>
        <w:t xml:space="preserve">Misijas 2. komponenta 2. </w:t>
      </w:r>
      <w:r>
        <w:rPr>
          <w:noProof/>
        </w:rPr>
        <w:t>ass galvenais mērķis ir uzlabot uzņēmējdarbības vidi, lai veicinātu uzņēmējdarbību, un konkurences pamatnosacījumus, lai veicinātu resursu efektīvāku sadali un produktivitātes pieaugumu. Galvenais instruments šo mērķu sasniegšanai ir Gada konkurences likum</w:t>
      </w:r>
      <w:r>
        <w:rPr>
          <w:noProof/>
        </w:rPr>
        <w:t xml:space="preserve">s, kas jāpieņem katru gadu. </w:t>
      </w:r>
    </w:p>
    <w:p w14:paraId="0A203AB8" w14:textId="77777777" w:rsidR="00327FF1" w:rsidRDefault="00E406C7">
      <w:pPr>
        <w:pStyle w:val="P68B1DB1-Normal7"/>
        <w:spacing w:before="120" w:after="120"/>
        <w:jc w:val="both"/>
        <w:rPr>
          <w:noProof/>
        </w:rPr>
      </w:pPr>
      <w:r>
        <w:rPr>
          <w:noProof/>
        </w:rPr>
        <w:t>Investīcijas un reformas saskaņā ar šo komponentu palīdz īstenot Itālijai 2019. gadā adresētos ieteikumus par nepieciešamību “risināt konkurences ierobežojumus [...], tostarp izmantojot jaunu ikgadējo konkurences likumu” (2019.</w:t>
      </w:r>
      <w:r>
        <w:rPr>
          <w:noProof/>
        </w:rPr>
        <w:t xml:space="preserve"> gada konkrētai valstij adresētais ieteikums Nr. 3).</w:t>
      </w:r>
    </w:p>
    <w:p w14:paraId="11794BBC" w14:textId="77777777" w:rsidR="00327FF1" w:rsidRDefault="00E406C7">
      <w:pPr>
        <w:pStyle w:val="P68B1DB1-Heading39"/>
        <w:numPr>
          <w:ilvl w:val="2"/>
          <w:numId w:val="0"/>
        </w:numPr>
        <w:ind w:left="850" w:hanging="850"/>
        <w:rPr>
          <w:b/>
          <w:bCs/>
          <w:i/>
          <w:iCs/>
          <w:noProof/>
          <w:u w:val="single"/>
        </w:rPr>
      </w:pPr>
      <w:r>
        <w:rPr>
          <w:b/>
          <w:noProof/>
          <w:u w:val="single"/>
        </w:rPr>
        <w:t xml:space="preserve">B.1. </w:t>
      </w:r>
      <w:r>
        <w:rPr>
          <w:noProof/>
        </w:rPr>
        <w:t xml:space="preserve"> </w:t>
      </w:r>
      <w:r>
        <w:rPr>
          <w:b/>
          <w:noProof/>
          <w:u w:val="single"/>
        </w:rPr>
        <w:t>Reformu un investīciju apraksts neatmaksājamam finansiālajam atbalstam</w:t>
      </w:r>
    </w:p>
    <w:p w14:paraId="755B292F" w14:textId="77777777" w:rsidR="00327FF1" w:rsidRDefault="00E406C7">
      <w:pPr>
        <w:pStyle w:val="P68B1DB1-Normal26"/>
        <w:spacing w:before="120" w:after="120"/>
        <w:jc w:val="both"/>
        <w:rPr>
          <w:iCs/>
          <w:noProof/>
          <w:color w:val="156082" w:themeColor="accent1"/>
        </w:rPr>
      </w:pPr>
      <w:r>
        <w:rPr>
          <w:noProof/>
        </w:rPr>
        <w:t xml:space="preserve">Ass. </w:t>
      </w:r>
      <w:r>
        <w:rPr>
          <w:noProof/>
          <w:u w:val="single"/>
        </w:rPr>
        <w:t>Ražošanas sistēmas digitalizācija, inovācija un konkurētspēja</w:t>
      </w:r>
    </w:p>
    <w:p w14:paraId="4547F1A0" w14:textId="77777777" w:rsidR="00327FF1" w:rsidRDefault="00E406C7">
      <w:pPr>
        <w:pStyle w:val="P68B1DB1-Normal5"/>
        <w:spacing w:before="120" w:after="120"/>
        <w:jc w:val="both"/>
        <w:rPr>
          <w:bCs/>
          <w:i/>
          <w:iCs/>
          <w:noProof/>
        </w:rPr>
      </w:pPr>
      <w:r>
        <w:rPr>
          <w:noProof/>
        </w:rPr>
        <w:t>Ieguldījums: Pāreja 4.0</w:t>
      </w:r>
    </w:p>
    <w:p w14:paraId="740D6336" w14:textId="77777777" w:rsidR="00327FF1" w:rsidRDefault="00E406C7">
      <w:pPr>
        <w:pStyle w:val="P68B1DB1-Normal7"/>
        <w:jc w:val="both"/>
        <w:rPr>
          <w:b/>
          <w:noProof/>
        </w:rPr>
      </w:pPr>
      <w:r>
        <w:rPr>
          <w:noProof/>
        </w:rPr>
        <w:t>Pasākuma mērķis ir atbalstīt uzņēmu</w:t>
      </w:r>
      <w:r>
        <w:rPr>
          <w:noProof/>
        </w:rPr>
        <w:t xml:space="preserve">mu digitālo pārveidi, stimulējot privātās investīcijas aktīvos un darbībās, kas atbalsta digitalizāciju. Pasākums sastāv no nodokļu kredīta shēmas. </w:t>
      </w:r>
      <w:r>
        <w:rPr>
          <w:noProof/>
        </w:rPr>
        <w:br w:type="page"/>
      </w:r>
    </w:p>
    <w:p w14:paraId="40A3F186" w14:textId="77777777" w:rsidR="00327FF1" w:rsidRDefault="00E406C7">
      <w:pPr>
        <w:pStyle w:val="P68B1DB1-Normal5"/>
        <w:spacing w:before="120" w:after="120"/>
        <w:jc w:val="both"/>
        <w:rPr>
          <w:bCs/>
          <w:noProof/>
        </w:rPr>
      </w:pPr>
      <w:r>
        <w:rPr>
          <w:noProof/>
        </w:rPr>
        <w:t xml:space="preserve">Reforma: Rūpnieciskā īpašuma sistēmas reforma </w:t>
      </w:r>
    </w:p>
    <w:p w14:paraId="6C757286" w14:textId="77777777" w:rsidR="00327FF1" w:rsidRDefault="00E406C7">
      <w:pPr>
        <w:pStyle w:val="P68B1DB1-Normal27"/>
        <w:spacing w:before="120" w:after="120"/>
        <w:jc w:val="both"/>
        <w:rPr>
          <w:noProof/>
        </w:rPr>
      </w:pPr>
      <w:r>
        <w:rPr>
          <w:noProof/>
        </w:rPr>
        <w:t>Reformas galvenais mērķis ir pielāgot rūpnieciskā īpašuma s</w:t>
      </w:r>
      <w:r>
        <w:rPr>
          <w:noProof/>
        </w:rPr>
        <w:t>istēmu mūsdienu izaicinājumiem un nodrošināt, ka inovācijas potenciāls veicina valsts atveseļošanu un noturību. Konkrētāk, tās mērķis ir sasniegt šādus mērķus: rūpnieciskā īpašuma aizsardzības sistēmas uzlabošana; veicināt rūpnieciskā īpašuma izmantošanu u</w:t>
      </w:r>
      <w:r>
        <w:rPr>
          <w:noProof/>
        </w:rPr>
        <w:t>n izplatīšanu, jo īpaši MVU; atvieglot piekļuvi nemateriālajiem aktīviem un to koplietošanu, vienlaikus nodrošinot taisnīgu peļņu no ieguldījumiem; rūpīgākas rūpnieciskā īpašuma ievērošanas nodrošināšana; un Itālijas lomas stiprināšana Eiropas un starptaut</w:t>
      </w:r>
      <w:r>
        <w:rPr>
          <w:noProof/>
        </w:rPr>
        <w:t>iskajos forumos par rūpniecisko īpašumu.</w:t>
      </w:r>
    </w:p>
    <w:p w14:paraId="70B77E81" w14:textId="77777777" w:rsidR="00327FF1" w:rsidRDefault="00E406C7">
      <w:pPr>
        <w:pStyle w:val="P68B1DB1-Normal27"/>
        <w:spacing w:before="120" w:after="120"/>
        <w:jc w:val="both"/>
        <w:rPr>
          <w:noProof/>
        </w:rPr>
      </w:pPr>
      <w:r>
        <w:rPr>
          <w:noProof/>
        </w:rPr>
        <w:t xml:space="preserve">Pasākums attiecas uz Itālijas rūpnieciskā īpašuma kodeksa reformu, kas aptver vismaz šādas jomas: pārskatīt tiesisko regulējumu, lai stiprinātu rūpnieciskā īpašuma tiesību aizsardzību un vienkāršotu procedūras, ii) </w:t>
      </w:r>
      <w:r>
        <w:rPr>
          <w:noProof/>
        </w:rPr>
        <w:t xml:space="preserve">stiprināt atbalstu uzņēmumiem un pētniecības iestādēm, iii) uzlabot prasmju un kompetenču attīstību, iv) atvieglot zināšanu nodošanu un v) stiprināt inovatīvu pakalpojumu veicināšanu. </w:t>
      </w:r>
    </w:p>
    <w:p w14:paraId="4A7D1692" w14:textId="77777777" w:rsidR="00327FF1" w:rsidRDefault="00E406C7">
      <w:pPr>
        <w:pStyle w:val="P68B1DB1-Normal5"/>
        <w:spacing w:before="120" w:after="120"/>
        <w:jc w:val="both"/>
        <w:rPr>
          <w:bCs/>
          <w:noProof/>
        </w:rPr>
      </w:pPr>
      <w:r>
        <w:rPr>
          <w:noProof/>
        </w:rPr>
        <w:t>Investīcija Nr. 6: Ieguldījumi rūpnieciskā īpašuma sistēmā</w:t>
      </w:r>
    </w:p>
    <w:p w14:paraId="3BD7B4AF" w14:textId="77777777" w:rsidR="00327FF1" w:rsidRDefault="00E406C7">
      <w:pPr>
        <w:pStyle w:val="P68B1DB1-Normal27"/>
        <w:spacing w:before="120" w:after="120"/>
        <w:jc w:val="both"/>
        <w:rPr>
          <w:noProof/>
        </w:rPr>
      </w:pPr>
      <w:r>
        <w:rPr>
          <w:noProof/>
        </w:rPr>
        <w:t>Investīcijas</w:t>
      </w:r>
      <w:r>
        <w:rPr>
          <w:noProof/>
        </w:rPr>
        <w:t xml:space="preserve"> mērķis ir atbalstīt rūpnieciskā īpašuma sistēmu un atbalstīt tās reformu, kā paredzēts šā komponenta 1. reformā. Pasākums ietver finansiālu atbalstu ar rūpniecisko īpašumu saistītiem uzņēmumu un pētniecības struktūru projektiem, piemēram, ar patentiem sai</w:t>
      </w:r>
      <w:r>
        <w:rPr>
          <w:noProof/>
        </w:rPr>
        <w:t xml:space="preserve">stītiem pasākumiem (Brevetti+), koncepcijas pamatojuma (POC) programmām un tehnoloģiju nodošanas biroju (TTO) stiprināšanai. </w:t>
      </w:r>
    </w:p>
    <w:p w14:paraId="5D3B68A7" w14:textId="77777777" w:rsidR="00327FF1" w:rsidRDefault="00E406C7">
      <w:pPr>
        <w:pStyle w:val="P68B1DB1-Normal28"/>
        <w:spacing w:before="120" w:after="120"/>
        <w:jc w:val="both"/>
        <w:rPr>
          <w:iCs/>
          <w:noProof/>
        </w:rPr>
      </w:pPr>
      <w:r>
        <w:rPr>
          <w:noProof/>
        </w:rPr>
        <w:t>Virziens — Uzņēmējdarbības vides un konkurences uzlabošana</w:t>
      </w:r>
    </w:p>
    <w:p w14:paraId="4B2AA8A8" w14:textId="77777777" w:rsidR="00327FF1" w:rsidRDefault="00327FF1">
      <w:pPr>
        <w:pStyle w:val="ListParagraph"/>
        <w:rPr>
          <w:b/>
          <w:noProof/>
        </w:rPr>
      </w:pPr>
    </w:p>
    <w:p w14:paraId="3E9514A4" w14:textId="77777777" w:rsidR="00327FF1" w:rsidRDefault="00E406C7">
      <w:pPr>
        <w:pStyle w:val="P68B1DB1-Normal29"/>
        <w:spacing w:before="120" w:after="120"/>
        <w:jc w:val="both"/>
        <w:rPr>
          <w:noProof/>
        </w:rPr>
      </w:pPr>
      <w:r>
        <w:rPr>
          <w:noProof/>
        </w:rPr>
        <w:t xml:space="preserve">Reforma. Ikgadējie konkurences likumi 2022., 2023., 2024. un 2025. </w:t>
      </w:r>
      <w:r>
        <w:rPr>
          <w:noProof/>
        </w:rPr>
        <w:t>gadam</w:t>
      </w:r>
    </w:p>
    <w:p w14:paraId="2366B68C" w14:textId="4E2FE26C" w:rsidR="00327FF1" w:rsidRDefault="00E406C7">
      <w:pPr>
        <w:pStyle w:val="P68B1DB1-Normal7"/>
        <w:spacing w:before="120" w:after="120"/>
        <w:jc w:val="both"/>
        <w:rPr>
          <w:noProof/>
        </w:rPr>
      </w:pPr>
      <w:r>
        <w:rPr>
          <w:noProof/>
        </w:rPr>
        <w:t>Konkurences likumu pieņem katru gadu, palielinot konkursa procedūras, lai piešķirtu sabiedrisko pakalpojumu līgumus par vietējiem sabiedriskajiem pakalpojumiem (tostarp ūdensapgādes, atkritumu un vietējā sabiedriskā transporta pakalpojumiem), izvairo</w:t>
      </w:r>
      <w:r>
        <w:rPr>
          <w:noProof/>
        </w:rPr>
        <w:t>ties no nepamatotas koncesiju pagarināšanas vēsturiskajiem operatoriem daudzās nozarēs, tostarp ostās, automaģistrāļu, hidroenerģijas un reģionālā transporta nozarē, paredzot pienācīgu regulējumu sabiedrisko pakalpojumu līgumiem, ar kuriem pārskata agregēš</w:t>
      </w:r>
      <w:r>
        <w:rPr>
          <w:noProof/>
        </w:rPr>
        <w:t>anas noteikumus un piemēro vispārējo proporcionalitātes principu attiecībā uz sabiedrisko pakalpojumu līgumu ilgumu un pienācīgu kompensāciju. Konkurences tiesību akti atbalsta konkurenci un uzlabo reģionālā transporta pakalpojumu pārvaldības un kvalitātes</w:t>
      </w:r>
      <w:r>
        <w:rPr>
          <w:noProof/>
        </w:rPr>
        <w:t xml:space="preserve"> efektivitāti, kā arī palielina stimulus reģioniem izsludināt sabiedrisko pakalpojumu līgumus par reģionālajiem dzelzceļa pakalpojumiem. </w:t>
      </w:r>
    </w:p>
    <w:p w14:paraId="3675DDB8" w14:textId="77777777" w:rsidR="00327FF1" w:rsidRDefault="00E406C7">
      <w:pPr>
        <w:pStyle w:val="P68B1DB1-Normal7"/>
        <w:spacing w:before="120" w:after="120"/>
        <w:jc w:val="both"/>
        <w:rPr>
          <w:noProof/>
        </w:rPr>
      </w:pPr>
      <w:r>
        <w:rPr>
          <w:noProof/>
        </w:rPr>
        <w:t>Ikgadējie konkurences tiesību akti ietver konkurenci veicinošus nozaru pasākumus vairākās jomās, tostarp enerģētikas (</w:t>
      </w:r>
      <w:r>
        <w:rPr>
          <w:noProof/>
        </w:rPr>
        <w:t>elektroenerģija, gāze un ūdens), atkritumu apsaimniekošana, transports (ostas, dzelzceļš un automaģistrāles) un veselības aprūpe, kas papildina investīcijas un reformas saskaņā ar 2., 3. un 6. misiju. Papildu pasākumi, kuru mērķis ir nodrošināt konkurences</w:t>
      </w:r>
      <w:r>
        <w:rPr>
          <w:noProof/>
        </w:rPr>
        <w:t xml:space="preserve"> ieviešanu elektroenerģijas mazumtirdzniecības tirgos, stājas spēkā ne vēlāk kā 2022.</w:t>
      </w:r>
      <w:r>
        <w:rPr>
          <w:noProof/>
          <w:vertAlign w:val="superscript"/>
        </w:rPr>
        <w:t>gada</w:t>
      </w:r>
      <w:r>
        <w:rPr>
          <w:noProof/>
        </w:rPr>
        <w:t xml:space="preserve"> 31. decembrī. Ar 2022. gada Konkurences likumu jo īpaši pieņem Elektroenerģijas tīkla attīstības plānu un veicina 2. paaudzes</w:t>
      </w:r>
      <w:r>
        <w:rPr>
          <w:noProof/>
          <w:vertAlign w:val="superscript"/>
        </w:rPr>
        <w:t>viedo</w:t>
      </w:r>
      <w:r>
        <w:rPr>
          <w:noProof/>
        </w:rPr>
        <w:t xml:space="preserve"> elektroenerģijas skaitītāju ievieša</w:t>
      </w:r>
      <w:r>
        <w:rPr>
          <w:noProof/>
        </w:rPr>
        <w:t>nu, kas līdz 2025. gada 31.</w:t>
      </w:r>
      <w:r>
        <w:rPr>
          <w:noProof/>
          <w:vertAlign w:val="superscript"/>
        </w:rPr>
        <w:t>decembrim</w:t>
      </w:r>
      <w:r>
        <w:rPr>
          <w:noProof/>
        </w:rPr>
        <w:t xml:space="preserve"> visā Itālijā sasniegs 33 miljonus vienību. Attiecībā uz elektrouzlādes stacijām ievieš arī konkurenci veicinošus pasākumus.</w:t>
      </w:r>
    </w:p>
    <w:p w14:paraId="62C7B2E9" w14:textId="77777777" w:rsidR="00327FF1" w:rsidRDefault="00E406C7">
      <w:pPr>
        <w:pStyle w:val="P68B1DB1-Normal7"/>
        <w:jc w:val="both"/>
        <w:rPr>
          <w:noProof/>
        </w:rPr>
      </w:pPr>
      <w:r>
        <w:rPr>
          <w:noProof/>
        </w:rPr>
        <w:t>Turklāt likumi veicina uzņēmējdarbības vides uzlabošanu, vismaz: apvienošanās kontroles noteiku</w:t>
      </w:r>
      <w:r>
        <w:rPr>
          <w:noProof/>
        </w:rPr>
        <w:t>mu saskaņošana ar ES tiesību aktiem, ii) tirgus uzraudzības iestāžu konsolidācija, digitalizācija un profesionalizācija; iii) reforma, kuras mērķis ir vienkāršot un atvieglot jaunuzņēmumu un riska kapitāla darbību izveidi, kā arī veicināt valsts stratēģiju</w:t>
      </w:r>
      <w:r>
        <w:rPr>
          <w:noProof/>
        </w:rPr>
        <w:t xml:space="preserve"> tehnoloģiju nodošanai; iv) akreditācijas laika samazināšana informācijas sniegšanai par darbiniekiem no septiņām uz četrām dienām, lai samazinātu dienu skaitu uzņēmuma izveidei.</w:t>
      </w:r>
    </w:p>
    <w:p w14:paraId="430098A4" w14:textId="77777777" w:rsidR="00327FF1" w:rsidRDefault="00E406C7">
      <w:pPr>
        <w:pStyle w:val="P68B1DB1-Normal7"/>
        <w:rPr>
          <w:b/>
          <w:noProof/>
        </w:rPr>
      </w:pPr>
      <w:r>
        <w:rPr>
          <w:noProof/>
        </w:rPr>
        <w:br w:type="page"/>
      </w:r>
    </w:p>
    <w:p w14:paraId="4339E884" w14:textId="4A1C83FF" w:rsidR="00327FF1" w:rsidRDefault="00E406C7">
      <w:pPr>
        <w:pStyle w:val="P68B1DB1-Normal5"/>
        <w:rPr>
          <w:bCs/>
          <w:noProof/>
        </w:rPr>
      </w:pPr>
      <w:r>
        <w:rPr>
          <w:noProof/>
        </w:rPr>
        <w:t xml:space="preserve">Reforma. Uzņēmumu stimulu racionalizācija un vienkāršošana. </w:t>
      </w:r>
    </w:p>
    <w:p w14:paraId="22DD309F" w14:textId="78B92E7A" w:rsidR="00327FF1" w:rsidRDefault="00E406C7">
      <w:pPr>
        <w:pStyle w:val="P68B1DB1-Normal7"/>
        <w:spacing w:before="120" w:after="120" w:line="278" w:lineRule="auto"/>
        <w:jc w:val="both"/>
        <w:rPr>
          <w:rFonts w:eastAsia="Times New Roman"/>
          <w:noProof/>
        </w:rPr>
      </w:pPr>
      <w:r>
        <w:rPr>
          <w:noProof/>
        </w:rPr>
        <w:t>Reformas mērķi</w:t>
      </w:r>
      <w:r>
        <w:rPr>
          <w:noProof/>
        </w:rPr>
        <w:t xml:space="preserve">s ir pārskatīt, vienkāršot un racionalizēt valsts stimulu sistēmu uzņēmumiem. Reforma ietver tiesību aktu ieviešanu, kā arī a) RNS (Valsts atbalsta valsts reģistrs) un b) </w:t>
      </w:r>
      <w:r>
        <w:rPr>
          <w:i/>
          <w:noProof/>
        </w:rPr>
        <w:t>platformas</w:t>
      </w:r>
      <w:r>
        <w:rPr>
          <w:noProof/>
        </w:rPr>
        <w:t xml:space="preserve"> incentivi.gov.it pārstrukturēšanu un racionalizāciju.</w:t>
      </w:r>
    </w:p>
    <w:p w14:paraId="1A9F179C" w14:textId="77777777" w:rsidR="00327FF1" w:rsidRDefault="00327FF1">
      <w:pPr>
        <w:jc w:val="both"/>
        <w:rPr>
          <w:noProof/>
        </w:rPr>
      </w:pPr>
    </w:p>
    <w:p w14:paraId="645978F6" w14:textId="77777777" w:rsidR="00327FF1" w:rsidRDefault="00327FF1">
      <w:pPr>
        <w:spacing w:before="120" w:after="120"/>
        <w:jc w:val="both"/>
        <w:rPr>
          <w:noProof/>
        </w:rPr>
        <w:sectPr w:rsidR="00327FF1" w:rsidSect="00726CF9">
          <w:headerReference w:type="default" r:id="rId40"/>
          <w:footerReference w:type="default" r:id="rId41"/>
          <w:pgSz w:w="11906" w:h="16838"/>
          <w:pgMar w:top="1440" w:right="1440" w:bottom="1440" w:left="1440" w:header="708" w:footer="708" w:gutter="0"/>
          <w:cols w:space="708"/>
          <w:docGrid w:linePitch="360"/>
        </w:sectPr>
      </w:pPr>
    </w:p>
    <w:p w14:paraId="57826589" w14:textId="77777777" w:rsidR="00327FF1" w:rsidRDefault="00E406C7">
      <w:pPr>
        <w:pStyle w:val="P68B1DB1-Heading39"/>
        <w:numPr>
          <w:ilvl w:val="2"/>
          <w:numId w:val="0"/>
        </w:numPr>
        <w:ind w:left="850" w:hanging="850"/>
        <w:rPr>
          <w:b/>
          <w:bCs/>
          <w:i/>
          <w:iCs/>
          <w:noProof/>
          <w:u w:val="single"/>
        </w:rPr>
      </w:pPr>
      <w:r>
        <w:rPr>
          <w:b/>
          <w:noProof/>
          <w:u w:val="single"/>
        </w:rPr>
        <w:t xml:space="preserve">B.2. </w:t>
      </w:r>
      <w:r>
        <w:rPr>
          <w:noProof/>
        </w:rPr>
        <w:t xml:space="preserve"> </w:t>
      </w:r>
      <w:r>
        <w:rPr>
          <w:b/>
          <w:noProof/>
          <w:u w:val="single"/>
        </w:rPr>
        <w:t>Starpposma mērķi, mērķrādītāji, rādītāji un neatmaksājama finansiālā atbalsta uzraudzības un īstenošanas grafiks</w:t>
      </w:r>
    </w:p>
    <w:tbl>
      <w:tblPr>
        <w:tblW w:w="154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276"/>
        <w:gridCol w:w="1134"/>
        <w:gridCol w:w="1559"/>
        <w:gridCol w:w="1843"/>
        <w:gridCol w:w="1359"/>
        <w:gridCol w:w="1476"/>
        <w:gridCol w:w="1134"/>
        <w:gridCol w:w="1021"/>
        <w:gridCol w:w="709"/>
        <w:gridCol w:w="2814"/>
      </w:tblGrid>
      <w:tr w:rsidR="00327FF1" w14:paraId="284A5699" w14:textId="77777777">
        <w:trPr>
          <w:trHeight w:val="300"/>
          <w:tblHeader/>
        </w:trPr>
        <w:tc>
          <w:tcPr>
            <w:tcW w:w="1135" w:type="dxa"/>
            <w:vMerge w:val="restart"/>
            <w:shd w:val="clear" w:color="auto" w:fill="BDD7EE"/>
            <w:vAlign w:val="center"/>
          </w:tcPr>
          <w:p w14:paraId="407E0F63" w14:textId="77777777" w:rsidR="00327FF1" w:rsidRDefault="00E406C7">
            <w:pPr>
              <w:pStyle w:val="P68B1DB1-Normal10"/>
              <w:spacing w:before="120" w:after="120"/>
              <w:jc w:val="center"/>
              <w:rPr>
                <w:noProof/>
              </w:rPr>
            </w:pPr>
            <w:r>
              <w:rPr>
                <w:noProof/>
              </w:rPr>
              <w:t>Kārtas numurs</w:t>
            </w:r>
          </w:p>
        </w:tc>
        <w:tc>
          <w:tcPr>
            <w:tcW w:w="1276" w:type="dxa"/>
            <w:vMerge w:val="restart"/>
            <w:shd w:val="clear" w:color="auto" w:fill="BDD7EE"/>
            <w:vAlign w:val="center"/>
          </w:tcPr>
          <w:p w14:paraId="3F2121E8" w14:textId="77777777" w:rsidR="00327FF1" w:rsidRDefault="00E406C7">
            <w:pPr>
              <w:pStyle w:val="P68B1DB1-Normal10"/>
              <w:spacing w:before="120" w:after="120"/>
              <w:jc w:val="center"/>
              <w:rPr>
                <w:noProof/>
              </w:rPr>
            </w:pPr>
            <w:r>
              <w:rPr>
                <w:noProof/>
              </w:rPr>
              <w:t>Pasākums</w:t>
            </w:r>
          </w:p>
        </w:tc>
        <w:tc>
          <w:tcPr>
            <w:tcW w:w="1134" w:type="dxa"/>
            <w:vMerge w:val="restart"/>
            <w:shd w:val="clear" w:color="auto" w:fill="BDD7EE"/>
            <w:vAlign w:val="center"/>
          </w:tcPr>
          <w:p w14:paraId="751E8C0F" w14:textId="77777777" w:rsidR="00327FF1" w:rsidRDefault="00E406C7">
            <w:pPr>
              <w:pStyle w:val="P68B1DB1-Normal10"/>
              <w:spacing w:before="120" w:after="120"/>
              <w:jc w:val="center"/>
              <w:rPr>
                <w:noProof/>
              </w:rPr>
            </w:pPr>
            <w:r>
              <w:rPr>
                <w:noProof/>
              </w:rPr>
              <w:t>Atskaites punkts/mērķrādītājs</w:t>
            </w:r>
          </w:p>
        </w:tc>
        <w:tc>
          <w:tcPr>
            <w:tcW w:w="1559" w:type="dxa"/>
            <w:vMerge w:val="restart"/>
            <w:shd w:val="clear" w:color="auto" w:fill="BDD7EE"/>
            <w:vAlign w:val="center"/>
          </w:tcPr>
          <w:p w14:paraId="2FEFFFEE" w14:textId="77777777" w:rsidR="00327FF1" w:rsidRDefault="00E406C7">
            <w:pPr>
              <w:pStyle w:val="P68B1DB1-Normal10"/>
              <w:spacing w:before="120" w:after="120"/>
              <w:jc w:val="center"/>
              <w:rPr>
                <w:noProof/>
              </w:rPr>
            </w:pPr>
            <w:r>
              <w:rPr>
                <w:noProof/>
              </w:rPr>
              <w:t>Nosaukums</w:t>
            </w:r>
          </w:p>
        </w:tc>
        <w:tc>
          <w:tcPr>
            <w:tcW w:w="1843" w:type="dxa"/>
            <w:vMerge w:val="restart"/>
            <w:shd w:val="clear" w:color="auto" w:fill="BDD7EE"/>
            <w:vAlign w:val="center"/>
          </w:tcPr>
          <w:p w14:paraId="253A1744" w14:textId="77777777" w:rsidR="00327FF1" w:rsidRDefault="00E406C7">
            <w:pPr>
              <w:spacing w:before="120" w:after="120"/>
              <w:jc w:val="center"/>
              <w:rPr>
                <w:rFonts w:ascii="Arial Narrow" w:hAnsi="Arial Narrow"/>
                <w:b/>
                <w:noProof/>
                <w:sz w:val="20"/>
              </w:rPr>
            </w:pPr>
            <w:r>
              <w:rPr>
                <w:rFonts w:ascii="Arial Narrow" w:hAnsi="Arial Narrow"/>
                <w:b/>
                <w:noProof/>
                <w:sz w:val="20"/>
              </w:rPr>
              <w:t>Kvalitātes rādītāji</w:t>
            </w:r>
            <w:r>
              <w:rPr>
                <w:noProof/>
              </w:rPr>
              <w:br/>
            </w:r>
            <w:r>
              <w:rPr>
                <w:rFonts w:ascii="Arial Narrow" w:hAnsi="Arial Narrow"/>
                <w:b/>
                <w:noProof/>
                <w:sz w:val="20"/>
              </w:rPr>
              <w:t xml:space="preserve">(attiecībā uz </w:t>
            </w:r>
            <w:r>
              <w:rPr>
                <w:rFonts w:ascii="Arial Narrow" w:hAnsi="Arial Narrow"/>
                <w:b/>
                <w:noProof/>
                <w:sz w:val="20"/>
              </w:rPr>
              <w:t>starpposma mērķiem)</w:t>
            </w:r>
          </w:p>
        </w:tc>
        <w:tc>
          <w:tcPr>
            <w:tcW w:w="3969" w:type="dxa"/>
            <w:gridSpan w:val="3"/>
            <w:tcBorders>
              <w:top w:val="single" w:sz="4" w:space="0" w:color="auto"/>
              <w:left w:val="single" w:sz="4" w:space="0" w:color="auto"/>
              <w:bottom w:val="single" w:sz="4" w:space="0" w:color="auto"/>
              <w:right w:val="single" w:sz="4" w:space="0" w:color="auto"/>
            </w:tcBorders>
            <w:shd w:val="clear" w:color="auto" w:fill="BDD7EE"/>
            <w:vAlign w:val="center"/>
          </w:tcPr>
          <w:p w14:paraId="409B6252" w14:textId="77777777" w:rsidR="00327FF1" w:rsidRDefault="00E406C7">
            <w:pPr>
              <w:spacing w:before="120" w:after="120"/>
              <w:jc w:val="center"/>
              <w:rPr>
                <w:rFonts w:ascii="Arial Narrow" w:hAnsi="Arial Narrow"/>
                <w:b/>
                <w:noProof/>
                <w:sz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730" w:type="dxa"/>
            <w:gridSpan w:val="2"/>
            <w:tcBorders>
              <w:top w:val="single" w:sz="4" w:space="0" w:color="auto"/>
              <w:left w:val="single" w:sz="4" w:space="0" w:color="auto"/>
              <w:bottom w:val="single" w:sz="4" w:space="0" w:color="auto"/>
              <w:right w:val="single" w:sz="4" w:space="0" w:color="auto"/>
            </w:tcBorders>
            <w:shd w:val="clear" w:color="auto" w:fill="BDD7EE"/>
            <w:vAlign w:val="center"/>
          </w:tcPr>
          <w:p w14:paraId="2417BCBB" w14:textId="77777777" w:rsidR="00327FF1" w:rsidRDefault="00E406C7">
            <w:pPr>
              <w:pStyle w:val="P68B1DB1-Normal10"/>
              <w:spacing w:before="120" w:after="120"/>
              <w:jc w:val="center"/>
              <w:rPr>
                <w:noProof/>
              </w:rPr>
            </w:pPr>
            <w:r>
              <w:rPr>
                <w:noProof/>
              </w:rPr>
              <w:t>Orientējošs pabeigšanas termiņš</w:t>
            </w:r>
          </w:p>
        </w:tc>
        <w:tc>
          <w:tcPr>
            <w:tcW w:w="2814" w:type="dxa"/>
            <w:vMerge w:val="restart"/>
            <w:tcBorders>
              <w:top w:val="single" w:sz="4" w:space="0" w:color="auto"/>
              <w:left w:val="single" w:sz="4" w:space="0" w:color="auto"/>
              <w:right w:val="single" w:sz="4" w:space="0" w:color="auto"/>
            </w:tcBorders>
            <w:shd w:val="clear" w:color="auto" w:fill="BDD7EE"/>
            <w:vAlign w:val="center"/>
          </w:tcPr>
          <w:p w14:paraId="3DB01CB6" w14:textId="77777777" w:rsidR="00327FF1" w:rsidRDefault="00E406C7">
            <w:pPr>
              <w:pStyle w:val="P68B1DB1-Normal10"/>
              <w:spacing w:before="120" w:after="120"/>
              <w:rPr>
                <w:noProof/>
                <w:szCs w:val="20"/>
              </w:rPr>
            </w:pPr>
            <w:r>
              <w:rPr>
                <w:noProof/>
              </w:rPr>
              <w:t>Apraksts par katru atskaites punktu un mērķrādītāju</w:t>
            </w:r>
          </w:p>
        </w:tc>
      </w:tr>
      <w:tr w:rsidR="00327FF1" w14:paraId="7D41F08B" w14:textId="77777777">
        <w:trPr>
          <w:trHeight w:val="300"/>
          <w:tblHeader/>
        </w:trPr>
        <w:tc>
          <w:tcPr>
            <w:tcW w:w="1135" w:type="dxa"/>
            <w:vMerge/>
            <w:vAlign w:val="center"/>
          </w:tcPr>
          <w:p w14:paraId="46E8F550" w14:textId="77777777" w:rsidR="00327FF1" w:rsidRDefault="00327FF1">
            <w:pPr>
              <w:spacing w:before="120" w:after="120"/>
              <w:jc w:val="center"/>
              <w:rPr>
                <w:rFonts w:ascii="Arial Narrow" w:hAnsi="Arial Narrow"/>
                <w:noProof/>
                <w:sz w:val="20"/>
                <w:szCs w:val="20"/>
              </w:rPr>
            </w:pPr>
          </w:p>
        </w:tc>
        <w:tc>
          <w:tcPr>
            <w:tcW w:w="1276" w:type="dxa"/>
            <w:vMerge/>
            <w:vAlign w:val="center"/>
          </w:tcPr>
          <w:p w14:paraId="7217CDB5" w14:textId="77777777" w:rsidR="00327FF1" w:rsidRDefault="00327FF1">
            <w:pPr>
              <w:spacing w:before="120" w:after="120"/>
              <w:jc w:val="center"/>
              <w:rPr>
                <w:rFonts w:ascii="Arial Narrow" w:hAnsi="Arial Narrow"/>
                <w:noProof/>
                <w:sz w:val="20"/>
                <w:szCs w:val="20"/>
              </w:rPr>
            </w:pPr>
          </w:p>
        </w:tc>
        <w:tc>
          <w:tcPr>
            <w:tcW w:w="1134" w:type="dxa"/>
            <w:vMerge/>
            <w:vAlign w:val="center"/>
          </w:tcPr>
          <w:p w14:paraId="163B9C2E" w14:textId="77777777" w:rsidR="00327FF1" w:rsidRDefault="00327FF1">
            <w:pPr>
              <w:spacing w:before="120" w:after="120"/>
              <w:jc w:val="center"/>
              <w:rPr>
                <w:rFonts w:ascii="Arial Narrow" w:hAnsi="Arial Narrow"/>
                <w:noProof/>
                <w:sz w:val="20"/>
                <w:szCs w:val="20"/>
              </w:rPr>
            </w:pPr>
          </w:p>
        </w:tc>
        <w:tc>
          <w:tcPr>
            <w:tcW w:w="1559" w:type="dxa"/>
            <w:vMerge/>
            <w:vAlign w:val="center"/>
          </w:tcPr>
          <w:p w14:paraId="07E35B45" w14:textId="77777777" w:rsidR="00327FF1" w:rsidRDefault="00327FF1">
            <w:pPr>
              <w:spacing w:before="120" w:after="120"/>
              <w:jc w:val="center"/>
              <w:rPr>
                <w:rFonts w:ascii="Arial Narrow" w:hAnsi="Arial Narrow"/>
                <w:noProof/>
                <w:sz w:val="20"/>
                <w:szCs w:val="20"/>
              </w:rPr>
            </w:pPr>
          </w:p>
        </w:tc>
        <w:tc>
          <w:tcPr>
            <w:tcW w:w="1843" w:type="dxa"/>
            <w:vMerge/>
            <w:vAlign w:val="center"/>
          </w:tcPr>
          <w:p w14:paraId="38310F47" w14:textId="77777777" w:rsidR="00327FF1" w:rsidRDefault="00327FF1">
            <w:pPr>
              <w:spacing w:before="120" w:after="120"/>
              <w:jc w:val="center"/>
              <w:rPr>
                <w:rFonts w:ascii="Arial Narrow" w:hAnsi="Arial Narrow"/>
                <w:noProof/>
                <w:sz w:val="20"/>
                <w:szCs w:val="20"/>
              </w:rPr>
            </w:pPr>
          </w:p>
        </w:tc>
        <w:tc>
          <w:tcPr>
            <w:tcW w:w="1359" w:type="dxa"/>
            <w:tcBorders>
              <w:top w:val="single" w:sz="4" w:space="0" w:color="auto"/>
              <w:left w:val="single" w:sz="4" w:space="0" w:color="auto"/>
              <w:bottom w:val="single" w:sz="4" w:space="0" w:color="auto"/>
              <w:right w:val="single" w:sz="4" w:space="0" w:color="auto"/>
            </w:tcBorders>
            <w:shd w:val="clear" w:color="auto" w:fill="BDD7EE"/>
            <w:vAlign w:val="center"/>
          </w:tcPr>
          <w:p w14:paraId="4D23ECE3" w14:textId="77777777" w:rsidR="00327FF1" w:rsidRDefault="00E406C7">
            <w:pPr>
              <w:pStyle w:val="P68B1DB1-Normal10"/>
              <w:spacing w:before="120" w:after="120"/>
              <w:jc w:val="center"/>
              <w:rPr>
                <w:noProof/>
              </w:rPr>
            </w:pPr>
            <w:r>
              <w:rPr>
                <w:noProof/>
              </w:rPr>
              <w:t>Mēra vienība</w:t>
            </w:r>
          </w:p>
        </w:tc>
        <w:tc>
          <w:tcPr>
            <w:tcW w:w="1476" w:type="dxa"/>
            <w:tcBorders>
              <w:top w:val="single" w:sz="4" w:space="0" w:color="auto"/>
              <w:left w:val="single" w:sz="4" w:space="0" w:color="auto"/>
              <w:bottom w:val="single" w:sz="4" w:space="0" w:color="auto"/>
              <w:right w:val="single" w:sz="4" w:space="0" w:color="auto"/>
            </w:tcBorders>
            <w:shd w:val="clear" w:color="auto" w:fill="BDD7EE"/>
            <w:vAlign w:val="center"/>
          </w:tcPr>
          <w:p w14:paraId="76438EFD" w14:textId="77777777" w:rsidR="00327FF1" w:rsidRDefault="00E406C7">
            <w:pPr>
              <w:pStyle w:val="P68B1DB1-Normal10"/>
              <w:spacing w:before="120" w:after="120"/>
              <w:jc w:val="center"/>
              <w:rPr>
                <w:noProof/>
              </w:rPr>
            </w:pPr>
            <w:r>
              <w:rPr>
                <w:noProof/>
              </w:rPr>
              <w:t>Pamatscenārijs</w:t>
            </w:r>
          </w:p>
        </w:tc>
        <w:tc>
          <w:tcPr>
            <w:tcW w:w="1134" w:type="dxa"/>
            <w:tcBorders>
              <w:top w:val="single" w:sz="4" w:space="0" w:color="auto"/>
              <w:left w:val="single" w:sz="4" w:space="0" w:color="auto"/>
              <w:bottom w:val="single" w:sz="4" w:space="0" w:color="auto"/>
              <w:right w:val="single" w:sz="4" w:space="0" w:color="auto"/>
            </w:tcBorders>
            <w:shd w:val="clear" w:color="auto" w:fill="BDD7EE"/>
            <w:vAlign w:val="center"/>
          </w:tcPr>
          <w:p w14:paraId="18D1678A" w14:textId="77777777" w:rsidR="00327FF1" w:rsidRDefault="00E406C7">
            <w:pPr>
              <w:pStyle w:val="P68B1DB1-Normal10"/>
              <w:spacing w:before="120" w:after="120"/>
              <w:jc w:val="center"/>
              <w:rPr>
                <w:noProof/>
              </w:rPr>
            </w:pPr>
            <w:r>
              <w:rPr>
                <w:noProof/>
              </w:rPr>
              <w:t>Mērķis</w:t>
            </w:r>
          </w:p>
        </w:tc>
        <w:tc>
          <w:tcPr>
            <w:tcW w:w="1021" w:type="dxa"/>
            <w:tcBorders>
              <w:top w:val="single" w:sz="4" w:space="0" w:color="auto"/>
              <w:left w:val="single" w:sz="4" w:space="0" w:color="auto"/>
              <w:bottom w:val="single" w:sz="4" w:space="0" w:color="auto"/>
              <w:right w:val="single" w:sz="4" w:space="0" w:color="auto"/>
            </w:tcBorders>
            <w:shd w:val="clear" w:color="auto" w:fill="BDD7EE"/>
            <w:vAlign w:val="center"/>
          </w:tcPr>
          <w:p w14:paraId="347DD4B4" w14:textId="77777777" w:rsidR="00327FF1" w:rsidRDefault="00E406C7">
            <w:pPr>
              <w:pStyle w:val="P68B1DB1-Normal10"/>
              <w:spacing w:before="120" w:after="120"/>
              <w:jc w:val="center"/>
              <w:rPr>
                <w:noProof/>
              </w:rPr>
            </w:pPr>
            <w:r>
              <w:rPr>
                <w:noProof/>
              </w:rPr>
              <w:t>Ceturkšņa laikā</w:t>
            </w:r>
          </w:p>
        </w:tc>
        <w:tc>
          <w:tcPr>
            <w:tcW w:w="709" w:type="dxa"/>
            <w:tcBorders>
              <w:top w:val="single" w:sz="4" w:space="0" w:color="auto"/>
              <w:left w:val="single" w:sz="4" w:space="0" w:color="auto"/>
              <w:bottom w:val="single" w:sz="4" w:space="0" w:color="auto"/>
              <w:right w:val="single" w:sz="4" w:space="0" w:color="auto"/>
            </w:tcBorders>
            <w:shd w:val="clear" w:color="auto" w:fill="BDD7EE"/>
            <w:vAlign w:val="center"/>
          </w:tcPr>
          <w:p w14:paraId="5A55C060" w14:textId="77777777" w:rsidR="00327FF1" w:rsidRDefault="00E406C7">
            <w:pPr>
              <w:pStyle w:val="P68B1DB1-Normal10"/>
              <w:spacing w:before="120" w:after="120"/>
              <w:jc w:val="center"/>
              <w:rPr>
                <w:noProof/>
              </w:rPr>
            </w:pPr>
            <w:r>
              <w:rPr>
                <w:noProof/>
              </w:rPr>
              <w:t>Gadu</w:t>
            </w:r>
          </w:p>
        </w:tc>
        <w:tc>
          <w:tcPr>
            <w:tcW w:w="2814" w:type="dxa"/>
            <w:vMerge/>
            <w:vAlign w:val="center"/>
          </w:tcPr>
          <w:p w14:paraId="26C20B8D" w14:textId="77777777" w:rsidR="00327FF1" w:rsidRDefault="00327FF1">
            <w:pPr>
              <w:spacing w:before="120" w:after="120"/>
              <w:rPr>
                <w:rFonts w:ascii="Arial Narrow" w:hAnsi="Arial Narrow"/>
                <w:noProof/>
                <w:sz w:val="20"/>
                <w:szCs w:val="20"/>
              </w:rPr>
            </w:pPr>
          </w:p>
        </w:tc>
      </w:tr>
      <w:tr w:rsidR="00327FF1" w14:paraId="6F1B9E5D"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5B5F9E8" w14:textId="77777777" w:rsidR="00327FF1" w:rsidRDefault="00E406C7">
            <w:pPr>
              <w:pStyle w:val="P68B1DB1-Normal11"/>
              <w:jc w:val="center"/>
              <w:rPr>
                <w:noProof/>
                <w:szCs w:val="20"/>
              </w:rPr>
            </w:pPr>
            <w:r>
              <w:rPr>
                <w:noProof/>
              </w:rPr>
              <w:t>M1C2–1</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11412B66" w14:textId="77777777" w:rsidR="00327FF1" w:rsidRDefault="00E406C7">
            <w:pPr>
              <w:pStyle w:val="P68B1DB1-Normal11"/>
              <w:jc w:val="center"/>
              <w:rPr>
                <w:noProof/>
                <w:szCs w:val="20"/>
              </w:rPr>
            </w:pPr>
            <w:r>
              <w:rPr>
                <w:noProof/>
              </w:rPr>
              <w:t>Ieguldījums: Pāreja 4.0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C2AB409" w14:textId="77777777" w:rsidR="00327FF1" w:rsidRDefault="00E406C7">
            <w:pPr>
              <w:pStyle w:val="P68B1DB1-Normal11"/>
              <w:jc w:val="center"/>
              <w:rPr>
                <w:noProof/>
                <w:szCs w:val="20"/>
              </w:rPr>
            </w:pPr>
            <w:r>
              <w:rPr>
                <w:noProof/>
              </w:rPr>
              <w:t>Atskaites punkts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5D4977C9" w14:textId="77777777" w:rsidR="00327FF1" w:rsidRDefault="00E406C7">
            <w:pPr>
              <w:pStyle w:val="P68B1DB1-Normal11"/>
              <w:jc w:val="center"/>
              <w:rPr>
                <w:noProof/>
                <w:szCs w:val="20"/>
              </w:rPr>
            </w:pPr>
            <w:r>
              <w:rPr>
                <w:noProof/>
              </w:rPr>
              <w:t>Tiesību</w:t>
            </w:r>
            <w:r>
              <w:rPr>
                <w:noProof/>
              </w:rPr>
              <w:t xml:space="preserve"> aktu stāšanās spēkā, lai potenciālajiem saņēmējiem darītu pieejamus 4.0 pārejas nodokļu kredītus, un Zinātniskās komitejas izveide</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68554E6" w14:textId="77777777" w:rsidR="00327FF1" w:rsidRDefault="00E406C7">
            <w:pPr>
              <w:pStyle w:val="P68B1DB1-Normal11"/>
              <w:jc w:val="center"/>
              <w:rPr>
                <w:noProof/>
                <w:szCs w:val="20"/>
              </w:rPr>
            </w:pPr>
            <w:r>
              <w:rPr>
                <w:noProof/>
              </w:rPr>
              <w:t>Likuma noteikums, kas norāda uz budžeta likuma stāšanos spēkā, kas ļauj veikt nodokļu atlaides, un noteikums saistītajos īst</w:t>
            </w:r>
            <w:r>
              <w:rPr>
                <w:noProof/>
              </w:rPr>
              <w:t>enošanas aktos, kas norāda uz to stāšanos spēkā</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2416F790" w14:textId="77777777" w:rsidR="00327FF1" w:rsidRDefault="00E406C7">
            <w:pPr>
              <w:pStyle w:val="P68B1DB1-Normal11"/>
              <w:jc w:val="center"/>
              <w:rPr>
                <w:noProof/>
                <w:szCs w:val="20"/>
              </w:rPr>
            </w:pPr>
            <w:r>
              <w:rPr>
                <w:noProof/>
              </w:rPr>
              <w:t>NEPIEMĒRO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0241A65" w14:textId="77777777" w:rsidR="00327FF1" w:rsidRDefault="00E406C7">
            <w:pPr>
              <w:pStyle w:val="P68B1DB1-Normal11"/>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4154852" w14:textId="77777777" w:rsidR="00327FF1" w:rsidRDefault="00E406C7">
            <w:pPr>
              <w:pStyle w:val="P68B1DB1-Normal11"/>
              <w:jc w:val="center"/>
              <w:rPr>
                <w:noProof/>
                <w:szCs w:val="20"/>
              </w:rPr>
            </w:pPr>
            <w:r>
              <w:rPr>
                <w:noProof/>
              </w:rPr>
              <w:t>NEPIEMĒRO</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F842B08" w14:textId="77777777" w:rsidR="00327FF1" w:rsidRDefault="00E406C7">
            <w:pPr>
              <w:pStyle w:val="P68B1DB1-Normal11"/>
              <w:jc w:val="center"/>
              <w:rPr>
                <w:noProof/>
                <w:szCs w:val="20"/>
              </w:rPr>
            </w:pPr>
            <w:r>
              <w:rPr>
                <w:noProof/>
              </w:rPr>
              <w:t>4.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6C73C96A" w14:textId="77777777" w:rsidR="00327FF1" w:rsidRDefault="00E406C7">
            <w:pPr>
              <w:pStyle w:val="P68B1DB1-Normal11"/>
              <w:jc w:val="center"/>
              <w:rPr>
                <w:noProof/>
                <w:szCs w:val="20"/>
              </w:rPr>
            </w:pPr>
            <w:r>
              <w:rPr>
                <w:noProof/>
              </w:rPr>
              <w:t>2021</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3102DCD9" w14:textId="77777777" w:rsidR="00327FF1" w:rsidRDefault="00E406C7">
            <w:pPr>
              <w:pStyle w:val="P68B1DB1-Normal11"/>
              <w:rPr>
                <w:noProof/>
                <w:szCs w:val="20"/>
              </w:rPr>
            </w:pPr>
            <w:r>
              <w:rPr>
                <w:noProof/>
              </w:rPr>
              <w:t>Tiesību aktos paredz, ka potenciālajiem saņēmējiem ir pieejami 4.0 pārejas nodokļu kredīti. Tie ir nodokļu kredīti i) 4.0 (t. i., tehnoloģiski attīstītiem) materiāla</w:t>
            </w:r>
            <w:r>
              <w:rPr>
                <w:noProof/>
              </w:rPr>
              <w:t>jiem ražošanas līdzekļiem, ii) 4.0 nemateriālajiem ražošanas līdzekļiem, iii) standarta nemateriālajiem ražošanas līdzekļiem, iv) pētniecības, izstrādes un inovācijas darbībām un v) mācību pasākumiem.</w:t>
            </w:r>
          </w:p>
          <w:p w14:paraId="55DF35B1" w14:textId="77777777" w:rsidR="00327FF1" w:rsidRDefault="00E406C7">
            <w:pPr>
              <w:pStyle w:val="P68B1DB1-Normal11"/>
              <w:rPr>
                <w:noProof/>
                <w:szCs w:val="20"/>
              </w:rPr>
            </w:pPr>
            <w:r>
              <w:rPr>
                <w:noProof/>
              </w:rPr>
              <w:t>Nodokļu kredīta kodus nosaka ar Ieņēmumu aģentūras lēmu</w:t>
            </w:r>
            <w:r>
              <w:rPr>
                <w:noProof/>
              </w:rPr>
              <w:t>mu, lai ļautu saņēmējiem izmantot nodokļu kredītus, izmantojot F24 maksājumu modeli. Zinātnisko komiteju, kurā ir Ekonomikas un finanšu ministrijas, Ekonomikas attīstības ministrijas un Itālijas Bankas eksperti, izveido, pieņemot ministrijas dekrētu, lai n</w:t>
            </w:r>
            <w:r>
              <w:rPr>
                <w:noProof/>
              </w:rPr>
              <w:t>ovērtētu 4.0. pārejas nodokļu kredītu ekonomisko ietekmi.</w:t>
            </w:r>
          </w:p>
        </w:tc>
      </w:tr>
      <w:tr w:rsidR="00327FF1" w14:paraId="25D263D3"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1197588A" w14:textId="77777777" w:rsidR="00327FF1" w:rsidRDefault="00E406C7">
            <w:pPr>
              <w:pStyle w:val="P68B1DB1-Normal11"/>
              <w:spacing w:before="120" w:after="120"/>
              <w:jc w:val="center"/>
              <w:rPr>
                <w:noProof/>
                <w:szCs w:val="20"/>
              </w:rPr>
            </w:pPr>
            <w:r>
              <w:rPr>
                <w:noProof/>
              </w:rPr>
              <w:t>M1C2–2</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62C5842" w14:textId="77777777" w:rsidR="00327FF1" w:rsidRDefault="00E406C7">
            <w:pPr>
              <w:pStyle w:val="P68B1DB1-Normal11"/>
              <w:spacing w:before="120" w:after="120"/>
              <w:jc w:val="center"/>
              <w:rPr>
                <w:noProof/>
                <w:szCs w:val="20"/>
              </w:rPr>
            </w:pPr>
            <w:r>
              <w:rPr>
                <w:noProof/>
              </w:rPr>
              <w:t>Ieguldījums: Pāreja 4.0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1E42C9AD" w14:textId="77777777" w:rsidR="00327FF1" w:rsidRDefault="00E406C7">
            <w:pPr>
              <w:pStyle w:val="P68B1DB1-Normal11"/>
              <w:spacing w:before="120" w:after="120"/>
              <w:jc w:val="center"/>
              <w:rPr>
                <w:noProof/>
                <w:szCs w:val="20"/>
              </w:rPr>
            </w:pPr>
            <w:r>
              <w:rPr>
                <w:noProof/>
              </w:rPr>
              <w:t>Mērķa</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033FA255" w14:textId="77777777" w:rsidR="00327FF1" w:rsidRDefault="00E406C7">
            <w:pPr>
              <w:pStyle w:val="P68B1DB1-Normal11"/>
              <w:spacing w:before="120" w:after="120"/>
              <w:jc w:val="center"/>
              <w:rPr>
                <w:noProof/>
                <w:szCs w:val="20"/>
              </w:rPr>
            </w:pPr>
            <w:r>
              <w:rPr>
                <w:noProof/>
              </w:rPr>
              <w:t>Pāreja 4.0 nodokļu kredīti, kas piešķirti uzņēmumiem, pamatojoties uz 2021.–2022. gadā iesniegtajām nodokļu deklarācijām</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3B4337FF" w14:textId="77777777" w:rsidR="00327FF1" w:rsidRDefault="00E406C7">
            <w:pPr>
              <w:pStyle w:val="P68B1DB1-Normal11"/>
              <w:spacing w:before="120" w:after="120"/>
              <w:jc w:val="center"/>
              <w:rPr>
                <w:noProof/>
                <w:szCs w:val="20"/>
              </w:rPr>
            </w:pPr>
            <w:r>
              <w:rPr>
                <w:noProof/>
              </w:rPr>
              <w:t>NEPIEMĒRO</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1CC8166C" w14:textId="77777777" w:rsidR="00327FF1" w:rsidRDefault="00E406C7">
            <w:pPr>
              <w:pStyle w:val="P68B1DB1-Normal11"/>
              <w:spacing w:before="120" w:after="120"/>
              <w:jc w:val="center"/>
              <w:rPr>
                <w:noProof/>
                <w:szCs w:val="20"/>
              </w:rPr>
            </w:pPr>
            <w:r>
              <w:rPr>
                <w:noProof/>
              </w:rPr>
              <w:t>Skaits</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4310DD1D" w14:textId="77777777" w:rsidR="00327FF1" w:rsidRDefault="00E406C7">
            <w:pPr>
              <w:pStyle w:val="P68B1DB1-Normal11"/>
              <w:spacing w:before="120" w:after="120"/>
              <w:jc w:val="center"/>
              <w:rPr>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8FF7DFE" w14:textId="77777777" w:rsidR="00327FF1" w:rsidRDefault="00E406C7">
            <w:pPr>
              <w:pStyle w:val="P68B1DB1-Normal11"/>
              <w:spacing w:before="120" w:after="120"/>
              <w:jc w:val="center"/>
              <w:rPr>
                <w:noProof/>
                <w:szCs w:val="20"/>
              </w:rPr>
            </w:pPr>
            <w:r>
              <w:rPr>
                <w:noProof/>
              </w:rPr>
              <w:t>69 900</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7C917F04" w14:textId="77777777" w:rsidR="00327FF1" w:rsidRDefault="00E406C7">
            <w:pPr>
              <w:pStyle w:val="P68B1DB1-Normal11"/>
              <w:spacing w:before="120" w:after="120"/>
              <w:jc w:val="center"/>
              <w:rPr>
                <w:noProof/>
                <w:szCs w:val="20"/>
              </w:rPr>
            </w:pPr>
            <w:r>
              <w:rPr>
                <w:noProof/>
              </w:rPr>
              <w:t>2.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74C2C57E" w14:textId="77777777" w:rsidR="00327FF1" w:rsidRDefault="00E406C7">
            <w:pPr>
              <w:pStyle w:val="P68B1DB1-Normal11"/>
              <w:spacing w:before="120" w:after="120"/>
              <w:jc w:val="center"/>
              <w:rPr>
                <w:noProof/>
                <w:szCs w:val="20"/>
              </w:rPr>
            </w:pPr>
            <w:r>
              <w:rPr>
                <w:noProof/>
              </w:rPr>
              <w:t>2024</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6F1F7B84" w14:textId="62B60F86" w:rsidR="00327FF1" w:rsidRDefault="00E406C7">
            <w:pPr>
              <w:pStyle w:val="P68B1DB1-Normal11"/>
              <w:rPr>
                <w:noProof/>
                <w:szCs w:val="20"/>
              </w:rPr>
            </w:pPr>
            <w:r>
              <w:rPr>
                <w:noProof/>
              </w:rPr>
              <w:t>Uzņēmumiem ir piešķirti vismaz 69900 4.0 pārejas nodokļu kredīti saistībā ar 4,0 materiālajiem ražošanas līdzekļiem, 4.0 nemateriālajiem ražošanas līdzekļiem, standarta nemateriālajiem ražošanas līdzekļiem, pētniecības, izstrādes un inovācijas darbībām vai</w:t>
            </w:r>
            <w:r>
              <w:rPr>
                <w:noProof/>
              </w:rPr>
              <w:t xml:space="preserve"> apmācības pasākumiem. Nodokļu kredītu uzskata par piešķirtu, iesniedzot nodokļu deklarāciju. Nodokļu deklarācijas iesniedz no 2021. gada 1. janvāra līdz 2022. gada 31. decembrim. Uzņēmumiem, kuru taksācijas gads neatbilst kalendārajam gadam, attiecīgā per</w:t>
            </w:r>
            <w:r>
              <w:rPr>
                <w:noProof/>
              </w:rPr>
              <w:t>ioda beigas nodokļu deklarāciju iesniegšanai saistībā ar visiem iepriekš minētajiem nodokļa kredītiem pagarina no 2022. gada 31. decembra līdz 2023. gada 30. novembrim.</w:t>
            </w:r>
          </w:p>
        </w:tc>
      </w:tr>
      <w:tr w:rsidR="00327FF1" w14:paraId="0CEF9877"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134C6CA6" w14:textId="77777777" w:rsidR="00327FF1" w:rsidRDefault="00E406C7">
            <w:pPr>
              <w:pStyle w:val="P68B1DB1-Normal11"/>
              <w:spacing w:before="120" w:after="120"/>
              <w:jc w:val="center"/>
              <w:rPr>
                <w:noProof/>
                <w:szCs w:val="20"/>
              </w:rPr>
            </w:pPr>
            <w:r>
              <w:rPr>
                <w:noProof/>
              </w:rPr>
              <w:t>M1C2–3</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5F0CB5B" w14:textId="77777777" w:rsidR="00327FF1" w:rsidRDefault="00E406C7">
            <w:pPr>
              <w:pStyle w:val="P68B1DB1-Normal11"/>
              <w:spacing w:before="120" w:after="120"/>
              <w:jc w:val="center"/>
              <w:rPr>
                <w:noProof/>
                <w:szCs w:val="20"/>
              </w:rPr>
            </w:pPr>
            <w:r>
              <w:rPr>
                <w:noProof/>
              </w:rPr>
              <w:t>Ieguldījums: Pāreja 4.0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1B664F6" w14:textId="77777777" w:rsidR="00327FF1" w:rsidRDefault="00E406C7">
            <w:pPr>
              <w:pStyle w:val="P68B1DB1-Normal11"/>
              <w:spacing w:before="120" w:after="120"/>
              <w:jc w:val="center"/>
              <w:rPr>
                <w:noProof/>
                <w:szCs w:val="20"/>
              </w:rPr>
            </w:pPr>
            <w:r>
              <w:rPr>
                <w:noProof/>
              </w:rPr>
              <w:t>Mērķa</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3D4BF16E" w14:textId="77777777" w:rsidR="00327FF1" w:rsidRDefault="00E406C7">
            <w:pPr>
              <w:pStyle w:val="P68B1DB1-Normal11"/>
              <w:spacing w:before="120" w:after="120"/>
              <w:jc w:val="center"/>
              <w:rPr>
                <w:noProof/>
                <w:szCs w:val="20"/>
              </w:rPr>
            </w:pPr>
            <w:r>
              <w:rPr>
                <w:noProof/>
              </w:rPr>
              <w:t xml:space="preserve">Pāreja 4.0 nodokļu kredīti, kas piešķirti </w:t>
            </w:r>
            <w:r>
              <w:rPr>
                <w:noProof/>
              </w:rPr>
              <w:t>uzņēmumiem, pamatojoties uz 2021.–2023. gadā iesniegtajām nodokļu deklarācijām</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2579EE6A" w14:textId="77777777" w:rsidR="00327FF1" w:rsidRDefault="00E406C7">
            <w:pPr>
              <w:pStyle w:val="P68B1DB1-Normal11"/>
              <w:spacing w:before="120" w:after="120"/>
              <w:jc w:val="center"/>
              <w:rPr>
                <w:noProof/>
                <w:szCs w:val="20"/>
              </w:rPr>
            </w:pPr>
            <w:r>
              <w:rPr>
                <w:noProof/>
              </w:rPr>
              <w:t>NEPIEMĒRO</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51BC3019" w14:textId="77777777" w:rsidR="00327FF1" w:rsidRDefault="00E406C7">
            <w:pPr>
              <w:pStyle w:val="P68B1DB1-Normal11"/>
              <w:spacing w:before="120" w:after="120"/>
              <w:jc w:val="center"/>
              <w:rPr>
                <w:noProof/>
                <w:szCs w:val="20"/>
              </w:rPr>
            </w:pPr>
            <w:r>
              <w:rPr>
                <w:noProof/>
              </w:rPr>
              <w:t>Skaits</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B8E15E2" w14:textId="77777777" w:rsidR="00327FF1" w:rsidRDefault="00E406C7">
            <w:pPr>
              <w:pStyle w:val="P68B1DB1-Normal11"/>
              <w:spacing w:before="120" w:after="120"/>
              <w:jc w:val="center"/>
              <w:rPr>
                <w:noProof/>
                <w:szCs w:val="20"/>
              </w:rPr>
            </w:pPr>
            <w:r>
              <w:rPr>
                <w:noProof/>
              </w:rPr>
              <w:t>69 900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4EA6108" w14:textId="77777777" w:rsidR="00327FF1" w:rsidRDefault="00E406C7">
            <w:pPr>
              <w:pStyle w:val="P68B1DB1-Normal11"/>
              <w:spacing w:before="120" w:after="120"/>
              <w:jc w:val="center"/>
              <w:rPr>
                <w:noProof/>
                <w:szCs w:val="20"/>
              </w:rPr>
            </w:pPr>
            <w:r>
              <w:rPr>
                <w:noProof/>
              </w:rPr>
              <w:t>111 700</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3E995941" w14:textId="77777777" w:rsidR="00327FF1" w:rsidRDefault="00E406C7">
            <w:pPr>
              <w:pStyle w:val="P68B1DB1-Normal11"/>
              <w:spacing w:before="120" w:after="120"/>
              <w:jc w:val="center"/>
              <w:rPr>
                <w:noProof/>
                <w:szCs w:val="20"/>
              </w:rPr>
            </w:pPr>
            <w:r>
              <w:rPr>
                <w:noProof/>
              </w:rPr>
              <w:t>2.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1C01FB4A" w14:textId="77777777" w:rsidR="00327FF1" w:rsidRDefault="00E406C7">
            <w:pPr>
              <w:pStyle w:val="P68B1DB1-Normal11"/>
              <w:spacing w:before="120" w:after="120"/>
              <w:jc w:val="center"/>
              <w:rPr>
                <w:noProof/>
                <w:szCs w:val="20"/>
              </w:rPr>
            </w:pPr>
            <w:r>
              <w:rPr>
                <w:noProof/>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13121636" w14:textId="170A3FB2" w:rsidR="00327FF1" w:rsidRDefault="00E406C7">
            <w:pPr>
              <w:pStyle w:val="P68B1DB1-Normal12"/>
              <w:rPr>
                <w:noProof/>
              </w:rPr>
            </w:pPr>
            <w:r>
              <w:rPr>
                <w:noProof/>
              </w:rPr>
              <w:t>Uzņēmumiem ir piešķirti vismaz 111700 4.0 pārejas nodokļu kredīti saistībā ar 4,0 materiālajiem ražošanas līdzekļiem, 4.0 nemateriāl</w:t>
            </w:r>
            <w:r>
              <w:rPr>
                <w:noProof/>
              </w:rPr>
              <w:t>ajiem ražošanas līdzekļiem, standarta nemateriālajiem ražošanas līdzekļiem, pētniecības, izstrādes un inovācijas darbībām vai apmācības pasākumiem. Nodokļu kredītu uzskata par piešķirtu, iesniedzot nodokļu deklarāciju. Nodokļu deklarācijas iesniedz no 2021</w:t>
            </w:r>
            <w:r>
              <w:rPr>
                <w:noProof/>
              </w:rPr>
              <w:t>. gada 1. janvāra līdz 2023. gada 31. decembrim. Attiecībā uz uzņēmumiem, kuru taksācijas gads neatbilst kalendārajam gadam, attiecīgā perioda beigas nodokļu deklarāciju iesniegšanai saistībā ar visiem iepriekš minētajiem nodokļa kredītiem pagarina no 2023</w:t>
            </w:r>
            <w:r>
              <w:rPr>
                <w:noProof/>
              </w:rPr>
              <w:t>. gada 31. decembra līdz 2024. gada 30. novembrim.</w:t>
            </w:r>
          </w:p>
          <w:p w14:paraId="37EABE4E" w14:textId="03774856" w:rsidR="00327FF1" w:rsidRDefault="00E406C7">
            <w:pPr>
              <w:pStyle w:val="P68B1DB1-Normal12"/>
              <w:rPr>
                <w:noProof/>
              </w:rPr>
            </w:pPr>
            <w:r>
              <w:rPr>
                <w:noProof/>
              </w:rPr>
              <w:t xml:space="preserve">Bāzlīnija attiecas uz uzņēmumiem piešķirto 4.0 pārejas nodokļu kredītu skaitu, pamatojoties uz nodokļu deklarācijām, kas iesniegtas no 2021. gada 1. janvāra līdz 2022. gada 31. decembrim par 4,0 </w:t>
            </w:r>
            <w:r>
              <w:rPr>
                <w:noProof/>
              </w:rPr>
              <w:t>materiālajiem ražošanas līdzekļiem, 4,0 nemateriālajiem ražošanas līdzekļiem un standarta nemateriālajiem līdzekļiem, un pamatojoties uz nodokļu deklarācijām, kas iesniegtas no 2022. gada 1. janvāra līdz 31. decembrim par pētniecības, izstrādes un inovācij</w:t>
            </w:r>
            <w:r>
              <w:rPr>
                <w:noProof/>
              </w:rPr>
              <w:t>as darbībām un apmācības pasākumiem. Attiecībā uz uzņēmumiem, kuru taksācijas gads neatbilst kalendārajam gadam, visu iepriekš uzskaitīto nodokļu kredītu pamatscenārijā iekļauj arī nodokļu deklarācijas, kas iesniegtas līdz 2023. gada 30. novembrim.</w:t>
            </w:r>
          </w:p>
          <w:p w14:paraId="43938203" w14:textId="7F7C67A3" w:rsidR="00327FF1" w:rsidRDefault="00E406C7">
            <w:pPr>
              <w:pStyle w:val="P68B1DB1-Normal12"/>
              <w:rPr>
                <w:noProof/>
              </w:rPr>
            </w:pPr>
            <w:r>
              <w:rPr>
                <w:noProof/>
              </w:rPr>
              <w:t>Attiecī</w:t>
            </w:r>
            <w:r>
              <w:rPr>
                <w:noProof/>
              </w:rPr>
              <w:t>bā uz mērķi neņem vērā uzņēmumus, kas darbojas nozarēs, kuras identificētas ar ATECO kodiem 05, 06, 07 un 09. Turklāt attiecībā uz ieguldījumiem 4.0 materiālajos ražošanas līdzekļos, kā arī attīstības un inovācijas darbībās — neviens uzņēmums, kas darbojas</w:t>
            </w:r>
            <w:r>
              <w:rPr>
                <w:noProof/>
              </w:rPr>
              <w:t xml:space="preserve"> nozarēs, kuras identificētas ar ATECO 30. kodu. Attiecībā uz mērķrādītāju ņem vērā 22, 29, 38, 41, 42, 43, 17, 01, 50, 19, 20, 51, 24, 49, 23 un 35.</w:t>
            </w:r>
          </w:p>
        </w:tc>
      </w:tr>
      <w:tr w:rsidR="00327FF1" w14:paraId="33FA2C61"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5EB8CBDE" w14:textId="77777777" w:rsidR="00327FF1" w:rsidRDefault="00E406C7">
            <w:pPr>
              <w:pStyle w:val="P68B1DB1-Normal11"/>
              <w:spacing w:before="120" w:after="120"/>
              <w:jc w:val="center"/>
              <w:rPr>
                <w:noProof/>
                <w:szCs w:val="20"/>
              </w:rPr>
            </w:pPr>
            <w:r>
              <w:rPr>
                <w:noProof/>
              </w:rPr>
              <w:t>M1C2–4</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271FE27" w14:textId="77777777" w:rsidR="00327FF1" w:rsidRDefault="00E406C7">
            <w:pPr>
              <w:pStyle w:val="P68B1DB1-Normal11"/>
              <w:spacing w:before="120" w:after="120"/>
              <w:jc w:val="center"/>
              <w:rPr>
                <w:noProof/>
                <w:szCs w:val="20"/>
              </w:rPr>
            </w:pPr>
            <w:r>
              <w:rPr>
                <w:noProof/>
              </w:rPr>
              <w:t>Reforma: Rūpnieciskā īpašuma sistēmas reforma</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1A301DB3" w14:textId="77777777" w:rsidR="00327FF1" w:rsidRDefault="00E406C7">
            <w:pPr>
              <w:pStyle w:val="P68B1DB1-Normal11"/>
              <w:spacing w:before="120" w:after="120"/>
              <w:jc w:val="center"/>
              <w:rPr>
                <w:noProof/>
                <w:szCs w:val="20"/>
              </w:rPr>
            </w:pPr>
            <w:r>
              <w:rPr>
                <w:noProof/>
              </w:rPr>
              <w:t>Atskaites punkts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42F0157F" w14:textId="77777777" w:rsidR="00327FF1" w:rsidRDefault="00E406C7">
            <w:pPr>
              <w:pStyle w:val="P68B1DB1-Normal11"/>
              <w:spacing w:before="120" w:after="120"/>
              <w:jc w:val="center"/>
              <w:rPr>
                <w:noProof/>
                <w:szCs w:val="20"/>
              </w:rPr>
            </w:pPr>
            <w:r>
              <w:rPr>
                <w:noProof/>
              </w:rPr>
              <w:t xml:space="preserve">Stājas spēkā Likumdošanas dekrēts, </w:t>
            </w:r>
            <w:r>
              <w:rPr>
                <w:noProof/>
              </w:rPr>
              <w:t>kura mērķis ir reformēt Itālijas rūpnieciskā īpašuma kodeksu un attiecīgos īstenošanas aktus</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0F758F31" w14:textId="77777777" w:rsidR="00327FF1" w:rsidRDefault="00E406C7">
            <w:pPr>
              <w:pStyle w:val="P68B1DB1-Normal11"/>
              <w:spacing w:before="120" w:after="120"/>
              <w:jc w:val="center"/>
              <w:rPr>
                <w:noProof/>
                <w:szCs w:val="20"/>
              </w:rPr>
            </w:pPr>
            <w:r>
              <w:rPr>
                <w:noProof/>
              </w:rPr>
              <w:t>Likuma noteikums, kas norāda jaunā Rūpnieciskā īpašuma kodeksa stāšanos spēkā, un noteikums saistītajos īstenošanas aktos, kas norāda uz to stāšanos spēkā</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2C030D6A" w14:textId="77777777" w:rsidR="00327FF1" w:rsidRDefault="00E406C7">
            <w:pPr>
              <w:pStyle w:val="P68B1DB1-Normal11"/>
              <w:spacing w:before="120" w:after="120"/>
              <w:jc w:val="center"/>
              <w:rPr>
                <w:noProof/>
              </w:rPr>
            </w:pPr>
            <w:r>
              <w:rPr>
                <w:noProof/>
              </w:rPr>
              <w:t>NEPIEMĒR</w:t>
            </w:r>
            <w:r>
              <w:rPr>
                <w:noProof/>
              </w:rPr>
              <w:t>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0C266158" w14:textId="77777777" w:rsidR="00327FF1" w:rsidRDefault="00E406C7">
            <w:pPr>
              <w:pStyle w:val="P68B1DB1-Normal11"/>
              <w:spacing w:before="120" w:after="120"/>
              <w:jc w:val="center"/>
              <w:rPr>
                <w:noProof/>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7712B89" w14:textId="77777777" w:rsidR="00327FF1" w:rsidRDefault="00E406C7">
            <w:pPr>
              <w:pStyle w:val="P68B1DB1-Normal11"/>
              <w:spacing w:before="120" w:after="120"/>
              <w:jc w:val="center"/>
              <w:rPr>
                <w:noProof/>
              </w:rPr>
            </w:pPr>
            <w:r>
              <w:rPr>
                <w:noProof/>
              </w:rPr>
              <w:t>NEPIEMĒRO</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0B9FF3F3" w14:textId="77777777" w:rsidR="00327FF1" w:rsidRDefault="00E406C7">
            <w:pPr>
              <w:pStyle w:val="P68B1DB1-Normal11"/>
              <w:spacing w:before="120" w:after="120"/>
              <w:jc w:val="center"/>
              <w:rPr>
                <w:noProof/>
                <w:szCs w:val="20"/>
              </w:rPr>
            </w:pPr>
            <w:r>
              <w:rPr>
                <w:noProof/>
              </w:rPr>
              <w:t>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125E6834" w14:textId="77777777" w:rsidR="00327FF1" w:rsidRDefault="00E406C7">
            <w:pPr>
              <w:pStyle w:val="P68B1DB1-Normal11"/>
              <w:spacing w:before="120" w:after="120"/>
              <w:jc w:val="center"/>
              <w:rPr>
                <w:noProof/>
                <w:szCs w:val="20"/>
              </w:rPr>
            </w:pPr>
            <w:r>
              <w:rPr>
                <w:noProof/>
              </w:rPr>
              <w:t>2023</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AD04BD6" w14:textId="77777777" w:rsidR="00327FF1" w:rsidRDefault="00E406C7">
            <w:pPr>
              <w:pStyle w:val="P68B1DB1-Normal11"/>
              <w:rPr>
                <w:noProof/>
                <w:szCs w:val="20"/>
              </w:rPr>
            </w:pPr>
            <w:r>
              <w:rPr>
                <w:noProof/>
              </w:rPr>
              <w:t>Jaunais Likumdošanas dekrēts groza Itālijas rūpnieciskā īpašuma kodeksu (2005. gada 10. februāra Likumdošanas dekrēts Nr. 30) un aptver vismaz šādas jomas: tiesiskā regulējuma pārskatīšana, lai stiprinātu rūpnieciskā īpašuma</w:t>
            </w:r>
            <w:r>
              <w:rPr>
                <w:noProof/>
              </w:rPr>
              <w:t xml:space="preserve"> tiesību aizsardzību un vienkāršotu procedūras, ii) stiprinātu atbalstu uzņēmumiem un pētniecības iestādēm, iii) uzlabotu prasmju un kompetenču attīstību, iv) atvieglotu zināšanu nodošanu, v) stiprinātu inovatīvu pakalpojumu veicināšanu.</w:t>
            </w:r>
          </w:p>
        </w:tc>
      </w:tr>
      <w:tr w:rsidR="00327FF1" w14:paraId="7C16AE5D"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1F8564B3" w14:textId="77777777" w:rsidR="00327FF1" w:rsidRDefault="00E406C7">
            <w:pPr>
              <w:pStyle w:val="P68B1DB1-Normal11"/>
              <w:spacing w:before="120" w:after="120"/>
              <w:jc w:val="center"/>
              <w:rPr>
                <w:noProof/>
                <w:szCs w:val="20"/>
              </w:rPr>
            </w:pPr>
            <w:r>
              <w:rPr>
                <w:noProof/>
              </w:rPr>
              <w:t>M1C2–5</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5B74EA3D" w14:textId="77777777" w:rsidR="00327FF1" w:rsidRDefault="00E406C7">
            <w:pPr>
              <w:pStyle w:val="P68B1DB1-Normal11"/>
              <w:spacing w:before="120" w:after="120"/>
              <w:jc w:val="center"/>
              <w:rPr>
                <w:noProof/>
                <w:szCs w:val="20"/>
              </w:rPr>
            </w:pPr>
            <w:r>
              <w:rPr>
                <w:noProof/>
              </w:rPr>
              <w:t>Investīcija Nr. 6: Ieguldījumi rūpnieciskā īpašuma sistēmā</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F4AFD61" w14:textId="77777777" w:rsidR="00327FF1" w:rsidRDefault="00E406C7">
            <w:pPr>
              <w:pStyle w:val="P68B1DB1-Normal12"/>
              <w:spacing w:before="120" w:after="120"/>
              <w:rPr>
                <w:noProof/>
              </w:rPr>
            </w:pPr>
            <w:r>
              <w:rPr>
                <w:noProof/>
              </w:rPr>
              <w:t>Mērķa</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6AE73632" w14:textId="60B05D53" w:rsidR="00327FF1" w:rsidRDefault="00E406C7">
            <w:pPr>
              <w:pStyle w:val="P68B1DB1-Normal12"/>
              <w:spacing w:before="120" w:after="120"/>
              <w:jc w:val="center"/>
              <w:rPr>
                <w:noProof/>
              </w:rPr>
            </w:pPr>
            <w:r>
              <w:rPr>
                <w:noProof/>
              </w:rPr>
              <w:t>Nobeiguma pasākumi/projektu ziņojumi par vismaz 254 projektiem, kas saistīti ar rūpniecisko īpašumu un pētniecību.</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431712B3" w14:textId="77777777" w:rsidR="00327FF1" w:rsidRDefault="00E406C7">
            <w:pPr>
              <w:pStyle w:val="P68B1DB1-Normal12"/>
              <w:spacing w:before="120" w:after="120"/>
              <w:jc w:val="center"/>
              <w:rPr>
                <w:noProof/>
              </w:rPr>
            </w:pPr>
            <w:r>
              <w:rPr>
                <w:noProof/>
              </w:rPr>
              <w:t>NEPIEMĒRO</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673544A7" w14:textId="77777777" w:rsidR="00327FF1" w:rsidRDefault="00E406C7">
            <w:pPr>
              <w:pStyle w:val="P68B1DB1-Normal12"/>
              <w:spacing w:before="120" w:after="120"/>
              <w:jc w:val="center"/>
              <w:rPr>
                <w:noProof/>
              </w:rPr>
            </w:pPr>
            <w:r>
              <w:rPr>
                <w:noProof/>
              </w:rPr>
              <w:t>Skaits</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01979C87" w14:textId="77777777" w:rsidR="00327FF1" w:rsidRDefault="00E406C7">
            <w:pPr>
              <w:pStyle w:val="P68B1DB1-Normal12"/>
              <w:spacing w:before="120" w:after="120"/>
              <w:jc w:val="center"/>
              <w:rPr>
                <w:noProof/>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05CA310" w14:textId="77777777" w:rsidR="00327FF1" w:rsidRDefault="00E406C7">
            <w:pPr>
              <w:pStyle w:val="P68B1DB1-Normal12"/>
              <w:spacing w:before="120" w:after="120"/>
              <w:jc w:val="center"/>
              <w:rPr>
                <w:noProof/>
              </w:rPr>
            </w:pPr>
            <w:r>
              <w:rPr>
                <w:noProof/>
              </w:rPr>
              <w:t>254</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6CE8633E" w14:textId="77777777" w:rsidR="00327FF1" w:rsidRDefault="00E406C7">
            <w:pPr>
              <w:pStyle w:val="P68B1DB1-Normal11"/>
              <w:spacing w:before="120" w:after="120"/>
              <w:jc w:val="center"/>
              <w:rPr>
                <w:noProof/>
                <w:szCs w:val="20"/>
              </w:rPr>
            </w:pPr>
            <w:r>
              <w:rPr>
                <w:noProof/>
              </w:rPr>
              <w:t>4.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A344357" w14:textId="77777777" w:rsidR="00327FF1" w:rsidRDefault="00E406C7">
            <w:pPr>
              <w:pStyle w:val="P68B1DB1-Normal11"/>
              <w:spacing w:before="120" w:after="120"/>
              <w:jc w:val="center"/>
              <w:rPr>
                <w:noProof/>
                <w:szCs w:val="20"/>
              </w:rPr>
            </w:pPr>
            <w:r>
              <w:rPr>
                <w:noProof/>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32081B93" w14:textId="77777777" w:rsidR="00327FF1" w:rsidRDefault="00E406C7">
            <w:pPr>
              <w:pStyle w:val="P68B1DB1-Normal21"/>
              <w:spacing w:before="120" w:after="120" w:line="278" w:lineRule="auto"/>
              <w:rPr>
                <w:rFonts w:ascii="Arial Narrow" w:hAnsi="Arial Narrow"/>
                <w:noProof/>
                <w:szCs w:val="20"/>
              </w:rPr>
            </w:pPr>
            <w:r>
              <w:rPr>
                <w:rFonts w:ascii="Arial Narrow" w:hAnsi="Arial Narrow"/>
                <w:noProof/>
              </w:rPr>
              <w:t xml:space="preserve">Galīgie pasākumi/projektu ziņojumi, ko </w:t>
            </w:r>
            <w:r>
              <w:rPr>
                <w:rFonts w:ascii="Arial Narrow" w:hAnsi="Arial Narrow"/>
                <w:noProof/>
              </w:rPr>
              <w:t>parakstījuši saņēmēji subjekti, ir iesniegti par vismaz 254 projektiem pētniecības un rūpnieciskā īpašuma jomā.</w:t>
            </w:r>
            <w:r>
              <w:rPr>
                <w:rFonts w:ascii="Arial Narrow" w:eastAsia="Arial Narrow" w:hAnsi="Arial Narrow" w:cs="Arial Narrow"/>
                <w:noProof/>
                <w:szCs w:val="20"/>
                <w:u w:val="single"/>
              </w:rPr>
              <w:t xml:space="preserve"> </w:t>
            </w:r>
            <w:r>
              <w:rPr>
                <w:rFonts w:ascii="Arial Narrow" w:hAnsi="Arial Narrow"/>
                <w:noProof/>
                <w:szCs w:val="20"/>
              </w:rPr>
              <w:t>.</w:t>
            </w:r>
          </w:p>
        </w:tc>
      </w:tr>
      <w:tr w:rsidR="00327FF1" w14:paraId="55C8254C"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0D2C2F6F" w14:textId="77777777" w:rsidR="00327FF1" w:rsidRDefault="00E406C7">
            <w:pPr>
              <w:pStyle w:val="P68B1DB1-Normal11"/>
              <w:spacing w:before="120" w:after="120"/>
              <w:jc w:val="center"/>
              <w:rPr>
                <w:noProof/>
                <w:szCs w:val="20"/>
              </w:rPr>
            </w:pPr>
            <w:r>
              <w:rPr>
                <w:noProof/>
              </w:rPr>
              <w:t>M1C2–6</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3245C5C" w14:textId="77777777" w:rsidR="00327FF1" w:rsidRDefault="00E406C7">
            <w:pPr>
              <w:pStyle w:val="P68B1DB1-Normal11"/>
              <w:spacing w:before="120" w:after="120"/>
              <w:jc w:val="center"/>
              <w:rPr>
                <w:noProof/>
                <w:szCs w:val="20"/>
              </w:rPr>
            </w:pPr>
            <w:r>
              <w:rPr>
                <w:noProof/>
              </w:rPr>
              <w:t>Reforma. Ikgadējie konkurences tiesību akti</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4F8279D" w14:textId="77777777" w:rsidR="00327FF1" w:rsidRDefault="00E406C7">
            <w:pPr>
              <w:pStyle w:val="P68B1DB1-Normal11"/>
              <w:spacing w:before="120" w:after="120"/>
              <w:jc w:val="center"/>
              <w:rPr>
                <w:noProof/>
                <w:szCs w:val="20"/>
              </w:rPr>
            </w:pPr>
            <w:r>
              <w:rPr>
                <w:noProof/>
              </w:rPr>
              <w:t>Atskaites punkts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4F1484FB" w14:textId="77777777" w:rsidR="00327FF1" w:rsidRDefault="00E406C7">
            <w:pPr>
              <w:pStyle w:val="P68B1DB1-Normal11"/>
              <w:spacing w:before="120" w:after="120"/>
              <w:jc w:val="center"/>
              <w:rPr>
                <w:noProof/>
                <w:szCs w:val="20"/>
              </w:rPr>
            </w:pPr>
            <w:r>
              <w:rPr>
                <w:noProof/>
              </w:rPr>
              <w:t>2021. gada Konkurences likuma stāšanās spēkā</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13E6DF1" w14:textId="77777777" w:rsidR="00327FF1" w:rsidRDefault="00E406C7">
            <w:pPr>
              <w:pStyle w:val="P68B1DB1-Normal11"/>
              <w:spacing w:before="120" w:after="120"/>
              <w:jc w:val="center"/>
              <w:rPr>
                <w:noProof/>
                <w:szCs w:val="20"/>
              </w:rPr>
            </w:pPr>
            <w:r>
              <w:rPr>
                <w:noProof/>
              </w:rPr>
              <w:t xml:space="preserve">Noteikums par 2021. gada </w:t>
            </w:r>
            <w:r>
              <w:rPr>
                <w:noProof/>
              </w:rPr>
              <w:t>Konkurences likuma stāšanos spēkā.</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330CB1CF" w14:textId="77777777" w:rsidR="00327FF1" w:rsidRDefault="00E406C7">
            <w:pPr>
              <w:pStyle w:val="P68B1DB1-Normal11"/>
              <w:spacing w:before="120" w:after="120"/>
              <w:jc w:val="center"/>
              <w:rPr>
                <w:noProof/>
                <w:szCs w:val="20"/>
              </w:rPr>
            </w:pPr>
            <w:r>
              <w:rPr>
                <w:noProof/>
              </w:rPr>
              <w:t>NEPIEMĒRO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090E2453" w14:textId="77777777" w:rsidR="00327FF1" w:rsidRDefault="00E406C7">
            <w:pPr>
              <w:pStyle w:val="P68B1DB1-Normal11"/>
              <w:spacing w:before="120" w:after="120"/>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E943A9F" w14:textId="77777777" w:rsidR="00327FF1" w:rsidRDefault="00E406C7">
            <w:pPr>
              <w:pStyle w:val="P68B1DB1-Normal11"/>
              <w:spacing w:before="120" w:after="120"/>
              <w:jc w:val="center"/>
              <w:rPr>
                <w:noProof/>
                <w:szCs w:val="20"/>
              </w:rPr>
            </w:pPr>
            <w:r>
              <w:rPr>
                <w:noProof/>
              </w:rPr>
              <w:t>NEPIEMĒRO</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1799E7FD" w14:textId="77777777" w:rsidR="00327FF1" w:rsidRDefault="00E406C7">
            <w:pPr>
              <w:pStyle w:val="P68B1DB1-Normal11"/>
              <w:spacing w:before="120" w:after="120"/>
              <w:jc w:val="center"/>
              <w:rPr>
                <w:noProof/>
                <w:szCs w:val="20"/>
              </w:rPr>
            </w:pPr>
            <w:r>
              <w:rPr>
                <w:noProof/>
              </w:rPr>
              <w:t>4.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0665A310" w14:textId="77777777" w:rsidR="00327FF1" w:rsidRDefault="00E406C7">
            <w:pPr>
              <w:pStyle w:val="P68B1DB1-Normal11"/>
              <w:spacing w:before="120" w:after="120"/>
              <w:jc w:val="center"/>
              <w:rPr>
                <w:noProof/>
                <w:szCs w:val="20"/>
              </w:rPr>
            </w:pPr>
            <w:r>
              <w:rPr>
                <w:noProof/>
              </w:rPr>
              <w:t>2022</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042D619A" w14:textId="77777777" w:rsidR="00327FF1" w:rsidRDefault="00E406C7">
            <w:pPr>
              <w:pStyle w:val="P68B1DB1-Normal11"/>
              <w:spacing w:before="120" w:after="120"/>
              <w:rPr>
                <w:noProof/>
                <w:szCs w:val="20"/>
              </w:rPr>
            </w:pPr>
            <w:r>
              <w:rPr>
                <w:noProof/>
              </w:rPr>
              <w:t xml:space="preserve">Ikgadējais konkurences likums ietver vismaz šādus galvenos elementus, kuru īstenošanas pasākumi un sekundārie tiesību akti (vajadzības gadījumā) tiek pieņemti un stājas spēkā ne </w:t>
            </w:r>
            <w:r>
              <w:rPr>
                <w:noProof/>
              </w:rPr>
              <w:t>vēlāk kā 2022. gada 31. decembrī.</w:t>
            </w:r>
          </w:p>
          <w:p w14:paraId="5C05FAAE" w14:textId="705BF21E" w:rsidR="00327FF1" w:rsidRDefault="00E406C7">
            <w:pPr>
              <w:spacing w:before="120" w:after="120"/>
              <w:rPr>
                <w:rFonts w:ascii="Arial Narrow" w:hAnsi="Arial Narrow"/>
                <w:noProof/>
                <w:color w:val="006100"/>
                <w:sz w:val="20"/>
                <w:szCs w:val="20"/>
              </w:rPr>
            </w:pPr>
            <w:r>
              <w:rPr>
                <w:rFonts w:ascii="Arial Narrow" w:hAnsi="Arial Narrow"/>
                <w:noProof/>
                <w:color w:val="006100"/>
                <w:sz w:val="20"/>
              </w:rPr>
              <w:t>Tas attiecas uz:</w:t>
            </w:r>
            <w:r>
              <w:rPr>
                <w:rFonts w:ascii="Arial Narrow" w:hAnsi="Arial Narrow"/>
                <w:noProof/>
              </w:rPr>
              <w:t xml:space="preserve"> </w:t>
            </w:r>
            <w:r>
              <w:rPr>
                <w:noProof/>
              </w:rPr>
              <w:t xml:space="preserve"> </w:t>
            </w:r>
            <w:r>
              <w:rPr>
                <w:noProof/>
              </w:rPr>
              <w:br/>
            </w:r>
            <w:r>
              <w:rPr>
                <w:rFonts w:ascii="Arial Narrow" w:hAnsi="Arial Narrow"/>
                <w:noProof/>
                <w:color w:val="006100"/>
                <w:sz w:val="20"/>
              </w:rPr>
              <w:t>Pretmonopola noteikumu izpilde</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 Vietējie sabiedriskie pakalpojumi</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 Enerģija</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 Transports</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 Atkritumi</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 Uzņēmējdarbības sākšana</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 Tirgus uzraudzība</w:t>
            </w:r>
          </w:p>
          <w:p w14:paraId="6C6EC5B7" w14:textId="77777777" w:rsidR="00327FF1" w:rsidRDefault="00E406C7">
            <w:pPr>
              <w:pStyle w:val="P68B1DB1-Normal11"/>
              <w:spacing w:before="120" w:after="120"/>
              <w:rPr>
                <w:noProof/>
                <w:szCs w:val="20"/>
              </w:rPr>
            </w:pPr>
            <w:r>
              <w:rPr>
                <w:noProof/>
              </w:rPr>
              <w:t>Pretmonopola noteikumu izpilde:</w:t>
            </w:r>
          </w:p>
          <w:p w14:paraId="70A3FBE2" w14:textId="77777777" w:rsidR="00327FF1" w:rsidRDefault="00E406C7">
            <w:pPr>
              <w:pStyle w:val="P68B1DB1-Normal11"/>
              <w:spacing w:before="120" w:after="120"/>
              <w:rPr>
                <w:noProof/>
                <w:szCs w:val="20"/>
              </w:rPr>
            </w:pPr>
            <w:r>
              <w:rPr>
                <w:noProof/>
              </w:rPr>
              <w:t>I. N</w:t>
            </w:r>
            <w:r>
              <w:rPr>
                <w:noProof/>
              </w:rPr>
              <w:t>ovērst papildu šķēršļus apvienošanās kontrolei, vēl vairāk saskaņojot Itālijas apvienošanās kontroles noteikumus ar ES tiesību aktiem.</w:t>
            </w:r>
          </w:p>
          <w:p w14:paraId="5E02F76C" w14:textId="77777777" w:rsidR="00327FF1" w:rsidRDefault="00E406C7">
            <w:pPr>
              <w:pStyle w:val="P68B1DB1-Normal11"/>
              <w:spacing w:before="120" w:after="120"/>
              <w:rPr>
                <w:noProof/>
                <w:szCs w:val="20"/>
              </w:rPr>
            </w:pPr>
            <w:r>
              <w:rPr>
                <w:noProof/>
              </w:rPr>
              <w:t>Vietējie sabiedriskie pakalpojumi:</w:t>
            </w:r>
          </w:p>
          <w:p w14:paraId="32DAE0D9" w14:textId="77777777" w:rsidR="00327FF1" w:rsidRDefault="00E406C7">
            <w:pPr>
              <w:pStyle w:val="P68B1DB1-Normal11"/>
              <w:spacing w:before="120" w:after="120"/>
              <w:rPr>
                <w:noProof/>
                <w:szCs w:val="20"/>
              </w:rPr>
            </w:pPr>
            <w:r>
              <w:rPr>
                <w:noProof/>
              </w:rPr>
              <w:t>II. Stiprināt un plašāk izmantot konkurences principu attiecībā uz vietējiem sabiedris</w:t>
            </w:r>
            <w:r>
              <w:rPr>
                <w:noProof/>
              </w:rPr>
              <w:t>ko pakalpojumu līgumiem, jo īpaši atkritumu un vietējā sabiedriskā transporta jomā.</w:t>
            </w:r>
          </w:p>
          <w:p w14:paraId="11F0ACEB" w14:textId="77777777" w:rsidR="00327FF1" w:rsidRDefault="00E406C7">
            <w:pPr>
              <w:pStyle w:val="P68B1DB1-Normal11"/>
              <w:spacing w:before="120" w:after="120"/>
              <w:rPr>
                <w:noProof/>
                <w:szCs w:val="20"/>
              </w:rPr>
            </w:pPr>
            <w:r>
              <w:rPr>
                <w:noProof/>
              </w:rPr>
              <w:t>III. Ierobežot tiešu piešķiršanu, pieprasot vietējām valsts iestādēm pamatot jebkādas atkāpes no sabiedrisko pakalpojumu līgumu konkursa (saskaņā ar Publisko iepirkumu kode</w:t>
            </w:r>
            <w:r>
              <w:rPr>
                <w:noProof/>
              </w:rPr>
              <w:t>ksa 192. pantu).</w:t>
            </w:r>
          </w:p>
          <w:p w14:paraId="59265CCE" w14:textId="77777777" w:rsidR="00327FF1" w:rsidRDefault="00E406C7">
            <w:pPr>
              <w:pStyle w:val="P68B1DB1-Normal11"/>
              <w:spacing w:before="120" w:after="120"/>
              <w:rPr>
                <w:noProof/>
                <w:szCs w:val="20"/>
              </w:rPr>
            </w:pPr>
            <w:r>
              <w:rPr>
                <w:noProof/>
              </w:rPr>
              <w:t>IV. Nodrošināt sabiedrisko pakalpojumu līgumu pienācīgu regulējumu, īstenojot Likuma Nr. 124/2015 19. pantu kā vienotu tekstu par vietējiem sabiedriskajiem pakalpojumiem, jo īpaši atkritumu apsaimniekošanas jomā.</w:t>
            </w:r>
          </w:p>
          <w:p w14:paraId="2FC335D6" w14:textId="42C650A7" w:rsidR="00327FF1" w:rsidRDefault="00E406C7">
            <w:pPr>
              <w:pStyle w:val="P68B1DB1-Normal21"/>
              <w:spacing w:before="120" w:after="120"/>
              <w:rPr>
                <w:rFonts w:ascii="Arial Narrow" w:hAnsi="Arial Narrow"/>
                <w:noProof/>
                <w:szCs w:val="20"/>
              </w:rPr>
            </w:pPr>
            <w:r>
              <w:rPr>
                <w:rFonts w:ascii="Arial Narrow" w:hAnsi="Arial Narrow"/>
                <w:noProof/>
              </w:rPr>
              <w:t xml:space="preserve">noteikumi un apvienošanas </w:t>
            </w:r>
            <w:r>
              <w:rPr>
                <w:rFonts w:ascii="Arial Narrow" w:hAnsi="Arial Narrow"/>
                <w:noProof/>
              </w:rPr>
              <w:t>mehānismi stimulē pašvaldību apvienības, lai samazinātu subjektu un līgumslēdzēju iestāžu skaitu, sasaistot tos ar optimālu teritoriālo agregāciju (“ambiti territoriali ottimali”) un vietējā un reģionālā sabiedriskā transporta pakalpojumu teritorijām un at</w:t>
            </w:r>
            <w:r>
              <w:rPr>
                <w:rFonts w:ascii="Arial Narrow" w:hAnsi="Arial Narrow"/>
                <w:noProof/>
              </w:rPr>
              <w:t>bilstīgu līmeni (“bacini e livelli adeguati di servizi di trasporto pubblico locale e regionale”), kurā ir vismaz</w:t>
            </w:r>
            <w:r>
              <w:rPr>
                <w:rFonts w:ascii="Arial Narrow"/>
                <w:noProof/>
              </w:rPr>
              <w:t xml:space="preserve"> 350000 iedz</w:t>
            </w:r>
            <w:r>
              <w:rPr>
                <w:rFonts w:ascii="Arial Narrow"/>
                <w:noProof/>
              </w:rPr>
              <w:t>ī</w:t>
            </w:r>
            <w:r>
              <w:rPr>
                <w:rFonts w:ascii="Arial Narrow"/>
                <w:noProof/>
              </w:rPr>
              <w:t>vot</w:t>
            </w:r>
            <w:r>
              <w:rPr>
                <w:rFonts w:ascii="Arial Narrow"/>
                <w:noProof/>
              </w:rPr>
              <w:t>ā</w:t>
            </w:r>
            <w:r>
              <w:rPr>
                <w:rFonts w:ascii="Arial Narrow"/>
                <w:noProof/>
              </w:rPr>
              <w:t>ju.</w:t>
            </w:r>
          </w:p>
          <w:p w14:paraId="6EF514E7" w14:textId="77777777" w:rsidR="00327FF1" w:rsidRDefault="00E406C7">
            <w:pPr>
              <w:pStyle w:val="P68B1DB1-Normal11"/>
              <w:spacing w:before="120" w:after="120"/>
              <w:rPr>
                <w:noProof/>
                <w:szCs w:val="20"/>
              </w:rPr>
            </w:pPr>
            <w:r>
              <w:rPr>
                <w:noProof/>
              </w:rPr>
              <w:t>Tiesību aktā par vietējiem sabiedriskajiem pakalpojumiem, ar ko īsteno Likuma Nr. 124/2015 19. pantu, vismaz:</w:t>
            </w:r>
          </w:p>
          <w:p w14:paraId="4B2FCAAB" w14:textId="77777777" w:rsidR="00327FF1" w:rsidRDefault="00E406C7">
            <w:pPr>
              <w:pStyle w:val="P68B1DB1-Normal11"/>
              <w:spacing w:before="120" w:after="120"/>
              <w:rPr>
                <w:noProof/>
                <w:szCs w:val="20"/>
              </w:rPr>
            </w:pPr>
            <w:r>
              <w:rPr>
                <w:noProof/>
              </w:rPr>
              <w:t>— definēt sa</w:t>
            </w:r>
            <w:r>
              <w:rPr>
                <w:noProof/>
              </w:rPr>
              <w:t>biedriskos pakalpojumus, pamatojoties uz ES tiesību aktu kritērijiem;</w:t>
            </w:r>
          </w:p>
          <w:p w14:paraId="037ED991" w14:textId="77777777" w:rsidR="00327FF1" w:rsidRDefault="00E406C7">
            <w:pPr>
              <w:pStyle w:val="P68B1DB1-Normal11"/>
              <w:spacing w:before="120" w:after="120"/>
              <w:rPr>
                <w:noProof/>
                <w:szCs w:val="20"/>
              </w:rPr>
            </w:pPr>
            <w:r>
              <w:rPr>
                <w:noProof/>
              </w:rPr>
              <w:t>— paredz vispārīgus principus vietējo sabiedrisko pakalpojumu sniegšanai, regulēšanai un pārvaldībai;</w:t>
            </w:r>
          </w:p>
          <w:p w14:paraId="346D422E" w14:textId="77777777" w:rsidR="00327FF1" w:rsidRDefault="00E406C7">
            <w:pPr>
              <w:pStyle w:val="P68B1DB1-Normal11"/>
              <w:spacing w:before="120" w:after="120"/>
              <w:rPr>
                <w:noProof/>
                <w:szCs w:val="20"/>
              </w:rPr>
            </w:pPr>
            <w:r>
              <w:rPr>
                <w:noProof/>
              </w:rPr>
              <w:t>noteikt vispārēju proporcionalitātes principu attiecībā uz sabiedrisko pakalpojumu l</w:t>
            </w:r>
            <w:r>
              <w:rPr>
                <w:noProof/>
              </w:rPr>
              <w:t>īgumu darbības laiku;</w:t>
            </w:r>
          </w:p>
          <w:p w14:paraId="5E90A285" w14:textId="77777777" w:rsidR="00327FF1" w:rsidRDefault="00E406C7">
            <w:pPr>
              <w:pStyle w:val="P68B1DB1-Normal11"/>
              <w:spacing w:before="120" w:after="120"/>
              <w:rPr>
                <w:noProof/>
                <w:szCs w:val="20"/>
              </w:rPr>
            </w:pPr>
            <w:r>
              <w:rPr>
                <w:noProof/>
              </w:rPr>
              <w:t>— skaidri nodalīt sabiedrisko pakalpojumu līgumu regulēšanas un kontroles funkcijas un pārvaldības funkcijas;</w:t>
            </w:r>
          </w:p>
          <w:p w14:paraId="6DB7B0EA" w14:textId="77777777" w:rsidR="00327FF1" w:rsidRDefault="00E406C7">
            <w:pPr>
              <w:pStyle w:val="P68B1DB1-Normal11"/>
              <w:spacing w:before="120" w:after="120"/>
              <w:rPr>
                <w:noProof/>
                <w:szCs w:val="20"/>
              </w:rPr>
            </w:pPr>
            <w:r>
              <w:rPr>
                <w:noProof/>
              </w:rPr>
              <w:t>nodrošināt, ka vietējās publiskās iestādes pamato to, ka tās palielina līdzdalīgo uzņēmumu kapitāla daļas, lai piešķirtu iek</w:t>
            </w:r>
            <w:r>
              <w:rPr>
                <w:noProof/>
              </w:rPr>
              <w:t>šējos apbalvojumus;</w:t>
            </w:r>
          </w:p>
          <w:p w14:paraId="3B0AF0BA" w14:textId="77777777" w:rsidR="00327FF1" w:rsidRDefault="00E406C7">
            <w:pPr>
              <w:pStyle w:val="P68B1DB1-Normal11"/>
              <w:spacing w:before="120" w:after="120"/>
              <w:rPr>
                <w:noProof/>
                <w:szCs w:val="20"/>
              </w:rPr>
            </w:pPr>
            <w:r>
              <w:rPr>
                <w:noProof/>
              </w:rPr>
              <w:t>— nodrošināt pienācīgu kompensāciju par sabiedrisko pakalpojumu līgumiem, pamatojoties uz izmaksu aprēķināšanu, ko pārrauga neatkarīgi regulatori (piemēram, ARERA par enerģiju vai ART transportam);</w:t>
            </w:r>
          </w:p>
          <w:p w14:paraId="2DC1E2D1" w14:textId="77777777" w:rsidR="00327FF1" w:rsidRDefault="00E406C7">
            <w:pPr>
              <w:pStyle w:val="P68B1DB1-Normal11"/>
              <w:spacing w:before="120" w:after="120"/>
              <w:rPr>
                <w:noProof/>
                <w:szCs w:val="20"/>
              </w:rPr>
            </w:pPr>
            <w:r>
              <w:rPr>
                <w:noProof/>
              </w:rPr>
              <w:t xml:space="preserve">— ierobežot iekšējo līgumu vidējo </w:t>
            </w:r>
            <w:r>
              <w:rPr>
                <w:noProof/>
              </w:rPr>
              <w:t>ilgumu un samazināt un saskaņot konkursa dalībnieku līgumu standarta ilgumu ar nosacījumu, ka šis termiņš nodrošina līgumu ekonomisko un finansiālo līdzsvaru, pamatojoties arī uz Transporta iestādes noteiktajiem kritērijiem.</w:t>
            </w:r>
          </w:p>
          <w:p w14:paraId="02273E33" w14:textId="77777777" w:rsidR="00327FF1" w:rsidRDefault="00E406C7">
            <w:pPr>
              <w:pStyle w:val="P68B1DB1-Normal11"/>
              <w:spacing w:before="120" w:after="120"/>
              <w:rPr>
                <w:noProof/>
                <w:szCs w:val="20"/>
              </w:rPr>
            </w:pPr>
            <w:r>
              <w:rPr>
                <w:noProof/>
              </w:rPr>
              <w:t>Enerģētika:</w:t>
            </w:r>
          </w:p>
          <w:p w14:paraId="3689EEF0" w14:textId="77777777" w:rsidR="00327FF1" w:rsidRDefault="00E406C7">
            <w:pPr>
              <w:pStyle w:val="P68B1DB1-Normal30"/>
              <w:spacing w:before="120" w:after="120"/>
              <w:rPr>
                <w:noProof/>
                <w:color w:val="006100"/>
                <w:sz w:val="20"/>
                <w:szCs w:val="20"/>
              </w:rPr>
            </w:pPr>
            <w:r>
              <w:rPr>
                <w:noProof/>
                <w:color w:val="006100"/>
                <w:sz w:val="20"/>
              </w:rPr>
              <w:t>VI.</w:t>
            </w:r>
            <w:r>
              <w:rPr>
                <w:noProof/>
              </w:rPr>
              <w:t xml:space="preserve"> </w:t>
            </w:r>
            <w:r>
              <w:rPr>
                <w:noProof/>
                <w:color w:val="006100"/>
                <w:sz w:val="20"/>
              </w:rPr>
              <w:t>Noteikt obligāt</w:t>
            </w:r>
            <w:r>
              <w:rPr>
                <w:noProof/>
                <w:color w:val="006100"/>
                <w:sz w:val="20"/>
              </w:rPr>
              <w:t>u konkursu par koncesijas līgumiem attiecībā uz hidroenerģiju un noteikt tiesisko regulējumu attiecībā uz hidroenerģijas koncesijām.</w:t>
            </w:r>
          </w:p>
          <w:p w14:paraId="64A040CF" w14:textId="77777777" w:rsidR="00327FF1" w:rsidRDefault="00E406C7">
            <w:pPr>
              <w:pStyle w:val="P68B1DB1-Normal30"/>
              <w:spacing w:before="120" w:after="120"/>
              <w:rPr>
                <w:noProof/>
                <w:color w:val="006100"/>
                <w:sz w:val="20"/>
                <w:szCs w:val="20"/>
              </w:rPr>
            </w:pPr>
            <w:r>
              <w:rPr>
                <w:noProof/>
                <w:color w:val="006100"/>
                <w:sz w:val="20"/>
              </w:rPr>
              <w:t>VII.</w:t>
            </w:r>
            <w:r>
              <w:rPr>
                <w:noProof/>
              </w:rPr>
              <w:t xml:space="preserve"> </w:t>
            </w:r>
            <w:r>
              <w:rPr>
                <w:noProof/>
                <w:color w:val="006100"/>
                <w:sz w:val="20"/>
              </w:rPr>
              <w:t>Noteikt, ka koncesijas līgumu konkurss gāzes sadalei ir obligāts.</w:t>
            </w:r>
          </w:p>
          <w:p w14:paraId="72E32AF3" w14:textId="77777777" w:rsidR="00327FF1" w:rsidRDefault="00E406C7">
            <w:pPr>
              <w:pStyle w:val="P68B1DB1-Normal30"/>
              <w:spacing w:before="120" w:after="120"/>
              <w:rPr>
                <w:noProof/>
                <w:color w:val="006100"/>
                <w:sz w:val="20"/>
                <w:szCs w:val="20"/>
              </w:rPr>
            </w:pPr>
            <w:r>
              <w:rPr>
                <w:noProof/>
                <w:color w:val="006100"/>
                <w:sz w:val="20"/>
              </w:rPr>
              <w:t>VIII.</w:t>
            </w:r>
            <w:r>
              <w:rPr>
                <w:noProof/>
              </w:rPr>
              <w:t xml:space="preserve"> </w:t>
            </w:r>
            <w:r>
              <w:rPr>
                <w:noProof/>
                <w:color w:val="006100"/>
                <w:sz w:val="20"/>
              </w:rPr>
              <w:t>Nosaka pārredzamas un nediskriminējošas prasīb</w:t>
            </w:r>
            <w:r>
              <w:rPr>
                <w:noProof/>
                <w:color w:val="006100"/>
                <w:sz w:val="20"/>
              </w:rPr>
              <w:t>as attiecībā uz sabiedrisko vietu piešķiršanu elektrouzlādei vai attiecībā uz uzlādes punktu/staciju operatoru atlasi.</w:t>
            </w:r>
          </w:p>
          <w:p w14:paraId="0FF39FBF" w14:textId="77777777" w:rsidR="00327FF1" w:rsidRDefault="00E406C7">
            <w:pPr>
              <w:pStyle w:val="P68B1DB1-Normal30"/>
              <w:spacing w:before="120" w:after="120"/>
              <w:rPr>
                <w:noProof/>
                <w:color w:val="006100"/>
                <w:sz w:val="20"/>
                <w:szCs w:val="20"/>
              </w:rPr>
            </w:pPr>
            <w:r>
              <w:rPr>
                <w:noProof/>
                <w:color w:val="006100"/>
                <w:sz w:val="20"/>
              </w:rPr>
              <w:t>IX.</w:t>
            </w:r>
            <w:r>
              <w:rPr>
                <w:noProof/>
              </w:rPr>
              <w:t xml:space="preserve"> </w:t>
            </w:r>
            <w:r>
              <w:rPr>
                <w:noProof/>
                <w:color w:val="006100"/>
                <w:sz w:val="20"/>
              </w:rPr>
              <w:t>Atcelt regulētos tarifus elektroapgādei elektrotransportlīdzekļu uzlādei.</w:t>
            </w:r>
          </w:p>
          <w:p w14:paraId="1044126B" w14:textId="77777777" w:rsidR="00327FF1" w:rsidRDefault="00E406C7">
            <w:pPr>
              <w:pStyle w:val="P68B1DB1-Normal11"/>
              <w:spacing w:before="120" w:after="120"/>
              <w:rPr>
                <w:noProof/>
                <w:szCs w:val="20"/>
              </w:rPr>
            </w:pPr>
            <w:r>
              <w:rPr>
                <w:noProof/>
              </w:rPr>
              <w:t>Konkurences regulējums attiecībā uz hidroenerģijas koncesij</w:t>
            </w:r>
            <w:r>
              <w:rPr>
                <w:noProof/>
              </w:rPr>
              <w:t>ām vismaz:</w:t>
            </w:r>
          </w:p>
          <w:p w14:paraId="1E8356E9" w14:textId="77777777" w:rsidR="00327FF1" w:rsidRDefault="00E406C7">
            <w:pPr>
              <w:pStyle w:val="P68B1DB1-Normal30"/>
              <w:spacing w:before="120" w:after="120"/>
              <w:rPr>
                <w:noProof/>
                <w:color w:val="006100"/>
                <w:sz w:val="20"/>
                <w:szCs w:val="20"/>
              </w:rPr>
            </w:pPr>
            <w:r>
              <w:rPr>
                <w:noProof/>
                <w:color w:val="006100"/>
                <w:sz w:val="20"/>
              </w:rPr>
              <w:t>-</w:t>
            </w:r>
            <w:r>
              <w:rPr>
                <w:noProof/>
              </w:rPr>
              <w:t xml:space="preserve"> </w:t>
            </w:r>
            <w:r>
              <w:rPr>
                <w:noProof/>
                <w:color w:val="006100"/>
                <w:sz w:val="20"/>
              </w:rPr>
              <w:t>Prasa, lai svarīgas hidroenerģijas iekārtas tiktu regulētas ar vispārīgiem un vienotiem kritērijiem centrālā līmenī.</w:t>
            </w:r>
          </w:p>
          <w:p w14:paraId="2FA9D96D" w14:textId="77777777" w:rsidR="00327FF1" w:rsidRDefault="00E406C7">
            <w:pPr>
              <w:pStyle w:val="P68B1DB1-Normal30"/>
              <w:spacing w:before="120" w:after="120"/>
              <w:rPr>
                <w:noProof/>
                <w:color w:val="006100"/>
                <w:sz w:val="20"/>
                <w:szCs w:val="20"/>
              </w:rPr>
            </w:pPr>
            <w:r>
              <w:rPr>
                <w:noProof/>
                <w:color w:val="006100"/>
                <w:sz w:val="20"/>
              </w:rPr>
              <w:t>Pieprasīt</w:t>
            </w:r>
            <w:r>
              <w:rPr>
                <w:noProof/>
              </w:rPr>
              <w:t xml:space="preserve"> </w:t>
            </w:r>
            <w:r>
              <w:rPr>
                <w:noProof/>
                <w:color w:val="006100"/>
                <w:sz w:val="20"/>
              </w:rPr>
              <w:t>reģioniem definēt ekonomiskos kritērijus, kas ir koncesijas līgumu darbības ilguma pamatā.</w:t>
            </w:r>
          </w:p>
          <w:p w14:paraId="2206E797" w14:textId="77777777" w:rsidR="00327FF1" w:rsidRDefault="00E406C7">
            <w:pPr>
              <w:pStyle w:val="P68B1DB1-Normal11"/>
              <w:spacing w:before="120" w:after="120"/>
              <w:rPr>
                <w:noProof/>
                <w:szCs w:val="20"/>
              </w:rPr>
            </w:pPr>
            <w:r>
              <w:rPr>
                <w:noProof/>
              </w:rPr>
              <w:t>—Pakāpeniski izslēgt iesp</w:t>
            </w:r>
            <w:r>
              <w:rPr>
                <w:noProof/>
              </w:rPr>
              <w:t>ēju pagarināt līgumu termiņu (kā jau ir lēmusi Itālijas Konstitucionālā tiesa).</w:t>
            </w:r>
          </w:p>
          <w:p w14:paraId="7DEF6025" w14:textId="77777777" w:rsidR="00327FF1" w:rsidRDefault="00E406C7">
            <w:pPr>
              <w:pStyle w:val="P68B1DB1-Normal30"/>
              <w:spacing w:before="120" w:after="120"/>
              <w:rPr>
                <w:noProof/>
                <w:color w:val="006100"/>
                <w:sz w:val="20"/>
                <w:szCs w:val="20"/>
              </w:rPr>
            </w:pPr>
            <w:r>
              <w:rPr>
                <w:noProof/>
                <w:color w:val="006100"/>
                <w:sz w:val="20"/>
              </w:rPr>
              <w:t>Pieprasīt</w:t>
            </w:r>
            <w:r>
              <w:rPr>
                <w:noProof/>
              </w:rPr>
              <w:t xml:space="preserve"> </w:t>
            </w:r>
            <w:r>
              <w:rPr>
                <w:noProof/>
                <w:color w:val="006100"/>
                <w:sz w:val="20"/>
              </w:rPr>
              <w:t>reģioniem saskaņot kritērijus piekļuvei konkursa kritērijiem (lai radītu paredzamu uzņēmējdarbības vidi).</w:t>
            </w:r>
          </w:p>
          <w:p w14:paraId="634878E7" w14:textId="77777777" w:rsidR="00327FF1" w:rsidRDefault="00E406C7">
            <w:pPr>
              <w:pStyle w:val="P68B1DB1-Normal11"/>
              <w:spacing w:before="120" w:after="120"/>
              <w:rPr>
                <w:noProof/>
                <w:szCs w:val="20"/>
              </w:rPr>
            </w:pPr>
            <w:r>
              <w:rPr>
                <w:noProof/>
              </w:rPr>
              <w:t>Transports:</w:t>
            </w:r>
          </w:p>
          <w:p w14:paraId="6E5333B8" w14:textId="77777777" w:rsidR="00327FF1" w:rsidRDefault="00E406C7">
            <w:pPr>
              <w:pStyle w:val="P68B1DB1-Normal30"/>
              <w:spacing w:before="120" w:after="120"/>
              <w:rPr>
                <w:noProof/>
                <w:color w:val="006100"/>
                <w:sz w:val="20"/>
                <w:szCs w:val="20"/>
              </w:rPr>
            </w:pPr>
            <w:r>
              <w:rPr>
                <w:noProof/>
                <w:color w:val="006100"/>
                <w:sz w:val="20"/>
              </w:rPr>
              <w:t>X. nosaka</w:t>
            </w:r>
            <w:r>
              <w:rPr>
                <w:noProof/>
              </w:rPr>
              <w:t xml:space="preserve"> </w:t>
            </w:r>
            <w:r>
              <w:rPr>
                <w:noProof/>
                <w:color w:val="006100"/>
                <w:sz w:val="20"/>
              </w:rPr>
              <w:t>skaidrus, nediskriminējošus un pārredz</w:t>
            </w:r>
            <w:r>
              <w:rPr>
                <w:noProof/>
                <w:color w:val="006100"/>
                <w:sz w:val="20"/>
              </w:rPr>
              <w:t>amus kritērijus ostas koncesiju piešķiršanai.</w:t>
            </w:r>
          </w:p>
          <w:p w14:paraId="08F41913" w14:textId="77777777" w:rsidR="00327FF1" w:rsidRDefault="00E406C7">
            <w:pPr>
              <w:pStyle w:val="P68B1DB1-Normal30"/>
              <w:spacing w:before="120" w:after="120"/>
              <w:rPr>
                <w:noProof/>
                <w:color w:val="006100"/>
                <w:sz w:val="20"/>
                <w:szCs w:val="20"/>
              </w:rPr>
            </w:pPr>
            <w:r>
              <w:rPr>
                <w:noProof/>
                <w:color w:val="006100"/>
                <w:sz w:val="20"/>
              </w:rPr>
              <w:t>XI.</w:t>
            </w:r>
            <w:r>
              <w:rPr>
                <w:noProof/>
              </w:rPr>
              <w:t xml:space="preserve"> </w:t>
            </w:r>
            <w:r>
              <w:rPr>
                <w:noProof/>
                <w:color w:val="006100"/>
                <w:sz w:val="20"/>
              </w:rPr>
              <w:t>Likvidēt šķēršļus, kas ostas koncesionāriem traucē apvienot ostas koncesijas darbības vairākās lielās un vidēja lieluma ostās.</w:t>
            </w:r>
          </w:p>
          <w:p w14:paraId="1772B1DD" w14:textId="77777777" w:rsidR="00327FF1" w:rsidRDefault="00E406C7">
            <w:pPr>
              <w:pStyle w:val="P68B1DB1-Normal30"/>
              <w:spacing w:before="120" w:after="120"/>
              <w:rPr>
                <w:noProof/>
                <w:color w:val="006100"/>
                <w:sz w:val="20"/>
                <w:szCs w:val="20"/>
              </w:rPr>
            </w:pPr>
            <w:r>
              <w:rPr>
                <w:noProof/>
                <w:color w:val="006100"/>
                <w:sz w:val="20"/>
              </w:rPr>
              <w:t>XII.</w:t>
            </w:r>
            <w:r>
              <w:rPr>
                <w:noProof/>
              </w:rPr>
              <w:t xml:space="preserve"> </w:t>
            </w:r>
            <w:r>
              <w:rPr>
                <w:noProof/>
                <w:color w:val="006100"/>
                <w:sz w:val="20"/>
              </w:rPr>
              <w:t>Likvidēt šķēršļus, kas neļauj koncesionāriem pašiem sniegt dažus ostas pak</w:t>
            </w:r>
            <w:r>
              <w:rPr>
                <w:noProof/>
                <w:color w:val="006100"/>
                <w:sz w:val="20"/>
              </w:rPr>
              <w:t>alpojumus un izmantot savu aprīkojumu, neskarot darba ņēmēju drošību, ar noteikumu, ka attiecīgie nosacījumi, kas vajadzīgi darba ņēmēju drošības aizsardzībai, ir nepieciešami un samērīgi ar mērķi nodrošināt drošību ostas teritorijās.</w:t>
            </w:r>
          </w:p>
          <w:p w14:paraId="261E3B76" w14:textId="77777777" w:rsidR="00327FF1" w:rsidRDefault="00E406C7">
            <w:pPr>
              <w:pStyle w:val="P68B1DB1-Normal30"/>
              <w:spacing w:before="120" w:after="120"/>
              <w:rPr>
                <w:noProof/>
                <w:color w:val="006100"/>
                <w:sz w:val="20"/>
                <w:szCs w:val="20"/>
              </w:rPr>
            </w:pPr>
            <w:r>
              <w:rPr>
                <w:noProof/>
                <w:color w:val="006100"/>
                <w:sz w:val="20"/>
              </w:rPr>
              <w:t>XIII.</w:t>
            </w:r>
            <w:r>
              <w:rPr>
                <w:noProof/>
              </w:rPr>
              <w:t xml:space="preserve"> </w:t>
            </w:r>
            <w:r>
              <w:rPr>
                <w:noProof/>
                <w:color w:val="006100"/>
                <w:sz w:val="20"/>
              </w:rPr>
              <w:t>Vienkāršot ostu</w:t>
            </w:r>
            <w:r>
              <w:rPr>
                <w:noProof/>
                <w:color w:val="006100"/>
                <w:sz w:val="20"/>
              </w:rPr>
              <w:t xml:space="preserve"> atļauju plānu pārskatīšanas procedūru pārskatīšanu.</w:t>
            </w:r>
          </w:p>
          <w:p w14:paraId="70DBDEFA" w14:textId="77777777" w:rsidR="00327FF1" w:rsidRDefault="00E406C7">
            <w:pPr>
              <w:pStyle w:val="P68B1DB1-Normal30"/>
              <w:spacing w:before="120" w:after="120"/>
              <w:rPr>
                <w:noProof/>
                <w:color w:val="006100"/>
                <w:sz w:val="20"/>
                <w:szCs w:val="20"/>
              </w:rPr>
            </w:pPr>
            <w:r>
              <w:rPr>
                <w:noProof/>
                <w:color w:val="006100"/>
                <w:sz w:val="20"/>
              </w:rPr>
              <w:t>XIV.</w:t>
            </w:r>
            <w:r>
              <w:rPr>
                <w:noProof/>
              </w:rPr>
              <w:t xml:space="preserve"> </w:t>
            </w:r>
            <w:r>
              <w:rPr>
                <w:noProof/>
                <w:color w:val="006100"/>
                <w:sz w:val="20"/>
              </w:rPr>
              <w:t>Īstenot Dekrētlikuma Nr. 50/2017 27. panta 2. punkta d) apakšpunktu, kas paredz stimulus reģioniem izsludināt reģionālos dzelzceļa līgumus.</w:t>
            </w:r>
          </w:p>
          <w:p w14:paraId="3E06171B" w14:textId="77777777" w:rsidR="00327FF1" w:rsidRDefault="00E406C7">
            <w:pPr>
              <w:pStyle w:val="P68B1DB1-Normal11"/>
              <w:spacing w:before="120" w:after="120"/>
              <w:rPr>
                <w:noProof/>
                <w:szCs w:val="20"/>
              </w:rPr>
            </w:pPr>
            <w:r>
              <w:rPr>
                <w:noProof/>
              </w:rPr>
              <w:t>Atkritumi:</w:t>
            </w:r>
          </w:p>
          <w:p w14:paraId="0AB12B12" w14:textId="77777777" w:rsidR="00327FF1" w:rsidRDefault="00E406C7">
            <w:pPr>
              <w:pStyle w:val="P68B1DB1-Normal30"/>
              <w:spacing w:before="120" w:after="120"/>
              <w:rPr>
                <w:noProof/>
                <w:color w:val="006100"/>
                <w:sz w:val="20"/>
                <w:szCs w:val="20"/>
              </w:rPr>
            </w:pPr>
            <w:r>
              <w:rPr>
                <w:noProof/>
                <w:color w:val="006100"/>
                <w:sz w:val="20"/>
              </w:rPr>
              <w:t>XV.</w:t>
            </w:r>
            <w:r>
              <w:rPr>
                <w:noProof/>
              </w:rPr>
              <w:t xml:space="preserve"> </w:t>
            </w:r>
            <w:r>
              <w:rPr>
                <w:noProof/>
                <w:color w:val="006100"/>
                <w:sz w:val="20"/>
              </w:rPr>
              <w:t xml:space="preserve">Vienkāršot atļauju piešķiršanas procedūras </w:t>
            </w:r>
            <w:r>
              <w:rPr>
                <w:noProof/>
                <w:color w:val="006100"/>
                <w:sz w:val="20"/>
              </w:rPr>
              <w:t>atkritumu apstrādes iekārtām.</w:t>
            </w:r>
          </w:p>
          <w:p w14:paraId="49CE1739" w14:textId="77777777" w:rsidR="00327FF1" w:rsidRDefault="00E406C7">
            <w:pPr>
              <w:pStyle w:val="P68B1DB1-Normal11"/>
              <w:spacing w:before="120" w:after="120"/>
              <w:rPr>
                <w:noProof/>
                <w:szCs w:val="20"/>
              </w:rPr>
            </w:pPr>
            <w:r>
              <w:rPr>
                <w:noProof/>
              </w:rPr>
              <w:t>Uzņēmējdarbības sākšana:</w:t>
            </w:r>
          </w:p>
          <w:p w14:paraId="025DBCB4" w14:textId="77777777" w:rsidR="00327FF1" w:rsidRDefault="00E406C7">
            <w:pPr>
              <w:pStyle w:val="P68B1DB1-Normal30"/>
              <w:spacing w:before="120" w:after="120"/>
              <w:rPr>
                <w:noProof/>
                <w:color w:val="006100"/>
                <w:sz w:val="20"/>
                <w:szCs w:val="20"/>
              </w:rPr>
            </w:pPr>
            <w:r>
              <w:rPr>
                <w:noProof/>
                <w:color w:val="006100"/>
                <w:sz w:val="20"/>
              </w:rPr>
              <w:t>XVI.</w:t>
            </w:r>
            <w:r>
              <w:rPr>
                <w:noProof/>
              </w:rPr>
              <w:t xml:space="preserve"> </w:t>
            </w:r>
            <w:r>
              <w:rPr>
                <w:noProof/>
                <w:color w:val="006100"/>
                <w:sz w:val="20"/>
              </w:rPr>
              <w:t>Samazināt akreditācijas laiku informācijas sniegšanai par darbiniekiem no septiņām līdz četrām dienām, lai samazinātu dienu skaitu uzņēmuma izveidei.</w:t>
            </w:r>
          </w:p>
          <w:p w14:paraId="611CF472" w14:textId="77777777" w:rsidR="00327FF1" w:rsidRDefault="00E406C7">
            <w:pPr>
              <w:pStyle w:val="P68B1DB1-Normal11"/>
              <w:spacing w:before="120" w:after="120"/>
              <w:rPr>
                <w:noProof/>
                <w:szCs w:val="20"/>
              </w:rPr>
            </w:pPr>
            <w:r>
              <w:rPr>
                <w:noProof/>
              </w:rPr>
              <w:t>Tirgus uzraudzība —</w:t>
            </w:r>
          </w:p>
          <w:p w14:paraId="2EDA95F4" w14:textId="77777777" w:rsidR="00327FF1" w:rsidRDefault="00E406C7">
            <w:pPr>
              <w:pStyle w:val="P68B1DB1-Normal30"/>
              <w:spacing w:before="120" w:after="120"/>
              <w:rPr>
                <w:noProof/>
                <w:color w:val="006100"/>
                <w:sz w:val="20"/>
                <w:szCs w:val="20"/>
              </w:rPr>
            </w:pPr>
            <w:r>
              <w:rPr>
                <w:noProof/>
                <w:color w:val="006100"/>
                <w:sz w:val="20"/>
              </w:rPr>
              <w:t>XVII.</w:t>
            </w:r>
            <w:r>
              <w:rPr>
                <w:noProof/>
              </w:rPr>
              <w:t xml:space="preserve"> </w:t>
            </w:r>
            <w:r>
              <w:rPr>
                <w:noProof/>
                <w:color w:val="006100"/>
                <w:sz w:val="20"/>
              </w:rPr>
              <w:t>Valsts tirgus uzraud</w:t>
            </w:r>
            <w:r>
              <w:rPr>
                <w:noProof/>
                <w:color w:val="006100"/>
                <w:sz w:val="20"/>
              </w:rPr>
              <w:t>zības iestāžu konsolidācija ne vairāk kā desmit aģentūrās, kas atrodas Itālijas galvenajos reģionos, katrā no tām aptverot visas produktu grupas un ziņojot vienotajam sadarbības koordinatoram, kas izveidots saskaņā ar Regulu 2019/1020 (“Preču pakete”).</w:t>
            </w:r>
          </w:p>
          <w:p w14:paraId="12B788A3" w14:textId="77777777" w:rsidR="00327FF1" w:rsidRDefault="00E406C7">
            <w:pPr>
              <w:pStyle w:val="P68B1DB1-Normal30"/>
              <w:spacing w:before="120" w:after="120"/>
              <w:rPr>
                <w:noProof/>
                <w:color w:val="006100"/>
                <w:sz w:val="20"/>
                <w:szCs w:val="20"/>
              </w:rPr>
            </w:pPr>
            <w:r>
              <w:rPr>
                <w:noProof/>
                <w:color w:val="006100"/>
                <w:sz w:val="20"/>
              </w:rPr>
              <w:t>XVI</w:t>
            </w:r>
            <w:r>
              <w:rPr>
                <w:noProof/>
                <w:color w:val="006100"/>
                <w:sz w:val="20"/>
              </w:rPr>
              <w:t>II.</w:t>
            </w:r>
            <w:r>
              <w:rPr>
                <w:noProof/>
              </w:rPr>
              <w:t xml:space="preserve"> </w:t>
            </w:r>
            <w:r>
              <w:rPr>
                <w:noProof/>
                <w:color w:val="006100"/>
                <w:sz w:val="20"/>
              </w:rPr>
              <w:t>Pieprasīt valstu tirgus uzraudzības iestādēm veikt digitalizētas produktu inspekcijas un datu vākšanu, izmantot mākslīgo intelektu, lai izsekotu bīstamus un nelikumīgus produktus, un apzināt tendences un riskus vienotajā tirgū.</w:t>
            </w:r>
          </w:p>
          <w:p w14:paraId="26018446" w14:textId="77777777" w:rsidR="00327FF1" w:rsidRDefault="00E406C7">
            <w:pPr>
              <w:pStyle w:val="P68B1DB1-Normal30"/>
              <w:spacing w:before="120" w:after="120"/>
              <w:rPr>
                <w:noProof/>
                <w:color w:val="006100"/>
                <w:sz w:val="20"/>
                <w:szCs w:val="20"/>
              </w:rPr>
            </w:pPr>
            <w:r>
              <w:rPr>
                <w:noProof/>
                <w:color w:val="006100"/>
                <w:sz w:val="20"/>
              </w:rPr>
              <w:t>XIX.</w:t>
            </w:r>
            <w:r>
              <w:rPr>
                <w:noProof/>
              </w:rPr>
              <w:t xml:space="preserve"> </w:t>
            </w:r>
            <w:r>
              <w:rPr>
                <w:noProof/>
                <w:color w:val="006100"/>
                <w:sz w:val="20"/>
              </w:rPr>
              <w:t>Pieprasīt valstu ti</w:t>
            </w:r>
            <w:r>
              <w:rPr>
                <w:noProof/>
                <w:color w:val="006100"/>
                <w:sz w:val="20"/>
              </w:rPr>
              <w:t>rgus uzraudzības iestādēm iekļaut apmācību un informācijas un saziņas sistēmas izmantošanu Eiropas mēroga tirgus uzraudzībai.</w:t>
            </w:r>
          </w:p>
          <w:p w14:paraId="233C279B" w14:textId="77777777" w:rsidR="00327FF1" w:rsidRDefault="00E406C7">
            <w:pPr>
              <w:pStyle w:val="P68B1DB1-Normal30"/>
              <w:spacing w:before="120" w:after="120"/>
              <w:rPr>
                <w:noProof/>
                <w:color w:val="006100"/>
                <w:sz w:val="20"/>
                <w:szCs w:val="20"/>
              </w:rPr>
            </w:pPr>
            <w:r>
              <w:rPr>
                <w:noProof/>
                <w:color w:val="006100"/>
                <w:sz w:val="20"/>
              </w:rPr>
              <w:t>XX.</w:t>
            </w:r>
            <w:r>
              <w:rPr>
                <w:noProof/>
              </w:rPr>
              <w:t xml:space="preserve"> </w:t>
            </w:r>
            <w:r>
              <w:rPr>
                <w:noProof/>
                <w:color w:val="006100"/>
                <w:sz w:val="20"/>
              </w:rPr>
              <w:t xml:space="preserve">Izveidot jaunas akreditētas laboratorijas produktu testēšanai visās produktu grupās. Šīs laboratorijas veic e-komercijas </w:t>
            </w:r>
            <w:r>
              <w:rPr>
                <w:noProof/>
                <w:color w:val="006100"/>
                <w:sz w:val="20"/>
              </w:rPr>
              <w:t>testēšanu, fizisku laboratorisku testēšanu, kopīgas darbības (muitas/tirgus uzraudzības iestādes; divas vai vairākas valsts tirgus uzraudzības iestādes, valsts un ES tirgus iestādes).</w:t>
            </w:r>
          </w:p>
        </w:tc>
      </w:tr>
      <w:tr w:rsidR="00327FF1" w14:paraId="771C2914"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7A4BB317" w14:textId="77777777" w:rsidR="00327FF1" w:rsidRDefault="00E406C7">
            <w:pPr>
              <w:pStyle w:val="P68B1DB1-Normal11"/>
              <w:spacing w:before="120" w:after="120"/>
              <w:jc w:val="center"/>
              <w:rPr>
                <w:noProof/>
                <w:szCs w:val="20"/>
              </w:rPr>
            </w:pPr>
            <w:r>
              <w:rPr>
                <w:noProof/>
              </w:rPr>
              <w:t>M1C2–7</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45227B6E" w14:textId="77777777" w:rsidR="00327FF1" w:rsidRDefault="00E406C7">
            <w:pPr>
              <w:pStyle w:val="P68B1DB1-Normal11"/>
              <w:spacing w:before="120" w:after="120"/>
              <w:jc w:val="center"/>
              <w:rPr>
                <w:noProof/>
                <w:szCs w:val="20"/>
              </w:rPr>
            </w:pPr>
            <w:r>
              <w:rPr>
                <w:noProof/>
              </w:rPr>
              <w:t>Reforma. Ikgadējie konkurences tiesību akti</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6E61163" w14:textId="77777777" w:rsidR="00327FF1" w:rsidRDefault="00E406C7">
            <w:pPr>
              <w:pStyle w:val="P68B1DB1-Normal11"/>
              <w:spacing w:before="120" w:after="120"/>
              <w:jc w:val="center"/>
              <w:rPr>
                <w:noProof/>
                <w:szCs w:val="20"/>
              </w:rPr>
            </w:pPr>
            <w:r>
              <w:rPr>
                <w:noProof/>
              </w:rPr>
              <w:t>Atskaites punkts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5335E86B" w14:textId="77777777" w:rsidR="00327FF1" w:rsidRDefault="00E406C7">
            <w:pPr>
              <w:pStyle w:val="P68B1DB1-Normal11"/>
              <w:spacing w:before="120" w:after="120"/>
              <w:jc w:val="center"/>
              <w:rPr>
                <w:noProof/>
                <w:szCs w:val="20"/>
              </w:rPr>
            </w:pPr>
            <w:r>
              <w:rPr>
                <w:noProof/>
              </w:rPr>
              <w:t>Visu ar enerģētiku saistīto īstenošanas pasākumu un sekundāro tiesību aktu stāšanās spēkā (ja nepieciešams)</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6222876" w14:textId="77777777" w:rsidR="00327FF1" w:rsidRDefault="00E406C7">
            <w:pPr>
              <w:pStyle w:val="P68B1DB1-Normal11"/>
              <w:spacing w:before="120" w:after="120"/>
              <w:jc w:val="center"/>
              <w:rPr>
                <w:noProof/>
                <w:szCs w:val="20"/>
              </w:rPr>
            </w:pPr>
            <w:r>
              <w:rPr>
                <w:noProof/>
              </w:rPr>
              <w:t>Visu ar enerģētiku saistīto īstenošanas pasākumu un sekundāro tiesību aktu stāšanās spēkā (ja nepieciešams)</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7771DAA" w14:textId="77777777" w:rsidR="00327FF1" w:rsidRDefault="00E406C7">
            <w:pPr>
              <w:pStyle w:val="P68B1DB1-Normal11"/>
              <w:spacing w:before="120" w:after="120"/>
              <w:jc w:val="center"/>
              <w:rPr>
                <w:noProof/>
                <w:szCs w:val="20"/>
              </w:rPr>
            </w:pPr>
            <w:r>
              <w:rPr>
                <w:noProof/>
              </w:rPr>
              <w:t>NEPIEMĒRO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FBA0B0E" w14:textId="77777777" w:rsidR="00327FF1" w:rsidRDefault="00E406C7">
            <w:pPr>
              <w:pStyle w:val="P68B1DB1-Normal11"/>
              <w:spacing w:before="120" w:after="120"/>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F46DB26" w14:textId="77777777" w:rsidR="00327FF1" w:rsidRDefault="00E406C7">
            <w:pPr>
              <w:pStyle w:val="P68B1DB1-Normal11"/>
              <w:spacing w:before="120" w:after="120"/>
              <w:jc w:val="center"/>
              <w:rPr>
                <w:noProof/>
                <w:szCs w:val="20"/>
              </w:rPr>
            </w:pPr>
            <w:r>
              <w:rPr>
                <w:noProof/>
              </w:rPr>
              <w:t>NEPIEMĒRO</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2C520A16" w14:textId="77777777" w:rsidR="00327FF1" w:rsidRDefault="00E406C7">
            <w:pPr>
              <w:pStyle w:val="P68B1DB1-Normal11"/>
              <w:spacing w:before="120" w:after="120"/>
              <w:jc w:val="center"/>
              <w:rPr>
                <w:noProof/>
                <w:szCs w:val="20"/>
              </w:rPr>
            </w:pPr>
            <w:r>
              <w:rPr>
                <w:noProof/>
              </w:rPr>
              <w:t>4.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6259BA31" w14:textId="77777777" w:rsidR="00327FF1" w:rsidRDefault="00E406C7">
            <w:pPr>
              <w:pStyle w:val="P68B1DB1-Normal11"/>
              <w:spacing w:before="120" w:after="120"/>
              <w:jc w:val="center"/>
              <w:rPr>
                <w:noProof/>
                <w:szCs w:val="20"/>
              </w:rPr>
            </w:pPr>
            <w:r>
              <w:rPr>
                <w:noProof/>
              </w:rPr>
              <w:t>20</w:t>
            </w:r>
            <w:r>
              <w:rPr>
                <w:noProof/>
              </w:rPr>
              <w:t>22</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2748DF97" w14:textId="77777777" w:rsidR="00327FF1" w:rsidRDefault="00E406C7">
            <w:pPr>
              <w:pStyle w:val="P68B1DB1-Normal11"/>
              <w:spacing w:before="120" w:after="120"/>
              <w:rPr>
                <w:noProof/>
                <w:szCs w:val="20"/>
              </w:rPr>
            </w:pPr>
            <w:r>
              <w:rPr>
                <w:noProof/>
              </w:rPr>
              <w:t>Stājas spēkā visi ar enerģētiku saistītie īstenošanas pasākumi un sekundārie tiesību akti (vajadzības gadījumā), lai:</w:t>
            </w:r>
          </w:p>
          <w:p w14:paraId="31B66C03" w14:textId="77777777" w:rsidR="00327FF1" w:rsidRDefault="00E406C7">
            <w:pPr>
              <w:pStyle w:val="P68B1DB1-Normal30"/>
              <w:spacing w:before="120" w:after="120"/>
              <w:rPr>
                <w:noProof/>
                <w:color w:val="006100"/>
                <w:sz w:val="20"/>
                <w:szCs w:val="20"/>
              </w:rPr>
            </w:pPr>
            <w:r>
              <w:rPr>
                <w:noProof/>
                <w:color w:val="006100"/>
                <w:sz w:val="20"/>
              </w:rPr>
              <w:t>I. Pakāpeniski</w:t>
            </w:r>
            <w:r>
              <w:rPr>
                <w:noProof/>
              </w:rPr>
              <w:t xml:space="preserve"> </w:t>
            </w:r>
            <w:r>
              <w:rPr>
                <w:noProof/>
                <w:color w:val="006100"/>
                <w:sz w:val="20"/>
              </w:rPr>
              <w:t>atcelt regulētās cenas mikrouzņēmumiem un mājsaimniecībām no 2023. gada 1. janvāra.</w:t>
            </w:r>
          </w:p>
          <w:p w14:paraId="3E5A85DB" w14:textId="77777777" w:rsidR="00327FF1" w:rsidRDefault="00E406C7">
            <w:pPr>
              <w:pStyle w:val="P68B1DB1-Normal30"/>
              <w:spacing w:before="120" w:after="120"/>
              <w:rPr>
                <w:noProof/>
                <w:color w:val="006100"/>
                <w:sz w:val="20"/>
                <w:szCs w:val="20"/>
              </w:rPr>
            </w:pPr>
            <w:r>
              <w:rPr>
                <w:noProof/>
                <w:color w:val="006100"/>
                <w:sz w:val="20"/>
              </w:rPr>
              <w:t>II.</w:t>
            </w:r>
            <w:r>
              <w:rPr>
                <w:noProof/>
              </w:rPr>
              <w:t xml:space="preserve"> </w:t>
            </w:r>
            <w:r>
              <w:rPr>
                <w:noProof/>
                <w:color w:val="006100"/>
                <w:sz w:val="20"/>
              </w:rPr>
              <w:t>Pieņemt papildu pasākumus, lai a</w:t>
            </w:r>
            <w:r>
              <w:rPr>
                <w:noProof/>
                <w:color w:val="006100"/>
                <w:sz w:val="20"/>
              </w:rPr>
              <w:t>tbalstītu konkurences ieviešanu elektroenerģijas mazumtirdzniecības tirgos.</w:t>
            </w:r>
          </w:p>
          <w:p w14:paraId="31CE0970" w14:textId="77777777" w:rsidR="00327FF1" w:rsidRDefault="00E406C7">
            <w:pPr>
              <w:pStyle w:val="P68B1DB1-Normal11"/>
              <w:spacing w:before="120" w:after="120"/>
              <w:rPr>
                <w:noProof/>
                <w:szCs w:val="20"/>
              </w:rPr>
            </w:pPr>
            <w:r>
              <w:rPr>
                <w:noProof/>
              </w:rPr>
              <w:t>Papildu pasākumi, lai nodrošinātu konkurences ieviešanu elektroenerģijas mazumtirdzniecības tirgos, nodrošina vismaz šādu informāciju:</w:t>
            </w:r>
          </w:p>
          <w:p w14:paraId="484CD039" w14:textId="77777777" w:rsidR="00327FF1" w:rsidRDefault="00E406C7">
            <w:pPr>
              <w:pStyle w:val="P68B1DB1-Normal11"/>
              <w:spacing w:before="120" w:after="120"/>
              <w:rPr>
                <w:noProof/>
                <w:szCs w:val="20"/>
              </w:rPr>
            </w:pPr>
            <w:r>
              <w:rPr>
                <w:noProof/>
              </w:rPr>
              <w:t>— Izsolīt klientu bāzi, lai jaunienācējiem no</w:t>
            </w:r>
            <w:r>
              <w:rPr>
                <w:noProof/>
              </w:rPr>
              <w:t>drošinātu vienlīdzīgus konkurences apstākļus.</w:t>
            </w:r>
          </w:p>
          <w:p w14:paraId="45DCFFEF" w14:textId="77777777" w:rsidR="00327FF1" w:rsidRDefault="00E406C7">
            <w:pPr>
              <w:pStyle w:val="P68B1DB1-Normal11"/>
              <w:spacing w:before="120" w:after="120"/>
              <w:rPr>
                <w:noProof/>
                <w:szCs w:val="20"/>
              </w:rPr>
            </w:pPr>
            <w:r>
              <w:rPr>
                <w:noProof/>
              </w:rPr>
              <w:t>— Noteikt maksimālo robežu kā maksimālo tirgus daļu, kas pieejama katram piegādātājam;</w:t>
            </w:r>
          </w:p>
          <w:p w14:paraId="4A535CE0" w14:textId="77777777" w:rsidR="00327FF1" w:rsidRDefault="00E406C7">
            <w:pPr>
              <w:pStyle w:val="P68B1DB1-Normal11"/>
              <w:spacing w:before="120" w:after="120"/>
              <w:rPr>
                <w:noProof/>
                <w:szCs w:val="20"/>
              </w:rPr>
            </w:pPr>
            <w:r>
              <w:rPr>
                <w:noProof/>
              </w:rPr>
              <w:t>Ļaut Itālijas patērētājiem pieprasīt savam enerģijas piegādātājam atklāt rēķinu datus trešām personām, kas ir piegādātāji;</w:t>
            </w:r>
          </w:p>
          <w:p w14:paraId="7B1ECA2C" w14:textId="77777777" w:rsidR="00327FF1" w:rsidRDefault="00E406C7">
            <w:pPr>
              <w:pStyle w:val="P68B1DB1-Normal11"/>
              <w:spacing w:before="120" w:after="120"/>
              <w:rPr>
                <w:noProof/>
                <w:szCs w:val="20"/>
              </w:rPr>
            </w:pPr>
            <w:r>
              <w:rPr>
                <w:noProof/>
              </w:rPr>
              <w:t>Palielināt elektroenerģijas rēķinu pārredzamību, nodrošinot patērētājiem piekļuvi “spesi per oneri di sistema” apakškomponentiem;</w:t>
            </w:r>
          </w:p>
          <w:p w14:paraId="673F0127" w14:textId="77777777" w:rsidR="00327FF1" w:rsidRDefault="00E406C7">
            <w:pPr>
              <w:pStyle w:val="P68B1DB1-Normal11"/>
              <w:spacing w:before="120" w:after="120"/>
              <w:rPr>
                <w:noProof/>
                <w:szCs w:val="20"/>
              </w:rPr>
            </w:pPr>
            <w:r>
              <w:rPr>
                <w:noProof/>
              </w:rPr>
              <w:t>— Atcelt prasību piegādātājiem iekasēt maksas, kas nav saistītas ar enerģētikas nozari.</w:t>
            </w:r>
          </w:p>
        </w:tc>
      </w:tr>
      <w:tr w:rsidR="00327FF1" w14:paraId="53226163"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0E60E465" w14:textId="77777777" w:rsidR="00327FF1" w:rsidRDefault="00E406C7">
            <w:pPr>
              <w:pStyle w:val="P68B1DB1-Normal11"/>
              <w:spacing w:before="120" w:after="120"/>
              <w:jc w:val="center"/>
              <w:rPr>
                <w:noProof/>
                <w:szCs w:val="20"/>
              </w:rPr>
            </w:pPr>
            <w:r>
              <w:rPr>
                <w:noProof/>
              </w:rPr>
              <w:t>M1C2–8</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3626C18C" w14:textId="77777777" w:rsidR="00327FF1" w:rsidRDefault="00E406C7">
            <w:pPr>
              <w:pStyle w:val="P68B1DB1-Normal11"/>
              <w:spacing w:before="120" w:after="120"/>
              <w:jc w:val="center"/>
              <w:rPr>
                <w:noProof/>
                <w:szCs w:val="20"/>
              </w:rPr>
            </w:pPr>
            <w:r>
              <w:rPr>
                <w:noProof/>
              </w:rPr>
              <w:t>Reforma. Ikgadējie konkurences</w:t>
            </w:r>
            <w:r>
              <w:rPr>
                <w:noProof/>
              </w:rPr>
              <w:t xml:space="preserve"> tiesību akti</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7DBDCF2" w14:textId="77777777" w:rsidR="00327FF1" w:rsidRDefault="00E406C7">
            <w:pPr>
              <w:pStyle w:val="P68B1DB1-Normal11"/>
              <w:spacing w:before="120" w:after="120"/>
              <w:jc w:val="center"/>
              <w:rPr>
                <w:noProof/>
                <w:szCs w:val="20"/>
              </w:rPr>
            </w:pPr>
            <w:r>
              <w:rPr>
                <w:noProof/>
              </w:rPr>
              <w:t>Atskaites punkts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8B7F586" w14:textId="77777777" w:rsidR="00327FF1" w:rsidRDefault="00E406C7">
            <w:pPr>
              <w:pStyle w:val="P68B1DB1-Normal11"/>
              <w:spacing w:before="120" w:after="120"/>
              <w:jc w:val="center"/>
              <w:rPr>
                <w:noProof/>
                <w:szCs w:val="20"/>
              </w:rPr>
            </w:pPr>
            <w:r>
              <w:rPr>
                <w:noProof/>
              </w:rPr>
              <w:t>Visu īstenošanas pasākumu (tostarp vajadzības gadījumā sekundāro tiesību aktu) stāšanās spēkā, lai efektīvi īstenotu un piemērotu pasākumus, kas izriet no 2021. gada Konkurences likuma</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452E5B4" w14:textId="77777777" w:rsidR="00327FF1" w:rsidRDefault="00E406C7">
            <w:pPr>
              <w:pStyle w:val="P68B1DB1-Normal11"/>
              <w:spacing w:before="120" w:after="120"/>
              <w:jc w:val="center"/>
              <w:rPr>
                <w:noProof/>
                <w:szCs w:val="20"/>
              </w:rPr>
            </w:pPr>
            <w:r>
              <w:rPr>
                <w:noProof/>
              </w:rPr>
              <w:t xml:space="preserve">Stājas spēkā visi sekundārie tiesību </w:t>
            </w:r>
            <w:r>
              <w:rPr>
                <w:noProof/>
              </w:rPr>
              <w:t>akti, tostarp visi nepieciešamie noteikumi attiecībā uz pasākumiem, kas izriet no 2021. gada Konkurences likuma</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5B4303EE" w14:textId="77777777" w:rsidR="00327FF1" w:rsidRDefault="00E406C7">
            <w:pPr>
              <w:pStyle w:val="P68B1DB1-Normal11"/>
              <w:spacing w:before="120" w:after="120"/>
              <w:jc w:val="center"/>
              <w:rPr>
                <w:noProof/>
                <w:szCs w:val="20"/>
              </w:rPr>
            </w:pPr>
            <w:r>
              <w:rPr>
                <w:noProof/>
              </w:rPr>
              <w:t>NEPIEMĒRO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4FA9DA0" w14:textId="77777777" w:rsidR="00327FF1" w:rsidRDefault="00E406C7">
            <w:pPr>
              <w:pStyle w:val="P68B1DB1-Normal11"/>
              <w:spacing w:before="120" w:after="120"/>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D7DC6A4" w14:textId="77777777" w:rsidR="00327FF1" w:rsidRDefault="00E406C7">
            <w:pPr>
              <w:pStyle w:val="P68B1DB1-Normal11"/>
              <w:spacing w:before="120" w:after="120"/>
              <w:jc w:val="center"/>
              <w:rPr>
                <w:noProof/>
                <w:szCs w:val="20"/>
              </w:rPr>
            </w:pPr>
            <w:r>
              <w:rPr>
                <w:noProof/>
              </w:rPr>
              <w:t>NEPIEMĒRO</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2D3A27F1" w14:textId="77777777" w:rsidR="00327FF1" w:rsidRDefault="00E406C7">
            <w:pPr>
              <w:pStyle w:val="P68B1DB1-Normal11"/>
              <w:spacing w:before="120" w:after="120"/>
              <w:jc w:val="center"/>
              <w:rPr>
                <w:noProof/>
                <w:szCs w:val="20"/>
              </w:rPr>
            </w:pPr>
            <w:r>
              <w:rPr>
                <w:noProof/>
              </w:rPr>
              <w:t>4.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B1B2264" w14:textId="77777777" w:rsidR="00327FF1" w:rsidRDefault="00E406C7">
            <w:pPr>
              <w:pStyle w:val="P68B1DB1-Normal11"/>
              <w:spacing w:before="120" w:after="120"/>
              <w:jc w:val="center"/>
              <w:rPr>
                <w:noProof/>
                <w:szCs w:val="20"/>
              </w:rPr>
            </w:pPr>
            <w:r>
              <w:rPr>
                <w:noProof/>
              </w:rPr>
              <w:t>2022</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B032800" w14:textId="77777777" w:rsidR="00327FF1" w:rsidRDefault="00E406C7">
            <w:pPr>
              <w:pStyle w:val="P68B1DB1-Normal11"/>
              <w:spacing w:before="120" w:after="120"/>
              <w:rPr>
                <w:noProof/>
                <w:szCs w:val="20"/>
              </w:rPr>
            </w:pPr>
            <w:r>
              <w:rPr>
                <w:noProof/>
              </w:rPr>
              <w:t>Stājas spēkā visi īstenošanas pasākumi (vajadzības gadījumā arī sekundārie tiesību akti), lai efektīv</w:t>
            </w:r>
            <w:r>
              <w:rPr>
                <w:noProof/>
              </w:rPr>
              <w:t>i īstenotu un piemērotu pasākumus, kas izriet no 2021. gada Konkurences likuma.</w:t>
            </w:r>
          </w:p>
        </w:tc>
      </w:tr>
      <w:tr w:rsidR="00327FF1" w14:paraId="69B0E160"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8FF078D" w14:textId="77777777" w:rsidR="00327FF1" w:rsidRDefault="00E406C7">
            <w:pPr>
              <w:pStyle w:val="P68B1DB1-Normal11"/>
              <w:spacing w:before="120" w:after="120"/>
              <w:jc w:val="center"/>
              <w:rPr>
                <w:noProof/>
                <w:szCs w:val="20"/>
              </w:rPr>
            </w:pPr>
            <w:r>
              <w:rPr>
                <w:noProof/>
              </w:rPr>
              <w:t>M1C2–9</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1AD19E57" w14:textId="77777777" w:rsidR="00327FF1" w:rsidRDefault="00E406C7">
            <w:pPr>
              <w:pStyle w:val="P68B1DB1-Normal11"/>
              <w:spacing w:before="120" w:after="120"/>
              <w:jc w:val="center"/>
              <w:rPr>
                <w:noProof/>
                <w:szCs w:val="20"/>
              </w:rPr>
            </w:pPr>
            <w:r>
              <w:rPr>
                <w:noProof/>
              </w:rPr>
              <w:t>Reforma. Ikgadējie konkurences tiesību akti</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6B43B94" w14:textId="77777777" w:rsidR="00327FF1" w:rsidRDefault="00E406C7">
            <w:pPr>
              <w:pStyle w:val="P68B1DB1-Normal11"/>
              <w:spacing w:before="120" w:after="120"/>
              <w:jc w:val="center"/>
              <w:rPr>
                <w:noProof/>
                <w:szCs w:val="20"/>
              </w:rPr>
            </w:pPr>
            <w:r>
              <w:rPr>
                <w:noProof/>
              </w:rPr>
              <w:t>Atskaites punkts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7B5EA402" w14:textId="77777777" w:rsidR="00327FF1" w:rsidRDefault="00E406C7">
            <w:pPr>
              <w:pStyle w:val="P68B1DB1-Normal11"/>
              <w:spacing w:before="120" w:after="120"/>
              <w:jc w:val="center"/>
              <w:rPr>
                <w:noProof/>
                <w:szCs w:val="20"/>
              </w:rPr>
            </w:pPr>
            <w:r>
              <w:rPr>
                <w:noProof/>
              </w:rPr>
              <w:t>2022. gada Konkurences likuma stāšanās spēkā</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78C6DBAE" w14:textId="77777777" w:rsidR="00327FF1" w:rsidRDefault="00E406C7">
            <w:pPr>
              <w:pStyle w:val="P68B1DB1-Normal11"/>
              <w:spacing w:before="120" w:after="120"/>
              <w:jc w:val="center"/>
              <w:rPr>
                <w:noProof/>
                <w:szCs w:val="20"/>
              </w:rPr>
            </w:pPr>
            <w:r>
              <w:rPr>
                <w:noProof/>
              </w:rPr>
              <w:t>Noteikums par 2022. gada Konkurences likuma stāšanos spēkā.</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FE6A542" w14:textId="77777777" w:rsidR="00327FF1" w:rsidRDefault="00E406C7">
            <w:pPr>
              <w:pStyle w:val="P68B1DB1-Normal11"/>
              <w:spacing w:before="120" w:after="120"/>
              <w:jc w:val="center"/>
              <w:rPr>
                <w:noProof/>
                <w:szCs w:val="20"/>
              </w:rPr>
            </w:pPr>
            <w:r>
              <w:rPr>
                <w:noProof/>
              </w:rPr>
              <w:t>NEPIEMĒRO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4E5EC957" w14:textId="77777777" w:rsidR="00327FF1" w:rsidRDefault="00E406C7">
            <w:pPr>
              <w:pStyle w:val="P68B1DB1-Normal11"/>
              <w:spacing w:before="120" w:after="120"/>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55EEBE5" w14:textId="77777777" w:rsidR="00327FF1" w:rsidRDefault="00E406C7">
            <w:pPr>
              <w:pStyle w:val="P68B1DB1-Normal11"/>
              <w:spacing w:before="120" w:after="120"/>
              <w:jc w:val="center"/>
              <w:rPr>
                <w:noProof/>
                <w:szCs w:val="20"/>
              </w:rPr>
            </w:pPr>
            <w:r>
              <w:rPr>
                <w:noProof/>
              </w:rPr>
              <w:t>NEPIEMĒRO</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458C6923" w14:textId="77777777" w:rsidR="00327FF1" w:rsidRDefault="00E406C7">
            <w:pPr>
              <w:pStyle w:val="P68B1DB1-Normal11"/>
              <w:spacing w:before="120" w:after="120"/>
              <w:jc w:val="center"/>
              <w:rPr>
                <w:noProof/>
                <w:szCs w:val="20"/>
              </w:rPr>
            </w:pPr>
            <w:r>
              <w:rPr>
                <w:noProof/>
              </w:rPr>
              <w:t>4.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36AA3F5A" w14:textId="77777777" w:rsidR="00327FF1" w:rsidRDefault="00E406C7">
            <w:pPr>
              <w:pStyle w:val="P68B1DB1-Normal11"/>
              <w:spacing w:before="120" w:after="120"/>
              <w:jc w:val="center"/>
              <w:rPr>
                <w:noProof/>
                <w:szCs w:val="20"/>
              </w:rPr>
            </w:pPr>
            <w:r>
              <w:rPr>
                <w:noProof/>
              </w:rPr>
              <w:t>2023</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3C4D3F28" w14:textId="0E102418" w:rsidR="00327FF1" w:rsidRDefault="00E406C7">
            <w:pPr>
              <w:spacing w:after="120"/>
              <w:rPr>
                <w:rFonts w:ascii="Arial Narrow" w:hAnsi="Arial Narrow"/>
                <w:noProof/>
                <w:color w:val="006100"/>
                <w:sz w:val="20"/>
                <w:szCs w:val="20"/>
              </w:rPr>
            </w:pPr>
            <w:r>
              <w:rPr>
                <w:rFonts w:ascii="Arial Narrow" w:hAnsi="Arial Narrow"/>
                <w:noProof/>
                <w:color w:val="006100"/>
                <w:sz w:val="20"/>
              </w:rPr>
              <w:t>2022. gada Konkurences likuma stāšanās spēkā</w:t>
            </w:r>
            <w:r>
              <w:rPr>
                <w:noProof/>
              </w:rPr>
              <w:t xml:space="preserve"> </w:t>
            </w:r>
            <w:r>
              <w:rPr>
                <w:noProof/>
              </w:rPr>
              <w:br/>
            </w:r>
            <w:r>
              <w:rPr>
                <w:rFonts w:ascii="Arial Narrow" w:hAnsi="Arial Narrow"/>
                <w:noProof/>
                <w:color w:val="006100"/>
                <w:sz w:val="20"/>
              </w:rPr>
              <w:t xml:space="preserve">Ikgadējās konkurences tiesības ietver vismaz šādus galvenos elementus, kuru īstenošanas pasākumi un sekundārie tiesību akti (vajadzības gadījumā) tiek pieņemti un </w:t>
            </w:r>
            <w:r>
              <w:rPr>
                <w:rFonts w:ascii="Arial Narrow" w:hAnsi="Arial Narrow"/>
                <w:noProof/>
                <w:color w:val="006100"/>
                <w:sz w:val="20"/>
              </w:rPr>
              <w:t>stājas spēkā ne vēlāk kā 2023. gada 31. decembrī.</w:t>
            </w:r>
          </w:p>
          <w:p w14:paraId="7A7CA4BD" w14:textId="77777777" w:rsidR="00327FF1" w:rsidRDefault="00E406C7">
            <w:pPr>
              <w:pStyle w:val="P68B1DB1-Normal11"/>
              <w:spacing w:before="120" w:after="120"/>
              <w:rPr>
                <w:noProof/>
                <w:szCs w:val="20"/>
              </w:rPr>
            </w:pPr>
            <w:r>
              <w:rPr>
                <w:noProof/>
              </w:rPr>
              <w:t xml:space="preserve">Tajā: </w:t>
            </w:r>
          </w:p>
          <w:p w14:paraId="1AC8E43E" w14:textId="2CDB8C16" w:rsidR="00327FF1" w:rsidRDefault="00E406C7">
            <w:pPr>
              <w:pStyle w:val="P68B1DB1-Normal11"/>
              <w:spacing w:before="120" w:after="120"/>
              <w:rPr>
                <w:noProof/>
                <w:szCs w:val="20"/>
              </w:rPr>
            </w:pPr>
            <w:r>
              <w:rPr>
                <w:b/>
                <w:noProof/>
              </w:rPr>
              <w:t>izveido</w:t>
            </w:r>
            <w:r>
              <w:rPr>
                <w:noProof/>
              </w:rPr>
              <w:t xml:space="preserve"> skaidru procedūru elektroenerģijas tīkla attīstības plāna nākamajai desmitgadei pieņemšanai</w:t>
            </w:r>
            <w:r>
              <w:rPr>
                <w:b/>
                <w:noProof/>
              </w:rPr>
              <w:t xml:space="preserve">iepriekš </w:t>
            </w:r>
            <w:r>
              <w:rPr>
                <w:noProof/>
              </w:rPr>
              <w:t xml:space="preserve">noteiktos termiņos un jebkurā gadījumā līdz attiecīgā laikposma 31. decembrim (reizi divos </w:t>
            </w:r>
            <w:r>
              <w:rPr>
                <w:noProof/>
              </w:rPr>
              <w:t>gados)*, kas nodrošina procedūras pabeigšanu un apstiprināšanas procesa vienkāršošanu.</w:t>
            </w:r>
          </w:p>
          <w:p w14:paraId="27E8E27C" w14:textId="77777777" w:rsidR="00327FF1" w:rsidRDefault="00E406C7">
            <w:pPr>
              <w:pStyle w:val="P68B1DB1-Normal11"/>
              <w:spacing w:before="120" w:after="120"/>
              <w:rPr>
                <w:noProof/>
                <w:szCs w:val="20"/>
              </w:rPr>
            </w:pPr>
            <w:r>
              <w:rPr>
                <w:noProof/>
              </w:rPr>
              <w:t>(*) 2021. gada elektroenerģijas tīkla attīstības plānu pieņem līdz 2023. gada 31. decembrim.</w:t>
            </w:r>
          </w:p>
          <w:p w14:paraId="2C457F39" w14:textId="77777777" w:rsidR="00327FF1" w:rsidRDefault="00E406C7">
            <w:pPr>
              <w:pStyle w:val="P68B1DB1-Normal11"/>
              <w:spacing w:before="120" w:after="120"/>
              <w:rPr>
                <w:noProof/>
                <w:szCs w:val="20"/>
              </w:rPr>
            </w:pPr>
            <w:r>
              <w:rPr>
                <w:b/>
                <w:noProof/>
              </w:rPr>
              <w:t>II)</w:t>
            </w:r>
            <w:r>
              <w:rPr>
                <w:noProof/>
              </w:rPr>
              <w:t xml:space="preserve"> veicināt 2. paaudzes</w:t>
            </w:r>
            <w:r>
              <w:rPr>
                <w:noProof/>
                <w:vertAlign w:val="superscript"/>
              </w:rPr>
              <w:t>viedo</w:t>
            </w:r>
            <w:r>
              <w:rPr>
                <w:noProof/>
              </w:rPr>
              <w:t xml:space="preserve"> elektroenerģijas skaitītāju ieviešanu; </w:t>
            </w:r>
          </w:p>
          <w:p w14:paraId="012E6ED3" w14:textId="77777777" w:rsidR="00327FF1" w:rsidRDefault="00E406C7">
            <w:pPr>
              <w:pStyle w:val="P68B1DB1-Normal31"/>
              <w:rPr>
                <w:bCs/>
                <w:noProof/>
                <w:szCs w:val="20"/>
              </w:rPr>
            </w:pPr>
            <w:r>
              <w:rPr>
                <w:noProof/>
              </w:rPr>
              <w:t>Pretmo</w:t>
            </w:r>
            <w:r>
              <w:rPr>
                <w:noProof/>
              </w:rPr>
              <w:t>nopola noteikumi:</w:t>
            </w:r>
          </w:p>
          <w:p w14:paraId="6D5E4235" w14:textId="77777777" w:rsidR="00327FF1" w:rsidRDefault="00E406C7">
            <w:pPr>
              <w:pStyle w:val="P68B1DB1-Normal11"/>
              <w:rPr>
                <w:bCs/>
                <w:noProof/>
                <w:szCs w:val="20"/>
              </w:rPr>
            </w:pPr>
            <w:r>
              <w:rPr>
                <w:noProof/>
              </w:rPr>
              <w:t xml:space="preserve">no 45 dienām līdz 90 dienām </w:t>
            </w:r>
            <w:r>
              <w:rPr>
                <w:b/>
                <w:noProof/>
              </w:rPr>
              <w:t>palielināt</w:t>
            </w:r>
            <w:r>
              <w:rPr>
                <w:noProof/>
              </w:rPr>
              <w:t xml:space="preserve"> termiņu, kādā Itālijas Konkurences iestāde (</w:t>
            </w:r>
            <w:r>
              <w:rPr>
                <w:i/>
                <w:noProof/>
              </w:rPr>
              <w:t>autorità Garante della Concorrenza e del Mercato</w:t>
            </w:r>
            <w:r>
              <w:rPr>
                <w:noProof/>
              </w:rPr>
              <w:t>) novērtē koncentrācijas, kas var būtiski traucēt efektīvu konkurenci saskaņā ar Likuma Nr. 287/1990 6. pan</w:t>
            </w:r>
            <w:r>
              <w:rPr>
                <w:noProof/>
              </w:rPr>
              <w:t>tu.</w:t>
            </w:r>
          </w:p>
          <w:p w14:paraId="541ED5E1" w14:textId="77777777" w:rsidR="00327FF1" w:rsidRDefault="00E406C7">
            <w:pPr>
              <w:pStyle w:val="P68B1DB1-Normal31"/>
              <w:rPr>
                <w:bCs/>
                <w:noProof/>
                <w:szCs w:val="20"/>
              </w:rPr>
            </w:pPr>
            <w:r>
              <w:rPr>
                <w:noProof/>
              </w:rPr>
              <w:t>Mazumtirdzniecība:</w:t>
            </w:r>
          </w:p>
          <w:p w14:paraId="3DFFEA09" w14:textId="77777777" w:rsidR="00327FF1" w:rsidRDefault="00E406C7">
            <w:pPr>
              <w:pStyle w:val="P68B1DB1-Normal11"/>
              <w:rPr>
                <w:bCs/>
                <w:noProof/>
                <w:szCs w:val="20"/>
              </w:rPr>
            </w:pPr>
            <w:r>
              <w:rPr>
                <w:b/>
                <w:noProof/>
              </w:rPr>
              <w:t xml:space="preserve">IV) </w:t>
            </w:r>
            <w:r>
              <w:rPr>
                <w:noProof/>
              </w:rPr>
              <w:t>atļauju piešķiršanas procedūru vienkāršošana attiecībā uz reklāmas pārdošanu, ko veic uzņēmumi, kuriem ir tirdzniecības vietas dažādās pašvaldībās.</w:t>
            </w:r>
          </w:p>
          <w:p w14:paraId="1DC2382F" w14:textId="77777777" w:rsidR="00327FF1" w:rsidRDefault="00E406C7">
            <w:pPr>
              <w:pStyle w:val="P68B1DB1-Normal31"/>
              <w:rPr>
                <w:bCs/>
                <w:noProof/>
                <w:szCs w:val="20"/>
              </w:rPr>
            </w:pPr>
            <w:r>
              <w:rPr>
                <w:noProof/>
              </w:rPr>
              <w:t>Farmācijas līdzekļi:</w:t>
            </w:r>
          </w:p>
          <w:p w14:paraId="3EF21F8B" w14:textId="77777777" w:rsidR="00327FF1" w:rsidRDefault="00E406C7">
            <w:pPr>
              <w:pStyle w:val="P68B1DB1-Normal11"/>
              <w:rPr>
                <w:noProof/>
                <w:szCs w:val="20"/>
              </w:rPr>
            </w:pPr>
            <w:r>
              <w:rPr>
                <w:b/>
                <w:noProof/>
              </w:rPr>
              <w:t>nodrošināt galēnisko</w:t>
            </w:r>
            <w:r>
              <w:rPr>
                <w:noProof/>
              </w:rPr>
              <w:t xml:space="preserve"> farmaceitisko līdzekļu tirdzniecības at</w:t>
            </w:r>
            <w:r>
              <w:rPr>
                <w:noProof/>
              </w:rPr>
              <w:t>ļaujas prasību samērīgumu.</w:t>
            </w:r>
          </w:p>
        </w:tc>
      </w:tr>
      <w:tr w:rsidR="00327FF1" w14:paraId="06A0D7C6"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41C2FD76" w14:textId="77777777" w:rsidR="00327FF1" w:rsidRDefault="00E406C7">
            <w:pPr>
              <w:pStyle w:val="P68B1DB1-Normal11"/>
              <w:spacing w:before="120" w:after="120"/>
              <w:jc w:val="center"/>
              <w:rPr>
                <w:noProof/>
                <w:szCs w:val="20"/>
              </w:rPr>
            </w:pPr>
            <w:r>
              <w:rPr>
                <w:noProof/>
              </w:rPr>
              <w:t>M1C2–10</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0826CAF" w14:textId="77777777" w:rsidR="00327FF1" w:rsidRDefault="00E406C7">
            <w:pPr>
              <w:pStyle w:val="P68B1DB1-Normal11"/>
              <w:spacing w:before="120" w:after="120"/>
              <w:jc w:val="center"/>
              <w:rPr>
                <w:noProof/>
                <w:szCs w:val="20"/>
              </w:rPr>
            </w:pPr>
            <w:r>
              <w:rPr>
                <w:noProof/>
              </w:rPr>
              <w:t>Reforma. Ikgadējie konkurences tiesību akti</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6906717" w14:textId="77777777" w:rsidR="00327FF1" w:rsidRDefault="00E406C7">
            <w:pPr>
              <w:pStyle w:val="P68B1DB1-Normal11"/>
              <w:spacing w:before="120" w:after="120"/>
              <w:jc w:val="center"/>
              <w:rPr>
                <w:noProof/>
                <w:szCs w:val="20"/>
              </w:rPr>
            </w:pPr>
            <w:r>
              <w:rPr>
                <w:noProof/>
              </w:rPr>
              <w:t>Atskaites punkts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7CCFBE62" w14:textId="77777777" w:rsidR="00327FF1" w:rsidRDefault="00E406C7">
            <w:pPr>
              <w:pStyle w:val="P68B1DB1-Normal11"/>
              <w:spacing w:before="120" w:after="120"/>
              <w:jc w:val="center"/>
              <w:rPr>
                <w:noProof/>
                <w:szCs w:val="20"/>
              </w:rPr>
            </w:pPr>
            <w:r>
              <w:rPr>
                <w:noProof/>
              </w:rPr>
              <w:t xml:space="preserve">Visu īstenošanas pasākumu (tostarp vajadzības gadījumā sekundāro tiesību aktu) stāšanās spēkā, lai efektīvi īstenotu un piemērotu pasākumus, kas izriet no </w:t>
            </w:r>
            <w:r>
              <w:rPr>
                <w:noProof/>
              </w:rPr>
              <w:t>2022. gada Konkurences likuma</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48C7BE6C" w14:textId="77777777" w:rsidR="00327FF1" w:rsidRDefault="00E406C7">
            <w:pPr>
              <w:pStyle w:val="P68B1DB1-Normal11"/>
              <w:spacing w:before="120" w:after="120"/>
              <w:jc w:val="center"/>
              <w:rPr>
                <w:noProof/>
                <w:szCs w:val="20"/>
              </w:rPr>
            </w:pPr>
            <w:r>
              <w:rPr>
                <w:noProof/>
              </w:rPr>
              <w:t>Stājas spēkā visi sekundārie tiesību akti, tostarp visi nepieciešamie noteikumi attiecībā uz pasākumiem, kas izriet no 2022. gada Konkurences likuma</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31E102C9" w14:textId="77777777" w:rsidR="00327FF1" w:rsidRDefault="00E406C7">
            <w:pPr>
              <w:pStyle w:val="P68B1DB1-Normal11"/>
              <w:spacing w:before="120" w:after="120"/>
              <w:jc w:val="center"/>
              <w:rPr>
                <w:noProof/>
                <w:szCs w:val="20"/>
              </w:rPr>
            </w:pPr>
            <w:r>
              <w:rPr>
                <w:noProof/>
              </w:rPr>
              <w:t>NEPIEMĒRO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034B2C9" w14:textId="77777777" w:rsidR="00327FF1" w:rsidRDefault="00E406C7">
            <w:pPr>
              <w:pStyle w:val="P68B1DB1-Normal11"/>
              <w:spacing w:before="120" w:after="120"/>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0BB93BA" w14:textId="77777777" w:rsidR="00327FF1" w:rsidRDefault="00E406C7">
            <w:pPr>
              <w:pStyle w:val="P68B1DB1-Normal11"/>
              <w:spacing w:before="120" w:after="120"/>
              <w:jc w:val="center"/>
              <w:rPr>
                <w:noProof/>
                <w:szCs w:val="20"/>
              </w:rPr>
            </w:pPr>
            <w:r>
              <w:rPr>
                <w:noProof/>
              </w:rPr>
              <w:t>NEPIEMĒRO</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71EFDB7" w14:textId="77777777" w:rsidR="00327FF1" w:rsidRDefault="00E406C7">
            <w:pPr>
              <w:pStyle w:val="P68B1DB1-Normal11"/>
              <w:spacing w:before="120" w:after="120"/>
              <w:jc w:val="center"/>
              <w:rPr>
                <w:noProof/>
                <w:szCs w:val="20"/>
              </w:rPr>
            </w:pPr>
            <w:r>
              <w:rPr>
                <w:noProof/>
              </w:rPr>
              <w:t>4.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5AF849B1" w14:textId="77777777" w:rsidR="00327FF1" w:rsidRDefault="00E406C7">
            <w:pPr>
              <w:pStyle w:val="P68B1DB1-Normal11"/>
              <w:spacing w:before="120" w:after="120"/>
              <w:jc w:val="center"/>
              <w:rPr>
                <w:noProof/>
                <w:szCs w:val="20"/>
              </w:rPr>
            </w:pPr>
            <w:r>
              <w:rPr>
                <w:noProof/>
              </w:rPr>
              <w:t>2023</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023000F1" w14:textId="77777777" w:rsidR="00327FF1" w:rsidRDefault="00E406C7">
            <w:pPr>
              <w:pStyle w:val="P68B1DB1-Normal11"/>
              <w:spacing w:before="120" w:after="120"/>
              <w:rPr>
                <w:noProof/>
                <w:szCs w:val="20"/>
              </w:rPr>
            </w:pPr>
            <w:r>
              <w:rPr>
                <w:noProof/>
              </w:rPr>
              <w:t xml:space="preserve">Stājas spēkā visi sekundārie </w:t>
            </w:r>
            <w:r>
              <w:rPr>
                <w:noProof/>
              </w:rPr>
              <w:t>tiesību akti (ja nepieciešams), tostarp visi noteikumi, kas vajadzīgi, lai efektīvi īstenotu un piemērotu visus iepriekš minētos pasākumus, kuri izriet no 2022. gada Konkurences likuma.</w:t>
            </w:r>
          </w:p>
        </w:tc>
      </w:tr>
      <w:tr w:rsidR="00327FF1" w14:paraId="28FDD8FB"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3827F93" w14:textId="77777777" w:rsidR="00327FF1" w:rsidRDefault="00E406C7">
            <w:pPr>
              <w:pStyle w:val="P68B1DB1-Normal11"/>
              <w:spacing w:before="120" w:after="120"/>
              <w:jc w:val="center"/>
              <w:rPr>
                <w:noProof/>
                <w:szCs w:val="20"/>
              </w:rPr>
            </w:pPr>
            <w:r>
              <w:rPr>
                <w:noProof/>
              </w:rPr>
              <w:t>M1C2–11</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20652787" w14:textId="77777777" w:rsidR="00327FF1" w:rsidRDefault="00E406C7">
            <w:pPr>
              <w:pStyle w:val="P68B1DB1-Normal11"/>
              <w:spacing w:before="120" w:after="120"/>
              <w:jc w:val="center"/>
              <w:rPr>
                <w:noProof/>
                <w:szCs w:val="20"/>
              </w:rPr>
            </w:pPr>
            <w:r>
              <w:rPr>
                <w:noProof/>
              </w:rPr>
              <w:t>Reforma. Ikgadējie konkurences tiesību akti</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63AA1745" w14:textId="77777777" w:rsidR="00327FF1" w:rsidRDefault="00E406C7">
            <w:pPr>
              <w:pStyle w:val="P68B1DB1-Normal11"/>
              <w:spacing w:before="120" w:after="120"/>
              <w:jc w:val="center"/>
              <w:rPr>
                <w:noProof/>
                <w:szCs w:val="20"/>
              </w:rPr>
            </w:pPr>
            <w:r>
              <w:rPr>
                <w:noProof/>
              </w:rPr>
              <w:t>Atskaites punkts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0F4B98DF" w14:textId="77777777" w:rsidR="00327FF1" w:rsidRDefault="00E406C7">
            <w:pPr>
              <w:pStyle w:val="P68B1DB1-Normal11"/>
              <w:spacing w:before="120" w:after="120"/>
              <w:jc w:val="center"/>
              <w:rPr>
                <w:noProof/>
                <w:szCs w:val="20"/>
              </w:rPr>
            </w:pPr>
            <w:r>
              <w:rPr>
                <w:noProof/>
              </w:rPr>
              <w:t>2023. gada Konkurences likuma stāšanās spēkā</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2345E94" w14:textId="77777777" w:rsidR="00327FF1" w:rsidRDefault="00E406C7">
            <w:pPr>
              <w:pStyle w:val="P68B1DB1-Normal11"/>
              <w:spacing w:before="120" w:after="120"/>
              <w:jc w:val="center"/>
              <w:rPr>
                <w:noProof/>
                <w:szCs w:val="20"/>
              </w:rPr>
            </w:pPr>
            <w:r>
              <w:rPr>
                <w:noProof/>
              </w:rPr>
              <w:t>Noteikums par 2023. gada Konkurences likuma stāšanos spēkā.</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0E1D3D1E" w14:textId="77777777" w:rsidR="00327FF1" w:rsidRDefault="00E406C7">
            <w:pPr>
              <w:pStyle w:val="P68B1DB1-Normal11"/>
              <w:spacing w:before="120" w:after="120"/>
              <w:jc w:val="center"/>
              <w:rPr>
                <w:noProof/>
                <w:szCs w:val="20"/>
              </w:rPr>
            </w:pPr>
            <w:r>
              <w:rPr>
                <w:noProof/>
              </w:rPr>
              <w:t>NEPIEMĒRO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12BE6A37" w14:textId="77777777" w:rsidR="00327FF1" w:rsidRDefault="00E406C7">
            <w:pPr>
              <w:pStyle w:val="P68B1DB1-Normal11"/>
              <w:spacing w:before="120" w:after="120"/>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DFD69F1" w14:textId="77777777" w:rsidR="00327FF1" w:rsidRDefault="00E406C7">
            <w:pPr>
              <w:pStyle w:val="P68B1DB1-Normal11"/>
              <w:spacing w:before="120" w:after="120"/>
              <w:jc w:val="center"/>
              <w:rPr>
                <w:noProof/>
                <w:szCs w:val="20"/>
              </w:rPr>
            </w:pPr>
            <w:r>
              <w:rPr>
                <w:noProof/>
              </w:rPr>
              <w:t>NEPIEMĒRO</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6DD61199" w14:textId="77777777" w:rsidR="00327FF1" w:rsidRDefault="00E406C7">
            <w:pPr>
              <w:pStyle w:val="P68B1DB1-Normal11"/>
              <w:spacing w:before="120" w:after="120"/>
              <w:jc w:val="center"/>
              <w:rPr>
                <w:noProof/>
                <w:szCs w:val="20"/>
              </w:rPr>
            </w:pPr>
            <w:r>
              <w:rPr>
                <w:noProof/>
              </w:rPr>
              <w:t>4.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486E0C9F" w14:textId="77777777" w:rsidR="00327FF1" w:rsidRDefault="00E406C7">
            <w:pPr>
              <w:pStyle w:val="P68B1DB1-Normal11"/>
              <w:spacing w:before="120" w:after="120"/>
              <w:jc w:val="center"/>
              <w:rPr>
                <w:noProof/>
                <w:szCs w:val="20"/>
              </w:rPr>
            </w:pPr>
            <w:r>
              <w:rPr>
                <w:noProof/>
              </w:rPr>
              <w:t>2024</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0E71B49" w14:textId="77777777" w:rsidR="00327FF1" w:rsidRDefault="00E406C7">
            <w:pPr>
              <w:pStyle w:val="P68B1DB1-Normal11"/>
              <w:rPr>
                <w:noProof/>
                <w:szCs w:val="20"/>
              </w:rPr>
            </w:pPr>
            <w:r>
              <w:rPr>
                <w:noProof/>
              </w:rPr>
              <w:t>2023. gada Konkurences likuma stāšanās spēkā. Ikgadējais konkurences likums ietver vismaz šādus galvenos ele</w:t>
            </w:r>
            <w:r>
              <w:rPr>
                <w:noProof/>
              </w:rPr>
              <w:t>mentus, kuru īstenošanas pasākumi un sekundārie tiesību akti (vajadzības gadījumā) tiek pieņemti un stājas spēkā ne vēlāk kā 2024. gada 31. decembrī.</w:t>
            </w:r>
          </w:p>
          <w:p w14:paraId="7D0E8C18" w14:textId="77777777" w:rsidR="00327FF1" w:rsidRDefault="00E406C7">
            <w:pPr>
              <w:pStyle w:val="P68B1DB1-Normal11"/>
              <w:rPr>
                <w:noProof/>
                <w:szCs w:val="20"/>
              </w:rPr>
            </w:pPr>
            <w:r>
              <w:rPr>
                <w:noProof/>
              </w:rPr>
              <w:t>Tajā iekļauj vismaz šādus pasākumus:</w:t>
            </w:r>
          </w:p>
          <w:p w14:paraId="322166FC" w14:textId="77777777" w:rsidR="00327FF1" w:rsidRDefault="00E406C7">
            <w:pPr>
              <w:pStyle w:val="P68B1DB1-Normal31"/>
              <w:rPr>
                <w:noProof/>
                <w:szCs w:val="20"/>
              </w:rPr>
            </w:pPr>
            <w:r>
              <w:rPr>
                <w:noProof/>
              </w:rPr>
              <w:t>Automaģistrāles:</w:t>
            </w:r>
          </w:p>
          <w:p w14:paraId="4678AB89" w14:textId="77777777" w:rsidR="00327FF1" w:rsidRDefault="00E406C7">
            <w:pPr>
              <w:pStyle w:val="P68B1DB1-Normal11"/>
              <w:spacing w:after="120"/>
              <w:jc w:val="both"/>
              <w:rPr>
                <w:noProof/>
                <w:szCs w:val="20"/>
              </w:rPr>
            </w:pPr>
            <w:r>
              <w:rPr>
                <w:b/>
                <w:noProof/>
              </w:rPr>
              <w:t>I)</w:t>
            </w:r>
            <w:r>
              <w:rPr>
                <w:noProof/>
              </w:rPr>
              <w:t xml:space="preserve"> attiecībā uz piekļuvi koncesijām un līguma izbeig</w:t>
            </w:r>
            <w:r>
              <w:rPr>
                <w:noProof/>
              </w:rPr>
              <w:t>šanu Gada Konkurences likums vismaz:</w:t>
            </w:r>
          </w:p>
          <w:p w14:paraId="1E598661" w14:textId="77777777" w:rsidR="00327FF1" w:rsidRDefault="00E406C7">
            <w:pPr>
              <w:pStyle w:val="P68B1DB1-Normal11"/>
              <w:spacing w:after="80"/>
              <w:ind w:left="340"/>
              <w:jc w:val="both"/>
              <w:rPr>
                <w:noProof/>
                <w:szCs w:val="20"/>
              </w:rPr>
            </w:pPr>
            <w:r>
              <w:rPr>
                <w:noProof/>
              </w:rPr>
              <w:t xml:space="preserve">noteikt, ka uz automaģistrālēm ir obligāti jārīko koncesijas līgumi, neskarot iekšējo nodrošināšanu ES tiesību aktos noteiktajās robežās(*); </w:t>
            </w:r>
          </w:p>
          <w:p w14:paraId="6B850862" w14:textId="77777777" w:rsidR="00327FF1" w:rsidRDefault="00E406C7">
            <w:pPr>
              <w:pStyle w:val="P68B1DB1-Normal11"/>
              <w:autoSpaceDE w:val="0"/>
              <w:autoSpaceDN w:val="0"/>
              <w:adjustRightInd w:val="0"/>
              <w:spacing w:after="80"/>
              <w:ind w:left="340"/>
              <w:jc w:val="both"/>
              <w:rPr>
                <w:b/>
                <w:bCs/>
                <w:noProof/>
                <w:szCs w:val="20"/>
              </w:rPr>
            </w:pPr>
            <w:r>
              <w:rPr>
                <w:b/>
                <w:noProof/>
              </w:rPr>
              <w:t xml:space="preserve">uzlabot </w:t>
            </w:r>
            <w:r>
              <w:rPr>
                <w:noProof/>
              </w:rPr>
              <w:t>ar koncesijas līgumiem saistīto lēmumu pieņemšanas administratīvo pro</w:t>
            </w:r>
            <w:r>
              <w:rPr>
                <w:noProof/>
              </w:rPr>
              <w:t>cedūru efektivitāti;</w:t>
            </w:r>
          </w:p>
          <w:p w14:paraId="699F8CF0" w14:textId="77777777" w:rsidR="00327FF1" w:rsidRDefault="00E406C7">
            <w:pPr>
              <w:pStyle w:val="P68B1DB1-Normal11"/>
              <w:spacing w:after="80"/>
              <w:ind w:left="340"/>
              <w:jc w:val="both"/>
              <w:rPr>
                <w:noProof/>
                <w:szCs w:val="20"/>
              </w:rPr>
            </w:pPr>
            <w:r>
              <w:rPr>
                <w:noProof/>
              </w:rPr>
              <w:t>— pieprasīt detalizētu un pārredzamu koncesijas līguma priekšmeta aprakstu.</w:t>
            </w:r>
          </w:p>
          <w:p w14:paraId="28EEBE69" w14:textId="77777777" w:rsidR="00327FF1" w:rsidRDefault="00E406C7">
            <w:pPr>
              <w:pStyle w:val="P68B1DB1-Normal11"/>
              <w:spacing w:after="80"/>
              <w:ind w:left="340"/>
              <w:jc w:val="both"/>
              <w:rPr>
                <w:noProof/>
                <w:szCs w:val="20"/>
              </w:rPr>
            </w:pPr>
            <w:r>
              <w:rPr>
                <w:noProof/>
              </w:rPr>
              <w:t>—koncesiju iestādēm ir jānosaka koncesijas autoceļu posmiem, kas piešķirtas atklātā procedūrā, ņemot vērā regulatīvās iestādes (autorità</w:t>
            </w:r>
            <w:r>
              <w:rPr>
                <w:i/>
                <w:noProof/>
              </w:rPr>
              <w:t>di Regolazione dei Tras</w:t>
            </w:r>
            <w:r>
              <w:rPr>
                <w:i/>
                <w:noProof/>
              </w:rPr>
              <w:t xml:space="preserve">porti -ART) izstrādātos apjomradītos efektivitātes </w:t>
            </w:r>
            <w:r>
              <w:rPr>
                <w:noProof/>
              </w:rPr>
              <w:t xml:space="preserve">aprēķinus un automaģistrāļu koncesionāru izmaksas; </w:t>
            </w:r>
          </w:p>
          <w:p w14:paraId="6A0B9935" w14:textId="77777777" w:rsidR="00327FF1" w:rsidRDefault="00E406C7">
            <w:pPr>
              <w:pStyle w:val="P68B1DB1-Normal11"/>
              <w:spacing w:after="80"/>
              <w:ind w:left="340"/>
              <w:jc w:val="both"/>
              <w:rPr>
                <w:noProof/>
                <w:szCs w:val="20"/>
              </w:rPr>
            </w:pPr>
            <w:r>
              <w:rPr>
                <w:noProof/>
              </w:rPr>
              <w:t>pastiprināt Infrastruktūras ministrijas veikto automaģistrāļu infrastruktūras izmaksu un izpildes kontroli;</w:t>
            </w:r>
          </w:p>
          <w:p w14:paraId="5A018901" w14:textId="77777777" w:rsidR="00327FF1" w:rsidRDefault="00E406C7">
            <w:pPr>
              <w:pStyle w:val="P68B1DB1-Normal11"/>
              <w:spacing w:after="80"/>
              <w:ind w:left="340"/>
              <w:jc w:val="both"/>
              <w:rPr>
                <w:noProof/>
                <w:szCs w:val="20"/>
              </w:rPr>
            </w:pPr>
            <w:r>
              <w:rPr>
                <w:noProof/>
              </w:rPr>
              <w:t>novērst koncesijas līgumu automātisku atjauno</w:t>
            </w:r>
            <w:r>
              <w:rPr>
                <w:noProof/>
              </w:rPr>
              <w:t>šanu, uzlabot tehniskās un administratīvās procedūras, kas saistītas ar ekonomikas un finanšu plānu periodisku atjaunināšanu un šo plānu ikgadējo īstenošanu, un aizliegt izmantot procedūras, ko reglamentē Publiskā iepirkuma kodeksa 193. pants, lai piešķirt</w:t>
            </w:r>
            <w:r>
              <w:rPr>
                <w:noProof/>
              </w:rPr>
              <w:t>u autoceļu koncesijas līgumus, kuru termiņš beidzas vai kuru termiņš beidzas;</w:t>
            </w:r>
          </w:p>
          <w:p w14:paraId="07F1C3C8" w14:textId="77777777" w:rsidR="00327FF1" w:rsidRDefault="00E406C7">
            <w:pPr>
              <w:pStyle w:val="P68B1DB1-Normal11"/>
              <w:spacing w:after="80"/>
              <w:ind w:left="340"/>
              <w:jc w:val="both"/>
              <w:rPr>
                <w:noProof/>
                <w:szCs w:val="20"/>
              </w:rPr>
            </w:pPr>
            <w:r>
              <w:rPr>
                <w:noProof/>
              </w:rPr>
              <w:t xml:space="preserve">vienkāršot/precizēt līguma izbeigšanas un atcelšanas nosacījumu regulējumu, arī lai saglabātu pienācīgu pakalpojumu līmeni; </w:t>
            </w:r>
          </w:p>
          <w:p w14:paraId="60F09005" w14:textId="77777777" w:rsidR="00327FF1" w:rsidRDefault="00E406C7">
            <w:pPr>
              <w:pStyle w:val="P68B1DB1-Normal11"/>
              <w:spacing w:after="80"/>
              <w:ind w:left="340"/>
              <w:jc w:val="both"/>
              <w:rPr>
                <w:noProof/>
              </w:rPr>
            </w:pPr>
            <w:r>
              <w:rPr>
                <w:noProof/>
              </w:rPr>
              <w:t xml:space="preserve">— ja līgums tiek izbeigts sabiedrības interesēs, likums paredz vismaz atbilstošu kompensāciju, lai koncesionārs varētu atgūt ieguldījumus, kas nav pilnībā amortizēti. </w:t>
            </w:r>
          </w:p>
          <w:p w14:paraId="07D1EAC8" w14:textId="77777777" w:rsidR="00327FF1" w:rsidRDefault="00327FF1">
            <w:pPr>
              <w:spacing w:after="80"/>
              <w:ind w:left="340"/>
              <w:jc w:val="both"/>
              <w:rPr>
                <w:rFonts w:ascii="Arial Narrow" w:hAnsi="Arial Narrow"/>
                <w:noProof/>
                <w:color w:val="006100"/>
                <w:sz w:val="20"/>
              </w:rPr>
            </w:pPr>
          </w:p>
          <w:p w14:paraId="1B28C1C4" w14:textId="77777777" w:rsidR="00327FF1" w:rsidRDefault="00E406C7">
            <w:pPr>
              <w:pStyle w:val="P68B1DB1-Normal11"/>
              <w:spacing w:after="120"/>
              <w:jc w:val="both"/>
              <w:rPr>
                <w:noProof/>
              </w:rPr>
            </w:pPr>
            <w:r>
              <w:rPr>
                <w:b/>
                <w:noProof/>
              </w:rPr>
              <w:t>II)</w:t>
            </w:r>
            <w:r>
              <w:rPr>
                <w:noProof/>
              </w:rPr>
              <w:t xml:space="preserve"> attiecībā uz maksas iekasēšanas regulatīvo modeli Gada konkurences likumā vismaz:</w:t>
            </w:r>
          </w:p>
          <w:p w14:paraId="059E3E25" w14:textId="7D99FCF5" w:rsidR="00327FF1" w:rsidRDefault="00E406C7">
            <w:pPr>
              <w:pStyle w:val="P68B1DB1-Normal11"/>
              <w:spacing w:after="80"/>
              <w:ind w:left="340"/>
              <w:jc w:val="both"/>
              <w:rPr>
                <w:noProof/>
                <w:szCs w:val="20"/>
              </w:rPr>
            </w:pPr>
            <w:r>
              <w:rPr>
                <w:noProof/>
              </w:rPr>
              <w:t>—</w:t>
            </w:r>
            <w:r>
              <w:rPr>
                <w:noProof/>
              </w:rPr>
              <w:t xml:space="preserve"> nodrošināt savlaicīgu un pilnīgu ART maksas iekasēšanas regulatīvā modeļa īstenošanu, pamatojoties uz cenu griestu metodiku, ņemot vērā koncesionāru daudzgadu ekonomikas un finanšu plānošanas periodiskos atjauninājumus (ko apstiprinājis kompetentais regul</w:t>
            </w:r>
            <w:r>
              <w:rPr>
                <w:noProof/>
              </w:rPr>
              <w:t>ators) un šo plānu ikgadējo ieviešanu.</w:t>
            </w:r>
          </w:p>
          <w:p w14:paraId="22C2BEED" w14:textId="77777777" w:rsidR="00327FF1" w:rsidRDefault="00327FF1">
            <w:pPr>
              <w:spacing w:after="80"/>
              <w:ind w:left="340"/>
              <w:jc w:val="both"/>
              <w:rPr>
                <w:rFonts w:ascii="Arial Narrow" w:hAnsi="Arial Narrow"/>
                <w:noProof/>
                <w:color w:val="006100"/>
                <w:sz w:val="20"/>
                <w:szCs w:val="20"/>
              </w:rPr>
            </w:pPr>
          </w:p>
          <w:p w14:paraId="24234764" w14:textId="7C19F419" w:rsidR="00327FF1" w:rsidRDefault="00E406C7">
            <w:pPr>
              <w:pStyle w:val="P68B1DB1-Normal11"/>
              <w:spacing w:after="120"/>
              <w:jc w:val="both"/>
              <w:rPr>
                <w:noProof/>
                <w:szCs w:val="20"/>
              </w:rPr>
            </w:pPr>
            <w:r>
              <w:rPr>
                <w:b/>
                <w:noProof/>
              </w:rPr>
              <w:t>III)</w:t>
            </w:r>
            <w:r>
              <w:rPr>
                <w:noProof/>
              </w:rPr>
              <w:t xml:space="preserve"> par lietotāju tiesībām Gada konkurences likums:</w:t>
            </w:r>
          </w:p>
          <w:p w14:paraId="78769121" w14:textId="77777777" w:rsidR="00327FF1" w:rsidRDefault="00E406C7">
            <w:pPr>
              <w:pStyle w:val="P68B1DB1-Normal11"/>
              <w:spacing w:after="80"/>
              <w:ind w:left="340"/>
              <w:jc w:val="both"/>
              <w:rPr>
                <w:noProof/>
                <w:szCs w:val="20"/>
              </w:rPr>
            </w:pPr>
            <w:r>
              <w:rPr>
                <w:noProof/>
              </w:rPr>
              <w:t>nodrošināt pilnīgu un savlaicīgu ART tiesiskā regulējuma īstenošanu saistībā ar lietotāju tiesību aizsardzību un atbilstoša pakalpojumu līmeņa nodrošināšanu.</w:t>
            </w:r>
          </w:p>
          <w:p w14:paraId="77AA9BF7" w14:textId="77777777" w:rsidR="00327FF1" w:rsidRDefault="00E406C7">
            <w:pPr>
              <w:pStyle w:val="P68B1DB1-Normal11"/>
              <w:jc w:val="both"/>
              <w:rPr>
                <w:noProof/>
                <w:szCs w:val="20"/>
              </w:rPr>
            </w:pPr>
            <w:r>
              <w:rPr>
                <w:b/>
                <w:noProof/>
              </w:rPr>
              <w:t>IV)</w:t>
            </w:r>
            <w:r>
              <w:rPr>
                <w:noProof/>
              </w:rPr>
              <w:t xml:space="preserve"> p</w:t>
            </w:r>
            <w:r>
              <w:rPr>
                <w:noProof/>
              </w:rPr>
              <w:t xml:space="preserve">ar būvdarbu nodošanu ārpakalpojumā Gada Konkurences likums vismaz: </w:t>
            </w:r>
          </w:p>
          <w:p w14:paraId="672E5208" w14:textId="77777777" w:rsidR="00327FF1" w:rsidRDefault="00E406C7">
            <w:pPr>
              <w:pStyle w:val="P68B1DB1-Normal11"/>
              <w:spacing w:after="80"/>
              <w:ind w:left="340"/>
              <w:jc w:val="both"/>
              <w:rPr>
                <w:noProof/>
                <w:szCs w:val="20"/>
              </w:rPr>
            </w:pPr>
            <w:r>
              <w:rPr>
                <w:noProof/>
              </w:rPr>
              <w:t>— Saskaņā ar Likumdošanas dekrēta Nr. 36/2023 186. panta 2. punktu autoceļu koncesionāriem ir pienākums ar publisku pierādījumu procedūru starpniecību uzticēt trešām personām 50–60 % būvda</w:t>
            </w:r>
            <w:r>
              <w:rPr>
                <w:noProof/>
              </w:rPr>
              <w:t>rbu, pakalpojumu un piegāžu līgumu. Daļas aprēķina saskaņā ar koncesijas dokumentiem pievienoto ekonomisko un finanšu plānu summām.</w:t>
            </w:r>
          </w:p>
          <w:p w14:paraId="770DEE1F" w14:textId="77777777" w:rsidR="00327FF1" w:rsidRDefault="00E406C7">
            <w:pPr>
              <w:pStyle w:val="P68B1DB1-Normal11"/>
              <w:jc w:val="both"/>
              <w:rPr>
                <w:noProof/>
                <w:szCs w:val="20"/>
              </w:rPr>
            </w:pPr>
            <w:r>
              <w:rPr>
                <w:noProof/>
              </w:rPr>
              <w:t>(*) ciktāl tas attiecas uz iekšējiem pilnvarojumiem, tiesību akti:</w:t>
            </w:r>
          </w:p>
          <w:p w14:paraId="6C7506B5" w14:textId="77777777" w:rsidR="00327FF1" w:rsidRDefault="00E406C7">
            <w:pPr>
              <w:pStyle w:val="P68B1DB1-Normal11"/>
              <w:spacing w:after="80"/>
              <w:ind w:left="340"/>
              <w:jc w:val="both"/>
              <w:rPr>
                <w:noProof/>
                <w:szCs w:val="20"/>
              </w:rPr>
            </w:pPr>
            <w:r>
              <w:rPr>
                <w:noProof/>
              </w:rPr>
              <w:t xml:space="preserve">— pieprasīt obligātu </w:t>
            </w:r>
            <w:r>
              <w:rPr>
                <w:i/>
                <w:noProof/>
              </w:rPr>
              <w:t>ex ante</w:t>
            </w:r>
            <w:r>
              <w:rPr>
                <w:noProof/>
              </w:rPr>
              <w:t xml:space="preserve"> pārbaudi par iekšējā pilnvar</w:t>
            </w:r>
            <w:r>
              <w:rPr>
                <w:noProof/>
              </w:rPr>
              <w:t>ojuma likumību un aizliegt uzsākt konkursa procedūru vai iekšējos pilnvarojumus bez šādas pārbaudes;</w:t>
            </w:r>
          </w:p>
          <w:p w14:paraId="608F39E0" w14:textId="77777777" w:rsidR="00327FF1" w:rsidRDefault="00E406C7">
            <w:pPr>
              <w:pStyle w:val="P68B1DB1-Normal11"/>
              <w:spacing w:after="80"/>
              <w:ind w:left="340"/>
              <w:jc w:val="both"/>
              <w:rPr>
                <w:noProof/>
                <w:szCs w:val="20"/>
              </w:rPr>
            </w:pPr>
            <w:r>
              <w:rPr>
                <w:noProof/>
              </w:rPr>
              <w:t xml:space="preserve">— uzticēt Transporta regulēšanas iestādei (ART) atbilstošus instrumentus un pilnvaras iepriekš minēto pārbaužu veikšanai un (juridisku) atbalstu no Valsts </w:t>
            </w:r>
            <w:r>
              <w:rPr>
                <w:noProof/>
              </w:rPr>
              <w:t>korupcijas apkarošanas iestādes (ANAC);</w:t>
            </w:r>
          </w:p>
          <w:p w14:paraId="71AC2468" w14:textId="77777777" w:rsidR="00327FF1" w:rsidRDefault="00E406C7">
            <w:pPr>
              <w:pStyle w:val="P68B1DB1-Normal11"/>
              <w:spacing w:after="80"/>
              <w:ind w:left="340"/>
              <w:jc w:val="both"/>
              <w:rPr>
                <w:noProof/>
                <w:szCs w:val="20"/>
              </w:rPr>
            </w:pPr>
            <w:r>
              <w:rPr>
                <w:noProof/>
              </w:rPr>
              <w:t>— pieprasīt, lai elektrouzlādes punktu uzstādīšana un piemērotu stāvvietu un atpūtas zonu ieviešana kravu pārvadājumu operatoriem tiktu veikta, pilnībā ievērojot ART izstrādāto tiesisko regulējumu.</w:t>
            </w:r>
          </w:p>
          <w:p w14:paraId="73FDA868" w14:textId="77777777" w:rsidR="00327FF1" w:rsidRDefault="00E406C7">
            <w:pPr>
              <w:pStyle w:val="P68B1DB1-Normal31"/>
              <w:rPr>
                <w:noProof/>
                <w:szCs w:val="20"/>
              </w:rPr>
            </w:pPr>
            <w:r>
              <w:rPr>
                <w:noProof/>
              </w:rPr>
              <w:t>Apdrošināšana:</w:t>
            </w:r>
          </w:p>
          <w:p w14:paraId="65329D15" w14:textId="77777777" w:rsidR="00327FF1" w:rsidRDefault="00E406C7">
            <w:pPr>
              <w:pStyle w:val="P68B1DB1-Normal11"/>
              <w:rPr>
                <w:noProof/>
                <w:szCs w:val="20"/>
              </w:rPr>
            </w:pPr>
            <w:r>
              <w:rPr>
                <w:b/>
                <w:noProof/>
              </w:rPr>
              <w:t>v)</w:t>
            </w:r>
            <w:r>
              <w:rPr>
                <w:noProof/>
              </w:rPr>
              <w:t xml:space="preserve"> </w:t>
            </w:r>
            <w:r>
              <w:rPr>
                <w:noProof/>
              </w:rPr>
              <w:t>tādu aktu stāšanās spēkā, kas vajadzīgi, lai nodrošinātu datu pārnesamību automašīnu melnajām kastēm starp apdrošinātājiem;</w:t>
            </w:r>
          </w:p>
          <w:p w14:paraId="61C11FD8" w14:textId="77777777" w:rsidR="00327FF1" w:rsidRDefault="00E406C7">
            <w:pPr>
              <w:pStyle w:val="P68B1DB1-Normal31"/>
              <w:rPr>
                <w:noProof/>
                <w:szCs w:val="20"/>
              </w:rPr>
            </w:pPr>
            <w:r>
              <w:rPr>
                <w:noProof/>
              </w:rPr>
              <w:t>Uzņēmējdarbības sākšana:</w:t>
            </w:r>
          </w:p>
          <w:p w14:paraId="48EF8CEA" w14:textId="77777777" w:rsidR="00327FF1" w:rsidRDefault="00E406C7">
            <w:pPr>
              <w:pStyle w:val="P68B1DB1-Normal12"/>
              <w:jc w:val="both"/>
              <w:rPr>
                <w:noProof/>
              </w:rPr>
            </w:pPr>
            <w:r>
              <w:rPr>
                <w:b/>
                <w:noProof/>
              </w:rPr>
              <w:t>VI)</w:t>
            </w:r>
            <w:r>
              <w:rPr>
                <w:noProof/>
              </w:rPr>
              <w:t xml:space="preserve"> Tiesību aktu par inovatīviem jaunuzņēmumiem un riska kapitālu pārskatīšana un atjaunināšana (piemēram, 2012. gada Start Upes likums), lai racionalizētu spēkā esošos tiesību aktus, pārskatītu jaunuzņēmumu definīciju un veicinātu privāto un institucionālo i</w:t>
            </w:r>
            <w:r>
              <w:rPr>
                <w:noProof/>
              </w:rPr>
              <w:t>eguldītāju ieguldījumus riska kapitālā.</w:t>
            </w:r>
          </w:p>
        </w:tc>
      </w:tr>
      <w:tr w:rsidR="00327FF1" w14:paraId="15CCDCE1"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2D79E535" w14:textId="77777777" w:rsidR="00327FF1" w:rsidRDefault="00E406C7">
            <w:pPr>
              <w:pStyle w:val="P68B1DB1-Normal12"/>
              <w:spacing w:before="120" w:after="120"/>
              <w:jc w:val="center"/>
              <w:rPr>
                <w:noProof/>
              </w:rPr>
            </w:pPr>
            <w:r>
              <w:rPr>
                <w:noProof/>
              </w:rPr>
              <w:t>M1C2–12</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385AFBCB" w14:textId="77777777" w:rsidR="00327FF1" w:rsidRDefault="00E406C7">
            <w:pPr>
              <w:pStyle w:val="P68B1DB1-Normal11"/>
              <w:spacing w:before="120" w:after="120"/>
              <w:jc w:val="center"/>
              <w:rPr>
                <w:noProof/>
                <w:szCs w:val="20"/>
              </w:rPr>
            </w:pPr>
            <w:r>
              <w:rPr>
                <w:noProof/>
              </w:rPr>
              <w:t>Reforma. Ikgadējie konkurences tiesību akti</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157A76E9" w14:textId="77777777" w:rsidR="00327FF1" w:rsidRDefault="00E406C7">
            <w:pPr>
              <w:pStyle w:val="P68B1DB1-Normal11"/>
              <w:spacing w:before="120" w:after="120"/>
              <w:jc w:val="center"/>
              <w:rPr>
                <w:noProof/>
                <w:szCs w:val="20"/>
              </w:rPr>
            </w:pPr>
            <w:r>
              <w:rPr>
                <w:noProof/>
              </w:rPr>
              <w:t>Atskaites punkts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6308C28" w14:textId="77777777" w:rsidR="00327FF1" w:rsidRDefault="00E406C7">
            <w:pPr>
              <w:pStyle w:val="P68B1DB1-Normal11"/>
              <w:spacing w:before="120" w:after="120"/>
              <w:jc w:val="center"/>
              <w:rPr>
                <w:noProof/>
                <w:szCs w:val="20"/>
              </w:rPr>
            </w:pPr>
            <w:r>
              <w:rPr>
                <w:noProof/>
              </w:rPr>
              <w:t xml:space="preserve">Īstenošanas pasākumu (tostarp vajadzības </w:t>
            </w:r>
            <w:r>
              <w:rPr>
                <w:noProof/>
              </w:rPr>
              <w:t xml:space="preserve">gadījumā sekundāro tiesību aktu) stāšanās spēkā, lai īstenotu un piemērotu pasākumus, kas noteikti 2023. gada Konkurences likumā un </w:t>
            </w:r>
            <w:r>
              <w:rPr>
                <w:noProof/>
                <w:szCs w:val="20"/>
              </w:rPr>
              <w:t>citos primārajos tiesību aktos</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F7DA742" w14:textId="77777777" w:rsidR="00327FF1" w:rsidRDefault="00E406C7">
            <w:pPr>
              <w:pStyle w:val="P68B1DB1-Normal11"/>
              <w:spacing w:before="120" w:after="120"/>
              <w:jc w:val="center"/>
              <w:rPr>
                <w:noProof/>
                <w:szCs w:val="20"/>
              </w:rPr>
            </w:pPr>
            <w:r>
              <w:rPr>
                <w:noProof/>
              </w:rPr>
              <w:t>Stājas spēkā sekundārie tiesību akti, tostarp visi noteikumi, kas vajadzīgi 2023. gada Konkur</w:t>
            </w:r>
            <w:r>
              <w:rPr>
                <w:noProof/>
              </w:rPr>
              <w:t xml:space="preserve">ences likumā un </w:t>
            </w:r>
            <w:r>
              <w:rPr>
                <w:noProof/>
                <w:szCs w:val="20"/>
              </w:rPr>
              <w:t>citos primārajos tiesību aktos</w:t>
            </w:r>
            <w:r>
              <w:rPr>
                <w:noProof/>
              </w:rPr>
              <w:t xml:space="preserve"> noteikto pasākumu īstenošanai un piemērošanai</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28668D0" w14:textId="77777777" w:rsidR="00327FF1" w:rsidRDefault="00E406C7">
            <w:pPr>
              <w:pStyle w:val="P68B1DB1-Normal11"/>
              <w:spacing w:before="120" w:after="120"/>
              <w:jc w:val="center"/>
              <w:rPr>
                <w:noProof/>
                <w:szCs w:val="20"/>
              </w:rPr>
            </w:pPr>
            <w:r>
              <w:rPr>
                <w:noProof/>
              </w:rPr>
              <w:t>NEPIEMĒRO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96FEB99" w14:textId="77777777" w:rsidR="00327FF1" w:rsidRDefault="00E406C7">
            <w:pPr>
              <w:pStyle w:val="P68B1DB1-Normal11"/>
              <w:spacing w:before="120" w:after="120"/>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45AE261F" w14:textId="77777777" w:rsidR="00327FF1" w:rsidRDefault="00E406C7">
            <w:pPr>
              <w:pStyle w:val="P68B1DB1-Normal11"/>
              <w:spacing w:before="120" w:after="120"/>
              <w:jc w:val="center"/>
              <w:rPr>
                <w:noProof/>
                <w:szCs w:val="20"/>
              </w:rPr>
            </w:pPr>
            <w:r>
              <w:rPr>
                <w:noProof/>
              </w:rPr>
              <w:t>NEPIEMĒRO</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44F94F6C" w14:textId="77777777" w:rsidR="00327FF1" w:rsidRDefault="00E406C7">
            <w:pPr>
              <w:pStyle w:val="P68B1DB1-Normal11"/>
              <w:spacing w:before="120" w:after="120"/>
              <w:jc w:val="center"/>
              <w:rPr>
                <w:noProof/>
                <w:szCs w:val="20"/>
              </w:rPr>
            </w:pPr>
            <w:r>
              <w:rPr>
                <w:noProof/>
              </w:rPr>
              <w:t>4.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B68CC1C" w14:textId="77777777" w:rsidR="00327FF1" w:rsidRDefault="00E406C7">
            <w:pPr>
              <w:pStyle w:val="P68B1DB1-Normal11"/>
              <w:spacing w:before="120" w:after="120"/>
              <w:jc w:val="center"/>
              <w:rPr>
                <w:noProof/>
                <w:szCs w:val="20"/>
              </w:rPr>
            </w:pPr>
            <w:r>
              <w:rPr>
                <w:noProof/>
              </w:rPr>
              <w:t>2024</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6E6B1AE5" w14:textId="77777777" w:rsidR="00327FF1" w:rsidRDefault="00E406C7">
            <w:pPr>
              <w:pStyle w:val="P68B1DB1-Normal12"/>
              <w:spacing w:before="120" w:after="120"/>
              <w:rPr>
                <w:noProof/>
              </w:rPr>
            </w:pPr>
            <w:r>
              <w:rPr>
                <w:noProof/>
              </w:rPr>
              <w:t>Stājas spēkā sekundārie tiesību akti (ja nepieciešams), tostarp noteikumi, kas vajadzīgi 2023. gada Konkurences likumā n</w:t>
            </w:r>
            <w:r>
              <w:rPr>
                <w:noProof/>
              </w:rPr>
              <w:t>oteikto attiecīgo pasākumu īstenošanai un piemērošanai.</w:t>
            </w:r>
          </w:p>
          <w:p w14:paraId="1DF3C365" w14:textId="77777777" w:rsidR="00327FF1" w:rsidRDefault="00E406C7">
            <w:pPr>
              <w:pStyle w:val="P68B1DB1-Normal12"/>
              <w:spacing w:before="120" w:after="120"/>
              <w:rPr>
                <w:noProof/>
              </w:rPr>
            </w:pPr>
            <w:r>
              <w:rPr>
                <w:noProof/>
              </w:rPr>
              <w:t>Stājas spēkā šādi sekundārie tiesību akti par auksto gludināšanu un dabasgāzes mazumtirdzniecības pārdevēju sarakstiem:</w:t>
            </w:r>
          </w:p>
          <w:p w14:paraId="2B9BCB71" w14:textId="77777777" w:rsidR="00327FF1" w:rsidRDefault="00E406C7">
            <w:pPr>
              <w:pStyle w:val="P68B1DB1-Normal12"/>
              <w:jc w:val="both"/>
              <w:rPr>
                <w:noProof/>
              </w:rPr>
            </w:pPr>
            <w:r>
              <w:rPr>
                <w:b/>
                <w:noProof/>
              </w:rPr>
              <w:t>Aukstajai gludināšanai</w:t>
            </w:r>
            <w:r>
              <w:rPr>
                <w:noProof/>
              </w:rPr>
              <w:t xml:space="preserve">: </w:t>
            </w:r>
          </w:p>
          <w:p w14:paraId="12D8680C" w14:textId="77777777" w:rsidR="00327FF1" w:rsidRDefault="00E406C7">
            <w:pPr>
              <w:pStyle w:val="P68B1DB1-Normal12"/>
              <w:rPr>
                <w:noProof/>
              </w:rPr>
            </w:pPr>
            <w:r>
              <w:rPr>
                <w:noProof/>
              </w:rPr>
              <w:t>Stājas spēkā regulatīvi stimuli izmantot aukstās gludin</w:t>
            </w:r>
            <w:r>
              <w:rPr>
                <w:noProof/>
              </w:rPr>
              <w:t>āšanas pakalpojumus ostās.</w:t>
            </w:r>
          </w:p>
          <w:p w14:paraId="131C5E77" w14:textId="77777777" w:rsidR="00327FF1" w:rsidRDefault="00E406C7">
            <w:pPr>
              <w:pStyle w:val="P68B1DB1-Normal32"/>
              <w:jc w:val="both"/>
              <w:rPr>
                <w:bCs/>
                <w:noProof/>
              </w:rPr>
            </w:pPr>
            <w:r>
              <w:rPr>
                <w:noProof/>
              </w:rPr>
              <w:t>Dabasgāzes mazumtirdzniecības pārdevēju sarakstā:</w:t>
            </w:r>
          </w:p>
          <w:p w14:paraId="4260C75C" w14:textId="77777777" w:rsidR="00327FF1" w:rsidRDefault="00E406C7">
            <w:pPr>
              <w:pStyle w:val="P68B1DB1-Normal12"/>
              <w:jc w:val="both"/>
              <w:rPr>
                <w:noProof/>
              </w:rPr>
            </w:pPr>
            <w:r>
              <w:rPr>
                <w:noProof/>
              </w:rPr>
              <w:t>Stājas spēkā sekundārie tiesību akti, ar kuriem nosaka kritērijus un prasības attiecībā uz uzņēmumu piekļuvi un pastāvību dabasgāzes mazumtirdzniecības pārdevēju sarakstā, kas izv</w:t>
            </w:r>
            <w:r>
              <w:rPr>
                <w:noProof/>
              </w:rPr>
              <w:t>eidots ar 17. pantu Likumdošanas dekrētā Nr. 164/2000, kura mērķis ir uzlabot pārredzamību un atbalstīt patērētāju izvēli konkurējošos tirgos.</w:t>
            </w:r>
          </w:p>
        </w:tc>
      </w:tr>
      <w:tr w:rsidR="00327FF1" w14:paraId="36E17CC7"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F427003" w14:textId="77777777" w:rsidR="00327FF1" w:rsidRDefault="00E406C7">
            <w:pPr>
              <w:pStyle w:val="P68B1DB1-Normal12"/>
              <w:spacing w:before="120" w:after="120"/>
              <w:jc w:val="center"/>
              <w:rPr>
                <w:noProof/>
              </w:rPr>
            </w:pPr>
            <w:r>
              <w:rPr>
                <w:noProof/>
              </w:rPr>
              <w:t>M1C2–13</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62D01FD8" w14:textId="77777777" w:rsidR="00327FF1" w:rsidRDefault="00E406C7">
            <w:pPr>
              <w:pStyle w:val="P68B1DB1-Normal11"/>
              <w:spacing w:before="120" w:after="120"/>
              <w:jc w:val="center"/>
              <w:rPr>
                <w:noProof/>
                <w:szCs w:val="20"/>
              </w:rPr>
            </w:pPr>
            <w:r>
              <w:rPr>
                <w:noProof/>
              </w:rPr>
              <w:t>Reforma. Ikgadējie konkurences tiesību akti</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65628BF1" w14:textId="77777777" w:rsidR="00327FF1" w:rsidRDefault="00E406C7">
            <w:pPr>
              <w:pStyle w:val="P68B1DB1-Normal11"/>
              <w:spacing w:before="120" w:after="120"/>
              <w:jc w:val="center"/>
              <w:rPr>
                <w:noProof/>
                <w:szCs w:val="20"/>
              </w:rPr>
            </w:pPr>
            <w:r>
              <w:rPr>
                <w:noProof/>
              </w:rPr>
              <w:t>Atskaites punkts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09F7AAA" w14:textId="77777777" w:rsidR="00327FF1" w:rsidRDefault="00E406C7">
            <w:pPr>
              <w:pStyle w:val="P68B1DB1-Normal11"/>
              <w:spacing w:before="120" w:after="120"/>
              <w:jc w:val="center"/>
              <w:rPr>
                <w:noProof/>
                <w:szCs w:val="20"/>
              </w:rPr>
            </w:pPr>
            <w:r>
              <w:rPr>
                <w:noProof/>
              </w:rPr>
              <w:t xml:space="preserve">Gada Konkurences likuma stāšanās spēkā </w:t>
            </w:r>
            <w:r>
              <w:rPr>
                <w:noProof/>
              </w:rPr>
              <w:t>2025. gadā</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13184A1" w14:textId="77777777" w:rsidR="00327FF1" w:rsidRDefault="00E406C7">
            <w:pPr>
              <w:pStyle w:val="P68B1DB1-Normal11"/>
              <w:spacing w:before="120" w:after="120"/>
              <w:jc w:val="center"/>
              <w:rPr>
                <w:noProof/>
                <w:szCs w:val="20"/>
              </w:rPr>
            </w:pPr>
            <w:r>
              <w:rPr>
                <w:noProof/>
              </w:rPr>
              <w:t>Noteikums par Gada Konkurences likuma stāšanos spēkā 2025. gadā.</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3B9E928" w14:textId="77777777" w:rsidR="00327FF1" w:rsidRDefault="00E406C7">
            <w:pPr>
              <w:pStyle w:val="P68B1DB1-Normal11"/>
              <w:spacing w:before="120" w:after="120"/>
              <w:jc w:val="center"/>
              <w:rPr>
                <w:noProof/>
                <w:szCs w:val="20"/>
              </w:rPr>
            </w:pPr>
            <w:r>
              <w:rPr>
                <w:noProof/>
              </w:rPr>
              <w:t>NEPIEMĒRO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E32871D" w14:textId="77777777" w:rsidR="00327FF1" w:rsidRDefault="00E406C7">
            <w:pPr>
              <w:pStyle w:val="P68B1DB1-Normal11"/>
              <w:spacing w:before="120" w:after="120"/>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3762672" w14:textId="77777777" w:rsidR="00327FF1" w:rsidRDefault="00E406C7">
            <w:pPr>
              <w:pStyle w:val="P68B1DB1-Normal11"/>
              <w:spacing w:before="120" w:after="120"/>
              <w:jc w:val="center"/>
              <w:rPr>
                <w:noProof/>
                <w:szCs w:val="20"/>
              </w:rPr>
            </w:pPr>
            <w:r>
              <w:rPr>
                <w:noProof/>
              </w:rPr>
              <w:t>NEPIEMĒRO</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6ADC51F" w14:textId="77777777" w:rsidR="00327FF1" w:rsidRDefault="00E406C7">
            <w:pPr>
              <w:pStyle w:val="P68B1DB1-Normal11"/>
              <w:spacing w:before="120" w:after="120"/>
              <w:jc w:val="center"/>
              <w:rPr>
                <w:noProof/>
                <w:szCs w:val="20"/>
              </w:rPr>
            </w:pPr>
            <w:r>
              <w:rPr>
                <w:noProof/>
              </w:rPr>
              <w:t>4.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63700AB4" w14:textId="77777777" w:rsidR="00327FF1" w:rsidRDefault="00E406C7">
            <w:pPr>
              <w:pStyle w:val="P68B1DB1-Normal11"/>
              <w:spacing w:before="120" w:after="120"/>
              <w:jc w:val="center"/>
              <w:rPr>
                <w:noProof/>
                <w:szCs w:val="20"/>
              </w:rPr>
            </w:pPr>
            <w:r>
              <w:rPr>
                <w:noProof/>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5C57906D" w14:textId="77777777" w:rsidR="00327FF1" w:rsidRDefault="00E406C7">
            <w:pPr>
              <w:pStyle w:val="P68B1DB1-Normal33"/>
              <w:spacing w:before="120" w:after="120"/>
              <w:rPr>
                <w:noProof/>
              </w:rPr>
            </w:pPr>
            <w:r>
              <w:rPr>
                <w:noProof/>
              </w:rPr>
              <w:t xml:space="preserve">Gada Konkurences likuma stāšanās spēkā 2025. gadā. </w:t>
            </w:r>
          </w:p>
          <w:p w14:paraId="264C9B29" w14:textId="77777777" w:rsidR="00327FF1" w:rsidRDefault="00E406C7">
            <w:pPr>
              <w:pStyle w:val="P68B1DB1-Normal33"/>
              <w:spacing w:before="120" w:after="120"/>
              <w:rPr>
                <w:noProof/>
              </w:rPr>
            </w:pPr>
            <w:r>
              <w:rPr>
                <w:noProof/>
              </w:rPr>
              <w:t xml:space="preserve">Primāros un sekundāros tiesību aktus (tostarp vajadzības gadījumā īstenošanas aktus) apstiprina un tie stājas spēkā līdz 2025. gada 4. ceturksnim. </w:t>
            </w:r>
          </w:p>
          <w:p w14:paraId="63E94D82" w14:textId="77777777" w:rsidR="00327FF1" w:rsidRDefault="00E406C7">
            <w:pPr>
              <w:pStyle w:val="P68B1DB1-Normal33"/>
              <w:spacing w:before="120" w:after="120"/>
              <w:rPr>
                <w:noProof/>
              </w:rPr>
            </w:pPr>
            <w:r>
              <w:rPr>
                <w:noProof/>
              </w:rPr>
              <w:t>Ikgadējais konkurences likums:</w:t>
            </w:r>
          </w:p>
          <w:p w14:paraId="084F575C" w14:textId="77777777" w:rsidR="00327FF1" w:rsidRDefault="00E406C7">
            <w:pPr>
              <w:pStyle w:val="P68B1DB1-Normal34"/>
              <w:spacing w:before="120" w:after="120"/>
              <w:rPr>
                <w:bCs/>
                <w:noProof/>
              </w:rPr>
            </w:pPr>
            <w:r>
              <w:rPr>
                <w:noProof/>
              </w:rPr>
              <w:t>I — Par vietējiem sabiedriskajiem pakalpojumiem:</w:t>
            </w:r>
          </w:p>
          <w:p w14:paraId="66D723CF" w14:textId="77777777" w:rsidR="00327FF1" w:rsidRDefault="00E406C7">
            <w:pPr>
              <w:pStyle w:val="P68B1DB1-Normal33"/>
              <w:numPr>
                <w:ilvl w:val="0"/>
                <w:numId w:val="24"/>
              </w:numPr>
              <w:spacing w:before="120" w:after="120" w:line="279" w:lineRule="auto"/>
              <w:ind w:left="369" w:hanging="283"/>
              <w:rPr>
                <w:noProof/>
              </w:rPr>
            </w:pPr>
            <w:r>
              <w:rPr>
                <w:noProof/>
              </w:rPr>
              <w:t>Ieviest korektīvus pasākumus</w:t>
            </w:r>
            <w:r>
              <w:rPr>
                <w:noProof/>
              </w:rPr>
              <w:t xml:space="preserve"> un sankcijas par Likumdošanas dekrēta 201/2022 30. pantā prasītās uzraudzības nepieņemšanu, nepublicēšanu vai nepilnīgumu.</w:t>
            </w:r>
          </w:p>
          <w:p w14:paraId="6685AFA9" w14:textId="77777777" w:rsidR="00327FF1" w:rsidRDefault="00E406C7">
            <w:pPr>
              <w:pStyle w:val="P68B1DB1-Normal33"/>
              <w:numPr>
                <w:ilvl w:val="0"/>
                <w:numId w:val="24"/>
              </w:numPr>
              <w:spacing w:before="120" w:after="120" w:line="279" w:lineRule="auto"/>
              <w:ind w:left="369" w:hanging="283"/>
              <w:rPr>
                <w:noProof/>
              </w:rPr>
            </w:pPr>
            <w:r>
              <w:rPr>
                <w:noProof/>
              </w:rPr>
              <w:t>Ieviest korektīvus pasākumus neapmierinošas vietējās pārvaldes* gadījumā. Šādi pasākumi ietver vismaz tādu plānu pieņemšanu, kuru mē</w:t>
            </w:r>
            <w:r>
              <w:rPr>
                <w:noProof/>
              </w:rPr>
              <w:t>rķis ir uzlabot kvalitāti, rentabilitāti un sasniegt visus līgumiskos mērķus. Reforma paredz, ka līgumslēdzējas iestādes noteiktos termiņos pieprasa korektīvos pasākumus.</w:t>
            </w:r>
          </w:p>
          <w:p w14:paraId="6A043354" w14:textId="3F64517E" w:rsidR="00327FF1" w:rsidRDefault="00E406C7">
            <w:pPr>
              <w:pStyle w:val="P68B1DB1-Normal33"/>
              <w:numPr>
                <w:ilvl w:val="0"/>
                <w:numId w:val="24"/>
              </w:numPr>
              <w:spacing w:before="120" w:after="120" w:line="279" w:lineRule="auto"/>
              <w:ind w:left="369" w:hanging="283"/>
              <w:rPr>
                <w:noProof/>
              </w:rPr>
            </w:pPr>
            <w:r>
              <w:rPr>
                <w:noProof/>
              </w:rPr>
              <w:t>Ieviest pārredzamības pienākumus attiecībā uz iepriekš minētajiem korektīvajiem pasāk</w:t>
            </w:r>
            <w:r>
              <w:rPr>
                <w:noProof/>
              </w:rPr>
              <w:t xml:space="preserve">umiem, nodrošināt un vajadzības gadījumā stiprināt kompetento regulatoru/iestāžu uzraudzības un izpildes pilnvaras un pieprasīt kompetentajai iestādei ik gadu sniegt Parlamentam ziņojumu par korektīvo pasākumu īstenošanas gaitu. </w:t>
            </w:r>
          </w:p>
          <w:p w14:paraId="3E321F24" w14:textId="77777777" w:rsidR="00327FF1" w:rsidRDefault="00E406C7">
            <w:pPr>
              <w:pStyle w:val="P68B1DB1-Normal33"/>
              <w:spacing w:before="120" w:after="120"/>
              <w:rPr>
                <w:noProof/>
              </w:rPr>
            </w:pPr>
            <w:bookmarkStart w:id="9" w:name="_Hlk212535598"/>
            <w:r>
              <w:rPr>
                <w:noProof/>
              </w:rPr>
              <w:t>*</w:t>
            </w:r>
            <w:bookmarkEnd w:id="9"/>
            <w:r>
              <w:rPr>
                <w:noProof/>
              </w:rPr>
              <w:t xml:space="preserve"> Neapmierinošu pārvaldību</w:t>
            </w:r>
            <w:r>
              <w:rPr>
                <w:noProof/>
              </w:rPr>
              <w:t xml:space="preserve"> definē kā tādu, kas aptver vismaz situācijas, kurās operatoram ir radušies ievērojami zaudējumi, kas var apdraudēt tā ekonomisko un finansiālo dzīvotspēju, vai kad pakalpojuma kvalitāte ir ievērojami zemāka par nozares etalonrādītājiem vai kad sniegums ir</w:t>
            </w:r>
            <w:r>
              <w:rPr>
                <w:noProof/>
              </w:rPr>
              <w:t xml:space="preserve"> ievērojami zemāks par līgumā noteiktajiem mērķiem.</w:t>
            </w:r>
          </w:p>
          <w:p w14:paraId="23E18B0F" w14:textId="77777777" w:rsidR="00327FF1" w:rsidRDefault="00327FF1">
            <w:pPr>
              <w:spacing w:before="120" w:after="120"/>
              <w:rPr>
                <w:rFonts w:ascii="Arial Narrow" w:eastAsia="Times New Roman" w:hAnsi="Arial Narrow" w:cs="Segoe UI"/>
                <w:noProof/>
                <w:color w:val="006100"/>
                <w:sz w:val="20"/>
                <w:szCs w:val="20"/>
              </w:rPr>
            </w:pPr>
          </w:p>
          <w:p w14:paraId="1EA09644" w14:textId="77777777" w:rsidR="00327FF1" w:rsidRDefault="00E406C7">
            <w:pPr>
              <w:pStyle w:val="P68B1DB1-Normal34"/>
              <w:spacing w:before="120" w:after="120"/>
              <w:rPr>
                <w:bCs/>
                <w:noProof/>
              </w:rPr>
            </w:pPr>
            <w:r>
              <w:rPr>
                <w:noProof/>
              </w:rPr>
              <w:t>II — Reģionālais transports:</w:t>
            </w:r>
          </w:p>
          <w:p w14:paraId="11B1840D" w14:textId="77777777" w:rsidR="00327FF1" w:rsidRDefault="00E406C7">
            <w:pPr>
              <w:pStyle w:val="P68B1DB1-Normal33"/>
              <w:numPr>
                <w:ilvl w:val="0"/>
                <w:numId w:val="24"/>
              </w:numPr>
              <w:spacing w:before="120" w:after="120" w:line="279" w:lineRule="auto"/>
              <w:ind w:left="369" w:hanging="369"/>
              <w:rPr>
                <w:noProof/>
              </w:rPr>
            </w:pPr>
            <w:r>
              <w:rPr>
                <w:noProof/>
              </w:rPr>
              <w:t xml:space="preserve">14. panta 1. punkta piemērojamību attiecināt arī uz reģionālo sabiedrisko transportu (tostarp uz “iekšējiem pakalpojumu sniedzējiem” saskaņā ar Regulu (EK) Nr. 1370/2007). </w:t>
            </w:r>
            <w:r>
              <w:rPr>
                <w:noProof/>
              </w:rPr>
              <w:t>Iepriekš reformētā Likumdošanas dekrēta 201/2022 2. un 3., 17., 30. un 31. punkts.</w:t>
            </w:r>
          </w:p>
          <w:p w14:paraId="622395ED" w14:textId="77777777" w:rsidR="00327FF1" w:rsidRDefault="00E406C7">
            <w:pPr>
              <w:pStyle w:val="P68B1DB1-Normal33"/>
              <w:numPr>
                <w:ilvl w:val="0"/>
                <w:numId w:val="24"/>
              </w:numPr>
              <w:spacing w:before="120" w:after="120" w:line="279" w:lineRule="auto"/>
              <w:ind w:left="369" w:hanging="369"/>
              <w:rPr>
                <w:noProof/>
              </w:rPr>
            </w:pPr>
            <w:r>
              <w:rPr>
                <w:noProof/>
              </w:rPr>
              <w:t>Pārskatīt Gada Konkurences likuma Nr. 118/2022 9. pantu, lai paredzētu prasību Infrastruktūras un transporta ministrijai (MIT) katru gadu un sākot no 2026. gada publicēt pie</w:t>
            </w:r>
            <w:r>
              <w:rPr>
                <w:noProof/>
              </w:rPr>
              <w:t>nācīgi sadalītu visu to dzelzceļa līgumu slēgšanas tiesību piešķiršanas procedūru grafiku, kuru termiņš beidzas.</w:t>
            </w:r>
          </w:p>
          <w:p w14:paraId="0A3B8F93" w14:textId="77777777" w:rsidR="00327FF1" w:rsidRDefault="00E406C7">
            <w:pPr>
              <w:pStyle w:val="P68B1DB1-Normal33"/>
              <w:numPr>
                <w:ilvl w:val="0"/>
                <w:numId w:val="24"/>
              </w:numPr>
              <w:spacing w:before="120" w:after="120" w:line="279" w:lineRule="auto"/>
              <w:ind w:left="369" w:hanging="369"/>
              <w:rPr>
                <w:noProof/>
              </w:rPr>
            </w:pPr>
            <w:r>
              <w:rPr>
                <w:noProof/>
              </w:rPr>
              <w:t>Pieprasīt ART līdz 2026. gada 2. ceturksnim sākt sabiedrisko apspriešanu, lai pieņemtu pamatnostādnes par reģionālo transporta pakalpojumu pieš</w:t>
            </w:r>
            <w:r>
              <w:rPr>
                <w:noProof/>
              </w:rPr>
              <w:t>ķiršanas procedūru standartizāciju.</w:t>
            </w:r>
          </w:p>
          <w:p w14:paraId="29FFB227" w14:textId="77777777" w:rsidR="00327FF1" w:rsidRDefault="00327FF1">
            <w:pPr>
              <w:spacing w:before="120" w:after="120"/>
              <w:rPr>
                <w:rFonts w:ascii="Arial Narrow" w:eastAsia="Times New Roman" w:hAnsi="Arial Narrow" w:cs="Segoe UI"/>
                <w:noProof/>
                <w:color w:val="006100"/>
                <w:sz w:val="20"/>
                <w:szCs w:val="20"/>
              </w:rPr>
            </w:pPr>
          </w:p>
          <w:p w14:paraId="51623B0A" w14:textId="77777777" w:rsidR="00327FF1" w:rsidRDefault="00E406C7">
            <w:pPr>
              <w:pStyle w:val="P68B1DB1-Normal34"/>
              <w:spacing w:before="120" w:after="120"/>
              <w:rPr>
                <w:noProof/>
              </w:rPr>
            </w:pPr>
            <w:r>
              <w:rPr>
                <w:noProof/>
              </w:rPr>
              <w:t>III — Elektrouzlādes stacijas:</w:t>
            </w:r>
          </w:p>
          <w:p w14:paraId="407FC34D" w14:textId="77777777" w:rsidR="00327FF1" w:rsidRDefault="00E406C7">
            <w:pPr>
              <w:pStyle w:val="P68B1DB1-Normal33"/>
              <w:numPr>
                <w:ilvl w:val="0"/>
                <w:numId w:val="24"/>
              </w:numPr>
              <w:spacing w:before="120" w:after="120" w:line="279" w:lineRule="auto"/>
              <w:ind w:left="369" w:hanging="283"/>
              <w:rPr>
                <w:noProof/>
              </w:rPr>
            </w:pPr>
            <w:r>
              <w:rPr>
                <w:noProof/>
              </w:rPr>
              <w:t xml:space="preserve">Nodrošināt, ka koncesiju piešķiršana elektrouzlādes punktiem veicina konkurenci, veicinot piegādātāju daudzveidību tirgū. </w:t>
            </w:r>
          </w:p>
          <w:p w14:paraId="0074448E" w14:textId="77777777" w:rsidR="00327FF1" w:rsidRDefault="00327FF1">
            <w:pPr>
              <w:spacing w:before="120" w:after="120"/>
              <w:rPr>
                <w:rFonts w:ascii="Arial Narrow" w:eastAsia="Times New Roman" w:hAnsi="Arial Narrow" w:cs="Segoe UI"/>
                <w:noProof/>
                <w:color w:val="006100"/>
                <w:sz w:val="20"/>
                <w:szCs w:val="20"/>
              </w:rPr>
            </w:pPr>
          </w:p>
          <w:p w14:paraId="0776BE6D" w14:textId="77777777" w:rsidR="00327FF1" w:rsidRDefault="00E406C7">
            <w:pPr>
              <w:pStyle w:val="P68B1DB1-Normal34"/>
              <w:spacing w:before="120" w:after="120"/>
              <w:rPr>
                <w:bCs/>
                <w:noProof/>
              </w:rPr>
            </w:pPr>
            <w:r>
              <w:rPr>
                <w:noProof/>
              </w:rPr>
              <w:t>IV — Veselība:</w:t>
            </w:r>
          </w:p>
          <w:p w14:paraId="71740FF9" w14:textId="77777777" w:rsidR="00327FF1" w:rsidRDefault="00E406C7">
            <w:pPr>
              <w:pStyle w:val="P68B1DB1-Normal12"/>
              <w:numPr>
                <w:ilvl w:val="0"/>
                <w:numId w:val="24"/>
              </w:numPr>
              <w:spacing w:before="120" w:after="120" w:line="279" w:lineRule="auto"/>
              <w:ind w:left="227" w:hanging="227"/>
              <w:rPr>
                <w:rFonts w:eastAsia="Arial Narrow" w:cs="Arial Narrow"/>
                <w:noProof/>
              </w:rPr>
            </w:pPr>
            <w:r>
              <w:rPr>
                <w:noProof/>
              </w:rPr>
              <w:t>Noteikt kopīgus kritērijus līgumattiecībām, lai n</w:t>
            </w:r>
            <w:r>
              <w:rPr>
                <w:noProof/>
              </w:rPr>
              <w:t>odrošinātu 8.quater un 8.-quinquies panta efektīvu īstenošanu Likumdošanas dekrētā 502/1992, kas grozīts ar Likumu 118/2022, par privātu uzņēmumu akreditāciju sabiedrības veselības aizsardzības sistēmā, un nodrošināt, ka tiek īstenoti noteikumi, kas paredz</w:t>
            </w:r>
            <w:r>
              <w:rPr>
                <w:noProof/>
              </w:rPr>
              <w:t xml:space="preserve"> atklātas un pārredzamas atlases procedūras.</w:t>
            </w:r>
          </w:p>
          <w:p w14:paraId="64489CAA" w14:textId="77777777" w:rsidR="00327FF1" w:rsidRDefault="00E406C7">
            <w:pPr>
              <w:pStyle w:val="P68B1DB1-Normal34"/>
              <w:spacing w:before="120" w:after="120"/>
              <w:rPr>
                <w:bCs/>
                <w:noProof/>
              </w:rPr>
            </w:pPr>
            <w:r>
              <w:rPr>
                <w:noProof/>
              </w:rPr>
              <w:t>V. — Tehnoloģiju nodošana:</w:t>
            </w:r>
          </w:p>
          <w:p w14:paraId="50AF0F8E" w14:textId="77777777" w:rsidR="00327FF1" w:rsidRDefault="00E406C7">
            <w:pPr>
              <w:pStyle w:val="P68B1DB1-Normal33"/>
              <w:numPr>
                <w:ilvl w:val="0"/>
                <w:numId w:val="24"/>
              </w:numPr>
              <w:spacing w:before="120" w:after="120" w:line="279" w:lineRule="auto"/>
              <w:ind w:left="369" w:hanging="283"/>
              <w:rPr>
                <w:noProof/>
              </w:rPr>
            </w:pPr>
            <w:r>
              <w:rPr>
                <w:noProof/>
              </w:rPr>
              <w:t>Pieprasīt Itālijas Uzņēmumu un ražotāju ministrijai un Universitātes un pētniecības ministrijai līdz 2026. gada 2. ceturksnim pieņemt valsts stratēģiju tehnoloģiju nodošanai un zināšan</w:t>
            </w:r>
            <w:r>
              <w:rPr>
                <w:noProof/>
              </w:rPr>
              <w:t>u valorizācijai, padarot pieejamo resursu sadali efektīvāku un veicinot koordinētu stratēģiju starp dažādiem fondiem un citiem institucionāliem subjektiem, kas darbojas tehnoloģiju nodošanas jomā. Iniciatīva atbalsta un racionalizē tehnoloģiju nodošanas bi</w:t>
            </w:r>
            <w:r>
              <w:rPr>
                <w:noProof/>
              </w:rPr>
              <w:t xml:space="preserve">rojus, arī veicinot federatīvas iniciatīvas vai citas politikas, lai palielinātu efektivitāti. </w:t>
            </w:r>
          </w:p>
          <w:p w14:paraId="66F4A6B5" w14:textId="77777777" w:rsidR="00327FF1" w:rsidRDefault="00E406C7">
            <w:pPr>
              <w:pStyle w:val="P68B1DB1-Normal34"/>
              <w:spacing w:before="120" w:after="120"/>
              <w:rPr>
                <w:bCs/>
                <w:noProof/>
              </w:rPr>
            </w:pPr>
            <w:r>
              <w:rPr>
                <w:noProof/>
              </w:rPr>
              <w:t>VI — Par reglamentētām profesijām:</w:t>
            </w:r>
          </w:p>
          <w:p w14:paraId="52AC4BB7" w14:textId="77777777" w:rsidR="00327FF1" w:rsidRDefault="00E406C7">
            <w:pPr>
              <w:pStyle w:val="P68B1DB1-ListParagraph35"/>
              <w:numPr>
                <w:ilvl w:val="0"/>
                <w:numId w:val="24"/>
              </w:numPr>
              <w:spacing w:before="120" w:after="120"/>
              <w:ind w:left="224" w:hanging="224"/>
              <w:jc w:val="both"/>
              <w:rPr>
                <w:noProof/>
              </w:rPr>
            </w:pPr>
            <w:r>
              <w:rPr>
                <w:noProof/>
              </w:rPr>
              <w:t>Vienkāršot profesionālo uzņēmumu dibināšanas un reģistrācijas prasības.</w:t>
            </w:r>
          </w:p>
        </w:tc>
      </w:tr>
      <w:tr w:rsidR="00327FF1" w14:paraId="5DE1D86E"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037CBB35" w14:textId="77777777" w:rsidR="00327FF1" w:rsidRDefault="00E406C7">
            <w:pPr>
              <w:pStyle w:val="P68B1DB1-Normal11"/>
              <w:spacing w:before="120" w:after="120"/>
              <w:jc w:val="center"/>
              <w:rPr>
                <w:noProof/>
                <w:szCs w:val="20"/>
              </w:rPr>
            </w:pPr>
            <w:r>
              <w:rPr>
                <w:noProof/>
              </w:rPr>
              <w:t>M1C2–13bis</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63269CB8" w14:textId="77777777" w:rsidR="00327FF1" w:rsidRDefault="00E406C7">
            <w:pPr>
              <w:pStyle w:val="P68B1DB1-Normal11"/>
              <w:spacing w:before="120" w:after="120"/>
              <w:jc w:val="center"/>
              <w:rPr>
                <w:noProof/>
              </w:rPr>
            </w:pPr>
            <w:r>
              <w:rPr>
                <w:noProof/>
              </w:rPr>
              <w:t xml:space="preserve">Reforma. Ikgadējie konkurences tiesību </w:t>
            </w:r>
            <w:r>
              <w:rPr>
                <w:noProof/>
              </w:rPr>
              <w:t>akti</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B572F16" w14:textId="77777777" w:rsidR="00327FF1" w:rsidRDefault="00E406C7">
            <w:pPr>
              <w:pStyle w:val="P68B1DB1-Normal11"/>
              <w:spacing w:before="120" w:after="120"/>
              <w:jc w:val="center"/>
              <w:rPr>
                <w:noProof/>
              </w:rPr>
            </w:pPr>
            <w:r>
              <w:rPr>
                <w:noProof/>
              </w:rPr>
              <w:t>Atskaites punkts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3AB63C94" w14:textId="77777777" w:rsidR="00327FF1" w:rsidRDefault="00E406C7">
            <w:pPr>
              <w:pStyle w:val="P68B1DB1-Normal33"/>
              <w:spacing w:before="120" w:after="120"/>
              <w:jc w:val="center"/>
              <w:rPr>
                <w:noProof/>
              </w:rPr>
            </w:pPr>
            <w:r>
              <w:rPr>
                <w:noProof/>
              </w:rPr>
              <w:t>Stājas spēkā tiesību akti (tostarp sekundārie tiesību akti un īstenošanas akti attiecībā uz Gada konkurences likumu 2025. gadam) par reģionālajiem dzelzceļiem un tehnoloģiju nodošanu</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7C3ECE95" w14:textId="77777777" w:rsidR="00327FF1" w:rsidRDefault="00E406C7">
            <w:pPr>
              <w:pStyle w:val="P68B1DB1-Normal21"/>
              <w:spacing w:before="120" w:after="120"/>
              <w:jc w:val="center"/>
              <w:rPr>
                <w:rFonts w:ascii="Arial Narrow" w:hAnsi="Arial Narrow"/>
                <w:noProof/>
              </w:rPr>
            </w:pPr>
            <w:r>
              <w:rPr>
                <w:rFonts w:ascii="Arial Narrow" w:hAnsi="Arial Narrow"/>
                <w:noProof/>
              </w:rPr>
              <w:t>Noteikums, kas norāda</w:t>
            </w:r>
            <w:r>
              <w:rPr>
                <w:rFonts w:ascii="Arial Narrow" w:eastAsia="Times New Roman" w:hAnsi="Arial Narrow" w:cs="Segoe UI"/>
                <w:noProof/>
                <w:szCs w:val="20"/>
              </w:rPr>
              <w:t>, ka stājas spēkā tiesību akti</w:t>
            </w:r>
            <w:r>
              <w:rPr>
                <w:rFonts w:ascii="Arial Narrow" w:eastAsia="Times New Roman" w:hAnsi="Arial Narrow" w:cs="Segoe UI"/>
                <w:noProof/>
                <w:szCs w:val="20"/>
              </w:rPr>
              <w:t xml:space="preserve"> (tostarp sekundārie tiesību akti un īstenošanas akti attiecībā uz Gada konkurences likumu 2025. gadam) par reģionālajiem dzelzceļiem un tehnoloģiju nodošanu</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10881BA6" w14:textId="77777777" w:rsidR="00327FF1" w:rsidRDefault="00E406C7">
            <w:pPr>
              <w:pStyle w:val="P68B1DB1-Normal11"/>
              <w:spacing w:before="120" w:after="120"/>
              <w:jc w:val="center"/>
              <w:rPr>
                <w:noProof/>
              </w:rPr>
            </w:pPr>
            <w:r>
              <w:rPr>
                <w:noProof/>
              </w:rPr>
              <w:t>NEPIEMĒRO</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509969F9" w14:textId="77777777" w:rsidR="00327FF1" w:rsidRDefault="00E406C7">
            <w:pPr>
              <w:pStyle w:val="P68B1DB1-Normal11"/>
              <w:spacing w:before="120" w:after="120"/>
              <w:jc w:val="center"/>
              <w:rPr>
                <w:noProof/>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88357EA" w14:textId="77777777" w:rsidR="00327FF1" w:rsidRDefault="00E406C7">
            <w:pPr>
              <w:pStyle w:val="P68B1DB1-Normal11"/>
              <w:spacing w:before="120" w:after="120"/>
              <w:jc w:val="center"/>
              <w:rPr>
                <w:noProof/>
              </w:rPr>
            </w:pPr>
            <w:r>
              <w:rPr>
                <w:noProof/>
              </w:rPr>
              <w:t>NEPIEMĒRO</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1D07968" w14:textId="77777777" w:rsidR="00327FF1" w:rsidRDefault="00E406C7">
            <w:pPr>
              <w:pStyle w:val="P68B1DB1-Normal11"/>
              <w:spacing w:before="120" w:after="120"/>
              <w:jc w:val="center"/>
              <w:rPr>
                <w:noProof/>
              </w:rPr>
            </w:pPr>
            <w:r>
              <w:rPr>
                <w:noProof/>
              </w:rPr>
              <w:t>2.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45CE7CF9" w14:textId="77777777" w:rsidR="00327FF1" w:rsidRDefault="00E406C7">
            <w:pPr>
              <w:pStyle w:val="P68B1DB1-Normal11"/>
              <w:spacing w:before="120" w:after="120"/>
              <w:jc w:val="center"/>
              <w:rPr>
                <w:noProof/>
              </w:rPr>
            </w:pPr>
            <w:r>
              <w:rPr>
                <w:noProof/>
              </w:rPr>
              <w:t>2026</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1D9D2F68" w14:textId="77777777" w:rsidR="00327FF1" w:rsidRDefault="00E406C7">
            <w:pPr>
              <w:pStyle w:val="P68B1DB1-Normal33"/>
              <w:spacing w:before="120" w:after="120"/>
              <w:rPr>
                <w:noProof/>
              </w:rPr>
            </w:pPr>
            <w:r>
              <w:rPr>
                <w:noProof/>
              </w:rPr>
              <w:t>Stājas spēkā tiesību akti (tostarp sekundārie tiesību a</w:t>
            </w:r>
            <w:r>
              <w:rPr>
                <w:noProof/>
              </w:rPr>
              <w:t xml:space="preserve">kti un īstenošanas akti) par reģionālajiem dzelzceļiem un tehnoloģiju nodošanu. </w:t>
            </w:r>
          </w:p>
          <w:p w14:paraId="32305F2E" w14:textId="77777777" w:rsidR="00327FF1" w:rsidRDefault="00E406C7">
            <w:pPr>
              <w:pStyle w:val="P68B1DB1-Normal33"/>
              <w:numPr>
                <w:ilvl w:val="0"/>
                <w:numId w:val="24"/>
              </w:numPr>
              <w:spacing w:before="120" w:after="120" w:line="279" w:lineRule="auto"/>
              <w:ind w:left="369" w:hanging="283"/>
              <w:rPr>
                <w:noProof/>
              </w:rPr>
            </w:pPr>
            <w:r>
              <w:rPr>
                <w:noProof/>
              </w:rPr>
              <w:t xml:space="preserve">Par </w:t>
            </w:r>
            <w:r>
              <w:rPr>
                <w:b/>
                <w:noProof/>
              </w:rPr>
              <w:t>reģionālo transportu</w:t>
            </w:r>
            <w:r>
              <w:rPr>
                <w:noProof/>
              </w:rPr>
              <w:t>: pieņem visus regulatīvos pasākumus (tostarp ministrijas dekrētu, ar ko paredz veidnes reģionu kalendāram līguma slēgšanas tiesību piešķiršanas proced</w:t>
            </w:r>
            <w:r>
              <w:rPr>
                <w:noProof/>
              </w:rPr>
              <w:t>ūrās), kas vajadzīgi, lai publicētu MIT kalendāru visu to dzelzceļa līgumu slēgšanas tiesību piešķiršanas procedūrām, kuru termiņš beidzas.</w:t>
            </w:r>
          </w:p>
          <w:p w14:paraId="04C03C9C" w14:textId="77777777" w:rsidR="00327FF1" w:rsidRDefault="00E406C7">
            <w:pPr>
              <w:pStyle w:val="P68B1DB1-Normal33"/>
              <w:numPr>
                <w:ilvl w:val="0"/>
                <w:numId w:val="24"/>
              </w:numPr>
              <w:spacing w:before="120" w:after="120" w:line="279" w:lineRule="auto"/>
              <w:ind w:left="369" w:hanging="283"/>
              <w:rPr>
                <w:noProof/>
              </w:rPr>
            </w:pPr>
            <w:r>
              <w:rPr>
                <w:noProof/>
              </w:rPr>
              <w:t xml:space="preserve">Par </w:t>
            </w:r>
            <w:r>
              <w:rPr>
                <w:b/>
                <w:noProof/>
              </w:rPr>
              <w:t>tehnoloģiju nodošanu</w:t>
            </w:r>
            <w:r>
              <w:rPr>
                <w:noProof/>
              </w:rPr>
              <w:t>: Itālijas Uzņēmumu un ražotāju ministrija un Universitātes un pētniecības ministrija pieņem</w:t>
            </w:r>
            <w:r>
              <w:rPr>
                <w:noProof/>
              </w:rPr>
              <w:t xml:space="preserve"> valsts stratēģiju, kas paredzēta M1C2–13 atskaites punktā.</w:t>
            </w:r>
          </w:p>
        </w:tc>
      </w:tr>
      <w:tr w:rsidR="00327FF1" w14:paraId="2742ADAC"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3C38D0CC" w14:textId="77777777" w:rsidR="00327FF1" w:rsidRDefault="00E406C7">
            <w:pPr>
              <w:pStyle w:val="P68B1DB1-Normal11"/>
              <w:spacing w:before="120" w:after="120"/>
              <w:jc w:val="center"/>
              <w:rPr>
                <w:noProof/>
              </w:rPr>
            </w:pPr>
            <w:r>
              <w:rPr>
                <w:noProof/>
              </w:rPr>
              <w:t>M1C2–14</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6AAEFDF8" w14:textId="77777777" w:rsidR="00327FF1" w:rsidRDefault="00E406C7">
            <w:pPr>
              <w:pStyle w:val="P68B1DB1-Normal11"/>
              <w:spacing w:before="120" w:after="120"/>
              <w:jc w:val="center"/>
              <w:rPr>
                <w:noProof/>
              </w:rPr>
            </w:pPr>
            <w:r>
              <w:rPr>
                <w:noProof/>
              </w:rPr>
              <w:t>Reforma. Ikgadējie konkurences tiesību akti</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6520775" w14:textId="77777777" w:rsidR="00327FF1" w:rsidRDefault="00E406C7">
            <w:pPr>
              <w:pStyle w:val="P68B1DB1-Normal11"/>
              <w:spacing w:before="120" w:after="120"/>
              <w:jc w:val="center"/>
              <w:rPr>
                <w:noProof/>
              </w:rPr>
            </w:pPr>
            <w:r>
              <w:rPr>
                <w:noProof/>
              </w:rPr>
              <w:t>Mērķa</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23F4F0B7" w14:textId="77777777" w:rsidR="00327FF1" w:rsidRDefault="00E406C7">
            <w:pPr>
              <w:pStyle w:val="P68B1DB1-Normal11"/>
              <w:spacing w:before="120" w:after="120"/>
              <w:jc w:val="center"/>
              <w:rPr>
                <w:rFonts w:eastAsia="Times New Roman" w:cs="Segoe UI"/>
                <w:noProof/>
                <w:szCs w:val="20"/>
              </w:rPr>
            </w:pPr>
            <w:r>
              <w:rPr>
                <w:noProof/>
              </w:rPr>
              <w:t>Ir ieviesti miljoni 2G viedo skaitītāju.</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06C374D3" w14:textId="77777777" w:rsidR="00327FF1" w:rsidRDefault="00E406C7">
            <w:pPr>
              <w:pStyle w:val="P68B1DB1-Normal11"/>
              <w:spacing w:before="120" w:after="120"/>
              <w:jc w:val="center"/>
              <w:rPr>
                <w:noProof/>
              </w:rPr>
            </w:pPr>
            <w:r>
              <w:rPr>
                <w:noProof/>
              </w:rPr>
              <w:t>NEPIEMĒRO</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13657C0D" w14:textId="77777777" w:rsidR="00327FF1" w:rsidRDefault="00E406C7">
            <w:pPr>
              <w:pStyle w:val="P68B1DB1-Normal11"/>
              <w:spacing w:before="120" w:after="120"/>
              <w:jc w:val="center"/>
              <w:rPr>
                <w:noProof/>
              </w:rPr>
            </w:pPr>
            <w:r>
              <w:rPr>
                <w:noProof/>
              </w:rPr>
              <w:t>Skaits</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754B772" w14:textId="77777777" w:rsidR="00327FF1" w:rsidRDefault="00E406C7">
            <w:pPr>
              <w:pStyle w:val="P68B1DB1-Normal11"/>
              <w:spacing w:before="120" w:after="120"/>
              <w:jc w:val="center"/>
              <w:rPr>
                <w:noProof/>
              </w:rPr>
            </w:pPr>
            <w:r>
              <w:rPr>
                <w:noProof/>
              </w:rPr>
              <w:t>20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480E5725" w14:textId="77777777" w:rsidR="00327FF1" w:rsidRDefault="00E406C7">
            <w:pPr>
              <w:pStyle w:val="P68B1DB1-Normal11"/>
              <w:spacing w:before="120" w:after="120"/>
              <w:jc w:val="center"/>
              <w:rPr>
                <w:noProof/>
              </w:rPr>
            </w:pPr>
            <w:r>
              <w:rPr>
                <w:noProof/>
              </w:rPr>
              <w:t>33</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69321243" w14:textId="77777777" w:rsidR="00327FF1" w:rsidRDefault="00E406C7">
            <w:pPr>
              <w:pStyle w:val="P68B1DB1-Normal11"/>
              <w:spacing w:before="120" w:after="120"/>
              <w:jc w:val="center"/>
              <w:rPr>
                <w:noProof/>
              </w:rPr>
            </w:pPr>
            <w:r>
              <w:rPr>
                <w:noProof/>
              </w:rPr>
              <w:t>4. CET.</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40F37CCA" w14:textId="77777777" w:rsidR="00327FF1" w:rsidRDefault="00E406C7">
            <w:pPr>
              <w:pStyle w:val="P68B1DB1-Normal11"/>
              <w:spacing w:before="120" w:after="120"/>
              <w:jc w:val="center"/>
              <w:rPr>
                <w:noProof/>
              </w:rPr>
            </w:pPr>
            <w:r>
              <w:rPr>
                <w:noProof/>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5807332A" w14:textId="77777777" w:rsidR="00327FF1" w:rsidRDefault="00E406C7">
            <w:pPr>
              <w:pStyle w:val="P68B1DB1-Normal11"/>
              <w:spacing w:before="120" w:after="120"/>
              <w:rPr>
                <w:rFonts w:eastAsia="Times New Roman" w:cs="Segoe UI"/>
                <w:noProof/>
                <w:szCs w:val="20"/>
              </w:rPr>
            </w:pPr>
            <w:r>
              <w:rPr>
                <w:noProof/>
              </w:rPr>
              <w:t>Ierīko vismaz 33 miljonus 2G viedo skaitītāju.</w:t>
            </w:r>
          </w:p>
        </w:tc>
      </w:tr>
      <w:tr w:rsidR="00327FF1" w14:paraId="3A7FF93A"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440D6A0A" w14:textId="77777777" w:rsidR="00327FF1" w:rsidRDefault="00E406C7">
            <w:pPr>
              <w:pStyle w:val="P68B1DB1-Normal12"/>
              <w:jc w:val="center"/>
              <w:rPr>
                <w:noProof/>
              </w:rPr>
            </w:pPr>
            <w:r>
              <w:rPr>
                <w:noProof/>
              </w:rPr>
              <w:t>M1C2–14bis</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51A9D135" w14:textId="178A4276" w:rsidR="00327FF1" w:rsidRDefault="00E406C7">
            <w:pPr>
              <w:pStyle w:val="P68B1DB1-Normal11"/>
              <w:jc w:val="center"/>
              <w:rPr>
                <w:noProof/>
                <w:szCs w:val="20"/>
              </w:rPr>
            </w:pPr>
            <w:r>
              <w:rPr>
                <w:noProof/>
              </w:rPr>
              <w:t>Reforma.  uzņēmumiem paredzēto stimulu racionalizācija un vienkāršošana.</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ACBB458" w14:textId="77777777" w:rsidR="00327FF1" w:rsidRDefault="00E406C7">
            <w:pPr>
              <w:pStyle w:val="P68B1DB1-Normal11"/>
              <w:jc w:val="center"/>
              <w:rPr>
                <w:noProof/>
                <w:szCs w:val="20"/>
              </w:rPr>
            </w:pPr>
            <w:r>
              <w:rPr>
                <w:noProof/>
              </w:rPr>
              <w:t xml:space="preserve">Atskaites punkts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6ED9212F" w14:textId="7FC3C00A" w:rsidR="00327FF1" w:rsidRDefault="00E406C7">
            <w:pPr>
              <w:pStyle w:val="P68B1DB1-Normal11"/>
              <w:jc w:val="both"/>
              <w:rPr>
                <w:noProof/>
                <w:szCs w:val="20"/>
              </w:rPr>
            </w:pPr>
            <w:r>
              <w:rPr>
                <w:noProof/>
              </w:rPr>
              <w:t>Pilnvarojuma akta stāšanās spēkā</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B5011C9" w14:textId="13AB2A1C" w:rsidR="00327FF1" w:rsidRDefault="00E406C7">
            <w:pPr>
              <w:pStyle w:val="P68B1DB1-Normal11"/>
              <w:jc w:val="both"/>
              <w:rPr>
                <w:noProof/>
                <w:szCs w:val="20"/>
              </w:rPr>
            </w:pPr>
            <w:r>
              <w:rPr>
                <w:noProof/>
              </w:rPr>
              <w:t>Uzņēmumu stimulu reformas veicinoša akta stāšanās spēkā</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29C73BAA" w14:textId="77777777" w:rsidR="00327FF1" w:rsidRDefault="00E406C7">
            <w:pPr>
              <w:pStyle w:val="P68B1DB1-Normal11"/>
              <w:jc w:val="center"/>
              <w:rPr>
                <w:noProof/>
                <w:szCs w:val="20"/>
              </w:rPr>
            </w:pPr>
            <w:r>
              <w:rPr>
                <w:noProof/>
              </w:rPr>
              <w:t xml:space="preserve">NEPIEMĒRO </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5B48B4F5" w14:textId="77777777" w:rsidR="00327FF1" w:rsidRDefault="00E406C7">
            <w:pPr>
              <w:pStyle w:val="P68B1DB1-Normal11"/>
              <w:jc w:val="center"/>
              <w:rPr>
                <w:noProof/>
                <w:szCs w:val="20"/>
              </w:rPr>
            </w:pPr>
            <w:r>
              <w:rPr>
                <w:noProof/>
              </w:rPr>
              <w:t xml:space="preserve">NEPIEMĒRO </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0B803E8" w14:textId="77777777" w:rsidR="00327FF1" w:rsidRDefault="00E406C7">
            <w:pPr>
              <w:pStyle w:val="P68B1DB1-Normal11"/>
              <w:jc w:val="center"/>
              <w:rPr>
                <w:noProof/>
                <w:szCs w:val="20"/>
              </w:rPr>
            </w:pPr>
            <w:r>
              <w:rPr>
                <w:noProof/>
              </w:rPr>
              <w:t xml:space="preserve">NEPIEMĒRO </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2E7A8BB0" w14:textId="77777777" w:rsidR="00327FF1" w:rsidRDefault="00E406C7">
            <w:pPr>
              <w:pStyle w:val="P68B1DB1-Normal11"/>
              <w:jc w:val="center"/>
              <w:rPr>
                <w:noProof/>
                <w:szCs w:val="20"/>
              </w:rPr>
            </w:pPr>
            <w:r>
              <w:rPr>
                <w:noProof/>
              </w:rPr>
              <w:t xml:space="preserve">2. CET. </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E4D9F74" w14:textId="77777777" w:rsidR="00327FF1" w:rsidRDefault="00E406C7">
            <w:pPr>
              <w:pStyle w:val="P68B1DB1-Normal11"/>
              <w:jc w:val="center"/>
              <w:rPr>
                <w:noProof/>
                <w:szCs w:val="20"/>
              </w:rPr>
            </w:pPr>
            <w:r>
              <w:rPr>
                <w:noProof/>
              </w:rPr>
              <w:t xml:space="preserve">2025 </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72EAF32D" w14:textId="2E245B4C" w:rsidR="00327FF1" w:rsidRDefault="00E406C7">
            <w:pPr>
              <w:pStyle w:val="P68B1DB1-Normal11"/>
              <w:jc w:val="both"/>
              <w:rPr>
                <w:rFonts w:eastAsia="Calibri" w:cs="Calibri"/>
                <w:noProof/>
                <w:szCs w:val="20"/>
                <w:highlight w:val="yellow"/>
              </w:rPr>
            </w:pPr>
            <w:r>
              <w:rPr>
                <w:noProof/>
              </w:rPr>
              <w:t xml:space="preserve">Stājas spēkā pilnvarojošs </w:t>
            </w:r>
            <w:r>
              <w:rPr>
                <w:noProof/>
              </w:rPr>
              <w:t>akts (</w:t>
            </w:r>
            <w:r>
              <w:rPr>
                <w:i/>
                <w:noProof/>
              </w:rPr>
              <w:t>legge delega</w:t>
            </w:r>
            <w:r>
              <w:rPr>
                <w:noProof/>
              </w:rPr>
              <w:t>), kas pilnvaro valdību pārskatīt uzņēmumu stimulu sistēmu.</w:t>
            </w:r>
          </w:p>
        </w:tc>
      </w:tr>
      <w:tr w:rsidR="00327FF1" w14:paraId="32F28D77"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5A88E948" w14:textId="684999C0" w:rsidR="00327FF1" w:rsidRDefault="00E406C7">
            <w:pPr>
              <w:pStyle w:val="P68B1DB1-Normal11"/>
              <w:jc w:val="center"/>
              <w:rPr>
                <w:noProof/>
                <w:szCs w:val="20"/>
              </w:rPr>
            </w:pPr>
            <w:r>
              <w:rPr>
                <w:noProof/>
              </w:rPr>
              <w:t>M1C2–14ter</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516A465F" w14:textId="77777777" w:rsidR="00327FF1" w:rsidRDefault="00E406C7">
            <w:pPr>
              <w:pStyle w:val="P68B1DB1-Normal11"/>
              <w:jc w:val="center"/>
              <w:rPr>
                <w:noProof/>
                <w:szCs w:val="20"/>
              </w:rPr>
            </w:pPr>
            <w:r>
              <w:rPr>
                <w:noProof/>
              </w:rPr>
              <w:t>Reforma. uzņēmumiem paredzēto stimulu racionalizācija un vienkāršošana.</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51A94D5" w14:textId="77777777" w:rsidR="00327FF1" w:rsidRDefault="00E406C7">
            <w:pPr>
              <w:pStyle w:val="P68B1DB1-Normal11"/>
              <w:jc w:val="center"/>
              <w:rPr>
                <w:noProof/>
                <w:szCs w:val="20"/>
              </w:rPr>
            </w:pPr>
            <w:r>
              <w:rPr>
                <w:noProof/>
              </w:rPr>
              <w:t xml:space="preserve">Atskaites punkts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7CCA5EB" w14:textId="251719CF" w:rsidR="00327FF1" w:rsidRDefault="00E406C7">
            <w:pPr>
              <w:pStyle w:val="P68B1DB1-Normal11"/>
              <w:jc w:val="center"/>
              <w:rPr>
                <w:noProof/>
                <w:szCs w:val="20"/>
              </w:rPr>
            </w:pPr>
            <w:r>
              <w:rPr>
                <w:noProof/>
              </w:rPr>
              <w:t>Primāro tiesību aktu stāšanās spēkā</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2105E9A3" w14:textId="2607A497" w:rsidR="00327FF1" w:rsidRDefault="00E406C7">
            <w:pPr>
              <w:pStyle w:val="P68B1DB1-Normal11"/>
              <w:jc w:val="center"/>
              <w:rPr>
                <w:noProof/>
                <w:szCs w:val="20"/>
              </w:rPr>
            </w:pPr>
            <w:r>
              <w:rPr>
                <w:noProof/>
              </w:rPr>
              <w:t xml:space="preserve">Primāro tiesību aktu stāšanās spēkā </w:t>
            </w:r>
            <w:r>
              <w:rPr>
                <w:noProof/>
              </w:rPr>
              <w:t>attiecībā uz uzņēmumu stimulu reformu</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AE0CDB4" w14:textId="77777777" w:rsidR="00327FF1" w:rsidRDefault="00E406C7">
            <w:pPr>
              <w:pStyle w:val="P68B1DB1-Normal11"/>
              <w:jc w:val="center"/>
              <w:rPr>
                <w:noProof/>
                <w:szCs w:val="20"/>
              </w:rPr>
            </w:pPr>
            <w:r>
              <w:rPr>
                <w:noProof/>
              </w:rPr>
              <w:t xml:space="preserve">NEPIEMĒRO </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1D407B23" w14:textId="77777777" w:rsidR="00327FF1" w:rsidRDefault="00E406C7">
            <w:pPr>
              <w:pStyle w:val="P68B1DB1-Normal11"/>
              <w:jc w:val="center"/>
              <w:rPr>
                <w:noProof/>
                <w:szCs w:val="20"/>
              </w:rPr>
            </w:pPr>
            <w:r>
              <w:rPr>
                <w:noProof/>
              </w:rPr>
              <w:t xml:space="preserve">NEPIEMĒRO </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4DC0B439" w14:textId="77777777" w:rsidR="00327FF1" w:rsidRDefault="00E406C7">
            <w:pPr>
              <w:pStyle w:val="P68B1DB1-Normal11"/>
              <w:jc w:val="center"/>
              <w:rPr>
                <w:noProof/>
                <w:szCs w:val="20"/>
              </w:rPr>
            </w:pPr>
            <w:r>
              <w:rPr>
                <w:noProof/>
              </w:rPr>
              <w:t xml:space="preserve">NEPIEMĒRO </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74CEC59F" w14:textId="77777777" w:rsidR="00327FF1" w:rsidRDefault="00E406C7">
            <w:pPr>
              <w:pStyle w:val="P68B1DB1-Normal11"/>
              <w:jc w:val="center"/>
              <w:rPr>
                <w:noProof/>
                <w:szCs w:val="20"/>
              </w:rPr>
            </w:pPr>
            <w:r>
              <w:rPr>
                <w:noProof/>
              </w:rPr>
              <w:t xml:space="preserve">2. CET. </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3B805993" w14:textId="77777777" w:rsidR="00327FF1" w:rsidRDefault="00E406C7">
            <w:pPr>
              <w:pStyle w:val="P68B1DB1-Normal11"/>
              <w:jc w:val="center"/>
              <w:rPr>
                <w:noProof/>
                <w:szCs w:val="20"/>
              </w:rPr>
            </w:pPr>
            <w:r>
              <w:rPr>
                <w:noProof/>
              </w:rPr>
              <w:t>2026</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5F93D22" w14:textId="1AD1DACE" w:rsidR="00327FF1" w:rsidRDefault="00E406C7">
            <w:pPr>
              <w:pStyle w:val="P68B1DB1-Normal11"/>
              <w:spacing w:before="160" w:line="278" w:lineRule="auto"/>
              <w:jc w:val="both"/>
              <w:rPr>
                <w:noProof/>
                <w:szCs w:val="20"/>
              </w:rPr>
            </w:pPr>
            <w:r>
              <w:rPr>
                <w:noProof/>
              </w:rPr>
              <w:t>Stājas spēkā primārie tiesību akti, ar kuriem īsteno pilnvarojuma aktu (</w:t>
            </w:r>
            <w:r>
              <w:rPr>
                <w:i/>
                <w:noProof/>
              </w:rPr>
              <w:t>legge delega</w:t>
            </w:r>
            <w:r>
              <w:rPr>
                <w:noProof/>
              </w:rPr>
              <w:t>), kas pilnvaro valdību pārskatīt uzņēmumu stimulu sistēmu.</w:t>
            </w:r>
          </w:p>
          <w:p w14:paraId="05AB2E4D" w14:textId="70D619CC" w:rsidR="00327FF1" w:rsidRDefault="00E406C7">
            <w:pPr>
              <w:pStyle w:val="P68B1DB1-Normal11"/>
              <w:jc w:val="both"/>
              <w:rPr>
                <w:noProof/>
              </w:rPr>
            </w:pPr>
            <w:r>
              <w:rPr>
                <w:noProof/>
              </w:rPr>
              <w:t>Tiesību akti attiecas gan u</w:t>
            </w:r>
            <w:r>
              <w:rPr>
                <w:noProof/>
              </w:rPr>
              <w:t>z tiesisko regulējumu, kas reglamentē stimulus (t. i., “Codice degli incentivi”), gan uz stimulu racionalizāciju valsts līmenī.</w:t>
            </w:r>
          </w:p>
          <w:p w14:paraId="131BF77F" w14:textId="27131054" w:rsidR="00327FF1" w:rsidRDefault="00E406C7">
            <w:pPr>
              <w:pStyle w:val="P68B1DB1-Normal11"/>
              <w:jc w:val="both"/>
              <w:rPr>
                <w:noProof/>
                <w:szCs w:val="20"/>
              </w:rPr>
            </w:pPr>
            <w:bookmarkStart w:id="10" w:name="_Hlk212581611"/>
            <w:r>
              <w:rPr>
                <w:noProof/>
              </w:rPr>
              <w:t>Tiešsaistē ir pieejamas papildu funkcijas a) RNS (Valsts atbalsta reģistrs) un b) platformai incentivi.gov.it.</w:t>
            </w:r>
            <w:bookmarkEnd w:id="10"/>
          </w:p>
        </w:tc>
      </w:tr>
    </w:tbl>
    <w:p w14:paraId="1E29EF44" w14:textId="7E703426" w:rsidR="00327FF1" w:rsidRDefault="00E406C7">
      <w:pPr>
        <w:spacing w:before="120" w:after="120"/>
        <w:jc w:val="both"/>
        <w:rPr>
          <w:noProof/>
        </w:rPr>
      </w:pPr>
      <w:r>
        <w:rPr>
          <w:noProof/>
        </w:rPr>
        <w:t xml:space="preserve"> </w:t>
      </w:r>
      <w:r>
        <w:rPr>
          <w:noProof/>
        </w:rPr>
        <w:br/>
      </w:r>
    </w:p>
    <w:p w14:paraId="49CCBFCC" w14:textId="77777777" w:rsidR="00327FF1" w:rsidRDefault="00327FF1">
      <w:pPr>
        <w:spacing w:before="120" w:after="120"/>
        <w:ind w:left="709"/>
        <w:jc w:val="both"/>
        <w:rPr>
          <w:rFonts w:eastAsia="Calibri"/>
          <w:noProof/>
        </w:rPr>
      </w:pPr>
    </w:p>
    <w:p w14:paraId="4EE6C282" w14:textId="77777777" w:rsidR="00327FF1" w:rsidRDefault="00327FF1">
      <w:pPr>
        <w:spacing w:before="120" w:after="120"/>
        <w:ind w:left="709"/>
        <w:jc w:val="both"/>
        <w:rPr>
          <w:noProof/>
        </w:rPr>
        <w:sectPr w:rsidR="00327FF1" w:rsidSect="005F11B9">
          <w:headerReference w:type="even" r:id="rId42"/>
          <w:headerReference w:type="default" r:id="rId43"/>
          <w:footerReference w:type="even" r:id="rId44"/>
          <w:footerReference w:type="default" r:id="rId45"/>
          <w:headerReference w:type="first" r:id="rId46"/>
          <w:footerReference w:type="first" r:id="rId47"/>
          <w:pgSz w:w="16839" w:h="11907" w:orient="landscape"/>
          <w:pgMar w:top="1134" w:right="1134" w:bottom="1134" w:left="1134" w:header="567" w:footer="567" w:gutter="0"/>
          <w:cols w:space="720"/>
          <w:docGrid w:linePitch="360"/>
        </w:sectPr>
      </w:pPr>
    </w:p>
    <w:p w14:paraId="05C0E76C" w14:textId="77777777" w:rsidR="00327FF1" w:rsidRDefault="00E406C7">
      <w:pPr>
        <w:pStyle w:val="P68B1DB1-Heading39"/>
        <w:numPr>
          <w:ilvl w:val="2"/>
          <w:numId w:val="0"/>
        </w:numPr>
        <w:ind w:left="850" w:hanging="850"/>
        <w:rPr>
          <w:b/>
          <w:bCs/>
          <w:i/>
          <w:iCs/>
          <w:noProof/>
          <w:color w:val="156082" w:themeColor="accent1"/>
          <w:u w:val="single"/>
        </w:rPr>
      </w:pPr>
      <w:r>
        <w:rPr>
          <w:b/>
          <w:noProof/>
          <w:u w:val="single"/>
        </w:rPr>
        <w:t xml:space="preserve">B.3. </w:t>
      </w:r>
      <w:r>
        <w:rPr>
          <w:noProof/>
        </w:rPr>
        <w:t xml:space="preserve"> </w:t>
      </w:r>
      <w:r>
        <w:rPr>
          <w:b/>
          <w:noProof/>
          <w:u w:val="single"/>
        </w:rPr>
        <w:t xml:space="preserve">Aizdevumam pieteikto reformu un investīciju apraksts </w:t>
      </w:r>
    </w:p>
    <w:p w14:paraId="547AC6D1" w14:textId="77777777" w:rsidR="00327FF1" w:rsidRDefault="00E406C7">
      <w:pPr>
        <w:pStyle w:val="P68B1DB1-Normal5"/>
        <w:spacing w:before="120" w:after="120"/>
        <w:jc w:val="both"/>
        <w:rPr>
          <w:bCs/>
          <w:i/>
          <w:iCs/>
          <w:noProof/>
        </w:rPr>
      </w:pPr>
      <w:r>
        <w:rPr>
          <w:noProof/>
        </w:rPr>
        <w:t xml:space="preserve">Ieguldījums Nr. 2: Mikroelektronikas inovācija un tehnoloģija </w:t>
      </w:r>
    </w:p>
    <w:p w14:paraId="052A1CB1" w14:textId="77777777" w:rsidR="00327FF1" w:rsidRDefault="00E406C7">
      <w:pPr>
        <w:pStyle w:val="P68B1DB1-Normal7"/>
        <w:spacing w:before="120" w:after="120"/>
        <w:jc w:val="both"/>
        <w:rPr>
          <w:noProof/>
        </w:rPr>
      </w:pPr>
      <w:r>
        <w:rPr>
          <w:noProof/>
        </w:rPr>
        <w:t xml:space="preserve">Ieguldījuma mērķis ir atbalstīt mikroelektronikas stratēģiskās vērtības </w:t>
      </w:r>
      <w:r>
        <w:rPr>
          <w:noProof/>
        </w:rPr>
        <w:t>ķēdes attīstību, ieguldot silīcija karbīda substrātos. Ieguldījumu veido 8 collu silīcija karbīda substrātu papildu ražošanas jauda.</w:t>
      </w:r>
    </w:p>
    <w:p w14:paraId="3B9B60D5" w14:textId="77777777" w:rsidR="00327FF1" w:rsidRDefault="00E406C7">
      <w:pPr>
        <w:pStyle w:val="P68B1DB1-Normal5"/>
        <w:spacing w:before="120" w:after="120"/>
        <w:jc w:val="both"/>
        <w:rPr>
          <w:bCs/>
          <w:noProof/>
        </w:rPr>
      </w:pPr>
      <w:r>
        <w:rPr>
          <w:noProof/>
        </w:rPr>
        <w:t>Ieguldījums Nr. 3: Ātrs interneta pieslēgums (Ultra platjosla un 5G)</w:t>
      </w:r>
    </w:p>
    <w:p w14:paraId="52DE9D80" w14:textId="77777777" w:rsidR="00327FF1" w:rsidRDefault="00E406C7">
      <w:pPr>
        <w:pStyle w:val="P68B1DB1-Normal7"/>
        <w:spacing w:after="120"/>
        <w:jc w:val="both"/>
        <w:rPr>
          <w:noProof/>
        </w:rPr>
      </w:pPr>
      <w:r>
        <w:rPr>
          <w:noProof/>
        </w:rPr>
        <w:t xml:space="preserve">Ieguldījuma mērķis ir izveidot īpaši ātrdarbīgu un 5G </w:t>
      </w:r>
      <w:r>
        <w:rPr>
          <w:noProof/>
        </w:rPr>
        <w:t xml:space="preserve">telekomunikāciju tīklu visā valsts teritorijā. Paredzams, ka šīs investīcijas būtiski palīdzēs sasniegt digitālās pārkārtošanās mērķus un mazināt digitālo plaisu Itālijā. </w:t>
      </w:r>
    </w:p>
    <w:p w14:paraId="414D1456" w14:textId="77777777" w:rsidR="00327FF1" w:rsidRDefault="00E406C7">
      <w:pPr>
        <w:pStyle w:val="P68B1DB1-Normal7"/>
        <w:spacing w:after="120"/>
        <w:jc w:val="both"/>
        <w:rPr>
          <w:noProof/>
        </w:rPr>
      </w:pPr>
      <w:r>
        <w:rPr>
          <w:noProof/>
        </w:rPr>
        <w:t>Investīcija ietver koncesiju piešķiršanu un piecus ātrāku savienojumu projektus:</w:t>
      </w:r>
    </w:p>
    <w:p w14:paraId="4512031B" w14:textId="4A920EA0" w:rsidR="00327FF1" w:rsidRDefault="00E406C7">
      <w:pPr>
        <w:pStyle w:val="P68B1DB1-ListParagraph36"/>
        <w:numPr>
          <w:ilvl w:val="0"/>
          <w:numId w:val="50"/>
        </w:numPr>
        <w:spacing w:after="0" w:line="240" w:lineRule="auto"/>
        <w:jc w:val="both"/>
        <w:rPr>
          <w:rFonts w:eastAsiaTheme="minorEastAsia" w:hint="default"/>
          <w:noProof/>
        </w:rPr>
      </w:pPr>
      <w:r>
        <w:rPr>
          <w:noProof/>
        </w:rPr>
        <w:t>“</w:t>
      </w:r>
      <w:r>
        <w:rPr>
          <w:noProof/>
        </w:rPr>
        <w:t>It</w:t>
      </w:r>
      <w:r>
        <w:rPr>
          <w:noProof/>
        </w:rPr>
        <w:t>alia 1 giga, kas nodrošina 1 gigabitu lejupielādi un 200 Mbit/s augšupielādes savienojamību pelēkās un melnās paaudzes piekļuves (NGA) tirgus nepilnību zonās. Šīs zonas nosaka pēc kartografēšanas pabeigšanas;</w:t>
      </w:r>
    </w:p>
    <w:p w14:paraId="5F0DF0CF" w14:textId="6047E46B" w:rsidR="00327FF1" w:rsidRDefault="00E406C7">
      <w:pPr>
        <w:pStyle w:val="P68B1DB1-ListParagraph36"/>
        <w:numPr>
          <w:ilvl w:val="0"/>
          <w:numId w:val="50"/>
        </w:numPr>
        <w:spacing w:after="0" w:line="240" w:lineRule="auto"/>
        <w:jc w:val="both"/>
        <w:rPr>
          <w:rFonts w:eastAsiaTheme="minorEastAsia" w:hint="default"/>
          <w:noProof/>
        </w:rPr>
      </w:pPr>
      <w:r>
        <w:rPr>
          <w:noProof/>
        </w:rPr>
        <w:t>“</w:t>
      </w:r>
      <w:r>
        <w:rPr>
          <w:noProof/>
        </w:rPr>
        <w:t>Italia 5G, kas nodrošina 5G savienojumus tirgu</w:t>
      </w:r>
      <w:r>
        <w:rPr>
          <w:noProof/>
        </w:rPr>
        <w:t>s nepilnību zonās, proti, teritorijās, kurās nav izvērsti mobilo sakaru tīkli; vai ir pieejami tikai 3G tīkli, un tuvākajā nākotnē 4G un/vai 5G mobilo sakaru tīkli nav plānoti; vai ir pierādīta tirgus nepilnība;</w:t>
      </w:r>
    </w:p>
    <w:p w14:paraId="34DC1269" w14:textId="100D6445" w:rsidR="00327FF1" w:rsidRDefault="00E406C7">
      <w:pPr>
        <w:pStyle w:val="P68B1DB1-ListParagraph36"/>
        <w:numPr>
          <w:ilvl w:val="0"/>
          <w:numId w:val="50"/>
        </w:numPr>
        <w:spacing w:after="0" w:line="240" w:lineRule="auto"/>
        <w:jc w:val="both"/>
        <w:rPr>
          <w:rFonts w:eastAsiaTheme="minorEastAsia" w:hint="default"/>
          <w:noProof/>
        </w:rPr>
      </w:pPr>
      <w:r>
        <w:rPr>
          <w:noProof/>
        </w:rPr>
        <w:t>“</w:t>
      </w:r>
      <w:r>
        <w:rPr>
          <w:noProof/>
        </w:rPr>
        <w:t>Savienotas skolas</w:t>
      </w:r>
      <w:r>
        <w:rPr>
          <w:noProof/>
        </w:rPr>
        <w:t>”</w:t>
      </w:r>
      <w:r>
        <w:rPr>
          <w:noProof/>
        </w:rPr>
        <w:t>, kas nodrošina skolu ēka</w:t>
      </w:r>
      <w:r>
        <w:rPr>
          <w:noProof/>
        </w:rPr>
        <w:t>s ar 1 gigabitu/s platjoslas pieslēgumu;</w:t>
      </w:r>
    </w:p>
    <w:p w14:paraId="79BB1E7B" w14:textId="77777777" w:rsidR="00327FF1" w:rsidRDefault="00E406C7">
      <w:pPr>
        <w:pStyle w:val="P68B1DB1-ListParagraph36"/>
        <w:numPr>
          <w:ilvl w:val="0"/>
          <w:numId w:val="50"/>
        </w:numPr>
        <w:spacing w:after="0" w:line="240" w:lineRule="auto"/>
        <w:jc w:val="both"/>
        <w:rPr>
          <w:rFonts w:eastAsiaTheme="minorEastAsia" w:hint="default"/>
          <w:noProof/>
        </w:rPr>
      </w:pPr>
      <w:r>
        <w:rPr>
          <w:noProof/>
        </w:rPr>
        <w:t>“</w:t>
      </w:r>
      <w:r>
        <w:rPr>
          <w:noProof/>
        </w:rPr>
        <w:t>Savienotas veselības aprūpes iestādes</w:t>
      </w:r>
      <w:r>
        <w:rPr>
          <w:noProof/>
        </w:rPr>
        <w:t>”</w:t>
      </w:r>
      <w:r>
        <w:rPr>
          <w:noProof/>
        </w:rPr>
        <w:t>, kas nodrošina 1 gigabitu/s platjoslas pieslēgumu valsts veselības aprūpes iestādēm;</w:t>
      </w:r>
    </w:p>
    <w:p w14:paraId="1A8D5ACF" w14:textId="6CCC6968" w:rsidR="00327FF1" w:rsidRDefault="00E406C7">
      <w:pPr>
        <w:pStyle w:val="P68B1DB1-ListParagraph36"/>
        <w:numPr>
          <w:ilvl w:val="0"/>
          <w:numId w:val="50"/>
        </w:numPr>
        <w:spacing w:after="0" w:line="240" w:lineRule="auto"/>
        <w:jc w:val="both"/>
        <w:rPr>
          <w:rFonts w:hint="default"/>
          <w:noProof/>
        </w:rPr>
      </w:pPr>
      <w:r>
        <w:rPr>
          <w:noProof/>
        </w:rPr>
        <w:t>“</w:t>
      </w:r>
      <w:r>
        <w:rPr>
          <w:noProof/>
        </w:rPr>
        <w:t>Savienotas nelielas salas</w:t>
      </w:r>
      <w:r>
        <w:rPr>
          <w:noProof/>
        </w:rPr>
        <w:t>”</w:t>
      </w:r>
      <w:r>
        <w:rPr>
          <w:noProof/>
        </w:rPr>
        <w:t>, kas nodrošina ultraplatjoslas savienojamību ar atsevišķām maz</w:t>
      </w:r>
      <w:r>
        <w:rPr>
          <w:noProof/>
        </w:rPr>
        <w:t>ākām salām, kurām nav optiskās šķiedras savienojumu ar kontinentu.</w:t>
      </w:r>
    </w:p>
    <w:p w14:paraId="3BE17012" w14:textId="77777777" w:rsidR="00327FF1" w:rsidRDefault="00327FF1">
      <w:pPr>
        <w:pStyle w:val="ListParagraph"/>
        <w:spacing w:after="0"/>
        <w:rPr>
          <w:noProof/>
        </w:rPr>
      </w:pPr>
    </w:p>
    <w:p w14:paraId="52953735" w14:textId="77777777" w:rsidR="00327FF1" w:rsidRDefault="00E406C7">
      <w:pPr>
        <w:pStyle w:val="P68B1DB1-Normal5"/>
        <w:spacing w:before="120" w:after="120"/>
        <w:jc w:val="both"/>
        <w:rPr>
          <w:bCs/>
          <w:noProof/>
        </w:rPr>
      </w:pPr>
      <w:r>
        <w:rPr>
          <w:noProof/>
        </w:rPr>
        <w:t>Ieguldījums Nr. 4: Satelītu tehnoloģijas un kosmosa ekonomika</w:t>
      </w:r>
    </w:p>
    <w:p w14:paraId="4173CFD5" w14:textId="7B7AB171" w:rsidR="00327FF1" w:rsidRDefault="00E406C7">
      <w:pPr>
        <w:pStyle w:val="P68B1DB1-Normal7"/>
        <w:jc w:val="both"/>
        <w:rPr>
          <w:noProof/>
        </w:rPr>
      </w:pPr>
      <w:r>
        <w:rPr>
          <w:noProof/>
        </w:rPr>
        <w:t xml:space="preserve">“Šīs investīcijas mērķis ir attīstīt satelītsavienojumus, ņemot vērā digitālo un zaļo pārkārtošanos, un veicināt kosmosa nozares attīstību. </w:t>
      </w:r>
      <w:r>
        <w:rPr>
          <w:noProof/>
          <w:color w:val="000000" w:themeColor="text1"/>
        </w:rPr>
        <w:t xml:space="preserve">Ieguldījumu </w:t>
      </w:r>
      <w:r>
        <w:rPr>
          <w:noProof/>
        </w:rPr>
        <w:t>veido četri projekti:</w:t>
      </w:r>
    </w:p>
    <w:p w14:paraId="12F90795" w14:textId="77777777" w:rsidR="00327FF1" w:rsidRDefault="00E406C7">
      <w:pPr>
        <w:pStyle w:val="P68B1DB1-ListParagraph37"/>
        <w:numPr>
          <w:ilvl w:val="0"/>
          <w:numId w:val="52"/>
        </w:numPr>
        <w:spacing w:after="0" w:line="240" w:lineRule="auto"/>
        <w:jc w:val="both"/>
        <w:rPr>
          <w:rFonts w:eastAsiaTheme="minorEastAsia"/>
          <w:noProof/>
        </w:rPr>
      </w:pPr>
      <w:r>
        <w:rPr>
          <w:noProof/>
        </w:rPr>
        <w:t xml:space="preserve">SATCOM, </w:t>
      </w:r>
    </w:p>
    <w:p w14:paraId="76A49380" w14:textId="77777777" w:rsidR="00327FF1" w:rsidRDefault="00E406C7">
      <w:pPr>
        <w:pStyle w:val="P68B1DB1-ListParagraph37"/>
        <w:numPr>
          <w:ilvl w:val="0"/>
          <w:numId w:val="52"/>
        </w:numPr>
        <w:spacing w:after="0" w:line="240" w:lineRule="auto"/>
        <w:jc w:val="both"/>
        <w:rPr>
          <w:rFonts w:eastAsiaTheme="minorEastAsia"/>
          <w:noProof/>
        </w:rPr>
      </w:pPr>
      <w:r>
        <w:rPr>
          <w:noProof/>
        </w:rPr>
        <w:t xml:space="preserve">Zemes novērošana (EO), </w:t>
      </w:r>
    </w:p>
    <w:p w14:paraId="22BB946E" w14:textId="77777777" w:rsidR="00327FF1" w:rsidRDefault="00E406C7">
      <w:pPr>
        <w:pStyle w:val="P68B1DB1-ListParagraph37"/>
        <w:numPr>
          <w:ilvl w:val="0"/>
          <w:numId w:val="52"/>
        </w:numPr>
        <w:spacing w:after="0" w:line="240" w:lineRule="auto"/>
        <w:jc w:val="both"/>
        <w:rPr>
          <w:rFonts w:eastAsiaTheme="minorEastAsia"/>
          <w:noProof/>
        </w:rPr>
      </w:pPr>
      <w:r>
        <w:rPr>
          <w:noProof/>
        </w:rPr>
        <w:t xml:space="preserve">Kosmosa fabrika, </w:t>
      </w:r>
    </w:p>
    <w:p w14:paraId="113A0E6A" w14:textId="77777777" w:rsidR="00327FF1" w:rsidRDefault="00E406C7">
      <w:pPr>
        <w:pStyle w:val="P68B1DB1-ListParagraph37"/>
        <w:numPr>
          <w:ilvl w:val="0"/>
          <w:numId w:val="52"/>
        </w:numPr>
        <w:spacing w:after="0" w:line="240" w:lineRule="auto"/>
        <w:jc w:val="both"/>
        <w:rPr>
          <w:rFonts w:eastAsiaTheme="minorEastAsia"/>
          <w:noProof/>
        </w:rPr>
      </w:pPr>
      <w:r>
        <w:rPr>
          <w:noProof/>
        </w:rPr>
        <w:t>Orbītā notiekošā ekonomika.</w:t>
      </w:r>
    </w:p>
    <w:p w14:paraId="7B47B2CC" w14:textId="77777777" w:rsidR="00327FF1" w:rsidRDefault="00E406C7">
      <w:pPr>
        <w:pStyle w:val="P68B1DB1-Normal7"/>
        <w:spacing w:before="120" w:after="120"/>
        <w:jc w:val="both"/>
        <w:rPr>
          <w:noProof/>
        </w:rPr>
      </w:pPr>
      <w:r>
        <w:rPr>
          <w:noProof/>
        </w:rPr>
        <w:t>Par</w:t>
      </w:r>
      <w:r>
        <w:rPr>
          <w:noProof/>
        </w:rPr>
        <w:t>edzēts, ka investīcijai nebūs militāru vai aizsardzības mērķu un seku.”.</w:t>
      </w:r>
    </w:p>
    <w:p w14:paraId="08A34874" w14:textId="77777777" w:rsidR="00327FF1" w:rsidRDefault="00E406C7">
      <w:pPr>
        <w:pStyle w:val="P68B1DB1-Normal5"/>
        <w:spacing w:before="120" w:after="120"/>
        <w:jc w:val="both"/>
        <w:rPr>
          <w:bCs/>
          <w:noProof/>
        </w:rPr>
      </w:pPr>
      <w:r>
        <w:rPr>
          <w:noProof/>
        </w:rPr>
        <w:t xml:space="preserve">Ieguldījums Nr. 5: Rūpniecības piegādes ķēdes politika un internacionalizācija </w:t>
      </w:r>
    </w:p>
    <w:p w14:paraId="7B1F45DB" w14:textId="77777777" w:rsidR="00327FF1" w:rsidRDefault="00E406C7">
      <w:pPr>
        <w:pStyle w:val="P68B1DB1-Normal7"/>
        <w:jc w:val="both"/>
        <w:rPr>
          <w:noProof/>
        </w:rPr>
      </w:pPr>
      <w:r>
        <w:rPr>
          <w:noProof/>
        </w:rPr>
        <w:t>Investīciju mērķis ir stiprināt rūpniecības piegādes ķēdes, jo īpaši atvieglojot piekļuvi finansējumam,</w:t>
      </w:r>
      <w:r>
        <w:rPr>
          <w:noProof/>
        </w:rPr>
        <w:t xml:space="preserve"> un veicināt uzņēmumu (jo īpaši MVU) konkurētspēju, jo īpaši atbalstot to internacionalizāciju un stiprinot to noturību pēc Covid-19 krīzes.</w:t>
      </w:r>
    </w:p>
    <w:p w14:paraId="79C7D9D7" w14:textId="77777777" w:rsidR="00327FF1" w:rsidRDefault="00E406C7">
      <w:pPr>
        <w:pStyle w:val="P68B1DB1-Normal7"/>
        <w:jc w:val="both"/>
        <w:rPr>
          <w:noProof/>
        </w:rPr>
      </w:pPr>
      <w:r>
        <w:rPr>
          <w:noProof/>
        </w:rPr>
        <w:t>Ieguldījumu veido divi intervences virzieni:</w:t>
      </w:r>
    </w:p>
    <w:p w14:paraId="02FD13E8" w14:textId="77777777" w:rsidR="00327FF1" w:rsidRDefault="00E406C7">
      <w:pPr>
        <w:pStyle w:val="P68B1DB1-ListParagraph37"/>
        <w:numPr>
          <w:ilvl w:val="3"/>
          <w:numId w:val="58"/>
        </w:numPr>
        <w:spacing w:before="120" w:after="120" w:line="240" w:lineRule="auto"/>
        <w:ind w:left="1134"/>
        <w:jc w:val="both"/>
        <w:rPr>
          <w:rFonts w:eastAsiaTheme="minorEastAsia"/>
          <w:noProof/>
        </w:rPr>
      </w:pPr>
      <w:r>
        <w:rPr>
          <w:noProof/>
        </w:rPr>
        <w:t>SIMEST pārvaldītā fonda 394/81 refinansēšana. To veido refinansējums e</w:t>
      </w:r>
      <w:r>
        <w:rPr>
          <w:noProof/>
        </w:rPr>
        <w:t>sošam fondam, ko pašlaik pārvalda valsts aģentūra SIMEST, sniedzot finansiālu atbalstu uzņēmumiem, jo īpaši MVU, lai atbalstītu to internacionalizāciju, izmantojot dažādus instrumentus, piemēram, programmas, lai piekļūtu ārvalstu tirgiem un attīstītu e-kom</w:t>
      </w:r>
      <w:r>
        <w:rPr>
          <w:noProof/>
        </w:rPr>
        <w:t xml:space="preserve">erciju. </w:t>
      </w:r>
    </w:p>
    <w:p w14:paraId="41F15611" w14:textId="77777777" w:rsidR="00327FF1" w:rsidRDefault="00E406C7">
      <w:pPr>
        <w:pStyle w:val="P68B1DB1-ListParagraph37"/>
        <w:numPr>
          <w:ilvl w:val="3"/>
          <w:numId w:val="58"/>
        </w:numPr>
        <w:spacing w:before="120" w:after="120" w:line="240" w:lineRule="auto"/>
        <w:ind w:left="1134"/>
        <w:jc w:val="both"/>
        <w:rPr>
          <w:rFonts w:eastAsiaTheme="minorEastAsia"/>
          <w:noProof/>
        </w:rPr>
      </w:pPr>
      <w:r>
        <w:rPr>
          <w:noProof/>
        </w:rPr>
        <w:t>Piegādes ķēžu konkurētspēja un noturība. To veido finansiāls atbalsts uzņēmumiem, izmantojot attīstības līguma instrumentu, projektiem, kas saistīti ar galvenajām stratēģiskajām vērtības ķēdēm, piemēram, rūpniecības attīstības programmām, vides ai</w:t>
      </w:r>
      <w:r>
        <w:rPr>
          <w:noProof/>
        </w:rPr>
        <w:t xml:space="preserve">zsardzības attīstības programmām, ilgtspējīgu mobilitāti un tūrisma darbībām. </w:t>
      </w:r>
    </w:p>
    <w:p w14:paraId="627F9927" w14:textId="77777777" w:rsidR="00327FF1" w:rsidRDefault="00E406C7">
      <w:pPr>
        <w:pStyle w:val="P68B1DB1-Normal7"/>
        <w:spacing w:after="120"/>
        <w:jc w:val="both"/>
        <w:rPr>
          <w:noProof/>
        </w:rPr>
      </w:pPr>
      <w:r>
        <w:rPr>
          <w:noProof/>
        </w:rPr>
        <w:t>Iepriekš minētās intervences veic saskaņā ar investīciju politiku atbilstīgi Regulas (ES) 2021/241 mērķiem, tostarp attiecībā uz principa “nenodari būtisku kaitējumu” piemērošan</w:t>
      </w:r>
      <w:r>
        <w:rPr>
          <w:noProof/>
        </w:rPr>
        <w:t>u, kā sīkāk norādīts tehniskajos norādījumos “nenodari būtisku kaitējumu” (2021/C58/01).</w:t>
      </w:r>
    </w:p>
    <w:p w14:paraId="542348E1" w14:textId="77777777" w:rsidR="00327FF1" w:rsidRDefault="00E406C7">
      <w:pPr>
        <w:pStyle w:val="P68B1DB1-Normal7"/>
        <w:spacing w:after="120"/>
        <w:jc w:val="both"/>
        <w:rPr>
          <w:noProof/>
        </w:rPr>
      </w:pPr>
      <w:r>
        <w:rPr>
          <w:noProof/>
        </w:rPr>
        <w:t>Lai nodrošinātu, ka pasākums atbilst Tehniskajiem norādījumiem “nenodari būtisku kaitējumu” (2021/C58/01), juridiskā vienošanās starp Itāliju un pilnvaroto subjektu va</w:t>
      </w:r>
      <w:r>
        <w:rPr>
          <w:noProof/>
        </w:rPr>
        <w:t xml:space="preserve">i finanšu starpnieku, kas atbild par finanšu instrumentu, un finanšu instrumenta turpmākā ieguldījumu politika: </w:t>
      </w:r>
    </w:p>
    <w:p w14:paraId="68AFC62A" w14:textId="77777777" w:rsidR="00327FF1" w:rsidRDefault="00E406C7">
      <w:pPr>
        <w:pStyle w:val="P68B1DB1-ListParagraph36"/>
        <w:numPr>
          <w:ilvl w:val="0"/>
          <w:numId w:val="51"/>
        </w:numPr>
        <w:spacing w:after="0" w:line="240" w:lineRule="auto"/>
        <w:jc w:val="both"/>
        <w:rPr>
          <w:rFonts w:eastAsiaTheme="minorEastAsia" w:hint="default"/>
          <w:noProof/>
        </w:rPr>
      </w:pPr>
      <w:r>
        <w:rPr>
          <w:noProof/>
        </w:rPr>
        <w:t>pieprasīt, lai fondam InvestEU tiktu piemēroti Komisijas tehniskie norādījumi par ilgtspējas pārbaudi; un</w:t>
      </w:r>
    </w:p>
    <w:p w14:paraId="3A521EB6" w14:textId="77777777" w:rsidR="00327FF1" w:rsidRDefault="00E406C7">
      <w:pPr>
        <w:pStyle w:val="P68B1DB1-ListParagraph37"/>
        <w:numPr>
          <w:ilvl w:val="0"/>
          <w:numId w:val="51"/>
        </w:numPr>
        <w:spacing w:after="0" w:line="240" w:lineRule="auto"/>
        <w:jc w:val="both"/>
        <w:rPr>
          <w:rFonts w:eastAsiaTheme="minorEastAsia"/>
          <w:noProof/>
        </w:rPr>
      </w:pPr>
      <w:r>
        <w:rPr>
          <w:noProof/>
        </w:rPr>
        <w:t>izslēgt no atbilstības šādu darbību u</w:t>
      </w:r>
      <w:r>
        <w:rPr>
          <w:noProof/>
        </w:rPr>
        <w:t>n aktīvu sarakstu:</w:t>
      </w:r>
      <w:r>
        <w:rPr>
          <w:noProof/>
          <w:color w:val="FF0000"/>
        </w:rPr>
        <w:t xml:space="preserve"> </w:t>
      </w:r>
      <w:r>
        <w:rPr>
          <w:noProof/>
        </w:rPr>
        <w:t>I) darbībām un aktīviem, kas saistīti ar fosilo kurināmo, tostarp lejupēju izmantošanu</w:t>
      </w:r>
      <w:r>
        <w:rPr>
          <w:noProof/>
        </w:rPr>
        <w:footnoteReference w:id="2"/>
      </w:r>
      <w:r>
        <w:rPr>
          <w:noProof/>
        </w:rPr>
        <w:t>; II) darbības un aktīvi saskaņā ar ES emisijas kvotu tirdzniecības sistēmu (ETS), kuru prognozētās siltumnīcefekta gāzu emisijas nav zemākas par atti</w:t>
      </w:r>
      <w:r>
        <w:rPr>
          <w:noProof/>
        </w:rPr>
        <w:t>ecīgajām līmeņatzīmēm</w:t>
      </w:r>
      <w:r>
        <w:rPr>
          <w:noProof/>
        </w:rPr>
        <w:footnoteReference w:id="3"/>
      </w:r>
      <w:r>
        <w:rPr>
          <w:noProof/>
        </w:rPr>
        <w:t>; III) darbības un aktīvi, kas saistīti ar atkritumu poligoniem, sadedzināšanas iekārtām</w:t>
      </w:r>
      <w:r>
        <w:rPr>
          <w:noProof/>
        </w:rPr>
        <w:footnoteReference w:id="4"/>
      </w:r>
      <w:r>
        <w:rPr>
          <w:noProof/>
        </w:rPr>
        <w:t xml:space="preserve"> un mehāniski bioloģiskās apstrādes iekārtām</w:t>
      </w:r>
      <w:r>
        <w:rPr>
          <w:noProof/>
        </w:rPr>
        <w:footnoteReference w:id="5"/>
      </w:r>
      <w:r>
        <w:rPr>
          <w:noProof/>
        </w:rPr>
        <w:t>; un iv) darbībām un aktīviem, kuros atkritumu ilgtermiņa apglabāšana var radīt kaitējumu videi; un</w:t>
      </w:r>
    </w:p>
    <w:p w14:paraId="7B7103B4" w14:textId="77777777" w:rsidR="00327FF1" w:rsidRDefault="00E406C7">
      <w:pPr>
        <w:pStyle w:val="P68B1DB1-ListParagraph37"/>
        <w:numPr>
          <w:ilvl w:val="0"/>
          <w:numId w:val="51"/>
        </w:numPr>
        <w:spacing w:after="0" w:line="240" w:lineRule="auto"/>
        <w:jc w:val="both"/>
        <w:rPr>
          <w:rFonts w:eastAsiaTheme="minorEastAsia"/>
          <w:noProof/>
        </w:rPr>
      </w:pPr>
      <w:r>
        <w:rPr>
          <w:noProof/>
        </w:rPr>
        <w:t>pieprasīt, lai pilnvarotā struktūra vai finanšu starpnieks pārbaudītu projektu juridisko atbilstību attiecīgajiem ES un valsts tiesību aktiem vides jomā attiecībā uz visiem darījumiem, tostarp tiem, kas atbrīvoti no ilgtspējas pārbaudes.</w:t>
      </w:r>
    </w:p>
    <w:p w14:paraId="39A81D8E" w14:textId="77777777" w:rsidR="00327FF1" w:rsidRDefault="00327FF1">
      <w:pPr>
        <w:rPr>
          <w:rFonts w:ascii="Times New Roman" w:hAnsi="Times New Roman" w:cs="Times New Roman"/>
          <w:b/>
          <w:noProof/>
          <w:u w:val="single"/>
        </w:rPr>
      </w:pPr>
    </w:p>
    <w:p w14:paraId="0182B285" w14:textId="77777777" w:rsidR="00327FF1" w:rsidRDefault="00E406C7">
      <w:pPr>
        <w:pStyle w:val="P68B1DB1-Normal5"/>
        <w:spacing w:before="120" w:after="120"/>
        <w:jc w:val="both"/>
        <w:rPr>
          <w:noProof/>
        </w:rPr>
      </w:pPr>
      <w:r>
        <w:rPr>
          <w:noProof/>
        </w:rPr>
        <w:t>Investīcija 7:</w:t>
      </w:r>
      <w:r>
        <w:rPr>
          <w:noProof/>
        </w:rPr>
        <w:t xml:space="preserve"> Nacionālais savienojamības fonds</w:t>
      </w:r>
    </w:p>
    <w:p w14:paraId="4B4681A6" w14:textId="77777777" w:rsidR="00327FF1" w:rsidRDefault="00E406C7">
      <w:pPr>
        <w:pStyle w:val="P68B1DB1-Normal7"/>
        <w:spacing w:line="240" w:lineRule="auto"/>
        <w:jc w:val="both"/>
        <w:rPr>
          <w:rFonts w:eastAsia="Calibri"/>
          <w:noProof/>
        </w:rPr>
      </w:pPr>
      <w:r>
        <w:rPr>
          <w:noProof/>
        </w:rPr>
        <w:t xml:space="preserve">Šis pasākums ietver publiskus ieguldījumus dotāciju shēmā “Valsts savienojamības fonds”, lai stimulētu privātos ieguldījumus un uzlabotu piekļuvi finansējumam Itālijas ultraplatjoslas tīkla infrastruktūras nozarē. Shēma </w:t>
      </w:r>
      <w:r>
        <w:rPr>
          <w:noProof/>
        </w:rPr>
        <w:t>darbojas, piešķirot dotācijas tieši privātajam sektoram.</w:t>
      </w:r>
    </w:p>
    <w:p w14:paraId="6AE89921" w14:textId="77777777" w:rsidR="00327FF1" w:rsidRDefault="00E406C7">
      <w:pPr>
        <w:pStyle w:val="P68B1DB1-Normal38"/>
        <w:spacing w:line="240" w:lineRule="auto"/>
        <w:jc w:val="both"/>
        <w:rPr>
          <w:noProof/>
        </w:rPr>
      </w:pPr>
      <w:r>
        <w:rPr>
          <w:noProof/>
        </w:rPr>
        <w:t>Shēmu pārvalda Invitalia S.p.A. kā īstenošanas partneris. Shēma ietver šādu produktu līniju:</w:t>
      </w:r>
    </w:p>
    <w:p w14:paraId="784764A5" w14:textId="77777777" w:rsidR="00327FF1" w:rsidRDefault="00E406C7">
      <w:pPr>
        <w:pStyle w:val="P68B1DB1-Normal38"/>
        <w:keepNext/>
        <w:numPr>
          <w:ilvl w:val="0"/>
          <w:numId w:val="73"/>
        </w:numPr>
        <w:spacing w:line="240" w:lineRule="auto"/>
        <w:contextualSpacing/>
        <w:jc w:val="both"/>
        <w:rPr>
          <w:noProof/>
        </w:rPr>
      </w:pPr>
      <w:r>
        <w:rPr>
          <w:noProof/>
        </w:rPr>
        <w:t>Dzīvotspējas starpības dotācija, kas prasa vismaz 30 % no privātā līdzfinansējuma par projekta kopējām izm</w:t>
      </w:r>
      <w:r>
        <w:rPr>
          <w:noProof/>
        </w:rPr>
        <w:t xml:space="preserve">aksām. </w:t>
      </w:r>
    </w:p>
    <w:p w14:paraId="65ED103D" w14:textId="77777777" w:rsidR="00327FF1" w:rsidRDefault="00E406C7">
      <w:pPr>
        <w:pStyle w:val="P68B1DB1-Normal38"/>
        <w:spacing w:line="240" w:lineRule="auto"/>
        <w:jc w:val="both"/>
        <w:rPr>
          <w:noProof/>
        </w:rPr>
      </w:pPr>
      <w:r>
        <w:rPr>
          <w:noProof/>
        </w:rPr>
        <w:t>Lai īstenotu ieguldījumu shēmā, Itālija un Invitalia S.p.A. paraksta īstenošanas nolīgumu, kurā ietver šādu saturu:</w:t>
      </w:r>
    </w:p>
    <w:p w14:paraId="5294EF91" w14:textId="77777777" w:rsidR="00327FF1" w:rsidRDefault="00E406C7">
      <w:pPr>
        <w:pStyle w:val="P68B1DB1-ListParagraph39"/>
        <w:numPr>
          <w:ilvl w:val="0"/>
          <w:numId w:val="181"/>
        </w:numPr>
        <w:jc w:val="both"/>
        <w:rPr>
          <w:rFonts w:eastAsia="Times New Roman"/>
          <w:noProof/>
        </w:rPr>
      </w:pPr>
      <w:r>
        <w:rPr>
          <w:noProof/>
        </w:rPr>
        <w:t>Shēmas lēmumu pieņemšanas procesa apraksts: Galīgo lēmumu par shēmas piešķiršanu pieņem ieguldījumu komiteja vai cita līdzvērtīga pā</w:t>
      </w:r>
      <w:r>
        <w:rPr>
          <w:noProof/>
        </w:rPr>
        <w:t>rvaldes struktūra, un to apstiprina ar no valdības neatkarīgu locekļu balsu vairākumu.</w:t>
      </w:r>
    </w:p>
    <w:p w14:paraId="36B76DBC" w14:textId="77777777" w:rsidR="00327FF1" w:rsidRDefault="00E406C7">
      <w:pPr>
        <w:pStyle w:val="P68B1DB1-ListParagraph39"/>
        <w:numPr>
          <w:ilvl w:val="0"/>
          <w:numId w:val="181"/>
        </w:numPr>
        <w:jc w:val="both"/>
        <w:rPr>
          <w:noProof/>
        </w:rPr>
      </w:pPr>
      <w:r>
        <w:rPr>
          <w:noProof/>
        </w:rPr>
        <w:t>Saistītās dotāciju politikas galvenās prasības,</w:t>
      </w:r>
      <w:r>
        <w:rPr>
          <w:b/>
          <w:noProof/>
        </w:rPr>
        <w:t xml:space="preserve"> </w:t>
      </w:r>
      <w:r>
        <w:rPr>
          <w:noProof/>
        </w:rPr>
        <w:t>kas ietver:</w:t>
      </w:r>
    </w:p>
    <w:p w14:paraId="43919C71" w14:textId="35D3368B" w:rsidR="00327FF1" w:rsidRDefault="00E406C7">
      <w:pPr>
        <w:pStyle w:val="P68B1DB1-ListParagraph39"/>
        <w:numPr>
          <w:ilvl w:val="0"/>
          <w:numId w:val="183"/>
        </w:numPr>
        <w:jc w:val="both"/>
        <w:rPr>
          <w:noProof/>
        </w:rPr>
      </w:pPr>
      <w:r>
        <w:rPr>
          <w:noProof/>
        </w:rPr>
        <w:t xml:space="preserve">Apraksts par piešķirtajām dotācijām un atbalsttiesīgajiem galīgajiem saņēmējiem. </w:t>
      </w:r>
    </w:p>
    <w:p w14:paraId="442B6202" w14:textId="77777777" w:rsidR="00327FF1" w:rsidRDefault="00E406C7">
      <w:pPr>
        <w:pStyle w:val="P68B1DB1-ListParagraph39"/>
        <w:numPr>
          <w:ilvl w:val="0"/>
          <w:numId w:val="183"/>
        </w:numPr>
        <w:jc w:val="both"/>
        <w:rPr>
          <w:noProof/>
        </w:rPr>
      </w:pPr>
      <w:r>
        <w:rPr>
          <w:noProof/>
        </w:rPr>
        <w:t>Prasība, lai visi atbalstīt</w:t>
      </w:r>
      <w:r>
        <w:rPr>
          <w:noProof/>
        </w:rPr>
        <w:t>ie ieguldījumi būtu ekonomiski dzīvotspējīgi.</w:t>
      </w:r>
    </w:p>
    <w:p w14:paraId="4F5BC117" w14:textId="77777777" w:rsidR="00327FF1" w:rsidRDefault="00E406C7">
      <w:pPr>
        <w:pStyle w:val="P68B1DB1-ListParagraph40"/>
        <w:numPr>
          <w:ilvl w:val="0"/>
          <w:numId w:val="183"/>
        </w:numPr>
        <w:jc w:val="both"/>
        <w:rPr>
          <w:rFonts w:eastAsia="Calibri" w:cs="Times New Roman"/>
          <w:noProof/>
        </w:rPr>
      </w:pPr>
      <w:r>
        <w:rPr>
          <w:noProof/>
        </w:rPr>
        <w:t>Prasība ievērot principu “nenodari būtisku kaitējumu”, kā noteikts NBK tehniskajos norādījumos (2021/C58/01): Jo īpaši dotāciju politikā no atbilstības izslēdz šādu darbību un aktīvu sarakstu: I) darbības un ak</w:t>
      </w:r>
      <w:r>
        <w:rPr>
          <w:noProof/>
        </w:rPr>
        <w:t>tīvi, kas saistīti ar fosilo kurināmo, tostarp lejupējais izmantojums;</w:t>
      </w:r>
      <w:r>
        <w:rPr>
          <w:noProof/>
        </w:rPr>
        <w:footnoteReference w:id="6"/>
      </w:r>
      <w:r>
        <w:rPr>
          <w:noProof/>
        </w:rPr>
        <w:t>ii) darbības un aktīvi saskaņā ar ES emisijas kvotu tirdzniecības sistēmu (ETS), kuru prognozētās siltumnīcefekta gāzu emisijas nav zemākas par attiecīgajām līmeņatzīmēm;</w:t>
      </w:r>
      <w:r>
        <w:rPr>
          <w:noProof/>
        </w:rPr>
        <w:footnoteReference w:id="7"/>
      </w:r>
      <w:r>
        <w:rPr>
          <w:noProof/>
        </w:rPr>
        <w:t xml:space="preserve">iii) darbības </w:t>
      </w:r>
      <w:r>
        <w:rPr>
          <w:noProof/>
        </w:rPr>
        <w:t>un aktīvi, kas saistīti ar atkritumu poligoniem, sadedzināšanas iekārtām</w:t>
      </w:r>
      <w:r>
        <w:rPr>
          <w:noProof/>
        </w:rPr>
        <w:footnoteReference w:id="8"/>
      </w:r>
      <w:r>
        <w:rPr>
          <w:noProof/>
        </w:rPr>
        <w:t xml:space="preserve"> un mehāniski bioloģiskās apstrādes iekārtām</w:t>
      </w:r>
      <w:r>
        <w:rPr>
          <w:noProof/>
        </w:rPr>
        <w:footnoteReference w:id="9"/>
      </w:r>
      <w:r>
        <w:rPr>
          <w:noProof/>
        </w:rPr>
        <w:t xml:space="preserve">. </w:t>
      </w:r>
    </w:p>
    <w:p w14:paraId="0E0B6B72" w14:textId="77777777" w:rsidR="00327FF1" w:rsidRDefault="00E406C7">
      <w:pPr>
        <w:pStyle w:val="P68B1DB1-ListParagraph39"/>
        <w:numPr>
          <w:ilvl w:val="0"/>
          <w:numId w:val="183"/>
        </w:numPr>
        <w:jc w:val="both"/>
        <w:rPr>
          <w:bCs/>
          <w:noProof/>
        </w:rPr>
      </w:pPr>
      <w:r>
        <w:rPr>
          <w:noProof/>
        </w:rPr>
        <w:t>Prasību, ka shēmas galasaņēmēji nesaņem atbalstu no citiem Savienības instrumentiem, lai segtu tās pašas izmaksas.</w:t>
      </w:r>
    </w:p>
    <w:p w14:paraId="6725B0F4" w14:textId="77777777" w:rsidR="00327FF1" w:rsidRDefault="00E406C7">
      <w:pPr>
        <w:pStyle w:val="P68B1DB1-ListParagraph39"/>
        <w:numPr>
          <w:ilvl w:val="0"/>
          <w:numId w:val="181"/>
        </w:numPr>
        <w:jc w:val="both"/>
        <w:rPr>
          <w:noProof/>
        </w:rPr>
      </w:pPr>
      <w:r>
        <w:rPr>
          <w:noProof/>
        </w:rPr>
        <w:t>Īstenošanas nolīguma</w:t>
      </w:r>
      <w:r>
        <w:rPr>
          <w:noProof/>
        </w:rPr>
        <w:t xml:space="preserve"> aptvertā summa, īstenošanas partnera maksu struktūra un prasība visus neizmantotos ieņēmumus no shēmas, tostarp pēc 2026. gada, izmantot tiem pašiem politikas mērķiem.</w:t>
      </w:r>
    </w:p>
    <w:p w14:paraId="2C0277DA" w14:textId="77777777" w:rsidR="00327FF1" w:rsidRDefault="00E406C7">
      <w:pPr>
        <w:pStyle w:val="P68B1DB1-ListParagraph39"/>
        <w:numPr>
          <w:ilvl w:val="0"/>
          <w:numId w:val="181"/>
        </w:numPr>
        <w:jc w:val="both"/>
        <w:rPr>
          <w:noProof/>
        </w:rPr>
      </w:pPr>
      <w:r>
        <w:rPr>
          <w:noProof/>
        </w:rPr>
        <w:t>Uzraudzības, revīzijas un kontroles prasības, tostarp:</w:t>
      </w:r>
    </w:p>
    <w:p w14:paraId="75BCBFA8" w14:textId="77777777" w:rsidR="00327FF1" w:rsidRDefault="00E406C7">
      <w:pPr>
        <w:pStyle w:val="P68B1DB1-Normal38"/>
        <w:numPr>
          <w:ilvl w:val="0"/>
          <w:numId w:val="74"/>
        </w:numPr>
        <w:spacing w:line="240" w:lineRule="auto"/>
        <w:jc w:val="both"/>
        <w:rPr>
          <w:noProof/>
        </w:rPr>
      </w:pPr>
      <w:r>
        <w:rPr>
          <w:noProof/>
        </w:rPr>
        <w:t>Apraksts par īstenošanas partner</w:t>
      </w:r>
      <w:r>
        <w:rPr>
          <w:noProof/>
        </w:rPr>
        <w:t>a uzraudzības sistēmu ziņošanai par mobilizētajām dotācijām.</w:t>
      </w:r>
    </w:p>
    <w:p w14:paraId="65118B96" w14:textId="77777777" w:rsidR="00327FF1" w:rsidRDefault="00E406C7">
      <w:pPr>
        <w:pStyle w:val="P68B1DB1-Normal38"/>
        <w:numPr>
          <w:ilvl w:val="0"/>
          <w:numId w:val="74"/>
        </w:numPr>
        <w:jc w:val="both"/>
        <w:rPr>
          <w:noProof/>
        </w:rPr>
      </w:pPr>
      <w:r>
        <w:rPr>
          <w:noProof/>
        </w:rPr>
        <w:t xml:space="preserve">Apraksts par īstenošanas partnera procedūrām, kas nodrošinās krāpšanas, korupcijas un interešu konfliktu novēršanu, atklāšanu un labošanu. </w:t>
      </w:r>
    </w:p>
    <w:p w14:paraId="6D24E78F" w14:textId="77777777" w:rsidR="00327FF1" w:rsidRDefault="00E406C7">
      <w:pPr>
        <w:pStyle w:val="P68B1DB1-Normal38"/>
        <w:numPr>
          <w:ilvl w:val="0"/>
          <w:numId w:val="74"/>
        </w:numPr>
        <w:jc w:val="both"/>
        <w:rPr>
          <w:noProof/>
        </w:rPr>
      </w:pPr>
      <w:r>
        <w:rPr>
          <w:noProof/>
        </w:rPr>
        <w:t xml:space="preserve">Pienākums pārbaudīt katras darbības atbilstību saskaņā </w:t>
      </w:r>
      <w:r>
        <w:rPr>
          <w:noProof/>
        </w:rPr>
        <w:t>ar īstenošanas nolīgumā noteiktajām prasībām pirms dotācijas piešķiršanas darbībai.</w:t>
      </w:r>
    </w:p>
    <w:p w14:paraId="3BD452A2" w14:textId="77777777" w:rsidR="00327FF1" w:rsidRDefault="00E406C7">
      <w:pPr>
        <w:numPr>
          <w:ilvl w:val="0"/>
          <w:numId w:val="74"/>
        </w:numPr>
        <w:spacing w:line="240" w:lineRule="auto"/>
        <w:jc w:val="both"/>
        <w:rPr>
          <w:rFonts w:ascii="Times New Roman" w:eastAsia="Calibri" w:hAnsi="Times New Roman" w:cs="Times New Roman"/>
          <w:noProof/>
        </w:rPr>
      </w:pPr>
      <w:r>
        <w:rPr>
          <w:rFonts w:ascii="Times New Roman" w:eastAsia="Calibri" w:hAnsi="Times New Roman" w:cs="Times New Roman"/>
          <w:noProof/>
        </w:rPr>
        <w:t>Pienākums veikt uz risku balstītas ex post revīzijas saskaņā ar Invitalia S.p.A revīzijas plānu. Šajās revīzijās pārbauda i) kontroles sistēmu efektivitāti, tostarp krāpšan</w:t>
      </w:r>
      <w:r>
        <w:rPr>
          <w:rFonts w:ascii="Times New Roman" w:eastAsia="Calibri" w:hAnsi="Times New Roman" w:cs="Times New Roman"/>
          <w:noProof/>
        </w:rPr>
        <w:t xml:space="preserve">as, korupcijas un interešu konfliktu atklāšanu; atbilstība principam “nenodarīt būtisku kaitējumu”, valsts atbalsta noteikumiem; un iii) ka ir ievērota prasība, ka shēmas galasaņēmēji nav saņēmuši atbalstu no citiem Savienības instrumentiem, lai segtu tās </w:t>
      </w:r>
      <w:r>
        <w:rPr>
          <w:rFonts w:ascii="Times New Roman" w:eastAsia="Calibri" w:hAnsi="Times New Roman" w:cs="Times New Roman"/>
          <w:noProof/>
        </w:rPr>
        <w:t>pašas izmaksas. Revīzijās pārbauda arī darījumu likumību un to, vai tiek ievēroti piemērojamā īstenošanas nolīguma un dotāciju nolīgumu nosacījumi.</w:t>
      </w:r>
    </w:p>
    <w:p w14:paraId="5B72EA17" w14:textId="77777777" w:rsidR="00327FF1" w:rsidRDefault="00327FF1">
      <w:pPr>
        <w:spacing w:line="240" w:lineRule="auto"/>
        <w:ind w:left="1080"/>
        <w:jc w:val="both"/>
        <w:rPr>
          <w:rFonts w:ascii="Times New Roman" w:eastAsia="Calibri" w:hAnsi="Times New Roman" w:cs="Times New Roman"/>
          <w:noProof/>
        </w:rPr>
      </w:pPr>
    </w:p>
    <w:p w14:paraId="18598E38" w14:textId="77777777" w:rsidR="00327FF1" w:rsidRDefault="00E406C7">
      <w:pPr>
        <w:pStyle w:val="P68B1DB1-Normal7"/>
        <w:rPr>
          <w:b/>
          <w:noProof/>
        </w:rPr>
      </w:pPr>
      <w:r>
        <w:rPr>
          <w:noProof/>
        </w:rPr>
        <w:br w:type="page"/>
      </w:r>
    </w:p>
    <w:p w14:paraId="628B5B01" w14:textId="26F822BE" w:rsidR="00327FF1" w:rsidRDefault="00E406C7">
      <w:pPr>
        <w:pStyle w:val="P68B1DB1-Normal5"/>
        <w:spacing w:before="120" w:after="120"/>
        <w:jc w:val="both"/>
        <w:rPr>
          <w:noProof/>
        </w:rPr>
      </w:pPr>
      <w:r>
        <w:rPr>
          <w:noProof/>
        </w:rPr>
        <w:t>Ieguldījums Nr. 8: InvestEU dalībvalsts nodalījums</w:t>
      </w:r>
    </w:p>
    <w:p w14:paraId="172F2FB9" w14:textId="255F4B5C" w:rsidR="00327FF1" w:rsidRDefault="00E406C7">
      <w:pPr>
        <w:pStyle w:val="P68B1DB1-Normal7"/>
        <w:spacing w:after="120" w:line="276" w:lineRule="auto"/>
        <w:jc w:val="both"/>
        <w:rPr>
          <w:noProof/>
        </w:rPr>
      </w:pPr>
      <w:bookmarkStart w:id="11" w:name="_Hlk212036381"/>
      <w:r>
        <w:rPr>
          <w:noProof/>
        </w:rPr>
        <w:t xml:space="preserve">Šis pasākums ietver publiskās investīcijas InvestEU </w:t>
      </w:r>
      <w:r>
        <w:rPr>
          <w:noProof/>
        </w:rPr>
        <w:t xml:space="preserve">dalībvalsts nodalījumā, lai stimulētu privātās investīcijas un uzlabotu piekļuvi finansējumam nozarēs, kas var ietvert, bet neaprobežojas tikai ar ražošanu un būvniecību. Ieguldījumu InvestEU dalībvalsts nodalījumā izmanto, lai uzlabotu MVU, citu uzņēmumu </w:t>
      </w:r>
      <w:r>
        <w:rPr>
          <w:noProof/>
        </w:rPr>
        <w:t>un Itālijas ekonomikas konkurētspēju kopumā, atbalstot, piemēram, sociālus un ilgtspējīgus infrastruktūras projektus, kā arī pētniecības, inovācijas un digitalizācijas iniciatīvas. Šis finanšu produkts darbojas, sniedzot, piemēram, garantijas, aizdevumus u</w:t>
      </w:r>
      <w:r>
        <w:rPr>
          <w:noProof/>
        </w:rPr>
        <w:t>n kapitālu tieši vai ar starpnieku starpniecību privātajam sektoram, kā arī publiskā sektora struktūrām, kas veic līdzīgas darbības.</w:t>
      </w:r>
    </w:p>
    <w:p w14:paraId="08469770" w14:textId="77777777" w:rsidR="00327FF1" w:rsidRDefault="00E406C7">
      <w:pPr>
        <w:pStyle w:val="P68B1DB1-Normal7"/>
        <w:spacing w:after="120" w:line="276" w:lineRule="auto"/>
        <w:jc w:val="both"/>
        <w:rPr>
          <w:noProof/>
        </w:rPr>
      </w:pPr>
      <w:r>
        <w:rPr>
          <w:noProof/>
        </w:rPr>
        <w:t>Stājas spēkā garantijas nolīgums starp Komisiju un vienu (vai vairākiem) īstenošanas partneriem, kas atlasīti saskaņā ar at</w:t>
      </w:r>
      <w:r>
        <w:rPr>
          <w:noProof/>
        </w:rPr>
        <w:t xml:space="preserve">tiecīgajiem noteikumiem Eiropas Parlamenta un Padomes Regulā (ES) 2021/523 (2021. gada 24. marts), ar ko izveido programmu InvestEU un groza Regulu (ES) 2015/1017. </w:t>
      </w:r>
    </w:p>
    <w:p w14:paraId="172C6541" w14:textId="77777777" w:rsidR="00327FF1" w:rsidRDefault="00E406C7">
      <w:pPr>
        <w:pStyle w:val="P68B1DB1-Normal7"/>
        <w:spacing w:after="120" w:line="276" w:lineRule="auto"/>
        <w:jc w:val="both"/>
        <w:rPr>
          <w:noProof/>
        </w:rPr>
      </w:pPr>
      <w:r>
        <w:rPr>
          <w:noProof/>
        </w:rPr>
        <w:t>Itālija paraksta iemaksu nolīgumu ar Eiropas Komisiju, kurā iekļauj:</w:t>
      </w:r>
    </w:p>
    <w:p w14:paraId="73A7A3B7" w14:textId="77777777" w:rsidR="00327FF1" w:rsidRDefault="00E406C7">
      <w:pPr>
        <w:pStyle w:val="P68B1DB1-ListParagraph37"/>
        <w:numPr>
          <w:ilvl w:val="0"/>
          <w:numId w:val="75"/>
        </w:numPr>
        <w:rPr>
          <w:noProof/>
        </w:rPr>
      </w:pPr>
      <w:r>
        <w:rPr>
          <w:noProof/>
        </w:rPr>
        <w:t>Ierosinātais(-ie) īste</w:t>
      </w:r>
      <w:r>
        <w:rPr>
          <w:noProof/>
        </w:rPr>
        <w:t xml:space="preserve">nošanas partneris(-i). </w:t>
      </w:r>
    </w:p>
    <w:p w14:paraId="1A0AC24C" w14:textId="77777777" w:rsidR="00327FF1" w:rsidRDefault="00E406C7">
      <w:pPr>
        <w:pStyle w:val="ListParagraph"/>
        <w:numPr>
          <w:ilvl w:val="0"/>
          <w:numId w:val="75"/>
        </w:numPr>
        <w:rPr>
          <w:rFonts w:ascii="Times New Roman" w:hAnsi="Times New Roman" w:cs="Times New Roman"/>
          <w:noProof/>
        </w:rPr>
      </w:pPr>
      <w:r>
        <w:rPr>
          <w:rFonts w:ascii="Times New Roman" w:hAnsi="Times New Roman" w:cs="Times New Roman"/>
          <w:noProof/>
        </w:rPr>
        <w:t xml:space="preserve">Prasība par atbilstību NBK tehniskajiem norādījumiem (2023/C111). Vajadzības gadījumā grozītajos garantijas nolīgumos no atbilstības izslēdz šādu darbību un aktīvu sarakstu: I) darbībām un aktīviem, kas saistīti ar fosilo kurināmo, </w:t>
      </w:r>
      <w:r>
        <w:rPr>
          <w:rFonts w:ascii="Times New Roman" w:hAnsi="Times New Roman" w:cs="Times New Roman"/>
          <w:noProof/>
        </w:rPr>
        <w:t>tostarp lejupēju izmantošanu</w:t>
      </w:r>
      <w:r>
        <w:rPr>
          <w:rStyle w:val="FootnoteReference"/>
          <w:rFonts w:ascii="Times New Roman" w:hAnsi="Times New Roman" w:cs="Times New Roman"/>
          <w:noProof/>
        </w:rPr>
        <w:footnoteReference w:id="10"/>
      </w:r>
      <w:r>
        <w:rPr>
          <w:rFonts w:ascii="Times New Roman" w:hAnsi="Times New Roman" w:cs="Times New Roman"/>
          <w:noProof/>
        </w:rPr>
        <w:t>; II) darbības un aktīvi saskaņā ar ES emisijas kvotu tirdzniecības sistēmu (ETS), kuru prognozētās siltumnīcefekta gāzu emisijas nav zemākas par attiecīgajām līmeņatzīmēm</w:t>
      </w:r>
      <w:r>
        <w:rPr>
          <w:rStyle w:val="FootnoteReference"/>
          <w:rFonts w:ascii="Times New Roman" w:hAnsi="Times New Roman" w:cs="Times New Roman"/>
          <w:noProof/>
        </w:rPr>
        <w:footnoteReference w:id="11"/>
      </w:r>
      <w:r>
        <w:rPr>
          <w:rFonts w:ascii="Times New Roman" w:hAnsi="Times New Roman" w:cs="Times New Roman"/>
          <w:noProof/>
        </w:rPr>
        <w:t>; III) darbības un aktīvi, kas saistīti ar atkritumu po</w:t>
      </w:r>
      <w:r>
        <w:rPr>
          <w:rFonts w:ascii="Times New Roman" w:hAnsi="Times New Roman" w:cs="Times New Roman"/>
          <w:noProof/>
        </w:rPr>
        <w:t>ligoniem, sadedzināšanas iekārtām</w:t>
      </w:r>
      <w:r>
        <w:rPr>
          <w:rStyle w:val="FootnoteReference"/>
          <w:rFonts w:ascii="Times New Roman" w:hAnsi="Times New Roman" w:cs="Times New Roman"/>
          <w:noProof/>
        </w:rPr>
        <w:footnoteReference w:id="12"/>
      </w:r>
      <w:r>
        <w:rPr>
          <w:rFonts w:ascii="Times New Roman" w:hAnsi="Times New Roman" w:cs="Times New Roman"/>
          <w:noProof/>
        </w:rPr>
        <w:t xml:space="preserve"> un mehāniski bioloģiskās apstrādes iekārtām</w:t>
      </w:r>
      <w:r>
        <w:rPr>
          <w:rStyle w:val="FootnoteReference"/>
          <w:rFonts w:ascii="Times New Roman" w:hAnsi="Times New Roman" w:cs="Times New Roman"/>
          <w:noProof/>
        </w:rPr>
        <w:footnoteReference w:id="13"/>
      </w:r>
      <w:r>
        <w:rPr>
          <w:rFonts w:ascii="Times New Roman" w:hAnsi="Times New Roman" w:cs="Times New Roman"/>
          <w:noProof/>
        </w:rPr>
        <w:t>.</w:t>
      </w:r>
    </w:p>
    <w:p w14:paraId="29CCA58B" w14:textId="77777777" w:rsidR="00327FF1" w:rsidRDefault="00E406C7">
      <w:pPr>
        <w:pStyle w:val="P68B1DB1-ListParagraph37"/>
        <w:numPr>
          <w:ilvl w:val="0"/>
          <w:numId w:val="75"/>
        </w:numPr>
        <w:spacing w:after="120" w:line="276" w:lineRule="auto"/>
        <w:jc w:val="both"/>
        <w:rPr>
          <w:noProof/>
        </w:rPr>
      </w:pPr>
      <w:r>
        <w:rPr>
          <w:noProof/>
        </w:rPr>
        <w:t>Tās uzraudzības sistēmas apraksts, kas jāizmanto, lai ziņotu par mobilizētajiem līdzekļiem.</w:t>
      </w:r>
    </w:p>
    <w:bookmarkEnd w:id="11"/>
    <w:p w14:paraId="2AF7875C" w14:textId="77777777" w:rsidR="00327FF1" w:rsidRDefault="00327FF1">
      <w:pPr>
        <w:spacing w:line="240" w:lineRule="auto"/>
        <w:jc w:val="both"/>
        <w:rPr>
          <w:rFonts w:ascii="Times New Roman" w:eastAsia="Calibri" w:hAnsi="Times New Roman" w:cs="Times New Roman"/>
          <w:noProof/>
        </w:rPr>
      </w:pPr>
    </w:p>
    <w:p w14:paraId="7510A14C" w14:textId="455C9A2A" w:rsidR="00327FF1" w:rsidRDefault="00E406C7">
      <w:pPr>
        <w:pStyle w:val="P68B1DB1-Normal5"/>
        <w:spacing w:before="120" w:after="120"/>
        <w:jc w:val="both"/>
        <w:rPr>
          <w:bCs/>
          <w:i/>
          <w:iCs/>
          <w:noProof/>
        </w:rPr>
      </w:pPr>
      <w:r>
        <w:rPr>
          <w:noProof/>
        </w:rPr>
        <w:t xml:space="preserve">Ieguldījums Nr. 9: Palielinātais pasākums: Pāreja 4.0 </w:t>
      </w:r>
    </w:p>
    <w:p w14:paraId="1A08C863" w14:textId="0D1890E1" w:rsidR="00327FF1" w:rsidRDefault="00E406C7">
      <w:pPr>
        <w:pStyle w:val="P68B1DB1-Normal7"/>
        <w:spacing w:before="120" w:after="120"/>
        <w:jc w:val="both"/>
        <w:rPr>
          <w:noProof/>
        </w:rPr>
        <w:sectPr w:rsidR="00327FF1" w:rsidSect="005F11B9">
          <w:headerReference w:type="even" r:id="rId48"/>
          <w:headerReference w:type="default" r:id="rId49"/>
          <w:footerReference w:type="even" r:id="rId50"/>
          <w:footerReference w:type="default" r:id="rId51"/>
          <w:headerReference w:type="first" r:id="rId52"/>
          <w:footerReference w:type="first" r:id="rId53"/>
          <w:pgSz w:w="11907" w:h="16838" w:code="12"/>
          <w:pgMar w:top="1134" w:right="1134" w:bottom="1134" w:left="1134" w:header="567" w:footer="567" w:gutter="0"/>
          <w:cols w:space="720"/>
          <w:docGrid w:linePitch="360"/>
        </w:sectPr>
      </w:pPr>
      <w:r>
        <w:rPr>
          <w:noProof/>
        </w:rPr>
        <w:t>Pasākuma mērķis ir atbalstīt uzņēmumu digitālo pārveidi, stimulējot privātās investīcijas aktīvos un darbībās, kas atbalsta digitalizāciju. Pasākums sastāv no nodokļu kredīta shēmas.</w:t>
      </w:r>
    </w:p>
    <w:p w14:paraId="5DFC4778" w14:textId="77777777" w:rsidR="00327FF1" w:rsidRDefault="00E406C7">
      <w:pPr>
        <w:pStyle w:val="P68B1DB1-Heading39"/>
        <w:numPr>
          <w:ilvl w:val="2"/>
          <w:numId w:val="0"/>
        </w:numPr>
        <w:ind w:left="850" w:hanging="850"/>
        <w:rPr>
          <w:b/>
          <w:bCs/>
          <w:i/>
          <w:iCs/>
          <w:noProof/>
          <w:u w:val="single"/>
        </w:rPr>
      </w:pPr>
      <w:r>
        <w:rPr>
          <w:b/>
          <w:noProof/>
          <w:u w:val="single"/>
        </w:rPr>
        <w:t xml:space="preserve">B.4. </w:t>
      </w:r>
      <w:r>
        <w:rPr>
          <w:noProof/>
        </w:rPr>
        <w:t xml:space="preserve"> </w:t>
      </w:r>
      <w:r>
        <w:rPr>
          <w:b/>
          <w:noProof/>
          <w:u w:val="single"/>
        </w:rPr>
        <w:t xml:space="preserve">Atskaites punkti, mērķrādītāji, </w:t>
      </w:r>
      <w:r>
        <w:rPr>
          <w:b/>
          <w:noProof/>
          <w:u w:val="single"/>
        </w:rPr>
        <w:t xml:space="preserve">citi rādītāji un aizdevuma uzraudzības un īstenošanas grafiks </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985"/>
        <w:gridCol w:w="1275"/>
        <w:gridCol w:w="1276"/>
        <w:gridCol w:w="1276"/>
        <w:gridCol w:w="1134"/>
        <w:gridCol w:w="1163"/>
        <w:gridCol w:w="992"/>
        <w:gridCol w:w="850"/>
        <w:gridCol w:w="709"/>
        <w:gridCol w:w="3232"/>
      </w:tblGrid>
      <w:tr w:rsidR="00327FF1" w14:paraId="5BA5649F" w14:textId="77777777">
        <w:trPr>
          <w:trHeight w:val="315"/>
          <w:tblHeader/>
        </w:trPr>
        <w:tc>
          <w:tcPr>
            <w:tcW w:w="1418" w:type="dxa"/>
            <w:vMerge w:val="restart"/>
            <w:shd w:val="clear" w:color="auto" w:fill="BDD7EE"/>
            <w:vAlign w:val="center"/>
          </w:tcPr>
          <w:p w14:paraId="324EA7B4" w14:textId="77777777" w:rsidR="00327FF1" w:rsidRDefault="00E406C7">
            <w:pPr>
              <w:pStyle w:val="P68B1DB1-Normal10"/>
              <w:spacing w:before="120" w:after="120"/>
              <w:jc w:val="center"/>
              <w:rPr>
                <w:noProof/>
                <w:color w:val="006100"/>
                <w:szCs w:val="20"/>
              </w:rPr>
            </w:pPr>
            <w:r>
              <w:rPr>
                <w:noProof/>
              </w:rPr>
              <w:t>Kārtas numurs</w:t>
            </w:r>
          </w:p>
        </w:tc>
        <w:tc>
          <w:tcPr>
            <w:tcW w:w="1985" w:type="dxa"/>
            <w:vMerge w:val="restart"/>
            <w:shd w:val="clear" w:color="auto" w:fill="BDD7EE"/>
            <w:vAlign w:val="center"/>
          </w:tcPr>
          <w:p w14:paraId="0E846774" w14:textId="77777777" w:rsidR="00327FF1" w:rsidRDefault="00E406C7">
            <w:pPr>
              <w:pStyle w:val="P68B1DB1-Normal10"/>
              <w:spacing w:before="120" w:after="120"/>
              <w:jc w:val="center"/>
              <w:rPr>
                <w:noProof/>
                <w:color w:val="006100"/>
                <w:szCs w:val="20"/>
              </w:rPr>
            </w:pPr>
            <w:r>
              <w:rPr>
                <w:noProof/>
              </w:rPr>
              <w:t>Pasākums</w:t>
            </w:r>
          </w:p>
        </w:tc>
        <w:tc>
          <w:tcPr>
            <w:tcW w:w="1275" w:type="dxa"/>
            <w:vMerge w:val="restart"/>
            <w:shd w:val="clear" w:color="auto" w:fill="BDD7EE"/>
            <w:vAlign w:val="center"/>
          </w:tcPr>
          <w:p w14:paraId="0881966D" w14:textId="77777777" w:rsidR="00327FF1" w:rsidRDefault="00E406C7">
            <w:pPr>
              <w:pStyle w:val="P68B1DB1-Normal10"/>
              <w:spacing w:before="120" w:after="120"/>
              <w:jc w:val="center"/>
              <w:rPr>
                <w:noProof/>
                <w:color w:val="006100"/>
                <w:szCs w:val="20"/>
              </w:rPr>
            </w:pPr>
            <w:r>
              <w:rPr>
                <w:noProof/>
              </w:rPr>
              <w:t>Atskaites punkts/mērķrādītājs</w:t>
            </w:r>
          </w:p>
        </w:tc>
        <w:tc>
          <w:tcPr>
            <w:tcW w:w="1276" w:type="dxa"/>
            <w:vMerge w:val="restart"/>
            <w:shd w:val="clear" w:color="auto" w:fill="BDD7EE"/>
            <w:vAlign w:val="center"/>
          </w:tcPr>
          <w:p w14:paraId="6E74796F" w14:textId="77777777" w:rsidR="00327FF1" w:rsidRDefault="00E406C7">
            <w:pPr>
              <w:pStyle w:val="P68B1DB1-Normal10"/>
              <w:spacing w:before="120" w:after="120"/>
              <w:jc w:val="center"/>
              <w:rPr>
                <w:noProof/>
                <w:color w:val="006100"/>
                <w:szCs w:val="20"/>
              </w:rPr>
            </w:pPr>
            <w:r>
              <w:rPr>
                <w:noProof/>
              </w:rPr>
              <w:t>Nosaukums</w:t>
            </w:r>
          </w:p>
        </w:tc>
        <w:tc>
          <w:tcPr>
            <w:tcW w:w="1276" w:type="dxa"/>
            <w:vMerge w:val="restart"/>
            <w:shd w:val="clear" w:color="auto" w:fill="BDD7EE"/>
            <w:vAlign w:val="center"/>
          </w:tcPr>
          <w:p w14:paraId="05638D1E" w14:textId="0C930BA3" w:rsidR="00327FF1" w:rsidRDefault="00E406C7">
            <w:pPr>
              <w:spacing w:before="120" w:after="120"/>
              <w:jc w:val="center"/>
              <w:rPr>
                <w:rFonts w:ascii="Arial Narrow" w:hAnsi="Arial Narrow"/>
                <w:noProof/>
                <w:color w:val="006100"/>
                <w:sz w:val="20"/>
                <w:szCs w:val="20"/>
              </w:rPr>
            </w:pPr>
            <w:r>
              <w:rPr>
                <w:rFonts w:ascii="Arial Narrow" w:hAnsi="Arial Narrow"/>
                <w:b/>
                <w:noProof/>
                <w:sz w:val="20"/>
              </w:rPr>
              <w:t>Kvalitātes rādītāji</w:t>
            </w:r>
            <w:r>
              <w:rPr>
                <w:noProof/>
              </w:rPr>
              <w:t xml:space="preserve"> </w:t>
            </w:r>
            <w:r>
              <w:rPr>
                <w:noProof/>
              </w:rPr>
              <w:br/>
            </w:r>
            <w:r>
              <w:rPr>
                <w:rFonts w:ascii="Arial Narrow" w:hAnsi="Arial Narrow"/>
                <w:b/>
                <w:noProof/>
                <w:sz w:val="20"/>
              </w:rPr>
              <w:t>(attiecībā uz starpposma mērķiem)</w:t>
            </w:r>
          </w:p>
        </w:tc>
        <w:tc>
          <w:tcPr>
            <w:tcW w:w="3289" w:type="dxa"/>
            <w:gridSpan w:val="3"/>
            <w:shd w:val="clear" w:color="auto" w:fill="BDD7EE"/>
            <w:vAlign w:val="center"/>
          </w:tcPr>
          <w:p w14:paraId="572959B1" w14:textId="1DF0DB3C" w:rsidR="00327FF1" w:rsidRDefault="00E406C7">
            <w:pPr>
              <w:spacing w:before="120" w:after="120"/>
              <w:jc w:val="center"/>
              <w:rPr>
                <w:rFonts w:ascii="Arial Narrow" w:hAnsi="Arial Narrow"/>
                <w:noProof/>
                <w:color w:val="006100"/>
                <w:sz w:val="20"/>
                <w:szCs w:val="20"/>
              </w:rPr>
            </w:pPr>
            <w:r>
              <w:rPr>
                <w:rFonts w:ascii="Arial Narrow" w:hAnsi="Arial Narrow"/>
                <w:b/>
                <w:noProof/>
                <w:sz w:val="20"/>
              </w:rPr>
              <w:t>Kvantitatīvie rādītāji</w:t>
            </w:r>
            <w:r>
              <w:rPr>
                <w:rFonts w:ascii="Arial Narrow" w:hAnsi="Arial Narrow"/>
                <w:noProof/>
              </w:rPr>
              <w:t xml:space="preserve"> </w:t>
            </w:r>
            <w:r>
              <w:rPr>
                <w:noProof/>
              </w:rPr>
              <w:t xml:space="preserve"> </w:t>
            </w:r>
            <w:r>
              <w:rPr>
                <w:noProof/>
              </w:rPr>
              <w:br/>
            </w:r>
            <w:r>
              <w:rPr>
                <w:rFonts w:ascii="Arial Narrow" w:hAnsi="Arial Narrow"/>
                <w:b/>
                <w:noProof/>
                <w:sz w:val="20"/>
              </w:rPr>
              <w:t>(mērķiem)</w:t>
            </w:r>
          </w:p>
        </w:tc>
        <w:tc>
          <w:tcPr>
            <w:tcW w:w="1559" w:type="dxa"/>
            <w:gridSpan w:val="2"/>
            <w:shd w:val="clear" w:color="auto" w:fill="BDD7EE"/>
            <w:vAlign w:val="center"/>
          </w:tcPr>
          <w:p w14:paraId="6862B211" w14:textId="77777777" w:rsidR="00327FF1" w:rsidRDefault="00E406C7">
            <w:pPr>
              <w:pStyle w:val="P68B1DB1-Normal10"/>
              <w:spacing w:before="120" w:after="120"/>
              <w:jc w:val="center"/>
              <w:rPr>
                <w:noProof/>
                <w:color w:val="006100"/>
                <w:szCs w:val="20"/>
              </w:rPr>
            </w:pPr>
            <w:r>
              <w:rPr>
                <w:noProof/>
              </w:rPr>
              <w:t>Orientējošs pabeigšanas termiņš</w:t>
            </w:r>
          </w:p>
        </w:tc>
        <w:tc>
          <w:tcPr>
            <w:tcW w:w="3232" w:type="dxa"/>
            <w:vMerge w:val="restart"/>
            <w:shd w:val="clear" w:color="auto" w:fill="BDD7EE"/>
            <w:vAlign w:val="center"/>
          </w:tcPr>
          <w:p w14:paraId="2D561D0E" w14:textId="77777777" w:rsidR="00327FF1" w:rsidRDefault="00E406C7">
            <w:pPr>
              <w:pStyle w:val="P68B1DB1-Normal10"/>
              <w:spacing w:before="120" w:after="120"/>
              <w:jc w:val="center"/>
              <w:rPr>
                <w:bCs/>
                <w:noProof/>
                <w:szCs w:val="20"/>
              </w:rPr>
            </w:pPr>
            <w:r>
              <w:rPr>
                <w:noProof/>
              </w:rPr>
              <w:t>Apraksts</w:t>
            </w:r>
            <w:r>
              <w:rPr>
                <w:noProof/>
              </w:rPr>
              <w:t xml:space="preserve"> par katru atskaites punktu un mērķrādītāju</w:t>
            </w:r>
          </w:p>
        </w:tc>
      </w:tr>
      <w:tr w:rsidR="00327FF1" w14:paraId="29BA27AD" w14:textId="77777777">
        <w:trPr>
          <w:trHeight w:val="315"/>
          <w:tblHeader/>
        </w:trPr>
        <w:tc>
          <w:tcPr>
            <w:tcW w:w="1418" w:type="dxa"/>
            <w:vMerge/>
            <w:vAlign w:val="center"/>
          </w:tcPr>
          <w:p w14:paraId="73120CFD" w14:textId="77777777" w:rsidR="00327FF1" w:rsidRDefault="00327FF1">
            <w:pPr>
              <w:spacing w:before="120" w:after="120"/>
              <w:jc w:val="center"/>
              <w:rPr>
                <w:rFonts w:ascii="Arial Narrow" w:hAnsi="Arial Narrow"/>
                <w:noProof/>
                <w:color w:val="006100"/>
                <w:sz w:val="20"/>
                <w:szCs w:val="20"/>
              </w:rPr>
            </w:pPr>
          </w:p>
        </w:tc>
        <w:tc>
          <w:tcPr>
            <w:tcW w:w="1985" w:type="dxa"/>
            <w:vMerge/>
            <w:vAlign w:val="center"/>
          </w:tcPr>
          <w:p w14:paraId="16892EF6" w14:textId="77777777" w:rsidR="00327FF1" w:rsidRDefault="00327FF1">
            <w:pPr>
              <w:spacing w:before="120" w:after="120"/>
              <w:jc w:val="center"/>
              <w:rPr>
                <w:rFonts w:ascii="Arial Narrow" w:hAnsi="Arial Narrow"/>
                <w:noProof/>
                <w:color w:val="006100"/>
                <w:sz w:val="20"/>
                <w:szCs w:val="20"/>
              </w:rPr>
            </w:pPr>
          </w:p>
        </w:tc>
        <w:tc>
          <w:tcPr>
            <w:tcW w:w="1275" w:type="dxa"/>
            <w:vMerge/>
            <w:vAlign w:val="center"/>
          </w:tcPr>
          <w:p w14:paraId="27DB6052" w14:textId="77777777" w:rsidR="00327FF1" w:rsidRDefault="00327FF1">
            <w:pPr>
              <w:spacing w:before="120" w:after="120"/>
              <w:jc w:val="center"/>
              <w:rPr>
                <w:rFonts w:ascii="Arial Narrow" w:hAnsi="Arial Narrow"/>
                <w:noProof/>
                <w:color w:val="006100"/>
                <w:sz w:val="20"/>
                <w:szCs w:val="20"/>
              </w:rPr>
            </w:pPr>
          </w:p>
        </w:tc>
        <w:tc>
          <w:tcPr>
            <w:tcW w:w="1276" w:type="dxa"/>
            <w:vMerge/>
            <w:vAlign w:val="center"/>
          </w:tcPr>
          <w:p w14:paraId="260AF22C" w14:textId="77777777" w:rsidR="00327FF1" w:rsidRDefault="00327FF1">
            <w:pPr>
              <w:spacing w:before="120" w:after="120"/>
              <w:jc w:val="center"/>
              <w:rPr>
                <w:rFonts w:ascii="Arial Narrow" w:hAnsi="Arial Narrow"/>
                <w:noProof/>
                <w:color w:val="006100"/>
                <w:sz w:val="20"/>
                <w:szCs w:val="20"/>
              </w:rPr>
            </w:pPr>
          </w:p>
        </w:tc>
        <w:tc>
          <w:tcPr>
            <w:tcW w:w="1276" w:type="dxa"/>
            <w:vMerge/>
            <w:vAlign w:val="center"/>
          </w:tcPr>
          <w:p w14:paraId="0CF9474C" w14:textId="77777777" w:rsidR="00327FF1" w:rsidRDefault="00327FF1">
            <w:pPr>
              <w:spacing w:before="120" w:after="120"/>
              <w:jc w:val="center"/>
              <w:rPr>
                <w:rFonts w:ascii="Arial Narrow" w:hAnsi="Arial Narrow"/>
                <w:noProof/>
                <w:color w:val="006100"/>
                <w:sz w:val="20"/>
                <w:szCs w:val="20"/>
              </w:rPr>
            </w:pPr>
          </w:p>
        </w:tc>
        <w:tc>
          <w:tcPr>
            <w:tcW w:w="1134" w:type="dxa"/>
            <w:shd w:val="clear" w:color="auto" w:fill="BDD7EE"/>
            <w:vAlign w:val="center"/>
          </w:tcPr>
          <w:p w14:paraId="5230E2C2" w14:textId="77777777" w:rsidR="00327FF1" w:rsidRDefault="00E406C7">
            <w:pPr>
              <w:pStyle w:val="P68B1DB1-Normal10"/>
              <w:spacing w:before="120" w:after="120"/>
              <w:jc w:val="center"/>
              <w:rPr>
                <w:noProof/>
                <w:color w:val="006100"/>
                <w:szCs w:val="20"/>
              </w:rPr>
            </w:pPr>
            <w:r>
              <w:rPr>
                <w:noProof/>
              </w:rPr>
              <w:t>Mēra vienība</w:t>
            </w:r>
          </w:p>
        </w:tc>
        <w:tc>
          <w:tcPr>
            <w:tcW w:w="1163" w:type="dxa"/>
            <w:shd w:val="clear" w:color="auto" w:fill="BDD7EE"/>
            <w:vAlign w:val="center"/>
          </w:tcPr>
          <w:p w14:paraId="38781680" w14:textId="77777777" w:rsidR="00327FF1" w:rsidRDefault="00E406C7">
            <w:pPr>
              <w:pStyle w:val="P68B1DB1-Normal10"/>
              <w:spacing w:before="120" w:after="120"/>
              <w:jc w:val="center"/>
              <w:rPr>
                <w:noProof/>
                <w:color w:val="006100"/>
                <w:szCs w:val="20"/>
              </w:rPr>
            </w:pPr>
            <w:r>
              <w:rPr>
                <w:noProof/>
              </w:rPr>
              <w:t>Pamatscenārijs</w:t>
            </w:r>
          </w:p>
        </w:tc>
        <w:tc>
          <w:tcPr>
            <w:tcW w:w="992" w:type="dxa"/>
            <w:shd w:val="clear" w:color="auto" w:fill="BDD7EE"/>
            <w:vAlign w:val="center"/>
          </w:tcPr>
          <w:p w14:paraId="72040729" w14:textId="77777777" w:rsidR="00327FF1" w:rsidRDefault="00E406C7">
            <w:pPr>
              <w:pStyle w:val="P68B1DB1-Normal10"/>
              <w:spacing w:before="120" w:after="120"/>
              <w:jc w:val="center"/>
              <w:rPr>
                <w:noProof/>
                <w:color w:val="006100"/>
                <w:szCs w:val="20"/>
              </w:rPr>
            </w:pPr>
            <w:r>
              <w:rPr>
                <w:noProof/>
              </w:rPr>
              <w:t>Mērķis</w:t>
            </w:r>
          </w:p>
        </w:tc>
        <w:tc>
          <w:tcPr>
            <w:tcW w:w="850" w:type="dxa"/>
            <w:shd w:val="clear" w:color="auto" w:fill="BDD7EE"/>
            <w:vAlign w:val="center"/>
          </w:tcPr>
          <w:p w14:paraId="1F93A7DB" w14:textId="77777777" w:rsidR="00327FF1" w:rsidRDefault="00E406C7">
            <w:pPr>
              <w:pStyle w:val="P68B1DB1-Normal10"/>
              <w:spacing w:before="120" w:after="120"/>
              <w:jc w:val="center"/>
              <w:rPr>
                <w:noProof/>
                <w:color w:val="006100"/>
                <w:szCs w:val="20"/>
              </w:rPr>
            </w:pPr>
            <w:r>
              <w:rPr>
                <w:noProof/>
              </w:rPr>
              <w:t>Ceturkšņa laikā</w:t>
            </w:r>
          </w:p>
        </w:tc>
        <w:tc>
          <w:tcPr>
            <w:tcW w:w="709" w:type="dxa"/>
            <w:shd w:val="clear" w:color="auto" w:fill="BDD7EE"/>
            <w:vAlign w:val="center"/>
          </w:tcPr>
          <w:p w14:paraId="7E9B4F0D" w14:textId="77777777" w:rsidR="00327FF1" w:rsidRDefault="00E406C7">
            <w:pPr>
              <w:pStyle w:val="P68B1DB1-Normal10"/>
              <w:spacing w:before="120" w:after="120"/>
              <w:jc w:val="center"/>
              <w:rPr>
                <w:noProof/>
                <w:color w:val="006100"/>
                <w:szCs w:val="20"/>
              </w:rPr>
            </w:pPr>
            <w:r>
              <w:rPr>
                <w:noProof/>
              </w:rPr>
              <w:t>Gadu</w:t>
            </w:r>
          </w:p>
        </w:tc>
        <w:tc>
          <w:tcPr>
            <w:tcW w:w="3232" w:type="dxa"/>
            <w:vMerge/>
            <w:vAlign w:val="center"/>
          </w:tcPr>
          <w:p w14:paraId="2734A567" w14:textId="77777777" w:rsidR="00327FF1" w:rsidRDefault="00327FF1">
            <w:pPr>
              <w:spacing w:before="120" w:after="120"/>
              <w:rPr>
                <w:rFonts w:ascii="Arial Narrow" w:hAnsi="Arial Narrow"/>
                <w:noProof/>
                <w:color w:val="006100"/>
                <w:sz w:val="20"/>
                <w:szCs w:val="20"/>
              </w:rPr>
            </w:pPr>
          </w:p>
        </w:tc>
      </w:tr>
      <w:tr w:rsidR="00327FF1" w14:paraId="57EB5263" w14:textId="77777777">
        <w:trPr>
          <w:trHeight w:val="315"/>
        </w:trPr>
        <w:tc>
          <w:tcPr>
            <w:tcW w:w="1418" w:type="dxa"/>
            <w:shd w:val="clear" w:color="auto" w:fill="C6EFCE"/>
            <w:vAlign w:val="center"/>
          </w:tcPr>
          <w:p w14:paraId="6590E7B8" w14:textId="77777777" w:rsidR="00327FF1" w:rsidRDefault="00E406C7">
            <w:pPr>
              <w:pStyle w:val="P68B1DB1-Normal12"/>
              <w:spacing w:before="120" w:after="120"/>
              <w:jc w:val="center"/>
              <w:rPr>
                <w:noProof/>
              </w:rPr>
            </w:pPr>
            <w:r>
              <w:rPr>
                <w:noProof/>
              </w:rPr>
              <w:t>M1C2–15</w:t>
            </w:r>
          </w:p>
        </w:tc>
        <w:tc>
          <w:tcPr>
            <w:tcW w:w="1985" w:type="dxa"/>
            <w:shd w:val="clear" w:color="auto" w:fill="C6EFCE"/>
            <w:vAlign w:val="center"/>
          </w:tcPr>
          <w:p w14:paraId="03166FD0" w14:textId="77777777" w:rsidR="00327FF1" w:rsidRDefault="00E406C7">
            <w:pPr>
              <w:pStyle w:val="P68B1DB1-Normal11"/>
              <w:spacing w:before="120" w:after="120"/>
              <w:jc w:val="center"/>
              <w:rPr>
                <w:noProof/>
                <w:szCs w:val="20"/>
              </w:rPr>
            </w:pPr>
            <w:r>
              <w:rPr>
                <w:noProof/>
              </w:rPr>
              <w:t>Ieguldījums Nr. 2: Mikroelektronikas inovācija un tehnoloģija</w:t>
            </w:r>
          </w:p>
        </w:tc>
        <w:tc>
          <w:tcPr>
            <w:tcW w:w="1275" w:type="dxa"/>
            <w:shd w:val="clear" w:color="auto" w:fill="C6EFCE"/>
            <w:vAlign w:val="center"/>
          </w:tcPr>
          <w:p w14:paraId="0ECC3C9B" w14:textId="77777777" w:rsidR="00327FF1" w:rsidRDefault="00E406C7">
            <w:pPr>
              <w:pStyle w:val="P68B1DB1-Normal11"/>
              <w:spacing w:before="120" w:after="120"/>
              <w:jc w:val="center"/>
              <w:rPr>
                <w:noProof/>
                <w:szCs w:val="20"/>
              </w:rPr>
            </w:pPr>
            <w:r>
              <w:rPr>
                <w:noProof/>
              </w:rPr>
              <w:t>Mērķa</w:t>
            </w:r>
          </w:p>
        </w:tc>
        <w:tc>
          <w:tcPr>
            <w:tcW w:w="1276" w:type="dxa"/>
            <w:shd w:val="clear" w:color="auto" w:fill="C6EFCE"/>
            <w:vAlign w:val="center"/>
          </w:tcPr>
          <w:p w14:paraId="4C3DC912" w14:textId="77777777" w:rsidR="00327FF1" w:rsidRDefault="00E406C7">
            <w:pPr>
              <w:pStyle w:val="P68B1DB1-Normal11"/>
              <w:spacing w:before="120" w:after="120"/>
              <w:jc w:val="center"/>
              <w:rPr>
                <w:noProof/>
                <w:szCs w:val="20"/>
              </w:rPr>
            </w:pPr>
            <w:r>
              <w:rPr>
                <w:noProof/>
              </w:rPr>
              <w:t>Silīcija karbīda substrātu ražošanas jauda</w:t>
            </w:r>
          </w:p>
        </w:tc>
        <w:tc>
          <w:tcPr>
            <w:tcW w:w="1276" w:type="dxa"/>
            <w:shd w:val="clear" w:color="auto" w:fill="C6EFCE"/>
            <w:vAlign w:val="center"/>
          </w:tcPr>
          <w:p w14:paraId="7957A24F" w14:textId="77777777" w:rsidR="00327FF1" w:rsidRDefault="00E406C7">
            <w:pPr>
              <w:pStyle w:val="P68B1DB1-Normal11"/>
              <w:spacing w:before="120" w:after="120"/>
              <w:jc w:val="center"/>
              <w:rPr>
                <w:noProof/>
                <w:szCs w:val="20"/>
              </w:rPr>
            </w:pPr>
            <w:r>
              <w:rPr>
                <w:noProof/>
              </w:rPr>
              <w:t>NEPIEMĒRO</w:t>
            </w:r>
          </w:p>
        </w:tc>
        <w:tc>
          <w:tcPr>
            <w:tcW w:w="1134" w:type="dxa"/>
            <w:shd w:val="clear" w:color="auto" w:fill="C6EFCE"/>
            <w:vAlign w:val="center"/>
          </w:tcPr>
          <w:p w14:paraId="31FAAAAF" w14:textId="77777777" w:rsidR="00327FF1" w:rsidRDefault="00E406C7">
            <w:pPr>
              <w:pStyle w:val="P68B1DB1-Normal11"/>
              <w:spacing w:before="120" w:after="120"/>
              <w:jc w:val="center"/>
              <w:rPr>
                <w:noProof/>
                <w:szCs w:val="20"/>
              </w:rPr>
            </w:pPr>
            <w:r>
              <w:rPr>
                <w:noProof/>
              </w:rPr>
              <w:t>Skaits</w:t>
            </w:r>
          </w:p>
        </w:tc>
        <w:tc>
          <w:tcPr>
            <w:tcW w:w="1163" w:type="dxa"/>
            <w:shd w:val="clear" w:color="auto" w:fill="C6EFCE"/>
            <w:vAlign w:val="center"/>
          </w:tcPr>
          <w:p w14:paraId="7872CA52" w14:textId="77777777" w:rsidR="00327FF1" w:rsidRDefault="00E406C7">
            <w:pPr>
              <w:pStyle w:val="P68B1DB1-Normal11"/>
              <w:spacing w:before="120" w:after="120"/>
              <w:jc w:val="center"/>
              <w:rPr>
                <w:noProof/>
                <w:szCs w:val="20"/>
              </w:rPr>
            </w:pPr>
            <w:r>
              <w:rPr>
                <w:noProof/>
              </w:rPr>
              <w:t>0</w:t>
            </w:r>
          </w:p>
        </w:tc>
        <w:tc>
          <w:tcPr>
            <w:tcW w:w="992" w:type="dxa"/>
            <w:shd w:val="clear" w:color="auto" w:fill="C6EFCE"/>
            <w:vAlign w:val="center"/>
          </w:tcPr>
          <w:p w14:paraId="66C8A851" w14:textId="77777777" w:rsidR="00327FF1" w:rsidRDefault="00E406C7">
            <w:pPr>
              <w:pStyle w:val="P68B1DB1-Normal12"/>
              <w:spacing w:before="120" w:after="120"/>
              <w:jc w:val="center"/>
              <w:rPr>
                <w:noProof/>
              </w:rPr>
            </w:pPr>
            <w:r>
              <w:rPr>
                <w:noProof/>
              </w:rPr>
              <w:t xml:space="preserve">197 028 </w:t>
            </w:r>
          </w:p>
        </w:tc>
        <w:tc>
          <w:tcPr>
            <w:tcW w:w="850" w:type="dxa"/>
            <w:shd w:val="clear" w:color="auto" w:fill="C6EFCE"/>
            <w:vAlign w:val="center"/>
          </w:tcPr>
          <w:p w14:paraId="3AEE276F" w14:textId="77777777" w:rsidR="00327FF1" w:rsidRDefault="00E406C7">
            <w:pPr>
              <w:pStyle w:val="P68B1DB1-Normal11"/>
              <w:spacing w:before="120" w:after="120"/>
              <w:jc w:val="center"/>
              <w:rPr>
                <w:noProof/>
                <w:szCs w:val="20"/>
              </w:rPr>
            </w:pPr>
            <w:r>
              <w:rPr>
                <w:noProof/>
              </w:rPr>
              <w:t>2. CET.</w:t>
            </w:r>
          </w:p>
        </w:tc>
        <w:tc>
          <w:tcPr>
            <w:tcW w:w="709" w:type="dxa"/>
            <w:shd w:val="clear" w:color="auto" w:fill="C6EFCE"/>
            <w:vAlign w:val="center"/>
          </w:tcPr>
          <w:p w14:paraId="5D6B9867" w14:textId="77777777" w:rsidR="00327FF1" w:rsidRDefault="00E406C7">
            <w:pPr>
              <w:pStyle w:val="P68B1DB1-Normal11"/>
              <w:spacing w:before="120" w:after="120"/>
              <w:jc w:val="center"/>
              <w:rPr>
                <w:noProof/>
                <w:szCs w:val="20"/>
              </w:rPr>
            </w:pPr>
            <w:r>
              <w:rPr>
                <w:noProof/>
              </w:rPr>
              <w:t>2026</w:t>
            </w:r>
          </w:p>
        </w:tc>
        <w:tc>
          <w:tcPr>
            <w:tcW w:w="3232" w:type="dxa"/>
            <w:shd w:val="clear" w:color="auto" w:fill="C6EFCE"/>
            <w:vAlign w:val="center"/>
          </w:tcPr>
          <w:p w14:paraId="03C28169" w14:textId="4F88E30B" w:rsidR="00327FF1" w:rsidRDefault="00E406C7">
            <w:pPr>
              <w:pStyle w:val="P68B1DB1-Normal12"/>
              <w:spacing w:before="120" w:after="120"/>
              <w:rPr>
                <w:noProof/>
              </w:rPr>
            </w:pPr>
            <w:r>
              <w:rPr>
                <w:noProof/>
              </w:rPr>
              <w:t>Papildu ražošanas jaudas realizācija vismaz 197 028 8 collu silīcija karbīda substrātiem gadā.</w:t>
            </w:r>
          </w:p>
        </w:tc>
      </w:tr>
      <w:tr w:rsidR="00327FF1" w14:paraId="3A0ABC22" w14:textId="77777777">
        <w:trPr>
          <w:trHeight w:val="315"/>
        </w:trPr>
        <w:tc>
          <w:tcPr>
            <w:tcW w:w="1418" w:type="dxa"/>
            <w:shd w:val="clear" w:color="auto" w:fill="C6EFCE"/>
            <w:vAlign w:val="center"/>
          </w:tcPr>
          <w:p w14:paraId="79C49779" w14:textId="77777777" w:rsidR="00327FF1" w:rsidRDefault="00E406C7">
            <w:pPr>
              <w:pStyle w:val="P68B1DB1-Normal11"/>
              <w:spacing w:before="120" w:after="120"/>
              <w:jc w:val="center"/>
              <w:rPr>
                <w:noProof/>
                <w:szCs w:val="20"/>
              </w:rPr>
            </w:pPr>
            <w:r>
              <w:rPr>
                <w:noProof/>
              </w:rPr>
              <w:t>M1C2–16</w:t>
            </w:r>
          </w:p>
        </w:tc>
        <w:tc>
          <w:tcPr>
            <w:tcW w:w="1985" w:type="dxa"/>
            <w:shd w:val="clear" w:color="auto" w:fill="C6EFCE"/>
            <w:vAlign w:val="center"/>
          </w:tcPr>
          <w:p w14:paraId="05F3F24C" w14:textId="77777777" w:rsidR="00327FF1" w:rsidRDefault="00E406C7">
            <w:pPr>
              <w:pStyle w:val="P68B1DB1-Normal11"/>
              <w:spacing w:before="120" w:after="120"/>
              <w:jc w:val="center"/>
              <w:rPr>
                <w:noProof/>
                <w:szCs w:val="20"/>
              </w:rPr>
            </w:pPr>
            <w:r>
              <w:rPr>
                <w:noProof/>
              </w:rPr>
              <w:t>Ieguldījums Nr. 3: Ātrs interneta pieslēgums (Ultra-Broadband un 5G)</w:t>
            </w:r>
          </w:p>
        </w:tc>
        <w:tc>
          <w:tcPr>
            <w:tcW w:w="1275" w:type="dxa"/>
            <w:shd w:val="clear" w:color="auto" w:fill="C6EFCE"/>
            <w:vAlign w:val="center"/>
          </w:tcPr>
          <w:p w14:paraId="7AA31277" w14:textId="77777777" w:rsidR="00327FF1" w:rsidRDefault="00E406C7">
            <w:pPr>
              <w:pStyle w:val="P68B1DB1-Normal11"/>
              <w:spacing w:before="120" w:after="120"/>
              <w:jc w:val="center"/>
              <w:rPr>
                <w:noProof/>
                <w:szCs w:val="20"/>
              </w:rPr>
            </w:pPr>
            <w:r>
              <w:rPr>
                <w:noProof/>
              </w:rPr>
              <w:t>Atskaites punkts</w:t>
            </w:r>
          </w:p>
        </w:tc>
        <w:tc>
          <w:tcPr>
            <w:tcW w:w="1276" w:type="dxa"/>
            <w:shd w:val="clear" w:color="auto" w:fill="C6EFCE"/>
            <w:vAlign w:val="center"/>
          </w:tcPr>
          <w:p w14:paraId="5D085CA9" w14:textId="77777777" w:rsidR="00327FF1" w:rsidRDefault="00E406C7">
            <w:pPr>
              <w:pStyle w:val="P68B1DB1-Normal11"/>
              <w:spacing w:before="120" w:after="120"/>
              <w:jc w:val="center"/>
              <w:rPr>
                <w:noProof/>
                <w:szCs w:val="20"/>
              </w:rPr>
            </w:pPr>
            <w:r>
              <w:rPr>
                <w:noProof/>
              </w:rPr>
              <w:t xml:space="preserve">Visu publiskā iepirkuma līgumu slēgšanas tiesību </w:t>
            </w:r>
            <w:r>
              <w:rPr>
                <w:noProof/>
              </w:rPr>
              <w:t>piešķiršana ātrākiem pieslēguma projektiem</w:t>
            </w:r>
          </w:p>
        </w:tc>
        <w:tc>
          <w:tcPr>
            <w:tcW w:w="1276" w:type="dxa"/>
            <w:shd w:val="clear" w:color="auto" w:fill="C6EFCE"/>
            <w:vAlign w:val="center"/>
          </w:tcPr>
          <w:p w14:paraId="24D79BEF" w14:textId="77777777" w:rsidR="00327FF1" w:rsidRDefault="00E406C7">
            <w:pPr>
              <w:pStyle w:val="P68B1DB1-Normal11"/>
              <w:spacing w:before="120" w:after="120"/>
              <w:jc w:val="center"/>
              <w:rPr>
                <w:noProof/>
                <w:szCs w:val="20"/>
              </w:rPr>
            </w:pPr>
            <w:r>
              <w:rPr>
                <w:noProof/>
              </w:rPr>
              <w:t>Paziņojums par visu publiskā iepirkuma līgumu slēgšanas tiesību piešķiršanu ātrāka pieslēguma projektiem</w:t>
            </w:r>
          </w:p>
        </w:tc>
        <w:tc>
          <w:tcPr>
            <w:tcW w:w="1134" w:type="dxa"/>
            <w:shd w:val="clear" w:color="auto" w:fill="C6EFCE"/>
            <w:vAlign w:val="center"/>
          </w:tcPr>
          <w:p w14:paraId="7E85DFCF" w14:textId="77777777" w:rsidR="00327FF1" w:rsidRDefault="00E406C7">
            <w:pPr>
              <w:pStyle w:val="P68B1DB1-Normal11"/>
              <w:spacing w:before="120" w:after="120"/>
              <w:jc w:val="center"/>
              <w:rPr>
                <w:noProof/>
                <w:szCs w:val="20"/>
              </w:rPr>
            </w:pPr>
            <w:r>
              <w:rPr>
                <w:noProof/>
              </w:rPr>
              <w:t>NEPIEMĒRO</w:t>
            </w:r>
          </w:p>
        </w:tc>
        <w:tc>
          <w:tcPr>
            <w:tcW w:w="1163" w:type="dxa"/>
            <w:shd w:val="clear" w:color="auto" w:fill="C6EFCE"/>
            <w:vAlign w:val="center"/>
          </w:tcPr>
          <w:p w14:paraId="70E80D0B" w14:textId="77777777" w:rsidR="00327FF1" w:rsidRDefault="00E406C7">
            <w:pPr>
              <w:pStyle w:val="P68B1DB1-Normal11"/>
              <w:spacing w:before="120" w:after="120"/>
              <w:jc w:val="center"/>
              <w:rPr>
                <w:noProof/>
                <w:szCs w:val="20"/>
              </w:rPr>
            </w:pPr>
            <w:r>
              <w:rPr>
                <w:noProof/>
              </w:rPr>
              <w:t>NEPIEMĒRO</w:t>
            </w:r>
          </w:p>
        </w:tc>
        <w:tc>
          <w:tcPr>
            <w:tcW w:w="992" w:type="dxa"/>
            <w:shd w:val="clear" w:color="auto" w:fill="C6EFCE"/>
            <w:vAlign w:val="center"/>
          </w:tcPr>
          <w:p w14:paraId="11496126" w14:textId="77777777" w:rsidR="00327FF1" w:rsidRDefault="00E406C7">
            <w:pPr>
              <w:pStyle w:val="P68B1DB1-Normal11"/>
              <w:spacing w:before="120" w:after="120"/>
              <w:jc w:val="center"/>
              <w:rPr>
                <w:noProof/>
                <w:szCs w:val="20"/>
              </w:rPr>
            </w:pPr>
            <w:r>
              <w:rPr>
                <w:noProof/>
              </w:rPr>
              <w:t>NEPIEMĒRO</w:t>
            </w:r>
          </w:p>
        </w:tc>
        <w:tc>
          <w:tcPr>
            <w:tcW w:w="850" w:type="dxa"/>
            <w:shd w:val="clear" w:color="auto" w:fill="C6EFCE"/>
            <w:vAlign w:val="center"/>
          </w:tcPr>
          <w:p w14:paraId="4720B5E9" w14:textId="77777777" w:rsidR="00327FF1" w:rsidRDefault="00E406C7">
            <w:pPr>
              <w:pStyle w:val="P68B1DB1-Normal11"/>
              <w:spacing w:before="120" w:after="120"/>
              <w:jc w:val="center"/>
              <w:rPr>
                <w:noProof/>
                <w:szCs w:val="20"/>
              </w:rPr>
            </w:pPr>
            <w:r>
              <w:rPr>
                <w:noProof/>
              </w:rPr>
              <w:t>2. CET.</w:t>
            </w:r>
          </w:p>
        </w:tc>
        <w:tc>
          <w:tcPr>
            <w:tcW w:w="709" w:type="dxa"/>
            <w:shd w:val="clear" w:color="auto" w:fill="C6EFCE"/>
            <w:vAlign w:val="center"/>
          </w:tcPr>
          <w:p w14:paraId="4CEF93F2" w14:textId="77777777" w:rsidR="00327FF1" w:rsidRDefault="00E406C7">
            <w:pPr>
              <w:pStyle w:val="P68B1DB1-Normal11"/>
              <w:spacing w:before="120" w:after="120"/>
              <w:jc w:val="center"/>
              <w:rPr>
                <w:noProof/>
                <w:szCs w:val="20"/>
              </w:rPr>
            </w:pPr>
            <w:r>
              <w:rPr>
                <w:noProof/>
              </w:rPr>
              <w:t>2022</w:t>
            </w:r>
          </w:p>
        </w:tc>
        <w:tc>
          <w:tcPr>
            <w:tcW w:w="3232" w:type="dxa"/>
            <w:shd w:val="clear" w:color="auto" w:fill="C6EFCE"/>
            <w:vAlign w:val="center"/>
          </w:tcPr>
          <w:p w14:paraId="1E0B7EC3" w14:textId="77777777" w:rsidR="00327FF1" w:rsidRDefault="00E406C7">
            <w:pPr>
              <w:pStyle w:val="P68B1DB1-Normal11"/>
              <w:spacing w:before="120" w:after="120"/>
              <w:rPr>
                <w:noProof/>
                <w:szCs w:val="20"/>
              </w:rPr>
            </w:pPr>
            <w:r>
              <w:rPr>
                <w:noProof/>
              </w:rPr>
              <w:t xml:space="preserve">Paziņojums par visu publiskā iepirkuma līgumu slēgšanas tiesību </w:t>
            </w:r>
            <w:r>
              <w:rPr>
                <w:noProof/>
              </w:rPr>
              <w:t>piešķiršanu ātrāka pieslēguma projektiem, kas sastāv no i) “Italia a 1 Giga”, ii) “Italia 5G”, iii) “Savienotas skolas”, iv) “Savienotas veselības aprūpes iestādes”; un v) “Savienotas nelielas salas”.</w:t>
            </w:r>
          </w:p>
        </w:tc>
      </w:tr>
      <w:tr w:rsidR="00327FF1" w14:paraId="521189F1" w14:textId="77777777">
        <w:trPr>
          <w:trHeight w:val="315"/>
        </w:trPr>
        <w:tc>
          <w:tcPr>
            <w:tcW w:w="1418" w:type="dxa"/>
            <w:shd w:val="clear" w:color="auto" w:fill="C6EFCE"/>
            <w:vAlign w:val="center"/>
          </w:tcPr>
          <w:p w14:paraId="48E02E28" w14:textId="77777777" w:rsidR="00327FF1" w:rsidRDefault="00E406C7">
            <w:pPr>
              <w:pStyle w:val="P68B1DB1-Normal12"/>
              <w:spacing w:before="120" w:after="120"/>
              <w:jc w:val="center"/>
              <w:rPr>
                <w:noProof/>
              </w:rPr>
            </w:pPr>
            <w:r>
              <w:rPr>
                <w:noProof/>
              </w:rPr>
              <w:t>M1C2–17</w:t>
            </w:r>
          </w:p>
        </w:tc>
        <w:tc>
          <w:tcPr>
            <w:tcW w:w="1985" w:type="dxa"/>
            <w:shd w:val="clear" w:color="auto" w:fill="C6EFCE"/>
            <w:vAlign w:val="center"/>
          </w:tcPr>
          <w:p w14:paraId="5B578B26" w14:textId="77777777" w:rsidR="00327FF1" w:rsidRDefault="00E406C7">
            <w:pPr>
              <w:pStyle w:val="P68B1DB1-Normal11"/>
              <w:spacing w:before="120" w:after="120"/>
              <w:jc w:val="center"/>
              <w:rPr>
                <w:noProof/>
                <w:szCs w:val="20"/>
              </w:rPr>
            </w:pPr>
            <w:r>
              <w:rPr>
                <w:noProof/>
              </w:rPr>
              <w:t xml:space="preserve">Ieguldījums Nr. 3: Ātrs interneta pieslēgums </w:t>
            </w:r>
            <w:r>
              <w:rPr>
                <w:noProof/>
              </w:rPr>
              <w:t>(Ultra-Broadband un 5G)</w:t>
            </w:r>
          </w:p>
        </w:tc>
        <w:tc>
          <w:tcPr>
            <w:tcW w:w="1275" w:type="dxa"/>
            <w:shd w:val="clear" w:color="auto" w:fill="C6EFCE"/>
            <w:vAlign w:val="center"/>
          </w:tcPr>
          <w:p w14:paraId="488209BF" w14:textId="77777777" w:rsidR="00327FF1" w:rsidRDefault="00E406C7">
            <w:pPr>
              <w:pStyle w:val="P68B1DB1-Normal11"/>
              <w:spacing w:before="120" w:after="120"/>
              <w:jc w:val="center"/>
              <w:rPr>
                <w:noProof/>
                <w:szCs w:val="20"/>
              </w:rPr>
            </w:pPr>
            <w:r>
              <w:rPr>
                <w:noProof/>
              </w:rPr>
              <w:t>Mērķa</w:t>
            </w:r>
          </w:p>
        </w:tc>
        <w:tc>
          <w:tcPr>
            <w:tcW w:w="1276" w:type="dxa"/>
            <w:shd w:val="clear" w:color="auto" w:fill="C6EFCE"/>
            <w:vAlign w:val="center"/>
          </w:tcPr>
          <w:p w14:paraId="3FBCAF2A" w14:textId="77777777" w:rsidR="00327FF1" w:rsidRDefault="00E406C7">
            <w:pPr>
              <w:pStyle w:val="P68B1DB1-Normal11"/>
              <w:spacing w:before="120" w:after="120"/>
              <w:jc w:val="center"/>
              <w:rPr>
                <w:noProof/>
                <w:szCs w:val="20"/>
              </w:rPr>
            </w:pPr>
            <w:r>
              <w:rPr>
                <w:noProof/>
              </w:rPr>
              <w:t>Mājokļu numuri ar 1 Gb/s savienojamību</w:t>
            </w:r>
          </w:p>
        </w:tc>
        <w:tc>
          <w:tcPr>
            <w:tcW w:w="1276" w:type="dxa"/>
            <w:shd w:val="clear" w:color="auto" w:fill="C6EFCE"/>
            <w:vAlign w:val="center"/>
          </w:tcPr>
          <w:p w14:paraId="4498C2BD" w14:textId="77777777" w:rsidR="00327FF1" w:rsidRDefault="00E406C7">
            <w:pPr>
              <w:pStyle w:val="P68B1DB1-Normal11"/>
              <w:spacing w:before="120" w:after="120"/>
              <w:jc w:val="center"/>
              <w:rPr>
                <w:noProof/>
                <w:szCs w:val="20"/>
              </w:rPr>
            </w:pPr>
            <w:r>
              <w:rPr>
                <w:noProof/>
              </w:rPr>
              <w:t>NEPIEMĒRO</w:t>
            </w:r>
          </w:p>
        </w:tc>
        <w:tc>
          <w:tcPr>
            <w:tcW w:w="1134" w:type="dxa"/>
            <w:shd w:val="clear" w:color="auto" w:fill="C6EFCE"/>
            <w:vAlign w:val="center"/>
          </w:tcPr>
          <w:p w14:paraId="33739664" w14:textId="77777777" w:rsidR="00327FF1" w:rsidRDefault="00E406C7">
            <w:pPr>
              <w:pStyle w:val="P68B1DB1-Normal11"/>
              <w:spacing w:before="120" w:after="120"/>
              <w:jc w:val="center"/>
              <w:rPr>
                <w:noProof/>
                <w:szCs w:val="20"/>
              </w:rPr>
            </w:pPr>
            <w:r>
              <w:rPr>
                <w:noProof/>
              </w:rPr>
              <w:t>Skaits</w:t>
            </w:r>
          </w:p>
        </w:tc>
        <w:tc>
          <w:tcPr>
            <w:tcW w:w="1163" w:type="dxa"/>
            <w:shd w:val="clear" w:color="auto" w:fill="C6EFCE"/>
            <w:vAlign w:val="center"/>
          </w:tcPr>
          <w:p w14:paraId="745D49F9" w14:textId="77777777" w:rsidR="00327FF1" w:rsidRDefault="00E406C7">
            <w:pPr>
              <w:pStyle w:val="P68B1DB1-Normal11"/>
              <w:spacing w:before="120" w:after="120"/>
              <w:jc w:val="center"/>
              <w:rPr>
                <w:noProof/>
                <w:szCs w:val="20"/>
              </w:rPr>
            </w:pPr>
            <w:r>
              <w:rPr>
                <w:noProof/>
              </w:rPr>
              <w:t>0</w:t>
            </w:r>
          </w:p>
        </w:tc>
        <w:tc>
          <w:tcPr>
            <w:tcW w:w="992" w:type="dxa"/>
            <w:shd w:val="clear" w:color="auto" w:fill="C6EFCE"/>
            <w:vAlign w:val="center"/>
          </w:tcPr>
          <w:p w14:paraId="39EBD8E2" w14:textId="5804872E" w:rsidR="00327FF1" w:rsidRDefault="00E406C7">
            <w:pPr>
              <w:pStyle w:val="P68B1DB1-Normal11"/>
              <w:spacing w:before="120" w:after="120"/>
              <w:jc w:val="center"/>
              <w:rPr>
                <w:noProof/>
                <w:szCs w:val="20"/>
              </w:rPr>
            </w:pPr>
            <w:r>
              <w:rPr>
                <w:noProof/>
              </w:rPr>
              <w:t>2 692 905</w:t>
            </w:r>
          </w:p>
        </w:tc>
        <w:tc>
          <w:tcPr>
            <w:tcW w:w="850" w:type="dxa"/>
            <w:shd w:val="clear" w:color="auto" w:fill="C6EFCE"/>
            <w:vAlign w:val="center"/>
          </w:tcPr>
          <w:p w14:paraId="27EC20A8" w14:textId="77777777" w:rsidR="00327FF1" w:rsidRDefault="00E406C7">
            <w:pPr>
              <w:pStyle w:val="P68B1DB1-Normal11"/>
              <w:spacing w:before="120" w:after="120"/>
              <w:jc w:val="center"/>
              <w:rPr>
                <w:noProof/>
                <w:szCs w:val="20"/>
              </w:rPr>
            </w:pPr>
            <w:r>
              <w:rPr>
                <w:noProof/>
              </w:rPr>
              <w:t>2. CET.</w:t>
            </w:r>
          </w:p>
        </w:tc>
        <w:tc>
          <w:tcPr>
            <w:tcW w:w="709" w:type="dxa"/>
            <w:shd w:val="clear" w:color="auto" w:fill="C6EFCE"/>
            <w:vAlign w:val="center"/>
          </w:tcPr>
          <w:p w14:paraId="28AD9C9B" w14:textId="77777777" w:rsidR="00327FF1" w:rsidRDefault="00E406C7">
            <w:pPr>
              <w:pStyle w:val="P68B1DB1-Normal11"/>
              <w:spacing w:before="120" w:after="120"/>
              <w:jc w:val="center"/>
              <w:rPr>
                <w:noProof/>
                <w:szCs w:val="20"/>
              </w:rPr>
            </w:pPr>
            <w:r>
              <w:rPr>
                <w:noProof/>
              </w:rPr>
              <w:t>2026</w:t>
            </w:r>
          </w:p>
        </w:tc>
        <w:tc>
          <w:tcPr>
            <w:tcW w:w="3232" w:type="dxa"/>
            <w:shd w:val="clear" w:color="auto" w:fill="C6EFCE"/>
            <w:vAlign w:val="center"/>
          </w:tcPr>
          <w:p w14:paraId="275DBC67" w14:textId="4DE365B9" w:rsidR="00327FF1" w:rsidRDefault="00E406C7">
            <w:pPr>
              <w:pStyle w:val="P68B1DB1-Normal11"/>
              <w:rPr>
                <w:noProof/>
                <w:szCs w:val="20"/>
              </w:rPr>
            </w:pPr>
            <w:r>
              <w:rPr>
                <w:noProof/>
                <w:szCs w:val="20"/>
              </w:rPr>
              <w:t>Vismaz 2692905 māju</w:t>
            </w:r>
            <w:r>
              <w:rPr>
                <w:noProof/>
              </w:rPr>
              <w:t xml:space="preserve"> </w:t>
            </w:r>
            <w:r>
              <w:rPr>
                <w:noProof/>
                <w:szCs w:val="20"/>
              </w:rPr>
              <w:t>numuri</w:t>
            </w:r>
            <w:r>
              <w:rPr>
                <w:noProof/>
              </w:rPr>
              <w:t xml:space="preserve"> (no kuriem vismaz 266782 izkaisītas mājsaimniecības, t. i., atrodas attālos apgabalos), kas savienoti ar vismaz 1 Gb/s savienojamību, izmantojot Fiber-to-to-home/ēku (FTTH/B), fiksēto bezvadu piekļuvi (FWA) </w:t>
            </w:r>
          </w:p>
        </w:tc>
      </w:tr>
      <w:tr w:rsidR="00327FF1" w14:paraId="177D2AA3" w14:textId="77777777">
        <w:trPr>
          <w:trHeight w:val="315"/>
        </w:trPr>
        <w:tc>
          <w:tcPr>
            <w:tcW w:w="1418" w:type="dxa"/>
            <w:shd w:val="clear" w:color="auto" w:fill="C6EFCE"/>
            <w:vAlign w:val="center"/>
          </w:tcPr>
          <w:p w14:paraId="05E5CA2E" w14:textId="77777777" w:rsidR="00327FF1" w:rsidRDefault="00E406C7">
            <w:pPr>
              <w:pStyle w:val="P68B1DB1-Normal11"/>
              <w:spacing w:before="120" w:after="120"/>
              <w:jc w:val="center"/>
              <w:rPr>
                <w:noProof/>
                <w:szCs w:val="20"/>
              </w:rPr>
            </w:pPr>
            <w:r>
              <w:rPr>
                <w:noProof/>
              </w:rPr>
              <w:t>M1C2–18</w:t>
            </w:r>
          </w:p>
        </w:tc>
        <w:tc>
          <w:tcPr>
            <w:tcW w:w="1985" w:type="dxa"/>
            <w:shd w:val="clear" w:color="auto" w:fill="C6EFCE"/>
            <w:vAlign w:val="center"/>
          </w:tcPr>
          <w:p w14:paraId="5B8A0234" w14:textId="77777777" w:rsidR="00327FF1" w:rsidRDefault="00E406C7">
            <w:pPr>
              <w:pStyle w:val="P68B1DB1-Normal11"/>
              <w:spacing w:before="120" w:after="120"/>
              <w:jc w:val="center"/>
              <w:rPr>
                <w:noProof/>
                <w:szCs w:val="20"/>
              </w:rPr>
            </w:pPr>
            <w:r>
              <w:rPr>
                <w:noProof/>
              </w:rPr>
              <w:t xml:space="preserve">Ieguldījums Nr. 3: Ātrs interneta </w:t>
            </w:r>
            <w:r>
              <w:rPr>
                <w:noProof/>
              </w:rPr>
              <w:t>pieslēgums (Ultra-Broadband un 5G)</w:t>
            </w:r>
          </w:p>
        </w:tc>
        <w:tc>
          <w:tcPr>
            <w:tcW w:w="1275" w:type="dxa"/>
            <w:shd w:val="clear" w:color="auto" w:fill="C6EFCE"/>
            <w:vAlign w:val="center"/>
          </w:tcPr>
          <w:p w14:paraId="58836745" w14:textId="77777777" w:rsidR="00327FF1" w:rsidRDefault="00E406C7">
            <w:pPr>
              <w:pStyle w:val="P68B1DB1-Normal11"/>
              <w:spacing w:before="120" w:after="120"/>
              <w:jc w:val="center"/>
              <w:rPr>
                <w:noProof/>
                <w:szCs w:val="20"/>
              </w:rPr>
            </w:pPr>
            <w:r>
              <w:rPr>
                <w:noProof/>
              </w:rPr>
              <w:t>Mērķa</w:t>
            </w:r>
          </w:p>
        </w:tc>
        <w:tc>
          <w:tcPr>
            <w:tcW w:w="1276" w:type="dxa"/>
            <w:shd w:val="clear" w:color="auto" w:fill="C6EFCE"/>
            <w:vAlign w:val="center"/>
          </w:tcPr>
          <w:p w14:paraId="441DAEDD" w14:textId="77777777" w:rsidR="00327FF1" w:rsidRDefault="00E406C7">
            <w:pPr>
              <w:pStyle w:val="P68B1DB1-Normal11"/>
              <w:spacing w:before="120" w:after="120"/>
              <w:jc w:val="center"/>
              <w:rPr>
                <w:noProof/>
                <w:szCs w:val="20"/>
              </w:rPr>
            </w:pPr>
            <w:r>
              <w:rPr>
                <w:noProof/>
              </w:rPr>
              <w:t>Skolu ēkas un veselības aprūpes iestādes ar 1 Gb/s savienojamību</w:t>
            </w:r>
          </w:p>
        </w:tc>
        <w:tc>
          <w:tcPr>
            <w:tcW w:w="1276" w:type="dxa"/>
            <w:shd w:val="clear" w:color="auto" w:fill="C6EFCE"/>
            <w:vAlign w:val="center"/>
          </w:tcPr>
          <w:p w14:paraId="41CA243C" w14:textId="77777777" w:rsidR="00327FF1" w:rsidRDefault="00E406C7">
            <w:pPr>
              <w:pStyle w:val="P68B1DB1-Normal11"/>
              <w:spacing w:before="120" w:after="120"/>
              <w:jc w:val="center"/>
              <w:rPr>
                <w:noProof/>
                <w:szCs w:val="20"/>
              </w:rPr>
            </w:pPr>
            <w:r>
              <w:rPr>
                <w:noProof/>
              </w:rPr>
              <w:t>NEPIEMĒRO</w:t>
            </w:r>
          </w:p>
        </w:tc>
        <w:tc>
          <w:tcPr>
            <w:tcW w:w="1134" w:type="dxa"/>
            <w:shd w:val="clear" w:color="auto" w:fill="C6EFCE"/>
            <w:vAlign w:val="center"/>
          </w:tcPr>
          <w:p w14:paraId="02DCE45F" w14:textId="77777777" w:rsidR="00327FF1" w:rsidRDefault="00E406C7">
            <w:pPr>
              <w:pStyle w:val="P68B1DB1-Normal11"/>
              <w:spacing w:before="120" w:after="120"/>
              <w:jc w:val="center"/>
              <w:rPr>
                <w:noProof/>
                <w:szCs w:val="20"/>
              </w:rPr>
            </w:pPr>
            <w:r>
              <w:rPr>
                <w:noProof/>
              </w:rPr>
              <w:t>Skaits</w:t>
            </w:r>
          </w:p>
        </w:tc>
        <w:tc>
          <w:tcPr>
            <w:tcW w:w="1163" w:type="dxa"/>
            <w:shd w:val="clear" w:color="auto" w:fill="C6EFCE"/>
            <w:vAlign w:val="center"/>
          </w:tcPr>
          <w:p w14:paraId="6F31CA6E" w14:textId="77777777" w:rsidR="00327FF1" w:rsidRDefault="00E406C7">
            <w:pPr>
              <w:pStyle w:val="P68B1DB1-Normal11"/>
              <w:spacing w:before="120" w:after="120"/>
              <w:jc w:val="center"/>
              <w:rPr>
                <w:noProof/>
                <w:szCs w:val="20"/>
              </w:rPr>
            </w:pPr>
            <w:r>
              <w:rPr>
                <w:noProof/>
              </w:rPr>
              <w:t>0</w:t>
            </w:r>
          </w:p>
        </w:tc>
        <w:tc>
          <w:tcPr>
            <w:tcW w:w="992" w:type="dxa"/>
            <w:shd w:val="clear" w:color="auto" w:fill="C6EFCE"/>
            <w:vAlign w:val="center"/>
          </w:tcPr>
          <w:p w14:paraId="642FC776" w14:textId="77777777" w:rsidR="00327FF1" w:rsidRDefault="00E406C7">
            <w:pPr>
              <w:pStyle w:val="P68B1DB1-Normal11"/>
              <w:spacing w:before="120" w:after="120"/>
              <w:jc w:val="center"/>
              <w:rPr>
                <w:noProof/>
                <w:szCs w:val="20"/>
              </w:rPr>
            </w:pPr>
            <w:r>
              <w:rPr>
                <w:noProof/>
              </w:rPr>
              <w:t>17 700</w:t>
            </w:r>
          </w:p>
        </w:tc>
        <w:tc>
          <w:tcPr>
            <w:tcW w:w="850" w:type="dxa"/>
            <w:shd w:val="clear" w:color="auto" w:fill="C6EFCE"/>
            <w:vAlign w:val="center"/>
          </w:tcPr>
          <w:p w14:paraId="1803E132" w14:textId="77777777" w:rsidR="00327FF1" w:rsidRDefault="00E406C7">
            <w:pPr>
              <w:pStyle w:val="P68B1DB1-Normal11"/>
              <w:spacing w:before="120" w:after="120"/>
              <w:jc w:val="center"/>
              <w:rPr>
                <w:noProof/>
                <w:szCs w:val="20"/>
              </w:rPr>
            </w:pPr>
            <w:r>
              <w:rPr>
                <w:noProof/>
              </w:rPr>
              <w:t>2. CET.</w:t>
            </w:r>
          </w:p>
        </w:tc>
        <w:tc>
          <w:tcPr>
            <w:tcW w:w="709" w:type="dxa"/>
            <w:shd w:val="clear" w:color="auto" w:fill="C6EFCE"/>
            <w:vAlign w:val="center"/>
          </w:tcPr>
          <w:p w14:paraId="67E30125" w14:textId="77777777" w:rsidR="00327FF1" w:rsidRDefault="00E406C7">
            <w:pPr>
              <w:pStyle w:val="P68B1DB1-Normal11"/>
              <w:spacing w:before="120" w:after="120"/>
              <w:jc w:val="center"/>
              <w:rPr>
                <w:noProof/>
                <w:szCs w:val="20"/>
              </w:rPr>
            </w:pPr>
            <w:r>
              <w:rPr>
                <w:noProof/>
              </w:rPr>
              <w:t>2026</w:t>
            </w:r>
          </w:p>
        </w:tc>
        <w:tc>
          <w:tcPr>
            <w:tcW w:w="3232" w:type="dxa"/>
            <w:shd w:val="clear" w:color="auto" w:fill="C6EFCE"/>
            <w:vAlign w:val="center"/>
          </w:tcPr>
          <w:p w14:paraId="0AAFDB4F" w14:textId="77777777" w:rsidR="00327FF1" w:rsidRDefault="00E406C7">
            <w:pPr>
              <w:pStyle w:val="P68B1DB1-Normal11"/>
              <w:spacing w:before="120" w:after="120"/>
              <w:rPr>
                <w:noProof/>
                <w:szCs w:val="20"/>
              </w:rPr>
            </w:pPr>
            <w:r>
              <w:rPr>
                <w:noProof/>
              </w:rPr>
              <w:t>Vēl vismaz 9000 skolu un 8700 valsts veselības aprūpes iestāžu ir nodrošinātas ar vismaz 1 Gb/s savienojamību.</w:t>
            </w:r>
          </w:p>
        </w:tc>
      </w:tr>
      <w:tr w:rsidR="00327FF1" w14:paraId="1397F3B4" w14:textId="77777777">
        <w:trPr>
          <w:trHeight w:val="315"/>
        </w:trPr>
        <w:tc>
          <w:tcPr>
            <w:tcW w:w="1418" w:type="dxa"/>
            <w:shd w:val="clear" w:color="auto" w:fill="C6EFCE"/>
            <w:vAlign w:val="center"/>
          </w:tcPr>
          <w:p w14:paraId="37D966E3" w14:textId="77777777" w:rsidR="00327FF1" w:rsidRDefault="00E406C7">
            <w:pPr>
              <w:pStyle w:val="P68B1DB1-Normal11"/>
              <w:spacing w:before="120" w:after="120"/>
              <w:jc w:val="center"/>
              <w:rPr>
                <w:noProof/>
                <w:szCs w:val="20"/>
              </w:rPr>
            </w:pPr>
            <w:r>
              <w:rPr>
                <w:noProof/>
              </w:rPr>
              <w:t>M1C2–19</w:t>
            </w:r>
          </w:p>
        </w:tc>
        <w:tc>
          <w:tcPr>
            <w:tcW w:w="1985" w:type="dxa"/>
            <w:shd w:val="clear" w:color="auto" w:fill="C6EFCE"/>
            <w:vAlign w:val="center"/>
          </w:tcPr>
          <w:p w14:paraId="2A4CEABB" w14:textId="77777777" w:rsidR="00327FF1" w:rsidRDefault="00E406C7">
            <w:pPr>
              <w:pStyle w:val="P68B1DB1-Normal11"/>
              <w:spacing w:before="120" w:after="120"/>
              <w:jc w:val="center"/>
              <w:rPr>
                <w:noProof/>
                <w:szCs w:val="20"/>
              </w:rPr>
            </w:pPr>
            <w:r>
              <w:rPr>
                <w:noProof/>
              </w:rPr>
              <w:t>Ieguldījums Nr. 3: Ātrs interneta pieslēgums (Ultra-Broadband un 5G)</w:t>
            </w:r>
          </w:p>
        </w:tc>
        <w:tc>
          <w:tcPr>
            <w:tcW w:w="1275" w:type="dxa"/>
            <w:shd w:val="clear" w:color="auto" w:fill="C6EFCE"/>
            <w:vAlign w:val="center"/>
          </w:tcPr>
          <w:p w14:paraId="63D5E0B9" w14:textId="77777777" w:rsidR="00327FF1" w:rsidRDefault="00E406C7">
            <w:pPr>
              <w:pStyle w:val="P68B1DB1-Normal11"/>
              <w:spacing w:before="120" w:after="120"/>
              <w:jc w:val="center"/>
              <w:rPr>
                <w:noProof/>
                <w:szCs w:val="20"/>
              </w:rPr>
            </w:pPr>
            <w:r>
              <w:rPr>
                <w:noProof/>
              </w:rPr>
              <w:t>Mērķa</w:t>
            </w:r>
          </w:p>
        </w:tc>
        <w:tc>
          <w:tcPr>
            <w:tcW w:w="1276" w:type="dxa"/>
            <w:shd w:val="clear" w:color="auto" w:fill="C6EFCE"/>
            <w:vAlign w:val="center"/>
          </w:tcPr>
          <w:p w14:paraId="1F1AFC6A" w14:textId="77777777" w:rsidR="00327FF1" w:rsidRDefault="00E406C7">
            <w:pPr>
              <w:pStyle w:val="P68B1DB1-Normal11"/>
              <w:spacing w:before="120" w:after="120"/>
              <w:jc w:val="center"/>
              <w:rPr>
                <w:noProof/>
                <w:szCs w:val="20"/>
              </w:rPr>
            </w:pPr>
            <w:r>
              <w:rPr>
                <w:noProof/>
              </w:rPr>
              <w:t>Salas ar ultraplatjoslas savienojamību</w:t>
            </w:r>
          </w:p>
        </w:tc>
        <w:tc>
          <w:tcPr>
            <w:tcW w:w="1276" w:type="dxa"/>
            <w:shd w:val="clear" w:color="auto" w:fill="C6EFCE"/>
            <w:vAlign w:val="center"/>
          </w:tcPr>
          <w:p w14:paraId="695234DD" w14:textId="77777777" w:rsidR="00327FF1" w:rsidRDefault="00E406C7">
            <w:pPr>
              <w:pStyle w:val="P68B1DB1-Normal11"/>
              <w:spacing w:before="120" w:after="120"/>
              <w:jc w:val="center"/>
              <w:rPr>
                <w:noProof/>
                <w:szCs w:val="20"/>
              </w:rPr>
            </w:pPr>
            <w:r>
              <w:rPr>
                <w:noProof/>
              </w:rPr>
              <w:t>NEPIEMĒRO</w:t>
            </w:r>
          </w:p>
        </w:tc>
        <w:tc>
          <w:tcPr>
            <w:tcW w:w="1134" w:type="dxa"/>
            <w:shd w:val="clear" w:color="auto" w:fill="C6EFCE"/>
            <w:vAlign w:val="center"/>
          </w:tcPr>
          <w:p w14:paraId="11C2F1A2" w14:textId="77777777" w:rsidR="00327FF1" w:rsidRDefault="00E406C7">
            <w:pPr>
              <w:pStyle w:val="P68B1DB1-Normal11"/>
              <w:spacing w:before="120" w:after="120"/>
              <w:jc w:val="center"/>
              <w:rPr>
                <w:noProof/>
                <w:szCs w:val="20"/>
              </w:rPr>
            </w:pPr>
            <w:r>
              <w:rPr>
                <w:noProof/>
              </w:rPr>
              <w:t>Skaits</w:t>
            </w:r>
          </w:p>
        </w:tc>
        <w:tc>
          <w:tcPr>
            <w:tcW w:w="1163" w:type="dxa"/>
            <w:shd w:val="clear" w:color="auto" w:fill="C6EFCE"/>
            <w:vAlign w:val="center"/>
          </w:tcPr>
          <w:p w14:paraId="7EBC842D" w14:textId="77777777" w:rsidR="00327FF1" w:rsidRDefault="00E406C7">
            <w:pPr>
              <w:pStyle w:val="P68B1DB1-Normal11"/>
              <w:spacing w:before="120" w:after="120"/>
              <w:jc w:val="center"/>
              <w:rPr>
                <w:noProof/>
                <w:szCs w:val="20"/>
              </w:rPr>
            </w:pPr>
            <w:r>
              <w:rPr>
                <w:noProof/>
              </w:rPr>
              <w:t>0</w:t>
            </w:r>
          </w:p>
        </w:tc>
        <w:tc>
          <w:tcPr>
            <w:tcW w:w="992" w:type="dxa"/>
            <w:shd w:val="clear" w:color="auto" w:fill="C6EFCE"/>
            <w:vAlign w:val="center"/>
          </w:tcPr>
          <w:p w14:paraId="2127B89F" w14:textId="77777777" w:rsidR="00327FF1" w:rsidRDefault="00E406C7">
            <w:pPr>
              <w:pStyle w:val="P68B1DB1-Normal11"/>
              <w:spacing w:before="120" w:after="120"/>
              <w:jc w:val="center"/>
              <w:rPr>
                <w:noProof/>
                <w:szCs w:val="20"/>
              </w:rPr>
            </w:pPr>
            <w:r>
              <w:rPr>
                <w:noProof/>
              </w:rPr>
              <w:t>18</w:t>
            </w:r>
          </w:p>
        </w:tc>
        <w:tc>
          <w:tcPr>
            <w:tcW w:w="850" w:type="dxa"/>
            <w:shd w:val="clear" w:color="auto" w:fill="C6EFCE"/>
            <w:vAlign w:val="center"/>
          </w:tcPr>
          <w:p w14:paraId="0BE2726C" w14:textId="77777777" w:rsidR="00327FF1" w:rsidRDefault="00E406C7">
            <w:pPr>
              <w:pStyle w:val="P68B1DB1-Normal11"/>
              <w:spacing w:before="120" w:after="120"/>
              <w:jc w:val="center"/>
              <w:rPr>
                <w:noProof/>
                <w:szCs w:val="20"/>
              </w:rPr>
            </w:pPr>
            <w:r>
              <w:rPr>
                <w:noProof/>
              </w:rPr>
              <w:t>4. CET.</w:t>
            </w:r>
          </w:p>
        </w:tc>
        <w:tc>
          <w:tcPr>
            <w:tcW w:w="709" w:type="dxa"/>
            <w:shd w:val="clear" w:color="auto" w:fill="C6EFCE"/>
            <w:vAlign w:val="center"/>
          </w:tcPr>
          <w:p w14:paraId="094C57BA" w14:textId="77777777" w:rsidR="00327FF1" w:rsidRDefault="00E406C7">
            <w:pPr>
              <w:pStyle w:val="P68B1DB1-Normal11"/>
              <w:spacing w:before="120" w:after="120"/>
              <w:jc w:val="center"/>
              <w:rPr>
                <w:noProof/>
                <w:szCs w:val="20"/>
              </w:rPr>
            </w:pPr>
            <w:r>
              <w:rPr>
                <w:noProof/>
              </w:rPr>
              <w:t>2024</w:t>
            </w:r>
          </w:p>
        </w:tc>
        <w:tc>
          <w:tcPr>
            <w:tcW w:w="3232" w:type="dxa"/>
            <w:shd w:val="clear" w:color="auto" w:fill="C6EFCE"/>
            <w:vAlign w:val="center"/>
          </w:tcPr>
          <w:p w14:paraId="50CE40C7" w14:textId="77777777" w:rsidR="00327FF1" w:rsidRDefault="00E406C7">
            <w:pPr>
              <w:pStyle w:val="P68B1DB1-Normal11"/>
              <w:spacing w:before="120" w:after="120"/>
              <w:rPr>
                <w:noProof/>
                <w:szCs w:val="20"/>
              </w:rPr>
            </w:pPr>
            <w:r>
              <w:rPr>
                <w:noProof/>
              </w:rPr>
              <w:t xml:space="preserve">Vēl vismaz 18 salas, kurām nav optiskās šķiedras savienojumu ar kontinentu, nodrošina </w:t>
            </w:r>
            <w:r>
              <w:rPr>
                <w:noProof/>
              </w:rPr>
              <w:t>ultraplatjoslas savienojamību, izmantojot jaunu optisko atvilces maršrutēšanu.</w:t>
            </w:r>
          </w:p>
        </w:tc>
      </w:tr>
      <w:tr w:rsidR="00327FF1" w14:paraId="484C4603" w14:textId="77777777">
        <w:trPr>
          <w:trHeight w:val="315"/>
        </w:trPr>
        <w:tc>
          <w:tcPr>
            <w:tcW w:w="1418" w:type="dxa"/>
            <w:shd w:val="clear" w:color="auto" w:fill="C6EFCE"/>
            <w:vAlign w:val="center"/>
          </w:tcPr>
          <w:p w14:paraId="476CF8F6" w14:textId="77777777" w:rsidR="00327FF1" w:rsidRDefault="00E406C7">
            <w:pPr>
              <w:pStyle w:val="P68B1DB1-Normal11"/>
              <w:spacing w:before="120" w:after="120"/>
              <w:jc w:val="center"/>
              <w:rPr>
                <w:noProof/>
                <w:szCs w:val="20"/>
              </w:rPr>
            </w:pPr>
            <w:r>
              <w:rPr>
                <w:noProof/>
              </w:rPr>
              <w:t>M1C2–20</w:t>
            </w:r>
          </w:p>
        </w:tc>
        <w:tc>
          <w:tcPr>
            <w:tcW w:w="1985" w:type="dxa"/>
            <w:shd w:val="clear" w:color="auto" w:fill="C6EFCE"/>
            <w:vAlign w:val="center"/>
          </w:tcPr>
          <w:p w14:paraId="3A97D487" w14:textId="77777777" w:rsidR="00327FF1" w:rsidRDefault="00E406C7">
            <w:pPr>
              <w:pStyle w:val="P68B1DB1-Normal11"/>
              <w:spacing w:before="120" w:after="120"/>
              <w:jc w:val="center"/>
              <w:rPr>
                <w:noProof/>
                <w:szCs w:val="20"/>
              </w:rPr>
            </w:pPr>
            <w:r>
              <w:rPr>
                <w:noProof/>
              </w:rPr>
              <w:t>Ieguldījums Nr. 3: Ātrs interneta pieslēgums (Ultra-Broadband un 5G)</w:t>
            </w:r>
          </w:p>
        </w:tc>
        <w:tc>
          <w:tcPr>
            <w:tcW w:w="1275" w:type="dxa"/>
            <w:shd w:val="clear" w:color="auto" w:fill="C6EFCE"/>
            <w:vAlign w:val="center"/>
          </w:tcPr>
          <w:p w14:paraId="6DC10CBE" w14:textId="77777777" w:rsidR="00327FF1" w:rsidRDefault="00E406C7">
            <w:pPr>
              <w:pStyle w:val="P68B1DB1-Normal11"/>
              <w:spacing w:before="120" w:after="120"/>
              <w:jc w:val="center"/>
              <w:rPr>
                <w:noProof/>
                <w:szCs w:val="20"/>
              </w:rPr>
            </w:pPr>
            <w:r>
              <w:rPr>
                <w:noProof/>
              </w:rPr>
              <w:t>Mērķa</w:t>
            </w:r>
          </w:p>
        </w:tc>
        <w:tc>
          <w:tcPr>
            <w:tcW w:w="1276" w:type="dxa"/>
            <w:shd w:val="clear" w:color="auto" w:fill="C6EFCE"/>
            <w:vAlign w:val="center"/>
          </w:tcPr>
          <w:p w14:paraId="2212BCBA" w14:textId="77777777" w:rsidR="00327FF1" w:rsidRDefault="00E406C7">
            <w:pPr>
              <w:pStyle w:val="P68B1DB1-Normal11"/>
              <w:spacing w:before="120" w:after="120"/>
              <w:jc w:val="center"/>
              <w:rPr>
                <w:noProof/>
                <w:szCs w:val="20"/>
              </w:rPr>
            </w:pPr>
            <w:r>
              <w:rPr>
                <w:noProof/>
              </w:rPr>
              <w:t>Ārpuspilsētas ceļi un koridori, kuros ir 5G pārklājums</w:t>
            </w:r>
          </w:p>
        </w:tc>
        <w:tc>
          <w:tcPr>
            <w:tcW w:w="1276" w:type="dxa"/>
            <w:shd w:val="clear" w:color="auto" w:fill="C6EFCE"/>
            <w:vAlign w:val="center"/>
          </w:tcPr>
          <w:p w14:paraId="43DEEE08" w14:textId="77777777" w:rsidR="00327FF1" w:rsidRDefault="00E406C7">
            <w:pPr>
              <w:pStyle w:val="P68B1DB1-Normal11"/>
              <w:spacing w:before="120" w:after="120"/>
              <w:jc w:val="center"/>
              <w:rPr>
                <w:noProof/>
                <w:szCs w:val="20"/>
              </w:rPr>
            </w:pPr>
            <w:r>
              <w:rPr>
                <w:noProof/>
              </w:rPr>
              <w:t>NEPIEMĒRO</w:t>
            </w:r>
          </w:p>
        </w:tc>
        <w:tc>
          <w:tcPr>
            <w:tcW w:w="1134" w:type="dxa"/>
            <w:shd w:val="clear" w:color="auto" w:fill="C6EFCE"/>
            <w:vAlign w:val="center"/>
          </w:tcPr>
          <w:p w14:paraId="5A5E872A" w14:textId="77777777" w:rsidR="00327FF1" w:rsidRDefault="00E406C7">
            <w:pPr>
              <w:pStyle w:val="P68B1DB1-Normal11"/>
              <w:spacing w:before="120" w:after="120"/>
              <w:jc w:val="center"/>
              <w:rPr>
                <w:noProof/>
                <w:szCs w:val="20"/>
              </w:rPr>
            </w:pPr>
            <w:r>
              <w:rPr>
                <w:noProof/>
              </w:rPr>
              <w:t>Skaits</w:t>
            </w:r>
          </w:p>
        </w:tc>
        <w:tc>
          <w:tcPr>
            <w:tcW w:w="1163" w:type="dxa"/>
            <w:shd w:val="clear" w:color="auto" w:fill="C6EFCE"/>
            <w:vAlign w:val="center"/>
          </w:tcPr>
          <w:p w14:paraId="7774436D" w14:textId="77777777" w:rsidR="00327FF1" w:rsidRDefault="00E406C7">
            <w:pPr>
              <w:pStyle w:val="P68B1DB1-Normal11"/>
              <w:spacing w:before="120" w:after="120"/>
              <w:jc w:val="center"/>
              <w:rPr>
                <w:noProof/>
                <w:szCs w:val="20"/>
              </w:rPr>
            </w:pPr>
            <w:r>
              <w:rPr>
                <w:noProof/>
              </w:rPr>
              <w:t>0</w:t>
            </w:r>
          </w:p>
        </w:tc>
        <w:tc>
          <w:tcPr>
            <w:tcW w:w="992" w:type="dxa"/>
            <w:shd w:val="clear" w:color="auto" w:fill="C6EFCE"/>
            <w:vAlign w:val="center"/>
          </w:tcPr>
          <w:p w14:paraId="424B9F63" w14:textId="77777777" w:rsidR="00327FF1" w:rsidRDefault="00E406C7">
            <w:pPr>
              <w:pStyle w:val="P68B1DB1-Normal11"/>
              <w:spacing w:before="120" w:line="257" w:lineRule="auto"/>
              <w:jc w:val="center"/>
              <w:rPr>
                <w:noProof/>
                <w:szCs w:val="20"/>
              </w:rPr>
            </w:pPr>
            <w:r>
              <w:rPr>
                <w:noProof/>
              </w:rPr>
              <w:t>12 600</w:t>
            </w:r>
          </w:p>
        </w:tc>
        <w:tc>
          <w:tcPr>
            <w:tcW w:w="850" w:type="dxa"/>
            <w:shd w:val="clear" w:color="auto" w:fill="C6EFCE"/>
            <w:vAlign w:val="center"/>
          </w:tcPr>
          <w:p w14:paraId="6A2E7D4B" w14:textId="77777777" w:rsidR="00327FF1" w:rsidRDefault="00E406C7">
            <w:pPr>
              <w:pStyle w:val="P68B1DB1-Normal11"/>
              <w:spacing w:before="120" w:after="120"/>
              <w:jc w:val="center"/>
              <w:rPr>
                <w:noProof/>
                <w:szCs w:val="20"/>
              </w:rPr>
            </w:pPr>
            <w:r>
              <w:rPr>
                <w:noProof/>
              </w:rPr>
              <w:t>2. CET.</w:t>
            </w:r>
          </w:p>
        </w:tc>
        <w:tc>
          <w:tcPr>
            <w:tcW w:w="709" w:type="dxa"/>
            <w:shd w:val="clear" w:color="auto" w:fill="C6EFCE"/>
            <w:vAlign w:val="center"/>
          </w:tcPr>
          <w:p w14:paraId="14898868" w14:textId="77777777" w:rsidR="00327FF1" w:rsidRDefault="00E406C7">
            <w:pPr>
              <w:pStyle w:val="P68B1DB1-Normal11"/>
              <w:spacing w:before="120" w:after="120"/>
              <w:jc w:val="center"/>
              <w:rPr>
                <w:noProof/>
                <w:szCs w:val="20"/>
              </w:rPr>
            </w:pPr>
            <w:r>
              <w:rPr>
                <w:noProof/>
              </w:rPr>
              <w:t>2026</w:t>
            </w:r>
          </w:p>
        </w:tc>
        <w:tc>
          <w:tcPr>
            <w:tcW w:w="3232" w:type="dxa"/>
            <w:shd w:val="clear" w:color="auto" w:fill="C6EFCE"/>
            <w:vAlign w:val="center"/>
          </w:tcPr>
          <w:p w14:paraId="7B42AF4E" w14:textId="77777777" w:rsidR="00327FF1" w:rsidRDefault="00E406C7">
            <w:pPr>
              <w:pStyle w:val="P68B1DB1-Normal11"/>
              <w:spacing w:before="120" w:after="120"/>
              <w:rPr>
                <w:noProof/>
                <w:szCs w:val="20"/>
              </w:rPr>
            </w:pPr>
            <w:r>
              <w:rPr>
                <w:noProof/>
              </w:rPr>
              <w:t>Papildu 12 600 km ārpuspilsētas ceļu un koridoru, kuros ir 5G pārklājums.</w:t>
            </w:r>
          </w:p>
        </w:tc>
      </w:tr>
      <w:tr w:rsidR="00327FF1" w14:paraId="3AD10E37" w14:textId="77777777">
        <w:trPr>
          <w:trHeight w:val="315"/>
        </w:trPr>
        <w:tc>
          <w:tcPr>
            <w:tcW w:w="1418" w:type="dxa"/>
            <w:shd w:val="clear" w:color="auto" w:fill="C6EFCE"/>
            <w:vAlign w:val="center"/>
          </w:tcPr>
          <w:p w14:paraId="3126B28A" w14:textId="77777777" w:rsidR="00327FF1" w:rsidRDefault="00E406C7">
            <w:pPr>
              <w:pStyle w:val="P68B1DB1-Normal11"/>
              <w:spacing w:before="120" w:after="120"/>
              <w:jc w:val="center"/>
              <w:rPr>
                <w:noProof/>
                <w:szCs w:val="20"/>
              </w:rPr>
            </w:pPr>
            <w:r>
              <w:rPr>
                <w:noProof/>
              </w:rPr>
              <w:t>M1C2–21</w:t>
            </w:r>
          </w:p>
        </w:tc>
        <w:tc>
          <w:tcPr>
            <w:tcW w:w="1985" w:type="dxa"/>
            <w:shd w:val="clear" w:color="auto" w:fill="C6EFCE"/>
            <w:vAlign w:val="center"/>
          </w:tcPr>
          <w:p w14:paraId="349C1C9E" w14:textId="77777777" w:rsidR="00327FF1" w:rsidRDefault="00E406C7">
            <w:pPr>
              <w:pStyle w:val="P68B1DB1-Normal11"/>
              <w:spacing w:before="120" w:after="120"/>
              <w:jc w:val="center"/>
              <w:rPr>
                <w:noProof/>
                <w:szCs w:val="20"/>
              </w:rPr>
            </w:pPr>
            <w:r>
              <w:rPr>
                <w:noProof/>
              </w:rPr>
              <w:t>Ieguldījums Nr. 3: Ātrs interneta pieslēgums (Ultra-Broadband un 5G)</w:t>
            </w:r>
          </w:p>
        </w:tc>
        <w:tc>
          <w:tcPr>
            <w:tcW w:w="1275" w:type="dxa"/>
            <w:shd w:val="clear" w:color="auto" w:fill="C6EFCE"/>
            <w:vAlign w:val="center"/>
          </w:tcPr>
          <w:p w14:paraId="6402B3FC" w14:textId="77777777" w:rsidR="00327FF1" w:rsidRDefault="00E406C7">
            <w:pPr>
              <w:pStyle w:val="P68B1DB1-Normal11"/>
              <w:spacing w:before="120" w:after="120"/>
              <w:jc w:val="center"/>
              <w:rPr>
                <w:noProof/>
                <w:szCs w:val="20"/>
              </w:rPr>
            </w:pPr>
            <w:r>
              <w:rPr>
                <w:noProof/>
              </w:rPr>
              <w:t>Mērķa</w:t>
            </w:r>
          </w:p>
        </w:tc>
        <w:tc>
          <w:tcPr>
            <w:tcW w:w="1276" w:type="dxa"/>
            <w:shd w:val="clear" w:color="auto" w:fill="C6EFCE"/>
            <w:vAlign w:val="center"/>
          </w:tcPr>
          <w:p w14:paraId="56BFBB8A" w14:textId="77777777" w:rsidR="00327FF1" w:rsidRDefault="00E406C7">
            <w:pPr>
              <w:pStyle w:val="P68B1DB1-Normal11"/>
              <w:spacing w:before="120" w:after="120"/>
              <w:jc w:val="center"/>
              <w:rPr>
                <w:noProof/>
                <w:szCs w:val="20"/>
              </w:rPr>
            </w:pPr>
            <w:r>
              <w:rPr>
                <w:noProof/>
              </w:rPr>
              <w:t>Tirgus nepilnību jomas, kurās ir 5G pārklājums</w:t>
            </w:r>
          </w:p>
        </w:tc>
        <w:tc>
          <w:tcPr>
            <w:tcW w:w="1276" w:type="dxa"/>
            <w:shd w:val="clear" w:color="auto" w:fill="C6EFCE"/>
            <w:vAlign w:val="center"/>
          </w:tcPr>
          <w:p w14:paraId="148A73AE" w14:textId="77777777" w:rsidR="00327FF1" w:rsidRDefault="00E406C7">
            <w:pPr>
              <w:pStyle w:val="P68B1DB1-Normal11"/>
              <w:spacing w:before="120" w:after="120"/>
              <w:jc w:val="center"/>
              <w:rPr>
                <w:noProof/>
                <w:szCs w:val="20"/>
              </w:rPr>
            </w:pPr>
            <w:r>
              <w:rPr>
                <w:noProof/>
              </w:rPr>
              <w:t>NEPIEMĒRO</w:t>
            </w:r>
          </w:p>
        </w:tc>
        <w:tc>
          <w:tcPr>
            <w:tcW w:w="1134" w:type="dxa"/>
            <w:shd w:val="clear" w:color="auto" w:fill="C6EFCE"/>
            <w:vAlign w:val="center"/>
          </w:tcPr>
          <w:p w14:paraId="1E8485D2" w14:textId="77777777" w:rsidR="00327FF1" w:rsidRDefault="00E406C7">
            <w:pPr>
              <w:pStyle w:val="P68B1DB1-Normal11"/>
              <w:spacing w:before="120" w:after="120"/>
              <w:jc w:val="center"/>
              <w:rPr>
                <w:noProof/>
                <w:szCs w:val="20"/>
              </w:rPr>
            </w:pPr>
            <w:r>
              <w:rPr>
                <w:noProof/>
              </w:rPr>
              <w:t>Skaits</w:t>
            </w:r>
          </w:p>
        </w:tc>
        <w:tc>
          <w:tcPr>
            <w:tcW w:w="1163" w:type="dxa"/>
            <w:shd w:val="clear" w:color="auto" w:fill="C6EFCE"/>
            <w:vAlign w:val="center"/>
          </w:tcPr>
          <w:p w14:paraId="5D0E9830" w14:textId="77777777" w:rsidR="00327FF1" w:rsidRDefault="00E406C7">
            <w:pPr>
              <w:pStyle w:val="P68B1DB1-Normal11"/>
              <w:spacing w:before="120" w:after="120"/>
              <w:jc w:val="center"/>
              <w:rPr>
                <w:noProof/>
                <w:szCs w:val="20"/>
              </w:rPr>
            </w:pPr>
            <w:r>
              <w:rPr>
                <w:noProof/>
              </w:rPr>
              <w:t>0</w:t>
            </w:r>
          </w:p>
        </w:tc>
        <w:tc>
          <w:tcPr>
            <w:tcW w:w="992" w:type="dxa"/>
            <w:shd w:val="clear" w:color="auto" w:fill="C6EFCE"/>
            <w:vAlign w:val="center"/>
          </w:tcPr>
          <w:p w14:paraId="13F14D8B" w14:textId="77777777" w:rsidR="00327FF1" w:rsidRDefault="00E406C7">
            <w:pPr>
              <w:pStyle w:val="P68B1DB1-Normal11"/>
              <w:spacing w:before="120" w:after="120"/>
              <w:jc w:val="center"/>
              <w:rPr>
                <w:noProof/>
                <w:szCs w:val="20"/>
              </w:rPr>
            </w:pPr>
            <w:r>
              <w:rPr>
                <w:noProof/>
              </w:rPr>
              <w:t>1 400</w:t>
            </w:r>
          </w:p>
        </w:tc>
        <w:tc>
          <w:tcPr>
            <w:tcW w:w="850" w:type="dxa"/>
            <w:shd w:val="clear" w:color="auto" w:fill="C6EFCE"/>
            <w:vAlign w:val="center"/>
          </w:tcPr>
          <w:p w14:paraId="2B389AC0" w14:textId="77777777" w:rsidR="00327FF1" w:rsidRDefault="00E406C7">
            <w:pPr>
              <w:pStyle w:val="P68B1DB1-Normal11"/>
              <w:spacing w:before="120" w:after="120"/>
              <w:jc w:val="center"/>
              <w:rPr>
                <w:noProof/>
                <w:szCs w:val="20"/>
              </w:rPr>
            </w:pPr>
            <w:r>
              <w:rPr>
                <w:noProof/>
              </w:rPr>
              <w:t>2. CET.</w:t>
            </w:r>
          </w:p>
        </w:tc>
        <w:tc>
          <w:tcPr>
            <w:tcW w:w="709" w:type="dxa"/>
            <w:shd w:val="clear" w:color="auto" w:fill="C6EFCE"/>
            <w:vAlign w:val="center"/>
          </w:tcPr>
          <w:p w14:paraId="359575A4" w14:textId="77777777" w:rsidR="00327FF1" w:rsidRDefault="00E406C7">
            <w:pPr>
              <w:pStyle w:val="P68B1DB1-Normal11"/>
              <w:spacing w:before="120" w:after="120"/>
              <w:jc w:val="center"/>
              <w:rPr>
                <w:noProof/>
                <w:szCs w:val="20"/>
              </w:rPr>
            </w:pPr>
            <w:r>
              <w:rPr>
                <w:noProof/>
              </w:rPr>
              <w:t>2026</w:t>
            </w:r>
          </w:p>
        </w:tc>
        <w:tc>
          <w:tcPr>
            <w:tcW w:w="3232" w:type="dxa"/>
            <w:shd w:val="clear" w:color="auto" w:fill="C6EFCE"/>
            <w:vAlign w:val="center"/>
          </w:tcPr>
          <w:p w14:paraId="41CEEFC4" w14:textId="77777777" w:rsidR="00327FF1" w:rsidRDefault="00E406C7">
            <w:pPr>
              <w:pStyle w:val="P68B1DB1-Normal11"/>
              <w:spacing w:before="120" w:after="120"/>
              <w:rPr>
                <w:noProof/>
                <w:szCs w:val="20"/>
              </w:rPr>
            </w:pPr>
            <w:r>
              <w:rPr>
                <w:noProof/>
              </w:rPr>
              <w:t xml:space="preserve">Vēl vismaz </w:t>
            </w:r>
            <w:r>
              <w:rPr>
                <w:noProof/>
              </w:rPr>
              <w:t>1400 kvadrātkilometru tirgus nepilnību apdzīvotu teritoriju, kurās ir 5G pārklājums, no kuriem vismaz 500 kvadrātkilometru nodrošina 5G pārklājumu.</w:t>
            </w:r>
          </w:p>
        </w:tc>
      </w:tr>
      <w:tr w:rsidR="00327FF1" w14:paraId="4936033D" w14:textId="77777777">
        <w:trPr>
          <w:trHeight w:val="315"/>
        </w:trPr>
        <w:tc>
          <w:tcPr>
            <w:tcW w:w="1418" w:type="dxa"/>
            <w:shd w:val="clear" w:color="auto" w:fill="C6EFCE"/>
            <w:vAlign w:val="center"/>
          </w:tcPr>
          <w:p w14:paraId="011B2FEC" w14:textId="77777777" w:rsidR="00327FF1" w:rsidRDefault="00E406C7">
            <w:pPr>
              <w:pStyle w:val="P68B1DB1-Normal11"/>
              <w:spacing w:before="120" w:after="120"/>
              <w:jc w:val="center"/>
              <w:rPr>
                <w:noProof/>
                <w:szCs w:val="20"/>
              </w:rPr>
            </w:pPr>
            <w:r>
              <w:rPr>
                <w:noProof/>
              </w:rPr>
              <w:t>M1C2–22</w:t>
            </w:r>
          </w:p>
        </w:tc>
        <w:tc>
          <w:tcPr>
            <w:tcW w:w="1985" w:type="dxa"/>
            <w:shd w:val="clear" w:color="auto" w:fill="C6EFCE"/>
            <w:vAlign w:val="center"/>
          </w:tcPr>
          <w:p w14:paraId="0B0A1F58" w14:textId="77777777" w:rsidR="00327FF1" w:rsidRDefault="00E406C7">
            <w:pPr>
              <w:pStyle w:val="P68B1DB1-Normal11"/>
              <w:spacing w:before="120" w:after="120"/>
              <w:jc w:val="center"/>
              <w:rPr>
                <w:noProof/>
                <w:szCs w:val="20"/>
              </w:rPr>
            </w:pPr>
            <w:r>
              <w:rPr>
                <w:noProof/>
              </w:rPr>
              <w:t>Ieguldījums Nr. 4: Satelītu tehnoloģijas un kosmosa ekonomika</w:t>
            </w:r>
          </w:p>
        </w:tc>
        <w:tc>
          <w:tcPr>
            <w:tcW w:w="1275" w:type="dxa"/>
            <w:shd w:val="clear" w:color="auto" w:fill="C6EFCE"/>
            <w:vAlign w:val="center"/>
          </w:tcPr>
          <w:p w14:paraId="1E6125B3" w14:textId="77777777" w:rsidR="00327FF1" w:rsidRDefault="00E406C7">
            <w:pPr>
              <w:pStyle w:val="P68B1DB1-Normal11"/>
              <w:spacing w:before="120" w:after="120"/>
              <w:jc w:val="center"/>
              <w:rPr>
                <w:noProof/>
                <w:szCs w:val="20"/>
              </w:rPr>
            </w:pPr>
            <w:r>
              <w:rPr>
                <w:noProof/>
              </w:rPr>
              <w:t>Atskaites punkts</w:t>
            </w:r>
          </w:p>
        </w:tc>
        <w:tc>
          <w:tcPr>
            <w:tcW w:w="1276" w:type="dxa"/>
            <w:shd w:val="clear" w:color="auto" w:fill="C6EFCE"/>
            <w:vAlign w:val="center"/>
          </w:tcPr>
          <w:p w14:paraId="0FF001E2" w14:textId="77777777" w:rsidR="00327FF1" w:rsidRDefault="00E406C7">
            <w:pPr>
              <w:pStyle w:val="P68B1DB1-Normal11"/>
              <w:spacing w:before="120" w:after="120"/>
              <w:jc w:val="center"/>
              <w:rPr>
                <w:noProof/>
                <w:szCs w:val="20"/>
              </w:rPr>
            </w:pPr>
            <w:r>
              <w:rPr>
                <w:noProof/>
              </w:rPr>
              <w:t>Visu publisko līgumu</w:t>
            </w:r>
            <w:r>
              <w:rPr>
                <w:noProof/>
              </w:rPr>
              <w:t xml:space="preserve"> slēgšanas tiesību piešķiršana satelīttehnoloģiju un kosmosa projektiem</w:t>
            </w:r>
          </w:p>
        </w:tc>
        <w:tc>
          <w:tcPr>
            <w:tcW w:w="1276" w:type="dxa"/>
            <w:shd w:val="clear" w:color="auto" w:fill="C6EFCE"/>
            <w:vAlign w:val="center"/>
          </w:tcPr>
          <w:p w14:paraId="0584FFA1" w14:textId="77777777" w:rsidR="00327FF1" w:rsidRDefault="00E406C7">
            <w:pPr>
              <w:pStyle w:val="P68B1DB1-Normal11"/>
              <w:spacing w:before="120" w:after="120"/>
              <w:jc w:val="center"/>
              <w:rPr>
                <w:noProof/>
                <w:szCs w:val="20"/>
              </w:rPr>
            </w:pPr>
            <w:r>
              <w:rPr>
                <w:noProof/>
              </w:rPr>
              <w:t>Paziņojums par visu valsts līgumu slēgšanas tiesību piešķiršanu satelīttehnoloģiju un kosmosa projektiem</w:t>
            </w:r>
          </w:p>
        </w:tc>
        <w:tc>
          <w:tcPr>
            <w:tcW w:w="1134" w:type="dxa"/>
            <w:shd w:val="clear" w:color="auto" w:fill="C6EFCE"/>
            <w:vAlign w:val="center"/>
          </w:tcPr>
          <w:p w14:paraId="5A4F6804" w14:textId="77777777" w:rsidR="00327FF1" w:rsidRDefault="00E406C7">
            <w:pPr>
              <w:pStyle w:val="P68B1DB1-Normal11"/>
              <w:spacing w:before="120" w:after="120"/>
              <w:jc w:val="center"/>
              <w:rPr>
                <w:noProof/>
                <w:szCs w:val="20"/>
              </w:rPr>
            </w:pPr>
            <w:r>
              <w:rPr>
                <w:noProof/>
              </w:rPr>
              <w:t>NEPIEMĒRO</w:t>
            </w:r>
          </w:p>
        </w:tc>
        <w:tc>
          <w:tcPr>
            <w:tcW w:w="1163" w:type="dxa"/>
            <w:shd w:val="clear" w:color="auto" w:fill="C6EFCE"/>
            <w:vAlign w:val="center"/>
          </w:tcPr>
          <w:p w14:paraId="33563D34" w14:textId="77777777" w:rsidR="00327FF1" w:rsidRDefault="00E406C7">
            <w:pPr>
              <w:pStyle w:val="P68B1DB1-Normal11"/>
              <w:spacing w:before="120" w:after="120"/>
              <w:jc w:val="center"/>
              <w:rPr>
                <w:noProof/>
                <w:szCs w:val="20"/>
              </w:rPr>
            </w:pPr>
            <w:r>
              <w:rPr>
                <w:noProof/>
              </w:rPr>
              <w:t>NEPIEMĒRO</w:t>
            </w:r>
          </w:p>
        </w:tc>
        <w:tc>
          <w:tcPr>
            <w:tcW w:w="992" w:type="dxa"/>
            <w:shd w:val="clear" w:color="auto" w:fill="C6EFCE"/>
            <w:vAlign w:val="center"/>
          </w:tcPr>
          <w:p w14:paraId="0E76CAA9" w14:textId="77777777" w:rsidR="00327FF1" w:rsidRDefault="00E406C7">
            <w:pPr>
              <w:pStyle w:val="P68B1DB1-Normal11"/>
              <w:spacing w:before="120" w:after="120"/>
              <w:jc w:val="center"/>
              <w:rPr>
                <w:noProof/>
                <w:szCs w:val="20"/>
              </w:rPr>
            </w:pPr>
            <w:r>
              <w:rPr>
                <w:noProof/>
              </w:rPr>
              <w:t>NEPIEMĒRO</w:t>
            </w:r>
          </w:p>
        </w:tc>
        <w:tc>
          <w:tcPr>
            <w:tcW w:w="850" w:type="dxa"/>
            <w:shd w:val="clear" w:color="auto" w:fill="C6EFCE"/>
            <w:vAlign w:val="center"/>
          </w:tcPr>
          <w:p w14:paraId="7E4975E8" w14:textId="77777777" w:rsidR="00327FF1" w:rsidRDefault="00E406C7">
            <w:pPr>
              <w:pStyle w:val="P68B1DB1-Normal11"/>
              <w:spacing w:before="120" w:after="120"/>
              <w:jc w:val="center"/>
              <w:rPr>
                <w:noProof/>
                <w:szCs w:val="20"/>
              </w:rPr>
            </w:pPr>
            <w:r>
              <w:rPr>
                <w:noProof/>
              </w:rPr>
              <w:t>Q1</w:t>
            </w:r>
          </w:p>
        </w:tc>
        <w:tc>
          <w:tcPr>
            <w:tcW w:w="709" w:type="dxa"/>
            <w:shd w:val="clear" w:color="auto" w:fill="C6EFCE"/>
            <w:vAlign w:val="center"/>
          </w:tcPr>
          <w:p w14:paraId="633D2E2E" w14:textId="77777777" w:rsidR="00327FF1" w:rsidRDefault="00E406C7">
            <w:pPr>
              <w:pStyle w:val="P68B1DB1-Normal11"/>
              <w:spacing w:before="120" w:after="120"/>
              <w:jc w:val="center"/>
              <w:rPr>
                <w:noProof/>
                <w:szCs w:val="20"/>
              </w:rPr>
            </w:pPr>
            <w:r>
              <w:rPr>
                <w:noProof/>
              </w:rPr>
              <w:t>2023</w:t>
            </w:r>
          </w:p>
        </w:tc>
        <w:tc>
          <w:tcPr>
            <w:tcW w:w="3232" w:type="dxa"/>
            <w:shd w:val="clear" w:color="auto" w:fill="C6EFCE"/>
            <w:vAlign w:val="center"/>
          </w:tcPr>
          <w:p w14:paraId="3D217FF1" w14:textId="77777777" w:rsidR="00327FF1" w:rsidRDefault="00E406C7">
            <w:pPr>
              <w:pStyle w:val="P68B1DB1-Normal11"/>
              <w:spacing w:before="120" w:after="120"/>
              <w:rPr>
                <w:noProof/>
                <w:szCs w:val="20"/>
              </w:rPr>
            </w:pPr>
            <w:r>
              <w:rPr>
                <w:noProof/>
              </w:rPr>
              <w:t xml:space="preserve">Paziņojums par visu publisko līgumu </w:t>
            </w:r>
            <w:r>
              <w:rPr>
                <w:noProof/>
              </w:rPr>
              <w:t>slēgšanas tiesību piešķiršanu satelīttehnoloģiju un kosmosa projektiem, kas sastāv no i) Satcom, ii) Zemes novērošanas, iii) kosmosa rūpnīcas un iv) orbītas ekonomikas.</w:t>
            </w:r>
          </w:p>
        </w:tc>
      </w:tr>
      <w:tr w:rsidR="00327FF1" w14:paraId="7D2AE63D" w14:textId="77777777">
        <w:trPr>
          <w:trHeight w:val="315"/>
        </w:trPr>
        <w:tc>
          <w:tcPr>
            <w:tcW w:w="1418" w:type="dxa"/>
            <w:shd w:val="clear" w:color="auto" w:fill="C6EFCE"/>
            <w:vAlign w:val="center"/>
          </w:tcPr>
          <w:p w14:paraId="382707F6" w14:textId="77777777" w:rsidR="00327FF1" w:rsidRDefault="00E406C7">
            <w:pPr>
              <w:pStyle w:val="P68B1DB1-Normal12"/>
              <w:spacing w:before="120" w:after="120"/>
              <w:jc w:val="center"/>
              <w:rPr>
                <w:noProof/>
              </w:rPr>
            </w:pPr>
            <w:r>
              <w:rPr>
                <w:noProof/>
              </w:rPr>
              <w:t>M1C2–23 bis</w:t>
            </w:r>
          </w:p>
        </w:tc>
        <w:tc>
          <w:tcPr>
            <w:tcW w:w="1985" w:type="dxa"/>
            <w:shd w:val="clear" w:color="auto" w:fill="C6EFCE"/>
            <w:vAlign w:val="center"/>
          </w:tcPr>
          <w:p w14:paraId="4C69492D" w14:textId="77777777" w:rsidR="00327FF1" w:rsidRDefault="00E406C7">
            <w:pPr>
              <w:pStyle w:val="P68B1DB1-Normal11"/>
              <w:spacing w:before="120" w:after="120"/>
              <w:jc w:val="center"/>
              <w:rPr>
                <w:noProof/>
              </w:rPr>
            </w:pPr>
            <w:r>
              <w:rPr>
                <w:noProof/>
              </w:rPr>
              <w:t>Ieguldījums Nr. 4: Satelītu tehnoloģijas un kosmosa ekonomika</w:t>
            </w:r>
          </w:p>
        </w:tc>
        <w:tc>
          <w:tcPr>
            <w:tcW w:w="1275" w:type="dxa"/>
            <w:shd w:val="clear" w:color="auto" w:fill="C6EFCE"/>
            <w:vAlign w:val="center"/>
          </w:tcPr>
          <w:p w14:paraId="7E2910E5" w14:textId="77777777" w:rsidR="00327FF1" w:rsidRDefault="00E406C7">
            <w:pPr>
              <w:pStyle w:val="P68B1DB1-Normal11"/>
              <w:spacing w:before="120" w:after="120"/>
              <w:jc w:val="center"/>
              <w:rPr>
                <w:noProof/>
              </w:rPr>
            </w:pPr>
            <w:r>
              <w:rPr>
                <w:noProof/>
              </w:rPr>
              <w:t xml:space="preserve">Atskaites </w:t>
            </w:r>
            <w:r>
              <w:rPr>
                <w:noProof/>
              </w:rPr>
              <w:t>punkts</w:t>
            </w:r>
          </w:p>
        </w:tc>
        <w:tc>
          <w:tcPr>
            <w:tcW w:w="1276" w:type="dxa"/>
            <w:shd w:val="clear" w:color="auto" w:fill="C6EFCE"/>
            <w:vAlign w:val="center"/>
          </w:tcPr>
          <w:p w14:paraId="087A2153" w14:textId="707F9726" w:rsidR="00327FF1" w:rsidRDefault="00E406C7">
            <w:pPr>
              <w:pStyle w:val="P68B1DB1-Normal11"/>
              <w:spacing w:before="120" w:after="120"/>
              <w:jc w:val="center"/>
              <w:rPr>
                <w:noProof/>
              </w:rPr>
            </w:pPr>
            <w:r>
              <w:rPr>
                <w:noProof/>
              </w:rPr>
              <w:t>Ssatellite tehnoloģiju un kosmosa projekti</w:t>
            </w:r>
          </w:p>
        </w:tc>
        <w:tc>
          <w:tcPr>
            <w:tcW w:w="1276" w:type="dxa"/>
            <w:shd w:val="clear" w:color="auto" w:fill="C6EFCE"/>
            <w:vAlign w:val="center"/>
          </w:tcPr>
          <w:p w14:paraId="505D11A4" w14:textId="69D69300" w:rsidR="00327FF1" w:rsidRDefault="00E406C7">
            <w:pPr>
              <w:pStyle w:val="P68B1DB1-Normal11"/>
              <w:spacing w:before="120" w:after="120"/>
              <w:jc w:val="center"/>
              <w:rPr>
                <w:noProof/>
              </w:rPr>
            </w:pPr>
            <w:r>
              <w:rPr>
                <w:noProof/>
              </w:rPr>
              <w:t>Galīgie ziņojumi par satelīttehnoloģiju un kosmosa projektiem un nodošanas pierādījums</w:t>
            </w:r>
          </w:p>
        </w:tc>
        <w:tc>
          <w:tcPr>
            <w:tcW w:w="1134" w:type="dxa"/>
            <w:shd w:val="clear" w:color="auto" w:fill="C6EFCE"/>
            <w:vAlign w:val="center"/>
          </w:tcPr>
          <w:p w14:paraId="1D7AAC07" w14:textId="77777777" w:rsidR="00327FF1" w:rsidRDefault="00E406C7">
            <w:pPr>
              <w:pStyle w:val="P68B1DB1-Normal11"/>
              <w:spacing w:before="120" w:after="120"/>
              <w:jc w:val="center"/>
              <w:rPr>
                <w:noProof/>
              </w:rPr>
            </w:pPr>
            <w:r>
              <w:rPr>
                <w:noProof/>
              </w:rPr>
              <w:t>NEPIEMĒRO</w:t>
            </w:r>
          </w:p>
        </w:tc>
        <w:tc>
          <w:tcPr>
            <w:tcW w:w="1163" w:type="dxa"/>
            <w:shd w:val="clear" w:color="auto" w:fill="C6EFCE"/>
            <w:vAlign w:val="center"/>
          </w:tcPr>
          <w:p w14:paraId="06264E28" w14:textId="77777777" w:rsidR="00327FF1" w:rsidRDefault="00E406C7">
            <w:pPr>
              <w:pStyle w:val="P68B1DB1-Normal11"/>
              <w:spacing w:before="120" w:after="120"/>
              <w:jc w:val="center"/>
              <w:rPr>
                <w:noProof/>
              </w:rPr>
            </w:pPr>
            <w:r>
              <w:rPr>
                <w:noProof/>
              </w:rPr>
              <w:t>NEPIEMĒRO</w:t>
            </w:r>
          </w:p>
        </w:tc>
        <w:tc>
          <w:tcPr>
            <w:tcW w:w="992" w:type="dxa"/>
            <w:shd w:val="clear" w:color="auto" w:fill="C6EFCE"/>
            <w:vAlign w:val="center"/>
          </w:tcPr>
          <w:p w14:paraId="0690FE32" w14:textId="77777777" w:rsidR="00327FF1" w:rsidRDefault="00E406C7">
            <w:pPr>
              <w:pStyle w:val="P68B1DB1-Normal11"/>
              <w:spacing w:before="120" w:after="120"/>
              <w:jc w:val="center"/>
              <w:rPr>
                <w:noProof/>
              </w:rPr>
            </w:pPr>
            <w:r>
              <w:rPr>
                <w:noProof/>
              </w:rPr>
              <w:t>NEPIEMĒRO</w:t>
            </w:r>
          </w:p>
        </w:tc>
        <w:tc>
          <w:tcPr>
            <w:tcW w:w="850" w:type="dxa"/>
            <w:shd w:val="clear" w:color="auto" w:fill="C6EFCE"/>
            <w:vAlign w:val="center"/>
          </w:tcPr>
          <w:p w14:paraId="03747758" w14:textId="77777777" w:rsidR="00327FF1" w:rsidRDefault="00E406C7">
            <w:pPr>
              <w:pStyle w:val="P68B1DB1-Normal11"/>
              <w:spacing w:before="120" w:after="120"/>
              <w:jc w:val="center"/>
              <w:rPr>
                <w:noProof/>
              </w:rPr>
            </w:pPr>
            <w:r>
              <w:rPr>
                <w:noProof/>
              </w:rPr>
              <w:t>2. CET.</w:t>
            </w:r>
          </w:p>
        </w:tc>
        <w:tc>
          <w:tcPr>
            <w:tcW w:w="709" w:type="dxa"/>
            <w:shd w:val="clear" w:color="auto" w:fill="C6EFCE"/>
            <w:vAlign w:val="center"/>
          </w:tcPr>
          <w:p w14:paraId="261320C5" w14:textId="77777777" w:rsidR="00327FF1" w:rsidRDefault="00E406C7">
            <w:pPr>
              <w:pStyle w:val="P68B1DB1-Normal11"/>
              <w:spacing w:before="120" w:after="120"/>
              <w:jc w:val="center"/>
              <w:rPr>
                <w:noProof/>
              </w:rPr>
            </w:pPr>
            <w:r>
              <w:rPr>
                <w:noProof/>
              </w:rPr>
              <w:t>2026</w:t>
            </w:r>
          </w:p>
        </w:tc>
        <w:tc>
          <w:tcPr>
            <w:tcW w:w="3232" w:type="dxa"/>
            <w:shd w:val="clear" w:color="auto" w:fill="C6EFCE"/>
            <w:vAlign w:val="center"/>
          </w:tcPr>
          <w:p w14:paraId="46DCE914" w14:textId="4208D90E" w:rsidR="00327FF1" w:rsidRDefault="00E406C7">
            <w:pPr>
              <w:pStyle w:val="P68B1DB1-Normal12"/>
              <w:spacing w:before="120" w:after="120"/>
              <w:rPr>
                <w:noProof/>
              </w:rPr>
            </w:pPr>
            <w:r>
              <w:rPr>
                <w:noProof/>
              </w:rPr>
              <w:t xml:space="preserve">Nobeiguma ziņojumi tiek sniegti par šādām darbībām: </w:t>
            </w:r>
          </w:p>
          <w:p w14:paraId="23E670FF" w14:textId="77777777" w:rsidR="00327FF1" w:rsidRDefault="00E406C7">
            <w:pPr>
              <w:pStyle w:val="P68B1DB1-Normal12"/>
              <w:spacing w:before="120" w:after="120"/>
              <w:ind w:left="313" w:hanging="313"/>
              <w:rPr>
                <w:noProof/>
              </w:rPr>
            </w:pPr>
            <w:r>
              <w:rPr>
                <w:noProof/>
              </w:rPr>
              <w:t>1.</w:t>
            </w:r>
            <w:r>
              <w:rPr>
                <w:noProof/>
              </w:rPr>
              <w:tab/>
            </w:r>
            <w:r>
              <w:rPr>
                <w:noProof/>
              </w:rPr>
              <w:t xml:space="preserve">SATCOM: tādu divējāda lietojuma tehnoloģiju un sistēmu izveide, kas izmantojamas, lai sniegtu ļoti drošus satelītsakaru pakalpojumus valdības vajadzībām. </w:t>
            </w:r>
          </w:p>
          <w:p w14:paraId="5A899A1C" w14:textId="6D44BCB4" w:rsidR="00327FF1" w:rsidRDefault="00E406C7">
            <w:pPr>
              <w:spacing w:before="120" w:after="120"/>
              <w:ind w:left="313" w:hanging="313"/>
              <w:rPr>
                <w:rFonts w:ascii="Arial Narrow" w:hAnsi="Arial Narrow"/>
                <w:noProof/>
                <w:color w:val="006100"/>
                <w:sz w:val="20"/>
                <w:szCs w:val="20"/>
              </w:rPr>
            </w:pPr>
            <w:r>
              <w:rPr>
                <w:rFonts w:ascii="Arial Narrow" w:hAnsi="Arial Narrow"/>
                <w:noProof/>
                <w:color w:val="006100"/>
                <w:sz w:val="20"/>
                <w:szCs w:val="20"/>
              </w:rPr>
              <w:t>2.</w:t>
            </w:r>
            <w:r>
              <w:rPr>
                <w:noProof/>
              </w:rPr>
              <w:tab/>
            </w:r>
            <w:r>
              <w:rPr>
                <w:rFonts w:ascii="Arial Narrow" w:hAnsi="Arial Narrow"/>
                <w:noProof/>
                <w:color w:val="006100"/>
                <w:sz w:val="20"/>
                <w:szCs w:val="20"/>
              </w:rPr>
              <w:t xml:space="preserve">Projektu “Zemes novērošana (EO)”, kas ietver i) augšupējas darbības, tostarp tālizpētei paredzētu </w:t>
            </w:r>
            <w:r>
              <w:rPr>
                <w:rFonts w:ascii="Arial Narrow" w:hAnsi="Arial Narrow"/>
                <w:noProof/>
                <w:color w:val="006100"/>
                <w:sz w:val="20"/>
                <w:szCs w:val="20"/>
              </w:rPr>
              <w:t>konstelāciju daudzsensoru konstelāciju (Synthetic Aperture Raddar (SAR), hiperspektrāls, optisks) specifikācija, projektēšana, ražošana un palaišana, kas vērsta uz zemes, jūras un atmosfēras monitoringu; vismaz viena konstelācija vai konstelāciju koncepcij</w:t>
            </w:r>
            <w:r>
              <w:rPr>
                <w:rFonts w:ascii="Arial Narrow" w:hAnsi="Arial Narrow"/>
                <w:noProof/>
                <w:color w:val="006100"/>
                <w:sz w:val="20"/>
                <w:szCs w:val="20"/>
              </w:rPr>
              <w:t>as pierādījums ir orbītā (ii) pakārtotas darbības: Cyber Italy Project, Marketplace un saistītie pakalpojumi.</w:t>
            </w:r>
          </w:p>
          <w:p w14:paraId="6BEA1C34" w14:textId="77777777" w:rsidR="00327FF1" w:rsidRDefault="00E406C7">
            <w:pPr>
              <w:pStyle w:val="P68B1DB1-Normal12"/>
              <w:spacing w:before="120" w:after="120"/>
              <w:ind w:left="313" w:hanging="313"/>
              <w:rPr>
                <w:noProof/>
              </w:rPr>
            </w:pPr>
            <w:r>
              <w:rPr>
                <w:noProof/>
              </w:rPr>
              <w:t>3.</w:t>
            </w:r>
            <w:r>
              <w:rPr>
                <w:noProof/>
              </w:rPr>
              <w:tab/>
              <w:t>Projektu “Kosmosa rūpnīca”, kas ietver divus apakšprojektus, t. i., kosmiskā fabrika 4.0: (integrētās līnijas mazo satelītu ražošanai, montāžai</w:t>
            </w:r>
            <w:r>
              <w:rPr>
                <w:noProof/>
              </w:rPr>
              <w:t>, integrācijai un testēšanai (M-AIT)); piekļuve kosmosam: Pētniecība un izstrāde un prototipu izstrāde videi nekaitīgu tehnoloģiju ieviešanai nākamās paaudzes dzinējiem un nesējraķetēm.</w:t>
            </w:r>
          </w:p>
          <w:p w14:paraId="667FA26A" w14:textId="01082694" w:rsidR="00327FF1" w:rsidRDefault="00E406C7">
            <w:pPr>
              <w:spacing w:before="120" w:after="120"/>
              <w:ind w:left="313" w:hanging="313"/>
              <w:rPr>
                <w:rFonts w:ascii="Arial Narrow" w:hAnsi="Arial Narrow"/>
                <w:noProof/>
                <w:color w:val="006100"/>
                <w:sz w:val="20"/>
                <w:szCs w:val="20"/>
              </w:rPr>
            </w:pPr>
            <w:r>
              <w:rPr>
                <w:rFonts w:ascii="Arial Narrow" w:hAnsi="Arial Narrow"/>
                <w:noProof/>
                <w:color w:val="006100"/>
                <w:sz w:val="20"/>
                <w:szCs w:val="20"/>
              </w:rPr>
              <w:t>4.</w:t>
            </w:r>
            <w:r>
              <w:rPr>
                <w:noProof/>
              </w:rPr>
              <w:tab/>
            </w:r>
            <w:r>
              <w:rPr>
                <w:rFonts w:ascii="Arial Narrow" w:hAnsi="Arial Narrow"/>
                <w:noProof/>
                <w:color w:val="006100"/>
                <w:sz w:val="20"/>
                <w:szCs w:val="20"/>
              </w:rPr>
              <w:t>Orbītā notiekošā ekonomika: darbības demonstratoram orbītā apkalpoš</w:t>
            </w:r>
            <w:r>
              <w:rPr>
                <w:rFonts w:ascii="Arial Narrow" w:hAnsi="Arial Narrow"/>
                <w:noProof/>
                <w:color w:val="006100"/>
                <w:sz w:val="20"/>
                <w:szCs w:val="20"/>
              </w:rPr>
              <w:t>anas tehnoloģijām; valsts kosmisko objektu novērošanas un uzraudzības (SST) jaudas palielināšana; aktīvu projektēšana un ražošana datu pakalpojumu iegādei, pārvaldībai un sniegšanai kosmosa satiksmes pārvaldības darbību atbalstam.</w:t>
            </w:r>
          </w:p>
          <w:p w14:paraId="0F48F6A6" w14:textId="773CA1B3" w:rsidR="00327FF1" w:rsidRDefault="00E406C7">
            <w:pPr>
              <w:pStyle w:val="P68B1DB1-Normal11"/>
              <w:spacing w:before="120" w:after="120"/>
              <w:rPr>
                <w:noProof/>
                <w:szCs w:val="20"/>
              </w:rPr>
            </w:pPr>
            <w:r>
              <w:rPr>
                <w:noProof/>
                <w:szCs w:val="20"/>
              </w:rPr>
              <w:t xml:space="preserve">Izpildītājiestādēm izdod </w:t>
            </w:r>
            <w:r>
              <w:rPr>
                <w:noProof/>
                <w:szCs w:val="20"/>
              </w:rPr>
              <w:t>maksājuma rīkojumus, kuru  kopējā vērtība ir vismaz EUR 1340000000.</w:t>
            </w:r>
          </w:p>
        </w:tc>
      </w:tr>
      <w:tr w:rsidR="00327FF1" w14:paraId="7D9152BB" w14:textId="77777777">
        <w:trPr>
          <w:trHeight w:val="315"/>
        </w:trPr>
        <w:tc>
          <w:tcPr>
            <w:tcW w:w="1418" w:type="dxa"/>
            <w:shd w:val="clear" w:color="auto" w:fill="C6EFCE"/>
            <w:vAlign w:val="center"/>
          </w:tcPr>
          <w:p w14:paraId="7D615C75" w14:textId="77777777" w:rsidR="00327FF1" w:rsidRDefault="00E406C7">
            <w:pPr>
              <w:pStyle w:val="P68B1DB1-Normal11"/>
              <w:spacing w:before="120" w:after="120"/>
              <w:jc w:val="center"/>
              <w:rPr>
                <w:noProof/>
                <w:szCs w:val="20"/>
              </w:rPr>
            </w:pPr>
            <w:r>
              <w:rPr>
                <w:noProof/>
              </w:rPr>
              <w:t>M1C2–26</w:t>
            </w:r>
          </w:p>
        </w:tc>
        <w:tc>
          <w:tcPr>
            <w:tcW w:w="1985" w:type="dxa"/>
            <w:shd w:val="clear" w:color="auto" w:fill="C6EFCE"/>
            <w:vAlign w:val="center"/>
          </w:tcPr>
          <w:p w14:paraId="1B24F3CF" w14:textId="77777777" w:rsidR="00327FF1" w:rsidRDefault="00E406C7">
            <w:pPr>
              <w:pStyle w:val="P68B1DB1-Normal11"/>
              <w:spacing w:before="120" w:after="120"/>
              <w:jc w:val="center"/>
              <w:rPr>
                <w:noProof/>
                <w:szCs w:val="20"/>
              </w:rPr>
            </w:pPr>
            <w:r>
              <w:rPr>
                <w:noProof/>
              </w:rPr>
              <w:t>Ieguldījums 5.1.: SIMEST pārvaldītā fonda 394/81 refinansēšana un pārveidošana</w:t>
            </w:r>
          </w:p>
        </w:tc>
        <w:tc>
          <w:tcPr>
            <w:tcW w:w="1275" w:type="dxa"/>
            <w:shd w:val="clear" w:color="auto" w:fill="C6EFCE"/>
            <w:vAlign w:val="center"/>
          </w:tcPr>
          <w:p w14:paraId="73AA170D" w14:textId="77777777" w:rsidR="00327FF1" w:rsidRDefault="00E406C7">
            <w:pPr>
              <w:pStyle w:val="P68B1DB1-Normal11"/>
              <w:spacing w:before="120" w:after="120"/>
              <w:jc w:val="center"/>
              <w:rPr>
                <w:noProof/>
                <w:szCs w:val="20"/>
              </w:rPr>
            </w:pPr>
            <w:r>
              <w:rPr>
                <w:noProof/>
              </w:rPr>
              <w:t>Atskaites punkts</w:t>
            </w:r>
          </w:p>
        </w:tc>
        <w:tc>
          <w:tcPr>
            <w:tcW w:w="1276" w:type="dxa"/>
            <w:shd w:val="clear" w:color="auto" w:fill="C6EFCE"/>
            <w:vAlign w:val="center"/>
          </w:tcPr>
          <w:p w14:paraId="5F43392B" w14:textId="77777777" w:rsidR="00327FF1" w:rsidRDefault="00E406C7">
            <w:pPr>
              <w:pStyle w:val="P68B1DB1-Normal11"/>
              <w:spacing w:before="120" w:after="120"/>
              <w:jc w:val="center"/>
              <w:rPr>
                <w:noProof/>
                <w:szCs w:val="20"/>
              </w:rPr>
            </w:pPr>
            <w:r>
              <w:rPr>
                <w:noProof/>
              </w:rPr>
              <w:t>Fonda 394/81 refinansēšanas stāšanās spēkā un ieguldījumu politikas pieņemšana</w:t>
            </w:r>
          </w:p>
        </w:tc>
        <w:tc>
          <w:tcPr>
            <w:tcW w:w="1276" w:type="dxa"/>
            <w:shd w:val="clear" w:color="auto" w:fill="C6EFCE"/>
            <w:vAlign w:val="center"/>
          </w:tcPr>
          <w:p w14:paraId="30F512BE" w14:textId="77777777" w:rsidR="00327FF1" w:rsidRDefault="00E406C7">
            <w:pPr>
              <w:pStyle w:val="P68B1DB1-Normal11"/>
              <w:spacing w:before="120" w:after="120"/>
              <w:jc w:val="center"/>
              <w:rPr>
                <w:noProof/>
                <w:szCs w:val="20"/>
              </w:rPr>
            </w:pPr>
            <w:r>
              <w:rPr>
                <w:noProof/>
              </w:rPr>
              <w:t>Likuma noteikums, kas norāda, ka stājas spēkā Dekrētlikums(-i), ar ko refinansē fonda 394/81 dotāciju un aizdevumu komponentu</w:t>
            </w:r>
          </w:p>
          <w:p w14:paraId="44DCE0FC" w14:textId="77777777" w:rsidR="00327FF1" w:rsidRDefault="00E406C7">
            <w:pPr>
              <w:pStyle w:val="P68B1DB1-Normal11"/>
              <w:spacing w:before="120" w:after="120"/>
              <w:jc w:val="center"/>
              <w:rPr>
                <w:noProof/>
                <w:szCs w:val="20"/>
              </w:rPr>
            </w:pPr>
            <w:r>
              <w:rPr>
                <w:noProof/>
              </w:rPr>
              <w:t>Valdes lēmuma, ar ko nosaka finansējamo projektu atlases kritērijus, apstiprināšana</w:t>
            </w:r>
          </w:p>
        </w:tc>
        <w:tc>
          <w:tcPr>
            <w:tcW w:w="1134" w:type="dxa"/>
            <w:shd w:val="clear" w:color="auto" w:fill="C6EFCE"/>
            <w:vAlign w:val="center"/>
          </w:tcPr>
          <w:p w14:paraId="68AFF4D8" w14:textId="77777777" w:rsidR="00327FF1" w:rsidRDefault="00E406C7">
            <w:pPr>
              <w:pStyle w:val="P68B1DB1-Normal11"/>
              <w:spacing w:before="120" w:after="120"/>
              <w:jc w:val="center"/>
              <w:rPr>
                <w:noProof/>
                <w:szCs w:val="20"/>
              </w:rPr>
            </w:pPr>
            <w:r>
              <w:rPr>
                <w:noProof/>
              </w:rPr>
              <w:t>NEPIEMĒRO</w:t>
            </w:r>
          </w:p>
        </w:tc>
        <w:tc>
          <w:tcPr>
            <w:tcW w:w="1163" w:type="dxa"/>
            <w:shd w:val="clear" w:color="auto" w:fill="C6EFCE"/>
            <w:vAlign w:val="center"/>
          </w:tcPr>
          <w:p w14:paraId="4150DF61" w14:textId="77777777" w:rsidR="00327FF1" w:rsidRDefault="00E406C7">
            <w:pPr>
              <w:pStyle w:val="P68B1DB1-Normal11"/>
              <w:spacing w:before="120" w:after="120"/>
              <w:jc w:val="center"/>
              <w:rPr>
                <w:noProof/>
                <w:szCs w:val="20"/>
              </w:rPr>
            </w:pPr>
            <w:r>
              <w:rPr>
                <w:noProof/>
              </w:rPr>
              <w:t>NEPIEMĒRO</w:t>
            </w:r>
          </w:p>
        </w:tc>
        <w:tc>
          <w:tcPr>
            <w:tcW w:w="992" w:type="dxa"/>
            <w:shd w:val="clear" w:color="auto" w:fill="C6EFCE"/>
            <w:vAlign w:val="center"/>
          </w:tcPr>
          <w:p w14:paraId="56966F11" w14:textId="77777777" w:rsidR="00327FF1" w:rsidRDefault="00E406C7">
            <w:pPr>
              <w:pStyle w:val="P68B1DB1-Normal11"/>
              <w:spacing w:before="120" w:after="120"/>
              <w:jc w:val="center"/>
              <w:rPr>
                <w:noProof/>
                <w:szCs w:val="20"/>
              </w:rPr>
            </w:pPr>
            <w:r>
              <w:rPr>
                <w:noProof/>
              </w:rPr>
              <w:t>NEPIEMĒRO</w:t>
            </w:r>
          </w:p>
        </w:tc>
        <w:tc>
          <w:tcPr>
            <w:tcW w:w="850" w:type="dxa"/>
            <w:shd w:val="clear" w:color="auto" w:fill="C6EFCE"/>
            <w:vAlign w:val="center"/>
          </w:tcPr>
          <w:p w14:paraId="642FCF6B" w14:textId="77777777" w:rsidR="00327FF1" w:rsidRDefault="00E406C7">
            <w:pPr>
              <w:pStyle w:val="P68B1DB1-Normal11"/>
              <w:spacing w:before="120" w:after="120"/>
              <w:jc w:val="center"/>
              <w:rPr>
                <w:noProof/>
                <w:szCs w:val="20"/>
              </w:rPr>
            </w:pPr>
            <w:r>
              <w:rPr>
                <w:noProof/>
              </w:rPr>
              <w:t>CET.</w:t>
            </w:r>
          </w:p>
        </w:tc>
        <w:tc>
          <w:tcPr>
            <w:tcW w:w="709" w:type="dxa"/>
            <w:shd w:val="clear" w:color="auto" w:fill="C6EFCE"/>
            <w:vAlign w:val="center"/>
          </w:tcPr>
          <w:p w14:paraId="19351976" w14:textId="77777777" w:rsidR="00327FF1" w:rsidRDefault="00E406C7">
            <w:pPr>
              <w:pStyle w:val="P68B1DB1-Normal11"/>
              <w:spacing w:before="120" w:after="120"/>
              <w:jc w:val="center"/>
              <w:rPr>
                <w:noProof/>
                <w:szCs w:val="20"/>
              </w:rPr>
            </w:pPr>
            <w:r>
              <w:rPr>
                <w:noProof/>
              </w:rPr>
              <w:t>2021</w:t>
            </w:r>
          </w:p>
        </w:tc>
        <w:tc>
          <w:tcPr>
            <w:tcW w:w="3232" w:type="dxa"/>
            <w:shd w:val="clear" w:color="auto" w:fill="C6EFCE"/>
            <w:vAlign w:val="center"/>
          </w:tcPr>
          <w:p w14:paraId="251E7253" w14:textId="77777777" w:rsidR="00327FF1" w:rsidRDefault="00E406C7">
            <w:pPr>
              <w:pStyle w:val="P68B1DB1-Normal11"/>
              <w:spacing w:before="120"/>
              <w:rPr>
                <w:noProof/>
                <w:szCs w:val="20"/>
              </w:rPr>
            </w:pPr>
            <w:r>
              <w:rPr>
                <w:noProof/>
              </w:rPr>
              <w:t>Dekrētlikumā(-os) paredz fonda 394/81 dotāciju un aizdevumu komponenta refinansēšanu. Fonda valde apstiprina lēmumu, ar ko izveido ieguldījumu politiku.</w:t>
            </w:r>
          </w:p>
          <w:p w14:paraId="1C14A54F" w14:textId="77777777" w:rsidR="00327FF1" w:rsidRDefault="00E406C7">
            <w:pPr>
              <w:pStyle w:val="P68B1DB1-Normal11"/>
              <w:spacing w:before="120"/>
              <w:rPr>
                <w:noProof/>
                <w:szCs w:val="20"/>
              </w:rPr>
            </w:pPr>
            <w:r>
              <w:rPr>
                <w:noProof/>
              </w:rPr>
              <w:t>Ieguldījumu politikā, kas saistīta ar fonda 394/81 refinansēšanu, nosaka vismaz: I) atbalstīto projektu</w:t>
            </w:r>
            <w:r>
              <w:rPr>
                <w:noProof/>
              </w:rPr>
              <w:t xml:space="preserve"> veids un tvērums, kas atbilst Regulas (ES) 2021/241 mērķiem; darba uzdevumā iekļauj atbilstības kritērijus, lai nodrošinātu saskaņā ar šo pasākumu atbalstīto projektu atbilstību Tehniskajiem norādījumiem “nenodari būtisku kaitējumu” (2021/C58/01), izmanto</w:t>
            </w:r>
            <w:r>
              <w:rPr>
                <w:noProof/>
              </w:rPr>
              <w:t>jot ilgtspējas pārbaudi, izslēgšanas sarakstu un prasību par atbilstību attiecīgajiem ES un valsts vides tiesību aktiem, ii) atbalstīto darbību veidu, iii) paredzētos atbalsta saņēmējus, kuros dominē MVU, un to atbilstības kritērijus, iv) noteikumus par ie</w:t>
            </w:r>
            <w:r>
              <w:rPr>
                <w:noProof/>
              </w:rPr>
              <w:t>spējamu atmaksājumu atkārtotu ieguldīšanu līdzīgiem politikas mērķiem arī pēc 2026. gada, ja tie netiek atkārtoti izmantoti, lai atmaksātu procentu likmes, kas izriet no aizdevumiem, kuri piešķirti saskaņā ar Regulu (ES) 2021/241.</w:t>
            </w:r>
          </w:p>
          <w:p w14:paraId="5F16824B" w14:textId="77777777" w:rsidR="00327FF1" w:rsidRDefault="00E406C7">
            <w:pPr>
              <w:pStyle w:val="P68B1DB1-Normal11"/>
              <w:spacing w:before="120"/>
              <w:rPr>
                <w:noProof/>
                <w:szCs w:val="20"/>
              </w:rPr>
            </w:pPr>
            <w:r>
              <w:rPr>
                <w:noProof/>
              </w:rPr>
              <w:t>Lai noslēgtu līgumisku vi</w:t>
            </w:r>
            <w:r>
              <w:rPr>
                <w:noProof/>
              </w:rPr>
              <w:t>enošanos ar pilnvaroto vienību vai finanšu starpnieku, ir jāizmanto tehniskie norādījumi “nenodari būtisku kaitējumu” (2021/C58/01).</w:t>
            </w:r>
          </w:p>
        </w:tc>
      </w:tr>
      <w:tr w:rsidR="00327FF1" w14:paraId="6A390C78" w14:textId="77777777">
        <w:trPr>
          <w:trHeight w:val="315"/>
        </w:trPr>
        <w:tc>
          <w:tcPr>
            <w:tcW w:w="1418" w:type="dxa"/>
            <w:shd w:val="clear" w:color="auto" w:fill="C6EFCE"/>
            <w:vAlign w:val="center"/>
          </w:tcPr>
          <w:p w14:paraId="4B1FC7D2" w14:textId="77777777" w:rsidR="00327FF1" w:rsidRDefault="00E406C7">
            <w:pPr>
              <w:pStyle w:val="P68B1DB1-Normal11"/>
              <w:spacing w:before="120" w:after="120"/>
              <w:jc w:val="center"/>
              <w:rPr>
                <w:noProof/>
                <w:szCs w:val="20"/>
              </w:rPr>
            </w:pPr>
            <w:r>
              <w:rPr>
                <w:noProof/>
              </w:rPr>
              <w:t>M1C2–27</w:t>
            </w:r>
          </w:p>
        </w:tc>
        <w:tc>
          <w:tcPr>
            <w:tcW w:w="1985" w:type="dxa"/>
            <w:shd w:val="clear" w:color="auto" w:fill="C6EFCE"/>
            <w:vAlign w:val="center"/>
          </w:tcPr>
          <w:p w14:paraId="1D418EBF" w14:textId="77777777" w:rsidR="00327FF1" w:rsidRDefault="00E406C7">
            <w:pPr>
              <w:pStyle w:val="P68B1DB1-Normal11"/>
              <w:spacing w:before="120" w:after="120"/>
              <w:jc w:val="center"/>
              <w:rPr>
                <w:noProof/>
                <w:szCs w:val="20"/>
              </w:rPr>
            </w:pPr>
            <w:r>
              <w:rPr>
                <w:noProof/>
              </w:rPr>
              <w:t>Ieguldījums 5.1.: SIMEST pārvaldītā fonda 394/81 refinansēšana un pārveidošana</w:t>
            </w:r>
          </w:p>
        </w:tc>
        <w:tc>
          <w:tcPr>
            <w:tcW w:w="1275" w:type="dxa"/>
            <w:shd w:val="clear" w:color="auto" w:fill="C6EFCE"/>
            <w:vAlign w:val="center"/>
          </w:tcPr>
          <w:p w14:paraId="770DE57D" w14:textId="77777777" w:rsidR="00327FF1" w:rsidRDefault="00E406C7">
            <w:pPr>
              <w:pStyle w:val="P68B1DB1-Normal11"/>
              <w:spacing w:before="120" w:after="120"/>
              <w:jc w:val="center"/>
              <w:rPr>
                <w:noProof/>
                <w:szCs w:val="20"/>
              </w:rPr>
            </w:pPr>
            <w:r>
              <w:rPr>
                <w:noProof/>
              </w:rPr>
              <w:t>Mērķa</w:t>
            </w:r>
          </w:p>
        </w:tc>
        <w:tc>
          <w:tcPr>
            <w:tcW w:w="1276" w:type="dxa"/>
            <w:shd w:val="clear" w:color="auto" w:fill="C6EFCE"/>
            <w:vAlign w:val="center"/>
          </w:tcPr>
          <w:p w14:paraId="6B29DDC6" w14:textId="77777777" w:rsidR="00327FF1" w:rsidRDefault="00E406C7">
            <w:pPr>
              <w:pStyle w:val="P68B1DB1-Normal11"/>
              <w:spacing w:before="120" w:after="120"/>
              <w:jc w:val="center"/>
              <w:rPr>
                <w:noProof/>
                <w:szCs w:val="20"/>
              </w:rPr>
            </w:pPr>
            <w:r>
              <w:rPr>
                <w:noProof/>
              </w:rPr>
              <w:t>MVU, kas saņēmuši atbalstu no</w:t>
            </w:r>
            <w:r>
              <w:rPr>
                <w:noProof/>
              </w:rPr>
              <w:t xml:space="preserve"> fonda 394/81</w:t>
            </w:r>
          </w:p>
        </w:tc>
        <w:tc>
          <w:tcPr>
            <w:tcW w:w="1276" w:type="dxa"/>
            <w:shd w:val="clear" w:color="auto" w:fill="C6EFCE"/>
            <w:vAlign w:val="center"/>
          </w:tcPr>
          <w:p w14:paraId="402DEE64" w14:textId="77777777" w:rsidR="00327FF1" w:rsidRDefault="00E406C7">
            <w:pPr>
              <w:pStyle w:val="P68B1DB1-Normal11"/>
              <w:spacing w:before="120" w:after="120"/>
              <w:jc w:val="center"/>
              <w:rPr>
                <w:noProof/>
                <w:szCs w:val="20"/>
              </w:rPr>
            </w:pPr>
            <w:r>
              <w:rPr>
                <w:noProof/>
              </w:rPr>
              <w:t>NEPIEMĒRO</w:t>
            </w:r>
          </w:p>
        </w:tc>
        <w:tc>
          <w:tcPr>
            <w:tcW w:w="1134" w:type="dxa"/>
            <w:shd w:val="clear" w:color="auto" w:fill="C6EFCE"/>
            <w:vAlign w:val="center"/>
          </w:tcPr>
          <w:p w14:paraId="3D1F36BD" w14:textId="77777777" w:rsidR="00327FF1" w:rsidRDefault="00E406C7">
            <w:pPr>
              <w:pStyle w:val="P68B1DB1-Normal11"/>
              <w:spacing w:before="120" w:after="120"/>
              <w:jc w:val="center"/>
              <w:rPr>
                <w:noProof/>
                <w:szCs w:val="20"/>
              </w:rPr>
            </w:pPr>
            <w:r>
              <w:rPr>
                <w:noProof/>
              </w:rPr>
              <w:t>Skaits</w:t>
            </w:r>
          </w:p>
        </w:tc>
        <w:tc>
          <w:tcPr>
            <w:tcW w:w="1163" w:type="dxa"/>
            <w:shd w:val="clear" w:color="auto" w:fill="C6EFCE"/>
            <w:vAlign w:val="center"/>
          </w:tcPr>
          <w:p w14:paraId="7183C447" w14:textId="77777777" w:rsidR="00327FF1" w:rsidRDefault="00E406C7">
            <w:pPr>
              <w:pStyle w:val="P68B1DB1-Normal11"/>
              <w:spacing w:before="120" w:after="120"/>
              <w:jc w:val="center"/>
              <w:rPr>
                <w:noProof/>
                <w:szCs w:val="20"/>
              </w:rPr>
            </w:pPr>
            <w:r>
              <w:rPr>
                <w:noProof/>
              </w:rPr>
              <w:t>0</w:t>
            </w:r>
          </w:p>
        </w:tc>
        <w:tc>
          <w:tcPr>
            <w:tcW w:w="992" w:type="dxa"/>
            <w:shd w:val="clear" w:color="auto" w:fill="C6EFCE"/>
            <w:vAlign w:val="center"/>
          </w:tcPr>
          <w:p w14:paraId="670DCCE7" w14:textId="77777777" w:rsidR="00327FF1" w:rsidRDefault="00E406C7">
            <w:pPr>
              <w:pStyle w:val="P68B1DB1-Normal11"/>
              <w:spacing w:before="120" w:after="120"/>
              <w:jc w:val="center"/>
              <w:rPr>
                <w:noProof/>
                <w:szCs w:val="20"/>
              </w:rPr>
            </w:pPr>
            <w:r>
              <w:rPr>
                <w:noProof/>
              </w:rPr>
              <w:t>4 000</w:t>
            </w:r>
          </w:p>
        </w:tc>
        <w:tc>
          <w:tcPr>
            <w:tcW w:w="850" w:type="dxa"/>
            <w:shd w:val="clear" w:color="auto" w:fill="C6EFCE"/>
            <w:vAlign w:val="center"/>
          </w:tcPr>
          <w:p w14:paraId="177AB687" w14:textId="77777777" w:rsidR="00327FF1" w:rsidRDefault="00E406C7">
            <w:pPr>
              <w:pStyle w:val="P68B1DB1-Normal11"/>
              <w:spacing w:before="120" w:after="120"/>
              <w:jc w:val="center"/>
              <w:rPr>
                <w:noProof/>
                <w:szCs w:val="20"/>
              </w:rPr>
            </w:pPr>
            <w:r>
              <w:rPr>
                <w:noProof/>
              </w:rPr>
              <w:t>4. CET.</w:t>
            </w:r>
          </w:p>
        </w:tc>
        <w:tc>
          <w:tcPr>
            <w:tcW w:w="709" w:type="dxa"/>
            <w:shd w:val="clear" w:color="auto" w:fill="C6EFCE"/>
            <w:vAlign w:val="center"/>
          </w:tcPr>
          <w:p w14:paraId="59B90F24" w14:textId="77777777" w:rsidR="00327FF1" w:rsidRDefault="00E406C7">
            <w:pPr>
              <w:pStyle w:val="P68B1DB1-Normal11"/>
              <w:spacing w:before="120" w:after="120"/>
              <w:jc w:val="center"/>
              <w:rPr>
                <w:noProof/>
                <w:szCs w:val="20"/>
              </w:rPr>
            </w:pPr>
            <w:r>
              <w:rPr>
                <w:noProof/>
              </w:rPr>
              <w:t>2021</w:t>
            </w:r>
          </w:p>
        </w:tc>
        <w:tc>
          <w:tcPr>
            <w:tcW w:w="3232" w:type="dxa"/>
            <w:shd w:val="clear" w:color="auto" w:fill="C6EFCE"/>
            <w:vAlign w:val="center"/>
          </w:tcPr>
          <w:p w14:paraId="2B86B777" w14:textId="77777777" w:rsidR="00327FF1" w:rsidRDefault="00E406C7">
            <w:pPr>
              <w:pStyle w:val="P68B1DB1-Normal11"/>
              <w:spacing w:before="120" w:after="120"/>
              <w:rPr>
                <w:noProof/>
                <w:szCs w:val="20"/>
              </w:rPr>
            </w:pPr>
            <w:r>
              <w:rPr>
                <w:noProof/>
              </w:rPr>
              <w:t>No 2021. gada 1. janvāra vismaz 4000 MVU saņēma atbalstu no fonda 394/81.</w:t>
            </w:r>
          </w:p>
        </w:tc>
      </w:tr>
      <w:tr w:rsidR="00327FF1" w14:paraId="11BF1FAE" w14:textId="77777777">
        <w:trPr>
          <w:trHeight w:val="315"/>
        </w:trPr>
        <w:tc>
          <w:tcPr>
            <w:tcW w:w="1418" w:type="dxa"/>
            <w:shd w:val="clear" w:color="auto" w:fill="C6EFCE"/>
            <w:vAlign w:val="center"/>
          </w:tcPr>
          <w:p w14:paraId="29A0594C" w14:textId="77777777" w:rsidR="00327FF1" w:rsidRDefault="00E406C7">
            <w:pPr>
              <w:pStyle w:val="P68B1DB1-Normal11"/>
              <w:spacing w:before="120" w:after="120"/>
              <w:jc w:val="center"/>
              <w:rPr>
                <w:noProof/>
                <w:szCs w:val="20"/>
              </w:rPr>
            </w:pPr>
            <w:r>
              <w:rPr>
                <w:noProof/>
              </w:rPr>
              <w:t>M1C2–28</w:t>
            </w:r>
          </w:p>
        </w:tc>
        <w:tc>
          <w:tcPr>
            <w:tcW w:w="1985" w:type="dxa"/>
            <w:shd w:val="clear" w:color="auto" w:fill="C6EFCE"/>
            <w:vAlign w:val="center"/>
          </w:tcPr>
          <w:p w14:paraId="078E7C33" w14:textId="77777777" w:rsidR="00327FF1" w:rsidRDefault="00E406C7">
            <w:pPr>
              <w:pStyle w:val="P68B1DB1-Normal11"/>
              <w:spacing w:before="120" w:after="120"/>
              <w:jc w:val="center"/>
              <w:rPr>
                <w:noProof/>
                <w:szCs w:val="20"/>
              </w:rPr>
            </w:pPr>
            <w:r>
              <w:rPr>
                <w:noProof/>
              </w:rPr>
              <w:t>Investīcija 5.2.: Piegādes ķēžu konkurētspēja un noturība</w:t>
            </w:r>
          </w:p>
        </w:tc>
        <w:tc>
          <w:tcPr>
            <w:tcW w:w="1275" w:type="dxa"/>
            <w:shd w:val="clear" w:color="auto" w:fill="C6EFCE"/>
            <w:vAlign w:val="center"/>
          </w:tcPr>
          <w:p w14:paraId="003F5DDD" w14:textId="77777777" w:rsidR="00327FF1" w:rsidRDefault="00E406C7">
            <w:pPr>
              <w:pStyle w:val="P68B1DB1-Normal11"/>
              <w:spacing w:before="120" w:after="120"/>
              <w:jc w:val="center"/>
              <w:rPr>
                <w:noProof/>
                <w:szCs w:val="20"/>
              </w:rPr>
            </w:pPr>
            <w:r>
              <w:rPr>
                <w:noProof/>
              </w:rPr>
              <w:t>Atskaites punkts</w:t>
            </w:r>
          </w:p>
        </w:tc>
        <w:tc>
          <w:tcPr>
            <w:tcW w:w="1276" w:type="dxa"/>
            <w:shd w:val="clear" w:color="auto" w:fill="C6EFCE"/>
            <w:vAlign w:val="center"/>
          </w:tcPr>
          <w:p w14:paraId="1A0096A4" w14:textId="77777777" w:rsidR="00327FF1" w:rsidRDefault="00E406C7">
            <w:pPr>
              <w:pStyle w:val="P68B1DB1-Normal11"/>
              <w:spacing w:before="120" w:after="120"/>
              <w:jc w:val="center"/>
              <w:rPr>
                <w:noProof/>
                <w:szCs w:val="20"/>
              </w:rPr>
            </w:pPr>
            <w:r>
              <w:rPr>
                <w:noProof/>
              </w:rPr>
              <w:t xml:space="preserve">Dekrēta, kas ietver attīstības līgumu </w:t>
            </w:r>
            <w:r>
              <w:rPr>
                <w:noProof/>
              </w:rPr>
              <w:t>ieguldījumu politiku, stāšanās spēkā</w:t>
            </w:r>
          </w:p>
        </w:tc>
        <w:tc>
          <w:tcPr>
            <w:tcW w:w="1276" w:type="dxa"/>
            <w:shd w:val="clear" w:color="auto" w:fill="C6EFCE"/>
            <w:vAlign w:val="center"/>
          </w:tcPr>
          <w:p w14:paraId="239FE3A1" w14:textId="77777777" w:rsidR="00327FF1" w:rsidRDefault="00E406C7">
            <w:pPr>
              <w:pStyle w:val="P68B1DB1-Normal11"/>
              <w:spacing w:before="120" w:after="120"/>
              <w:jc w:val="center"/>
              <w:rPr>
                <w:noProof/>
                <w:szCs w:val="20"/>
              </w:rPr>
            </w:pPr>
            <w:r>
              <w:rPr>
                <w:noProof/>
              </w:rPr>
              <w:t>Likuma norma, kas norāda uz dekrēta stāšanos spēkā</w:t>
            </w:r>
          </w:p>
        </w:tc>
        <w:tc>
          <w:tcPr>
            <w:tcW w:w="1134" w:type="dxa"/>
            <w:shd w:val="clear" w:color="auto" w:fill="C6EFCE"/>
            <w:vAlign w:val="center"/>
          </w:tcPr>
          <w:p w14:paraId="47EC555C" w14:textId="77777777" w:rsidR="00327FF1" w:rsidRDefault="00E406C7">
            <w:pPr>
              <w:pStyle w:val="P68B1DB1-Normal11"/>
              <w:spacing w:before="120" w:after="120"/>
              <w:jc w:val="center"/>
              <w:rPr>
                <w:noProof/>
                <w:szCs w:val="20"/>
              </w:rPr>
            </w:pPr>
            <w:r>
              <w:rPr>
                <w:noProof/>
              </w:rPr>
              <w:t>NEPIEMĒRO</w:t>
            </w:r>
          </w:p>
        </w:tc>
        <w:tc>
          <w:tcPr>
            <w:tcW w:w="1163" w:type="dxa"/>
            <w:shd w:val="clear" w:color="auto" w:fill="C6EFCE"/>
            <w:vAlign w:val="center"/>
          </w:tcPr>
          <w:p w14:paraId="50938D7A" w14:textId="77777777" w:rsidR="00327FF1" w:rsidRDefault="00E406C7">
            <w:pPr>
              <w:pStyle w:val="P68B1DB1-Normal11"/>
              <w:spacing w:before="120" w:after="120"/>
              <w:jc w:val="center"/>
              <w:rPr>
                <w:noProof/>
                <w:szCs w:val="20"/>
              </w:rPr>
            </w:pPr>
            <w:r>
              <w:rPr>
                <w:noProof/>
              </w:rPr>
              <w:t>NEPIEMĒRO</w:t>
            </w:r>
          </w:p>
        </w:tc>
        <w:tc>
          <w:tcPr>
            <w:tcW w:w="992" w:type="dxa"/>
            <w:shd w:val="clear" w:color="auto" w:fill="C6EFCE"/>
            <w:vAlign w:val="center"/>
          </w:tcPr>
          <w:p w14:paraId="47A7601B" w14:textId="77777777" w:rsidR="00327FF1" w:rsidRDefault="00E406C7">
            <w:pPr>
              <w:pStyle w:val="P68B1DB1-Normal11"/>
              <w:spacing w:before="120" w:after="120"/>
              <w:jc w:val="center"/>
              <w:rPr>
                <w:noProof/>
                <w:szCs w:val="20"/>
              </w:rPr>
            </w:pPr>
            <w:r>
              <w:rPr>
                <w:noProof/>
              </w:rPr>
              <w:t>NEPIEMĒRO</w:t>
            </w:r>
          </w:p>
        </w:tc>
        <w:tc>
          <w:tcPr>
            <w:tcW w:w="850" w:type="dxa"/>
            <w:shd w:val="clear" w:color="auto" w:fill="C6EFCE"/>
            <w:vAlign w:val="center"/>
          </w:tcPr>
          <w:p w14:paraId="7B1EBD07" w14:textId="77777777" w:rsidR="00327FF1" w:rsidRDefault="00E406C7">
            <w:pPr>
              <w:pStyle w:val="P68B1DB1-Normal11"/>
              <w:spacing w:before="120" w:after="120"/>
              <w:jc w:val="center"/>
              <w:rPr>
                <w:noProof/>
                <w:szCs w:val="20"/>
              </w:rPr>
            </w:pPr>
            <w:r>
              <w:rPr>
                <w:noProof/>
              </w:rPr>
              <w:t>Q1</w:t>
            </w:r>
          </w:p>
        </w:tc>
        <w:tc>
          <w:tcPr>
            <w:tcW w:w="709" w:type="dxa"/>
            <w:shd w:val="clear" w:color="auto" w:fill="C6EFCE"/>
            <w:vAlign w:val="center"/>
          </w:tcPr>
          <w:p w14:paraId="6546B1D9" w14:textId="77777777" w:rsidR="00327FF1" w:rsidRDefault="00E406C7">
            <w:pPr>
              <w:pStyle w:val="P68B1DB1-Normal11"/>
              <w:spacing w:before="120" w:after="120"/>
              <w:jc w:val="center"/>
              <w:rPr>
                <w:noProof/>
                <w:szCs w:val="20"/>
              </w:rPr>
            </w:pPr>
            <w:r>
              <w:rPr>
                <w:noProof/>
              </w:rPr>
              <w:t>2022</w:t>
            </w:r>
          </w:p>
        </w:tc>
        <w:tc>
          <w:tcPr>
            <w:tcW w:w="3232" w:type="dxa"/>
            <w:shd w:val="clear" w:color="auto" w:fill="C6EFCE"/>
            <w:vAlign w:val="center"/>
          </w:tcPr>
          <w:p w14:paraId="6421B8DB" w14:textId="77777777" w:rsidR="00327FF1" w:rsidRDefault="00E406C7">
            <w:pPr>
              <w:pStyle w:val="P68B1DB1-Normal11"/>
              <w:rPr>
                <w:noProof/>
                <w:szCs w:val="20"/>
              </w:rPr>
            </w:pPr>
            <w:r>
              <w:rPr>
                <w:noProof/>
              </w:rPr>
              <w:t xml:space="preserve">Attīstības līgumu ieguldījumu politikā nosaka vismaz: I) atbalstīto projektu veids un tvērums, kas atbilst Regulas (ES) 2021/241 </w:t>
            </w:r>
            <w:r>
              <w:rPr>
                <w:noProof/>
              </w:rPr>
              <w:t>mērķiem; darba uzdevumā iekļauj atbilstības kritērijus, lai nodrošinātu saskaņā ar šo pasākumu atbalstīto projektu atbilstību Tehniskajiem norādījumiem “nenodari būtisku kaitējumu” (2021/C58/01), izmantojot ilgtspējas pārbaudi, izslēgšanas sarakstu un pras</w:t>
            </w:r>
            <w:r>
              <w:rPr>
                <w:noProof/>
              </w:rPr>
              <w:t>ību par atbilstību attiecīgajiem ES un valsts vides tiesību aktiem, ii) atbalstīto darbību veidu, iii) paredzētos atbalsta saņēmējus un to atbilstības kritērijus, iv) noteikumus par iespējamu atmaksājumu atkārtotu ieguldīšanu līdzīgiem politikas mērķiem, a</w:t>
            </w:r>
            <w:r>
              <w:rPr>
                <w:noProof/>
              </w:rPr>
              <w:t>rī pēc 2026. gada, ja tie netiek atkārtoti izmantoti, lai atmaksātu procentu likmes, kas izriet no aizdevumiem, kuri piešķirti saskaņā ar Regulu (ES) 2021/241.</w:t>
            </w:r>
          </w:p>
          <w:p w14:paraId="7CBDA064" w14:textId="77777777" w:rsidR="00327FF1" w:rsidRDefault="00E406C7">
            <w:pPr>
              <w:pStyle w:val="P68B1DB1-Normal11"/>
              <w:rPr>
                <w:noProof/>
                <w:szCs w:val="20"/>
              </w:rPr>
            </w:pPr>
            <w:r>
              <w:rPr>
                <w:noProof/>
              </w:rPr>
              <w:t>Lai noslēgtu līgumisku vienošanos ar pilnvaroto vienību vai finanšu starpnieku, ir jāizmanto teh</w:t>
            </w:r>
            <w:r>
              <w:rPr>
                <w:noProof/>
              </w:rPr>
              <w:t>niskie norādījumi “nenodari būtisku kaitējumu” (2021/C58/01).</w:t>
            </w:r>
          </w:p>
        </w:tc>
      </w:tr>
      <w:tr w:rsidR="00327FF1" w14:paraId="2CFBC3AF" w14:textId="77777777">
        <w:trPr>
          <w:trHeight w:val="315"/>
        </w:trPr>
        <w:tc>
          <w:tcPr>
            <w:tcW w:w="1418" w:type="dxa"/>
            <w:shd w:val="clear" w:color="auto" w:fill="C6EFCE"/>
            <w:vAlign w:val="center"/>
          </w:tcPr>
          <w:p w14:paraId="6C2F19B8" w14:textId="77777777" w:rsidR="00327FF1" w:rsidRDefault="00E406C7">
            <w:pPr>
              <w:pStyle w:val="P68B1DB1-Normal11"/>
              <w:spacing w:before="120" w:after="120"/>
              <w:jc w:val="center"/>
              <w:rPr>
                <w:noProof/>
                <w:szCs w:val="20"/>
              </w:rPr>
            </w:pPr>
            <w:r>
              <w:rPr>
                <w:noProof/>
              </w:rPr>
              <w:t>M1C2–29</w:t>
            </w:r>
          </w:p>
        </w:tc>
        <w:tc>
          <w:tcPr>
            <w:tcW w:w="1985" w:type="dxa"/>
            <w:shd w:val="clear" w:color="auto" w:fill="C6EFCE"/>
            <w:vAlign w:val="center"/>
          </w:tcPr>
          <w:p w14:paraId="65FA9AEE" w14:textId="77777777" w:rsidR="00327FF1" w:rsidRDefault="00E406C7">
            <w:pPr>
              <w:pStyle w:val="P68B1DB1-Normal11"/>
              <w:spacing w:before="120" w:after="120"/>
              <w:jc w:val="center"/>
              <w:rPr>
                <w:noProof/>
                <w:szCs w:val="20"/>
              </w:rPr>
            </w:pPr>
            <w:r>
              <w:rPr>
                <w:noProof/>
              </w:rPr>
              <w:t>Investīcija 5.2.: Piegādes ķēžu konkurētspēja un noturība</w:t>
            </w:r>
          </w:p>
        </w:tc>
        <w:tc>
          <w:tcPr>
            <w:tcW w:w="1275" w:type="dxa"/>
            <w:shd w:val="clear" w:color="auto" w:fill="C6EFCE"/>
            <w:vAlign w:val="center"/>
          </w:tcPr>
          <w:p w14:paraId="5A169CA9" w14:textId="77777777" w:rsidR="00327FF1" w:rsidRDefault="00E406C7">
            <w:pPr>
              <w:pStyle w:val="P68B1DB1-Normal11"/>
              <w:spacing w:before="120" w:after="120"/>
              <w:jc w:val="center"/>
              <w:rPr>
                <w:noProof/>
                <w:szCs w:val="20"/>
              </w:rPr>
            </w:pPr>
            <w:r>
              <w:rPr>
                <w:noProof/>
              </w:rPr>
              <w:t>Mērķa</w:t>
            </w:r>
          </w:p>
        </w:tc>
        <w:tc>
          <w:tcPr>
            <w:tcW w:w="1276" w:type="dxa"/>
            <w:shd w:val="clear" w:color="auto" w:fill="C6EFCE"/>
            <w:vAlign w:val="center"/>
          </w:tcPr>
          <w:p w14:paraId="3084F76E" w14:textId="77777777" w:rsidR="00327FF1" w:rsidRDefault="00E406C7">
            <w:pPr>
              <w:pStyle w:val="P68B1DB1-Normal11"/>
              <w:spacing w:before="120" w:after="120"/>
              <w:jc w:val="center"/>
              <w:rPr>
                <w:noProof/>
                <w:szCs w:val="20"/>
              </w:rPr>
            </w:pPr>
            <w:r>
              <w:rPr>
                <w:noProof/>
              </w:rPr>
              <w:t>Apstiprinātie attīstības līgumi</w:t>
            </w:r>
          </w:p>
        </w:tc>
        <w:tc>
          <w:tcPr>
            <w:tcW w:w="1276" w:type="dxa"/>
            <w:shd w:val="clear" w:color="auto" w:fill="C6EFCE"/>
            <w:vAlign w:val="center"/>
          </w:tcPr>
          <w:p w14:paraId="78151059" w14:textId="77777777" w:rsidR="00327FF1" w:rsidRDefault="00E406C7">
            <w:pPr>
              <w:pStyle w:val="P68B1DB1-Normal11"/>
              <w:jc w:val="center"/>
              <w:rPr>
                <w:noProof/>
                <w:szCs w:val="20"/>
              </w:rPr>
            </w:pPr>
            <w:r>
              <w:rPr>
                <w:noProof/>
              </w:rPr>
              <w:t>NEPIEMĒRO</w:t>
            </w:r>
          </w:p>
        </w:tc>
        <w:tc>
          <w:tcPr>
            <w:tcW w:w="1134" w:type="dxa"/>
            <w:shd w:val="clear" w:color="auto" w:fill="C6EFCE"/>
            <w:vAlign w:val="center"/>
          </w:tcPr>
          <w:p w14:paraId="5B211AEB" w14:textId="77777777" w:rsidR="00327FF1" w:rsidRDefault="00E406C7">
            <w:pPr>
              <w:pStyle w:val="P68B1DB1-Normal11"/>
              <w:jc w:val="center"/>
              <w:rPr>
                <w:noProof/>
                <w:szCs w:val="20"/>
              </w:rPr>
            </w:pPr>
            <w:r>
              <w:rPr>
                <w:noProof/>
              </w:rPr>
              <w:t>Skaits</w:t>
            </w:r>
          </w:p>
        </w:tc>
        <w:tc>
          <w:tcPr>
            <w:tcW w:w="1163" w:type="dxa"/>
            <w:shd w:val="clear" w:color="auto" w:fill="C6EFCE"/>
            <w:vAlign w:val="center"/>
          </w:tcPr>
          <w:p w14:paraId="20129B7D" w14:textId="77777777" w:rsidR="00327FF1" w:rsidRDefault="00E406C7">
            <w:pPr>
              <w:pStyle w:val="P68B1DB1-Normal11"/>
              <w:jc w:val="center"/>
              <w:rPr>
                <w:noProof/>
              </w:rPr>
            </w:pPr>
            <w:r>
              <w:rPr>
                <w:noProof/>
              </w:rPr>
              <w:t>0</w:t>
            </w:r>
          </w:p>
        </w:tc>
        <w:tc>
          <w:tcPr>
            <w:tcW w:w="992" w:type="dxa"/>
            <w:shd w:val="clear" w:color="auto" w:fill="C6EFCE"/>
            <w:vAlign w:val="center"/>
          </w:tcPr>
          <w:p w14:paraId="04E3D664" w14:textId="77777777" w:rsidR="00327FF1" w:rsidRDefault="00E406C7">
            <w:pPr>
              <w:pStyle w:val="P68B1DB1-Normal11"/>
              <w:jc w:val="center"/>
              <w:rPr>
                <w:noProof/>
              </w:rPr>
            </w:pPr>
            <w:r>
              <w:rPr>
                <w:noProof/>
              </w:rPr>
              <w:t>40</w:t>
            </w:r>
          </w:p>
        </w:tc>
        <w:tc>
          <w:tcPr>
            <w:tcW w:w="850" w:type="dxa"/>
            <w:shd w:val="clear" w:color="auto" w:fill="C6EFCE"/>
            <w:vAlign w:val="center"/>
          </w:tcPr>
          <w:p w14:paraId="33A474D9" w14:textId="77777777" w:rsidR="00327FF1" w:rsidRDefault="00E406C7">
            <w:pPr>
              <w:pStyle w:val="P68B1DB1-Normal11"/>
              <w:jc w:val="center"/>
              <w:rPr>
                <w:noProof/>
                <w:szCs w:val="20"/>
              </w:rPr>
            </w:pPr>
            <w:r>
              <w:rPr>
                <w:noProof/>
              </w:rPr>
              <w:t>4. CET.</w:t>
            </w:r>
          </w:p>
        </w:tc>
        <w:tc>
          <w:tcPr>
            <w:tcW w:w="709" w:type="dxa"/>
            <w:shd w:val="clear" w:color="auto" w:fill="C6EFCE"/>
            <w:vAlign w:val="center"/>
          </w:tcPr>
          <w:p w14:paraId="47237D5A" w14:textId="77777777" w:rsidR="00327FF1" w:rsidRDefault="00E406C7">
            <w:pPr>
              <w:pStyle w:val="P68B1DB1-Normal11"/>
              <w:spacing w:before="120" w:after="120"/>
              <w:jc w:val="center"/>
              <w:rPr>
                <w:noProof/>
                <w:szCs w:val="20"/>
              </w:rPr>
            </w:pPr>
            <w:r>
              <w:rPr>
                <w:noProof/>
              </w:rPr>
              <w:t>2023</w:t>
            </w:r>
          </w:p>
        </w:tc>
        <w:tc>
          <w:tcPr>
            <w:tcW w:w="3232" w:type="dxa"/>
            <w:shd w:val="clear" w:color="auto" w:fill="C6EFCE"/>
            <w:vAlign w:val="center"/>
          </w:tcPr>
          <w:p w14:paraId="378CBB57" w14:textId="77777777" w:rsidR="00327FF1" w:rsidRDefault="00E406C7">
            <w:pPr>
              <w:pStyle w:val="P68B1DB1-Normal11"/>
              <w:spacing w:before="120" w:after="120"/>
              <w:rPr>
                <w:noProof/>
                <w:szCs w:val="20"/>
              </w:rPr>
            </w:pPr>
            <w:r>
              <w:rPr>
                <w:noProof/>
              </w:rPr>
              <w:t>Apstiprināti vismaz 40 attīstības līgumi saskaņā ar to ieguldījumu politiku. Mērķa apmierinoša sasniegšana ir atkarīga arī no vismaz 1500 miljonu EUR investīciju aktivizēšanas.</w:t>
            </w:r>
          </w:p>
        </w:tc>
      </w:tr>
      <w:tr w:rsidR="00327FF1" w14:paraId="7340B532" w14:textId="77777777">
        <w:trPr>
          <w:trHeight w:val="315"/>
        </w:trPr>
        <w:tc>
          <w:tcPr>
            <w:tcW w:w="1418" w:type="dxa"/>
            <w:shd w:val="clear" w:color="auto" w:fill="C6EFCE"/>
            <w:vAlign w:val="center"/>
          </w:tcPr>
          <w:p w14:paraId="518EEA90" w14:textId="77777777" w:rsidR="00327FF1" w:rsidRDefault="00E406C7">
            <w:pPr>
              <w:pStyle w:val="P68B1DB1-Normal11"/>
              <w:spacing w:before="120" w:after="120"/>
              <w:jc w:val="center"/>
              <w:rPr>
                <w:noProof/>
              </w:rPr>
            </w:pPr>
            <w:r>
              <w:rPr>
                <w:noProof/>
              </w:rPr>
              <w:t>M1C2–30</w:t>
            </w:r>
          </w:p>
        </w:tc>
        <w:tc>
          <w:tcPr>
            <w:tcW w:w="1985" w:type="dxa"/>
            <w:shd w:val="clear" w:color="auto" w:fill="C6EFCE"/>
            <w:vAlign w:val="center"/>
          </w:tcPr>
          <w:p w14:paraId="72C975EB" w14:textId="77777777" w:rsidR="00327FF1" w:rsidRDefault="00E406C7">
            <w:pPr>
              <w:pStyle w:val="P68B1DB1-Normal11"/>
              <w:spacing w:before="120" w:after="120"/>
              <w:jc w:val="center"/>
              <w:rPr>
                <w:noProof/>
              </w:rPr>
            </w:pPr>
            <w:r>
              <w:rPr>
                <w:noProof/>
              </w:rPr>
              <w:t>Investīcija 7: Nacionālais savienojamības fonds</w:t>
            </w:r>
          </w:p>
        </w:tc>
        <w:tc>
          <w:tcPr>
            <w:tcW w:w="1275" w:type="dxa"/>
            <w:shd w:val="clear" w:color="auto" w:fill="C6EFCE"/>
            <w:vAlign w:val="center"/>
          </w:tcPr>
          <w:p w14:paraId="35BDAFE2" w14:textId="77777777" w:rsidR="00327FF1" w:rsidRDefault="00E406C7">
            <w:pPr>
              <w:pStyle w:val="P68B1DB1-Normal11"/>
              <w:spacing w:before="120" w:after="120"/>
              <w:jc w:val="center"/>
              <w:rPr>
                <w:noProof/>
              </w:rPr>
            </w:pPr>
            <w:r>
              <w:rPr>
                <w:noProof/>
              </w:rPr>
              <w:t>Atskaites punkts</w:t>
            </w:r>
          </w:p>
        </w:tc>
        <w:tc>
          <w:tcPr>
            <w:tcW w:w="1276" w:type="dxa"/>
            <w:shd w:val="clear" w:color="auto" w:fill="C6EFCE"/>
          </w:tcPr>
          <w:p w14:paraId="49114027" w14:textId="77777777" w:rsidR="00327FF1" w:rsidRDefault="00E406C7">
            <w:pPr>
              <w:pStyle w:val="P68B1DB1-Normal11"/>
              <w:spacing w:before="120" w:after="120"/>
              <w:jc w:val="center"/>
              <w:rPr>
                <w:noProof/>
              </w:rPr>
            </w:pPr>
            <w:r>
              <w:rPr>
                <w:noProof/>
              </w:rPr>
              <w:t>Īstenošanas nolīgums</w:t>
            </w:r>
          </w:p>
        </w:tc>
        <w:tc>
          <w:tcPr>
            <w:tcW w:w="1276" w:type="dxa"/>
            <w:shd w:val="clear" w:color="auto" w:fill="C6EFCE"/>
          </w:tcPr>
          <w:p w14:paraId="35D6E3D9" w14:textId="77777777" w:rsidR="00327FF1" w:rsidRDefault="00E406C7">
            <w:pPr>
              <w:pStyle w:val="P68B1DB1-Normal11"/>
              <w:jc w:val="center"/>
              <w:rPr>
                <w:noProof/>
              </w:rPr>
            </w:pPr>
            <w:r>
              <w:rPr>
                <w:noProof/>
              </w:rPr>
              <w:t>Īstenošanas nolīguma stāšanās spēkā</w:t>
            </w:r>
          </w:p>
        </w:tc>
        <w:tc>
          <w:tcPr>
            <w:tcW w:w="1134" w:type="dxa"/>
            <w:shd w:val="clear" w:color="auto" w:fill="C6EFCE"/>
            <w:vAlign w:val="center"/>
          </w:tcPr>
          <w:p w14:paraId="0FEFC0D8" w14:textId="77777777" w:rsidR="00327FF1" w:rsidRDefault="00E406C7">
            <w:pPr>
              <w:pStyle w:val="P68B1DB1-Normal11"/>
              <w:jc w:val="center"/>
              <w:rPr>
                <w:noProof/>
              </w:rPr>
            </w:pPr>
            <w:r>
              <w:rPr>
                <w:noProof/>
              </w:rPr>
              <w:t>NEPIEMĒRO</w:t>
            </w:r>
          </w:p>
        </w:tc>
        <w:tc>
          <w:tcPr>
            <w:tcW w:w="1163" w:type="dxa"/>
            <w:shd w:val="clear" w:color="auto" w:fill="C6EFCE"/>
            <w:vAlign w:val="center"/>
          </w:tcPr>
          <w:p w14:paraId="7BC5DD1B" w14:textId="77777777" w:rsidR="00327FF1" w:rsidRDefault="00E406C7">
            <w:pPr>
              <w:pStyle w:val="P68B1DB1-Normal11"/>
              <w:jc w:val="center"/>
              <w:rPr>
                <w:noProof/>
              </w:rPr>
            </w:pPr>
            <w:r>
              <w:rPr>
                <w:noProof/>
              </w:rPr>
              <w:t>NEPIEMĒRO</w:t>
            </w:r>
          </w:p>
        </w:tc>
        <w:tc>
          <w:tcPr>
            <w:tcW w:w="992" w:type="dxa"/>
            <w:shd w:val="clear" w:color="auto" w:fill="C6EFCE"/>
            <w:vAlign w:val="center"/>
          </w:tcPr>
          <w:p w14:paraId="70C04F50" w14:textId="77777777" w:rsidR="00327FF1" w:rsidRDefault="00E406C7">
            <w:pPr>
              <w:pStyle w:val="P68B1DB1-Normal11"/>
              <w:jc w:val="center"/>
              <w:rPr>
                <w:noProof/>
              </w:rPr>
            </w:pPr>
            <w:r>
              <w:rPr>
                <w:noProof/>
              </w:rPr>
              <w:t>NEPIEMĒRO</w:t>
            </w:r>
          </w:p>
        </w:tc>
        <w:tc>
          <w:tcPr>
            <w:tcW w:w="850" w:type="dxa"/>
            <w:shd w:val="clear" w:color="auto" w:fill="C6EFCE"/>
            <w:vAlign w:val="center"/>
          </w:tcPr>
          <w:p w14:paraId="1CAFAFAB" w14:textId="77777777" w:rsidR="00327FF1" w:rsidRDefault="00E406C7">
            <w:pPr>
              <w:pStyle w:val="P68B1DB1-Normal11"/>
              <w:jc w:val="center"/>
              <w:rPr>
                <w:noProof/>
              </w:rPr>
            </w:pPr>
            <w:r>
              <w:rPr>
                <w:noProof/>
              </w:rPr>
              <w:t>4. CET.</w:t>
            </w:r>
          </w:p>
        </w:tc>
        <w:tc>
          <w:tcPr>
            <w:tcW w:w="709" w:type="dxa"/>
            <w:shd w:val="clear" w:color="auto" w:fill="C6EFCE"/>
            <w:vAlign w:val="center"/>
          </w:tcPr>
          <w:p w14:paraId="1AF2F37D" w14:textId="77777777" w:rsidR="00327FF1" w:rsidRDefault="00E406C7">
            <w:pPr>
              <w:pStyle w:val="P68B1DB1-Normal11"/>
              <w:spacing w:before="120" w:after="120"/>
              <w:jc w:val="center"/>
              <w:rPr>
                <w:noProof/>
              </w:rPr>
            </w:pPr>
            <w:r>
              <w:rPr>
                <w:noProof/>
              </w:rPr>
              <w:t>2025</w:t>
            </w:r>
          </w:p>
        </w:tc>
        <w:tc>
          <w:tcPr>
            <w:tcW w:w="3232" w:type="dxa"/>
            <w:shd w:val="clear" w:color="auto" w:fill="C6EFCE"/>
          </w:tcPr>
          <w:p w14:paraId="7573B702" w14:textId="77777777" w:rsidR="00327FF1" w:rsidRDefault="00E406C7">
            <w:pPr>
              <w:pStyle w:val="P68B1DB1-Normal11"/>
              <w:spacing w:before="120" w:after="120"/>
              <w:rPr>
                <w:noProof/>
              </w:rPr>
            </w:pPr>
            <w:r>
              <w:rPr>
                <w:noProof/>
              </w:rPr>
              <w:t>Īstenošanas nolīguma stāšanās spēkā.</w:t>
            </w:r>
          </w:p>
        </w:tc>
      </w:tr>
      <w:tr w:rsidR="00327FF1" w14:paraId="5B1E8EC8" w14:textId="77777777">
        <w:trPr>
          <w:trHeight w:val="315"/>
        </w:trPr>
        <w:tc>
          <w:tcPr>
            <w:tcW w:w="1418" w:type="dxa"/>
            <w:shd w:val="clear" w:color="auto" w:fill="C6EFCE"/>
            <w:vAlign w:val="center"/>
          </w:tcPr>
          <w:p w14:paraId="1474278B" w14:textId="77777777" w:rsidR="00327FF1" w:rsidRDefault="00E406C7">
            <w:pPr>
              <w:pStyle w:val="P68B1DB1-Normal11"/>
              <w:spacing w:before="120" w:after="120"/>
              <w:jc w:val="center"/>
              <w:rPr>
                <w:noProof/>
              </w:rPr>
            </w:pPr>
            <w:r>
              <w:rPr>
                <w:noProof/>
              </w:rPr>
              <w:t>M1C2–31</w:t>
            </w:r>
          </w:p>
        </w:tc>
        <w:tc>
          <w:tcPr>
            <w:tcW w:w="1985" w:type="dxa"/>
            <w:shd w:val="clear" w:color="auto" w:fill="C6EFCE"/>
            <w:vAlign w:val="center"/>
          </w:tcPr>
          <w:p w14:paraId="471DB405" w14:textId="77777777" w:rsidR="00327FF1" w:rsidRDefault="00E406C7">
            <w:pPr>
              <w:pStyle w:val="P68B1DB1-Normal11"/>
              <w:spacing w:before="120" w:after="120"/>
              <w:jc w:val="center"/>
              <w:rPr>
                <w:noProof/>
              </w:rPr>
            </w:pPr>
            <w:r>
              <w:rPr>
                <w:noProof/>
              </w:rPr>
              <w:t>Investīcija 7: Nacionālais savienojamības fonds</w:t>
            </w:r>
          </w:p>
        </w:tc>
        <w:tc>
          <w:tcPr>
            <w:tcW w:w="1275" w:type="dxa"/>
            <w:shd w:val="clear" w:color="auto" w:fill="C6EFCE"/>
            <w:vAlign w:val="center"/>
          </w:tcPr>
          <w:p w14:paraId="59900A51" w14:textId="77777777" w:rsidR="00327FF1" w:rsidRDefault="00E406C7">
            <w:pPr>
              <w:pStyle w:val="P68B1DB1-Normal11"/>
              <w:spacing w:before="120" w:after="120"/>
              <w:jc w:val="center"/>
              <w:rPr>
                <w:noProof/>
              </w:rPr>
            </w:pPr>
            <w:r>
              <w:rPr>
                <w:noProof/>
              </w:rPr>
              <w:t>Atskaites punkts</w:t>
            </w:r>
          </w:p>
        </w:tc>
        <w:tc>
          <w:tcPr>
            <w:tcW w:w="1276" w:type="dxa"/>
            <w:shd w:val="clear" w:color="auto" w:fill="C6EFCE"/>
          </w:tcPr>
          <w:p w14:paraId="05E8B1DA" w14:textId="77777777" w:rsidR="00327FF1" w:rsidRDefault="00E406C7">
            <w:pPr>
              <w:pStyle w:val="P68B1DB1-Normal11"/>
              <w:spacing w:before="120" w:after="120"/>
              <w:jc w:val="center"/>
              <w:rPr>
                <w:noProof/>
              </w:rPr>
            </w:pPr>
            <w:r>
              <w:rPr>
                <w:noProof/>
              </w:rPr>
              <w:t xml:space="preserve">Ar galīgajiem saņēmējiem parakstītie </w:t>
            </w:r>
            <w:r>
              <w:rPr>
                <w:noProof/>
              </w:rPr>
              <w:t>juridiskie nolīgumi un ieguldījumu pabeigšana</w:t>
            </w:r>
          </w:p>
        </w:tc>
        <w:tc>
          <w:tcPr>
            <w:tcW w:w="1276" w:type="dxa"/>
            <w:shd w:val="clear" w:color="auto" w:fill="C6EFCE"/>
          </w:tcPr>
          <w:p w14:paraId="4AFBA54D" w14:textId="77777777" w:rsidR="00327FF1" w:rsidRDefault="00E406C7">
            <w:pPr>
              <w:pStyle w:val="P68B1DB1-Normal11"/>
              <w:jc w:val="center"/>
              <w:rPr>
                <w:noProof/>
              </w:rPr>
            </w:pPr>
            <w:r>
              <w:rPr>
                <w:noProof/>
              </w:rPr>
              <w:t>Parakstītie juridiskie nolīgumi un nodošanas apliecība</w:t>
            </w:r>
          </w:p>
        </w:tc>
        <w:tc>
          <w:tcPr>
            <w:tcW w:w="1134" w:type="dxa"/>
            <w:shd w:val="clear" w:color="auto" w:fill="C6EFCE"/>
            <w:vAlign w:val="center"/>
          </w:tcPr>
          <w:p w14:paraId="33016226" w14:textId="77777777" w:rsidR="00327FF1" w:rsidRDefault="00E406C7">
            <w:pPr>
              <w:pStyle w:val="P68B1DB1-Normal11"/>
              <w:jc w:val="center"/>
              <w:rPr>
                <w:noProof/>
              </w:rPr>
            </w:pPr>
            <w:r>
              <w:rPr>
                <w:noProof/>
              </w:rPr>
              <w:t>NEPIEMĒRO</w:t>
            </w:r>
          </w:p>
        </w:tc>
        <w:tc>
          <w:tcPr>
            <w:tcW w:w="1163" w:type="dxa"/>
            <w:shd w:val="clear" w:color="auto" w:fill="C6EFCE"/>
            <w:vAlign w:val="center"/>
          </w:tcPr>
          <w:p w14:paraId="571F2A37" w14:textId="77777777" w:rsidR="00327FF1" w:rsidRDefault="00E406C7">
            <w:pPr>
              <w:pStyle w:val="P68B1DB1-Normal11"/>
              <w:jc w:val="center"/>
              <w:rPr>
                <w:noProof/>
              </w:rPr>
            </w:pPr>
            <w:r>
              <w:rPr>
                <w:noProof/>
              </w:rPr>
              <w:t>NEPIEMĒRO</w:t>
            </w:r>
          </w:p>
        </w:tc>
        <w:tc>
          <w:tcPr>
            <w:tcW w:w="992" w:type="dxa"/>
            <w:shd w:val="clear" w:color="auto" w:fill="C6EFCE"/>
            <w:vAlign w:val="center"/>
          </w:tcPr>
          <w:p w14:paraId="61A354B9" w14:textId="77777777" w:rsidR="00327FF1" w:rsidRDefault="00E406C7">
            <w:pPr>
              <w:pStyle w:val="P68B1DB1-Normal11"/>
              <w:jc w:val="center"/>
              <w:rPr>
                <w:noProof/>
              </w:rPr>
            </w:pPr>
            <w:r>
              <w:rPr>
                <w:noProof/>
              </w:rPr>
              <w:t>NEPIEMĒRO</w:t>
            </w:r>
          </w:p>
        </w:tc>
        <w:tc>
          <w:tcPr>
            <w:tcW w:w="850" w:type="dxa"/>
            <w:shd w:val="clear" w:color="auto" w:fill="C6EFCE"/>
            <w:vAlign w:val="center"/>
          </w:tcPr>
          <w:p w14:paraId="51F627C1" w14:textId="77777777" w:rsidR="00327FF1" w:rsidRDefault="00E406C7">
            <w:pPr>
              <w:pStyle w:val="P68B1DB1-Normal11"/>
              <w:jc w:val="center"/>
              <w:rPr>
                <w:noProof/>
              </w:rPr>
            </w:pPr>
            <w:r>
              <w:rPr>
                <w:noProof/>
              </w:rPr>
              <w:t>2. CET.</w:t>
            </w:r>
          </w:p>
        </w:tc>
        <w:tc>
          <w:tcPr>
            <w:tcW w:w="709" w:type="dxa"/>
            <w:shd w:val="clear" w:color="auto" w:fill="C6EFCE"/>
            <w:vAlign w:val="center"/>
          </w:tcPr>
          <w:p w14:paraId="6B5FFC30" w14:textId="77777777" w:rsidR="00327FF1" w:rsidRDefault="00E406C7">
            <w:pPr>
              <w:pStyle w:val="P68B1DB1-Normal11"/>
              <w:spacing w:before="120" w:after="120"/>
              <w:jc w:val="center"/>
              <w:rPr>
                <w:noProof/>
              </w:rPr>
            </w:pPr>
            <w:r>
              <w:rPr>
                <w:noProof/>
              </w:rPr>
              <w:t>2026</w:t>
            </w:r>
          </w:p>
        </w:tc>
        <w:tc>
          <w:tcPr>
            <w:tcW w:w="3232" w:type="dxa"/>
            <w:shd w:val="clear" w:color="auto" w:fill="C6EFCE"/>
          </w:tcPr>
          <w:p w14:paraId="5C5ABEEA" w14:textId="77777777" w:rsidR="00327FF1" w:rsidRDefault="00E406C7">
            <w:pPr>
              <w:pStyle w:val="P68B1DB1-Normal11"/>
              <w:spacing w:line="240" w:lineRule="auto"/>
              <w:jc w:val="both"/>
              <w:rPr>
                <w:noProof/>
              </w:rPr>
            </w:pPr>
            <w:r>
              <w:rPr>
                <w:noProof/>
              </w:rPr>
              <w:t xml:space="preserve">Invitalia S.p.A. ir noslēgusi juridiskus dotāciju nolīgumus ar galīgajiem saņēmējiem par summu, kas nepieciešama, lai shēmā izmantotu 100 % no ANM ieguldījuma (ņemot vērā pārvaldības maksas). </w:t>
            </w:r>
          </w:p>
          <w:p w14:paraId="205AEC0E" w14:textId="0784C4E8" w:rsidR="00327FF1" w:rsidRDefault="00E406C7">
            <w:pPr>
              <w:pStyle w:val="P68B1DB1-Normal11"/>
              <w:spacing w:before="120" w:after="120"/>
              <w:rPr>
                <w:noProof/>
              </w:rPr>
            </w:pPr>
            <w:r>
              <w:rPr>
                <w:noProof/>
              </w:rPr>
              <w:t>Itālija pārvieto EUR 733402818 uz Invitalia S.p.A. mehānisma va</w:t>
            </w:r>
            <w:r>
              <w:rPr>
                <w:noProof/>
              </w:rPr>
              <w:t>jadzībām.</w:t>
            </w:r>
          </w:p>
        </w:tc>
      </w:tr>
      <w:tr w:rsidR="00327FF1" w14:paraId="098ED12A" w14:textId="77777777">
        <w:trPr>
          <w:trHeight w:val="315"/>
        </w:trPr>
        <w:tc>
          <w:tcPr>
            <w:tcW w:w="1418" w:type="dxa"/>
            <w:shd w:val="clear" w:color="auto" w:fill="C6EFCE"/>
            <w:vAlign w:val="center"/>
          </w:tcPr>
          <w:p w14:paraId="3E586340" w14:textId="77777777" w:rsidR="00327FF1" w:rsidRDefault="00E406C7">
            <w:pPr>
              <w:pStyle w:val="P68B1DB1-Normal11"/>
              <w:spacing w:before="120" w:after="120"/>
              <w:jc w:val="center"/>
              <w:rPr>
                <w:noProof/>
              </w:rPr>
            </w:pPr>
            <w:r>
              <w:rPr>
                <w:noProof/>
              </w:rPr>
              <w:t>M1C2–32</w:t>
            </w:r>
          </w:p>
        </w:tc>
        <w:tc>
          <w:tcPr>
            <w:tcW w:w="1985" w:type="dxa"/>
            <w:shd w:val="clear" w:color="auto" w:fill="C6EFCE"/>
            <w:vAlign w:val="center"/>
          </w:tcPr>
          <w:p w14:paraId="5FE46ADC" w14:textId="77777777" w:rsidR="00327FF1" w:rsidRDefault="00E406C7">
            <w:pPr>
              <w:pStyle w:val="P68B1DB1-Normal11"/>
              <w:spacing w:before="120" w:after="120"/>
              <w:jc w:val="center"/>
              <w:rPr>
                <w:noProof/>
              </w:rPr>
            </w:pPr>
            <w:r>
              <w:rPr>
                <w:noProof/>
              </w:rPr>
              <w:t>Ieguldījums Nr. 8: InvestEU dalībvalsts nodalījums</w:t>
            </w:r>
          </w:p>
          <w:p w14:paraId="58E4673E" w14:textId="77777777" w:rsidR="00327FF1" w:rsidRDefault="00327FF1">
            <w:pPr>
              <w:spacing w:before="120" w:after="120"/>
              <w:jc w:val="center"/>
              <w:rPr>
                <w:rFonts w:ascii="Arial Narrow" w:hAnsi="Arial Narrow"/>
                <w:noProof/>
                <w:color w:val="006100"/>
                <w:sz w:val="20"/>
              </w:rPr>
            </w:pPr>
          </w:p>
        </w:tc>
        <w:tc>
          <w:tcPr>
            <w:tcW w:w="1275" w:type="dxa"/>
            <w:shd w:val="clear" w:color="auto" w:fill="C6EFCE"/>
            <w:vAlign w:val="center"/>
          </w:tcPr>
          <w:p w14:paraId="4D598FE3" w14:textId="77777777" w:rsidR="00327FF1" w:rsidRDefault="00E406C7">
            <w:pPr>
              <w:pStyle w:val="P68B1DB1-Normal11"/>
              <w:spacing w:before="120" w:after="120"/>
              <w:jc w:val="center"/>
              <w:rPr>
                <w:noProof/>
              </w:rPr>
            </w:pPr>
            <w:r>
              <w:rPr>
                <w:noProof/>
              </w:rPr>
              <w:t>Atskaites punkts</w:t>
            </w:r>
          </w:p>
        </w:tc>
        <w:tc>
          <w:tcPr>
            <w:tcW w:w="1276" w:type="dxa"/>
            <w:shd w:val="clear" w:color="auto" w:fill="C6EFCE"/>
            <w:vAlign w:val="center"/>
          </w:tcPr>
          <w:p w14:paraId="7B4DAB20" w14:textId="77777777" w:rsidR="00327FF1" w:rsidRDefault="00E406C7">
            <w:pPr>
              <w:pStyle w:val="P68B1DB1-Normal11"/>
              <w:spacing w:before="120" w:after="120"/>
              <w:jc w:val="center"/>
              <w:rPr>
                <w:noProof/>
              </w:rPr>
            </w:pPr>
            <w:r>
              <w:rPr>
                <w:noProof/>
              </w:rPr>
              <w:t>Itālijas valdības un Eiropas Komisijas iemaksu nolīguma parakstīšana</w:t>
            </w:r>
          </w:p>
        </w:tc>
        <w:tc>
          <w:tcPr>
            <w:tcW w:w="1276" w:type="dxa"/>
            <w:shd w:val="clear" w:color="auto" w:fill="C6EFCE"/>
            <w:vAlign w:val="center"/>
          </w:tcPr>
          <w:p w14:paraId="6DAAE1D5" w14:textId="77777777" w:rsidR="00327FF1" w:rsidRDefault="00E406C7">
            <w:pPr>
              <w:pStyle w:val="P68B1DB1-Normal11"/>
              <w:jc w:val="center"/>
              <w:rPr>
                <w:noProof/>
              </w:rPr>
            </w:pPr>
            <w:r>
              <w:rPr>
                <w:noProof/>
              </w:rPr>
              <w:t>Iemaksu nolīguma parakstīšana</w:t>
            </w:r>
          </w:p>
        </w:tc>
        <w:tc>
          <w:tcPr>
            <w:tcW w:w="1134" w:type="dxa"/>
            <w:shd w:val="clear" w:color="auto" w:fill="C6EFCE"/>
            <w:vAlign w:val="center"/>
          </w:tcPr>
          <w:p w14:paraId="4FA6A848" w14:textId="77777777" w:rsidR="00327FF1" w:rsidRDefault="00E406C7">
            <w:pPr>
              <w:pStyle w:val="P68B1DB1-Normal11"/>
              <w:jc w:val="center"/>
              <w:rPr>
                <w:noProof/>
              </w:rPr>
            </w:pPr>
            <w:r>
              <w:rPr>
                <w:noProof/>
              </w:rPr>
              <w:t>NEPIEMĒRO</w:t>
            </w:r>
          </w:p>
        </w:tc>
        <w:tc>
          <w:tcPr>
            <w:tcW w:w="1163" w:type="dxa"/>
            <w:shd w:val="clear" w:color="auto" w:fill="C6EFCE"/>
            <w:vAlign w:val="center"/>
          </w:tcPr>
          <w:p w14:paraId="4792AE65" w14:textId="77777777" w:rsidR="00327FF1" w:rsidRDefault="00E406C7">
            <w:pPr>
              <w:pStyle w:val="P68B1DB1-Normal11"/>
              <w:spacing w:before="120" w:after="120"/>
              <w:jc w:val="center"/>
              <w:rPr>
                <w:noProof/>
              </w:rPr>
            </w:pPr>
            <w:r>
              <w:rPr>
                <w:noProof/>
              </w:rPr>
              <w:t>NEPIEMĒRO</w:t>
            </w:r>
          </w:p>
        </w:tc>
        <w:tc>
          <w:tcPr>
            <w:tcW w:w="992" w:type="dxa"/>
            <w:shd w:val="clear" w:color="auto" w:fill="C6EFCE"/>
            <w:vAlign w:val="center"/>
          </w:tcPr>
          <w:p w14:paraId="6139232B" w14:textId="77777777" w:rsidR="00327FF1" w:rsidRDefault="00E406C7">
            <w:pPr>
              <w:pStyle w:val="P68B1DB1-Normal11"/>
              <w:jc w:val="center"/>
              <w:rPr>
                <w:noProof/>
              </w:rPr>
            </w:pPr>
            <w:r>
              <w:rPr>
                <w:noProof/>
              </w:rPr>
              <w:t>NEPIEMĒRO</w:t>
            </w:r>
          </w:p>
        </w:tc>
        <w:tc>
          <w:tcPr>
            <w:tcW w:w="850" w:type="dxa"/>
            <w:shd w:val="clear" w:color="auto" w:fill="C6EFCE"/>
            <w:vAlign w:val="center"/>
          </w:tcPr>
          <w:p w14:paraId="68071796" w14:textId="77777777" w:rsidR="00327FF1" w:rsidRDefault="00E406C7">
            <w:pPr>
              <w:pStyle w:val="P68B1DB1-Normal11"/>
              <w:jc w:val="center"/>
              <w:rPr>
                <w:noProof/>
              </w:rPr>
            </w:pPr>
            <w:r>
              <w:rPr>
                <w:noProof/>
              </w:rPr>
              <w:t>Q1</w:t>
            </w:r>
          </w:p>
        </w:tc>
        <w:tc>
          <w:tcPr>
            <w:tcW w:w="709" w:type="dxa"/>
            <w:shd w:val="clear" w:color="auto" w:fill="C6EFCE"/>
            <w:vAlign w:val="center"/>
          </w:tcPr>
          <w:p w14:paraId="7320D611" w14:textId="77777777" w:rsidR="00327FF1" w:rsidRDefault="00E406C7">
            <w:pPr>
              <w:pStyle w:val="P68B1DB1-Normal11"/>
              <w:spacing w:before="120" w:after="120"/>
              <w:jc w:val="center"/>
              <w:rPr>
                <w:noProof/>
              </w:rPr>
            </w:pPr>
            <w:r>
              <w:rPr>
                <w:noProof/>
              </w:rPr>
              <w:t>2026</w:t>
            </w:r>
          </w:p>
        </w:tc>
        <w:tc>
          <w:tcPr>
            <w:tcW w:w="3232" w:type="dxa"/>
            <w:shd w:val="clear" w:color="auto" w:fill="C6EFCE"/>
            <w:vAlign w:val="center"/>
          </w:tcPr>
          <w:p w14:paraId="4DC13EB0" w14:textId="25037650" w:rsidR="00327FF1" w:rsidRDefault="00E406C7">
            <w:pPr>
              <w:pStyle w:val="P68B1DB1-Normal11"/>
              <w:spacing w:line="240" w:lineRule="auto"/>
              <w:jc w:val="both"/>
              <w:rPr>
                <w:noProof/>
              </w:rPr>
            </w:pPr>
            <w:r>
              <w:rPr>
                <w:noProof/>
              </w:rPr>
              <w:t xml:space="preserve">Itālijas valdības un Eiropas Komisijas iemaksu nolīguma parakstīšana par summu EUR 500000000. </w:t>
            </w:r>
          </w:p>
        </w:tc>
      </w:tr>
      <w:tr w:rsidR="00327FF1" w14:paraId="6243DCB5" w14:textId="77777777">
        <w:trPr>
          <w:trHeight w:val="315"/>
        </w:trPr>
        <w:tc>
          <w:tcPr>
            <w:tcW w:w="1418" w:type="dxa"/>
            <w:shd w:val="clear" w:color="auto" w:fill="C6EFCE"/>
            <w:vAlign w:val="center"/>
          </w:tcPr>
          <w:p w14:paraId="46FAE8F6" w14:textId="77777777" w:rsidR="00327FF1" w:rsidRDefault="00E406C7">
            <w:pPr>
              <w:pStyle w:val="P68B1DB1-Normal11"/>
              <w:spacing w:before="120" w:after="120"/>
              <w:jc w:val="center"/>
              <w:rPr>
                <w:noProof/>
              </w:rPr>
            </w:pPr>
            <w:r>
              <w:rPr>
                <w:noProof/>
              </w:rPr>
              <w:t>M1C2–33</w:t>
            </w:r>
          </w:p>
        </w:tc>
        <w:tc>
          <w:tcPr>
            <w:tcW w:w="1985" w:type="dxa"/>
            <w:shd w:val="clear" w:color="auto" w:fill="C6EFCE"/>
            <w:vAlign w:val="center"/>
          </w:tcPr>
          <w:p w14:paraId="22C801C2" w14:textId="77777777" w:rsidR="00327FF1" w:rsidRDefault="00E406C7">
            <w:pPr>
              <w:pStyle w:val="P68B1DB1-Normal11"/>
              <w:spacing w:before="120" w:after="120"/>
              <w:jc w:val="center"/>
              <w:rPr>
                <w:noProof/>
              </w:rPr>
            </w:pPr>
            <w:r>
              <w:rPr>
                <w:noProof/>
              </w:rPr>
              <w:t>Ieguldījums Nr. 8: InvestEU dalībvalsts nodalījums</w:t>
            </w:r>
          </w:p>
        </w:tc>
        <w:tc>
          <w:tcPr>
            <w:tcW w:w="1275" w:type="dxa"/>
            <w:shd w:val="clear" w:color="auto" w:fill="C6EFCE"/>
            <w:vAlign w:val="center"/>
          </w:tcPr>
          <w:p w14:paraId="6DF82187" w14:textId="77777777" w:rsidR="00327FF1" w:rsidRDefault="00E406C7">
            <w:pPr>
              <w:pStyle w:val="P68B1DB1-Normal12"/>
              <w:spacing w:before="120" w:after="120"/>
              <w:jc w:val="center"/>
              <w:rPr>
                <w:noProof/>
              </w:rPr>
            </w:pPr>
            <w:r>
              <w:rPr>
                <w:noProof/>
              </w:rPr>
              <w:t>Mērķa</w:t>
            </w:r>
          </w:p>
        </w:tc>
        <w:tc>
          <w:tcPr>
            <w:tcW w:w="1276" w:type="dxa"/>
            <w:shd w:val="clear" w:color="auto" w:fill="C6EFCE"/>
            <w:vAlign w:val="center"/>
          </w:tcPr>
          <w:p w14:paraId="632B1EC5" w14:textId="77777777" w:rsidR="00327FF1" w:rsidRDefault="00E406C7">
            <w:pPr>
              <w:pStyle w:val="P68B1DB1-Normal12"/>
              <w:spacing w:before="120" w:after="120"/>
              <w:jc w:val="center"/>
              <w:rPr>
                <w:noProof/>
              </w:rPr>
            </w:pPr>
            <w:r>
              <w:rPr>
                <w:noProof/>
              </w:rPr>
              <w:t>Finansēšanas vai investīciju darbības, ko apstiprinājusi InvestEU Investīciju komiteja.</w:t>
            </w:r>
          </w:p>
        </w:tc>
        <w:tc>
          <w:tcPr>
            <w:tcW w:w="1276" w:type="dxa"/>
            <w:shd w:val="clear" w:color="auto" w:fill="C6EFCE"/>
            <w:vAlign w:val="center"/>
          </w:tcPr>
          <w:p w14:paraId="0848469C" w14:textId="77777777" w:rsidR="00327FF1" w:rsidRDefault="00E406C7">
            <w:pPr>
              <w:pStyle w:val="P68B1DB1-Normal12"/>
              <w:jc w:val="center"/>
              <w:rPr>
                <w:noProof/>
              </w:rPr>
            </w:pPr>
            <w:r>
              <w:rPr>
                <w:noProof/>
              </w:rPr>
              <w:t>NEPIEMĒRO</w:t>
            </w:r>
          </w:p>
        </w:tc>
        <w:tc>
          <w:tcPr>
            <w:tcW w:w="1134" w:type="dxa"/>
            <w:shd w:val="clear" w:color="auto" w:fill="C6EFCE"/>
            <w:vAlign w:val="center"/>
          </w:tcPr>
          <w:p w14:paraId="57C97662" w14:textId="77777777" w:rsidR="00327FF1" w:rsidRDefault="00E406C7">
            <w:pPr>
              <w:pStyle w:val="P68B1DB1-Normal12"/>
              <w:jc w:val="center"/>
              <w:rPr>
                <w:noProof/>
              </w:rPr>
            </w:pPr>
            <w:r>
              <w:rPr>
                <w:noProof/>
              </w:rPr>
              <w:t>Procentuālais daudzums</w:t>
            </w:r>
          </w:p>
        </w:tc>
        <w:tc>
          <w:tcPr>
            <w:tcW w:w="1163" w:type="dxa"/>
            <w:shd w:val="clear" w:color="auto" w:fill="C6EFCE"/>
            <w:vAlign w:val="center"/>
          </w:tcPr>
          <w:p w14:paraId="66CF71C7" w14:textId="77777777" w:rsidR="00327FF1" w:rsidRDefault="00E406C7">
            <w:pPr>
              <w:pStyle w:val="P68B1DB1-Normal12"/>
              <w:jc w:val="center"/>
              <w:rPr>
                <w:noProof/>
              </w:rPr>
            </w:pPr>
            <w:r>
              <w:rPr>
                <w:noProof/>
              </w:rPr>
              <w:t>0</w:t>
            </w:r>
          </w:p>
        </w:tc>
        <w:tc>
          <w:tcPr>
            <w:tcW w:w="992" w:type="dxa"/>
            <w:shd w:val="clear" w:color="auto" w:fill="C6EFCE"/>
            <w:vAlign w:val="center"/>
          </w:tcPr>
          <w:p w14:paraId="3F4CD9E0" w14:textId="77777777" w:rsidR="00327FF1" w:rsidRDefault="00E406C7">
            <w:pPr>
              <w:pStyle w:val="P68B1DB1-Normal12"/>
              <w:jc w:val="center"/>
              <w:rPr>
                <w:noProof/>
              </w:rPr>
            </w:pPr>
            <w:r>
              <w:rPr>
                <w:noProof/>
              </w:rPr>
              <w:t>100</w:t>
            </w:r>
          </w:p>
        </w:tc>
        <w:tc>
          <w:tcPr>
            <w:tcW w:w="850" w:type="dxa"/>
            <w:shd w:val="clear" w:color="auto" w:fill="C6EFCE"/>
            <w:vAlign w:val="center"/>
          </w:tcPr>
          <w:p w14:paraId="024F4683" w14:textId="77777777" w:rsidR="00327FF1" w:rsidRDefault="00E406C7">
            <w:pPr>
              <w:pStyle w:val="P68B1DB1-Normal12"/>
              <w:jc w:val="center"/>
              <w:rPr>
                <w:noProof/>
              </w:rPr>
            </w:pPr>
            <w:r>
              <w:rPr>
                <w:noProof/>
              </w:rPr>
              <w:t>2. CET.</w:t>
            </w:r>
          </w:p>
        </w:tc>
        <w:tc>
          <w:tcPr>
            <w:tcW w:w="709" w:type="dxa"/>
            <w:shd w:val="clear" w:color="auto" w:fill="C6EFCE"/>
            <w:vAlign w:val="center"/>
          </w:tcPr>
          <w:p w14:paraId="3650C4CA" w14:textId="77777777" w:rsidR="00327FF1" w:rsidRDefault="00E406C7">
            <w:pPr>
              <w:pStyle w:val="P68B1DB1-Normal12"/>
              <w:spacing w:before="120" w:after="120"/>
              <w:jc w:val="center"/>
              <w:rPr>
                <w:noProof/>
              </w:rPr>
            </w:pPr>
            <w:r>
              <w:rPr>
                <w:noProof/>
              </w:rPr>
              <w:t>2026</w:t>
            </w:r>
          </w:p>
        </w:tc>
        <w:tc>
          <w:tcPr>
            <w:tcW w:w="3232" w:type="dxa"/>
            <w:shd w:val="clear" w:color="auto" w:fill="C6EFCE"/>
            <w:vAlign w:val="center"/>
          </w:tcPr>
          <w:p w14:paraId="539A51E0" w14:textId="77777777" w:rsidR="00327FF1" w:rsidRDefault="00E406C7">
            <w:pPr>
              <w:pStyle w:val="P68B1DB1-Normal12"/>
              <w:spacing w:line="240" w:lineRule="auto"/>
              <w:jc w:val="both"/>
              <w:rPr>
                <w:noProof/>
              </w:rPr>
            </w:pPr>
            <w:r>
              <w:rPr>
                <w:noProof/>
              </w:rPr>
              <w:t>Finansēšanas vai investīciju darbības, kas veido 100 % no instrumentam piešķirto ANM resursu kopsummas, ir apstiprinājusi InvestEU Investīciju komiteja.</w:t>
            </w:r>
          </w:p>
        </w:tc>
      </w:tr>
      <w:tr w:rsidR="00327FF1" w14:paraId="703454DD" w14:textId="77777777">
        <w:trPr>
          <w:trHeight w:val="315"/>
        </w:trPr>
        <w:tc>
          <w:tcPr>
            <w:tcW w:w="1418" w:type="dxa"/>
            <w:shd w:val="clear" w:color="auto" w:fill="C6EFCE"/>
            <w:vAlign w:val="center"/>
          </w:tcPr>
          <w:p w14:paraId="6076FFE4" w14:textId="77777777" w:rsidR="00327FF1" w:rsidRDefault="00E406C7">
            <w:pPr>
              <w:pStyle w:val="P68B1DB1-Normal11"/>
              <w:spacing w:before="120" w:after="120"/>
              <w:jc w:val="center"/>
              <w:rPr>
                <w:noProof/>
              </w:rPr>
            </w:pPr>
            <w:r>
              <w:rPr>
                <w:noProof/>
              </w:rPr>
              <w:t>M1C2–34</w:t>
            </w:r>
          </w:p>
        </w:tc>
        <w:tc>
          <w:tcPr>
            <w:tcW w:w="1985" w:type="dxa"/>
            <w:shd w:val="clear" w:color="auto" w:fill="C6EFCE"/>
            <w:vAlign w:val="center"/>
          </w:tcPr>
          <w:p w14:paraId="5043BC7F" w14:textId="5AEA94FA" w:rsidR="00327FF1" w:rsidRDefault="00E406C7">
            <w:pPr>
              <w:pStyle w:val="P68B1DB1-Normal11"/>
              <w:spacing w:before="120" w:after="120"/>
              <w:jc w:val="center"/>
              <w:rPr>
                <w:noProof/>
              </w:rPr>
            </w:pPr>
            <w:r>
              <w:rPr>
                <w:noProof/>
              </w:rPr>
              <w:t>Ieguldījums Nr. 9: Palielinātais pasākums:</w:t>
            </w:r>
            <w:r>
              <w:rPr>
                <w:noProof/>
              </w:rPr>
              <w:t xml:space="preserve"> Pāreja 4.0</w:t>
            </w:r>
          </w:p>
        </w:tc>
        <w:tc>
          <w:tcPr>
            <w:tcW w:w="1275" w:type="dxa"/>
            <w:shd w:val="clear" w:color="auto" w:fill="C6EFCE"/>
            <w:vAlign w:val="center"/>
          </w:tcPr>
          <w:p w14:paraId="51A338D7" w14:textId="77777777" w:rsidR="00327FF1" w:rsidRDefault="00E406C7">
            <w:pPr>
              <w:pStyle w:val="P68B1DB1-Normal11"/>
              <w:spacing w:before="120" w:after="120"/>
              <w:jc w:val="center"/>
              <w:rPr>
                <w:rFonts w:cs="Times New Roman"/>
                <w:noProof/>
                <w:szCs w:val="20"/>
              </w:rPr>
            </w:pPr>
            <w:r>
              <w:rPr>
                <w:noProof/>
              </w:rPr>
              <w:t>Mērķa</w:t>
            </w:r>
          </w:p>
        </w:tc>
        <w:tc>
          <w:tcPr>
            <w:tcW w:w="1276" w:type="dxa"/>
            <w:shd w:val="clear" w:color="auto" w:fill="C6EFCE"/>
            <w:vAlign w:val="center"/>
          </w:tcPr>
          <w:p w14:paraId="7DC86EBD" w14:textId="77777777" w:rsidR="00327FF1" w:rsidRDefault="00E406C7">
            <w:pPr>
              <w:pStyle w:val="P68B1DB1-Normal11"/>
              <w:spacing w:before="120" w:after="120"/>
              <w:jc w:val="center"/>
              <w:rPr>
                <w:rFonts w:cs="Times New Roman"/>
                <w:noProof/>
                <w:szCs w:val="20"/>
              </w:rPr>
            </w:pPr>
            <w:r>
              <w:rPr>
                <w:noProof/>
              </w:rPr>
              <w:t>Pāreja 4.0 nodokļu kredīti, kas piešķirti uzņēmumiem, pamatojoties uz 2021.–2026. gadā iesniegtajiem dokumentiem</w:t>
            </w:r>
          </w:p>
        </w:tc>
        <w:tc>
          <w:tcPr>
            <w:tcW w:w="1276" w:type="dxa"/>
            <w:shd w:val="clear" w:color="auto" w:fill="C6EFCE"/>
            <w:vAlign w:val="center"/>
          </w:tcPr>
          <w:p w14:paraId="0D4D3250" w14:textId="77777777" w:rsidR="00327FF1" w:rsidRDefault="00E406C7">
            <w:pPr>
              <w:pStyle w:val="P68B1DB1-Normal11"/>
              <w:jc w:val="center"/>
              <w:rPr>
                <w:rFonts w:cs="Times New Roman"/>
                <w:noProof/>
                <w:szCs w:val="20"/>
              </w:rPr>
            </w:pPr>
            <w:r>
              <w:rPr>
                <w:noProof/>
              </w:rPr>
              <w:t>NEPIEMĒRO</w:t>
            </w:r>
          </w:p>
        </w:tc>
        <w:tc>
          <w:tcPr>
            <w:tcW w:w="1134" w:type="dxa"/>
            <w:shd w:val="clear" w:color="auto" w:fill="C6EFCE"/>
            <w:vAlign w:val="center"/>
          </w:tcPr>
          <w:p w14:paraId="658FDF08" w14:textId="77777777" w:rsidR="00327FF1" w:rsidRDefault="00E406C7">
            <w:pPr>
              <w:pStyle w:val="P68B1DB1-Normal11"/>
              <w:jc w:val="center"/>
              <w:rPr>
                <w:rFonts w:cs="Times New Roman"/>
                <w:noProof/>
                <w:szCs w:val="20"/>
              </w:rPr>
            </w:pPr>
            <w:r>
              <w:rPr>
                <w:noProof/>
              </w:rPr>
              <w:t>Skaits</w:t>
            </w:r>
          </w:p>
        </w:tc>
        <w:tc>
          <w:tcPr>
            <w:tcW w:w="1163" w:type="dxa"/>
            <w:shd w:val="clear" w:color="auto" w:fill="C6EFCE"/>
            <w:vAlign w:val="center"/>
          </w:tcPr>
          <w:p w14:paraId="5B6C2A0B" w14:textId="77777777" w:rsidR="00327FF1" w:rsidRDefault="00E406C7">
            <w:pPr>
              <w:pStyle w:val="P68B1DB1-Normal11"/>
              <w:jc w:val="center"/>
              <w:rPr>
                <w:rFonts w:cs="Times New Roman"/>
                <w:noProof/>
                <w:szCs w:val="20"/>
              </w:rPr>
            </w:pPr>
            <w:r>
              <w:rPr>
                <w:noProof/>
              </w:rPr>
              <w:t>0</w:t>
            </w:r>
          </w:p>
        </w:tc>
        <w:tc>
          <w:tcPr>
            <w:tcW w:w="992" w:type="dxa"/>
            <w:shd w:val="clear" w:color="auto" w:fill="C6EFCE"/>
            <w:vAlign w:val="center"/>
          </w:tcPr>
          <w:p w14:paraId="5F95D6AA" w14:textId="2A5D7B7F" w:rsidR="00327FF1" w:rsidRDefault="00E406C7">
            <w:pPr>
              <w:pStyle w:val="P68B1DB1-Normal11"/>
              <w:jc w:val="center"/>
              <w:rPr>
                <w:rFonts w:cs="Times New Roman"/>
                <w:noProof/>
                <w:szCs w:val="20"/>
              </w:rPr>
            </w:pPr>
            <w:r>
              <w:rPr>
                <w:noProof/>
              </w:rPr>
              <w:t>50 942</w:t>
            </w:r>
          </w:p>
        </w:tc>
        <w:tc>
          <w:tcPr>
            <w:tcW w:w="850" w:type="dxa"/>
            <w:shd w:val="clear" w:color="auto" w:fill="C6EFCE"/>
            <w:vAlign w:val="center"/>
          </w:tcPr>
          <w:p w14:paraId="12591C77" w14:textId="3F81E489" w:rsidR="00327FF1" w:rsidRDefault="00E406C7">
            <w:pPr>
              <w:pStyle w:val="P68B1DB1-Normal11"/>
              <w:jc w:val="center"/>
              <w:rPr>
                <w:rFonts w:cs="Times New Roman"/>
                <w:noProof/>
                <w:szCs w:val="20"/>
              </w:rPr>
            </w:pPr>
            <w:r>
              <w:rPr>
                <w:noProof/>
              </w:rPr>
              <w:t>2. CET.</w:t>
            </w:r>
          </w:p>
        </w:tc>
        <w:tc>
          <w:tcPr>
            <w:tcW w:w="709" w:type="dxa"/>
            <w:shd w:val="clear" w:color="auto" w:fill="C6EFCE"/>
            <w:vAlign w:val="center"/>
          </w:tcPr>
          <w:p w14:paraId="7FA5B980" w14:textId="4A6D42A9" w:rsidR="00327FF1" w:rsidRDefault="00E406C7">
            <w:pPr>
              <w:pStyle w:val="P68B1DB1-Normal11"/>
              <w:spacing w:before="120" w:after="120"/>
              <w:jc w:val="center"/>
              <w:rPr>
                <w:rFonts w:cs="Times New Roman"/>
                <w:noProof/>
                <w:szCs w:val="20"/>
              </w:rPr>
            </w:pPr>
            <w:r>
              <w:rPr>
                <w:noProof/>
              </w:rPr>
              <w:t>2026</w:t>
            </w:r>
          </w:p>
        </w:tc>
        <w:tc>
          <w:tcPr>
            <w:tcW w:w="3232" w:type="dxa"/>
            <w:shd w:val="clear" w:color="auto" w:fill="C6EFCE"/>
            <w:vAlign w:val="center"/>
          </w:tcPr>
          <w:p w14:paraId="13CA4D27" w14:textId="31120B7C" w:rsidR="00327FF1" w:rsidRDefault="00E406C7">
            <w:pPr>
              <w:pStyle w:val="P68B1DB1-Normal11"/>
              <w:rPr>
                <w:noProof/>
                <w:szCs w:val="20"/>
              </w:rPr>
            </w:pPr>
            <w:r>
              <w:rPr>
                <w:noProof/>
                <w:szCs w:val="20"/>
              </w:rPr>
              <w:t xml:space="preserve">Uzņēmumiem ir piešķirti vismaz 50942 4.0 pārejas nodokļu kredīti saistībā ar 4,0 </w:t>
            </w:r>
            <w:r>
              <w:rPr>
                <w:noProof/>
                <w:szCs w:val="20"/>
              </w:rPr>
              <w:t xml:space="preserve">materiālajiem ražošanas līdzekļiem, 4.0 nemateriālajiem ražošanas līdzekļiem, standarta nemateriālajiem ražošanas līdzekļiem, pētniecības, izstrādes un inovācijas darbībām. Nodokļu kredītu uzskata par piešķirtu, iesniedzot nodokļu deklarāciju vai </w:t>
            </w:r>
            <w:r>
              <w:rPr>
                <w:noProof/>
              </w:rPr>
              <w:t>iesniedzo</w:t>
            </w:r>
            <w:r>
              <w:rPr>
                <w:noProof/>
              </w:rPr>
              <w:t>t Gestore Servizi Energetici (“GSE”) aizpildītas veidlapas par 2024. un 2025. gadu</w:t>
            </w:r>
            <w:r>
              <w:rPr>
                <w:noProof/>
                <w:szCs w:val="20"/>
              </w:rPr>
              <w:t xml:space="preserve">. Nodokļu deklarācijas iesniedz no 2021. gada 1. janvāra līdz 2024. gada 31. decembrim. Attiecībā uz uzņēmumiem, kuru taksācijas gads neatbilst kalendārajam gadam, attiecīgā </w:t>
            </w:r>
            <w:r>
              <w:rPr>
                <w:noProof/>
                <w:szCs w:val="20"/>
              </w:rPr>
              <w:t>perioda beigas nodokļu deklarāciju iesniegšanai saistībā ar visiem iepriekš minētajiem nodokļa kredītiem pagarina no 2024. gada 31. decembra līdz 2025. gada 30. novembrim.</w:t>
            </w:r>
          </w:p>
          <w:p w14:paraId="52FE8923" w14:textId="77777777" w:rsidR="00327FF1" w:rsidRDefault="00E406C7">
            <w:pPr>
              <w:pStyle w:val="P68B1DB1-Normal11"/>
              <w:rPr>
                <w:noProof/>
                <w:szCs w:val="20"/>
              </w:rPr>
            </w:pPr>
            <w:r>
              <w:rPr>
                <w:noProof/>
              </w:rPr>
              <w:t>Aizpildīšanas veidlapas GSE iesniedz līdz 2026. gada 31. janvārim.</w:t>
            </w:r>
          </w:p>
          <w:p w14:paraId="09DFF7DB" w14:textId="7AB97DFE" w:rsidR="00327FF1" w:rsidRDefault="00E406C7">
            <w:pPr>
              <w:pStyle w:val="P68B1DB1-Normal12"/>
              <w:spacing w:line="240" w:lineRule="auto"/>
              <w:jc w:val="both"/>
              <w:rPr>
                <w:rFonts w:cs="Times New Roman"/>
                <w:noProof/>
              </w:rPr>
            </w:pPr>
            <w:r>
              <w:rPr>
                <w:noProof/>
              </w:rPr>
              <w:t>Attiecībā uz mērķ</w:t>
            </w:r>
            <w:r>
              <w:rPr>
                <w:noProof/>
              </w:rPr>
              <w:t xml:space="preserve">i neņem vērā uzņēmumus, kas darbojas nozarēs, kuras identificētas ar ATECO kodiem 05, 06, 07 un 09. Turklāt attiecībā uz ieguldījumiem 4.0 materiālajos ražošanas līdzekļos, kā arī attīstības un inovācijas darbībās — neviens uzņēmums, kas darbojas nozarēs, </w:t>
            </w:r>
            <w:r>
              <w:rPr>
                <w:noProof/>
              </w:rPr>
              <w:t>kuras identificētas ar ATECO 30. kodu. Attiecībā uz mērķrādītāju ņem vērā 22, 29, 38, 41, 42, 43, 17, 01, 50, 19, 20, 51, 24, 49, 23 un 35.</w:t>
            </w:r>
          </w:p>
        </w:tc>
      </w:tr>
    </w:tbl>
    <w:p w14:paraId="2942058E" w14:textId="77777777" w:rsidR="00327FF1" w:rsidRDefault="00327FF1">
      <w:pPr>
        <w:spacing w:before="120" w:after="120"/>
        <w:jc w:val="both"/>
        <w:rPr>
          <w:b/>
          <w:noProof/>
        </w:rPr>
        <w:sectPr w:rsidR="00327FF1" w:rsidSect="005A558B">
          <w:headerReference w:type="even" r:id="rId54"/>
          <w:headerReference w:type="default" r:id="rId55"/>
          <w:footerReference w:type="even" r:id="rId56"/>
          <w:footerReference w:type="default" r:id="rId57"/>
          <w:headerReference w:type="first" r:id="rId58"/>
          <w:footerReference w:type="first" r:id="rId59"/>
          <w:pgSz w:w="16838" w:h="11906" w:orient="landscape"/>
          <w:pgMar w:top="1440" w:right="1440" w:bottom="1440" w:left="1440" w:header="708" w:footer="708" w:gutter="0"/>
          <w:cols w:space="708"/>
          <w:docGrid w:linePitch="360"/>
        </w:sectPr>
      </w:pPr>
    </w:p>
    <w:p w14:paraId="2F00BD3E" w14:textId="77777777" w:rsidR="00327FF1" w:rsidRDefault="00E406C7">
      <w:pPr>
        <w:pStyle w:val="P68B1DB1-Heading23"/>
        <w:ind w:left="1080"/>
        <w:rPr>
          <w:noProof/>
          <w:u w:val="single"/>
        </w:rPr>
      </w:pPr>
      <w:r>
        <w:rPr>
          <w:noProof/>
        </w:rPr>
        <w:t xml:space="preserve">C. 1. MISIJAS 3. KOMPONENTS: Tūrisms un kultūra 4.0. </w:t>
      </w:r>
    </w:p>
    <w:p w14:paraId="4A68B1F0" w14:textId="77777777" w:rsidR="00327FF1" w:rsidRDefault="00E406C7">
      <w:pPr>
        <w:pStyle w:val="P68B1DB1-Normal8"/>
        <w:spacing w:before="120" w:after="120"/>
        <w:jc w:val="both"/>
        <w:rPr>
          <w:noProof/>
        </w:rPr>
      </w:pPr>
      <w:r>
        <w:rPr>
          <w:noProof/>
        </w:rPr>
        <w:t xml:space="preserve">Šis </w:t>
      </w:r>
      <w:r>
        <w:rPr>
          <w:noProof/>
        </w:rPr>
        <w:t>Itālijas atveseļošanas un noturības plāna komponents ir vērsts uz to, lai atjaunotu divas Covid krīzes smagi skartās nozares: kultūra un tūrisms. Ar kultūras nozari saistīto pasākumu mērķis ir padarīt kultūras objektus pieejamākus gan digitāli, gan fiziski</w:t>
      </w:r>
      <w:r>
        <w:rPr>
          <w:noProof/>
        </w:rPr>
        <w:t>, energoefektīvākus un drošākus pret dabas katastrofām, atbalstīt kultūras un radošo nozaru atveseļošanu, tostarp atbalstot mazu kultūras objektu un lauku arhitektūras pievilcību, kā arī lai uzlabotu teritoriālo kohēziju. Ir paredzēti trīs pasākumu kopumi:</w:t>
      </w:r>
      <w:r>
        <w:rPr>
          <w:noProof/>
        </w:rPr>
        <w:t xml:space="preserve"> I) intervences, kuru mērķis ir attīstīt kultūras mantojumu nākamajai paaudzei, tostarp investīcijas digitālajā pārkārtošanā un kultūras objektu energoefektivitātes uzlabošanā, ii) kultūras virzīta nelielu vēsturisku objektu, reliģiskā un lauku mantojuma a</w:t>
      </w:r>
      <w:r>
        <w:rPr>
          <w:noProof/>
        </w:rPr>
        <w:t xml:space="preserve">tjaunošana; III) intervences pasākumi kultūras un radošajām industrijām 4.0. Ar tūrismu saistīto pasākumu mērķis ir uzlabot nozares konkurētspēju, tostarp samazinot nozares sadrumstalotību un palielinot apjomradītus ietaupījumus, uzlabojot un modernizējot </w:t>
      </w:r>
      <w:r>
        <w:rPr>
          <w:noProof/>
        </w:rPr>
        <w:t>viesmīlības nozares standartus, veicinot digitālo inovāciju un to, ka operatori izmanto jaunās tehnoloģijas, un atbalstot nozares zaļo pārkārtošanos. Šajā sakarā ir paredzēti pasākumi, lai atbalstītu uzņēmumus, tostarp MVU, kas strādā tūrisma nozarē, un tū</w:t>
      </w:r>
      <w:r>
        <w:rPr>
          <w:noProof/>
        </w:rPr>
        <w:t xml:space="preserve">risma operatorus, tostarp investējot digitālajos rīkos. </w:t>
      </w:r>
    </w:p>
    <w:p w14:paraId="2D7F29CB" w14:textId="77777777" w:rsidR="00327FF1" w:rsidRDefault="00E406C7">
      <w:pPr>
        <w:pStyle w:val="P68B1DB1-Normal8"/>
        <w:spacing w:before="120" w:after="120"/>
        <w:jc w:val="both"/>
        <w:rPr>
          <w:noProof/>
        </w:rPr>
      </w:pPr>
      <w:r>
        <w:rPr>
          <w:noProof/>
        </w:rPr>
        <w:t xml:space="preserve">Investīcijas un reformas saskaņā ar šo komponentu palīdz īstenot Itālijai adresētos konkrētai valstij adresētos ieteikumus, jo īpaši par nepieciešamību “veicināt privātās investīcijas, lai veicinātu </w:t>
      </w:r>
      <w:r>
        <w:rPr>
          <w:noProof/>
        </w:rPr>
        <w:t>ekonomikas atveseļošanu un koncentrētu investīcijas uz zaļo un digitālo pārkārtošanos” (2020. gada konkrētai valstij adresētais ieteikums Nr. 3). Tās arī atbalsta sociālo un teritoriālo kohēziju un Itālijas ekonomikas konkurētspēju, vienlaikus veicinot tūr</w:t>
      </w:r>
      <w:r>
        <w:rPr>
          <w:noProof/>
        </w:rPr>
        <w:t xml:space="preserve">isma nozares digitalizāciju un ilgtspēju. </w:t>
      </w:r>
    </w:p>
    <w:p w14:paraId="02730FEA" w14:textId="77777777" w:rsidR="00327FF1" w:rsidRDefault="00E406C7">
      <w:pPr>
        <w:pStyle w:val="P68B1DB1-Heading341"/>
        <w:ind w:left="850" w:hanging="850"/>
        <w:rPr>
          <w:rFonts w:ascii="Times New Roman" w:eastAsia="Times New Roman" w:hAnsi="Times New Roman" w:cs="Times New Roman"/>
          <w:b/>
          <w:bCs/>
          <w:i/>
          <w:iCs/>
          <w:noProof/>
          <w:u w:val="single"/>
        </w:rPr>
      </w:pPr>
      <w:r>
        <w:rPr>
          <w:rFonts w:ascii="Times New Roman" w:eastAsia="Times New Roman" w:hAnsi="Times New Roman" w:cs="Times New Roman"/>
          <w:b/>
          <w:noProof/>
          <w:u w:val="single"/>
        </w:rPr>
        <w:t xml:space="preserve">C.1. </w:t>
      </w:r>
      <w:r>
        <w:rPr>
          <w:rFonts w:ascii="Times New Roman" w:hAnsi="Times New Roman" w:cs="Times New Roman"/>
          <w:noProof/>
        </w:rPr>
        <w:t xml:space="preserve"> </w:t>
      </w:r>
      <w:r>
        <w:rPr>
          <w:rFonts w:ascii="Times New Roman" w:eastAsia="Times New Roman" w:hAnsi="Times New Roman" w:cs="Times New Roman"/>
          <w:b/>
          <w:noProof/>
          <w:u w:val="single"/>
        </w:rPr>
        <w:t>Reformu un investīciju apraksts neatmaksājamam finansiālajam atbalstam</w:t>
      </w:r>
    </w:p>
    <w:p w14:paraId="13363C35" w14:textId="77777777" w:rsidR="00327FF1" w:rsidRDefault="00E406C7">
      <w:pPr>
        <w:pStyle w:val="P68B1DB1-Normal29"/>
        <w:spacing w:before="120" w:after="120"/>
        <w:jc w:val="both"/>
        <w:rPr>
          <w:bCs/>
          <w:noProof/>
        </w:rPr>
      </w:pPr>
      <w:r>
        <w:rPr>
          <w:noProof/>
        </w:rPr>
        <w:t xml:space="preserve">Investīcija 1.1. Digitālā stratēģija un kultūras mantojuma platformas </w:t>
      </w:r>
    </w:p>
    <w:p w14:paraId="22B07993" w14:textId="2C1201FB" w:rsidR="00327FF1" w:rsidRDefault="00E406C7">
      <w:pPr>
        <w:pStyle w:val="P68B1DB1-Normal8"/>
        <w:spacing w:before="120" w:after="120"/>
        <w:jc w:val="both"/>
        <w:rPr>
          <w:noProof/>
        </w:rPr>
      </w:pPr>
      <w:r>
        <w:rPr>
          <w:noProof/>
        </w:rPr>
        <w:t xml:space="preserve">Šā pasākuma mērķis ir digitalizēt Itālijas kultūras mantojumu un </w:t>
      </w:r>
      <w:r>
        <w:rPr>
          <w:noProof/>
        </w:rPr>
        <w:t>nodrošināt piekļuvi kultūras resursiem un digitālajiem pakalpojumiem. Pasākums ietver digitālās infrastruktūras izveidi digitālo resursu vākšanai, integrēšanai un saglabāšanai, padarot tos pieejamus publiskai izmantošanai, izmantojot īpašas platformas.</w:t>
      </w:r>
    </w:p>
    <w:p w14:paraId="6734CF59" w14:textId="77777777" w:rsidR="00327FF1" w:rsidRDefault="00E406C7">
      <w:pPr>
        <w:pStyle w:val="P68B1DB1-Normal29"/>
        <w:spacing w:before="120" w:after="120"/>
        <w:jc w:val="both"/>
        <w:rPr>
          <w:bCs/>
          <w:noProof/>
        </w:rPr>
      </w:pPr>
      <w:r>
        <w:rPr>
          <w:noProof/>
        </w:rPr>
        <w:t>Ieg</w:t>
      </w:r>
      <w:r>
        <w:rPr>
          <w:noProof/>
        </w:rPr>
        <w:t>uldījums 1.2. Fizisko un kognitīvo šķēršļu likvidēšana muzejos, bibliotēkās un arhīvos, lai nodrošinātu plašāku piekļuvi kultūrai un līdzdalību tajā</w:t>
      </w:r>
    </w:p>
    <w:p w14:paraId="70036617" w14:textId="5A85E535" w:rsidR="00327FF1" w:rsidRDefault="00E406C7">
      <w:pPr>
        <w:pStyle w:val="P68B1DB1-Normal8"/>
        <w:spacing w:before="120" w:after="120"/>
        <w:jc w:val="both"/>
        <w:rPr>
          <w:noProof/>
        </w:rPr>
      </w:pPr>
      <w:r>
        <w:rPr>
          <w:noProof/>
        </w:rPr>
        <w:t>Šā pasākuma mērķis ir nodrošināt fizisku un kognitīvu piekļuvi vairākām Itālijas kultūras iestādēm. Pasākum</w:t>
      </w:r>
      <w:r>
        <w:rPr>
          <w:noProof/>
        </w:rPr>
        <w:t>s ietver arhitektūras un kognitīvo šķēršļu likvidēšanu Itālijas kultūras iestādēs.</w:t>
      </w:r>
    </w:p>
    <w:p w14:paraId="4D707B9D" w14:textId="77777777" w:rsidR="00327FF1" w:rsidRDefault="00E406C7">
      <w:pPr>
        <w:pStyle w:val="P68B1DB1-Normal8"/>
        <w:rPr>
          <w:b/>
          <w:bCs/>
          <w:noProof/>
        </w:rPr>
      </w:pPr>
      <w:r>
        <w:rPr>
          <w:noProof/>
        </w:rPr>
        <w:br w:type="page"/>
      </w:r>
    </w:p>
    <w:p w14:paraId="6F43083B" w14:textId="77777777" w:rsidR="00327FF1" w:rsidRDefault="00E406C7">
      <w:pPr>
        <w:pStyle w:val="P68B1DB1-Normal29"/>
        <w:spacing w:before="120" w:after="120"/>
        <w:jc w:val="both"/>
        <w:rPr>
          <w:bCs/>
          <w:noProof/>
        </w:rPr>
      </w:pPr>
      <w:r>
        <w:rPr>
          <w:noProof/>
        </w:rPr>
        <w:t>Investīcija Nr. 1.3. Uzlabot energoefektivitāti kinoteātros, teātros un muzejos</w:t>
      </w:r>
    </w:p>
    <w:p w14:paraId="799FA33C" w14:textId="5DB71112" w:rsidR="00327FF1" w:rsidRDefault="00E406C7">
      <w:pPr>
        <w:pStyle w:val="P68B1DB1-Normal8"/>
        <w:spacing w:before="120" w:after="120"/>
        <w:jc w:val="both"/>
        <w:rPr>
          <w:noProof/>
        </w:rPr>
      </w:pPr>
      <w:r>
        <w:rPr>
          <w:noProof/>
        </w:rPr>
        <w:t xml:space="preserve">Šā pasākuma mērķis ir palielināt kultūras un radošo telpu, piemēram, publisko un privāto </w:t>
      </w:r>
      <w:r>
        <w:rPr>
          <w:noProof/>
        </w:rPr>
        <w:t>muzeju, kinoteātru un teātru, energoefektivitāti. Pasākums ietver energoefektivitātes pasākumus kultūras un radošajās telpās.</w:t>
      </w:r>
    </w:p>
    <w:p w14:paraId="7C4632E6" w14:textId="77777777" w:rsidR="00327FF1" w:rsidRDefault="00E406C7">
      <w:pPr>
        <w:pStyle w:val="P68B1DB1-Normal29"/>
        <w:spacing w:before="120" w:after="120"/>
        <w:jc w:val="both"/>
        <w:rPr>
          <w:noProof/>
        </w:rPr>
      </w:pPr>
      <w:r>
        <w:rPr>
          <w:noProof/>
        </w:rPr>
        <w:t>Reforma Nr. 3.1: Minimālo vides kritēriju pieņemšana kultūras pasākumiem</w:t>
      </w:r>
    </w:p>
    <w:p w14:paraId="2C1B965F" w14:textId="77777777" w:rsidR="00327FF1" w:rsidRDefault="00E406C7">
      <w:pPr>
        <w:pStyle w:val="P68B1DB1-Normal8"/>
        <w:spacing w:before="120" w:after="120"/>
        <w:jc w:val="both"/>
        <w:rPr>
          <w:noProof/>
        </w:rPr>
      </w:pPr>
      <w:r>
        <w:rPr>
          <w:noProof/>
        </w:rPr>
        <w:t>Reformas mērķis ir uzlabot kultūras pasākumu (piemēram, i</w:t>
      </w:r>
      <w:r>
        <w:rPr>
          <w:noProof/>
        </w:rPr>
        <w:t>zstāžu, festivālu, kultūras pasākumu un mūzikas pasākumu) ekoloģisko pēdu, iekļaujot sociālos un vides kritērijus kultūras pasākumu publiskajā iepirkumā, ko finansē, veicina vai organizē valsts iestāde.</w:t>
      </w:r>
    </w:p>
    <w:p w14:paraId="396474E2" w14:textId="77777777" w:rsidR="00327FF1" w:rsidRDefault="00E406C7">
      <w:pPr>
        <w:pStyle w:val="P68B1DB1-Normal42"/>
        <w:spacing w:before="120" w:after="120"/>
        <w:jc w:val="both"/>
        <w:rPr>
          <w:noProof/>
        </w:rPr>
      </w:pPr>
      <w:r>
        <w:rPr>
          <w:noProof/>
        </w:rPr>
        <w:t xml:space="preserve">Investīcija 3.3.: Kultūras operatoru spēju veidošana </w:t>
      </w:r>
      <w:r>
        <w:rPr>
          <w:noProof/>
        </w:rPr>
        <w:t xml:space="preserve">digitālās un zaļās pārkārtošanās pārvaldībai </w:t>
      </w:r>
    </w:p>
    <w:p w14:paraId="5DE4C8AF" w14:textId="77777777" w:rsidR="00327FF1" w:rsidRDefault="00E406C7">
      <w:pPr>
        <w:pStyle w:val="P68B1DB1-Normal8"/>
        <w:spacing w:before="120" w:after="120"/>
        <w:jc w:val="both"/>
        <w:rPr>
          <w:noProof/>
        </w:rPr>
      </w:pPr>
      <w:r>
        <w:rPr>
          <w:noProof/>
        </w:rPr>
        <w:t xml:space="preserve">Investīciju vispārējais mērķis ir atbalstīt kultūras un radošo nozaru atveseļošanu. Tas sastāv no divām intervencēm. </w:t>
      </w:r>
    </w:p>
    <w:p w14:paraId="2CF3BF76" w14:textId="77777777" w:rsidR="00327FF1" w:rsidRDefault="00E406C7">
      <w:pPr>
        <w:pStyle w:val="P68B1DB1-Normal7"/>
        <w:spacing w:before="120" w:after="120"/>
        <w:jc w:val="both"/>
        <w:rPr>
          <w:rFonts w:eastAsia="Times New Roman"/>
          <w:noProof/>
        </w:rPr>
      </w:pPr>
      <w:r>
        <w:rPr>
          <w:noProof/>
        </w:rPr>
        <w:t>Pirmā pasākuma (atbalsts kultūras pasākumu atveseļošanai, veicinot inovāciju un digitālo teh</w:t>
      </w:r>
      <w:r>
        <w:rPr>
          <w:noProof/>
        </w:rPr>
        <w:t>noloģiju izmantošanu visā vērtības ķēdē) mērķis ir palīdzēt kultūras un radošo nozaru operatoriem īstenot digitālās stratēģijas un palielināt to pārvaldības spējas.</w:t>
      </w:r>
    </w:p>
    <w:p w14:paraId="1E04DC33" w14:textId="77777777" w:rsidR="00327FF1" w:rsidRDefault="00E406C7">
      <w:pPr>
        <w:pStyle w:val="P68B1DB1-Normal7"/>
        <w:spacing w:before="120" w:after="120"/>
        <w:jc w:val="both"/>
        <w:rPr>
          <w:rFonts w:eastAsia="Times New Roman"/>
          <w:noProof/>
        </w:rPr>
      </w:pPr>
      <w:r>
        <w:rPr>
          <w:noProof/>
        </w:rPr>
        <w:t>Otrā pasākuma (Veicināt zaļu pieeju visā kultūras un radošajā ķēdē) mērķis ir veicināt vide</w:t>
      </w:r>
      <w:r>
        <w:rPr>
          <w:noProof/>
        </w:rPr>
        <w:t>s ziņā ilgtspējīgu pieeju visā ķēdē, samazinot ekoloģisko pēdu, veicinot inovatīvu un iekļaujošu ekodizainu, tostarp aprites ekonomikas kontekstā, lai virzītu sabiedrību uz atbildīgāku rīcību vides jomā.</w:t>
      </w:r>
    </w:p>
    <w:p w14:paraId="3B804B32" w14:textId="77777777" w:rsidR="00327FF1" w:rsidRDefault="00E406C7">
      <w:pPr>
        <w:jc w:val="both"/>
        <w:rPr>
          <w:rFonts w:ascii="Times New Roman" w:eastAsia="Times New Roman" w:hAnsi="Times New Roman" w:cs="Times New Roman"/>
          <w:noProof/>
        </w:rPr>
      </w:pPr>
      <w:r>
        <w:rPr>
          <w:rFonts w:ascii="Times New Roman" w:eastAsia="Times New Roman" w:hAnsi="Times New Roman" w:cs="Times New Roman"/>
          <w:noProof/>
        </w:rPr>
        <w:t>Lai nodrošinātu, ka pasākums atbilst Tehniskajiem no</w:t>
      </w:r>
      <w:r>
        <w:rPr>
          <w:rFonts w:ascii="Times New Roman" w:eastAsia="Times New Roman" w:hAnsi="Times New Roman" w:cs="Times New Roman"/>
          <w:noProof/>
        </w:rPr>
        <w:t>rādījumiem “nenodari būtisku kaitējumu” (2021/C58/01), atbilstības kritērijos, kas iekļauti turpmāko uzaicinājumu iesniegt projektus uzdevumā, izslēdz šādu darbību sarakstu: I) darbības, kas saistītas ar fosilo kurināmo, tostarp pakārtotu izmantošanu</w:t>
      </w:r>
      <w:r>
        <w:rPr>
          <w:rStyle w:val="FootnoteReference"/>
          <w:rFonts w:ascii="Times New Roman" w:eastAsia="Times New Roman" w:hAnsi="Times New Roman" w:cs="Times New Roman"/>
          <w:noProof/>
        </w:rPr>
        <w:footnoteReference w:id="14"/>
      </w:r>
      <w:r>
        <w:rPr>
          <w:rFonts w:ascii="Times New Roman" w:eastAsia="Times New Roman" w:hAnsi="Times New Roman" w:cs="Times New Roman"/>
          <w:noProof/>
        </w:rPr>
        <w:t>; II)</w:t>
      </w:r>
      <w:r>
        <w:rPr>
          <w:rFonts w:ascii="Times New Roman" w:eastAsia="Times New Roman" w:hAnsi="Times New Roman" w:cs="Times New Roman"/>
          <w:noProof/>
        </w:rPr>
        <w:t xml:space="preserve"> darbības saskaņā ar ES emisijas kvotu tirdzniecības sistēmu (ETS), kuru prognozētās siltumnīcefekta gāzu emisijas nav zemākas par attiecīgajām līmeņatzīmēm</w:t>
      </w:r>
      <w:r>
        <w:rPr>
          <w:rStyle w:val="FootnoteReference"/>
          <w:rFonts w:ascii="Times New Roman" w:eastAsia="Times New Roman" w:hAnsi="Times New Roman" w:cs="Times New Roman"/>
          <w:noProof/>
        </w:rPr>
        <w:footnoteReference w:id="15"/>
      </w:r>
      <w:r>
        <w:rPr>
          <w:rFonts w:ascii="Times New Roman" w:eastAsia="Times New Roman" w:hAnsi="Times New Roman" w:cs="Times New Roman"/>
          <w:noProof/>
        </w:rPr>
        <w:t>; III) darbības, kas saistītas ar atkritumu poligoniem, sadedzināšanas iekārtām</w:t>
      </w:r>
      <w:r>
        <w:rPr>
          <w:rStyle w:val="FootnoteReference"/>
          <w:rFonts w:ascii="Times New Roman" w:eastAsia="Times New Roman" w:hAnsi="Times New Roman" w:cs="Times New Roman"/>
          <w:noProof/>
        </w:rPr>
        <w:footnoteReference w:id="16"/>
      </w:r>
      <w:r>
        <w:rPr>
          <w:rFonts w:ascii="Times New Roman" w:eastAsia="Times New Roman" w:hAnsi="Times New Roman" w:cs="Times New Roman"/>
          <w:noProof/>
        </w:rPr>
        <w:t xml:space="preserve"> un mehāniski biolo</w:t>
      </w:r>
      <w:r>
        <w:rPr>
          <w:rFonts w:ascii="Times New Roman" w:eastAsia="Times New Roman" w:hAnsi="Times New Roman" w:cs="Times New Roman"/>
          <w:noProof/>
        </w:rPr>
        <w:t>ģiskās apstrādes iekārtām</w:t>
      </w:r>
      <w:r>
        <w:rPr>
          <w:rStyle w:val="FootnoteReference"/>
          <w:rFonts w:ascii="Times New Roman" w:eastAsia="Times New Roman" w:hAnsi="Times New Roman" w:cs="Times New Roman"/>
          <w:noProof/>
        </w:rPr>
        <w:footnoteReference w:id="17"/>
      </w:r>
      <w:r>
        <w:rPr>
          <w:rFonts w:ascii="Times New Roman" w:eastAsia="Times New Roman" w:hAnsi="Times New Roman" w:cs="Times New Roman"/>
          <w:noProof/>
        </w:rPr>
        <w:t>; un iv) darbības, kurās atkritumu ilgtermiņa apglabāšana var radīt kaitējumu videi. Darba uzdevumā papildus nosaka, ka var atlasīt tikai tās darbības, kas atbilst attiecīgajiem ES un valsts tiesību aktiem vides jomā.</w:t>
      </w:r>
    </w:p>
    <w:p w14:paraId="2C2758AA" w14:textId="77777777" w:rsidR="00327FF1" w:rsidRDefault="00E406C7">
      <w:pPr>
        <w:pStyle w:val="P68B1DB1-Normal8"/>
        <w:rPr>
          <w:b/>
          <w:noProof/>
        </w:rPr>
      </w:pPr>
      <w:bookmarkStart w:id="12" w:name="_Hlk160472807"/>
      <w:r>
        <w:rPr>
          <w:noProof/>
        </w:rPr>
        <w:br w:type="page"/>
      </w:r>
    </w:p>
    <w:p w14:paraId="43D19F9F" w14:textId="0388A4CF" w:rsidR="00327FF1" w:rsidRDefault="00E406C7">
      <w:pPr>
        <w:pStyle w:val="P68B1DB1-Normal29"/>
        <w:rPr>
          <w:i/>
          <w:noProof/>
        </w:rPr>
      </w:pPr>
      <w:r>
        <w:rPr>
          <w:noProof/>
        </w:rPr>
        <w:t>Investīcija 4.1: Digitālā tūrisma centrs</w:t>
      </w:r>
    </w:p>
    <w:bookmarkEnd w:id="12"/>
    <w:p w14:paraId="5BE56429" w14:textId="22F2A0D8" w:rsidR="00327FF1" w:rsidRDefault="00E406C7">
      <w:pPr>
        <w:pStyle w:val="P68B1DB1-Normal8"/>
        <w:spacing w:before="120" w:after="120"/>
        <w:jc w:val="both"/>
        <w:rPr>
          <w:rStyle w:val="eop"/>
          <w:rFonts w:eastAsiaTheme="majorEastAsia"/>
          <w:noProof/>
          <w:snapToGrid w:val="0"/>
          <w:color w:val="000000"/>
          <w:sz w:val="0"/>
          <w:szCs w:val="0"/>
          <w:u w:color="000000"/>
          <w:bdr w:val="none" w:sz="0" w:space="0" w:color="000000"/>
          <w:shd w:val="clear" w:color="000000" w:fill="000000"/>
        </w:rPr>
      </w:pPr>
      <w:r>
        <w:rPr>
          <w:noProof/>
        </w:rPr>
        <w:t>Šā pasākuma mērķis ir ļaut visai tūrisma ekosistēmai palielināt, integrēt un izplatīt savu piedāvājumu. Pasākums ietver digitālā tūrisma centra izveidi, kas būtu pieejams īpašā tīmekļa platformā.</w:t>
      </w:r>
    </w:p>
    <w:p w14:paraId="0A406B17" w14:textId="77777777" w:rsidR="00327FF1" w:rsidRDefault="00E406C7">
      <w:pPr>
        <w:pStyle w:val="P68B1DB1-Normal42"/>
        <w:jc w:val="both"/>
        <w:rPr>
          <w:noProof/>
        </w:rPr>
      </w:pPr>
      <w:r>
        <w:rPr>
          <w:noProof/>
        </w:rPr>
        <w:t>Reforma Nr. 4.1. No</w:t>
      </w:r>
      <w:r>
        <w:rPr>
          <w:noProof/>
        </w:rPr>
        <w:t>teikumi par tūristu gidu profesiju pasūtīšanu</w:t>
      </w:r>
    </w:p>
    <w:p w14:paraId="6458FDF0" w14:textId="77777777" w:rsidR="00327FF1" w:rsidRDefault="00E406C7">
      <w:pPr>
        <w:spacing w:before="120" w:after="120"/>
        <w:jc w:val="both"/>
        <w:rPr>
          <w:rFonts w:eastAsiaTheme="majorEastAsia" w:cstheme="majorBidi"/>
          <w:b/>
          <w:noProof/>
          <w:color w:val="0F4761" w:themeColor="accent1" w:themeShade="BF"/>
          <w:sz w:val="28"/>
          <w:szCs w:val="28"/>
          <w:u w:val="single"/>
        </w:rPr>
      </w:pPr>
      <w:r>
        <w:rPr>
          <w:rFonts w:ascii="Times New Roman" w:eastAsia="Times New Roman" w:hAnsi="Times New Roman" w:cs="Times New Roman"/>
          <w:noProof/>
        </w:rPr>
        <w:t>Ieguldījumu digitālajā tūrisma centrā papildina reforma, kuras mērķis ir racionalizēt tūrisma gidu regulas. Pasākums, pienācīgi ņemot vērā vietējos noteikumus, paredz profesionālu tūrisma gidu organizāciju un t</w:t>
      </w:r>
      <w:r>
        <w:rPr>
          <w:rFonts w:ascii="Times New Roman" w:eastAsia="Times New Roman" w:hAnsi="Times New Roman" w:cs="Times New Roman"/>
          <w:noProof/>
        </w:rPr>
        <w:t xml:space="preserve">o izcelsmes apgabalu. Reformas sistemātiska un vienveidīga piemērošana ļautu reglamentēt profesijas pamatprincipus un standartizēt pakalpojumu sniegšanas līmeņus visā valsts teritorijā, pozitīvi ietekmējot tirgu. Reforma ietver apmācību un tālākizglītību, </w:t>
      </w:r>
      <w:r>
        <w:rPr>
          <w:rFonts w:ascii="Times New Roman" w:eastAsia="Times New Roman" w:hAnsi="Times New Roman" w:cs="Times New Roman"/>
          <w:noProof/>
        </w:rPr>
        <w:t>lai vislabāk atbalstītu piedāvājumu.</w:t>
      </w:r>
    </w:p>
    <w:p w14:paraId="4512BCF3" w14:textId="77777777" w:rsidR="00327FF1" w:rsidRDefault="00327FF1">
      <w:pPr>
        <w:pStyle w:val="Heading3"/>
        <w:ind w:left="850" w:hanging="850"/>
        <w:rPr>
          <w:b/>
          <w:noProof/>
          <w:u w:val="single"/>
        </w:rPr>
        <w:sectPr w:rsidR="00327FF1" w:rsidSect="005F11B9">
          <w:headerReference w:type="default" r:id="rId60"/>
          <w:footerReference w:type="default" r:id="rId61"/>
          <w:pgSz w:w="11906" w:h="16838"/>
          <w:pgMar w:top="1440" w:right="1440" w:bottom="1440" w:left="1440" w:header="708" w:footer="708" w:gutter="0"/>
          <w:cols w:space="708"/>
          <w:docGrid w:linePitch="360"/>
        </w:sectPr>
      </w:pPr>
    </w:p>
    <w:p w14:paraId="7AE78B2B" w14:textId="77777777" w:rsidR="00327FF1" w:rsidRDefault="00E406C7">
      <w:pPr>
        <w:pStyle w:val="P68B1DB1-Heading39"/>
        <w:ind w:left="850" w:hanging="850"/>
        <w:rPr>
          <w:b/>
          <w:bCs/>
          <w:i/>
          <w:iCs/>
          <w:noProof/>
          <w:u w:val="single"/>
        </w:rPr>
      </w:pPr>
      <w:r>
        <w:rPr>
          <w:b/>
          <w:noProof/>
          <w:u w:val="single"/>
        </w:rPr>
        <w:t xml:space="preserve">C.2. </w:t>
      </w:r>
      <w:r>
        <w:rPr>
          <w:noProof/>
        </w:rPr>
        <w:t xml:space="preserve"> </w:t>
      </w:r>
      <w:r>
        <w:rPr>
          <w:b/>
          <w:noProof/>
          <w:u w:val="single"/>
        </w:rPr>
        <w:t>Starpposma mērķi, mērķrādītāji, rādītāji un neatmaksājama finansiālā atbalsta uzraudzības un īstenošanas grafiks</w:t>
      </w:r>
    </w:p>
    <w:tbl>
      <w:tblPr>
        <w:tblW w:w="15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8"/>
        <w:gridCol w:w="1705"/>
        <w:gridCol w:w="990"/>
        <w:gridCol w:w="1563"/>
        <w:gridCol w:w="1243"/>
        <w:gridCol w:w="1135"/>
        <w:gridCol w:w="1307"/>
        <w:gridCol w:w="1132"/>
        <w:gridCol w:w="848"/>
        <w:gridCol w:w="694"/>
        <w:gridCol w:w="3672"/>
      </w:tblGrid>
      <w:tr w:rsidR="00327FF1" w14:paraId="7D4E2920" w14:textId="77777777">
        <w:trPr>
          <w:trHeight w:val="1013"/>
          <w:tblHeader/>
          <w:jc w:val="center"/>
        </w:trPr>
        <w:tc>
          <w:tcPr>
            <w:tcW w:w="366" w:type="pct"/>
            <w:vMerge w:val="restart"/>
            <w:shd w:val="clear" w:color="auto" w:fill="BDD7EE"/>
            <w:vAlign w:val="center"/>
          </w:tcPr>
          <w:p w14:paraId="1FD2E91C" w14:textId="77777777" w:rsidR="00327FF1" w:rsidRDefault="00E406C7">
            <w:pPr>
              <w:pStyle w:val="P68B1DB1-Normal10"/>
              <w:spacing w:after="200" w:line="276" w:lineRule="auto"/>
              <w:rPr>
                <w:bCs/>
                <w:noProof/>
                <w:szCs w:val="20"/>
              </w:rPr>
            </w:pPr>
            <w:r>
              <w:rPr>
                <w:noProof/>
              </w:rPr>
              <w:t>Kārtas numurs</w:t>
            </w:r>
          </w:p>
        </w:tc>
        <w:tc>
          <w:tcPr>
            <w:tcW w:w="553" w:type="pct"/>
            <w:vMerge w:val="restart"/>
            <w:shd w:val="clear" w:color="auto" w:fill="BDD7EE"/>
            <w:vAlign w:val="center"/>
          </w:tcPr>
          <w:p w14:paraId="79458DA4" w14:textId="77777777" w:rsidR="00327FF1" w:rsidRDefault="00E406C7">
            <w:pPr>
              <w:pStyle w:val="P68B1DB1-Normal10"/>
              <w:jc w:val="center"/>
              <w:rPr>
                <w:noProof/>
                <w:szCs w:val="20"/>
              </w:rPr>
            </w:pPr>
            <w:r>
              <w:rPr>
                <w:noProof/>
              </w:rPr>
              <w:t>Pasākums</w:t>
            </w:r>
          </w:p>
        </w:tc>
        <w:tc>
          <w:tcPr>
            <w:tcW w:w="321" w:type="pct"/>
            <w:vMerge w:val="restart"/>
            <w:shd w:val="clear" w:color="auto" w:fill="BDD7EE"/>
            <w:vAlign w:val="center"/>
          </w:tcPr>
          <w:p w14:paraId="7C57CECD" w14:textId="77777777" w:rsidR="00327FF1" w:rsidRDefault="00E406C7">
            <w:pPr>
              <w:pStyle w:val="P68B1DB1-Normal10"/>
              <w:jc w:val="center"/>
              <w:rPr>
                <w:noProof/>
                <w:szCs w:val="20"/>
              </w:rPr>
            </w:pPr>
            <w:r>
              <w:rPr>
                <w:noProof/>
              </w:rPr>
              <w:t>Atskaites punkts/mērķrādīt</w:t>
            </w:r>
            <w:r>
              <w:rPr>
                <w:noProof/>
              </w:rPr>
              <w:t>ājs</w:t>
            </w:r>
          </w:p>
        </w:tc>
        <w:tc>
          <w:tcPr>
            <w:tcW w:w="507" w:type="pct"/>
            <w:vMerge w:val="restart"/>
            <w:shd w:val="clear" w:color="auto" w:fill="BDD7EE"/>
            <w:vAlign w:val="center"/>
          </w:tcPr>
          <w:p w14:paraId="4FA582FC" w14:textId="77777777" w:rsidR="00327FF1" w:rsidRDefault="00E406C7">
            <w:pPr>
              <w:pStyle w:val="P68B1DB1-Normal10"/>
              <w:jc w:val="center"/>
              <w:rPr>
                <w:noProof/>
                <w:szCs w:val="20"/>
              </w:rPr>
            </w:pPr>
            <w:r>
              <w:rPr>
                <w:noProof/>
              </w:rPr>
              <w:t>Nosaukums</w:t>
            </w:r>
          </w:p>
        </w:tc>
        <w:tc>
          <w:tcPr>
            <w:tcW w:w="403" w:type="pct"/>
            <w:vMerge w:val="restart"/>
            <w:shd w:val="clear" w:color="auto" w:fill="BDD7EE"/>
            <w:vAlign w:val="center"/>
          </w:tcPr>
          <w:p w14:paraId="1B9EE8C6" w14:textId="36AF51D7"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t xml:space="preserve"> </w:t>
            </w:r>
            <w:r>
              <w:rPr>
                <w:noProof/>
              </w:rPr>
              <w:br/>
            </w:r>
            <w:r>
              <w:rPr>
                <w:rFonts w:ascii="Arial Narrow" w:hAnsi="Arial Narrow"/>
                <w:b/>
                <w:noProof/>
                <w:sz w:val="20"/>
              </w:rPr>
              <w:t>(attiecībā uz starpposma mērķiem)</w:t>
            </w:r>
          </w:p>
        </w:tc>
        <w:tc>
          <w:tcPr>
            <w:tcW w:w="1159" w:type="pct"/>
            <w:gridSpan w:val="3"/>
            <w:shd w:val="clear" w:color="auto" w:fill="BDD7EE"/>
            <w:vAlign w:val="center"/>
          </w:tcPr>
          <w:p w14:paraId="3A54A4A2" w14:textId="0D955196" w:rsidR="00327FF1" w:rsidRDefault="00E406C7">
            <w:pPr>
              <w:jc w:val="center"/>
              <w:rPr>
                <w:rFonts w:ascii="Arial Narrow" w:hAnsi="Arial Narrow"/>
                <w:b/>
                <w:noProof/>
                <w:sz w:val="20"/>
                <w:szCs w:val="20"/>
              </w:rPr>
            </w:pPr>
            <w:r>
              <w:rPr>
                <w:rFonts w:ascii="Arial Narrow" w:hAnsi="Arial Narrow"/>
                <w:b/>
                <w:noProof/>
                <w:sz w:val="20"/>
              </w:rPr>
              <w:t>Kvantitatīvie rādītāji</w:t>
            </w:r>
            <w:r>
              <w:rPr>
                <w:noProof/>
              </w:rPr>
              <w:t xml:space="preserve"> </w:t>
            </w:r>
            <w:r>
              <w:rPr>
                <w:noProof/>
              </w:rPr>
              <w:br/>
            </w:r>
            <w:r>
              <w:rPr>
                <w:rFonts w:ascii="Arial Narrow" w:hAnsi="Arial Narrow"/>
                <w:b/>
                <w:noProof/>
                <w:sz w:val="20"/>
              </w:rPr>
              <w:t>(mērķiem)</w:t>
            </w:r>
          </w:p>
        </w:tc>
        <w:tc>
          <w:tcPr>
            <w:tcW w:w="500" w:type="pct"/>
            <w:gridSpan w:val="2"/>
            <w:shd w:val="clear" w:color="auto" w:fill="BDD7EE"/>
            <w:vAlign w:val="center"/>
          </w:tcPr>
          <w:p w14:paraId="5C3CB73D" w14:textId="77777777" w:rsidR="00327FF1" w:rsidRDefault="00E406C7">
            <w:pPr>
              <w:pStyle w:val="P68B1DB1-Normal10"/>
              <w:jc w:val="center"/>
              <w:rPr>
                <w:noProof/>
                <w:szCs w:val="20"/>
              </w:rPr>
            </w:pPr>
            <w:r>
              <w:rPr>
                <w:noProof/>
              </w:rPr>
              <w:t>Orientējošs pabeigšanas termiņš</w:t>
            </w:r>
          </w:p>
        </w:tc>
        <w:tc>
          <w:tcPr>
            <w:tcW w:w="1191" w:type="pct"/>
            <w:vMerge w:val="restart"/>
            <w:shd w:val="clear" w:color="auto" w:fill="BDD7EE"/>
            <w:vAlign w:val="center"/>
          </w:tcPr>
          <w:p w14:paraId="204E7794" w14:textId="77777777" w:rsidR="00327FF1" w:rsidRDefault="00E406C7">
            <w:pPr>
              <w:pStyle w:val="P68B1DB1-Normal10"/>
              <w:rPr>
                <w:noProof/>
                <w:szCs w:val="20"/>
              </w:rPr>
            </w:pPr>
            <w:r>
              <w:rPr>
                <w:noProof/>
              </w:rPr>
              <w:t>Apraksts par katru atskaites punktu un mērķrādītāju</w:t>
            </w:r>
          </w:p>
        </w:tc>
      </w:tr>
      <w:tr w:rsidR="00327FF1" w14:paraId="46AD13C3" w14:textId="77777777">
        <w:trPr>
          <w:trHeight w:val="363"/>
          <w:tblHeader/>
          <w:jc w:val="center"/>
        </w:trPr>
        <w:tc>
          <w:tcPr>
            <w:tcW w:w="366" w:type="pct"/>
            <w:vMerge/>
            <w:vAlign w:val="center"/>
            <w:hideMark/>
          </w:tcPr>
          <w:p w14:paraId="3A8CB1F4" w14:textId="77777777" w:rsidR="00327FF1" w:rsidRDefault="00327FF1">
            <w:pPr>
              <w:spacing w:after="200" w:line="276" w:lineRule="auto"/>
              <w:rPr>
                <w:rFonts w:ascii="Arial Narrow" w:hAnsi="Arial Narrow"/>
                <w:b/>
                <w:noProof/>
                <w:sz w:val="20"/>
                <w:szCs w:val="20"/>
              </w:rPr>
            </w:pPr>
          </w:p>
        </w:tc>
        <w:tc>
          <w:tcPr>
            <w:tcW w:w="553" w:type="pct"/>
            <w:vMerge/>
            <w:vAlign w:val="center"/>
            <w:hideMark/>
          </w:tcPr>
          <w:p w14:paraId="4293A4E6" w14:textId="77777777" w:rsidR="00327FF1" w:rsidRDefault="00327FF1">
            <w:pPr>
              <w:jc w:val="center"/>
              <w:rPr>
                <w:rFonts w:ascii="Arial Narrow" w:hAnsi="Arial Narrow"/>
                <w:b/>
                <w:noProof/>
                <w:sz w:val="20"/>
                <w:szCs w:val="20"/>
              </w:rPr>
            </w:pPr>
          </w:p>
        </w:tc>
        <w:tc>
          <w:tcPr>
            <w:tcW w:w="321" w:type="pct"/>
            <w:vMerge/>
            <w:vAlign w:val="center"/>
            <w:hideMark/>
          </w:tcPr>
          <w:p w14:paraId="3529DB6E" w14:textId="77777777" w:rsidR="00327FF1" w:rsidRDefault="00327FF1">
            <w:pPr>
              <w:jc w:val="center"/>
              <w:rPr>
                <w:rFonts w:ascii="Arial Narrow" w:hAnsi="Arial Narrow"/>
                <w:b/>
                <w:noProof/>
                <w:sz w:val="20"/>
                <w:szCs w:val="20"/>
              </w:rPr>
            </w:pPr>
          </w:p>
        </w:tc>
        <w:tc>
          <w:tcPr>
            <w:tcW w:w="507" w:type="pct"/>
            <w:vMerge/>
            <w:vAlign w:val="center"/>
            <w:hideMark/>
          </w:tcPr>
          <w:p w14:paraId="21D3D691" w14:textId="77777777" w:rsidR="00327FF1" w:rsidRDefault="00327FF1">
            <w:pPr>
              <w:jc w:val="center"/>
              <w:rPr>
                <w:rFonts w:ascii="Arial Narrow" w:hAnsi="Arial Narrow"/>
                <w:b/>
                <w:noProof/>
                <w:sz w:val="20"/>
                <w:szCs w:val="20"/>
              </w:rPr>
            </w:pPr>
          </w:p>
        </w:tc>
        <w:tc>
          <w:tcPr>
            <w:tcW w:w="403" w:type="pct"/>
            <w:vMerge/>
            <w:vAlign w:val="center"/>
            <w:hideMark/>
          </w:tcPr>
          <w:p w14:paraId="56DB36B7" w14:textId="77777777" w:rsidR="00327FF1" w:rsidRDefault="00327FF1">
            <w:pPr>
              <w:jc w:val="center"/>
              <w:rPr>
                <w:rFonts w:ascii="Arial Narrow" w:hAnsi="Arial Narrow"/>
                <w:b/>
                <w:noProof/>
                <w:sz w:val="20"/>
                <w:szCs w:val="20"/>
              </w:rPr>
            </w:pPr>
          </w:p>
        </w:tc>
        <w:tc>
          <w:tcPr>
            <w:tcW w:w="368" w:type="pct"/>
            <w:shd w:val="clear" w:color="auto" w:fill="BDD7EE"/>
            <w:vAlign w:val="center"/>
            <w:hideMark/>
          </w:tcPr>
          <w:p w14:paraId="32CEF39B" w14:textId="77777777" w:rsidR="00327FF1" w:rsidRDefault="00E406C7">
            <w:pPr>
              <w:pStyle w:val="P68B1DB1-Normal10"/>
              <w:jc w:val="center"/>
              <w:rPr>
                <w:noProof/>
                <w:szCs w:val="20"/>
              </w:rPr>
            </w:pPr>
            <w:r>
              <w:rPr>
                <w:noProof/>
              </w:rPr>
              <w:t>Mēra vienība</w:t>
            </w:r>
          </w:p>
        </w:tc>
        <w:tc>
          <w:tcPr>
            <w:tcW w:w="424" w:type="pct"/>
            <w:shd w:val="clear" w:color="auto" w:fill="BDD7EE"/>
            <w:vAlign w:val="center"/>
            <w:hideMark/>
          </w:tcPr>
          <w:p w14:paraId="48645514" w14:textId="77777777" w:rsidR="00327FF1" w:rsidRDefault="00E406C7">
            <w:pPr>
              <w:pStyle w:val="P68B1DB1-Normal10"/>
              <w:jc w:val="center"/>
              <w:rPr>
                <w:noProof/>
                <w:szCs w:val="20"/>
              </w:rPr>
            </w:pPr>
            <w:r>
              <w:rPr>
                <w:noProof/>
              </w:rPr>
              <w:t>Pamatscenārijs</w:t>
            </w:r>
          </w:p>
        </w:tc>
        <w:tc>
          <w:tcPr>
            <w:tcW w:w="367" w:type="pct"/>
            <w:shd w:val="clear" w:color="auto" w:fill="BDD7EE"/>
            <w:vAlign w:val="center"/>
            <w:hideMark/>
          </w:tcPr>
          <w:p w14:paraId="4C20BCF4" w14:textId="77777777" w:rsidR="00327FF1" w:rsidRDefault="00E406C7">
            <w:pPr>
              <w:pStyle w:val="P68B1DB1-Normal10"/>
              <w:jc w:val="center"/>
              <w:rPr>
                <w:noProof/>
                <w:szCs w:val="20"/>
              </w:rPr>
            </w:pPr>
            <w:r>
              <w:rPr>
                <w:noProof/>
              </w:rPr>
              <w:t>Mērķis</w:t>
            </w:r>
          </w:p>
        </w:tc>
        <w:tc>
          <w:tcPr>
            <w:tcW w:w="275" w:type="pct"/>
            <w:shd w:val="clear" w:color="auto" w:fill="BDD7EE"/>
            <w:vAlign w:val="center"/>
            <w:hideMark/>
          </w:tcPr>
          <w:p w14:paraId="1EFDAA92" w14:textId="77777777" w:rsidR="00327FF1" w:rsidRDefault="00E406C7">
            <w:pPr>
              <w:pStyle w:val="P68B1DB1-Normal10"/>
              <w:jc w:val="center"/>
              <w:rPr>
                <w:noProof/>
                <w:szCs w:val="20"/>
              </w:rPr>
            </w:pPr>
            <w:r>
              <w:rPr>
                <w:noProof/>
              </w:rPr>
              <w:t>Ceturkšņa laikā</w:t>
            </w:r>
          </w:p>
        </w:tc>
        <w:tc>
          <w:tcPr>
            <w:tcW w:w="225" w:type="pct"/>
            <w:shd w:val="clear" w:color="auto" w:fill="BDD7EE"/>
            <w:vAlign w:val="center"/>
            <w:hideMark/>
          </w:tcPr>
          <w:p w14:paraId="048552EC" w14:textId="77777777" w:rsidR="00327FF1" w:rsidRDefault="00E406C7">
            <w:pPr>
              <w:pStyle w:val="P68B1DB1-Normal10"/>
              <w:jc w:val="center"/>
              <w:rPr>
                <w:noProof/>
                <w:szCs w:val="20"/>
              </w:rPr>
            </w:pPr>
            <w:r>
              <w:rPr>
                <w:noProof/>
              </w:rPr>
              <w:t>Gadu</w:t>
            </w:r>
          </w:p>
        </w:tc>
        <w:tc>
          <w:tcPr>
            <w:tcW w:w="1191" w:type="pct"/>
            <w:vMerge/>
            <w:vAlign w:val="center"/>
            <w:hideMark/>
          </w:tcPr>
          <w:p w14:paraId="09CADDD6" w14:textId="77777777" w:rsidR="00327FF1" w:rsidRDefault="00327FF1">
            <w:pPr>
              <w:rPr>
                <w:rFonts w:ascii="Arial Narrow" w:hAnsi="Arial Narrow"/>
                <w:b/>
                <w:noProof/>
                <w:sz w:val="20"/>
                <w:szCs w:val="20"/>
              </w:rPr>
            </w:pPr>
          </w:p>
        </w:tc>
      </w:tr>
      <w:tr w:rsidR="00327FF1" w14:paraId="75EFAF18" w14:textId="77777777">
        <w:trPr>
          <w:trHeight w:val="309"/>
          <w:jc w:val="center"/>
        </w:trPr>
        <w:tc>
          <w:tcPr>
            <w:tcW w:w="366" w:type="pct"/>
            <w:shd w:val="clear" w:color="auto" w:fill="C6EFCE"/>
            <w:noWrap/>
            <w:vAlign w:val="center"/>
            <w:hideMark/>
          </w:tcPr>
          <w:p w14:paraId="78DC0271" w14:textId="77777777" w:rsidR="00327FF1" w:rsidRDefault="00E406C7">
            <w:pPr>
              <w:pStyle w:val="P68B1DB1-Normal12"/>
              <w:jc w:val="center"/>
              <w:rPr>
                <w:noProof/>
              </w:rPr>
            </w:pPr>
            <w:r>
              <w:rPr>
                <w:noProof/>
              </w:rPr>
              <w:t>M1C3–2</w:t>
            </w:r>
          </w:p>
        </w:tc>
        <w:tc>
          <w:tcPr>
            <w:tcW w:w="553" w:type="pct"/>
            <w:shd w:val="clear" w:color="auto" w:fill="C6EFCE"/>
            <w:noWrap/>
            <w:vAlign w:val="center"/>
            <w:hideMark/>
          </w:tcPr>
          <w:p w14:paraId="2B56AAC1" w14:textId="77777777" w:rsidR="00327FF1" w:rsidRDefault="00E406C7">
            <w:pPr>
              <w:pStyle w:val="P68B1DB1-Normal11"/>
              <w:jc w:val="center"/>
              <w:rPr>
                <w:noProof/>
                <w:szCs w:val="20"/>
              </w:rPr>
            </w:pPr>
            <w:r>
              <w:rPr>
                <w:noProof/>
              </w:rPr>
              <w:t>Investīcijas — 1.1. Digitālā stratēģija un kultūras mantojuma platformas</w:t>
            </w:r>
          </w:p>
        </w:tc>
        <w:tc>
          <w:tcPr>
            <w:tcW w:w="321" w:type="pct"/>
            <w:shd w:val="clear" w:color="auto" w:fill="C6EFCE"/>
            <w:noWrap/>
            <w:vAlign w:val="center"/>
            <w:hideMark/>
          </w:tcPr>
          <w:p w14:paraId="36E171C6" w14:textId="77777777" w:rsidR="00327FF1" w:rsidRDefault="00E406C7">
            <w:pPr>
              <w:pStyle w:val="P68B1DB1-Normal11"/>
              <w:jc w:val="center"/>
              <w:rPr>
                <w:noProof/>
                <w:szCs w:val="20"/>
              </w:rPr>
            </w:pPr>
            <w:r>
              <w:rPr>
                <w:noProof/>
              </w:rPr>
              <w:t>Mērķa</w:t>
            </w:r>
          </w:p>
        </w:tc>
        <w:tc>
          <w:tcPr>
            <w:tcW w:w="507" w:type="pct"/>
            <w:shd w:val="clear" w:color="auto" w:fill="C6EFCE"/>
            <w:noWrap/>
            <w:vAlign w:val="center"/>
            <w:hideMark/>
          </w:tcPr>
          <w:p w14:paraId="01D69399" w14:textId="0D2A4DD8" w:rsidR="00327FF1" w:rsidRDefault="00E406C7">
            <w:pPr>
              <w:pStyle w:val="P68B1DB1-Normal11"/>
              <w:jc w:val="center"/>
              <w:rPr>
                <w:noProof/>
                <w:szCs w:val="20"/>
              </w:rPr>
            </w:pPr>
            <w:r>
              <w:rPr>
                <w:noProof/>
              </w:rPr>
              <w:t>Publicētie digitālie un plašsaziņas līdzekļu resursi</w:t>
            </w:r>
          </w:p>
        </w:tc>
        <w:tc>
          <w:tcPr>
            <w:tcW w:w="403" w:type="pct"/>
            <w:shd w:val="clear" w:color="auto" w:fill="C6EFCE"/>
            <w:noWrap/>
            <w:vAlign w:val="center"/>
            <w:hideMark/>
          </w:tcPr>
          <w:p w14:paraId="1FE8FFD1" w14:textId="77777777" w:rsidR="00327FF1" w:rsidRDefault="00E406C7">
            <w:pPr>
              <w:pStyle w:val="P68B1DB1-Normal11"/>
              <w:jc w:val="center"/>
              <w:rPr>
                <w:noProof/>
                <w:szCs w:val="20"/>
              </w:rPr>
            </w:pPr>
            <w:r>
              <w:rPr>
                <w:noProof/>
              </w:rPr>
              <w:t>NEPIEMĒRO</w:t>
            </w:r>
          </w:p>
        </w:tc>
        <w:tc>
          <w:tcPr>
            <w:tcW w:w="368" w:type="pct"/>
            <w:shd w:val="clear" w:color="auto" w:fill="C6EFCE"/>
            <w:noWrap/>
            <w:vAlign w:val="center"/>
            <w:hideMark/>
          </w:tcPr>
          <w:p w14:paraId="48AAC759" w14:textId="77777777" w:rsidR="00327FF1" w:rsidRDefault="00E406C7">
            <w:pPr>
              <w:pStyle w:val="P68B1DB1-Normal11"/>
              <w:jc w:val="center"/>
              <w:rPr>
                <w:noProof/>
                <w:szCs w:val="20"/>
              </w:rPr>
            </w:pPr>
            <w:r>
              <w:rPr>
                <w:noProof/>
              </w:rPr>
              <w:t>Skaits</w:t>
            </w:r>
          </w:p>
        </w:tc>
        <w:tc>
          <w:tcPr>
            <w:tcW w:w="424" w:type="pct"/>
            <w:shd w:val="clear" w:color="auto" w:fill="C6EFCE"/>
            <w:noWrap/>
            <w:vAlign w:val="center"/>
            <w:hideMark/>
          </w:tcPr>
          <w:p w14:paraId="5AAE8AAE" w14:textId="77777777" w:rsidR="00327FF1" w:rsidRDefault="00E406C7">
            <w:pPr>
              <w:pStyle w:val="P68B1DB1-Normal11"/>
              <w:jc w:val="center"/>
              <w:rPr>
                <w:noProof/>
                <w:szCs w:val="20"/>
              </w:rPr>
            </w:pPr>
            <w:r>
              <w:rPr>
                <w:noProof/>
              </w:rPr>
              <w:t>0</w:t>
            </w:r>
          </w:p>
        </w:tc>
        <w:tc>
          <w:tcPr>
            <w:tcW w:w="367" w:type="pct"/>
            <w:shd w:val="clear" w:color="auto" w:fill="C6EFCE"/>
            <w:noWrap/>
            <w:vAlign w:val="center"/>
            <w:hideMark/>
          </w:tcPr>
          <w:p w14:paraId="750B1DE2" w14:textId="77777777" w:rsidR="00327FF1" w:rsidRDefault="00E406C7">
            <w:pPr>
              <w:pStyle w:val="P68B1DB1-Normal11"/>
              <w:jc w:val="center"/>
              <w:rPr>
                <w:noProof/>
                <w:szCs w:val="20"/>
              </w:rPr>
            </w:pPr>
            <w:r>
              <w:rPr>
                <w:noProof/>
              </w:rPr>
              <w:t>65 000 000</w:t>
            </w:r>
          </w:p>
        </w:tc>
        <w:tc>
          <w:tcPr>
            <w:tcW w:w="275" w:type="pct"/>
            <w:shd w:val="clear" w:color="auto" w:fill="C6EFCE"/>
            <w:noWrap/>
            <w:vAlign w:val="center"/>
            <w:hideMark/>
          </w:tcPr>
          <w:p w14:paraId="46865DCA" w14:textId="77777777" w:rsidR="00327FF1" w:rsidRDefault="00E406C7">
            <w:pPr>
              <w:pStyle w:val="P68B1DB1-Normal11"/>
              <w:jc w:val="center"/>
              <w:rPr>
                <w:noProof/>
                <w:szCs w:val="20"/>
              </w:rPr>
            </w:pPr>
            <w:r>
              <w:rPr>
                <w:noProof/>
              </w:rPr>
              <w:t>4. CET.</w:t>
            </w:r>
          </w:p>
        </w:tc>
        <w:tc>
          <w:tcPr>
            <w:tcW w:w="225" w:type="pct"/>
            <w:shd w:val="clear" w:color="auto" w:fill="C6EFCE"/>
            <w:noWrap/>
            <w:vAlign w:val="center"/>
            <w:hideMark/>
          </w:tcPr>
          <w:p w14:paraId="61F0665F" w14:textId="474A164B" w:rsidR="00327FF1" w:rsidRDefault="00E406C7">
            <w:pPr>
              <w:pStyle w:val="P68B1DB1-Normal11"/>
              <w:jc w:val="center"/>
              <w:rPr>
                <w:noProof/>
                <w:szCs w:val="20"/>
              </w:rPr>
            </w:pPr>
            <w:r>
              <w:rPr>
                <w:noProof/>
              </w:rPr>
              <w:t>2025</w:t>
            </w:r>
          </w:p>
        </w:tc>
        <w:tc>
          <w:tcPr>
            <w:tcW w:w="1191" w:type="pct"/>
            <w:shd w:val="clear" w:color="auto" w:fill="C6EFCE"/>
            <w:noWrap/>
            <w:vAlign w:val="center"/>
            <w:hideMark/>
          </w:tcPr>
          <w:p w14:paraId="5E942F83" w14:textId="54CBFA77" w:rsidR="00327FF1" w:rsidRDefault="00E406C7">
            <w:pPr>
              <w:pStyle w:val="P68B1DB1-Normal11"/>
              <w:rPr>
                <w:noProof/>
                <w:szCs w:val="20"/>
              </w:rPr>
            </w:pPr>
            <w:r>
              <w:rPr>
                <w:noProof/>
              </w:rPr>
              <w:t>Publicē vismaz 65000000 digitālo mediju resursu.</w:t>
            </w:r>
          </w:p>
        </w:tc>
      </w:tr>
      <w:tr w:rsidR="00327FF1" w14:paraId="2A98186A" w14:textId="77777777">
        <w:trPr>
          <w:trHeight w:val="309"/>
          <w:jc w:val="center"/>
        </w:trPr>
        <w:tc>
          <w:tcPr>
            <w:tcW w:w="366" w:type="pct"/>
            <w:shd w:val="clear" w:color="auto" w:fill="C6EFCE"/>
            <w:noWrap/>
            <w:vAlign w:val="center"/>
            <w:hideMark/>
          </w:tcPr>
          <w:p w14:paraId="071D2B40" w14:textId="77777777" w:rsidR="00327FF1" w:rsidRDefault="00E406C7">
            <w:pPr>
              <w:pStyle w:val="P68B1DB1-Normal12"/>
              <w:jc w:val="center"/>
              <w:rPr>
                <w:noProof/>
              </w:rPr>
            </w:pPr>
            <w:r>
              <w:rPr>
                <w:noProof/>
              </w:rPr>
              <w:t>M1C3–3</w:t>
            </w:r>
          </w:p>
        </w:tc>
        <w:tc>
          <w:tcPr>
            <w:tcW w:w="553" w:type="pct"/>
            <w:shd w:val="clear" w:color="auto" w:fill="C6EFCE"/>
            <w:noWrap/>
            <w:vAlign w:val="center"/>
            <w:hideMark/>
          </w:tcPr>
          <w:p w14:paraId="0510EFB9" w14:textId="77777777" w:rsidR="00327FF1" w:rsidRDefault="00E406C7">
            <w:pPr>
              <w:pStyle w:val="P68B1DB1-Normal11"/>
              <w:jc w:val="center"/>
              <w:rPr>
                <w:noProof/>
                <w:szCs w:val="20"/>
              </w:rPr>
            </w:pPr>
            <w:r>
              <w:rPr>
                <w:noProof/>
              </w:rPr>
              <w:t xml:space="preserve">Ieguldījums — </w:t>
            </w:r>
            <w:r>
              <w:rPr>
                <w:noProof/>
              </w:rPr>
              <w:t>1.2. Fizisko un kognitīvo šķēršļu likvidēšana muzejos, bibliotēkās un arhīvos, lai nodrošinātu plašāku piekļuvi kultūrai un līdzdalību tajā</w:t>
            </w:r>
          </w:p>
        </w:tc>
        <w:tc>
          <w:tcPr>
            <w:tcW w:w="321" w:type="pct"/>
            <w:shd w:val="clear" w:color="auto" w:fill="C6EFCE"/>
            <w:noWrap/>
            <w:vAlign w:val="center"/>
            <w:hideMark/>
          </w:tcPr>
          <w:p w14:paraId="75C94BE5" w14:textId="77777777" w:rsidR="00327FF1" w:rsidRDefault="00E406C7">
            <w:pPr>
              <w:pStyle w:val="P68B1DB1-Normal11"/>
              <w:jc w:val="center"/>
              <w:rPr>
                <w:noProof/>
                <w:szCs w:val="20"/>
              </w:rPr>
            </w:pPr>
            <w:r>
              <w:rPr>
                <w:noProof/>
              </w:rPr>
              <w:t>Mērķa</w:t>
            </w:r>
          </w:p>
        </w:tc>
        <w:tc>
          <w:tcPr>
            <w:tcW w:w="507" w:type="pct"/>
            <w:shd w:val="clear" w:color="auto" w:fill="C6EFCE"/>
            <w:noWrap/>
            <w:vAlign w:val="center"/>
            <w:hideMark/>
          </w:tcPr>
          <w:p w14:paraId="4671792A" w14:textId="77777777" w:rsidR="00327FF1" w:rsidRDefault="00E406C7">
            <w:pPr>
              <w:pStyle w:val="P68B1DB1-Normal11"/>
              <w:jc w:val="center"/>
              <w:rPr>
                <w:noProof/>
                <w:szCs w:val="20"/>
              </w:rPr>
            </w:pPr>
            <w:r>
              <w:rPr>
                <w:noProof/>
              </w:rPr>
              <w:t xml:space="preserve">Pasākumi fizisko un kognitīvo barjeru likvidēšanai </w:t>
            </w:r>
            <w:r>
              <w:rPr>
                <w:noProof/>
                <w:szCs w:val="20"/>
              </w:rPr>
              <w:t xml:space="preserve">muzejos, piemineļos, arheoloģiskos apgabalos un parkos, </w:t>
            </w:r>
            <w:r>
              <w:rPr>
                <w:noProof/>
                <w:szCs w:val="20"/>
              </w:rPr>
              <w:t>arhīvos un bibliotēkās</w:t>
            </w:r>
          </w:p>
        </w:tc>
        <w:tc>
          <w:tcPr>
            <w:tcW w:w="403" w:type="pct"/>
            <w:shd w:val="clear" w:color="auto" w:fill="C6EFCE"/>
            <w:noWrap/>
            <w:vAlign w:val="center"/>
            <w:hideMark/>
          </w:tcPr>
          <w:p w14:paraId="0A422C88" w14:textId="77777777" w:rsidR="00327FF1" w:rsidRDefault="00E406C7">
            <w:pPr>
              <w:pStyle w:val="P68B1DB1-Normal11"/>
              <w:jc w:val="center"/>
              <w:rPr>
                <w:noProof/>
                <w:szCs w:val="20"/>
              </w:rPr>
            </w:pPr>
            <w:r>
              <w:rPr>
                <w:noProof/>
              </w:rPr>
              <w:t>NEPIEMĒRO</w:t>
            </w:r>
          </w:p>
        </w:tc>
        <w:tc>
          <w:tcPr>
            <w:tcW w:w="368" w:type="pct"/>
            <w:shd w:val="clear" w:color="auto" w:fill="C6EFCE"/>
            <w:noWrap/>
            <w:vAlign w:val="center"/>
            <w:hideMark/>
          </w:tcPr>
          <w:p w14:paraId="27B322F1" w14:textId="77777777" w:rsidR="00327FF1" w:rsidRDefault="00E406C7">
            <w:pPr>
              <w:pStyle w:val="P68B1DB1-Normal11"/>
              <w:jc w:val="center"/>
              <w:rPr>
                <w:noProof/>
                <w:szCs w:val="20"/>
              </w:rPr>
            </w:pPr>
            <w:r>
              <w:rPr>
                <w:noProof/>
              </w:rPr>
              <w:t>Skaits</w:t>
            </w:r>
          </w:p>
        </w:tc>
        <w:tc>
          <w:tcPr>
            <w:tcW w:w="424" w:type="pct"/>
            <w:shd w:val="clear" w:color="auto" w:fill="C6EFCE"/>
            <w:noWrap/>
            <w:vAlign w:val="center"/>
            <w:hideMark/>
          </w:tcPr>
          <w:p w14:paraId="1E50409C" w14:textId="77777777" w:rsidR="00327FF1" w:rsidRDefault="00E406C7">
            <w:pPr>
              <w:pStyle w:val="P68B1DB1-Normal11"/>
              <w:jc w:val="center"/>
              <w:rPr>
                <w:noProof/>
                <w:szCs w:val="20"/>
              </w:rPr>
            </w:pPr>
            <w:r>
              <w:rPr>
                <w:noProof/>
              </w:rPr>
              <w:t>0</w:t>
            </w:r>
          </w:p>
        </w:tc>
        <w:tc>
          <w:tcPr>
            <w:tcW w:w="367" w:type="pct"/>
            <w:shd w:val="clear" w:color="auto" w:fill="C6EFCE"/>
            <w:noWrap/>
            <w:vAlign w:val="center"/>
            <w:hideMark/>
          </w:tcPr>
          <w:p w14:paraId="07CB57F9" w14:textId="77777777" w:rsidR="00327FF1" w:rsidRDefault="00E406C7">
            <w:pPr>
              <w:pStyle w:val="P68B1DB1-Normal11"/>
              <w:jc w:val="center"/>
              <w:rPr>
                <w:noProof/>
                <w:szCs w:val="20"/>
              </w:rPr>
            </w:pPr>
            <w:r>
              <w:rPr>
                <w:noProof/>
              </w:rPr>
              <w:t>617</w:t>
            </w:r>
          </w:p>
        </w:tc>
        <w:tc>
          <w:tcPr>
            <w:tcW w:w="275" w:type="pct"/>
            <w:shd w:val="clear" w:color="auto" w:fill="C6EFCE"/>
            <w:noWrap/>
            <w:vAlign w:val="center"/>
            <w:hideMark/>
          </w:tcPr>
          <w:p w14:paraId="1EFAA0E2" w14:textId="77777777" w:rsidR="00327FF1" w:rsidRDefault="00E406C7">
            <w:pPr>
              <w:pStyle w:val="P68B1DB1-Normal11"/>
              <w:jc w:val="center"/>
              <w:rPr>
                <w:noProof/>
                <w:szCs w:val="20"/>
              </w:rPr>
            </w:pPr>
            <w:r>
              <w:rPr>
                <w:noProof/>
              </w:rPr>
              <w:t>2. CET.</w:t>
            </w:r>
          </w:p>
        </w:tc>
        <w:tc>
          <w:tcPr>
            <w:tcW w:w="225" w:type="pct"/>
            <w:shd w:val="clear" w:color="auto" w:fill="C6EFCE"/>
            <w:noWrap/>
            <w:vAlign w:val="center"/>
            <w:hideMark/>
          </w:tcPr>
          <w:p w14:paraId="0FFAC523" w14:textId="77777777" w:rsidR="00327FF1" w:rsidRDefault="00E406C7">
            <w:pPr>
              <w:pStyle w:val="P68B1DB1-Normal11"/>
              <w:jc w:val="center"/>
              <w:rPr>
                <w:noProof/>
                <w:szCs w:val="20"/>
              </w:rPr>
            </w:pPr>
            <w:r>
              <w:rPr>
                <w:noProof/>
              </w:rPr>
              <w:t>2026</w:t>
            </w:r>
          </w:p>
        </w:tc>
        <w:tc>
          <w:tcPr>
            <w:tcW w:w="1191" w:type="pct"/>
            <w:shd w:val="clear" w:color="auto" w:fill="C6EFCE"/>
            <w:noWrap/>
            <w:vAlign w:val="center"/>
            <w:hideMark/>
          </w:tcPr>
          <w:p w14:paraId="45FA338A" w14:textId="79DF277A" w:rsidR="00327FF1" w:rsidRDefault="00E406C7">
            <w:pPr>
              <w:pStyle w:val="P68B1DB1-Normal12"/>
              <w:rPr>
                <w:noProof/>
              </w:rPr>
            </w:pPr>
            <w:r>
              <w:rPr>
                <w:noProof/>
              </w:rPr>
              <w:t>Sertifikātus par darbu pabeigšanu izsniedz vismaz 617 muzejiem, pieminekļiem, arheoloģiskām zonām un parkiem, arhīviem un bibliotēkām.</w:t>
            </w:r>
          </w:p>
        </w:tc>
      </w:tr>
      <w:tr w:rsidR="00327FF1" w14:paraId="463F85FC" w14:textId="77777777">
        <w:trPr>
          <w:trHeight w:val="309"/>
          <w:jc w:val="center"/>
        </w:trPr>
        <w:tc>
          <w:tcPr>
            <w:tcW w:w="366" w:type="pct"/>
            <w:shd w:val="clear" w:color="auto" w:fill="C6EFCE"/>
            <w:noWrap/>
            <w:vAlign w:val="center"/>
            <w:hideMark/>
          </w:tcPr>
          <w:p w14:paraId="27ED67D6" w14:textId="77777777" w:rsidR="00327FF1" w:rsidRDefault="00E406C7">
            <w:pPr>
              <w:pStyle w:val="P68B1DB1-Normal11"/>
              <w:jc w:val="center"/>
              <w:rPr>
                <w:noProof/>
                <w:szCs w:val="20"/>
              </w:rPr>
            </w:pPr>
            <w:r>
              <w:rPr>
                <w:noProof/>
              </w:rPr>
              <w:t>M1C3–4</w:t>
            </w:r>
          </w:p>
        </w:tc>
        <w:tc>
          <w:tcPr>
            <w:tcW w:w="553" w:type="pct"/>
            <w:shd w:val="clear" w:color="auto" w:fill="C6EFCE"/>
            <w:noWrap/>
            <w:vAlign w:val="center"/>
            <w:hideMark/>
          </w:tcPr>
          <w:p w14:paraId="59B5419A" w14:textId="77777777" w:rsidR="00327FF1" w:rsidRDefault="00E406C7">
            <w:pPr>
              <w:pStyle w:val="P68B1DB1-Normal11"/>
              <w:jc w:val="center"/>
              <w:rPr>
                <w:noProof/>
                <w:szCs w:val="20"/>
              </w:rPr>
            </w:pPr>
            <w:r>
              <w:rPr>
                <w:noProof/>
              </w:rPr>
              <w:t xml:space="preserve">Ieguldījums — 1.3. Energoefektivitātes uzlabošana </w:t>
            </w:r>
            <w:r>
              <w:rPr>
                <w:noProof/>
              </w:rPr>
              <w:t>kinoteātros, teātros un muzejos</w:t>
            </w:r>
          </w:p>
        </w:tc>
        <w:tc>
          <w:tcPr>
            <w:tcW w:w="321" w:type="pct"/>
            <w:shd w:val="clear" w:color="auto" w:fill="C6EFCE"/>
            <w:noWrap/>
            <w:vAlign w:val="center"/>
            <w:hideMark/>
          </w:tcPr>
          <w:p w14:paraId="19A28804" w14:textId="77777777" w:rsidR="00327FF1" w:rsidRDefault="00E406C7">
            <w:pPr>
              <w:pStyle w:val="P68B1DB1-Normal11"/>
              <w:jc w:val="center"/>
              <w:rPr>
                <w:noProof/>
                <w:szCs w:val="20"/>
              </w:rPr>
            </w:pPr>
            <w:r>
              <w:rPr>
                <w:noProof/>
              </w:rPr>
              <w:t>Mērķa</w:t>
            </w:r>
          </w:p>
        </w:tc>
        <w:tc>
          <w:tcPr>
            <w:tcW w:w="507" w:type="pct"/>
            <w:shd w:val="clear" w:color="auto" w:fill="C6EFCE"/>
            <w:noWrap/>
            <w:vAlign w:val="center"/>
            <w:hideMark/>
          </w:tcPr>
          <w:p w14:paraId="0B48B77B" w14:textId="20B929AD" w:rsidR="00327FF1" w:rsidRDefault="00E406C7">
            <w:pPr>
              <w:pStyle w:val="P68B1DB1-Normal11"/>
              <w:jc w:val="center"/>
              <w:rPr>
                <w:noProof/>
                <w:szCs w:val="20"/>
              </w:rPr>
            </w:pPr>
            <w:r>
              <w:rPr>
                <w:noProof/>
              </w:rPr>
              <w:t>Noslēdzās intervences valsts muzejos un kultūras objektos, teātra zālēs un kinoteātros (pirmā partija)</w:t>
            </w:r>
          </w:p>
        </w:tc>
        <w:tc>
          <w:tcPr>
            <w:tcW w:w="403" w:type="pct"/>
            <w:shd w:val="clear" w:color="auto" w:fill="C6EFCE"/>
            <w:noWrap/>
            <w:vAlign w:val="center"/>
            <w:hideMark/>
          </w:tcPr>
          <w:p w14:paraId="7FB39BBB" w14:textId="77777777" w:rsidR="00327FF1" w:rsidRDefault="00E406C7">
            <w:pPr>
              <w:pStyle w:val="P68B1DB1-Normal11"/>
              <w:jc w:val="center"/>
              <w:rPr>
                <w:noProof/>
                <w:szCs w:val="20"/>
              </w:rPr>
            </w:pPr>
            <w:r>
              <w:rPr>
                <w:noProof/>
              </w:rPr>
              <w:t>NEPIEMĒRO</w:t>
            </w:r>
          </w:p>
        </w:tc>
        <w:tc>
          <w:tcPr>
            <w:tcW w:w="368" w:type="pct"/>
            <w:shd w:val="clear" w:color="auto" w:fill="C6EFCE"/>
            <w:noWrap/>
            <w:vAlign w:val="center"/>
            <w:hideMark/>
          </w:tcPr>
          <w:p w14:paraId="286A6206" w14:textId="77777777" w:rsidR="00327FF1" w:rsidRDefault="00E406C7">
            <w:pPr>
              <w:pStyle w:val="P68B1DB1-Normal11"/>
              <w:jc w:val="center"/>
              <w:rPr>
                <w:noProof/>
                <w:szCs w:val="20"/>
              </w:rPr>
            </w:pPr>
            <w:r>
              <w:rPr>
                <w:noProof/>
              </w:rPr>
              <w:t>Skaits</w:t>
            </w:r>
          </w:p>
        </w:tc>
        <w:tc>
          <w:tcPr>
            <w:tcW w:w="424" w:type="pct"/>
            <w:shd w:val="clear" w:color="auto" w:fill="C6EFCE"/>
            <w:noWrap/>
            <w:vAlign w:val="center"/>
            <w:hideMark/>
          </w:tcPr>
          <w:p w14:paraId="143F5B38" w14:textId="77777777" w:rsidR="00327FF1" w:rsidRDefault="00E406C7">
            <w:pPr>
              <w:pStyle w:val="P68B1DB1-Normal11"/>
              <w:jc w:val="center"/>
              <w:rPr>
                <w:noProof/>
                <w:szCs w:val="20"/>
              </w:rPr>
            </w:pPr>
            <w:r>
              <w:rPr>
                <w:noProof/>
              </w:rPr>
              <w:t>0</w:t>
            </w:r>
          </w:p>
        </w:tc>
        <w:tc>
          <w:tcPr>
            <w:tcW w:w="367" w:type="pct"/>
            <w:shd w:val="clear" w:color="auto" w:fill="C6EFCE"/>
            <w:noWrap/>
            <w:vAlign w:val="center"/>
            <w:hideMark/>
          </w:tcPr>
          <w:p w14:paraId="5D9B416B" w14:textId="77777777" w:rsidR="00327FF1" w:rsidRDefault="00E406C7">
            <w:pPr>
              <w:pStyle w:val="P68B1DB1-Normal11"/>
              <w:jc w:val="center"/>
              <w:rPr>
                <w:noProof/>
                <w:szCs w:val="20"/>
              </w:rPr>
            </w:pPr>
            <w:r>
              <w:rPr>
                <w:noProof/>
              </w:rPr>
              <w:t>80</w:t>
            </w:r>
          </w:p>
        </w:tc>
        <w:tc>
          <w:tcPr>
            <w:tcW w:w="275" w:type="pct"/>
            <w:shd w:val="clear" w:color="auto" w:fill="C6EFCE"/>
            <w:noWrap/>
            <w:vAlign w:val="center"/>
            <w:hideMark/>
          </w:tcPr>
          <w:p w14:paraId="28298A0D" w14:textId="77777777" w:rsidR="00327FF1" w:rsidRDefault="00E406C7">
            <w:pPr>
              <w:pStyle w:val="P68B1DB1-Normal11"/>
              <w:jc w:val="center"/>
              <w:rPr>
                <w:noProof/>
                <w:szCs w:val="20"/>
              </w:rPr>
            </w:pPr>
            <w:r>
              <w:rPr>
                <w:noProof/>
              </w:rPr>
              <w:t>CET.</w:t>
            </w:r>
          </w:p>
        </w:tc>
        <w:tc>
          <w:tcPr>
            <w:tcW w:w="225" w:type="pct"/>
            <w:shd w:val="clear" w:color="auto" w:fill="C6EFCE"/>
            <w:noWrap/>
            <w:vAlign w:val="center"/>
            <w:hideMark/>
          </w:tcPr>
          <w:p w14:paraId="5CA1E8F1" w14:textId="77777777" w:rsidR="00327FF1" w:rsidRDefault="00E406C7">
            <w:pPr>
              <w:pStyle w:val="P68B1DB1-Normal11"/>
              <w:jc w:val="center"/>
              <w:rPr>
                <w:noProof/>
                <w:szCs w:val="20"/>
              </w:rPr>
            </w:pPr>
            <w:r>
              <w:rPr>
                <w:noProof/>
              </w:rPr>
              <w:t>2023</w:t>
            </w:r>
          </w:p>
        </w:tc>
        <w:tc>
          <w:tcPr>
            <w:tcW w:w="1191" w:type="pct"/>
            <w:shd w:val="clear" w:color="auto" w:fill="C6EFCE"/>
            <w:noWrap/>
            <w:vAlign w:val="center"/>
            <w:hideMark/>
          </w:tcPr>
          <w:p w14:paraId="4A7245AF" w14:textId="77777777" w:rsidR="00327FF1" w:rsidRDefault="00E406C7">
            <w:pPr>
              <w:pStyle w:val="P68B1DB1-Normal11"/>
              <w:rPr>
                <w:noProof/>
                <w:szCs w:val="20"/>
              </w:rPr>
            </w:pPr>
            <w:r>
              <w:rPr>
                <w:noProof/>
              </w:rPr>
              <w:t xml:space="preserve">Rādītājs attiecas uz veikto intervenču skaitu, ko pierāda apliecinājums par darbu </w:t>
            </w:r>
            <w:r>
              <w:rPr>
                <w:noProof/>
              </w:rPr>
              <w:t>regulāru izpildi.</w:t>
            </w:r>
          </w:p>
          <w:p w14:paraId="1CE82624" w14:textId="77777777" w:rsidR="00327FF1" w:rsidRDefault="00E406C7">
            <w:pPr>
              <w:pStyle w:val="P68B1DB1-Normal11"/>
              <w:rPr>
                <w:noProof/>
                <w:szCs w:val="20"/>
              </w:rPr>
            </w:pPr>
            <w:r>
              <w:rPr>
                <w:noProof/>
              </w:rPr>
              <w:t>Veicamo intervenču veidi ir šādi:</w:t>
            </w:r>
          </w:p>
          <w:p w14:paraId="110BE535" w14:textId="77777777" w:rsidR="00327FF1" w:rsidRDefault="00E406C7">
            <w:pPr>
              <w:ind w:left="315" w:hanging="315"/>
              <w:rPr>
                <w:rFonts w:ascii="Arial Narrow" w:hAnsi="Arial Narrow"/>
                <w:noProof/>
                <w:color w:val="006100"/>
                <w:sz w:val="20"/>
                <w:szCs w:val="20"/>
              </w:rPr>
            </w:pPr>
            <w:r>
              <w:rPr>
                <w:rFonts w:ascii="Arial Narrow" w:hAnsi="Arial Narrow"/>
                <w:noProof/>
                <w:color w:val="003A00"/>
                <w:sz w:val="20"/>
              </w:rPr>
              <w:t>-</w:t>
            </w:r>
            <w:r>
              <w:rPr>
                <w:noProof/>
                <w:color w:val="003A00"/>
              </w:rPr>
              <w:t xml:space="preserve"> </w:t>
            </w:r>
            <w:r>
              <w:rPr>
                <w:rFonts w:ascii="Arial Narrow" w:hAnsi="Arial Narrow"/>
                <w:noProof/>
                <w:color w:val="006100"/>
                <w:sz w:val="20"/>
              </w:rPr>
              <w:t xml:space="preserve">tehniskā un ekonomiskā un finansiālā plānošana, energoauditi, sākotnējā vides analīze, ietekmes uz vidi novērtējums, atvieglojumi un novērtējumi, kuru mērķis ir noteikt kritiskas problēmas, turpmāko </w:t>
            </w:r>
            <w:r>
              <w:rPr>
                <w:rFonts w:ascii="Arial Narrow" w:hAnsi="Arial Narrow"/>
                <w:noProof/>
                <w:color w:val="006100"/>
                <w:sz w:val="20"/>
              </w:rPr>
              <w:t>pasākumu noteikšana energoefektivitātes uzlabošanai;</w:t>
            </w:r>
          </w:p>
          <w:p w14:paraId="1064E997" w14:textId="77777777" w:rsidR="00327FF1" w:rsidRDefault="00E406C7">
            <w:pPr>
              <w:ind w:left="315" w:hanging="315"/>
              <w:rPr>
                <w:rFonts w:ascii="Arial Narrow" w:hAnsi="Arial Narrow"/>
                <w:noProof/>
                <w:color w:val="006100"/>
                <w:sz w:val="20"/>
                <w:szCs w:val="20"/>
              </w:rPr>
            </w:pPr>
            <w:r>
              <w:rPr>
                <w:rFonts w:ascii="Arial Narrow" w:hAnsi="Arial Narrow"/>
                <w:noProof/>
                <w:color w:val="003A00"/>
                <w:sz w:val="20"/>
              </w:rPr>
              <w:t>-</w:t>
            </w:r>
            <w:r>
              <w:rPr>
                <w:noProof/>
                <w:color w:val="003A00"/>
              </w:rPr>
              <w:t xml:space="preserve"> </w:t>
            </w:r>
            <w:r>
              <w:rPr>
                <w:rFonts w:ascii="Arial Narrow" w:hAnsi="Arial Narrow"/>
                <w:noProof/>
                <w:color w:val="006100"/>
                <w:sz w:val="20"/>
              </w:rPr>
              <w:t>intervences attiecībā uz norobežojošām konstrukcijām;</w:t>
            </w:r>
          </w:p>
          <w:p w14:paraId="0A61F656" w14:textId="77777777" w:rsidR="00327FF1" w:rsidRDefault="00E406C7">
            <w:pPr>
              <w:ind w:left="315" w:hanging="315"/>
              <w:rPr>
                <w:rFonts w:ascii="Arial Narrow" w:hAnsi="Arial Narrow"/>
                <w:noProof/>
                <w:color w:val="006100"/>
                <w:sz w:val="20"/>
                <w:szCs w:val="20"/>
              </w:rPr>
            </w:pPr>
            <w:r>
              <w:rPr>
                <w:rFonts w:ascii="Arial Narrow" w:hAnsi="Arial Narrow"/>
                <w:noProof/>
                <w:color w:val="003A00"/>
                <w:sz w:val="20"/>
              </w:rPr>
              <w:t>-</w:t>
            </w:r>
            <w:r>
              <w:rPr>
                <w:noProof/>
                <w:color w:val="003A00"/>
              </w:rPr>
              <w:t xml:space="preserve"> </w:t>
            </w:r>
            <w:r>
              <w:rPr>
                <w:rFonts w:ascii="Arial Narrow" w:hAnsi="Arial Narrow"/>
                <w:noProof/>
                <w:color w:val="006100"/>
                <w:sz w:val="20"/>
              </w:rPr>
              <w:t xml:space="preserve">aprīkojuma, rīku, sistēmu, ierīču, digitālās lietojumprogrammu programmatūras, kā arī palīginstrumentu aizstāšanai/iegādei to darbībai, patentu, </w:t>
            </w:r>
            <w:r>
              <w:rPr>
                <w:rFonts w:ascii="Arial Narrow" w:hAnsi="Arial Narrow"/>
                <w:noProof/>
                <w:color w:val="006100"/>
                <w:sz w:val="20"/>
              </w:rPr>
              <w:t>licenču un zinātības iegādei;</w:t>
            </w:r>
          </w:p>
          <w:p w14:paraId="6B3408B9" w14:textId="77777777" w:rsidR="00327FF1" w:rsidRDefault="00E406C7">
            <w:pPr>
              <w:ind w:left="315" w:hanging="315"/>
              <w:rPr>
                <w:rFonts w:ascii="Arial Narrow" w:hAnsi="Arial Narrow"/>
                <w:noProof/>
                <w:color w:val="006100"/>
                <w:sz w:val="20"/>
                <w:szCs w:val="20"/>
              </w:rPr>
            </w:pPr>
            <w:r>
              <w:rPr>
                <w:rFonts w:ascii="Arial Narrow" w:hAnsi="Arial Narrow"/>
                <w:noProof/>
                <w:color w:val="006100"/>
                <w:sz w:val="20"/>
              </w:rPr>
              <w:t>-</w:t>
            </w:r>
            <w:r>
              <w:rPr>
                <w:noProof/>
                <w:color w:val="003A00"/>
              </w:rPr>
              <w:t xml:space="preserve"> </w:t>
            </w:r>
            <w:r>
              <w:rPr>
                <w:rFonts w:ascii="Arial Narrow" w:hAnsi="Arial Narrow"/>
                <w:noProof/>
                <w:color w:val="006100"/>
                <w:sz w:val="20"/>
              </w:rPr>
              <w:t>inteliģentu sistēmu uzstādīšana tālvadības, regulēšanas, pārvaldības, uzraudzības un optimizācijas nolūkā (viedās ēkas) un piesārņojošās emisijas, izmantojot arī tehnoloģiskos maisījumus.</w:t>
            </w:r>
          </w:p>
        </w:tc>
      </w:tr>
      <w:tr w:rsidR="00327FF1" w14:paraId="2FF17127" w14:textId="77777777">
        <w:trPr>
          <w:trHeight w:val="309"/>
          <w:jc w:val="center"/>
        </w:trPr>
        <w:tc>
          <w:tcPr>
            <w:tcW w:w="366" w:type="pct"/>
            <w:shd w:val="clear" w:color="auto" w:fill="C6EFCE"/>
            <w:noWrap/>
            <w:vAlign w:val="center"/>
            <w:hideMark/>
          </w:tcPr>
          <w:p w14:paraId="0E03FA3A" w14:textId="77777777" w:rsidR="00327FF1" w:rsidRDefault="00E406C7">
            <w:pPr>
              <w:pStyle w:val="P68B1DB1-Normal11"/>
              <w:jc w:val="center"/>
              <w:rPr>
                <w:noProof/>
                <w:szCs w:val="20"/>
              </w:rPr>
            </w:pPr>
            <w:r>
              <w:rPr>
                <w:noProof/>
              </w:rPr>
              <w:t>M1C3–5</w:t>
            </w:r>
          </w:p>
        </w:tc>
        <w:tc>
          <w:tcPr>
            <w:tcW w:w="553" w:type="pct"/>
            <w:shd w:val="clear" w:color="auto" w:fill="C6EFCE"/>
            <w:noWrap/>
            <w:vAlign w:val="center"/>
            <w:hideMark/>
          </w:tcPr>
          <w:p w14:paraId="49A34934" w14:textId="77777777" w:rsidR="00327FF1" w:rsidRDefault="00E406C7">
            <w:pPr>
              <w:pStyle w:val="P68B1DB1-Normal11"/>
              <w:jc w:val="center"/>
              <w:rPr>
                <w:noProof/>
                <w:szCs w:val="20"/>
              </w:rPr>
            </w:pPr>
            <w:r>
              <w:rPr>
                <w:noProof/>
              </w:rPr>
              <w:t xml:space="preserve">Ieguldījums — 1.3. </w:t>
            </w:r>
            <w:r>
              <w:rPr>
                <w:noProof/>
              </w:rPr>
              <w:t>Energoefektivitātes uzlabošana kinoteātros, teātros un muzejos</w:t>
            </w:r>
          </w:p>
        </w:tc>
        <w:tc>
          <w:tcPr>
            <w:tcW w:w="321" w:type="pct"/>
            <w:shd w:val="clear" w:color="auto" w:fill="C6EFCE"/>
            <w:noWrap/>
            <w:vAlign w:val="center"/>
            <w:hideMark/>
          </w:tcPr>
          <w:p w14:paraId="183C2A55" w14:textId="77777777" w:rsidR="00327FF1" w:rsidRDefault="00E406C7">
            <w:pPr>
              <w:pStyle w:val="P68B1DB1-Normal11"/>
              <w:jc w:val="center"/>
              <w:rPr>
                <w:noProof/>
                <w:szCs w:val="20"/>
              </w:rPr>
            </w:pPr>
            <w:r>
              <w:rPr>
                <w:noProof/>
              </w:rPr>
              <w:t>Mērķa</w:t>
            </w:r>
          </w:p>
        </w:tc>
        <w:tc>
          <w:tcPr>
            <w:tcW w:w="507" w:type="pct"/>
            <w:shd w:val="clear" w:color="auto" w:fill="C6EFCE"/>
            <w:noWrap/>
            <w:vAlign w:val="center"/>
            <w:hideMark/>
          </w:tcPr>
          <w:p w14:paraId="5730BB92" w14:textId="126454CC" w:rsidR="00327FF1" w:rsidRDefault="00E406C7">
            <w:pPr>
              <w:pStyle w:val="P68B1DB1-Normal11"/>
              <w:jc w:val="center"/>
              <w:rPr>
                <w:noProof/>
                <w:szCs w:val="20"/>
              </w:rPr>
            </w:pPr>
            <w:r>
              <w:rPr>
                <w:noProof/>
              </w:rPr>
              <w:t>Tiek pabeigtas intervences valsts muzejos un kultūras objektos, teātra zālēs un kinoteātros (otrā partija)</w:t>
            </w:r>
          </w:p>
        </w:tc>
        <w:tc>
          <w:tcPr>
            <w:tcW w:w="403" w:type="pct"/>
            <w:shd w:val="clear" w:color="auto" w:fill="C6EFCE"/>
            <w:noWrap/>
            <w:vAlign w:val="center"/>
            <w:hideMark/>
          </w:tcPr>
          <w:p w14:paraId="0398AED4" w14:textId="77777777" w:rsidR="00327FF1" w:rsidRDefault="00E406C7">
            <w:pPr>
              <w:pStyle w:val="P68B1DB1-Normal11"/>
              <w:jc w:val="center"/>
              <w:rPr>
                <w:noProof/>
                <w:szCs w:val="20"/>
              </w:rPr>
            </w:pPr>
            <w:r>
              <w:rPr>
                <w:noProof/>
              </w:rPr>
              <w:t>NEPIEMĒRO</w:t>
            </w:r>
          </w:p>
        </w:tc>
        <w:tc>
          <w:tcPr>
            <w:tcW w:w="368" w:type="pct"/>
            <w:shd w:val="clear" w:color="auto" w:fill="C6EFCE"/>
            <w:noWrap/>
            <w:vAlign w:val="center"/>
            <w:hideMark/>
          </w:tcPr>
          <w:p w14:paraId="1377A5E1" w14:textId="77777777" w:rsidR="00327FF1" w:rsidRDefault="00E406C7">
            <w:pPr>
              <w:pStyle w:val="P68B1DB1-Normal11"/>
              <w:jc w:val="center"/>
              <w:rPr>
                <w:noProof/>
                <w:szCs w:val="20"/>
              </w:rPr>
            </w:pPr>
            <w:r>
              <w:rPr>
                <w:noProof/>
              </w:rPr>
              <w:t>Skaits</w:t>
            </w:r>
          </w:p>
        </w:tc>
        <w:tc>
          <w:tcPr>
            <w:tcW w:w="424" w:type="pct"/>
            <w:shd w:val="clear" w:color="auto" w:fill="C6EFCE"/>
            <w:noWrap/>
            <w:vAlign w:val="center"/>
            <w:hideMark/>
          </w:tcPr>
          <w:p w14:paraId="70235851" w14:textId="77777777" w:rsidR="00327FF1" w:rsidRDefault="00E406C7">
            <w:pPr>
              <w:pStyle w:val="P68B1DB1-Normal11"/>
              <w:jc w:val="center"/>
              <w:rPr>
                <w:noProof/>
                <w:szCs w:val="20"/>
              </w:rPr>
            </w:pPr>
            <w:r>
              <w:rPr>
                <w:noProof/>
              </w:rPr>
              <w:t>80</w:t>
            </w:r>
          </w:p>
        </w:tc>
        <w:tc>
          <w:tcPr>
            <w:tcW w:w="367" w:type="pct"/>
            <w:shd w:val="clear" w:color="auto" w:fill="C6EFCE"/>
            <w:noWrap/>
            <w:vAlign w:val="center"/>
            <w:hideMark/>
          </w:tcPr>
          <w:p w14:paraId="17000261" w14:textId="77777777" w:rsidR="00327FF1" w:rsidRDefault="00E406C7">
            <w:pPr>
              <w:pStyle w:val="P68B1DB1-Normal12"/>
              <w:jc w:val="center"/>
              <w:rPr>
                <w:noProof/>
              </w:rPr>
            </w:pPr>
            <w:r>
              <w:rPr>
                <w:noProof/>
              </w:rPr>
              <w:t>420</w:t>
            </w:r>
          </w:p>
        </w:tc>
        <w:tc>
          <w:tcPr>
            <w:tcW w:w="275" w:type="pct"/>
            <w:shd w:val="clear" w:color="auto" w:fill="C6EFCE"/>
            <w:noWrap/>
            <w:vAlign w:val="center"/>
            <w:hideMark/>
          </w:tcPr>
          <w:p w14:paraId="76680CE4" w14:textId="77777777" w:rsidR="00327FF1" w:rsidRDefault="00E406C7">
            <w:pPr>
              <w:pStyle w:val="P68B1DB1-Normal11"/>
              <w:jc w:val="center"/>
              <w:rPr>
                <w:noProof/>
                <w:szCs w:val="20"/>
              </w:rPr>
            </w:pPr>
            <w:r>
              <w:rPr>
                <w:noProof/>
              </w:rPr>
              <w:t>4. CET.</w:t>
            </w:r>
          </w:p>
        </w:tc>
        <w:tc>
          <w:tcPr>
            <w:tcW w:w="225" w:type="pct"/>
            <w:shd w:val="clear" w:color="auto" w:fill="C6EFCE"/>
            <w:noWrap/>
            <w:vAlign w:val="center"/>
            <w:hideMark/>
          </w:tcPr>
          <w:p w14:paraId="10C375E0" w14:textId="77777777" w:rsidR="00327FF1" w:rsidRDefault="00E406C7">
            <w:pPr>
              <w:pStyle w:val="P68B1DB1-Normal11"/>
              <w:jc w:val="center"/>
              <w:rPr>
                <w:noProof/>
                <w:szCs w:val="20"/>
              </w:rPr>
            </w:pPr>
            <w:r>
              <w:rPr>
                <w:noProof/>
              </w:rPr>
              <w:t>2025</w:t>
            </w:r>
          </w:p>
        </w:tc>
        <w:tc>
          <w:tcPr>
            <w:tcW w:w="1191" w:type="pct"/>
            <w:shd w:val="clear" w:color="auto" w:fill="C6EFCE"/>
            <w:noWrap/>
            <w:vAlign w:val="center"/>
            <w:hideMark/>
          </w:tcPr>
          <w:p w14:paraId="1C0B80F0" w14:textId="6CE4E192" w:rsidR="00327FF1" w:rsidRDefault="00E406C7">
            <w:pPr>
              <w:pStyle w:val="P68B1DB1-Normal11"/>
              <w:rPr>
                <w:noProof/>
                <w:szCs w:val="20"/>
              </w:rPr>
            </w:pPr>
            <w:r>
              <w:rPr>
                <w:noProof/>
              </w:rPr>
              <w:t xml:space="preserve">Sertifikātus par darbu pabeigšanu </w:t>
            </w:r>
            <w:r>
              <w:rPr>
                <w:noProof/>
                <w:szCs w:val="20"/>
              </w:rPr>
              <w:t xml:space="preserve">izdod </w:t>
            </w:r>
            <w:r>
              <w:rPr>
                <w:noProof/>
              </w:rPr>
              <w:t>par</w:t>
            </w:r>
            <w:r>
              <w:rPr>
                <w:noProof/>
              </w:rPr>
              <w:t xml:space="preserve"> vismaz 340 intervencēm, tostarp par:</w:t>
            </w:r>
          </w:p>
          <w:p w14:paraId="005E341C" w14:textId="791CAEC1" w:rsidR="00327FF1" w:rsidRDefault="00E406C7">
            <w:pPr>
              <w:pStyle w:val="P68B1DB1-ListParagraph15"/>
              <w:numPr>
                <w:ilvl w:val="0"/>
                <w:numId w:val="171"/>
              </w:numPr>
              <w:rPr>
                <w:noProof/>
                <w:szCs w:val="20"/>
              </w:rPr>
            </w:pPr>
            <w:r>
              <w:rPr>
                <w:noProof/>
              </w:rPr>
              <w:t>tehniskā un ekonomiskā un finansiālā plānošana, energoauditi, sākotnējā vides analīze, ietekmes uz vidi novērtējums, atvieglojumi un novērtējumi, kuru mērķis ir noteikt kritiskas problēmas, turpmāko pasākumu noteikšana</w:t>
            </w:r>
            <w:r>
              <w:rPr>
                <w:noProof/>
              </w:rPr>
              <w:t xml:space="preserve"> energoefektivitātes uzlabošanai;</w:t>
            </w:r>
          </w:p>
          <w:p w14:paraId="3901BD23" w14:textId="490B671A" w:rsidR="00327FF1" w:rsidRDefault="00E406C7">
            <w:pPr>
              <w:pStyle w:val="P68B1DB1-ListParagraph15"/>
              <w:numPr>
                <w:ilvl w:val="0"/>
                <w:numId w:val="171"/>
              </w:numPr>
              <w:rPr>
                <w:noProof/>
                <w:szCs w:val="20"/>
              </w:rPr>
            </w:pPr>
            <w:r>
              <w:rPr>
                <w:noProof/>
              </w:rPr>
              <w:t>intervences attiecībā uz norobežojošām konstrukcijām;</w:t>
            </w:r>
          </w:p>
          <w:p w14:paraId="12C1AC94" w14:textId="0821BFBE" w:rsidR="00327FF1" w:rsidRDefault="00E406C7">
            <w:pPr>
              <w:pStyle w:val="P68B1DB1-ListParagraph15"/>
              <w:numPr>
                <w:ilvl w:val="0"/>
                <w:numId w:val="171"/>
              </w:numPr>
              <w:rPr>
                <w:noProof/>
                <w:szCs w:val="20"/>
              </w:rPr>
            </w:pPr>
            <w:r>
              <w:rPr>
                <w:noProof/>
              </w:rPr>
              <w:t>aprīkojuma, rīku, sistēmu, ierīču, digitālās lietojumprogrammu programmatūras, kā arī palīginstrumentu aizstāšanai/iegādei to darbībai, patentu, licenču un zinātības ie</w:t>
            </w:r>
            <w:r>
              <w:rPr>
                <w:noProof/>
              </w:rPr>
              <w:t>gādei;</w:t>
            </w:r>
          </w:p>
          <w:p w14:paraId="2B0668DB" w14:textId="625E5BD6" w:rsidR="00327FF1" w:rsidRDefault="00E406C7">
            <w:pPr>
              <w:pStyle w:val="P68B1DB1-ListParagraph15"/>
              <w:numPr>
                <w:ilvl w:val="0"/>
                <w:numId w:val="171"/>
              </w:numPr>
              <w:rPr>
                <w:noProof/>
                <w:szCs w:val="20"/>
              </w:rPr>
            </w:pPr>
            <w:r>
              <w:rPr>
                <w:noProof/>
              </w:rPr>
              <w:t>inteliģentu sistēmu uzstādīšana tālvadības, regulēšanas, pārvaldības, uzraudzības un optimizācijas nolūkā (viedās ēkas) un piesārņojošās emisijas, izmantojot arī tehnoloģiskos maisījumus.</w:t>
            </w:r>
          </w:p>
        </w:tc>
      </w:tr>
      <w:tr w:rsidR="00327FF1" w14:paraId="368B173B" w14:textId="77777777">
        <w:trPr>
          <w:trHeight w:val="309"/>
          <w:jc w:val="center"/>
        </w:trPr>
        <w:tc>
          <w:tcPr>
            <w:tcW w:w="366" w:type="pct"/>
            <w:shd w:val="clear" w:color="auto" w:fill="C6EFCE"/>
            <w:noWrap/>
            <w:vAlign w:val="center"/>
          </w:tcPr>
          <w:p w14:paraId="5C8EA59B" w14:textId="77777777" w:rsidR="00327FF1" w:rsidRDefault="00E406C7">
            <w:pPr>
              <w:pStyle w:val="P68B1DB1-Normal11"/>
              <w:jc w:val="center"/>
              <w:rPr>
                <w:noProof/>
              </w:rPr>
            </w:pPr>
            <w:r>
              <w:rPr>
                <w:noProof/>
              </w:rPr>
              <w:t>M1C3–6</w:t>
            </w:r>
          </w:p>
        </w:tc>
        <w:tc>
          <w:tcPr>
            <w:tcW w:w="553" w:type="pct"/>
            <w:shd w:val="clear" w:color="auto" w:fill="C6EFCE"/>
            <w:noWrap/>
            <w:vAlign w:val="center"/>
          </w:tcPr>
          <w:p w14:paraId="67740D3D" w14:textId="58F601B3" w:rsidR="00327FF1" w:rsidRDefault="00E406C7">
            <w:pPr>
              <w:pStyle w:val="P68B1DB1-Normal11"/>
              <w:jc w:val="center"/>
              <w:rPr>
                <w:noProof/>
              </w:rPr>
            </w:pPr>
            <w:r>
              <w:rPr>
                <w:noProof/>
              </w:rPr>
              <w:t xml:space="preserve">Reforma — 3.1. Minimālie vides kritēriji kultūras </w:t>
            </w:r>
            <w:r>
              <w:rPr>
                <w:noProof/>
              </w:rPr>
              <w:t>pasākumiem</w:t>
            </w:r>
          </w:p>
        </w:tc>
        <w:tc>
          <w:tcPr>
            <w:tcW w:w="321" w:type="pct"/>
            <w:shd w:val="clear" w:color="auto" w:fill="C6EFCE"/>
            <w:noWrap/>
            <w:vAlign w:val="center"/>
          </w:tcPr>
          <w:p w14:paraId="6A2CC682" w14:textId="77777777" w:rsidR="00327FF1" w:rsidRDefault="00E406C7">
            <w:pPr>
              <w:pStyle w:val="P68B1DB1-Normal11"/>
              <w:jc w:val="center"/>
              <w:rPr>
                <w:noProof/>
              </w:rPr>
            </w:pPr>
            <w:r>
              <w:rPr>
                <w:noProof/>
              </w:rPr>
              <w:t>Atskaites punkts</w:t>
            </w:r>
          </w:p>
        </w:tc>
        <w:tc>
          <w:tcPr>
            <w:tcW w:w="507" w:type="pct"/>
            <w:shd w:val="clear" w:color="auto" w:fill="C6EFCE"/>
            <w:noWrap/>
            <w:vAlign w:val="center"/>
          </w:tcPr>
          <w:p w14:paraId="52C851E7" w14:textId="77777777" w:rsidR="00327FF1" w:rsidRDefault="00E406C7">
            <w:pPr>
              <w:pStyle w:val="P68B1DB1-Normal11"/>
              <w:jc w:val="center"/>
              <w:rPr>
                <w:noProof/>
              </w:rPr>
            </w:pPr>
            <w:r>
              <w:rPr>
                <w:noProof/>
              </w:rPr>
              <w:t>Stājas spēkā dekrēts, ar ko nosaka sociālos un vides kritērijus publiskā iepirkuma konkursos attiecībā uz publiski finansētiem kultūras pasākumiem</w:t>
            </w:r>
          </w:p>
        </w:tc>
        <w:tc>
          <w:tcPr>
            <w:tcW w:w="403" w:type="pct"/>
            <w:shd w:val="clear" w:color="auto" w:fill="C6EFCE"/>
            <w:noWrap/>
            <w:vAlign w:val="center"/>
          </w:tcPr>
          <w:p w14:paraId="69FADB3D" w14:textId="77777777" w:rsidR="00327FF1" w:rsidRDefault="00E406C7">
            <w:pPr>
              <w:pStyle w:val="P68B1DB1-Normal11"/>
              <w:jc w:val="center"/>
              <w:rPr>
                <w:noProof/>
              </w:rPr>
            </w:pPr>
            <w:r>
              <w:rPr>
                <w:noProof/>
              </w:rPr>
              <w:t>Noteikums dekrētā, kurā minēta dekrēta stāšanās spēkā attiecībā uz minimālo vides</w:t>
            </w:r>
            <w:r>
              <w:rPr>
                <w:noProof/>
              </w:rPr>
              <w:t xml:space="preserve"> kritēriju pieņemšanu kultūras pasākumiem</w:t>
            </w:r>
          </w:p>
        </w:tc>
        <w:tc>
          <w:tcPr>
            <w:tcW w:w="368" w:type="pct"/>
            <w:shd w:val="clear" w:color="auto" w:fill="C6EFCE"/>
            <w:noWrap/>
            <w:vAlign w:val="center"/>
          </w:tcPr>
          <w:p w14:paraId="57B9A892" w14:textId="77777777" w:rsidR="00327FF1" w:rsidRDefault="00E406C7">
            <w:pPr>
              <w:pStyle w:val="P68B1DB1-Normal11"/>
              <w:jc w:val="center"/>
              <w:rPr>
                <w:noProof/>
              </w:rPr>
            </w:pPr>
            <w:r>
              <w:rPr>
                <w:noProof/>
              </w:rPr>
              <w:t>NEPIEMĒRO</w:t>
            </w:r>
          </w:p>
        </w:tc>
        <w:tc>
          <w:tcPr>
            <w:tcW w:w="424" w:type="pct"/>
            <w:shd w:val="clear" w:color="auto" w:fill="C6EFCE"/>
            <w:noWrap/>
            <w:vAlign w:val="center"/>
          </w:tcPr>
          <w:p w14:paraId="0884DB15" w14:textId="77777777" w:rsidR="00327FF1" w:rsidRDefault="00E406C7">
            <w:pPr>
              <w:pStyle w:val="P68B1DB1-Normal11"/>
              <w:jc w:val="center"/>
              <w:rPr>
                <w:noProof/>
              </w:rPr>
            </w:pPr>
            <w:r>
              <w:rPr>
                <w:noProof/>
              </w:rPr>
              <w:t>NEPIEMĒRO</w:t>
            </w:r>
          </w:p>
        </w:tc>
        <w:tc>
          <w:tcPr>
            <w:tcW w:w="367" w:type="pct"/>
            <w:shd w:val="clear" w:color="auto" w:fill="C6EFCE"/>
            <w:noWrap/>
            <w:vAlign w:val="center"/>
          </w:tcPr>
          <w:p w14:paraId="6BD579A3" w14:textId="77777777" w:rsidR="00327FF1" w:rsidRDefault="00E406C7">
            <w:pPr>
              <w:pStyle w:val="P68B1DB1-Normal11"/>
              <w:jc w:val="center"/>
              <w:rPr>
                <w:noProof/>
              </w:rPr>
            </w:pPr>
            <w:r>
              <w:rPr>
                <w:noProof/>
              </w:rPr>
              <w:t>NEPIEMĒRO</w:t>
            </w:r>
          </w:p>
        </w:tc>
        <w:tc>
          <w:tcPr>
            <w:tcW w:w="275" w:type="pct"/>
            <w:shd w:val="clear" w:color="auto" w:fill="C6EFCE"/>
            <w:noWrap/>
            <w:vAlign w:val="center"/>
          </w:tcPr>
          <w:p w14:paraId="77A84737" w14:textId="77777777" w:rsidR="00327FF1" w:rsidRDefault="00E406C7">
            <w:pPr>
              <w:pStyle w:val="P68B1DB1-Normal11"/>
              <w:jc w:val="center"/>
              <w:rPr>
                <w:noProof/>
              </w:rPr>
            </w:pPr>
            <w:r>
              <w:rPr>
                <w:noProof/>
              </w:rPr>
              <w:t>4. CET.</w:t>
            </w:r>
          </w:p>
        </w:tc>
        <w:tc>
          <w:tcPr>
            <w:tcW w:w="225" w:type="pct"/>
            <w:shd w:val="clear" w:color="auto" w:fill="C6EFCE"/>
            <w:noWrap/>
            <w:vAlign w:val="center"/>
          </w:tcPr>
          <w:p w14:paraId="0DC1037E" w14:textId="77777777" w:rsidR="00327FF1" w:rsidRDefault="00E406C7">
            <w:pPr>
              <w:pStyle w:val="P68B1DB1-Normal11"/>
              <w:jc w:val="center"/>
              <w:rPr>
                <w:noProof/>
              </w:rPr>
            </w:pPr>
            <w:r>
              <w:rPr>
                <w:noProof/>
              </w:rPr>
              <w:t>2022</w:t>
            </w:r>
          </w:p>
        </w:tc>
        <w:tc>
          <w:tcPr>
            <w:tcW w:w="1191" w:type="pct"/>
            <w:shd w:val="clear" w:color="auto" w:fill="C6EFCE"/>
            <w:noWrap/>
            <w:vAlign w:val="center"/>
          </w:tcPr>
          <w:p w14:paraId="40AFABA6" w14:textId="77777777" w:rsidR="00327FF1" w:rsidRDefault="00E406C7">
            <w:pPr>
              <w:pStyle w:val="P68B1DB1-Normal11"/>
              <w:rPr>
                <w:noProof/>
                <w:szCs w:val="20"/>
              </w:rPr>
            </w:pPr>
            <w:r>
              <w:rPr>
                <w:noProof/>
              </w:rPr>
              <w:t>Kritērijus pieņem attiecībā uz šādiem aspektiem: papīra un drukas izmantošanas samazināšana, videi draudzīgu materiālu izmantošana, posms, kas izgatavots ar reciklētiem un</w:t>
            </w:r>
            <w:r>
              <w:rPr>
                <w:noProof/>
              </w:rPr>
              <w:t xml:space="preserve"> atkārtoti izmantotiem materiāliem un ilgtspējīgiem mēbeles materiāliem, mazsvarīgas vides ietekmējošas ierīces, atrašanās vietas izvēle, pamatojoties uz bioloģiskās daudzveidības aizsardzību, ēdināšanas pakalpojumi ar mazu ietekmi uz vidi, transports pasā</w:t>
            </w:r>
            <w:r>
              <w:rPr>
                <w:noProof/>
              </w:rPr>
              <w:t>kuma sasniegšanai un materiālu transportēšana, enerģijas patēriņš pasākuma organizēšanai.</w:t>
            </w:r>
          </w:p>
          <w:p w14:paraId="2E58E5F5" w14:textId="77777777" w:rsidR="00327FF1" w:rsidRDefault="00E406C7">
            <w:pPr>
              <w:pStyle w:val="P68B1DB1-Normal11"/>
              <w:rPr>
                <w:noProof/>
                <w:szCs w:val="20"/>
              </w:rPr>
            </w:pPr>
            <w:r>
              <w:rPr>
                <w:noProof/>
              </w:rPr>
              <w:t>Sociālie kritēriji, kas veicina pieejamību un iekļaušanu, ietver: pieejamības veicināšana personām ar invaliditāti; jauniešu nodarbinātības iespēju veicināšana, ilgte</w:t>
            </w:r>
            <w:r>
              <w:rPr>
                <w:noProof/>
              </w:rPr>
              <w:t>rmiņa bezdarbniekiem, cilvēkiem, kas pieder pie nelabvēlīgā situācijā esošām grupām (piemēram, migrējošiem darba ņēmējiem un etniskajām minoritātēm), un personām ar invaliditāti; nodrošināt vienlīdzīgu piekļuvi iepirkumam uzņēmumiem, kuru īpašnieki vai dar</w:t>
            </w:r>
            <w:r>
              <w:rPr>
                <w:noProof/>
              </w:rPr>
              <w:t>binieki pieder pie etniskām vai minoritāšu grupām, piemēram, kooperatīviem, sociālajiem uzņēmumiem un bezpeļņas organizācijām; “pienācīgas kvalitātes nodarbinātības” veicināšana, ko saprot kā tiesības uz produktīvu un brīvi izvēlētu darbu, uz pamatprincipi</w:t>
            </w:r>
            <w:r>
              <w:rPr>
                <w:noProof/>
              </w:rPr>
              <w:t>em un tiesībām darbā, uz pienācīgu atalgojumu, sociālo aizsardzību un sociālo dialogu.</w:t>
            </w:r>
          </w:p>
          <w:p w14:paraId="237ABC00" w14:textId="77777777" w:rsidR="00327FF1" w:rsidRDefault="00E406C7">
            <w:pPr>
              <w:pStyle w:val="P68B1DB1-Normal11"/>
              <w:rPr>
                <w:noProof/>
              </w:rPr>
            </w:pPr>
            <w:r>
              <w:rPr>
                <w:noProof/>
              </w:rPr>
              <w:t>Reforma attiecas uz kultūras pasākumiem, piemēram, izstādēm, festivāliem un izpildītājmākslas pasākumiem.</w:t>
            </w:r>
          </w:p>
        </w:tc>
      </w:tr>
      <w:tr w:rsidR="00327FF1" w14:paraId="2BB5FE4C" w14:textId="77777777">
        <w:trPr>
          <w:trHeight w:val="309"/>
          <w:jc w:val="center"/>
        </w:trPr>
        <w:tc>
          <w:tcPr>
            <w:tcW w:w="366" w:type="pct"/>
            <w:shd w:val="clear" w:color="auto" w:fill="C6EFCE"/>
            <w:noWrap/>
            <w:vAlign w:val="center"/>
            <w:hideMark/>
          </w:tcPr>
          <w:p w14:paraId="1106F400" w14:textId="77777777" w:rsidR="00327FF1" w:rsidRDefault="00E406C7">
            <w:pPr>
              <w:pStyle w:val="P68B1DB1-Normal11"/>
              <w:jc w:val="center"/>
              <w:rPr>
                <w:noProof/>
                <w:szCs w:val="20"/>
              </w:rPr>
            </w:pPr>
            <w:r>
              <w:rPr>
                <w:noProof/>
              </w:rPr>
              <w:t>M1C3–7</w:t>
            </w:r>
          </w:p>
        </w:tc>
        <w:tc>
          <w:tcPr>
            <w:tcW w:w="553" w:type="pct"/>
            <w:shd w:val="clear" w:color="auto" w:fill="C6EFCE"/>
            <w:noWrap/>
            <w:vAlign w:val="center"/>
            <w:hideMark/>
          </w:tcPr>
          <w:p w14:paraId="52CB5501" w14:textId="77777777" w:rsidR="00327FF1" w:rsidRDefault="00E406C7">
            <w:pPr>
              <w:pStyle w:val="P68B1DB1-Normal11"/>
              <w:jc w:val="center"/>
              <w:rPr>
                <w:noProof/>
                <w:szCs w:val="20"/>
              </w:rPr>
            </w:pPr>
            <w:r>
              <w:rPr>
                <w:noProof/>
              </w:rPr>
              <w:t xml:space="preserve">Investīcijas — 3.3. Kultūras operatoru spēju veidošana </w:t>
            </w:r>
            <w:r>
              <w:rPr>
                <w:noProof/>
              </w:rPr>
              <w:t>digitālās un zaļās pārkārtošanās pārvaldībai.</w:t>
            </w:r>
          </w:p>
        </w:tc>
        <w:tc>
          <w:tcPr>
            <w:tcW w:w="321" w:type="pct"/>
            <w:shd w:val="clear" w:color="auto" w:fill="C6EFCE"/>
            <w:noWrap/>
            <w:vAlign w:val="center"/>
            <w:hideMark/>
          </w:tcPr>
          <w:p w14:paraId="5D88D942" w14:textId="77777777" w:rsidR="00327FF1" w:rsidRDefault="00E406C7">
            <w:pPr>
              <w:pStyle w:val="P68B1DB1-Normal11"/>
              <w:jc w:val="center"/>
              <w:rPr>
                <w:noProof/>
                <w:szCs w:val="20"/>
              </w:rPr>
            </w:pPr>
            <w:r>
              <w:rPr>
                <w:noProof/>
              </w:rPr>
              <w:t>Atskaites punkts</w:t>
            </w:r>
          </w:p>
        </w:tc>
        <w:tc>
          <w:tcPr>
            <w:tcW w:w="507" w:type="pct"/>
            <w:shd w:val="clear" w:color="auto" w:fill="C6EFCE"/>
            <w:noWrap/>
            <w:vAlign w:val="center"/>
            <w:hideMark/>
          </w:tcPr>
          <w:p w14:paraId="6603A745" w14:textId="70AC0B83" w:rsidR="00327FF1" w:rsidRDefault="00E406C7">
            <w:pPr>
              <w:pStyle w:val="P68B1DB1-Normal11"/>
              <w:jc w:val="center"/>
              <w:rPr>
                <w:noProof/>
                <w:szCs w:val="20"/>
              </w:rPr>
            </w:pPr>
            <w:r>
              <w:rPr>
                <w:noProof/>
              </w:rPr>
              <w:t>Visu publisko līgumu slēgšanas tiesību piešķiršana ar īstenotāju organizāciju/saņēmējiem par visām intervencēm, kuru mērķis ir pārvaldīt kultūras operatoru digitālo un zaļo pārkārtošanos</w:t>
            </w:r>
          </w:p>
        </w:tc>
        <w:tc>
          <w:tcPr>
            <w:tcW w:w="403" w:type="pct"/>
            <w:shd w:val="clear" w:color="auto" w:fill="C6EFCE"/>
            <w:noWrap/>
            <w:vAlign w:val="center"/>
            <w:hideMark/>
          </w:tcPr>
          <w:p w14:paraId="3534EA4B" w14:textId="77777777" w:rsidR="00327FF1" w:rsidRDefault="00E406C7">
            <w:pPr>
              <w:pStyle w:val="P68B1DB1-Normal11"/>
              <w:jc w:val="center"/>
              <w:rPr>
                <w:noProof/>
                <w:szCs w:val="20"/>
              </w:rPr>
            </w:pPr>
            <w:r>
              <w:rPr>
                <w:noProof/>
              </w:rPr>
              <w:t>Paziņojums par visu publisko līgumu slēgšanas tiesību piešķiršanu organizācijām un tīkliem, kas atbild par spēju veidošanas pasākumu īstenošanu</w:t>
            </w:r>
          </w:p>
        </w:tc>
        <w:tc>
          <w:tcPr>
            <w:tcW w:w="368" w:type="pct"/>
            <w:shd w:val="clear" w:color="auto" w:fill="C6EFCE"/>
            <w:noWrap/>
            <w:vAlign w:val="center"/>
            <w:hideMark/>
          </w:tcPr>
          <w:p w14:paraId="4A0D0C1F" w14:textId="77777777" w:rsidR="00327FF1" w:rsidRDefault="00E406C7">
            <w:pPr>
              <w:pStyle w:val="P68B1DB1-Normal11"/>
              <w:jc w:val="center"/>
              <w:rPr>
                <w:noProof/>
                <w:szCs w:val="20"/>
              </w:rPr>
            </w:pPr>
            <w:r>
              <w:rPr>
                <w:noProof/>
              </w:rPr>
              <w:t>NEPIEMĒRO</w:t>
            </w:r>
          </w:p>
        </w:tc>
        <w:tc>
          <w:tcPr>
            <w:tcW w:w="424" w:type="pct"/>
            <w:shd w:val="clear" w:color="auto" w:fill="C6EFCE"/>
            <w:noWrap/>
            <w:vAlign w:val="center"/>
            <w:hideMark/>
          </w:tcPr>
          <w:p w14:paraId="7196E909" w14:textId="77777777" w:rsidR="00327FF1" w:rsidRDefault="00E406C7">
            <w:pPr>
              <w:pStyle w:val="P68B1DB1-Normal11"/>
              <w:jc w:val="center"/>
              <w:rPr>
                <w:noProof/>
                <w:szCs w:val="20"/>
              </w:rPr>
            </w:pPr>
            <w:r>
              <w:rPr>
                <w:noProof/>
              </w:rPr>
              <w:t>NEPIEMĒRO</w:t>
            </w:r>
          </w:p>
        </w:tc>
        <w:tc>
          <w:tcPr>
            <w:tcW w:w="367" w:type="pct"/>
            <w:shd w:val="clear" w:color="auto" w:fill="C6EFCE"/>
            <w:noWrap/>
            <w:vAlign w:val="center"/>
            <w:hideMark/>
          </w:tcPr>
          <w:p w14:paraId="4576EE10" w14:textId="77777777" w:rsidR="00327FF1" w:rsidRDefault="00E406C7">
            <w:pPr>
              <w:pStyle w:val="P68B1DB1-Normal11"/>
              <w:jc w:val="center"/>
              <w:rPr>
                <w:noProof/>
                <w:szCs w:val="20"/>
              </w:rPr>
            </w:pPr>
            <w:r>
              <w:rPr>
                <w:noProof/>
              </w:rPr>
              <w:t>NEPIEMĒRO</w:t>
            </w:r>
          </w:p>
        </w:tc>
        <w:tc>
          <w:tcPr>
            <w:tcW w:w="275" w:type="pct"/>
            <w:shd w:val="clear" w:color="auto" w:fill="C6EFCE"/>
            <w:noWrap/>
            <w:vAlign w:val="center"/>
            <w:hideMark/>
          </w:tcPr>
          <w:p w14:paraId="7E97B5F3" w14:textId="77777777" w:rsidR="00327FF1" w:rsidRDefault="00E406C7">
            <w:pPr>
              <w:pStyle w:val="P68B1DB1-Normal11"/>
              <w:jc w:val="center"/>
              <w:rPr>
                <w:noProof/>
                <w:szCs w:val="20"/>
              </w:rPr>
            </w:pPr>
            <w:r>
              <w:rPr>
                <w:noProof/>
              </w:rPr>
              <w:t>4. CET.</w:t>
            </w:r>
          </w:p>
        </w:tc>
        <w:tc>
          <w:tcPr>
            <w:tcW w:w="225" w:type="pct"/>
            <w:shd w:val="clear" w:color="auto" w:fill="C6EFCE"/>
            <w:noWrap/>
            <w:vAlign w:val="center"/>
            <w:hideMark/>
          </w:tcPr>
          <w:p w14:paraId="1D2C18D3" w14:textId="77777777" w:rsidR="00327FF1" w:rsidRDefault="00E406C7">
            <w:pPr>
              <w:pStyle w:val="P68B1DB1-Normal11"/>
              <w:jc w:val="center"/>
              <w:rPr>
                <w:noProof/>
                <w:szCs w:val="20"/>
              </w:rPr>
            </w:pPr>
            <w:r>
              <w:rPr>
                <w:noProof/>
              </w:rPr>
              <w:t>2023</w:t>
            </w:r>
          </w:p>
        </w:tc>
        <w:tc>
          <w:tcPr>
            <w:tcW w:w="1191" w:type="pct"/>
            <w:shd w:val="clear" w:color="auto" w:fill="C6EFCE"/>
            <w:noWrap/>
            <w:vAlign w:val="center"/>
            <w:hideMark/>
          </w:tcPr>
          <w:p w14:paraId="3FC11FB5" w14:textId="77777777" w:rsidR="00327FF1" w:rsidRDefault="00E406C7">
            <w:pPr>
              <w:pStyle w:val="P68B1DB1-Normal11"/>
              <w:rPr>
                <w:noProof/>
                <w:szCs w:val="20"/>
              </w:rPr>
            </w:pPr>
            <w:r>
              <w:rPr>
                <w:noProof/>
              </w:rPr>
              <w:t>Izraudzītās īstenošanas struktūras ir specializētas organizācijas vai</w:t>
            </w:r>
            <w:r>
              <w:rPr>
                <w:noProof/>
              </w:rPr>
              <w:t xml:space="preserve"> tīkli, kam ir prasmes un pieredze gan apmācības, gan kultūras ražošanas, vides, kultūras pārvaldības un apmācības jomā.</w:t>
            </w:r>
          </w:p>
          <w:p w14:paraId="6EEA4069" w14:textId="1342987A" w:rsidR="00327FF1" w:rsidRDefault="00E406C7">
            <w:pPr>
              <w:pStyle w:val="P68B1DB1-Normal11"/>
              <w:rPr>
                <w:noProof/>
                <w:szCs w:val="20"/>
              </w:rPr>
            </w:pPr>
            <w:r>
              <w:rPr>
                <w:noProof/>
              </w:rPr>
              <w:t>Paziņojums par visu publiskā iepirkuma līgumu slēgšanas tiesību piešķiršanu projektiem, kas atlasīti uzaicinājumos iesniegt priekšlikum</w:t>
            </w:r>
            <w:r>
              <w:rPr>
                <w:noProof/>
              </w:rPr>
              <w:t>us konkursa kārtībā, atbilst Tehniskajiem norādījumiem “nenodari būtisku kaitējumu” (2021/C58/01), izmantojot izslēgšanas sarakstu un prasību par atbilstību attiecīgajiem ES un valsts tiesību aktiem vides jomā.</w:t>
            </w:r>
          </w:p>
        </w:tc>
      </w:tr>
      <w:tr w:rsidR="00327FF1" w14:paraId="3FF8D711" w14:textId="77777777">
        <w:trPr>
          <w:trHeight w:val="309"/>
          <w:jc w:val="center"/>
        </w:trPr>
        <w:tc>
          <w:tcPr>
            <w:tcW w:w="366" w:type="pct"/>
            <w:shd w:val="clear" w:color="auto" w:fill="C6EFCE"/>
            <w:noWrap/>
            <w:vAlign w:val="center"/>
          </w:tcPr>
          <w:p w14:paraId="7FE970B6" w14:textId="77777777" w:rsidR="00327FF1" w:rsidRDefault="00E406C7">
            <w:pPr>
              <w:pStyle w:val="P68B1DB1-Normal11"/>
              <w:jc w:val="center"/>
              <w:rPr>
                <w:noProof/>
              </w:rPr>
            </w:pPr>
            <w:r>
              <w:rPr>
                <w:noProof/>
              </w:rPr>
              <w:t>M1C3–8</w:t>
            </w:r>
          </w:p>
        </w:tc>
        <w:tc>
          <w:tcPr>
            <w:tcW w:w="553" w:type="pct"/>
            <w:shd w:val="clear" w:color="auto" w:fill="C6EFCE"/>
            <w:noWrap/>
            <w:vAlign w:val="center"/>
          </w:tcPr>
          <w:p w14:paraId="399604C8" w14:textId="77777777" w:rsidR="00327FF1" w:rsidRDefault="00E406C7">
            <w:pPr>
              <w:pStyle w:val="P68B1DB1-Normal11"/>
              <w:jc w:val="center"/>
              <w:rPr>
                <w:noProof/>
              </w:rPr>
            </w:pPr>
            <w:r>
              <w:rPr>
                <w:noProof/>
              </w:rPr>
              <w:t xml:space="preserve">Investīcijas — 4.1. Digitālais </w:t>
            </w:r>
            <w:r>
              <w:rPr>
                <w:noProof/>
              </w:rPr>
              <w:t>tūrisma centrs</w:t>
            </w:r>
          </w:p>
        </w:tc>
        <w:tc>
          <w:tcPr>
            <w:tcW w:w="321" w:type="pct"/>
            <w:shd w:val="clear" w:color="auto" w:fill="C6EFCE"/>
            <w:noWrap/>
            <w:vAlign w:val="center"/>
          </w:tcPr>
          <w:p w14:paraId="4B424080" w14:textId="77777777" w:rsidR="00327FF1" w:rsidRDefault="00E406C7">
            <w:pPr>
              <w:pStyle w:val="P68B1DB1-Normal11"/>
              <w:jc w:val="center"/>
              <w:rPr>
                <w:noProof/>
              </w:rPr>
            </w:pPr>
            <w:r>
              <w:rPr>
                <w:noProof/>
              </w:rPr>
              <w:t>Atskaites punkts</w:t>
            </w:r>
          </w:p>
        </w:tc>
        <w:tc>
          <w:tcPr>
            <w:tcW w:w="507" w:type="pct"/>
            <w:shd w:val="clear" w:color="auto" w:fill="C6EFCE"/>
            <w:noWrap/>
            <w:vAlign w:val="center"/>
          </w:tcPr>
          <w:p w14:paraId="47B15228" w14:textId="77777777" w:rsidR="00327FF1" w:rsidRDefault="00E406C7">
            <w:pPr>
              <w:pStyle w:val="P68B1DB1-Normal11"/>
              <w:spacing w:line="276" w:lineRule="auto"/>
              <w:jc w:val="center"/>
              <w:rPr>
                <w:noProof/>
              </w:rPr>
            </w:pPr>
            <w:r>
              <w:rPr>
                <w:noProof/>
              </w:rPr>
              <w:t>Līgumu slēgšanas tiesību piešķiršana digitālā tūrisma portāla izstrādei</w:t>
            </w:r>
          </w:p>
        </w:tc>
        <w:tc>
          <w:tcPr>
            <w:tcW w:w="403" w:type="pct"/>
            <w:shd w:val="clear" w:color="auto" w:fill="C6EFCE"/>
            <w:noWrap/>
            <w:vAlign w:val="center"/>
          </w:tcPr>
          <w:p w14:paraId="78A99255" w14:textId="77777777" w:rsidR="00327FF1" w:rsidRDefault="00E406C7">
            <w:pPr>
              <w:pStyle w:val="P68B1DB1-Normal11"/>
              <w:jc w:val="center"/>
              <w:rPr>
                <w:noProof/>
              </w:rPr>
            </w:pPr>
            <w:r>
              <w:rPr>
                <w:noProof/>
              </w:rPr>
              <w:t>Paziņojums par visu publiskā iepirkuma līgumu slēgšanas tiesību piešķiršanu digitālā tūrisma portāla izstrādei</w:t>
            </w:r>
          </w:p>
        </w:tc>
        <w:tc>
          <w:tcPr>
            <w:tcW w:w="368" w:type="pct"/>
            <w:shd w:val="clear" w:color="auto" w:fill="C6EFCE"/>
            <w:noWrap/>
            <w:vAlign w:val="center"/>
          </w:tcPr>
          <w:p w14:paraId="1C5FC3DD" w14:textId="77777777" w:rsidR="00327FF1" w:rsidRDefault="00E406C7">
            <w:pPr>
              <w:pStyle w:val="P68B1DB1-Normal11"/>
              <w:jc w:val="center"/>
              <w:rPr>
                <w:noProof/>
              </w:rPr>
            </w:pPr>
            <w:r>
              <w:rPr>
                <w:noProof/>
              </w:rPr>
              <w:t>NEPIEMĒRO</w:t>
            </w:r>
          </w:p>
        </w:tc>
        <w:tc>
          <w:tcPr>
            <w:tcW w:w="424" w:type="pct"/>
            <w:shd w:val="clear" w:color="auto" w:fill="C6EFCE"/>
            <w:noWrap/>
            <w:vAlign w:val="center"/>
          </w:tcPr>
          <w:p w14:paraId="20E9A7DD" w14:textId="77777777" w:rsidR="00327FF1" w:rsidRDefault="00E406C7">
            <w:pPr>
              <w:pStyle w:val="P68B1DB1-Normal11"/>
              <w:jc w:val="center"/>
              <w:rPr>
                <w:noProof/>
              </w:rPr>
            </w:pPr>
            <w:r>
              <w:rPr>
                <w:noProof/>
              </w:rPr>
              <w:t>NEPIEMĒRO</w:t>
            </w:r>
          </w:p>
        </w:tc>
        <w:tc>
          <w:tcPr>
            <w:tcW w:w="367" w:type="pct"/>
            <w:shd w:val="clear" w:color="auto" w:fill="C6EFCE"/>
            <w:noWrap/>
            <w:vAlign w:val="center"/>
          </w:tcPr>
          <w:p w14:paraId="3ED99410" w14:textId="77777777" w:rsidR="00327FF1" w:rsidRDefault="00E406C7">
            <w:pPr>
              <w:pStyle w:val="P68B1DB1-Normal11"/>
              <w:jc w:val="center"/>
              <w:rPr>
                <w:noProof/>
              </w:rPr>
            </w:pPr>
            <w:r>
              <w:rPr>
                <w:noProof/>
              </w:rPr>
              <w:t>NEPIEMĒRO</w:t>
            </w:r>
          </w:p>
        </w:tc>
        <w:tc>
          <w:tcPr>
            <w:tcW w:w="275" w:type="pct"/>
            <w:shd w:val="clear" w:color="auto" w:fill="C6EFCE"/>
            <w:noWrap/>
            <w:vAlign w:val="center"/>
          </w:tcPr>
          <w:p w14:paraId="3C120E4B" w14:textId="77777777" w:rsidR="00327FF1" w:rsidRDefault="00E406C7">
            <w:pPr>
              <w:pStyle w:val="P68B1DB1-Normal11"/>
              <w:jc w:val="center"/>
              <w:rPr>
                <w:noProof/>
              </w:rPr>
            </w:pPr>
            <w:r>
              <w:rPr>
                <w:noProof/>
              </w:rPr>
              <w:t>4. CET.</w:t>
            </w:r>
          </w:p>
        </w:tc>
        <w:tc>
          <w:tcPr>
            <w:tcW w:w="225" w:type="pct"/>
            <w:shd w:val="clear" w:color="auto" w:fill="C6EFCE"/>
            <w:noWrap/>
            <w:vAlign w:val="center"/>
          </w:tcPr>
          <w:p w14:paraId="1BBB1CFA" w14:textId="77777777" w:rsidR="00327FF1" w:rsidRDefault="00E406C7">
            <w:pPr>
              <w:pStyle w:val="P68B1DB1-Normal11"/>
              <w:jc w:val="center"/>
              <w:rPr>
                <w:noProof/>
              </w:rPr>
            </w:pPr>
            <w:r>
              <w:rPr>
                <w:noProof/>
              </w:rPr>
              <w:t>2021</w:t>
            </w:r>
          </w:p>
        </w:tc>
        <w:tc>
          <w:tcPr>
            <w:tcW w:w="1191" w:type="pct"/>
            <w:shd w:val="clear" w:color="auto" w:fill="C6EFCE"/>
            <w:noWrap/>
            <w:vAlign w:val="center"/>
          </w:tcPr>
          <w:p w14:paraId="74537277" w14:textId="77777777" w:rsidR="00327FF1" w:rsidRDefault="00E406C7">
            <w:pPr>
              <w:pStyle w:val="P68B1DB1-Normal11"/>
              <w:rPr>
                <w:noProof/>
                <w:szCs w:val="20"/>
              </w:rPr>
            </w:pPr>
            <w:r>
              <w:rPr>
                <w:noProof/>
              </w:rPr>
              <w:t>Paziņojums par (visu) publiskā iepirkuma līgumu slēgšanas tiesību piešķiršanu digitālā tūrisma portāla izstrādei.</w:t>
            </w:r>
          </w:p>
          <w:p w14:paraId="405B42A8" w14:textId="77777777" w:rsidR="00327FF1" w:rsidRDefault="00E406C7">
            <w:pPr>
              <w:pStyle w:val="P68B1DB1-Normal11"/>
              <w:rPr>
                <w:noProof/>
                <w:szCs w:val="20"/>
              </w:rPr>
            </w:pPr>
            <w:r>
              <w:rPr>
                <w:noProof/>
              </w:rPr>
              <w:t xml:space="preserve">Digitālais tūrisma portāls modernizē pašreizējo portālu Italia.it, ieviešot mākoņdatošanu un atvērtu arhitektūru, kas ievērojami veicina </w:t>
            </w:r>
            <w:r>
              <w:rPr>
                <w:noProof/>
              </w:rPr>
              <w:t>starpsavienojumu ar ekosistēmu. Atjauninātajā portālā iekļauj: jaunas priekšējās saskarnes un navigācijas koka izveide; specializēto nodaļu, lappušu un rakstu izkārtojuma, struktūras un funkciju pārskatīšana; karšu ieviešana; daudzvalodu pārvaldība (pāreja</w:t>
            </w:r>
            <w:r>
              <w:rPr>
                <w:noProof/>
              </w:rPr>
              <w:t xml:space="preserve"> laikā portāls būs pieejams itāļu un angļu valodā). Paredzams, ka pārējās valodas, kas pašlaik tiek atbalstītas, tiks integrētas mēnešos, kas seko tūlīt pēc pasūtīšanas.</w:t>
            </w:r>
          </w:p>
          <w:p w14:paraId="0818F197" w14:textId="7CE04BC5" w:rsidR="00327FF1" w:rsidRDefault="00E406C7">
            <w:pPr>
              <w:pStyle w:val="P68B1DB1-Normal11"/>
              <w:rPr>
                <w:noProof/>
              </w:rPr>
            </w:pPr>
            <w:r>
              <w:rPr>
                <w:noProof/>
              </w:rPr>
              <w:t>Līgumu slēgšanas tiesību piešķiršana projektiem, kas atlasīti konkursa uzaicinājumos i</w:t>
            </w:r>
            <w:r>
              <w:rPr>
                <w:noProof/>
              </w:rPr>
              <w:t>esniegt priekšlikumus, ievērojot Tehniskos norādījumus “nenodari būtisku kaitējumu” (2021/C58/01), izmantojot izslēgšanas sarakstu un prasību par atbilstību attiecīgajiem ES un valsts tiesību aktiem vides jomā.</w:t>
            </w:r>
          </w:p>
        </w:tc>
      </w:tr>
      <w:tr w:rsidR="00327FF1" w14:paraId="1EB0A82B" w14:textId="77777777">
        <w:trPr>
          <w:trHeight w:val="309"/>
          <w:jc w:val="center"/>
        </w:trPr>
        <w:tc>
          <w:tcPr>
            <w:tcW w:w="366" w:type="pct"/>
            <w:shd w:val="clear" w:color="auto" w:fill="C6EFCE"/>
            <w:noWrap/>
            <w:vAlign w:val="center"/>
          </w:tcPr>
          <w:p w14:paraId="485F7D45" w14:textId="77777777" w:rsidR="00327FF1" w:rsidRDefault="00E406C7">
            <w:pPr>
              <w:pStyle w:val="P68B1DB1-Normal11"/>
              <w:jc w:val="center"/>
              <w:rPr>
                <w:noProof/>
              </w:rPr>
            </w:pPr>
            <w:r>
              <w:rPr>
                <w:noProof/>
              </w:rPr>
              <w:t>M1C3–9</w:t>
            </w:r>
          </w:p>
        </w:tc>
        <w:tc>
          <w:tcPr>
            <w:tcW w:w="553" w:type="pct"/>
            <w:shd w:val="clear" w:color="auto" w:fill="C6EFCE"/>
            <w:noWrap/>
            <w:vAlign w:val="center"/>
          </w:tcPr>
          <w:p w14:paraId="12558E98" w14:textId="43C7C166" w:rsidR="00327FF1" w:rsidRDefault="00E406C7">
            <w:pPr>
              <w:pStyle w:val="P68B1DB1-Normal11"/>
              <w:jc w:val="center"/>
              <w:rPr>
                <w:noProof/>
              </w:rPr>
            </w:pPr>
            <w:r>
              <w:rPr>
                <w:noProof/>
              </w:rPr>
              <w:t xml:space="preserve">Investīcija 4.1. Digitālais tūrisma </w:t>
            </w:r>
            <w:r>
              <w:rPr>
                <w:noProof/>
              </w:rPr>
              <w:t>centrs</w:t>
            </w:r>
          </w:p>
        </w:tc>
        <w:tc>
          <w:tcPr>
            <w:tcW w:w="321" w:type="pct"/>
            <w:shd w:val="clear" w:color="auto" w:fill="C6EFCE"/>
            <w:noWrap/>
            <w:vAlign w:val="center"/>
          </w:tcPr>
          <w:p w14:paraId="774C1E7A" w14:textId="77777777" w:rsidR="00327FF1" w:rsidRDefault="00E406C7">
            <w:pPr>
              <w:pStyle w:val="P68B1DB1-Normal11"/>
              <w:jc w:val="center"/>
              <w:rPr>
                <w:noProof/>
              </w:rPr>
            </w:pPr>
            <w:r>
              <w:rPr>
                <w:noProof/>
              </w:rPr>
              <w:t>Mērķa</w:t>
            </w:r>
          </w:p>
        </w:tc>
        <w:tc>
          <w:tcPr>
            <w:tcW w:w="507" w:type="pct"/>
            <w:shd w:val="clear" w:color="auto" w:fill="C6EFCE"/>
            <w:noWrap/>
            <w:vAlign w:val="center"/>
          </w:tcPr>
          <w:p w14:paraId="3E3A368A" w14:textId="77777777" w:rsidR="00327FF1" w:rsidRDefault="00E406C7">
            <w:pPr>
              <w:pStyle w:val="P68B1DB1-Normal11"/>
              <w:spacing w:line="276" w:lineRule="auto"/>
              <w:jc w:val="center"/>
              <w:rPr>
                <w:noProof/>
              </w:rPr>
            </w:pPr>
            <w:r>
              <w:rPr>
                <w:noProof/>
              </w:rPr>
              <w:t>Tūrisma operatoru reģistrācija digitālajā tūrisma centrā</w:t>
            </w:r>
          </w:p>
        </w:tc>
        <w:tc>
          <w:tcPr>
            <w:tcW w:w="403" w:type="pct"/>
            <w:shd w:val="clear" w:color="auto" w:fill="C6EFCE"/>
            <w:noWrap/>
            <w:vAlign w:val="center"/>
          </w:tcPr>
          <w:p w14:paraId="5A4B2EAA" w14:textId="77777777" w:rsidR="00327FF1" w:rsidRDefault="00E406C7">
            <w:pPr>
              <w:pStyle w:val="P68B1DB1-Normal11"/>
              <w:jc w:val="center"/>
              <w:rPr>
                <w:noProof/>
              </w:rPr>
            </w:pPr>
            <w:r>
              <w:rPr>
                <w:noProof/>
              </w:rPr>
              <w:t>NEPIEMĒRO</w:t>
            </w:r>
          </w:p>
        </w:tc>
        <w:tc>
          <w:tcPr>
            <w:tcW w:w="368" w:type="pct"/>
            <w:shd w:val="clear" w:color="auto" w:fill="C6EFCE"/>
            <w:noWrap/>
            <w:vAlign w:val="center"/>
          </w:tcPr>
          <w:p w14:paraId="114A0421" w14:textId="77777777" w:rsidR="00327FF1" w:rsidRDefault="00E406C7">
            <w:pPr>
              <w:pStyle w:val="P68B1DB1-Normal11"/>
              <w:jc w:val="center"/>
              <w:rPr>
                <w:noProof/>
              </w:rPr>
            </w:pPr>
            <w:r>
              <w:rPr>
                <w:noProof/>
              </w:rPr>
              <w:t>Skaits</w:t>
            </w:r>
          </w:p>
        </w:tc>
        <w:tc>
          <w:tcPr>
            <w:tcW w:w="424" w:type="pct"/>
            <w:shd w:val="clear" w:color="auto" w:fill="C6EFCE"/>
            <w:noWrap/>
            <w:vAlign w:val="center"/>
          </w:tcPr>
          <w:p w14:paraId="5F8D2DB1" w14:textId="77777777" w:rsidR="00327FF1" w:rsidRDefault="00E406C7">
            <w:pPr>
              <w:pStyle w:val="P68B1DB1-Normal11"/>
              <w:jc w:val="center"/>
              <w:rPr>
                <w:noProof/>
              </w:rPr>
            </w:pPr>
            <w:r>
              <w:rPr>
                <w:noProof/>
              </w:rPr>
              <w:t>0</w:t>
            </w:r>
          </w:p>
        </w:tc>
        <w:tc>
          <w:tcPr>
            <w:tcW w:w="367" w:type="pct"/>
            <w:shd w:val="clear" w:color="auto" w:fill="C6EFCE"/>
            <w:noWrap/>
            <w:vAlign w:val="center"/>
          </w:tcPr>
          <w:p w14:paraId="461ED8FC" w14:textId="77777777" w:rsidR="00327FF1" w:rsidRDefault="00E406C7">
            <w:pPr>
              <w:pStyle w:val="P68B1DB1-Normal11"/>
              <w:jc w:val="center"/>
              <w:rPr>
                <w:noProof/>
              </w:rPr>
            </w:pPr>
            <w:r>
              <w:rPr>
                <w:noProof/>
              </w:rPr>
              <w:t>20 000</w:t>
            </w:r>
          </w:p>
        </w:tc>
        <w:tc>
          <w:tcPr>
            <w:tcW w:w="275" w:type="pct"/>
            <w:shd w:val="clear" w:color="auto" w:fill="C6EFCE"/>
            <w:noWrap/>
            <w:vAlign w:val="center"/>
          </w:tcPr>
          <w:p w14:paraId="287714CA" w14:textId="77777777" w:rsidR="00327FF1" w:rsidRDefault="00E406C7">
            <w:pPr>
              <w:pStyle w:val="P68B1DB1-Normal11"/>
              <w:jc w:val="center"/>
              <w:rPr>
                <w:noProof/>
              </w:rPr>
            </w:pPr>
            <w:r>
              <w:rPr>
                <w:noProof/>
              </w:rPr>
              <w:t>2. CET.</w:t>
            </w:r>
          </w:p>
        </w:tc>
        <w:tc>
          <w:tcPr>
            <w:tcW w:w="225" w:type="pct"/>
            <w:shd w:val="clear" w:color="auto" w:fill="C6EFCE"/>
            <w:noWrap/>
            <w:vAlign w:val="center"/>
          </w:tcPr>
          <w:p w14:paraId="7B6549AB" w14:textId="77777777" w:rsidR="00327FF1" w:rsidRDefault="00E406C7">
            <w:pPr>
              <w:pStyle w:val="P68B1DB1-Normal11"/>
              <w:jc w:val="center"/>
              <w:rPr>
                <w:noProof/>
              </w:rPr>
            </w:pPr>
            <w:r>
              <w:rPr>
                <w:noProof/>
              </w:rPr>
              <w:t>2024</w:t>
            </w:r>
          </w:p>
        </w:tc>
        <w:tc>
          <w:tcPr>
            <w:tcW w:w="1191" w:type="pct"/>
            <w:shd w:val="clear" w:color="auto" w:fill="C6EFCE"/>
            <w:noWrap/>
            <w:vAlign w:val="center"/>
          </w:tcPr>
          <w:p w14:paraId="77C81F7A" w14:textId="77777777" w:rsidR="00327FF1" w:rsidRDefault="00E406C7">
            <w:pPr>
              <w:pStyle w:val="P68B1DB1-Normal11"/>
              <w:spacing w:line="256" w:lineRule="auto"/>
              <w:jc w:val="both"/>
              <w:rPr>
                <w:rFonts w:eastAsia="Arial Narrow" w:cs="Arial Narrow"/>
                <w:noProof/>
                <w:szCs w:val="20"/>
              </w:rPr>
            </w:pPr>
            <w:r>
              <w:rPr>
                <w:noProof/>
              </w:rPr>
              <w:t xml:space="preserve">Centrā reģistrēto tūrisma operatoru skaits (kas var ietvert viesnīcas, tūrisma operatorus un uzņēmumus, kas definēti ar ATECO kodiem 55.00.00, bet </w:t>
            </w:r>
            <w:r>
              <w:rPr>
                <w:noProof/>
              </w:rPr>
              <w:t>ne tikai); 56.00.00; 79.00.00 un citas nozares struktūras) ir vismaz 20000.</w:t>
            </w:r>
          </w:p>
          <w:p w14:paraId="536C7CFC" w14:textId="77777777" w:rsidR="00327FF1" w:rsidRDefault="00E406C7">
            <w:pPr>
              <w:pStyle w:val="P68B1DB1-Normal11"/>
              <w:spacing w:line="256" w:lineRule="auto"/>
              <w:jc w:val="both"/>
              <w:rPr>
                <w:rFonts w:eastAsia="Arial Narrow" w:cs="Arial Narrow"/>
                <w:noProof/>
                <w:szCs w:val="20"/>
              </w:rPr>
            </w:pPr>
            <w:r>
              <w:rPr>
                <w:noProof/>
              </w:rPr>
              <w:t>Vismaz 7400 tūrisma operatoru (t. i., 37 % no 20000) atrodas dienvidos.</w:t>
            </w:r>
          </w:p>
          <w:p w14:paraId="0403BE85" w14:textId="77777777" w:rsidR="00327FF1" w:rsidRDefault="00327FF1">
            <w:pPr>
              <w:rPr>
                <w:rFonts w:ascii="Arial Narrow" w:hAnsi="Arial Narrow"/>
                <w:noProof/>
                <w:color w:val="006100"/>
                <w:sz w:val="20"/>
              </w:rPr>
            </w:pPr>
          </w:p>
        </w:tc>
      </w:tr>
      <w:tr w:rsidR="00327FF1" w14:paraId="1698F795" w14:textId="77777777">
        <w:trPr>
          <w:trHeight w:val="309"/>
          <w:jc w:val="center"/>
        </w:trPr>
        <w:tc>
          <w:tcPr>
            <w:tcW w:w="366" w:type="pct"/>
            <w:shd w:val="clear" w:color="auto" w:fill="C6EFCE"/>
            <w:noWrap/>
            <w:vAlign w:val="center"/>
          </w:tcPr>
          <w:p w14:paraId="369AFEAF" w14:textId="77777777" w:rsidR="00327FF1" w:rsidRDefault="00E406C7">
            <w:pPr>
              <w:pStyle w:val="P68B1DB1-Normal11"/>
              <w:jc w:val="center"/>
              <w:rPr>
                <w:noProof/>
              </w:rPr>
            </w:pPr>
            <w:r>
              <w:rPr>
                <w:noProof/>
              </w:rPr>
              <w:t>M1C3–10</w:t>
            </w:r>
          </w:p>
        </w:tc>
        <w:tc>
          <w:tcPr>
            <w:tcW w:w="553" w:type="pct"/>
            <w:shd w:val="clear" w:color="auto" w:fill="C6EFCE"/>
            <w:noWrap/>
            <w:vAlign w:val="center"/>
          </w:tcPr>
          <w:p w14:paraId="732955AA" w14:textId="77777777" w:rsidR="00327FF1" w:rsidRDefault="00E406C7">
            <w:pPr>
              <w:pStyle w:val="P68B1DB1-Normal11"/>
              <w:jc w:val="center"/>
              <w:rPr>
                <w:noProof/>
                <w:szCs w:val="20"/>
              </w:rPr>
            </w:pPr>
            <w:r>
              <w:rPr>
                <w:noProof/>
              </w:rPr>
              <w:t>Reforma 4.1. Regula par tūristu gidu profesiju pasūtīšanu.</w:t>
            </w:r>
          </w:p>
          <w:p w14:paraId="13C84FA6" w14:textId="77777777" w:rsidR="00327FF1" w:rsidRDefault="00327FF1">
            <w:pPr>
              <w:jc w:val="center"/>
              <w:rPr>
                <w:rFonts w:ascii="Arial Narrow" w:hAnsi="Arial Narrow"/>
                <w:noProof/>
                <w:color w:val="006100"/>
                <w:sz w:val="20"/>
              </w:rPr>
            </w:pPr>
          </w:p>
        </w:tc>
        <w:tc>
          <w:tcPr>
            <w:tcW w:w="321" w:type="pct"/>
            <w:shd w:val="clear" w:color="auto" w:fill="C6EFCE"/>
            <w:noWrap/>
            <w:vAlign w:val="center"/>
          </w:tcPr>
          <w:p w14:paraId="06A45492" w14:textId="77777777" w:rsidR="00327FF1" w:rsidRDefault="00E406C7">
            <w:pPr>
              <w:pStyle w:val="P68B1DB1-Normal11"/>
              <w:jc w:val="center"/>
              <w:rPr>
                <w:noProof/>
              </w:rPr>
            </w:pPr>
            <w:r>
              <w:rPr>
                <w:noProof/>
              </w:rPr>
              <w:t>Atskaites punkts</w:t>
            </w:r>
          </w:p>
        </w:tc>
        <w:tc>
          <w:tcPr>
            <w:tcW w:w="507" w:type="pct"/>
            <w:shd w:val="clear" w:color="auto" w:fill="C6EFCE"/>
            <w:noWrap/>
            <w:vAlign w:val="center"/>
          </w:tcPr>
          <w:p w14:paraId="694D2088" w14:textId="77777777" w:rsidR="00327FF1" w:rsidRDefault="00E406C7">
            <w:pPr>
              <w:pStyle w:val="P68B1DB1-Normal11"/>
              <w:spacing w:line="276" w:lineRule="auto"/>
              <w:jc w:val="center"/>
              <w:rPr>
                <w:noProof/>
              </w:rPr>
            </w:pPr>
            <w:r>
              <w:rPr>
                <w:noProof/>
              </w:rPr>
              <w:t xml:space="preserve">Valsts standarta </w:t>
            </w:r>
            <w:r>
              <w:rPr>
                <w:noProof/>
              </w:rPr>
              <w:t>noteikšana tūristu gidiem</w:t>
            </w:r>
          </w:p>
        </w:tc>
        <w:tc>
          <w:tcPr>
            <w:tcW w:w="403" w:type="pct"/>
            <w:shd w:val="clear" w:color="auto" w:fill="C6EFCE"/>
            <w:noWrap/>
            <w:vAlign w:val="center"/>
          </w:tcPr>
          <w:p w14:paraId="4EE5E3C9" w14:textId="77777777" w:rsidR="00327FF1" w:rsidRDefault="00E406C7">
            <w:pPr>
              <w:pStyle w:val="P68B1DB1-Normal11"/>
              <w:jc w:val="center"/>
              <w:rPr>
                <w:noProof/>
              </w:rPr>
            </w:pPr>
            <w:r>
              <w:rPr>
                <w:noProof/>
              </w:rPr>
              <w:t>Valsts minimālā standarta definīcija nenozīmē jaunas reglamentētas profesijas izveidi.</w:t>
            </w:r>
          </w:p>
        </w:tc>
        <w:tc>
          <w:tcPr>
            <w:tcW w:w="368" w:type="pct"/>
            <w:shd w:val="clear" w:color="auto" w:fill="C6EFCE"/>
            <w:noWrap/>
            <w:vAlign w:val="center"/>
          </w:tcPr>
          <w:p w14:paraId="646082D0" w14:textId="77777777" w:rsidR="00327FF1" w:rsidRDefault="00E406C7">
            <w:pPr>
              <w:pStyle w:val="P68B1DB1-Normal11"/>
              <w:jc w:val="center"/>
              <w:rPr>
                <w:noProof/>
              </w:rPr>
            </w:pPr>
            <w:r>
              <w:rPr>
                <w:noProof/>
              </w:rPr>
              <w:t>NEPIEMĒRO</w:t>
            </w:r>
          </w:p>
        </w:tc>
        <w:tc>
          <w:tcPr>
            <w:tcW w:w="424" w:type="pct"/>
            <w:shd w:val="clear" w:color="auto" w:fill="C6EFCE"/>
            <w:noWrap/>
            <w:vAlign w:val="center"/>
          </w:tcPr>
          <w:p w14:paraId="65875BDF" w14:textId="77777777" w:rsidR="00327FF1" w:rsidRDefault="00E406C7">
            <w:pPr>
              <w:pStyle w:val="P68B1DB1-Normal11"/>
              <w:jc w:val="center"/>
              <w:rPr>
                <w:noProof/>
              </w:rPr>
            </w:pPr>
            <w:r>
              <w:rPr>
                <w:noProof/>
              </w:rPr>
              <w:t>NEPIEMĒRO</w:t>
            </w:r>
          </w:p>
        </w:tc>
        <w:tc>
          <w:tcPr>
            <w:tcW w:w="367" w:type="pct"/>
            <w:shd w:val="clear" w:color="auto" w:fill="C6EFCE"/>
            <w:noWrap/>
            <w:vAlign w:val="center"/>
          </w:tcPr>
          <w:p w14:paraId="14DC72F3" w14:textId="77777777" w:rsidR="00327FF1" w:rsidRDefault="00E406C7">
            <w:pPr>
              <w:pStyle w:val="P68B1DB1-Normal11"/>
              <w:jc w:val="center"/>
              <w:rPr>
                <w:noProof/>
              </w:rPr>
            </w:pPr>
            <w:r>
              <w:rPr>
                <w:noProof/>
              </w:rPr>
              <w:t>NEPIEMĒRO</w:t>
            </w:r>
          </w:p>
        </w:tc>
        <w:tc>
          <w:tcPr>
            <w:tcW w:w="275" w:type="pct"/>
            <w:shd w:val="clear" w:color="auto" w:fill="C6EFCE"/>
            <w:noWrap/>
            <w:vAlign w:val="center"/>
          </w:tcPr>
          <w:p w14:paraId="68328E32" w14:textId="77777777" w:rsidR="00327FF1" w:rsidRDefault="00E406C7">
            <w:pPr>
              <w:pStyle w:val="P68B1DB1-Normal11"/>
              <w:jc w:val="center"/>
              <w:rPr>
                <w:noProof/>
                <w:szCs w:val="20"/>
              </w:rPr>
            </w:pPr>
            <w:r>
              <w:rPr>
                <w:noProof/>
              </w:rPr>
              <w:t>2. CET.</w:t>
            </w:r>
          </w:p>
          <w:p w14:paraId="7685FDA9" w14:textId="77777777" w:rsidR="00327FF1" w:rsidRDefault="00327FF1">
            <w:pPr>
              <w:jc w:val="center"/>
              <w:rPr>
                <w:rFonts w:ascii="Arial Narrow" w:hAnsi="Arial Narrow"/>
                <w:noProof/>
                <w:color w:val="006100"/>
                <w:sz w:val="20"/>
              </w:rPr>
            </w:pPr>
          </w:p>
        </w:tc>
        <w:tc>
          <w:tcPr>
            <w:tcW w:w="225" w:type="pct"/>
            <w:shd w:val="clear" w:color="auto" w:fill="C6EFCE"/>
            <w:noWrap/>
            <w:vAlign w:val="center"/>
          </w:tcPr>
          <w:p w14:paraId="0D613302" w14:textId="77777777" w:rsidR="00327FF1" w:rsidRDefault="00E406C7">
            <w:pPr>
              <w:pStyle w:val="P68B1DB1-Normal11"/>
              <w:jc w:val="center"/>
              <w:rPr>
                <w:noProof/>
                <w:szCs w:val="20"/>
              </w:rPr>
            </w:pPr>
            <w:r>
              <w:rPr>
                <w:noProof/>
              </w:rPr>
              <w:t>2024</w:t>
            </w:r>
          </w:p>
          <w:p w14:paraId="64EE9BE1" w14:textId="77777777" w:rsidR="00327FF1" w:rsidRDefault="00327FF1">
            <w:pPr>
              <w:jc w:val="center"/>
              <w:rPr>
                <w:rFonts w:ascii="Arial Narrow" w:hAnsi="Arial Narrow"/>
                <w:noProof/>
                <w:color w:val="006100"/>
                <w:sz w:val="20"/>
              </w:rPr>
            </w:pPr>
          </w:p>
        </w:tc>
        <w:tc>
          <w:tcPr>
            <w:tcW w:w="1191" w:type="pct"/>
            <w:shd w:val="clear" w:color="auto" w:fill="C6EFCE"/>
            <w:noWrap/>
            <w:vAlign w:val="center"/>
          </w:tcPr>
          <w:p w14:paraId="30DF03DF" w14:textId="77777777" w:rsidR="00327FF1" w:rsidRDefault="00E406C7">
            <w:pPr>
              <w:pStyle w:val="P68B1DB1-Normal11"/>
              <w:rPr>
                <w:noProof/>
                <w:szCs w:val="20"/>
              </w:rPr>
            </w:pPr>
            <w:r>
              <w:rPr>
                <w:noProof/>
              </w:rPr>
              <w:t>Valsts minimālā standarta definīcija nenozīmē jaunas reglamentētas profesijas izveidi.</w:t>
            </w:r>
          </w:p>
          <w:p w14:paraId="76A44286" w14:textId="77777777" w:rsidR="00327FF1" w:rsidRDefault="00E406C7">
            <w:pPr>
              <w:pStyle w:val="P68B1DB1-Normal11"/>
              <w:rPr>
                <w:noProof/>
              </w:rPr>
            </w:pPr>
            <w:r>
              <w:rPr>
                <w:noProof/>
              </w:rPr>
              <w:t>Reforma par</w:t>
            </w:r>
            <w:r>
              <w:rPr>
                <w:noProof/>
              </w:rPr>
              <w:t>edz arī apmācību un profesionālu atjaunināšanu, lai labāk atbalstītu piedāvājumu. Reforma ir uzskatāma par metodi unikālas profesionālās kvalifikācijas iegūšanai, kas pieņemta ar vienotiem standartiem valsts līmenī, pieņemot valsts likumu un pēc tam īsteno</w:t>
            </w:r>
            <w:r>
              <w:rPr>
                <w:noProof/>
              </w:rPr>
              <w:t>jot valsts reģionu saprašanās ministrijas dekrētus.</w:t>
            </w:r>
          </w:p>
        </w:tc>
      </w:tr>
      <w:tr w:rsidR="00327FF1" w14:paraId="65763C2F" w14:textId="77777777">
        <w:trPr>
          <w:trHeight w:val="309"/>
          <w:jc w:val="center"/>
        </w:trPr>
        <w:tc>
          <w:tcPr>
            <w:tcW w:w="366" w:type="pct"/>
            <w:shd w:val="clear" w:color="auto" w:fill="C6EFCE"/>
            <w:noWrap/>
            <w:vAlign w:val="center"/>
          </w:tcPr>
          <w:p w14:paraId="055ECDFF" w14:textId="77777777" w:rsidR="00327FF1" w:rsidRDefault="00E406C7">
            <w:pPr>
              <w:pStyle w:val="P68B1DB1-Normal11"/>
              <w:jc w:val="center"/>
              <w:rPr>
                <w:noProof/>
                <w:szCs w:val="20"/>
              </w:rPr>
            </w:pPr>
            <w:r>
              <w:rPr>
                <w:noProof/>
              </w:rPr>
              <w:t>M1C3–11</w:t>
            </w:r>
          </w:p>
        </w:tc>
        <w:tc>
          <w:tcPr>
            <w:tcW w:w="553" w:type="pct"/>
            <w:shd w:val="clear" w:color="auto" w:fill="C6EFCE"/>
            <w:noWrap/>
            <w:vAlign w:val="center"/>
          </w:tcPr>
          <w:p w14:paraId="21117253" w14:textId="77777777" w:rsidR="00327FF1" w:rsidRDefault="00E406C7">
            <w:pPr>
              <w:pStyle w:val="P68B1DB1-Normal11"/>
              <w:jc w:val="center"/>
              <w:rPr>
                <w:noProof/>
                <w:szCs w:val="20"/>
              </w:rPr>
            </w:pPr>
            <w:r>
              <w:rPr>
                <w:noProof/>
              </w:rPr>
              <w:t>Investīcija — Energoefektivitātes uzlabošana kinoteātros, teātros un muzejos</w:t>
            </w:r>
          </w:p>
        </w:tc>
        <w:tc>
          <w:tcPr>
            <w:tcW w:w="321" w:type="pct"/>
            <w:shd w:val="clear" w:color="auto" w:fill="C6EFCE"/>
            <w:noWrap/>
            <w:vAlign w:val="center"/>
          </w:tcPr>
          <w:p w14:paraId="355BA6F4" w14:textId="77777777" w:rsidR="00327FF1" w:rsidRDefault="00E406C7">
            <w:pPr>
              <w:pStyle w:val="P68B1DB1-Normal11"/>
              <w:jc w:val="center"/>
              <w:rPr>
                <w:noProof/>
                <w:szCs w:val="20"/>
              </w:rPr>
            </w:pPr>
            <w:r>
              <w:rPr>
                <w:noProof/>
              </w:rPr>
              <w:t>Atskaites punkts</w:t>
            </w:r>
          </w:p>
        </w:tc>
        <w:tc>
          <w:tcPr>
            <w:tcW w:w="507" w:type="pct"/>
            <w:shd w:val="clear" w:color="auto" w:fill="C6EFCE"/>
            <w:noWrap/>
            <w:vAlign w:val="center"/>
          </w:tcPr>
          <w:p w14:paraId="1820BF73" w14:textId="77777777" w:rsidR="00327FF1" w:rsidRDefault="00E406C7">
            <w:pPr>
              <w:pStyle w:val="P68B1DB1-Normal11"/>
              <w:spacing w:line="276" w:lineRule="auto"/>
              <w:jc w:val="center"/>
              <w:rPr>
                <w:noProof/>
                <w:szCs w:val="20"/>
              </w:rPr>
            </w:pPr>
            <w:r>
              <w:rPr>
                <w:noProof/>
              </w:rPr>
              <w:t>Kultūras ministrijas dekrēta par resursu piešķiršanu stāšanās spēkā:</w:t>
            </w:r>
          </w:p>
          <w:p w14:paraId="3B5D6C54" w14:textId="77777777" w:rsidR="00327FF1" w:rsidRDefault="00E406C7">
            <w:pPr>
              <w:pStyle w:val="P68B1DB1-Normal11"/>
              <w:spacing w:line="276" w:lineRule="auto"/>
              <w:jc w:val="center"/>
              <w:rPr>
                <w:noProof/>
                <w:szCs w:val="20"/>
              </w:rPr>
            </w:pPr>
            <w:r>
              <w:rPr>
                <w:noProof/>
              </w:rPr>
              <w:t xml:space="preserve">uzlabot energoefektivitāti </w:t>
            </w:r>
            <w:r>
              <w:rPr>
                <w:noProof/>
              </w:rPr>
              <w:t>kultūras vietās</w:t>
            </w:r>
          </w:p>
          <w:p w14:paraId="0A11AC49" w14:textId="77777777" w:rsidR="00327FF1" w:rsidRDefault="00327FF1">
            <w:pPr>
              <w:jc w:val="center"/>
              <w:rPr>
                <w:rFonts w:ascii="Arial Narrow" w:hAnsi="Arial Narrow"/>
                <w:noProof/>
                <w:color w:val="006100"/>
                <w:sz w:val="20"/>
                <w:szCs w:val="20"/>
              </w:rPr>
            </w:pPr>
          </w:p>
        </w:tc>
        <w:tc>
          <w:tcPr>
            <w:tcW w:w="403" w:type="pct"/>
            <w:shd w:val="clear" w:color="auto" w:fill="C6EFCE"/>
            <w:noWrap/>
            <w:vAlign w:val="center"/>
          </w:tcPr>
          <w:p w14:paraId="630B10DC" w14:textId="77777777" w:rsidR="00327FF1" w:rsidRDefault="00E406C7">
            <w:pPr>
              <w:pStyle w:val="P68B1DB1-Normal11"/>
              <w:jc w:val="center"/>
              <w:rPr>
                <w:noProof/>
                <w:szCs w:val="20"/>
              </w:rPr>
            </w:pPr>
            <w:r>
              <w:rPr>
                <w:noProof/>
              </w:rPr>
              <w:t>Noteikums dekrētā par to, ka stājas spēkā Kultūras ministrijas (MIC) dekrēts par resursu piešķiršanu energoefektivitātes uzlabošanai kultūras vietās</w:t>
            </w:r>
          </w:p>
          <w:p w14:paraId="3A92A56F" w14:textId="77777777" w:rsidR="00327FF1" w:rsidRDefault="00327FF1">
            <w:pPr>
              <w:jc w:val="center"/>
              <w:rPr>
                <w:rFonts w:ascii="Arial Narrow" w:hAnsi="Arial Narrow"/>
                <w:noProof/>
                <w:color w:val="006100"/>
                <w:sz w:val="20"/>
                <w:szCs w:val="20"/>
              </w:rPr>
            </w:pPr>
          </w:p>
        </w:tc>
        <w:tc>
          <w:tcPr>
            <w:tcW w:w="368" w:type="pct"/>
            <w:shd w:val="clear" w:color="auto" w:fill="C6EFCE"/>
            <w:noWrap/>
            <w:vAlign w:val="center"/>
          </w:tcPr>
          <w:p w14:paraId="26E1612D" w14:textId="77777777" w:rsidR="00327FF1" w:rsidRDefault="00E406C7">
            <w:pPr>
              <w:pStyle w:val="P68B1DB1-Normal11"/>
              <w:jc w:val="center"/>
              <w:rPr>
                <w:noProof/>
                <w:szCs w:val="20"/>
              </w:rPr>
            </w:pPr>
            <w:r>
              <w:rPr>
                <w:noProof/>
              </w:rPr>
              <w:t>NEPIEMĒRO</w:t>
            </w:r>
          </w:p>
        </w:tc>
        <w:tc>
          <w:tcPr>
            <w:tcW w:w="424" w:type="pct"/>
            <w:shd w:val="clear" w:color="auto" w:fill="C6EFCE"/>
            <w:noWrap/>
            <w:vAlign w:val="center"/>
          </w:tcPr>
          <w:p w14:paraId="2F59CAA0" w14:textId="77777777" w:rsidR="00327FF1" w:rsidRDefault="00E406C7">
            <w:pPr>
              <w:pStyle w:val="P68B1DB1-Normal11"/>
              <w:jc w:val="center"/>
              <w:rPr>
                <w:noProof/>
                <w:szCs w:val="20"/>
              </w:rPr>
            </w:pPr>
            <w:r>
              <w:rPr>
                <w:noProof/>
              </w:rPr>
              <w:t>NEPIEMĒRO</w:t>
            </w:r>
          </w:p>
        </w:tc>
        <w:tc>
          <w:tcPr>
            <w:tcW w:w="367" w:type="pct"/>
            <w:shd w:val="clear" w:color="auto" w:fill="C6EFCE"/>
            <w:noWrap/>
            <w:vAlign w:val="center"/>
          </w:tcPr>
          <w:p w14:paraId="22BF1659" w14:textId="77777777" w:rsidR="00327FF1" w:rsidRDefault="00E406C7">
            <w:pPr>
              <w:pStyle w:val="P68B1DB1-Normal11"/>
              <w:jc w:val="center"/>
              <w:rPr>
                <w:noProof/>
                <w:szCs w:val="20"/>
              </w:rPr>
            </w:pPr>
            <w:r>
              <w:rPr>
                <w:noProof/>
              </w:rPr>
              <w:t>NEPIEMĒRO</w:t>
            </w:r>
          </w:p>
        </w:tc>
        <w:tc>
          <w:tcPr>
            <w:tcW w:w="275" w:type="pct"/>
            <w:shd w:val="clear" w:color="auto" w:fill="C6EFCE"/>
            <w:noWrap/>
            <w:vAlign w:val="center"/>
          </w:tcPr>
          <w:p w14:paraId="17C90CFB" w14:textId="77777777" w:rsidR="00327FF1" w:rsidRDefault="00E406C7">
            <w:pPr>
              <w:pStyle w:val="P68B1DB1-Normal11"/>
              <w:jc w:val="center"/>
              <w:rPr>
                <w:noProof/>
                <w:szCs w:val="20"/>
              </w:rPr>
            </w:pPr>
            <w:r>
              <w:rPr>
                <w:noProof/>
              </w:rPr>
              <w:t>2. CET.</w:t>
            </w:r>
          </w:p>
        </w:tc>
        <w:tc>
          <w:tcPr>
            <w:tcW w:w="225" w:type="pct"/>
            <w:shd w:val="clear" w:color="auto" w:fill="C6EFCE"/>
            <w:noWrap/>
            <w:vAlign w:val="center"/>
          </w:tcPr>
          <w:p w14:paraId="1703B8F3" w14:textId="77777777" w:rsidR="00327FF1" w:rsidRDefault="00E406C7">
            <w:pPr>
              <w:pStyle w:val="P68B1DB1-Normal11"/>
              <w:jc w:val="center"/>
              <w:rPr>
                <w:noProof/>
                <w:szCs w:val="20"/>
              </w:rPr>
            </w:pPr>
            <w:r>
              <w:rPr>
                <w:noProof/>
              </w:rPr>
              <w:t>2022</w:t>
            </w:r>
          </w:p>
        </w:tc>
        <w:tc>
          <w:tcPr>
            <w:tcW w:w="1191" w:type="pct"/>
            <w:shd w:val="clear" w:color="auto" w:fill="C6EFCE"/>
            <w:noWrap/>
            <w:vAlign w:val="center"/>
          </w:tcPr>
          <w:p w14:paraId="04DB0BDC" w14:textId="77777777" w:rsidR="00327FF1" w:rsidRDefault="00E406C7">
            <w:pPr>
              <w:pStyle w:val="P68B1DB1-Normal11"/>
              <w:rPr>
                <w:noProof/>
                <w:szCs w:val="20"/>
              </w:rPr>
            </w:pPr>
            <w:r>
              <w:rPr>
                <w:noProof/>
              </w:rPr>
              <w:t>Kultūras vietas ir kinoteātri, teātri un muzej</w:t>
            </w:r>
            <w:r>
              <w:rPr>
                <w:noProof/>
              </w:rPr>
              <w:t>i.</w:t>
            </w:r>
          </w:p>
          <w:p w14:paraId="6262B8A2" w14:textId="2E15DF2A" w:rsidR="00327FF1" w:rsidRDefault="00E406C7">
            <w:pPr>
              <w:pStyle w:val="P68B1DB1-Normal11"/>
              <w:rPr>
                <w:noProof/>
                <w:szCs w:val="20"/>
              </w:rPr>
            </w:pPr>
            <w:r>
              <w:rPr>
                <w:noProof/>
              </w:rPr>
              <w:t>(INV. 1.3) Attiecībā uz muzejiem un kultūras vietām energoefektivitātes uzlabošanai intervence tiek īstenota, atzīstot projekta priekšlikumus Valsts kultūras objektos 1. mērķa gadījumā. Pretējā gadījumā nevalstisko iestāžu noteikšanu 2. un 3. mērķa gadī</w:t>
            </w:r>
            <w:r>
              <w:rPr>
                <w:noProof/>
              </w:rPr>
              <w:t>jumos veic, izsludinot uzaicinājumus iesniegt piedāvājumus.</w:t>
            </w:r>
          </w:p>
          <w:p w14:paraId="00520429" w14:textId="61533135" w:rsidR="00327FF1" w:rsidRDefault="00E406C7">
            <w:pPr>
              <w:pStyle w:val="P68B1DB1-Normal11"/>
              <w:rPr>
                <w:noProof/>
                <w:szCs w:val="20"/>
              </w:rPr>
            </w:pPr>
            <w:r>
              <w:rPr>
                <w:noProof/>
              </w:rPr>
              <w:t>Līgumu slēgšanas tiesības projektiem, kas atlasīti konkursa uzaicinājumos iesniegt priekšlikumus, piešķir saskaņā ar Tehniskajiem norādījumiem “nenodari būtisku kaitējumu” (2021/C58/01), izmantojo</w:t>
            </w:r>
            <w:r>
              <w:rPr>
                <w:noProof/>
              </w:rPr>
              <w:t>t izslēgšanas sarakstu un prasību par atbilstību attiecīgajiem ES un valsts tiesību aktiem vides jomā.</w:t>
            </w:r>
          </w:p>
        </w:tc>
      </w:tr>
    </w:tbl>
    <w:p w14:paraId="03EFC620" w14:textId="77777777" w:rsidR="00327FF1" w:rsidRDefault="00327FF1">
      <w:pPr>
        <w:spacing w:before="120" w:after="120"/>
        <w:ind w:left="709"/>
        <w:jc w:val="both"/>
        <w:rPr>
          <w:noProof/>
        </w:rPr>
      </w:pPr>
    </w:p>
    <w:p w14:paraId="20905C78" w14:textId="77777777" w:rsidR="00327FF1" w:rsidRDefault="00327FF1">
      <w:pPr>
        <w:spacing w:before="120" w:after="120"/>
        <w:ind w:left="709"/>
        <w:jc w:val="both"/>
        <w:rPr>
          <w:noProof/>
        </w:rPr>
        <w:sectPr w:rsidR="00327FF1" w:rsidSect="005F11B9">
          <w:headerReference w:type="default" r:id="rId62"/>
          <w:footerReference w:type="default" r:id="rId63"/>
          <w:pgSz w:w="16839" w:h="11907" w:orient="landscape"/>
          <w:pgMar w:top="1134" w:right="1134" w:bottom="1134" w:left="1134" w:header="567" w:footer="567" w:gutter="0"/>
          <w:cols w:space="720"/>
          <w:docGrid w:linePitch="360"/>
        </w:sectPr>
      </w:pPr>
    </w:p>
    <w:p w14:paraId="5D382CD3" w14:textId="4F939F36" w:rsidR="00327FF1" w:rsidRDefault="00E406C7">
      <w:pPr>
        <w:pStyle w:val="P68B1DB1-Heading39"/>
        <w:ind w:left="850" w:hanging="850"/>
        <w:rPr>
          <w:b/>
          <w:bCs/>
          <w:i/>
          <w:iCs/>
          <w:noProof/>
          <w:u w:val="single"/>
        </w:rPr>
      </w:pPr>
      <w:r>
        <w:rPr>
          <w:b/>
          <w:noProof/>
          <w:u w:val="single"/>
        </w:rPr>
        <w:t xml:space="preserve">C3. </w:t>
      </w:r>
      <w:r>
        <w:rPr>
          <w:noProof/>
        </w:rPr>
        <w:t xml:space="preserve"> </w:t>
      </w:r>
      <w:r>
        <w:rPr>
          <w:b/>
          <w:noProof/>
          <w:u w:val="single"/>
        </w:rPr>
        <w:t xml:space="preserve">Aizdevumam pieteikto reformu un investīciju apraksts </w:t>
      </w:r>
    </w:p>
    <w:p w14:paraId="4F1C948F" w14:textId="77777777" w:rsidR="00327FF1" w:rsidRDefault="00327FF1">
      <w:pPr>
        <w:jc w:val="both"/>
        <w:rPr>
          <w:rFonts w:ascii="Times New Roman" w:hAnsi="Times New Roman" w:cs="Times New Roman"/>
          <w:b/>
          <w:noProof/>
        </w:rPr>
      </w:pPr>
    </w:p>
    <w:p w14:paraId="167C2019" w14:textId="77777777" w:rsidR="00327FF1" w:rsidRDefault="00E406C7">
      <w:pPr>
        <w:pStyle w:val="P68B1DB1-Normal29"/>
        <w:rPr>
          <w:i/>
          <w:noProof/>
        </w:rPr>
      </w:pPr>
      <w:r>
        <w:rPr>
          <w:noProof/>
        </w:rPr>
        <w:t xml:space="preserve">Investīcija 4.1: Digitālā </w:t>
      </w:r>
      <w:r>
        <w:rPr>
          <w:noProof/>
        </w:rPr>
        <w:t>tūrisma centrs</w:t>
      </w:r>
    </w:p>
    <w:p w14:paraId="32E81302" w14:textId="2BCC3B12" w:rsidR="00327FF1" w:rsidRDefault="00E406C7">
      <w:pPr>
        <w:pStyle w:val="P68B1DB1-Normal8"/>
        <w:spacing w:before="120" w:after="120"/>
        <w:jc w:val="both"/>
        <w:rPr>
          <w:rFonts w:eastAsiaTheme="majorEastAsia"/>
          <w:noProof/>
          <w:snapToGrid w:val="0"/>
          <w:color w:val="000000"/>
          <w:sz w:val="0"/>
          <w:szCs w:val="0"/>
          <w:u w:color="000000"/>
          <w:bdr w:val="none" w:sz="0" w:space="0" w:color="000000"/>
          <w:shd w:val="clear" w:color="000000" w:fill="000000"/>
        </w:rPr>
      </w:pPr>
      <w:r>
        <w:rPr>
          <w:noProof/>
        </w:rPr>
        <w:t>Šā pasākuma mērķis ir ļaut visai tūrisma ekosistēmai palielināt, integrēt un izplatīt savu piedāvājumu. Pasākums ietver digitālā tūrisma centra izveidi, kas būtu pieejams īpašā tīmekļa platformā.</w:t>
      </w:r>
    </w:p>
    <w:p w14:paraId="0C2E08D9" w14:textId="77777777" w:rsidR="00327FF1" w:rsidRDefault="00E406C7">
      <w:pPr>
        <w:pStyle w:val="P68B1DB1-Normal5"/>
        <w:jc w:val="both"/>
        <w:rPr>
          <w:noProof/>
        </w:rPr>
      </w:pPr>
      <w:r>
        <w:rPr>
          <w:noProof/>
        </w:rPr>
        <w:t>Investīcija 2.1: Mazo vēsturisko pilsētu piev</w:t>
      </w:r>
      <w:r>
        <w:rPr>
          <w:noProof/>
        </w:rPr>
        <w:t>ilcība</w:t>
      </w:r>
    </w:p>
    <w:p w14:paraId="5D162D7E" w14:textId="5502F250" w:rsidR="00327FF1" w:rsidRDefault="00E406C7">
      <w:pPr>
        <w:pStyle w:val="P68B1DB1-Normal7"/>
        <w:jc w:val="both"/>
        <w:rPr>
          <w:noProof/>
        </w:rPr>
      </w:pPr>
      <w:r>
        <w:rPr>
          <w:noProof/>
        </w:rPr>
        <w:t>Šā pasākuma mērķis ir atbalstīt mazāk labvēlīgu apgabalu ekonomisko un sociālo attīstību, pamatojoties uz kultūras atjaunošanu mazpilsētās un jo īpaši vietējās ekonomikas un tūrisma izaugsmi. Ieguldījums ietver atbalstu kultūras, sociālajai un ar tū</w:t>
      </w:r>
      <w:r>
        <w:rPr>
          <w:noProof/>
        </w:rPr>
        <w:t xml:space="preserve">rismu saistītajai infrastruktūrai, pakalpojumiem un darbībām. </w:t>
      </w:r>
    </w:p>
    <w:p w14:paraId="36DC319C" w14:textId="77777777" w:rsidR="00327FF1" w:rsidRDefault="00E406C7">
      <w:pPr>
        <w:pStyle w:val="P68B1DB1-Normal5"/>
        <w:spacing w:after="120"/>
        <w:jc w:val="both"/>
        <w:rPr>
          <w:bCs/>
          <w:noProof/>
        </w:rPr>
      </w:pPr>
      <w:r>
        <w:rPr>
          <w:noProof/>
        </w:rPr>
        <w:t xml:space="preserve">Ieguldījums 2.2.: Lauku arhitektūras un ainavas aizsardzība un uzlabošana </w:t>
      </w:r>
    </w:p>
    <w:p w14:paraId="38680AA9" w14:textId="1BD97C44" w:rsidR="00327FF1" w:rsidRDefault="00E406C7">
      <w:pPr>
        <w:pStyle w:val="P68B1DB1-Normal7"/>
        <w:spacing w:after="120"/>
        <w:jc w:val="both"/>
        <w:rPr>
          <w:noProof/>
        </w:rPr>
      </w:pPr>
      <w:r>
        <w:rPr>
          <w:noProof/>
        </w:rPr>
        <w:t>Šā pasākuma mērķis ir uzlabot lauku un lauku vidi. Pasākums ietver atbalstu privāto lauku ēku atjaunošanai.</w:t>
      </w:r>
    </w:p>
    <w:p w14:paraId="0A6DB8D5" w14:textId="77777777" w:rsidR="00327FF1" w:rsidRDefault="00E406C7">
      <w:pPr>
        <w:pStyle w:val="P68B1DB1-Normal5"/>
        <w:spacing w:after="120"/>
        <w:jc w:val="both"/>
        <w:rPr>
          <w:noProof/>
        </w:rPr>
      </w:pPr>
      <w:r>
        <w:rPr>
          <w:noProof/>
        </w:rPr>
        <w:t>Investīcij</w:t>
      </w:r>
      <w:r>
        <w:rPr>
          <w:noProof/>
        </w:rPr>
        <w:t xml:space="preserve">a 2.3.: Programmas vietu, parku un vēsturisko dārzu identitātes uzlabošanai </w:t>
      </w:r>
    </w:p>
    <w:p w14:paraId="2E588923" w14:textId="06524A22" w:rsidR="00327FF1" w:rsidRDefault="00E406C7">
      <w:pPr>
        <w:pStyle w:val="P68B1DB1-Normal7"/>
        <w:spacing w:after="120"/>
        <w:jc w:val="both"/>
        <w:rPr>
          <w:noProof/>
        </w:rPr>
      </w:pPr>
      <w:r>
        <w:rPr>
          <w:noProof/>
        </w:rPr>
        <w:t>Šā pasākuma mērķis ir saglabāt un uzlabot vēsturiskos parkus un dārzus, aizsargājot to kultūras un vēsturisko mantojumu, vienlaikus uzlabojot pieejamību, drošību un publisku izman</w:t>
      </w:r>
      <w:r>
        <w:rPr>
          <w:noProof/>
        </w:rPr>
        <w:t>tošanu. Pasākums ietver vēsturisko parku un dārzu atjaunošanu, atjaunošanas, ilgtspējīgas apsaimniekošanas un profesionālās apmācības atbalstīšanu, nodrošinot ilgtermiņa saglabāšanu un stiprinot to lomu kultūras, izglītības un vides jomā.</w:t>
      </w:r>
    </w:p>
    <w:p w14:paraId="1591E1AE" w14:textId="77777777" w:rsidR="00327FF1" w:rsidRDefault="00E406C7">
      <w:pPr>
        <w:pStyle w:val="P68B1DB1-Normal5"/>
        <w:spacing w:after="120"/>
        <w:jc w:val="both"/>
        <w:rPr>
          <w:noProof/>
        </w:rPr>
      </w:pPr>
      <w:r>
        <w:rPr>
          <w:noProof/>
        </w:rPr>
        <w:t>Investīcija 2.4.:</w:t>
      </w:r>
      <w:r>
        <w:rPr>
          <w:noProof/>
        </w:rPr>
        <w:t xml:space="preserve"> Kulta vietu seismiskā drošība, FEC mantojuma atjaunošana un mākslas darbu patversmes (atveseļošanas māksla)</w:t>
      </w:r>
    </w:p>
    <w:p w14:paraId="188B7B26" w14:textId="1DF29D7F" w:rsidR="00327FF1" w:rsidRDefault="00E406C7">
      <w:pPr>
        <w:pStyle w:val="P68B1DB1-Normal7"/>
        <w:spacing w:after="120"/>
        <w:jc w:val="both"/>
        <w:rPr>
          <w:b/>
          <w:noProof/>
          <w:u w:val="single"/>
        </w:rPr>
      </w:pPr>
      <w:r>
        <w:rPr>
          <w:noProof/>
        </w:rPr>
        <w:t>Šā pasākuma mērķis ir samazināt seismisko risku kulta vietās. Investīcija ietver pretseismiskas preventīvas rīcības plāna ieviešanu, kulta ēku seis</w:t>
      </w:r>
      <w:r>
        <w:rPr>
          <w:noProof/>
        </w:rPr>
        <w:t>miskās modernizācijas īstenošanu, FEC (</w:t>
      </w:r>
      <w:r>
        <w:rPr>
          <w:i/>
          <w:noProof/>
        </w:rPr>
        <w:t>Fondo Edifici di Culto</w:t>
      </w:r>
      <w:r>
        <w:rPr>
          <w:noProof/>
        </w:rPr>
        <w:t>) mantojuma aktīvu atjaunošanu un mākslas darbu patversmju būvniecību.</w:t>
      </w:r>
    </w:p>
    <w:p w14:paraId="3A00175A" w14:textId="77777777" w:rsidR="00327FF1" w:rsidRDefault="00E406C7">
      <w:pPr>
        <w:pStyle w:val="P68B1DB1-Normal5"/>
        <w:spacing w:after="120"/>
        <w:jc w:val="both"/>
        <w:rPr>
          <w:noProof/>
        </w:rPr>
      </w:pPr>
      <w:r>
        <w:rPr>
          <w:noProof/>
        </w:rPr>
        <w:t>Ieguldījums 4.2.: Līdzekļi tūrisma uzņēmumu konkurētspējai</w:t>
      </w:r>
    </w:p>
    <w:p w14:paraId="308CBA87" w14:textId="77777777" w:rsidR="00327FF1" w:rsidRDefault="00E406C7">
      <w:pPr>
        <w:pStyle w:val="P68B1DB1-Normal7"/>
        <w:spacing w:after="120"/>
        <w:jc w:val="both"/>
        <w:rPr>
          <w:noProof/>
        </w:rPr>
      </w:pPr>
      <w:r>
        <w:rPr>
          <w:noProof/>
        </w:rPr>
        <w:t>Pasākuma mērķis ir atbalstīt uzņēmumus, kas darbojas tūrisma noza</w:t>
      </w:r>
      <w:r>
        <w:rPr>
          <w:noProof/>
        </w:rPr>
        <w:t>rē. Tas ietver nodokļu kredītus darbiem, kuru mērķis ir uzlabot izmitināšanas iespējas, garantiju fondu, lai atvieglotu kredītu pieejamību nozares uzņēmumiem (izmantojot īpašu MVU garantiju fonda nodaļu), EIB Tematiskā tūrisma fonda aktivizēšanu, lai atbal</w:t>
      </w:r>
      <w:r>
        <w:rPr>
          <w:noProof/>
        </w:rPr>
        <w:t xml:space="preserve">stītu inovatīvus ieguldījumus nozarē, pašu kapitāla fondu (Valsts tūrisma fondu) tādu īpašumu atjaunošanai, kuriem ir liels tūrisma potenciāls. Iepriekš minētos pasākumus, lai atbalstītu uzņēmumus, kas darbojas tūrisma nozarē, papildina ar papildu finanšu </w:t>
      </w:r>
      <w:r>
        <w:rPr>
          <w:noProof/>
        </w:rPr>
        <w:t>instrumentu (FRI — Fondo Rotativo). Iepriekš minētās intervences veic saskaņā ar investīciju politiku atbilstīgi Regulas (ES) 2021/241 mērķiem, tostarp attiecībā uz principa “nenodari būtisku kaitējumu” piemērošanu, kā sīkāk norādīts tehniskajos norādījumo</w:t>
      </w:r>
      <w:r>
        <w:rPr>
          <w:noProof/>
        </w:rPr>
        <w:t>s par principa “nenodari būtisku kaitējumu” piemērošanu saskaņā ar Atveseļošanas un noturības mehānisma regulu (2021/C58/01).</w:t>
      </w:r>
    </w:p>
    <w:p w14:paraId="5AA675FB" w14:textId="77777777" w:rsidR="00327FF1" w:rsidRDefault="00E406C7">
      <w:pPr>
        <w:pStyle w:val="P68B1DB1-Text143"/>
        <w:spacing w:before="0"/>
        <w:ind w:left="0"/>
        <w:rPr>
          <w:noProof/>
        </w:rPr>
      </w:pPr>
      <w:r>
        <w:rPr>
          <w:noProof/>
        </w:rPr>
        <w:t>Lai nodrošinātu, ka pasākums atbilst Tehniskajiem norādījumiem “nenodari būtisku kaitējumu” (2021/C58/01), finanšu instrumentu jur</w:t>
      </w:r>
      <w:r>
        <w:rPr>
          <w:noProof/>
        </w:rPr>
        <w:t xml:space="preserve">idiskā vienošanās un turpmākā ieguldījumu politika: </w:t>
      </w:r>
    </w:p>
    <w:p w14:paraId="2696B952" w14:textId="77777777" w:rsidR="00327FF1" w:rsidRDefault="00E406C7">
      <w:pPr>
        <w:pStyle w:val="P68B1DB1-Text143"/>
        <w:numPr>
          <w:ilvl w:val="0"/>
          <w:numId w:val="53"/>
        </w:numPr>
        <w:spacing w:before="0"/>
        <w:ind w:left="567" w:hanging="283"/>
        <w:rPr>
          <w:noProof/>
        </w:rPr>
      </w:pPr>
      <w:r>
        <w:rPr>
          <w:noProof/>
        </w:rPr>
        <w:t>pieprasīt, lai fondam InvestEU tiktu piemēroti Komisijas tehniskie norādījumi par ilgtspējas pārbaudi; un</w:t>
      </w:r>
    </w:p>
    <w:p w14:paraId="7F50539B" w14:textId="77777777" w:rsidR="00327FF1" w:rsidRDefault="00E406C7">
      <w:pPr>
        <w:pStyle w:val="Text1"/>
        <w:numPr>
          <w:ilvl w:val="0"/>
          <w:numId w:val="53"/>
        </w:numPr>
        <w:spacing w:before="0"/>
        <w:ind w:left="567" w:hanging="283"/>
        <w:rPr>
          <w:noProof/>
          <w:sz w:val="22"/>
          <w:szCs w:val="22"/>
        </w:rPr>
      </w:pPr>
      <w:r>
        <w:rPr>
          <w:noProof/>
          <w:sz w:val="22"/>
          <w:szCs w:val="22"/>
        </w:rPr>
        <w:t>neiekļauj šādu darbību sarakstu: I) darbības, kas saistītas ar fosilo kurināmo, tostarp pakārtotu</w:t>
      </w:r>
      <w:r>
        <w:rPr>
          <w:noProof/>
          <w:sz w:val="22"/>
          <w:szCs w:val="22"/>
        </w:rPr>
        <w:t xml:space="preserve"> izmantošanu</w:t>
      </w:r>
      <w:r>
        <w:rPr>
          <w:rStyle w:val="FootnoteReference"/>
          <w:noProof/>
          <w:sz w:val="22"/>
          <w:szCs w:val="22"/>
        </w:rPr>
        <w:footnoteReference w:id="18"/>
      </w:r>
      <w:r>
        <w:rPr>
          <w:noProof/>
          <w:sz w:val="22"/>
          <w:szCs w:val="22"/>
        </w:rPr>
        <w:t>; II) darbības saskaņā ar ES emisijas kvotu tirdzniecības sistēmu (ETS), kuru prognozētās siltumnīcefekta gāzu emisijas nav zemākas par attiecīgajām līmeņatzīmēm</w:t>
      </w:r>
      <w:r>
        <w:rPr>
          <w:rStyle w:val="FootnoteReference"/>
          <w:noProof/>
          <w:sz w:val="22"/>
          <w:szCs w:val="22"/>
        </w:rPr>
        <w:footnoteReference w:id="19"/>
      </w:r>
      <w:r>
        <w:rPr>
          <w:noProof/>
          <w:sz w:val="22"/>
          <w:szCs w:val="22"/>
        </w:rPr>
        <w:t>; III) darbības, kas saistītas ar atkritumu poligoniem, sadedzināšanas iekārtām</w:t>
      </w:r>
      <w:r>
        <w:rPr>
          <w:rStyle w:val="FootnoteReference"/>
          <w:noProof/>
          <w:sz w:val="22"/>
          <w:szCs w:val="22"/>
        </w:rPr>
        <w:footnoteReference w:id="20"/>
      </w:r>
      <w:r>
        <w:rPr>
          <w:noProof/>
          <w:sz w:val="22"/>
          <w:szCs w:val="22"/>
        </w:rPr>
        <w:t xml:space="preserve"> </w:t>
      </w:r>
      <w:r>
        <w:rPr>
          <w:noProof/>
          <w:sz w:val="22"/>
          <w:szCs w:val="22"/>
        </w:rPr>
        <w:t>un mehāniski bioloģiskās apstrādes iekārtām</w:t>
      </w:r>
      <w:r>
        <w:rPr>
          <w:rStyle w:val="FootnoteReference"/>
          <w:noProof/>
          <w:sz w:val="22"/>
          <w:szCs w:val="22"/>
        </w:rPr>
        <w:footnoteReference w:id="21"/>
      </w:r>
      <w:r>
        <w:rPr>
          <w:noProof/>
          <w:sz w:val="22"/>
          <w:szCs w:val="22"/>
        </w:rPr>
        <w:t>; un iv) darbības, kurās atkritumu ilgtermiņa apglabāšana var radīt kaitējumu videi; un</w:t>
      </w:r>
    </w:p>
    <w:p w14:paraId="47A452D3" w14:textId="77777777" w:rsidR="00327FF1" w:rsidRDefault="00E406C7">
      <w:pPr>
        <w:pStyle w:val="P68B1DB1-Text143"/>
        <w:numPr>
          <w:ilvl w:val="0"/>
          <w:numId w:val="53"/>
        </w:numPr>
        <w:spacing w:before="0"/>
        <w:ind w:left="567" w:hanging="283"/>
        <w:rPr>
          <w:noProof/>
        </w:rPr>
      </w:pPr>
      <w:r>
        <w:rPr>
          <w:noProof/>
        </w:rPr>
        <w:t>pieprasīt, lai pilnvarotā struktūra vai finanšu starpnieks pārbaudītu projektu juridisko atbilstību attiecīgajiem ES un vals</w:t>
      </w:r>
      <w:r>
        <w:rPr>
          <w:noProof/>
        </w:rPr>
        <w:t>ts tiesību aktiem vides jomā attiecībā uz visiem darījumiem, tostarp tiem, kas atbrīvoti no ilgtspējas pārbaudes.</w:t>
      </w:r>
    </w:p>
    <w:p w14:paraId="060A49B0" w14:textId="77777777" w:rsidR="00327FF1" w:rsidRDefault="00E406C7">
      <w:pPr>
        <w:pStyle w:val="P68B1DB1-Normal5"/>
        <w:spacing w:after="120"/>
        <w:jc w:val="both"/>
        <w:rPr>
          <w:bCs/>
          <w:noProof/>
        </w:rPr>
      </w:pPr>
      <w:r>
        <w:rPr>
          <w:noProof/>
        </w:rPr>
        <w:t>“Investīcija Nr. 3.2. Kino industrijas attīstība (projekts “Cinecittà”)”.</w:t>
      </w:r>
    </w:p>
    <w:p w14:paraId="53B9A107" w14:textId="7F90CBE0" w:rsidR="00327FF1" w:rsidRDefault="00E406C7">
      <w:pPr>
        <w:pStyle w:val="P68B1DB1-Normal7"/>
        <w:spacing w:after="120"/>
        <w:jc w:val="both"/>
        <w:rPr>
          <w:noProof/>
        </w:rPr>
      </w:pPr>
      <w:r>
        <w:rPr>
          <w:noProof/>
        </w:rPr>
        <w:t>Šā pasākuma mērķis ir uzlabot Itālijas kino un audiovizuālās nozares</w:t>
      </w:r>
      <w:r>
        <w:rPr>
          <w:noProof/>
        </w:rPr>
        <w:t xml:space="preserve"> konkurētspēju. Investīcija ietver studiju atjaunošanu un jaunu studiju būvniecību, ražošanas darbību uzlabošanu. Tas var ietvert, bet neaprobežojas ar jauno tehnoloģiju izmantošanu, audiovizuālā mantojuma saglabāšanu un digitalizāciju eksperimentālajā kin</w:t>
      </w:r>
      <w:r>
        <w:rPr>
          <w:noProof/>
        </w:rPr>
        <w:t>ematogrāfijas centrā, kā arī profesionālo profilu un prasmju stiprināšanu nozarē, izmantojot apmācības pasākumus, ko veic Cinecittà un eksperimentālais kinematogrāfijas centrs.</w:t>
      </w:r>
    </w:p>
    <w:p w14:paraId="13637D4F" w14:textId="77777777" w:rsidR="00327FF1" w:rsidRDefault="00E406C7">
      <w:pPr>
        <w:pStyle w:val="P68B1DB1-Normal29"/>
        <w:spacing w:after="120"/>
        <w:jc w:val="both"/>
        <w:rPr>
          <w:bCs/>
          <w:noProof/>
        </w:rPr>
      </w:pPr>
      <w:r>
        <w:rPr>
          <w:noProof/>
        </w:rPr>
        <w:t>Investīcija 4.3: Caput Mundi Next Generation EU tūrisma lieliskiem pasākumiem.</w:t>
      </w:r>
    </w:p>
    <w:p w14:paraId="0687DB3F" w14:textId="70EA6029" w:rsidR="00327FF1" w:rsidRDefault="00E406C7">
      <w:pPr>
        <w:pStyle w:val="P68B1DB1-Normal8"/>
        <w:tabs>
          <w:tab w:val="left" w:pos="1340"/>
          <w:tab w:val="left" w:pos="1341"/>
        </w:tabs>
        <w:spacing w:after="120"/>
        <w:ind w:right="-7"/>
        <w:jc w:val="both"/>
        <w:rPr>
          <w:noProof/>
        </w:rPr>
      </w:pPr>
      <w:r>
        <w:rPr>
          <w:noProof/>
        </w:rPr>
        <w:t>Šā pasākuma mērķis ir uzlabot tūrisma lielo pasākumu pieredzi un tūrisma ilgtspēju, atjaunojot pieminekļus, radot tūrisma un kultūras alternatīvas attiecībā uz apdzīvotām teritorijām, digitalizējot kultūras un tūrisma pakalpojumus un uzlabojot zaļās zonas.</w:t>
      </w:r>
      <w:r>
        <w:rPr>
          <w:noProof/>
        </w:rPr>
        <w:t xml:space="preserve"> Investīcija ietver programmas “Caput Mundi” pieņemšanu un īstenošanu, kas ietver kultūras un vēstures vērtību atjaunošanu, zaļo zonu un vēsturisko objektu renovāciju un digitālo pakalpojumu izveidi tūrismam.</w:t>
      </w:r>
    </w:p>
    <w:p w14:paraId="6ACB0B86" w14:textId="1F27D7B8" w:rsidR="00327FF1" w:rsidRDefault="00327FF1">
      <w:pPr>
        <w:tabs>
          <w:tab w:val="left" w:pos="1340"/>
          <w:tab w:val="left" w:pos="1341"/>
        </w:tabs>
        <w:spacing w:after="120"/>
        <w:ind w:right="-7"/>
        <w:jc w:val="both"/>
        <w:rPr>
          <w:noProof/>
        </w:rPr>
        <w:sectPr w:rsidR="00327FF1" w:rsidSect="005F11B9">
          <w:headerReference w:type="even" r:id="rId64"/>
          <w:headerReference w:type="default" r:id="rId65"/>
          <w:footerReference w:type="even" r:id="rId66"/>
          <w:footerReference w:type="default" r:id="rId67"/>
          <w:headerReference w:type="first" r:id="rId68"/>
          <w:footerReference w:type="first" r:id="rId69"/>
          <w:pgSz w:w="11907" w:h="16839"/>
          <w:pgMar w:top="1134" w:right="1134" w:bottom="1134" w:left="1134" w:header="567" w:footer="567" w:gutter="0"/>
          <w:cols w:space="720"/>
          <w:docGrid w:linePitch="360"/>
        </w:sectPr>
      </w:pPr>
    </w:p>
    <w:p w14:paraId="0A860CFE" w14:textId="77777777" w:rsidR="00327FF1" w:rsidRDefault="00E406C7">
      <w:pPr>
        <w:pStyle w:val="P68B1DB1-Heading39"/>
        <w:ind w:left="850" w:hanging="850"/>
        <w:rPr>
          <w:b/>
          <w:bCs/>
          <w:i/>
          <w:iCs/>
          <w:noProof/>
          <w:u w:val="single"/>
        </w:rPr>
      </w:pPr>
      <w:r>
        <w:rPr>
          <w:b/>
          <w:noProof/>
          <w:u w:val="single"/>
        </w:rPr>
        <w:t xml:space="preserve">C.4. </w:t>
      </w:r>
      <w:r>
        <w:rPr>
          <w:noProof/>
        </w:rPr>
        <w:t xml:space="preserve"> </w:t>
      </w:r>
      <w:r>
        <w:rPr>
          <w:b/>
          <w:noProof/>
          <w:u w:val="single"/>
        </w:rPr>
        <w:t xml:space="preserve">Atskaites punkti, mērķrādītāji, citi rādītāji un aizdevuma uzraudzības un īstenošanas grafiks </w:t>
      </w:r>
    </w:p>
    <w:tbl>
      <w:tblPr>
        <w:tblW w:w="51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518"/>
        <w:gridCol w:w="1103"/>
        <w:gridCol w:w="1518"/>
        <w:gridCol w:w="1518"/>
        <w:gridCol w:w="966"/>
        <w:gridCol w:w="969"/>
        <w:gridCol w:w="1238"/>
        <w:gridCol w:w="969"/>
        <w:gridCol w:w="642"/>
        <w:gridCol w:w="3053"/>
      </w:tblGrid>
      <w:tr w:rsidR="00327FF1" w14:paraId="4B130771" w14:textId="77777777">
        <w:trPr>
          <w:trHeight w:val="313"/>
          <w:tblHeader/>
          <w:jc w:val="center"/>
        </w:trPr>
        <w:tc>
          <w:tcPr>
            <w:tcW w:w="377" w:type="pct"/>
            <w:vMerge w:val="restart"/>
            <w:shd w:val="clear" w:color="auto" w:fill="BDD7EE"/>
            <w:noWrap/>
            <w:vAlign w:val="center"/>
          </w:tcPr>
          <w:p w14:paraId="53AD22BF" w14:textId="77777777" w:rsidR="00327FF1" w:rsidRDefault="00327FF1">
            <w:pPr>
              <w:jc w:val="center"/>
              <w:rPr>
                <w:rFonts w:ascii="Arial Narrow" w:hAnsi="Arial Narrow"/>
                <w:noProof/>
                <w:sz w:val="20"/>
                <w:szCs w:val="20"/>
              </w:rPr>
            </w:pPr>
          </w:p>
          <w:p w14:paraId="341AD540" w14:textId="77777777" w:rsidR="00327FF1" w:rsidRDefault="00E406C7">
            <w:pPr>
              <w:pStyle w:val="P68B1DB1-Normal10"/>
              <w:jc w:val="center"/>
              <w:rPr>
                <w:noProof/>
                <w:szCs w:val="20"/>
              </w:rPr>
            </w:pPr>
            <w:r>
              <w:rPr>
                <w:noProof/>
              </w:rPr>
              <w:t>Kārtas numurs</w:t>
            </w:r>
          </w:p>
        </w:tc>
        <w:tc>
          <w:tcPr>
            <w:tcW w:w="520" w:type="pct"/>
            <w:vMerge w:val="restart"/>
            <w:shd w:val="clear" w:color="auto" w:fill="BDD7EE"/>
            <w:noWrap/>
            <w:vAlign w:val="center"/>
          </w:tcPr>
          <w:p w14:paraId="0473C641" w14:textId="77777777" w:rsidR="00327FF1" w:rsidRDefault="00E406C7">
            <w:pPr>
              <w:pStyle w:val="P68B1DB1-Normal10"/>
              <w:jc w:val="center"/>
              <w:rPr>
                <w:noProof/>
                <w:szCs w:val="20"/>
              </w:rPr>
            </w:pPr>
            <w:r>
              <w:rPr>
                <w:noProof/>
              </w:rPr>
              <w:t>Saistītais pasākums (reforma vai ieguldījums)</w:t>
            </w:r>
          </w:p>
        </w:tc>
        <w:tc>
          <w:tcPr>
            <w:tcW w:w="378" w:type="pct"/>
            <w:vMerge w:val="restart"/>
            <w:shd w:val="clear" w:color="auto" w:fill="BDD7EE"/>
            <w:noWrap/>
            <w:vAlign w:val="center"/>
          </w:tcPr>
          <w:p w14:paraId="68896275" w14:textId="77777777" w:rsidR="00327FF1" w:rsidRDefault="00E406C7">
            <w:pPr>
              <w:pStyle w:val="P68B1DB1-Normal10"/>
              <w:jc w:val="center"/>
              <w:rPr>
                <w:noProof/>
                <w:szCs w:val="20"/>
              </w:rPr>
            </w:pPr>
            <w:r>
              <w:rPr>
                <w:noProof/>
              </w:rPr>
              <w:t>Atskaites punkts/mērķrādītājs</w:t>
            </w:r>
          </w:p>
        </w:tc>
        <w:tc>
          <w:tcPr>
            <w:tcW w:w="520" w:type="pct"/>
            <w:vMerge w:val="restart"/>
            <w:shd w:val="clear" w:color="auto" w:fill="BDD7EE"/>
            <w:noWrap/>
            <w:vAlign w:val="center"/>
          </w:tcPr>
          <w:p w14:paraId="79932134" w14:textId="77777777" w:rsidR="00327FF1" w:rsidRDefault="00E406C7">
            <w:pPr>
              <w:pStyle w:val="P68B1DB1-Normal10"/>
              <w:jc w:val="center"/>
              <w:rPr>
                <w:noProof/>
                <w:szCs w:val="20"/>
              </w:rPr>
            </w:pPr>
            <w:r>
              <w:rPr>
                <w:noProof/>
              </w:rPr>
              <w:t>Nosaukums</w:t>
            </w:r>
          </w:p>
        </w:tc>
        <w:tc>
          <w:tcPr>
            <w:tcW w:w="520" w:type="pct"/>
            <w:vMerge w:val="restart"/>
            <w:shd w:val="clear" w:color="auto" w:fill="BDD7EE"/>
            <w:noWrap/>
            <w:vAlign w:val="center"/>
          </w:tcPr>
          <w:p w14:paraId="1C6DCE04" w14:textId="16EFFE49"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w:t>
            </w:r>
            <w:r>
              <w:rPr>
                <w:rFonts w:ascii="Arial Narrow" w:hAnsi="Arial Narrow"/>
                <w:b/>
                <w:noProof/>
                <w:sz w:val="20"/>
              </w:rPr>
              <w:t xml:space="preserve"> uz starpposma mērķiem)</w:t>
            </w:r>
          </w:p>
        </w:tc>
        <w:tc>
          <w:tcPr>
            <w:tcW w:w="1087" w:type="pct"/>
            <w:gridSpan w:val="3"/>
            <w:shd w:val="clear" w:color="auto" w:fill="BDD7EE"/>
            <w:noWrap/>
            <w:vAlign w:val="center"/>
          </w:tcPr>
          <w:p w14:paraId="3B852853" w14:textId="77777777" w:rsidR="00327FF1" w:rsidRDefault="00E406C7">
            <w:pPr>
              <w:jc w:val="center"/>
              <w:rPr>
                <w:rFonts w:ascii="Arial Narrow" w:hAnsi="Arial Narrow"/>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552" w:type="pct"/>
            <w:gridSpan w:val="2"/>
            <w:shd w:val="clear" w:color="auto" w:fill="BDD7EE"/>
            <w:noWrap/>
            <w:vAlign w:val="center"/>
          </w:tcPr>
          <w:p w14:paraId="7E68CCD1" w14:textId="77777777" w:rsidR="00327FF1" w:rsidRDefault="00E406C7">
            <w:pPr>
              <w:pStyle w:val="P68B1DB1-Normal10"/>
              <w:jc w:val="center"/>
              <w:rPr>
                <w:noProof/>
                <w:szCs w:val="20"/>
              </w:rPr>
            </w:pPr>
            <w:r>
              <w:rPr>
                <w:noProof/>
              </w:rPr>
              <w:t>Orientējošs pabeigšanas termiņš</w:t>
            </w:r>
          </w:p>
        </w:tc>
        <w:tc>
          <w:tcPr>
            <w:tcW w:w="1046" w:type="pct"/>
            <w:vMerge w:val="restart"/>
            <w:shd w:val="clear" w:color="auto" w:fill="BDD7EE"/>
            <w:noWrap/>
            <w:vAlign w:val="center"/>
          </w:tcPr>
          <w:p w14:paraId="158677DF" w14:textId="77777777" w:rsidR="00327FF1" w:rsidRDefault="00327FF1">
            <w:pPr>
              <w:jc w:val="center"/>
              <w:rPr>
                <w:rFonts w:ascii="Arial Narrow" w:eastAsia="Calibri" w:hAnsi="Arial Narrow"/>
                <w:noProof/>
                <w:color w:val="006100"/>
                <w:sz w:val="20"/>
                <w:szCs w:val="20"/>
              </w:rPr>
            </w:pPr>
          </w:p>
          <w:p w14:paraId="62B168EC" w14:textId="77777777" w:rsidR="00327FF1" w:rsidRDefault="00E406C7">
            <w:pPr>
              <w:pStyle w:val="P68B1DB1-Normal10"/>
              <w:jc w:val="center"/>
              <w:rPr>
                <w:rFonts w:eastAsia="Calibri"/>
                <w:noProof/>
                <w:color w:val="006100"/>
                <w:szCs w:val="20"/>
              </w:rPr>
            </w:pPr>
            <w:r>
              <w:rPr>
                <w:noProof/>
              </w:rPr>
              <w:t>Apraksts par katru atskaites punktu un mērķrādītāju</w:t>
            </w:r>
          </w:p>
        </w:tc>
      </w:tr>
      <w:tr w:rsidR="00327FF1" w14:paraId="482EC076" w14:textId="77777777">
        <w:trPr>
          <w:trHeight w:val="313"/>
          <w:tblHeader/>
          <w:jc w:val="center"/>
        </w:trPr>
        <w:tc>
          <w:tcPr>
            <w:tcW w:w="377" w:type="pct"/>
            <w:vMerge/>
            <w:noWrap/>
            <w:vAlign w:val="center"/>
          </w:tcPr>
          <w:p w14:paraId="34114E7F" w14:textId="77777777" w:rsidR="00327FF1" w:rsidRDefault="00327FF1">
            <w:pPr>
              <w:jc w:val="center"/>
              <w:rPr>
                <w:rFonts w:ascii="Arial Narrow" w:hAnsi="Arial Narrow"/>
                <w:noProof/>
                <w:sz w:val="20"/>
                <w:szCs w:val="20"/>
              </w:rPr>
            </w:pPr>
          </w:p>
        </w:tc>
        <w:tc>
          <w:tcPr>
            <w:tcW w:w="520" w:type="pct"/>
            <w:vMerge/>
            <w:noWrap/>
            <w:vAlign w:val="center"/>
          </w:tcPr>
          <w:p w14:paraId="16FD2CD0" w14:textId="77777777" w:rsidR="00327FF1" w:rsidRDefault="00327FF1">
            <w:pPr>
              <w:jc w:val="center"/>
              <w:rPr>
                <w:rFonts w:ascii="Arial Narrow" w:hAnsi="Arial Narrow"/>
                <w:noProof/>
                <w:sz w:val="20"/>
                <w:szCs w:val="20"/>
              </w:rPr>
            </w:pPr>
          </w:p>
        </w:tc>
        <w:tc>
          <w:tcPr>
            <w:tcW w:w="378" w:type="pct"/>
            <w:vMerge/>
            <w:noWrap/>
            <w:vAlign w:val="center"/>
          </w:tcPr>
          <w:p w14:paraId="09ACF6C4" w14:textId="77777777" w:rsidR="00327FF1" w:rsidRDefault="00327FF1">
            <w:pPr>
              <w:jc w:val="center"/>
              <w:rPr>
                <w:rFonts w:ascii="Arial Narrow" w:hAnsi="Arial Narrow"/>
                <w:noProof/>
                <w:sz w:val="20"/>
                <w:szCs w:val="20"/>
              </w:rPr>
            </w:pPr>
          </w:p>
        </w:tc>
        <w:tc>
          <w:tcPr>
            <w:tcW w:w="520" w:type="pct"/>
            <w:vMerge/>
            <w:noWrap/>
            <w:vAlign w:val="center"/>
          </w:tcPr>
          <w:p w14:paraId="4B837074" w14:textId="77777777" w:rsidR="00327FF1" w:rsidRDefault="00327FF1">
            <w:pPr>
              <w:jc w:val="center"/>
              <w:rPr>
                <w:rFonts w:ascii="Arial Narrow" w:hAnsi="Arial Narrow"/>
                <w:noProof/>
                <w:sz w:val="20"/>
                <w:szCs w:val="20"/>
              </w:rPr>
            </w:pPr>
          </w:p>
        </w:tc>
        <w:tc>
          <w:tcPr>
            <w:tcW w:w="520" w:type="pct"/>
            <w:vMerge/>
            <w:noWrap/>
            <w:vAlign w:val="center"/>
          </w:tcPr>
          <w:p w14:paraId="0C7DF546" w14:textId="77777777" w:rsidR="00327FF1" w:rsidRDefault="00327FF1">
            <w:pPr>
              <w:jc w:val="center"/>
              <w:rPr>
                <w:rFonts w:ascii="Arial Narrow" w:eastAsia="Calibri" w:hAnsi="Arial Narrow"/>
                <w:noProof/>
                <w:sz w:val="20"/>
                <w:szCs w:val="20"/>
              </w:rPr>
            </w:pPr>
          </w:p>
        </w:tc>
        <w:tc>
          <w:tcPr>
            <w:tcW w:w="331" w:type="pct"/>
            <w:shd w:val="clear" w:color="auto" w:fill="BDD7EE"/>
            <w:noWrap/>
            <w:vAlign w:val="center"/>
          </w:tcPr>
          <w:p w14:paraId="57373DD1" w14:textId="77777777" w:rsidR="00327FF1" w:rsidRDefault="00E406C7">
            <w:pPr>
              <w:pStyle w:val="P68B1DB1-Normal10"/>
              <w:jc w:val="center"/>
              <w:rPr>
                <w:noProof/>
                <w:szCs w:val="20"/>
              </w:rPr>
            </w:pPr>
            <w:r>
              <w:rPr>
                <w:noProof/>
              </w:rPr>
              <w:t>Mēra vienība</w:t>
            </w:r>
          </w:p>
        </w:tc>
        <w:tc>
          <w:tcPr>
            <w:tcW w:w="332" w:type="pct"/>
            <w:shd w:val="clear" w:color="auto" w:fill="BDD7EE"/>
            <w:noWrap/>
            <w:vAlign w:val="center"/>
          </w:tcPr>
          <w:p w14:paraId="7D4B6E63" w14:textId="77777777" w:rsidR="00327FF1" w:rsidRDefault="00E406C7">
            <w:pPr>
              <w:pStyle w:val="P68B1DB1-Normal10"/>
              <w:jc w:val="center"/>
              <w:rPr>
                <w:noProof/>
                <w:szCs w:val="20"/>
              </w:rPr>
            </w:pPr>
            <w:r>
              <w:rPr>
                <w:noProof/>
              </w:rPr>
              <w:t>Pamatscenārijs</w:t>
            </w:r>
          </w:p>
        </w:tc>
        <w:tc>
          <w:tcPr>
            <w:tcW w:w="424" w:type="pct"/>
            <w:shd w:val="clear" w:color="auto" w:fill="BDD7EE"/>
            <w:noWrap/>
            <w:vAlign w:val="center"/>
          </w:tcPr>
          <w:p w14:paraId="51D6C8A5" w14:textId="77777777" w:rsidR="00327FF1" w:rsidRDefault="00E406C7">
            <w:pPr>
              <w:pStyle w:val="P68B1DB1-Normal10"/>
              <w:jc w:val="center"/>
              <w:rPr>
                <w:noProof/>
                <w:szCs w:val="20"/>
              </w:rPr>
            </w:pPr>
            <w:r>
              <w:rPr>
                <w:noProof/>
              </w:rPr>
              <w:t>Mērķis</w:t>
            </w:r>
          </w:p>
        </w:tc>
        <w:tc>
          <w:tcPr>
            <w:tcW w:w="332" w:type="pct"/>
            <w:shd w:val="clear" w:color="auto" w:fill="BDD7EE"/>
            <w:noWrap/>
            <w:vAlign w:val="center"/>
          </w:tcPr>
          <w:p w14:paraId="37DC455F" w14:textId="77777777" w:rsidR="00327FF1" w:rsidRDefault="00E406C7">
            <w:pPr>
              <w:pStyle w:val="P68B1DB1-Normal10"/>
              <w:jc w:val="center"/>
              <w:rPr>
                <w:noProof/>
                <w:szCs w:val="20"/>
              </w:rPr>
            </w:pPr>
            <w:r>
              <w:rPr>
                <w:noProof/>
              </w:rPr>
              <w:t>Ceturkšņa laikā</w:t>
            </w:r>
          </w:p>
        </w:tc>
        <w:tc>
          <w:tcPr>
            <w:tcW w:w="220" w:type="pct"/>
            <w:shd w:val="clear" w:color="auto" w:fill="BDD7EE"/>
            <w:noWrap/>
            <w:vAlign w:val="center"/>
          </w:tcPr>
          <w:p w14:paraId="185E28C7" w14:textId="77777777" w:rsidR="00327FF1" w:rsidRDefault="00E406C7">
            <w:pPr>
              <w:pStyle w:val="P68B1DB1-Normal10"/>
              <w:jc w:val="center"/>
              <w:rPr>
                <w:noProof/>
                <w:szCs w:val="20"/>
              </w:rPr>
            </w:pPr>
            <w:r>
              <w:rPr>
                <w:noProof/>
              </w:rPr>
              <w:t>Gadu</w:t>
            </w:r>
          </w:p>
        </w:tc>
        <w:tc>
          <w:tcPr>
            <w:tcW w:w="1046" w:type="pct"/>
            <w:vMerge/>
            <w:noWrap/>
            <w:vAlign w:val="center"/>
          </w:tcPr>
          <w:p w14:paraId="6F4F16E8" w14:textId="77777777" w:rsidR="00327FF1" w:rsidRDefault="00327FF1">
            <w:pPr>
              <w:jc w:val="center"/>
              <w:rPr>
                <w:rFonts w:ascii="Arial Narrow" w:eastAsia="Calibri" w:hAnsi="Arial Narrow"/>
                <w:noProof/>
                <w:color w:val="006100"/>
                <w:sz w:val="20"/>
                <w:szCs w:val="20"/>
              </w:rPr>
            </w:pPr>
          </w:p>
        </w:tc>
      </w:tr>
      <w:tr w:rsidR="00327FF1" w14:paraId="655A0098"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9A4436" w14:textId="77777777" w:rsidR="00327FF1" w:rsidRDefault="00E406C7">
            <w:pPr>
              <w:pStyle w:val="P68B1DB1-Normal11"/>
              <w:jc w:val="center"/>
              <w:rPr>
                <w:noProof/>
              </w:rPr>
            </w:pPr>
            <w:r>
              <w:rPr>
                <w:noProof/>
              </w:rPr>
              <w:t>M1C3–9bis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D37A12F" w14:textId="0FFAE26E" w:rsidR="00327FF1" w:rsidRDefault="00E406C7">
            <w:pPr>
              <w:pStyle w:val="P68B1DB1-Normal11"/>
              <w:jc w:val="center"/>
              <w:rPr>
                <w:noProof/>
              </w:rPr>
            </w:pPr>
            <w:r>
              <w:rPr>
                <w:noProof/>
              </w:rPr>
              <w:t xml:space="preserve">Investīcija 4.1. Digitālais tūrisma </w:t>
            </w:r>
            <w:r>
              <w:rPr>
                <w:noProof/>
              </w:rPr>
              <w:t>centrs</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2F728D" w14:textId="77777777" w:rsidR="00327FF1" w:rsidRDefault="00E406C7">
            <w:pPr>
              <w:pStyle w:val="P68B1DB1-Normal11"/>
              <w:jc w:val="center"/>
              <w:rPr>
                <w:noProof/>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4A430B" w14:textId="26CD5A5F" w:rsidR="00327FF1" w:rsidRDefault="00E406C7">
            <w:pPr>
              <w:pStyle w:val="P68B1DB1-Normal11"/>
              <w:jc w:val="center"/>
              <w:rPr>
                <w:noProof/>
              </w:rPr>
            </w:pPr>
            <w:r>
              <w:rPr>
                <w:noProof/>
              </w:rPr>
              <w:t xml:space="preserve">Tūrisma operatoru reģistrācija digitālajā tūrisma centrā un piekļuve Centra sniegtajiem pakalpojumiem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0FAE334" w14:textId="77777777" w:rsidR="00327FF1" w:rsidRDefault="00E406C7">
            <w:pPr>
              <w:pStyle w:val="P68B1DB1-Normal11"/>
              <w:jc w:val="center"/>
              <w:rPr>
                <w:noProof/>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3EAEC14" w14:textId="77777777" w:rsidR="00327FF1" w:rsidRDefault="00E406C7">
            <w:pPr>
              <w:pStyle w:val="P68B1DB1-Normal11"/>
              <w:jc w:val="center"/>
              <w:rPr>
                <w:noProof/>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66F78DB" w14:textId="77777777" w:rsidR="00327FF1" w:rsidRDefault="00E406C7">
            <w:pPr>
              <w:pStyle w:val="P68B1DB1-Normal11"/>
              <w:jc w:val="center"/>
              <w:rPr>
                <w:noProof/>
              </w:rPr>
            </w:pPr>
            <w:r>
              <w:rPr>
                <w:noProof/>
              </w:rPr>
              <w:t>20 000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7C4F3C" w14:textId="77777777" w:rsidR="00327FF1" w:rsidRDefault="00E406C7">
            <w:pPr>
              <w:pStyle w:val="P68B1DB1-Normal11"/>
              <w:jc w:val="center"/>
              <w:rPr>
                <w:noProof/>
              </w:rPr>
            </w:pPr>
            <w:r>
              <w:rPr>
                <w:noProof/>
              </w:rPr>
              <w:t>35 000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4F89D4C" w14:textId="77777777" w:rsidR="00327FF1" w:rsidRDefault="00E406C7">
            <w:pPr>
              <w:pStyle w:val="P68B1DB1-Normal11"/>
              <w:jc w:val="center"/>
              <w:rPr>
                <w:noProof/>
              </w:rPr>
            </w:pPr>
            <w:r>
              <w:rPr>
                <w:noProof/>
              </w:rPr>
              <w:t>4.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B720AF" w14:textId="77777777" w:rsidR="00327FF1" w:rsidRDefault="00E406C7">
            <w:pPr>
              <w:pStyle w:val="P68B1DB1-Normal11"/>
              <w:jc w:val="center"/>
              <w:rPr>
                <w:noProof/>
              </w:rPr>
            </w:pPr>
            <w:r>
              <w:rPr>
                <w:noProof/>
              </w:rPr>
              <w:t>2025</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C6DBCA2" w14:textId="6BD5043B" w:rsidR="00327FF1" w:rsidRDefault="00E406C7">
            <w:pPr>
              <w:pStyle w:val="P68B1DB1-Normal11"/>
              <w:rPr>
                <w:rFonts w:eastAsia="Arial Narrow" w:cs="Arial Narrow"/>
                <w:noProof/>
                <w:szCs w:val="20"/>
              </w:rPr>
            </w:pPr>
            <w:r>
              <w:rPr>
                <w:noProof/>
              </w:rPr>
              <w:t xml:space="preserve">Centrā reģistrē vismaz 35000 tūrisma operatoru (kas var ietvert, bet ne tikai, viesnīcu, tūrisma operatoru un uzņēmumus, kā noteikts ATECO kodos 55.00.00; 56.00.00; 79.00.00 un citas nozares struktūras). </w:t>
            </w:r>
          </w:p>
          <w:p w14:paraId="38EA4B46" w14:textId="77777777" w:rsidR="00327FF1" w:rsidRDefault="00E406C7">
            <w:pPr>
              <w:pStyle w:val="P68B1DB1-Normal12"/>
              <w:rPr>
                <w:noProof/>
              </w:rPr>
            </w:pPr>
            <w:r>
              <w:rPr>
                <w:noProof/>
              </w:rPr>
              <w:t>Digitālajā tūrisma centrā reģistrētiem tūrisma oper</w:t>
            </w:r>
            <w:r>
              <w:rPr>
                <w:noProof/>
              </w:rPr>
              <w:t xml:space="preserve">atoriem ir pieejami šādi pakalpojumi: </w:t>
            </w:r>
          </w:p>
          <w:p w14:paraId="0F568DA8" w14:textId="2F10C222" w:rsidR="00327FF1" w:rsidRDefault="00E406C7">
            <w:pPr>
              <w:pStyle w:val="P68B1DB1-ListParagraph23"/>
              <w:numPr>
                <w:ilvl w:val="0"/>
                <w:numId w:val="76"/>
              </w:numPr>
              <w:spacing w:line="278" w:lineRule="auto"/>
              <w:rPr>
                <w:noProof/>
              </w:rPr>
            </w:pPr>
            <w:r>
              <w:rPr>
                <w:noProof/>
              </w:rPr>
              <w:t xml:space="preserve">Sakaru pakalpojumi tūrisma operatoriem, lai piedāvātu savu piedāvājumu;  </w:t>
            </w:r>
          </w:p>
          <w:p w14:paraId="0685159D" w14:textId="30F4611A" w:rsidR="00327FF1" w:rsidRDefault="00E406C7">
            <w:pPr>
              <w:pStyle w:val="P68B1DB1-ListParagraph15"/>
              <w:numPr>
                <w:ilvl w:val="0"/>
                <w:numId w:val="76"/>
              </w:numPr>
              <w:spacing w:line="278" w:lineRule="auto"/>
              <w:rPr>
                <w:noProof/>
              </w:rPr>
            </w:pPr>
            <w:r>
              <w:rPr>
                <w:noProof/>
              </w:rPr>
              <w:t xml:space="preserve">Datu analīzes rīkus un prognozējošus modeļus, lai atbalstītu uz datiem balstītu lēmumu pieņemšanu; </w:t>
            </w:r>
          </w:p>
          <w:p w14:paraId="3A9AE8A0" w14:textId="77777777" w:rsidR="00327FF1" w:rsidRDefault="00E406C7">
            <w:pPr>
              <w:pStyle w:val="P68B1DB1-ListParagraph23"/>
              <w:numPr>
                <w:ilvl w:val="0"/>
                <w:numId w:val="76"/>
              </w:numPr>
              <w:spacing w:line="278" w:lineRule="auto"/>
              <w:rPr>
                <w:noProof/>
              </w:rPr>
            </w:pPr>
            <w:r>
              <w:rPr>
                <w:noProof/>
              </w:rPr>
              <w:t>Apmācība kvalifikācijas celšanai un pārkval</w:t>
            </w:r>
            <w:r>
              <w:rPr>
                <w:noProof/>
              </w:rPr>
              <w:t xml:space="preserve">ifikācijai; </w:t>
            </w:r>
          </w:p>
          <w:p w14:paraId="63DB0BA1" w14:textId="77777777" w:rsidR="00327FF1" w:rsidRDefault="00E406C7">
            <w:pPr>
              <w:pStyle w:val="P68B1DB1-ListParagraph13"/>
              <w:numPr>
                <w:ilvl w:val="0"/>
                <w:numId w:val="76"/>
              </w:numPr>
              <w:spacing w:line="278" w:lineRule="auto"/>
              <w:rPr>
                <w:noProof/>
              </w:rPr>
            </w:pPr>
            <w:r>
              <w:rPr>
                <w:noProof/>
              </w:rPr>
              <w:t>Pakalpojumi tūrisma MVU inovācijas atbalstam.</w:t>
            </w:r>
          </w:p>
        </w:tc>
      </w:tr>
      <w:tr w:rsidR="00327FF1" w14:paraId="1DA0EB9E"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D5B0A5" w14:textId="77777777" w:rsidR="00327FF1" w:rsidRDefault="00E406C7">
            <w:pPr>
              <w:pStyle w:val="P68B1DB1-Normal11"/>
              <w:jc w:val="center"/>
              <w:rPr>
                <w:noProof/>
                <w:szCs w:val="20"/>
              </w:rPr>
            </w:pPr>
            <w:r>
              <w:rPr>
                <w:noProof/>
              </w:rPr>
              <w:t>M1C3–12</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E67339" w14:textId="77777777" w:rsidR="00327FF1" w:rsidRDefault="00E406C7">
            <w:pPr>
              <w:pStyle w:val="P68B1DB1-Normal11"/>
              <w:jc w:val="center"/>
              <w:rPr>
                <w:noProof/>
                <w:szCs w:val="20"/>
              </w:rPr>
            </w:pPr>
            <w:r>
              <w:rPr>
                <w:noProof/>
              </w:rPr>
              <w:t>Investīcija 2.1. — Mazas vēsturiskās pilsētas pievilcīgums</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BDF1DE9" w14:textId="77777777" w:rsidR="00327FF1" w:rsidRDefault="00E406C7">
            <w:pPr>
              <w:pStyle w:val="P68B1DB1-Normal11"/>
              <w:jc w:val="center"/>
              <w:rPr>
                <w:noProof/>
                <w:szCs w:val="20"/>
              </w:rPr>
            </w:pPr>
            <w:r>
              <w:rPr>
                <w:noProof/>
              </w:rPr>
              <w:t>Atskaites punkts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98B4311" w14:textId="77777777" w:rsidR="00327FF1" w:rsidRDefault="00E406C7">
            <w:pPr>
              <w:pStyle w:val="P68B1DB1-Normal11"/>
              <w:jc w:val="center"/>
              <w:rPr>
                <w:noProof/>
                <w:szCs w:val="20"/>
              </w:rPr>
            </w:pPr>
            <w:r>
              <w:rPr>
                <w:noProof/>
              </w:rPr>
              <w:t xml:space="preserve">Kultūras ministrijas dekrēta par resursu piešķiršanu pašvaldībām mazo vēsturisko pilsētu pievilcības </w:t>
            </w:r>
            <w:r>
              <w:rPr>
                <w:noProof/>
              </w:rPr>
              <w:t>nodrošināšanai stāšanās spēkā</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E98D1B1" w14:textId="77777777" w:rsidR="00327FF1" w:rsidRDefault="00E406C7">
            <w:pPr>
              <w:pStyle w:val="P68B1DB1-Normal11"/>
              <w:jc w:val="center"/>
              <w:rPr>
                <w:noProof/>
                <w:szCs w:val="20"/>
              </w:rPr>
            </w:pPr>
            <w:r>
              <w:rPr>
                <w:noProof/>
              </w:rPr>
              <w:t>Dekrēta noteikums par to, ka stājas spēkā Kultūras ministrijas dekrēts par resursu piešķiršanu pašvaldībām mazo vēsturisko pilsētu pievilcības nodrošināšanai</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B1706E" w14:textId="77777777" w:rsidR="00327FF1" w:rsidRDefault="00E406C7">
            <w:pPr>
              <w:pStyle w:val="P68B1DB1-Normal11"/>
              <w:jc w:val="center"/>
              <w:rPr>
                <w:noProof/>
                <w:szCs w:val="20"/>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D3312FC" w14:textId="77777777" w:rsidR="00327FF1" w:rsidRDefault="00E406C7">
            <w:pPr>
              <w:pStyle w:val="P68B1DB1-Normal11"/>
              <w:jc w:val="center"/>
              <w:rPr>
                <w:noProof/>
                <w:szCs w:val="20"/>
              </w:rPr>
            </w:pPr>
            <w:r>
              <w:rPr>
                <w:noProof/>
              </w:rPr>
              <w:t>NEPIEMĒRO</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B6C4462" w14:textId="77777777" w:rsidR="00327FF1" w:rsidRDefault="00E406C7">
            <w:pPr>
              <w:pStyle w:val="P68B1DB1-Normal11"/>
              <w:jc w:val="center"/>
              <w:rPr>
                <w:noProof/>
                <w:szCs w:val="20"/>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38840BC" w14:textId="77777777" w:rsidR="00327FF1" w:rsidRDefault="00E406C7">
            <w:pPr>
              <w:pStyle w:val="P68B1DB1-Normal11"/>
              <w:jc w:val="center"/>
              <w:rPr>
                <w:noProof/>
                <w:szCs w:val="20"/>
              </w:rPr>
            </w:pPr>
            <w:r>
              <w:rPr>
                <w:noProof/>
              </w:rPr>
              <w:t>2.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D286408" w14:textId="77777777" w:rsidR="00327FF1" w:rsidRDefault="00E406C7">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1926AF0" w14:textId="77777777" w:rsidR="00327FF1" w:rsidRDefault="00E406C7">
            <w:pPr>
              <w:pStyle w:val="P68B1DB1-Normal11"/>
              <w:rPr>
                <w:noProof/>
                <w:szCs w:val="20"/>
              </w:rPr>
            </w:pPr>
            <w:r>
              <w:rPr>
                <w:noProof/>
              </w:rPr>
              <w:t xml:space="preserve">Kultūras ministrijas </w:t>
            </w:r>
            <w:r>
              <w:rPr>
                <w:noProof/>
              </w:rPr>
              <w:t>dekrēts piešķir resursus pašvaldībām mazo vēsturisko pilsētu pievilcības nodrošināšanai.</w:t>
            </w:r>
          </w:p>
          <w:p w14:paraId="091D3F79" w14:textId="77777777" w:rsidR="00327FF1" w:rsidRDefault="00E406C7">
            <w:pPr>
              <w:pStyle w:val="P68B1DB1-Normal11"/>
              <w:rPr>
                <w:noProof/>
                <w:szCs w:val="20"/>
              </w:rPr>
            </w:pPr>
            <w:r>
              <w:rPr>
                <w:noProof/>
              </w:rPr>
              <w:t>Mazās vēsturiskās pilsētas pievilcības veicināšanai iesaistītās pašvaldības ir 250 pašvaldības/ciemeļi, kas ir nosūtījuši Kultūras ministrijai intervences programmas.</w:t>
            </w:r>
          </w:p>
          <w:p w14:paraId="4218C6F8" w14:textId="77777777" w:rsidR="00327FF1" w:rsidRDefault="00E406C7">
            <w:pPr>
              <w:pStyle w:val="P68B1DB1-Normal44"/>
              <w:rPr>
                <w:rFonts w:hAnsi="Arial Narrow"/>
                <w:noProof/>
                <w:szCs w:val="20"/>
              </w:rPr>
            </w:pPr>
            <w:r>
              <w:rPr>
                <w:noProof/>
              </w:rPr>
              <w:t>Krit</w:t>
            </w:r>
            <w:r>
              <w:rPr>
                <w:noProof/>
              </w:rPr>
              <w:t>ē</w:t>
            </w:r>
            <w:r>
              <w:rPr>
                <w:noProof/>
              </w:rPr>
              <w:t>riji 250 ciematu atlasei (Inv. 2.1.) ir kop</w:t>
            </w:r>
            <w:r>
              <w:rPr>
                <w:noProof/>
              </w:rPr>
              <w:t>ī</w:t>
            </w:r>
            <w:r>
              <w:rPr>
                <w:noProof/>
              </w:rPr>
              <w:t>gi ar MiC, re</w:t>
            </w:r>
            <w:r>
              <w:rPr>
                <w:noProof/>
              </w:rPr>
              <w:t>ģ</w:t>
            </w:r>
            <w:r>
              <w:rPr>
                <w:noProof/>
              </w:rPr>
              <w:t>ioniem, ANCI un iek</w:t>
            </w:r>
            <w:r>
              <w:rPr>
                <w:noProof/>
              </w:rPr>
              <w:t>šē</w:t>
            </w:r>
            <w:r>
              <w:rPr>
                <w:noProof/>
              </w:rPr>
              <w:t>j</w:t>
            </w:r>
            <w:r>
              <w:rPr>
                <w:noProof/>
              </w:rPr>
              <w:t>ā</w:t>
            </w:r>
            <w:r>
              <w:rPr>
                <w:noProof/>
              </w:rPr>
              <w:t>m teritorij</w:t>
            </w:r>
            <w:r>
              <w:rPr>
                <w:noProof/>
              </w:rPr>
              <w:t>ā</w:t>
            </w:r>
            <w:r>
              <w:rPr>
                <w:noProof/>
              </w:rPr>
              <w:t>m, kas: s</w:t>
            </w:r>
            <w:r>
              <w:rPr>
                <w:noProof/>
              </w:rPr>
              <w:t>ā</w:t>
            </w:r>
            <w:r>
              <w:rPr>
                <w:noProof/>
              </w:rPr>
              <w:t>kotn</w:t>
            </w:r>
            <w:r>
              <w:rPr>
                <w:noProof/>
              </w:rPr>
              <w:t>ē</w:t>
            </w:r>
            <w:r>
              <w:rPr>
                <w:noProof/>
              </w:rPr>
              <w:t>ji t</w:t>
            </w:r>
            <w:r>
              <w:rPr>
                <w:noProof/>
              </w:rPr>
              <w:t>ā</w:t>
            </w:r>
            <w:r>
              <w:rPr>
                <w:noProof/>
              </w:rPr>
              <w:t>s nosaka teritori</w:t>
            </w:r>
            <w:r>
              <w:rPr>
                <w:noProof/>
              </w:rPr>
              <w:t>ā</w:t>
            </w:r>
            <w:r>
              <w:rPr>
                <w:noProof/>
              </w:rPr>
              <w:t>l</w:t>
            </w:r>
            <w:r>
              <w:rPr>
                <w:noProof/>
              </w:rPr>
              <w:t>ā</w:t>
            </w:r>
            <w:r>
              <w:rPr>
                <w:noProof/>
              </w:rPr>
              <w:t>s teritorijas, uz kur</w:t>
            </w:r>
            <w:r>
              <w:rPr>
                <w:noProof/>
              </w:rPr>
              <w:t>ā</w:t>
            </w:r>
            <w:r>
              <w:rPr>
                <w:noProof/>
              </w:rPr>
              <w:t>m var pretend</w:t>
            </w:r>
            <w:r>
              <w:rPr>
                <w:noProof/>
              </w:rPr>
              <w:t>ē</w:t>
            </w:r>
            <w:r>
              <w:rPr>
                <w:noProof/>
              </w:rPr>
              <w:t>t (Inv2.1) da</w:t>
            </w:r>
            <w:r>
              <w:rPr>
                <w:noProof/>
              </w:rPr>
              <w:t>žā</w:t>
            </w:r>
            <w:r>
              <w:rPr>
                <w:noProof/>
              </w:rPr>
              <w:t>du programmu papildin</w:t>
            </w:r>
            <w:r>
              <w:rPr>
                <w:noProof/>
              </w:rPr>
              <w:t>ā</w:t>
            </w:r>
            <w:r>
              <w:rPr>
                <w:noProof/>
              </w:rPr>
              <w:t>m</w:t>
            </w:r>
            <w:r>
              <w:rPr>
                <w:noProof/>
              </w:rPr>
              <w:t>ī</w:t>
            </w:r>
            <w:r>
              <w:rPr>
                <w:noProof/>
              </w:rPr>
              <w:t>bas d</w:t>
            </w:r>
            <w:r>
              <w:rPr>
                <w:noProof/>
              </w:rPr>
              <w:t>ēļ</w:t>
            </w:r>
            <w:r>
              <w:rPr>
                <w:noProof/>
              </w:rPr>
              <w:t>. P</w:t>
            </w:r>
            <w:r>
              <w:rPr>
                <w:noProof/>
              </w:rPr>
              <w:t>ē</w:t>
            </w:r>
            <w:r>
              <w:rPr>
                <w:noProof/>
              </w:rPr>
              <w:t>c tam ciematus atlasa, pamatojot</w:t>
            </w:r>
            <w:r>
              <w:rPr>
                <w:noProof/>
              </w:rPr>
              <w:t>ies uz a) teritori</w:t>
            </w:r>
            <w:r>
              <w:rPr>
                <w:noProof/>
              </w:rPr>
              <w:t>ā</w:t>
            </w:r>
            <w:r>
              <w:rPr>
                <w:noProof/>
              </w:rPr>
              <w:t>lajiem, ekonomiskajiem un soci</w:t>
            </w:r>
            <w:r>
              <w:rPr>
                <w:noProof/>
              </w:rPr>
              <w:t>ā</w:t>
            </w:r>
            <w:r>
              <w:rPr>
                <w:noProof/>
              </w:rPr>
              <w:t>lajiem krit</w:t>
            </w:r>
            <w:r>
              <w:rPr>
                <w:noProof/>
              </w:rPr>
              <w:t>ē</w:t>
            </w:r>
            <w:r>
              <w:rPr>
                <w:noProof/>
              </w:rPr>
              <w:t>rijiem (statistikas r</w:t>
            </w:r>
            <w:r>
              <w:rPr>
                <w:noProof/>
              </w:rPr>
              <w:t>ā</w:t>
            </w:r>
            <w:r>
              <w:rPr>
                <w:noProof/>
              </w:rPr>
              <w:t>d</w:t>
            </w:r>
            <w:r>
              <w:rPr>
                <w:noProof/>
              </w:rPr>
              <w:t>ī</w:t>
            </w:r>
            <w:r>
              <w:rPr>
                <w:noProof/>
              </w:rPr>
              <w:t>t</w:t>
            </w:r>
            <w:r>
              <w:rPr>
                <w:noProof/>
              </w:rPr>
              <w:t>ā</w:t>
            </w:r>
            <w:r>
              <w:rPr>
                <w:noProof/>
              </w:rPr>
              <w:t>jiem), b) projekta sp</w:t>
            </w:r>
            <w:r>
              <w:rPr>
                <w:noProof/>
              </w:rPr>
              <w:t>ē</w:t>
            </w:r>
            <w:r>
              <w:rPr>
                <w:noProof/>
              </w:rPr>
              <w:t>ju ietekm</w:t>
            </w:r>
            <w:r>
              <w:rPr>
                <w:noProof/>
              </w:rPr>
              <w:t>ē</w:t>
            </w:r>
            <w:r>
              <w:rPr>
                <w:noProof/>
              </w:rPr>
              <w:t>t t</w:t>
            </w:r>
            <w:r>
              <w:rPr>
                <w:noProof/>
              </w:rPr>
              <w:t>ū</w:t>
            </w:r>
            <w:r>
              <w:rPr>
                <w:noProof/>
              </w:rPr>
              <w:t>risma pievilc</w:t>
            </w:r>
            <w:r>
              <w:rPr>
                <w:noProof/>
              </w:rPr>
              <w:t>ī</w:t>
            </w:r>
            <w:r>
              <w:rPr>
                <w:noProof/>
              </w:rPr>
              <w:t>bu un palielin</w:t>
            </w:r>
            <w:r>
              <w:rPr>
                <w:noProof/>
              </w:rPr>
              <w:t>ā</w:t>
            </w:r>
            <w:r>
              <w:rPr>
                <w:noProof/>
              </w:rPr>
              <w:t>t l</w:t>
            </w:r>
            <w:r>
              <w:rPr>
                <w:noProof/>
              </w:rPr>
              <w:t>ī</w:t>
            </w:r>
            <w:r>
              <w:rPr>
                <w:noProof/>
              </w:rPr>
              <w:t>dzdal</w:t>
            </w:r>
            <w:r>
              <w:rPr>
                <w:noProof/>
              </w:rPr>
              <w:t>ī</w:t>
            </w:r>
            <w:r>
              <w:rPr>
                <w:noProof/>
              </w:rPr>
              <w:t>bu kult</w:t>
            </w:r>
            <w:r>
              <w:rPr>
                <w:noProof/>
              </w:rPr>
              <w:t>ū</w:t>
            </w:r>
            <w:r>
              <w:rPr>
                <w:noProof/>
              </w:rPr>
              <w:t>ras dz</w:t>
            </w:r>
            <w:r>
              <w:rPr>
                <w:noProof/>
              </w:rPr>
              <w:t>ī</w:t>
            </w:r>
            <w:r>
              <w:rPr>
                <w:noProof/>
              </w:rPr>
              <w:t>v</w:t>
            </w:r>
            <w:r>
              <w:rPr>
                <w:noProof/>
              </w:rPr>
              <w:t>ē</w:t>
            </w:r>
            <w:r>
              <w:rPr>
                <w:noProof/>
              </w:rPr>
              <w:t>. V</w:t>
            </w:r>
            <w:r>
              <w:rPr>
                <w:noProof/>
              </w:rPr>
              <w:t>ē</w:t>
            </w:r>
            <w:r>
              <w:rPr>
                <w:noProof/>
              </w:rPr>
              <w:t>r</w:t>
            </w:r>
            <w:r>
              <w:rPr>
                <w:noProof/>
              </w:rPr>
              <w:t>ā</w:t>
            </w:r>
            <w:r>
              <w:rPr>
                <w:noProof/>
              </w:rPr>
              <w:t xml:space="preserve"> </w:t>
            </w:r>
            <w:r>
              <w:rPr>
                <w:noProof/>
              </w:rPr>
              <w:t>ņ</w:t>
            </w:r>
            <w:r>
              <w:rPr>
                <w:noProof/>
              </w:rPr>
              <w:t>emtie statistikas r</w:t>
            </w:r>
            <w:r>
              <w:rPr>
                <w:noProof/>
              </w:rPr>
              <w:t>ā</w:t>
            </w:r>
            <w:r>
              <w:rPr>
                <w:noProof/>
              </w:rPr>
              <w:t>d</w:t>
            </w:r>
            <w:r>
              <w:rPr>
                <w:noProof/>
              </w:rPr>
              <w:t>ī</w:t>
            </w:r>
            <w:r>
              <w:rPr>
                <w:noProof/>
              </w:rPr>
              <w:t>t</w:t>
            </w:r>
            <w:r>
              <w:rPr>
                <w:noProof/>
              </w:rPr>
              <w:t>ā</w:t>
            </w:r>
            <w:r>
              <w:rPr>
                <w:noProof/>
              </w:rPr>
              <w:t xml:space="preserve">ji ir </w:t>
            </w:r>
            <w:r>
              <w:rPr>
                <w:noProof/>
              </w:rPr>
              <w:t>šā</w:t>
            </w:r>
            <w:r>
              <w:rPr>
                <w:noProof/>
              </w:rPr>
              <w:t>di: demogr</w:t>
            </w:r>
            <w:r>
              <w:rPr>
                <w:noProof/>
              </w:rPr>
              <w:t>ā</w:t>
            </w:r>
            <w:r>
              <w:rPr>
                <w:noProof/>
              </w:rPr>
              <w:t>fiskais lielums (pa</w:t>
            </w:r>
            <w:r>
              <w:rPr>
                <w:noProof/>
              </w:rPr>
              <w:t>š</w:t>
            </w:r>
            <w:r>
              <w:rPr>
                <w:noProof/>
              </w:rPr>
              <w:t>vald</w:t>
            </w:r>
            <w:r>
              <w:rPr>
                <w:noProof/>
              </w:rPr>
              <w:t>ī</w:t>
            </w:r>
            <w:r>
              <w:rPr>
                <w:noProof/>
              </w:rPr>
              <w:t>bas ar pop. &amp; 5000 inhab.) un tendences; t</w:t>
            </w:r>
            <w:r>
              <w:rPr>
                <w:noProof/>
              </w:rPr>
              <w:t>ū</w:t>
            </w:r>
            <w:r>
              <w:rPr>
                <w:noProof/>
              </w:rPr>
              <w:t>ristu pl</w:t>
            </w:r>
            <w:r>
              <w:rPr>
                <w:noProof/>
              </w:rPr>
              <w:t>ū</w:t>
            </w:r>
            <w:r>
              <w:rPr>
                <w:noProof/>
              </w:rPr>
              <w:t>smas, muzeju apmekl</w:t>
            </w:r>
            <w:r>
              <w:rPr>
                <w:noProof/>
              </w:rPr>
              <w:t>ē</w:t>
            </w:r>
            <w:r>
              <w:rPr>
                <w:noProof/>
              </w:rPr>
              <w:t>t</w:t>
            </w:r>
            <w:r>
              <w:rPr>
                <w:noProof/>
              </w:rPr>
              <w:t>ā</w:t>
            </w:r>
            <w:r>
              <w:rPr>
                <w:noProof/>
              </w:rPr>
              <w:t>ji; t</w:t>
            </w:r>
            <w:r>
              <w:rPr>
                <w:noProof/>
              </w:rPr>
              <w:t>ū</w:t>
            </w:r>
            <w:r>
              <w:rPr>
                <w:noProof/>
              </w:rPr>
              <w:t>risma pied</w:t>
            </w:r>
            <w:r>
              <w:rPr>
                <w:noProof/>
              </w:rPr>
              <w:t>ā</w:t>
            </w:r>
            <w:r>
              <w:rPr>
                <w:noProof/>
              </w:rPr>
              <w:t>v</w:t>
            </w:r>
            <w:r>
              <w:rPr>
                <w:noProof/>
              </w:rPr>
              <w:t>ā</w:t>
            </w:r>
            <w:r>
              <w:rPr>
                <w:noProof/>
              </w:rPr>
              <w:t>juma konsekvenci (viesn</w:t>
            </w:r>
            <w:r>
              <w:rPr>
                <w:noProof/>
              </w:rPr>
              <w:t>ī</w:t>
            </w:r>
            <w:r>
              <w:rPr>
                <w:noProof/>
              </w:rPr>
              <w:t>cas un citas viesn</w:t>
            </w:r>
            <w:r>
              <w:rPr>
                <w:noProof/>
              </w:rPr>
              <w:t>ī</w:t>
            </w:r>
            <w:r>
              <w:rPr>
                <w:noProof/>
              </w:rPr>
              <w:t xml:space="preserve">cas, B&amp;B, istabas un </w:t>
            </w:r>
            <w:r>
              <w:rPr>
                <w:noProof/>
              </w:rPr>
              <w:t>ī</w:t>
            </w:r>
            <w:r>
              <w:rPr>
                <w:noProof/>
              </w:rPr>
              <w:t>res naktsm</w:t>
            </w:r>
            <w:r>
              <w:rPr>
                <w:noProof/>
              </w:rPr>
              <w:t>ī</w:t>
            </w:r>
            <w:r>
              <w:rPr>
                <w:noProof/>
              </w:rPr>
              <w:t>tnes); pa</w:t>
            </w:r>
            <w:r>
              <w:rPr>
                <w:noProof/>
              </w:rPr>
              <w:t>š</w:t>
            </w:r>
            <w:r>
              <w:rPr>
                <w:noProof/>
              </w:rPr>
              <w:t>vald</w:t>
            </w:r>
            <w:r>
              <w:rPr>
                <w:noProof/>
              </w:rPr>
              <w:t>ī</w:t>
            </w:r>
            <w:r>
              <w:rPr>
                <w:noProof/>
              </w:rPr>
              <w:t>bas demogr</w:t>
            </w:r>
            <w:r>
              <w:rPr>
                <w:noProof/>
              </w:rPr>
              <w:t>ā</w:t>
            </w:r>
            <w:r>
              <w:rPr>
                <w:noProof/>
              </w:rPr>
              <w:t>fisk</w:t>
            </w:r>
            <w:r>
              <w:rPr>
                <w:noProof/>
              </w:rPr>
              <w:t>ā</w:t>
            </w:r>
            <w:r>
              <w:rPr>
                <w:noProof/>
              </w:rPr>
              <w:t>s tendences; to, cik liel</w:t>
            </w:r>
            <w:r>
              <w:rPr>
                <w:noProof/>
              </w:rPr>
              <w:t>ā</w:t>
            </w:r>
            <w:r>
              <w:rPr>
                <w:noProof/>
              </w:rPr>
              <w:t xml:space="preserve"> m</w:t>
            </w:r>
            <w:r>
              <w:rPr>
                <w:noProof/>
              </w:rPr>
              <w:t>ē</w:t>
            </w:r>
            <w:r>
              <w:rPr>
                <w:noProof/>
              </w:rPr>
              <w:t>r</w:t>
            </w:r>
            <w:r>
              <w:rPr>
                <w:noProof/>
              </w:rPr>
              <w:t>ā</w:t>
            </w:r>
            <w:r>
              <w:rPr>
                <w:noProof/>
              </w:rPr>
              <w:t xml:space="preserve"> iedz</w:t>
            </w:r>
            <w:r>
              <w:rPr>
                <w:noProof/>
              </w:rPr>
              <w:t>ī</w:t>
            </w:r>
            <w:r>
              <w:rPr>
                <w:noProof/>
              </w:rPr>
              <w:t>vot</w:t>
            </w:r>
            <w:r>
              <w:rPr>
                <w:noProof/>
              </w:rPr>
              <w:t>ā</w:t>
            </w:r>
            <w:r>
              <w:rPr>
                <w:noProof/>
              </w:rPr>
              <w:t>ji piedal</w:t>
            </w:r>
            <w:r>
              <w:rPr>
                <w:noProof/>
              </w:rPr>
              <w:t>ā</w:t>
            </w:r>
            <w:r>
              <w:rPr>
                <w:noProof/>
              </w:rPr>
              <w:t>s kul</w:t>
            </w:r>
            <w:r>
              <w:rPr>
                <w:noProof/>
              </w:rPr>
              <w:t>t</w:t>
            </w:r>
            <w:r>
              <w:rPr>
                <w:noProof/>
              </w:rPr>
              <w:t>ū</w:t>
            </w:r>
            <w:r>
              <w:rPr>
                <w:noProof/>
              </w:rPr>
              <w:t>ras dz</w:t>
            </w:r>
            <w:r>
              <w:rPr>
                <w:noProof/>
              </w:rPr>
              <w:t>ī</w:t>
            </w:r>
            <w:r>
              <w:rPr>
                <w:noProof/>
              </w:rPr>
              <w:t>v</w:t>
            </w:r>
            <w:r>
              <w:rPr>
                <w:noProof/>
              </w:rPr>
              <w:t>ē</w:t>
            </w:r>
            <w:r>
              <w:rPr>
                <w:noProof/>
              </w:rPr>
              <w:t>; kult</w:t>
            </w:r>
            <w:r>
              <w:rPr>
                <w:noProof/>
              </w:rPr>
              <w:t>ū</w:t>
            </w:r>
            <w:r>
              <w:rPr>
                <w:noProof/>
              </w:rPr>
              <w:t>ras, rado</w:t>
            </w:r>
            <w:r>
              <w:rPr>
                <w:noProof/>
              </w:rPr>
              <w:t>š</w:t>
            </w:r>
            <w:r>
              <w:rPr>
                <w:noProof/>
              </w:rPr>
              <w:t>o un t</w:t>
            </w:r>
            <w:r>
              <w:rPr>
                <w:noProof/>
              </w:rPr>
              <w:t>ū</w:t>
            </w:r>
            <w:r>
              <w:rPr>
                <w:noProof/>
              </w:rPr>
              <w:t>risma uz</w:t>
            </w:r>
            <w:r>
              <w:rPr>
                <w:noProof/>
              </w:rPr>
              <w:t>ņē</w:t>
            </w:r>
            <w:r>
              <w:rPr>
                <w:noProof/>
              </w:rPr>
              <w:t>mumu (pe</w:t>
            </w:r>
            <w:r>
              <w:rPr>
                <w:noProof/>
              </w:rPr>
              <w:t>ļņ</w:t>
            </w:r>
            <w:r>
              <w:rPr>
                <w:noProof/>
              </w:rPr>
              <w:t>as un bezpe</w:t>
            </w:r>
            <w:r>
              <w:rPr>
                <w:noProof/>
              </w:rPr>
              <w:t>ļņ</w:t>
            </w:r>
            <w:r>
              <w:rPr>
                <w:noProof/>
              </w:rPr>
              <w:t>as) un saist</w:t>
            </w:r>
            <w:r>
              <w:rPr>
                <w:noProof/>
              </w:rPr>
              <w:t>ī</w:t>
            </w:r>
            <w:r>
              <w:rPr>
                <w:noProof/>
              </w:rPr>
              <w:t>to darbinieku konsekvenci.</w:t>
            </w:r>
          </w:p>
          <w:p w14:paraId="4B95F2E8" w14:textId="2A3DF89D" w:rsidR="00327FF1" w:rsidRDefault="00E406C7">
            <w:pPr>
              <w:pStyle w:val="P68B1DB1-Normal11"/>
              <w:rPr>
                <w:noProof/>
                <w:szCs w:val="20"/>
              </w:rPr>
            </w:pPr>
            <w:r>
              <w:rPr>
                <w:noProof/>
              </w:rPr>
              <w:t xml:space="preserve">Piešķirot līgumus projektiem, kas atlasīti uzaicinājumos iesniegt priekšlikumus konkursa kārtībā, iekļauj šādu informāciju: </w:t>
            </w:r>
          </w:p>
          <w:p w14:paraId="52948DD0" w14:textId="77777777" w:rsidR="00327FF1" w:rsidRDefault="00E406C7">
            <w:pPr>
              <w:pStyle w:val="P68B1DB1-Normal11"/>
              <w:rPr>
                <w:noProof/>
                <w:szCs w:val="20"/>
              </w:rPr>
            </w:pPr>
            <w:r>
              <w:rPr>
                <w:noProof/>
              </w:rPr>
              <w:t xml:space="preserve">atbilstības kritēriji, </w:t>
            </w:r>
            <w:r>
              <w:rPr>
                <w:noProof/>
              </w:rPr>
              <w:t xml:space="preserve">kas nodrošina, ka atlasītie projekti atbilst Tehniskajiem norādījumiem “nenodari būtisku kaitējumu” (2021/C58/01), izmantojot izslēgšanas sarakstu un prasību par atbilstību attiecīgajiem ES un valsts tiesību aktiem vides jomā. </w:t>
            </w:r>
          </w:p>
          <w:p w14:paraId="2811551B" w14:textId="77777777" w:rsidR="00327FF1" w:rsidRDefault="00E406C7">
            <w:pPr>
              <w:pStyle w:val="P68B1DB1-Normal11"/>
              <w:rPr>
                <w:noProof/>
                <w:szCs w:val="20"/>
              </w:rPr>
            </w:pPr>
            <w:r>
              <w:rPr>
                <w:noProof/>
              </w:rPr>
              <w:t>b) apņemšanās, ka investīcij</w:t>
            </w:r>
            <w:r>
              <w:rPr>
                <w:noProof/>
              </w:rPr>
              <w:t xml:space="preserve">u ieguldījums klimata jomā saskaņā ar Regulas (ES) 2021/241 VI pielikumā izklāstīto metodiku veido vismaz 25 % no ANM atbalstīto investīciju kopējām izmaksām. </w:t>
            </w:r>
          </w:p>
          <w:p w14:paraId="3BFABFE8" w14:textId="77777777" w:rsidR="00327FF1" w:rsidRDefault="00E406C7">
            <w:pPr>
              <w:pStyle w:val="P68B1DB1-Normal11"/>
              <w:rPr>
                <w:noProof/>
                <w:szCs w:val="20"/>
              </w:rPr>
            </w:pPr>
            <w:r>
              <w:rPr>
                <w:noProof/>
              </w:rPr>
              <w:t>saistības ziņot par pasākuma īstenošanu shēmas darbības vidusposmā un shēmas beigās.</w:t>
            </w:r>
          </w:p>
        </w:tc>
      </w:tr>
      <w:tr w:rsidR="00327FF1" w14:paraId="6C49B51E"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17BD90D" w14:textId="77777777" w:rsidR="00327FF1" w:rsidRDefault="00E406C7">
            <w:pPr>
              <w:pStyle w:val="P68B1DB1-Normal11"/>
              <w:jc w:val="center"/>
              <w:rPr>
                <w:noProof/>
                <w:szCs w:val="20"/>
              </w:rPr>
            </w:pPr>
            <w:r>
              <w:rPr>
                <w:noProof/>
              </w:rPr>
              <w:t>M1C3–13</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429A98" w14:textId="77777777" w:rsidR="00327FF1" w:rsidRDefault="00E406C7">
            <w:pPr>
              <w:pStyle w:val="P68B1DB1-Normal11"/>
              <w:jc w:val="center"/>
              <w:rPr>
                <w:noProof/>
                <w:szCs w:val="20"/>
              </w:rPr>
            </w:pPr>
            <w:r>
              <w:rPr>
                <w:noProof/>
              </w:rPr>
              <w:t>Investīcija 2.2. — Lauku arhitektūras un ainavas aizsardzība un uzlabošana</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1318F03" w14:textId="77777777" w:rsidR="00327FF1" w:rsidRDefault="00E406C7">
            <w:pPr>
              <w:pStyle w:val="P68B1DB1-Normal11"/>
              <w:jc w:val="center"/>
              <w:rPr>
                <w:noProof/>
                <w:szCs w:val="20"/>
              </w:rPr>
            </w:pPr>
            <w:r>
              <w:rPr>
                <w:noProof/>
              </w:rPr>
              <w:t>Atskaites punkts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FA9C08D" w14:textId="1D918A91" w:rsidR="00327FF1" w:rsidRDefault="00E406C7">
            <w:pPr>
              <w:pStyle w:val="P68B1DB1-Normal11"/>
              <w:jc w:val="center"/>
              <w:rPr>
                <w:noProof/>
                <w:szCs w:val="20"/>
              </w:rPr>
            </w:pPr>
            <w:r>
              <w:rPr>
                <w:noProof/>
              </w:rPr>
              <w:t>Kultūras ministrijas dekrēta par resursu piešķiršanu lauku arhitektūras un ainavas aizsardzībai un uzlabošanai stāšanās spēkā</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6AF92B" w14:textId="06EB866F" w:rsidR="00327FF1" w:rsidRDefault="00E406C7">
            <w:pPr>
              <w:pStyle w:val="P68B1DB1-Normal11"/>
              <w:jc w:val="center"/>
              <w:rPr>
                <w:noProof/>
                <w:szCs w:val="20"/>
              </w:rPr>
            </w:pPr>
            <w:r>
              <w:rPr>
                <w:noProof/>
              </w:rPr>
              <w:t xml:space="preserve">Noteikums dekrētā par to, ka stājas </w:t>
            </w:r>
            <w:r>
              <w:rPr>
                <w:noProof/>
              </w:rPr>
              <w:t>spēkā Kultūras ministrijas (MIC) dekrēts par resursu piešķiršanu lauku arhitektūras un ainavas aizsardzībai un uzlabošanai</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E5C0AF" w14:textId="77777777" w:rsidR="00327FF1" w:rsidRDefault="00E406C7">
            <w:pPr>
              <w:pStyle w:val="P68B1DB1-Normal11"/>
              <w:jc w:val="center"/>
              <w:rPr>
                <w:noProof/>
                <w:szCs w:val="20"/>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1DE027" w14:textId="77777777" w:rsidR="00327FF1" w:rsidRDefault="00E406C7">
            <w:pPr>
              <w:pStyle w:val="P68B1DB1-Normal11"/>
              <w:jc w:val="center"/>
              <w:rPr>
                <w:noProof/>
                <w:szCs w:val="20"/>
              </w:rPr>
            </w:pPr>
            <w:r>
              <w:rPr>
                <w:noProof/>
              </w:rPr>
              <w:t>NEPIEMĒRO</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F2D0532" w14:textId="77777777" w:rsidR="00327FF1" w:rsidRDefault="00E406C7">
            <w:pPr>
              <w:pStyle w:val="P68B1DB1-Normal11"/>
              <w:jc w:val="center"/>
              <w:rPr>
                <w:noProof/>
                <w:szCs w:val="20"/>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2D1E83" w14:textId="77777777" w:rsidR="00327FF1" w:rsidRDefault="00E406C7">
            <w:pPr>
              <w:pStyle w:val="P68B1DB1-Normal11"/>
              <w:jc w:val="center"/>
              <w:rPr>
                <w:noProof/>
                <w:szCs w:val="20"/>
              </w:rPr>
            </w:pPr>
            <w:r>
              <w:rPr>
                <w:noProof/>
              </w:rPr>
              <w:t>2.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6F86F25" w14:textId="77777777" w:rsidR="00327FF1" w:rsidRDefault="00E406C7">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A2EF43B" w14:textId="7EE4B228" w:rsidR="00327FF1" w:rsidRDefault="00E406C7">
            <w:pPr>
              <w:pStyle w:val="P68B1DB1-Normal11"/>
              <w:rPr>
                <w:noProof/>
                <w:szCs w:val="20"/>
              </w:rPr>
            </w:pPr>
            <w:r>
              <w:rPr>
                <w:noProof/>
              </w:rPr>
              <w:t>Kultūras ministrijas dekrēts piešķir resursus lauku arhitektūras un ainavas aizsardzībai u</w:t>
            </w:r>
            <w:r>
              <w:rPr>
                <w:noProof/>
              </w:rPr>
              <w:t xml:space="preserve">n uzlabošanai. </w:t>
            </w:r>
          </w:p>
          <w:p w14:paraId="565C67DB" w14:textId="77777777" w:rsidR="00327FF1" w:rsidRDefault="00E406C7">
            <w:pPr>
              <w:pStyle w:val="P68B1DB1-Normal11"/>
              <w:rPr>
                <w:noProof/>
                <w:szCs w:val="20"/>
              </w:rPr>
            </w:pPr>
            <w:r>
              <w:rPr>
                <w:noProof/>
              </w:rPr>
              <w:t>Lauku arhitektūras un ainavas aizsardzībai un uzlabošanai (2.2. punkts) atgūstamo aktīvu atlase dod priekšroku ieguldījumu spējai radīt ietekmi uz ainavas vērtību saglabāšanas mērķiem. Prioritāti piešķir:</w:t>
            </w:r>
          </w:p>
          <w:p w14:paraId="32091008" w14:textId="26777488" w:rsidR="00327FF1" w:rsidRDefault="00E406C7">
            <w:pPr>
              <w:pStyle w:val="P68B1DB1-Normal11"/>
              <w:rPr>
                <w:noProof/>
                <w:szCs w:val="20"/>
              </w:rPr>
            </w:pPr>
            <w:r>
              <w:rPr>
                <w:noProof/>
              </w:rPr>
              <w:t>— aktīviem, kas atrodas teritorijās</w:t>
            </w:r>
            <w:r>
              <w:rPr>
                <w:noProof/>
              </w:rPr>
              <w:t xml:space="preserve"> ar augstu ainavas vērtību (aktīviem, kas atrodas teritorijās, kurās ir ainavas intereses vai nozīmīgas sabiedrības intereses (DLgs 42/2004 124.–139. pants), ainavām, uz kurām attiecas UNESCO atzīšana, FAO GIAHS;</w:t>
            </w:r>
          </w:p>
          <w:p w14:paraId="20B8C3B9" w14:textId="77777777" w:rsidR="00327FF1" w:rsidRDefault="00E406C7">
            <w:pPr>
              <w:pStyle w:val="P68B1DB1-Normal11"/>
              <w:rPr>
                <w:noProof/>
                <w:szCs w:val="20"/>
              </w:rPr>
            </w:pPr>
            <w:r>
              <w:rPr>
                <w:noProof/>
              </w:rPr>
              <w:t>— aktīviem, kas jau ir pieejami publiskai l</w:t>
            </w:r>
            <w:r>
              <w:rPr>
                <w:noProof/>
              </w:rPr>
              <w:t>ietošanai vai ko īpašnieks piekrīt, ka tiem var piekļūt, tostarp vietējās un integrālajās shēmās un tīklos;</w:t>
            </w:r>
          </w:p>
          <w:p w14:paraId="6B394840" w14:textId="77777777" w:rsidR="00327FF1" w:rsidRDefault="00E406C7">
            <w:pPr>
              <w:pStyle w:val="P68B1DB1-Normal11"/>
              <w:rPr>
                <w:noProof/>
                <w:szCs w:val="20"/>
              </w:rPr>
            </w:pPr>
            <w:r>
              <w:rPr>
                <w:noProof/>
              </w:rPr>
              <w:t>— “platību projektiem”, kas izklāstīti apkopotos priekšmetos un kas spēj efektīvāk nodrošināt ainavas atjaunošanas mērķu sasniegšanu;</w:t>
            </w:r>
          </w:p>
          <w:p w14:paraId="0F95BA5C" w14:textId="77777777" w:rsidR="00327FF1" w:rsidRDefault="00E406C7">
            <w:pPr>
              <w:pStyle w:val="P68B1DB1-Normal11"/>
              <w:rPr>
                <w:noProof/>
                <w:szCs w:val="20"/>
              </w:rPr>
            </w:pPr>
            <w:r>
              <w:rPr>
                <w:noProof/>
              </w:rPr>
              <w:t xml:space="preserve">projekti, kas </w:t>
            </w:r>
            <w:r>
              <w:rPr>
                <w:noProof/>
              </w:rPr>
              <w:t>atrodas teritorijās, kuras uzlabo integrāciju un sinerģiju ar citiem PNRR kandidātiem, un citi teritoriāli plāni/projekti, ko atbalsta plānošanas valsts (Kultūras ministrija).</w:t>
            </w:r>
          </w:p>
          <w:p w14:paraId="7E1B1FAE" w14:textId="77777777" w:rsidR="00327FF1" w:rsidRDefault="00E406C7">
            <w:pPr>
              <w:pStyle w:val="P68B1DB1-Normal11"/>
              <w:rPr>
                <w:noProof/>
                <w:szCs w:val="20"/>
              </w:rPr>
            </w:pPr>
            <w:r>
              <w:rPr>
                <w:noProof/>
              </w:rPr>
              <w:t>Lai noteiktu lauku arhitektūras veidus, uz kuriem attiecas intervence, atsauce v</w:t>
            </w:r>
            <w:r>
              <w:rPr>
                <w:noProof/>
              </w:rPr>
              <w:t>ar būt MiBAC 2005. gada 6. oktobra Dekrēts (īstenojot 2003. gada 24. decembra Likumu Nr.378 — Lauku arhitektūras aizsardzība un uzlabošana). Sākotnēji kritēriji var attiekties uz: aktīvu saglabāšanas stāvoklis, izmantošanas līmenis, šo aktīvu nozīme terito</w:t>
            </w:r>
            <w:r>
              <w:rPr>
                <w:noProof/>
              </w:rPr>
              <w:t>riālajā un pilsētu kontekstā.</w:t>
            </w:r>
          </w:p>
          <w:p w14:paraId="719B4241" w14:textId="4FBE428C" w:rsidR="00327FF1" w:rsidRDefault="00E406C7">
            <w:pPr>
              <w:pStyle w:val="P68B1DB1-Normal11"/>
              <w:rPr>
                <w:noProof/>
                <w:szCs w:val="20"/>
              </w:rPr>
            </w:pPr>
            <w:r>
              <w:rPr>
                <w:noProof/>
              </w:rPr>
              <w:t>Līgumu slēgšanas tiesības projektiem, kas atlasīti konkursa uzaicinājumos iesniegt priekšlikumus, piešķir saskaņā ar Tehniskajiem norādījumiem “nenodari būtisku kaitējumu” (2021/C58/01), izmantojot izslēgšanas sarakstu un pras</w:t>
            </w:r>
            <w:r>
              <w:rPr>
                <w:noProof/>
              </w:rPr>
              <w:t>ību par atbilstību attiecīgajiem ES un valsts tiesību aktiem vides jomā.</w:t>
            </w:r>
          </w:p>
        </w:tc>
      </w:tr>
      <w:tr w:rsidR="00327FF1" w14:paraId="0356F0BB"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2B62354" w14:textId="77777777" w:rsidR="00327FF1" w:rsidRDefault="00E406C7">
            <w:pPr>
              <w:pStyle w:val="P68B1DB1-Normal11"/>
              <w:jc w:val="center"/>
              <w:rPr>
                <w:noProof/>
                <w:szCs w:val="20"/>
              </w:rPr>
            </w:pPr>
            <w:r>
              <w:rPr>
                <w:noProof/>
              </w:rPr>
              <w:t>M1C3–14</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07628DB" w14:textId="77777777" w:rsidR="00327FF1" w:rsidRDefault="00E406C7">
            <w:pPr>
              <w:pStyle w:val="P68B1DB1-Normal11"/>
              <w:jc w:val="center"/>
              <w:rPr>
                <w:noProof/>
                <w:szCs w:val="20"/>
              </w:rPr>
            </w:pPr>
            <w:r>
              <w:rPr>
                <w:noProof/>
              </w:rPr>
              <w:t>Investīcija 2.3. — Programmas vietu, parku un vēsturisko dārzu identitātes uzlabošanai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0A1D25" w14:textId="77777777" w:rsidR="00327FF1" w:rsidRDefault="00E406C7">
            <w:pPr>
              <w:pStyle w:val="P68B1DB1-Normal11"/>
              <w:jc w:val="center"/>
              <w:rPr>
                <w:noProof/>
                <w:szCs w:val="20"/>
              </w:rPr>
            </w:pPr>
            <w:r>
              <w:rPr>
                <w:noProof/>
              </w:rPr>
              <w:t>Atskaites punkts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0CE824" w14:textId="77777777" w:rsidR="00327FF1" w:rsidRDefault="00E406C7">
            <w:pPr>
              <w:pStyle w:val="P68B1DB1-Normal11"/>
              <w:jc w:val="center"/>
              <w:rPr>
                <w:noProof/>
                <w:szCs w:val="20"/>
              </w:rPr>
            </w:pPr>
            <w:r>
              <w:rPr>
                <w:noProof/>
              </w:rPr>
              <w:t xml:space="preserve">Kultūras ministrijas dekrēta par resursu piešķiršanu stāšanās spēkā: </w:t>
            </w:r>
            <w:r>
              <w:rPr>
                <w:noProof/>
              </w:rPr>
              <w:t>projektiem, kuru mērķis ir uzlabot vietu, parku un vēsturisko dārzu identitāti</w:t>
            </w:r>
          </w:p>
          <w:p w14:paraId="1D3267E6" w14:textId="77777777" w:rsidR="00327FF1" w:rsidRDefault="00327FF1">
            <w:pPr>
              <w:jc w:val="center"/>
              <w:rPr>
                <w:rFonts w:ascii="Arial Narrow" w:hAnsi="Arial Narrow"/>
                <w:noProof/>
                <w:color w:val="006100"/>
                <w:sz w:val="20"/>
                <w:szCs w:val="20"/>
              </w:rPr>
            </w:pP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C8AC96" w14:textId="77777777" w:rsidR="00327FF1" w:rsidRDefault="00E406C7">
            <w:pPr>
              <w:pStyle w:val="P68B1DB1-Normal11"/>
              <w:jc w:val="center"/>
              <w:rPr>
                <w:noProof/>
                <w:szCs w:val="20"/>
              </w:rPr>
            </w:pPr>
            <w:r>
              <w:rPr>
                <w:noProof/>
              </w:rPr>
              <w:t>Noteikums dekrētā par Kultūras ministrijas dekrēta stāšanos spēkā attiecībā uz resursu piešķiršanu vietu, parku un vēsturisko dārzu identitātes uzlabošanas projektiem</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A91BBA6" w14:textId="77777777" w:rsidR="00327FF1" w:rsidRDefault="00E406C7">
            <w:pPr>
              <w:pStyle w:val="P68B1DB1-Normal11"/>
              <w:jc w:val="center"/>
              <w:rPr>
                <w:noProof/>
                <w:szCs w:val="20"/>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3D8C23F" w14:textId="77777777" w:rsidR="00327FF1" w:rsidRDefault="00E406C7">
            <w:pPr>
              <w:pStyle w:val="P68B1DB1-Normal11"/>
              <w:jc w:val="center"/>
              <w:rPr>
                <w:noProof/>
                <w:szCs w:val="20"/>
              </w:rPr>
            </w:pPr>
            <w:r>
              <w:rPr>
                <w:noProof/>
              </w:rPr>
              <w:t>NEPIEMĒRO</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DA0B6F0" w14:textId="77777777" w:rsidR="00327FF1" w:rsidRDefault="00E406C7">
            <w:pPr>
              <w:pStyle w:val="P68B1DB1-Normal11"/>
              <w:jc w:val="center"/>
              <w:rPr>
                <w:noProof/>
                <w:szCs w:val="20"/>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996FD0A" w14:textId="77777777" w:rsidR="00327FF1" w:rsidRDefault="00E406C7">
            <w:pPr>
              <w:pStyle w:val="P68B1DB1-Normal11"/>
              <w:jc w:val="center"/>
              <w:rPr>
                <w:noProof/>
                <w:szCs w:val="20"/>
              </w:rPr>
            </w:pPr>
            <w:r>
              <w:rPr>
                <w:noProof/>
              </w:rPr>
              <w:t>2.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076392E" w14:textId="77777777" w:rsidR="00327FF1" w:rsidRDefault="00E406C7">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27C7DAB" w14:textId="77777777" w:rsidR="00327FF1" w:rsidRDefault="00E406C7">
            <w:pPr>
              <w:pStyle w:val="P68B1DB1-Normal11"/>
              <w:rPr>
                <w:noProof/>
                <w:szCs w:val="20"/>
              </w:rPr>
            </w:pPr>
            <w:r>
              <w:rPr>
                <w:noProof/>
              </w:rPr>
              <w:t>Kultūras ministrijas dekrēts piešķir resursus atbildīgajām pārvaldes iestādēm par vietu, parku un vēsturisko dārzu identitātes uzlabošanas projektiem.</w:t>
            </w:r>
          </w:p>
          <w:p w14:paraId="4CEDC86F" w14:textId="77777777" w:rsidR="00327FF1" w:rsidRDefault="00E406C7">
            <w:pPr>
              <w:pStyle w:val="P68B1DB1-Normal11"/>
              <w:rPr>
                <w:noProof/>
                <w:szCs w:val="20"/>
              </w:rPr>
            </w:pPr>
            <w:r>
              <w:rPr>
                <w:noProof/>
              </w:rPr>
              <w:t>Vēsturiskie parki un dārzi (Inv. 2.3.) intervences objekts ir tikai aiz</w:t>
            </w:r>
            <w:r>
              <w:rPr>
                <w:noProof/>
              </w:rPr>
              <w:t>sargātas kultūras vērtības, attiecībā uz kurām ir deklarēta mākslinieciska vai vēsturiska interese. Viņi var piederēt gan Valsts Kultūras ministrijai (MiC), gan nevalstiskiem aktīviem. Atlasi veic, pamatojoties uz kritērijiem, ko nosaka tehniski zinātniska</w:t>
            </w:r>
            <w:r>
              <w:rPr>
                <w:noProof/>
              </w:rPr>
              <w:t xml:space="preserve"> koordinācijas grupa, kuras sastāvā ir MiC, universitātes, ANCI, nozaru asociāciju pārstāvji.</w:t>
            </w:r>
          </w:p>
          <w:p w14:paraId="592F36D2" w14:textId="510BD717" w:rsidR="00327FF1" w:rsidRDefault="00E406C7">
            <w:pPr>
              <w:pStyle w:val="P68B1DB1-Normal11"/>
              <w:rPr>
                <w:noProof/>
                <w:szCs w:val="20"/>
              </w:rPr>
            </w:pPr>
            <w:r>
              <w:rPr>
                <w:noProof/>
              </w:rPr>
              <w:t>Līgumu slēgšanas tiesības projektiem, kas atlasīti konkursa uzaicinājumos iesniegt priekšlikumus, piešķir saskaņā ar Tehniskajiem norādījumiem “nenodari būtisku k</w:t>
            </w:r>
            <w:r>
              <w:rPr>
                <w:noProof/>
              </w:rPr>
              <w:t>aitējumu” (2021/C58/01), izmantojot izslēgšanas sarakstu un prasību par atbilstību attiecīgajiem ES un valsts tiesību aktiem vides jomā.</w:t>
            </w:r>
          </w:p>
        </w:tc>
      </w:tr>
      <w:tr w:rsidR="00327FF1" w14:paraId="70D4F0EC"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5DF2A0" w14:textId="77777777" w:rsidR="00327FF1" w:rsidRDefault="00E406C7">
            <w:pPr>
              <w:pStyle w:val="P68B1DB1-Normal11"/>
              <w:jc w:val="center"/>
              <w:rPr>
                <w:noProof/>
                <w:szCs w:val="20"/>
              </w:rPr>
            </w:pPr>
            <w:r>
              <w:rPr>
                <w:noProof/>
              </w:rPr>
              <w:t>M1C3–15</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431C2E8" w14:textId="77777777" w:rsidR="00327FF1" w:rsidRDefault="00E406C7">
            <w:pPr>
              <w:pStyle w:val="P68B1DB1-Normal11"/>
              <w:jc w:val="center"/>
              <w:rPr>
                <w:noProof/>
                <w:szCs w:val="20"/>
              </w:rPr>
            </w:pPr>
            <w:r>
              <w:rPr>
                <w:noProof/>
              </w:rPr>
              <w:t>Investīcija Nr. 2.4. kulta vietu seismiskā drošība, FEC mantojuma atjaunošana un mākslas darbu patversmes</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40F35DD" w14:textId="77777777" w:rsidR="00327FF1" w:rsidRDefault="00E406C7">
            <w:pPr>
              <w:pStyle w:val="P68B1DB1-Normal11"/>
              <w:jc w:val="center"/>
              <w:rPr>
                <w:noProof/>
                <w:szCs w:val="20"/>
              </w:rPr>
            </w:pPr>
            <w:r>
              <w:rPr>
                <w:noProof/>
              </w:rPr>
              <w:t>Atskaites punkts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7D096CF" w14:textId="33E88D20" w:rsidR="00327FF1" w:rsidRDefault="00E406C7">
            <w:pPr>
              <w:pStyle w:val="P68B1DB1-Normal11"/>
              <w:jc w:val="center"/>
              <w:rPr>
                <w:noProof/>
                <w:szCs w:val="20"/>
              </w:rPr>
            </w:pPr>
            <w:r>
              <w:rPr>
                <w:noProof/>
              </w:rPr>
              <w:t>Kultūras ministrijas dekrēta par resursu piešķiršanu seismiskajai drošībai kulta vietā un FEC (Fondo Edifici di Culto) kultūras mantojuma atjaunošanai stāšanās spēkā</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6297680" w14:textId="6FCDDC18" w:rsidR="00327FF1" w:rsidRDefault="00E406C7">
            <w:pPr>
              <w:pStyle w:val="P68B1DB1-Normal11"/>
              <w:jc w:val="center"/>
              <w:rPr>
                <w:noProof/>
                <w:szCs w:val="20"/>
              </w:rPr>
            </w:pPr>
            <w:r>
              <w:rPr>
                <w:noProof/>
              </w:rPr>
              <w:t xml:space="preserve">Dekrēta noteikums, kas norāda, ka stājas spēkā Kultūras ministrijas </w:t>
            </w:r>
            <w:r>
              <w:rPr>
                <w:noProof/>
              </w:rPr>
              <w:t>dekrēts par resursu piešķiršanu seismiskajai drošībai kulta vietā un FEC (Fondo Edifici di Culto) mantojuma atjaunošanai</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B3CF90" w14:textId="77777777" w:rsidR="00327FF1" w:rsidRDefault="00E406C7">
            <w:pPr>
              <w:pStyle w:val="P68B1DB1-Normal11"/>
              <w:jc w:val="center"/>
              <w:rPr>
                <w:noProof/>
                <w:szCs w:val="20"/>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2E9097" w14:textId="77777777" w:rsidR="00327FF1" w:rsidRDefault="00E406C7">
            <w:pPr>
              <w:pStyle w:val="P68B1DB1-Normal11"/>
              <w:jc w:val="center"/>
              <w:rPr>
                <w:noProof/>
                <w:szCs w:val="20"/>
              </w:rPr>
            </w:pPr>
            <w:r>
              <w:rPr>
                <w:noProof/>
              </w:rPr>
              <w:t>NEPIEMĒRO</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56DE36C" w14:textId="77777777" w:rsidR="00327FF1" w:rsidRDefault="00E406C7">
            <w:pPr>
              <w:pStyle w:val="P68B1DB1-Normal11"/>
              <w:jc w:val="center"/>
              <w:rPr>
                <w:noProof/>
                <w:szCs w:val="20"/>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3BA75AA" w14:textId="77777777" w:rsidR="00327FF1" w:rsidRDefault="00E406C7">
            <w:pPr>
              <w:pStyle w:val="P68B1DB1-Normal11"/>
              <w:jc w:val="center"/>
              <w:rPr>
                <w:noProof/>
                <w:szCs w:val="20"/>
              </w:rPr>
            </w:pPr>
            <w:r>
              <w:rPr>
                <w:noProof/>
              </w:rPr>
              <w:t>2.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3409C8D" w14:textId="77777777" w:rsidR="00327FF1" w:rsidRDefault="00E406C7">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1A07C9" w14:textId="35AADBD6" w:rsidR="00327FF1" w:rsidRDefault="00E406C7">
            <w:pPr>
              <w:pStyle w:val="P68B1DB1-Normal11"/>
              <w:rPr>
                <w:noProof/>
                <w:szCs w:val="20"/>
              </w:rPr>
            </w:pPr>
            <w:r>
              <w:rPr>
                <w:noProof/>
              </w:rPr>
              <w:t>Kultūras ministrijas dekrēts nosaka īstenotāju struktūru, kā arī to ēku atbilstību un finans</w:t>
            </w:r>
            <w:r>
              <w:rPr>
                <w:noProof/>
              </w:rPr>
              <w:t>ēšanu, kurās tiek veikti intervences pasākumi un tipoloģija.</w:t>
            </w:r>
          </w:p>
          <w:p w14:paraId="6FA992EB" w14:textId="77777777" w:rsidR="00327FF1" w:rsidRDefault="00E406C7">
            <w:pPr>
              <w:pStyle w:val="P68B1DB1-Normal11"/>
              <w:rPr>
                <w:noProof/>
                <w:szCs w:val="20"/>
              </w:rPr>
            </w:pPr>
            <w:r>
              <w:rPr>
                <w:noProof/>
              </w:rPr>
              <w:t>(INV 2.4) Seismiskie profilakses un drošības pasākumi kulta vietās attiecas uz teritorijām, ko skārušas vairākas zemestrīces Itālijas reģionos, sākot no 2009. gada (Abruco, Lacio, Marke un Umbrij</w:t>
            </w:r>
            <w:r>
              <w:rPr>
                <w:noProof/>
              </w:rPr>
              <w:t>ā).</w:t>
            </w:r>
          </w:p>
          <w:p w14:paraId="57763210" w14:textId="77777777" w:rsidR="00327FF1" w:rsidRDefault="00E406C7">
            <w:pPr>
              <w:pStyle w:val="P68B1DB1-Normal11"/>
              <w:rPr>
                <w:noProof/>
                <w:szCs w:val="20"/>
              </w:rPr>
            </w:pPr>
            <w:r>
              <w:rPr>
                <w:noProof/>
              </w:rPr>
              <w:t>FEC (Fondo Edifici di Culto) intervences tiek izvēlētas, pamatojoties uz FEC (Fondo Edifici di Culto) mantojuma aktīvu saglabāšanas stāvokli.</w:t>
            </w:r>
          </w:p>
          <w:p w14:paraId="6C6B70D8" w14:textId="4E476C37" w:rsidR="00327FF1" w:rsidRDefault="00E406C7">
            <w:pPr>
              <w:pStyle w:val="P68B1DB1-Normal11"/>
              <w:rPr>
                <w:noProof/>
                <w:szCs w:val="20"/>
              </w:rPr>
            </w:pPr>
            <w:r>
              <w:rPr>
                <w:noProof/>
              </w:rPr>
              <w:t>Līgumu slēgšanas tiesības projektiem, kas atlasīti konkursa uzaicinājumos iesniegt priekšlikumus, piešķir sask</w:t>
            </w:r>
            <w:r>
              <w:rPr>
                <w:noProof/>
              </w:rPr>
              <w:t>aņā ar Tehniskajiem norādījumiem “nenodari būtisku kaitējumu” (2021/C58/01), izmantojot izslēgšanas sarakstu un prasību par atbilstību attiecīgajiem ES un valsts tiesību aktiem vides jomā.</w:t>
            </w:r>
          </w:p>
        </w:tc>
      </w:tr>
      <w:tr w:rsidR="00327FF1" w14:paraId="06926804" w14:textId="77777777">
        <w:trPr>
          <w:trHeight w:val="313"/>
          <w:jc w:val="center"/>
        </w:trPr>
        <w:tc>
          <w:tcPr>
            <w:tcW w:w="377" w:type="pct"/>
            <w:shd w:val="clear" w:color="auto" w:fill="C6EFCE"/>
            <w:noWrap/>
            <w:vAlign w:val="center"/>
            <w:hideMark/>
          </w:tcPr>
          <w:p w14:paraId="342B81A6" w14:textId="77777777" w:rsidR="00327FF1" w:rsidRDefault="00E406C7">
            <w:pPr>
              <w:pStyle w:val="P68B1DB1-Normal11"/>
              <w:jc w:val="center"/>
              <w:rPr>
                <w:noProof/>
                <w:szCs w:val="20"/>
              </w:rPr>
            </w:pPr>
            <w:r>
              <w:rPr>
                <w:noProof/>
              </w:rPr>
              <w:t>M1C3–16</w:t>
            </w:r>
          </w:p>
        </w:tc>
        <w:tc>
          <w:tcPr>
            <w:tcW w:w="520" w:type="pct"/>
            <w:shd w:val="clear" w:color="auto" w:fill="C6EFCE"/>
            <w:noWrap/>
            <w:vAlign w:val="center"/>
          </w:tcPr>
          <w:p w14:paraId="04199726" w14:textId="77777777" w:rsidR="00327FF1" w:rsidRDefault="00E406C7">
            <w:pPr>
              <w:pStyle w:val="P68B1DB1-Normal11"/>
              <w:jc w:val="center"/>
              <w:rPr>
                <w:noProof/>
                <w:szCs w:val="20"/>
              </w:rPr>
            </w:pPr>
            <w:r>
              <w:rPr>
                <w:noProof/>
              </w:rPr>
              <w:t>Ieguldījumi — 2.1. Mazo vēsturisko pilsētu pievilcīgums</w:t>
            </w:r>
          </w:p>
        </w:tc>
        <w:tc>
          <w:tcPr>
            <w:tcW w:w="378" w:type="pct"/>
            <w:shd w:val="clear" w:color="auto" w:fill="C6EFCE"/>
            <w:noWrap/>
            <w:vAlign w:val="center"/>
            <w:hideMark/>
          </w:tcPr>
          <w:p w14:paraId="64C8381C" w14:textId="77777777" w:rsidR="00327FF1" w:rsidRDefault="00E406C7">
            <w:pPr>
              <w:pStyle w:val="P68B1DB1-Normal11"/>
              <w:jc w:val="center"/>
              <w:rPr>
                <w:noProof/>
                <w:szCs w:val="20"/>
              </w:rPr>
            </w:pPr>
            <w:r>
              <w:rPr>
                <w:noProof/>
              </w:rPr>
              <w:t>Atskaites punkts</w:t>
            </w:r>
          </w:p>
        </w:tc>
        <w:tc>
          <w:tcPr>
            <w:tcW w:w="520" w:type="pct"/>
            <w:shd w:val="clear" w:color="auto" w:fill="C6EFCE"/>
            <w:noWrap/>
            <w:vAlign w:val="center"/>
          </w:tcPr>
          <w:p w14:paraId="701D89EC" w14:textId="2E7D0A3E" w:rsidR="00327FF1" w:rsidRDefault="00E406C7">
            <w:pPr>
              <w:pStyle w:val="P68B1DB1-Normal12"/>
              <w:jc w:val="center"/>
              <w:rPr>
                <w:noProof/>
              </w:rPr>
            </w:pPr>
            <w:r>
              <w:rPr>
                <w:noProof/>
              </w:rPr>
              <w:t>Dekrēta(-u) pieņemšana, kurā uzskaitīti uzņēmumi, kas saņēmuši atbalstu mazās vēsturiskās pilsētās</w:t>
            </w:r>
          </w:p>
        </w:tc>
        <w:tc>
          <w:tcPr>
            <w:tcW w:w="520" w:type="pct"/>
            <w:shd w:val="clear" w:color="auto" w:fill="C6EFCE"/>
            <w:noWrap/>
            <w:vAlign w:val="center"/>
            <w:hideMark/>
          </w:tcPr>
          <w:p w14:paraId="38411753" w14:textId="0DFEB907" w:rsidR="00327FF1" w:rsidRDefault="00E406C7">
            <w:pPr>
              <w:pStyle w:val="P68B1DB1-Normal11"/>
              <w:jc w:val="center"/>
              <w:rPr>
                <w:noProof/>
                <w:szCs w:val="20"/>
              </w:rPr>
            </w:pPr>
            <w:r>
              <w:rPr>
                <w:noProof/>
              </w:rPr>
              <w:t>Dekrēta(-u) pieņemšana, kurā uzskaitīti atbalstītie uzņēmumi</w:t>
            </w:r>
          </w:p>
        </w:tc>
        <w:tc>
          <w:tcPr>
            <w:tcW w:w="331" w:type="pct"/>
            <w:shd w:val="clear" w:color="auto" w:fill="C6EFCE"/>
            <w:noWrap/>
            <w:vAlign w:val="center"/>
            <w:hideMark/>
          </w:tcPr>
          <w:p w14:paraId="342896E8" w14:textId="77777777" w:rsidR="00327FF1" w:rsidRDefault="00E406C7">
            <w:pPr>
              <w:pStyle w:val="P68B1DB1-Normal11"/>
              <w:jc w:val="center"/>
              <w:rPr>
                <w:noProof/>
                <w:szCs w:val="20"/>
              </w:rPr>
            </w:pPr>
            <w:r>
              <w:rPr>
                <w:noProof/>
              </w:rPr>
              <w:t>NEPIEMĒRO</w:t>
            </w:r>
          </w:p>
        </w:tc>
        <w:tc>
          <w:tcPr>
            <w:tcW w:w="332" w:type="pct"/>
            <w:shd w:val="clear" w:color="auto" w:fill="C6EFCE"/>
            <w:noWrap/>
            <w:vAlign w:val="center"/>
          </w:tcPr>
          <w:p w14:paraId="14320E43" w14:textId="77777777" w:rsidR="00327FF1" w:rsidRDefault="00E406C7">
            <w:pPr>
              <w:pStyle w:val="P68B1DB1-Normal11"/>
              <w:jc w:val="center"/>
              <w:rPr>
                <w:noProof/>
                <w:szCs w:val="20"/>
              </w:rPr>
            </w:pPr>
            <w:r>
              <w:rPr>
                <w:noProof/>
              </w:rPr>
              <w:t>NEPIEMĒRO</w:t>
            </w:r>
          </w:p>
        </w:tc>
        <w:tc>
          <w:tcPr>
            <w:tcW w:w="424" w:type="pct"/>
            <w:shd w:val="clear" w:color="auto" w:fill="C6EFCE"/>
            <w:noWrap/>
            <w:vAlign w:val="center"/>
          </w:tcPr>
          <w:p w14:paraId="5F59DADB" w14:textId="77777777" w:rsidR="00327FF1" w:rsidRDefault="00E406C7">
            <w:pPr>
              <w:pStyle w:val="P68B1DB1-Normal11"/>
              <w:jc w:val="center"/>
              <w:rPr>
                <w:noProof/>
                <w:szCs w:val="20"/>
              </w:rPr>
            </w:pPr>
            <w:r>
              <w:rPr>
                <w:noProof/>
              </w:rPr>
              <w:t>NEPIEMĒRO</w:t>
            </w:r>
          </w:p>
        </w:tc>
        <w:tc>
          <w:tcPr>
            <w:tcW w:w="332" w:type="pct"/>
            <w:shd w:val="clear" w:color="auto" w:fill="C6EFCE"/>
            <w:noWrap/>
            <w:vAlign w:val="center"/>
            <w:hideMark/>
          </w:tcPr>
          <w:p w14:paraId="152DFE72" w14:textId="77777777" w:rsidR="00327FF1" w:rsidRDefault="00E406C7">
            <w:pPr>
              <w:pStyle w:val="P68B1DB1-Normal11"/>
              <w:jc w:val="center"/>
              <w:rPr>
                <w:noProof/>
                <w:szCs w:val="20"/>
              </w:rPr>
            </w:pPr>
            <w:r>
              <w:rPr>
                <w:noProof/>
              </w:rPr>
              <w:t>2. CET.</w:t>
            </w:r>
          </w:p>
        </w:tc>
        <w:tc>
          <w:tcPr>
            <w:tcW w:w="220" w:type="pct"/>
            <w:shd w:val="clear" w:color="auto" w:fill="C6EFCE"/>
            <w:noWrap/>
            <w:vAlign w:val="center"/>
            <w:hideMark/>
          </w:tcPr>
          <w:p w14:paraId="20870AB2" w14:textId="77777777" w:rsidR="00327FF1" w:rsidRDefault="00E406C7">
            <w:pPr>
              <w:pStyle w:val="P68B1DB1-Normal11"/>
              <w:jc w:val="center"/>
              <w:rPr>
                <w:noProof/>
                <w:szCs w:val="20"/>
              </w:rPr>
            </w:pPr>
            <w:r>
              <w:rPr>
                <w:noProof/>
              </w:rPr>
              <w:t>2025</w:t>
            </w:r>
          </w:p>
        </w:tc>
        <w:tc>
          <w:tcPr>
            <w:tcW w:w="1046" w:type="pct"/>
            <w:shd w:val="clear" w:color="auto" w:fill="C6EFCE"/>
            <w:noWrap/>
            <w:vAlign w:val="center"/>
            <w:hideMark/>
          </w:tcPr>
          <w:p w14:paraId="77B219BD" w14:textId="36E136A5" w:rsidR="00327FF1" w:rsidRDefault="00E406C7">
            <w:pPr>
              <w:pStyle w:val="P68B1DB1-Normal11"/>
              <w:rPr>
                <w:noProof/>
                <w:szCs w:val="20"/>
              </w:rPr>
            </w:pPr>
            <w:r>
              <w:rPr>
                <w:noProof/>
                <w:szCs w:val="20"/>
              </w:rPr>
              <w:t xml:space="preserve">Dekrēta(-u) pieņemšana, kurā(-os) </w:t>
            </w:r>
            <w:r>
              <w:rPr>
                <w:noProof/>
                <w:szCs w:val="20"/>
              </w:rPr>
              <w:t>uzskaitīti vismaz 1800</w:t>
            </w:r>
            <w:r>
              <w:rPr>
                <w:noProof/>
              </w:rPr>
              <w:t xml:space="preserve"> </w:t>
            </w:r>
            <w:r>
              <w:rPr>
                <w:noProof/>
                <w:szCs w:val="20"/>
              </w:rPr>
              <w:t>uzņēmumi, kas saņēmuši atbalstu mazās vēsturiskajās pilsētās.</w:t>
            </w:r>
          </w:p>
        </w:tc>
      </w:tr>
      <w:tr w:rsidR="00327FF1" w14:paraId="19ADE278"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AD1AC6" w14:textId="77777777" w:rsidR="00327FF1" w:rsidRDefault="00E406C7">
            <w:pPr>
              <w:pStyle w:val="P68B1DB1-Normal11"/>
              <w:jc w:val="center"/>
              <w:rPr>
                <w:noProof/>
              </w:rPr>
            </w:pPr>
            <w:bookmarkStart w:id="13" w:name="_Hlk212582527"/>
            <w:r>
              <w:rPr>
                <w:noProof/>
              </w:rPr>
              <w:t>M1C3–16bis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0E8F60C" w14:textId="77777777" w:rsidR="00327FF1" w:rsidRDefault="00E406C7">
            <w:pPr>
              <w:pStyle w:val="P68B1DB1-Normal11"/>
              <w:jc w:val="center"/>
              <w:rPr>
                <w:noProof/>
              </w:rPr>
            </w:pPr>
            <w:r>
              <w:rPr>
                <w:noProof/>
              </w:rPr>
              <w:t>Ieguldījumi — 2.1. Mazo vēsturisko pilsētu pievilcīgums</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33F536" w14:textId="77777777" w:rsidR="00327FF1" w:rsidRDefault="00E406C7">
            <w:pPr>
              <w:pStyle w:val="P68B1DB1-Normal11"/>
              <w:jc w:val="center"/>
              <w:rPr>
                <w:noProof/>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8530411" w14:textId="6EEDF39C" w:rsidR="00327FF1" w:rsidRDefault="00E406C7">
            <w:pPr>
              <w:pStyle w:val="P68B1DB1-Normal12"/>
              <w:jc w:val="center"/>
              <w:rPr>
                <w:noProof/>
              </w:rPr>
            </w:pPr>
            <w:r>
              <w:rPr>
                <w:noProof/>
              </w:rPr>
              <w:t>Iejaukšanās mazo vēsturisko pilsētu kultūras atjaunošanā</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3CFC5C9" w14:textId="77777777" w:rsidR="00327FF1" w:rsidRDefault="00E406C7">
            <w:pPr>
              <w:pStyle w:val="P68B1DB1-Normal11"/>
              <w:jc w:val="center"/>
              <w:rPr>
                <w:noProof/>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4E3800C" w14:textId="77777777" w:rsidR="00327FF1" w:rsidRDefault="00E406C7">
            <w:pPr>
              <w:pStyle w:val="P68B1DB1-Normal11"/>
              <w:jc w:val="center"/>
              <w:rPr>
                <w:noProof/>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6B3FF88" w14:textId="77777777" w:rsidR="00327FF1" w:rsidRDefault="00E406C7">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25F06EE" w14:textId="41E5B80D" w:rsidR="00327FF1" w:rsidRDefault="00E406C7">
            <w:pPr>
              <w:pStyle w:val="P68B1DB1-Normal11"/>
              <w:jc w:val="center"/>
              <w:rPr>
                <w:noProof/>
              </w:rPr>
            </w:pPr>
            <w:r>
              <w:rPr>
                <w:noProof/>
              </w:rPr>
              <w:t>3 250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299C27C" w14:textId="77777777" w:rsidR="00327FF1" w:rsidRDefault="00E406C7">
            <w:pPr>
              <w:pStyle w:val="P68B1DB1-Normal11"/>
              <w:jc w:val="center"/>
              <w:rPr>
                <w:noProof/>
              </w:rPr>
            </w:pPr>
            <w:r>
              <w:rPr>
                <w:noProof/>
              </w:rPr>
              <w:t>2.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C6E9CA" w14:textId="77777777" w:rsidR="00327FF1" w:rsidRDefault="00E406C7">
            <w:pPr>
              <w:pStyle w:val="P68B1DB1-Normal11"/>
              <w:jc w:val="center"/>
              <w:rPr>
                <w:noProof/>
              </w:rPr>
            </w:pPr>
            <w:r>
              <w:rPr>
                <w:noProof/>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E9AF4CA" w14:textId="2E9B9F64" w:rsidR="00327FF1" w:rsidRDefault="00E406C7">
            <w:pPr>
              <w:pStyle w:val="P68B1DB1-Normal12"/>
              <w:rPr>
                <w:noProof/>
              </w:rPr>
            </w:pPr>
            <w:r>
              <w:rPr>
                <w:noProof/>
              </w:rPr>
              <w:t>Būvdarbu pabeigšanas sertifikātus vai pakalpojumu vai piegāžu piegādes sertifikātus izdod par vismaz 3250 intervencēm, no kurām 400 — saskaņā ar A līniju.</w:t>
            </w:r>
          </w:p>
        </w:tc>
      </w:tr>
      <w:bookmarkEnd w:id="13"/>
      <w:tr w:rsidR="00327FF1" w14:paraId="16E08C99"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ED5DD73" w14:textId="77777777" w:rsidR="00327FF1" w:rsidRDefault="00E406C7">
            <w:pPr>
              <w:pStyle w:val="P68B1DB1-Normal11"/>
              <w:jc w:val="center"/>
              <w:rPr>
                <w:noProof/>
                <w:szCs w:val="20"/>
              </w:rPr>
            </w:pPr>
            <w:r>
              <w:rPr>
                <w:noProof/>
              </w:rPr>
              <w:t>M1C3–17</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9D6609" w14:textId="77777777" w:rsidR="00327FF1" w:rsidRDefault="00E406C7">
            <w:pPr>
              <w:pStyle w:val="P68B1DB1-Normal11"/>
              <w:jc w:val="center"/>
              <w:rPr>
                <w:noProof/>
                <w:szCs w:val="20"/>
              </w:rPr>
            </w:pPr>
            <w:r>
              <w:rPr>
                <w:noProof/>
              </w:rPr>
              <w:t>Investīcijas — 2.2. Lauku arhitektūras un ainavas aizsardzība un uzlabošana</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A603845" w14:textId="77777777" w:rsidR="00327FF1" w:rsidRDefault="00E406C7">
            <w:pPr>
              <w:pStyle w:val="P68B1DB1-Normal11"/>
              <w:jc w:val="center"/>
              <w:rPr>
                <w:noProof/>
                <w:szCs w:val="20"/>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85B701B" w14:textId="528F73D9" w:rsidR="00327FF1" w:rsidRDefault="00E406C7">
            <w:pPr>
              <w:pStyle w:val="P68B1DB1-Normal11"/>
              <w:jc w:val="center"/>
              <w:rPr>
                <w:noProof/>
                <w:szCs w:val="20"/>
              </w:rPr>
            </w:pPr>
            <w:r>
              <w:rPr>
                <w:noProof/>
              </w:rPr>
              <w:t>Intervences lauku arhitektūras un ainavas aizsardzībai un uzlabošanai</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E888C2" w14:textId="77777777" w:rsidR="00327FF1" w:rsidRDefault="00E406C7">
            <w:pPr>
              <w:pStyle w:val="P68B1DB1-Normal11"/>
              <w:jc w:val="center"/>
              <w:rPr>
                <w:noProof/>
                <w:szCs w:val="20"/>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1D36939" w14:textId="77777777" w:rsidR="00327FF1" w:rsidRDefault="00E406C7">
            <w:pPr>
              <w:pStyle w:val="P68B1DB1-Normal11"/>
              <w:jc w:val="center"/>
              <w:rPr>
                <w:noProof/>
                <w:szCs w:val="20"/>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787505" w14:textId="77777777" w:rsidR="00327FF1" w:rsidRDefault="00E406C7">
            <w:pPr>
              <w:pStyle w:val="P68B1DB1-Normal11"/>
              <w:jc w:val="center"/>
              <w:rPr>
                <w:noProof/>
                <w:szCs w:val="20"/>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62DF4F8" w14:textId="77777777" w:rsidR="00327FF1" w:rsidRDefault="00E406C7">
            <w:pPr>
              <w:pStyle w:val="P68B1DB1-Normal11"/>
              <w:jc w:val="center"/>
              <w:rPr>
                <w:noProof/>
                <w:szCs w:val="20"/>
              </w:rPr>
            </w:pPr>
            <w:r>
              <w:rPr>
                <w:noProof/>
              </w:rPr>
              <w:t>3 900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1B91C1" w14:textId="77777777" w:rsidR="00327FF1" w:rsidRDefault="00E406C7">
            <w:pPr>
              <w:pStyle w:val="P68B1DB1-Normal12"/>
              <w:jc w:val="center"/>
              <w:rPr>
                <w:noProof/>
              </w:rPr>
            </w:pPr>
            <w:r>
              <w:rPr>
                <w:noProof/>
              </w:rPr>
              <w:t>2.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8B373C6" w14:textId="77777777" w:rsidR="00327FF1" w:rsidRDefault="00E406C7">
            <w:pPr>
              <w:pStyle w:val="P68B1DB1-Normal12"/>
              <w:jc w:val="center"/>
              <w:rPr>
                <w:noProof/>
              </w:rPr>
            </w:pPr>
            <w:r>
              <w:rPr>
                <w:noProof/>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AA7F40" w14:textId="1FA50961" w:rsidR="00327FF1" w:rsidRDefault="00E406C7">
            <w:pPr>
              <w:pStyle w:val="P68B1DB1-Normal11"/>
              <w:rPr>
                <w:noProof/>
                <w:szCs w:val="20"/>
              </w:rPr>
            </w:pPr>
            <w:r>
              <w:rPr>
                <w:noProof/>
              </w:rPr>
              <w:t>Izsniedz sertifikātus par darbu pabeigšanu attiecībā uz intervencēm vismaz uz 3900 aktīviem.</w:t>
            </w:r>
          </w:p>
        </w:tc>
      </w:tr>
      <w:tr w:rsidR="00327FF1" w14:paraId="4364A278" w14:textId="77777777">
        <w:trPr>
          <w:trHeight w:val="364"/>
          <w:jc w:val="center"/>
        </w:trPr>
        <w:tc>
          <w:tcPr>
            <w:tcW w:w="377" w:type="pct"/>
            <w:shd w:val="clear" w:color="auto" w:fill="C6EFCE"/>
            <w:noWrap/>
            <w:vAlign w:val="center"/>
            <w:hideMark/>
          </w:tcPr>
          <w:p w14:paraId="3F7E94F6" w14:textId="77777777" w:rsidR="00327FF1" w:rsidRDefault="00E406C7">
            <w:pPr>
              <w:pStyle w:val="P68B1DB1-Normal12"/>
              <w:jc w:val="center"/>
              <w:rPr>
                <w:noProof/>
              </w:rPr>
            </w:pPr>
            <w:r>
              <w:rPr>
                <w:noProof/>
              </w:rPr>
              <w:t>M1C3–18</w:t>
            </w:r>
          </w:p>
        </w:tc>
        <w:tc>
          <w:tcPr>
            <w:tcW w:w="520" w:type="pct"/>
            <w:shd w:val="clear" w:color="auto" w:fill="C6EFCE"/>
            <w:noWrap/>
            <w:vAlign w:val="center"/>
            <w:hideMark/>
          </w:tcPr>
          <w:p w14:paraId="762570DD" w14:textId="77777777" w:rsidR="00327FF1" w:rsidRDefault="00E406C7">
            <w:pPr>
              <w:pStyle w:val="P68B1DB1-Normal12"/>
              <w:jc w:val="center"/>
              <w:rPr>
                <w:noProof/>
              </w:rPr>
            </w:pPr>
            <w:r>
              <w:rPr>
                <w:noProof/>
              </w:rPr>
              <w:t xml:space="preserve">Investīcija 2.3. Programmas vietu, parku un </w:t>
            </w:r>
            <w:r>
              <w:rPr>
                <w:noProof/>
              </w:rPr>
              <w:t>vēsturisko dārzu identitātes uzlabošanai</w:t>
            </w:r>
          </w:p>
        </w:tc>
        <w:tc>
          <w:tcPr>
            <w:tcW w:w="378" w:type="pct"/>
            <w:shd w:val="clear" w:color="auto" w:fill="C6EFCE"/>
            <w:noWrap/>
            <w:vAlign w:val="center"/>
            <w:hideMark/>
          </w:tcPr>
          <w:p w14:paraId="1567C3C7" w14:textId="77777777" w:rsidR="00327FF1" w:rsidRDefault="00E406C7">
            <w:pPr>
              <w:pStyle w:val="P68B1DB1-Normal11"/>
              <w:jc w:val="center"/>
              <w:rPr>
                <w:noProof/>
                <w:szCs w:val="20"/>
              </w:rPr>
            </w:pPr>
            <w:r>
              <w:rPr>
                <w:noProof/>
              </w:rPr>
              <w:t>Mērķa</w:t>
            </w:r>
          </w:p>
        </w:tc>
        <w:tc>
          <w:tcPr>
            <w:tcW w:w="520" w:type="pct"/>
            <w:shd w:val="clear" w:color="auto" w:fill="C6EFCE"/>
            <w:noWrap/>
            <w:vAlign w:val="center"/>
            <w:hideMark/>
          </w:tcPr>
          <w:p w14:paraId="48CE5593" w14:textId="77777777" w:rsidR="00327FF1" w:rsidRDefault="00E406C7">
            <w:pPr>
              <w:pStyle w:val="P68B1DB1-Normal11"/>
              <w:jc w:val="center"/>
              <w:rPr>
                <w:noProof/>
                <w:szCs w:val="20"/>
              </w:rPr>
            </w:pPr>
            <w:r>
              <w:rPr>
                <w:noProof/>
              </w:rPr>
              <w:t>Pārveidoto parku un vēsturisko dārzu skaits</w:t>
            </w:r>
          </w:p>
        </w:tc>
        <w:tc>
          <w:tcPr>
            <w:tcW w:w="520" w:type="pct"/>
            <w:shd w:val="clear" w:color="auto" w:fill="C6EFCE"/>
            <w:noWrap/>
            <w:vAlign w:val="center"/>
            <w:hideMark/>
          </w:tcPr>
          <w:p w14:paraId="2EB5CFA8" w14:textId="77777777" w:rsidR="00327FF1" w:rsidRDefault="00E406C7">
            <w:pPr>
              <w:pStyle w:val="P68B1DB1-Normal11"/>
              <w:jc w:val="center"/>
              <w:rPr>
                <w:noProof/>
                <w:szCs w:val="20"/>
              </w:rPr>
            </w:pPr>
            <w:r>
              <w:rPr>
                <w:noProof/>
              </w:rPr>
              <w:t>NEPIEMĒRO</w:t>
            </w:r>
          </w:p>
        </w:tc>
        <w:tc>
          <w:tcPr>
            <w:tcW w:w="331" w:type="pct"/>
            <w:shd w:val="clear" w:color="auto" w:fill="C6EFCE"/>
            <w:noWrap/>
            <w:vAlign w:val="center"/>
            <w:hideMark/>
          </w:tcPr>
          <w:p w14:paraId="0FEC1F0D" w14:textId="77777777" w:rsidR="00327FF1" w:rsidRDefault="00E406C7">
            <w:pPr>
              <w:pStyle w:val="P68B1DB1-Normal11"/>
              <w:jc w:val="center"/>
              <w:rPr>
                <w:noProof/>
                <w:szCs w:val="20"/>
              </w:rPr>
            </w:pPr>
            <w:r>
              <w:rPr>
                <w:noProof/>
              </w:rPr>
              <w:t>Skaits</w:t>
            </w:r>
          </w:p>
        </w:tc>
        <w:tc>
          <w:tcPr>
            <w:tcW w:w="332" w:type="pct"/>
            <w:shd w:val="clear" w:color="auto" w:fill="C6EFCE"/>
            <w:noWrap/>
            <w:vAlign w:val="center"/>
            <w:hideMark/>
          </w:tcPr>
          <w:p w14:paraId="706FDFFB" w14:textId="77777777" w:rsidR="00327FF1" w:rsidRDefault="00E406C7">
            <w:pPr>
              <w:pStyle w:val="P68B1DB1-Normal11"/>
              <w:jc w:val="center"/>
              <w:rPr>
                <w:noProof/>
                <w:szCs w:val="20"/>
              </w:rPr>
            </w:pPr>
            <w:r>
              <w:rPr>
                <w:noProof/>
              </w:rPr>
              <w:t>0</w:t>
            </w:r>
          </w:p>
        </w:tc>
        <w:tc>
          <w:tcPr>
            <w:tcW w:w="424" w:type="pct"/>
            <w:shd w:val="clear" w:color="auto" w:fill="C6EFCE"/>
            <w:noWrap/>
            <w:vAlign w:val="center"/>
            <w:hideMark/>
          </w:tcPr>
          <w:p w14:paraId="0EF08B1C" w14:textId="77777777" w:rsidR="00327FF1" w:rsidRDefault="00E406C7">
            <w:pPr>
              <w:pStyle w:val="P68B1DB1-Normal12"/>
              <w:jc w:val="center"/>
              <w:rPr>
                <w:noProof/>
              </w:rPr>
            </w:pPr>
            <w:r>
              <w:rPr>
                <w:noProof/>
              </w:rPr>
              <w:t>100</w:t>
            </w:r>
          </w:p>
        </w:tc>
        <w:tc>
          <w:tcPr>
            <w:tcW w:w="332" w:type="pct"/>
            <w:shd w:val="clear" w:color="auto" w:fill="C6EFCE"/>
            <w:noWrap/>
            <w:vAlign w:val="center"/>
            <w:hideMark/>
          </w:tcPr>
          <w:p w14:paraId="3D156C71" w14:textId="77777777" w:rsidR="00327FF1" w:rsidRDefault="00E406C7">
            <w:pPr>
              <w:pStyle w:val="P68B1DB1-Normal12"/>
              <w:jc w:val="center"/>
              <w:rPr>
                <w:noProof/>
              </w:rPr>
            </w:pPr>
            <w:r>
              <w:rPr>
                <w:noProof/>
              </w:rPr>
              <w:t>4. CET.</w:t>
            </w:r>
          </w:p>
        </w:tc>
        <w:tc>
          <w:tcPr>
            <w:tcW w:w="220" w:type="pct"/>
            <w:shd w:val="clear" w:color="auto" w:fill="C6EFCE"/>
            <w:noWrap/>
            <w:vAlign w:val="center"/>
            <w:hideMark/>
          </w:tcPr>
          <w:p w14:paraId="79EDF886" w14:textId="77777777" w:rsidR="00327FF1" w:rsidRDefault="00E406C7">
            <w:pPr>
              <w:pStyle w:val="P68B1DB1-Normal12"/>
              <w:jc w:val="center"/>
              <w:rPr>
                <w:noProof/>
              </w:rPr>
            </w:pPr>
            <w:r>
              <w:rPr>
                <w:noProof/>
              </w:rPr>
              <w:t>2025</w:t>
            </w:r>
          </w:p>
        </w:tc>
        <w:tc>
          <w:tcPr>
            <w:tcW w:w="1046" w:type="pct"/>
            <w:shd w:val="clear" w:color="auto" w:fill="C6EFCE"/>
            <w:noWrap/>
            <w:vAlign w:val="center"/>
            <w:hideMark/>
          </w:tcPr>
          <w:p w14:paraId="520C7801" w14:textId="6009C63C" w:rsidR="00327FF1" w:rsidRDefault="00E406C7">
            <w:pPr>
              <w:pStyle w:val="P68B1DB1-Normal12"/>
              <w:rPr>
                <w:noProof/>
              </w:rPr>
            </w:pPr>
            <w:r>
              <w:rPr>
                <w:noProof/>
              </w:rPr>
              <w:t>Izsniedz sertifikātus par darbu pabeigšanu, lai pārkvalificētu vismaz 100 parkus un vēsturiskos dārzus.</w:t>
            </w:r>
          </w:p>
        </w:tc>
      </w:tr>
      <w:tr w:rsidR="00327FF1" w14:paraId="79A9B41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B9A2D9" w14:textId="77777777" w:rsidR="00327FF1" w:rsidRDefault="00E406C7">
            <w:pPr>
              <w:pStyle w:val="P68B1DB1-Normal11"/>
              <w:jc w:val="center"/>
              <w:rPr>
                <w:noProof/>
                <w:szCs w:val="20"/>
              </w:rPr>
            </w:pPr>
            <w:r>
              <w:rPr>
                <w:noProof/>
              </w:rPr>
              <w:t>M1C3–19</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AA91CBA" w14:textId="77777777" w:rsidR="00327FF1" w:rsidRDefault="00E406C7">
            <w:pPr>
              <w:pStyle w:val="P68B1DB1-Normal11"/>
              <w:jc w:val="center"/>
              <w:rPr>
                <w:noProof/>
                <w:szCs w:val="20"/>
              </w:rPr>
            </w:pPr>
            <w:r>
              <w:rPr>
                <w:noProof/>
              </w:rPr>
              <w:t xml:space="preserve">Ieguldījums — </w:t>
            </w:r>
            <w:r>
              <w:rPr>
                <w:noProof/>
              </w:rPr>
              <w:t>2.4. kulta vietu seismiskā drošība, FEC (Fondo Edifici di Culto) mantojuma atjaunošana un mākslas darbu patversmes (Recovery Art)</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BFC065" w14:textId="77777777" w:rsidR="00327FF1" w:rsidRDefault="00E406C7">
            <w:pPr>
              <w:pStyle w:val="P68B1DB1-Normal11"/>
              <w:jc w:val="center"/>
              <w:rPr>
                <w:noProof/>
                <w:szCs w:val="20"/>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B44BEB4" w14:textId="7206E52E" w:rsidR="00327FF1" w:rsidRDefault="00E406C7">
            <w:pPr>
              <w:pStyle w:val="P68B1DB1-Normal11"/>
              <w:jc w:val="center"/>
              <w:rPr>
                <w:noProof/>
                <w:szCs w:val="20"/>
              </w:rPr>
            </w:pPr>
            <w:r>
              <w:rPr>
                <w:noProof/>
              </w:rPr>
              <w:t>Pasākumi seismiskajai drošībai kulta vietās, FEC (Fondo Edifici di Culto) mantojuma atjaunošana un mākslas darbu patvers</w:t>
            </w:r>
            <w:r>
              <w:rPr>
                <w:noProof/>
              </w:rPr>
              <w:t xml:space="preserve">mes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754DB55" w14:textId="77777777" w:rsidR="00327FF1" w:rsidRDefault="00E406C7">
            <w:pPr>
              <w:pStyle w:val="P68B1DB1-Normal11"/>
              <w:jc w:val="center"/>
              <w:rPr>
                <w:noProof/>
                <w:szCs w:val="20"/>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6EFA7C" w14:textId="77777777" w:rsidR="00327FF1" w:rsidRDefault="00E406C7">
            <w:pPr>
              <w:pStyle w:val="P68B1DB1-Normal11"/>
              <w:jc w:val="center"/>
              <w:rPr>
                <w:noProof/>
                <w:szCs w:val="20"/>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58C4024" w14:textId="77777777" w:rsidR="00327FF1" w:rsidRDefault="00E406C7">
            <w:pPr>
              <w:pStyle w:val="P68B1DB1-Normal11"/>
              <w:jc w:val="center"/>
              <w:rPr>
                <w:noProof/>
                <w:szCs w:val="20"/>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85576D" w14:textId="77777777" w:rsidR="00327FF1" w:rsidRDefault="00E406C7">
            <w:pPr>
              <w:pStyle w:val="P68B1DB1-Normal11"/>
              <w:jc w:val="center"/>
              <w:rPr>
                <w:noProof/>
                <w:szCs w:val="20"/>
              </w:rPr>
            </w:pPr>
            <w:r>
              <w:rPr>
                <w:noProof/>
              </w:rPr>
              <w:t>700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77F333" w14:textId="77777777" w:rsidR="00327FF1" w:rsidRDefault="00E406C7">
            <w:pPr>
              <w:pStyle w:val="P68B1DB1-Normal11"/>
              <w:jc w:val="center"/>
              <w:rPr>
                <w:noProof/>
                <w:szCs w:val="20"/>
              </w:rPr>
            </w:pPr>
            <w:r>
              <w:rPr>
                <w:noProof/>
              </w:rPr>
              <w:t>2.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B9B616" w14:textId="77777777" w:rsidR="00327FF1" w:rsidRDefault="00E406C7">
            <w:pPr>
              <w:pStyle w:val="P68B1DB1-Normal11"/>
              <w:jc w:val="center"/>
              <w:rPr>
                <w:noProof/>
                <w:szCs w:val="20"/>
              </w:rPr>
            </w:pPr>
            <w:r>
              <w:rPr>
                <w:noProof/>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76C87FC" w14:textId="0D92F972" w:rsidR="00327FF1" w:rsidRDefault="00E406C7">
            <w:pPr>
              <w:pStyle w:val="P68B1DB1-Normal12"/>
              <w:rPr>
                <w:noProof/>
              </w:rPr>
            </w:pPr>
            <w:r>
              <w:rPr>
                <w:noProof/>
              </w:rPr>
              <w:t>Sertifikātus par darbu pabeigšanu izdod par vismaz 700 intervences pasākumiem, no kuriem vismaz 3 patversmes mākslas darbiem.</w:t>
            </w:r>
          </w:p>
        </w:tc>
      </w:tr>
      <w:tr w:rsidR="00327FF1" w14:paraId="0DA051CB"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6E1B75" w14:textId="77777777" w:rsidR="00327FF1" w:rsidRDefault="00E406C7">
            <w:pPr>
              <w:pStyle w:val="P68B1DB1-Normal11"/>
              <w:jc w:val="center"/>
              <w:rPr>
                <w:noProof/>
                <w:szCs w:val="20"/>
              </w:rPr>
            </w:pPr>
            <w:r>
              <w:rPr>
                <w:noProof/>
              </w:rPr>
              <w:t>M1C3–20</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2060B2" w14:textId="77777777" w:rsidR="00327FF1" w:rsidRDefault="00E406C7">
            <w:pPr>
              <w:pStyle w:val="P68B1DB1-Normal11"/>
              <w:jc w:val="center"/>
              <w:rPr>
                <w:noProof/>
                <w:szCs w:val="20"/>
              </w:rPr>
            </w:pPr>
            <w:r>
              <w:rPr>
                <w:noProof/>
              </w:rPr>
              <w:t>Investīcija Nr. 3.2. Kino industrijas attīstība (projekts “Cinecittà”)</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22A7CFC" w14:textId="77777777" w:rsidR="00327FF1" w:rsidRDefault="00E406C7">
            <w:pPr>
              <w:pStyle w:val="P68B1DB1-Normal11"/>
              <w:jc w:val="center"/>
              <w:rPr>
                <w:noProof/>
                <w:szCs w:val="20"/>
              </w:rPr>
            </w:pPr>
            <w:r>
              <w:rPr>
                <w:noProof/>
              </w:rPr>
              <w:t>Atskaites</w:t>
            </w:r>
            <w:r>
              <w:rPr>
                <w:noProof/>
              </w:rPr>
              <w:t xml:space="preserve"> punkts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3098DBD" w14:textId="77777777" w:rsidR="00327FF1" w:rsidRDefault="00E406C7">
            <w:pPr>
              <w:pStyle w:val="P68B1DB1-Normal11"/>
              <w:jc w:val="center"/>
              <w:rPr>
                <w:noProof/>
                <w:szCs w:val="20"/>
              </w:rPr>
            </w:pPr>
            <w:r>
              <w:rPr>
                <w:noProof/>
              </w:rPr>
              <w:t>Līgumu parakstīšana starp īstenotāju struktūru Cinecittà SPA un uzņēmumiem par deviņu studiju būvniecību</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08F5C5C" w14:textId="77777777" w:rsidR="00327FF1" w:rsidRDefault="00E406C7">
            <w:pPr>
              <w:pStyle w:val="P68B1DB1-Normal11"/>
              <w:jc w:val="center"/>
              <w:rPr>
                <w:noProof/>
                <w:szCs w:val="20"/>
              </w:rPr>
            </w:pPr>
            <w:r>
              <w:rPr>
                <w:noProof/>
              </w:rPr>
              <w:t>Līgumu parakstīšana</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D700F3" w14:textId="77777777" w:rsidR="00327FF1" w:rsidRDefault="00E406C7">
            <w:pPr>
              <w:pStyle w:val="P68B1DB1-Normal11"/>
              <w:spacing w:before="120" w:after="120"/>
              <w:jc w:val="center"/>
              <w:rPr>
                <w:noProof/>
                <w:szCs w:val="20"/>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4C47B7" w14:textId="77777777" w:rsidR="00327FF1" w:rsidRDefault="00E406C7">
            <w:pPr>
              <w:pStyle w:val="P68B1DB1-Normal11"/>
              <w:jc w:val="center"/>
              <w:rPr>
                <w:noProof/>
                <w:szCs w:val="20"/>
              </w:rPr>
            </w:pPr>
            <w:r>
              <w:rPr>
                <w:noProof/>
              </w:rPr>
              <w:t>NEPIEMĒRO</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667FE5D" w14:textId="77777777" w:rsidR="00327FF1" w:rsidRDefault="00E406C7">
            <w:pPr>
              <w:pStyle w:val="P68B1DB1-Normal11"/>
              <w:jc w:val="center"/>
              <w:rPr>
                <w:noProof/>
                <w:szCs w:val="20"/>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96092E" w14:textId="77777777" w:rsidR="00327FF1" w:rsidRDefault="00E406C7">
            <w:pPr>
              <w:pStyle w:val="P68B1DB1-Normal11"/>
              <w:jc w:val="center"/>
              <w:rPr>
                <w:noProof/>
                <w:szCs w:val="20"/>
              </w:rPr>
            </w:pPr>
            <w:r>
              <w:rPr>
                <w:noProof/>
              </w:rPr>
              <w:t>2.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EB09EB" w14:textId="77777777" w:rsidR="00327FF1" w:rsidRDefault="00E406C7">
            <w:pPr>
              <w:pStyle w:val="P68B1DB1-Normal11"/>
              <w:jc w:val="center"/>
              <w:rPr>
                <w:noProof/>
                <w:szCs w:val="20"/>
              </w:rPr>
            </w:pPr>
            <w:r>
              <w:rPr>
                <w:noProof/>
              </w:rPr>
              <w:t>2023</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E85EE8" w14:textId="77777777" w:rsidR="00327FF1" w:rsidRDefault="00E406C7">
            <w:pPr>
              <w:pStyle w:val="P68B1DB1-Normal11"/>
              <w:rPr>
                <w:noProof/>
                <w:szCs w:val="20"/>
              </w:rPr>
            </w:pPr>
            <w:r>
              <w:rPr>
                <w:noProof/>
              </w:rPr>
              <w:t xml:space="preserve">Līgumu parakstīšana starp izpildītāju organizāciju, Cinecittà SPA un sabiedrībām par deviņu studiju būvniecību. </w:t>
            </w:r>
          </w:p>
          <w:p w14:paraId="608D985C" w14:textId="77777777" w:rsidR="00327FF1" w:rsidRDefault="00E406C7">
            <w:pPr>
              <w:pStyle w:val="P68B1DB1-Normal11"/>
              <w:rPr>
                <w:noProof/>
                <w:szCs w:val="20"/>
              </w:rPr>
            </w:pPr>
            <w:r>
              <w:rPr>
                <w:noProof/>
              </w:rPr>
              <w:t>Šī intervence ietver jaunu studiju būvniecību, esošo studiju atjaunošanu, investīcijas jaunās digitālajās tehnoloģijās, sistēmās un pakalpojumo</w:t>
            </w:r>
            <w:r>
              <w:rPr>
                <w:noProof/>
              </w:rPr>
              <w:t>s, kuru mērķis ir stiprināt “Cinecittà S.p.A” pārvaldītās kinostudijas “Cinecittà”.</w:t>
            </w:r>
          </w:p>
          <w:p w14:paraId="331AF676" w14:textId="77777777" w:rsidR="00327FF1" w:rsidRDefault="00E406C7">
            <w:pPr>
              <w:pStyle w:val="P68B1DB1-Normal11"/>
              <w:rPr>
                <w:noProof/>
                <w:szCs w:val="20"/>
              </w:rPr>
            </w:pPr>
            <w:r>
              <w:rPr>
                <w:noProof/>
              </w:rPr>
              <w:t>Līgumā starp īstenotājstruktūru “Cinecittà S.p.A” un uzņēmumiem ietver atbalstīto aktīvu/darbību un/vai uzņēmumu atlases/attiecināmības kritērijus, lai nodrošinātu atbilstī</w:t>
            </w:r>
            <w:r>
              <w:rPr>
                <w:noProof/>
              </w:rPr>
              <w:t>bu Tehniskajiem norādījumiem par principa “nenodarīt būtisku kaitējumu” piemērošanu (2021/C58/01).</w:t>
            </w:r>
          </w:p>
          <w:p w14:paraId="2C6DDC11" w14:textId="77777777" w:rsidR="00327FF1" w:rsidRDefault="00E406C7">
            <w:pPr>
              <w:pStyle w:val="P68B1DB1-Normal11"/>
              <w:rPr>
                <w:noProof/>
              </w:rPr>
            </w:pPr>
            <w:r>
              <w:rPr>
                <w:noProof/>
              </w:rPr>
              <w:t>Apņemšanās/mērķrādītājs ieguldīt 20 % aktīvos/darbībās un/vai uzņēmumos, kas atbilst digitālās izsekojamības atlases kritērijiem, un 70 % — ar atlases kritēr</w:t>
            </w:r>
            <w:r>
              <w:rPr>
                <w:noProof/>
              </w:rPr>
              <w:t>ijiem klimata apsekošanai.</w:t>
            </w:r>
          </w:p>
        </w:tc>
      </w:tr>
      <w:tr w:rsidR="00327FF1" w14:paraId="556F0A5D"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A6E9583" w14:textId="77777777" w:rsidR="00327FF1" w:rsidRDefault="00E406C7">
            <w:pPr>
              <w:pStyle w:val="P68B1DB1-Normal11"/>
              <w:jc w:val="center"/>
              <w:rPr>
                <w:noProof/>
                <w:szCs w:val="20"/>
              </w:rPr>
            </w:pPr>
            <w:r>
              <w:rPr>
                <w:noProof/>
              </w:rPr>
              <w:t>M1C3–21</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F6AA857" w14:textId="77777777" w:rsidR="00327FF1" w:rsidRDefault="00E406C7">
            <w:pPr>
              <w:pStyle w:val="P68B1DB1-Normal12"/>
              <w:jc w:val="center"/>
              <w:rPr>
                <w:noProof/>
              </w:rPr>
            </w:pPr>
            <w:r>
              <w:rPr>
                <w:noProof/>
              </w:rPr>
              <w:t>Investīcija Nr. 3.2. Kino industrijas attīstība (projekts “Cinecittà”)</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C90513" w14:textId="77777777" w:rsidR="00327FF1" w:rsidRDefault="00E406C7">
            <w:pPr>
              <w:pStyle w:val="P68B1DB1-Normal12"/>
              <w:jc w:val="center"/>
              <w:rPr>
                <w:noProof/>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D459DB" w14:textId="77777777" w:rsidR="00327FF1" w:rsidRDefault="00E406C7">
            <w:pPr>
              <w:pStyle w:val="P68B1DB1-Normal12"/>
              <w:jc w:val="center"/>
              <w:rPr>
                <w:noProof/>
              </w:rPr>
            </w:pPr>
            <w:r>
              <w:rPr>
                <w:noProof/>
              </w:rPr>
              <w:t>Uzbūvēto vai renovēto studiju skaits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08809FE" w14:textId="77777777" w:rsidR="00327FF1" w:rsidRDefault="00E406C7">
            <w:pPr>
              <w:pStyle w:val="P68B1DB1-Normal11"/>
              <w:jc w:val="center"/>
              <w:rPr>
                <w:noProof/>
                <w:szCs w:val="20"/>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F40A2D" w14:textId="77777777" w:rsidR="00327FF1" w:rsidRDefault="00E406C7">
            <w:pPr>
              <w:pStyle w:val="P68B1DB1-Normal11"/>
              <w:jc w:val="center"/>
              <w:rPr>
                <w:noProof/>
                <w:szCs w:val="20"/>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6371CF7" w14:textId="77777777" w:rsidR="00327FF1" w:rsidRDefault="00E406C7">
            <w:pPr>
              <w:pStyle w:val="P68B1DB1-Normal11"/>
              <w:jc w:val="center"/>
              <w:rPr>
                <w:noProof/>
                <w:szCs w:val="20"/>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B5F078B" w14:textId="77777777" w:rsidR="00327FF1" w:rsidRDefault="00E406C7">
            <w:pPr>
              <w:pStyle w:val="P68B1DB1-Normal11"/>
              <w:jc w:val="center"/>
              <w:rPr>
                <w:noProof/>
                <w:szCs w:val="20"/>
              </w:rPr>
            </w:pPr>
            <w:r>
              <w:rPr>
                <w:noProof/>
              </w:rPr>
              <w:t>9</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7B15B35" w14:textId="77777777" w:rsidR="00327FF1" w:rsidRDefault="00E406C7">
            <w:pPr>
              <w:pStyle w:val="P68B1DB1-Normal12"/>
              <w:jc w:val="center"/>
              <w:rPr>
                <w:noProof/>
              </w:rPr>
            </w:pPr>
            <w:r>
              <w:rPr>
                <w:noProof/>
              </w:rPr>
              <w:t>2.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A04AF89" w14:textId="77777777" w:rsidR="00327FF1" w:rsidRDefault="00E406C7">
            <w:pPr>
              <w:pStyle w:val="P68B1DB1-Normal12"/>
              <w:jc w:val="center"/>
              <w:rPr>
                <w:noProof/>
              </w:rPr>
            </w:pPr>
            <w:r>
              <w:rPr>
                <w:noProof/>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CEE5D9" w14:textId="714D04B0" w:rsidR="00327FF1" w:rsidRDefault="00E406C7">
            <w:pPr>
              <w:pStyle w:val="P68B1DB1-Normal12"/>
              <w:spacing w:line="257" w:lineRule="auto"/>
              <w:rPr>
                <w:noProof/>
              </w:rPr>
            </w:pPr>
            <w:r>
              <w:rPr>
                <w:noProof/>
              </w:rPr>
              <w:t xml:space="preserve">Sertifikātus par darbu pabeigšanu izsniedz vismaz 9 studiju būvniecībai vai renovācijai. </w:t>
            </w:r>
          </w:p>
          <w:p w14:paraId="4C2C2AB4" w14:textId="794EB0E4" w:rsidR="00327FF1" w:rsidRDefault="00E406C7">
            <w:pPr>
              <w:spacing w:line="257" w:lineRule="auto"/>
              <w:rPr>
                <w:rFonts w:ascii="Arial Narrow" w:hAnsi="Arial Narrow"/>
                <w:noProof/>
                <w:color w:val="006100"/>
                <w:sz w:val="20"/>
                <w:szCs w:val="20"/>
              </w:rPr>
            </w:pPr>
            <w:r>
              <w:rPr>
                <w:rFonts w:ascii="Arial Narrow" w:hAnsi="Arial Narrow"/>
                <w:noProof/>
                <w:color w:val="006100"/>
                <w:sz w:val="20"/>
                <w:szCs w:val="20"/>
              </w:rPr>
              <w:t>Preču piegāde, pakalpojumu sniegšana un darbi Eksperimentālās kinematogrāfijas centram šādās līnijās:</w:t>
            </w:r>
            <w:r>
              <w:rPr>
                <w:noProof/>
              </w:rPr>
              <w:t xml:space="preserve"> </w:t>
            </w:r>
            <w:r>
              <w:rPr>
                <w:rFonts w:ascii="Arial Narrow" w:hAnsi="Arial Narrow"/>
                <w:noProof/>
                <w:color w:val="006100"/>
                <w:sz w:val="20"/>
                <w:szCs w:val="20"/>
              </w:rPr>
              <w:t>I) virtuālā tiešraides komplekta izveide; II) e-mācību platforma</w:t>
            </w:r>
            <w:r>
              <w:rPr>
                <w:rFonts w:ascii="Arial Narrow" w:hAnsi="Arial Narrow"/>
                <w:noProof/>
                <w:color w:val="006100"/>
                <w:sz w:val="20"/>
                <w:szCs w:val="20"/>
              </w:rPr>
              <w:t xml:space="preserve"> kinematogrāfijai; III) mācīšanās un mācīšanas darbību digitalizācija; IV) audiovizuālā mantojuma digitalizācija un saglabāšana.</w:t>
            </w:r>
          </w:p>
        </w:tc>
      </w:tr>
      <w:tr w:rsidR="00327FF1" w14:paraId="0E69411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ED7CDC" w14:textId="77777777" w:rsidR="00327FF1" w:rsidRDefault="00E406C7">
            <w:pPr>
              <w:pStyle w:val="P68B1DB1-Normal11"/>
              <w:jc w:val="center"/>
              <w:rPr>
                <w:noProof/>
              </w:rPr>
            </w:pPr>
            <w:r>
              <w:rPr>
                <w:noProof/>
              </w:rPr>
              <w:t>M1C3–22</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4DBCD0D" w14:textId="5AE50A78" w:rsidR="00327FF1" w:rsidRDefault="00E406C7">
            <w:pPr>
              <w:pStyle w:val="P68B1DB1-Normal11"/>
              <w:jc w:val="center"/>
              <w:rPr>
                <w:noProof/>
                <w:szCs w:val="20"/>
              </w:rPr>
            </w:pPr>
            <w:r>
              <w:rPr>
                <w:noProof/>
              </w:rPr>
              <w:t>Ieguldījums 4.2. Fonds tūrisma uzņēmuma konkurētspējai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56505A" w14:textId="77777777" w:rsidR="00327FF1" w:rsidRDefault="00E406C7">
            <w:pPr>
              <w:pStyle w:val="P68B1DB1-Normal11"/>
              <w:jc w:val="center"/>
              <w:rPr>
                <w:noProof/>
                <w:szCs w:val="20"/>
              </w:rPr>
            </w:pPr>
            <w:r>
              <w:rPr>
                <w:noProof/>
              </w:rPr>
              <w:t>Atskaites punkts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D556470" w14:textId="77777777" w:rsidR="00327FF1" w:rsidRDefault="00E406C7">
            <w:pPr>
              <w:pStyle w:val="P68B1DB1-Normal11"/>
              <w:jc w:val="center"/>
              <w:rPr>
                <w:noProof/>
                <w:szCs w:val="20"/>
              </w:rPr>
            </w:pPr>
            <w:r>
              <w:rPr>
                <w:noProof/>
              </w:rPr>
              <w:t>Ieguldījumu politika attiecībā uz:</w:t>
            </w:r>
          </w:p>
          <w:p w14:paraId="6FFAEB0F" w14:textId="1FCF9050" w:rsidR="00327FF1" w:rsidRDefault="00E406C7">
            <w:pPr>
              <w:pStyle w:val="P68B1DB1-Normal11"/>
              <w:jc w:val="center"/>
              <w:rPr>
                <w:noProof/>
                <w:szCs w:val="20"/>
              </w:rPr>
            </w:pPr>
            <w:r>
              <w:rPr>
                <w:noProof/>
              </w:rPr>
              <w:t xml:space="preserve">Eiropas </w:t>
            </w:r>
            <w:r>
              <w:rPr>
                <w:noProof/>
              </w:rPr>
              <w:t>Investīciju bankas tematiskais fonds;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8189E81" w14:textId="77777777" w:rsidR="00327FF1" w:rsidRDefault="00E406C7">
            <w:pPr>
              <w:pStyle w:val="P68B1DB1-Normal11"/>
              <w:jc w:val="center"/>
              <w:rPr>
                <w:noProof/>
              </w:rPr>
            </w:pPr>
            <w:r>
              <w:rPr>
                <w:noProof/>
              </w:rPr>
              <w:t>Ieguldījumu politikas pieņemšana</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3857EAD" w14:textId="77777777" w:rsidR="00327FF1" w:rsidRDefault="00E406C7">
            <w:pPr>
              <w:pStyle w:val="P68B1DB1-Normal11"/>
              <w:jc w:val="center"/>
              <w:rPr>
                <w:noProof/>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3597516" w14:textId="77777777" w:rsidR="00327FF1" w:rsidRDefault="00E406C7">
            <w:pPr>
              <w:pStyle w:val="P68B1DB1-Normal11"/>
              <w:jc w:val="center"/>
              <w:rPr>
                <w:noProof/>
              </w:rPr>
            </w:pPr>
            <w:r>
              <w:rPr>
                <w:noProof/>
              </w:rPr>
              <w:t>NEPIEMĒRO</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ED9659" w14:textId="77777777" w:rsidR="00327FF1" w:rsidRDefault="00E406C7">
            <w:pPr>
              <w:pStyle w:val="P68B1DB1-Normal11"/>
              <w:jc w:val="center"/>
              <w:rPr>
                <w:noProof/>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AADA780" w14:textId="77777777" w:rsidR="00327FF1" w:rsidRDefault="00E406C7">
            <w:pPr>
              <w:pStyle w:val="P68B1DB1-Normal11"/>
              <w:jc w:val="center"/>
              <w:rPr>
                <w:noProof/>
                <w:szCs w:val="20"/>
              </w:rPr>
            </w:pPr>
            <w:r>
              <w:rPr>
                <w:noProof/>
              </w:rPr>
              <w:t>4.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2FFCB2B" w14:textId="77777777" w:rsidR="00327FF1" w:rsidRDefault="00E406C7">
            <w:pPr>
              <w:pStyle w:val="P68B1DB1-Normal11"/>
              <w:jc w:val="center"/>
              <w:rPr>
                <w:noProof/>
                <w:szCs w:val="20"/>
              </w:rPr>
            </w:pPr>
            <w:r>
              <w:rPr>
                <w:noProof/>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A21F927" w14:textId="77777777" w:rsidR="00327FF1" w:rsidRDefault="00E406C7">
            <w:pPr>
              <w:pStyle w:val="P68B1DB1-Normal12"/>
              <w:spacing w:line="257" w:lineRule="auto"/>
              <w:rPr>
                <w:noProof/>
              </w:rPr>
            </w:pPr>
            <w:r>
              <w:rPr>
                <w:noProof/>
              </w:rPr>
              <w:t>Ieguldījumu politikā nosaka vismaz: atbalstīto darbību veids, darbības joma un darbības, paredzētie atbalsta saņēmēji, finanšu saņēmēju atbils</w:t>
            </w:r>
            <w:r>
              <w:rPr>
                <w:noProof/>
              </w:rPr>
              <w:t>tības kritēriji un to atlase atklātā konkursā; un noteikumi par iespējamo atmaksājamo līdzekļu atkārtotu ieguldīšanu tiem pašiem politikas mērķiem.</w:t>
            </w:r>
          </w:p>
          <w:p w14:paraId="1460206B" w14:textId="7B7AE3EE" w:rsidR="00327FF1" w:rsidRDefault="00E406C7">
            <w:pPr>
              <w:pStyle w:val="P68B1DB1-Normal12"/>
              <w:spacing w:line="257" w:lineRule="auto"/>
              <w:rPr>
                <w:noProof/>
              </w:rPr>
            </w:pPr>
            <w:r>
              <w:rPr>
                <w:noProof/>
              </w:rPr>
              <w:t>Ieguldījumu politikā paredz, ka 50 % no fonda ir paredzēti energoefektivitātes pasākumiem.</w:t>
            </w:r>
          </w:p>
          <w:p w14:paraId="46C854C7" w14:textId="77777777" w:rsidR="00327FF1" w:rsidRDefault="00E406C7">
            <w:pPr>
              <w:pStyle w:val="P68B1DB1-Normal12"/>
              <w:spacing w:line="257" w:lineRule="auto"/>
              <w:rPr>
                <w:noProof/>
              </w:rPr>
            </w:pPr>
            <w:r>
              <w:rPr>
                <w:noProof/>
              </w:rPr>
              <w:t>Ieguldījumu polit</w:t>
            </w:r>
            <w:r>
              <w:rPr>
                <w:noProof/>
              </w:rPr>
              <w:t>ika ietver atlases kritērijus, lai nodrošinātu saskaņā ar šo pasākumu atbalstīto darījumu atbilstību Tehniskajiem norādījumiem “nenodari būtisku kaitējumu” (2021/C58/01), izmantojot ilgtspējas pārbaudi, izslēgšanas sarakstu un prasību par atbilstību attiec</w:t>
            </w:r>
            <w:r>
              <w:rPr>
                <w:noProof/>
              </w:rPr>
              <w:t>īgajiem ES un valsts tiesību aktiem vides jomā.</w:t>
            </w:r>
          </w:p>
        </w:tc>
      </w:tr>
      <w:tr w:rsidR="00327FF1" w14:paraId="121B83FE"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6F1FCCB" w14:textId="77777777" w:rsidR="00327FF1" w:rsidRDefault="00E406C7">
            <w:pPr>
              <w:pStyle w:val="P68B1DB1-Normal11"/>
              <w:jc w:val="center"/>
              <w:rPr>
                <w:noProof/>
              </w:rPr>
            </w:pPr>
            <w:r>
              <w:rPr>
                <w:noProof/>
              </w:rPr>
              <w:t>M1C3–23</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C7BECDC" w14:textId="450899BA" w:rsidR="00327FF1" w:rsidRDefault="00E406C7">
            <w:pPr>
              <w:pStyle w:val="P68B1DB1-Normal11"/>
              <w:jc w:val="center"/>
              <w:rPr>
                <w:noProof/>
                <w:szCs w:val="20"/>
              </w:rPr>
            </w:pPr>
            <w:r>
              <w:rPr>
                <w:noProof/>
              </w:rPr>
              <w:t>Ieguldījums 4.2.: Līdzekļi tūrisma uzņēmumu konkurētspējai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93A8A29" w14:textId="77777777" w:rsidR="00327FF1" w:rsidRDefault="00E406C7">
            <w:pPr>
              <w:pStyle w:val="P68B1DB1-Normal11"/>
              <w:jc w:val="center"/>
              <w:rPr>
                <w:noProof/>
                <w:szCs w:val="20"/>
              </w:rPr>
            </w:pPr>
            <w:r>
              <w:rPr>
                <w:noProof/>
              </w:rPr>
              <w:t>Atskaites punkts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5D349B8" w14:textId="77777777" w:rsidR="00327FF1" w:rsidRDefault="00E406C7">
            <w:pPr>
              <w:pStyle w:val="P68B1DB1-Normal11"/>
              <w:jc w:val="center"/>
              <w:rPr>
                <w:noProof/>
                <w:szCs w:val="20"/>
              </w:rPr>
            </w:pPr>
            <w:r>
              <w:rPr>
                <w:noProof/>
              </w:rPr>
              <w:t>Ieguldījumu politika Valsts tūrisma fondam,</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5BFF761" w14:textId="77777777" w:rsidR="00327FF1" w:rsidRDefault="00E406C7">
            <w:pPr>
              <w:pStyle w:val="P68B1DB1-Normal11"/>
              <w:jc w:val="center"/>
              <w:rPr>
                <w:noProof/>
              </w:rPr>
            </w:pPr>
            <w:r>
              <w:rPr>
                <w:noProof/>
              </w:rPr>
              <w:t>Ieguldījumu politikas pieņemšana</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820E6B" w14:textId="77777777" w:rsidR="00327FF1" w:rsidRDefault="00E406C7">
            <w:pPr>
              <w:pStyle w:val="P68B1DB1-Normal11"/>
              <w:jc w:val="center"/>
              <w:rPr>
                <w:noProof/>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86FF1F8" w14:textId="77777777" w:rsidR="00327FF1" w:rsidRDefault="00E406C7">
            <w:pPr>
              <w:pStyle w:val="P68B1DB1-Normal11"/>
              <w:jc w:val="center"/>
              <w:rPr>
                <w:noProof/>
              </w:rPr>
            </w:pPr>
            <w:r>
              <w:rPr>
                <w:noProof/>
              </w:rPr>
              <w:t>NEPIEMĒRO</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9A27B6D" w14:textId="77777777" w:rsidR="00327FF1" w:rsidRDefault="00E406C7">
            <w:pPr>
              <w:pStyle w:val="P68B1DB1-Normal11"/>
              <w:jc w:val="center"/>
              <w:rPr>
                <w:noProof/>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965F79E" w14:textId="77777777" w:rsidR="00327FF1" w:rsidRDefault="00E406C7">
            <w:pPr>
              <w:pStyle w:val="P68B1DB1-Normal11"/>
              <w:jc w:val="center"/>
              <w:rPr>
                <w:noProof/>
                <w:szCs w:val="20"/>
              </w:rPr>
            </w:pPr>
            <w:r>
              <w:rPr>
                <w:noProof/>
              </w:rPr>
              <w:t>4.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7D914E7" w14:textId="77777777" w:rsidR="00327FF1" w:rsidRDefault="00E406C7">
            <w:pPr>
              <w:pStyle w:val="P68B1DB1-Normal11"/>
              <w:jc w:val="center"/>
              <w:rPr>
                <w:noProof/>
                <w:szCs w:val="20"/>
              </w:rPr>
            </w:pPr>
            <w:r>
              <w:rPr>
                <w:noProof/>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03DE13" w14:textId="77777777" w:rsidR="00327FF1" w:rsidRDefault="00E406C7">
            <w:pPr>
              <w:pStyle w:val="P68B1DB1-Normal11"/>
              <w:rPr>
                <w:noProof/>
                <w:szCs w:val="20"/>
              </w:rPr>
            </w:pPr>
            <w:r>
              <w:rPr>
                <w:noProof/>
              </w:rPr>
              <w:t>Fonds ir paredzēts Itālijas nekustamā īpašuma iegādei, pārstrukturēšanai un pārkvalificēšanai, lai atbalstītu tūrisma attīstību krīzes visvairāk skartajos apgabalos vai nomaļos apgabalos (piekrastes apgabalos, mazās salās, īpaši nomaļos reģionos un lauku u</w:t>
            </w:r>
            <w:r>
              <w:rPr>
                <w:noProof/>
              </w:rPr>
              <w:t xml:space="preserve">n kalnu apvidos). </w:t>
            </w:r>
          </w:p>
          <w:p w14:paraId="556B57FE" w14:textId="77777777" w:rsidR="00327FF1" w:rsidRDefault="00E406C7">
            <w:pPr>
              <w:pStyle w:val="P68B1DB1-Normal11"/>
              <w:spacing w:line="257" w:lineRule="auto"/>
              <w:rPr>
                <w:noProof/>
                <w:szCs w:val="20"/>
              </w:rPr>
            </w:pPr>
            <w:r>
              <w:rPr>
                <w:noProof/>
              </w:rPr>
              <w:t>Ieguldījumu politika ietver atlases kritērijus, lai nodrošinātu saskaņā ar šo pasākumu atbalstīto darījumu atbilstību Tehniskajiem norādījumiem “nenodari būtisku kaitējumu” (2021/C58/01), izmantojot ilgtspējas pārbaudi, izslēgšanas sarak</w:t>
            </w:r>
            <w:r>
              <w:rPr>
                <w:noProof/>
              </w:rPr>
              <w:t>stu un prasību par atbilstību attiecīgajiem ES un valsts tiesību aktiem vides jomā.</w:t>
            </w:r>
          </w:p>
        </w:tc>
      </w:tr>
      <w:tr w:rsidR="00327FF1" w14:paraId="1292A384"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A35D26" w14:textId="77777777" w:rsidR="00327FF1" w:rsidRDefault="00E406C7">
            <w:pPr>
              <w:pStyle w:val="P68B1DB1-Normal11"/>
              <w:jc w:val="center"/>
              <w:rPr>
                <w:noProof/>
              </w:rPr>
            </w:pPr>
            <w:r>
              <w:rPr>
                <w:noProof/>
              </w:rPr>
              <w:t>M1C3–24</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A394548" w14:textId="75FE4C29" w:rsidR="00327FF1" w:rsidRDefault="00E406C7">
            <w:pPr>
              <w:pStyle w:val="P68B1DB1-Normal11"/>
              <w:jc w:val="center"/>
              <w:rPr>
                <w:noProof/>
                <w:szCs w:val="20"/>
              </w:rPr>
            </w:pPr>
            <w:r>
              <w:rPr>
                <w:noProof/>
              </w:rPr>
              <w:t>Investīcija 4.2. Fonds tūrisma uzņēmumu konkurētspējai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223CA21" w14:textId="77777777" w:rsidR="00327FF1" w:rsidRDefault="00E406C7">
            <w:pPr>
              <w:pStyle w:val="P68B1DB1-Normal11"/>
              <w:jc w:val="center"/>
              <w:rPr>
                <w:noProof/>
                <w:szCs w:val="20"/>
              </w:rPr>
            </w:pPr>
            <w:r>
              <w:rPr>
                <w:noProof/>
              </w:rPr>
              <w:t>Atskaites punkts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20E07D8" w14:textId="77777777" w:rsidR="00327FF1" w:rsidRDefault="00E406C7">
            <w:pPr>
              <w:pStyle w:val="P68B1DB1-Normal11"/>
              <w:jc w:val="center"/>
              <w:rPr>
                <w:noProof/>
                <w:szCs w:val="20"/>
              </w:rPr>
            </w:pPr>
            <w:r>
              <w:rPr>
                <w:noProof/>
              </w:rPr>
              <w:t>Ieguldījumu politika attiecībā uz: MVU garantiju fonds,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F4F9141" w14:textId="77777777" w:rsidR="00327FF1" w:rsidRDefault="00E406C7">
            <w:pPr>
              <w:pStyle w:val="P68B1DB1-Normal11"/>
              <w:jc w:val="center"/>
              <w:rPr>
                <w:noProof/>
              </w:rPr>
            </w:pPr>
            <w:r>
              <w:rPr>
                <w:noProof/>
              </w:rPr>
              <w:t>Ieguldījumu politikas pieņemšana</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A8455C3" w14:textId="77777777" w:rsidR="00327FF1" w:rsidRDefault="00E406C7">
            <w:pPr>
              <w:pStyle w:val="P68B1DB1-Normal11"/>
              <w:jc w:val="center"/>
              <w:rPr>
                <w:noProof/>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1DB0105" w14:textId="77777777" w:rsidR="00327FF1" w:rsidRDefault="00E406C7">
            <w:pPr>
              <w:pStyle w:val="P68B1DB1-Normal11"/>
              <w:jc w:val="center"/>
              <w:rPr>
                <w:noProof/>
              </w:rPr>
            </w:pPr>
            <w:r>
              <w:rPr>
                <w:noProof/>
              </w:rPr>
              <w:t>NEPIEMĒRO</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9C2D4DC" w14:textId="77777777" w:rsidR="00327FF1" w:rsidRDefault="00E406C7">
            <w:pPr>
              <w:pStyle w:val="P68B1DB1-Normal11"/>
              <w:jc w:val="center"/>
              <w:rPr>
                <w:noProof/>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26CF707" w14:textId="77777777" w:rsidR="00327FF1" w:rsidRDefault="00E406C7">
            <w:pPr>
              <w:pStyle w:val="P68B1DB1-Normal11"/>
              <w:jc w:val="center"/>
              <w:rPr>
                <w:noProof/>
                <w:szCs w:val="20"/>
              </w:rPr>
            </w:pPr>
            <w:r>
              <w:rPr>
                <w:noProof/>
              </w:rPr>
              <w:t>4.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4DB217" w14:textId="77777777" w:rsidR="00327FF1" w:rsidRDefault="00E406C7">
            <w:pPr>
              <w:pStyle w:val="P68B1DB1-Normal11"/>
              <w:jc w:val="center"/>
              <w:rPr>
                <w:noProof/>
                <w:szCs w:val="20"/>
              </w:rPr>
            </w:pPr>
            <w:r>
              <w:rPr>
                <w:noProof/>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4B60196" w14:textId="34872376" w:rsidR="00327FF1" w:rsidRDefault="00E406C7">
            <w:pPr>
              <w:pStyle w:val="P68B1DB1-Normal11"/>
              <w:rPr>
                <w:noProof/>
                <w:szCs w:val="20"/>
              </w:rPr>
            </w:pPr>
            <w:r>
              <w:rPr>
                <w:noProof/>
              </w:rPr>
              <w:t>Ieguldījumu politikā paredz, ka 50 % no fonda ir paredzēti energoefektivitātes pasākumiem.</w:t>
            </w:r>
          </w:p>
          <w:p w14:paraId="25679A2E" w14:textId="77777777" w:rsidR="00327FF1" w:rsidRDefault="00E406C7">
            <w:pPr>
              <w:pStyle w:val="P68B1DB1-Normal11"/>
              <w:spacing w:line="257" w:lineRule="auto"/>
              <w:rPr>
                <w:noProof/>
                <w:szCs w:val="20"/>
              </w:rPr>
            </w:pPr>
            <w:r>
              <w:rPr>
                <w:noProof/>
              </w:rPr>
              <w:t>Ieguldījumu politika ietver atlases kritērijus, lai nodrošinātu saskaņā ar šo pasākumu atbalstīto darījumu atbilstību Tehn</w:t>
            </w:r>
            <w:r>
              <w:rPr>
                <w:noProof/>
              </w:rPr>
              <w:t>iskajiem norādījumiem “nenodari būtisku kaitējumu” (2021/C58/01), izmantojot ilgtspējas pārbaudi, izslēgšanas sarakstu un prasību par atbilstību attiecīgajiem ES un valsts tiesību aktiem vides jomā.</w:t>
            </w:r>
          </w:p>
        </w:tc>
      </w:tr>
      <w:tr w:rsidR="00327FF1" w14:paraId="5EE8F5C9"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E97B966" w14:textId="77777777" w:rsidR="00327FF1" w:rsidRDefault="00E406C7">
            <w:pPr>
              <w:pStyle w:val="P68B1DB1-Normal11"/>
              <w:jc w:val="center"/>
              <w:rPr>
                <w:noProof/>
              </w:rPr>
            </w:pPr>
            <w:r>
              <w:rPr>
                <w:noProof/>
              </w:rPr>
              <w:t>M1C3–25</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B04B9B" w14:textId="5B7A3998" w:rsidR="00327FF1" w:rsidRDefault="00E406C7">
            <w:pPr>
              <w:pStyle w:val="P68B1DB1-Normal11"/>
              <w:jc w:val="center"/>
              <w:rPr>
                <w:noProof/>
                <w:szCs w:val="20"/>
              </w:rPr>
            </w:pPr>
            <w:r>
              <w:rPr>
                <w:noProof/>
              </w:rPr>
              <w:t xml:space="preserve">Ieguldījums 4.2.: Līdzekļi tūrisma uzņēmumu </w:t>
            </w:r>
            <w:r>
              <w:rPr>
                <w:noProof/>
              </w:rPr>
              <w:t>konkurētspējai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515313" w14:textId="77777777" w:rsidR="00327FF1" w:rsidRDefault="00E406C7">
            <w:pPr>
              <w:pStyle w:val="P68B1DB1-Normal11"/>
              <w:jc w:val="center"/>
              <w:rPr>
                <w:noProof/>
                <w:szCs w:val="20"/>
              </w:rPr>
            </w:pPr>
            <w:r>
              <w:rPr>
                <w:noProof/>
              </w:rPr>
              <w:t>Atskaites punkts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ECCA9B" w14:textId="77777777" w:rsidR="00327FF1" w:rsidRDefault="00E406C7">
            <w:pPr>
              <w:pStyle w:val="P68B1DB1-Normal11"/>
              <w:jc w:val="center"/>
              <w:rPr>
                <w:noProof/>
                <w:szCs w:val="20"/>
              </w:rPr>
            </w:pPr>
            <w:r>
              <w:rPr>
                <w:noProof/>
              </w:rPr>
              <w:t>Fondo Rotativo ieguldījumu politika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02579D1" w14:textId="77777777" w:rsidR="00327FF1" w:rsidRDefault="00E406C7">
            <w:pPr>
              <w:pStyle w:val="P68B1DB1-Normal11"/>
              <w:jc w:val="center"/>
              <w:rPr>
                <w:noProof/>
              </w:rPr>
            </w:pPr>
            <w:r>
              <w:rPr>
                <w:noProof/>
              </w:rPr>
              <w:t>Ieguldījumu politikas pieņemšana</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8BF3B24" w14:textId="77777777" w:rsidR="00327FF1" w:rsidRDefault="00E406C7">
            <w:pPr>
              <w:pStyle w:val="P68B1DB1-Normal11"/>
              <w:jc w:val="center"/>
              <w:rPr>
                <w:noProof/>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B4CA359" w14:textId="77777777" w:rsidR="00327FF1" w:rsidRDefault="00E406C7">
            <w:pPr>
              <w:pStyle w:val="P68B1DB1-Normal11"/>
              <w:jc w:val="center"/>
              <w:rPr>
                <w:noProof/>
              </w:rPr>
            </w:pPr>
            <w:r>
              <w:rPr>
                <w:noProof/>
              </w:rPr>
              <w:t>NEPIEMĒRO</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239447" w14:textId="77777777" w:rsidR="00327FF1" w:rsidRDefault="00E406C7">
            <w:pPr>
              <w:pStyle w:val="P68B1DB1-Normal11"/>
              <w:jc w:val="center"/>
              <w:rPr>
                <w:noProof/>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FC46E0" w14:textId="77777777" w:rsidR="00327FF1" w:rsidRDefault="00E406C7">
            <w:pPr>
              <w:pStyle w:val="P68B1DB1-Normal11"/>
              <w:jc w:val="center"/>
              <w:rPr>
                <w:noProof/>
                <w:szCs w:val="20"/>
              </w:rPr>
            </w:pPr>
            <w:r>
              <w:rPr>
                <w:noProof/>
              </w:rPr>
              <w:t>4.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37EC79" w14:textId="77777777" w:rsidR="00327FF1" w:rsidRDefault="00E406C7">
            <w:pPr>
              <w:pStyle w:val="P68B1DB1-Normal11"/>
              <w:jc w:val="center"/>
              <w:rPr>
                <w:noProof/>
                <w:szCs w:val="20"/>
              </w:rPr>
            </w:pPr>
            <w:r>
              <w:rPr>
                <w:noProof/>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677A36B" w14:textId="3F684567" w:rsidR="00327FF1" w:rsidRDefault="00E406C7">
            <w:pPr>
              <w:pStyle w:val="P68B1DB1-Normal11"/>
              <w:rPr>
                <w:noProof/>
                <w:szCs w:val="20"/>
              </w:rPr>
            </w:pPr>
            <w:r>
              <w:rPr>
                <w:noProof/>
              </w:rPr>
              <w:t>Ieguldījumu politikā paredz, ka 50 % no fonda ir paredzēti energoefektivitātes pasākumiem.</w:t>
            </w:r>
          </w:p>
          <w:p w14:paraId="56C501F5" w14:textId="77777777" w:rsidR="00327FF1" w:rsidRDefault="00E406C7">
            <w:pPr>
              <w:pStyle w:val="P68B1DB1-Normal11"/>
              <w:spacing w:line="257" w:lineRule="auto"/>
              <w:rPr>
                <w:noProof/>
                <w:szCs w:val="20"/>
              </w:rPr>
            </w:pPr>
            <w:r>
              <w:rPr>
                <w:noProof/>
              </w:rPr>
              <w:t xml:space="preserve">Ieguldījumu politika </w:t>
            </w:r>
            <w:r>
              <w:rPr>
                <w:noProof/>
              </w:rPr>
              <w:t>ietver atlases kritērijus, lai nodrošinātu saskaņā ar šo pasākumu atbalstīto darījumu atbilstību Tehniskajiem norādījumiem “nenodari būtisku kaitējumu” (2021/C58/01), izmantojot ilgtspējas pārbaudi, izslēgšanas sarakstu un prasību par atbilstību attiecīgaj</w:t>
            </w:r>
            <w:r>
              <w:rPr>
                <w:noProof/>
              </w:rPr>
              <w:t>iem ES un valsts tiesību aktiem vides jomā.</w:t>
            </w:r>
          </w:p>
        </w:tc>
      </w:tr>
      <w:tr w:rsidR="00327FF1" w14:paraId="573441B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A29FB6F" w14:textId="77777777" w:rsidR="00327FF1" w:rsidRDefault="00E406C7">
            <w:pPr>
              <w:pStyle w:val="P68B1DB1-Normal11"/>
              <w:jc w:val="center"/>
              <w:rPr>
                <w:noProof/>
              </w:rPr>
            </w:pPr>
            <w:r>
              <w:rPr>
                <w:noProof/>
              </w:rPr>
              <w:t>M1C3–26</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79F9BE1" w14:textId="59455459" w:rsidR="00327FF1" w:rsidRDefault="00E406C7">
            <w:pPr>
              <w:pStyle w:val="P68B1DB1-Normal11"/>
              <w:jc w:val="center"/>
              <w:rPr>
                <w:noProof/>
                <w:szCs w:val="20"/>
              </w:rPr>
            </w:pPr>
            <w:r>
              <w:rPr>
                <w:noProof/>
              </w:rPr>
              <w:t>Ieguldījums 4.2.: Līdzekļi tūrisma uzņēmumu konkurētspējai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2BD650" w14:textId="77777777" w:rsidR="00327FF1" w:rsidRDefault="00E406C7">
            <w:pPr>
              <w:pStyle w:val="P68B1DB1-Normal11"/>
              <w:jc w:val="center"/>
              <w:rPr>
                <w:noProof/>
                <w:szCs w:val="20"/>
              </w:rPr>
            </w:pPr>
            <w:r>
              <w:rPr>
                <w:noProof/>
              </w:rPr>
              <w:t>Atskaites punkts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9C99127" w14:textId="77777777" w:rsidR="00327FF1" w:rsidRDefault="00E406C7">
            <w:pPr>
              <w:pStyle w:val="P68B1DB1-Normal11"/>
              <w:jc w:val="center"/>
              <w:rPr>
                <w:noProof/>
                <w:szCs w:val="20"/>
              </w:rPr>
            </w:pPr>
            <w:r>
              <w:rPr>
                <w:noProof/>
              </w:rPr>
              <w:t>Īstenošanas dekrēta stāšanās spēkā attiecībā uz nodokļa atlaidi izmitināšanas vietu atjaunošanai.</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D27A0E" w14:textId="77777777" w:rsidR="00327FF1" w:rsidRDefault="00E406C7">
            <w:pPr>
              <w:pStyle w:val="P68B1DB1-Normal11"/>
              <w:jc w:val="center"/>
              <w:rPr>
                <w:noProof/>
              </w:rPr>
            </w:pPr>
            <w:r>
              <w:rPr>
                <w:noProof/>
              </w:rPr>
              <w:t xml:space="preserve">Likuma noteikums, kas norāda </w:t>
            </w:r>
            <w:r>
              <w:rPr>
                <w:noProof/>
              </w:rPr>
              <w:t>uz budžeta likuma stāšanos spēkā, kas ļauj veikt nodokļu atlaides, un noteikums saistītajos īstenošanas aktos, kas norāda uz to stāšanos spēkā</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A152B6" w14:textId="77777777" w:rsidR="00327FF1" w:rsidRDefault="00E406C7">
            <w:pPr>
              <w:pStyle w:val="P68B1DB1-Normal11"/>
              <w:jc w:val="center"/>
              <w:rPr>
                <w:noProof/>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CEEF1FA" w14:textId="77777777" w:rsidR="00327FF1" w:rsidRDefault="00E406C7">
            <w:pPr>
              <w:pStyle w:val="P68B1DB1-Normal11"/>
              <w:jc w:val="center"/>
              <w:rPr>
                <w:noProof/>
              </w:rPr>
            </w:pPr>
            <w:r>
              <w:rPr>
                <w:noProof/>
              </w:rPr>
              <w:t>NEPIEMĒRO</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5C5BFD7" w14:textId="77777777" w:rsidR="00327FF1" w:rsidRDefault="00E406C7">
            <w:pPr>
              <w:pStyle w:val="P68B1DB1-Normal11"/>
              <w:jc w:val="center"/>
              <w:rPr>
                <w:noProof/>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5D6189" w14:textId="77777777" w:rsidR="00327FF1" w:rsidRDefault="00E406C7">
            <w:pPr>
              <w:pStyle w:val="P68B1DB1-Normal11"/>
              <w:jc w:val="center"/>
              <w:rPr>
                <w:noProof/>
                <w:szCs w:val="20"/>
              </w:rPr>
            </w:pPr>
            <w:r>
              <w:rPr>
                <w:noProof/>
              </w:rPr>
              <w:t>4.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F73BB15" w14:textId="77777777" w:rsidR="00327FF1" w:rsidRDefault="00E406C7">
            <w:pPr>
              <w:pStyle w:val="P68B1DB1-Normal11"/>
              <w:jc w:val="center"/>
              <w:rPr>
                <w:noProof/>
                <w:szCs w:val="20"/>
              </w:rPr>
            </w:pPr>
            <w:r>
              <w:rPr>
                <w:noProof/>
              </w:rPr>
              <w:t>2021</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5DCE733" w14:textId="77777777" w:rsidR="00327FF1" w:rsidRDefault="00E406C7">
            <w:pPr>
              <w:pStyle w:val="P68B1DB1-Normal11"/>
              <w:rPr>
                <w:noProof/>
                <w:szCs w:val="20"/>
              </w:rPr>
            </w:pPr>
            <w:r>
              <w:rPr>
                <w:noProof/>
              </w:rPr>
              <w:t xml:space="preserve">Atsauces tiesību akti nodokļu atlaides piešķiršanai ir 2014. gada 31. </w:t>
            </w:r>
            <w:r>
              <w:rPr>
                <w:noProof/>
              </w:rPr>
              <w:t>maija Likums Nr. 83, ar ko tika ieviesta nodokļu atlaides atzīšana tūristu mītņu pārveidošanas intervencēm.</w:t>
            </w:r>
          </w:p>
          <w:p w14:paraId="169E6FD0" w14:textId="77777777" w:rsidR="00327FF1" w:rsidRDefault="00E406C7">
            <w:pPr>
              <w:pStyle w:val="P68B1DB1-Normal11"/>
              <w:spacing w:line="257" w:lineRule="auto"/>
              <w:rPr>
                <w:noProof/>
                <w:szCs w:val="20"/>
              </w:rPr>
            </w:pPr>
            <w:r>
              <w:rPr>
                <w:noProof/>
              </w:rPr>
              <w:t xml:space="preserve">Atbalstīto aktīvu/darbību un labuma guvēju atlases/atbilstības kritēriji attiecībā uz atbilstību NBK tehniskajiem norādījumiem (2021/C58/01), kuros </w:t>
            </w:r>
            <w:r>
              <w:rPr>
                <w:noProof/>
              </w:rPr>
              <w:t>prasīts izmantot vismaz izslēgšanas sarakstu un atbalstīto aktīvu/darbību un saņēmēju atbilstību attiecīgajiem ES un valsts vides acquis un nodrošināt atbilstību.</w:t>
            </w:r>
          </w:p>
        </w:tc>
      </w:tr>
      <w:tr w:rsidR="00327FF1" w14:paraId="7488B06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C94047" w14:textId="77777777" w:rsidR="00327FF1" w:rsidRDefault="00E406C7">
            <w:pPr>
              <w:pStyle w:val="P68B1DB1-Normal11"/>
              <w:jc w:val="center"/>
              <w:rPr>
                <w:noProof/>
              </w:rPr>
            </w:pPr>
            <w:r>
              <w:rPr>
                <w:noProof/>
              </w:rPr>
              <w:t>M1C3–27</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5B3ABDF" w14:textId="77777777" w:rsidR="00327FF1" w:rsidRDefault="00E406C7">
            <w:pPr>
              <w:pStyle w:val="P68B1DB1-Normal11"/>
              <w:jc w:val="center"/>
              <w:rPr>
                <w:noProof/>
                <w:szCs w:val="20"/>
              </w:rPr>
            </w:pPr>
            <w:r>
              <w:rPr>
                <w:noProof/>
              </w:rPr>
              <w:t>Ieguldījums — 4.3. Caput Mundi-Next Generation EU tūrisma lieliskiem pasākumiem</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8D5802D" w14:textId="77777777" w:rsidR="00327FF1" w:rsidRDefault="00E406C7">
            <w:pPr>
              <w:pStyle w:val="P68B1DB1-Normal11"/>
              <w:jc w:val="center"/>
              <w:rPr>
                <w:noProof/>
                <w:szCs w:val="20"/>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5B63FB6" w14:textId="68DA3C5F" w:rsidR="00327FF1" w:rsidRDefault="00E406C7">
            <w:pPr>
              <w:pStyle w:val="P68B1DB1-Normal11"/>
              <w:jc w:val="center"/>
              <w:rPr>
                <w:noProof/>
                <w:szCs w:val="20"/>
              </w:rPr>
            </w:pPr>
            <w:r>
              <w:rPr>
                <w:noProof/>
              </w:rPr>
              <w:t>To kultūras un tūrisma objektu skaits, kuru pārkvalificēšana sasniedza vidēji 50 % no Stato Avanzamento Lavori (SAL) (pirmā partija)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BB6EB95" w14:textId="77777777" w:rsidR="00327FF1" w:rsidRDefault="00E406C7">
            <w:pPr>
              <w:pStyle w:val="P68B1DB1-Normal11"/>
              <w:jc w:val="center"/>
              <w:rPr>
                <w:noProof/>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3786B08" w14:textId="77777777" w:rsidR="00327FF1" w:rsidRDefault="00E406C7">
            <w:pPr>
              <w:pStyle w:val="P68B1DB1-Normal11"/>
              <w:jc w:val="center"/>
              <w:rPr>
                <w:noProof/>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AEB25A" w14:textId="77777777" w:rsidR="00327FF1" w:rsidRDefault="00E406C7">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1FCF31F" w14:textId="77777777" w:rsidR="00327FF1" w:rsidRDefault="00E406C7">
            <w:pPr>
              <w:pStyle w:val="P68B1DB1-Normal11"/>
              <w:jc w:val="center"/>
              <w:rPr>
                <w:noProof/>
              </w:rPr>
            </w:pPr>
            <w:r>
              <w:rPr>
                <w:noProof/>
              </w:rPr>
              <w:t>100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007D098" w14:textId="77777777" w:rsidR="00327FF1" w:rsidRDefault="00E406C7">
            <w:pPr>
              <w:pStyle w:val="P68B1DB1-Normal11"/>
              <w:jc w:val="center"/>
              <w:rPr>
                <w:noProof/>
                <w:szCs w:val="20"/>
              </w:rPr>
            </w:pPr>
            <w:r>
              <w:rPr>
                <w:noProof/>
              </w:rPr>
              <w:t>4.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6DA1317" w14:textId="77777777" w:rsidR="00327FF1" w:rsidRDefault="00E406C7">
            <w:pPr>
              <w:pStyle w:val="P68B1DB1-Normal11"/>
              <w:jc w:val="center"/>
              <w:rPr>
                <w:noProof/>
                <w:szCs w:val="20"/>
              </w:rPr>
            </w:pPr>
            <w:r>
              <w:rPr>
                <w:noProof/>
              </w:rPr>
              <w:t>2024</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1B11DA" w14:textId="77777777" w:rsidR="00327FF1" w:rsidRDefault="00E406C7">
            <w:pPr>
              <w:pStyle w:val="P68B1DB1-Normal12"/>
              <w:spacing w:line="257" w:lineRule="auto"/>
              <w:rPr>
                <w:noProof/>
              </w:rPr>
            </w:pPr>
            <w:r>
              <w:rPr>
                <w:noProof/>
              </w:rPr>
              <w:t xml:space="preserve">Mērķis tiek sasniegts, ja 100 kultūras un tūrisma objektu vidējais </w:t>
            </w:r>
            <w:r>
              <w:rPr>
                <w:noProof/>
              </w:rPr>
              <w:t>pārkvalifikācijas progress sasniedz 50 % no valsts Avanzamento Lavori (SAL) norādītā virzības līmeņa.</w:t>
            </w:r>
          </w:p>
        </w:tc>
      </w:tr>
      <w:tr w:rsidR="00327FF1" w14:paraId="37F831A3"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AE397CA" w14:textId="77777777" w:rsidR="00327FF1" w:rsidRDefault="00E406C7">
            <w:pPr>
              <w:pStyle w:val="P68B1DB1-Normal11"/>
              <w:jc w:val="center"/>
              <w:rPr>
                <w:noProof/>
              </w:rPr>
            </w:pPr>
            <w:r>
              <w:rPr>
                <w:noProof/>
              </w:rPr>
              <w:t>M1C3–28</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42E158" w14:textId="53C1D118" w:rsidR="00327FF1" w:rsidRDefault="00E406C7">
            <w:pPr>
              <w:pStyle w:val="P68B1DB1-Normal11"/>
              <w:jc w:val="center"/>
              <w:rPr>
                <w:noProof/>
                <w:szCs w:val="20"/>
              </w:rPr>
            </w:pPr>
            <w:r>
              <w:rPr>
                <w:noProof/>
              </w:rPr>
              <w:t>Ieguldījums 4.2.: Līdzekļi tūrisma uzņēmumu konkurētspējai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CBD951" w14:textId="77777777" w:rsidR="00327FF1" w:rsidRDefault="00E406C7">
            <w:pPr>
              <w:pStyle w:val="P68B1DB1-Normal11"/>
              <w:jc w:val="center"/>
              <w:rPr>
                <w:noProof/>
                <w:szCs w:val="20"/>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F5CC4ED" w14:textId="77777777" w:rsidR="00327FF1" w:rsidRDefault="00E406C7">
            <w:pPr>
              <w:pStyle w:val="P68B1DB1-Normal12"/>
              <w:jc w:val="center"/>
              <w:rPr>
                <w:noProof/>
              </w:rPr>
            </w:pPr>
            <w:r>
              <w:rPr>
                <w:noProof/>
              </w:rPr>
              <w:t xml:space="preserve">To uzņēmumu skaits, kuriem piešķirta dotācija un/vai nodokļu kredīts </w:t>
            </w:r>
            <w:r>
              <w:rPr>
                <w:noProof/>
              </w:rPr>
              <w:t>infrastruktūrai un/vai pakalpojumiem</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4FBA365" w14:textId="77777777" w:rsidR="00327FF1" w:rsidRDefault="00E406C7">
            <w:pPr>
              <w:pStyle w:val="P68B1DB1-Normal11"/>
              <w:jc w:val="center"/>
              <w:rPr>
                <w:noProof/>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4B837BA" w14:textId="77777777" w:rsidR="00327FF1" w:rsidRDefault="00E406C7">
            <w:pPr>
              <w:pStyle w:val="P68B1DB1-Normal11"/>
              <w:jc w:val="center"/>
              <w:rPr>
                <w:noProof/>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A3EB2D7" w14:textId="77777777" w:rsidR="00327FF1" w:rsidRDefault="00E406C7">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25F9488" w14:textId="77777777" w:rsidR="00327FF1" w:rsidRDefault="00E406C7">
            <w:pPr>
              <w:pStyle w:val="P68B1DB1-Normal11"/>
              <w:jc w:val="center"/>
              <w:rPr>
                <w:noProof/>
              </w:rPr>
            </w:pPr>
            <w:r>
              <w:rPr>
                <w:noProof/>
              </w:rPr>
              <w:t>2 700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D2089C" w14:textId="77777777" w:rsidR="00327FF1" w:rsidRDefault="00E406C7">
            <w:pPr>
              <w:pStyle w:val="P68B1DB1-Normal11"/>
              <w:jc w:val="center"/>
              <w:rPr>
                <w:noProof/>
                <w:szCs w:val="20"/>
              </w:rPr>
            </w:pPr>
            <w:r>
              <w:rPr>
                <w:noProof/>
              </w:rPr>
              <w:t>4.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A13565" w14:textId="77777777" w:rsidR="00327FF1" w:rsidRDefault="00E406C7">
            <w:pPr>
              <w:pStyle w:val="P68B1DB1-Normal11"/>
              <w:jc w:val="center"/>
              <w:rPr>
                <w:noProof/>
                <w:szCs w:val="20"/>
              </w:rPr>
            </w:pPr>
            <w:r>
              <w:rPr>
                <w:noProof/>
              </w:rPr>
              <w:t>2025</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C613341" w14:textId="7418F39F" w:rsidR="00327FF1" w:rsidRDefault="00E406C7">
            <w:pPr>
              <w:pStyle w:val="P68B1DB1-Normal12"/>
              <w:rPr>
                <w:noProof/>
              </w:rPr>
            </w:pPr>
            <w:r>
              <w:rPr>
                <w:noProof/>
              </w:rPr>
              <w:t xml:space="preserve">Dekrēts(-i), ar ko piešķir nodokļu kredītu un/vai dotāciju vismaz 2700 uzņēmumiem, kuri ir ieguldījuši infrastruktūrā un/vai pakalpojumos, par ko liecina maksājuma pieprasījuma </w:t>
            </w:r>
            <w:r>
              <w:rPr>
                <w:noProof/>
              </w:rPr>
              <w:t>pieņemšana.</w:t>
            </w:r>
          </w:p>
        </w:tc>
      </w:tr>
      <w:tr w:rsidR="00327FF1" w14:paraId="22C0C9B4"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94F8C8" w14:textId="77777777" w:rsidR="00327FF1" w:rsidRDefault="00E406C7">
            <w:pPr>
              <w:pStyle w:val="P68B1DB1-Normal11"/>
              <w:jc w:val="center"/>
              <w:rPr>
                <w:noProof/>
              </w:rPr>
            </w:pPr>
            <w:r>
              <w:rPr>
                <w:noProof/>
              </w:rPr>
              <w:t>M1C3–29</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18DDD5" w14:textId="7C471C29" w:rsidR="00327FF1" w:rsidRDefault="00E406C7">
            <w:pPr>
              <w:pStyle w:val="P68B1DB1-Normal11"/>
              <w:jc w:val="center"/>
              <w:rPr>
                <w:noProof/>
                <w:szCs w:val="20"/>
              </w:rPr>
            </w:pPr>
            <w:r>
              <w:rPr>
                <w:noProof/>
              </w:rPr>
              <w:t>Ieguldījums 4.2.: Līdzekļi tūrisma uzņēmumu konkurētspējai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0311AB" w14:textId="77777777" w:rsidR="00327FF1" w:rsidRDefault="00E406C7">
            <w:pPr>
              <w:pStyle w:val="P68B1DB1-Normal11"/>
              <w:jc w:val="center"/>
              <w:rPr>
                <w:noProof/>
                <w:szCs w:val="20"/>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C98611" w14:textId="77777777" w:rsidR="00327FF1" w:rsidRDefault="00E406C7">
            <w:pPr>
              <w:pStyle w:val="P68B1DB1-Normal11"/>
              <w:jc w:val="center"/>
              <w:rPr>
                <w:noProof/>
                <w:szCs w:val="20"/>
              </w:rPr>
            </w:pPr>
            <w:r>
              <w:rPr>
                <w:noProof/>
              </w:rPr>
              <w:t>No Eiropas Investīciju bankas tematiskajiem fondiem atbalstāmo tūrisma projektu skaits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82915CF" w14:textId="77777777" w:rsidR="00327FF1" w:rsidRDefault="00E406C7">
            <w:pPr>
              <w:pStyle w:val="P68B1DB1-Normal11"/>
              <w:jc w:val="center"/>
              <w:rPr>
                <w:noProof/>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B36AC05" w14:textId="77777777" w:rsidR="00327FF1" w:rsidRDefault="00E406C7">
            <w:pPr>
              <w:pStyle w:val="P68B1DB1-Normal11"/>
              <w:jc w:val="center"/>
              <w:rPr>
                <w:noProof/>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B72258A" w14:textId="77777777" w:rsidR="00327FF1" w:rsidRDefault="00E406C7">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5170449" w14:textId="77777777" w:rsidR="00327FF1" w:rsidRDefault="00E406C7">
            <w:pPr>
              <w:pStyle w:val="P68B1DB1-Normal11"/>
              <w:jc w:val="center"/>
              <w:rPr>
                <w:noProof/>
              </w:rPr>
            </w:pPr>
            <w:r>
              <w:rPr>
                <w:noProof/>
              </w:rPr>
              <w:t>70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0C469A" w14:textId="77777777" w:rsidR="00327FF1" w:rsidRDefault="00E406C7">
            <w:pPr>
              <w:pStyle w:val="P68B1DB1-Normal11"/>
              <w:jc w:val="center"/>
              <w:rPr>
                <w:noProof/>
                <w:szCs w:val="20"/>
              </w:rPr>
            </w:pPr>
            <w:r>
              <w:rPr>
                <w:noProof/>
              </w:rPr>
              <w:t>2.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4FD52DE" w14:textId="77777777" w:rsidR="00327FF1" w:rsidRDefault="00E406C7">
            <w:pPr>
              <w:pStyle w:val="P68B1DB1-Normal11"/>
              <w:jc w:val="center"/>
              <w:rPr>
                <w:noProof/>
                <w:szCs w:val="20"/>
              </w:rPr>
            </w:pPr>
            <w:r>
              <w:rPr>
                <w:noProof/>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560EF14" w14:textId="77777777" w:rsidR="00327FF1" w:rsidRDefault="00E406C7">
            <w:pPr>
              <w:pStyle w:val="P68B1DB1-Normal12"/>
              <w:spacing w:line="257" w:lineRule="auto"/>
              <w:rPr>
                <w:noProof/>
              </w:rPr>
            </w:pPr>
            <w:r>
              <w:rPr>
                <w:noProof/>
              </w:rPr>
              <w:t xml:space="preserve">Izraudzītie finanšu starpnieki ir noslēguši </w:t>
            </w:r>
            <w:r>
              <w:rPr>
                <w:noProof/>
              </w:rPr>
              <w:t>juridiskus finansēšanas nolīgumus ar galīgajiem saņēmējiem par vismaz 70 tūrisma projektu atbalstu, izmantojot EIB tematiskos fondus.</w:t>
            </w:r>
          </w:p>
        </w:tc>
      </w:tr>
      <w:tr w:rsidR="00327FF1" w14:paraId="40FA4892"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06C68C" w14:textId="77777777" w:rsidR="00327FF1" w:rsidRDefault="00E406C7">
            <w:pPr>
              <w:pStyle w:val="P68B1DB1-Normal11"/>
              <w:jc w:val="center"/>
              <w:rPr>
                <w:noProof/>
              </w:rPr>
            </w:pPr>
            <w:r>
              <w:rPr>
                <w:noProof/>
              </w:rPr>
              <w:t>M1C3–30</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3FBBFA0" w14:textId="4F104568" w:rsidR="00327FF1" w:rsidRDefault="00E406C7">
            <w:pPr>
              <w:pStyle w:val="P68B1DB1-Normal11"/>
              <w:jc w:val="center"/>
              <w:rPr>
                <w:noProof/>
                <w:szCs w:val="20"/>
              </w:rPr>
            </w:pPr>
            <w:r>
              <w:rPr>
                <w:noProof/>
              </w:rPr>
              <w:t>Ieguldījums 4.2.: Līdzekļi tūrisma konkurētspējai</w:t>
            </w:r>
          </w:p>
          <w:p w14:paraId="1BF34401" w14:textId="77777777" w:rsidR="00327FF1" w:rsidRDefault="00E406C7">
            <w:pPr>
              <w:pStyle w:val="P68B1DB1-Normal11"/>
              <w:jc w:val="center"/>
              <w:rPr>
                <w:noProof/>
                <w:szCs w:val="20"/>
              </w:rPr>
            </w:pPr>
            <w:r>
              <w:rPr>
                <w:noProof/>
              </w:rPr>
              <w:t>uzņēmumi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849CF9" w14:textId="77777777" w:rsidR="00327FF1" w:rsidRDefault="00E406C7">
            <w:pPr>
              <w:pStyle w:val="P68B1DB1-Normal11"/>
              <w:jc w:val="center"/>
              <w:rPr>
                <w:noProof/>
                <w:szCs w:val="20"/>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086E8A8" w14:textId="77777777" w:rsidR="00327FF1" w:rsidRDefault="00E406C7">
            <w:pPr>
              <w:pStyle w:val="P68B1DB1-Normal11"/>
              <w:jc w:val="center"/>
              <w:rPr>
                <w:noProof/>
                <w:szCs w:val="20"/>
              </w:rPr>
            </w:pPr>
            <w:r>
              <w:rPr>
                <w:noProof/>
              </w:rPr>
              <w:t>Eiropas Investīciju bankas tematiskie fondi:</w:t>
            </w:r>
          </w:p>
          <w:p w14:paraId="72983398" w14:textId="4B286C2E" w:rsidR="00327FF1" w:rsidRDefault="00E406C7">
            <w:pPr>
              <w:pStyle w:val="P68B1DB1-Normal44"/>
              <w:jc w:val="center"/>
              <w:rPr>
                <w:rFonts w:hAnsi="Arial Narrow"/>
                <w:noProof/>
                <w:szCs w:val="20"/>
              </w:rPr>
            </w:pPr>
            <w:r>
              <w:rPr>
                <w:noProof/>
              </w:rPr>
              <w:t>Fonda kop</w:t>
            </w:r>
            <w:r>
              <w:rPr>
                <w:noProof/>
              </w:rPr>
              <w:t>ē</w:t>
            </w:r>
            <w:r>
              <w:rPr>
                <w:noProof/>
              </w:rPr>
              <w:t>j</w:t>
            </w:r>
            <w:r>
              <w:rPr>
                <w:noProof/>
              </w:rPr>
              <w:t>ā</w:t>
            </w:r>
            <w:r>
              <w:rPr>
                <w:noProof/>
              </w:rPr>
              <w:t xml:space="preserve"> izmaksa EUR 350000000 apm</w:t>
            </w:r>
            <w:r>
              <w:rPr>
                <w:noProof/>
              </w:rPr>
              <w:t>ē</w:t>
            </w:r>
            <w:r>
              <w:rPr>
                <w:noProof/>
              </w:rPr>
              <w:t>r</w:t>
            </w:r>
            <w:r>
              <w:rPr>
                <w:noProof/>
              </w:rPr>
              <w:t>ā</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40041C2" w14:textId="77777777" w:rsidR="00327FF1" w:rsidRDefault="00E406C7">
            <w:pPr>
              <w:pStyle w:val="P68B1DB1-Normal11"/>
              <w:jc w:val="center"/>
              <w:rPr>
                <w:noProof/>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8E78CEA" w14:textId="77777777" w:rsidR="00327FF1" w:rsidRDefault="00E406C7">
            <w:pPr>
              <w:pStyle w:val="P68B1DB1-Normal11"/>
              <w:jc w:val="center"/>
              <w:rPr>
                <w:noProof/>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615B3E4" w14:textId="77777777" w:rsidR="00327FF1" w:rsidRDefault="00E406C7">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9A3053A" w14:textId="77777777" w:rsidR="00327FF1" w:rsidRDefault="00E406C7">
            <w:pPr>
              <w:pStyle w:val="P68B1DB1-Normal11"/>
              <w:jc w:val="center"/>
              <w:rPr>
                <w:noProof/>
              </w:rPr>
            </w:pPr>
            <w:r>
              <w:rPr>
                <w:noProof/>
              </w:rPr>
              <w:t>350 000 000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E0C3BEB" w14:textId="77777777" w:rsidR="00327FF1" w:rsidRDefault="00E406C7">
            <w:pPr>
              <w:pStyle w:val="P68B1DB1-Normal11"/>
              <w:jc w:val="center"/>
              <w:rPr>
                <w:noProof/>
                <w:szCs w:val="20"/>
              </w:rPr>
            </w:pPr>
            <w:r>
              <w:rPr>
                <w:noProof/>
              </w:rPr>
              <w:t>4.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663628A" w14:textId="77777777" w:rsidR="00327FF1" w:rsidRDefault="00E406C7">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C81C81" w14:textId="77777777" w:rsidR="00327FF1" w:rsidRDefault="00E406C7">
            <w:pPr>
              <w:pStyle w:val="P68B1DB1-Normal11"/>
              <w:spacing w:line="257" w:lineRule="auto"/>
              <w:rPr>
                <w:noProof/>
                <w:szCs w:val="20"/>
              </w:rPr>
            </w:pPr>
            <w:r>
              <w:rPr>
                <w:noProof/>
              </w:rPr>
              <w:t>Izmaksa atbilst ieguldījumu politikai, kas noteikta atskaites punktā.</w:t>
            </w:r>
          </w:p>
        </w:tc>
      </w:tr>
      <w:tr w:rsidR="00327FF1" w14:paraId="43F1D047"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CBEDC5C" w14:textId="77777777" w:rsidR="00327FF1" w:rsidRDefault="00E406C7">
            <w:pPr>
              <w:pStyle w:val="P68B1DB1-Normal11"/>
              <w:jc w:val="center"/>
              <w:rPr>
                <w:noProof/>
              </w:rPr>
            </w:pPr>
            <w:r>
              <w:rPr>
                <w:noProof/>
              </w:rPr>
              <w:t>M1C3–31</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1188EAA" w14:textId="3E439201" w:rsidR="00327FF1" w:rsidRDefault="00E406C7">
            <w:pPr>
              <w:pStyle w:val="P68B1DB1-Normal11"/>
              <w:jc w:val="center"/>
              <w:rPr>
                <w:noProof/>
                <w:szCs w:val="20"/>
              </w:rPr>
            </w:pPr>
            <w:r>
              <w:rPr>
                <w:noProof/>
              </w:rPr>
              <w:t>Ieguldījums 4.2.: Līdzekļi tūrisma uzņēmumu konkurētspējai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25D00C" w14:textId="77777777" w:rsidR="00327FF1" w:rsidRDefault="00E406C7">
            <w:pPr>
              <w:pStyle w:val="P68B1DB1-Normal11"/>
              <w:jc w:val="center"/>
              <w:rPr>
                <w:noProof/>
                <w:szCs w:val="20"/>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3AB305B" w14:textId="77777777" w:rsidR="00327FF1" w:rsidRDefault="00327FF1">
            <w:pPr>
              <w:jc w:val="center"/>
              <w:rPr>
                <w:rFonts w:ascii="Arial Narrow" w:hAnsi="Arial Narrow"/>
                <w:noProof/>
                <w:color w:val="006100"/>
                <w:sz w:val="20"/>
                <w:szCs w:val="20"/>
              </w:rPr>
            </w:pPr>
          </w:p>
          <w:p w14:paraId="496ADE49" w14:textId="77777777" w:rsidR="00327FF1" w:rsidRDefault="00E406C7">
            <w:pPr>
              <w:pStyle w:val="P68B1DB1-Normal11"/>
              <w:jc w:val="center"/>
              <w:rPr>
                <w:noProof/>
                <w:szCs w:val="20"/>
              </w:rPr>
            </w:pPr>
            <w:r>
              <w:rPr>
                <w:noProof/>
              </w:rPr>
              <w:t>Valsts tūrisma fonds:</w:t>
            </w:r>
          </w:p>
          <w:p w14:paraId="23DE7E72" w14:textId="5C0BA327" w:rsidR="00327FF1" w:rsidRDefault="00E406C7">
            <w:pPr>
              <w:pStyle w:val="P68B1DB1-Normal21"/>
              <w:jc w:val="center"/>
              <w:rPr>
                <w:rFonts w:ascii="Arial Narrow" w:hAnsi="Arial Narrow"/>
                <w:noProof/>
                <w:szCs w:val="20"/>
              </w:rPr>
            </w:pPr>
            <w:r>
              <w:rPr>
                <w:rFonts w:ascii="Arial Narrow" w:hAnsi="Arial Narrow"/>
                <w:noProof/>
              </w:rPr>
              <w:t>Kopumā 150 000 000 EUR izmaksa fondam pašu kapitāla atbalstam</w:t>
            </w:r>
            <w:r>
              <w:rPr>
                <w:rFonts w:ascii="Arial Narrow"/>
                <w:noProof/>
              </w:rPr>
              <w:t xml:space="preserve">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9A5B2C8" w14:textId="77777777" w:rsidR="00327FF1" w:rsidRDefault="00E406C7">
            <w:pPr>
              <w:pStyle w:val="P68B1DB1-Normal11"/>
              <w:jc w:val="center"/>
              <w:rPr>
                <w:noProof/>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4C8748D" w14:textId="77777777" w:rsidR="00327FF1" w:rsidRDefault="00E406C7">
            <w:pPr>
              <w:pStyle w:val="P68B1DB1-Normal11"/>
              <w:jc w:val="center"/>
              <w:rPr>
                <w:noProof/>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92C3385" w14:textId="77777777" w:rsidR="00327FF1" w:rsidRDefault="00E406C7">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C1372E" w14:textId="77777777" w:rsidR="00327FF1" w:rsidRDefault="00E406C7">
            <w:pPr>
              <w:pStyle w:val="P68B1DB1-Normal11"/>
              <w:jc w:val="center"/>
              <w:rPr>
                <w:noProof/>
              </w:rPr>
            </w:pPr>
            <w:r>
              <w:rPr>
                <w:noProof/>
              </w:rPr>
              <w:t>150 000 000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26EAC96" w14:textId="77777777" w:rsidR="00327FF1" w:rsidRDefault="00E406C7">
            <w:pPr>
              <w:pStyle w:val="P68B1DB1-Normal11"/>
              <w:jc w:val="center"/>
              <w:rPr>
                <w:noProof/>
                <w:szCs w:val="20"/>
              </w:rPr>
            </w:pPr>
            <w:r>
              <w:rPr>
                <w:noProof/>
              </w:rPr>
              <w:t>4.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ADFDE44" w14:textId="77777777" w:rsidR="00327FF1" w:rsidRDefault="00E406C7">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95EC67E" w14:textId="77777777" w:rsidR="00327FF1" w:rsidRDefault="00E406C7">
            <w:pPr>
              <w:pStyle w:val="P68B1DB1-Normal11"/>
              <w:spacing w:line="257" w:lineRule="auto"/>
              <w:rPr>
                <w:noProof/>
                <w:szCs w:val="20"/>
              </w:rPr>
            </w:pPr>
            <w:r>
              <w:rPr>
                <w:noProof/>
              </w:rPr>
              <w:t>Izmaksa atbilst ieguldījumu politikai, kas noteikta atskaites punktā.</w:t>
            </w:r>
          </w:p>
        </w:tc>
      </w:tr>
      <w:tr w:rsidR="00327FF1" w14:paraId="20CD9656"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ECFFB0D" w14:textId="77777777" w:rsidR="00327FF1" w:rsidRDefault="00E406C7">
            <w:pPr>
              <w:pStyle w:val="P68B1DB1-Normal11"/>
              <w:jc w:val="center"/>
              <w:rPr>
                <w:noProof/>
              </w:rPr>
            </w:pPr>
            <w:r>
              <w:rPr>
                <w:noProof/>
              </w:rPr>
              <w:t>M1C3–32</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BDEF198" w14:textId="4145076E" w:rsidR="00327FF1" w:rsidRDefault="00E406C7">
            <w:pPr>
              <w:pStyle w:val="P68B1DB1-Normal11"/>
              <w:jc w:val="center"/>
              <w:rPr>
                <w:noProof/>
                <w:szCs w:val="20"/>
              </w:rPr>
            </w:pPr>
            <w:r>
              <w:rPr>
                <w:noProof/>
              </w:rPr>
              <w:t>Ieguldījums 4.2.: Līdzekļi tūrisma uzņēmumu konkurētspējai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E74630" w14:textId="77777777" w:rsidR="00327FF1" w:rsidRDefault="00E406C7">
            <w:pPr>
              <w:pStyle w:val="P68B1DB1-Normal11"/>
              <w:jc w:val="center"/>
              <w:rPr>
                <w:noProof/>
                <w:szCs w:val="20"/>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1DDA50" w14:textId="77777777" w:rsidR="00327FF1" w:rsidRDefault="00E406C7">
            <w:pPr>
              <w:pStyle w:val="P68B1DB1-Normal11"/>
              <w:jc w:val="center"/>
              <w:rPr>
                <w:noProof/>
                <w:szCs w:val="20"/>
              </w:rPr>
            </w:pPr>
            <w:r>
              <w:rPr>
                <w:noProof/>
              </w:rPr>
              <w:t xml:space="preserve">No </w:t>
            </w:r>
            <w:r>
              <w:rPr>
                <w:noProof/>
              </w:rPr>
              <w:t>MVU garantiju fonda atbalstāmo uzņēmumu skaits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4D2513" w14:textId="77777777" w:rsidR="00327FF1" w:rsidRDefault="00E406C7">
            <w:pPr>
              <w:pStyle w:val="P68B1DB1-Normal11"/>
              <w:jc w:val="center"/>
              <w:rPr>
                <w:noProof/>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9426F7" w14:textId="77777777" w:rsidR="00327FF1" w:rsidRDefault="00E406C7">
            <w:pPr>
              <w:pStyle w:val="P68B1DB1-Normal11"/>
              <w:jc w:val="center"/>
              <w:rPr>
                <w:noProof/>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7A79C22" w14:textId="77777777" w:rsidR="00327FF1" w:rsidRDefault="00E406C7">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41DAC59" w14:textId="77777777" w:rsidR="00327FF1" w:rsidRDefault="00E406C7">
            <w:pPr>
              <w:pStyle w:val="P68B1DB1-Normal11"/>
              <w:jc w:val="center"/>
              <w:rPr>
                <w:noProof/>
              </w:rPr>
            </w:pPr>
            <w:r>
              <w:rPr>
                <w:noProof/>
              </w:rPr>
              <w:t>1 000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69D708" w14:textId="77777777" w:rsidR="00327FF1" w:rsidRDefault="00E406C7">
            <w:pPr>
              <w:pStyle w:val="P68B1DB1-Normal11"/>
              <w:jc w:val="center"/>
              <w:rPr>
                <w:noProof/>
                <w:szCs w:val="20"/>
              </w:rPr>
            </w:pPr>
            <w:r>
              <w:rPr>
                <w:noProof/>
              </w:rPr>
              <w:t>4.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6B1BC2" w14:textId="77777777" w:rsidR="00327FF1" w:rsidRDefault="00E406C7">
            <w:pPr>
              <w:pStyle w:val="P68B1DB1-Normal11"/>
              <w:jc w:val="center"/>
              <w:rPr>
                <w:noProof/>
                <w:szCs w:val="20"/>
              </w:rPr>
            </w:pPr>
            <w:r>
              <w:rPr>
                <w:noProof/>
              </w:rPr>
              <w:t>2025</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C14B0C0" w14:textId="4CE6D14F" w:rsidR="00327FF1" w:rsidRDefault="00E406C7">
            <w:pPr>
              <w:pStyle w:val="P68B1DB1-Normal11"/>
              <w:spacing w:line="257" w:lineRule="auto"/>
              <w:rPr>
                <w:noProof/>
                <w:szCs w:val="20"/>
              </w:rPr>
            </w:pPr>
            <w:r>
              <w:rPr>
                <w:noProof/>
              </w:rPr>
              <w:t>Noslēguma vēstuli, ar ko piešķir garantiju, izsniedz par labu vismaz 1000 uzņēmumiem.</w:t>
            </w:r>
          </w:p>
        </w:tc>
      </w:tr>
      <w:tr w:rsidR="00327FF1" w14:paraId="5A4524FC"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0D19E4" w14:textId="77777777" w:rsidR="00327FF1" w:rsidRDefault="00E406C7">
            <w:pPr>
              <w:pStyle w:val="P68B1DB1-Normal11"/>
              <w:jc w:val="center"/>
              <w:rPr>
                <w:noProof/>
              </w:rPr>
            </w:pPr>
            <w:r>
              <w:rPr>
                <w:noProof/>
              </w:rPr>
              <w:t>M1C3–33</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3A6FF98" w14:textId="3E30A5BF" w:rsidR="00327FF1" w:rsidRDefault="00E406C7">
            <w:pPr>
              <w:pStyle w:val="P68B1DB1-Normal11"/>
              <w:jc w:val="center"/>
              <w:rPr>
                <w:noProof/>
                <w:szCs w:val="20"/>
              </w:rPr>
            </w:pPr>
            <w:r>
              <w:rPr>
                <w:noProof/>
              </w:rPr>
              <w:t>Investīcija 4.2. Fonds tūrisma uzņēmumu konkurētspējai</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8A833CD" w14:textId="77777777" w:rsidR="00327FF1" w:rsidRDefault="00E406C7">
            <w:pPr>
              <w:pStyle w:val="P68B1DB1-Normal11"/>
              <w:jc w:val="center"/>
              <w:rPr>
                <w:noProof/>
                <w:szCs w:val="20"/>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D8012F" w14:textId="6B53771C" w:rsidR="00327FF1" w:rsidRDefault="00E406C7">
            <w:pPr>
              <w:jc w:val="center"/>
              <w:rPr>
                <w:rFonts w:ascii="Arial Narrow" w:hAnsi="Arial Narrow"/>
                <w:noProof/>
                <w:color w:val="006100"/>
                <w:sz w:val="20"/>
                <w:szCs w:val="20"/>
              </w:rPr>
            </w:pPr>
            <w:r>
              <w:rPr>
                <w:rFonts w:ascii="Arial Narrow" w:hAnsi="Arial Narrow"/>
                <w:noProof/>
                <w:color w:val="006100"/>
                <w:sz w:val="20"/>
                <w:szCs w:val="20"/>
              </w:rPr>
              <w:t xml:space="preserve">Fondo Rotativo: </w:t>
            </w:r>
            <w:r>
              <w:rPr>
                <w:noProof/>
              </w:rPr>
              <w:br/>
            </w:r>
            <w:r>
              <w:rPr>
                <w:rFonts w:ascii="Arial Narrow" w:hAnsi="Arial Narrow"/>
                <w:noProof/>
                <w:color w:val="006100"/>
                <w:sz w:val="20"/>
                <w:szCs w:val="20"/>
              </w:rPr>
              <w:t xml:space="preserve">Ar galīgajiem saņēmējiem parakstītie juridiskie nolīgumi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4B24D61" w14:textId="77777777" w:rsidR="00327FF1" w:rsidRDefault="00E406C7">
            <w:pPr>
              <w:pStyle w:val="P68B1DB1-Normal11"/>
              <w:jc w:val="center"/>
              <w:rPr>
                <w:noProof/>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74F4BE5" w14:textId="77777777" w:rsidR="00327FF1" w:rsidRDefault="00E406C7">
            <w:pPr>
              <w:pStyle w:val="P68B1DB1-Normal11"/>
              <w:jc w:val="center"/>
              <w:rPr>
                <w:noProof/>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81F58DF" w14:textId="77777777" w:rsidR="00327FF1" w:rsidRDefault="00E406C7">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5A14432" w14:textId="77777777" w:rsidR="00327FF1" w:rsidRDefault="00E406C7">
            <w:pPr>
              <w:pStyle w:val="P68B1DB1-Normal11"/>
              <w:jc w:val="center"/>
              <w:rPr>
                <w:noProof/>
              </w:rPr>
            </w:pPr>
            <w:r>
              <w:rPr>
                <w:noProof/>
              </w:rPr>
              <w:t>300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6C1FC31" w14:textId="77777777" w:rsidR="00327FF1" w:rsidRDefault="00E406C7">
            <w:pPr>
              <w:pStyle w:val="P68B1DB1-Normal11"/>
              <w:jc w:val="center"/>
              <w:rPr>
                <w:noProof/>
                <w:szCs w:val="20"/>
              </w:rPr>
            </w:pPr>
            <w:r>
              <w:rPr>
                <w:noProof/>
              </w:rPr>
              <w:t>4.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AF4CF52" w14:textId="77777777" w:rsidR="00327FF1" w:rsidRDefault="00E406C7">
            <w:pPr>
              <w:pStyle w:val="P68B1DB1-Normal11"/>
              <w:jc w:val="center"/>
              <w:rPr>
                <w:noProof/>
                <w:szCs w:val="20"/>
              </w:rPr>
            </w:pPr>
            <w:r>
              <w:rPr>
                <w:noProof/>
              </w:rPr>
              <w:t>2025</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CC26FBB" w14:textId="7C0D6E7F" w:rsidR="00327FF1" w:rsidRDefault="00E406C7">
            <w:pPr>
              <w:pStyle w:val="P68B1DB1-Normal11"/>
              <w:spacing w:line="257" w:lineRule="auto"/>
              <w:rPr>
                <w:noProof/>
                <w:szCs w:val="20"/>
              </w:rPr>
            </w:pPr>
            <w:r>
              <w:rPr>
                <w:noProof/>
                <w:szCs w:val="20"/>
              </w:rPr>
              <w:t>Juridiski finansēšanas nolīgumi, kas parakstīti</w:t>
            </w:r>
            <w:r>
              <w:rPr>
                <w:noProof/>
              </w:rPr>
              <w:t>, lai ar Fondo Rotativo starpniecību atbalstītu vismaz 300 uzņēmumus.</w:t>
            </w:r>
          </w:p>
        </w:tc>
      </w:tr>
      <w:tr w:rsidR="00327FF1" w14:paraId="25A0D830"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401BC95" w14:textId="77777777" w:rsidR="00327FF1" w:rsidRDefault="00E406C7">
            <w:pPr>
              <w:pStyle w:val="P68B1DB1-Normal11"/>
              <w:jc w:val="center"/>
              <w:rPr>
                <w:noProof/>
              </w:rPr>
            </w:pPr>
            <w:r>
              <w:rPr>
                <w:noProof/>
              </w:rPr>
              <w:t>M1C3–35</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1AC5ED7" w14:textId="77777777" w:rsidR="00327FF1" w:rsidRDefault="00E406C7">
            <w:pPr>
              <w:pStyle w:val="P68B1DB1-Normal11"/>
              <w:jc w:val="center"/>
              <w:rPr>
                <w:noProof/>
                <w:szCs w:val="20"/>
              </w:rPr>
            </w:pPr>
            <w:r>
              <w:rPr>
                <w:noProof/>
              </w:rPr>
              <w:t>Investīcijas — 4.3.</w:t>
            </w:r>
            <w:r>
              <w:rPr>
                <w:noProof/>
              </w:rPr>
              <w:t xml:space="preserve"> Caput Mundi-Next Generation EU tūrisma lieliskiem pasākumiem</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CBF5F94" w14:textId="77777777" w:rsidR="00327FF1" w:rsidRDefault="00E406C7">
            <w:pPr>
              <w:pStyle w:val="P68B1DB1-Normal11"/>
              <w:jc w:val="center"/>
              <w:rPr>
                <w:noProof/>
                <w:szCs w:val="20"/>
              </w:rPr>
            </w:pPr>
            <w:r>
              <w:rPr>
                <w:noProof/>
              </w:rPr>
              <w:t>Atskaites punkts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4C2AC2C" w14:textId="2A54EBC2" w:rsidR="00327FF1" w:rsidRDefault="00E406C7">
            <w:pPr>
              <w:pStyle w:val="P68B1DB1-Normal11"/>
              <w:jc w:val="center"/>
              <w:rPr>
                <w:noProof/>
                <w:szCs w:val="20"/>
              </w:rPr>
            </w:pPr>
            <w:r>
              <w:rPr>
                <w:noProof/>
              </w:rPr>
              <w:t>Katra nolīguma parakstīšana par sešiem projektiem starp Tūrisma ministriju un saņēmējiem/īstenošanas struktūrām</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B53F41E" w14:textId="16E5416E" w:rsidR="00327FF1" w:rsidRDefault="00E406C7">
            <w:pPr>
              <w:pStyle w:val="P68B1DB1-Normal11"/>
              <w:jc w:val="center"/>
              <w:rPr>
                <w:noProof/>
              </w:rPr>
            </w:pPr>
            <w:r>
              <w:rPr>
                <w:noProof/>
              </w:rPr>
              <w:t xml:space="preserve">Programmas nolīguma starp Tūrisma ministriju, Romas </w:t>
            </w:r>
            <w:r>
              <w:rPr>
                <w:noProof/>
              </w:rPr>
              <w:t>galvaspilsētas pašvaldību un citiem iesaistītajiem dalībniekiem publicēšana</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EC8FE75" w14:textId="77777777" w:rsidR="00327FF1" w:rsidRDefault="00E406C7">
            <w:pPr>
              <w:pStyle w:val="P68B1DB1-Normal11"/>
              <w:jc w:val="center"/>
              <w:rPr>
                <w:noProof/>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D6CD5C" w14:textId="77777777" w:rsidR="00327FF1" w:rsidRDefault="00E406C7">
            <w:pPr>
              <w:pStyle w:val="P68B1DB1-Normal11"/>
              <w:jc w:val="center"/>
              <w:rPr>
                <w:noProof/>
              </w:rPr>
            </w:pPr>
            <w:r>
              <w:rPr>
                <w:noProof/>
              </w:rPr>
              <w:t>NEPIEMĒRO</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9109D4" w14:textId="77777777" w:rsidR="00327FF1" w:rsidRDefault="00E406C7">
            <w:pPr>
              <w:pStyle w:val="P68B1DB1-Normal11"/>
              <w:jc w:val="center"/>
              <w:rPr>
                <w:noProof/>
              </w:rPr>
            </w:pPr>
            <w:r>
              <w:rPr>
                <w:noProof/>
              </w:rPr>
              <w:t>NEPIEMĒRO</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D32E7D3" w14:textId="77777777" w:rsidR="00327FF1" w:rsidRDefault="00E406C7">
            <w:pPr>
              <w:pStyle w:val="P68B1DB1-Normal11"/>
              <w:jc w:val="center"/>
              <w:rPr>
                <w:noProof/>
                <w:szCs w:val="20"/>
              </w:rPr>
            </w:pPr>
            <w:r>
              <w:rPr>
                <w:noProof/>
              </w:rPr>
              <w:t>2.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4F47361" w14:textId="77777777" w:rsidR="00327FF1" w:rsidRDefault="00E406C7">
            <w:pPr>
              <w:pStyle w:val="P68B1DB1-Normal11"/>
              <w:jc w:val="center"/>
              <w:rPr>
                <w:noProof/>
                <w:szCs w:val="20"/>
              </w:rPr>
            </w:pPr>
            <w:r>
              <w:rPr>
                <w:noProof/>
              </w:rPr>
              <w:t>2022</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FB0F1A" w14:textId="0297E2E8" w:rsidR="00327FF1" w:rsidRDefault="00E406C7">
            <w:pPr>
              <w:rPr>
                <w:rFonts w:ascii="Arial Narrow" w:hAnsi="Arial Narrow"/>
                <w:noProof/>
                <w:color w:val="006100"/>
                <w:sz w:val="20"/>
                <w:szCs w:val="20"/>
              </w:rPr>
            </w:pPr>
            <w:r>
              <w:rPr>
                <w:rFonts w:ascii="Arial Narrow" w:hAnsi="Arial Narrow"/>
                <w:noProof/>
                <w:color w:val="006100"/>
                <w:sz w:val="20"/>
              </w:rPr>
              <w:t>Nolīgumus paraksta par sešiem projektiem:</w:t>
            </w:r>
            <w:r>
              <w:rPr>
                <w:rFonts w:ascii="Arial Narrow" w:hAnsi="Arial Narrow"/>
                <w:noProof/>
              </w:rPr>
              <w:t xml:space="preserve"> </w:t>
            </w:r>
            <w:r>
              <w:rPr>
                <w:noProof/>
              </w:rPr>
              <w:t xml:space="preserve"> </w:t>
            </w:r>
            <w:r>
              <w:rPr>
                <w:noProof/>
              </w:rPr>
              <w:br/>
            </w:r>
            <w:r>
              <w:rPr>
                <w:rFonts w:ascii="Arial Narrow" w:hAnsi="Arial Narrow"/>
                <w:noProof/>
                <w:color w:val="006100"/>
                <w:sz w:val="20"/>
              </w:rPr>
              <w:t>1) romiešu kultūras mantojums ES nākamajai paaudzei; 2) no Paganas Romas līdz Kristiānai Roma</w:t>
            </w:r>
            <w:r>
              <w:rPr>
                <w:rFonts w:ascii="Arial Narrow" w:hAnsi="Arial Narrow"/>
                <w:noProof/>
                <w:color w:val="006100"/>
                <w:sz w:val="20"/>
              </w:rPr>
              <w:t>i — Jubilee ceļš; 3) #Lacittàcondivisa; 4) #Mitingodiverde; 5) romi 4.0; 6) #Amanotesa</w:t>
            </w:r>
          </w:p>
          <w:p w14:paraId="4A7F417F" w14:textId="17E8A17F" w:rsidR="00327FF1" w:rsidRDefault="00E406C7">
            <w:pPr>
              <w:pStyle w:val="P68B1DB1-Normal11"/>
              <w:rPr>
                <w:noProof/>
                <w:szCs w:val="20"/>
              </w:rPr>
            </w:pPr>
            <w:r>
              <w:rPr>
                <w:noProof/>
              </w:rPr>
              <w:t>Saņēmēju/īstenošanas struktūru sarakstā iekļauj: Romas galvaspilsēta; Romas kultūras, vides un ainavu mantojuma arheoloģiskā superintendence (MIC); Colosseum arheoloģisk</w:t>
            </w:r>
            <w:r>
              <w:rPr>
                <w:noProof/>
              </w:rPr>
              <w:t>ais parks; Antikas arheoloģiskais parks; Romas diocēze; Tūrisma ministrija; Lacio reģions.</w:t>
            </w:r>
          </w:p>
          <w:p w14:paraId="0F0071F1" w14:textId="77777777" w:rsidR="00327FF1" w:rsidRDefault="00E406C7">
            <w:pPr>
              <w:pStyle w:val="P68B1DB1-Normal11"/>
              <w:rPr>
                <w:noProof/>
                <w:szCs w:val="20"/>
              </w:rPr>
            </w:pPr>
            <w:r>
              <w:rPr>
                <w:noProof/>
              </w:rPr>
              <w:t>Pirms uzaicinājuma iesniegt piedāvājumus atlases un piešķiršanas kritērijus un projektu specifiku nosaka kopā ar saistītajiem resursiem.</w:t>
            </w:r>
          </w:p>
          <w:p w14:paraId="1F1FE4FF" w14:textId="528835FE" w:rsidR="00327FF1" w:rsidRDefault="00E406C7">
            <w:pPr>
              <w:pStyle w:val="P68B1DB1-Normal11"/>
              <w:spacing w:line="257" w:lineRule="auto"/>
              <w:rPr>
                <w:noProof/>
                <w:szCs w:val="20"/>
              </w:rPr>
            </w:pPr>
            <w:r>
              <w:rPr>
                <w:noProof/>
              </w:rPr>
              <w:t>Līgumu slēgšanas tiesības pr</w:t>
            </w:r>
            <w:r>
              <w:rPr>
                <w:noProof/>
              </w:rPr>
              <w:t>ojektiem, kas atlasīti konkursa uzaicinājumos iesniegt priekšlikumus, piešķir saskaņā ar Tehniskajiem norādījumiem “nenodari būtisku kaitējumu” (2021/C58/01), izmantojot izslēgšanas sarakstu un prasību par atbilstību attiecīgajiem ES un valsts tiesību akti</w:t>
            </w:r>
            <w:r>
              <w:rPr>
                <w:noProof/>
              </w:rPr>
              <w:t>em vides jomā.</w:t>
            </w:r>
          </w:p>
        </w:tc>
      </w:tr>
      <w:tr w:rsidR="00327FF1" w14:paraId="05070697" w14:textId="7777777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6928334" w14:textId="77777777" w:rsidR="00327FF1" w:rsidRDefault="00E406C7">
            <w:pPr>
              <w:pStyle w:val="P68B1DB1-Normal11"/>
              <w:jc w:val="center"/>
              <w:rPr>
                <w:noProof/>
              </w:rPr>
            </w:pPr>
            <w:r>
              <w:rPr>
                <w:noProof/>
              </w:rPr>
              <w:t>M1C3–36</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C02C98" w14:textId="4E8C2C3C" w:rsidR="00327FF1" w:rsidRDefault="00E406C7">
            <w:pPr>
              <w:pStyle w:val="P68B1DB1-Normal11"/>
              <w:jc w:val="center"/>
              <w:rPr>
                <w:noProof/>
                <w:szCs w:val="20"/>
              </w:rPr>
            </w:pPr>
            <w:r>
              <w:rPr>
                <w:noProof/>
              </w:rPr>
              <w:t>Investīcijas — 4.3. Caput Mundi-Next Generation EU tūrisma lieliskiem pasākumiem</w:t>
            </w:r>
          </w:p>
        </w:tc>
        <w:tc>
          <w:tcPr>
            <w:tcW w:w="37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07BA0BB" w14:textId="77777777" w:rsidR="00327FF1" w:rsidRDefault="00E406C7">
            <w:pPr>
              <w:pStyle w:val="P68B1DB1-Normal11"/>
              <w:jc w:val="center"/>
              <w:rPr>
                <w:noProof/>
                <w:szCs w:val="20"/>
              </w:rPr>
            </w:pPr>
            <w:r>
              <w:rPr>
                <w:noProof/>
              </w:rPr>
              <w:t>Mērķa</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1D1F3CA" w14:textId="77777777" w:rsidR="00327FF1" w:rsidRDefault="00E406C7">
            <w:pPr>
              <w:pStyle w:val="P68B1DB1-Normal12"/>
              <w:jc w:val="center"/>
              <w:rPr>
                <w:noProof/>
              </w:rPr>
            </w:pPr>
            <w:r>
              <w:rPr>
                <w:noProof/>
              </w:rPr>
              <w:t>Intervences pasākumu skaits kultūras un tūrisma objektos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E82354B" w14:textId="77777777" w:rsidR="00327FF1" w:rsidRDefault="00E406C7">
            <w:pPr>
              <w:pStyle w:val="P68B1DB1-Normal11"/>
              <w:jc w:val="center"/>
              <w:rPr>
                <w:noProof/>
              </w:rPr>
            </w:pPr>
            <w:r>
              <w:rPr>
                <w:noProof/>
              </w:rPr>
              <w:t>NEPIEMĒRO</w:t>
            </w:r>
          </w:p>
        </w:tc>
        <w:tc>
          <w:tcPr>
            <w:tcW w:w="331"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4435ED5" w14:textId="77777777" w:rsidR="00327FF1" w:rsidRDefault="00E406C7">
            <w:pPr>
              <w:pStyle w:val="P68B1DB1-Normal11"/>
              <w:jc w:val="center"/>
              <w:rPr>
                <w:noProof/>
              </w:rPr>
            </w:pPr>
            <w:r>
              <w:rPr>
                <w:noProof/>
              </w:rPr>
              <w:t>Skaits</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99CA06" w14:textId="77777777" w:rsidR="00327FF1" w:rsidRDefault="00E406C7">
            <w:pPr>
              <w:pStyle w:val="P68B1DB1-Normal11"/>
              <w:jc w:val="center"/>
              <w:rPr>
                <w:noProof/>
              </w:rPr>
            </w:pPr>
            <w:r>
              <w:rPr>
                <w:noProof/>
              </w:rPr>
              <w:t>0</w:t>
            </w:r>
          </w:p>
        </w:tc>
        <w:tc>
          <w:tcPr>
            <w:tcW w:w="424"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1E82E4E" w14:textId="77777777" w:rsidR="00327FF1" w:rsidRDefault="00E406C7">
            <w:pPr>
              <w:pStyle w:val="P68B1DB1-Normal11"/>
              <w:jc w:val="center"/>
              <w:rPr>
                <w:noProof/>
              </w:rPr>
            </w:pPr>
            <w:r>
              <w:rPr>
                <w:noProof/>
              </w:rPr>
              <w:t>200</w:t>
            </w:r>
          </w:p>
        </w:tc>
        <w:tc>
          <w:tcPr>
            <w:tcW w:w="33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3455647" w14:textId="77777777" w:rsidR="00327FF1" w:rsidRDefault="00E406C7">
            <w:pPr>
              <w:pStyle w:val="P68B1DB1-Normal11"/>
              <w:jc w:val="center"/>
              <w:rPr>
                <w:noProof/>
                <w:szCs w:val="20"/>
              </w:rPr>
            </w:pPr>
            <w:r>
              <w:rPr>
                <w:noProof/>
              </w:rPr>
              <w:t>2. CET.</w:t>
            </w:r>
          </w:p>
        </w:tc>
        <w:tc>
          <w:tcPr>
            <w:tcW w:w="2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0BCA05" w14:textId="77777777" w:rsidR="00327FF1" w:rsidRDefault="00E406C7">
            <w:pPr>
              <w:pStyle w:val="P68B1DB1-Normal11"/>
              <w:jc w:val="center"/>
              <w:rPr>
                <w:noProof/>
                <w:szCs w:val="20"/>
              </w:rPr>
            </w:pPr>
            <w:r>
              <w:rPr>
                <w:noProof/>
              </w:rPr>
              <w:t>2026</w:t>
            </w:r>
          </w:p>
        </w:tc>
        <w:tc>
          <w:tcPr>
            <w:tcW w:w="104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B41C3F2" w14:textId="7289E744" w:rsidR="00327FF1" w:rsidRDefault="00E406C7">
            <w:pPr>
              <w:pStyle w:val="P68B1DB1-Normal12"/>
              <w:rPr>
                <w:noProof/>
              </w:rPr>
            </w:pPr>
            <w:r>
              <w:rPr>
                <w:noProof/>
              </w:rPr>
              <w:t>Sertifikātus par būvdarbu vai pakalpojumu pabeigšanu</w:t>
            </w:r>
            <w:r>
              <w:rPr>
                <w:noProof/>
              </w:rPr>
              <w:t xml:space="preserve"> izdod par vismaz 200 intervencēm, kas uzskaitītas Caput Mundi programmā.</w:t>
            </w:r>
          </w:p>
        </w:tc>
      </w:tr>
    </w:tbl>
    <w:p w14:paraId="79948301" w14:textId="77777777" w:rsidR="00327FF1" w:rsidRDefault="00327FF1">
      <w:pPr>
        <w:tabs>
          <w:tab w:val="left" w:pos="4908"/>
        </w:tabs>
        <w:rPr>
          <w:noProof/>
        </w:rPr>
      </w:pPr>
    </w:p>
    <w:p w14:paraId="5CA6D409" w14:textId="77777777" w:rsidR="00327FF1" w:rsidRDefault="00E406C7">
      <w:pPr>
        <w:tabs>
          <w:tab w:val="left" w:pos="2220"/>
        </w:tabs>
        <w:rPr>
          <w:noProof/>
        </w:rPr>
        <w:sectPr w:rsidR="00327FF1" w:rsidSect="005A558B">
          <w:headerReference w:type="even" r:id="rId70"/>
          <w:headerReference w:type="default" r:id="rId71"/>
          <w:footerReference w:type="even" r:id="rId72"/>
          <w:footerReference w:type="default" r:id="rId73"/>
          <w:headerReference w:type="first" r:id="rId74"/>
          <w:footerReference w:type="first" r:id="rId75"/>
          <w:pgSz w:w="16838" w:h="11906" w:orient="landscape"/>
          <w:pgMar w:top="1440" w:right="1440" w:bottom="1440" w:left="1440" w:header="709" w:footer="709" w:gutter="0"/>
          <w:cols w:space="708"/>
          <w:docGrid w:linePitch="360"/>
        </w:sectPr>
      </w:pPr>
      <w:r>
        <w:rPr>
          <w:noProof/>
        </w:rPr>
        <w:tab/>
      </w:r>
    </w:p>
    <w:p w14:paraId="0B5F1EA7" w14:textId="77777777" w:rsidR="00327FF1" w:rsidRDefault="00E406C7">
      <w:pPr>
        <w:pStyle w:val="P68B1DB1-Heading23"/>
        <w:rPr>
          <w:bCs/>
          <w:noProof/>
        </w:rPr>
      </w:pPr>
      <w:r>
        <w:rPr>
          <w:noProof/>
        </w:rPr>
        <w:t>D. 2. MISIJAS 1. KOMPONENTS: Aprites ekonomika, lauksaimniecības pārtika un zaļā pārkārtošanās </w:t>
      </w:r>
    </w:p>
    <w:p w14:paraId="5B27AD68" w14:textId="2F7A0401" w:rsidR="00327FF1" w:rsidRDefault="00E406C7">
      <w:pPr>
        <w:pStyle w:val="P68B1DB1-Normal45"/>
        <w:spacing w:after="0" w:line="240" w:lineRule="auto"/>
        <w:jc w:val="both"/>
        <w:textAlignment w:val="baseline"/>
        <w:rPr>
          <w:rFonts w:ascii="Segoe UI" w:hAnsi="Segoe UI" w:cs="Segoe UI"/>
          <w:noProof/>
        </w:rPr>
      </w:pPr>
      <w:r>
        <w:rPr>
          <w:noProof/>
        </w:rPr>
        <w:t>Šis Itālijas atveseļošanas</w:t>
      </w:r>
      <w:r>
        <w:rPr>
          <w:noProof/>
        </w:rPr>
        <w:t xml:space="preserve"> un noturības plāna komponents aptver investīcijas un reformas atkritumu apsaimniekošanā, aprites ekonomikā, atbalstu lauksaimniecības un pārtikas vērtības ķēdēm un zaļo pārkārtošanos. Šīs reformas un investīcijas papildina reformas, kuru mērķis ir palieli</w:t>
      </w:r>
      <w:r>
        <w:rPr>
          <w:noProof/>
        </w:rPr>
        <w:t>nāt konkurenci atkritumu apsaimniekošanā un vietējos sabiedriskos pakalpojumos “uzņēmējdarbības vides” reformas komponentā un uzlabot ūdens patēriņu lauksaimniecībā. Šis komponents ir atbilde uz konkrētām valstīm adresētajiem ieteikumiem koncentrēt investī</w:t>
      </w:r>
      <w:r>
        <w:rPr>
          <w:noProof/>
        </w:rPr>
        <w:t>cijas zaļās pārkārtošanās procesā, tostarp aprites ekonomikā.  </w:t>
      </w:r>
    </w:p>
    <w:p w14:paraId="1C34463A" w14:textId="77777777" w:rsidR="00327FF1" w:rsidRDefault="00E406C7">
      <w:pPr>
        <w:pStyle w:val="P68B1DB1-Normal45"/>
        <w:spacing w:after="0" w:line="240" w:lineRule="auto"/>
        <w:jc w:val="both"/>
        <w:textAlignment w:val="baseline"/>
        <w:rPr>
          <w:rFonts w:ascii="Segoe UI" w:hAnsi="Segoe UI" w:cs="Segoe UI"/>
          <w:noProof/>
        </w:rPr>
      </w:pPr>
      <w:r>
        <w:rPr>
          <w:noProof/>
        </w:rPr>
        <w:t>Investīcijas un reformas saskaņā ar šo komponentu palīdz īstenot Itālijai 2020. un 2019. gadā adresētos konkrētai valstij adresētos ieteikumus par nepieciešamību “koncentrēt investīcijas uz za</w:t>
      </w:r>
      <w:r>
        <w:rPr>
          <w:noProof/>
        </w:rPr>
        <w:t>ļo un digitālo pārkārtošanos, jo īpaši uz [...] atkritumu un ūdens apsaimniekošanu” (2020. gada KVAI Nr. 3) un “ar investīcijām saistīto ekonomikas politiku koncentrēt uz [...] un infrastruktūras kvalitāti, ņemot vērā arī reģionālās atšķirības” (2019. gada</w:t>
      </w:r>
      <w:r>
        <w:rPr>
          <w:noProof/>
        </w:rPr>
        <w:t xml:space="preserve"> konkrētai valstij adresētais ieteikums Nr. 3). </w:t>
      </w:r>
    </w:p>
    <w:p w14:paraId="7FDA1781" w14:textId="77777777" w:rsidR="00327FF1" w:rsidRDefault="00E406C7">
      <w:pPr>
        <w:pStyle w:val="P68B1DB1-Normal45"/>
        <w:spacing w:after="0" w:line="240" w:lineRule="auto"/>
        <w:jc w:val="both"/>
        <w:textAlignment w:val="baseline"/>
        <w:rPr>
          <w:noProof/>
        </w:rPr>
      </w:pPr>
      <w:r>
        <w:rPr>
          <w:noProof/>
        </w:rPr>
        <w:t>Paredzams, ka neviens pasākums šajā komponentā būtiski nekaitēs vides mērķiem Regulas (ES) 2020/852 17. panta nozīmē, ņemot vērā atveseļošanas un noturības plānā izklāstīto pasākumu aprakstu un mazināšanas p</w:t>
      </w:r>
      <w:r>
        <w:rPr>
          <w:noProof/>
        </w:rPr>
        <w:t>asākumus saskaņā ar DNSH tehniskajiem norādījumiem (2021/C58/01). </w:t>
      </w:r>
    </w:p>
    <w:p w14:paraId="1C76D193" w14:textId="33A8CAE9" w:rsidR="00327FF1" w:rsidRDefault="00E406C7">
      <w:pPr>
        <w:pStyle w:val="P68B1DB1-Normal46"/>
        <w:spacing w:after="0" w:line="240" w:lineRule="auto"/>
        <w:jc w:val="both"/>
        <w:textAlignment w:val="baseline"/>
        <w:rPr>
          <w:rFonts w:ascii="Segoe UI" w:hAnsi="Segoe UI" w:cs="Segoe UI"/>
          <w:noProof/>
          <w:sz w:val="18"/>
          <w:szCs w:val="18"/>
        </w:rPr>
      </w:pPr>
      <w:r>
        <w:rPr>
          <w:noProof/>
        </w:rPr>
        <w:t xml:space="preserve"> </w:t>
      </w:r>
    </w:p>
    <w:p w14:paraId="1552B837" w14:textId="72D8D022" w:rsidR="00327FF1" w:rsidRDefault="00E406C7">
      <w:pPr>
        <w:pStyle w:val="P68B1DB1-Heading347"/>
        <w:ind w:left="850" w:hanging="850"/>
        <w:rPr>
          <w:bCs/>
          <w:noProof/>
        </w:rPr>
      </w:pPr>
      <w:r>
        <w:rPr>
          <w:noProof/>
        </w:rPr>
        <w:t xml:space="preserve">D.1. </w:t>
      </w:r>
      <w:r>
        <w:rPr>
          <w:noProof/>
        </w:rPr>
        <w:tab/>
        <w:t xml:space="preserve">Reformu un investīciju apraksts neatmaksājamam finansiālajam atbalstam </w:t>
      </w:r>
    </w:p>
    <w:p w14:paraId="4DC36F08" w14:textId="77777777" w:rsidR="00327FF1" w:rsidRDefault="00327FF1">
      <w:pPr>
        <w:spacing w:after="0" w:line="240" w:lineRule="auto"/>
        <w:jc w:val="both"/>
        <w:textAlignment w:val="baseline"/>
        <w:rPr>
          <w:rFonts w:ascii="Times New Roman" w:eastAsia="Times New Roman" w:hAnsi="Times New Roman" w:cs="Times New Roman"/>
          <w:i/>
          <w:iCs/>
          <w:noProof/>
          <w:kern w:val="0"/>
          <w:sz w:val="24"/>
          <w:szCs w:val="24"/>
          <w14:ligatures w14:val="none"/>
        </w:rPr>
      </w:pPr>
    </w:p>
    <w:p w14:paraId="2171D838" w14:textId="0CB730DB" w:rsidR="00327FF1" w:rsidRDefault="00E406C7">
      <w:pPr>
        <w:pStyle w:val="P68B1DB1-Normal48"/>
        <w:spacing w:after="0" w:line="240" w:lineRule="auto"/>
        <w:jc w:val="both"/>
        <w:textAlignment w:val="baseline"/>
        <w:rPr>
          <w:rFonts w:ascii="Segoe UI" w:hAnsi="Segoe UI" w:cs="Segoe UI"/>
          <w:iCs/>
          <w:noProof/>
          <w:sz w:val="18"/>
          <w:szCs w:val="18"/>
        </w:rPr>
      </w:pPr>
      <w:r>
        <w:rPr>
          <w:noProof/>
        </w:rPr>
        <w:t xml:space="preserve">Aprites ekonomika </w:t>
      </w:r>
    </w:p>
    <w:p w14:paraId="2B8E09C9" w14:textId="77777777" w:rsidR="00327FF1" w:rsidRDefault="00327FF1">
      <w:pPr>
        <w:spacing w:after="0" w:line="240" w:lineRule="auto"/>
        <w:jc w:val="both"/>
        <w:textAlignment w:val="baseline"/>
        <w:rPr>
          <w:rFonts w:ascii="Times New Roman" w:eastAsia="Times New Roman" w:hAnsi="Times New Roman" w:cs="Times New Roman"/>
          <w:b/>
          <w:bCs/>
          <w:noProof/>
          <w:kern w:val="0"/>
          <w:sz w:val="24"/>
          <w:szCs w:val="24"/>
          <w14:ligatures w14:val="none"/>
        </w:rPr>
      </w:pPr>
    </w:p>
    <w:p w14:paraId="2780A5B3" w14:textId="5D875328" w:rsidR="00327FF1" w:rsidRDefault="00E406C7">
      <w:pPr>
        <w:pStyle w:val="P68B1DB1-Normal46"/>
        <w:spacing w:after="0" w:line="240" w:lineRule="auto"/>
        <w:jc w:val="both"/>
        <w:textAlignment w:val="baseline"/>
        <w:rPr>
          <w:rFonts w:ascii="Segoe UI" w:hAnsi="Segoe UI" w:cs="Segoe UI"/>
          <w:noProof/>
          <w:sz w:val="18"/>
          <w:szCs w:val="18"/>
        </w:rPr>
      </w:pPr>
      <w:r>
        <w:rPr>
          <w:b/>
          <w:noProof/>
        </w:rPr>
        <w:t>Reforma Nr. 1.1 — Valsts stratēģija pārejai uz aprites ekonomiku</w:t>
      </w:r>
      <w:r>
        <w:rPr>
          <w:noProof/>
        </w:rPr>
        <w:t> </w:t>
      </w:r>
    </w:p>
    <w:p w14:paraId="0D619733" w14:textId="77777777" w:rsidR="00327FF1" w:rsidRDefault="00E406C7">
      <w:pPr>
        <w:pStyle w:val="P68B1DB1-Normal45"/>
        <w:spacing w:after="0" w:line="240" w:lineRule="auto"/>
        <w:jc w:val="both"/>
        <w:textAlignment w:val="baseline"/>
        <w:rPr>
          <w:rFonts w:ascii="Segoe UI" w:hAnsi="Segoe UI" w:cs="Segoe UI"/>
          <w:noProof/>
        </w:rPr>
      </w:pPr>
      <w:r>
        <w:rPr>
          <w:noProof/>
        </w:rPr>
        <w:t>Šī reforma ietver plaš</w:t>
      </w:r>
      <w:r>
        <w:rPr>
          <w:noProof/>
        </w:rPr>
        <w:t>as valsts stratēģijas pieņemšanu attiecībā uz aprites ekonomiku, kas aptver jaunu digitālo atkritumu izsekojamības sistēmu, nodokļu stimulus reciklēšanas darbību un otrreizējo izejvielu izmantošanas atbalstam, vides nodokļu pārskatīšanu, tiesības uz atkali</w:t>
      </w:r>
      <w:r>
        <w:rPr>
          <w:noProof/>
        </w:rPr>
        <w:t>zmantošanu un remontu, paplašinātas ražotāja atbildības un konsorciju sistēmas reformu, atbalstu esošajiem regulatīvajiem instrumentiem (piemēram, tiesību aktiem par atkritumu izbeigšanos un minimālajiem vides kritērijiem saskaņā ar zaļo publisko iepirkumu</w:t>
      </w:r>
      <w:r>
        <w:rPr>
          <w:noProof/>
        </w:rPr>
        <w:t>) un atbalstu rūpnieciskās simbiozes projektam. Paplašinātas ražotāja atbildības un konsorciju sistēmas reformā pievēršas arī nepieciešamībai efektīvāk izmantot vidisko ieguldījumu, lai nodrošinātu pārredzamu un nediskriminējošu kritēriju piemērošanu. Tiek</w:t>
      </w:r>
      <w:r>
        <w:rPr>
          <w:noProof/>
        </w:rPr>
        <w:t xml:space="preserve"> izveidota īpaša uzraudzības struktūra, kuras uzdevums ir uzraudzīt konsorciju sistēmu darbību un efektivitāti Ekoloģiskās pārkārtošanās ministrijas (MITE) vadībā. Pasākums attiecas uz visiem konsorcijiem (ne tikai CONAI iepakošanas sistēmu). </w:t>
      </w:r>
    </w:p>
    <w:p w14:paraId="5172A763" w14:textId="77777777" w:rsidR="00327FF1" w:rsidRDefault="00327FF1">
      <w:pPr>
        <w:tabs>
          <w:tab w:val="left" w:pos="2220"/>
        </w:tabs>
        <w:rPr>
          <w:noProof/>
        </w:rPr>
      </w:pPr>
    </w:p>
    <w:p w14:paraId="2A835416" w14:textId="77777777" w:rsidR="00327FF1" w:rsidRDefault="00E406C7">
      <w:pPr>
        <w:pStyle w:val="P68B1DB1-Normal46"/>
        <w:spacing w:after="0" w:line="240" w:lineRule="auto"/>
        <w:jc w:val="both"/>
        <w:textAlignment w:val="baseline"/>
        <w:rPr>
          <w:rFonts w:ascii="Segoe UI" w:hAnsi="Segoe UI" w:cs="Segoe UI"/>
          <w:noProof/>
          <w:sz w:val="18"/>
          <w:szCs w:val="18"/>
        </w:rPr>
      </w:pPr>
      <w:r>
        <w:rPr>
          <w:b/>
          <w:noProof/>
        </w:rPr>
        <w:t>Reforma. Te</w:t>
      </w:r>
      <w:r>
        <w:rPr>
          <w:b/>
          <w:noProof/>
        </w:rPr>
        <w:t>hniskais atbalsts vietējām pašvaldībām</w:t>
      </w:r>
      <w:r>
        <w:rPr>
          <w:noProof/>
        </w:rPr>
        <w:t> </w:t>
      </w:r>
    </w:p>
    <w:p w14:paraId="0B3D89C4" w14:textId="77777777" w:rsidR="00327FF1" w:rsidRDefault="00E406C7">
      <w:pPr>
        <w:pStyle w:val="P68B1DB1-Normal45"/>
        <w:spacing w:after="0" w:line="240" w:lineRule="auto"/>
        <w:jc w:val="both"/>
        <w:textAlignment w:val="baseline"/>
        <w:rPr>
          <w:noProof/>
        </w:rPr>
      </w:pPr>
      <w:r>
        <w:rPr>
          <w:noProof/>
        </w:rPr>
        <w:t>Šī reforma ietver valdības tehnisko atbalstu vietējām iestādēm ES un valsts vides regulējuma īstenošanai, atkritumu apsaimniekošanas plānu un projektu izstrādei un konkursa procedūrām. Atbalsts konkursa procedūrām no</w:t>
      </w:r>
      <w:r>
        <w:rPr>
          <w:noProof/>
        </w:rPr>
        <w:t>drošina, ka koncesijas atkritumu apsaimniekošanas jomā tiek piešķirtas pārredzamā un nediskriminējošā veidā, palielinot konkurenci veicinošus procesus, lai sasniegtu labākus standartus sabiedrisko pakalpojumu jomā. Tāpēc šī reforma atbalsta uzņēmējdarbības</w:t>
      </w:r>
      <w:r>
        <w:rPr>
          <w:noProof/>
        </w:rPr>
        <w:t xml:space="preserve"> vides reformas komponentā ierosināto atkritumu apsaimniekošanas reformu īstenošanu. Tehniskais atbalsts attiecas arī uz zaļo publisko iepirkumu. </w:t>
      </w:r>
    </w:p>
    <w:p w14:paraId="141314B5" w14:textId="77777777" w:rsidR="00327FF1" w:rsidRDefault="00327FF1">
      <w:pPr>
        <w:spacing w:after="0" w:line="240" w:lineRule="auto"/>
        <w:jc w:val="both"/>
        <w:textAlignment w:val="baseline"/>
        <w:rPr>
          <w:rFonts w:ascii="Segoe UI" w:eastAsia="Times New Roman" w:hAnsi="Segoe UI" w:cs="Segoe UI"/>
          <w:noProof/>
          <w:kern w:val="0"/>
          <w:sz w:val="18"/>
          <w:szCs w:val="18"/>
          <w14:ligatures w14:val="none"/>
        </w:rPr>
      </w:pPr>
    </w:p>
    <w:p w14:paraId="1B29C985" w14:textId="77777777" w:rsidR="00327FF1" w:rsidRDefault="00E406C7">
      <w:pPr>
        <w:pStyle w:val="P68B1DB1-Normal46"/>
        <w:rPr>
          <w:b/>
          <w:bCs/>
          <w:noProof/>
        </w:rPr>
      </w:pPr>
      <w:r>
        <w:rPr>
          <w:noProof/>
        </w:rPr>
        <w:br w:type="page"/>
      </w:r>
    </w:p>
    <w:p w14:paraId="52DAD967" w14:textId="63D5C66A" w:rsidR="00327FF1" w:rsidRDefault="00E406C7">
      <w:pPr>
        <w:pStyle w:val="P68B1DB1-Normal46"/>
        <w:spacing w:after="0" w:line="240" w:lineRule="auto"/>
        <w:jc w:val="both"/>
        <w:textAlignment w:val="baseline"/>
        <w:rPr>
          <w:rFonts w:ascii="Segoe UI" w:hAnsi="Segoe UI" w:cs="Segoe UI"/>
          <w:noProof/>
          <w:sz w:val="18"/>
          <w:szCs w:val="18"/>
        </w:rPr>
      </w:pPr>
      <w:r>
        <w:rPr>
          <w:b/>
          <w:noProof/>
        </w:rPr>
        <w:t xml:space="preserve">Investīcija 2.1. — Loģistikas plāns lauksaimniecības pārtikas, zvejniecības un akvakultūras, </w:t>
      </w:r>
      <w:r>
        <w:rPr>
          <w:b/>
          <w:noProof/>
        </w:rPr>
        <w:t>mežsaimniecības, puķkopības un stādaudzētavas nozarei</w:t>
      </w:r>
      <w:r>
        <w:rPr>
          <w:noProof/>
        </w:rPr>
        <w:t> </w:t>
      </w:r>
    </w:p>
    <w:p w14:paraId="30D31CE9" w14:textId="46F35EED" w:rsidR="00327FF1" w:rsidRDefault="00E406C7">
      <w:pPr>
        <w:pStyle w:val="P68B1DB1-Normal45"/>
        <w:spacing w:after="0" w:line="240" w:lineRule="auto"/>
        <w:jc w:val="both"/>
        <w:textAlignment w:val="baseline"/>
        <w:rPr>
          <w:noProof/>
        </w:rPr>
      </w:pPr>
      <w:r>
        <w:rPr>
          <w:noProof/>
        </w:rPr>
        <w:t>Šīs investīcijas mērķis ir veicināt emisiju samazināšanu transporta un loģistikas posmos lauksaimniecības pārtikas nozarē, veicinot nozares digitalizāciju un atjaunīgās enerģijas izmantošanu. Šis pasāk</w:t>
      </w:r>
      <w:r>
        <w:rPr>
          <w:noProof/>
        </w:rPr>
        <w:t xml:space="preserve">ums ietver atbalsta piešķiršanu materiālajiem un nemateriālajiem ieguldījumiem. </w:t>
      </w:r>
    </w:p>
    <w:p w14:paraId="65F89003" w14:textId="77777777" w:rsidR="00327FF1" w:rsidRDefault="00327FF1">
      <w:pPr>
        <w:spacing w:after="0" w:line="240" w:lineRule="auto"/>
        <w:jc w:val="both"/>
        <w:textAlignment w:val="baseline"/>
        <w:rPr>
          <w:rFonts w:ascii="Segoe UI" w:eastAsia="Times New Roman" w:hAnsi="Segoe UI" w:cs="Segoe UI"/>
          <w:noProof/>
          <w:kern w:val="0"/>
          <w:sz w:val="18"/>
          <w:szCs w:val="18"/>
          <w14:ligatures w14:val="none"/>
        </w:rPr>
      </w:pPr>
    </w:p>
    <w:p w14:paraId="2E08DDFA" w14:textId="77777777" w:rsidR="00327FF1" w:rsidRDefault="00E406C7">
      <w:pPr>
        <w:pStyle w:val="P68B1DB1-Normal46"/>
        <w:spacing w:after="0" w:line="240" w:lineRule="auto"/>
        <w:jc w:val="both"/>
        <w:textAlignment w:val="baseline"/>
        <w:rPr>
          <w:rFonts w:ascii="Segoe UI" w:hAnsi="Segoe UI" w:cs="Segoe UI"/>
          <w:noProof/>
          <w:sz w:val="18"/>
          <w:szCs w:val="18"/>
        </w:rPr>
      </w:pPr>
      <w:r>
        <w:rPr>
          <w:b/>
          <w:noProof/>
        </w:rPr>
        <w:t>Investīcija 2.2. — Lauksaimniecības un saules parks</w:t>
      </w:r>
      <w:r>
        <w:rPr>
          <w:noProof/>
        </w:rPr>
        <w:t> </w:t>
      </w:r>
    </w:p>
    <w:p w14:paraId="253896AA" w14:textId="77777777" w:rsidR="00327FF1" w:rsidRDefault="00E406C7">
      <w:pPr>
        <w:pStyle w:val="P68B1DB1-Normal45"/>
        <w:spacing w:after="0" w:line="240" w:lineRule="auto"/>
        <w:jc w:val="both"/>
        <w:textAlignment w:val="baseline"/>
        <w:rPr>
          <w:noProof/>
        </w:rPr>
      </w:pPr>
      <w:r>
        <w:rPr>
          <w:noProof/>
        </w:rPr>
        <w:t>Šīs investīcijas mērķis ir palielināt lauksaimniecības nozares ilgtspēju un konkurētspēju. Šis pasākums ietver atbalsta p</w:t>
      </w:r>
      <w:r>
        <w:rPr>
          <w:noProof/>
        </w:rPr>
        <w:t>iešķiršanu investīcijām lauksaimniecības, lopkopības un agrorūpniecības nozares struktūrās, lai uzstādītu saules enerģijas paneļus, kā arī papildu intervencēm. </w:t>
      </w:r>
    </w:p>
    <w:p w14:paraId="224CC0BC" w14:textId="77777777" w:rsidR="00327FF1" w:rsidRDefault="00327FF1">
      <w:pPr>
        <w:spacing w:after="0" w:line="240" w:lineRule="auto"/>
        <w:jc w:val="both"/>
        <w:textAlignment w:val="baseline"/>
        <w:rPr>
          <w:rFonts w:ascii="Segoe UI" w:eastAsia="Times New Roman" w:hAnsi="Segoe UI" w:cs="Segoe UI"/>
          <w:noProof/>
          <w:kern w:val="0"/>
          <w:sz w:val="18"/>
          <w:szCs w:val="18"/>
          <w14:ligatures w14:val="none"/>
        </w:rPr>
      </w:pPr>
    </w:p>
    <w:p w14:paraId="06F8BF3E" w14:textId="2D339E0D" w:rsidR="00327FF1" w:rsidRDefault="00E406C7">
      <w:pPr>
        <w:pStyle w:val="P68B1DB1-Normal46"/>
        <w:spacing w:after="0" w:line="240" w:lineRule="auto"/>
        <w:jc w:val="both"/>
        <w:textAlignment w:val="baseline"/>
        <w:rPr>
          <w:rFonts w:ascii="Segoe UI" w:hAnsi="Segoe UI" w:cs="Segoe UI"/>
          <w:noProof/>
          <w:sz w:val="18"/>
          <w:szCs w:val="18"/>
        </w:rPr>
      </w:pPr>
      <w:r>
        <w:rPr>
          <w:b/>
          <w:noProof/>
        </w:rPr>
        <w:t>Investīcija 2.3. — Inovācija un mehanizācija lauksaimniecības un pārtikas nozarē</w:t>
      </w:r>
      <w:r>
        <w:rPr>
          <w:noProof/>
        </w:rPr>
        <w:t xml:space="preserve"> </w:t>
      </w:r>
    </w:p>
    <w:p w14:paraId="0FCD6BF1" w14:textId="1A00BDA1" w:rsidR="00327FF1" w:rsidRDefault="00E406C7">
      <w:pPr>
        <w:pStyle w:val="P68B1DB1-Normal45"/>
        <w:spacing w:after="0" w:line="240" w:lineRule="auto"/>
        <w:jc w:val="both"/>
        <w:textAlignment w:val="baseline"/>
        <w:rPr>
          <w:noProof/>
        </w:rPr>
      </w:pPr>
      <w:r>
        <w:rPr>
          <w:noProof/>
        </w:rPr>
        <w:t>Šīs investīc</w:t>
      </w:r>
      <w:r>
        <w:rPr>
          <w:noProof/>
        </w:rPr>
        <w:t xml:space="preserve">ijas mērķis ir veicināt inovāciju lauksaimniecības un pārtikas nozarē. Šis pasākums ietver atbalsta piešķiršanu ieguldījumiem materiālos un nemateriālos aktīvos. </w:t>
      </w:r>
    </w:p>
    <w:p w14:paraId="65001F7E" w14:textId="77777777" w:rsidR="00327FF1" w:rsidRDefault="00327FF1">
      <w:pPr>
        <w:spacing w:after="0" w:line="240" w:lineRule="auto"/>
        <w:jc w:val="both"/>
        <w:textAlignment w:val="baseline"/>
        <w:rPr>
          <w:rFonts w:ascii="Segoe UI" w:eastAsia="Times New Roman" w:hAnsi="Segoe UI" w:cs="Segoe UI"/>
          <w:noProof/>
          <w:kern w:val="0"/>
          <w:sz w:val="18"/>
          <w:szCs w:val="18"/>
          <w14:ligatures w14:val="none"/>
        </w:rPr>
      </w:pPr>
    </w:p>
    <w:p w14:paraId="56B2BBCA" w14:textId="77777777" w:rsidR="00327FF1" w:rsidRDefault="00E406C7">
      <w:pPr>
        <w:pStyle w:val="P68B1DB1-Normal46"/>
        <w:spacing w:after="0" w:line="240" w:lineRule="auto"/>
        <w:textAlignment w:val="baseline"/>
        <w:rPr>
          <w:rFonts w:ascii="Segoe UI" w:hAnsi="Segoe UI" w:cs="Segoe UI"/>
          <w:noProof/>
          <w:sz w:val="18"/>
          <w:szCs w:val="18"/>
        </w:rPr>
      </w:pPr>
      <w:r>
        <w:rPr>
          <w:b/>
          <w:noProof/>
        </w:rPr>
        <w:t>Investīcija 3.3. — Kultūra un informētība par vides jautājumiem un problēmām</w:t>
      </w:r>
      <w:r>
        <w:rPr>
          <w:noProof/>
        </w:rPr>
        <w:t> </w:t>
      </w:r>
    </w:p>
    <w:p w14:paraId="21DB19EA" w14:textId="0EEC83F9" w:rsidR="00327FF1" w:rsidRDefault="00E406C7">
      <w:pPr>
        <w:pStyle w:val="P68B1DB1-Normal45"/>
        <w:spacing w:after="0" w:line="240" w:lineRule="auto"/>
        <w:jc w:val="both"/>
        <w:textAlignment w:val="baseline"/>
        <w:rPr>
          <w:noProof/>
        </w:rPr>
      </w:pPr>
      <w:r>
        <w:rPr>
          <w:noProof/>
        </w:rPr>
        <w:t>Šis šīs invest</w:t>
      </w:r>
      <w:r>
        <w:rPr>
          <w:noProof/>
        </w:rPr>
        <w:t>īcijas mērķis ir digitālā satura projektēšana un ražošana, lai palielinātu informētību par vides un klimata problēmām. Investīcija ietver tiešsaistes platformas izveidi bez abonementa, lai izveidotu izglītības un atpūtas materiālu repozitoriju par tematiem</w:t>
      </w:r>
      <w:r>
        <w:rPr>
          <w:noProof/>
        </w:rPr>
        <w:t xml:space="preserve">, kas saistīti ar vidi. </w:t>
      </w:r>
    </w:p>
    <w:p w14:paraId="2F31477F" w14:textId="77777777" w:rsidR="00327FF1" w:rsidRDefault="00327FF1">
      <w:pPr>
        <w:spacing w:after="0" w:line="240" w:lineRule="auto"/>
        <w:jc w:val="both"/>
        <w:textAlignment w:val="baseline"/>
        <w:rPr>
          <w:rFonts w:ascii="Times New Roman" w:eastAsia="Times New Roman" w:hAnsi="Times New Roman" w:cs="Times New Roman"/>
          <w:noProof/>
          <w:kern w:val="0"/>
          <w:sz w:val="24"/>
          <w:szCs w:val="24"/>
          <w14:ligatures w14:val="none"/>
        </w:rPr>
      </w:pPr>
    </w:p>
    <w:p w14:paraId="51ADAF0C" w14:textId="77777777" w:rsidR="00327FF1" w:rsidRDefault="00327FF1">
      <w:pPr>
        <w:spacing w:after="0" w:line="240" w:lineRule="auto"/>
        <w:jc w:val="both"/>
        <w:textAlignment w:val="baseline"/>
        <w:rPr>
          <w:rFonts w:ascii="Times New Roman" w:eastAsia="Times New Roman" w:hAnsi="Times New Roman" w:cs="Times New Roman"/>
          <w:noProof/>
          <w:kern w:val="0"/>
          <w:sz w:val="24"/>
          <w:szCs w:val="24"/>
          <w14:ligatures w14:val="none"/>
        </w:rPr>
        <w:sectPr w:rsidR="00327FF1" w:rsidSect="00726CF9">
          <w:headerReference w:type="default" r:id="rId76"/>
          <w:footerReference w:type="default" r:id="rId77"/>
          <w:pgSz w:w="11906" w:h="16838"/>
          <w:pgMar w:top="1440" w:right="1440" w:bottom="1440" w:left="1440" w:header="708" w:footer="708" w:gutter="0"/>
          <w:cols w:space="708"/>
          <w:docGrid w:linePitch="360"/>
        </w:sectPr>
      </w:pPr>
    </w:p>
    <w:p w14:paraId="333CFE1E" w14:textId="77777777" w:rsidR="00327FF1" w:rsidRDefault="00327FF1">
      <w:pPr>
        <w:spacing w:after="0" w:line="240" w:lineRule="auto"/>
        <w:jc w:val="both"/>
        <w:textAlignment w:val="baseline"/>
        <w:rPr>
          <w:rFonts w:ascii="Segoe UI" w:eastAsia="Times New Roman" w:hAnsi="Segoe UI" w:cs="Segoe UI"/>
          <w:noProof/>
          <w:kern w:val="0"/>
          <w:sz w:val="18"/>
          <w:szCs w:val="18"/>
          <w14:ligatures w14:val="none"/>
        </w:rPr>
      </w:pPr>
    </w:p>
    <w:p w14:paraId="58D88F4F" w14:textId="77777777" w:rsidR="00327FF1" w:rsidRDefault="00E406C7">
      <w:pPr>
        <w:pStyle w:val="P68B1DB1-Heading347"/>
        <w:ind w:left="850" w:hanging="850"/>
        <w:rPr>
          <w:bCs/>
          <w:noProof/>
        </w:rPr>
      </w:pPr>
      <w:r>
        <w:rPr>
          <w:noProof/>
        </w:rPr>
        <w:t xml:space="preserve">D.2. </w:t>
      </w:r>
      <w:r>
        <w:rPr>
          <w:noProof/>
        </w:rPr>
        <w:tab/>
        <w:t>Starpposma mērķi, mērķrādītāji, rādītāji un neatmaksājama finansiālā atbalsta uzraudzības un īstenošanas grafiks </w:t>
      </w:r>
    </w:p>
    <w:tbl>
      <w:tblPr>
        <w:tblW w:w="1516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58"/>
        <w:gridCol w:w="1400"/>
        <w:gridCol w:w="1615"/>
        <w:gridCol w:w="1670"/>
        <w:gridCol w:w="1633"/>
        <w:gridCol w:w="1087"/>
        <w:gridCol w:w="1260"/>
        <w:gridCol w:w="1167"/>
        <w:gridCol w:w="883"/>
        <w:gridCol w:w="582"/>
        <w:gridCol w:w="2713"/>
      </w:tblGrid>
      <w:tr w:rsidR="00327FF1" w14:paraId="4FFB539A" w14:textId="77777777">
        <w:trPr>
          <w:trHeight w:val="300"/>
          <w:tblHeader/>
        </w:trPr>
        <w:tc>
          <w:tcPr>
            <w:tcW w:w="1276" w:type="dxa"/>
            <w:vMerge w:val="restart"/>
            <w:shd w:val="clear" w:color="auto" w:fill="BDD7EE"/>
            <w:vAlign w:val="center"/>
            <w:hideMark/>
          </w:tcPr>
          <w:p w14:paraId="06FEAAE3"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Kārtas numurs</w:t>
            </w:r>
            <w:r>
              <w:rPr>
                <w:noProof/>
              </w:rPr>
              <w:t> </w:t>
            </w:r>
          </w:p>
        </w:tc>
        <w:tc>
          <w:tcPr>
            <w:tcW w:w="1418" w:type="dxa"/>
            <w:vMerge w:val="restart"/>
            <w:shd w:val="clear" w:color="auto" w:fill="BDD7EE"/>
            <w:vAlign w:val="center"/>
            <w:hideMark/>
          </w:tcPr>
          <w:p w14:paraId="72EE6A21"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 xml:space="preserve">Saistītais pasākums (reforma vai </w:t>
            </w:r>
            <w:r>
              <w:rPr>
                <w:b/>
                <w:noProof/>
              </w:rPr>
              <w:t>ieguldījums)</w:t>
            </w:r>
            <w:r>
              <w:rPr>
                <w:noProof/>
              </w:rPr>
              <w:t> </w:t>
            </w:r>
          </w:p>
        </w:tc>
        <w:tc>
          <w:tcPr>
            <w:tcW w:w="1276" w:type="dxa"/>
            <w:vMerge w:val="restart"/>
            <w:shd w:val="clear" w:color="auto" w:fill="BDD7EE"/>
            <w:vAlign w:val="center"/>
            <w:hideMark/>
          </w:tcPr>
          <w:p w14:paraId="3F6A5F83"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Atskaites punkts/mērķrādītājs</w:t>
            </w:r>
            <w:r>
              <w:rPr>
                <w:noProof/>
              </w:rPr>
              <w:t> </w:t>
            </w:r>
          </w:p>
        </w:tc>
        <w:tc>
          <w:tcPr>
            <w:tcW w:w="1701" w:type="dxa"/>
            <w:vMerge w:val="restart"/>
            <w:shd w:val="clear" w:color="auto" w:fill="BDD7EE"/>
            <w:vAlign w:val="center"/>
            <w:hideMark/>
          </w:tcPr>
          <w:p w14:paraId="6EDEF13D"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Nosaukums</w:t>
            </w:r>
            <w:r>
              <w:rPr>
                <w:noProof/>
              </w:rPr>
              <w:t> </w:t>
            </w:r>
          </w:p>
        </w:tc>
        <w:tc>
          <w:tcPr>
            <w:tcW w:w="1771" w:type="dxa"/>
            <w:vMerge w:val="restart"/>
            <w:shd w:val="clear" w:color="auto" w:fill="BDD7EE"/>
            <w:vAlign w:val="center"/>
            <w:hideMark/>
          </w:tcPr>
          <w:p w14:paraId="79D9AA64" w14:textId="7C373D79"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Kvalitātes rādītāji</w:t>
            </w:r>
            <w:r>
              <w:rPr>
                <w:noProof/>
              </w:rPr>
              <w:br/>
            </w:r>
            <w:r>
              <w:rPr>
                <w:b/>
                <w:noProof/>
              </w:rPr>
              <w:t>(attiecībā uz starpposma mērķiem)</w:t>
            </w:r>
            <w:r>
              <w:rPr>
                <w:noProof/>
              </w:rPr>
              <w:t> </w:t>
            </w:r>
          </w:p>
        </w:tc>
        <w:tc>
          <w:tcPr>
            <w:tcW w:w="3338" w:type="dxa"/>
            <w:gridSpan w:val="3"/>
            <w:shd w:val="clear" w:color="auto" w:fill="BDD7EE"/>
            <w:vAlign w:val="center"/>
            <w:hideMark/>
          </w:tcPr>
          <w:p w14:paraId="2E6ABAA3" w14:textId="6612BE6F"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Kvantitatīvie rādītāji</w:t>
            </w:r>
            <w:r>
              <w:rPr>
                <w:noProof/>
              </w:rPr>
              <w:br/>
            </w:r>
            <w:r>
              <w:rPr>
                <w:b/>
                <w:noProof/>
              </w:rPr>
              <w:t>(mērķiem)</w:t>
            </w:r>
            <w:r>
              <w:rPr>
                <w:noProof/>
              </w:rPr>
              <w:t> </w:t>
            </w:r>
          </w:p>
        </w:tc>
        <w:tc>
          <w:tcPr>
            <w:tcW w:w="1508" w:type="dxa"/>
            <w:gridSpan w:val="2"/>
            <w:shd w:val="clear" w:color="auto" w:fill="BDD7EE"/>
            <w:vAlign w:val="center"/>
            <w:hideMark/>
          </w:tcPr>
          <w:p w14:paraId="4F86BFE1"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Orientējošs pabeigšanas termiņš</w:t>
            </w:r>
            <w:r>
              <w:rPr>
                <w:noProof/>
              </w:rPr>
              <w:t> </w:t>
            </w:r>
          </w:p>
        </w:tc>
        <w:tc>
          <w:tcPr>
            <w:tcW w:w="2880" w:type="dxa"/>
            <w:vMerge w:val="restart"/>
            <w:shd w:val="clear" w:color="auto" w:fill="BDD7EE"/>
            <w:vAlign w:val="center"/>
            <w:hideMark/>
          </w:tcPr>
          <w:p w14:paraId="7F7BEB35" w14:textId="77777777" w:rsidR="00327FF1" w:rsidRDefault="00E406C7">
            <w:pPr>
              <w:pStyle w:val="P68B1DB1-Normal49"/>
              <w:spacing w:after="0" w:line="240" w:lineRule="auto"/>
              <w:textAlignment w:val="baseline"/>
              <w:rPr>
                <w:rFonts w:ascii="Times New Roman" w:hAnsi="Times New Roman"/>
                <w:noProof/>
                <w:sz w:val="24"/>
                <w:szCs w:val="24"/>
              </w:rPr>
            </w:pPr>
            <w:r>
              <w:rPr>
                <w:b/>
                <w:noProof/>
              </w:rPr>
              <w:t>Apraksts par katru atskaites punktu un mērķrādītāju</w:t>
            </w:r>
            <w:r>
              <w:rPr>
                <w:noProof/>
              </w:rPr>
              <w:t> </w:t>
            </w:r>
          </w:p>
        </w:tc>
      </w:tr>
      <w:tr w:rsidR="00327FF1" w14:paraId="5CC718B7" w14:textId="77777777">
        <w:trPr>
          <w:trHeight w:val="300"/>
          <w:tblHeader/>
        </w:trPr>
        <w:tc>
          <w:tcPr>
            <w:tcW w:w="1276" w:type="dxa"/>
            <w:vMerge/>
            <w:vAlign w:val="center"/>
            <w:hideMark/>
          </w:tcPr>
          <w:p w14:paraId="77C324D1" w14:textId="77777777" w:rsidR="00327FF1" w:rsidRDefault="00327FF1">
            <w:pPr>
              <w:spacing w:after="0" w:line="240" w:lineRule="auto"/>
              <w:rPr>
                <w:rFonts w:ascii="Times New Roman" w:eastAsia="Times New Roman" w:hAnsi="Times New Roman" w:cs="Times New Roman"/>
                <w:noProof/>
                <w:kern w:val="0"/>
                <w:sz w:val="24"/>
                <w:szCs w:val="24"/>
                <w14:ligatures w14:val="none"/>
              </w:rPr>
            </w:pPr>
          </w:p>
        </w:tc>
        <w:tc>
          <w:tcPr>
            <w:tcW w:w="1418" w:type="dxa"/>
            <w:vMerge/>
            <w:vAlign w:val="center"/>
            <w:hideMark/>
          </w:tcPr>
          <w:p w14:paraId="14685905" w14:textId="77777777" w:rsidR="00327FF1" w:rsidRDefault="00327FF1">
            <w:pPr>
              <w:spacing w:after="0" w:line="240" w:lineRule="auto"/>
              <w:rPr>
                <w:rFonts w:ascii="Times New Roman" w:eastAsia="Times New Roman" w:hAnsi="Times New Roman" w:cs="Times New Roman"/>
                <w:noProof/>
                <w:kern w:val="0"/>
                <w:sz w:val="24"/>
                <w:szCs w:val="24"/>
                <w14:ligatures w14:val="none"/>
              </w:rPr>
            </w:pPr>
          </w:p>
        </w:tc>
        <w:tc>
          <w:tcPr>
            <w:tcW w:w="1276" w:type="dxa"/>
            <w:vMerge/>
            <w:vAlign w:val="center"/>
            <w:hideMark/>
          </w:tcPr>
          <w:p w14:paraId="022BC84C" w14:textId="77777777" w:rsidR="00327FF1" w:rsidRDefault="00327FF1">
            <w:pPr>
              <w:spacing w:after="0" w:line="240" w:lineRule="auto"/>
              <w:rPr>
                <w:rFonts w:ascii="Times New Roman" w:eastAsia="Times New Roman" w:hAnsi="Times New Roman" w:cs="Times New Roman"/>
                <w:noProof/>
                <w:kern w:val="0"/>
                <w:sz w:val="24"/>
                <w:szCs w:val="24"/>
                <w14:ligatures w14:val="none"/>
              </w:rPr>
            </w:pPr>
          </w:p>
        </w:tc>
        <w:tc>
          <w:tcPr>
            <w:tcW w:w="1701" w:type="dxa"/>
            <w:vMerge/>
            <w:vAlign w:val="center"/>
            <w:hideMark/>
          </w:tcPr>
          <w:p w14:paraId="64AFB6EB" w14:textId="77777777" w:rsidR="00327FF1" w:rsidRDefault="00327FF1">
            <w:pPr>
              <w:spacing w:after="0" w:line="240" w:lineRule="auto"/>
              <w:rPr>
                <w:rFonts w:ascii="Times New Roman" w:eastAsia="Times New Roman" w:hAnsi="Times New Roman" w:cs="Times New Roman"/>
                <w:noProof/>
                <w:kern w:val="0"/>
                <w:sz w:val="24"/>
                <w:szCs w:val="24"/>
                <w14:ligatures w14:val="none"/>
              </w:rPr>
            </w:pPr>
          </w:p>
        </w:tc>
        <w:tc>
          <w:tcPr>
            <w:tcW w:w="1771" w:type="dxa"/>
            <w:vMerge/>
            <w:vAlign w:val="center"/>
            <w:hideMark/>
          </w:tcPr>
          <w:p w14:paraId="44092EC3" w14:textId="77777777" w:rsidR="00327FF1" w:rsidRDefault="00327FF1">
            <w:pPr>
              <w:spacing w:after="0" w:line="240" w:lineRule="auto"/>
              <w:rPr>
                <w:rFonts w:ascii="Times New Roman" w:eastAsia="Times New Roman" w:hAnsi="Times New Roman" w:cs="Times New Roman"/>
                <w:noProof/>
                <w:kern w:val="0"/>
                <w:sz w:val="24"/>
                <w:szCs w:val="24"/>
                <w14:ligatures w14:val="none"/>
              </w:rPr>
            </w:pPr>
          </w:p>
        </w:tc>
        <w:tc>
          <w:tcPr>
            <w:tcW w:w="1098" w:type="dxa"/>
            <w:shd w:val="clear" w:color="auto" w:fill="BDD7EE"/>
            <w:vAlign w:val="center"/>
            <w:hideMark/>
          </w:tcPr>
          <w:p w14:paraId="2F53D412"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Mēra vienība</w:t>
            </w:r>
            <w:r>
              <w:rPr>
                <w:noProof/>
              </w:rPr>
              <w:t> </w:t>
            </w:r>
          </w:p>
        </w:tc>
        <w:tc>
          <w:tcPr>
            <w:tcW w:w="1043" w:type="dxa"/>
            <w:shd w:val="clear" w:color="auto" w:fill="BDD7EE"/>
            <w:vAlign w:val="center"/>
            <w:hideMark/>
          </w:tcPr>
          <w:p w14:paraId="3DFB793A"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Pamatscenārijs</w:t>
            </w:r>
            <w:r>
              <w:rPr>
                <w:noProof/>
              </w:rPr>
              <w:t> </w:t>
            </w:r>
          </w:p>
        </w:tc>
        <w:tc>
          <w:tcPr>
            <w:tcW w:w="1197" w:type="dxa"/>
            <w:shd w:val="clear" w:color="auto" w:fill="BDD7EE"/>
            <w:vAlign w:val="center"/>
            <w:hideMark/>
          </w:tcPr>
          <w:p w14:paraId="736672DE"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Mērķis</w:t>
            </w:r>
            <w:r>
              <w:rPr>
                <w:noProof/>
              </w:rPr>
              <w:t> </w:t>
            </w:r>
          </w:p>
        </w:tc>
        <w:tc>
          <w:tcPr>
            <w:tcW w:w="900" w:type="dxa"/>
            <w:shd w:val="clear" w:color="auto" w:fill="BDD7EE"/>
            <w:vAlign w:val="center"/>
            <w:hideMark/>
          </w:tcPr>
          <w:p w14:paraId="3C51B5D2"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Ceturkšņa laikā</w:t>
            </w:r>
            <w:r>
              <w:rPr>
                <w:noProof/>
              </w:rPr>
              <w:t> </w:t>
            </w:r>
          </w:p>
        </w:tc>
        <w:tc>
          <w:tcPr>
            <w:tcW w:w="608" w:type="dxa"/>
            <w:shd w:val="clear" w:color="auto" w:fill="BDD7EE"/>
            <w:vAlign w:val="center"/>
            <w:hideMark/>
          </w:tcPr>
          <w:p w14:paraId="25B906D7"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Gadu</w:t>
            </w:r>
            <w:r>
              <w:rPr>
                <w:noProof/>
              </w:rPr>
              <w:t> </w:t>
            </w:r>
          </w:p>
        </w:tc>
        <w:tc>
          <w:tcPr>
            <w:tcW w:w="2880" w:type="dxa"/>
            <w:vMerge/>
            <w:vAlign w:val="center"/>
            <w:hideMark/>
          </w:tcPr>
          <w:p w14:paraId="46483FDF" w14:textId="77777777" w:rsidR="00327FF1" w:rsidRDefault="00327FF1">
            <w:pPr>
              <w:spacing w:after="0" w:line="240" w:lineRule="auto"/>
              <w:rPr>
                <w:rFonts w:ascii="Times New Roman" w:eastAsia="Times New Roman" w:hAnsi="Times New Roman" w:cs="Times New Roman"/>
                <w:noProof/>
                <w:kern w:val="0"/>
                <w:sz w:val="24"/>
                <w:szCs w:val="24"/>
                <w14:ligatures w14:val="none"/>
              </w:rPr>
            </w:pPr>
          </w:p>
        </w:tc>
      </w:tr>
      <w:tr w:rsidR="00327FF1" w14:paraId="029204D0" w14:textId="77777777">
        <w:trPr>
          <w:trHeight w:val="300"/>
        </w:trPr>
        <w:tc>
          <w:tcPr>
            <w:tcW w:w="1276" w:type="dxa"/>
            <w:shd w:val="clear" w:color="auto" w:fill="C6EFCE"/>
            <w:vAlign w:val="center"/>
            <w:hideMark/>
          </w:tcPr>
          <w:p w14:paraId="5D0C01F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 </w:t>
            </w:r>
          </w:p>
        </w:tc>
        <w:tc>
          <w:tcPr>
            <w:tcW w:w="1418" w:type="dxa"/>
            <w:shd w:val="clear" w:color="auto" w:fill="C6EFCE"/>
            <w:vAlign w:val="center"/>
            <w:hideMark/>
          </w:tcPr>
          <w:p w14:paraId="30B53B20"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Reforma Nr. 1.1 — Valsts stratēģija pārejai uz aprites ekonomiku </w:t>
            </w:r>
          </w:p>
        </w:tc>
        <w:tc>
          <w:tcPr>
            <w:tcW w:w="1276" w:type="dxa"/>
            <w:shd w:val="clear" w:color="auto" w:fill="C6EFCE"/>
            <w:vAlign w:val="center"/>
            <w:hideMark/>
          </w:tcPr>
          <w:p w14:paraId="33AA09E6"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Atskaites punkts </w:t>
            </w:r>
          </w:p>
        </w:tc>
        <w:tc>
          <w:tcPr>
            <w:tcW w:w="1701" w:type="dxa"/>
            <w:shd w:val="clear" w:color="auto" w:fill="C6EFCE"/>
            <w:vAlign w:val="center"/>
            <w:hideMark/>
          </w:tcPr>
          <w:p w14:paraId="1D4A9D2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Stājas spēkā Ministrijas dekrēts par valsts stratēģijas pārejai uz aprites ekonomiku pieņemšanu </w:t>
            </w:r>
          </w:p>
        </w:tc>
        <w:tc>
          <w:tcPr>
            <w:tcW w:w="1771" w:type="dxa"/>
            <w:shd w:val="clear" w:color="auto" w:fill="C6EFCE"/>
            <w:vAlign w:val="center"/>
            <w:hideMark/>
          </w:tcPr>
          <w:p w14:paraId="527B26B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Ministrijas </w:t>
            </w:r>
            <w:r>
              <w:rPr>
                <w:noProof/>
              </w:rPr>
              <w:t>dekrēta noteikums par stāšanos spēkā </w:t>
            </w:r>
          </w:p>
        </w:tc>
        <w:tc>
          <w:tcPr>
            <w:tcW w:w="1098" w:type="dxa"/>
            <w:shd w:val="clear" w:color="auto" w:fill="C6EFCE"/>
            <w:vAlign w:val="center"/>
            <w:hideMark/>
          </w:tcPr>
          <w:p w14:paraId="59896D5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043" w:type="dxa"/>
            <w:shd w:val="clear" w:color="auto" w:fill="C6EFCE"/>
            <w:vAlign w:val="center"/>
            <w:hideMark/>
          </w:tcPr>
          <w:p w14:paraId="083445D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197" w:type="dxa"/>
            <w:shd w:val="clear" w:color="auto" w:fill="C6EFCE"/>
            <w:vAlign w:val="center"/>
            <w:hideMark/>
          </w:tcPr>
          <w:p w14:paraId="5867715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00" w:type="dxa"/>
            <w:shd w:val="clear" w:color="auto" w:fill="C6EFCE"/>
            <w:vAlign w:val="center"/>
            <w:hideMark/>
          </w:tcPr>
          <w:p w14:paraId="1374E21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08" w:type="dxa"/>
            <w:shd w:val="clear" w:color="auto" w:fill="C6EFCE"/>
            <w:vAlign w:val="center"/>
            <w:hideMark/>
          </w:tcPr>
          <w:p w14:paraId="0612560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2022 </w:t>
            </w:r>
          </w:p>
        </w:tc>
        <w:tc>
          <w:tcPr>
            <w:tcW w:w="2880" w:type="dxa"/>
            <w:shd w:val="clear" w:color="auto" w:fill="C6EFCE"/>
            <w:vAlign w:val="center"/>
            <w:hideMark/>
          </w:tcPr>
          <w:p w14:paraId="087A79C6"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Ministrijas dekrētā par valsts aprites ekonomikas stratēģijas pieņemšanu ietver vismaz šādus pasākumus: </w:t>
            </w:r>
          </w:p>
          <w:p w14:paraId="5D9E5BBF" w14:textId="77777777" w:rsidR="00327FF1" w:rsidRDefault="00E406C7">
            <w:pPr>
              <w:pStyle w:val="P68B1DB1-ListParagraph51"/>
              <w:numPr>
                <w:ilvl w:val="0"/>
                <w:numId w:val="176"/>
              </w:numPr>
              <w:spacing w:after="0" w:line="240" w:lineRule="auto"/>
              <w:textAlignment w:val="baseline"/>
              <w:rPr>
                <w:noProof/>
              </w:rPr>
            </w:pPr>
            <w:r>
              <w:rPr>
                <w:noProof/>
              </w:rPr>
              <w:t>jauna digitāla atkritumu izsekojamības sistēma, kas, no vienas pu</w:t>
            </w:r>
            <w:r>
              <w:rPr>
                <w:noProof/>
              </w:rPr>
              <w:t>ses, atbalsta otrreizējā izejvielu tirgus attīstību (nodrošinot skaidru otrreizējo izejvielu piegādes sistēmu), no otras puses, kontroles iestādēm atkritumu nelikumīgas apsaimniekošanas novēršanā un apkarošanā. </w:t>
            </w:r>
          </w:p>
          <w:p w14:paraId="1F329EC8" w14:textId="77777777" w:rsidR="00327FF1" w:rsidRDefault="00E406C7">
            <w:pPr>
              <w:pStyle w:val="P68B1DB1-ListParagraph51"/>
              <w:numPr>
                <w:ilvl w:val="0"/>
                <w:numId w:val="176"/>
              </w:numPr>
              <w:spacing w:after="0" w:line="240" w:lineRule="auto"/>
              <w:textAlignment w:val="baseline"/>
              <w:rPr>
                <w:noProof/>
              </w:rPr>
            </w:pPr>
            <w:r>
              <w:rPr>
                <w:noProof/>
              </w:rPr>
              <w:t>nodokļu atvieglojumi, lai atbalstītu reciklē</w:t>
            </w:r>
            <w:r>
              <w:rPr>
                <w:noProof/>
              </w:rPr>
              <w:t>šanas darbības un otrreizējo izejvielu izmantošanu; </w:t>
            </w:r>
          </w:p>
          <w:p w14:paraId="740223D0" w14:textId="77777777" w:rsidR="00327FF1" w:rsidRDefault="00E406C7">
            <w:pPr>
              <w:pStyle w:val="P68B1DB1-ListParagraph52"/>
              <w:numPr>
                <w:ilvl w:val="0"/>
                <w:numId w:val="176"/>
              </w:numPr>
              <w:spacing w:after="0" w:line="240" w:lineRule="auto"/>
              <w:textAlignment w:val="baseline"/>
              <w:rPr>
                <w:rFonts w:cs="Times New Roman"/>
                <w:noProof/>
              </w:rPr>
            </w:pPr>
            <w:r>
              <w:rPr>
                <w:noProof/>
              </w:rPr>
              <w:t>pārskatīt vides nodokļu sistēmu atkritumiem, lai pārstrādi padarītu ērtāku nekā atkritumu apglabāšanu poligonos un sadedzināšanu visā valsts teritorijā; </w:t>
            </w:r>
          </w:p>
          <w:p w14:paraId="1124D581" w14:textId="77777777" w:rsidR="00327FF1" w:rsidRDefault="00E406C7">
            <w:pPr>
              <w:pStyle w:val="P68B1DB1-ListParagraph51"/>
              <w:numPr>
                <w:ilvl w:val="0"/>
                <w:numId w:val="176"/>
              </w:numPr>
              <w:spacing w:after="0" w:line="240" w:lineRule="auto"/>
              <w:textAlignment w:val="baseline"/>
              <w:rPr>
                <w:noProof/>
              </w:rPr>
            </w:pPr>
            <w:r>
              <w:rPr>
                <w:noProof/>
              </w:rPr>
              <w:t>tiesības uz atkalizmantošanu un remontu; </w:t>
            </w:r>
          </w:p>
          <w:p w14:paraId="4D1F81EA" w14:textId="77777777" w:rsidR="00327FF1" w:rsidRDefault="00E406C7">
            <w:pPr>
              <w:pStyle w:val="P68B1DB1-ListParagraph51"/>
              <w:numPr>
                <w:ilvl w:val="0"/>
                <w:numId w:val="176"/>
              </w:numPr>
              <w:spacing w:after="0" w:line="240" w:lineRule="auto"/>
              <w:textAlignment w:val="baseline"/>
              <w:rPr>
                <w:noProof/>
              </w:rPr>
            </w:pPr>
            <w:r>
              <w:rPr>
                <w:noProof/>
              </w:rPr>
              <w:t>paplašinātas ražotāja atbildības un konsorciju sistēmas reforma, lai atbalstītu ES mērķu sasniegšanu, MITE vadībā izveidojot īpašu uzraudzības struktūru ar mērķi uzraudzīt konsorciju sistēmu darbību un efektivitāti; </w:t>
            </w:r>
          </w:p>
          <w:p w14:paraId="4CC7D5DC" w14:textId="78209471" w:rsidR="00327FF1" w:rsidRDefault="00E406C7">
            <w:pPr>
              <w:pStyle w:val="P68B1DB1-ListParagraph51"/>
              <w:numPr>
                <w:ilvl w:val="0"/>
                <w:numId w:val="176"/>
              </w:numPr>
              <w:spacing w:after="0" w:line="240" w:lineRule="auto"/>
              <w:textAlignment w:val="baseline"/>
              <w:rPr>
                <w:noProof/>
              </w:rPr>
            </w:pPr>
            <w:r>
              <w:rPr>
                <w:noProof/>
              </w:rPr>
              <w:t>atbalsts esošajiem regulatīvajiem instr</w:t>
            </w:r>
            <w:r>
              <w:rPr>
                <w:noProof/>
              </w:rPr>
              <w:t>umentiem: Tiesību aktu par atkritumiem izbeigšana (valsts un reģionālā līmenī), minimālie vides kritēriji (CAM) saskaņā ar zaļo publisko iepirkumu. EOW un CAM izstrādē/atjaunināšanā īpaši pievēršas būvniecībai, tekstilrūpniecībai, plastmasai, elektrisko un</w:t>
            </w:r>
            <w:r>
              <w:rPr>
                <w:noProof/>
              </w:rPr>
              <w:t xml:space="preserve"> elektronisko iekārtu atkritumiem (EEIA). </w:t>
            </w:r>
          </w:p>
          <w:p w14:paraId="29642952" w14:textId="77777777" w:rsidR="00327FF1" w:rsidRDefault="00E406C7">
            <w:pPr>
              <w:pStyle w:val="P68B1DB1-ListParagraph51"/>
              <w:numPr>
                <w:ilvl w:val="0"/>
                <w:numId w:val="176"/>
              </w:numPr>
              <w:spacing w:after="0" w:line="240" w:lineRule="auto"/>
              <w:textAlignment w:val="baseline"/>
              <w:rPr>
                <w:noProof/>
              </w:rPr>
            </w:pPr>
            <w:r>
              <w:rPr>
                <w:noProof/>
              </w:rPr>
              <w:t>atbalsts rūpnieciskās simbiozes projektam, izmantojot regulatīvus un finanšu instrumentus.) </w:t>
            </w:r>
          </w:p>
        </w:tc>
      </w:tr>
      <w:tr w:rsidR="00327FF1" w14:paraId="4383217E" w14:textId="77777777">
        <w:trPr>
          <w:trHeight w:val="300"/>
        </w:trPr>
        <w:tc>
          <w:tcPr>
            <w:tcW w:w="1276" w:type="dxa"/>
            <w:shd w:val="clear" w:color="auto" w:fill="C6EFCE"/>
            <w:vAlign w:val="center"/>
            <w:hideMark/>
          </w:tcPr>
          <w:p w14:paraId="36CF40C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M2C1–2 </w:t>
            </w:r>
          </w:p>
        </w:tc>
        <w:tc>
          <w:tcPr>
            <w:tcW w:w="1418" w:type="dxa"/>
            <w:shd w:val="clear" w:color="auto" w:fill="C6EFCE"/>
            <w:vAlign w:val="center"/>
            <w:hideMark/>
          </w:tcPr>
          <w:p w14:paraId="47F417D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Reforma. Tehniskais atbalsts vietējām pašvaldībām </w:t>
            </w:r>
          </w:p>
        </w:tc>
        <w:tc>
          <w:tcPr>
            <w:tcW w:w="1276" w:type="dxa"/>
            <w:shd w:val="clear" w:color="auto" w:fill="C6EFCE"/>
            <w:vAlign w:val="center"/>
            <w:hideMark/>
          </w:tcPr>
          <w:p w14:paraId="7A444B6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Atskaites punkts </w:t>
            </w:r>
          </w:p>
        </w:tc>
        <w:tc>
          <w:tcPr>
            <w:tcW w:w="1701" w:type="dxa"/>
            <w:shd w:val="clear" w:color="auto" w:fill="C6EFCE"/>
            <w:vAlign w:val="center"/>
            <w:hideMark/>
          </w:tcPr>
          <w:p w14:paraId="290DB19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Vienošanās apstiprināšana par rīcības </w:t>
            </w:r>
            <w:r>
              <w:rPr>
                <w:noProof/>
              </w:rPr>
              <w:t>plāna “Veicināt spēju veidošanas spējas” izstrādi, lai atbalstītu vietējās publiskās iestādes </w:t>
            </w:r>
          </w:p>
        </w:tc>
        <w:tc>
          <w:tcPr>
            <w:tcW w:w="1771" w:type="dxa"/>
            <w:shd w:val="clear" w:color="auto" w:fill="C6EFCE"/>
            <w:vAlign w:val="center"/>
            <w:hideMark/>
          </w:tcPr>
          <w:p w14:paraId="0D63D65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Apstiprinātās vienošanās publicēšana ministrijas tīmekļa vietnē </w:t>
            </w:r>
          </w:p>
        </w:tc>
        <w:tc>
          <w:tcPr>
            <w:tcW w:w="1098" w:type="dxa"/>
            <w:shd w:val="clear" w:color="auto" w:fill="C6EFCE"/>
            <w:vAlign w:val="center"/>
            <w:hideMark/>
          </w:tcPr>
          <w:p w14:paraId="4A227636"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043" w:type="dxa"/>
            <w:shd w:val="clear" w:color="auto" w:fill="C6EFCE"/>
            <w:vAlign w:val="center"/>
            <w:hideMark/>
          </w:tcPr>
          <w:p w14:paraId="271DCEB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197" w:type="dxa"/>
            <w:shd w:val="clear" w:color="auto" w:fill="C6EFCE"/>
            <w:vAlign w:val="center"/>
            <w:hideMark/>
          </w:tcPr>
          <w:p w14:paraId="3D8FCE7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00" w:type="dxa"/>
            <w:shd w:val="clear" w:color="auto" w:fill="C6EFCE"/>
            <w:vAlign w:val="center"/>
            <w:hideMark/>
          </w:tcPr>
          <w:p w14:paraId="50F0ADD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08" w:type="dxa"/>
            <w:shd w:val="clear" w:color="auto" w:fill="C6EFCE"/>
            <w:vAlign w:val="center"/>
            <w:hideMark/>
          </w:tcPr>
          <w:p w14:paraId="3C498ED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2022 </w:t>
            </w:r>
          </w:p>
        </w:tc>
        <w:tc>
          <w:tcPr>
            <w:tcW w:w="2880" w:type="dxa"/>
            <w:shd w:val="clear" w:color="auto" w:fill="C6EFCE"/>
            <w:vAlign w:val="center"/>
            <w:hideMark/>
          </w:tcPr>
          <w:p w14:paraId="6CFA5686" w14:textId="14EBB761" w:rsidR="00327FF1" w:rsidRDefault="00E406C7">
            <w:pPr>
              <w:pStyle w:val="P68B1DB1-Normal50"/>
              <w:spacing w:after="0" w:line="240" w:lineRule="auto"/>
              <w:textAlignment w:val="baseline"/>
              <w:rPr>
                <w:rFonts w:ascii="Times New Roman" w:hAnsi="Times New Roman"/>
                <w:noProof/>
                <w:sz w:val="24"/>
                <w:szCs w:val="24"/>
              </w:rPr>
            </w:pPr>
            <w:r>
              <w:rPr>
                <w:noProof/>
              </w:rPr>
              <w:t>Tiek apstiprināta vienošanās par to, kā izstrādā</w:t>
            </w:r>
            <w:r>
              <w:rPr>
                <w:noProof/>
              </w:rPr>
              <w:t>t rīcības plānu attiecībā uz spēju veidošanu, lai palīdzētu vietējām publiskajām iestādēm konkursa procedūrās īstenot likumā (Likumdošanas dekrēts Nr. 50/2016 par publisko iepirkumu) noteikto minimālo vides kritēriju (CAM) saskaņā ar zaļo publisko iepirkum</w:t>
            </w:r>
            <w:r>
              <w:rPr>
                <w:noProof/>
              </w:rPr>
              <w:t>u (GPP) un sākt atbalsta darbību. </w:t>
            </w:r>
          </w:p>
          <w:p w14:paraId="5AD65341"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Tehnisko atbalstu vietējām pašvaldībām (reģioniem, provincēm un pašvaldībām) nodrošina valdība (Ekoloģiskās pārkārtošanās ministrija, Ekonomikas attīstības ministrija u. c.), izmantojot vietējos uzņēmumus. Tehniskais atba</w:t>
            </w:r>
            <w:r>
              <w:rPr>
                <w:noProof/>
              </w:rPr>
              <w:t>lsts attiecas uz: </w:t>
            </w:r>
          </w:p>
          <w:p w14:paraId="6B44D920" w14:textId="77777777" w:rsidR="00327FF1" w:rsidRDefault="00E406C7">
            <w:pPr>
              <w:pStyle w:val="P68B1DB1-ListParagraph51"/>
              <w:numPr>
                <w:ilvl w:val="0"/>
                <w:numId w:val="176"/>
              </w:numPr>
              <w:spacing w:after="0" w:line="240" w:lineRule="auto"/>
              <w:textAlignment w:val="baseline"/>
              <w:rPr>
                <w:noProof/>
              </w:rPr>
            </w:pPr>
            <w:r>
              <w:rPr>
                <w:noProof/>
              </w:rPr>
              <w:t>tehniskā palīdzība ES un valstu vides regulējuma īstenošanai; </w:t>
            </w:r>
          </w:p>
          <w:p w14:paraId="4B4A8BC6" w14:textId="77777777" w:rsidR="00327FF1" w:rsidRDefault="00E406C7">
            <w:pPr>
              <w:pStyle w:val="P68B1DB1-ListParagraph51"/>
              <w:numPr>
                <w:ilvl w:val="0"/>
                <w:numId w:val="176"/>
              </w:numPr>
              <w:spacing w:after="0" w:line="240" w:lineRule="auto"/>
              <w:textAlignment w:val="baseline"/>
              <w:rPr>
                <w:noProof/>
              </w:rPr>
            </w:pPr>
            <w:r>
              <w:rPr>
                <w:noProof/>
              </w:rPr>
              <w:t>atbalsts atkritumu apsaimniekošanas plānu un projektu izstrādei; </w:t>
            </w:r>
          </w:p>
          <w:p w14:paraId="05E0FB2F" w14:textId="77777777" w:rsidR="00327FF1" w:rsidRDefault="00E406C7">
            <w:pPr>
              <w:pStyle w:val="P68B1DB1-ListParagraph51"/>
              <w:numPr>
                <w:ilvl w:val="0"/>
                <w:numId w:val="176"/>
              </w:numPr>
              <w:spacing w:after="0" w:line="240" w:lineRule="auto"/>
              <w:textAlignment w:val="baseline"/>
              <w:rPr>
                <w:noProof/>
              </w:rPr>
            </w:pPr>
            <w:r>
              <w:rPr>
                <w:noProof/>
              </w:rPr>
              <w:t>atbalsts konkursa procedūrām, arī tādēļ, lai nodrošinātu, ka koncesijas atkritumu apsaimniekošanas jomā tiek</w:t>
            </w:r>
            <w:r>
              <w:rPr>
                <w:noProof/>
              </w:rPr>
              <w:t xml:space="preserve"> piešķirtas pārredzamā un nediskriminējošā veidā, palielinot konkurenci veicinošus procesus, lai panāktu labākus standartus sabiedrisko pakalpojumu jomā. </w:t>
            </w:r>
          </w:p>
          <w:p w14:paraId="2310DBCB" w14:textId="77777777" w:rsidR="00327FF1" w:rsidRDefault="00E406C7">
            <w:pPr>
              <w:pStyle w:val="P68B1DB1-Normal50"/>
              <w:spacing w:after="0" w:line="240" w:lineRule="auto"/>
              <w:ind w:left="330"/>
              <w:textAlignment w:val="baseline"/>
              <w:rPr>
                <w:rFonts w:ascii="Times New Roman" w:hAnsi="Times New Roman"/>
                <w:noProof/>
                <w:sz w:val="24"/>
                <w:szCs w:val="24"/>
              </w:rPr>
            </w:pPr>
            <w:r>
              <w:rPr>
                <w:noProof/>
              </w:rPr>
              <w:t> </w:t>
            </w:r>
          </w:p>
          <w:p w14:paraId="58CCCA8B"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 xml:space="preserve">Ekoloģiskās pārkārtošanās ministrija izstrādā īpašu rīcības plānu spēju veidošanai, lai atbalstītu </w:t>
            </w:r>
            <w:r>
              <w:rPr>
                <w:noProof/>
              </w:rPr>
              <w:t>vietējās publiskās iestādes un profesionālos publiskos iepircējus publiskā iepirkuma (ZPI) konkursa procedūrās, kas noteiktas likumā (Leģislatīvais dekrēts Nr. 50/2016 par publisko iepirkumu). </w:t>
            </w:r>
          </w:p>
        </w:tc>
      </w:tr>
      <w:tr w:rsidR="00327FF1" w14:paraId="32236AD3" w14:textId="77777777">
        <w:trPr>
          <w:trHeight w:val="300"/>
        </w:trPr>
        <w:tc>
          <w:tcPr>
            <w:tcW w:w="1276" w:type="dxa"/>
            <w:shd w:val="clear" w:color="auto" w:fill="C6EFCE"/>
            <w:vAlign w:val="center"/>
            <w:hideMark/>
          </w:tcPr>
          <w:p w14:paraId="18A8C74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M2C1–3 </w:t>
            </w:r>
          </w:p>
        </w:tc>
        <w:tc>
          <w:tcPr>
            <w:tcW w:w="1418" w:type="dxa"/>
            <w:shd w:val="clear" w:color="auto" w:fill="C6EFCE"/>
            <w:vAlign w:val="center"/>
            <w:hideMark/>
          </w:tcPr>
          <w:p w14:paraId="1DF2975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Investīcija 2.1: Loģistikas plāns lauksaimniecības </w:t>
            </w:r>
            <w:r>
              <w:rPr>
                <w:noProof/>
              </w:rPr>
              <w:t>pārtikas, zvejniecības un akvakultūras, mežsaimniecības, puķkopības un stādaudzētavas nozarei </w:t>
            </w:r>
          </w:p>
        </w:tc>
        <w:tc>
          <w:tcPr>
            <w:tcW w:w="1276" w:type="dxa"/>
            <w:shd w:val="clear" w:color="auto" w:fill="C6EFCE"/>
            <w:vAlign w:val="center"/>
            <w:hideMark/>
          </w:tcPr>
          <w:p w14:paraId="7EA57BB6"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Atskaites punkts </w:t>
            </w:r>
          </w:p>
        </w:tc>
        <w:tc>
          <w:tcPr>
            <w:tcW w:w="1701" w:type="dxa"/>
            <w:shd w:val="clear" w:color="auto" w:fill="C6EFCE"/>
            <w:vAlign w:val="center"/>
            <w:hideMark/>
          </w:tcPr>
          <w:p w14:paraId="2D87E66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Galīgā sarindojuma publicēšana saskaņā ar loģistikas stimulu shēmu </w:t>
            </w:r>
          </w:p>
        </w:tc>
        <w:tc>
          <w:tcPr>
            <w:tcW w:w="1771" w:type="dxa"/>
            <w:shd w:val="clear" w:color="auto" w:fill="C6EFCE"/>
            <w:vAlign w:val="center"/>
            <w:hideMark/>
          </w:tcPr>
          <w:p w14:paraId="519F163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Publicēšana ministrijas tīmekļa vietnē vai jebkurā citā atbalsta kanālā </w:t>
            </w:r>
          </w:p>
        </w:tc>
        <w:tc>
          <w:tcPr>
            <w:tcW w:w="1098" w:type="dxa"/>
            <w:shd w:val="clear" w:color="auto" w:fill="C6EFCE"/>
            <w:vAlign w:val="center"/>
            <w:hideMark/>
          </w:tcPr>
          <w:p w14:paraId="5F23640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043" w:type="dxa"/>
            <w:shd w:val="clear" w:color="auto" w:fill="C6EFCE"/>
            <w:vAlign w:val="center"/>
            <w:hideMark/>
          </w:tcPr>
          <w:p w14:paraId="6BC0BDD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197" w:type="dxa"/>
            <w:shd w:val="clear" w:color="auto" w:fill="C6EFCE"/>
            <w:vAlign w:val="center"/>
            <w:hideMark/>
          </w:tcPr>
          <w:p w14:paraId="5C402A36"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00" w:type="dxa"/>
            <w:shd w:val="clear" w:color="auto" w:fill="C6EFCE"/>
            <w:vAlign w:val="center"/>
            <w:hideMark/>
          </w:tcPr>
          <w:p w14:paraId="24A0478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4. CET. </w:t>
            </w:r>
          </w:p>
        </w:tc>
        <w:tc>
          <w:tcPr>
            <w:tcW w:w="608" w:type="dxa"/>
            <w:shd w:val="clear" w:color="auto" w:fill="C6EFCE"/>
            <w:vAlign w:val="center"/>
            <w:hideMark/>
          </w:tcPr>
          <w:p w14:paraId="33E53E8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2022 </w:t>
            </w:r>
          </w:p>
        </w:tc>
        <w:tc>
          <w:tcPr>
            <w:tcW w:w="2880" w:type="dxa"/>
            <w:shd w:val="clear" w:color="auto" w:fill="C6EFCE"/>
            <w:vAlign w:val="center"/>
            <w:hideMark/>
          </w:tcPr>
          <w:p w14:paraId="7C9C2F6E"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Apstiprinājuma dekrētā nosaka galīgo sarindojumu. </w:t>
            </w:r>
          </w:p>
          <w:p w14:paraId="0ED49B3B" w14:textId="31E6AF53" w:rsidR="00327FF1" w:rsidRDefault="00E406C7">
            <w:pPr>
              <w:pStyle w:val="P68B1DB1-Normal50"/>
              <w:spacing w:after="0" w:line="240" w:lineRule="auto"/>
              <w:textAlignment w:val="baseline"/>
              <w:rPr>
                <w:rFonts w:ascii="Times New Roman" w:hAnsi="Times New Roman"/>
                <w:noProof/>
                <w:sz w:val="24"/>
                <w:szCs w:val="24"/>
              </w:rPr>
            </w:pPr>
            <w:r>
              <w:rPr>
                <w:noProof/>
              </w:rPr>
              <w:t>Loģistikas stimulu shēma ietver: </w:t>
            </w:r>
          </w:p>
          <w:p w14:paraId="0D53DB1D" w14:textId="77777777" w:rsidR="00327FF1" w:rsidRDefault="00E406C7">
            <w:pPr>
              <w:pStyle w:val="P68B1DB1-Normal53"/>
              <w:spacing w:after="0" w:line="240" w:lineRule="auto"/>
              <w:textAlignment w:val="baseline"/>
              <w:rPr>
                <w:rFonts w:ascii="Times New Roman" w:hAnsi="Times New Roman" w:cs="Times New Roman"/>
                <w:noProof/>
                <w:sz w:val="24"/>
                <w:szCs w:val="24"/>
              </w:rPr>
            </w:pPr>
            <w:r>
              <w:rPr>
                <w:noProof/>
              </w:rPr>
              <w:t xml:space="preserve">atbilstības kritēriji, kas nodrošina, ka atlasītie projekti atbilst Tehniskajiem norādījumiem “nenodari būtisku kaitējumu” </w:t>
            </w:r>
            <w:r>
              <w:rPr>
                <w:noProof/>
              </w:rPr>
              <w:t>(2021/C58/01), izmantojot izslēgšanas sarakstu un prasību par atbilstību attiecīgajiem ES un valsts tiesību aktiem vides jomā. </w:t>
            </w:r>
          </w:p>
          <w:p w14:paraId="65098F3F" w14:textId="77777777" w:rsidR="00327FF1" w:rsidRDefault="00E406C7">
            <w:pPr>
              <w:pStyle w:val="P68B1DB1-Normal53"/>
              <w:spacing w:after="0" w:line="240" w:lineRule="auto"/>
              <w:textAlignment w:val="baseline"/>
              <w:rPr>
                <w:rFonts w:ascii="Times New Roman" w:hAnsi="Times New Roman" w:cs="Times New Roman"/>
                <w:noProof/>
                <w:sz w:val="24"/>
                <w:szCs w:val="24"/>
              </w:rPr>
            </w:pPr>
            <w:r>
              <w:rPr>
                <w:noProof/>
              </w:rPr>
              <w:t>b) apņemšanās, ka investīciju ieguldījums klimata jomā saskaņā ar Regulas (ES) 2021/241 VI pielikumā izklāstīto metodiku veido v</w:t>
            </w:r>
            <w:r>
              <w:rPr>
                <w:noProof/>
              </w:rPr>
              <w:t>ismaz 32 % no ANM atbalstīto investīciju kopējām izmaksām. </w:t>
            </w:r>
          </w:p>
          <w:p w14:paraId="3AC94811"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C) apņemšanās, ka investīcijas digitālais ieguldījums saskaņā ar Regulas (ES) 2021/241 VII pielikumā izklāstīto metodiku veido vismaz 27 % no ANM atbalstīto investīciju kopējām izmaksām. </w:t>
            </w:r>
          </w:p>
          <w:p w14:paraId="56DE8865"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d) apņem</w:t>
            </w:r>
            <w:r>
              <w:rPr>
                <w:noProof/>
              </w:rPr>
              <w:t>šanās ziņot par pasākuma īstenošanu shēmas darbības vidusposmā un shēmas beigās. </w:t>
            </w:r>
          </w:p>
        </w:tc>
      </w:tr>
      <w:tr w:rsidR="00327FF1" w14:paraId="648E6FBA" w14:textId="77777777">
        <w:trPr>
          <w:trHeight w:val="300"/>
        </w:trPr>
        <w:tc>
          <w:tcPr>
            <w:tcW w:w="1276" w:type="dxa"/>
            <w:shd w:val="clear" w:color="auto" w:fill="C6EFCE"/>
            <w:vAlign w:val="center"/>
            <w:hideMark/>
          </w:tcPr>
          <w:p w14:paraId="13C5FC3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M2C1–4 </w:t>
            </w:r>
          </w:p>
        </w:tc>
        <w:tc>
          <w:tcPr>
            <w:tcW w:w="1418" w:type="dxa"/>
            <w:shd w:val="clear" w:color="auto" w:fill="C6EFCE"/>
            <w:vAlign w:val="center"/>
            <w:hideMark/>
          </w:tcPr>
          <w:p w14:paraId="2D69A27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Ieguldījums 2.2.: Agrosaules parks </w:t>
            </w:r>
          </w:p>
        </w:tc>
        <w:tc>
          <w:tcPr>
            <w:tcW w:w="1276" w:type="dxa"/>
            <w:shd w:val="clear" w:color="auto" w:fill="C6EFCE"/>
            <w:vAlign w:val="center"/>
            <w:hideMark/>
          </w:tcPr>
          <w:p w14:paraId="488AC34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701" w:type="dxa"/>
            <w:shd w:val="clear" w:color="auto" w:fill="C6EFCE"/>
            <w:vAlign w:val="center"/>
            <w:hideMark/>
          </w:tcPr>
          <w:p w14:paraId="0E72C4B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Līdzekļu piešķiršana saņēmējiem % no kopējiem finanšu resursiem, kas piešķirti ieguldījumam </w:t>
            </w:r>
          </w:p>
        </w:tc>
        <w:tc>
          <w:tcPr>
            <w:tcW w:w="1771" w:type="dxa"/>
            <w:shd w:val="clear" w:color="auto" w:fill="C6EFCE"/>
            <w:vAlign w:val="center"/>
            <w:hideMark/>
          </w:tcPr>
          <w:p w14:paraId="63F1DB0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098" w:type="dxa"/>
            <w:shd w:val="clear" w:color="auto" w:fill="C6EFCE"/>
            <w:vAlign w:val="center"/>
            <w:hideMark/>
          </w:tcPr>
          <w:p w14:paraId="506D6680"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Procentuālais </w:t>
            </w:r>
            <w:r>
              <w:rPr>
                <w:noProof/>
              </w:rPr>
              <w:t>daudzums </w:t>
            </w:r>
          </w:p>
        </w:tc>
        <w:tc>
          <w:tcPr>
            <w:tcW w:w="1043" w:type="dxa"/>
            <w:shd w:val="clear" w:color="auto" w:fill="C6EFCE"/>
            <w:vAlign w:val="center"/>
            <w:hideMark/>
          </w:tcPr>
          <w:p w14:paraId="1002221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0 </w:t>
            </w:r>
          </w:p>
        </w:tc>
        <w:tc>
          <w:tcPr>
            <w:tcW w:w="1197" w:type="dxa"/>
            <w:shd w:val="clear" w:color="auto" w:fill="C6EFCE"/>
            <w:vAlign w:val="center"/>
            <w:hideMark/>
          </w:tcPr>
          <w:p w14:paraId="3CE324F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30 </w:t>
            </w:r>
          </w:p>
        </w:tc>
        <w:tc>
          <w:tcPr>
            <w:tcW w:w="900" w:type="dxa"/>
            <w:shd w:val="clear" w:color="auto" w:fill="C6EFCE"/>
            <w:vAlign w:val="center"/>
            <w:hideMark/>
          </w:tcPr>
          <w:p w14:paraId="710E430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4. CET. </w:t>
            </w:r>
          </w:p>
        </w:tc>
        <w:tc>
          <w:tcPr>
            <w:tcW w:w="608" w:type="dxa"/>
            <w:shd w:val="clear" w:color="auto" w:fill="C6EFCE"/>
            <w:vAlign w:val="center"/>
            <w:hideMark/>
          </w:tcPr>
          <w:p w14:paraId="4B2DD32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2022 </w:t>
            </w:r>
          </w:p>
        </w:tc>
        <w:tc>
          <w:tcPr>
            <w:tcW w:w="2880" w:type="dxa"/>
            <w:shd w:val="clear" w:color="auto" w:fill="C6EFCE"/>
            <w:vAlign w:val="center"/>
            <w:hideMark/>
          </w:tcPr>
          <w:p w14:paraId="3809A1BC"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To saņēmējprojektu identifikācija, kuru kopējā vērtība ir vismaz 30 % no kopējiem ieguldījumiem piešķirtajiem finanšu resursiem. Ieguldījumu īsteno, izmantojot divas dažādas procedūras, kas jau pastāv, un refinansē. Šīs proc</w:t>
            </w:r>
            <w:r>
              <w:rPr>
                <w:noProof/>
              </w:rPr>
              <w:t>edūras paredz aizdevumu izmaksu uzņēmumiem, kas atbilst prasībām un iesniedz pieteikumu. </w:t>
            </w:r>
          </w:p>
        </w:tc>
      </w:tr>
      <w:tr w:rsidR="00327FF1" w14:paraId="5BE973E3" w14:textId="77777777">
        <w:trPr>
          <w:trHeight w:val="300"/>
        </w:trPr>
        <w:tc>
          <w:tcPr>
            <w:tcW w:w="1276" w:type="dxa"/>
            <w:shd w:val="clear" w:color="auto" w:fill="C6EFCE"/>
            <w:vAlign w:val="center"/>
            <w:hideMark/>
          </w:tcPr>
          <w:p w14:paraId="476128E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M2C1–5 </w:t>
            </w:r>
          </w:p>
        </w:tc>
        <w:tc>
          <w:tcPr>
            <w:tcW w:w="1418" w:type="dxa"/>
            <w:shd w:val="clear" w:color="auto" w:fill="C6EFCE"/>
            <w:vAlign w:val="center"/>
            <w:hideMark/>
          </w:tcPr>
          <w:p w14:paraId="756A38A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Ieguldījums 2.2.: Agrosaules parks </w:t>
            </w:r>
          </w:p>
        </w:tc>
        <w:tc>
          <w:tcPr>
            <w:tcW w:w="1276" w:type="dxa"/>
            <w:shd w:val="clear" w:color="auto" w:fill="C6EFCE"/>
            <w:vAlign w:val="center"/>
            <w:hideMark/>
          </w:tcPr>
          <w:p w14:paraId="070CFEC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701" w:type="dxa"/>
            <w:shd w:val="clear" w:color="auto" w:fill="C6EFCE"/>
            <w:vAlign w:val="center"/>
            <w:hideMark/>
          </w:tcPr>
          <w:p w14:paraId="18968EC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Līdzekļu piešķiršana saņēmējiem % no kopējiem finanšu resursiem, kas piešķirti ieguldījumam </w:t>
            </w:r>
          </w:p>
        </w:tc>
        <w:tc>
          <w:tcPr>
            <w:tcW w:w="1771" w:type="dxa"/>
            <w:shd w:val="clear" w:color="auto" w:fill="C6EFCE"/>
            <w:vAlign w:val="center"/>
            <w:hideMark/>
          </w:tcPr>
          <w:p w14:paraId="62F03F8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098" w:type="dxa"/>
            <w:shd w:val="clear" w:color="auto" w:fill="C6EFCE"/>
            <w:vAlign w:val="center"/>
            <w:hideMark/>
          </w:tcPr>
          <w:p w14:paraId="35C1488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Procentuālais daudzums </w:t>
            </w:r>
          </w:p>
        </w:tc>
        <w:tc>
          <w:tcPr>
            <w:tcW w:w="1043" w:type="dxa"/>
            <w:shd w:val="clear" w:color="auto" w:fill="C6EFCE"/>
            <w:vAlign w:val="center"/>
            <w:hideMark/>
          </w:tcPr>
          <w:p w14:paraId="5309196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19 </w:t>
            </w:r>
          </w:p>
        </w:tc>
        <w:tc>
          <w:tcPr>
            <w:tcW w:w="1197" w:type="dxa"/>
            <w:shd w:val="clear" w:color="auto" w:fill="C6EFCE"/>
            <w:vAlign w:val="center"/>
            <w:hideMark/>
          </w:tcPr>
          <w:p w14:paraId="1F201F2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32 </w:t>
            </w:r>
          </w:p>
        </w:tc>
        <w:tc>
          <w:tcPr>
            <w:tcW w:w="900" w:type="dxa"/>
            <w:shd w:val="clear" w:color="auto" w:fill="C6EFCE"/>
            <w:vAlign w:val="center"/>
            <w:hideMark/>
          </w:tcPr>
          <w:p w14:paraId="2E58888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4. CET. </w:t>
            </w:r>
          </w:p>
        </w:tc>
        <w:tc>
          <w:tcPr>
            <w:tcW w:w="608" w:type="dxa"/>
            <w:shd w:val="clear" w:color="auto" w:fill="C6EFCE"/>
            <w:vAlign w:val="center"/>
            <w:hideMark/>
          </w:tcPr>
          <w:p w14:paraId="157B00C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2023 </w:t>
            </w:r>
          </w:p>
        </w:tc>
        <w:tc>
          <w:tcPr>
            <w:tcW w:w="2880" w:type="dxa"/>
            <w:shd w:val="clear" w:color="auto" w:fill="C6EFCE"/>
            <w:vAlign w:val="center"/>
            <w:hideMark/>
          </w:tcPr>
          <w:p w14:paraId="2AD8D829"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Nosaka saņēmējus projektus, kuru kopējā vērtība ir vismaz 32 % no kopējiem ieguldījumiem piešķirtajiem finanšu resursiem. Piešķiršanas procedūra paredz dotāciju vai citu stimulu izmaksu uzņēmumiem, kas atbilst</w:t>
            </w:r>
            <w:r>
              <w:rPr>
                <w:noProof/>
              </w:rPr>
              <w:t xml:space="preserve"> prasībām un iesniedz pieteikumu. </w:t>
            </w:r>
          </w:p>
        </w:tc>
      </w:tr>
      <w:tr w:rsidR="00327FF1" w14:paraId="4BD923E8" w14:textId="77777777">
        <w:trPr>
          <w:trHeight w:val="300"/>
        </w:trPr>
        <w:tc>
          <w:tcPr>
            <w:tcW w:w="1276" w:type="dxa"/>
            <w:shd w:val="clear" w:color="auto" w:fill="C6EFCE"/>
            <w:vAlign w:val="center"/>
            <w:hideMark/>
          </w:tcPr>
          <w:p w14:paraId="260FA0E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M2C1–6 </w:t>
            </w:r>
          </w:p>
        </w:tc>
        <w:tc>
          <w:tcPr>
            <w:tcW w:w="1418" w:type="dxa"/>
            <w:shd w:val="clear" w:color="auto" w:fill="C6EFCE"/>
            <w:vAlign w:val="center"/>
            <w:hideMark/>
          </w:tcPr>
          <w:p w14:paraId="409BDAA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Ieguldījums 2.2.: Agrosaules parks </w:t>
            </w:r>
          </w:p>
        </w:tc>
        <w:tc>
          <w:tcPr>
            <w:tcW w:w="1276" w:type="dxa"/>
            <w:shd w:val="clear" w:color="auto" w:fill="C6EFCE"/>
            <w:vAlign w:val="center"/>
            <w:hideMark/>
          </w:tcPr>
          <w:p w14:paraId="361F859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701" w:type="dxa"/>
            <w:shd w:val="clear" w:color="auto" w:fill="C6EFCE"/>
            <w:vAlign w:val="center"/>
            <w:hideMark/>
          </w:tcPr>
          <w:p w14:paraId="7253EA2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Līdzekļu piešķiršana saņēmējiem % no kopējiem finanšu resursiem, kas piešķirti ieguldījumam </w:t>
            </w:r>
          </w:p>
        </w:tc>
        <w:tc>
          <w:tcPr>
            <w:tcW w:w="1771" w:type="dxa"/>
            <w:shd w:val="clear" w:color="auto" w:fill="C6EFCE"/>
            <w:vAlign w:val="center"/>
            <w:hideMark/>
          </w:tcPr>
          <w:p w14:paraId="184B029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098" w:type="dxa"/>
            <w:shd w:val="clear" w:color="auto" w:fill="C6EFCE"/>
            <w:vAlign w:val="center"/>
            <w:hideMark/>
          </w:tcPr>
          <w:p w14:paraId="10AFDAB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Procentuālais daudzums </w:t>
            </w:r>
          </w:p>
        </w:tc>
        <w:tc>
          <w:tcPr>
            <w:tcW w:w="1043" w:type="dxa"/>
            <w:shd w:val="clear" w:color="auto" w:fill="C6EFCE"/>
            <w:vAlign w:val="center"/>
            <w:hideMark/>
          </w:tcPr>
          <w:p w14:paraId="456743C0"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32 </w:t>
            </w:r>
          </w:p>
        </w:tc>
        <w:tc>
          <w:tcPr>
            <w:tcW w:w="1197" w:type="dxa"/>
            <w:shd w:val="clear" w:color="auto" w:fill="C6EFCE"/>
            <w:vAlign w:val="center"/>
            <w:hideMark/>
          </w:tcPr>
          <w:p w14:paraId="259EF45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63.5 </w:t>
            </w:r>
          </w:p>
        </w:tc>
        <w:tc>
          <w:tcPr>
            <w:tcW w:w="900" w:type="dxa"/>
            <w:shd w:val="clear" w:color="auto" w:fill="C6EFCE"/>
            <w:vAlign w:val="center"/>
            <w:hideMark/>
          </w:tcPr>
          <w:p w14:paraId="5E10946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08" w:type="dxa"/>
            <w:shd w:val="clear" w:color="auto" w:fill="C6EFCE"/>
            <w:vAlign w:val="center"/>
            <w:hideMark/>
          </w:tcPr>
          <w:p w14:paraId="3D1A3BB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2024 </w:t>
            </w:r>
          </w:p>
        </w:tc>
        <w:tc>
          <w:tcPr>
            <w:tcW w:w="2880" w:type="dxa"/>
            <w:shd w:val="clear" w:color="auto" w:fill="C6EFCE"/>
            <w:vAlign w:val="center"/>
            <w:hideMark/>
          </w:tcPr>
          <w:p w14:paraId="32719E78" w14:textId="79E0C7A2" w:rsidR="00327FF1" w:rsidRDefault="00E406C7">
            <w:pPr>
              <w:pStyle w:val="P68B1DB1-Normal50"/>
              <w:spacing w:after="0" w:line="240" w:lineRule="auto"/>
              <w:textAlignment w:val="baseline"/>
              <w:rPr>
                <w:rFonts w:ascii="Times New Roman" w:hAnsi="Times New Roman"/>
                <w:noProof/>
                <w:sz w:val="24"/>
                <w:szCs w:val="24"/>
              </w:rPr>
            </w:pPr>
            <w:r>
              <w:rPr>
                <w:noProof/>
              </w:rPr>
              <w:t xml:space="preserve">To atbalsta </w:t>
            </w:r>
            <w:r>
              <w:rPr>
                <w:noProof/>
              </w:rPr>
              <w:t>projektu identifikācija, kuru kopējā vērtība ir vismaz 63,5 % no kopējiem ieguldījumiem piešķirtajiem finanšu resursiem. Piešķiršanas procedūrā paredz dotāciju vai citu stimulu izmaksu uzņēmumiem, kas atbilst prasībām un iesniedz pieteikumu. </w:t>
            </w:r>
          </w:p>
        </w:tc>
      </w:tr>
      <w:tr w:rsidR="00327FF1" w14:paraId="4C1A1547" w14:textId="77777777">
        <w:trPr>
          <w:trHeight w:val="300"/>
        </w:trPr>
        <w:tc>
          <w:tcPr>
            <w:tcW w:w="1276" w:type="dxa"/>
            <w:shd w:val="clear" w:color="auto" w:fill="C6EFCE"/>
            <w:vAlign w:val="center"/>
            <w:hideMark/>
          </w:tcPr>
          <w:p w14:paraId="64434B9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M2C1–6bis </w:t>
            </w:r>
          </w:p>
        </w:tc>
        <w:tc>
          <w:tcPr>
            <w:tcW w:w="1418" w:type="dxa"/>
            <w:shd w:val="clear" w:color="auto" w:fill="C6EFCE"/>
            <w:vAlign w:val="center"/>
            <w:hideMark/>
          </w:tcPr>
          <w:p w14:paraId="04B8485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Ieguldījums 2.2.: Agrosaules parks </w:t>
            </w:r>
          </w:p>
        </w:tc>
        <w:tc>
          <w:tcPr>
            <w:tcW w:w="1276" w:type="dxa"/>
            <w:shd w:val="clear" w:color="auto" w:fill="C6EFCE"/>
            <w:vAlign w:val="center"/>
            <w:hideMark/>
          </w:tcPr>
          <w:p w14:paraId="2CBCBD1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701" w:type="dxa"/>
            <w:shd w:val="clear" w:color="auto" w:fill="C6EFCE"/>
            <w:vAlign w:val="center"/>
            <w:hideMark/>
          </w:tcPr>
          <w:p w14:paraId="5FAF537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Līdzekļu piešķiršana saņēmējiem % no kopējiem finanšu resursiem, kas piešķirti ieguldījumam </w:t>
            </w:r>
          </w:p>
        </w:tc>
        <w:tc>
          <w:tcPr>
            <w:tcW w:w="1771" w:type="dxa"/>
            <w:shd w:val="clear" w:color="auto" w:fill="C6EFCE"/>
            <w:vAlign w:val="center"/>
            <w:hideMark/>
          </w:tcPr>
          <w:p w14:paraId="64216E2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098" w:type="dxa"/>
            <w:shd w:val="clear" w:color="auto" w:fill="C6EFCE"/>
            <w:vAlign w:val="center"/>
            <w:hideMark/>
          </w:tcPr>
          <w:p w14:paraId="718B559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Procentuālais daudzums </w:t>
            </w:r>
          </w:p>
        </w:tc>
        <w:tc>
          <w:tcPr>
            <w:tcW w:w="1043" w:type="dxa"/>
            <w:shd w:val="clear" w:color="auto" w:fill="C6EFCE"/>
            <w:vAlign w:val="center"/>
            <w:hideMark/>
          </w:tcPr>
          <w:p w14:paraId="095F34A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63.5 </w:t>
            </w:r>
          </w:p>
        </w:tc>
        <w:tc>
          <w:tcPr>
            <w:tcW w:w="1197" w:type="dxa"/>
            <w:shd w:val="clear" w:color="auto" w:fill="C6EFCE"/>
            <w:vAlign w:val="center"/>
            <w:hideMark/>
          </w:tcPr>
          <w:p w14:paraId="2473F0D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100 </w:t>
            </w:r>
          </w:p>
        </w:tc>
        <w:tc>
          <w:tcPr>
            <w:tcW w:w="900" w:type="dxa"/>
            <w:shd w:val="clear" w:color="auto" w:fill="C6EFCE"/>
            <w:vAlign w:val="center"/>
            <w:hideMark/>
          </w:tcPr>
          <w:p w14:paraId="0EEC345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4. CET. </w:t>
            </w:r>
          </w:p>
        </w:tc>
        <w:tc>
          <w:tcPr>
            <w:tcW w:w="608" w:type="dxa"/>
            <w:shd w:val="clear" w:color="auto" w:fill="C6EFCE"/>
            <w:vAlign w:val="center"/>
            <w:hideMark/>
          </w:tcPr>
          <w:p w14:paraId="16A0B03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2024 </w:t>
            </w:r>
          </w:p>
        </w:tc>
        <w:tc>
          <w:tcPr>
            <w:tcW w:w="2880" w:type="dxa"/>
            <w:shd w:val="clear" w:color="auto" w:fill="C6EFCE"/>
            <w:vAlign w:val="center"/>
            <w:hideMark/>
          </w:tcPr>
          <w:p w14:paraId="2D951A2E"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 xml:space="preserve">To saņēmējprojektu identifikācija, kuru kopējā vērtība ir </w:t>
            </w:r>
            <w:r>
              <w:rPr>
                <w:noProof/>
              </w:rPr>
              <w:t>vismaz 100 % no papildu finanšu resursiem, kas piešķirti ieguldījumam. Piešķiršanas procedūra paredz dotāciju vai citu stimulu izmaksu uzņēmumiem, kas atbilst prasībām un iesniedz pieteikumu </w:t>
            </w:r>
          </w:p>
        </w:tc>
      </w:tr>
      <w:tr w:rsidR="00327FF1" w14:paraId="74D05FB3" w14:textId="77777777">
        <w:trPr>
          <w:trHeight w:val="300"/>
        </w:trPr>
        <w:tc>
          <w:tcPr>
            <w:tcW w:w="1276" w:type="dxa"/>
            <w:shd w:val="clear" w:color="auto" w:fill="C6EFCE"/>
            <w:vAlign w:val="center"/>
            <w:hideMark/>
          </w:tcPr>
          <w:p w14:paraId="1FAF11F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M2C1–7 </w:t>
            </w:r>
          </w:p>
        </w:tc>
        <w:tc>
          <w:tcPr>
            <w:tcW w:w="1418" w:type="dxa"/>
            <w:shd w:val="clear" w:color="auto" w:fill="C6EFCE"/>
            <w:vAlign w:val="center"/>
            <w:hideMark/>
          </w:tcPr>
          <w:p w14:paraId="1A51346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Investīcija 2.3.: Inovācija un mehanizācija </w:t>
            </w:r>
            <w:r>
              <w:rPr>
                <w:noProof/>
              </w:rPr>
              <w:t>lauksaimniecības un pārtikas nozarē </w:t>
            </w:r>
          </w:p>
        </w:tc>
        <w:tc>
          <w:tcPr>
            <w:tcW w:w="1276" w:type="dxa"/>
            <w:shd w:val="clear" w:color="auto" w:fill="C6EFCE"/>
            <w:vAlign w:val="center"/>
            <w:hideMark/>
          </w:tcPr>
          <w:p w14:paraId="38534C8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701" w:type="dxa"/>
            <w:shd w:val="clear" w:color="auto" w:fill="C6EFCE"/>
            <w:vAlign w:val="center"/>
            <w:hideMark/>
          </w:tcPr>
          <w:p w14:paraId="6EAC727F"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Publicē galīgos sarindojumus ar galasaņēmēju identifikāciju. </w:t>
            </w:r>
          </w:p>
        </w:tc>
        <w:tc>
          <w:tcPr>
            <w:tcW w:w="1771" w:type="dxa"/>
            <w:shd w:val="clear" w:color="auto" w:fill="C6EFCE"/>
            <w:vAlign w:val="center"/>
            <w:hideMark/>
          </w:tcPr>
          <w:p w14:paraId="68B1519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098" w:type="dxa"/>
            <w:shd w:val="clear" w:color="auto" w:fill="C6EFCE"/>
            <w:vAlign w:val="center"/>
            <w:hideMark/>
          </w:tcPr>
          <w:p w14:paraId="75941DF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Skaits </w:t>
            </w:r>
          </w:p>
        </w:tc>
        <w:tc>
          <w:tcPr>
            <w:tcW w:w="1043" w:type="dxa"/>
            <w:shd w:val="clear" w:color="auto" w:fill="C6EFCE"/>
            <w:vAlign w:val="center"/>
            <w:hideMark/>
          </w:tcPr>
          <w:p w14:paraId="4E4D8BB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0 </w:t>
            </w:r>
          </w:p>
        </w:tc>
        <w:tc>
          <w:tcPr>
            <w:tcW w:w="1197" w:type="dxa"/>
            <w:shd w:val="clear" w:color="auto" w:fill="C6EFCE"/>
            <w:vAlign w:val="center"/>
            <w:hideMark/>
          </w:tcPr>
          <w:p w14:paraId="0FF55AA0" w14:textId="0EEFE9E2" w:rsidR="00327FF1" w:rsidRDefault="00E406C7">
            <w:pPr>
              <w:pStyle w:val="P68B1DB1-Normal54"/>
              <w:spacing w:after="0" w:line="240" w:lineRule="auto"/>
              <w:jc w:val="center"/>
              <w:textAlignment w:val="baseline"/>
              <w:rPr>
                <w:rFonts w:ascii="Times New Roman" w:eastAsia="Times New Roman" w:hAnsi="Times New Roman" w:cs="Times New Roman"/>
                <w:noProof/>
                <w:sz w:val="24"/>
                <w:szCs w:val="24"/>
              </w:rPr>
            </w:pPr>
            <w:r>
              <w:rPr>
                <w:rFonts w:ascii="Arial Narrow" w:eastAsia="Times New Roman" w:hAnsi="Arial"/>
                <w:noProof/>
              </w:rPr>
              <w:t xml:space="preserve">10 </w:t>
            </w:r>
            <w:r>
              <w:rPr>
                <w:rFonts w:ascii="Arial Narrow" w:eastAsia="Times New Roman" w:hAnsi="Arial Narrow" w:cs="Times New Roman"/>
                <w:noProof/>
              </w:rPr>
              <w:t xml:space="preserve">000 </w:t>
            </w:r>
          </w:p>
        </w:tc>
        <w:tc>
          <w:tcPr>
            <w:tcW w:w="900" w:type="dxa"/>
            <w:shd w:val="clear" w:color="auto" w:fill="C6EFCE"/>
            <w:vAlign w:val="center"/>
            <w:hideMark/>
          </w:tcPr>
          <w:p w14:paraId="52A2649F"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4. CET. </w:t>
            </w:r>
          </w:p>
        </w:tc>
        <w:tc>
          <w:tcPr>
            <w:tcW w:w="608" w:type="dxa"/>
            <w:shd w:val="clear" w:color="auto" w:fill="C6EFCE"/>
            <w:vAlign w:val="center"/>
            <w:hideMark/>
          </w:tcPr>
          <w:p w14:paraId="3AFAFFF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2024 </w:t>
            </w:r>
          </w:p>
        </w:tc>
        <w:tc>
          <w:tcPr>
            <w:tcW w:w="2880" w:type="dxa"/>
            <w:shd w:val="clear" w:color="auto" w:fill="C6EFCE"/>
            <w:vAlign w:val="center"/>
            <w:hideMark/>
          </w:tcPr>
          <w:p w14:paraId="4A3A0576" w14:textId="29454414" w:rsidR="00327FF1" w:rsidRDefault="00E406C7">
            <w:pPr>
              <w:pStyle w:val="P68B1DB1-Normal54"/>
              <w:spacing w:after="0" w:line="240" w:lineRule="auto"/>
              <w:textAlignment w:val="baseline"/>
              <w:rPr>
                <w:rFonts w:ascii="Times New Roman" w:eastAsia="Times New Roman" w:hAnsi="Times New Roman" w:cs="Times New Roman"/>
                <w:noProof/>
                <w:sz w:val="24"/>
                <w:szCs w:val="24"/>
              </w:rPr>
            </w:pPr>
            <w:r>
              <w:rPr>
                <w:rFonts w:ascii="Arial Narrow" w:eastAsia="Times New Roman" w:hAnsi="Arial"/>
                <w:noProof/>
              </w:rPr>
              <w:t xml:space="preserve">Vismaz </w:t>
            </w:r>
            <w:r>
              <w:rPr>
                <w:rFonts w:ascii="Arial Narrow" w:eastAsia="Times New Roman" w:hAnsi="Arial Narrow" w:cs="Times New Roman"/>
                <w:noProof/>
              </w:rPr>
              <w:t xml:space="preserve">10000 galasaņēmēju noteikšana investīcijām inovācijā aprites ekonomikā un bioekonomikā. </w:t>
            </w:r>
          </w:p>
          <w:p w14:paraId="2EF06732"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Ieguldījumos ņem vērā vismaz vienu no šādiem aspektiem: </w:t>
            </w:r>
          </w:p>
          <w:p w14:paraId="57B3AF25"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 “vairāk” aizstāšana </w:t>
            </w:r>
          </w:p>
          <w:p w14:paraId="2353114F"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piesārņojoši apvidus transportlīdzekļi </w:t>
            </w:r>
          </w:p>
          <w:p w14:paraId="44CBC8A2"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 Precīzās lauksaimniecības un lauksaimniecības tehnikas ieviešana 4.0 </w:t>
            </w:r>
          </w:p>
          <w:p w14:paraId="58DCCCE3"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 Novecojušu olīvu spiestuvju nomaiņa </w:t>
            </w:r>
          </w:p>
          <w:p w14:paraId="29ACF8BB"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Lai izpildītu “Do-N” pras</w:t>
            </w:r>
            <w:r>
              <w:rPr>
                <w:noProof/>
              </w:rPr>
              <w:t>ības </w:t>
            </w:r>
          </w:p>
          <w:p w14:paraId="6BCEF6B9"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Būtiska kaitējuma princips, apvidus transportlīdzekļi ir bezemisiju vai darbināmi tikai ar biometānu, kas atbilst Direktīvā 2018/2001 (RED II direktīva) noteiktajiem kritērijiem. </w:t>
            </w:r>
          </w:p>
          <w:p w14:paraId="7DDBFA69"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Biodegvielas un biometāna gāzes un biodegvielas ražotājiem ir jāiesnie</w:t>
            </w:r>
            <w:r>
              <w:rPr>
                <w:noProof/>
              </w:rPr>
              <w:t>dz sertifikāti (ilgtspējas apliecinājums), ko izdevuši neatkarīgi vērtētāji, kā paredzēts Direktīvā 2018/2001. </w:t>
            </w:r>
          </w:p>
          <w:p w14:paraId="7B227ADD"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Operators iegādājas izcelsmes apliecinājuma sertifikātus, kas atbilst paredzamajam degvielas izmantojumam. </w:t>
            </w:r>
          </w:p>
        </w:tc>
      </w:tr>
      <w:tr w:rsidR="00327FF1" w14:paraId="54CE5655" w14:textId="77777777">
        <w:trPr>
          <w:trHeight w:val="300"/>
        </w:trPr>
        <w:tc>
          <w:tcPr>
            <w:tcW w:w="1276" w:type="dxa"/>
            <w:shd w:val="clear" w:color="auto" w:fill="C6EFCE"/>
            <w:vAlign w:val="center"/>
            <w:hideMark/>
          </w:tcPr>
          <w:p w14:paraId="78F45A1F"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M2C1–8 </w:t>
            </w:r>
          </w:p>
        </w:tc>
        <w:tc>
          <w:tcPr>
            <w:tcW w:w="1418" w:type="dxa"/>
            <w:shd w:val="clear" w:color="auto" w:fill="C6EFCE"/>
            <w:vAlign w:val="center"/>
            <w:hideMark/>
          </w:tcPr>
          <w:p w14:paraId="5132607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Investīcija 2.3.: Inovācija</w:t>
            </w:r>
            <w:r>
              <w:rPr>
                <w:noProof/>
              </w:rPr>
              <w:t xml:space="preserve"> un mehanizācija lauksaimniecības un pārtikas nozarē </w:t>
            </w:r>
          </w:p>
        </w:tc>
        <w:tc>
          <w:tcPr>
            <w:tcW w:w="1276" w:type="dxa"/>
            <w:shd w:val="clear" w:color="auto" w:fill="C6EFCE"/>
            <w:vAlign w:val="center"/>
            <w:hideMark/>
          </w:tcPr>
          <w:p w14:paraId="14AB3276"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701" w:type="dxa"/>
            <w:shd w:val="clear" w:color="auto" w:fill="C6EFCE"/>
            <w:vAlign w:val="center"/>
            <w:hideMark/>
          </w:tcPr>
          <w:p w14:paraId="06BB9710"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Atbalsts ieguldījumiem inovācijā aprites ekonomikā un bioekonomikā </w:t>
            </w:r>
          </w:p>
        </w:tc>
        <w:tc>
          <w:tcPr>
            <w:tcW w:w="1771" w:type="dxa"/>
            <w:shd w:val="clear" w:color="auto" w:fill="C6EFCE"/>
            <w:vAlign w:val="center"/>
            <w:hideMark/>
          </w:tcPr>
          <w:p w14:paraId="659EEB2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098" w:type="dxa"/>
            <w:shd w:val="clear" w:color="auto" w:fill="C6EFCE"/>
            <w:vAlign w:val="center"/>
            <w:hideMark/>
          </w:tcPr>
          <w:p w14:paraId="1CAFDC56"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Skaits </w:t>
            </w:r>
          </w:p>
        </w:tc>
        <w:tc>
          <w:tcPr>
            <w:tcW w:w="1043" w:type="dxa"/>
            <w:shd w:val="clear" w:color="auto" w:fill="C6EFCE"/>
            <w:vAlign w:val="center"/>
            <w:hideMark/>
          </w:tcPr>
          <w:p w14:paraId="21A4865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0 </w:t>
            </w:r>
          </w:p>
        </w:tc>
        <w:tc>
          <w:tcPr>
            <w:tcW w:w="1197" w:type="dxa"/>
            <w:shd w:val="clear" w:color="auto" w:fill="C6EFCE"/>
            <w:vAlign w:val="center"/>
            <w:hideMark/>
          </w:tcPr>
          <w:p w14:paraId="3FC1984F" w14:textId="11770B13" w:rsidR="00327FF1" w:rsidRDefault="00E406C7">
            <w:pPr>
              <w:pStyle w:val="P68B1DB1-Normal21"/>
              <w:spacing w:after="0" w:line="240" w:lineRule="auto"/>
              <w:jc w:val="center"/>
              <w:textAlignment w:val="baseline"/>
              <w:rPr>
                <w:rFonts w:ascii="Times New Roman" w:eastAsia="Times New Roman" w:hAnsi="Times New Roman" w:cs="Times New Roman"/>
                <w:noProof/>
                <w:kern w:val="0"/>
                <w:sz w:val="24"/>
                <w:szCs w:val="24"/>
                <w14:ligatures w14:val="none"/>
              </w:rPr>
            </w:pPr>
            <w:r>
              <w:rPr>
                <w:rFonts w:ascii="Arial Narrow" w:eastAsia="Times New Roman" w:hAnsi="Arial Narrow" w:cs="Times New Roman"/>
                <w:noProof/>
                <w:kern w:val="0"/>
                <w:szCs w:val="20"/>
                <w14:ligatures w14:val="none"/>
              </w:rPr>
              <w:t>10</w:t>
            </w:r>
            <w:r>
              <w:rPr>
                <w:rFonts w:ascii="Arial Narrow" w:hAnsi="Arial Narrow"/>
                <w:noProof/>
              </w:rPr>
              <w:t xml:space="preserve"> </w:t>
            </w:r>
            <w:r>
              <w:rPr>
                <w:rFonts w:ascii="Arial Narrow" w:eastAsia="Times New Roman" w:hAnsi="Arial Narrow" w:cs="Times New Roman"/>
                <w:noProof/>
                <w:kern w:val="0"/>
                <w:szCs w:val="20"/>
                <w14:ligatures w14:val="none"/>
              </w:rPr>
              <w:t xml:space="preserve">000 </w:t>
            </w:r>
          </w:p>
        </w:tc>
        <w:tc>
          <w:tcPr>
            <w:tcW w:w="900" w:type="dxa"/>
            <w:shd w:val="clear" w:color="auto" w:fill="C6EFCE"/>
            <w:vAlign w:val="center"/>
            <w:hideMark/>
          </w:tcPr>
          <w:p w14:paraId="00FCE21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08" w:type="dxa"/>
            <w:shd w:val="clear" w:color="auto" w:fill="C6EFCE"/>
            <w:vAlign w:val="center"/>
            <w:hideMark/>
          </w:tcPr>
          <w:p w14:paraId="007A92E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2026 </w:t>
            </w:r>
          </w:p>
        </w:tc>
        <w:tc>
          <w:tcPr>
            <w:tcW w:w="2880" w:type="dxa"/>
            <w:shd w:val="clear" w:color="auto" w:fill="C6EFCE"/>
            <w:vAlign w:val="center"/>
            <w:hideMark/>
          </w:tcPr>
          <w:p w14:paraId="796370A0" w14:textId="34D5F792" w:rsidR="00327FF1" w:rsidRDefault="00E406C7">
            <w:pPr>
              <w:pStyle w:val="P68B1DB1-Normal21"/>
              <w:spacing w:after="0" w:line="240" w:lineRule="auto"/>
              <w:textAlignment w:val="baseline"/>
              <w:rPr>
                <w:rFonts w:ascii="Times New Roman" w:eastAsia="Times New Roman" w:hAnsi="Times New Roman" w:cs="Times New Roman"/>
                <w:noProof/>
                <w:kern w:val="0"/>
                <w:sz w:val="24"/>
                <w:szCs w:val="24"/>
                <w14:ligatures w14:val="none"/>
              </w:rPr>
            </w:pPr>
            <w:r>
              <w:rPr>
                <w:rFonts w:ascii="Arial Narrow" w:eastAsia="Times New Roman" w:hAnsi="Arial Narrow" w:cs="Times New Roman"/>
                <w:noProof/>
                <w:kern w:val="0"/>
                <w:szCs w:val="20"/>
                <w14:ligatures w14:val="none"/>
              </w:rPr>
              <w:t>Pabeigšanas apliecinājumi vai “pastāvīgas izpildes sertifikāts</w:t>
            </w:r>
            <w:r>
              <w:rPr>
                <w:rFonts w:ascii="Arial Narrow" w:eastAsia="Times New Roman" w:hAnsi="Arial Narrow" w:cs="Times New Roman"/>
                <w:i/>
                <w:noProof/>
                <w:kern w:val="0"/>
                <w:szCs w:val="20"/>
                <w14:ligatures w14:val="none"/>
              </w:rPr>
              <w:t xml:space="preserve">” </w:t>
            </w:r>
            <w:r>
              <w:rPr>
                <w:rFonts w:ascii="Arial Narrow" w:eastAsia="Times New Roman" w:hAnsi="Arial Narrow" w:cs="Times New Roman"/>
                <w:noProof/>
                <w:kern w:val="0"/>
                <w:szCs w:val="20"/>
                <w14:ligatures w14:val="none"/>
              </w:rPr>
              <w:t xml:space="preserve">(“Attestazione di </w:t>
            </w:r>
            <w:r>
              <w:rPr>
                <w:rFonts w:ascii="Arial Narrow" w:eastAsia="Times New Roman" w:hAnsi="Arial Narrow" w:cs="Times New Roman"/>
                <w:noProof/>
                <w:kern w:val="0"/>
                <w:szCs w:val="20"/>
                <w14:ligatures w14:val="none"/>
              </w:rPr>
              <w:t>regolare esecuzione”), kas</w:t>
            </w:r>
            <w:r>
              <w:rPr>
                <w:rFonts w:ascii="Arial Narrow" w:eastAsia="Times New Roman" w:hAnsi="Arial Narrow" w:cs="Times New Roman"/>
                <w:i/>
                <w:noProof/>
                <w:kern w:val="0"/>
                <w:szCs w:val="20"/>
                <w14:ligatures w14:val="none"/>
              </w:rPr>
              <w:t xml:space="preserve"> </w:t>
            </w:r>
            <w:r>
              <w:rPr>
                <w:rFonts w:ascii="Arial Narrow" w:eastAsia="Times New Roman" w:hAnsi="Arial Narrow" w:cs="Times New Roman"/>
                <w:noProof/>
                <w:kern w:val="0"/>
                <w:szCs w:val="20"/>
                <w14:ligatures w14:val="none"/>
              </w:rPr>
              <w:t>izdoti vismaz 10000</w:t>
            </w:r>
            <w:r>
              <w:rPr>
                <w:rFonts w:ascii="Arial Narrow" w:hAnsi="Arial Narrow"/>
                <w:noProof/>
              </w:rPr>
              <w:t xml:space="preserve"> </w:t>
            </w:r>
            <w:r>
              <w:rPr>
                <w:rFonts w:ascii="Arial Narrow" w:eastAsia="Times New Roman" w:hAnsi="Arial Narrow" w:cs="Times New Roman"/>
                <w:noProof/>
                <w:kern w:val="0"/>
                <w:szCs w:val="20"/>
                <w14:ligatures w14:val="none"/>
              </w:rPr>
              <w:t xml:space="preserve">inovācijas projektiem aprites ekonomikā un bioekonomikā, kuriem piešķirts finansiāls atbalsts. </w:t>
            </w:r>
          </w:p>
          <w:p w14:paraId="76E4B05B"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Atbalstītie ieguldījumi ir šādi: </w:t>
            </w:r>
          </w:p>
          <w:p w14:paraId="3E4E78E3" w14:textId="77777777" w:rsidR="00327FF1" w:rsidRDefault="00E406C7">
            <w:pPr>
              <w:pStyle w:val="P68B1DB1-Normal55"/>
              <w:spacing w:after="0" w:line="240" w:lineRule="auto"/>
              <w:textAlignment w:val="baseline"/>
              <w:rPr>
                <w:rFonts w:ascii="Times New Roman" w:hAnsi="Times New Roman"/>
                <w:noProof/>
                <w:sz w:val="24"/>
                <w:szCs w:val="24"/>
              </w:rPr>
            </w:pPr>
            <w:r>
              <w:rPr>
                <w:noProof/>
                <w:color w:val="006100"/>
                <w:sz w:val="20"/>
                <w:szCs w:val="20"/>
              </w:rPr>
              <w:t>Piesārņojošāku</w:t>
            </w:r>
            <w:r>
              <w:rPr>
                <w:noProof/>
                <w:sz w:val="24"/>
                <w:szCs w:val="24"/>
              </w:rPr>
              <w:t xml:space="preserve"> </w:t>
            </w:r>
            <w:r>
              <w:rPr>
                <w:noProof/>
                <w:color w:val="006100"/>
                <w:sz w:val="20"/>
                <w:szCs w:val="20"/>
              </w:rPr>
              <w:t xml:space="preserve">apvidus transportlīdzekļu aizstāšana </w:t>
            </w:r>
          </w:p>
          <w:p w14:paraId="6380709C" w14:textId="77777777" w:rsidR="00327FF1" w:rsidRDefault="00E406C7">
            <w:pPr>
              <w:pStyle w:val="P68B1DB1-Normal55"/>
              <w:spacing w:after="0" w:line="240" w:lineRule="auto"/>
              <w:textAlignment w:val="baseline"/>
              <w:rPr>
                <w:rFonts w:ascii="Times New Roman" w:hAnsi="Times New Roman"/>
                <w:noProof/>
                <w:sz w:val="24"/>
                <w:szCs w:val="24"/>
              </w:rPr>
            </w:pPr>
            <w:r>
              <w:rPr>
                <w:noProof/>
                <w:color w:val="006100"/>
                <w:sz w:val="20"/>
                <w:szCs w:val="20"/>
              </w:rPr>
              <w:t>Precīzās</w:t>
            </w:r>
            <w:r>
              <w:rPr>
                <w:noProof/>
                <w:sz w:val="24"/>
                <w:szCs w:val="24"/>
              </w:rPr>
              <w:t xml:space="preserve"> </w:t>
            </w:r>
            <w:r>
              <w:rPr>
                <w:noProof/>
                <w:color w:val="006100"/>
                <w:sz w:val="20"/>
                <w:szCs w:val="20"/>
              </w:rPr>
              <w:t xml:space="preserve">lauksaimniecības </w:t>
            </w:r>
            <w:r>
              <w:rPr>
                <w:noProof/>
                <w:color w:val="006100"/>
                <w:sz w:val="20"/>
                <w:szCs w:val="20"/>
              </w:rPr>
              <w:t xml:space="preserve">ieviešana </w:t>
            </w:r>
          </w:p>
          <w:p w14:paraId="516CE9D6" w14:textId="77777777" w:rsidR="00327FF1" w:rsidRDefault="00E406C7">
            <w:pPr>
              <w:pStyle w:val="P68B1DB1-Normal55"/>
              <w:spacing w:after="0" w:line="240" w:lineRule="auto"/>
              <w:textAlignment w:val="baseline"/>
              <w:rPr>
                <w:rFonts w:ascii="Times New Roman" w:hAnsi="Times New Roman"/>
                <w:noProof/>
                <w:sz w:val="24"/>
                <w:szCs w:val="24"/>
              </w:rPr>
            </w:pPr>
            <w:r>
              <w:rPr>
                <w:noProof/>
                <w:color w:val="006100"/>
                <w:sz w:val="20"/>
                <w:szCs w:val="20"/>
              </w:rPr>
              <w:t>-</w:t>
            </w:r>
            <w:r>
              <w:rPr>
                <w:noProof/>
                <w:sz w:val="24"/>
                <w:szCs w:val="24"/>
              </w:rPr>
              <w:t xml:space="preserve"> </w:t>
            </w:r>
            <w:r>
              <w:rPr>
                <w:noProof/>
                <w:color w:val="006100"/>
                <w:sz w:val="20"/>
                <w:szCs w:val="20"/>
              </w:rPr>
              <w:t xml:space="preserve">Novecojušāku olīvu spiestuvju nomaiņa </w:t>
            </w:r>
          </w:p>
          <w:p w14:paraId="5A53966D"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Lai ievērotu principu “nenodarīt būtisku kaitējumu”, apvidus transportlīdzekļi ir bezemisiju vai darbināmi tikai ar biometānu, kas atbilst Direktīvā 2018/2001 (RED II direktīva) noteiktajiem kritērijiem. </w:t>
            </w:r>
          </w:p>
          <w:p w14:paraId="53BEABB6"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Biodegvielas un biometāna gāzes un biodegvielas ražotājiem ir jāiesniedz sertifikāti (ilgtspējas apliecinājums), ko izdevuši neatkarīgi vērtētāji, kā paredzēts Direktīvā 2018/2001. Operators iegādājas izcelsmes apliecinājuma sertifikātus, kas atbilst pare</w:t>
            </w:r>
            <w:r>
              <w:rPr>
                <w:noProof/>
              </w:rPr>
              <w:t>dzamajam degvielas izmantojumam. </w:t>
            </w:r>
          </w:p>
        </w:tc>
      </w:tr>
      <w:tr w:rsidR="00327FF1" w14:paraId="7FC61F80" w14:textId="77777777">
        <w:trPr>
          <w:trHeight w:val="300"/>
        </w:trPr>
        <w:tc>
          <w:tcPr>
            <w:tcW w:w="1276" w:type="dxa"/>
            <w:shd w:val="clear" w:color="auto" w:fill="C6EFCE"/>
            <w:vAlign w:val="center"/>
            <w:hideMark/>
          </w:tcPr>
          <w:p w14:paraId="0AD2E65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M2C1–9 </w:t>
            </w:r>
          </w:p>
        </w:tc>
        <w:tc>
          <w:tcPr>
            <w:tcW w:w="1418" w:type="dxa"/>
            <w:shd w:val="clear" w:color="auto" w:fill="C6EFCE"/>
            <w:vAlign w:val="center"/>
            <w:hideMark/>
          </w:tcPr>
          <w:p w14:paraId="57DAEA1F"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Ieguldījums 2.2.: Agrosaules parks </w:t>
            </w:r>
          </w:p>
        </w:tc>
        <w:tc>
          <w:tcPr>
            <w:tcW w:w="1276" w:type="dxa"/>
            <w:shd w:val="clear" w:color="auto" w:fill="C6EFCE"/>
            <w:vAlign w:val="center"/>
            <w:hideMark/>
          </w:tcPr>
          <w:p w14:paraId="04549DA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701" w:type="dxa"/>
            <w:shd w:val="clear" w:color="auto" w:fill="C6EFCE"/>
            <w:vAlign w:val="center"/>
            <w:hideMark/>
          </w:tcPr>
          <w:p w14:paraId="3D30C2D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Elektroenerģijas ražošana no agroelektroenerģijas </w:t>
            </w:r>
          </w:p>
        </w:tc>
        <w:tc>
          <w:tcPr>
            <w:tcW w:w="1771" w:type="dxa"/>
            <w:shd w:val="clear" w:color="auto" w:fill="C6EFCE"/>
            <w:vAlign w:val="center"/>
            <w:hideMark/>
          </w:tcPr>
          <w:p w14:paraId="12AFB4A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098" w:type="dxa"/>
            <w:shd w:val="clear" w:color="auto" w:fill="C6EFCE"/>
            <w:vAlign w:val="center"/>
            <w:hideMark/>
          </w:tcPr>
          <w:p w14:paraId="79B16E5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kW </w:t>
            </w:r>
          </w:p>
        </w:tc>
        <w:tc>
          <w:tcPr>
            <w:tcW w:w="1043" w:type="dxa"/>
            <w:shd w:val="clear" w:color="auto" w:fill="C6EFCE"/>
            <w:vAlign w:val="center"/>
            <w:hideMark/>
          </w:tcPr>
          <w:p w14:paraId="26E3B28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0 </w:t>
            </w:r>
          </w:p>
        </w:tc>
        <w:tc>
          <w:tcPr>
            <w:tcW w:w="1197" w:type="dxa"/>
            <w:shd w:val="clear" w:color="auto" w:fill="C6EFCE"/>
            <w:vAlign w:val="center"/>
            <w:hideMark/>
          </w:tcPr>
          <w:p w14:paraId="0844256F" w14:textId="1E3B4A99" w:rsidR="00327FF1" w:rsidRDefault="00E406C7">
            <w:pPr>
              <w:pStyle w:val="P68B1DB1-Normal21"/>
              <w:spacing w:after="0" w:line="240" w:lineRule="auto"/>
              <w:jc w:val="center"/>
              <w:textAlignment w:val="baseline"/>
              <w:rPr>
                <w:rFonts w:ascii="Times New Roman" w:eastAsia="Times New Roman" w:hAnsi="Times New Roman" w:cs="Times New Roman"/>
                <w:noProof/>
                <w:kern w:val="0"/>
                <w:sz w:val="24"/>
                <w:szCs w:val="24"/>
                <w14:ligatures w14:val="none"/>
              </w:rPr>
            </w:pPr>
            <w:r>
              <w:rPr>
                <w:rFonts w:ascii="Arial Narrow" w:eastAsia="Times New Roman" w:hAnsi="Arial Narrow" w:cs="Times New Roman"/>
                <w:noProof/>
                <w:kern w:val="0"/>
                <w:szCs w:val="20"/>
                <w14:ligatures w14:val="none"/>
              </w:rPr>
              <w:t>1</w:t>
            </w:r>
            <w:r>
              <w:rPr>
                <w:rFonts w:ascii="Arial Narrow" w:hAnsi="Arial Narrow"/>
                <w:noProof/>
              </w:rPr>
              <w:t xml:space="preserve"> </w:t>
            </w:r>
            <w:r>
              <w:rPr>
                <w:rFonts w:ascii="Arial Narrow" w:eastAsia="Times New Roman" w:hAnsi="Arial Narrow" w:cs="Times New Roman"/>
                <w:noProof/>
                <w:kern w:val="0"/>
                <w:szCs w:val="20"/>
                <w14:ligatures w14:val="none"/>
              </w:rPr>
              <w:t>550</w:t>
            </w:r>
            <w:r>
              <w:rPr>
                <w:rFonts w:ascii="Arial Narrow" w:hAnsi="Arial Narrow"/>
                <w:noProof/>
              </w:rPr>
              <w:t xml:space="preserve"> </w:t>
            </w:r>
            <w:r>
              <w:rPr>
                <w:rFonts w:ascii="Arial Narrow" w:eastAsia="Times New Roman" w:hAnsi="Arial Narrow" w:cs="Times New Roman"/>
                <w:noProof/>
                <w:kern w:val="0"/>
                <w:szCs w:val="20"/>
                <w14:ligatures w14:val="none"/>
              </w:rPr>
              <w:t xml:space="preserve">000 </w:t>
            </w:r>
          </w:p>
        </w:tc>
        <w:tc>
          <w:tcPr>
            <w:tcW w:w="900" w:type="dxa"/>
            <w:shd w:val="clear" w:color="auto" w:fill="C6EFCE"/>
            <w:vAlign w:val="center"/>
            <w:hideMark/>
          </w:tcPr>
          <w:p w14:paraId="395CBEA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08" w:type="dxa"/>
            <w:shd w:val="clear" w:color="auto" w:fill="C6EFCE"/>
            <w:vAlign w:val="center"/>
            <w:hideMark/>
          </w:tcPr>
          <w:p w14:paraId="360A263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2026 </w:t>
            </w:r>
          </w:p>
        </w:tc>
        <w:tc>
          <w:tcPr>
            <w:tcW w:w="2880" w:type="dxa"/>
            <w:shd w:val="clear" w:color="auto" w:fill="C6EFCE"/>
            <w:vAlign w:val="center"/>
            <w:hideMark/>
          </w:tcPr>
          <w:p w14:paraId="3E69E6C0" w14:textId="419F5F79" w:rsidR="00327FF1" w:rsidRDefault="00E406C7">
            <w:pPr>
              <w:pStyle w:val="P68B1DB1-Normal21"/>
              <w:spacing w:after="0" w:line="240" w:lineRule="auto"/>
              <w:textAlignment w:val="baseline"/>
              <w:rPr>
                <w:rFonts w:ascii="Times New Roman" w:eastAsia="Times New Roman" w:hAnsi="Times New Roman" w:cs="Times New Roman"/>
                <w:noProof/>
                <w:kern w:val="0"/>
                <w:sz w:val="24"/>
                <w:szCs w:val="24"/>
                <w14:ligatures w14:val="none"/>
              </w:rPr>
            </w:pPr>
            <w:r>
              <w:rPr>
                <w:rFonts w:ascii="Arial Narrow" w:eastAsia="Times New Roman" w:hAnsi="Arial Narrow" w:cs="Times New Roman"/>
                <w:noProof/>
                <w:kern w:val="0"/>
                <w:szCs w:val="20"/>
                <w14:ligatures w14:val="none"/>
              </w:rPr>
              <w:t xml:space="preserve">Uzstādīšanas sertifikāti, kas izdoti par uzstādīto saules enerģijas </w:t>
            </w:r>
            <w:r>
              <w:rPr>
                <w:rFonts w:ascii="Arial Narrow" w:eastAsia="Times New Roman" w:hAnsi="Arial Narrow" w:cs="Times New Roman"/>
                <w:noProof/>
                <w:kern w:val="0"/>
                <w:szCs w:val="20"/>
                <w14:ligatures w14:val="none"/>
              </w:rPr>
              <w:t>ražošanas jaudu vismaz 1550000   kW apmērā.</w:t>
            </w:r>
          </w:p>
        </w:tc>
      </w:tr>
      <w:tr w:rsidR="00327FF1" w14:paraId="14215262" w14:textId="77777777">
        <w:trPr>
          <w:trHeight w:val="300"/>
        </w:trPr>
        <w:tc>
          <w:tcPr>
            <w:tcW w:w="1276" w:type="dxa"/>
            <w:shd w:val="clear" w:color="auto" w:fill="C6EFCE"/>
            <w:vAlign w:val="center"/>
            <w:hideMark/>
          </w:tcPr>
          <w:p w14:paraId="07136FA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M2C1–11 </w:t>
            </w:r>
          </w:p>
        </w:tc>
        <w:tc>
          <w:tcPr>
            <w:tcW w:w="1418" w:type="dxa"/>
            <w:shd w:val="clear" w:color="auto" w:fill="C6EFCE"/>
            <w:vAlign w:val="center"/>
            <w:hideMark/>
          </w:tcPr>
          <w:p w14:paraId="0FAE8E9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Investīcija 3.3.: Kultūra un informētība par vides jautājumiem un problēmām </w:t>
            </w:r>
          </w:p>
        </w:tc>
        <w:tc>
          <w:tcPr>
            <w:tcW w:w="1276" w:type="dxa"/>
            <w:shd w:val="clear" w:color="auto" w:fill="C6EFCE"/>
            <w:vAlign w:val="center"/>
            <w:hideMark/>
          </w:tcPr>
          <w:p w14:paraId="36A1108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Atskaites punkts </w:t>
            </w:r>
          </w:p>
        </w:tc>
        <w:tc>
          <w:tcPr>
            <w:tcW w:w="1701" w:type="dxa"/>
            <w:shd w:val="clear" w:color="auto" w:fill="C6EFCE"/>
            <w:vAlign w:val="center"/>
            <w:hideMark/>
          </w:tcPr>
          <w:p w14:paraId="5C048E9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Tīmekļa platformas izveide un līgumi ar autoriem </w:t>
            </w:r>
          </w:p>
        </w:tc>
        <w:tc>
          <w:tcPr>
            <w:tcW w:w="1771" w:type="dxa"/>
            <w:shd w:val="clear" w:color="auto" w:fill="C6EFCE"/>
            <w:vAlign w:val="center"/>
            <w:hideMark/>
          </w:tcPr>
          <w:p w14:paraId="35DF3ED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Paziņojums par līguma parakstīšanu ar satura </w:t>
            </w:r>
            <w:r>
              <w:rPr>
                <w:noProof/>
              </w:rPr>
              <w:t>producentiem </w:t>
            </w:r>
          </w:p>
        </w:tc>
        <w:tc>
          <w:tcPr>
            <w:tcW w:w="1098" w:type="dxa"/>
            <w:shd w:val="clear" w:color="auto" w:fill="C6EFCE"/>
            <w:vAlign w:val="center"/>
            <w:hideMark/>
          </w:tcPr>
          <w:p w14:paraId="507AFEA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043" w:type="dxa"/>
            <w:shd w:val="clear" w:color="auto" w:fill="C6EFCE"/>
            <w:vAlign w:val="center"/>
            <w:hideMark/>
          </w:tcPr>
          <w:p w14:paraId="1988DF4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197" w:type="dxa"/>
            <w:shd w:val="clear" w:color="auto" w:fill="C6EFCE"/>
            <w:vAlign w:val="center"/>
            <w:hideMark/>
          </w:tcPr>
          <w:p w14:paraId="32EA9BF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00" w:type="dxa"/>
            <w:shd w:val="clear" w:color="auto" w:fill="C6EFCE"/>
            <w:vAlign w:val="center"/>
            <w:hideMark/>
          </w:tcPr>
          <w:p w14:paraId="6D6EC95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08" w:type="dxa"/>
            <w:shd w:val="clear" w:color="auto" w:fill="C6EFCE"/>
            <w:vAlign w:val="center"/>
            <w:hideMark/>
          </w:tcPr>
          <w:p w14:paraId="4E2E202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2022 </w:t>
            </w:r>
          </w:p>
        </w:tc>
        <w:tc>
          <w:tcPr>
            <w:tcW w:w="2880" w:type="dxa"/>
            <w:shd w:val="clear" w:color="auto" w:fill="C6EFCE"/>
            <w:vAlign w:val="center"/>
            <w:hideMark/>
          </w:tcPr>
          <w:p w14:paraId="5A94A8EC"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Tīmekļa platformas publiska atklāšana un galīgo nolīgumu parakstīšana ar “satura ražotājiem”. Projektu mērķis ir izstrādāt vismaz 180 raidierakstus, skolām paredzētas videonodarbības un videomat</w:t>
            </w:r>
            <w:r>
              <w:rPr>
                <w:noProof/>
              </w:rPr>
              <w:t>eriālus, kas sagatavoti un pieejami tīmekļa platformā par vidisko pārkārtošanos. </w:t>
            </w:r>
          </w:p>
        </w:tc>
      </w:tr>
      <w:tr w:rsidR="00327FF1" w14:paraId="1F216D18" w14:textId="77777777">
        <w:trPr>
          <w:trHeight w:val="300"/>
        </w:trPr>
        <w:tc>
          <w:tcPr>
            <w:tcW w:w="1276" w:type="dxa"/>
            <w:shd w:val="clear" w:color="auto" w:fill="C6EFCE"/>
            <w:vAlign w:val="center"/>
            <w:hideMark/>
          </w:tcPr>
          <w:p w14:paraId="5D623B9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M2C1–12 </w:t>
            </w:r>
          </w:p>
        </w:tc>
        <w:tc>
          <w:tcPr>
            <w:tcW w:w="1418" w:type="dxa"/>
            <w:shd w:val="clear" w:color="auto" w:fill="C6EFCE"/>
            <w:vAlign w:val="center"/>
            <w:hideMark/>
          </w:tcPr>
          <w:p w14:paraId="1C95D0D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Investīcija 3.3.: Kultūra un informētība par vides jautājumiem un problēmām </w:t>
            </w:r>
          </w:p>
        </w:tc>
        <w:tc>
          <w:tcPr>
            <w:tcW w:w="1276" w:type="dxa"/>
            <w:shd w:val="clear" w:color="auto" w:fill="C6EFCE"/>
            <w:vAlign w:val="center"/>
            <w:hideMark/>
          </w:tcPr>
          <w:p w14:paraId="3A79F45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701" w:type="dxa"/>
            <w:shd w:val="clear" w:color="auto" w:fill="C6EFCE"/>
            <w:vAlign w:val="center"/>
            <w:hideMark/>
          </w:tcPr>
          <w:p w14:paraId="73A0845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Aplādes par vidisko pārkārtošanos </w:t>
            </w:r>
          </w:p>
        </w:tc>
        <w:tc>
          <w:tcPr>
            <w:tcW w:w="1771" w:type="dxa"/>
            <w:shd w:val="clear" w:color="auto" w:fill="C6EFCE"/>
            <w:vAlign w:val="center"/>
            <w:hideMark/>
          </w:tcPr>
          <w:p w14:paraId="70015D9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098" w:type="dxa"/>
            <w:shd w:val="clear" w:color="auto" w:fill="C6EFCE"/>
            <w:vAlign w:val="center"/>
            <w:hideMark/>
          </w:tcPr>
          <w:p w14:paraId="7F71147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Skaits </w:t>
            </w:r>
          </w:p>
        </w:tc>
        <w:tc>
          <w:tcPr>
            <w:tcW w:w="1043" w:type="dxa"/>
            <w:shd w:val="clear" w:color="auto" w:fill="C6EFCE"/>
            <w:vAlign w:val="center"/>
            <w:hideMark/>
          </w:tcPr>
          <w:p w14:paraId="302A2D1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0 </w:t>
            </w:r>
          </w:p>
        </w:tc>
        <w:tc>
          <w:tcPr>
            <w:tcW w:w="1197" w:type="dxa"/>
            <w:shd w:val="clear" w:color="auto" w:fill="C6EFCE"/>
            <w:vAlign w:val="center"/>
            <w:hideMark/>
          </w:tcPr>
          <w:p w14:paraId="5D1160F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180 </w:t>
            </w:r>
          </w:p>
        </w:tc>
        <w:tc>
          <w:tcPr>
            <w:tcW w:w="900" w:type="dxa"/>
            <w:shd w:val="clear" w:color="auto" w:fill="C6EFCE"/>
            <w:vAlign w:val="center"/>
            <w:hideMark/>
          </w:tcPr>
          <w:p w14:paraId="7EC1BCB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08" w:type="dxa"/>
            <w:shd w:val="clear" w:color="auto" w:fill="C6EFCE"/>
            <w:vAlign w:val="center"/>
            <w:hideMark/>
          </w:tcPr>
          <w:p w14:paraId="6972BD2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2025 </w:t>
            </w:r>
          </w:p>
        </w:tc>
        <w:tc>
          <w:tcPr>
            <w:tcW w:w="2880" w:type="dxa"/>
            <w:shd w:val="clear" w:color="auto" w:fill="C6EFCE"/>
            <w:vAlign w:val="center"/>
            <w:hideMark/>
          </w:tcPr>
          <w:p w14:paraId="71CEA1C8" w14:textId="4D315FE4" w:rsidR="00327FF1" w:rsidRDefault="00E406C7">
            <w:pPr>
              <w:pStyle w:val="P68B1DB1-Normal50"/>
              <w:spacing w:after="0" w:line="240" w:lineRule="auto"/>
              <w:textAlignment w:val="baseline"/>
              <w:rPr>
                <w:rFonts w:ascii="Times New Roman" w:hAnsi="Times New Roman"/>
                <w:noProof/>
                <w:sz w:val="24"/>
                <w:szCs w:val="24"/>
              </w:rPr>
            </w:pPr>
            <w:r>
              <w:rPr>
                <w:noProof/>
              </w:rPr>
              <w:t>Tīmekļa platformā ir publicēti vismaz 180 raidieraksti. </w:t>
            </w:r>
          </w:p>
        </w:tc>
      </w:tr>
    </w:tbl>
    <w:p w14:paraId="2D9B727B" w14:textId="733117AA" w:rsidR="00327FF1" w:rsidRDefault="00327FF1">
      <w:pPr>
        <w:spacing w:after="0" w:line="240" w:lineRule="auto"/>
        <w:ind w:left="705"/>
        <w:jc w:val="both"/>
        <w:textAlignment w:val="baseline"/>
        <w:rPr>
          <w:rFonts w:ascii="Segoe UI" w:eastAsia="Times New Roman" w:hAnsi="Segoe UI" w:cs="Segoe UI"/>
          <w:noProof/>
          <w:kern w:val="0"/>
          <w:sz w:val="18"/>
          <w:szCs w:val="18"/>
          <w14:ligatures w14:val="none"/>
        </w:rPr>
      </w:pPr>
    </w:p>
    <w:p w14:paraId="60AE2574" w14:textId="77777777" w:rsidR="00327FF1" w:rsidRDefault="00327FF1">
      <w:pPr>
        <w:rPr>
          <w:noProof/>
        </w:rPr>
        <w:sectPr w:rsidR="00327FF1" w:rsidSect="004E142E">
          <w:headerReference w:type="default" r:id="rId78"/>
          <w:footerReference w:type="default" r:id="rId79"/>
          <w:pgSz w:w="16838" w:h="11906" w:orient="landscape"/>
          <w:pgMar w:top="1440" w:right="1440" w:bottom="1440" w:left="1440" w:header="708" w:footer="708" w:gutter="0"/>
          <w:cols w:space="708"/>
          <w:docGrid w:linePitch="360"/>
        </w:sectPr>
      </w:pPr>
    </w:p>
    <w:p w14:paraId="73206D04" w14:textId="667739FA" w:rsidR="00327FF1" w:rsidRDefault="00E406C7">
      <w:pPr>
        <w:pStyle w:val="P68B1DB1-Heading347"/>
        <w:ind w:left="850" w:hanging="850"/>
        <w:rPr>
          <w:bCs/>
          <w:noProof/>
        </w:rPr>
      </w:pPr>
      <w:r>
        <w:rPr>
          <w:noProof/>
        </w:rPr>
        <w:t xml:space="preserve">D.3. </w:t>
      </w:r>
      <w:r>
        <w:rPr>
          <w:noProof/>
        </w:rPr>
        <w:tab/>
        <w:t xml:space="preserve">Aizdevumam pieteikto reformu un investīciju apraksts </w:t>
      </w:r>
    </w:p>
    <w:p w14:paraId="2F53F0E2" w14:textId="77777777" w:rsidR="00327FF1" w:rsidRDefault="00327FF1">
      <w:pPr>
        <w:spacing w:after="0" w:line="240" w:lineRule="auto"/>
        <w:ind w:left="840" w:hanging="840"/>
        <w:textAlignment w:val="baseline"/>
        <w:rPr>
          <w:rFonts w:ascii="Segoe UI" w:eastAsia="Times New Roman" w:hAnsi="Segoe UI" w:cs="Segoe UI"/>
          <w:noProof/>
          <w:color w:val="0F4761"/>
          <w:kern w:val="0"/>
          <w:sz w:val="18"/>
          <w:szCs w:val="18"/>
          <w14:ligatures w14:val="none"/>
        </w:rPr>
      </w:pPr>
    </w:p>
    <w:p w14:paraId="3E032A6A" w14:textId="77777777" w:rsidR="00327FF1" w:rsidRDefault="00E406C7">
      <w:pPr>
        <w:pStyle w:val="P68B1DB1-Normal46"/>
        <w:spacing w:after="0" w:line="240" w:lineRule="auto"/>
        <w:jc w:val="both"/>
        <w:textAlignment w:val="baseline"/>
        <w:rPr>
          <w:rFonts w:ascii="Segoe UI" w:hAnsi="Segoe UI" w:cs="Segoe UI"/>
          <w:noProof/>
          <w:sz w:val="18"/>
          <w:szCs w:val="18"/>
        </w:rPr>
      </w:pPr>
      <w:r>
        <w:rPr>
          <w:b/>
          <w:noProof/>
        </w:rPr>
        <w:t>Reforma Nr. 1.2 — Atkritumu apsaimniekošanas valsts programma</w:t>
      </w:r>
      <w:r>
        <w:rPr>
          <w:noProof/>
        </w:rPr>
        <w:t> </w:t>
      </w:r>
    </w:p>
    <w:p w14:paraId="1A7EF702" w14:textId="767379BE" w:rsidR="00327FF1" w:rsidRDefault="00E406C7">
      <w:pPr>
        <w:pStyle w:val="P68B1DB1-Normal45"/>
        <w:spacing w:after="0" w:line="240" w:lineRule="auto"/>
        <w:jc w:val="both"/>
        <w:textAlignment w:val="baseline"/>
        <w:rPr>
          <w:noProof/>
        </w:rPr>
      </w:pPr>
      <w:r>
        <w:rPr>
          <w:noProof/>
        </w:rPr>
        <w:t>Šī reforma ietver plašas atkritumu apsaimniekošanas valsts programmas pieņemšanu, kuras mērķis ir panākt atkritumu sagatavošanu atkārtotai izmantošanai, pārstrādi un reģenerāciju visaugstākajā līmenī, pielāgot integrētai atkritumu apsaimniekošanai nepiecie</w:t>
      </w:r>
      <w:r>
        <w:rPr>
          <w:noProof/>
        </w:rPr>
        <w:t>šamo iekārtu tīklu, samazināt galīgo apglabāšanu kā galīgo un atlikušo risinājumu, izveidot uzraudzības sistēmas, novērst jaunu pārkāpuma procedūru uzsākšanu pret Itāliju, novērst zemu atkritumu savākšanu, atturēt no atkritumu apglabāšanas poligonos un nod</w:t>
      </w:r>
      <w:r>
        <w:rPr>
          <w:noProof/>
        </w:rPr>
        <w:t xml:space="preserve">rošināt papildināmību ar reģionālajām atkritumu apsaimniekošanas programmām, dot iespēju sasniegt Eiropas un valstu atkritumu apsaimniekošanas tiesību aktu mērķus un cīnīties pret atkritumu nelikumīgu izgāšanu un sadedzināšanu atklātā gaisā. </w:t>
      </w:r>
    </w:p>
    <w:p w14:paraId="16A53130" w14:textId="77777777" w:rsidR="00327FF1" w:rsidRDefault="00327FF1">
      <w:pPr>
        <w:spacing w:after="0" w:line="240" w:lineRule="auto"/>
        <w:jc w:val="both"/>
        <w:textAlignment w:val="baseline"/>
        <w:rPr>
          <w:rFonts w:ascii="Segoe UI" w:eastAsia="Times New Roman" w:hAnsi="Segoe UI" w:cs="Segoe UI"/>
          <w:noProof/>
          <w:kern w:val="0"/>
          <w:sz w:val="18"/>
          <w:szCs w:val="18"/>
          <w14:ligatures w14:val="none"/>
        </w:rPr>
      </w:pPr>
    </w:p>
    <w:p w14:paraId="13D6BAAE" w14:textId="77777777" w:rsidR="00327FF1" w:rsidRDefault="00E406C7">
      <w:pPr>
        <w:pStyle w:val="P68B1DB1-Normal56"/>
        <w:spacing w:after="0" w:line="240" w:lineRule="auto"/>
        <w:jc w:val="both"/>
        <w:textAlignment w:val="baseline"/>
        <w:rPr>
          <w:bCs/>
          <w:noProof/>
        </w:rPr>
      </w:pPr>
      <w:r>
        <w:rPr>
          <w:noProof/>
        </w:rPr>
        <w:t xml:space="preserve">Investīcija </w:t>
      </w:r>
      <w:r>
        <w:rPr>
          <w:noProof/>
        </w:rPr>
        <w:t>1.1. — Jaunu atkritumu apsaimniekošanas iekārtu ieviešana un esošo iekārtu modernizācija un aprites ekonomikas “pamatprojekti” </w:t>
      </w:r>
    </w:p>
    <w:p w14:paraId="2FC46C78" w14:textId="28502A7B" w:rsidR="00327FF1" w:rsidRDefault="00E406C7">
      <w:pPr>
        <w:pStyle w:val="P68B1DB1-Normal45"/>
        <w:spacing w:after="0" w:line="240" w:lineRule="auto"/>
        <w:jc w:val="both"/>
        <w:textAlignment w:val="baseline"/>
        <w:rPr>
          <w:noProof/>
        </w:rPr>
      </w:pPr>
      <w:r>
        <w:rPr>
          <w:noProof/>
        </w:rPr>
        <w:t>Šīs investīcijas mērķis ir uzlabot atkritumu apsaimniekošanu un atbalstīt aprites ekonomiku. Investīcija ietver tādu projektu fi</w:t>
      </w:r>
      <w:r>
        <w:rPr>
          <w:noProof/>
        </w:rPr>
        <w:t>nansēšanu, kuru mērķis ir būvēt jaunas apstrādes/reciklēšanas iekārtas vai modernizēt esošās, kā arī atbalstīt un digitalizēt dažādu atkritumu plūsmu dalītu savākšanu. </w:t>
      </w:r>
    </w:p>
    <w:p w14:paraId="1D820778" w14:textId="77777777" w:rsidR="00327FF1" w:rsidRDefault="00E406C7">
      <w:pPr>
        <w:pStyle w:val="P68B1DB1-Normal46"/>
        <w:spacing w:after="0" w:line="240" w:lineRule="auto"/>
        <w:ind w:left="360"/>
        <w:jc w:val="both"/>
        <w:textAlignment w:val="baseline"/>
        <w:rPr>
          <w:rFonts w:ascii="Segoe UI" w:hAnsi="Segoe UI" w:cs="Segoe UI"/>
          <w:noProof/>
          <w:sz w:val="18"/>
          <w:szCs w:val="18"/>
        </w:rPr>
      </w:pPr>
      <w:r>
        <w:rPr>
          <w:noProof/>
        </w:rPr>
        <w:t> </w:t>
      </w:r>
    </w:p>
    <w:p w14:paraId="20655233" w14:textId="77777777" w:rsidR="00327FF1" w:rsidRDefault="00E406C7">
      <w:pPr>
        <w:pStyle w:val="P68B1DB1-Normal46"/>
        <w:spacing w:after="0" w:line="240" w:lineRule="auto"/>
        <w:jc w:val="both"/>
        <w:textAlignment w:val="baseline"/>
        <w:rPr>
          <w:rFonts w:ascii="Segoe UI" w:hAnsi="Segoe UI" w:cs="Segoe UI"/>
          <w:noProof/>
          <w:sz w:val="18"/>
          <w:szCs w:val="18"/>
        </w:rPr>
      </w:pPr>
      <w:r>
        <w:rPr>
          <w:b/>
          <w:noProof/>
        </w:rPr>
        <w:t>Investīcija 2.1. — Loģistikas plāns lauksaimniecības pārtikas, zvejniecības un akvaku</w:t>
      </w:r>
      <w:r>
        <w:rPr>
          <w:b/>
          <w:noProof/>
        </w:rPr>
        <w:t>ltūras, mežsaimniecības, puķkopības un stādaudzētavas nozarei</w:t>
      </w:r>
      <w:r>
        <w:rPr>
          <w:noProof/>
        </w:rPr>
        <w:t> </w:t>
      </w:r>
    </w:p>
    <w:p w14:paraId="6A0F2C91" w14:textId="46324793" w:rsidR="00327FF1" w:rsidRDefault="00E406C7">
      <w:pPr>
        <w:pStyle w:val="P68B1DB1-Normal45"/>
        <w:spacing w:after="0" w:line="240" w:lineRule="auto"/>
        <w:jc w:val="both"/>
        <w:textAlignment w:val="baseline"/>
        <w:rPr>
          <w:noProof/>
        </w:rPr>
      </w:pPr>
      <w:r>
        <w:rPr>
          <w:noProof/>
        </w:rPr>
        <w:t>Šīs investīcijas mērķis ir veicināt emisiju samazināšanu transporta un loģistikas posmos lauksaimniecības pārtikas nozarē, veicinot nozares digitalizāciju un atjaunīgās enerģijas izmantošanu. Š</w:t>
      </w:r>
      <w:r>
        <w:rPr>
          <w:noProof/>
        </w:rPr>
        <w:t xml:space="preserve">is pasākums ietver atbalsta piešķiršanu materiālajiem un nemateriālajiem ieguldījumiem. </w:t>
      </w:r>
    </w:p>
    <w:p w14:paraId="45E36576" w14:textId="77777777" w:rsidR="00327FF1" w:rsidRDefault="00327FF1">
      <w:pPr>
        <w:spacing w:after="0" w:line="240" w:lineRule="auto"/>
        <w:jc w:val="both"/>
        <w:textAlignment w:val="baseline"/>
        <w:rPr>
          <w:rFonts w:ascii="Segoe UI" w:eastAsia="Times New Roman" w:hAnsi="Segoe UI" w:cs="Segoe UI"/>
          <w:noProof/>
          <w:kern w:val="0"/>
          <w:sz w:val="18"/>
          <w:szCs w:val="18"/>
          <w14:ligatures w14:val="none"/>
        </w:rPr>
      </w:pPr>
    </w:p>
    <w:p w14:paraId="632D9FCC" w14:textId="11F0B96F" w:rsidR="00327FF1" w:rsidRDefault="00E406C7">
      <w:pPr>
        <w:pStyle w:val="P68B1DB1-Normal56"/>
        <w:spacing w:after="0" w:line="240" w:lineRule="auto"/>
        <w:jc w:val="both"/>
        <w:textAlignment w:val="baseline"/>
        <w:rPr>
          <w:rFonts w:ascii="Segoe UI" w:hAnsi="Segoe UI" w:cs="Segoe UI"/>
          <w:noProof/>
          <w:sz w:val="18"/>
          <w:szCs w:val="18"/>
        </w:rPr>
      </w:pPr>
      <w:r>
        <w:rPr>
          <w:noProof/>
        </w:rPr>
        <w:t>Investīcija 3.1. “Zaļās salas”</w:t>
      </w:r>
    </w:p>
    <w:p w14:paraId="1EE4DA36" w14:textId="7AC0557B" w:rsidR="00327FF1" w:rsidRDefault="00E406C7">
      <w:pPr>
        <w:pStyle w:val="P68B1DB1-Normal45"/>
        <w:spacing w:after="0" w:line="240" w:lineRule="auto"/>
        <w:jc w:val="both"/>
        <w:textAlignment w:val="baseline"/>
        <w:rPr>
          <w:noProof/>
        </w:rPr>
      </w:pPr>
      <w:r>
        <w:rPr>
          <w:noProof/>
        </w:rPr>
        <w:t xml:space="preserve">Šā pasākuma mērķis ir atbalstīt zaļo pārkārtošanos 19 savstarpēji nesavienotās mazajās salās Itālijā. Šīs investīcijas paredz finansēt </w:t>
      </w:r>
      <w:r>
        <w:rPr>
          <w:noProof/>
        </w:rPr>
        <w:t>un īstenot projektus enerģētikas (kas cita starpā var ietvert atjaunojamos energoresursus, tīklu vai energoefektivitāti), ūdens (kas var ietvert atsāļošanu, bet neaprobežojas ar to), transporta (kas var ietvert, bet neaprobežojas ar veloceliņiem, bezemisij</w:t>
      </w:r>
      <w:r>
        <w:rPr>
          <w:noProof/>
        </w:rPr>
        <w:t xml:space="preserve">u autobusiem vai laivām) un atkritumu (kas var ietvert, bet neaprobežojas ar atkritumu šķirošanu) 19 savstarpēji nesavienotajās mazajās salās. </w:t>
      </w:r>
    </w:p>
    <w:p w14:paraId="1BEC0B03" w14:textId="77777777" w:rsidR="00327FF1" w:rsidRDefault="00327FF1">
      <w:pPr>
        <w:spacing w:after="0" w:line="240" w:lineRule="auto"/>
        <w:jc w:val="both"/>
        <w:textAlignment w:val="baseline"/>
        <w:rPr>
          <w:rFonts w:ascii="Segoe UI" w:eastAsia="Times New Roman" w:hAnsi="Segoe UI" w:cs="Segoe UI"/>
          <w:noProof/>
          <w:kern w:val="0"/>
          <w:sz w:val="18"/>
          <w:szCs w:val="18"/>
          <w14:ligatures w14:val="none"/>
        </w:rPr>
      </w:pPr>
    </w:p>
    <w:p w14:paraId="4C94178B" w14:textId="3F9C52F5" w:rsidR="00327FF1" w:rsidRDefault="00E406C7">
      <w:pPr>
        <w:pStyle w:val="P68B1DB1-Normal56"/>
        <w:spacing w:after="0" w:line="240" w:lineRule="auto"/>
        <w:jc w:val="both"/>
        <w:textAlignment w:val="baseline"/>
        <w:rPr>
          <w:rFonts w:ascii="Segoe UI" w:hAnsi="Segoe UI" w:cs="Segoe UI"/>
          <w:noProof/>
          <w:sz w:val="18"/>
          <w:szCs w:val="18"/>
        </w:rPr>
      </w:pPr>
      <w:r>
        <w:rPr>
          <w:noProof/>
        </w:rPr>
        <w:t>Investīcija 3.2. “Zaļās kopienas”</w:t>
      </w:r>
    </w:p>
    <w:p w14:paraId="13E10020" w14:textId="6FF4291A" w:rsidR="00327FF1" w:rsidRDefault="00E406C7">
      <w:pPr>
        <w:pStyle w:val="P68B1DB1-Normal45"/>
        <w:spacing w:after="0" w:line="240" w:lineRule="auto"/>
        <w:jc w:val="both"/>
        <w:textAlignment w:val="baseline"/>
        <w:rPr>
          <w:rFonts w:ascii="Segoe UI" w:hAnsi="Segoe UI" w:cs="Segoe UI"/>
          <w:noProof/>
        </w:rPr>
      </w:pPr>
      <w:r>
        <w:rPr>
          <w:noProof/>
        </w:rPr>
        <w:t>Šīs investīcijas mērķis ir atbalstīt zaļo pārkārtošanos lauku un kalnu terito</w:t>
      </w:r>
      <w:r>
        <w:rPr>
          <w:noProof/>
        </w:rPr>
        <w:t>rijās (tā sauktajās “zaļajās kopienās”). Šo ieguldījumu veido “zaļo kopienu” projektu atbalstīšana.</w:t>
      </w:r>
    </w:p>
    <w:p w14:paraId="39CE84A5" w14:textId="77777777" w:rsidR="00327FF1" w:rsidRDefault="00E406C7">
      <w:pPr>
        <w:pStyle w:val="P68B1DB1-Normal46"/>
        <w:spacing w:after="0" w:line="240" w:lineRule="auto"/>
        <w:jc w:val="both"/>
        <w:textAlignment w:val="baseline"/>
        <w:rPr>
          <w:rFonts w:ascii="Segoe UI" w:hAnsi="Segoe UI" w:cs="Segoe UI"/>
          <w:noProof/>
          <w:sz w:val="18"/>
          <w:szCs w:val="18"/>
        </w:rPr>
      </w:pPr>
      <w:r>
        <w:rPr>
          <w:noProof/>
        </w:rPr>
        <w:t> </w:t>
      </w:r>
    </w:p>
    <w:p w14:paraId="42C3908C" w14:textId="77777777" w:rsidR="00327FF1" w:rsidRDefault="00E406C7">
      <w:pPr>
        <w:pStyle w:val="P68B1DB1-Normal46"/>
        <w:spacing w:after="0" w:line="240" w:lineRule="auto"/>
        <w:jc w:val="both"/>
        <w:textAlignment w:val="baseline"/>
        <w:rPr>
          <w:rFonts w:ascii="Segoe UI" w:hAnsi="Segoe UI" w:cs="Segoe UI"/>
          <w:noProof/>
          <w:sz w:val="18"/>
          <w:szCs w:val="18"/>
        </w:rPr>
      </w:pPr>
      <w:r>
        <w:rPr>
          <w:b/>
          <w:noProof/>
        </w:rPr>
        <w:t xml:space="preserve">Investīcija Nr. 3.4 — Fondo Rotativo Contratti di Filiera (FCF), lai atbalstītu piegādes ķēžu līgumus lauksaimniecības pārtikas, zvejniecības un </w:t>
      </w:r>
      <w:r>
        <w:rPr>
          <w:b/>
          <w:noProof/>
        </w:rPr>
        <w:t>akvakultūras, mežsaimniecības, puķkopības un stādaudzētavas nozarē</w:t>
      </w:r>
      <w:r>
        <w:rPr>
          <w:noProof/>
        </w:rPr>
        <w:t> </w:t>
      </w:r>
    </w:p>
    <w:p w14:paraId="638D2632" w14:textId="64B5230A" w:rsidR="00327FF1" w:rsidRDefault="00E406C7">
      <w:pPr>
        <w:pStyle w:val="P68B1DB1-Normal45"/>
        <w:spacing w:after="0" w:line="240" w:lineRule="auto"/>
        <w:jc w:val="both"/>
        <w:textAlignment w:val="baseline"/>
        <w:rPr>
          <w:rFonts w:ascii="Segoe UI" w:hAnsi="Segoe UI" w:cs="Segoe UI"/>
          <w:noProof/>
        </w:rPr>
      </w:pPr>
      <w:r>
        <w:rPr>
          <w:noProof/>
        </w:rPr>
        <w:t>Šis pasākums ietver publiskas investīcijas mehānismā Fondo Rotativo Contratti di Filiera (FCF), lai stimulētu privātās investīcijas un uzlabotu piekļuvi finansējumam Itālijas lauksaimniecī</w:t>
      </w:r>
      <w:r>
        <w:rPr>
          <w:noProof/>
        </w:rPr>
        <w:t xml:space="preserve">bas pārtikas, zvejniecības un akvakultūras, mežsaimniecības, puķkopības un stādaudzētavas nozarē. Mehānisms darbojas, piešķirot dotācijas un subsidētus aizdevumus tieši ar ISMEA (Istituto di Servizi per il Mercato Agricolo Alimentare) starpniecību. </w:t>
      </w:r>
    </w:p>
    <w:p w14:paraId="38FF361D" w14:textId="77777777" w:rsidR="00327FF1" w:rsidRDefault="00E406C7">
      <w:pPr>
        <w:pStyle w:val="P68B1DB1-Normal45"/>
        <w:spacing w:after="0" w:line="240" w:lineRule="auto"/>
        <w:jc w:val="both"/>
        <w:textAlignment w:val="baseline"/>
        <w:rPr>
          <w:rFonts w:ascii="Segoe UI" w:hAnsi="Segoe UI" w:cs="Segoe UI"/>
          <w:noProof/>
        </w:rPr>
      </w:pPr>
      <w:r>
        <w:rPr>
          <w:noProof/>
        </w:rPr>
        <w:t>Mehāni</w:t>
      </w:r>
      <w:r>
        <w:rPr>
          <w:noProof/>
        </w:rPr>
        <w:t>smu pārvalda ISMEA kā īstenošanas partneris. Mehānisms ietver šādas produktu līnijas: </w:t>
      </w:r>
    </w:p>
    <w:p w14:paraId="31CBCA3B" w14:textId="77777777" w:rsidR="00327FF1" w:rsidRDefault="00E406C7">
      <w:pPr>
        <w:pStyle w:val="P68B1DB1-Normal45"/>
        <w:numPr>
          <w:ilvl w:val="0"/>
          <w:numId w:val="111"/>
        </w:numPr>
        <w:spacing w:after="0" w:line="240" w:lineRule="auto"/>
        <w:ind w:left="1080" w:firstLine="0"/>
        <w:jc w:val="both"/>
        <w:textAlignment w:val="baseline"/>
        <w:rPr>
          <w:noProof/>
        </w:rPr>
      </w:pPr>
      <w:r>
        <w:rPr>
          <w:noProof/>
        </w:rPr>
        <w:t>Atbalstīt uzņēmumus, uzņēmumu grupas vai lauksaimniecības produktu ražotāju apvienības, kā arī pētniecības un zināšanu izplatīšanas organizācijas lauksaimniecības pārtik</w:t>
      </w:r>
      <w:r>
        <w:rPr>
          <w:noProof/>
        </w:rPr>
        <w:t>as, zvejniecības un akvakultūras, mežsaimniecības, puķkopības un stādaudzētavas nozarē, uzlabojot ražošanas procesus, iekļaujot šādu darbību kombināciju: </w:t>
      </w:r>
    </w:p>
    <w:p w14:paraId="721A0F26" w14:textId="77777777" w:rsidR="00327FF1" w:rsidRDefault="00E406C7">
      <w:pPr>
        <w:pStyle w:val="P68B1DB1-Normal45"/>
        <w:numPr>
          <w:ilvl w:val="0"/>
          <w:numId w:val="112"/>
        </w:numPr>
        <w:spacing w:after="0" w:line="240" w:lineRule="auto"/>
        <w:ind w:left="1800" w:firstLine="0"/>
        <w:jc w:val="both"/>
        <w:textAlignment w:val="baseline"/>
        <w:rPr>
          <w:noProof/>
        </w:rPr>
      </w:pPr>
      <w:r>
        <w:rPr>
          <w:noProof/>
        </w:rPr>
        <w:t xml:space="preserve">Uzlabot ražošanas procesu vidisko ilgtspēju, investējot materiālos un nemateriālos aktīvos, lai </w:t>
      </w:r>
      <w:r>
        <w:rPr>
          <w:noProof/>
        </w:rPr>
        <w:t>būtiski palielinātu mērķorientēto ražošanas procesu enerģijas, ūdens un resursu patēriņa efektivitāti; </w:t>
      </w:r>
    </w:p>
    <w:p w14:paraId="6CC41D36" w14:textId="7BFF3397" w:rsidR="00327FF1" w:rsidRDefault="00E406C7">
      <w:pPr>
        <w:pStyle w:val="P68B1DB1-Normal45"/>
        <w:numPr>
          <w:ilvl w:val="0"/>
          <w:numId w:val="113"/>
        </w:numPr>
        <w:spacing w:after="0" w:line="240" w:lineRule="auto"/>
        <w:ind w:left="1800" w:firstLine="0"/>
        <w:jc w:val="both"/>
        <w:textAlignment w:val="baseline"/>
        <w:rPr>
          <w:noProof/>
        </w:rPr>
      </w:pPr>
      <w:r>
        <w:rPr>
          <w:noProof/>
        </w:rPr>
        <w:t>Investīcijas zināšanās, apmācībā, pētniecībā un inovācijā, tehnoloģiju nodošanas un attīstības projektos, kas var arī atbalstīt attiecību reorganizāciju</w:t>
      </w:r>
      <w:r>
        <w:rPr>
          <w:noProof/>
        </w:rPr>
        <w:t xml:space="preserve"> starp dažādiem piegādes ķēdes dalībniekiem, lai uzlabotu ražošanas procesu ilgtspēju; </w:t>
      </w:r>
    </w:p>
    <w:p w14:paraId="3AA19CED" w14:textId="77777777" w:rsidR="00327FF1" w:rsidRDefault="00E406C7">
      <w:pPr>
        <w:pStyle w:val="P68B1DB1-Normal45"/>
        <w:numPr>
          <w:ilvl w:val="0"/>
          <w:numId w:val="114"/>
        </w:numPr>
        <w:spacing w:after="0" w:line="240" w:lineRule="auto"/>
        <w:ind w:left="1800" w:firstLine="0"/>
        <w:jc w:val="both"/>
        <w:textAlignment w:val="baseline"/>
        <w:rPr>
          <w:noProof/>
        </w:rPr>
      </w:pPr>
      <w:r>
        <w:rPr>
          <w:noProof/>
        </w:rPr>
        <w:t>Investīcijas uzņēmumu digitalizācijā, tostarp e-komercijā un jaunajās tehnoloģijās; </w:t>
      </w:r>
    </w:p>
    <w:p w14:paraId="650DF0C2" w14:textId="77777777" w:rsidR="00327FF1" w:rsidRDefault="00E406C7">
      <w:pPr>
        <w:pStyle w:val="P68B1DB1-Normal45"/>
        <w:numPr>
          <w:ilvl w:val="0"/>
          <w:numId w:val="115"/>
        </w:numPr>
        <w:spacing w:after="0" w:line="240" w:lineRule="auto"/>
        <w:ind w:left="1800" w:firstLine="0"/>
        <w:jc w:val="both"/>
        <w:textAlignment w:val="baseline"/>
        <w:rPr>
          <w:noProof/>
        </w:rPr>
      </w:pPr>
      <w:r>
        <w:rPr>
          <w:noProof/>
        </w:rPr>
        <w:t>Fotoelementu un saules enerģijas paneļu uzstādīšana </w:t>
      </w:r>
    </w:p>
    <w:p w14:paraId="62DA3950" w14:textId="086B1B53" w:rsidR="00327FF1" w:rsidRDefault="00E406C7">
      <w:pPr>
        <w:pStyle w:val="P68B1DB1-Normal45"/>
        <w:spacing w:after="0" w:line="240" w:lineRule="auto"/>
        <w:jc w:val="both"/>
        <w:textAlignment w:val="baseline"/>
        <w:rPr>
          <w:rFonts w:ascii="Segoe UI" w:hAnsi="Segoe UI" w:cs="Segoe UI"/>
          <w:noProof/>
        </w:rPr>
      </w:pPr>
      <w:r>
        <w:rPr>
          <w:noProof/>
        </w:rPr>
        <w:t>Pasākuma mērķis ir samazināt s</w:t>
      </w:r>
      <w:r>
        <w:rPr>
          <w:noProof/>
        </w:rPr>
        <w:t>iltumnīcefekta gāzu emisijas, pārtikas izšķērdēšanu un pesticīdu un antimikrobiālo līdzekļu izmantošanu, uzlabot energoefektivitāti un palielināt atjaunīgās enerģijas ražošanu un izmantošanu.  </w:t>
      </w:r>
    </w:p>
    <w:p w14:paraId="68D58F0C" w14:textId="77777777" w:rsidR="00327FF1" w:rsidRDefault="00E406C7">
      <w:pPr>
        <w:pStyle w:val="P68B1DB1-Normal45"/>
        <w:spacing w:after="0" w:line="240" w:lineRule="auto"/>
        <w:jc w:val="both"/>
        <w:textAlignment w:val="baseline"/>
        <w:rPr>
          <w:rFonts w:ascii="Segoe UI" w:hAnsi="Segoe UI" w:cs="Segoe UI"/>
          <w:noProof/>
        </w:rPr>
      </w:pPr>
      <w:r>
        <w:rPr>
          <w:noProof/>
        </w:rPr>
        <w:t>Lai īstenotu ieguldījumu mehānismā, ministrija un ISMEA paraks</w:t>
      </w:r>
      <w:r>
        <w:rPr>
          <w:noProof/>
        </w:rPr>
        <w:t>ta īstenošanas nolīgumu, kurā ietver šādu saturu: </w:t>
      </w:r>
    </w:p>
    <w:p w14:paraId="63DDA928" w14:textId="77777777" w:rsidR="00327FF1" w:rsidRDefault="00E406C7">
      <w:pPr>
        <w:pStyle w:val="P68B1DB1-Normal45"/>
        <w:numPr>
          <w:ilvl w:val="0"/>
          <w:numId w:val="116"/>
        </w:numPr>
        <w:spacing w:after="0" w:line="240" w:lineRule="auto"/>
        <w:ind w:left="1080" w:firstLine="0"/>
        <w:jc w:val="both"/>
        <w:textAlignment w:val="baseline"/>
        <w:rPr>
          <w:noProof/>
        </w:rPr>
      </w:pPr>
      <w:r>
        <w:rPr>
          <w:noProof/>
        </w:rPr>
        <w:t xml:space="preserve">Mehānisma lēmumu pieņemšanas procesa apraksts: Galīgo lēmumu par ieguldījumiem Mehānismā pieņem investīciju komiteja vai cita attiecīga līdzvērtīga pārvaldes struktūra, un to apstiprina ar no valdības </w:t>
      </w:r>
      <w:r>
        <w:rPr>
          <w:noProof/>
        </w:rPr>
        <w:t>neatkarīgu locekļu balsu vairākumu. </w:t>
      </w:r>
    </w:p>
    <w:p w14:paraId="49AF4FA7" w14:textId="77777777" w:rsidR="00327FF1" w:rsidRDefault="00E406C7">
      <w:pPr>
        <w:pStyle w:val="P68B1DB1-Normal45"/>
        <w:numPr>
          <w:ilvl w:val="0"/>
          <w:numId w:val="117"/>
        </w:numPr>
        <w:spacing w:after="0" w:line="240" w:lineRule="auto"/>
        <w:ind w:left="1080" w:firstLine="0"/>
        <w:jc w:val="both"/>
        <w:textAlignment w:val="baseline"/>
        <w:rPr>
          <w:noProof/>
        </w:rPr>
      </w:pPr>
      <w:r>
        <w:rPr>
          <w:noProof/>
        </w:rPr>
        <w:t>Saistītās ieguldījumu politikas galvenās prasības, kas ietver: </w:t>
      </w:r>
    </w:p>
    <w:p w14:paraId="658F97A0" w14:textId="77777777" w:rsidR="00327FF1" w:rsidRDefault="00E406C7">
      <w:pPr>
        <w:pStyle w:val="P68B1DB1-Normal45"/>
        <w:numPr>
          <w:ilvl w:val="0"/>
          <w:numId w:val="118"/>
        </w:numPr>
        <w:spacing w:after="0" w:line="240" w:lineRule="auto"/>
        <w:ind w:left="1800" w:firstLine="0"/>
        <w:jc w:val="both"/>
        <w:textAlignment w:val="baseline"/>
        <w:rPr>
          <w:noProof/>
        </w:rPr>
      </w:pPr>
      <w:r>
        <w:rPr>
          <w:noProof/>
        </w:rPr>
        <w:t>Finanšu produkta(-u) un atbalsttiesīgo galasaņēmēju apraksts. </w:t>
      </w:r>
    </w:p>
    <w:p w14:paraId="50B8CCC9" w14:textId="77777777" w:rsidR="00327FF1" w:rsidRDefault="00E406C7">
      <w:pPr>
        <w:pStyle w:val="P68B1DB1-Normal45"/>
        <w:numPr>
          <w:ilvl w:val="0"/>
          <w:numId w:val="119"/>
        </w:numPr>
        <w:spacing w:after="0" w:line="240" w:lineRule="auto"/>
        <w:ind w:left="1800" w:firstLine="0"/>
        <w:jc w:val="both"/>
        <w:textAlignment w:val="baseline"/>
        <w:rPr>
          <w:noProof/>
        </w:rPr>
      </w:pPr>
      <w:r>
        <w:rPr>
          <w:noProof/>
        </w:rPr>
        <w:t>Prasība, lai visi atbalstītie ieguldījumi būtu ekonomiski dzīvotspējīgi. </w:t>
      </w:r>
    </w:p>
    <w:p w14:paraId="5C9517EE" w14:textId="1389AA56" w:rsidR="00327FF1" w:rsidRDefault="00E406C7">
      <w:pPr>
        <w:numPr>
          <w:ilvl w:val="0"/>
          <w:numId w:val="120"/>
        </w:numPr>
        <w:spacing w:after="0" w:line="240" w:lineRule="auto"/>
        <w:ind w:left="1800" w:firstLine="0"/>
        <w:jc w:val="both"/>
        <w:textAlignment w:val="baseline"/>
        <w:rPr>
          <w:rFonts w:ascii="Times New Roman" w:eastAsia="Times New Roman" w:hAnsi="Times New Roman" w:cs="Times New Roman"/>
          <w:noProof/>
          <w:kern w:val="0"/>
          <w14:ligatures w14:val="none"/>
        </w:rPr>
      </w:pPr>
      <w:r>
        <w:rPr>
          <w:rFonts w:ascii="Times New Roman" w:eastAsia="Times New Roman" w:hAnsi="Times New Roman" w:cs="Times New Roman"/>
          <w:noProof/>
          <w:kern w:val="0"/>
          <w14:ligatures w14:val="none"/>
        </w:rPr>
        <w:t>Prasība ievērot pr</w:t>
      </w:r>
      <w:r>
        <w:rPr>
          <w:rFonts w:ascii="Times New Roman" w:eastAsia="Times New Roman" w:hAnsi="Times New Roman" w:cs="Times New Roman"/>
          <w:noProof/>
          <w:kern w:val="0"/>
          <w14:ligatures w14:val="none"/>
        </w:rPr>
        <w:t>incipu “nenodari būtisku kaitējumu” (DNSH), kā noteikts NBK tehniskajos norādījumos (2021/C58/01). Ieguldījumu politika jo īpaši izslēdz no atbilstības šādu darbību un aktīvu sarakstu: I) darbības un aktīvi, kas saistīti ar fosilo kurināmo, tostarp lejupēj</w:t>
      </w:r>
      <w:r>
        <w:rPr>
          <w:rFonts w:ascii="Times New Roman" w:eastAsia="Times New Roman" w:hAnsi="Times New Roman" w:cs="Times New Roman"/>
          <w:noProof/>
          <w:kern w:val="0"/>
          <w14:ligatures w14:val="none"/>
        </w:rPr>
        <w:t>ais izmantojums;</w:t>
      </w:r>
      <w:r>
        <w:rPr>
          <w:rStyle w:val="FootnoteReference"/>
          <w:rFonts w:ascii="Times New Roman" w:eastAsia="Times New Roman" w:hAnsi="Times New Roman" w:cs="Times New Roman"/>
          <w:noProof/>
          <w:kern w:val="0"/>
          <w14:ligatures w14:val="none"/>
        </w:rPr>
        <w:footnoteReference w:id="22"/>
      </w:r>
      <w:r>
        <w:rPr>
          <w:rFonts w:ascii="Times New Roman" w:eastAsia="Times New Roman" w:hAnsi="Times New Roman" w:cs="Times New Roman"/>
          <w:noProof/>
          <w:kern w:val="0"/>
          <w14:ligatures w14:val="none"/>
        </w:rPr>
        <w:t>ii) darbības un aktīvi saskaņā ar ES emisijas kvotu tirdzniecības sistēmu (ETS), kuru prognozētās siltumnīcefekta gāzu emisijas nav zemākas par attiecīgajām līmeņatzīmēm;</w:t>
      </w:r>
      <w:r>
        <w:rPr>
          <w:rStyle w:val="FootnoteReference"/>
          <w:rFonts w:ascii="Times New Roman" w:eastAsia="Times New Roman" w:hAnsi="Times New Roman" w:cs="Times New Roman"/>
          <w:noProof/>
          <w:kern w:val="0"/>
          <w14:ligatures w14:val="none"/>
        </w:rPr>
        <w:footnoteReference w:id="23"/>
      </w:r>
      <w:r>
        <w:rPr>
          <w:rFonts w:ascii="Times New Roman" w:eastAsia="Times New Roman" w:hAnsi="Times New Roman" w:cs="Times New Roman"/>
          <w:noProof/>
          <w:kern w:val="0"/>
          <w14:ligatures w14:val="none"/>
        </w:rPr>
        <w:t>iii) darbības un aktīvi, kas saistīti ar atkritumu poligoniem, saded</w:t>
      </w:r>
      <w:r>
        <w:rPr>
          <w:rFonts w:ascii="Times New Roman" w:eastAsia="Times New Roman" w:hAnsi="Times New Roman" w:cs="Times New Roman"/>
          <w:noProof/>
          <w:kern w:val="0"/>
          <w14:ligatures w14:val="none"/>
        </w:rPr>
        <w:t>zināšanas iekārtām</w:t>
      </w:r>
      <w:r>
        <w:rPr>
          <w:rStyle w:val="FootnoteReference"/>
          <w:rFonts w:ascii="Times New Roman" w:eastAsia="Times New Roman" w:hAnsi="Times New Roman" w:cs="Times New Roman"/>
          <w:noProof/>
          <w:kern w:val="0"/>
          <w14:ligatures w14:val="none"/>
        </w:rPr>
        <w:footnoteReference w:id="24"/>
      </w:r>
      <w:r>
        <w:rPr>
          <w:rFonts w:ascii="Times New Roman" w:eastAsia="Times New Roman" w:hAnsi="Times New Roman" w:cs="Times New Roman"/>
          <w:noProof/>
          <w:kern w:val="0"/>
          <w14:ligatures w14:val="none"/>
        </w:rPr>
        <w:t xml:space="preserve"> un mehāniski bioloģiskās apstrādes iekārtām</w:t>
      </w:r>
      <w:r>
        <w:rPr>
          <w:rStyle w:val="FootnoteReference"/>
          <w:rFonts w:ascii="Times New Roman" w:eastAsia="Times New Roman" w:hAnsi="Times New Roman" w:cs="Times New Roman"/>
          <w:noProof/>
          <w:kern w:val="0"/>
          <w14:ligatures w14:val="none"/>
        </w:rPr>
        <w:footnoteReference w:id="25"/>
      </w:r>
      <w:r>
        <w:rPr>
          <w:rFonts w:ascii="Times New Roman" w:eastAsia="Times New Roman" w:hAnsi="Times New Roman" w:cs="Times New Roman"/>
          <w:noProof/>
          <w:kern w:val="0"/>
          <w14:ligatures w14:val="none"/>
        </w:rPr>
        <w:t xml:space="preserve">. </w:t>
      </w:r>
    </w:p>
    <w:p w14:paraId="5EC3E84A" w14:textId="77777777" w:rsidR="00327FF1" w:rsidRDefault="00E406C7">
      <w:pPr>
        <w:pStyle w:val="P68B1DB1-Normal45"/>
        <w:numPr>
          <w:ilvl w:val="0"/>
          <w:numId w:val="121"/>
        </w:numPr>
        <w:spacing w:after="0" w:line="240" w:lineRule="auto"/>
        <w:ind w:left="1800" w:firstLine="0"/>
        <w:jc w:val="both"/>
        <w:textAlignment w:val="baseline"/>
        <w:rPr>
          <w:noProof/>
        </w:rPr>
      </w:pPr>
      <w:r>
        <w:rPr>
          <w:noProof/>
        </w:rPr>
        <w:t>Prasība, ka Mehānisma galasaņēmēji nesaņem atbalstu no citiem Savienības instrumentiem, lai segtu tās pašas izmaksas. </w:t>
      </w:r>
    </w:p>
    <w:p w14:paraId="1CB34F21" w14:textId="77777777" w:rsidR="00327FF1" w:rsidRDefault="00E406C7">
      <w:pPr>
        <w:pStyle w:val="P68B1DB1-Normal45"/>
        <w:numPr>
          <w:ilvl w:val="0"/>
          <w:numId w:val="122"/>
        </w:numPr>
        <w:spacing w:after="0" w:line="240" w:lineRule="auto"/>
        <w:ind w:left="1080" w:firstLine="0"/>
        <w:jc w:val="both"/>
        <w:textAlignment w:val="baseline"/>
        <w:rPr>
          <w:noProof/>
        </w:rPr>
      </w:pPr>
      <w:r>
        <w:rPr>
          <w:noProof/>
        </w:rPr>
        <w:t>Summa, uz kuru attiecas īstenošanas nolīgums, īstenošanas partnera mak</w:t>
      </w:r>
      <w:r>
        <w:rPr>
          <w:noProof/>
        </w:rPr>
        <w:t>su struktūra un prasība atkārtoti ieguldīt visus atmaksājumus saskaņā ar Mehānisma ieguldījumu politiku. </w:t>
      </w:r>
    </w:p>
    <w:p w14:paraId="25EF5C36" w14:textId="77777777" w:rsidR="00327FF1" w:rsidRDefault="00E406C7">
      <w:pPr>
        <w:pStyle w:val="P68B1DB1-Normal45"/>
        <w:numPr>
          <w:ilvl w:val="0"/>
          <w:numId w:val="123"/>
        </w:numPr>
        <w:spacing w:after="0" w:line="240" w:lineRule="auto"/>
        <w:ind w:left="1080" w:firstLine="0"/>
        <w:jc w:val="both"/>
        <w:textAlignment w:val="baseline"/>
        <w:rPr>
          <w:noProof/>
        </w:rPr>
      </w:pPr>
      <w:r>
        <w:rPr>
          <w:noProof/>
        </w:rPr>
        <w:t>Uzraudzības, revīzijas un kontroles prasības, tostarp: </w:t>
      </w:r>
    </w:p>
    <w:p w14:paraId="6AB1586F" w14:textId="77777777" w:rsidR="00327FF1" w:rsidRDefault="00E406C7">
      <w:pPr>
        <w:pStyle w:val="P68B1DB1-Normal45"/>
        <w:numPr>
          <w:ilvl w:val="0"/>
          <w:numId w:val="124"/>
        </w:numPr>
        <w:spacing w:after="0" w:line="240" w:lineRule="auto"/>
        <w:ind w:left="1800" w:firstLine="0"/>
        <w:jc w:val="both"/>
        <w:textAlignment w:val="baseline"/>
        <w:rPr>
          <w:noProof/>
        </w:rPr>
      </w:pPr>
      <w:r>
        <w:rPr>
          <w:noProof/>
        </w:rPr>
        <w:t xml:space="preserve">Apraksts par īstenošanas partnera uzraudzības sistēmu ziņošanai par mobilizētajām </w:t>
      </w:r>
      <w:r>
        <w:rPr>
          <w:noProof/>
        </w:rPr>
        <w:t>investīcijām. </w:t>
      </w:r>
    </w:p>
    <w:p w14:paraId="309A8BD8" w14:textId="2ACB576C" w:rsidR="00327FF1" w:rsidRDefault="00E406C7">
      <w:pPr>
        <w:pStyle w:val="P68B1DB1-Normal45"/>
        <w:numPr>
          <w:ilvl w:val="0"/>
          <w:numId w:val="125"/>
        </w:numPr>
        <w:spacing w:after="0" w:line="240" w:lineRule="auto"/>
        <w:ind w:left="1800" w:firstLine="0"/>
        <w:jc w:val="both"/>
        <w:textAlignment w:val="baseline"/>
        <w:rPr>
          <w:noProof/>
        </w:rPr>
      </w:pPr>
      <w:r>
        <w:rPr>
          <w:noProof/>
        </w:rPr>
        <w:t xml:space="preserve">Apraksts par īstenošanas partnera procedūrām, kas nodrošina krāpšanas, korupcijas un interešu konfliktu novēršanu, atklāšanu un labošanu. </w:t>
      </w:r>
    </w:p>
    <w:p w14:paraId="33F39810" w14:textId="77777777" w:rsidR="00327FF1" w:rsidRDefault="00E406C7">
      <w:pPr>
        <w:pStyle w:val="P68B1DB1-Normal45"/>
        <w:numPr>
          <w:ilvl w:val="0"/>
          <w:numId w:val="126"/>
        </w:numPr>
        <w:spacing w:after="0" w:line="240" w:lineRule="auto"/>
        <w:ind w:left="1800" w:firstLine="0"/>
        <w:jc w:val="both"/>
        <w:textAlignment w:val="baseline"/>
        <w:rPr>
          <w:noProof/>
        </w:rPr>
      </w:pPr>
      <w:r>
        <w:rPr>
          <w:noProof/>
        </w:rPr>
        <w:t>Pienākums pārbaudīt katras darbības attiecināmību saskaņā ar Īstenošanas nolīgumā noteiktajām prasībām</w:t>
      </w:r>
      <w:r>
        <w:rPr>
          <w:noProof/>
        </w:rPr>
        <w:t xml:space="preserve"> pirms apņemšanās finansēt kādu darbību. </w:t>
      </w:r>
    </w:p>
    <w:p w14:paraId="231D794D" w14:textId="6BB3FF4B" w:rsidR="00327FF1" w:rsidRDefault="00E406C7">
      <w:pPr>
        <w:pStyle w:val="P68B1DB1-Normal45"/>
        <w:numPr>
          <w:ilvl w:val="0"/>
          <w:numId w:val="127"/>
        </w:numPr>
        <w:spacing w:after="0" w:line="240" w:lineRule="auto"/>
        <w:ind w:left="1800" w:firstLine="0"/>
        <w:jc w:val="both"/>
        <w:textAlignment w:val="baseline"/>
        <w:rPr>
          <w:noProof/>
        </w:rPr>
      </w:pPr>
      <w:r>
        <w:rPr>
          <w:noProof/>
        </w:rPr>
        <w:t xml:space="preserve">Pienākums veikt uz risku balstītas ex post revīzijas saskaņā ar ISMEA revīzijas plānu. Šajās revīzijās pārbauda i) kontroles sistēmu efektivitāti, tostarp krāpšanas, korupcijas un interešu konflikta atklāšanu; II) </w:t>
      </w:r>
      <w:r>
        <w:rPr>
          <w:noProof/>
        </w:rPr>
        <w:t>atbilstība principam “nenodarīt būtisku kaitējumu”, valsts atbalsta noteikumiem, klimata un digitālo mērķrādītāju prasībām saskaņā ar ANM regulas VI pielikumu un ANM regulas VII pielikumu; un iii) ka ir ievērota prasība, ka Mehānisma galasaņēmēji nav saņēm</w:t>
      </w:r>
      <w:r>
        <w:rPr>
          <w:noProof/>
        </w:rPr>
        <w:t xml:space="preserve">uši atbalstu no citiem Savienības instrumentiem, lai segtu tās pašas izmaksas. Revīzijās pārbauda arī darījumu likumību un to, vai tiek ievēroti piemērojamā īstenošanas nolīguma un finansēšanas nolīgumu nosacījumi. </w:t>
      </w:r>
    </w:p>
    <w:p w14:paraId="3CC3507F" w14:textId="77777777" w:rsidR="00327FF1" w:rsidRDefault="00E406C7">
      <w:pPr>
        <w:pStyle w:val="P68B1DB1-Normal45"/>
        <w:spacing w:after="0" w:line="240" w:lineRule="auto"/>
        <w:ind w:left="1440"/>
        <w:jc w:val="both"/>
        <w:textAlignment w:val="baseline"/>
        <w:rPr>
          <w:rFonts w:ascii="Segoe UI" w:hAnsi="Segoe UI" w:cs="Segoe UI"/>
          <w:noProof/>
        </w:rPr>
      </w:pPr>
      <w:r>
        <w:rPr>
          <w:noProof/>
        </w:rPr>
        <w:t> </w:t>
      </w:r>
    </w:p>
    <w:p w14:paraId="2BF3E397" w14:textId="24B89634" w:rsidR="00327FF1" w:rsidRDefault="00E406C7">
      <w:pPr>
        <w:numPr>
          <w:ilvl w:val="0"/>
          <w:numId w:val="128"/>
        </w:numPr>
        <w:spacing w:after="0" w:line="240" w:lineRule="auto"/>
        <w:ind w:left="1080" w:firstLine="0"/>
        <w:jc w:val="both"/>
        <w:textAlignment w:val="baseline"/>
        <w:rPr>
          <w:rFonts w:ascii="Times New Roman" w:eastAsia="Times New Roman" w:hAnsi="Times New Roman" w:cs="Times New Roman"/>
          <w:noProof/>
          <w:kern w:val="0"/>
          <w14:ligatures w14:val="none"/>
        </w:rPr>
      </w:pPr>
      <w:r>
        <w:rPr>
          <w:rFonts w:ascii="Times New Roman" w:eastAsia="Times New Roman" w:hAnsi="Times New Roman" w:cs="Times New Roman"/>
          <w:noProof/>
          <w:kern w:val="0"/>
          <w14:ligatures w14:val="none"/>
        </w:rPr>
        <w:t>Prasības attiecībā uz investīcijām kli</w:t>
      </w:r>
      <w:r>
        <w:rPr>
          <w:rFonts w:ascii="Times New Roman" w:eastAsia="Times New Roman" w:hAnsi="Times New Roman" w:cs="Times New Roman"/>
          <w:noProof/>
          <w:kern w:val="0"/>
          <w14:ligatures w14:val="none"/>
        </w:rPr>
        <w:t>mata jomā, ko veic īstenošanas partneris: vismaz 1848000000.00</w:t>
      </w:r>
      <w:r>
        <w:rPr>
          <w:rFonts w:ascii="Arial Narrow" w:hAnsi="Arial Narrow"/>
          <w:noProof/>
          <w:color w:val="006100"/>
        </w:rPr>
        <w:t xml:space="preserve"> </w:t>
      </w:r>
      <w:r>
        <w:rPr>
          <w:rFonts w:ascii="Times New Roman" w:eastAsia="Times New Roman" w:hAnsi="Times New Roman" w:cs="Times New Roman"/>
          <w:noProof/>
          <w:kern w:val="0"/>
          <w14:ligatures w14:val="none"/>
        </w:rPr>
        <w:t>EUR</w:t>
      </w:r>
      <w:r>
        <w:rPr>
          <w:rFonts w:ascii="Arial Narrow" w:hAnsi="Arial Narrow"/>
          <w:noProof/>
          <w:color w:val="006100"/>
        </w:rPr>
        <w:t xml:space="preserve"> </w:t>
      </w:r>
      <w:r>
        <w:rPr>
          <w:rFonts w:ascii="Times New Roman" w:eastAsia="Times New Roman" w:hAnsi="Times New Roman" w:cs="Times New Roman"/>
          <w:noProof/>
          <w:kern w:val="0"/>
          <w14:ligatures w14:val="none"/>
        </w:rPr>
        <w:t>no</w:t>
      </w:r>
      <w:r>
        <w:rPr>
          <w:rFonts w:ascii="Arial Narrow" w:hAnsi="Arial Narrow"/>
          <w:noProof/>
          <w:color w:val="006100"/>
        </w:rPr>
        <w:t xml:space="preserve"> </w:t>
      </w:r>
      <w:r>
        <w:rPr>
          <w:rFonts w:ascii="Times New Roman" w:eastAsia="Times New Roman" w:hAnsi="Times New Roman" w:cs="Times New Roman"/>
          <w:noProof/>
          <w:kern w:val="0"/>
          <w14:ligatures w14:val="none"/>
        </w:rPr>
        <w:t>ANM investīcijām mehānismā veicina klimata pārmaiņu mērķu sasniegšanu saskaņā ar ANM regulas VI pielikumu.</w:t>
      </w:r>
      <w:r>
        <w:rPr>
          <w:rFonts w:ascii="Arial Narrow" w:hAnsi="Arial Narrow"/>
          <w:noProof/>
          <w:color w:val="006100"/>
        </w:rPr>
        <w:t xml:space="preserve"> </w:t>
      </w:r>
      <w:r>
        <w:rPr>
          <w:rStyle w:val="FootnoteReference"/>
          <w:rFonts w:ascii="Times New Roman" w:eastAsia="Times New Roman" w:hAnsi="Times New Roman" w:cs="Times New Roman"/>
          <w:noProof/>
          <w:kern w:val="0"/>
          <w14:ligatures w14:val="none"/>
        </w:rPr>
        <w:footnoteReference w:id="26"/>
      </w:r>
    </w:p>
    <w:p w14:paraId="2BC20A17" w14:textId="77777777" w:rsidR="00327FF1" w:rsidRDefault="00327FF1">
      <w:pPr>
        <w:spacing w:after="0" w:line="240" w:lineRule="auto"/>
        <w:jc w:val="both"/>
        <w:textAlignment w:val="baseline"/>
        <w:rPr>
          <w:rFonts w:ascii="Times New Roman" w:eastAsia="Times New Roman" w:hAnsi="Times New Roman" w:cs="Times New Roman"/>
          <w:noProof/>
          <w:kern w:val="0"/>
          <w:sz w:val="24"/>
          <w:szCs w:val="24"/>
          <w14:ligatures w14:val="none"/>
        </w:rPr>
      </w:pPr>
    </w:p>
    <w:p w14:paraId="5D467C2F" w14:textId="1D6461B8" w:rsidR="00327FF1" w:rsidRDefault="00E406C7">
      <w:pPr>
        <w:pStyle w:val="P68B1DB1-Normal56"/>
        <w:spacing w:after="0" w:line="240" w:lineRule="auto"/>
        <w:jc w:val="both"/>
        <w:textAlignment w:val="baseline"/>
        <w:rPr>
          <w:rFonts w:ascii="Segoe UI" w:hAnsi="Segoe UI" w:cs="Segoe UI"/>
          <w:noProof/>
          <w:sz w:val="18"/>
          <w:szCs w:val="18"/>
        </w:rPr>
      </w:pPr>
      <w:r>
        <w:rPr>
          <w:noProof/>
        </w:rPr>
        <w:t xml:space="preserve">Investīcija Nr. 4 — Lauksaimniecības parka mehānisms </w:t>
      </w:r>
    </w:p>
    <w:p w14:paraId="7417060A" w14:textId="563955D3" w:rsidR="00327FF1" w:rsidRDefault="00E406C7">
      <w:pPr>
        <w:pStyle w:val="P68B1DB1-Normal45"/>
        <w:spacing w:after="0" w:line="240" w:lineRule="auto"/>
        <w:jc w:val="both"/>
        <w:textAlignment w:val="baseline"/>
        <w:rPr>
          <w:rFonts w:ascii="Segoe UI" w:hAnsi="Segoe UI" w:cs="Segoe UI"/>
          <w:noProof/>
        </w:rPr>
      </w:pPr>
      <w:r>
        <w:rPr>
          <w:noProof/>
        </w:rPr>
        <w:t xml:space="preserve">Šis pasākums ietver publiskus ieguldījumus dotāciju shēmā, proti, Lauksaimniecības parka mehānismā, lai stimulētu privātos ieguldījumus un uzlabotu piekļuvi finansējumam Itālijas agrorūpniecības nozarē. Shēma darbojas, piešķirot dotācijas tieši privātajam </w:t>
      </w:r>
      <w:r>
        <w:rPr>
          <w:noProof/>
        </w:rPr>
        <w:t xml:space="preserve">sektoram. </w:t>
      </w:r>
    </w:p>
    <w:p w14:paraId="324FAE36" w14:textId="77777777" w:rsidR="00327FF1" w:rsidRDefault="00E406C7">
      <w:pPr>
        <w:pStyle w:val="P68B1DB1-Normal45"/>
        <w:spacing w:after="0" w:line="240" w:lineRule="auto"/>
        <w:jc w:val="both"/>
        <w:textAlignment w:val="baseline"/>
        <w:rPr>
          <w:rFonts w:ascii="Segoe UI" w:hAnsi="Segoe UI" w:cs="Segoe UI"/>
          <w:noProof/>
        </w:rPr>
      </w:pPr>
      <w:r>
        <w:rPr>
          <w:noProof/>
        </w:rPr>
        <w:t>Shēmu pārvalda Gestore Servizi Energetici S.p.A. (GSE) kā īstenošanas partneris. Shēma nodrošina dotāciju, kas sedz daļu no projektu izmaksām. Shēma atbalsta investīcijas lauksaimniecības, lopkopības un agrorūpniecības nozares struktūrās, lai uz</w:t>
      </w:r>
      <w:r>
        <w:rPr>
          <w:noProof/>
        </w:rPr>
        <w:t>stādītu saules enerģijas paneļus, kā arī papildu intervences. Projektu priekšlikumu novērtēšanā pozitīvi tiks ņemta vērā dalība tīklā “rete del lavoro agricolo di qualità”. </w:t>
      </w:r>
    </w:p>
    <w:p w14:paraId="35DB1BC5" w14:textId="77777777" w:rsidR="00327FF1" w:rsidRDefault="00E406C7">
      <w:pPr>
        <w:pStyle w:val="P68B1DB1-Normal45"/>
        <w:spacing w:after="0" w:line="240" w:lineRule="auto"/>
        <w:jc w:val="both"/>
        <w:textAlignment w:val="baseline"/>
        <w:rPr>
          <w:rFonts w:ascii="Segoe UI" w:hAnsi="Segoe UI" w:cs="Segoe UI"/>
          <w:noProof/>
        </w:rPr>
      </w:pPr>
      <w:r>
        <w:rPr>
          <w:noProof/>
        </w:rPr>
        <w:t>Lai īstenotu ieguldījumu shēmā, Itālija un GSE paraksta īstenošanas nolīgumu, kurā</w:t>
      </w:r>
      <w:r>
        <w:rPr>
          <w:noProof/>
        </w:rPr>
        <w:t xml:space="preserve"> ietver šādu saturu: </w:t>
      </w:r>
    </w:p>
    <w:p w14:paraId="31C5195A" w14:textId="36DEABC5" w:rsidR="00327FF1" w:rsidRDefault="00E406C7">
      <w:pPr>
        <w:pStyle w:val="P68B1DB1-Normal45"/>
        <w:numPr>
          <w:ilvl w:val="0"/>
          <w:numId w:val="98"/>
        </w:numPr>
        <w:spacing w:after="0" w:line="240" w:lineRule="auto"/>
        <w:ind w:firstLine="0"/>
        <w:jc w:val="both"/>
        <w:textAlignment w:val="baseline"/>
        <w:rPr>
          <w:noProof/>
        </w:rPr>
      </w:pPr>
      <w:r>
        <w:rPr>
          <w:noProof/>
        </w:rPr>
        <w:t>Shēmas lēmumu pieņemšanas procesa apraksts: Galīgo lēmumu par shēmas piešķiršanu pieņem ieguldījumu komiteja vai cita līdzvērtīga pārvaldes struktūra, un to apstiprina ar no valdības neatkarīgu locekļu balsu vairākumu. </w:t>
      </w:r>
    </w:p>
    <w:p w14:paraId="177065D5" w14:textId="77777777" w:rsidR="00327FF1" w:rsidRDefault="00E406C7">
      <w:pPr>
        <w:pStyle w:val="P68B1DB1-Normal45"/>
        <w:rPr>
          <w:noProof/>
        </w:rPr>
      </w:pPr>
      <w:r>
        <w:rPr>
          <w:noProof/>
        </w:rPr>
        <w:br w:type="page"/>
      </w:r>
    </w:p>
    <w:p w14:paraId="59554255" w14:textId="77777777" w:rsidR="00327FF1" w:rsidRDefault="00327FF1">
      <w:pPr>
        <w:spacing w:after="0" w:line="240" w:lineRule="auto"/>
        <w:ind w:left="720"/>
        <w:jc w:val="both"/>
        <w:textAlignment w:val="baseline"/>
        <w:rPr>
          <w:rFonts w:ascii="Times New Roman" w:eastAsia="Times New Roman" w:hAnsi="Times New Roman" w:cs="Times New Roman"/>
          <w:noProof/>
          <w:kern w:val="0"/>
          <w14:ligatures w14:val="none"/>
        </w:rPr>
      </w:pPr>
    </w:p>
    <w:p w14:paraId="716A61CA" w14:textId="77777777" w:rsidR="00327FF1" w:rsidRDefault="00E406C7">
      <w:pPr>
        <w:pStyle w:val="P68B1DB1-Normal45"/>
        <w:numPr>
          <w:ilvl w:val="0"/>
          <w:numId w:val="99"/>
        </w:numPr>
        <w:spacing w:after="0" w:line="240" w:lineRule="auto"/>
        <w:ind w:firstLine="0"/>
        <w:jc w:val="both"/>
        <w:textAlignment w:val="baseline"/>
        <w:rPr>
          <w:noProof/>
        </w:rPr>
      </w:pPr>
      <w:r>
        <w:rPr>
          <w:noProof/>
        </w:rPr>
        <w:t>Saistītās d</w:t>
      </w:r>
      <w:r>
        <w:rPr>
          <w:noProof/>
        </w:rPr>
        <w:t>otāciju politikas galvenās prasības,</w:t>
      </w:r>
      <w:r>
        <w:rPr>
          <w:b/>
          <w:noProof/>
        </w:rPr>
        <w:t xml:space="preserve"> </w:t>
      </w:r>
      <w:r>
        <w:rPr>
          <w:noProof/>
        </w:rPr>
        <w:t>kas ietver: </w:t>
      </w:r>
    </w:p>
    <w:p w14:paraId="19368942" w14:textId="414117EB" w:rsidR="00327FF1" w:rsidRDefault="00E406C7">
      <w:pPr>
        <w:pStyle w:val="P68B1DB1-Normal45"/>
        <w:numPr>
          <w:ilvl w:val="0"/>
          <w:numId w:val="100"/>
        </w:numPr>
        <w:spacing w:after="0" w:line="240" w:lineRule="auto"/>
        <w:ind w:left="1200" w:firstLine="0"/>
        <w:jc w:val="both"/>
        <w:textAlignment w:val="baseline"/>
        <w:rPr>
          <w:noProof/>
        </w:rPr>
      </w:pPr>
      <w:r>
        <w:rPr>
          <w:noProof/>
        </w:rPr>
        <w:t>Apraksts par piešķirtajām dotācijām un atbalsttiesīgajiem galīgajiem saņēmējiem.</w:t>
      </w:r>
    </w:p>
    <w:p w14:paraId="5C3C5AA7" w14:textId="77777777" w:rsidR="00327FF1" w:rsidRDefault="00E406C7">
      <w:pPr>
        <w:pStyle w:val="P68B1DB1-Normal45"/>
        <w:numPr>
          <w:ilvl w:val="0"/>
          <w:numId w:val="101"/>
        </w:numPr>
        <w:spacing w:after="0" w:line="240" w:lineRule="auto"/>
        <w:ind w:left="1200" w:firstLine="0"/>
        <w:jc w:val="both"/>
        <w:textAlignment w:val="baseline"/>
        <w:rPr>
          <w:noProof/>
        </w:rPr>
      </w:pPr>
      <w:r>
        <w:rPr>
          <w:noProof/>
        </w:rPr>
        <w:t>Prasība, ka visiem atbalstītajiem ieguldījumiem jābūt ekonomiski dzīvotspējīgiem</w:t>
      </w:r>
      <w:r>
        <w:rPr>
          <w:b/>
          <w:noProof/>
        </w:rPr>
        <w:t>.</w:t>
      </w:r>
      <w:r>
        <w:rPr>
          <w:noProof/>
        </w:rPr>
        <w:t> </w:t>
      </w:r>
    </w:p>
    <w:p w14:paraId="126EA2EB" w14:textId="121CAD10" w:rsidR="00327FF1" w:rsidRDefault="00E406C7">
      <w:pPr>
        <w:numPr>
          <w:ilvl w:val="0"/>
          <w:numId w:val="102"/>
        </w:numPr>
        <w:spacing w:after="0" w:line="240" w:lineRule="auto"/>
        <w:ind w:left="1200" w:firstLine="0"/>
        <w:jc w:val="both"/>
        <w:textAlignment w:val="baseline"/>
        <w:rPr>
          <w:rFonts w:ascii="Times New Roman" w:eastAsia="Times New Roman" w:hAnsi="Times New Roman" w:cs="Times New Roman"/>
          <w:noProof/>
          <w:kern w:val="0"/>
          <w14:ligatures w14:val="none"/>
        </w:rPr>
      </w:pPr>
      <w:r>
        <w:rPr>
          <w:rFonts w:ascii="Times New Roman" w:eastAsia="Times New Roman" w:hAnsi="Times New Roman" w:cs="Times New Roman"/>
          <w:noProof/>
          <w:kern w:val="0"/>
          <w14:ligatures w14:val="none"/>
        </w:rPr>
        <w:t>Prasība ievērot principu “nenodari būtisku</w:t>
      </w:r>
      <w:r>
        <w:rPr>
          <w:rFonts w:ascii="Times New Roman" w:eastAsia="Times New Roman" w:hAnsi="Times New Roman" w:cs="Times New Roman"/>
          <w:noProof/>
          <w:kern w:val="0"/>
          <w14:ligatures w14:val="none"/>
        </w:rPr>
        <w:t xml:space="preserve"> kaitējumu” (DNSH), kā noteikts NBK tehniskajos norādījumos (2021/C58/01). Jo</w:t>
      </w:r>
      <w:r>
        <w:rPr>
          <w:rFonts w:ascii="Times New Roman" w:eastAsia="Times New Roman" w:hAnsi="Times New Roman" w:cs="Times New Roman"/>
          <w:noProof/>
          <w:kern w:val="0"/>
          <w:sz w:val="24"/>
          <w:szCs w:val="24"/>
          <w14:ligatures w14:val="none"/>
        </w:rPr>
        <w:t xml:space="preserve"> </w:t>
      </w:r>
      <w:r>
        <w:rPr>
          <w:rFonts w:ascii="Times New Roman" w:eastAsia="Times New Roman" w:hAnsi="Times New Roman" w:cs="Times New Roman"/>
          <w:noProof/>
          <w:kern w:val="0"/>
          <w14:ligatures w14:val="none"/>
        </w:rPr>
        <w:t>īpaši dotāciju politikā no atbilstības izslēdz šādu darbību un aktīvu sarakstu: I) darbības un aktīvi, kas saistīti ar fosilo kurināmo, tostarp lejupējais izmantojums;</w:t>
      </w:r>
      <w:r>
        <w:rPr>
          <w:rStyle w:val="FootnoteReference"/>
          <w:rFonts w:ascii="Times New Roman" w:eastAsia="Times New Roman" w:hAnsi="Times New Roman" w:cs="Times New Roman"/>
          <w:noProof/>
          <w:kern w:val="0"/>
          <w14:ligatures w14:val="none"/>
        </w:rPr>
        <w:footnoteReference w:id="27"/>
      </w:r>
      <w:r>
        <w:rPr>
          <w:rFonts w:ascii="Times New Roman" w:eastAsia="Times New Roman" w:hAnsi="Times New Roman" w:cs="Times New Roman"/>
          <w:noProof/>
          <w:kern w:val="0"/>
          <w14:ligatures w14:val="none"/>
        </w:rPr>
        <w:t>ii) darbīb</w:t>
      </w:r>
      <w:r>
        <w:rPr>
          <w:rFonts w:ascii="Times New Roman" w:eastAsia="Times New Roman" w:hAnsi="Times New Roman" w:cs="Times New Roman"/>
          <w:noProof/>
          <w:kern w:val="0"/>
          <w14:ligatures w14:val="none"/>
        </w:rPr>
        <w:t>as un aktīvi saskaņā ar ES emisijas kvotu tirdzniecības sistēmu (ETS), kuru prognozētās siltumnīcefekta gāzu emisijas nav zemākas par attiecīgajām līmeņatzīmēm;</w:t>
      </w:r>
      <w:r>
        <w:rPr>
          <w:rStyle w:val="FootnoteReference"/>
          <w:rFonts w:ascii="Times New Roman" w:eastAsia="Times New Roman" w:hAnsi="Times New Roman" w:cs="Times New Roman"/>
          <w:noProof/>
          <w:kern w:val="0"/>
          <w14:ligatures w14:val="none"/>
        </w:rPr>
        <w:footnoteReference w:id="28"/>
      </w:r>
      <w:r>
        <w:rPr>
          <w:rFonts w:ascii="Times New Roman" w:eastAsia="Times New Roman" w:hAnsi="Times New Roman" w:cs="Times New Roman"/>
          <w:noProof/>
          <w:kern w:val="0"/>
          <w14:ligatures w14:val="none"/>
        </w:rPr>
        <w:t>iii) darbības un aktīvi, kas saistīti ar atkritumu poligoniem, sadedzināšanas iekārtām</w:t>
      </w:r>
      <w:r>
        <w:rPr>
          <w:rStyle w:val="FootnoteReference"/>
          <w:rFonts w:ascii="Times New Roman" w:eastAsia="Times New Roman" w:hAnsi="Times New Roman" w:cs="Times New Roman"/>
          <w:noProof/>
          <w:kern w:val="0"/>
          <w14:ligatures w14:val="none"/>
        </w:rPr>
        <w:footnoteReference w:id="29"/>
      </w:r>
      <w:r>
        <w:rPr>
          <w:rFonts w:ascii="Times New Roman" w:eastAsia="Times New Roman" w:hAnsi="Times New Roman" w:cs="Times New Roman"/>
          <w:noProof/>
          <w:kern w:val="0"/>
          <w14:ligatures w14:val="none"/>
        </w:rPr>
        <w:t xml:space="preserve"> un mehā</w:t>
      </w:r>
      <w:r>
        <w:rPr>
          <w:rFonts w:ascii="Times New Roman" w:eastAsia="Times New Roman" w:hAnsi="Times New Roman" w:cs="Times New Roman"/>
          <w:noProof/>
          <w:kern w:val="0"/>
          <w14:ligatures w14:val="none"/>
        </w:rPr>
        <w:t>niski bioloģiskās apstrādes iekārtām</w:t>
      </w:r>
      <w:r>
        <w:rPr>
          <w:rStyle w:val="FootnoteReference"/>
          <w:rFonts w:ascii="Times New Roman" w:eastAsia="Times New Roman" w:hAnsi="Times New Roman" w:cs="Times New Roman"/>
          <w:noProof/>
          <w:kern w:val="0"/>
          <w14:ligatures w14:val="none"/>
        </w:rPr>
        <w:footnoteReference w:id="30"/>
      </w:r>
      <w:r>
        <w:rPr>
          <w:rFonts w:ascii="Times New Roman" w:eastAsia="Times New Roman" w:hAnsi="Times New Roman" w:cs="Times New Roman"/>
          <w:noProof/>
          <w:kern w:val="0"/>
          <w14:ligatures w14:val="none"/>
        </w:rPr>
        <w:t xml:space="preserve">. </w:t>
      </w:r>
    </w:p>
    <w:p w14:paraId="396CDA94" w14:textId="77777777" w:rsidR="00327FF1" w:rsidRDefault="00E406C7">
      <w:pPr>
        <w:pStyle w:val="P68B1DB1-Normal45"/>
        <w:numPr>
          <w:ilvl w:val="0"/>
          <w:numId w:val="103"/>
        </w:numPr>
        <w:spacing w:after="0" w:line="240" w:lineRule="auto"/>
        <w:ind w:left="1200" w:firstLine="0"/>
        <w:jc w:val="both"/>
        <w:textAlignment w:val="baseline"/>
        <w:rPr>
          <w:noProof/>
        </w:rPr>
      </w:pPr>
      <w:r>
        <w:rPr>
          <w:noProof/>
        </w:rPr>
        <w:t>Prasību, ka shēmas galasaņēmēji nesaņem atbalstu no citiem Savienības instrumentiem, lai segtu tās pašas izmaksas. </w:t>
      </w:r>
    </w:p>
    <w:p w14:paraId="57DAE864" w14:textId="77777777" w:rsidR="00327FF1" w:rsidRDefault="00327FF1">
      <w:pPr>
        <w:spacing w:after="0" w:line="240" w:lineRule="auto"/>
        <w:ind w:left="1200"/>
        <w:jc w:val="both"/>
        <w:textAlignment w:val="baseline"/>
        <w:rPr>
          <w:rFonts w:ascii="Times New Roman" w:eastAsia="Times New Roman" w:hAnsi="Times New Roman" w:cs="Times New Roman"/>
          <w:noProof/>
          <w:kern w:val="0"/>
          <w14:ligatures w14:val="none"/>
        </w:rPr>
      </w:pPr>
    </w:p>
    <w:p w14:paraId="200A2500" w14:textId="77777777" w:rsidR="00327FF1" w:rsidRDefault="00E406C7">
      <w:pPr>
        <w:pStyle w:val="P68B1DB1-Normal45"/>
        <w:numPr>
          <w:ilvl w:val="0"/>
          <w:numId w:val="104"/>
        </w:numPr>
        <w:spacing w:after="0" w:line="240" w:lineRule="auto"/>
        <w:ind w:firstLine="0"/>
        <w:jc w:val="both"/>
        <w:textAlignment w:val="baseline"/>
        <w:rPr>
          <w:noProof/>
        </w:rPr>
      </w:pPr>
      <w:r>
        <w:rPr>
          <w:noProof/>
        </w:rPr>
        <w:t xml:space="preserve">Īstenošanas nolīguma aptvertā summa, īstenošanas partnera maksu struktūra un prasība visus </w:t>
      </w:r>
      <w:r>
        <w:rPr>
          <w:noProof/>
        </w:rPr>
        <w:t>neizmantotos ieņēmumus no shēmas, tostarp pēc 2026. gada, izmantot tiem pašiem politikas mērķiem. </w:t>
      </w:r>
    </w:p>
    <w:p w14:paraId="48F36893" w14:textId="77777777" w:rsidR="00327FF1" w:rsidRDefault="00327FF1">
      <w:pPr>
        <w:spacing w:after="0" w:line="240" w:lineRule="auto"/>
        <w:ind w:left="720"/>
        <w:jc w:val="both"/>
        <w:textAlignment w:val="baseline"/>
        <w:rPr>
          <w:rFonts w:ascii="Times New Roman" w:eastAsia="Times New Roman" w:hAnsi="Times New Roman" w:cs="Times New Roman"/>
          <w:noProof/>
          <w:kern w:val="0"/>
          <w14:ligatures w14:val="none"/>
        </w:rPr>
      </w:pPr>
    </w:p>
    <w:p w14:paraId="403A448C" w14:textId="77777777" w:rsidR="00327FF1" w:rsidRDefault="00E406C7">
      <w:pPr>
        <w:pStyle w:val="P68B1DB1-Normal45"/>
        <w:numPr>
          <w:ilvl w:val="0"/>
          <w:numId w:val="105"/>
        </w:numPr>
        <w:spacing w:after="0" w:line="240" w:lineRule="auto"/>
        <w:ind w:firstLine="0"/>
        <w:jc w:val="both"/>
        <w:textAlignment w:val="baseline"/>
        <w:rPr>
          <w:noProof/>
        </w:rPr>
      </w:pPr>
      <w:r>
        <w:rPr>
          <w:noProof/>
        </w:rPr>
        <w:t>Uzraudzības, revīzijas un kontroles prasības, tostarp: </w:t>
      </w:r>
    </w:p>
    <w:p w14:paraId="166476A5" w14:textId="77777777" w:rsidR="00327FF1" w:rsidRDefault="00E406C7">
      <w:pPr>
        <w:pStyle w:val="P68B1DB1-Normal45"/>
        <w:numPr>
          <w:ilvl w:val="0"/>
          <w:numId w:val="106"/>
        </w:numPr>
        <w:spacing w:after="0" w:line="240" w:lineRule="auto"/>
        <w:ind w:left="1800" w:firstLine="0"/>
        <w:jc w:val="both"/>
        <w:textAlignment w:val="baseline"/>
        <w:rPr>
          <w:noProof/>
        </w:rPr>
      </w:pPr>
      <w:r>
        <w:rPr>
          <w:noProof/>
        </w:rPr>
        <w:t>Apraksts par īstenošanas partnera uzraudzības sistēmu ziņošanai par mobilizētajām dotācijām. </w:t>
      </w:r>
    </w:p>
    <w:p w14:paraId="27284BDE" w14:textId="4CFAD125" w:rsidR="00327FF1" w:rsidRDefault="00E406C7">
      <w:pPr>
        <w:pStyle w:val="P68B1DB1-Normal45"/>
        <w:numPr>
          <w:ilvl w:val="0"/>
          <w:numId w:val="107"/>
        </w:numPr>
        <w:spacing w:after="0" w:line="240" w:lineRule="auto"/>
        <w:ind w:left="1800" w:firstLine="0"/>
        <w:jc w:val="both"/>
        <w:textAlignment w:val="baseline"/>
        <w:rPr>
          <w:noProof/>
        </w:rPr>
      </w:pPr>
      <w:r>
        <w:rPr>
          <w:noProof/>
        </w:rPr>
        <w:t>Apraks</w:t>
      </w:r>
      <w:r>
        <w:rPr>
          <w:noProof/>
        </w:rPr>
        <w:t xml:space="preserve">ts par īstenošanas partnera procedūrām, kas nodrošinās krāpšanas, korupcijas un interešu konfliktu novēršanu, atklāšanu un labošanu. </w:t>
      </w:r>
    </w:p>
    <w:p w14:paraId="4FF358C4" w14:textId="2D171529" w:rsidR="00327FF1" w:rsidRDefault="00E406C7">
      <w:pPr>
        <w:pStyle w:val="P68B1DB1-Normal45"/>
        <w:numPr>
          <w:ilvl w:val="0"/>
          <w:numId w:val="108"/>
        </w:numPr>
        <w:spacing w:after="0" w:line="240" w:lineRule="auto"/>
        <w:ind w:left="1800" w:firstLine="0"/>
        <w:jc w:val="both"/>
        <w:textAlignment w:val="baseline"/>
        <w:rPr>
          <w:noProof/>
        </w:rPr>
      </w:pPr>
      <w:r>
        <w:rPr>
          <w:noProof/>
        </w:rPr>
        <w:t>Pienākums pārbaudīt katras darbības atbilstību saskaņā ar īstenošanas nolīgumā noteiktajām prasībām pirms dotācijas piešķi</w:t>
      </w:r>
      <w:r>
        <w:rPr>
          <w:noProof/>
        </w:rPr>
        <w:t>ršanas darbībai. </w:t>
      </w:r>
    </w:p>
    <w:p w14:paraId="69939624" w14:textId="77777777" w:rsidR="00327FF1" w:rsidRDefault="00E406C7">
      <w:pPr>
        <w:pStyle w:val="P68B1DB1-Normal45"/>
        <w:rPr>
          <w:noProof/>
        </w:rPr>
      </w:pPr>
      <w:r>
        <w:rPr>
          <w:noProof/>
        </w:rPr>
        <w:br w:type="page"/>
      </w:r>
    </w:p>
    <w:p w14:paraId="45A13E3B" w14:textId="255C1545" w:rsidR="00327FF1" w:rsidRDefault="00E406C7">
      <w:pPr>
        <w:pStyle w:val="P68B1DB1-Normal45"/>
        <w:numPr>
          <w:ilvl w:val="0"/>
          <w:numId w:val="109"/>
        </w:numPr>
        <w:spacing w:after="0" w:line="240" w:lineRule="auto"/>
        <w:ind w:left="1800" w:firstLine="0"/>
        <w:jc w:val="both"/>
        <w:textAlignment w:val="baseline"/>
        <w:rPr>
          <w:noProof/>
        </w:rPr>
      </w:pPr>
      <w:r>
        <w:rPr>
          <w:noProof/>
        </w:rPr>
        <w:t>Pienākums veikt uz risku balstītas ex post revīzijas saskaņā ar GSE revīzijas plānu. Šajās revīzijās pārbauda i) kontroles sistēmu efektivitāti, tostarp krāpšanas, korupcijas un interešu konflikta atklāšanu; II) principa “nenodarīt būti</w:t>
      </w:r>
      <w:r>
        <w:rPr>
          <w:noProof/>
        </w:rPr>
        <w:t>sku kaitējumu” ievērošana, valsts atbalsta noteikumi, klimata mērķrādītāju prasības; un iii) ka ir ievērota prasība, ka shēmas galasaņēmēji nav saņēmuši atbalstu no citiem Savienības instrumentiem, lai segtu tās pašas izmaksas. Revīzijās pārbauda arī darīj</w:t>
      </w:r>
      <w:r>
        <w:rPr>
          <w:noProof/>
        </w:rPr>
        <w:t xml:space="preserve">umu likumību un to, vai tiek ievēroti piemērojamā īstenošanas nolīguma dotāciju nolīgumu nosacījumi. </w:t>
      </w:r>
    </w:p>
    <w:p w14:paraId="1D3F6D98" w14:textId="77777777" w:rsidR="00327FF1" w:rsidRDefault="00327FF1">
      <w:pPr>
        <w:spacing w:after="0" w:line="240" w:lineRule="auto"/>
        <w:ind w:left="1800"/>
        <w:jc w:val="both"/>
        <w:textAlignment w:val="baseline"/>
        <w:rPr>
          <w:rFonts w:ascii="Times New Roman" w:eastAsia="Times New Roman" w:hAnsi="Times New Roman" w:cs="Times New Roman"/>
          <w:noProof/>
          <w:kern w:val="0"/>
          <w14:ligatures w14:val="none"/>
        </w:rPr>
      </w:pPr>
    </w:p>
    <w:p w14:paraId="55DD2DE8" w14:textId="6F63F003" w:rsidR="00327FF1" w:rsidRDefault="00E406C7">
      <w:pPr>
        <w:numPr>
          <w:ilvl w:val="0"/>
          <w:numId w:val="110"/>
        </w:numPr>
        <w:spacing w:after="0" w:line="240" w:lineRule="auto"/>
        <w:ind w:firstLine="0"/>
        <w:textAlignment w:val="baseline"/>
        <w:rPr>
          <w:rFonts w:ascii="Times New Roman" w:eastAsia="Times New Roman" w:hAnsi="Times New Roman" w:cs="Times New Roman"/>
          <w:noProof/>
          <w:kern w:val="0"/>
          <w14:ligatures w14:val="none"/>
        </w:rPr>
      </w:pPr>
      <w:r>
        <w:rPr>
          <w:rFonts w:ascii="Times New Roman" w:eastAsia="Times New Roman" w:hAnsi="Times New Roman" w:cs="Times New Roman"/>
          <w:noProof/>
          <w:kern w:val="0"/>
          <w14:ligatures w14:val="none"/>
        </w:rPr>
        <w:t xml:space="preserve">Prasības attiecībā uz investīcijām klimata jomā, ko veic īstenošanas partneris: vismaz 633000000 </w:t>
      </w:r>
      <w:r>
        <w:rPr>
          <w:rFonts w:ascii="Arial Narrow" w:hAnsi="Arial Narrow"/>
          <w:noProof/>
          <w:color w:val="006100"/>
        </w:rPr>
        <w:t xml:space="preserve"> </w:t>
      </w:r>
      <w:r>
        <w:rPr>
          <w:rFonts w:ascii="Times New Roman" w:eastAsia="Times New Roman" w:hAnsi="Times New Roman" w:cs="Times New Roman"/>
          <w:noProof/>
        </w:rPr>
        <w:t>EUR</w:t>
      </w:r>
      <w:r>
        <w:rPr>
          <w:rFonts w:ascii="Arial Narrow" w:hAnsi="Arial Narrow"/>
          <w:noProof/>
          <w:color w:val="006100"/>
        </w:rPr>
        <w:t xml:space="preserve"> </w:t>
      </w:r>
      <w:r>
        <w:rPr>
          <w:rFonts w:ascii="Times New Roman" w:eastAsia="Times New Roman" w:hAnsi="Times New Roman" w:cs="Times New Roman"/>
          <w:noProof/>
          <w:kern w:val="0"/>
          <w14:ligatures w14:val="none"/>
        </w:rPr>
        <w:t xml:space="preserve">no </w:t>
      </w:r>
      <w:r>
        <w:rPr>
          <w:rFonts w:ascii="Times New Roman" w:eastAsia="Times New Roman" w:hAnsi="Times New Roman" w:cs="Times New Roman"/>
          <w:noProof/>
        </w:rPr>
        <w:t xml:space="preserve">ANM investīcijām shēmā veicina klimata pārmaiņu </w:t>
      </w:r>
      <w:r>
        <w:rPr>
          <w:rFonts w:ascii="Times New Roman" w:eastAsia="Times New Roman" w:hAnsi="Times New Roman" w:cs="Times New Roman"/>
          <w:noProof/>
        </w:rPr>
        <w:t>mērķu sasniegšanu saskaņā ar ANM regulas VI pielikumu</w:t>
      </w:r>
      <w:r>
        <w:rPr>
          <w:rStyle w:val="FootnoteReference"/>
          <w:rFonts w:ascii="Times New Roman" w:eastAsia="Times New Roman" w:hAnsi="Times New Roman" w:cs="Times New Roman"/>
          <w:noProof/>
        </w:rPr>
        <w:footnoteReference w:id="31"/>
      </w:r>
      <w:r>
        <w:rPr>
          <w:rFonts w:ascii="Times New Roman" w:eastAsia="Times New Roman" w:hAnsi="Times New Roman" w:cs="Times New Roman"/>
          <w:noProof/>
        </w:rPr>
        <w:t>.</w:t>
      </w:r>
      <w:r>
        <w:rPr>
          <w:rFonts w:ascii="Times New Roman" w:eastAsia="Times New Roman" w:hAnsi="Times New Roman" w:cs="Times New Roman"/>
          <w:noProof/>
          <w:kern w:val="0"/>
          <w14:ligatures w14:val="none"/>
        </w:rPr>
        <w:t xml:space="preserve"> </w:t>
      </w:r>
    </w:p>
    <w:p w14:paraId="64314F0B" w14:textId="77777777" w:rsidR="00327FF1" w:rsidRDefault="00327FF1">
      <w:pPr>
        <w:rPr>
          <w:noProof/>
        </w:rPr>
        <w:sectPr w:rsidR="00327FF1" w:rsidSect="00726CF9">
          <w:headerReference w:type="default" r:id="rId80"/>
          <w:footerReference w:type="default" r:id="rId81"/>
          <w:pgSz w:w="11906" w:h="16838"/>
          <w:pgMar w:top="1440" w:right="1440" w:bottom="1440" w:left="1440" w:header="708" w:footer="708" w:gutter="0"/>
          <w:cols w:space="708"/>
          <w:docGrid w:linePitch="360"/>
        </w:sectPr>
      </w:pPr>
    </w:p>
    <w:p w14:paraId="05139FE8" w14:textId="601C9F8E" w:rsidR="00327FF1" w:rsidRDefault="00E406C7">
      <w:pPr>
        <w:pStyle w:val="P68B1DB1-Heading347"/>
        <w:ind w:left="850" w:hanging="850"/>
        <w:rPr>
          <w:bCs/>
          <w:noProof/>
        </w:rPr>
      </w:pPr>
      <w:r>
        <w:rPr>
          <w:noProof/>
        </w:rPr>
        <w:t xml:space="preserve">D.4. </w:t>
      </w:r>
      <w:r>
        <w:rPr>
          <w:noProof/>
        </w:rPr>
        <w:tab/>
        <w:t xml:space="preserve">Atskaites punkti, mērķrādītāji, citi rādītāji un aizdevuma uzraudzības un īstenošanas grafiks </w:t>
      </w:r>
    </w:p>
    <w:tbl>
      <w:tblPr>
        <w:tblW w:w="15026" w:type="dxa"/>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07"/>
        <w:gridCol w:w="1404"/>
        <w:gridCol w:w="1615"/>
        <w:gridCol w:w="1404"/>
        <w:gridCol w:w="1344"/>
        <w:gridCol w:w="1220"/>
        <w:gridCol w:w="1271"/>
        <w:gridCol w:w="1040"/>
        <w:gridCol w:w="939"/>
        <w:gridCol w:w="628"/>
        <w:gridCol w:w="3154"/>
      </w:tblGrid>
      <w:tr w:rsidR="00327FF1" w14:paraId="76E1AA8C" w14:textId="77777777">
        <w:trPr>
          <w:trHeight w:val="300"/>
          <w:tblHeader/>
        </w:trPr>
        <w:tc>
          <w:tcPr>
            <w:tcW w:w="1131" w:type="dxa"/>
            <w:vMerge w:val="restart"/>
            <w:shd w:val="clear" w:color="auto" w:fill="BDD7EE"/>
            <w:vAlign w:val="center"/>
            <w:hideMark/>
          </w:tcPr>
          <w:p w14:paraId="5CEA3DE7"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Kārtas numurs</w:t>
            </w:r>
            <w:r>
              <w:rPr>
                <w:noProof/>
              </w:rPr>
              <w:t> </w:t>
            </w:r>
          </w:p>
        </w:tc>
        <w:tc>
          <w:tcPr>
            <w:tcW w:w="1418" w:type="dxa"/>
            <w:vMerge w:val="restart"/>
            <w:shd w:val="clear" w:color="auto" w:fill="BDD7EE"/>
            <w:vAlign w:val="center"/>
            <w:hideMark/>
          </w:tcPr>
          <w:p w14:paraId="2155B0B8"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Saistītais pasākums (reforma vai</w:t>
            </w:r>
            <w:r>
              <w:rPr>
                <w:b/>
                <w:noProof/>
              </w:rPr>
              <w:t xml:space="preserve"> ieguldījums)</w:t>
            </w:r>
            <w:r>
              <w:rPr>
                <w:noProof/>
              </w:rPr>
              <w:t> </w:t>
            </w:r>
          </w:p>
        </w:tc>
        <w:tc>
          <w:tcPr>
            <w:tcW w:w="992" w:type="dxa"/>
            <w:vMerge w:val="restart"/>
            <w:shd w:val="clear" w:color="auto" w:fill="BDD7EE"/>
            <w:vAlign w:val="center"/>
            <w:hideMark/>
          </w:tcPr>
          <w:p w14:paraId="6F694899"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Atskaites punkts/mērķrādītājs</w:t>
            </w:r>
            <w:r>
              <w:rPr>
                <w:noProof/>
              </w:rPr>
              <w:t> </w:t>
            </w:r>
          </w:p>
        </w:tc>
        <w:tc>
          <w:tcPr>
            <w:tcW w:w="1418" w:type="dxa"/>
            <w:vMerge w:val="restart"/>
            <w:shd w:val="clear" w:color="auto" w:fill="BDD7EE"/>
            <w:vAlign w:val="center"/>
            <w:hideMark/>
          </w:tcPr>
          <w:p w14:paraId="351319E8"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Nosaukums</w:t>
            </w:r>
            <w:r>
              <w:rPr>
                <w:noProof/>
              </w:rPr>
              <w:t> </w:t>
            </w:r>
          </w:p>
        </w:tc>
        <w:tc>
          <w:tcPr>
            <w:tcW w:w="1417" w:type="dxa"/>
            <w:vMerge w:val="restart"/>
            <w:shd w:val="clear" w:color="auto" w:fill="BDD7EE"/>
            <w:vAlign w:val="center"/>
            <w:hideMark/>
          </w:tcPr>
          <w:p w14:paraId="38D5AABB" w14:textId="419B0BE1"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Kvalitātes rādītāji</w:t>
            </w:r>
            <w:r>
              <w:rPr>
                <w:noProof/>
              </w:rPr>
              <w:br/>
            </w:r>
            <w:r>
              <w:rPr>
                <w:b/>
                <w:noProof/>
              </w:rPr>
              <w:t>(attiecībā uz starpposma mērķiem)</w:t>
            </w:r>
            <w:r>
              <w:rPr>
                <w:noProof/>
              </w:rPr>
              <w:t> </w:t>
            </w:r>
          </w:p>
        </w:tc>
        <w:tc>
          <w:tcPr>
            <w:tcW w:w="3544" w:type="dxa"/>
            <w:gridSpan w:val="3"/>
            <w:shd w:val="clear" w:color="auto" w:fill="BDD7EE"/>
            <w:vAlign w:val="center"/>
            <w:hideMark/>
          </w:tcPr>
          <w:p w14:paraId="78038C6A" w14:textId="149C21DC"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Kvantitatīvie rādītāji</w:t>
            </w:r>
            <w:r>
              <w:rPr>
                <w:noProof/>
              </w:rPr>
              <w:br/>
            </w:r>
            <w:r>
              <w:rPr>
                <w:b/>
                <w:noProof/>
              </w:rPr>
              <w:t>(mērķiem)</w:t>
            </w:r>
            <w:r>
              <w:rPr>
                <w:noProof/>
              </w:rPr>
              <w:t> </w:t>
            </w:r>
          </w:p>
        </w:tc>
        <w:tc>
          <w:tcPr>
            <w:tcW w:w="1683" w:type="dxa"/>
            <w:gridSpan w:val="2"/>
            <w:shd w:val="clear" w:color="auto" w:fill="BDD7EE"/>
            <w:vAlign w:val="center"/>
            <w:hideMark/>
          </w:tcPr>
          <w:p w14:paraId="3B2EBF76"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Orientējošs pabeigšanas termiņš</w:t>
            </w:r>
            <w:r>
              <w:rPr>
                <w:noProof/>
              </w:rPr>
              <w:t> </w:t>
            </w:r>
          </w:p>
        </w:tc>
        <w:tc>
          <w:tcPr>
            <w:tcW w:w="3423" w:type="dxa"/>
            <w:vMerge w:val="restart"/>
            <w:shd w:val="clear" w:color="auto" w:fill="BDD7EE"/>
            <w:vAlign w:val="center"/>
            <w:hideMark/>
          </w:tcPr>
          <w:p w14:paraId="0B73DC93"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Apraksts par katru atskaites punktu un mērķrādītāju</w:t>
            </w:r>
            <w:r>
              <w:rPr>
                <w:noProof/>
              </w:rPr>
              <w:t> </w:t>
            </w:r>
          </w:p>
        </w:tc>
      </w:tr>
      <w:tr w:rsidR="00327FF1" w14:paraId="3A5DDCE8" w14:textId="77777777">
        <w:trPr>
          <w:trHeight w:val="300"/>
          <w:tblHeader/>
        </w:trPr>
        <w:tc>
          <w:tcPr>
            <w:tcW w:w="1131" w:type="dxa"/>
            <w:vMerge/>
            <w:vAlign w:val="center"/>
            <w:hideMark/>
          </w:tcPr>
          <w:p w14:paraId="4A58B113" w14:textId="77777777" w:rsidR="00327FF1" w:rsidRDefault="00327FF1">
            <w:pPr>
              <w:spacing w:after="0" w:line="240" w:lineRule="auto"/>
              <w:rPr>
                <w:rFonts w:ascii="Times New Roman" w:eastAsia="Times New Roman" w:hAnsi="Times New Roman" w:cs="Times New Roman"/>
                <w:noProof/>
                <w:kern w:val="0"/>
                <w:sz w:val="24"/>
                <w:szCs w:val="24"/>
                <w14:ligatures w14:val="none"/>
              </w:rPr>
            </w:pPr>
          </w:p>
        </w:tc>
        <w:tc>
          <w:tcPr>
            <w:tcW w:w="1418" w:type="dxa"/>
            <w:vMerge/>
            <w:vAlign w:val="center"/>
            <w:hideMark/>
          </w:tcPr>
          <w:p w14:paraId="478DF540" w14:textId="77777777" w:rsidR="00327FF1" w:rsidRDefault="00327FF1">
            <w:pPr>
              <w:spacing w:after="0" w:line="240" w:lineRule="auto"/>
              <w:rPr>
                <w:rFonts w:ascii="Times New Roman" w:eastAsia="Times New Roman" w:hAnsi="Times New Roman" w:cs="Times New Roman"/>
                <w:noProof/>
                <w:kern w:val="0"/>
                <w:sz w:val="24"/>
                <w:szCs w:val="24"/>
                <w14:ligatures w14:val="none"/>
              </w:rPr>
            </w:pPr>
          </w:p>
        </w:tc>
        <w:tc>
          <w:tcPr>
            <w:tcW w:w="992" w:type="dxa"/>
            <w:vMerge/>
            <w:vAlign w:val="center"/>
            <w:hideMark/>
          </w:tcPr>
          <w:p w14:paraId="2C067FCD" w14:textId="77777777" w:rsidR="00327FF1" w:rsidRDefault="00327FF1">
            <w:pPr>
              <w:spacing w:after="0" w:line="240" w:lineRule="auto"/>
              <w:rPr>
                <w:rFonts w:ascii="Times New Roman" w:eastAsia="Times New Roman" w:hAnsi="Times New Roman" w:cs="Times New Roman"/>
                <w:noProof/>
                <w:kern w:val="0"/>
                <w:sz w:val="24"/>
                <w:szCs w:val="24"/>
                <w14:ligatures w14:val="none"/>
              </w:rPr>
            </w:pPr>
          </w:p>
        </w:tc>
        <w:tc>
          <w:tcPr>
            <w:tcW w:w="1418" w:type="dxa"/>
            <w:vMerge/>
            <w:vAlign w:val="center"/>
            <w:hideMark/>
          </w:tcPr>
          <w:p w14:paraId="1061B65D" w14:textId="77777777" w:rsidR="00327FF1" w:rsidRDefault="00327FF1">
            <w:pPr>
              <w:spacing w:after="0" w:line="240" w:lineRule="auto"/>
              <w:rPr>
                <w:rFonts w:ascii="Times New Roman" w:eastAsia="Times New Roman" w:hAnsi="Times New Roman" w:cs="Times New Roman"/>
                <w:noProof/>
                <w:kern w:val="0"/>
                <w:sz w:val="24"/>
                <w:szCs w:val="24"/>
                <w14:ligatures w14:val="none"/>
              </w:rPr>
            </w:pPr>
          </w:p>
        </w:tc>
        <w:tc>
          <w:tcPr>
            <w:tcW w:w="1417" w:type="dxa"/>
            <w:vMerge/>
            <w:vAlign w:val="center"/>
            <w:hideMark/>
          </w:tcPr>
          <w:p w14:paraId="0F9DCDED" w14:textId="77777777" w:rsidR="00327FF1" w:rsidRDefault="00327FF1">
            <w:pPr>
              <w:spacing w:after="0" w:line="240" w:lineRule="auto"/>
              <w:rPr>
                <w:rFonts w:ascii="Times New Roman" w:eastAsia="Times New Roman" w:hAnsi="Times New Roman" w:cs="Times New Roman"/>
                <w:noProof/>
                <w:kern w:val="0"/>
                <w:sz w:val="24"/>
                <w:szCs w:val="24"/>
                <w14:ligatures w14:val="none"/>
              </w:rPr>
            </w:pPr>
          </w:p>
        </w:tc>
        <w:tc>
          <w:tcPr>
            <w:tcW w:w="1276" w:type="dxa"/>
            <w:shd w:val="clear" w:color="auto" w:fill="BDD7EE"/>
            <w:vAlign w:val="center"/>
            <w:hideMark/>
          </w:tcPr>
          <w:p w14:paraId="33F1C328"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Mēra vienība</w:t>
            </w:r>
            <w:r>
              <w:rPr>
                <w:noProof/>
              </w:rPr>
              <w:t> </w:t>
            </w:r>
          </w:p>
        </w:tc>
        <w:tc>
          <w:tcPr>
            <w:tcW w:w="1276" w:type="dxa"/>
            <w:shd w:val="clear" w:color="auto" w:fill="BDD7EE"/>
            <w:vAlign w:val="center"/>
            <w:hideMark/>
          </w:tcPr>
          <w:p w14:paraId="5CD8A900"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Pamatscenārijs</w:t>
            </w:r>
            <w:r>
              <w:rPr>
                <w:noProof/>
              </w:rPr>
              <w:t> </w:t>
            </w:r>
          </w:p>
        </w:tc>
        <w:tc>
          <w:tcPr>
            <w:tcW w:w="992" w:type="dxa"/>
            <w:shd w:val="clear" w:color="auto" w:fill="BDD7EE"/>
            <w:vAlign w:val="center"/>
            <w:hideMark/>
          </w:tcPr>
          <w:p w14:paraId="7ED84C2C"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Mērķis</w:t>
            </w:r>
            <w:r>
              <w:rPr>
                <w:noProof/>
              </w:rPr>
              <w:t> </w:t>
            </w:r>
          </w:p>
        </w:tc>
        <w:tc>
          <w:tcPr>
            <w:tcW w:w="992" w:type="dxa"/>
            <w:shd w:val="clear" w:color="auto" w:fill="BDD7EE"/>
            <w:vAlign w:val="center"/>
            <w:hideMark/>
          </w:tcPr>
          <w:p w14:paraId="4AEF38C2"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Ceturkšņa laikā</w:t>
            </w:r>
            <w:r>
              <w:rPr>
                <w:noProof/>
              </w:rPr>
              <w:t> </w:t>
            </w:r>
          </w:p>
        </w:tc>
        <w:tc>
          <w:tcPr>
            <w:tcW w:w="691" w:type="dxa"/>
            <w:shd w:val="clear" w:color="auto" w:fill="BDD7EE"/>
            <w:vAlign w:val="center"/>
            <w:hideMark/>
          </w:tcPr>
          <w:p w14:paraId="56613F38"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b/>
                <w:noProof/>
              </w:rPr>
              <w:t>Gadu</w:t>
            </w:r>
            <w:r>
              <w:rPr>
                <w:noProof/>
              </w:rPr>
              <w:t> </w:t>
            </w:r>
          </w:p>
        </w:tc>
        <w:tc>
          <w:tcPr>
            <w:tcW w:w="3423" w:type="dxa"/>
            <w:vMerge/>
            <w:vAlign w:val="center"/>
            <w:hideMark/>
          </w:tcPr>
          <w:p w14:paraId="6BC331E4" w14:textId="77777777" w:rsidR="00327FF1" w:rsidRDefault="00327FF1">
            <w:pPr>
              <w:spacing w:after="0" w:line="240" w:lineRule="auto"/>
              <w:rPr>
                <w:rFonts w:ascii="Times New Roman" w:eastAsia="Times New Roman" w:hAnsi="Times New Roman" w:cs="Times New Roman"/>
                <w:noProof/>
                <w:kern w:val="0"/>
                <w:sz w:val="24"/>
                <w:szCs w:val="24"/>
                <w14:ligatures w14:val="none"/>
              </w:rPr>
            </w:pPr>
          </w:p>
        </w:tc>
      </w:tr>
      <w:tr w:rsidR="00327FF1" w14:paraId="6016973A" w14:textId="77777777">
        <w:trPr>
          <w:trHeight w:val="300"/>
        </w:trPr>
        <w:tc>
          <w:tcPr>
            <w:tcW w:w="1131" w:type="dxa"/>
            <w:shd w:val="clear" w:color="auto" w:fill="C6EFCE"/>
            <w:vAlign w:val="center"/>
            <w:hideMark/>
          </w:tcPr>
          <w:p w14:paraId="3DF08B7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M2C1–13 </w:t>
            </w:r>
          </w:p>
        </w:tc>
        <w:tc>
          <w:tcPr>
            <w:tcW w:w="1418" w:type="dxa"/>
            <w:shd w:val="clear" w:color="auto" w:fill="C6EFCE"/>
            <w:vAlign w:val="center"/>
            <w:hideMark/>
          </w:tcPr>
          <w:p w14:paraId="5023569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Reforma Nr. 1.2. Atkritumu apsaimniekošanas valsts programma </w:t>
            </w:r>
          </w:p>
        </w:tc>
        <w:tc>
          <w:tcPr>
            <w:tcW w:w="992" w:type="dxa"/>
            <w:shd w:val="clear" w:color="auto" w:fill="C6EFCE"/>
            <w:vAlign w:val="center"/>
            <w:hideMark/>
          </w:tcPr>
          <w:p w14:paraId="76BE543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Atskaites punkts </w:t>
            </w:r>
          </w:p>
        </w:tc>
        <w:tc>
          <w:tcPr>
            <w:tcW w:w="1418" w:type="dxa"/>
            <w:shd w:val="clear" w:color="auto" w:fill="C6EFCE"/>
            <w:vAlign w:val="center"/>
            <w:hideMark/>
          </w:tcPr>
          <w:p w14:paraId="7EB2C9D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Stājas spēkā ministrijas dekrēts par atkritumu apsaimniekošanas valsts programmu </w:t>
            </w:r>
          </w:p>
        </w:tc>
        <w:tc>
          <w:tcPr>
            <w:tcW w:w="1417" w:type="dxa"/>
            <w:shd w:val="clear" w:color="auto" w:fill="C6EFCE"/>
            <w:vAlign w:val="center"/>
            <w:hideMark/>
          </w:tcPr>
          <w:p w14:paraId="2BF6AFC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Likuma norma, kas norāda uz stāšanos</w:t>
            </w:r>
            <w:r>
              <w:rPr>
                <w:noProof/>
              </w:rPr>
              <w:t xml:space="preserve"> spēkā </w:t>
            </w:r>
          </w:p>
        </w:tc>
        <w:tc>
          <w:tcPr>
            <w:tcW w:w="1276" w:type="dxa"/>
            <w:shd w:val="clear" w:color="auto" w:fill="C6EFCE"/>
            <w:vAlign w:val="center"/>
            <w:hideMark/>
          </w:tcPr>
          <w:p w14:paraId="31C30BD6"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22A9EBB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6BC445D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63B8F13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91" w:type="dxa"/>
            <w:shd w:val="clear" w:color="auto" w:fill="C6EFCE"/>
            <w:vAlign w:val="center"/>
            <w:hideMark/>
          </w:tcPr>
          <w:p w14:paraId="490AEB8D" w14:textId="24D97BF8"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2022</w:t>
            </w:r>
          </w:p>
        </w:tc>
        <w:tc>
          <w:tcPr>
            <w:tcW w:w="3423" w:type="dxa"/>
            <w:shd w:val="clear" w:color="auto" w:fill="C6EFCE"/>
            <w:vAlign w:val="center"/>
            <w:hideMark/>
          </w:tcPr>
          <w:p w14:paraId="42FB63E1"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Ministrijas dekrētā par Atkritumu apsaimniekošanas valsts programmu ir noteikti vismaz šādi mērķi: </w:t>
            </w:r>
          </w:p>
          <w:p w14:paraId="4133788B"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sasniegt visaugstāko līmeni attiecībā uz atkritumu sagatavošanu atkārtotai izmantošanai, pārstrādi un</w:t>
            </w:r>
            <w:r>
              <w:rPr>
                <w:noProof/>
              </w:rPr>
              <w:t xml:space="preserve"> reģenerāciju, sasniedzot vismaz Likumdošanas dekrēta 152/06 181. pantā noteiktos mērķus un ņemot vērā arī ražotāja paplašinātas atbildības shēmas; </w:t>
            </w:r>
          </w:p>
          <w:p w14:paraId="6EA4431C" w14:textId="77777777" w:rsidR="00327FF1" w:rsidRDefault="00E406C7">
            <w:pPr>
              <w:pStyle w:val="P68B1DB1-Normal50"/>
              <w:numPr>
                <w:ilvl w:val="0"/>
                <w:numId w:val="129"/>
              </w:numPr>
              <w:spacing w:after="0" w:line="240" w:lineRule="auto"/>
              <w:ind w:firstLine="0"/>
              <w:textAlignment w:val="baseline"/>
              <w:rPr>
                <w:noProof/>
              </w:rPr>
            </w:pPr>
            <w:r>
              <w:rPr>
                <w:noProof/>
              </w:rPr>
              <w:t>pielāgot integrētai atkritumu apsaimniekošanai nepieciešamo iekārtu tīklu, lai attīstītu aprites ekonomiku,</w:t>
            </w:r>
            <w:r>
              <w:rPr>
                <w:noProof/>
              </w:rPr>
              <w:t xml:space="preserve"> nodrošinot vajadzīgās spējas, lai sasniegtu a) apakšpunktā noteiktos mērķus, un līdz ar to samazinot galīgo apglabāšanu kā galīgo un atlikušo iespēju, saskaņā ar tuvuma principu un ņemot vērā novēršanas mērķus, kas noteikti valsts atkritumu rašanās novērš</w:t>
            </w:r>
            <w:r>
              <w:rPr>
                <w:noProof/>
              </w:rPr>
              <w:t>anas plānošanā, kas paredzēta Likumdošanas dekrēta 152/06 180. pantā; </w:t>
            </w:r>
          </w:p>
          <w:p w14:paraId="2EAF887A" w14:textId="77777777" w:rsidR="00327FF1" w:rsidRDefault="00E406C7">
            <w:pPr>
              <w:pStyle w:val="P68B1DB1-Normal50"/>
              <w:numPr>
                <w:ilvl w:val="0"/>
                <w:numId w:val="130"/>
              </w:numPr>
              <w:spacing w:after="0" w:line="240" w:lineRule="auto"/>
              <w:ind w:firstLine="0"/>
              <w:textAlignment w:val="baseline"/>
              <w:rPr>
                <w:noProof/>
              </w:rPr>
            </w:pPr>
            <w:r>
              <w:rPr>
                <w:noProof/>
              </w:rPr>
              <w:t>izveidot pienācīgu programmas īstenošanas uzraudzību, lai varētu pastāvīgi pārbaudīt atbilstību tās mērķiem un, iespējams, pieņemt koriģējošus instrumentus plānoto darbību sasniegšanai;</w:t>
            </w:r>
            <w:r>
              <w:rPr>
                <w:noProof/>
              </w:rPr>
              <w:t> </w:t>
            </w:r>
          </w:p>
          <w:p w14:paraId="1F137B2D" w14:textId="77777777" w:rsidR="00327FF1" w:rsidRDefault="00E406C7">
            <w:pPr>
              <w:pStyle w:val="P68B1DB1-Normal50"/>
              <w:numPr>
                <w:ilvl w:val="0"/>
                <w:numId w:val="131"/>
              </w:numPr>
              <w:spacing w:after="0" w:line="240" w:lineRule="auto"/>
              <w:ind w:firstLine="0"/>
              <w:textAlignment w:val="baseline"/>
              <w:rPr>
                <w:noProof/>
              </w:rPr>
            </w:pPr>
            <w:r>
              <w:rPr>
                <w:noProof/>
              </w:rPr>
              <w:t>novērst jaunu pārkāpuma procedūru uzsākšanu pret Itālijas Republiku par to, ka tā nav īstenojusi Eiropas noteikumus par atkritumu cikla plānošanu; </w:t>
            </w:r>
          </w:p>
          <w:p w14:paraId="4969326E" w14:textId="77777777" w:rsidR="00327FF1" w:rsidRDefault="00E406C7">
            <w:pPr>
              <w:pStyle w:val="P68B1DB1-Normal50"/>
              <w:numPr>
                <w:ilvl w:val="0"/>
                <w:numId w:val="132"/>
              </w:numPr>
              <w:spacing w:after="0" w:line="240" w:lineRule="auto"/>
              <w:ind w:firstLine="0"/>
              <w:textAlignment w:val="baseline"/>
              <w:rPr>
                <w:noProof/>
              </w:rPr>
            </w:pPr>
            <w:r>
              <w:rPr>
                <w:noProof/>
              </w:rPr>
              <w:t>novērst zemu atkritumu savākšanu un atturēt no atkritumu apglabāšanas poligonos (sk. arī Valsts stratēģiju</w:t>
            </w:r>
            <w:r>
              <w:rPr>
                <w:noProof/>
              </w:rPr>
              <w:t xml:space="preserve"> par aprites ekonomiku); </w:t>
            </w:r>
          </w:p>
          <w:p w14:paraId="63C091EE" w14:textId="77777777" w:rsidR="00327FF1" w:rsidRDefault="00E406C7">
            <w:pPr>
              <w:pStyle w:val="P68B1DB1-Normal50"/>
              <w:numPr>
                <w:ilvl w:val="0"/>
                <w:numId w:val="133"/>
              </w:numPr>
              <w:spacing w:after="0" w:line="240" w:lineRule="auto"/>
              <w:ind w:firstLine="0"/>
              <w:textAlignment w:val="baseline"/>
              <w:rPr>
                <w:noProof/>
              </w:rPr>
            </w:pPr>
            <w:r>
              <w:rPr>
                <w:noProof/>
              </w:rPr>
              <w:t>reģionālā atkritumu apsaimniekošanas iekārta papildina valsts atkritumu apsaimniekošanas programmu; </w:t>
            </w:r>
          </w:p>
          <w:p w14:paraId="6DAB4DD8" w14:textId="77777777" w:rsidR="00327FF1" w:rsidRDefault="00E406C7">
            <w:pPr>
              <w:pStyle w:val="P68B1DB1-Normal50"/>
              <w:numPr>
                <w:ilvl w:val="0"/>
                <w:numId w:val="134"/>
              </w:numPr>
              <w:spacing w:after="0" w:line="240" w:lineRule="auto"/>
              <w:ind w:firstLine="0"/>
              <w:textAlignment w:val="baseline"/>
              <w:rPr>
                <w:noProof/>
              </w:rPr>
            </w:pPr>
            <w:r>
              <w:rPr>
                <w:noProof/>
              </w:rPr>
              <w:t xml:space="preserve">novērst atkritumu apsaimniekošanas nepilnības un reģionālās atšķirības attiecībā uz iekārtu jaudu un kvalitātes standartiem, kas </w:t>
            </w:r>
            <w:r>
              <w:rPr>
                <w:noProof/>
              </w:rPr>
              <w:t>pastāv starp dažādiem reģioniem un valsts teritorijas apgabaliem, lai atgūtu kavēšanos; </w:t>
            </w:r>
          </w:p>
          <w:p w14:paraId="5FD6575F" w14:textId="77777777" w:rsidR="00327FF1" w:rsidRDefault="00E406C7">
            <w:pPr>
              <w:pStyle w:val="P68B1DB1-Normal50"/>
              <w:numPr>
                <w:ilvl w:val="0"/>
                <w:numId w:val="135"/>
              </w:numPr>
              <w:spacing w:after="0" w:line="240" w:lineRule="auto"/>
              <w:ind w:firstLine="0"/>
              <w:textAlignment w:val="baseline"/>
              <w:rPr>
                <w:noProof/>
              </w:rPr>
            </w:pPr>
            <w:r>
              <w:rPr>
                <w:noProof/>
              </w:rPr>
              <w:t>sasniegt pašreizējos un jaunos mērķus, kas noteikti Eiropas un valstu tiesību aktos; </w:t>
            </w:r>
          </w:p>
          <w:p w14:paraId="3CE2B3C0" w14:textId="44CBC3AC" w:rsidR="00327FF1" w:rsidRDefault="00E406C7">
            <w:pPr>
              <w:pStyle w:val="P68B1DB1-Normal50"/>
              <w:numPr>
                <w:ilvl w:val="0"/>
                <w:numId w:val="136"/>
              </w:numPr>
              <w:spacing w:after="0" w:line="240" w:lineRule="auto"/>
              <w:ind w:firstLine="0"/>
              <w:textAlignment w:val="baseline"/>
              <w:rPr>
                <w:noProof/>
              </w:rPr>
            </w:pPr>
            <w:r>
              <w:rPr>
                <w:noProof/>
              </w:rPr>
              <w:t>lai novērstu atkritumu nelikumīgu izgāšanu un sadedzināšanu brīvā dabā (piemēram,</w:t>
            </w:r>
            <w:r>
              <w:rPr>
                <w:noProof/>
              </w:rPr>
              <w:t xml:space="preserve"> Terra dei Fuochi apgabalā), veicot pasākumus, tostarp ieviešot jaunu atkritumu izsekojamības sistēmu, ir jāizstrādā atbalstīta globālā monitoringa sistēma nelikumīgas izgāšanas novēršanai, izmantojot satelītus, dronu un mākslīgā intelekta (MI) tehnoloģija</w:t>
            </w:r>
            <w:r>
              <w:rPr>
                <w:noProof/>
              </w:rPr>
              <w:t>s. </w:t>
            </w:r>
          </w:p>
        </w:tc>
      </w:tr>
      <w:tr w:rsidR="00327FF1" w14:paraId="4E9BAAC6" w14:textId="77777777">
        <w:trPr>
          <w:trHeight w:val="300"/>
        </w:trPr>
        <w:tc>
          <w:tcPr>
            <w:tcW w:w="1131" w:type="dxa"/>
            <w:shd w:val="clear" w:color="auto" w:fill="C6EFCE"/>
            <w:vAlign w:val="center"/>
            <w:hideMark/>
          </w:tcPr>
          <w:p w14:paraId="5DB47B0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M2C1–14 </w:t>
            </w:r>
          </w:p>
        </w:tc>
        <w:tc>
          <w:tcPr>
            <w:tcW w:w="1418" w:type="dxa"/>
            <w:shd w:val="clear" w:color="auto" w:fill="C6EFCE"/>
            <w:vAlign w:val="center"/>
            <w:hideMark/>
          </w:tcPr>
          <w:p w14:paraId="6FE108D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Investīcija 1.1. — Jaunu atkritumu apsaimniekošanas iekārtu ieviešana un esošo iekārtu modernizācija; </w:t>
            </w:r>
          </w:p>
          <w:p w14:paraId="271D3AF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Investīcija 1.2. Aprites ekonomikas pamatprojekti </w:t>
            </w:r>
          </w:p>
        </w:tc>
        <w:tc>
          <w:tcPr>
            <w:tcW w:w="992" w:type="dxa"/>
            <w:shd w:val="clear" w:color="auto" w:fill="C6EFCE"/>
            <w:vAlign w:val="center"/>
            <w:hideMark/>
          </w:tcPr>
          <w:p w14:paraId="276C9A6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Atskaites punkts </w:t>
            </w:r>
          </w:p>
        </w:tc>
        <w:tc>
          <w:tcPr>
            <w:tcW w:w="1418" w:type="dxa"/>
            <w:shd w:val="clear" w:color="auto" w:fill="C6EFCE"/>
            <w:vAlign w:val="center"/>
            <w:hideMark/>
          </w:tcPr>
          <w:p w14:paraId="0C6C5ED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Ministrijas dekrēta stāšanās spēkā. </w:t>
            </w:r>
          </w:p>
        </w:tc>
        <w:tc>
          <w:tcPr>
            <w:tcW w:w="1417" w:type="dxa"/>
            <w:shd w:val="clear" w:color="auto" w:fill="C6EFCE"/>
            <w:vAlign w:val="center"/>
            <w:hideMark/>
          </w:tcPr>
          <w:p w14:paraId="347F873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Ministrijas dekrēta pieņemšana </w:t>
            </w:r>
            <w:r>
              <w:rPr>
                <w:noProof/>
              </w:rPr>
              <w:t>par pašvaldību ierosināto projektu atlases kritēriju apstiprināšanu. </w:t>
            </w:r>
          </w:p>
        </w:tc>
        <w:tc>
          <w:tcPr>
            <w:tcW w:w="1276" w:type="dxa"/>
            <w:shd w:val="clear" w:color="auto" w:fill="C6EFCE"/>
            <w:vAlign w:val="center"/>
            <w:hideMark/>
          </w:tcPr>
          <w:p w14:paraId="1B7347C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Publikācija Gazzetta Ufficiale </w:t>
            </w:r>
          </w:p>
        </w:tc>
        <w:tc>
          <w:tcPr>
            <w:tcW w:w="1276" w:type="dxa"/>
            <w:shd w:val="clear" w:color="auto" w:fill="C6EFCE"/>
            <w:vAlign w:val="center"/>
            <w:hideMark/>
          </w:tcPr>
          <w:p w14:paraId="3094C43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5637D9D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37AD6DA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CET. </w:t>
            </w:r>
          </w:p>
        </w:tc>
        <w:tc>
          <w:tcPr>
            <w:tcW w:w="691" w:type="dxa"/>
            <w:shd w:val="clear" w:color="auto" w:fill="C6EFCE"/>
            <w:vAlign w:val="center"/>
            <w:hideMark/>
          </w:tcPr>
          <w:p w14:paraId="1354FB10"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2021 </w:t>
            </w:r>
          </w:p>
        </w:tc>
        <w:tc>
          <w:tcPr>
            <w:tcW w:w="3423" w:type="dxa"/>
            <w:shd w:val="clear" w:color="auto" w:fill="C6EFCE"/>
            <w:vAlign w:val="center"/>
            <w:hideMark/>
          </w:tcPr>
          <w:p w14:paraId="3E30424B"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Stājas spēkā Ministrijas dekrēts par pašvaldību ierosināto projektu atlases kritēriju apstiprināšanu. </w:t>
            </w:r>
          </w:p>
          <w:p w14:paraId="5C6C1AE6"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Ministrijas dekrē</w:t>
            </w:r>
            <w:r>
              <w:rPr>
                <w:noProof/>
              </w:rPr>
              <w:t>tā ir noteikts, ka projektus atlasa no šādiem kritērijiem: </w:t>
            </w:r>
          </w:p>
          <w:p w14:paraId="3A50D9B9" w14:textId="77777777" w:rsidR="00327FF1" w:rsidRDefault="00E406C7">
            <w:pPr>
              <w:pStyle w:val="P68B1DB1-Normal50"/>
              <w:numPr>
                <w:ilvl w:val="0"/>
                <w:numId w:val="137"/>
              </w:numPr>
              <w:spacing w:after="0" w:line="240" w:lineRule="auto"/>
              <w:ind w:left="780" w:firstLine="0"/>
              <w:textAlignment w:val="baseline"/>
              <w:rPr>
                <w:noProof/>
              </w:rPr>
            </w:pPr>
            <w:r>
              <w:rPr>
                <w:noProof/>
              </w:rPr>
              <w:t>Saskaņotība ar ES un valstu tiesību aktiem un Eiropas rīcības plānu pārejai uz aprites ekonomiku, </w:t>
            </w:r>
          </w:p>
          <w:p w14:paraId="4ABD64D3" w14:textId="77777777" w:rsidR="00327FF1" w:rsidRDefault="00E406C7">
            <w:pPr>
              <w:pStyle w:val="P68B1DB1-Normal50"/>
              <w:numPr>
                <w:ilvl w:val="0"/>
                <w:numId w:val="138"/>
              </w:numPr>
              <w:spacing w:after="0" w:line="240" w:lineRule="auto"/>
              <w:ind w:left="780" w:firstLine="0"/>
              <w:textAlignment w:val="baseline"/>
              <w:rPr>
                <w:noProof/>
              </w:rPr>
            </w:pPr>
            <w:r>
              <w:rPr>
                <w:noProof/>
              </w:rPr>
              <w:t>Pārstrādes mērķu sagaidāmā uzlabošanās </w:t>
            </w:r>
          </w:p>
          <w:p w14:paraId="5ED1CB97" w14:textId="77777777" w:rsidR="00327FF1" w:rsidRDefault="00E406C7">
            <w:pPr>
              <w:pStyle w:val="P68B1DB1-Normal50"/>
              <w:numPr>
                <w:ilvl w:val="0"/>
                <w:numId w:val="139"/>
              </w:numPr>
              <w:spacing w:after="0" w:line="240" w:lineRule="auto"/>
              <w:ind w:left="780" w:firstLine="0"/>
              <w:textAlignment w:val="baseline"/>
              <w:rPr>
                <w:noProof/>
              </w:rPr>
            </w:pPr>
            <w:r>
              <w:rPr>
                <w:noProof/>
              </w:rPr>
              <w:t>Saskanība ar reģionālajiem un valsts plānošanas instrumen</w:t>
            </w:r>
            <w:r>
              <w:rPr>
                <w:noProof/>
              </w:rPr>
              <w:t>tiem, </w:t>
            </w:r>
          </w:p>
          <w:p w14:paraId="317C5100" w14:textId="77777777" w:rsidR="00327FF1" w:rsidRDefault="00E406C7">
            <w:pPr>
              <w:pStyle w:val="P68B1DB1-Normal50"/>
              <w:numPr>
                <w:ilvl w:val="0"/>
                <w:numId w:val="140"/>
              </w:numPr>
              <w:spacing w:after="0" w:line="240" w:lineRule="auto"/>
              <w:ind w:left="780" w:firstLine="0"/>
              <w:textAlignment w:val="baseline"/>
              <w:rPr>
                <w:noProof/>
              </w:rPr>
            </w:pPr>
            <w:r>
              <w:rPr>
                <w:noProof/>
              </w:rPr>
              <w:t>Ieguldījums ES pārkāpumu risināšanā, sinerģija ar citu nozaru plānošanu (piemēram, PNIEC) un/vai citiem plāna komponentiem, inovatīvas tehnoloģijas, kuru pamatā ir pilna mēroga pieredze, </w:t>
            </w:r>
          </w:p>
          <w:p w14:paraId="093C2B1F" w14:textId="77777777" w:rsidR="00327FF1" w:rsidRDefault="00E406C7">
            <w:pPr>
              <w:pStyle w:val="P68B1DB1-Normal50"/>
              <w:numPr>
                <w:ilvl w:val="0"/>
                <w:numId w:val="141"/>
              </w:numPr>
              <w:spacing w:after="0" w:line="240" w:lineRule="auto"/>
              <w:ind w:left="780" w:firstLine="0"/>
              <w:textAlignment w:val="baseline"/>
              <w:rPr>
                <w:noProof/>
              </w:rPr>
            </w:pPr>
            <w:r>
              <w:rPr>
                <w:noProof/>
              </w:rPr>
              <w:t>Priekšlikuma tehniskā kvalitāte. </w:t>
            </w:r>
          </w:p>
          <w:p w14:paraId="644EE7A0" w14:textId="77777777" w:rsidR="00327FF1" w:rsidRDefault="00E406C7">
            <w:pPr>
              <w:pStyle w:val="P68B1DB1-Normal50"/>
              <w:numPr>
                <w:ilvl w:val="0"/>
                <w:numId w:val="142"/>
              </w:numPr>
              <w:spacing w:after="0" w:line="240" w:lineRule="auto"/>
              <w:ind w:left="780" w:firstLine="0"/>
              <w:textAlignment w:val="baseline"/>
              <w:rPr>
                <w:noProof/>
              </w:rPr>
            </w:pPr>
            <w:r>
              <w:rPr>
                <w:noProof/>
              </w:rPr>
              <w:t xml:space="preserve">Saskaņotība un </w:t>
            </w:r>
            <w:r>
              <w:rPr>
                <w:noProof/>
              </w:rPr>
              <w:t>papildināmība ar kohēzijas politikas programmām un līdzīgiem projektiem, ko finansē no citiem ES un valstu instrumentiem </w:t>
            </w:r>
          </w:p>
          <w:p w14:paraId="4218DB23"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Intervences neietver investīcijas atkritumu poligonos, apglabāšanas iekārtās, mehāniskās bioloģiskās apstrādes/mehāniskās apstrādes ie</w:t>
            </w:r>
            <w:r>
              <w:rPr>
                <w:noProof/>
              </w:rPr>
              <w:t>kārtās vai sadedzināšanas iekārtās saskaņā ar principu “nenodarīt būtisku kaitējumu”. </w:t>
            </w:r>
          </w:p>
        </w:tc>
      </w:tr>
      <w:tr w:rsidR="00327FF1" w14:paraId="02456C9D" w14:textId="77777777">
        <w:trPr>
          <w:trHeight w:val="300"/>
        </w:trPr>
        <w:tc>
          <w:tcPr>
            <w:tcW w:w="1131" w:type="dxa"/>
            <w:shd w:val="clear" w:color="auto" w:fill="C6EFCE"/>
            <w:vAlign w:val="center"/>
            <w:hideMark/>
          </w:tcPr>
          <w:p w14:paraId="44F35EB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M2C1–15 </w:t>
            </w:r>
          </w:p>
        </w:tc>
        <w:tc>
          <w:tcPr>
            <w:tcW w:w="1418" w:type="dxa"/>
            <w:shd w:val="clear" w:color="auto" w:fill="C6EFCE"/>
            <w:vAlign w:val="center"/>
            <w:hideMark/>
          </w:tcPr>
          <w:p w14:paraId="4784BAA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Reforma Nr. 1.2 </w:t>
            </w:r>
          </w:p>
          <w:p w14:paraId="49F9EA1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Atkritumu apsaimniekošanas valsts programma </w:t>
            </w:r>
          </w:p>
          <w:p w14:paraId="1396687F" w14:textId="77777777" w:rsidR="00327FF1" w:rsidRDefault="00E406C7">
            <w:pPr>
              <w:pStyle w:val="P68B1DB1-Normal49"/>
              <w:spacing w:after="0" w:line="240" w:lineRule="auto"/>
              <w:jc w:val="center"/>
              <w:textAlignment w:val="baseline"/>
              <w:rPr>
                <w:rFonts w:ascii="Times New Roman" w:hAnsi="Times New Roman"/>
                <w:noProof/>
                <w:sz w:val="24"/>
                <w:szCs w:val="24"/>
              </w:rPr>
            </w:pPr>
            <w:r>
              <w:rPr>
                <w:noProof/>
              </w:rPr>
              <w:t> </w:t>
            </w:r>
          </w:p>
        </w:tc>
        <w:tc>
          <w:tcPr>
            <w:tcW w:w="992" w:type="dxa"/>
            <w:shd w:val="clear" w:color="auto" w:fill="C6EFCE"/>
            <w:vAlign w:val="center"/>
            <w:hideMark/>
          </w:tcPr>
          <w:p w14:paraId="0C33987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418" w:type="dxa"/>
            <w:shd w:val="clear" w:color="auto" w:fill="C6EFCE"/>
            <w:vAlign w:val="center"/>
            <w:hideMark/>
          </w:tcPr>
          <w:p w14:paraId="326C0BC1" w14:textId="2347A32A"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Neregulāro poligonu skaita samazināšana (T1) </w:t>
            </w:r>
          </w:p>
        </w:tc>
        <w:tc>
          <w:tcPr>
            <w:tcW w:w="1417" w:type="dxa"/>
            <w:shd w:val="clear" w:color="auto" w:fill="C6EFCE"/>
            <w:vAlign w:val="center"/>
            <w:hideMark/>
          </w:tcPr>
          <w:p w14:paraId="760BC9BF"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3D478E0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Skaits </w:t>
            </w:r>
          </w:p>
        </w:tc>
        <w:tc>
          <w:tcPr>
            <w:tcW w:w="1276" w:type="dxa"/>
            <w:shd w:val="clear" w:color="auto" w:fill="C6EFCE"/>
            <w:vAlign w:val="center"/>
            <w:hideMark/>
          </w:tcPr>
          <w:p w14:paraId="7D20CD9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33 </w:t>
            </w:r>
          </w:p>
        </w:tc>
        <w:tc>
          <w:tcPr>
            <w:tcW w:w="992" w:type="dxa"/>
            <w:shd w:val="clear" w:color="auto" w:fill="C6EFCE"/>
            <w:vAlign w:val="center"/>
            <w:hideMark/>
          </w:tcPr>
          <w:p w14:paraId="6E7C811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11 </w:t>
            </w:r>
          </w:p>
        </w:tc>
        <w:tc>
          <w:tcPr>
            <w:tcW w:w="992" w:type="dxa"/>
            <w:shd w:val="clear" w:color="auto" w:fill="C6EFCE"/>
            <w:vAlign w:val="center"/>
            <w:hideMark/>
          </w:tcPr>
          <w:p w14:paraId="3970F17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91" w:type="dxa"/>
            <w:shd w:val="clear" w:color="auto" w:fill="C6EFCE"/>
            <w:vAlign w:val="center"/>
            <w:hideMark/>
          </w:tcPr>
          <w:p w14:paraId="3CEB9521"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2024 </w:t>
            </w:r>
          </w:p>
        </w:tc>
        <w:tc>
          <w:tcPr>
            <w:tcW w:w="3423" w:type="dxa"/>
            <w:shd w:val="clear" w:color="auto" w:fill="C6EFCE"/>
            <w:vAlign w:val="center"/>
            <w:hideMark/>
          </w:tcPr>
          <w:p w14:paraId="34C4F05A" w14:textId="77777777" w:rsidR="00327FF1" w:rsidRDefault="00E406C7">
            <w:pPr>
              <w:pStyle w:val="P68B1DB1-Normal50"/>
              <w:spacing w:after="0" w:line="240" w:lineRule="auto"/>
              <w:jc w:val="both"/>
              <w:textAlignment w:val="baseline"/>
              <w:rPr>
                <w:rFonts w:ascii="Times New Roman" w:hAnsi="Times New Roman"/>
                <w:noProof/>
                <w:sz w:val="24"/>
                <w:szCs w:val="24"/>
              </w:rPr>
            </w:pPr>
            <w:r>
              <w:rPr>
                <w:noProof/>
              </w:rPr>
              <w:t>Pārkāpuma procedūrā NIF 2003/2077 iekļauto nelikumīgo poligonu skaita samazināšana no 33 uz 11 (t. i., vismaz 66 %). </w:t>
            </w:r>
          </w:p>
        </w:tc>
      </w:tr>
      <w:tr w:rsidR="00327FF1" w14:paraId="2518F62B" w14:textId="77777777">
        <w:trPr>
          <w:trHeight w:val="300"/>
        </w:trPr>
        <w:tc>
          <w:tcPr>
            <w:tcW w:w="1131" w:type="dxa"/>
            <w:shd w:val="clear" w:color="auto" w:fill="C6EFCE"/>
            <w:vAlign w:val="center"/>
            <w:hideMark/>
          </w:tcPr>
          <w:p w14:paraId="3C647430"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M2C1–15bis </w:t>
            </w:r>
          </w:p>
        </w:tc>
        <w:tc>
          <w:tcPr>
            <w:tcW w:w="1418" w:type="dxa"/>
            <w:shd w:val="clear" w:color="auto" w:fill="C6EFCE"/>
            <w:vAlign w:val="center"/>
            <w:hideMark/>
          </w:tcPr>
          <w:p w14:paraId="74CA354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Reforma Nr. 1.2 </w:t>
            </w:r>
          </w:p>
          <w:p w14:paraId="0C6A9520"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Atkritumu apsaimniekošanas valsts programma: </w:t>
            </w:r>
          </w:p>
        </w:tc>
        <w:tc>
          <w:tcPr>
            <w:tcW w:w="992" w:type="dxa"/>
            <w:shd w:val="clear" w:color="auto" w:fill="C6EFCE"/>
            <w:vAlign w:val="center"/>
            <w:hideMark/>
          </w:tcPr>
          <w:p w14:paraId="6FE7A63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418" w:type="dxa"/>
            <w:shd w:val="clear" w:color="auto" w:fill="C6EFCE"/>
            <w:vAlign w:val="center"/>
            <w:hideMark/>
          </w:tcPr>
          <w:p w14:paraId="24E18C8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Neregulāro poligonu skaita samazināšana (T2) </w:t>
            </w:r>
          </w:p>
        </w:tc>
        <w:tc>
          <w:tcPr>
            <w:tcW w:w="1417" w:type="dxa"/>
            <w:shd w:val="clear" w:color="auto" w:fill="C6EFCE"/>
            <w:vAlign w:val="center"/>
            <w:hideMark/>
          </w:tcPr>
          <w:p w14:paraId="7BD85E5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36A75CBC" w14:textId="77CC0E48"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Skaits </w:t>
            </w:r>
          </w:p>
        </w:tc>
        <w:tc>
          <w:tcPr>
            <w:tcW w:w="1276" w:type="dxa"/>
            <w:shd w:val="clear" w:color="auto" w:fill="C6EFCE"/>
            <w:vAlign w:val="center"/>
            <w:hideMark/>
          </w:tcPr>
          <w:p w14:paraId="4D9D765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34 </w:t>
            </w:r>
          </w:p>
        </w:tc>
        <w:tc>
          <w:tcPr>
            <w:tcW w:w="992" w:type="dxa"/>
            <w:shd w:val="clear" w:color="auto" w:fill="C6EFCE"/>
            <w:vAlign w:val="center"/>
            <w:hideMark/>
          </w:tcPr>
          <w:p w14:paraId="2CD1732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14 </w:t>
            </w:r>
          </w:p>
        </w:tc>
        <w:tc>
          <w:tcPr>
            <w:tcW w:w="992" w:type="dxa"/>
            <w:shd w:val="clear" w:color="auto" w:fill="C6EFCE"/>
            <w:vAlign w:val="center"/>
            <w:hideMark/>
          </w:tcPr>
          <w:p w14:paraId="7A3B2B3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4. CET. </w:t>
            </w:r>
          </w:p>
        </w:tc>
        <w:tc>
          <w:tcPr>
            <w:tcW w:w="691" w:type="dxa"/>
            <w:shd w:val="clear" w:color="auto" w:fill="C6EFCE"/>
            <w:vAlign w:val="center"/>
            <w:hideMark/>
          </w:tcPr>
          <w:p w14:paraId="4AF659A3"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2023 </w:t>
            </w:r>
          </w:p>
        </w:tc>
        <w:tc>
          <w:tcPr>
            <w:tcW w:w="3423" w:type="dxa"/>
            <w:shd w:val="clear" w:color="auto" w:fill="C6EFCE"/>
            <w:vAlign w:val="center"/>
            <w:hideMark/>
          </w:tcPr>
          <w:p w14:paraId="67D9AEEF"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Pārkāpumu procedūrā 2011/2215 iekļauto nelikumīgo poligonu skaita samazināšana no 34 uz 14 (t. i., par vismaz 60 %). </w:t>
            </w:r>
          </w:p>
        </w:tc>
      </w:tr>
      <w:tr w:rsidR="00327FF1" w14:paraId="2D6C225D" w14:textId="77777777">
        <w:trPr>
          <w:trHeight w:val="300"/>
        </w:trPr>
        <w:tc>
          <w:tcPr>
            <w:tcW w:w="1131" w:type="dxa"/>
            <w:shd w:val="clear" w:color="auto" w:fill="C6EFCE"/>
            <w:vAlign w:val="center"/>
            <w:hideMark/>
          </w:tcPr>
          <w:p w14:paraId="49A8A650"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M2C1–15ter </w:t>
            </w:r>
          </w:p>
        </w:tc>
        <w:tc>
          <w:tcPr>
            <w:tcW w:w="1418" w:type="dxa"/>
            <w:shd w:val="clear" w:color="auto" w:fill="C6EFCE"/>
            <w:vAlign w:val="center"/>
            <w:hideMark/>
          </w:tcPr>
          <w:p w14:paraId="66012AF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Investīcija 1.1. — Jaunu atkritumu apsaimniekošanas iekārtu ieviešana un esošo </w:t>
            </w:r>
            <w:r>
              <w:rPr>
                <w:noProof/>
              </w:rPr>
              <w:t>iekārtu modernizācija </w:t>
            </w:r>
          </w:p>
        </w:tc>
        <w:tc>
          <w:tcPr>
            <w:tcW w:w="992" w:type="dxa"/>
            <w:shd w:val="clear" w:color="auto" w:fill="C6EFCE"/>
            <w:vAlign w:val="center"/>
            <w:hideMark/>
          </w:tcPr>
          <w:p w14:paraId="55DA591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418" w:type="dxa"/>
            <w:shd w:val="clear" w:color="auto" w:fill="C6EFCE"/>
            <w:vAlign w:val="center"/>
            <w:hideMark/>
          </w:tcPr>
          <w:p w14:paraId="3499926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Reģionālo atšķirību samazināšana dalītās savākšanas jomā </w:t>
            </w:r>
          </w:p>
        </w:tc>
        <w:tc>
          <w:tcPr>
            <w:tcW w:w="1417" w:type="dxa"/>
            <w:shd w:val="clear" w:color="auto" w:fill="C6EFCE"/>
            <w:vAlign w:val="center"/>
            <w:hideMark/>
          </w:tcPr>
          <w:p w14:paraId="0291CC8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2E60852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Procentpunkti </w:t>
            </w:r>
          </w:p>
        </w:tc>
        <w:tc>
          <w:tcPr>
            <w:tcW w:w="1276" w:type="dxa"/>
            <w:shd w:val="clear" w:color="auto" w:fill="C6EFCE"/>
            <w:vAlign w:val="center"/>
            <w:hideMark/>
          </w:tcPr>
          <w:p w14:paraId="47E1EE4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22.8 </w:t>
            </w:r>
          </w:p>
        </w:tc>
        <w:tc>
          <w:tcPr>
            <w:tcW w:w="992" w:type="dxa"/>
            <w:shd w:val="clear" w:color="auto" w:fill="C6EFCE"/>
            <w:vAlign w:val="center"/>
            <w:hideMark/>
          </w:tcPr>
          <w:p w14:paraId="417F365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20 </w:t>
            </w:r>
          </w:p>
        </w:tc>
        <w:tc>
          <w:tcPr>
            <w:tcW w:w="992" w:type="dxa"/>
            <w:shd w:val="clear" w:color="auto" w:fill="C6EFCE"/>
            <w:vAlign w:val="center"/>
            <w:hideMark/>
          </w:tcPr>
          <w:p w14:paraId="4853AC6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4. CET. </w:t>
            </w:r>
          </w:p>
        </w:tc>
        <w:tc>
          <w:tcPr>
            <w:tcW w:w="691" w:type="dxa"/>
            <w:shd w:val="clear" w:color="auto" w:fill="C6EFCE"/>
            <w:vAlign w:val="center"/>
            <w:hideMark/>
          </w:tcPr>
          <w:p w14:paraId="4D0A93C2"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2023 </w:t>
            </w:r>
          </w:p>
        </w:tc>
        <w:tc>
          <w:tcPr>
            <w:tcW w:w="3423" w:type="dxa"/>
            <w:shd w:val="clear" w:color="auto" w:fill="C6EFCE"/>
            <w:vAlign w:val="center"/>
            <w:hideMark/>
          </w:tcPr>
          <w:p w14:paraId="29D3623A"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Starpība starp valsts vidējo rādītāju un reģionu ar sliktākajiem rādītājiem dalītās savākšanas rādītājā ir samazināta</w:t>
            </w:r>
            <w:r>
              <w:rPr>
                <w:noProof/>
              </w:rPr>
              <w:t xml:space="preserve"> līdz 20 procentpunktiem. </w:t>
            </w:r>
          </w:p>
        </w:tc>
      </w:tr>
      <w:tr w:rsidR="00327FF1" w14:paraId="4900FD9D" w14:textId="77777777">
        <w:trPr>
          <w:trHeight w:val="300"/>
        </w:trPr>
        <w:tc>
          <w:tcPr>
            <w:tcW w:w="1131" w:type="dxa"/>
            <w:shd w:val="clear" w:color="auto" w:fill="C6EFCE"/>
            <w:vAlign w:val="center"/>
            <w:hideMark/>
          </w:tcPr>
          <w:p w14:paraId="286F14B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M2C1–15 quater </w:t>
            </w:r>
          </w:p>
        </w:tc>
        <w:tc>
          <w:tcPr>
            <w:tcW w:w="1418" w:type="dxa"/>
            <w:shd w:val="clear" w:color="auto" w:fill="C6EFCE"/>
            <w:vAlign w:val="center"/>
            <w:hideMark/>
          </w:tcPr>
          <w:p w14:paraId="487A7C8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Investīcija 1.1. — Jaunu atkritumu apsaimniekošanas iekārtu ieviešana un esošo iekārtu modernizācija </w:t>
            </w:r>
          </w:p>
        </w:tc>
        <w:tc>
          <w:tcPr>
            <w:tcW w:w="992" w:type="dxa"/>
            <w:shd w:val="clear" w:color="auto" w:fill="C6EFCE"/>
            <w:vAlign w:val="center"/>
            <w:hideMark/>
          </w:tcPr>
          <w:p w14:paraId="1E08554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Atskaites punkts </w:t>
            </w:r>
          </w:p>
        </w:tc>
        <w:tc>
          <w:tcPr>
            <w:tcW w:w="1418" w:type="dxa"/>
            <w:shd w:val="clear" w:color="auto" w:fill="C6EFCE"/>
            <w:vAlign w:val="center"/>
            <w:hideMark/>
          </w:tcPr>
          <w:p w14:paraId="40BB9560"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Bioatkritumu dalītas savākšanas pienākuma stāšanās spēkā </w:t>
            </w:r>
          </w:p>
        </w:tc>
        <w:tc>
          <w:tcPr>
            <w:tcW w:w="1417" w:type="dxa"/>
            <w:shd w:val="clear" w:color="auto" w:fill="C6EFCE"/>
            <w:vAlign w:val="center"/>
            <w:hideMark/>
          </w:tcPr>
          <w:p w14:paraId="775E59E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Likuma norma, kas norāda</w:t>
            </w:r>
            <w:r>
              <w:rPr>
                <w:noProof/>
              </w:rPr>
              <w:t xml:space="preserve"> uz stāšanos spēkā </w:t>
            </w:r>
          </w:p>
        </w:tc>
        <w:tc>
          <w:tcPr>
            <w:tcW w:w="1276" w:type="dxa"/>
            <w:shd w:val="clear" w:color="auto" w:fill="C6EFCE"/>
            <w:vAlign w:val="center"/>
            <w:hideMark/>
          </w:tcPr>
          <w:p w14:paraId="79AB6DBF"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409E243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0DDFEDC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62B1D40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4. CET. </w:t>
            </w:r>
          </w:p>
        </w:tc>
        <w:tc>
          <w:tcPr>
            <w:tcW w:w="691" w:type="dxa"/>
            <w:shd w:val="clear" w:color="auto" w:fill="C6EFCE"/>
            <w:vAlign w:val="center"/>
            <w:hideMark/>
          </w:tcPr>
          <w:p w14:paraId="5B208149"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2023 </w:t>
            </w:r>
          </w:p>
        </w:tc>
        <w:tc>
          <w:tcPr>
            <w:tcW w:w="3423" w:type="dxa"/>
            <w:shd w:val="clear" w:color="auto" w:fill="C6EFCE"/>
            <w:vAlign w:val="center"/>
            <w:hideMark/>
          </w:tcPr>
          <w:p w14:paraId="090CBED1"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Bioatkritumu dalītas savākšanas pienākums sāk darboties līdz 2023. gada 31. decembrim saskaņā ar ES aprites ekonomikas rīcības plānu. </w:t>
            </w:r>
          </w:p>
        </w:tc>
      </w:tr>
      <w:tr w:rsidR="00327FF1" w14:paraId="10C9A573" w14:textId="77777777">
        <w:trPr>
          <w:trHeight w:val="300"/>
        </w:trPr>
        <w:tc>
          <w:tcPr>
            <w:tcW w:w="1131" w:type="dxa"/>
            <w:shd w:val="clear" w:color="auto" w:fill="C6EFCE"/>
            <w:vAlign w:val="center"/>
            <w:hideMark/>
          </w:tcPr>
          <w:p w14:paraId="460E57E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M2C1–16 </w:t>
            </w:r>
          </w:p>
        </w:tc>
        <w:tc>
          <w:tcPr>
            <w:tcW w:w="1418" w:type="dxa"/>
            <w:shd w:val="clear" w:color="auto" w:fill="C6EFCE"/>
            <w:vAlign w:val="center"/>
            <w:hideMark/>
          </w:tcPr>
          <w:p w14:paraId="2F4E6FDD" w14:textId="23089295"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Reforma Nr. 1.2 </w:t>
            </w:r>
          </w:p>
          <w:p w14:paraId="6F26474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Atkritumu apsaimniekošanas</w:t>
            </w:r>
            <w:r>
              <w:rPr>
                <w:noProof/>
              </w:rPr>
              <w:t xml:space="preserve"> valsts programma </w:t>
            </w:r>
          </w:p>
        </w:tc>
        <w:tc>
          <w:tcPr>
            <w:tcW w:w="992" w:type="dxa"/>
            <w:shd w:val="clear" w:color="auto" w:fill="C6EFCE"/>
            <w:vAlign w:val="center"/>
            <w:hideMark/>
          </w:tcPr>
          <w:p w14:paraId="2A8A42E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418" w:type="dxa"/>
            <w:shd w:val="clear" w:color="auto" w:fill="C6EFCE"/>
            <w:vAlign w:val="center"/>
            <w:hideMark/>
          </w:tcPr>
          <w:p w14:paraId="153510A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Neregulāri atkritumu poligoni </w:t>
            </w:r>
          </w:p>
        </w:tc>
        <w:tc>
          <w:tcPr>
            <w:tcW w:w="1417" w:type="dxa"/>
            <w:shd w:val="clear" w:color="auto" w:fill="C6EFCE"/>
            <w:vAlign w:val="center"/>
            <w:hideMark/>
          </w:tcPr>
          <w:p w14:paraId="2FCC98C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570D05E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Skaits </w:t>
            </w:r>
          </w:p>
        </w:tc>
        <w:tc>
          <w:tcPr>
            <w:tcW w:w="1276" w:type="dxa"/>
            <w:shd w:val="clear" w:color="auto" w:fill="C6EFCE"/>
            <w:vAlign w:val="center"/>
            <w:hideMark/>
          </w:tcPr>
          <w:p w14:paraId="29A7FD9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11 </w:t>
            </w:r>
          </w:p>
        </w:tc>
        <w:tc>
          <w:tcPr>
            <w:tcW w:w="992" w:type="dxa"/>
            <w:shd w:val="clear" w:color="auto" w:fill="C6EFCE"/>
            <w:vAlign w:val="center"/>
            <w:hideMark/>
          </w:tcPr>
          <w:p w14:paraId="2CB8EDD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0 </w:t>
            </w:r>
          </w:p>
        </w:tc>
        <w:tc>
          <w:tcPr>
            <w:tcW w:w="992" w:type="dxa"/>
            <w:shd w:val="clear" w:color="auto" w:fill="C6EFCE"/>
            <w:vAlign w:val="center"/>
            <w:hideMark/>
          </w:tcPr>
          <w:p w14:paraId="4D8A06D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91" w:type="dxa"/>
            <w:shd w:val="clear" w:color="auto" w:fill="C6EFCE"/>
            <w:vAlign w:val="center"/>
            <w:hideMark/>
          </w:tcPr>
          <w:p w14:paraId="4335FC04"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2026 </w:t>
            </w:r>
          </w:p>
        </w:tc>
        <w:tc>
          <w:tcPr>
            <w:tcW w:w="3423" w:type="dxa"/>
            <w:shd w:val="clear" w:color="auto" w:fill="C6EFCE"/>
            <w:vAlign w:val="center"/>
            <w:hideMark/>
          </w:tcPr>
          <w:p w14:paraId="0911F3FB"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Pārkāpuma procedūrā 2003/2077 iekļauto nelikumīgo poligonu skaita samazināšana no 11 uz 0. </w:t>
            </w:r>
          </w:p>
        </w:tc>
      </w:tr>
      <w:tr w:rsidR="00327FF1" w14:paraId="083E0108" w14:textId="77777777">
        <w:trPr>
          <w:trHeight w:val="300"/>
        </w:trPr>
        <w:tc>
          <w:tcPr>
            <w:tcW w:w="1131" w:type="dxa"/>
            <w:shd w:val="clear" w:color="auto" w:fill="C6EFCE"/>
            <w:vAlign w:val="center"/>
            <w:hideMark/>
          </w:tcPr>
          <w:p w14:paraId="22DCE846"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M2C1–16bis </w:t>
            </w:r>
          </w:p>
        </w:tc>
        <w:tc>
          <w:tcPr>
            <w:tcW w:w="1418" w:type="dxa"/>
            <w:shd w:val="clear" w:color="auto" w:fill="C6EFCE"/>
            <w:vAlign w:val="center"/>
            <w:hideMark/>
          </w:tcPr>
          <w:p w14:paraId="0FC78173" w14:textId="6E4F4EC3"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Reforma Nr. 1.2 </w:t>
            </w:r>
          </w:p>
          <w:p w14:paraId="73BDDF3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Atkritumu apsaimniekošanas valsts </w:t>
            </w:r>
            <w:r>
              <w:rPr>
                <w:noProof/>
              </w:rPr>
              <w:t>programma </w:t>
            </w:r>
          </w:p>
        </w:tc>
        <w:tc>
          <w:tcPr>
            <w:tcW w:w="992" w:type="dxa"/>
            <w:shd w:val="clear" w:color="auto" w:fill="C6EFCE"/>
            <w:vAlign w:val="center"/>
            <w:hideMark/>
          </w:tcPr>
          <w:p w14:paraId="5628EA9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418" w:type="dxa"/>
            <w:shd w:val="clear" w:color="auto" w:fill="C6EFCE"/>
            <w:vAlign w:val="center"/>
            <w:hideMark/>
          </w:tcPr>
          <w:p w14:paraId="7ABB8F5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Neregulāri atkritumu poligoni </w:t>
            </w:r>
          </w:p>
        </w:tc>
        <w:tc>
          <w:tcPr>
            <w:tcW w:w="1417" w:type="dxa"/>
            <w:shd w:val="clear" w:color="auto" w:fill="C6EFCE"/>
            <w:vAlign w:val="center"/>
            <w:hideMark/>
          </w:tcPr>
          <w:p w14:paraId="0876240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3751792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Skaits </w:t>
            </w:r>
          </w:p>
        </w:tc>
        <w:tc>
          <w:tcPr>
            <w:tcW w:w="1276" w:type="dxa"/>
            <w:shd w:val="clear" w:color="auto" w:fill="C6EFCE"/>
            <w:vAlign w:val="center"/>
            <w:hideMark/>
          </w:tcPr>
          <w:p w14:paraId="4BA1F87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14 </w:t>
            </w:r>
          </w:p>
        </w:tc>
        <w:tc>
          <w:tcPr>
            <w:tcW w:w="992" w:type="dxa"/>
            <w:shd w:val="clear" w:color="auto" w:fill="C6EFCE"/>
            <w:vAlign w:val="center"/>
            <w:hideMark/>
          </w:tcPr>
          <w:p w14:paraId="1FC55CD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9 </w:t>
            </w:r>
          </w:p>
        </w:tc>
        <w:tc>
          <w:tcPr>
            <w:tcW w:w="992" w:type="dxa"/>
            <w:shd w:val="clear" w:color="auto" w:fill="C6EFCE"/>
            <w:vAlign w:val="center"/>
            <w:hideMark/>
          </w:tcPr>
          <w:p w14:paraId="7186C69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91" w:type="dxa"/>
            <w:shd w:val="clear" w:color="auto" w:fill="C6EFCE"/>
            <w:vAlign w:val="center"/>
            <w:hideMark/>
          </w:tcPr>
          <w:p w14:paraId="5A7D9B0C"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2024 </w:t>
            </w:r>
          </w:p>
        </w:tc>
        <w:tc>
          <w:tcPr>
            <w:tcW w:w="3423" w:type="dxa"/>
            <w:shd w:val="clear" w:color="auto" w:fill="C6EFCE"/>
            <w:vAlign w:val="center"/>
            <w:hideMark/>
          </w:tcPr>
          <w:p w14:paraId="1FB1EF82"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Pārkāpumu procedūrā 2011/2215 iekļauto nelikumīgo poligonu skaita samazināšana no 14 līdz 9 (t. i., vismaz 75 %) </w:t>
            </w:r>
          </w:p>
        </w:tc>
      </w:tr>
      <w:tr w:rsidR="00327FF1" w14:paraId="535C9794" w14:textId="77777777">
        <w:trPr>
          <w:trHeight w:val="300"/>
        </w:trPr>
        <w:tc>
          <w:tcPr>
            <w:tcW w:w="1131" w:type="dxa"/>
            <w:shd w:val="clear" w:color="auto" w:fill="C6EFCE"/>
            <w:vAlign w:val="center"/>
            <w:hideMark/>
          </w:tcPr>
          <w:p w14:paraId="4DBA493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M2C1–16ter </w:t>
            </w:r>
          </w:p>
        </w:tc>
        <w:tc>
          <w:tcPr>
            <w:tcW w:w="1418" w:type="dxa"/>
            <w:shd w:val="clear" w:color="auto" w:fill="C6EFCE"/>
            <w:vAlign w:val="center"/>
            <w:hideMark/>
          </w:tcPr>
          <w:p w14:paraId="7E980E2F"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w:t>
            </w:r>
          </w:p>
          <w:p w14:paraId="2A65124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Investīcija 1.1. — Jaunu atkritumu </w:t>
            </w:r>
            <w:r>
              <w:rPr>
                <w:noProof/>
              </w:rPr>
              <w:t>apsaimniekošanas iekārtu ieviešana un esošo iekārtu modernizācija </w:t>
            </w:r>
          </w:p>
        </w:tc>
        <w:tc>
          <w:tcPr>
            <w:tcW w:w="992" w:type="dxa"/>
            <w:shd w:val="clear" w:color="auto" w:fill="C6EFCE"/>
            <w:vAlign w:val="center"/>
            <w:hideMark/>
          </w:tcPr>
          <w:p w14:paraId="027B8C6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418" w:type="dxa"/>
            <w:shd w:val="clear" w:color="auto" w:fill="C6EFCE"/>
            <w:vAlign w:val="center"/>
            <w:hideMark/>
          </w:tcPr>
          <w:p w14:paraId="58C63E5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Dalītās savākšanas rādītāju reģionālās atšķirības </w:t>
            </w:r>
          </w:p>
        </w:tc>
        <w:tc>
          <w:tcPr>
            <w:tcW w:w="1417" w:type="dxa"/>
            <w:shd w:val="clear" w:color="auto" w:fill="C6EFCE"/>
            <w:vAlign w:val="center"/>
            <w:hideMark/>
          </w:tcPr>
          <w:p w14:paraId="48531B5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374C301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Procentpunkti </w:t>
            </w:r>
          </w:p>
        </w:tc>
        <w:tc>
          <w:tcPr>
            <w:tcW w:w="1276" w:type="dxa"/>
            <w:shd w:val="clear" w:color="auto" w:fill="C6EFCE"/>
            <w:vAlign w:val="center"/>
            <w:hideMark/>
          </w:tcPr>
          <w:p w14:paraId="00DCF21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28,4 </w:t>
            </w:r>
          </w:p>
        </w:tc>
        <w:tc>
          <w:tcPr>
            <w:tcW w:w="992" w:type="dxa"/>
            <w:shd w:val="clear" w:color="auto" w:fill="C6EFCE"/>
            <w:vAlign w:val="center"/>
            <w:hideMark/>
          </w:tcPr>
          <w:p w14:paraId="374118A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20 </w:t>
            </w:r>
          </w:p>
        </w:tc>
        <w:tc>
          <w:tcPr>
            <w:tcW w:w="992" w:type="dxa"/>
            <w:shd w:val="clear" w:color="auto" w:fill="C6EFCE"/>
            <w:vAlign w:val="center"/>
            <w:hideMark/>
          </w:tcPr>
          <w:p w14:paraId="575AA70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4. CET. </w:t>
            </w:r>
          </w:p>
        </w:tc>
        <w:tc>
          <w:tcPr>
            <w:tcW w:w="691" w:type="dxa"/>
            <w:shd w:val="clear" w:color="auto" w:fill="C6EFCE"/>
            <w:vAlign w:val="center"/>
            <w:hideMark/>
          </w:tcPr>
          <w:p w14:paraId="4BC6112E"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2024 </w:t>
            </w:r>
          </w:p>
        </w:tc>
        <w:tc>
          <w:tcPr>
            <w:tcW w:w="3423" w:type="dxa"/>
            <w:shd w:val="clear" w:color="auto" w:fill="C6EFCE"/>
            <w:vAlign w:val="center"/>
            <w:hideMark/>
          </w:tcPr>
          <w:p w14:paraId="088DEB8E"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 xml:space="preserve">Atkritumu dalītas savākšanas atšķirība starp triju labāko reģionu (Veneto, </w:t>
            </w:r>
            <w:r>
              <w:rPr>
                <w:noProof/>
              </w:rPr>
              <w:t>Trentīno, Sardegnas) vidējo rādītāju un sliktāko reģionu vidējo rādītāju (Basilicata, Kalabrijas un Sicīlijas reģions), kas norādīti ISPRA 2020. gada ziņojumā, ir samazināta līdz 20 procentpunktiem. </w:t>
            </w:r>
          </w:p>
          <w:p w14:paraId="479251E5" w14:textId="738D7BEF" w:rsidR="00327FF1" w:rsidRDefault="00E406C7">
            <w:pPr>
              <w:pStyle w:val="P68B1DB1-Normal50"/>
              <w:spacing w:after="0" w:line="240" w:lineRule="auto"/>
              <w:textAlignment w:val="baseline"/>
              <w:rPr>
                <w:rFonts w:ascii="Times New Roman" w:hAnsi="Times New Roman"/>
                <w:noProof/>
                <w:sz w:val="24"/>
                <w:szCs w:val="24"/>
              </w:rPr>
            </w:pPr>
            <w:r>
              <w:rPr>
                <w:noProof/>
              </w:rPr>
              <w:t>Lai mērķrādītājs tiktu apmierinoši sasniegts, salīdzināj</w:t>
            </w:r>
            <w:r>
              <w:rPr>
                <w:noProof/>
              </w:rPr>
              <w:t>umā ar 2020. gada ISPRA ziņojumā norādītajiem trīs reģioniem ar labākajiem rādītājiem (Veneto, Trentīno, Sardegna) atkritumu dalītas savākšanas ziņā ir jāpalielina arī vidējais rādītājs valstī un vidējais rādītājs no trim reģioniem ar labākajiem darbības r</w:t>
            </w:r>
            <w:r>
              <w:rPr>
                <w:noProof/>
              </w:rPr>
              <w:t>ādītājiem. </w:t>
            </w:r>
          </w:p>
        </w:tc>
      </w:tr>
      <w:tr w:rsidR="00327FF1" w14:paraId="5912E85C" w14:textId="77777777">
        <w:trPr>
          <w:trHeight w:val="300"/>
        </w:trPr>
        <w:tc>
          <w:tcPr>
            <w:tcW w:w="1131" w:type="dxa"/>
            <w:shd w:val="clear" w:color="auto" w:fill="C6EFCE"/>
            <w:vAlign w:val="center"/>
            <w:hideMark/>
          </w:tcPr>
          <w:p w14:paraId="124387F3" w14:textId="77777777" w:rsidR="00327FF1" w:rsidRDefault="00E406C7">
            <w:pPr>
              <w:pStyle w:val="P68B1DB1-Normal50"/>
              <w:spacing w:after="0" w:line="240" w:lineRule="auto"/>
              <w:jc w:val="center"/>
              <w:textAlignment w:val="baseline"/>
              <w:rPr>
                <w:noProof/>
              </w:rPr>
            </w:pPr>
            <w:r>
              <w:rPr>
                <w:noProof/>
              </w:rPr>
              <w:t>M2C1–16quater </w:t>
            </w:r>
          </w:p>
        </w:tc>
        <w:tc>
          <w:tcPr>
            <w:tcW w:w="1418" w:type="dxa"/>
            <w:shd w:val="clear" w:color="auto" w:fill="C6EFCE"/>
            <w:vAlign w:val="center"/>
            <w:hideMark/>
          </w:tcPr>
          <w:p w14:paraId="43C3338B" w14:textId="77777777" w:rsidR="00327FF1" w:rsidRDefault="00E406C7">
            <w:pPr>
              <w:pStyle w:val="P68B1DB1-Normal50"/>
              <w:spacing w:after="0" w:line="240" w:lineRule="auto"/>
              <w:jc w:val="center"/>
              <w:textAlignment w:val="baseline"/>
              <w:rPr>
                <w:noProof/>
              </w:rPr>
            </w:pPr>
            <w:r>
              <w:rPr>
                <w:noProof/>
              </w:rPr>
              <w:t>Investīcija 1.1. — Jaunu atkritumu apsaimniekošanas iekārtu ieviešana un esošo iekārtu modernizācija un aprites ekonomikas “pamatiniciatīvas” projekti </w:t>
            </w:r>
          </w:p>
          <w:p w14:paraId="53C099AA" w14:textId="35C8259D" w:rsidR="00327FF1" w:rsidRDefault="00E406C7">
            <w:pPr>
              <w:pStyle w:val="P68B1DB1-Normal50"/>
              <w:spacing w:after="0" w:line="240" w:lineRule="auto"/>
              <w:jc w:val="center"/>
              <w:textAlignment w:val="baseline"/>
              <w:rPr>
                <w:noProof/>
              </w:rPr>
            </w:pPr>
            <w:r>
              <w:rPr>
                <w:noProof/>
              </w:rPr>
              <w:t> </w:t>
            </w:r>
          </w:p>
        </w:tc>
        <w:tc>
          <w:tcPr>
            <w:tcW w:w="992" w:type="dxa"/>
            <w:shd w:val="clear" w:color="auto" w:fill="C6EFCE"/>
            <w:vAlign w:val="center"/>
            <w:hideMark/>
          </w:tcPr>
          <w:p w14:paraId="1ED3EC92" w14:textId="77777777" w:rsidR="00327FF1" w:rsidRDefault="00E406C7">
            <w:pPr>
              <w:pStyle w:val="P68B1DB1-Normal50"/>
              <w:spacing w:after="0" w:line="240" w:lineRule="auto"/>
              <w:jc w:val="center"/>
              <w:textAlignment w:val="baseline"/>
              <w:rPr>
                <w:noProof/>
              </w:rPr>
            </w:pPr>
            <w:r>
              <w:rPr>
                <w:noProof/>
              </w:rPr>
              <w:t>Mērķa </w:t>
            </w:r>
          </w:p>
        </w:tc>
        <w:tc>
          <w:tcPr>
            <w:tcW w:w="1418" w:type="dxa"/>
            <w:shd w:val="clear" w:color="auto" w:fill="C6EFCE"/>
            <w:vAlign w:val="center"/>
            <w:hideMark/>
          </w:tcPr>
          <w:p w14:paraId="43276066" w14:textId="77777777" w:rsidR="00327FF1" w:rsidRDefault="00E406C7">
            <w:pPr>
              <w:pStyle w:val="P68B1DB1-Normal50"/>
              <w:spacing w:after="0" w:line="240" w:lineRule="auto"/>
              <w:jc w:val="center"/>
              <w:textAlignment w:val="baseline"/>
              <w:rPr>
                <w:noProof/>
              </w:rPr>
            </w:pPr>
            <w:r>
              <w:rPr>
                <w:noProof/>
              </w:rPr>
              <w:t> Pabeigtie projekti </w:t>
            </w:r>
          </w:p>
        </w:tc>
        <w:tc>
          <w:tcPr>
            <w:tcW w:w="1417" w:type="dxa"/>
            <w:shd w:val="clear" w:color="auto" w:fill="C6EFCE"/>
            <w:vAlign w:val="center"/>
            <w:hideMark/>
          </w:tcPr>
          <w:p w14:paraId="58AA0E35" w14:textId="77777777" w:rsidR="00327FF1" w:rsidRDefault="00E406C7">
            <w:pPr>
              <w:pStyle w:val="P68B1DB1-Normal50"/>
              <w:spacing w:after="0" w:line="240" w:lineRule="auto"/>
              <w:jc w:val="center"/>
              <w:textAlignment w:val="baseline"/>
              <w:rPr>
                <w:noProof/>
              </w:rPr>
            </w:pPr>
            <w:r>
              <w:rPr>
                <w:noProof/>
              </w:rPr>
              <w:t>NEPIEMĒRO </w:t>
            </w:r>
          </w:p>
        </w:tc>
        <w:tc>
          <w:tcPr>
            <w:tcW w:w="1276" w:type="dxa"/>
            <w:shd w:val="clear" w:color="auto" w:fill="C6EFCE"/>
            <w:vAlign w:val="center"/>
            <w:hideMark/>
          </w:tcPr>
          <w:p w14:paraId="0EEFE957" w14:textId="77777777" w:rsidR="00327FF1" w:rsidRDefault="00E406C7">
            <w:pPr>
              <w:pStyle w:val="P68B1DB1-Normal50"/>
              <w:spacing w:after="0" w:line="240" w:lineRule="auto"/>
              <w:jc w:val="center"/>
              <w:textAlignment w:val="baseline"/>
              <w:rPr>
                <w:noProof/>
              </w:rPr>
            </w:pPr>
            <w:r>
              <w:rPr>
                <w:noProof/>
              </w:rPr>
              <w:t> Skaits </w:t>
            </w:r>
          </w:p>
        </w:tc>
        <w:tc>
          <w:tcPr>
            <w:tcW w:w="1276" w:type="dxa"/>
            <w:shd w:val="clear" w:color="auto" w:fill="C6EFCE"/>
            <w:vAlign w:val="center"/>
            <w:hideMark/>
          </w:tcPr>
          <w:p w14:paraId="24D7592B" w14:textId="77777777" w:rsidR="00327FF1" w:rsidRDefault="00E406C7">
            <w:pPr>
              <w:pStyle w:val="P68B1DB1-Normal50"/>
              <w:spacing w:after="0" w:line="240" w:lineRule="auto"/>
              <w:jc w:val="center"/>
              <w:textAlignment w:val="baseline"/>
              <w:rPr>
                <w:noProof/>
              </w:rPr>
            </w:pPr>
            <w:r>
              <w:rPr>
                <w:noProof/>
              </w:rPr>
              <w:t>0 </w:t>
            </w:r>
          </w:p>
        </w:tc>
        <w:tc>
          <w:tcPr>
            <w:tcW w:w="992" w:type="dxa"/>
            <w:shd w:val="clear" w:color="auto" w:fill="C6EFCE"/>
            <w:vAlign w:val="center"/>
            <w:hideMark/>
          </w:tcPr>
          <w:p w14:paraId="748480B0" w14:textId="77777777" w:rsidR="00327FF1" w:rsidRDefault="00E406C7">
            <w:pPr>
              <w:pStyle w:val="P68B1DB1-Normal50"/>
              <w:spacing w:after="0" w:line="240" w:lineRule="auto"/>
              <w:jc w:val="center"/>
              <w:textAlignment w:val="baseline"/>
              <w:rPr>
                <w:noProof/>
              </w:rPr>
            </w:pPr>
            <w:r>
              <w:rPr>
                <w:noProof/>
              </w:rPr>
              <w:t>584 </w:t>
            </w:r>
          </w:p>
        </w:tc>
        <w:tc>
          <w:tcPr>
            <w:tcW w:w="992" w:type="dxa"/>
            <w:shd w:val="clear" w:color="auto" w:fill="C6EFCE"/>
            <w:vAlign w:val="center"/>
            <w:hideMark/>
          </w:tcPr>
          <w:p w14:paraId="1A49D760" w14:textId="77777777" w:rsidR="00327FF1" w:rsidRDefault="00E406C7">
            <w:pPr>
              <w:pStyle w:val="P68B1DB1-Normal50"/>
              <w:spacing w:after="0" w:line="240" w:lineRule="auto"/>
              <w:jc w:val="center"/>
              <w:textAlignment w:val="baseline"/>
              <w:rPr>
                <w:noProof/>
              </w:rPr>
            </w:pPr>
            <w:r>
              <w:rPr>
                <w:noProof/>
              </w:rPr>
              <w:t>2. CET. </w:t>
            </w:r>
          </w:p>
        </w:tc>
        <w:tc>
          <w:tcPr>
            <w:tcW w:w="691" w:type="dxa"/>
            <w:shd w:val="clear" w:color="auto" w:fill="C6EFCE"/>
            <w:vAlign w:val="center"/>
            <w:hideMark/>
          </w:tcPr>
          <w:p w14:paraId="1DD84609" w14:textId="77777777" w:rsidR="00327FF1" w:rsidRDefault="00E406C7">
            <w:pPr>
              <w:pStyle w:val="P68B1DB1-Normal50"/>
              <w:spacing w:after="0" w:line="240" w:lineRule="auto"/>
              <w:textAlignment w:val="baseline"/>
              <w:rPr>
                <w:noProof/>
              </w:rPr>
            </w:pPr>
            <w:r>
              <w:rPr>
                <w:noProof/>
              </w:rPr>
              <w:t>2026 </w:t>
            </w:r>
          </w:p>
        </w:tc>
        <w:tc>
          <w:tcPr>
            <w:tcW w:w="3423" w:type="dxa"/>
            <w:shd w:val="clear" w:color="auto" w:fill="C6EFCE"/>
            <w:vAlign w:val="center"/>
            <w:hideMark/>
          </w:tcPr>
          <w:p w14:paraId="0D0377AD" w14:textId="53BFEBBD" w:rsidR="00327FF1" w:rsidRDefault="00E406C7">
            <w:pPr>
              <w:pStyle w:val="P68B1DB1-Normal50"/>
              <w:spacing w:after="0" w:line="240" w:lineRule="auto"/>
              <w:jc w:val="both"/>
              <w:textAlignment w:val="baseline"/>
              <w:rPr>
                <w:noProof/>
              </w:rPr>
            </w:pPr>
            <w:r>
              <w:rPr>
                <w:noProof/>
              </w:rPr>
              <w:t>Sertifikāti par darbu pabeigšanu vai piegādes sertifikāti vismaz 584 projektiem, no kuriem vismaz 90 attiecas uz atkritumu apsaimniekošanas iekārtu projektiem.</w:t>
            </w:r>
          </w:p>
        </w:tc>
      </w:tr>
      <w:tr w:rsidR="00327FF1" w14:paraId="0381B4C0" w14:textId="77777777">
        <w:trPr>
          <w:trHeight w:val="300"/>
        </w:trPr>
        <w:tc>
          <w:tcPr>
            <w:tcW w:w="1131" w:type="dxa"/>
            <w:shd w:val="clear" w:color="auto" w:fill="C6EFCE"/>
            <w:vAlign w:val="center"/>
            <w:hideMark/>
          </w:tcPr>
          <w:p w14:paraId="4568FA5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M2C1–10 </w:t>
            </w:r>
          </w:p>
        </w:tc>
        <w:tc>
          <w:tcPr>
            <w:tcW w:w="1418" w:type="dxa"/>
            <w:shd w:val="clear" w:color="auto" w:fill="C6EFCE"/>
            <w:vAlign w:val="center"/>
            <w:hideMark/>
          </w:tcPr>
          <w:p w14:paraId="6758010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Investīcija 2.1: Loģistikas plāns lauksaimniecības pārtikas, zvejniecības un </w:t>
            </w:r>
            <w:r>
              <w:rPr>
                <w:noProof/>
              </w:rPr>
              <w:t>akvakultūras, mežsaimniecības, puķkopības un stādaudzētavas nozarei </w:t>
            </w:r>
          </w:p>
        </w:tc>
        <w:tc>
          <w:tcPr>
            <w:tcW w:w="992" w:type="dxa"/>
            <w:shd w:val="clear" w:color="auto" w:fill="C6EFCE"/>
            <w:vAlign w:val="center"/>
            <w:hideMark/>
          </w:tcPr>
          <w:p w14:paraId="362BDF8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418" w:type="dxa"/>
            <w:shd w:val="clear" w:color="auto" w:fill="C6EFCE"/>
            <w:vAlign w:val="center"/>
            <w:hideMark/>
          </w:tcPr>
          <w:p w14:paraId="4C2A24A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Materiālas un nemateriālas investīcijas lauksaimniecības pārtikas, zvejniecības un akvakultūras, mežsaimniecības, puķkopības un stādaudzētavas nozarē. </w:t>
            </w:r>
          </w:p>
        </w:tc>
        <w:tc>
          <w:tcPr>
            <w:tcW w:w="1417" w:type="dxa"/>
            <w:shd w:val="clear" w:color="auto" w:fill="C6EFCE"/>
            <w:vAlign w:val="center"/>
            <w:hideMark/>
          </w:tcPr>
          <w:p w14:paraId="07CD6E9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6F177E3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Skaits </w:t>
            </w:r>
          </w:p>
        </w:tc>
        <w:tc>
          <w:tcPr>
            <w:tcW w:w="1276" w:type="dxa"/>
            <w:shd w:val="clear" w:color="auto" w:fill="C6EFCE"/>
            <w:vAlign w:val="center"/>
            <w:hideMark/>
          </w:tcPr>
          <w:p w14:paraId="735250D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0 </w:t>
            </w:r>
          </w:p>
        </w:tc>
        <w:tc>
          <w:tcPr>
            <w:tcW w:w="992" w:type="dxa"/>
            <w:shd w:val="clear" w:color="auto" w:fill="C6EFCE"/>
            <w:vAlign w:val="center"/>
            <w:hideMark/>
          </w:tcPr>
          <w:p w14:paraId="37F3EC9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72 </w:t>
            </w:r>
          </w:p>
        </w:tc>
        <w:tc>
          <w:tcPr>
            <w:tcW w:w="992" w:type="dxa"/>
            <w:shd w:val="clear" w:color="auto" w:fill="C6EFCE"/>
            <w:vAlign w:val="center"/>
            <w:hideMark/>
          </w:tcPr>
          <w:p w14:paraId="23C86EB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91" w:type="dxa"/>
            <w:shd w:val="clear" w:color="auto" w:fill="C6EFCE"/>
            <w:vAlign w:val="center"/>
            <w:hideMark/>
          </w:tcPr>
          <w:p w14:paraId="5B4D3B99"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2026 </w:t>
            </w:r>
          </w:p>
        </w:tc>
        <w:tc>
          <w:tcPr>
            <w:tcW w:w="3423" w:type="dxa"/>
            <w:shd w:val="clear" w:color="auto" w:fill="C6EFCE"/>
            <w:vAlign w:val="center"/>
            <w:hideMark/>
          </w:tcPr>
          <w:p w14:paraId="3CF44ED9"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Pabeigšanas sertifikāti vai “pastāvīgas izpildes sertifikāts</w:t>
            </w:r>
            <w:r>
              <w:rPr>
                <w:i/>
                <w:noProof/>
              </w:rPr>
              <w:t xml:space="preserve">” </w:t>
            </w:r>
            <w:r>
              <w:rPr>
                <w:noProof/>
              </w:rPr>
              <w:t>(“Attestazione di regolare esecuzione”) attiecībā uz vismaz 72 materiālajiem un nemateriālajiem ieguldījumiem lauksaimniecības pārtikas, zvejniecības un akvakultūras, mežsaimniecī</w:t>
            </w:r>
            <w:r>
              <w:rPr>
                <w:noProof/>
              </w:rPr>
              <w:t>bas, puķkopības un stādaudzētavas nozarē. </w:t>
            </w:r>
          </w:p>
        </w:tc>
      </w:tr>
      <w:tr w:rsidR="00327FF1" w14:paraId="7CBA3C6C" w14:textId="77777777">
        <w:trPr>
          <w:trHeight w:val="300"/>
        </w:trPr>
        <w:tc>
          <w:tcPr>
            <w:tcW w:w="1131" w:type="dxa"/>
            <w:shd w:val="clear" w:color="auto" w:fill="C6EFCE"/>
            <w:vAlign w:val="center"/>
            <w:hideMark/>
          </w:tcPr>
          <w:p w14:paraId="35015046"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M2C1–18 </w:t>
            </w:r>
          </w:p>
        </w:tc>
        <w:tc>
          <w:tcPr>
            <w:tcW w:w="1418" w:type="dxa"/>
            <w:shd w:val="clear" w:color="auto" w:fill="C6EFCE"/>
            <w:vAlign w:val="center"/>
            <w:hideMark/>
          </w:tcPr>
          <w:p w14:paraId="0E7157D6"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Investīcija Nr. 3.1: Zaļās salas </w:t>
            </w:r>
          </w:p>
        </w:tc>
        <w:tc>
          <w:tcPr>
            <w:tcW w:w="992" w:type="dxa"/>
            <w:shd w:val="clear" w:color="auto" w:fill="C6EFCE"/>
            <w:vAlign w:val="center"/>
            <w:hideMark/>
          </w:tcPr>
          <w:p w14:paraId="2D436E6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Atskaites punkts </w:t>
            </w:r>
          </w:p>
        </w:tc>
        <w:tc>
          <w:tcPr>
            <w:tcW w:w="1418" w:type="dxa"/>
            <w:shd w:val="clear" w:color="auto" w:fill="C6EFCE"/>
            <w:vAlign w:val="center"/>
            <w:hideMark/>
          </w:tcPr>
          <w:p w14:paraId="0EEE5D9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Direktora dekrēta stāšanās spēkā </w:t>
            </w:r>
          </w:p>
        </w:tc>
        <w:tc>
          <w:tcPr>
            <w:tcW w:w="1417" w:type="dxa"/>
            <w:shd w:val="clear" w:color="auto" w:fill="C6EFCE"/>
            <w:vAlign w:val="center"/>
            <w:hideMark/>
          </w:tcPr>
          <w:p w14:paraId="69889E2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Dekrēta noteikums, kas norāda uz likuma stāšanos spēkā </w:t>
            </w:r>
          </w:p>
        </w:tc>
        <w:tc>
          <w:tcPr>
            <w:tcW w:w="1276" w:type="dxa"/>
            <w:shd w:val="clear" w:color="auto" w:fill="C6EFCE"/>
            <w:vAlign w:val="center"/>
            <w:hideMark/>
          </w:tcPr>
          <w:p w14:paraId="3929130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77CB652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50F48E2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50FECAF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CET. </w:t>
            </w:r>
          </w:p>
        </w:tc>
        <w:tc>
          <w:tcPr>
            <w:tcW w:w="691" w:type="dxa"/>
            <w:shd w:val="clear" w:color="auto" w:fill="C6EFCE"/>
            <w:vAlign w:val="center"/>
            <w:hideMark/>
          </w:tcPr>
          <w:p w14:paraId="59BDE456"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2022 </w:t>
            </w:r>
          </w:p>
        </w:tc>
        <w:tc>
          <w:tcPr>
            <w:tcW w:w="3423" w:type="dxa"/>
            <w:shd w:val="clear" w:color="auto" w:fill="C6EFCE"/>
            <w:vAlign w:val="center"/>
            <w:hideMark/>
          </w:tcPr>
          <w:p w14:paraId="64ED9952"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 xml:space="preserve">Ar direktora </w:t>
            </w:r>
            <w:r>
              <w:rPr>
                <w:noProof/>
              </w:rPr>
              <w:t>dekrētu apstiprina to projektu sarindojumu, kas saistīti ar publiskā paziņojuma rezultātiem. Atlases procedūrā ietilpst: </w:t>
            </w:r>
          </w:p>
          <w:p w14:paraId="0A1FD614"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atbilstības kritēriji, kas nodrošina, ka atlasītie projekti atbilst Tehniskajiem norādījumiem “nenodari būtisku kaitējumu” (2021/C58/0</w:t>
            </w:r>
            <w:r>
              <w:rPr>
                <w:noProof/>
              </w:rPr>
              <w:t>1), izmantojot izslēgšanas sarakstu un prasību par atbilstību attiecīgajiem ES un valsts tiesību aktiem vides jomā. </w:t>
            </w:r>
          </w:p>
          <w:p w14:paraId="02647757" w14:textId="77777777" w:rsidR="00327FF1" w:rsidRDefault="00E406C7">
            <w:pPr>
              <w:pStyle w:val="P68B1DB1-Normal53"/>
              <w:spacing w:after="0" w:line="240" w:lineRule="auto"/>
              <w:textAlignment w:val="baseline"/>
              <w:rPr>
                <w:rFonts w:ascii="Times New Roman" w:hAnsi="Times New Roman" w:cs="Times New Roman"/>
                <w:noProof/>
                <w:sz w:val="24"/>
                <w:szCs w:val="24"/>
              </w:rPr>
            </w:pPr>
            <w:r>
              <w:rPr>
                <w:noProof/>
              </w:rPr>
              <w:t xml:space="preserve">b) apņemšanās, ka investīciju ieguldījums klimata jomā saskaņā ar Regulas (ES) 2021/241 VI pielikumā izklāstīto metodiku veido vismaz 37 % </w:t>
            </w:r>
            <w:r>
              <w:rPr>
                <w:noProof/>
              </w:rPr>
              <w:t>no ANM atbalstīto investīciju kopējām izmaksām. </w:t>
            </w:r>
          </w:p>
          <w:p w14:paraId="6342EF50"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saistības ziņot par pasākuma īstenošanu shēmas darbības vidusposmā un shēmas beigās. </w:t>
            </w:r>
          </w:p>
          <w:p w14:paraId="19E3BE70"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Iespējamās intervences jomas ir šādas: </w:t>
            </w:r>
          </w:p>
          <w:p w14:paraId="510D8828" w14:textId="77777777" w:rsidR="00327FF1" w:rsidRDefault="00E406C7">
            <w:pPr>
              <w:pStyle w:val="P68B1DB1-Normal50"/>
              <w:numPr>
                <w:ilvl w:val="0"/>
                <w:numId w:val="143"/>
              </w:numPr>
              <w:tabs>
                <w:tab w:val="clear" w:pos="720"/>
              </w:tabs>
              <w:spacing w:after="0" w:line="240" w:lineRule="auto"/>
              <w:ind w:left="163" w:firstLine="0"/>
              <w:textAlignment w:val="baseline"/>
              <w:rPr>
                <w:noProof/>
              </w:rPr>
            </w:pPr>
            <w:r>
              <w:rPr>
                <w:noProof/>
              </w:rPr>
              <w:t>agromežsaimniecības mantojuma integrēta un sertificēta apsaimniekošana (“arī apma</w:t>
            </w:r>
            <w:r>
              <w:rPr>
                <w:noProof/>
              </w:rPr>
              <w:t>inoties ar kredītiem, kas iegūti, uztverot oglekļa dioksīdu, bioloģiskās daudzveidības pārvaldībā un koksnes piegādes ķēdes sertificēšanā”); </w:t>
            </w:r>
          </w:p>
          <w:p w14:paraId="0F2D4C96" w14:textId="77777777" w:rsidR="00327FF1" w:rsidRDefault="00E406C7">
            <w:pPr>
              <w:pStyle w:val="P68B1DB1-Normal50"/>
              <w:numPr>
                <w:ilvl w:val="0"/>
                <w:numId w:val="143"/>
              </w:numPr>
              <w:tabs>
                <w:tab w:val="clear" w:pos="720"/>
              </w:tabs>
              <w:spacing w:after="0" w:line="240" w:lineRule="auto"/>
              <w:ind w:left="163" w:firstLine="0"/>
              <w:textAlignment w:val="baseline"/>
              <w:rPr>
                <w:noProof/>
              </w:rPr>
            </w:pPr>
            <w:r>
              <w:rPr>
                <w:noProof/>
              </w:rPr>
              <w:t>integrēta un sertificēta ūdens resursu apsaimniekošana; </w:t>
            </w:r>
          </w:p>
          <w:p w14:paraId="57DFD91A" w14:textId="77777777" w:rsidR="00327FF1" w:rsidRDefault="00E406C7">
            <w:pPr>
              <w:pStyle w:val="P68B1DB1-Normal50"/>
              <w:numPr>
                <w:ilvl w:val="0"/>
                <w:numId w:val="143"/>
              </w:numPr>
              <w:tabs>
                <w:tab w:val="clear" w:pos="720"/>
              </w:tabs>
              <w:spacing w:after="0" w:line="240" w:lineRule="auto"/>
              <w:ind w:left="163" w:firstLine="0"/>
              <w:textAlignment w:val="baseline"/>
              <w:rPr>
                <w:noProof/>
              </w:rPr>
            </w:pPr>
            <w:r>
              <w:rPr>
                <w:noProof/>
              </w:rPr>
              <w:t>enerģijas ražošana no vietējiem atjaunojamiem energoresur</w:t>
            </w:r>
            <w:r>
              <w:rPr>
                <w:noProof/>
              </w:rPr>
              <w:t>siem, piemēram, mikrohidroelektrostacijām, biomasas, biogāzes, vēja, koģenerācijas un biometāna; </w:t>
            </w:r>
          </w:p>
          <w:p w14:paraId="4198A6A4" w14:textId="77777777" w:rsidR="00327FF1" w:rsidRDefault="00E406C7">
            <w:pPr>
              <w:pStyle w:val="P68B1DB1-Normal50"/>
              <w:numPr>
                <w:ilvl w:val="0"/>
                <w:numId w:val="143"/>
              </w:numPr>
              <w:tabs>
                <w:tab w:val="clear" w:pos="720"/>
              </w:tabs>
              <w:spacing w:after="0" w:line="240" w:lineRule="auto"/>
              <w:ind w:left="163" w:firstLine="0"/>
              <w:textAlignment w:val="baseline"/>
              <w:rPr>
                <w:noProof/>
              </w:rPr>
            </w:pPr>
            <w:r>
              <w:rPr>
                <w:noProof/>
              </w:rPr>
              <w:t>ilgtspējīga tūrisma attīstība (“var uzlabot vietējos produktus”); </w:t>
            </w:r>
          </w:p>
          <w:p w14:paraId="183DC682" w14:textId="77777777" w:rsidR="00327FF1" w:rsidRDefault="00E406C7">
            <w:pPr>
              <w:pStyle w:val="P68B1DB1-Normal50"/>
              <w:numPr>
                <w:ilvl w:val="0"/>
                <w:numId w:val="143"/>
              </w:numPr>
              <w:tabs>
                <w:tab w:val="clear" w:pos="720"/>
              </w:tabs>
              <w:spacing w:after="0" w:line="240" w:lineRule="auto"/>
              <w:ind w:left="163" w:firstLine="0"/>
              <w:textAlignment w:val="baseline"/>
              <w:rPr>
                <w:noProof/>
              </w:rPr>
            </w:pPr>
            <w:r>
              <w:rPr>
                <w:noProof/>
              </w:rPr>
              <w:t>moderna kalna ēku fonda un infrastruktūras būvniecība un ilgtspējīga apsaimniekošana; </w:t>
            </w:r>
          </w:p>
          <w:p w14:paraId="14F53668" w14:textId="77777777" w:rsidR="00327FF1" w:rsidRDefault="00E406C7">
            <w:pPr>
              <w:pStyle w:val="P68B1DB1-Normal50"/>
              <w:numPr>
                <w:ilvl w:val="0"/>
                <w:numId w:val="143"/>
              </w:numPr>
              <w:tabs>
                <w:tab w:val="clear" w:pos="720"/>
              </w:tabs>
              <w:spacing w:after="0" w:line="240" w:lineRule="auto"/>
              <w:ind w:left="163" w:firstLine="0"/>
              <w:textAlignment w:val="baseline"/>
              <w:rPr>
                <w:noProof/>
              </w:rPr>
            </w:pPr>
            <w:r>
              <w:rPr>
                <w:noProof/>
              </w:rPr>
              <w:t>ener</w:t>
            </w:r>
            <w:r>
              <w:rPr>
                <w:noProof/>
              </w:rPr>
              <w:t>goefektivitāte un inteliģenta iekārtu un tīklu integrācija; </w:t>
            </w:r>
          </w:p>
          <w:p w14:paraId="1E34EAB5" w14:textId="77777777" w:rsidR="00327FF1" w:rsidRDefault="00E406C7">
            <w:pPr>
              <w:pStyle w:val="P68B1DB1-Normal50"/>
              <w:numPr>
                <w:ilvl w:val="0"/>
                <w:numId w:val="143"/>
              </w:numPr>
              <w:tabs>
                <w:tab w:val="clear" w:pos="720"/>
              </w:tabs>
              <w:spacing w:after="0" w:line="240" w:lineRule="auto"/>
              <w:ind w:left="163" w:firstLine="0"/>
              <w:textAlignment w:val="baseline"/>
              <w:rPr>
                <w:noProof/>
              </w:rPr>
            </w:pPr>
            <w:r>
              <w:rPr>
                <w:noProof/>
              </w:rPr>
              <w:t>ražošanas darbību ilgtspējīga attīstība (nulles atkritumu ražošana); </w:t>
            </w:r>
          </w:p>
          <w:p w14:paraId="6F1CDAB2" w14:textId="77777777" w:rsidR="00327FF1" w:rsidRDefault="00E406C7">
            <w:pPr>
              <w:pStyle w:val="P68B1DB1-Normal50"/>
              <w:numPr>
                <w:ilvl w:val="0"/>
                <w:numId w:val="143"/>
              </w:numPr>
              <w:tabs>
                <w:tab w:val="clear" w:pos="720"/>
              </w:tabs>
              <w:spacing w:after="0" w:line="240" w:lineRule="auto"/>
              <w:ind w:left="163" w:firstLine="0"/>
              <w:textAlignment w:val="baseline"/>
              <w:rPr>
                <w:noProof/>
              </w:rPr>
            </w:pPr>
            <w:r>
              <w:rPr>
                <w:noProof/>
              </w:rPr>
              <w:t>mobilitātes pakalpojumu integrācija; </w:t>
            </w:r>
          </w:p>
          <w:p w14:paraId="40FEE0AA" w14:textId="71FA0C8B" w:rsidR="00327FF1" w:rsidRDefault="00E406C7">
            <w:pPr>
              <w:pStyle w:val="P68B1DB1-Normal50"/>
              <w:numPr>
                <w:ilvl w:val="0"/>
                <w:numId w:val="143"/>
              </w:numPr>
              <w:tabs>
                <w:tab w:val="clear" w:pos="720"/>
              </w:tabs>
              <w:spacing w:after="0" w:line="240" w:lineRule="auto"/>
              <w:ind w:left="163" w:firstLine="0"/>
              <w:textAlignment w:val="baseline"/>
              <w:rPr>
                <w:noProof/>
              </w:rPr>
            </w:pPr>
            <w:r>
              <w:rPr>
                <w:noProof/>
              </w:rPr>
              <w:t xml:space="preserve">izstrādāt ilgtspējīgu saimniecības modeli (“kas ir arī energoneatkarīgs, ražojot un </w:t>
            </w:r>
            <w:r>
              <w:rPr>
                <w:noProof/>
              </w:rPr>
              <w:t>izmantojot atjaunojamo energoresursu enerģiju elektroenerģijas, siltumenerģijas un transporta nozarē”). </w:t>
            </w:r>
          </w:p>
          <w:p w14:paraId="0CFDB94B" w14:textId="15D86BA6" w:rsidR="00327FF1" w:rsidRDefault="00E406C7">
            <w:pPr>
              <w:pStyle w:val="P68B1DB1-Normal50"/>
              <w:spacing w:after="0" w:line="240" w:lineRule="auto"/>
              <w:textAlignment w:val="baseline"/>
              <w:rPr>
                <w:rFonts w:ascii="Times New Roman" w:hAnsi="Times New Roman"/>
                <w:noProof/>
                <w:sz w:val="24"/>
                <w:szCs w:val="24"/>
              </w:rPr>
            </w:pPr>
            <w:r>
              <w:rPr>
                <w:noProof/>
              </w:rPr>
              <w:t>Biometāns atbilst ilgtspējas un siltumnīcefekta gāzu emisiju aiztaupījuma kritērijiem, kas noteikti 29.–31. pantā, un noteikumiem par biodegvielām, kas</w:t>
            </w:r>
            <w:r>
              <w:rPr>
                <w:noProof/>
              </w:rPr>
              <w:t xml:space="preserve"> iegūtas no pārtikas un barības, kā noteikts Atjaunojamo energoresursu direktīvas (ES) 2018/2001 (REDII) 26. pantā, un saistītajiem īstenošanas un deleģētajiem aktiem, lai pasākums atbilstu principam “nenodarīt būtisku kaitējumu” un attiecīgajām Regulas (E</w:t>
            </w:r>
            <w:r>
              <w:rPr>
                <w:noProof/>
              </w:rPr>
              <w:t>S) 2021/241 VI pielikuma 8. zemsvītras piezīmes prasībām. </w:t>
            </w:r>
          </w:p>
        </w:tc>
      </w:tr>
      <w:tr w:rsidR="00327FF1" w14:paraId="58B7B3F9" w14:textId="77777777">
        <w:trPr>
          <w:trHeight w:val="300"/>
        </w:trPr>
        <w:tc>
          <w:tcPr>
            <w:tcW w:w="1131" w:type="dxa"/>
            <w:shd w:val="clear" w:color="auto" w:fill="C6EFCE"/>
            <w:vAlign w:val="center"/>
            <w:hideMark/>
          </w:tcPr>
          <w:p w14:paraId="0FACF4B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M2C1–19 </w:t>
            </w:r>
          </w:p>
        </w:tc>
        <w:tc>
          <w:tcPr>
            <w:tcW w:w="1418" w:type="dxa"/>
            <w:shd w:val="clear" w:color="auto" w:fill="C6EFCE"/>
            <w:vAlign w:val="center"/>
            <w:hideMark/>
          </w:tcPr>
          <w:p w14:paraId="7934151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Investīcija Nr. 3.1: Zaļās salas </w:t>
            </w:r>
          </w:p>
        </w:tc>
        <w:tc>
          <w:tcPr>
            <w:tcW w:w="992" w:type="dxa"/>
            <w:shd w:val="clear" w:color="auto" w:fill="C6EFCE"/>
            <w:vAlign w:val="center"/>
            <w:hideMark/>
          </w:tcPr>
          <w:p w14:paraId="5E194D8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418" w:type="dxa"/>
            <w:shd w:val="clear" w:color="auto" w:fill="C6EFCE"/>
            <w:vAlign w:val="center"/>
            <w:hideMark/>
          </w:tcPr>
          <w:p w14:paraId="0BBFDC6F"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Integrēto projektu īstenošana mazās salās </w:t>
            </w:r>
          </w:p>
        </w:tc>
        <w:tc>
          <w:tcPr>
            <w:tcW w:w="1417" w:type="dxa"/>
            <w:shd w:val="clear" w:color="auto" w:fill="C6EFCE"/>
            <w:vAlign w:val="center"/>
            <w:hideMark/>
          </w:tcPr>
          <w:p w14:paraId="5A783E2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51F44D7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Mazo salu skaits </w:t>
            </w:r>
          </w:p>
        </w:tc>
        <w:tc>
          <w:tcPr>
            <w:tcW w:w="1276" w:type="dxa"/>
            <w:shd w:val="clear" w:color="auto" w:fill="C6EFCE"/>
            <w:vAlign w:val="center"/>
            <w:hideMark/>
          </w:tcPr>
          <w:p w14:paraId="244D4B3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0 </w:t>
            </w:r>
          </w:p>
        </w:tc>
        <w:tc>
          <w:tcPr>
            <w:tcW w:w="992" w:type="dxa"/>
            <w:shd w:val="clear" w:color="auto" w:fill="C6EFCE"/>
            <w:vAlign w:val="center"/>
            <w:hideMark/>
          </w:tcPr>
          <w:p w14:paraId="444A52A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19 </w:t>
            </w:r>
          </w:p>
        </w:tc>
        <w:tc>
          <w:tcPr>
            <w:tcW w:w="992" w:type="dxa"/>
            <w:shd w:val="clear" w:color="auto" w:fill="C6EFCE"/>
            <w:vAlign w:val="center"/>
            <w:hideMark/>
          </w:tcPr>
          <w:p w14:paraId="725248F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91" w:type="dxa"/>
            <w:shd w:val="clear" w:color="auto" w:fill="C6EFCE"/>
            <w:vAlign w:val="center"/>
            <w:hideMark/>
          </w:tcPr>
          <w:p w14:paraId="59C69D5F"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2026 </w:t>
            </w:r>
          </w:p>
        </w:tc>
        <w:tc>
          <w:tcPr>
            <w:tcW w:w="3423" w:type="dxa"/>
            <w:shd w:val="clear" w:color="auto" w:fill="C6EFCE"/>
            <w:vAlign w:val="center"/>
            <w:hideMark/>
          </w:tcPr>
          <w:p w14:paraId="33903DC6" w14:textId="2AA68178" w:rsidR="00327FF1" w:rsidRDefault="00E406C7">
            <w:pPr>
              <w:pStyle w:val="P68B1DB1-Normal50"/>
              <w:spacing w:after="0" w:line="240" w:lineRule="auto"/>
              <w:textAlignment w:val="baseline"/>
              <w:rPr>
                <w:rFonts w:ascii="Times New Roman" w:hAnsi="Times New Roman"/>
                <w:noProof/>
                <w:sz w:val="24"/>
                <w:szCs w:val="24"/>
              </w:rPr>
            </w:pPr>
            <w:r>
              <w:rPr>
                <w:noProof/>
              </w:rPr>
              <w:t xml:space="preserve">Sertifikāti par tādu integrēto projektu darbu </w:t>
            </w:r>
            <w:r>
              <w:rPr>
                <w:noProof/>
              </w:rPr>
              <w:t>pabeigšanu 19 mazās salās, kas ietver vismaz trīs dažādus intervences veidus no turpmāk uzskaitītajām atbalsttiesīgajām intervencēm. </w:t>
            </w:r>
          </w:p>
          <w:p w14:paraId="3F9E9CDC"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Intervences, par kurām var pretendēt uz finansējumu, ir šādas: </w:t>
            </w:r>
          </w:p>
          <w:p w14:paraId="42F48C26"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energoefektivitātes intervences; </w:t>
            </w:r>
          </w:p>
          <w:p w14:paraId="3AB15AAF"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kolektīvās mobilitātes p</w:t>
            </w:r>
            <w:r>
              <w:rPr>
                <w:noProof/>
              </w:rPr>
              <w:t>akalpojumu un uzlādes infrastruktūras izveide un/vai modernizācija; autobusi un laivas, ko darbina ar elektrību; patversmes sabiedriskā transporta pakalpojumiem; automobiļu koplietošana, velosipēdu koplietošana, motorolleru koplietošana; </w:t>
            </w:r>
          </w:p>
          <w:p w14:paraId="40F0ACFD"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veloceliņu būvnie</w:t>
            </w:r>
            <w:r>
              <w:rPr>
                <w:noProof/>
              </w:rPr>
              <w:t>cība un/vai pielāgošana, aizsargjoslu būvniecība; </w:t>
            </w:r>
          </w:p>
          <w:p w14:paraId="6C292F56"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dalīta savākšana ar savākšanas sistēmu uzlabošanu; </w:t>
            </w:r>
          </w:p>
          <w:p w14:paraId="0309F6C0"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ekoloģisko salu ar saistīto atkalizmantošanas centru būvniecība/modernizācija; </w:t>
            </w:r>
          </w:p>
          <w:p w14:paraId="304BC4A5"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atsāļošanas sistēmas; </w:t>
            </w:r>
          </w:p>
          <w:p w14:paraId="65C3BDD1"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atjaunojamo energoresursu iekārtas elektroenerģija</w:t>
            </w:r>
            <w:r>
              <w:rPr>
                <w:noProof/>
              </w:rPr>
              <w:t>i, kas var ietvert (bet ne tikai) fotoelementu, atkrastes vēja vai jūras atjaunojamo enerģiju (piemēram, viļņu vai plūdmaiņu enerģija); </w:t>
            </w:r>
          </w:p>
          <w:p w14:paraId="2155DD89"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energoefektivitātes pasākumi, kuru mērķis ir samazināt elektroenerģijas pieprasījumu; </w:t>
            </w:r>
          </w:p>
          <w:p w14:paraId="762085BE"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iejaukšanās elektrotīklā un sais</w:t>
            </w:r>
            <w:r>
              <w:rPr>
                <w:noProof/>
              </w:rPr>
              <w:t>tītajā infrastruktūrā, kas var ietvert (bet ne tikai) uzkrāšanas ierīces, elektroenerģijas sistēmas integrāciju salas ūdensapgādes sistēmā, viedtīklus, inovatīvas energopārvaldības vai monitoringa sistēmas. </w:t>
            </w:r>
          </w:p>
        </w:tc>
      </w:tr>
      <w:tr w:rsidR="00327FF1" w14:paraId="4C79B7B7" w14:textId="77777777">
        <w:trPr>
          <w:trHeight w:val="300"/>
        </w:trPr>
        <w:tc>
          <w:tcPr>
            <w:tcW w:w="1131" w:type="dxa"/>
            <w:shd w:val="clear" w:color="auto" w:fill="C6EFCE"/>
            <w:vAlign w:val="center"/>
            <w:hideMark/>
          </w:tcPr>
          <w:p w14:paraId="1A802B4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M2C1–20 </w:t>
            </w:r>
          </w:p>
        </w:tc>
        <w:tc>
          <w:tcPr>
            <w:tcW w:w="1418" w:type="dxa"/>
            <w:shd w:val="clear" w:color="auto" w:fill="C6EFCE"/>
            <w:vAlign w:val="center"/>
            <w:hideMark/>
          </w:tcPr>
          <w:p w14:paraId="420A0CA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“Investīcija Nr. 3.2. Zaļās kopienas </w:t>
            </w:r>
          </w:p>
        </w:tc>
        <w:tc>
          <w:tcPr>
            <w:tcW w:w="992" w:type="dxa"/>
            <w:shd w:val="clear" w:color="auto" w:fill="C6EFCE"/>
            <w:vAlign w:val="center"/>
            <w:hideMark/>
          </w:tcPr>
          <w:p w14:paraId="1693464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Atskaites punkts </w:t>
            </w:r>
          </w:p>
        </w:tc>
        <w:tc>
          <w:tcPr>
            <w:tcW w:w="1418" w:type="dxa"/>
            <w:shd w:val="clear" w:color="auto" w:fill="C6EFCE"/>
            <w:vAlign w:val="center"/>
            <w:hideMark/>
          </w:tcPr>
          <w:p w14:paraId="2AFC81DD" w14:textId="50C19AFB" w:rsidR="00327FF1" w:rsidRDefault="00E406C7">
            <w:pPr>
              <w:pStyle w:val="P68B1DB1-Normal50"/>
              <w:spacing w:after="0" w:line="240" w:lineRule="auto"/>
              <w:jc w:val="center"/>
              <w:textAlignment w:val="baseline"/>
              <w:rPr>
                <w:rFonts w:ascii="Times New Roman" w:hAnsi="Times New Roman"/>
                <w:noProof/>
                <w:sz w:val="24"/>
                <w:szCs w:val="24"/>
              </w:rPr>
            </w:pPr>
            <w:r>
              <w:rPr>
                <w:noProof/>
              </w:rPr>
              <w:t>(Visu) publisko līgumu slēgšanas tiesību piešķiršana zaļo kopienu atlasei </w:t>
            </w:r>
          </w:p>
        </w:tc>
        <w:tc>
          <w:tcPr>
            <w:tcW w:w="1417" w:type="dxa"/>
            <w:shd w:val="clear" w:color="auto" w:fill="C6EFCE"/>
            <w:vAlign w:val="center"/>
            <w:hideMark/>
          </w:tcPr>
          <w:p w14:paraId="340ED43A" w14:textId="2E63667A" w:rsidR="00327FF1" w:rsidRDefault="00E406C7">
            <w:pPr>
              <w:pStyle w:val="P68B1DB1-Normal50"/>
              <w:spacing w:after="0" w:line="240" w:lineRule="auto"/>
              <w:jc w:val="center"/>
              <w:textAlignment w:val="baseline"/>
              <w:rPr>
                <w:rFonts w:ascii="Times New Roman" w:hAnsi="Times New Roman"/>
                <w:noProof/>
                <w:sz w:val="24"/>
                <w:szCs w:val="24"/>
              </w:rPr>
            </w:pPr>
            <w:r>
              <w:rPr>
                <w:noProof/>
              </w:rPr>
              <w:t>Paziņojums par (visu) publisko līgumu slēgšanas tiesību piešķiršanu zaļo kopienu atlasei </w:t>
            </w:r>
          </w:p>
        </w:tc>
        <w:tc>
          <w:tcPr>
            <w:tcW w:w="1276" w:type="dxa"/>
            <w:shd w:val="clear" w:color="auto" w:fill="C6EFCE"/>
            <w:vAlign w:val="center"/>
            <w:hideMark/>
          </w:tcPr>
          <w:p w14:paraId="37F07FD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20658C50"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72C4A2C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7CA6156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CET. </w:t>
            </w:r>
          </w:p>
        </w:tc>
        <w:tc>
          <w:tcPr>
            <w:tcW w:w="691" w:type="dxa"/>
            <w:shd w:val="clear" w:color="auto" w:fill="C6EFCE"/>
            <w:vAlign w:val="center"/>
            <w:hideMark/>
          </w:tcPr>
          <w:p w14:paraId="0A8FA0D5"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2022 </w:t>
            </w:r>
          </w:p>
        </w:tc>
        <w:tc>
          <w:tcPr>
            <w:tcW w:w="3423" w:type="dxa"/>
            <w:shd w:val="clear" w:color="auto" w:fill="C6EFCE"/>
            <w:vAlign w:val="center"/>
            <w:hideMark/>
          </w:tcPr>
          <w:p w14:paraId="4319B676"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 xml:space="preserve">Paziņojums par dotāciju </w:t>
            </w:r>
            <w:r>
              <w:rPr>
                <w:noProof/>
              </w:rPr>
              <w:t>piešķiršanas procedūru, kurā būtu jāiekļauj atbilstības kritēriji, kas nodrošina, ka atlasītie projekti atbilst Tehniskajiem norādījumiem “nenodari būtisku kaitējumu” (2021/C58/01), izmantojot izslēgšanas sarakstu un prasību par atbilstību attiecīgajiem ES</w:t>
            </w:r>
            <w:r>
              <w:rPr>
                <w:noProof/>
              </w:rPr>
              <w:t xml:space="preserve"> un valsts tiesību aktiem vides jomā. </w:t>
            </w:r>
          </w:p>
        </w:tc>
      </w:tr>
      <w:tr w:rsidR="00327FF1" w14:paraId="55CCFAC1" w14:textId="77777777">
        <w:trPr>
          <w:trHeight w:val="300"/>
        </w:trPr>
        <w:tc>
          <w:tcPr>
            <w:tcW w:w="1131" w:type="dxa"/>
            <w:shd w:val="clear" w:color="auto" w:fill="C6EFCE"/>
            <w:vAlign w:val="center"/>
            <w:hideMark/>
          </w:tcPr>
          <w:p w14:paraId="7489C21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M2C1–21 </w:t>
            </w:r>
          </w:p>
        </w:tc>
        <w:tc>
          <w:tcPr>
            <w:tcW w:w="1418" w:type="dxa"/>
            <w:shd w:val="clear" w:color="auto" w:fill="C6EFCE"/>
            <w:vAlign w:val="center"/>
            <w:hideMark/>
          </w:tcPr>
          <w:p w14:paraId="63E6F72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“Investīcija Nr. 3.2. Zaļās kopienas </w:t>
            </w:r>
          </w:p>
        </w:tc>
        <w:tc>
          <w:tcPr>
            <w:tcW w:w="992" w:type="dxa"/>
            <w:shd w:val="clear" w:color="auto" w:fill="C6EFCE"/>
            <w:vAlign w:val="center"/>
            <w:hideMark/>
          </w:tcPr>
          <w:p w14:paraId="2EA5032A" w14:textId="365F2140"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w:t>
            </w:r>
          </w:p>
        </w:tc>
        <w:tc>
          <w:tcPr>
            <w:tcW w:w="1418" w:type="dxa"/>
            <w:shd w:val="clear" w:color="auto" w:fill="C6EFCE"/>
            <w:vAlign w:val="center"/>
            <w:hideMark/>
          </w:tcPr>
          <w:p w14:paraId="0B77343C" w14:textId="1B09747C" w:rsidR="00327FF1" w:rsidRDefault="00E406C7">
            <w:pPr>
              <w:pStyle w:val="P68B1DB1-Normal50"/>
              <w:spacing w:after="0" w:line="240" w:lineRule="auto"/>
              <w:jc w:val="center"/>
              <w:textAlignment w:val="baseline"/>
              <w:rPr>
                <w:rFonts w:ascii="Times New Roman" w:hAnsi="Times New Roman"/>
                <w:noProof/>
                <w:sz w:val="24"/>
                <w:szCs w:val="24"/>
              </w:rPr>
            </w:pPr>
            <w:r>
              <w:rPr>
                <w:noProof/>
              </w:rPr>
              <w:t>Zaļajās kopienās pabeigtie projekti</w:t>
            </w:r>
          </w:p>
        </w:tc>
        <w:tc>
          <w:tcPr>
            <w:tcW w:w="1417" w:type="dxa"/>
            <w:shd w:val="clear" w:color="auto" w:fill="C6EFCE"/>
            <w:vAlign w:val="center"/>
            <w:hideMark/>
          </w:tcPr>
          <w:p w14:paraId="771B8A54"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7696C2FB" w14:textId="5D044DEB" w:rsidR="00327FF1" w:rsidRDefault="00E406C7">
            <w:pPr>
              <w:pStyle w:val="P68B1DB1-Normal50"/>
              <w:spacing w:after="0" w:line="240" w:lineRule="auto"/>
              <w:jc w:val="center"/>
              <w:textAlignment w:val="baseline"/>
              <w:rPr>
                <w:rFonts w:ascii="Times New Roman" w:hAnsi="Times New Roman"/>
                <w:noProof/>
                <w:sz w:val="24"/>
                <w:szCs w:val="24"/>
              </w:rPr>
            </w:pPr>
            <w:r>
              <w:rPr>
                <w:noProof/>
              </w:rPr>
              <w:t>Projektu skaits</w:t>
            </w:r>
          </w:p>
        </w:tc>
        <w:tc>
          <w:tcPr>
            <w:tcW w:w="1276" w:type="dxa"/>
            <w:shd w:val="clear" w:color="auto" w:fill="C6EFCE"/>
            <w:vAlign w:val="center"/>
            <w:hideMark/>
          </w:tcPr>
          <w:p w14:paraId="10C30AC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0 </w:t>
            </w:r>
          </w:p>
        </w:tc>
        <w:tc>
          <w:tcPr>
            <w:tcW w:w="992" w:type="dxa"/>
            <w:shd w:val="clear" w:color="auto" w:fill="C6EFCE"/>
            <w:vAlign w:val="center"/>
            <w:hideMark/>
          </w:tcPr>
          <w:p w14:paraId="25821871" w14:textId="092E0AD0" w:rsidR="00327FF1" w:rsidRDefault="00E406C7">
            <w:pPr>
              <w:pStyle w:val="P68B1DB1-Normal50"/>
              <w:spacing w:after="0" w:line="240" w:lineRule="auto"/>
              <w:jc w:val="center"/>
              <w:textAlignment w:val="baseline"/>
              <w:rPr>
                <w:rFonts w:ascii="Times New Roman" w:hAnsi="Times New Roman"/>
                <w:noProof/>
                <w:sz w:val="24"/>
                <w:szCs w:val="24"/>
              </w:rPr>
            </w:pPr>
            <w:r>
              <w:rPr>
                <w:noProof/>
              </w:rPr>
              <w:t>410</w:t>
            </w:r>
          </w:p>
        </w:tc>
        <w:tc>
          <w:tcPr>
            <w:tcW w:w="992" w:type="dxa"/>
            <w:shd w:val="clear" w:color="auto" w:fill="C6EFCE"/>
            <w:vAlign w:val="center"/>
            <w:hideMark/>
          </w:tcPr>
          <w:p w14:paraId="0AF062D9" w14:textId="46618A41"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w:t>
            </w:r>
          </w:p>
        </w:tc>
        <w:tc>
          <w:tcPr>
            <w:tcW w:w="691" w:type="dxa"/>
            <w:shd w:val="clear" w:color="auto" w:fill="C6EFCE"/>
            <w:vAlign w:val="center"/>
            <w:hideMark/>
          </w:tcPr>
          <w:p w14:paraId="430CD05C" w14:textId="2701BE66" w:rsidR="00327FF1" w:rsidRDefault="00E406C7">
            <w:pPr>
              <w:pStyle w:val="P68B1DB1-Normal50"/>
              <w:spacing w:after="0" w:line="240" w:lineRule="auto"/>
              <w:textAlignment w:val="baseline"/>
              <w:rPr>
                <w:rFonts w:ascii="Times New Roman" w:hAnsi="Times New Roman"/>
                <w:noProof/>
                <w:sz w:val="24"/>
                <w:szCs w:val="24"/>
              </w:rPr>
            </w:pPr>
            <w:r>
              <w:rPr>
                <w:noProof/>
              </w:rPr>
              <w:t>2026</w:t>
            </w:r>
          </w:p>
        </w:tc>
        <w:tc>
          <w:tcPr>
            <w:tcW w:w="3423" w:type="dxa"/>
            <w:shd w:val="clear" w:color="auto" w:fill="C6EFCE"/>
            <w:vAlign w:val="center"/>
            <w:hideMark/>
          </w:tcPr>
          <w:p w14:paraId="5DA235BB" w14:textId="08F22048" w:rsidR="00327FF1" w:rsidRDefault="00E406C7">
            <w:pPr>
              <w:pStyle w:val="P68B1DB1-Normal50"/>
              <w:spacing w:after="0" w:line="240" w:lineRule="auto"/>
              <w:textAlignment w:val="baseline"/>
              <w:rPr>
                <w:rFonts w:ascii="Times New Roman" w:hAnsi="Times New Roman"/>
                <w:noProof/>
                <w:sz w:val="24"/>
                <w:szCs w:val="24"/>
              </w:rPr>
            </w:pPr>
            <w:r>
              <w:rPr>
                <w:noProof/>
              </w:rPr>
              <w:t>Vismaz 410 projektu pabeigšana zaļajās kopienās, ko apliecina šādi sertifikāti: </w:t>
            </w:r>
          </w:p>
          <w:p w14:paraId="32F43EBF"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apliecinājums par darbu regulāru pabeigšanu vai </w:t>
            </w:r>
          </w:p>
          <w:p w14:paraId="5F17E9DF" w14:textId="16612840"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atbilstības/pienācīgas izpildes validācijas sertifikāts piegāžu iepirkumam un pakalpojumu iepirkumam vai sniegšanai.</w:t>
            </w:r>
          </w:p>
          <w:p w14:paraId="3373EA9A" w14:textId="6649EEC4" w:rsidR="00327FF1" w:rsidRDefault="00E406C7">
            <w:pPr>
              <w:pStyle w:val="P68B1DB1-Normal50"/>
              <w:spacing w:after="0" w:line="240" w:lineRule="auto"/>
              <w:textAlignment w:val="baseline"/>
              <w:rPr>
                <w:rFonts w:ascii="Times New Roman" w:hAnsi="Times New Roman"/>
                <w:noProof/>
                <w:sz w:val="24"/>
                <w:szCs w:val="24"/>
              </w:rPr>
            </w:pPr>
            <w:r>
              <w:rPr>
                <w:noProof/>
              </w:rPr>
              <w:t xml:space="preserve">Projekti ir šādās jomās: </w:t>
            </w:r>
          </w:p>
          <w:p w14:paraId="00FBE094" w14:textId="37E18509"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agromežsaimniecības mantojuma integrēta un sertificēta apsaimni</w:t>
            </w:r>
            <w:r>
              <w:rPr>
                <w:noProof/>
              </w:rPr>
              <w:t>ekošana;</w:t>
            </w:r>
          </w:p>
          <w:p w14:paraId="59E33DF1"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integrēta un sertificēta ūdens resursu apsaimniekošana; </w:t>
            </w:r>
          </w:p>
          <w:p w14:paraId="7DCC3EE2"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enerģijas ražošana no vietējiem atjaunojamiem energoresursiem, piemēram, mikrohidroelektrostacijām, biomasas, biogāzes, vēja, koģenerācijas un biometāna; </w:t>
            </w:r>
          </w:p>
          <w:p w14:paraId="1F9564D5" w14:textId="237E69D2"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 xml:space="preserve">ilgtspējīga tūrisma attīstība; </w:t>
            </w:r>
          </w:p>
          <w:p w14:paraId="4149F541"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mod</w:t>
            </w:r>
            <w:r>
              <w:rPr>
                <w:noProof/>
              </w:rPr>
              <w:t>erna kalna ēku fonda un infrastruktūras būvniecība un ilgtspējīga apsaimniekošana; </w:t>
            </w:r>
          </w:p>
          <w:p w14:paraId="4D528917" w14:textId="77777777"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energoefektivitāte un inteliģenta iekārtu un tīklu integrācija; </w:t>
            </w:r>
          </w:p>
          <w:p w14:paraId="72622652" w14:textId="77777777" w:rsidR="00327FF1" w:rsidRDefault="00E406C7">
            <w:pPr>
              <w:pStyle w:val="P68B1DB1-Normal50"/>
              <w:numPr>
                <w:ilvl w:val="0"/>
                <w:numId w:val="152"/>
              </w:numPr>
              <w:tabs>
                <w:tab w:val="clear" w:pos="720"/>
              </w:tabs>
              <w:spacing w:after="0" w:line="240" w:lineRule="auto"/>
              <w:ind w:left="735" w:hanging="572"/>
              <w:textAlignment w:val="baseline"/>
              <w:rPr>
                <w:rFonts w:ascii="Times New Roman" w:hAnsi="Times New Roman"/>
                <w:noProof/>
                <w:sz w:val="24"/>
                <w:szCs w:val="24"/>
              </w:rPr>
            </w:pPr>
            <w:r>
              <w:rPr>
                <w:noProof/>
              </w:rPr>
              <w:t>ražošanas darbību ilgtspējīga attīstība (nulles atkritumu ražošana); </w:t>
            </w:r>
          </w:p>
          <w:p w14:paraId="45075153" w14:textId="251B7D45" w:rsidR="00327FF1" w:rsidRDefault="00E406C7">
            <w:pPr>
              <w:pStyle w:val="P68B1DB1-Normal50"/>
              <w:numPr>
                <w:ilvl w:val="0"/>
                <w:numId w:val="152"/>
              </w:numPr>
              <w:tabs>
                <w:tab w:val="clear" w:pos="720"/>
              </w:tabs>
              <w:spacing w:after="0" w:line="240" w:lineRule="auto"/>
              <w:ind w:left="735" w:hanging="572"/>
              <w:textAlignment w:val="baseline"/>
              <w:rPr>
                <w:noProof/>
              </w:rPr>
            </w:pPr>
            <w:r>
              <w:rPr>
                <w:noProof/>
              </w:rPr>
              <w:t>mobilitātes pakalpojumu integrācija;</w:t>
            </w:r>
          </w:p>
          <w:p w14:paraId="53649C4C" w14:textId="108F5983" w:rsidR="00327FF1" w:rsidRDefault="00E406C7">
            <w:pPr>
              <w:pStyle w:val="P68B1DB1-Normal50"/>
              <w:numPr>
                <w:ilvl w:val="0"/>
                <w:numId w:val="152"/>
              </w:numPr>
              <w:tabs>
                <w:tab w:val="clear" w:pos="720"/>
              </w:tabs>
              <w:spacing w:after="0" w:line="240" w:lineRule="auto"/>
              <w:ind w:left="735" w:hanging="572"/>
              <w:textAlignment w:val="baseline"/>
              <w:rPr>
                <w:rFonts w:ascii="Times New Roman" w:hAnsi="Times New Roman"/>
                <w:noProof/>
                <w:sz w:val="24"/>
                <w:szCs w:val="24"/>
              </w:rPr>
            </w:pPr>
            <w:r>
              <w:rPr>
                <w:noProof/>
              </w:rPr>
              <w:t xml:space="preserve">ilgtspējīga saimniecības modeļa izstrāde. </w:t>
            </w:r>
          </w:p>
        </w:tc>
      </w:tr>
      <w:tr w:rsidR="00327FF1" w14:paraId="28641D38" w14:textId="77777777">
        <w:trPr>
          <w:trHeight w:val="300"/>
        </w:trPr>
        <w:tc>
          <w:tcPr>
            <w:tcW w:w="1131" w:type="dxa"/>
            <w:shd w:val="clear" w:color="auto" w:fill="C6EFCE"/>
            <w:vAlign w:val="center"/>
            <w:hideMark/>
          </w:tcPr>
          <w:p w14:paraId="33BCB49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M2C1–22 </w:t>
            </w:r>
          </w:p>
        </w:tc>
        <w:tc>
          <w:tcPr>
            <w:tcW w:w="1418" w:type="dxa"/>
            <w:shd w:val="clear" w:color="auto" w:fill="C6EFCE"/>
            <w:vAlign w:val="center"/>
            <w:hideMark/>
          </w:tcPr>
          <w:p w14:paraId="69684BE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Investīcija 3.4: Fondo Contratti di Filiera (FCF), lai atbalstītu piegādes ķēžu līgumus lauksaimniecības pārtikas, zvejniecības un akvakultūras, mežsaimniecības, puķkopības un stādaudzētavas nozarē </w:t>
            </w:r>
          </w:p>
        </w:tc>
        <w:tc>
          <w:tcPr>
            <w:tcW w:w="992" w:type="dxa"/>
            <w:shd w:val="clear" w:color="auto" w:fill="C6EFCE"/>
            <w:vAlign w:val="center"/>
            <w:hideMark/>
          </w:tcPr>
          <w:p w14:paraId="613501AF"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Atskaites punkts </w:t>
            </w:r>
          </w:p>
        </w:tc>
        <w:tc>
          <w:tcPr>
            <w:tcW w:w="1418" w:type="dxa"/>
            <w:shd w:val="clear" w:color="auto" w:fill="C6EFCE"/>
            <w:vAlign w:val="center"/>
            <w:hideMark/>
          </w:tcPr>
          <w:p w14:paraId="498E80D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Īstenošanas nolīgums </w:t>
            </w:r>
          </w:p>
        </w:tc>
        <w:tc>
          <w:tcPr>
            <w:tcW w:w="1417" w:type="dxa"/>
            <w:shd w:val="clear" w:color="auto" w:fill="C6EFCE"/>
            <w:vAlign w:val="center"/>
            <w:hideMark/>
          </w:tcPr>
          <w:p w14:paraId="7AF0E7D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Īstenošanas nolīguma stāšanās spēkā </w:t>
            </w:r>
          </w:p>
        </w:tc>
        <w:tc>
          <w:tcPr>
            <w:tcW w:w="1276" w:type="dxa"/>
            <w:shd w:val="clear" w:color="auto" w:fill="C6EFCE"/>
            <w:vAlign w:val="center"/>
            <w:hideMark/>
          </w:tcPr>
          <w:p w14:paraId="06FBA829"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7F6EDA13"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5AB0F90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524F1BC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91" w:type="dxa"/>
            <w:shd w:val="clear" w:color="auto" w:fill="C6EFCE"/>
            <w:vAlign w:val="center"/>
            <w:hideMark/>
          </w:tcPr>
          <w:p w14:paraId="3FEA442A"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2024 </w:t>
            </w:r>
          </w:p>
        </w:tc>
        <w:tc>
          <w:tcPr>
            <w:tcW w:w="3423" w:type="dxa"/>
            <w:shd w:val="clear" w:color="auto" w:fill="C6EFCE"/>
            <w:vAlign w:val="center"/>
            <w:hideMark/>
          </w:tcPr>
          <w:p w14:paraId="1945DE0B"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Īstenošanas nolīguma stāšanās spēkā. </w:t>
            </w:r>
          </w:p>
        </w:tc>
      </w:tr>
      <w:tr w:rsidR="00327FF1" w14:paraId="75398209" w14:textId="77777777">
        <w:trPr>
          <w:trHeight w:val="300"/>
        </w:trPr>
        <w:tc>
          <w:tcPr>
            <w:tcW w:w="1131" w:type="dxa"/>
            <w:shd w:val="clear" w:color="auto" w:fill="C6EFCE"/>
            <w:vAlign w:val="center"/>
            <w:hideMark/>
          </w:tcPr>
          <w:p w14:paraId="23C1C34A"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M2C1–23 </w:t>
            </w:r>
          </w:p>
        </w:tc>
        <w:tc>
          <w:tcPr>
            <w:tcW w:w="1418" w:type="dxa"/>
            <w:shd w:val="clear" w:color="auto" w:fill="C6EFCE"/>
            <w:vAlign w:val="center"/>
            <w:hideMark/>
          </w:tcPr>
          <w:p w14:paraId="5B6DAE78"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Investīcija 3.4: Fondo Contratti di Filiera (FCF), lai atbalstītu piegādes ķēžu </w:t>
            </w:r>
            <w:r>
              <w:rPr>
                <w:noProof/>
              </w:rPr>
              <w:t>līgumus lauksaimniecības pārtikas, zvejniecības un akvakultūras, mežsaimniecības, puķkopības un stādaudzētavas nozarē </w:t>
            </w:r>
          </w:p>
        </w:tc>
        <w:tc>
          <w:tcPr>
            <w:tcW w:w="992" w:type="dxa"/>
            <w:shd w:val="clear" w:color="auto" w:fill="C6EFCE"/>
            <w:vAlign w:val="center"/>
            <w:hideMark/>
          </w:tcPr>
          <w:p w14:paraId="19CB217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Atskaites punkts </w:t>
            </w:r>
          </w:p>
        </w:tc>
        <w:tc>
          <w:tcPr>
            <w:tcW w:w="1418" w:type="dxa"/>
            <w:shd w:val="clear" w:color="auto" w:fill="C6EFCE"/>
            <w:vAlign w:val="center"/>
            <w:hideMark/>
          </w:tcPr>
          <w:p w14:paraId="20CF8CFA" w14:textId="6669C364" w:rsidR="00327FF1" w:rsidRDefault="00E406C7">
            <w:pPr>
              <w:pStyle w:val="P68B1DB1-Normal50"/>
              <w:spacing w:after="0" w:line="240" w:lineRule="auto"/>
              <w:jc w:val="center"/>
              <w:textAlignment w:val="baseline"/>
              <w:rPr>
                <w:rFonts w:ascii="Times New Roman" w:hAnsi="Times New Roman"/>
                <w:noProof/>
                <w:sz w:val="24"/>
                <w:szCs w:val="24"/>
              </w:rPr>
            </w:pPr>
            <w:r>
              <w:rPr>
                <w:noProof/>
              </w:rPr>
              <w:t>Resursi, kas pārvietoti uz ISMEA, un grozījumi īstenošanas nolīgumā </w:t>
            </w:r>
          </w:p>
        </w:tc>
        <w:tc>
          <w:tcPr>
            <w:tcW w:w="1417" w:type="dxa"/>
            <w:shd w:val="clear" w:color="auto" w:fill="C6EFCE"/>
            <w:vAlign w:val="center"/>
            <w:hideMark/>
          </w:tcPr>
          <w:p w14:paraId="556015E1" w14:textId="6C05CEB1"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Nodošanas sertifikāts un īstenošanas nolīguma </w:t>
            </w:r>
            <w:r>
              <w:rPr>
                <w:noProof/>
              </w:rPr>
              <w:t>grozīšana </w:t>
            </w:r>
          </w:p>
        </w:tc>
        <w:tc>
          <w:tcPr>
            <w:tcW w:w="1276" w:type="dxa"/>
            <w:shd w:val="clear" w:color="auto" w:fill="C6EFCE"/>
            <w:vAlign w:val="center"/>
            <w:hideMark/>
          </w:tcPr>
          <w:p w14:paraId="6234486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1276" w:type="dxa"/>
            <w:shd w:val="clear" w:color="auto" w:fill="C6EFCE"/>
            <w:vAlign w:val="center"/>
            <w:hideMark/>
          </w:tcPr>
          <w:p w14:paraId="0AC9A3CF"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749DE54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6871037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4. CET. </w:t>
            </w:r>
          </w:p>
        </w:tc>
        <w:tc>
          <w:tcPr>
            <w:tcW w:w="691" w:type="dxa"/>
            <w:shd w:val="clear" w:color="auto" w:fill="C6EFCE"/>
            <w:vAlign w:val="center"/>
            <w:hideMark/>
          </w:tcPr>
          <w:p w14:paraId="529FF5FA"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2025 </w:t>
            </w:r>
          </w:p>
        </w:tc>
        <w:tc>
          <w:tcPr>
            <w:tcW w:w="3423" w:type="dxa"/>
            <w:shd w:val="clear" w:color="auto" w:fill="C6EFCE"/>
            <w:vAlign w:val="center"/>
            <w:hideMark/>
          </w:tcPr>
          <w:p w14:paraId="39C50F89" w14:textId="2458E7B6" w:rsidR="00327FF1" w:rsidRDefault="00E406C7">
            <w:pPr>
              <w:pStyle w:val="P68B1DB1-Normal54"/>
              <w:spacing w:after="0" w:line="240" w:lineRule="auto"/>
              <w:textAlignment w:val="baseline"/>
              <w:rPr>
                <w:rFonts w:ascii="Times New Roman" w:eastAsia="Times New Roman" w:hAnsi="Times New Roman" w:cs="Times New Roman"/>
                <w:noProof/>
                <w:sz w:val="24"/>
                <w:szCs w:val="24"/>
              </w:rPr>
            </w:pPr>
            <w:r>
              <w:rPr>
                <w:rFonts w:ascii="Arial Narrow" w:eastAsia="Times New Roman" w:hAnsi="Arial"/>
                <w:noProof/>
              </w:rPr>
              <w:t>It</w:t>
            </w:r>
            <w:r>
              <w:rPr>
                <w:rFonts w:ascii="Arial Narrow" w:eastAsia="Times New Roman" w:hAnsi="Arial"/>
                <w:noProof/>
              </w:rPr>
              <w:t>ā</w:t>
            </w:r>
            <w:r>
              <w:rPr>
                <w:rFonts w:ascii="Arial Narrow" w:eastAsia="Times New Roman" w:hAnsi="Arial"/>
                <w:noProof/>
              </w:rPr>
              <w:t>lija p</w:t>
            </w:r>
            <w:r>
              <w:rPr>
                <w:rFonts w:ascii="Arial Narrow" w:eastAsia="Times New Roman" w:hAnsi="Arial"/>
                <w:noProof/>
              </w:rPr>
              <w:t>ā</w:t>
            </w:r>
            <w:r>
              <w:rPr>
                <w:rFonts w:ascii="Arial Narrow" w:eastAsia="Times New Roman" w:hAnsi="Arial"/>
                <w:noProof/>
              </w:rPr>
              <w:t>rvieto papildu EUR 2000000000.00 uz ISMEA meh</w:t>
            </w:r>
            <w:r>
              <w:rPr>
                <w:rFonts w:ascii="Arial Narrow" w:eastAsia="Times New Roman" w:hAnsi="Arial"/>
                <w:noProof/>
              </w:rPr>
              <w:t>ā</w:t>
            </w:r>
            <w:r>
              <w:rPr>
                <w:rFonts w:ascii="Arial Narrow" w:eastAsia="Times New Roman" w:hAnsi="Arial"/>
                <w:noProof/>
              </w:rPr>
              <w:t>nisma vajadz</w:t>
            </w:r>
            <w:r>
              <w:rPr>
                <w:rFonts w:ascii="Arial Narrow" w:eastAsia="Times New Roman" w:hAnsi="Arial"/>
                <w:noProof/>
              </w:rPr>
              <w:t>ī</w:t>
            </w:r>
            <w:r>
              <w:rPr>
                <w:rFonts w:ascii="Arial Narrow" w:eastAsia="Times New Roman" w:hAnsi="Arial"/>
                <w:noProof/>
              </w:rPr>
              <w:t>b</w:t>
            </w:r>
            <w:r>
              <w:rPr>
                <w:rFonts w:ascii="Arial Narrow" w:eastAsia="Times New Roman" w:hAnsi="Arial"/>
                <w:noProof/>
              </w:rPr>
              <w:t>ā</w:t>
            </w:r>
            <w:r>
              <w:rPr>
                <w:rFonts w:ascii="Arial Narrow" w:eastAsia="Times New Roman" w:hAnsi="Arial"/>
                <w:noProof/>
              </w:rPr>
              <w:t xml:space="preserve">m. </w:t>
            </w:r>
            <w:r>
              <w:rPr>
                <w:rFonts w:ascii="Arial Narrow" w:eastAsia="Times New Roman" w:hAnsi="Arial Narrow" w:cs="Times New Roman"/>
                <w:noProof/>
              </w:rPr>
              <w:t xml:space="preserve"> </w:t>
            </w:r>
          </w:p>
          <w:p w14:paraId="57F1E05F"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Grozījums attiecībā uz īstenošanas nolīguma kopējo finansējumu un pārvaldības maksu. </w:t>
            </w:r>
          </w:p>
        </w:tc>
      </w:tr>
      <w:tr w:rsidR="00327FF1" w14:paraId="0F5003D8" w14:textId="77777777">
        <w:trPr>
          <w:trHeight w:val="300"/>
        </w:trPr>
        <w:tc>
          <w:tcPr>
            <w:tcW w:w="1131" w:type="dxa"/>
            <w:shd w:val="clear" w:color="auto" w:fill="C6EFCE"/>
            <w:vAlign w:val="center"/>
            <w:hideMark/>
          </w:tcPr>
          <w:p w14:paraId="3A3E983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M2C1–24 </w:t>
            </w:r>
          </w:p>
        </w:tc>
        <w:tc>
          <w:tcPr>
            <w:tcW w:w="1418" w:type="dxa"/>
            <w:shd w:val="clear" w:color="auto" w:fill="C6EFCE"/>
            <w:vAlign w:val="center"/>
            <w:hideMark/>
          </w:tcPr>
          <w:p w14:paraId="0E6172A2"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Investīcija 3.4: Fondo </w:t>
            </w:r>
            <w:r>
              <w:rPr>
                <w:noProof/>
              </w:rPr>
              <w:t>Contratti di Filiera (FCF), lai atbalstītu piegādes ķēžu līgumus lauksaimniecības pārtikas, zvejniecības un akvakultūras, mežsaimniecības, puķkopības un stādaudzētavas nozarē </w:t>
            </w:r>
          </w:p>
        </w:tc>
        <w:tc>
          <w:tcPr>
            <w:tcW w:w="992" w:type="dxa"/>
            <w:shd w:val="clear" w:color="auto" w:fill="C6EFCE"/>
            <w:vAlign w:val="center"/>
            <w:hideMark/>
          </w:tcPr>
          <w:p w14:paraId="4B777AB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Mērķa </w:t>
            </w:r>
          </w:p>
        </w:tc>
        <w:tc>
          <w:tcPr>
            <w:tcW w:w="1418" w:type="dxa"/>
            <w:shd w:val="clear" w:color="auto" w:fill="C6EFCE"/>
            <w:vAlign w:val="center"/>
            <w:hideMark/>
          </w:tcPr>
          <w:p w14:paraId="41AC358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Juridiski nolīgumi ar galīgajiem saņēmējiem </w:t>
            </w:r>
          </w:p>
        </w:tc>
        <w:tc>
          <w:tcPr>
            <w:tcW w:w="1417" w:type="dxa"/>
            <w:shd w:val="clear" w:color="auto" w:fill="C6EFCE"/>
            <w:vAlign w:val="center"/>
            <w:hideMark/>
          </w:tcPr>
          <w:p w14:paraId="068E0424" w14:textId="12007045"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NEPIEMĒRO </w:t>
            </w:r>
          </w:p>
        </w:tc>
        <w:tc>
          <w:tcPr>
            <w:tcW w:w="1276" w:type="dxa"/>
            <w:shd w:val="clear" w:color="auto" w:fill="C6EFCE"/>
            <w:vAlign w:val="center"/>
            <w:hideMark/>
          </w:tcPr>
          <w:p w14:paraId="11417DDF" w14:textId="63016F4C"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Procentuālais daudzums </w:t>
            </w:r>
          </w:p>
        </w:tc>
        <w:tc>
          <w:tcPr>
            <w:tcW w:w="1276" w:type="dxa"/>
            <w:shd w:val="clear" w:color="auto" w:fill="C6EFCE"/>
            <w:vAlign w:val="center"/>
            <w:hideMark/>
          </w:tcPr>
          <w:p w14:paraId="18868E9C"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0 </w:t>
            </w:r>
          </w:p>
        </w:tc>
        <w:tc>
          <w:tcPr>
            <w:tcW w:w="992" w:type="dxa"/>
            <w:shd w:val="clear" w:color="auto" w:fill="C6EFCE"/>
            <w:vAlign w:val="center"/>
            <w:hideMark/>
          </w:tcPr>
          <w:p w14:paraId="7D19ABCB"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100 </w:t>
            </w:r>
          </w:p>
        </w:tc>
        <w:tc>
          <w:tcPr>
            <w:tcW w:w="992" w:type="dxa"/>
            <w:shd w:val="clear" w:color="auto" w:fill="C6EFCE"/>
            <w:vAlign w:val="center"/>
            <w:hideMark/>
          </w:tcPr>
          <w:p w14:paraId="5CE082A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2. CET. </w:t>
            </w:r>
          </w:p>
        </w:tc>
        <w:tc>
          <w:tcPr>
            <w:tcW w:w="691" w:type="dxa"/>
            <w:shd w:val="clear" w:color="auto" w:fill="C6EFCE"/>
            <w:vAlign w:val="center"/>
            <w:hideMark/>
          </w:tcPr>
          <w:p w14:paraId="2C004C4E"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2026 </w:t>
            </w:r>
          </w:p>
        </w:tc>
        <w:tc>
          <w:tcPr>
            <w:tcW w:w="3423" w:type="dxa"/>
            <w:shd w:val="clear" w:color="auto" w:fill="C6EFCE"/>
            <w:vAlign w:val="center"/>
            <w:hideMark/>
          </w:tcPr>
          <w:p w14:paraId="227C22CE" w14:textId="4917B16B" w:rsidR="00327FF1" w:rsidRDefault="00E406C7">
            <w:pPr>
              <w:pStyle w:val="P68B1DB1-Normal50"/>
              <w:spacing w:after="0" w:line="240" w:lineRule="auto"/>
              <w:textAlignment w:val="baseline"/>
              <w:rPr>
                <w:rFonts w:ascii="Times New Roman" w:hAnsi="Times New Roman"/>
                <w:noProof/>
                <w:sz w:val="24"/>
                <w:szCs w:val="24"/>
              </w:rPr>
            </w:pPr>
            <w:r>
              <w:rPr>
                <w:noProof/>
              </w:rPr>
              <w:t>ISMEA ir noslēgusi juridiskus finansēšanas nolīgumus ar galasaņēmējiem par summu, kas nepieciešama, lai izmantotu 100 % no ANM investīcijām mehānismā (ņemot vērā pārvaldības maksas). ISMEA sagatavo ziņojumu, k</w:t>
            </w:r>
            <w:r>
              <w:rPr>
                <w:noProof/>
              </w:rPr>
              <w:t>urā sīki izklāsta šā finansējuma procentuālo daļu, kas veicina klimata mērķu sasniegšanu, izmantojot VI pielikumā izklāstīto metodiku. </w:t>
            </w:r>
          </w:p>
        </w:tc>
      </w:tr>
      <w:tr w:rsidR="00327FF1" w14:paraId="21ADD27B" w14:textId="77777777">
        <w:trPr>
          <w:trHeight w:val="300"/>
        </w:trPr>
        <w:tc>
          <w:tcPr>
            <w:tcW w:w="1131" w:type="dxa"/>
            <w:shd w:val="clear" w:color="auto" w:fill="C6EFCE"/>
            <w:vAlign w:val="center"/>
            <w:hideMark/>
          </w:tcPr>
          <w:p w14:paraId="0BB02221"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M2C1–25 </w:t>
            </w:r>
          </w:p>
        </w:tc>
        <w:tc>
          <w:tcPr>
            <w:tcW w:w="1418" w:type="dxa"/>
            <w:shd w:val="clear" w:color="auto" w:fill="C6EFCE"/>
            <w:vAlign w:val="center"/>
            <w:hideMark/>
          </w:tcPr>
          <w:p w14:paraId="7F1A095A" w14:textId="2CFE248C"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xml:space="preserve">Investīcija 3.4: Fondo Contratti di Filiera (FCF), lai atbalstītu piegādes ķēžu līgumus lauksaimniecības </w:t>
            </w:r>
            <w:r>
              <w:rPr>
                <w:noProof/>
              </w:rPr>
              <w:t>pārtikas, zvejniecības un akvakultūras, mežsaimniecības, puķkopības un stādaudzētavas nozarē </w:t>
            </w:r>
          </w:p>
        </w:tc>
        <w:tc>
          <w:tcPr>
            <w:tcW w:w="992" w:type="dxa"/>
            <w:shd w:val="clear" w:color="auto" w:fill="C6EFCE"/>
            <w:vAlign w:val="center"/>
            <w:hideMark/>
          </w:tcPr>
          <w:p w14:paraId="24E5B8D5"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Atskaites punkts </w:t>
            </w:r>
          </w:p>
        </w:tc>
        <w:tc>
          <w:tcPr>
            <w:tcW w:w="1418" w:type="dxa"/>
            <w:shd w:val="clear" w:color="auto" w:fill="C6EFCE"/>
            <w:vAlign w:val="center"/>
            <w:hideMark/>
          </w:tcPr>
          <w:p w14:paraId="1BF0960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Ministrija ir pārskaitījusi kopējo resursu summu </w:t>
            </w:r>
          </w:p>
        </w:tc>
        <w:tc>
          <w:tcPr>
            <w:tcW w:w="1417" w:type="dxa"/>
            <w:shd w:val="clear" w:color="auto" w:fill="C6EFCE"/>
            <w:vAlign w:val="center"/>
            <w:hideMark/>
          </w:tcPr>
          <w:p w14:paraId="77B84B6E"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Nodošanas sertifikāts </w:t>
            </w:r>
          </w:p>
        </w:tc>
        <w:tc>
          <w:tcPr>
            <w:tcW w:w="1276" w:type="dxa"/>
            <w:shd w:val="clear" w:color="auto" w:fill="C6EFCE"/>
            <w:vAlign w:val="center"/>
            <w:hideMark/>
          </w:tcPr>
          <w:p w14:paraId="7432A056"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 NEPIEMĒRO </w:t>
            </w:r>
          </w:p>
        </w:tc>
        <w:tc>
          <w:tcPr>
            <w:tcW w:w="1276" w:type="dxa"/>
            <w:shd w:val="clear" w:color="auto" w:fill="C6EFCE"/>
            <w:vAlign w:val="center"/>
            <w:hideMark/>
          </w:tcPr>
          <w:p w14:paraId="553DFA4D"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45B84DF0"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NEPIEMĒRO </w:t>
            </w:r>
          </w:p>
        </w:tc>
        <w:tc>
          <w:tcPr>
            <w:tcW w:w="992" w:type="dxa"/>
            <w:shd w:val="clear" w:color="auto" w:fill="C6EFCE"/>
            <w:vAlign w:val="center"/>
            <w:hideMark/>
          </w:tcPr>
          <w:p w14:paraId="4A92D497" w14:textId="77777777" w:rsidR="00327FF1" w:rsidRDefault="00E406C7">
            <w:pPr>
              <w:pStyle w:val="P68B1DB1-Normal50"/>
              <w:spacing w:after="0" w:line="240" w:lineRule="auto"/>
              <w:jc w:val="center"/>
              <w:textAlignment w:val="baseline"/>
              <w:rPr>
                <w:rFonts w:ascii="Times New Roman" w:hAnsi="Times New Roman"/>
                <w:noProof/>
                <w:sz w:val="24"/>
                <w:szCs w:val="24"/>
              </w:rPr>
            </w:pPr>
            <w:r>
              <w:rPr>
                <w:noProof/>
              </w:rPr>
              <w:t>4. CET. </w:t>
            </w:r>
          </w:p>
        </w:tc>
        <w:tc>
          <w:tcPr>
            <w:tcW w:w="691" w:type="dxa"/>
            <w:shd w:val="clear" w:color="auto" w:fill="C6EFCE"/>
            <w:vAlign w:val="center"/>
            <w:hideMark/>
          </w:tcPr>
          <w:p w14:paraId="7DF28DFA" w14:textId="77777777" w:rsidR="00327FF1" w:rsidRDefault="00E406C7">
            <w:pPr>
              <w:pStyle w:val="P68B1DB1-Normal50"/>
              <w:spacing w:after="0" w:line="240" w:lineRule="auto"/>
              <w:textAlignment w:val="baseline"/>
              <w:rPr>
                <w:rFonts w:ascii="Times New Roman" w:hAnsi="Times New Roman"/>
                <w:noProof/>
                <w:sz w:val="24"/>
                <w:szCs w:val="24"/>
              </w:rPr>
            </w:pPr>
            <w:r>
              <w:rPr>
                <w:noProof/>
              </w:rPr>
              <w:t>2024 </w:t>
            </w:r>
          </w:p>
        </w:tc>
        <w:tc>
          <w:tcPr>
            <w:tcW w:w="3423" w:type="dxa"/>
            <w:shd w:val="clear" w:color="auto" w:fill="C6EFCE"/>
            <w:vAlign w:val="center"/>
            <w:hideMark/>
          </w:tcPr>
          <w:p w14:paraId="5D3DA9F4" w14:textId="1D7B9845" w:rsidR="00327FF1" w:rsidRDefault="00E406C7">
            <w:pPr>
              <w:pStyle w:val="P68B1DB1-Normal57"/>
              <w:spacing w:after="0" w:line="240" w:lineRule="auto"/>
              <w:textAlignment w:val="baseline"/>
              <w:rPr>
                <w:rFonts w:ascii="Times New Roman" w:hAnsi="Times New Roman" w:cs="Times New Roman"/>
                <w:noProof/>
                <w:sz w:val="24"/>
                <w:szCs w:val="24"/>
              </w:rPr>
            </w:pPr>
            <w:r>
              <w:rPr>
                <w:noProof/>
              </w:rPr>
              <w:t>It</w:t>
            </w:r>
            <w:r>
              <w:rPr>
                <w:noProof/>
              </w:rPr>
              <w:t>ā</w:t>
            </w:r>
            <w:r>
              <w:rPr>
                <w:noProof/>
              </w:rPr>
              <w:t>lija p</w:t>
            </w:r>
            <w:r>
              <w:rPr>
                <w:noProof/>
              </w:rPr>
              <w:t>ā</w:t>
            </w:r>
            <w:r>
              <w:rPr>
                <w:noProof/>
              </w:rPr>
              <w:t xml:space="preserve">rvieto EUR </w:t>
            </w:r>
            <w:r>
              <w:rPr>
                <w:noProof/>
              </w:rPr>
              <w:t>1960000000.00 uz ISMEA meh</w:t>
            </w:r>
            <w:r>
              <w:rPr>
                <w:noProof/>
              </w:rPr>
              <w:t>ā</w:t>
            </w:r>
            <w:r>
              <w:rPr>
                <w:noProof/>
              </w:rPr>
              <w:t>nisma vajadz</w:t>
            </w:r>
            <w:r>
              <w:rPr>
                <w:noProof/>
              </w:rPr>
              <w:t>ī</w:t>
            </w:r>
            <w:r>
              <w:rPr>
                <w:noProof/>
              </w:rPr>
              <w:t>b</w:t>
            </w:r>
            <w:r>
              <w:rPr>
                <w:noProof/>
              </w:rPr>
              <w:t>ā</w:t>
            </w:r>
            <w:r>
              <w:rPr>
                <w:noProof/>
              </w:rPr>
              <w:t>m.</w:t>
            </w:r>
          </w:p>
        </w:tc>
      </w:tr>
      <w:tr w:rsidR="00327FF1" w14:paraId="6FDFC0B2" w14:textId="77777777">
        <w:trPr>
          <w:trHeight w:val="300"/>
        </w:trPr>
        <w:tc>
          <w:tcPr>
            <w:tcW w:w="1131" w:type="dxa"/>
            <w:shd w:val="clear" w:color="auto" w:fill="C6EFCE"/>
            <w:vAlign w:val="center"/>
          </w:tcPr>
          <w:p w14:paraId="16E15655" w14:textId="2C16F587" w:rsidR="00327FF1" w:rsidRDefault="00E406C7">
            <w:pPr>
              <w:pStyle w:val="P68B1DB1-Normal50"/>
              <w:spacing w:after="0" w:line="240" w:lineRule="auto"/>
              <w:jc w:val="center"/>
              <w:textAlignment w:val="baseline"/>
              <w:rPr>
                <w:noProof/>
              </w:rPr>
            </w:pPr>
            <w:r>
              <w:rPr>
                <w:noProof/>
              </w:rPr>
              <w:t>M2C1–26 </w:t>
            </w:r>
          </w:p>
        </w:tc>
        <w:tc>
          <w:tcPr>
            <w:tcW w:w="1418" w:type="dxa"/>
            <w:shd w:val="clear" w:color="auto" w:fill="C6EFCE"/>
            <w:vAlign w:val="center"/>
          </w:tcPr>
          <w:p w14:paraId="5DB9BBD7" w14:textId="07D6186F" w:rsidR="00327FF1" w:rsidRDefault="00E406C7">
            <w:pPr>
              <w:pStyle w:val="P68B1DB1-Normal50"/>
              <w:spacing w:after="0" w:line="240" w:lineRule="auto"/>
              <w:jc w:val="center"/>
              <w:textAlignment w:val="baseline"/>
              <w:rPr>
                <w:noProof/>
              </w:rPr>
            </w:pPr>
            <w:r>
              <w:rPr>
                <w:noProof/>
              </w:rPr>
              <w:t>Ieguldījums Nr. 4: Lauksaimniecības un saules parka mehānisms </w:t>
            </w:r>
          </w:p>
        </w:tc>
        <w:tc>
          <w:tcPr>
            <w:tcW w:w="992" w:type="dxa"/>
            <w:shd w:val="clear" w:color="auto" w:fill="C6EFCE"/>
          </w:tcPr>
          <w:p w14:paraId="39681374" w14:textId="3B740C60" w:rsidR="00327FF1" w:rsidRDefault="00E406C7">
            <w:pPr>
              <w:pStyle w:val="P68B1DB1-Normal50"/>
              <w:spacing w:after="0" w:line="240" w:lineRule="auto"/>
              <w:jc w:val="center"/>
              <w:textAlignment w:val="baseline"/>
              <w:rPr>
                <w:noProof/>
              </w:rPr>
            </w:pPr>
            <w:r>
              <w:rPr>
                <w:noProof/>
              </w:rPr>
              <w:t>Atskaites punkts </w:t>
            </w:r>
          </w:p>
        </w:tc>
        <w:tc>
          <w:tcPr>
            <w:tcW w:w="1418" w:type="dxa"/>
            <w:shd w:val="clear" w:color="auto" w:fill="C6EFCE"/>
          </w:tcPr>
          <w:p w14:paraId="68BF15A4" w14:textId="6E0BA599" w:rsidR="00327FF1" w:rsidRDefault="00E406C7">
            <w:pPr>
              <w:pStyle w:val="P68B1DB1-Normal50"/>
              <w:spacing w:after="0" w:line="240" w:lineRule="auto"/>
              <w:jc w:val="center"/>
              <w:textAlignment w:val="baseline"/>
              <w:rPr>
                <w:noProof/>
              </w:rPr>
            </w:pPr>
            <w:r>
              <w:rPr>
                <w:noProof/>
              </w:rPr>
              <w:t>Īstenošanas nolīgums </w:t>
            </w:r>
          </w:p>
        </w:tc>
        <w:tc>
          <w:tcPr>
            <w:tcW w:w="1417" w:type="dxa"/>
            <w:shd w:val="clear" w:color="auto" w:fill="C6EFCE"/>
          </w:tcPr>
          <w:p w14:paraId="05AE1FE1" w14:textId="4FDCDFE8" w:rsidR="00327FF1" w:rsidRDefault="00E406C7">
            <w:pPr>
              <w:pStyle w:val="P68B1DB1-Normal50"/>
              <w:spacing w:after="0" w:line="240" w:lineRule="auto"/>
              <w:jc w:val="center"/>
              <w:textAlignment w:val="baseline"/>
              <w:rPr>
                <w:noProof/>
              </w:rPr>
            </w:pPr>
            <w:r>
              <w:rPr>
                <w:noProof/>
              </w:rPr>
              <w:t>Īstenošanas nolīguma stāšanās spēkā </w:t>
            </w:r>
          </w:p>
        </w:tc>
        <w:tc>
          <w:tcPr>
            <w:tcW w:w="1276" w:type="dxa"/>
            <w:shd w:val="clear" w:color="auto" w:fill="C6EFCE"/>
          </w:tcPr>
          <w:p w14:paraId="0409B26A" w14:textId="6786B4E6" w:rsidR="00327FF1" w:rsidRDefault="00E406C7">
            <w:pPr>
              <w:pStyle w:val="P68B1DB1-Normal50"/>
              <w:spacing w:after="0" w:line="240" w:lineRule="auto"/>
              <w:jc w:val="center"/>
              <w:textAlignment w:val="baseline"/>
              <w:rPr>
                <w:noProof/>
              </w:rPr>
            </w:pPr>
            <w:r>
              <w:rPr>
                <w:noProof/>
              </w:rPr>
              <w:t> NEPIEMĒRO </w:t>
            </w:r>
          </w:p>
        </w:tc>
        <w:tc>
          <w:tcPr>
            <w:tcW w:w="1276" w:type="dxa"/>
            <w:shd w:val="clear" w:color="auto" w:fill="C6EFCE"/>
          </w:tcPr>
          <w:p w14:paraId="030E3E6A" w14:textId="272E224E" w:rsidR="00327FF1" w:rsidRDefault="00E406C7">
            <w:pPr>
              <w:pStyle w:val="P68B1DB1-Normal50"/>
              <w:spacing w:after="0" w:line="240" w:lineRule="auto"/>
              <w:jc w:val="center"/>
              <w:textAlignment w:val="baseline"/>
              <w:rPr>
                <w:noProof/>
              </w:rPr>
            </w:pPr>
            <w:r>
              <w:rPr>
                <w:noProof/>
              </w:rPr>
              <w:t xml:space="preserve">NEPIEMĒRO </w:t>
            </w:r>
          </w:p>
        </w:tc>
        <w:tc>
          <w:tcPr>
            <w:tcW w:w="992" w:type="dxa"/>
            <w:shd w:val="clear" w:color="auto" w:fill="C6EFCE"/>
          </w:tcPr>
          <w:p w14:paraId="547D1AEF" w14:textId="45E3BA01" w:rsidR="00327FF1" w:rsidRDefault="00E406C7">
            <w:pPr>
              <w:pStyle w:val="P68B1DB1-Normal50"/>
              <w:spacing w:after="0" w:line="240" w:lineRule="auto"/>
              <w:jc w:val="center"/>
              <w:textAlignment w:val="baseline"/>
              <w:rPr>
                <w:noProof/>
              </w:rPr>
            </w:pPr>
            <w:r>
              <w:rPr>
                <w:noProof/>
              </w:rPr>
              <w:t xml:space="preserve">NEPIEMĒRO </w:t>
            </w:r>
          </w:p>
        </w:tc>
        <w:tc>
          <w:tcPr>
            <w:tcW w:w="992" w:type="dxa"/>
            <w:shd w:val="clear" w:color="auto" w:fill="C6EFCE"/>
          </w:tcPr>
          <w:p w14:paraId="5E7F2608" w14:textId="30EE4EBD" w:rsidR="00327FF1" w:rsidRDefault="00E406C7">
            <w:pPr>
              <w:pStyle w:val="P68B1DB1-Normal50"/>
              <w:spacing w:after="0" w:line="240" w:lineRule="auto"/>
              <w:jc w:val="center"/>
              <w:textAlignment w:val="baseline"/>
              <w:rPr>
                <w:noProof/>
              </w:rPr>
            </w:pPr>
            <w:r>
              <w:rPr>
                <w:noProof/>
              </w:rPr>
              <w:t>4. CET. </w:t>
            </w:r>
          </w:p>
        </w:tc>
        <w:tc>
          <w:tcPr>
            <w:tcW w:w="691" w:type="dxa"/>
            <w:shd w:val="clear" w:color="auto" w:fill="C6EFCE"/>
          </w:tcPr>
          <w:p w14:paraId="4EE2DE44" w14:textId="414F6B6C" w:rsidR="00327FF1" w:rsidRDefault="00E406C7">
            <w:pPr>
              <w:pStyle w:val="P68B1DB1-Normal50"/>
              <w:spacing w:after="0" w:line="240" w:lineRule="auto"/>
              <w:textAlignment w:val="baseline"/>
              <w:rPr>
                <w:noProof/>
              </w:rPr>
            </w:pPr>
            <w:r>
              <w:rPr>
                <w:noProof/>
              </w:rPr>
              <w:t>2025 </w:t>
            </w:r>
          </w:p>
        </w:tc>
        <w:tc>
          <w:tcPr>
            <w:tcW w:w="3423" w:type="dxa"/>
            <w:shd w:val="clear" w:color="auto" w:fill="C6EFCE"/>
          </w:tcPr>
          <w:p w14:paraId="7075BCFA" w14:textId="4C639BCB" w:rsidR="00327FF1" w:rsidRDefault="00E406C7">
            <w:pPr>
              <w:pStyle w:val="P68B1DB1-Normal50"/>
              <w:spacing w:after="0" w:line="240" w:lineRule="auto"/>
              <w:textAlignment w:val="baseline"/>
              <w:rPr>
                <w:noProof/>
              </w:rPr>
            </w:pPr>
            <w:r>
              <w:rPr>
                <w:noProof/>
              </w:rPr>
              <w:t xml:space="preserve">Īstenošanas </w:t>
            </w:r>
            <w:r>
              <w:rPr>
                <w:noProof/>
              </w:rPr>
              <w:t>nolīguma stāšanās spēkā.</w:t>
            </w:r>
          </w:p>
        </w:tc>
      </w:tr>
      <w:tr w:rsidR="00327FF1" w14:paraId="3FD2F3DC" w14:textId="77777777">
        <w:trPr>
          <w:trHeight w:val="300"/>
        </w:trPr>
        <w:tc>
          <w:tcPr>
            <w:tcW w:w="1131" w:type="dxa"/>
            <w:shd w:val="clear" w:color="auto" w:fill="C6EFCE"/>
            <w:vAlign w:val="center"/>
          </w:tcPr>
          <w:p w14:paraId="578F7C2F" w14:textId="01631D0E" w:rsidR="00327FF1" w:rsidRDefault="00E406C7">
            <w:pPr>
              <w:pStyle w:val="P68B1DB1-Normal50"/>
              <w:spacing w:after="0" w:line="240" w:lineRule="auto"/>
              <w:jc w:val="center"/>
              <w:textAlignment w:val="baseline"/>
              <w:rPr>
                <w:noProof/>
              </w:rPr>
            </w:pPr>
            <w:r>
              <w:rPr>
                <w:noProof/>
              </w:rPr>
              <w:t>M2C1–27 </w:t>
            </w:r>
          </w:p>
        </w:tc>
        <w:tc>
          <w:tcPr>
            <w:tcW w:w="1418" w:type="dxa"/>
            <w:shd w:val="clear" w:color="auto" w:fill="C6EFCE"/>
            <w:vAlign w:val="center"/>
          </w:tcPr>
          <w:p w14:paraId="369C0C1D" w14:textId="525E49A6" w:rsidR="00327FF1" w:rsidRDefault="00E406C7">
            <w:pPr>
              <w:pStyle w:val="P68B1DB1-Normal50"/>
              <w:spacing w:after="0" w:line="240" w:lineRule="auto"/>
              <w:jc w:val="center"/>
              <w:textAlignment w:val="baseline"/>
              <w:rPr>
                <w:noProof/>
              </w:rPr>
            </w:pPr>
            <w:r>
              <w:rPr>
                <w:noProof/>
              </w:rPr>
              <w:t>Ieguldījums Nr. 4: Lauksaimniecības un saules parka mehānisms </w:t>
            </w:r>
          </w:p>
        </w:tc>
        <w:tc>
          <w:tcPr>
            <w:tcW w:w="992" w:type="dxa"/>
            <w:shd w:val="clear" w:color="auto" w:fill="C6EFCE"/>
          </w:tcPr>
          <w:p w14:paraId="1B8983BD" w14:textId="063C3B8D" w:rsidR="00327FF1" w:rsidRDefault="00E406C7">
            <w:pPr>
              <w:pStyle w:val="P68B1DB1-Normal50"/>
              <w:spacing w:after="0" w:line="240" w:lineRule="auto"/>
              <w:jc w:val="center"/>
              <w:textAlignment w:val="baseline"/>
              <w:rPr>
                <w:noProof/>
              </w:rPr>
            </w:pPr>
            <w:r>
              <w:rPr>
                <w:noProof/>
              </w:rPr>
              <w:t>Atskaites punkts </w:t>
            </w:r>
          </w:p>
        </w:tc>
        <w:tc>
          <w:tcPr>
            <w:tcW w:w="1418" w:type="dxa"/>
            <w:shd w:val="clear" w:color="auto" w:fill="C6EFCE"/>
          </w:tcPr>
          <w:p w14:paraId="058F9CEA" w14:textId="4FC551C9" w:rsidR="00327FF1" w:rsidRDefault="00E406C7">
            <w:pPr>
              <w:pStyle w:val="P68B1DB1-Normal50"/>
              <w:spacing w:after="0" w:line="240" w:lineRule="auto"/>
              <w:jc w:val="center"/>
              <w:textAlignment w:val="baseline"/>
              <w:rPr>
                <w:noProof/>
              </w:rPr>
            </w:pPr>
            <w:r>
              <w:rPr>
                <w:noProof/>
              </w:rPr>
              <w:t>Ar galīgajiem saņēmējiem parakstītie juridiskie nolīgumi un ieguldījumu pabeigšana </w:t>
            </w:r>
          </w:p>
        </w:tc>
        <w:tc>
          <w:tcPr>
            <w:tcW w:w="1417" w:type="dxa"/>
            <w:shd w:val="clear" w:color="auto" w:fill="C6EFCE"/>
          </w:tcPr>
          <w:p w14:paraId="718379C6" w14:textId="5FDF6362" w:rsidR="00327FF1" w:rsidRDefault="00E406C7">
            <w:pPr>
              <w:pStyle w:val="P68B1DB1-Normal50"/>
              <w:spacing w:after="0" w:line="240" w:lineRule="auto"/>
              <w:jc w:val="center"/>
              <w:textAlignment w:val="baseline"/>
              <w:rPr>
                <w:noProof/>
              </w:rPr>
            </w:pPr>
            <w:r>
              <w:rPr>
                <w:noProof/>
              </w:rPr>
              <w:t>Parakstītie juridiskie nolīgumi un nodošanas apliecība </w:t>
            </w:r>
          </w:p>
        </w:tc>
        <w:tc>
          <w:tcPr>
            <w:tcW w:w="1276" w:type="dxa"/>
            <w:shd w:val="clear" w:color="auto" w:fill="C6EFCE"/>
          </w:tcPr>
          <w:p w14:paraId="5BE386AE" w14:textId="17F49EDD" w:rsidR="00327FF1" w:rsidRDefault="00E406C7">
            <w:pPr>
              <w:pStyle w:val="P68B1DB1-Normal50"/>
              <w:spacing w:after="0" w:line="240" w:lineRule="auto"/>
              <w:jc w:val="center"/>
              <w:textAlignment w:val="baseline"/>
              <w:rPr>
                <w:noProof/>
              </w:rPr>
            </w:pPr>
            <w:r>
              <w:rPr>
                <w:noProof/>
              </w:rPr>
              <w:t>NEPIEMĒRO </w:t>
            </w:r>
          </w:p>
        </w:tc>
        <w:tc>
          <w:tcPr>
            <w:tcW w:w="1276" w:type="dxa"/>
            <w:shd w:val="clear" w:color="auto" w:fill="C6EFCE"/>
          </w:tcPr>
          <w:p w14:paraId="42B2B4D3" w14:textId="1E7F4C38" w:rsidR="00327FF1" w:rsidRDefault="00E406C7">
            <w:pPr>
              <w:pStyle w:val="P68B1DB1-Normal50"/>
              <w:spacing w:after="0" w:line="240" w:lineRule="auto"/>
              <w:jc w:val="center"/>
              <w:textAlignment w:val="baseline"/>
              <w:rPr>
                <w:noProof/>
              </w:rPr>
            </w:pPr>
            <w:r>
              <w:rPr>
                <w:noProof/>
              </w:rPr>
              <w:t>NEPIEMĒRO </w:t>
            </w:r>
          </w:p>
        </w:tc>
        <w:tc>
          <w:tcPr>
            <w:tcW w:w="992" w:type="dxa"/>
            <w:shd w:val="clear" w:color="auto" w:fill="C6EFCE"/>
          </w:tcPr>
          <w:p w14:paraId="5CCFE6E8" w14:textId="149BC235" w:rsidR="00327FF1" w:rsidRDefault="00E406C7">
            <w:pPr>
              <w:pStyle w:val="P68B1DB1-Normal50"/>
              <w:spacing w:after="0" w:line="240" w:lineRule="auto"/>
              <w:jc w:val="center"/>
              <w:textAlignment w:val="baseline"/>
              <w:rPr>
                <w:noProof/>
              </w:rPr>
            </w:pPr>
            <w:r>
              <w:rPr>
                <w:noProof/>
              </w:rPr>
              <w:t>NEPIEMĒRO </w:t>
            </w:r>
          </w:p>
        </w:tc>
        <w:tc>
          <w:tcPr>
            <w:tcW w:w="992" w:type="dxa"/>
            <w:shd w:val="clear" w:color="auto" w:fill="C6EFCE"/>
          </w:tcPr>
          <w:p w14:paraId="2EDA2D78" w14:textId="36763822" w:rsidR="00327FF1" w:rsidRDefault="00E406C7">
            <w:pPr>
              <w:pStyle w:val="P68B1DB1-Normal50"/>
              <w:spacing w:after="0" w:line="240" w:lineRule="auto"/>
              <w:jc w:val="center"/>
              <w:textAlignment w:val="baseline"/>
              <w:rPr>
                <w:noProof/>
              </w:rPr>
            </w:pPr>
            <w:r>
              <w:rPr>
                <w:noProof/>
              </w:rPr>
              <w:t>2. CET. </w:t>
            </w:r>
          </w:p>
        </w:tc>
        <w:tc>
          <w:tcPr>
            <w:tcW w:w="691" w:type="dxa"/>
            <w:shd w:val="clear" w:color="auto" w:fill="C6EFCE"/>
          </w:tcPr>
          <w:p w14:paraId="030F309C" w14:textId="705431C3" w:rsidR="00327FF1" w:rsidRDefault="00E406C7">
            <w:pPr>
              <w:pStyle w:val="P68B1DB1-Normal50"/>
              <w:spacing w:after="0" w:line="240" w:lineRule="auto"/>
              <w:textAlignment w:val="baseline"/>
              <w:rPr>
                <w:noProof/>
              </w:rPr>
            </w:pPr>
            <w:r>
              <w:rPr>
                <w:noProof/>
              </w:rPr>
              <w:t>2026 </w:t>
            </w:r>
          </w:p>
        </w:tc>
        <w:tc>
          <w:tcPr>
            <w:tcW w:w="3423" w:type="dxa"/>
            <w:shd w:val="clear" w:color="auto" w:fill="C6EFCE"/>
          </w:tcPr>
          <w:p w14:paraId="7F967BCA" w14:textId="77777777" w:rsidR="00327FF1" w:rsidRDefault="00E406C7">
            <w:pPr>
              <w:pStyle w:val="P68B1DB1-Normal50"/>
              <w:spacing w:after="0" w:line="240" w:lineRule="auto"/>
              <w:jc w:val="both"/>
              <w:textAlignment w:val="baseline"/>
              <w:rPr>
                <w:noProof/>
              </w:rPr>
            </w:pPr>
            <w:r>
              <w:rPr>
                <w:noProof/>
              </w:rPr>
              <w:t xml:space="preserve">GSE ir noslēgusi juridiskus dotāciju nolīgumus ar galasaņēmējiem par summu, kas nepieciešama, lai shēmā izmantotu 100 % no ANM investīcijām (ņemot vērā pārvaldības maksas). </w:t>
            </w:r>
          </w:p>
          <w:p w14:paraId="27F573C6" w14:textId="4B1802D2" w:rsidR="00327FF1" w:rsidRDefault="00E406C7">
            <w:pPr>
              <w:pStyle w:val="P68B1DB1-Normal50"/>
              <w:spacing w:after="0" w:line="240" w:lineRule="auto"/>
              <w:jc w:val="both"/>
              <w:textAlignment w:val="baseline"/>
              <w:rPr>
                <w:noProof/>
              </w:rPr>
            </w:pPr>
            <w:r>
              <w:rPr>
                <w:noProof/>
              </w:rPr>
              <w:t>Vismaz 633000000 no šā finansējuma</w:t>
            </w:r>
            <w:r>
              <w:rPr>
                <w:noProof/>
              </w:rPr>
              <w:t xml:space="preserve"> veicina klimata mērķu sasniegšanu, izmantojot ANM regulas VI pielikumā izklāstīto metodiku.</w:t>
            </w:r>
          </w:p>
          <w:p w14:paraId="78C8863E" w14:textId="13498A45" w:rsidR="00327FF1" w:rsidRDefault="00E406C7">
            <w:pPr>
              <w:pStyle w:val="P68B1DB1-Normal50"/>
              <w:spacing w:after="0" w:line="240" w:lineRule="auto"/>
              <w:jc w:val="both"/>
              <w:textAlignment w:val="baseline"/>
              <w:rPr>
                <w:noProof/>
              </w:rPr>
            </w:pPr>
            <w:r>
              <w:rPr>
                <w:noProof/>
              </w:rPr>
              <w:t>Itālija pārvieto EUR 789000000 uz GSE mehānisma vajadzībām. </w:t>
            </w:r>
          </w:p>
        </w:tc>
      </w:tr>
    </w:tbl>
    <w:p w14:paraId="24706E2F" w14:textId="77777777" w:rsidR="00327FF1" w:rsidRDefault="00E406C7">
      <w:pPr>
        <w:pStyle w:val="P68B1DB1-Normal58"/>
        <w:spacing w:after="0" w:line="240" w:lineRule="auto"/>
        <w:textAlignment w:val="baseline"/>
        <w:rPr>
          <w:rFonts w:ascii="Segoe UI" w:hAnsi="Segoe UI"/>
          <w:noProof/>
          <w:sz w:val="18"/>
          <w:szCs w:val="18"/>
        </w:rPr>
      </w:pPr>
      <w:r>
        <w:rPr>
          <w:noProof/>
        </w:rPr>
        <w:t> </w:t>
      </w:r>
    </w:p>
    <w:p w14:paraId="34A3002B" w14:textId="77777777" w:rsidR="00327FF1" w:rsidRDefault="00327FF1">
      <w:pPr>
        <w:tabs>
          <w:tab w:val="left" w:pos="2220"/>
        </w:tabs>
        <w:rPr>
          <w:noProof/>
        </w:rPr>
        <w:sectPr w:rsidR="00327FF1" w:rsidSect="004E142E">
          <w:headerReference w:type="default" r:id="rId82"/>
          <w:footerReference w:type="default" r:id="rId83"/>
          <w:pgSz w:w="16838" w:h="11906" w:orient="landscape"/>
          <w:pgMar w:top="1440" w:right="1440" w:bottom="1440" w:left="1440" w:header="708" w:footer="708" w:gutter="0"/>
          <w:cols w:space="708"/>
          <w:docGrid w:linePitch="360"/>
        </w:sectPr>
      </w:pPr>
    </w:p>
    <w:p w14:paraId="087EC4DA" w14:textId="77777777" w:rsidR="00327FF1" w:rsidRDefault="00E406C7">
      <w:pPr>
        <w:pStyle w:val="P68B1DB1-Heading23"/>
        <w:ind w:left="1080"/>
        <w:rPr>
          <w:noProof/>
        </w:rPr>
      </w:pPr>
      <w:r>
        <w:rPr>
          <w:noProof/>
        </w:rPr>
        <w:t xml:space="preserve">E. 2. MISIJAS 2. KOMPONENTS: Enerģētikas </w:t>
      </w:r>
      <w:r>
        <w:rPr>
          <w:noProof/>
        </w:rPr>
        <w:t>pārkārtošana un ilgtspējīga mobilitāte</w:t>
      </w:r>
    </w:p>
    <w:p w14:paraId="02529273" w14:textId="77777777" w:rsidR="00327FF1" w:rsidRDefault="00E406C7">
      <w:pPr>
        <w:pStyle w:val="P68B1DB1-Normal7"/>
        <w:spacing w:before="120" w:after="120"/>
        <w:jc w:val="both"/>
        <w:rPr>
          <w:noProof/>
        </w:rPr>
      </w:pPr>
      <w:r>
        <w:rPr>
          <w:noProof/>
        </w:rPr>
        <w:t>Šis Itālijas atveseļošanas un noturības plāna komponents aptver investīcijas un reformas enerģētikas pārkārtošanā. Tas ietver reformas, kuru mērķis ir atvieglot atļauju piešķiršanu projektiem, kas saistīti ar atjaunoj</w:t>
      </w:r>
      <w:r>
        <w:rPr>
          <w:noProof/>
        </w:rPr>
        <w:t>amiem enerģijas avotiem. Komponents ietver investīcijas atjaunīgo energoresursu piegādes ķēdē, ūdeņraža enerģijā, biometāna iekārtās un viedtīklos. Šīs reformas un investīcijas papildina reformas, kuru mērķis ir palielināt konkurenci elektroenerģijas tirgū</w:t>
      </w:r>
      <w:r>
        <w:rPr>
          <w:noProof/>
        </w:rPr>
        <w:t xml:space="preserve"> “uzņēmējdarbības vides” reformas komponentā.</w:t>
      </w:r>
    </w:p>
    <w:p w14:paraId="34C9028C" w14:textId="77777777" w:rsidR="00327FF1" w:rsidRDefault="00E406C7">
      <w:pPr>
        <w:pStyle w:val="P68B1DB1-Normal7"/>
        <w:spacing w:before="120" w:after="120"/>
        <w:jc w:val="both"/>
        <w:rPr>
          <w:noProof/>
        </w:rPr>
      </w:pPr>
      <w:r>
        <w:rPr>
          <w:noProof/>
        </w:rPr>
        <w:t>Šis komponents aptver arī investīcijas un reformas ilgtspējīgā mobilitātē. Tas ietver reformas, kuru mērķis ir atvieglot atļauju piešķiršanu ilgtspējīgas mobilitātes projektiem. Komponents ietver investīcijas v</w:t>
      </w:r>
      <w:r>
        <w:rPr>
          <w:noProof/>
        </w:rPr>
        <w:t>eloceliņu un metro/tramvaju/autobusu ātrā tranzīta infrastruktūras izbūvei un bezemisiju autobusu, ritošā sastāva, ugunsdzēsības un lidostas transportlīdzekļu iegādei. Šīs reformas un investīcijas papildina reformas, kuru mērķis ir atcelt regulētās elektro</w:t>
      </w:r>
      <w:r>
        <w:rPr>
          <w:noProof/>
        </w:rPr>
        <w:t xml:space="preserve">uzlādes cenas un palielināt konkurenci uzlādes punktu koncesiju, reģionālo dzelzceļu un vietējā sabiedriskā transporta jomā “uzņēmējdarbības vides” reformas komponentā. </w:t>
      </w:r>
    </w:p>
    <w:p w14:paraId="1E737441" w14:textId="77777777" w:rsidR="00327FF1" w:rsidRDefault="00E406C7">
      <w:pPr>
        <w:pStyle w:val="P68B1DB1-Normal7"/>
        <w:spacing w:before="120" w:after="120"/>
        <w:jc w:val="both"/>
        <w:rPr>
          <w:noProof/>
        </w:rPr>
      </w:pPr>
      <w:r>
        <w:rPr>
          <w:noProof/>
        </w:rPr>
        <w:t>Investīcijas un reformas saskaņā ar šo komponentu palīdz īstenot Itālijai 2020. un 201</w:t>
      </w:r>
      <w:r>
        <w:rPr>
          <w:noProof/>
        </w:rPr>
        <w:t>9. gadā adresētos konkrētai valstij adresētos ieteikumus par nepieciešamību “koncentrēt investīcijas uz zaļo un digitālo pārkārtošanos, jo īpaši uz [...] tīru un efektīvu enerģijas ražošanu un izmantošanu [...] ilgtspējīgam sabiedriskajam transportam” (202</w:t>
      </w:r>
      <w:r>
        <w:rPr>
          <w:noProof/>
        </w:rPr>
        <w:t>0. gada KVAI Nr. 3) un “ar investīcijām saistīto ekonomikas politiku vērst uz [...] un infrastruktūras kvalitāti, ņemot vērā arī reģionālās atšķirības” (2019. gada konkrētai valstij adresētais ieteikums Nr. 3).</w:t>
      </w:r>
    </w:p>
    <w:p w14:paraId="4E3F9F5B" w14:textId="77777777" w:rsidR="00327FF1" w:rsidRDefault="00E406C7">
      <w:pPr>
        <w:pStyle w:val="P68B1DB1-Normal7"/>
        <w:spacing w:before="120" w:after="120" w:line="257" w:lineRule="auto"/>
        <w:jc w:val="both"/>
        <w:rPr>
          <w:noProof/>
        </w:rPr>
      </w:pPr>
      <w:r>
        <w:rPr>
          <w:noProof/>
        </w:rPr>
        <w:t>Komponents atbalsta Itālijai izdotās pamatnos</w:t>
      </w:r>
      <w:r>
        <w:rPr>
          <w:noProof/>
        </w:rPr>
        <w:t>tādnes par nacionālā enerģētikas un klimata plāna īstenošanu (SWD(2020) 911 final), kurās Itālija tika aicināta veicināt, pārveidot un atjaunot esošās atjaunīgās enerģijas iekārtas, jo īpaši esošās vēja elektrostacijas, un izpētīt inovatīvu atkrastes enerģ</w:t>
      </w:r>
      <w:r>
        <w:rPr>
          <w:noProof/>
        </w:rPr>
        <w:t>iju visā Vidusjūras reģionā.</w:t>
      </w:r>
    </w:p>
    <w:p w14:paraId="79D1334E" w14:textId="355BD092" w:rsidR="00327FF1" w:rsidRDefault="00E406C7">
      <w:pPr>
        <w:pStyle w:val="P68B1DB1-Normal7"/>
        <w:spacing w:before="120" w:after="120"/>
        <w:jc w:val="both"/>
        <w:rPr>
          <w:noProof/>
        </w:rPr>
      </w:pPr>
      <w:r>
        <w:rPr>
          <w:noProof/>
        </w:rPr>
        <w:t xml:space="preserve">Paredzams, ka neviens pasākums šajā komponentā būtiski nekaitēs vides mērķiem Regulas (ES) 2020/852 17. panta nozīmē, ņemot vērā atveseļošanas un noturības plānā izklāstīto pasākumu aprakstu un mazināšanas pasākumus saskaņā ar </w:t>
      </w:r>
      <w:r>
        <w:rPr>
          <w:noProof/>
        </w:rPr>
        <w:t xml:space="preserve">DNSH tehniskajiem norādījumiem (2021/C58/01). </w:t>
      </w:r>
    </w:p>
    <w:p w14:paraId="69AA41F3" w14:textId="77777777" w:rsidR="00327FF1" w:rsidRDefault="00E406C7">
      <w:pPr>
        <w:pStyle w:val="P68B1DB1-Heading359"/>
        <w:ind w:left="850" w:hanging="850"/>
        <w:rPr>
          <w:b/>
          <w:bCs/>
          <w:i/>
          <w:iCs/>
          <w:noProof/>
          <w:color w:val="156082" w:themeColor="accent1"/>
          <w:u w:val="single"/>
        </w:rPr>
      </w:pPr>
      <w:r>
        <w:rPr>
          <w:b/>
          <w:noProof/>
          <w:u w:val="single"/>
        </w:rPr>
        <w:t xml:space="preserve">E.1. </w:t>
      </w:r>
      <w:r>
        <w:rPr>
          <w:noProof/>
        </w:rPr>
        <w:t xml:space="preserve"> </w:t>
      </w:r>
      <w:r>
        <w:rPr>
          <w:b/>
          <w:noProof/>
          <w:u w:val="single"/>
        </w:rPr>
        <w:t>Reformu un investīciju apraksts neatmaksājamam finansiālajam atbalstam</w:t>
      </w:r>
    </w:p>
    <w:p w14:paraId="43B108FA" w14:textId="77777777" w:rsidR="00327FF1" w:rsidRDefault="00E406C7">
      <w:pPr>
        <w:pStyle w:val="P68B1DB1-Normal5"/>
        <w:spacing w:before="120" w:after="120"/>
        <w:jc w:val="both"/>
        <w:rPr>
          <w:noProof/>
        </w:rPr>
      </w:pPr>
      <w:r>
        <w:rPr>
          <w:noProof/>
        </w:rPr>
        <w:t xml:space="preserve">Reforma Nr. 1 — Atļauju piešķiršanas procedūru vienkāršošana atjaunīgo energoresursu stacijām uz sauszemes un atkrastes stacijām un </w:t>
      </w:r>
      <w:r>
        <w:rPr>
          <w:noProof/>
        </w:rPr>
        <w:t>jauns tiesiskais regulējums, lai atbalstītu ražošanu no atjaunojamiem energoresursiem, kā arī pašreizējo atbalsta shēmu laika un atbilstības pagarināšana</w:t>
      </w:r>
    </w:p>
    <w:p w14:paraId="79B248C4" w14:textId="77777777" w:rsidR="00327FF1" w:rsidRDefault="00E406C7">
      <w:pPr>
        <w:pStyle w:val="P68B1DB1-Normal7"/>
        <w:spacing w:before="120" w:after="120"/>
        <w:jc w:val="both"/>
        <w:rPr>
          <w:noProof/>
        </w:rPr>
      </w:pPr>
      <w:r>
        <w:rPr>
          <w:noProof/>
        </w:rPr>
        <w:t>Šī reforma ietver:</w:t>
      </w:r>
    </w:p>
    <w:p w14:paraId="479E8143" w14:textId="3231CA44" w:rsidR="00327FF1" w:rsidRDefault="00E406C7">
      <w:pPr>
        <w:pStyle w:val="P68B1DB1-Normal7"/>
        <w:numPr>
          <w:ilvl w:val="0"/>
          <w:numId w:val="26"/>
        </w:numPr>
        <w:spacing w:before="120" w:after="120"/>
        <w:ind w:left="360"/>
        <w:contextualSpacing/>
        <w:jc w:val="both"/>
        <w:rPr>
          <w:noProof/>
        </w:rPr>
      </w:pPr>
      <w:r>
        <w:rPr>
          <w:noProof/>
        </w:rPr>
        <w:t>stājas spēkā vienkāršošanas pasākumi attiecībā uz atjaunojamo energoresursu iekārtā</w:t>
      </w:r>
      <w:r>
        <w:rPr>
          <w:noProof/>
        </w:rPr>
        <w:t xml:space="preserve">m un esošo elektrostaciju energoatjaunināšana un pārveidošana saskaņā ar 2020. gada 17. jūlija Dekrētlikuma Nr. 76 (“Vienkāršošanas dekrēts”) noteikumiem; </w:t>
      </w:r>
    </w:p>
    <w:p w14:paraId="26D1BD22" w14:textId="77777777" w:rsidR="00327FF1" w:rsidRDefault="00E406C7">
      <w:pPr>
        <w:pStyle w:val="P68B1DB1-Normal7"/>
        <w:numPr>
          <w:ilvl w:val="0"/>
          <w:numId w:val="26"/>
        </w:numPr>
        <w:spacing w:before="120" w:after="120"/>
        <w:ind w:left="360"/>
        <w:contextualSpacing/>
        <w:jc w:val="both"/>
        <w:rPr>
          <w:noProof/>
        </w:rPr>
      </w:pPr>
      <w:r>
        <w:rPr>
          <w:noProof/>
        </w:rPr>
        <w:t xml:space="preserve">pieņemt dekrētu, kas saskaņots ar reģioniem un citām attiecīgajām valsts pārvaldes iestādēm un kura </w:t>
      </w:r>
      <w:r>
        <w:rPr>
          <w:noProof/>
        </w:rPr>
        <w:t xml:space="preserve">mērķis ir noteikt kritērijus to teritoriju noteikšanai, kas ir piemērotas un nav piemērotas tādu atjaunojamās enerģijas staciju uzstādīšanai, kuru papildu jauda ir vismaz 73 GW, saskaņā ar PNIEC atjaunināto versiju, lai sasniegtu atjaunojamo energoresursu </w:t>
      </w:r>
      <w:r>
        <w:rPr>
          <w:noProof/>
        </w:rPr>
        <w:t xml:space="preserve">attīstības mērķus; </w:t>
      </w:r>
    </w:p>
    <w:p w14:paraId="57519A5E" w14:textId="77777777" w:rsidR="00327FF1" w:rsidRDefault="00E406C7">
      <w:pPr>
        <w:pStyle w:val="P68B1DB1-Normal7"/>
        <w:numPr>
          <w:ilvl w:val="0"/>
          <w:numId w:val="26"/>
        </w:numPr>
        <w:spacing w:before="120" w:after="120"/>
        <w:ind w:left="360"/>
        <w:contextualSpacing/>
        <w:jc w:val="both"/>
        <w:rPr>
          <w:noProof/>
        </w:rPr>
      </w:pPr>
      <w:r>
        <w:rPr>
          <w:noProof/>
        </w:rPr>
        <w:t>AER atbalsta mehānisma pabeigšana arī attiecībā uz papildu nenobriedušām tehnoloģijām vai tehnoloģijām ar augstām darbības izmaksām un tā dēvētā RES1 mehānisma izsoles perioda pagarināšana, vienlaikus saglabājot konkurētspējīgas piekļuv</w:t>
      </w:r>
      <w:r>
        <w:rPr>
          <w:noProof/>
        </w:rPr>
        <w:t xml:space="preserve">es principu; </w:t>
      </w:r>
    </w:p>
    <w:p w14:paraId="709BD9E4" w14:textId="77777777" w:rsidR="00327FF1" w:rsidRDefault="00E406C7">
      <w:pPr>
        <w:pStyle w:val="P68B1DB1-Normal7"/>
        <w:numPr>
          <w:ilvl w:val="0"/>
          <w:numId w:val="26"/>
        </w:numPr>
        <w:spacing w:before="120" w:after="120"/>
        <w:ind w:left="360"/>
        <w:contextualSpacing/>
        <w:jc w:val="both"/>
        <w:rPr>
          <w:noProof/>
        </w:rPr>
      </w:pPr>
      <w:r>
        <w:rPr>
          <w:noProof/>
        </w:rPr>
        <w:t>noteikumi investīciju veicināšanai uzglabāšanas sistēmās leģislatīvajā dekrētā, ar ko transponē Direktīvu (ES) 2019/944 par kopīgiem noteikumiem attiecībā uz elektroenerģijas iekšējo tirgu.</w:t>
      </w:r>
    </w:p>
    <w:p w14:paraId="5D1F197A" w14:textId="77777777" w:rsidR="00327FF1" w:rsidRDefault="00E406C7">
      <w:pPr>
        <w:pStyle w:val="P68B1DB1-Normal5"/>
        <w:spacing w:before="120" w:after="120"/>
        <w:jc w:val="both"/>
        <w:rPr>
          <w:noProof/>
        </w:rPr>
      </w:pPr>
      <w:r>
        <w:rPr>
          <w:noProof/>
        </w:rPr>
        <w:t>Reforma — Jauni tiesību akti atjaunīgās gāzes ražoša</w:t>
      </w:r>
      <w:r>
        <w:rPr>
          <w:noProof/>
        </w:rPr>
        <w:t>nas un patēriņa veicināšanai</w:t>
      </w:r>
    </w:p>
    <w:p w14:paraId="0D213763" w14:textId="77777777" w:rsidR="00327FF1" w:rsidRDefault="00E406C7">
      <w:pPr>
        <w:pStyle w:val="P68B1DB1-Normal7"/>
        <w:spacing w:before="120" w:after="120"/>
        <w:jc w:val="both"/>
        <w:rPr>
          <w:noProof/>
        </w:rPr>
      </w:pPr>
      <w:r>
        <w:rPr>
          <w:noProof/>
        </w:rPr>
        <w:t>Šī reforma paredz pastiprināt atbalstu tīram biometānam, pieņemot tiesību aktus, lai paplašinātu to biometāna projektu tvērumu, kuri ir tiesīgi saņemt atbalstu, un pagarinātu laikposmu dotāciju pieejamībai. Biometāns atbilst At</w:t>
      </w:r>
      <w:r>
        <w:rPr>
          <w:noProof/>
        </w:rPr>
        <w:t>jaunojamo energoresursu direktīvā (ES) 2018/2001 (REDII) noteiktajiem kritērijiem, lai pasākums atbilstu principam “nenodarīt būtisku kaitējumu” un attiecīgajām Regulas (ES) 2021/241 VI pielikuma 8. zemsvītras piezīmes prasībām.</w:t>
      </w:r>
    </w:p>
    <w:p w14:paraId="4E56912E" w14:textId="77777777" w:rsidR="00327FF1" w:rsidRDefault="00E406C7">
      <w:pPr>
        <w:pStyle w:val="P68B1DB1-Normal5"/>
        <w:spacing w:before="120" w:after="120"/>
        <w:jc w:val="both"/>
        <w:rPr>
          <w:noProof/>
        </w:rPr>
      </w:pPr>
      <w:r>
        <w:rPr>
          <w:noProof/>
        </w:rPr>
        <w:t>Reforma. Administratīvā vie</w:t>
      </w:r>
      <w:r>
        <w:rPr>
          <w:noProof/>
        </w:rPr>
        <w:t>nkāršošana un regulatīvo šķēršļu mazināšana ūdeņraža ieviešanai</w:t>
      </w:r>
    </w:p>
    <w:p w14:paraId="6A0C5EBC" w14:textId="77777777" w:rsidR="00327FF1" w:rsidRDefault="00E406C7">
      <w:pPr>
        <w:pStyle w:val="P68B1DB1-Normal7"/>
        <w:spacing w:before="120" w:after="120"/>
        <w:jc w:val="both"/>
        <w:rPr>
          <w:noProof/>
        </w:rPr>
      </w:pPr>
      <w:r>
        <w:rPr>
          <w:noProof/>
        </w:rPr>
        <w:t>Šī reforma ietver tāda tiesiskā regulējuma stāšanos spēkā, kura mērķis ir veicināt ūdeņraža kā atjaunojama enerģijas avota izmantošanu. Šis tiesiskais regulējums ietver:</w:t>
      </w:r>
    </w:p>
    <w:p w14:paraId="779B4802" w14:textId="77777777" w:rsidR="00327FF1" w:rsidRDefault="00E406C7">
      <w:pPr>
        <w:pStyle w:val="P68B1DB1-Normal7"/>
        <w:numPr>
          <w:ilvl w:val="0"/>
          <w:numId w:val="26"/>
        </w:numPr>
        <w:spacing w:before="120" w:after="120"/>
        <w:ind w:left="360"/>
        <w:contextualSpacing/>
        <w:jc w:val="both"/>
        <w:rPr>
          <w:noProof/>
        </w:rPr>
      </w:pPr>
      <w:r>
        <w:rPr>
          <w:noProof/>
        </w:rPr>
        <w:t>Tehniskās drošības not</w:t>
      </w:r>
      <w:r>
        <w:rPr>
          <w:noProof/>
        </w:rPr>
        <w:t>eikumi par ūdeņraža ražošanu, transportēšanu, (tehniskie un regulatīvie kritēriji ūdeņraža ieviešanai dabasgāzes tīklā), uzglabāšanu un izmantošanu;</w:t>
      </w:r>
    </w:p>
    <w:p w14:paraId="1B265C48" w14:textId="1E5D4663" w:rsidR="00327FF1" w:rsidRDefault="00E406C7">
      <w:pPr>
        <w:pStyle w:val="P68B1DB1-Normal7"/>
        <w:numPr>
          <w:ilvl w:val="0"/>
          <w:numId w:val="26"/>
        </w:numPr>
        <w:spacing w:before="120" w:after="120"/>
        <w:ind w:left="360"/>
        <w:contextualSpacing/>
        <w:jc w:val="both"/>
        <w:rPr>
          <w:noProof/>
        </w:rPr>
      </w:pPr>
      <w:r>
        <w:rPr>
          <w:noProof/>
        </w:rPr>
        <w:t>Paātrināta atļaujas piešķiršanas procedūra ar vienas pieturas aģentūras procedūru, lai saņemtu atļauju būvē</w:t>
      </w:r>
      <w:r>
        <w:rPr>
          <w:noProof/>
        </w:rPr>
        <w:t xml:space="preserve">t un ekspluatēt maza mēroga ūdeņraža ražotni (elektrolīzeru iekārtām, kuru jauda ir mazāka par 1–5 MW; uzglabāšanas slieksni nosaka iepriekš minētajos ūdeņraža tehniskās drošības noteikumos). </w:t>
      </w:r>
    </w:p>
    <w:p w14:paraId="29AEEAD5" w14:textId="77777777" w:rsidR="00327FF1" w:rsidRDefault="00E406C7">
      <w:pPr>
        <w:pStyle w:val="P68B1DB1-Normal7"/>
        <w:numPr>
          <w:ilvl w:val="0"/>
          <w:numId w:val="26"/>
        </w:numPr>
        <w:spacing w:before="120" w:after="120"/>
        <w:ind w:left="360"/>
        <w:contextualSpacing/>
        <w:jc w:val="both"/>
        <w:rPr>
          <w:noProof/>
        </w:rPr>
      </w:pPr>
      <w:r>
        <w:rPr>
          <w:noProof/>
        </w:rPr>
        <w:t>Regulējums par ūdeņraža ražotņu dalību tīkla pakalpojumos. Ener</w:t>
      </w:r>
      <w:r>
        <w:rPr>
          <w:noProof/>
        </w:rPr>
        <w:t>goregulatoram (ARERA) ir uzdots pēc apspriešanās ar ieinteresētajām personām pieņemt īpašu regulatīvu pasākumu.</w:t>
      </w:r>
    </w:p>
    <w:p w14:paraId="3673BB75" w14:textId="77777777" w:rsidR="00327FF1" w:rsidRDefault="00E406C7">
      <w:pPr>
        <w:pStyle w:val="P68B1DB1-Normal7"/>
        <w:numPr>
          <w:ilvl w:val="0"/>
          <w:numId w:val="26"/>
        </w:numPr>
        <w:spacing w:before="120" w:after="120"/>
        <w:ind w:left="360"/>
        <w:contextualSpacing/>
        <w:jc w:val="both"/>
        <w:rPr>
          <w:noProof/>
        </w:rPr>
      </w:pPr>
      <w:r>
        <w:rPr>
          <w:noProof/>
        </w:rPr>
        <w:t>Atjaunīgā ūdeņraža izcelsmes apliecinājumu sistēma, lai patērētājiem dotu cenu signālus.</w:t>
      </w:r>
    </w:p>
    <w:p w14:paraId="10EB3553" w14:textId="77777777" w:rsidR="00327FF1" w:rsidRDefault="00E406C7">
      <w:pPr>
        <w:pStyle w:val="P68B1DB1-Normal7"/>
        <w:numPr>
          <w:ilvl w:val="0"/>
          <w:numId w:val="26"/>
        </w:numPr>
        <w:spacing w:before="120" w:after="120"/>
        <w:ind w:left="360"/>
        <w:contextualSpacing/>
        <w:jc w:val="both"/>
        <w:rPr>
          <w:noProof/>
        </w:rPr>
      </w:pPr>
      <w:r>
        <w:rPr>
          <w:noProof/>
        </w:rPr>
        <w:t xml:space="preserve">Procedūras un/vai kritēriji izvēlēto uzpildes zonu </w:t>
      </w:r>
      <w:r>
        <w:rPr>
          <w:noProof/>
        </w:rPr>
        <w:t xml:space="preserve">noteikšanai gar automaģistrālēm, lai optimizētu uzpildes staciju atrašanās vietu nolūkā izveidot H2 koridorus kravas automobiļiem, sākot no Ziemeļitālijas reģioniem līdz Po ielejai un loģistikas centriem un galvenajām automaģistrālēm gar pussalu. </w:t>
      </w:r>
    </w:p>
    <w:p w14:paraId="2A695F03" w14:textId="77777777" w:rsidR="00327FF1" w:rsidRDefault="00E406C7">
      <w:pPr>
        <w:pStyle w:val="P68B1DB1-Normal7"/>
        <w:numPr>
          <w:ilvl w:val="0"/>
          <w:numId w:val="26"/>
        </w:numPr>
        <w:spacing w:before="120" w:after="120"/>
        <w:ind w:left="357" w:hanging="357"/>
        <w:jc w:val="both"/>
        <w:rPr>
          <w:noProof/>
        </w:rPr>
      </w:pPr>
      <w:r>
        <w:rPr>
          <w:noProof/>
        </w:rPr>
        <w:t>Koordinē</w:t>
      </w:r>
      <w:r>
        <w:rPr>
          <w:noProof/>
        </w:rPr>
        <w:t>t valsts pārvades sistēmas operatora (PSO) 10 gadu attīstības plānu ar citu Eiropas PSO plāniem, kuru mērķis ir izstrādāt kopīgus standartus ūdeņraža transportēšanai, izmantojot esošos gāzes cauruļvadus vai specializētos cauruļvadus.</w:t>
      </w:r>
    </w:p>
    <w:p w14:paraId="276EAFDD" w14:textId="77777777" w:rsidR="00327FF1" w:rsidRDefault="00E406C7">
      <w:pPr>
        <w:pStyle w:val="P68B1DB1-Normal5"/>
        <w:spacing w:before="120" w:after="120"/>
        <w:jc w:val="both"/>
        <w:rPr>
          <w:noProof/>
        </w:rPr>
      </w:pPr>
      <w:r>
        <w:rPr>
          <w:noProof/>
        </w:rPr>
        <w:t>Reforma. Pasākumi ūdeņ</w:t>
      </w:r>
      <w:r>
        <w:rPr>
          <w:noProof/>
        </w:rPr>
        <w:t>raža konkurētspējas veicināšanai</w:t>
      </w:r>
    </w:p>
    <w:p w14:paraId="5C5D667C" w14:textId="77777777" w:rsidR="00327FF1" w:rsidRDefault="00E406C7">
      <w:pPr>
        <w:pStyle w:val="P68B1DB1-Normal7"/>
        <w:spacing w:before="120" w:after="120"/>
        <w:jc w:val="both"/>
        <w:rPr>
          <w:noProof/>
        </w:rPr>
      </w:pPr>
      <w:r>
        <w:rPr>
          <w:noProof/>
        </w:rPr>
        <w:t>Šī reforma ietver nodokļu pasākumu pieņemšanu, lai stimulētu ūdeņraža ražošanu un/vai izmantošanu saskaņā ar ES noteikumiem par nodokļiem, un AED II direktīvas transponēšanu. Ar šo pasākumu atbalsta ūdeņraža ražošanu, kas p</w:t>
      </w:r>
      <w:r>
        <w:rPr>
          <w:noProof/>
        </w:rPr>
        <w:t>amatojas uz elektrolīzi, kurā tiek izmantoti Direktīvā (ES) 2018/2001 (Atjaunīgo energoresursu direktīvā) definētie atjaunīgie energoresursi vai tīkla elektroenerģija.”.</w:t>
      </w:r>
    </w:p>
    <w:p w14:paraId="06317B8B" w14:textId="77777777" w:rsidR="00327FF1" w:rsidRDefault="00E406C7">
      <w:pPr>
        <w:pStyle w:val="P68B1DB1-Normal5"/>
        <w:spacing w:after="200" w:line="276" w:lineRule="auto"/>
        <w:rPr>
          <w:noProof/>
        </w:rPr>
      </w:pPr>
      <w:r>
        <w:rPr>
          <w:noProof/>
        </w:rPr>
        <w:t>Reforma — viedākas projektu izvērtēšanas procedūras vietējā sabiedriskā transporta sis</w:t>
      </w:r>
      <w:r>
        <w:rPr>
          <w:noProof/>
        </w:rPr>
        <w:t>tēmu nozarē ar stacionārām iekārtām un ātrā masu transporta nozarē</w:t>
      </w:r>
    </w:p>
    <w:p w14:paraId="335D2477" w14:textId="77777777" w:rsidR="00327FF1" w:rsidRDefault="00E406C7">
      <w:pPr>
        <w:pStyle w:val="P68B1DB1-Normal7"/>
        <w:spacing w:before="120" w:after="120"/>
        <w:jc w:val="both"/>
        <w:rPr>
          <w:noProof/>
        </w:rPr>
      </w:pPr>
      <w:r>
        <w:rPr>
          <w:noProof/>
        </w:rPr>
        <w:t xml:space="preserve">Šī reforma ietver tiesību aktu pieņemšanu, skaidri nosakot atbildību vietējā sabiedriskā transporta projektu apstiprināšanā un maksājumu procedūras vienkāršošanu. </w:t>
      </w:r>
    </w:p>
    <w:p w14:paraId="5B609108" w14:textId="77777777" w:rsidR="00327FF1" w:rsidRDefault="00E406C7">
      <w:pPr>
        <w:pStyle w:val="P68B1DB1-Normal5"/>
        <w:spacing w:before="120" w:after="120"/>
        <w:jc w:val="both"/>
        <w:rPr>
          <w:bCs/>
          <w:noProof/>
        </w:rPr>
      </w:pPr>
      <w:r>
        <w:rPr>
          <w:noProof/>
        </w:rPr>
        <w:t xml:space="preserve">Investīcija 2.1. </w:t>
      </w:r>
      <w:r>
        <w:rPr>
          <w:noProof/>
        </w:rPr>
        <w:t>“Viedtīklu stiprināšana”</w:t>
      </w:r>
    </w:p>
    <w:p w14:paraId="22A8B5B4" w14:textId="77777777" w:rsidR="00327FF1" w:rsidRDefault="00E406C7">
      <w:pPr>
        <w:pStyle w:val="P68B1DB1-Normal7"/>
        <w:spacing w:before="120" w:after="120"/>
        <w:jc w:val="both"/>
        <w:rPr>
          <w:noProof/>
        </w:rPr>
      </w:pPr>
      <w:r>
        <w:rPr>
          <w:noProof/>
        </w:rPr>
        <w:t>Šīs investīcijas mērķis ir elektroenerģijas sadales tīkla infrastruktūras modernizācija un digitalizācija. Investīcija ietver dotāciju piešķiršanu sadales tīklu operatoriem, lai finansētu intervences, kas palielina sadales tīkla mi</w:t>
      </w:r>
      <w:r>
        <w:rPr>
          <w:noProof/>
        </w:rPr>
        <w:t>tināšanas jaudu, kā arī mājsaimniecībām pieejamo jaudu enerģijas patēriņa elektrifikācijai.</w:t>
      </w:r>
    </w:p>
    <w:p w14:paraId="7F630D84" w14:textId="77777777" w:rsidR="00327FF1" w:rsidRDefault="00E406C7">
      <w:pPr>
        <w:pStyle w:val="P68B1DB1-Normal7"/>
        <w:rPr>
          <w:b/>
          <w:bCs/>
          <w:noProof/>
        </w:rPr>
      </w:pPr>
      <w:r>
        <w:rPr>
          <w:noProof/>
        </w:rPr>
        <w:br w:type="page"/>
      </w:r>
    </w:p>
    <w:p w14:paraId="3D4F6D0B" w14:textId="362332DD" w:rsidR="00327FF1" w:rsidRDefault="00E406C7">
      <w:pPr>
        <w:pStyle w:val="P68B1DB1-Normal5"/>
        <w:spacing w:before="120" w:after="120"/>
        <w:jc w:val="both"/>
        <w:rPr>
          <w:bCs/>
          <w:noProof/>
        </w:rPr>
      </w:pPr>
      <w:r>
        <w:rPr>
          <w:noProof/>
        </w:rPr>
        <w:t>Investīcija 2.2. — Intervences pasākumi elektrotīkla noturības palielināšanai</w:t>
      </w:r>
    </w:p>
    <w:p w14:paraId="2B1710BF" w14:textId="77BAA317" w:rsidR="00327FF1" w:rsidRDefault="00E406C7">
      <w:pPr>
        <w:pStyle w:val="P68B1DB1-Normal7"/>
        <w:spacing w:before="120" w:after="120"/>
        <w:jc w:val="both"/>
        <w:rPr>
          <w:noProof/>
        </w:rPr>
      </w:pPr>
      <w:r>
        <w:rPr>
          <w:noProof/>
        </w:rPr>
        <w:t>Šīs investīcijas mērķis ir padarīt elektrotīklu noturīgu pret ekstremāliem laikapstā</w:t>
      </w:r>
      <w:r>
        <w:rPr>
          <w:noProof/>
        </w:rPr>
        <w:t>kļiem, tādējādi samazinot elektroapgādes ilgstošu pārtraukumu iespējamību. Investīcija ietver dotāciju piešķiršanu pārvades un sadales sistēmu operatoriem elektroenerģijas infrastruktūras darbiem.</w:t>
      </w:r>
    </w:p>
    <w:p w14:paraId="174CC013" w14:textId="77777777" w:rsidR="00327FF1" w:rsidRDefault="00E406C7">
      <w:pPr>
        <w:pStyle w:val="P68B1DB1-Normal5"/>
        <w:spacing w:before="120" w:after="120"/>
        <w:jc w:val="both"/>
        <w:rPr>
          <w:noProof/>
        </w:rPr>
      </w:pPr>
      <w:r>
        <w:rPr>
          <w:noProof/>
        </w:rPr>
        <w:t>Investīcija 4.1. Ieguldījumi vidi saudzējošā mobilitātē (va</w:t>
      </w:r>
      <w:r>
        <w:rPr>
          <w:noProof/>
        </w:rPr>
        <w:t>lsts cikla ceļa plāns)</w:t>
      </w:r>
    </w:p>
    <w:p w14:paraId="020318A8" w14:textId="267D1A3E" w:rsidR="00327FF1" w:rsidRDefault="00E406C7">
      <w:pPr>
        <w:pStyle w:val="P68B1DB1-Normal7"/>
        <w:spacing w:before="120" w:after="120"/>
        <w:jc w:val="both"/>
        <w:rPr>
          <w:noProof/>
        </w:rPr>
      </w:pPr>
      <w:r>
        <w:rPr>
          <w:noProof/>
        </w:rPr>
        <w:t>Šīs investīcijas mērķis ir izveidot veloceliņus, lai atvieglotu pārvietošanos starp vietām lielpilsētu teritorijās vai pilsētās, kurās atrodas universitātes. Šis ieguldījums ietver vismaz 1 261 km veloceliņu būvniecību lielpilsētu te</w:t>
      </w:r>
      <w:r>
        <w:rPr>
          <w:noProof/>
        </w:rPr>
        <w:t>ritorijās un tūrisma veloceliņu būvniecību.</w:t>
      </w:r>
    </w:p>
    <w:p w14:paraId="768B7461" w14:textId="6B60F77B" w:rsidR="00327FF1" w:rsidRDefault="00E406C7">
      <w:pPr>
        <w:pStyle w:val="P68B1DB1-Normal5"/>
        <w:spacing w:before="120" w:after="120"/>
        <w:jc w:val="both"/>
        <w:rPr>
          <w:bCs/>
          <w:noProof/>
        </w:rPr>
      </w:pPr>
      <w:r>
        <w:rPr>
          <w:noProof/>
        </w:rPr>
        <w:t>Investīcija 4.3. — Uzlādes infrastruktūras uzstādīšana</w:t>
      </w:r>
    </w:p>
    <w:p w14:paraId="1A9D0795" w14:textId="0D736120" w:rsidR="00327FF1" w:rsidRDefault="00E406C7">
      <w:pPr>
        <w:pStyle w:val="P68B1DB1-Normal7"/>
        <w:spacing w:before="120" w:after="120"/>
        <w:jc w:val="both"/>
        <w:rPr>
          <w:noProof/>
        </w:rPr>
      </w:pPr>
      <w:r>
        <w:rPr>
          <w:noProof/>
        </w:rPr>
        <w:t>Šīs investīcijas mērķis ir atbalstīt transporta nozares dekarbonizāciju. Šī investīcija ietver finansējumu ātras publiskās uzlādes infrastruktūras punktu uzs</w:t>
      </w:r>
      <w:r>
        <w:rPr>
          <w:noProof/>
        </w:rPr>
        <w:t>tādīšanai brīvceļos un pilsētu teritorijās.</w:t>
      </w:r>
    </w:p>
    <w:p w14:paraId="512DB2D0" w14:textId="2A085DB7" w:rsidR="00327FF1" w:rsidRDefault="00E406C7">
      <w:pPr>
        <w:pStyle w:val="P68B1DB1-Normal5"/>
        <w:spacing w:after="120"/>
        <w:jc w:val="both"/>
        <w:rPr>
          <w:bCs/>
          <w:noProof/>
        </w:rPr>
      </w:pPr>
      <w:r>
        <w:rPr>
          <w:noProof/>
        </w:rPr>
        <w:t>Investīcija — Reģionālā sabiedriskā transporta bezemisiju autobusu autoparka stiprināšana</w:t>
      </w:r>
    </w:p>
    <w:p w14:paraId="6131C7C0" w14:textId="77777777" w:rsidR="00327FF1" w:rsidRDefault="00E406C7">
      <w:pPr>
        <w:pStyle w:val="P68B1DB1-Normal7"/>
        <w:spacing w:after="120"/>
        <w:jc w:val="both"/>
        <w:rPr>
          <w:noProof/>
        </w:rPr>
      </w:pPr>
      <w:r>
        <w:rPr>
          <w:noProof/>
        </w:rPr>
        <w:t xml:space="preserve">Investīcijas mērķis ir samazināt siltumnīcefekta gāzu emisijas un modernizēt sabiedrisko autobusu parku. Šīs investīcijas </w:t>
      </w:r>
      <w:r>
        <w:rPr>
          <w:noProof/>
        </w:rPr>
        <w:t>ietver bezemisiju autobusu iepirkumu un uzlādes staciju uzstādīšanu.</w:t>
      </w:r>
    </w:p>
    <w:p w14:paraId="4ED4E15C" w14:textId="77777777" w:rsidR="00327FF1" w:rsidRDefault="00E406C7">
      <w:pPr>
        <w:pStyle w:val="P68B1DB1-Normal5"/>
        <w:spacing w:before="120" w:after="120"/>
        <w:jc w:val="both"/>
        <w:rPr>
          <w:bCs/>
          <w:noProof/>
        </w:rPr>
      </w:pPr>
      <w:r>
        <w:rPr>
          <w:noProof/>
        </w:rPr>
        <w:t xml:space="preserve">Investīcija — Valsts ugunsdzēsēju komandas flotes atjaunošana </w:t>
      </w:r>
    </w:p>
    <w:p w14:paraId="57D66163" w14:textId="2B183825" w:rsidR="00327FF1" w:rsidRDefault="00E406C7">
      <w:pPr>
        <w:spacing w:after="120"/>
        <w:jc w:val="both"/>
        <w:rPr>
          <w:rFonts w:ascii="Times New Roman" w:hAnsi="Times New Roman" w:cs="Times New Roman"/>
          <w:noProof/>
        </w:rPr>
      </w:pPr>
      <w:r>
        <w:rPr>
          <w:rFonts w:ascii="Times New Roman" w:hAnsi="Times New Roman" w:cs="Times New Roman"/>
          <w:noProof/>
        </w:rPr>
        <w:t xml:space="preserve">Investīcijas mērķis ir samazināt siltumnīcefekta gāzu emisijas un modernizēt ugunsdzēsēju brigādes floti. Šo ieguldījumu </w:t>
      </w:r>
      <w:r>
        <w:rPr>
          <w:rFonts w:ascii="Times New Roman" w:hAnsi="Times New Roman" w:cs="Times New Roman"/>
          <w:noProof/>
        </w:rPr>
        <w:t>veido vismaz</w:t>
      </w:r>
      <w:r>
        <w:rPr>
          <w:noProof/>
          <w:color w:val="006100"/>
          <w:sz w:val="20"/>
          <w:szCs w:val="20"/>
        </w:rPr>
        <w:t xml:space="preserve"> </w:t>
      </w:r>
      <w:r>
        <w:rPr>
          <w:rFonts w:ascii="Times New Roman" w:hAnsi="Times New Roman" w:cs="Times New Roman"/>
          <w:noProof/>
        </w:rPr>
        <w:t>3800 transportlīdzekļu iepirkums Valsts ugunsdzēsēju brigādei.</w:t>
      </w:r>
    </w:p>
    <w:p w14:paraId="377F68EB" w14:textId="77777777" w:rsidR="00327FF1" w:rsidRDefault="00E406C7">
      <w:pPr>
        <w:pStyle w:val="P68B1DB1-Normal5"/>
        <w:rPr>
          <w:bCs/>
          <w:noProof/>
        </w:rPr>
      </w:pPr>
      <w:r>
        <w:rPr>
          <w:noProof/>
        </w:rPr>
        <w:t>Investīcija — Privāto un vieglo komerciālo transportlīdzekļu autoparka atjaunošanas programma ar elektrotransportlīdzekļiem</w:t>
      </w:r>
    </w:p>
    <w:p w14:paraId="2DE8DE88" w14:textId="77777777" w:rsidR="00327FF1" w:rsidRDefault="00E406C7">
      <w:pPr>
        <w:pStyle w:val="P68B1DB1-Normal7"/>
        <w:rPr>
          <w:noProof/>
        </w:rPr>
      </w:pPr>
      <w:r>
        <w:rPr>
          <w:noProof/>
        </w:rPr>
        <w:t>Šīs investīcijas mērķis ir samazināt autotransporta radī</w:t>
      </w:r>
      <w:r>
        <w:rPr>
          <w:noProof/>
        </w:rPr>
        <w:t>to siltumnīcefekta gāzu un gaisa piesārņojumu pilsētu teritorijās. Šo ieguldījumu veido automašīnu sadalīšanas shēma, saskaņā ar kuru siltumenerģijas transportlīdzeklis tiek atdots un aizstāts ar no jauna iegādāto bezemisiju transportlīdzekli.</w:t>
      </w:r>
    </w:p>
    <w:p w14:paraId="6EE4F270" w14:textId="77777777" w:rsidR="00327FF1" w:rsidRDefault="00E406C7">
      <w:pPr>
        <w:pStyle w:val="P68B1DB1-Normal29"/>
        <w:spacing w:before="120" w:after="120"/>
        <w:jc w:val="both"/>
        <w:rPr>
          <w:bCs/>
          <w:noProof/>
        </w:rPr>
      </w:pPr>
      <w:r>
        <w:rPr>
          <w:noProof/>
        </w:rPr>
        <w:t xml:space="preserve">Investīcija </w:t>
      </w:r>
      <w:r>
        <w:rPr>
          <w:noProof/>
        </w:rPr>
        <w:t>5.4. Kapitāla iepludināšana Zaļās pārkārtošanās fondā (“GTF”), ko pārvalda CDP riska kapitāls SGR</w:t>
      </w:r>
    </w:p>
    <w:p w14:paraId="60359F7B" w14:textId="77777777" w:rsidR="00327FF1" w:rsidRDefault="00E406C7">
      <w:pPr>
        <w:pStyle w:val="P68B1DB1-Normal8"/>
        <w:spacing w:line="240" w:lineRule="auto"/>
        <w:jc w:val="both"/>
        <w:rPr>
          <w:noProof/>
        </w:rPr>
      </w:pPr>
      <w:r>
        <w:rPr>
          <w:noProof/>
        </w:rPr>
        <w:t>Šā pasākuma mērķis ir atbalstīt Itālijas ekonomikas izaugsmes potenciālu, stimulējot privātās investīcijas, uzlabojot finansējuma pieejamību jaunuzņēmumiem, k</w:t>
      </w:r>
      <w:r>
        <w:rPr>
          <w:noProof/>
        </w:rPr>
        <w:t xml:space="preserve">as iesaistīti zaļās pārkārtošanās procesā, un attīstot riska kapitāla tirgu šajā nozarē. Pasākums ietver kapitāla iepludināšanu 250 000 000 EUR apmērā Zaļās pārkārtošanās fondā (“GTF”), ko pārvalda CDP riska kapitāls SGR. </w:t>
      </w:r>
    </w:p>
    <w:p w14:paraId="3DD3515B" w14:textId="61FA2EDF" w:rsidR="00327FF1" w:rsidRDefault="00E406C7">
      <w:pPr>
        <w:pStyle w:val="P68B1DB1-LegalNumPar260"/>
        <w:numPr>
          <w:ilvl w:val="0"/>
          <w:numId w:val="0"/>
        </w:numPr>
        <w:spacing w:line="259" w:lineRule="auto"/>
        <w:jc w:val="both"/>
        <w:rPr>
          <w:noProof/>
        </w:rPr>
      </w:pPr>
      <w:r>
        <w:rPr>
          <w:noProof/>
        </w:rPr>
        <w:t>CDP riska kapitāls SGR pieņem ieg</w:t>
      </w:r>
      <w:r>
        <w:rPr>
          <w:noProof/>
        </w:rPr>
        <w:t>uldījumu politiku pašu kapitāla izmantošanai. Ieguldījumu politikā iekļauj aprakstu par finanšu produktu(-iem) ar paredzamo atbalsttiesīgo galasaņēmēju veidu, ko paredzēts atbalstīt ar pašu kapitālu, tostarp paredzamo 15 gadu īstenošanas grafiku un pārvald</w:t>
      </w:r>
      <w:r>
        <w:rPr>
          <w:noProof/>
        </w:rPr>
        <w:t>ības maksu ne vairāk kā 13 % apmērā.</w:t>
      </w:r>
      <w:r>
        <w:rPr>
          <w:noProof/>
        </w:rPr>
        <w:footnoteReference w:id="32"/>
      </w:r>
      <w:r>
        <w:rPr>
          <w:noProof/>
        </w:rPr>
        <w:t xml:space="preserve"> GTF darbojas, tieši vai netieši sniedzot pašu kapitāla, kvazikapitāla, parāda vai kvaziparāda atbalstu.</w:t>
      </w:r>
      <w:r>
        <w:rPr>
          <w:noProof/>
        </w:rPr>
        <w:footnoteReference w:id="33"/>
      </w:r>
      <w:r>
        <w:rPr>
          <w:noProof/>
        </w:rPr>
        <w:t xml:space="preserve"> CDP riska kapitāls SGR pieņem revīzijas un kontroles sistēmu, kas aprakstīta pamatnostādnēs “Linee Guida per le a</w:t>
      </w:r>
      <w:r>
        <w:rPr>
          <w:noProof/>
        </w:rPr>
        <w:t>ttività di rendicontazione e controllo dei Fondi DTF e GTF” pašu kapitāla izmantošanai. Ieguldījumu politika paredz, ka finanšu produkts(-i), ko atbalsta pašu kapitāls, atbilst principam “nenodari būtisku kaitējumu”, kā noteikts Tehniskajos norādījumos par</w:t>
      </w:r>
      <w:r>
        <w:rPr>
          <w:noProof/>
        </w:rPr>
        <w:t xml:space="preserve"> principa “nenodarīt būtisku kaitējumu” (2021/C58/01) ievērošanu. Jo īpaši, ja tiek sniegts vispārējs atbalsts darbības uzsākšanai, ieguldījumu politikā neiekļauj uzņēmumus, kas būtiski koncentrējas</w:t>
      </w:r>
      <w:r>
        <w:rPr>
          <w:noProof/>
        </w:rPr>
        <w:footnoteReference w:id="34"/>
      </w:r>
      <w:r>
        <w:rPr>
          <w:noProof/>
        </w:rPr>
        <w:t xml:space="preserve"> uz šādām nozarēm: I) enerģijas ražošana, izmantojot fosi</w:t>
      </w:r>
      <w:r>
        <w:rPr>
          <w:noProof/>
        </w:rPr>
        <w:t>lo kurināmo, un ar to saistītās darbības</w:t>
      </w:r>
      <w:r>
        <w:rPr>
          <w:noProof/>
        </w:rPr>
        <w:footnoteReference w:id="35"/>
      </w:r>
      <w:r>
        <w:rPr>
          <w:noProof/>
        </w:rPr>
        <w:t>; II) energoietilpīgas nozares un/vai nozares ar augstu CO2 emisiju līmeni</w:t>
      </w:r>
      <w:r>
        <w:rPr>
          <w:noProof/>
        </w:rPr>
        <w:footnoteReference w:id="36"/>
      </w:r>
      <w:r>
        <w:rPr>
          <w:noProof/>
        </w:rPr>
        <w:t>; III) piesārņojošu transportlīdzekļu ražošana, noma vai pārdošana</w:t>
      </w:r>
      <w:r>
        <w:rPr>
          <w:noProof/>
        </w:rPr>
        <w:footnoteReference w:id="37"/>
      </w:r>
      <w:r>
        <w:rPr>
          <w:noProof/>
        </w:rPr>
        <w:t>; IV) atkritumu savākšana, atkritumu apstrāde</w:t>
      </w:r>
      <w:r>
        <w:rPr>
          <w:noProof/>
        </w:rPr>
        <w:footnoteReference w:id="38"/>
      </w:r>
      <w:r>
        <w:rPr>
          <w:noProof/>
        </w:rPr>
        <w:t>un apglabāšana; v) kodoldeg</w:t>
      </w:r>
      <w:r>
        <w:rPr>
          <w:noProof/>
        </w:rPr>
        <w:t>vielas pārstrāde, kodolenerģijas ražošana. Turklāt ieguldījumu politikā jāparedz atbilstība attiecīgajiem ES un valstu tiesību aktiem vides jomā.</w:t>
      </w:r>
    </w:p>
    <w:p w14:paraId="23DD6B8B" w14:textId="77777777" w:rsidR="00327FF1" w:rsidRDefault="00327FF1">
      <w:pPr>
        <w:rPr>
          <w:rFonts w:ascii="Times New Roman" w:hAnsi="Times New Roman" w:cs="Times New Roman"/>
          <w:noProof/>
        </w:rPr>
      </w:pPr>
    </w:p>
    <w:p w14:paraId="59ADD51B" w14:textId="77777777" w:rsidR="00327FF1" w:rsidRDefault="00327FF1">
      <w:pPr>
        <w:rPr>
          <w:rFonts w:ascii="Times New Roman" w:hAnsi="Times New Roman" w:cs="Times New Roman"/>
          <w:noProof/>
        </w:rPr>
        <w:sectPr w:rsidR="00327FF1" w:rsidSect="00726CF9">
          <w:headerReference w:type="default" r:id="rId84"/>
          <w:footerReference w:type="default" r:id="rId85"/>
          <w:pgSz w:w="11906" w:h="16838"/>
          <w:pgMar w:top="1440" w:right="1440" w:bottom="1440" w:left="1440" w:header="708" w:footer="708" w:gutter="0"/>
          <w:cols w:space="708"/>
          <w:docGrid w:linePitch="360"/>
        </w:sectPr>
      </w:pPr>
    </w:p>
    <w:p w14:paraId="7CD55482" w14:textId="77777777" w:rsidR="00327FF1" w:rsidRDefault="00E406C7">
      <w:pPr>
        <w:pStyle w:val="P68B1DB1-Heading39"/>
        <w:ind w:left="850" w:hanging="850"/>
        <w:rPr>
          <w:b/>
          <w:bCs/>
          <w:i/>
          <w:iCs/>
          <w:noProof/>
          <w:u w:val="single"/>
        </w:rPr>
      </w:pPr>
      <w:r>
        <w:rPr>
          <w:b/>
          <w:noProof/>
          <w:u w:val="single"/>
        </w:rPr>
        <w:t xml:space="preserve">E.2. </w:t>
      </w:r>
      <w:r>
        <w:rPr>
          <w:noProof/>
        </w:rPr>
        <w:t xml:space="preserve"> </w:t>
      </w:r>
      <w:r>
        <w:rPr>
          <w:b/>
          <w:noProof/>
          <w:u w:val="single"/>
        </w:rPr>
        <w:t xml:space="preserve">Starpposma mērķi, mērķrādītāji, rādītāji un </w:t>
      </w:r>
      <w:r>
        <w:rPr>
          <w:b/>
          <w:noProof/>
          <w:u w:val="single"/>
        </w:rPr>
        <w:t>neatmaksājama finansiālā atbalsta uzraudzības un īstenošanas grafiks</w:t>
      </w:r>
    </w:p>
    <w:tbl>
      <w:tblPr>
        <w:tblW w:w="15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682"/>
        <w:gridCol w:w="1110"/>
        <w:gridCol w:w="1391"/>
        <w:gridCol w:w="1374"/>
        <w:gridCol w:w="1267"/>
        <w:gridCol w:w="1003"/>
        <w:gridCol w:w="1391"/>
        <w:gridCol w:w="975"/>
        <w:gridCol w:w="698"/>
        <w:gridCol w:w="3675"/>
      </w:tblGrid>
      <w:tr w:rsidR="00327FF1" w14:paraId="05895A6C" w14:textId="77777777">
        <w:trPr>
          <w:trHeight w:val="300"/>
          <w:tblHeader/>
          <w:jc w:val="center"/>
        </w:trPr>
        <w:tc>
          <w:tcPr>
            <w:tcW w:w="1101" w:type="dxa"/>
            <w:vMerge w:val="restart"/>
            <w:shd w:val="clear" w:color="auto" w:fill="BDD7EE"/>
            <w:noWrap/>
            <w:vAlign w:val="center"/>
          </w:tcPr>
          <w:p w14:paraId="1F17E80E" w14:textId="77777777" w:rsidR="00327FF1" w:rsidRDefault="00E406C7">
            <w:pPr>
              <w:pStyle w:val="P68B1DB1-Normal10"/>
              <w:spacing w:line="276" w:lineRule="auto"/>
              <w:jc w:val="center"/>
              <w:rPr>
                <w:noProof/>
                <w:color w:val="006100"/>
                <w:szCs w:val="20"/>
              </w:rPr>
            </w:pPr>
            <w:r>
              <w:rPr>
                <w:noProof/>
              </w:rPr>
              <w:t>Kārtas numurs</w:t>
            </w:r>
          </w:p>
        </w:tc>
        <w:tc>
          <w:tcPr>
            <w:tcW w:w="1682" w:type="dxa"/>
            <w:vMerge w:val="restart"/>
            <w:shd w:val="clear" w:color="auto" w:fill="BDD7EE"/>
            <w:noWrap/>
            <w:vAlign w:val="center"/>
          </w:tcPr>
          <w:p w14:paraId="732E190E" w14:textId="77777777" w:rsidR="00327FF1" w:rsidRDefault="00E406C7">
            <w:pPr>
              <w:pStyle w:val="P68B1DB1-Normal10"/>
              <w:spacing w:line="276" w:lineRule="auto"/>
              <w:jc w:val="center"/>
              <w:rPr>
                <w:noProof/>
                <w:color w:val="006100"/>
                <w:szCs w:val="20"/>
              </w:rPr>
            </w:pPr>
            <w:r>
              <w:rPr>
                <w:noProof/>
              </w:rPr>
              <w:t>Saistītais pasākums (reforma vai ieguldījums)</w:t>
            </w:r>
          </w:p>
        </w:tc>
        <w:tc>
          <w:tcPr>
            <w:tcW w:w="1110" w:type="dxa"/>
            <w:vMerge w:val="restart"/>
            <w:shd w:val="clear" w:color="auto" w:fill="BDD7EE"/>
            <w:noWrap/>
            <w:vAlign w:val="center"/>
          </w:tcPr>
          <w:p w14:paraId="4A842239" w14:textId="77777777" w:rsidR="00327FF1" w:rsidRDefault="00E406C7">
            <w:pPr>
              <w:pStyle w:val="P68B1DB1-Normal10"/>
              <w:spacing w:line="276" w:lineRule="auto"/>
              <w:jc w:val="center"/>
              <w:rPr>
                <w:noProof/>
                <w:color w:val="006100"/>
                <w:szCs w:val="20"/>
              </w:rPr>
            </w:pPr>
            <w:r>
              <w:rPr>
                <w:noProof/>
              </w:rPr>
              <w:t>Atskaites punkts/mērķrādītājs</w:t>
            </w:r>
          </w:p>
        </w:tc>
        <w:tc>
          <w:tcPr>
            <w:tcW w:w="1391" w:type="dxa"/>
            <w:vMerge w:val="restart"/>
            <w:shd w:val="clear" w:color="auto" w:fill="BDD7EE"/>
            <w:noWrap/>
            <w:vAlign w:val="center"/>
          </w:tcPr>
          <w:p w14:paraId="4A21D387" w14:textId="77777777" w:rsidR="00327FF1" w:rsidRDefault="00E406C7">
            <w:pPr>
              <w:pStyle w:val="P68B1DB1-Normal10"/>
              <w:spacing w:line="276" w:lineRule="auto"/>
              <w:jc w:val="center"/>
              <w:rPr>
                <w:noProof/>
                <w:color w:val="006100"/>
                <w:szCs w:val="20"/>
              </w:rPr>
            </w:pPr>
            <w:r>
              <w:rPr>
                <w:noProof/>
              </w:rPr>
              <w:t>Nosaukums</w:t>
            </w:r>
          </w:p>
        </w:tc>
        <w:tc>
          <w:tcPr>
            <w:tcW w:w="1374" w:type="dxa"/>
            <w:vMerge w:val="restart"/>
            <w:shd w:val="clear" w:color="auto" w:fill="BDD7EE"/>
            <w:noWrap/>
            <w:vAlign w:val="center"/>
          </w:tcPr>
          <w:p w14:paraId="0EBCAE53" w14:textId="77777777" w:rsidR="00327FF1" w:rsidRDefault="00E406C7">
            <w:pPr>
              <w:spacing w:line="276" w:lineRule="auto"/>
              <w:jc w:val="center"/>
              <w:rPr>
                <w:rFonts w:ascii="Arial Narrow" w:hAnsi="Arial Narrow"/>
                <w:noProof/>
                <w:color w:val="006100"/>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3661" w:type="dxa"/>
            <w:gridSpan w:val="3"/>
            <w:shd w:val="clear" w:color="auto" w:fill="BDD7EE"/>
            <w:noWrap/>
            <w:vAlign w:val="center"/>
          </w:tcPr>
          <w:p w14:paraId="7778562E" w14:textId="77777777" w:rsidR="00327FF1" w:rsidRDefault="00E406C7">
            <w:pPr>
              <w:spacing w:line="276" w:lineRule="auto"/>
              <w:jc w:val="center"/>
              <w:rPr>
                <w:rFonts w:ascii="Arial Narrow" w:hAnsi="Arial Narrow"/>
                <w:noProof/>
                <w:color w:val="006100"/>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673" w:type="dxa"/>
            <w:gridSpan w:val="2"/>
            <w:shd w:val="clear" w:color="auto" w:fill="BDD7EE"/>
            <w:noWrap/>
            <w:vAlign w:val="center"/>
          </w:tcPr>
          <w:p w14:paraId="5E8F0D1C" w14:textId="77777777" w:rsidR="00327FF1" w:rsidRDefault="00E406C7">
            <w:pPr>
              <w:pStyle w:val="P68B1DB1-Normal10"/>
              <w:spacing w:line="276" w:lineRule="auto"/>
              <w:jc w:val="center"/>
              <w:rPr>
                <w:noProof/>
                <w:color w:val="006100"/>
                <w:szCs w:val="20"/>
              </w:rPr>
            </w:pPr>
            <w:r>
              <w:rPr>
                <w:noProof/>
              </w:rPr>
              <w:t>Orientējošs pabeigšanas termiņš</w:t>
            </w:r>
          </w:p>
        </w:tc>
        <w:tc>
          <w:tcPr>
            <w:tcW w:w="3675" w:type="dxa"/>
            <w:vMerge w:val="restart"/>
            <w:shd w:val="clear" w:color="auto" w:fill="BDD7EE"/>
            <w:noWrap/>
            <w:vAlign w:val="center"/>
          </w:tcPr>
          <w:p w14:paraId="30F6C251" w14:textId="77777777" w:rsidR="00327FF1" w:rsidRDefault="00E406C7">
            <w:pPr>
              <w:pStyle w:val="P68B1DB1-Normal10"/>
              <w:spacing w:after="120"/>
              <w:rPr>
                <w:noProof/>
                <w:color w:val="006100"/>
                <w:szCs w:val="20"/>
              </w:rPr>
            </w:pPr>
            <w:r>
              <w:rPr>
                <w:noProof/>
              </w:rPr>
              <w:t>Apraksts par katru atskaites punktu un mērķrādītāju</w:t>
            </w:r>
          </w:p>
        </w:tc>
      </w:tr>
      <w:tr w:rsidR="00327FF1" w14:paraId="169065AF" w14:textId="77777777">
        <w:trPr>
          <w:trHeight w:val="300"/>
          <w:tblHeader/>
          <w:jc w:val="center"/>
        </w:trPr>
        <w:tc>
          <w:tcPr>
            <w:tcW w:w="1101" w:type="dxa"/>
            <w:vMerge/>
            <w:noWrap/>
            <w:vAlign w:val="center"/>
          </w:tcPr>
          <w:p w14:paraId="015E8F2B" w14:textId="77777777" w:rsidR="00327FF1" w:rsidRDefault="00327FF1">
            <w:pPr>
              <w:spacing w:line="276" w:lineRule="auto"/>
              <w:jc w:val="center"/>
              <w:rPr>
                <w:rFonts w:ascii="Arial Narrow" w:hAnsi="Arial Narrow"/>
                <w:noProof/>
                <w:color w:val="006100"/>
                <w:sz w:val="20"/>
                <w:szCs w:val="20"/>
              </w:rPr>
            </w:pPr>
          </w:p>
        </w:tc>
        <w:tc>
          <w:tcPr>
            <w:tcW w:w="1682" w:type="dxa"/>
            <w:vMerge/>
            <w:noWrap/>
            <w:vAlign w:val="center"/>
          </w:tcPr>
          <w:p w14:paraId="23A7255C" w14:textId="77777777" w:rsidR="00327FF1" w:rsidRDefault="00327FF1">
            <w:pPr>
              <w:spacing w:line="276" w:lineRule="auto"/>
              <w:jc w:val="center"/>
              <w:rPr>
                <w:rFonts w:ascii="Arial Narrow" w:hAnsi="Arial Narrow"/>
                <w:noProof/>
                <w:color w:val="006100"/>
                <w:sz w:val="20"/>
                <w:szCs w:val="20"/>
              </w:rPr>
            </w:pPr>
          </w:p>
        </w:tc>
        <w:tc>
          <w:tcPr>
            <w:tcW w:w="1110" w:type="dxa"/>
            <w:vMerge/>
            <w:noWrap/>
            <w:vAlign w:val="center"/>
          </w:tcPr>
          <w:p w14:paraId="5E5111DD" w14:textId="77777777" w:rsidR="00327FF1" w:rsidRDefault="00327FF1">
            <w:pPr>
              <w:spacing w:line="276" w:lineRule="auto"/>
              <w:jc w:val="center"/>
              <w:rPr>
                <w:rFonts w:ascii="Arial Narrow" w:hAnsi="Arial Narrow"/>
                <w:noProof/>
                <w:color w:val="006100"/>
                <w:sz w:val="20"/>
                <w:szCs w:val="20"/>
              </w:rPr>
            </w:pPr>
          </w:p>
        </w:tc>
        <w:tc>
          <w:tcPr>
            <w:tcW w:w="1391" w:type="dxa"/>
            <w:vMerge/>
            <w:noWrap/>
            <w:vAlign w:val="center"/>
          </w:tcPr>
          <w:p w14:paraId="67272FA6" w14:textId="77777777" w:rsidR="00327FF1" w:rsidRDefault="00327FF1">
            <w:pPr>
              <w:spacing w:line="276" w:lineRule="auto"/>
              <w:jc w:val="center"/>
              <w:rPr>
                <w:rFonts w:ascii="Arial Narrow" w:hAnsi="Arial Narrow"/>
                <w:noProof/>
                <w:color w:val="006100"/>
                <w:sz w:val="20"/>
                <w:szCs w:val="20"/>
              </w:rPr>
            </w:pPr>
          </w:p>
        </w:tc>
        <w:tc>
          <w:tcPr>
            <w:tcW w:w="1374" w:type="dxa"/>
            <w:vMerge/>
            <w:noWrap/>
            <w:vAlign w:val="center"/>
          </w:tcPr>
          <w:p w14:paraId="655BEC16" w14:textId="77777777" w:rsidR="00327FF1" w:rsidRDefault="00327FF1">
            <w:pPr>
              <w:spacing w:line="276" w:lineRule="auto"/>
              <w:jc w:val="center"/>
              <w:rPr>
                <w:rFonts w:ascii="Arial Narrow" w:hAnsi="Arial Narrow"/>
                <w:noProof/>
                <w:color w:val="006100"/>
                <w:sz w:val="20"/>
                <w:szCs w:val="20"/>
              </w:rPr>
            </w:pPr>
          </w:p>
        </w:tc>
        <w:tc>
          <w:tcPr>
            <w:tcW w:w="1267" w:type="dxa"/>
            <w:shd w:val="clear" w:color="auto" w:fill="BDD7EE"/>
            <w:noWrap/>
            <w:vAlign w:val="center"/>
          </w:tcPr>
          <w:p w14:paraId="127D00B4" w14:textId="77777777" w:rsidR="00327FF1" w:rsidRDefault="00E406C7">
            <w:pPr>
              <w:pStyle w:val="P68B1DB1-Normal10"/>
              <w:spacing w:line="276" w:lineRule="auto"/>
              <w:jc w:val="center"/>
              <w:rPr>
                <w:noProof/>
                <w:color w:val="006100"/>
                <w:szCs w:val="20"/>
              </w:rPr>
            </w:pPr>
            <w:r>
              <w:rPr>
                <w:noProof/>
              </w:rPr>
              <w:t>Mēra vienība</w:t>
            </w:r>
          </w:p>
        </w:tc>
        <w:tc>
          <w:tcPr>
            <w:tcW w:w="1003" w:type="dxa"/>
            <w:shd w:val="clear" w:color="auto" w:fill="BDD7EE"/>
            <w:noWrap/>
            <w:vAlign w:val="center"/>
          </w:tcPr>
          <w:p w14:paraId="6090C4C4" w14:textId="77777777" w:rsidR="00327FF1" w:rsidRDefault="00E406C7">
            <w:pPr>
              <w:pStyle w:val="P68B1DB1-Normal10"/>
              <w:spacing w:line="276" w:lineRule="auto"/>
              <w:jc w:val="center"/>
              <w:rPr>
                <w:noProof/>
                <w:color w:val="006100"/>
                <w:szCs w:val="20"/>
              </w:rPr>
            </w:pPr>
            <w:r>
              <w:rPr>
                <w:noProof/>
              </w:rPr>
              <w:t>Pamatscenārijs</w:t>
            </w:r>
          </w:p>
        </w:tc>
        <w:tc>
          <w:tcPr>
            <w:tcW w:w="1391" w:type="dxa"/>
            <w:shd w:val="clear" w:color="auto" w:fill="BDD7EE"/>
            <w:noWrap/>
            <w:vAlign w:val="center"/>
          </w:tcPr>
          <w:p w14:paraId="2CD98911" w14:textId="77777777" w:rsidR="00327FF1" w:rsidRDefault="00E406C7">
            <w:pPr>
              <w:pStyle w:val="P68B1DB1-Normal10"/>
              <w:spacing w:line="276" w:lineRule="auto"/>
              <w:jc w:val="center"/>
              <w:rPr>
                <w:noProof/>
                <w:color w:val="006100"/>
                <w:szCs w:val="20"/>
              </w:rPr>
            </w:pPr>
            <w:r>
              <w:rPr>
                <w:noProof/>
              </w:rPr>
              <w:t>Mērķis</w:t>
            </w:r>
          </w:p>
        </w:tc>
        <w:tc>
          <w:tcPr>
            <w:tcW w:w="975" w:type="dxa"/>
            <w:shd w:val="clear" w:color="auto" w:fill="BDD7EE"/>
            <w:noWrap/>
            <w:vAlign w:val="center"/>
          </w:tcPr>
          <w:p w14:paraId="306C204D" w14:textId="77777777" w:rsidR="00327FF1" w:rsidRDefault="00E406C7">
            <w:pPr>
              <w:pStyle w:val="P68B1DB1-Normal10"/>
              <w:spacing w:line="276" w:lineRule="auto"/>
              <w:jc w:val="center"/>
              <w:rPr>
                <w:noProof/>
                <w:color w:val="006100"/>
                <w:szCs w:val="20"/>
              </w:rPr>
            </w:pPr>
            <w:r>
              <w:rPr>
                <w:noProof/>
              </w:rPr>
              <w:t>Ceturkšņa laikā</w:t>
            </w:r>
          </w:p>
        </w:tc>
        <w:tc>
          <w:tcPr>
            <w:tcW w:w="698" w:type="dxa"/>
            <w:shd w:val="clear" w:color="auto" w:fill="BDD7EE"/>
            <w:noWrap/>
            <w:vAlign w:val="center"/>
          </w:tcPr>
          <w:p w14:paraId="3F1FFC9E" w14:textId="77777777" w:rsidR="00327FF1" w:rsidRDefault="00E406C7">
            <w:pPr>
              <w:pStyle w:val="P68B1DB1-Normal10"/>
              <w:spacing w:line="276" w:lineRule="auto"/>
              <w:jc w:val="center"/>
              <w:rPr>
                <w:noProof/>
                <w:color w:val="006100"/>
                <w:szCs w:val="20"/>
              </w:rPr>
            </w:pPr>
            <w:r>
              <w:rPr>
                <w:noProof/>
              </w:rPr>
              <w:t>Gadu</w:t>
            </w:r>
          </w:p>
        </w:tc>
        <w:tc>
          <w:tcPr>
            <w:tcW w:w="3675" w:type="dxa"/>
            <w:vMerge/>
            <w:noWrap/>
            <w:vAlign w:val="center"/>
          </w:tcPr>
          <w:p w14:paraId="492B20A6" w14:textId="77777777" w:rsidR="00327FF1" w:rsidRDefault="00327FF1">
            <w:pPr>
              <w:spacing w:after="120"/>
              <w:rPr>
                <w:rFonts w:ascii="Arial Narrow" w:hAnsi="Arial Narrow"/>
                <w:noProof/>
                <w:color w:val="006100"/>
                <w:sz w:val="20"/>
                <w:szCs w:val="20"/>
              </w:rPr>
            </w:pPr>
          </w:p>
        </w:tc>
      </w:tr>
      <w:tr w:rsidR="00327FF1" w14:paraId="6659BBB6"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99BB33" w14:textId="77777777" w:rsidR="00327FF1" w:rsidRDefault="00E406C7">
            <w:pPr>
              <w:pStyle w:val="P68B1DB1-Normal11"/>
              <w:spacing w:line="276" w:lineRule="auto"/>
              <w:jc w:val="center"/>
              <w:rPr>
                <w:noProof/>
                <w:szCs w:val="20"/>
              </w:rPr>
            </w:pPr>
            <w:r>
              <w:rPr>
                <w:noProof/>
              </w:rPr>
              <w:t>M2C2–6</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AF5816" w14:textId="77777777" w:rsidR="00327FF1" w:rsidRDefault="00E406C7">
            <w:pPr>
              <w:pStyle w:val="P68B1DB1-Normal11"/>
              <w:spacing w:line="276" w:lineRule="auto"/>
              <w:jc w:val="center"/>
              <w:rPr>
                <w:noProof/>
                <w:szCs w:val="20"/>
              </w:rPr>
            </w:pPr>
            <w:r>
              <w:rPr>
                <w:noProof/>
              </w:rPr>
              <w:t xml:space="preserve">Reforma Nr. 1 Atļauju piešķiršanas procedūru vienkāršošana atjaunīgo energoresursu stacijām uz </w:t>
            </w:r>
            <w:r>
              <w:rPr>
                <w:noProof/>
              </w:rPr>
              <w:t>sauszemes un atkrastes stacijām un jauns tiesiskais regulējums, lai atbalstītu ražošanu no atjaunojamiem energoresursiem, kā arī pašreizējo atbalsta shēmu laika un atbilstības pagarināšana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D3258D"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5458E1" w14:textId="77777777" w:rsidR="00327FF1" w:rsidRDefault="00E406C7">
            <w:pPr>
              <w:pStyle w:val="P68B1DB1-Normal11"/>
              <w:spacing w:line="276" w:lineRule="auto"/>
              <w:jc w:val="center"/>
              <w:rPr>
                <w:noProof/>
                <w:szCs w:val="20"/>
              </w:rPr>
            </w:pPr>
            <w:r>
              <w:rPr>
                <w:noProof/>
              </w:rPr>
              <w:t xml:space="preserve">Stājas spēkā tiesiskais regulējums, ar ko </w:t>
            </w:r>
            <w:r>
              <w:rPr>
                <w:noProof/>
              </w:rPr>
              <w:t>vienkāršo atļauju piešķiršanas procedūras sauszemes un atkrastes atjaunīgās enerģijas struktūru izveidei</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E29497" w14:textId="77777777" w:rsidR="00327FF1" w:rsidRDefault="00E406C7">
            <w:pPr>
              <w:pStyle w:val="P68B1DB1-Normal11"/>
              <w:spacing w:line="276" w:lineRule="auto"/>
              <w:jc w:val="center"/>
              <w:rPr>
                <w:noProof/>
                <w:szCs w:val="20"/>
              </w:rPr>
            </w:pPr>
            <w:r>
              <w:rPr>
                <w:noProof/>
              </w:rPr>
              <w:t>Likuma norma, kas norāda uz likuma stāšanos spēkā</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6B5193"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2563D1"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734CF3"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BE237" w14:textId="77777777" w:rsidR="00327FF1" w:rsidRDefault="00E406C7">
            <w:pPr>
              <w:pStyle w:val="P68B1DB1-Normal11"/>
              <w:spacing w:line="276" w:lineRule="auto"/>
              <w:jc w:val="center"/>
              <w:rPr>
                <w:noProof/>
                <w:szCs w:val="20"/>
              </w:rPr>
            </w:pPr>
            <w:r>
              <w:rPr>
                <w:noProof/>
              </w:rPr>
              <w:t>Q1</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022CF3" w14:textId="77777777" w:rsidR="00327FF1" w:rsidRDefault="00E406C7">
            <w:pPr>
              <w:pStyle w:val="P68B1DB1-Normal11"/>
              <w:spacing w:line="276" w:lineRule="auto"/>
              <w:jc w:val="center"/>
              <w:rPr>
                <w:noProof/>
                <w:szCs w:val="20"/>
              </w:rPr>
            </w:pPr>
            <w:r>
              <w:rPr>
                <w:noProof/>
              </w:rPr>
              <w:t>2024</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833F5E" w14:textId="77777777" w:rsidR="00327FF1" w:rsidRDefault="00E406C7">
            <w:pPr>
              <w:pStyle w:val="P68B1DB1-Normal11"/>
              <w:spacing w:after="120"/>
              <w:rPr>
                <w:noProof/>
                <w:szCs w:val="20"/>
              </w:rPr>
            </w:pPr>
            <w:r>
              <w:rPr>
                <w:noProof/>
              </w:rPr>
              <w:t>Tiesiskais regulējums ietver šādus mērķus:</w:t>
            </w:r>
          </w:p>
          <w:p w14:paraId="3422D1DD" w14:textId="77777777" w:rsidR="00327FF1" w:rsidRDefault="00E406C7">
            <w:pPr>
              <w:pStyle w:val="P68B1DB1-Normal11"/>
              <w:numPr>
                <w:ilvl w:val="0"/>
                <w:numId w:val="28"/>
              </w:numPr>
              <w:pBdr>
                <w:top w:val="nil"/>
                <w:left w:val="nil"/>
                <w:bottom w:val="nil"/>
                <w:right w:val="nil"/>
                <w:between w:val="nil"/>
              </w:pBdr>
              <w:spacing w:after="120" w:line="240" w:lineRule="auto"/>
              <w:rPr>
                <w:noProof/>
                <w:szCs w:val="20"/>
              </w:rPr>
            </w:pPr>
            <w:r>
              <w:rPr>
                <w:noProof/>
              </w:rPr>
              <w:t xml:space="preserve">stājas spēkā </w:t>
            </w:r>
            <w:r>
              <w:rPr>
                <w:noProof/>
              </w:rPr>
              <w:t>vienkāršošanas pasākumi attiecībā uz atjaunojamo energoresursu iekārtām un esošo elektrostaciju energoatjaunināšana un pārveidošana saskaņā ar 2020. gada 17. jūlija Dekrētlikuma Nr. 76 (“Vienkāršošanas dekrēts”) noteikumiem;</w:t>
            </w:r>
          </w:p>
          <w:p w14:paraId="36D9E786" w14:textId="5768A3EC" w:rsidR="00327FF1" w:rsidRDefault="00E406C7">
            <w:pPr>
              <w:pStyle w:val="P68B1DB1-Normal11"/>
              <w:numPr>
                <w:ilvl w:val="0"/>
                <w:numId w:val="28"/>
              </w:numPr>
              <w:pBdr>
                <w:top w:val="nil"/>
                <w:left w:val="nil"/>
                <w:bottom w:val="nil"/>
                <w:right w:val="nil"/>
                <w:between w:val="nil"/>
              </w:pBdr>
              <w:spacing w:after="120" w:line="240" w:lineRule="auto"/>
              <w:rPr>
                <w:noProof/>
                <w:szCs w:val="20"/>
              </w:rPr>
            </w:pPr>
            <w:r>
              <w:rPr>
                <w:noProof/>
              </w:rPr>
              <w:t xml:space="preserve">pieņemt dekrētu, kas saskaņots </w:t>
            </w:r>
            <w:r>
              <w:rPr>
                <w:noProof/>
              </w:rPr>
              <w:t>ar reģioniem un citām attiecīgajām valsts pārvaldes iestādēm un kura mērķis ir noteikt kritērijus to teritoriju noteikšanai, kas ir piemērotas un nav piemērotas tādu atjaunojamās enerģijas staciju uzstādīšanai, kuru papildu jauda ir vismaz 73 GW, saskaņā a</w:t>
            </w:r>
            <w:r>
              <w:rPr>
                <w:noProof/>
              </w:rPr>
              <w:t>r PNIEC atjaunināto versiju, lai sasniegtu atjaunojamo energoresursu attīstības mērķus;</w:t>
            </w:r>
          </w:p>
          <w:p w14:paraId="6093CA28" w14:textId="77777777" w:rsidR="00327FF1" w:rsidRDefault="00E406C7">
            <w:pPr>
              <w:pStyle w:val="P68B1DB1-Normal11"/>
              <w:numPr>
                <w:ilvl w:val="0"/>
                <w:numId w:val="28"/>
              </w:numPr>
              <w:pBdr>
                <w:top w:val="nil"/>
                <w:left w:val="nil"/>
                <w:bottom w:val="nil"/>
                <w:right w:val="nil"/>
                <w:between w:val="nil"/>
              </w:pBdr>
              <w:spacing w:after="120" w:line="240" w:lineRule="auto"/>
              <w:rPr>
                <w:noProof/>
                <w:szCs w:val="20"/>
              </w:rPr>
            </w:pPr>
            <w:r>
              <w:rPr>
                <w:noProof/>
              </w:rPr>
              <w:t xml:space="preserve">AER atbalsta mehānisma pabeigšana arī attiecībā uz papildu nenobriedušām tehnoloģijām vai tehnoloģijām ar augstām darbības izmaksām un tā dēvētā RES1 mehānisma izsoles </w:t>
            </w:r>
            <w:r>
              <w:rPr>
                <w:noProof/>
              </w:rPr>
              <w:t>perioda pagarināšana, vienlaikus saglabājot konkurētspējīgas piekļuves principu;</w:t>
            </w:r>
          </w:p>
          <w:p w14:paraId="20BF4F81" w14:textId="77777777" w:rsidR="00327FF1" w:rsidRDefault="00E406C7">
            <w:pPr>
              <w:pStyle w:val="P68B1DB1-Normal11"/>
              <w:numPr>
                <w:ilvl w:val="0"/>
                <w:numId w:val="28"/>
              </w:numPr>
              <w:pBdr>
                <w:top w:val="nil"/>
                <w:left w:val="nil"/>
                <w:bottom w:val="nil"/>
                <w:right w:val="nil"/>
                <w:between w:val="nil"/>
              </w:pBdr>
              <w:spacing w:after="120" w:line="240" w:lineRule="auto"/>
              <w:rPr>
                <w:noProof/>
                <w:szCs w:val="20"/>
              </w:rPr>
            </w:pPr>
            <w:r>
              <w:rPr>
                <w:noProof/>
              </w:rPr>
              <w:t xml:space="preserve">noteikumi investīciju veicināšanai uzglabāšanas sistēmās leģislatīvajā dekrētā, ar ko transponē Direktīvu (ES) 2019/944 par kopīgiem noteikumiem attiecībā uz elektroenerģijas </w:t>
            </w:r>
            <w:r>
              <w:rPr>
                <w:noProof/>
              </w:rPr>
              <w:t>iekšējo tirgu.</w:t>
            </w:r>
          </w:p>
        </w:tc>
      </w:tr>
      <w:tr w:rsidR="00327FF1" w14:paraId="61C47640"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8329A2" w14:textId="77777777" w:rsidR="00327FF1" w:rsidRDefault="00E406C7">
            <w:pPr>
              <w:pStyle w:val="P68B1DB1-Normal11"/>
              <w:spacing w:line="276" w:lineRule="auto"/>
              <w:jc w:val="center"/>
              <w:rPr>
                <w:noProof/>
                <w:szCs w:val="20"/>
              </w:rPr>
            </w:pPr>
            <w:r>
              <w:rPr>
                <w:noProof/>
              </w:rPr>
              <w:t>M2C2–7</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E0F0A4" w14:textId="77777777" w:rsidR="00327FF1" w:rsidRDefault="00E406C7">
            <w:pPr>
              <w:pStyle w:val="P68B1DB1-Normal11"/>
              <w:spacing w:line="276" w:lineRule="auto"/>
              <w:jc w:val="center"/>
              <w:rPr>
                <w:noProof/>
                <w:szCs w:val="20"/>
              </w:rPr>
            </w:pPr>
            <w:r>
              <w:rPr>
                <w:noProof/>
              </w:rPr>
              <w:t>Reforma Nr. 2 Jauni tiesību akti atjaunīgās gāzes ražošanas un patēriņa veicināšanai</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7C6D4F"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7A7692" w14:textId="77777777" w:rsidR="00327FF1" w:rsidRDefault="00E406C7">
            <w:pPr>
              <w:pStyle w:val="P68B1DB1-Normal11"/>
              <w:spacing w:line="276" w:lineRule="auto"/>
              <w:jc w:val="center"/>
              <w:rPr>
                <w:noProof/>
                <w:szCs w:val="20"/>
              </w:rPr>
            </w:pPr>
            <w:r>
              <w:rPr>
                <w:noProof/>
              </w:rPr>
              <w:t xml:space="preserve">Stājas spēkā Likumdošanas dekrēts, ar ko veicina atjaunīgās gāzes izmantošanu biometāna izmantošanai transporta, rūpniecības un </w:t>
            </w:r>
            <w:r>
              <w:rPr>
                <w:noProof/>
              </w:rPr>
              <w:t>dzīvojamo ēku sektorā, un īstenošanas dekrēts, kurā izklāstīti nosacījumi un kritēriji attiecībā uz tā izmantošanu un jauno stimulu sistēmu.</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239714" w14:textId="77777777" w:rsidR="00327FF1" w:rsidRDefault="00E406C7">
            <w:pPr>
              <w:pStyle w:val="P68B1DB1-Normal11"/>
              <w:spacing w:line="276" w:lineRule="auto"/>
              <w:jc w:val="center"/>
              <w:rPr>
                <w:noProof/>
                <w:szCs w:val="20"/>
              </w:rPr>
            </w:pPr>
            <w:r>
              <w:rPr>
                <w:noProof/>
              </w:rPr>
              <w:t xml:space="preserve">Likuma norma, kas norāda uz likuma stāšanos spēkā </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7C484" w14:textId="77777777" w:rsidR="00327FF1" w:rsidRDefault="00E406C7">
            <w:pPr>
              <w:pStyle w:val="P68B1DB1-Normal11"/>
              <w:spacing w:line="276" w:lineRule="auto"/>
              <w:jc w:val="center"/>
              <w:rPr>
                <w:noProof/>
                <w:szCs w:val="20"/>
              </w:rPr>
            </w:pPr>
            <w:r>
              <w:rPr>
                <w:noProof/>
              </w:rPr>
              <w:t xml:space="preserve">NEPIEMĒRO </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EAC52A"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9A7B21"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72748A" w14:textId="77777777" w:rsidR="00327FF1" w:rsidRDefault="00E406C7">
            <w:pPr>
              <w:pStyle w:val="P68B1DB1-Normal11"/>
              <w:spacing w:line="276" w:lineRule="auto"/>
              <w:jc w:val="center"/>
              <w:rPr>
                <w:noProof/>
                <w:szCs w:val="20"/>
              </w:rPr>
            </w:pPr>
            <w:r>
              <w:rPr>
                <w:noProof/>
              </w:rPr>
              <w:t>4.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D8A8E" w14:textId="77777777" w:rsidR="00327FF1" w:rsidRDefault="00E406C7">
            <w:pPr>
              <w:pStyle w:val="P68B1DB1-Normal11"/>
              <w:spacing w:line="276" w:lineRule="auto"/>
              <w:jc w:val="center"/>
              <w:rPr>
                <w:noProof/>
                <w:szCs w:val="20"/>
              </w:rPr>
            </w:pPr>
            <w:r>
              <w:rPr>
                <w:noProof/>
              </w:rPr>
              <w:t>2021</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E93AD0" w14:textId="77777777" w:rsidR="00327FF1" w:rsidRDefault="00E406C7">
            <w:pPr>
              <w:pStyle w:val="P68B1DB1-Normal11"/>
              <w:spacing w:after="120"/>
              <w:rPr>
                <w:noProof/>
                <w:szCs w:val="20"/>
              </w:rPr>
            </w:pPr>
            <w:r>
              <w:rPr>
                <w:noProof/>
              </w:rPr>
              <w:t>Likumdošanas dekrētā</w:t>
            </w:r>
            <w:r>
              <w:rPr>
                <w:noProof/>
              </w:rPr>
              <w:t xml:space="preserve"> jo īpaši iekļauj:</w:t>
            </w:r>
          </w:p>
          <w:p w14:paraId="6981ED24" w14:textId="77777777" w:rsidR="00327FF1" w:rsidRDefault="00E406C7">
            <w:pPr>
              <w:pStyle w:val="P68B1DB1-Normal11"/>
              <w:spacing w:after="120"/>
              <w:rPr>
                <w:noProof/>
                <w:szCs w:val="20"/>
              </w:rPr>
            </w:pPr>
            <w:r>
              <w:rPr>
                <w:noProof/>
              </w:rPr>
              <w:t>1-leģislatīvs grozījums vienkāršotam atļauju piešķiršanas procesam un pašreizējā dotāciju mehānisma grozīšana, lai i) paplašinātu attiecināmības perimetru un ii) pagarinātu dotāciju pieejamības periodu un iii) paredzētu atjaunīgo gāzu ta</w:t>
            </w:r>
            <w:r>
              <w:rPr>
                <w:noProof/>
              </w:rPr>
              <w:t>rifu mehānismu un izcelsmes apliecinājumu.</w:t>
            </w:r>
          </w:p>
          <w:p w14:paraId="38736508" w14:textId="77777777" w:rsidR="00327FF1" w:rsidRDefault="00E406C7">
            <w:pPr>
              <w:pStyle w:val="P68B1DB1-Normal11"/>
              <w:spacing w:after="120"/>
              <w:rPr>
                <w:noProof/>
                <w:szCs w:val="20"/>
              </w:rPr>
            </w:pPr>
            <w:r>
              <w:rPr>
                <w:noProof/>
              </w:rPr>
              <w:t xml:space="preserve">2 AED II direktīvas transponēšana ar likumdošanas dekrētu </w:t>
            </w:r>
          </w:p>
          <w:p w14:paraId="3DF7AD69" w14:textId="77777777" w:rsidR="00327FF1" w:rsidRDefault="00E406C7">
            <w:pPr>
              <w:pStyle w:val="P68B1DB1-Normal11"/>
              <w:spacing w:after="120"/>
              <w:rPr>
                <w:noProof/>
                <w:szCs w:val="20"/>
              </w:rPr>
            </w:pPr>
            <w:r>
              <w:rPr>
                <w:noProof/>
              </w:rPr>
              <w:t>3-Vispārējo koordināciju nodrošinātu Ministero della Transizione Ecologica (MiTE) ar citu administrāciju atbalstu, kurām ir padomdevējas funkcijas: Lauksa</w:t>
            </w:r>
            <w:r>
              <w:rPr>
                <w:noProof/>
              </w:rPr>
              <w:t>imniecības ministrija (MIPAAF), Ekonomikas un finanšu ministrija (MEF) un Gestore Servizi Energetici.</w:t>
            </w:r>
          </w:p>
        </w:tc>
      </w:tr>
      <w:tr w:rsidR="00327FF1" w14:paraId="3A1D46E1"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F95EAD" w14:textId="77777777" w:rsidR="00327FF1" w:rsidRDefault="00E406C7">
            <w:pPr>
              <w:pStyle w:val="P68B1DB1-Normal11"/>
              <w:spacing w:line="276" w:lineRule="auto"/>
              <w:jc w:val="center"/>
              <w:rPr>
                <w:noProof/>
                <w:szCs w:val="20"/>
              </w:rPr>
            </w:pPr>
            <w:r>
              <w:rPr>
                <w:noProof/>
              </w:rPr>
              <w:t>M2C2–8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B1DC21" w14:textId="77777777" w:rsidR="00327FF1" w:rsidRDefault="00E406C7">
            <w:pPr>
              <w:pStyle w:val="P68B1DB1-Normal11"/>
              <w:spacing w:line="276" w:lineRule="auto"/>
              <w:jc w:val="center"/>
              <w:rPr>
                <w:noProof/>
                <w:szCs w:val="20"/>
              </w:rPr>
            </w:pPr>
            <w:r>
              <w:rPr>
                <w:noProof/>
              </w:rPr>
              <w:t>Investīcija 2.1. Viedo tīklu stiprināšana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56AA31"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BE939" w14:textId="77777777" w:rsidR="00327FF1" w:rsidRDefault="00E406C7">
            <w:pPr>
              <w:pStyle w:val="P68B1DB1-Normal11"/>
              <w:spacing w:line="276" w:lineRule="auto"/>
              <w:jc w:val="center"/>
              <w:rPr>
                <w:noProof/>
                <w:szCs w:val="20"/>
              </w:rPr>
            </w:pPr>
            <w:r>
              <w:rPr>
                <w:noProof/>
              </w:rPr>
              <w:t xml:space="preserve">(Visu) publiskā iepirkuma līgumu slēgšanas tiesību piešķiršana tīkla jaudas </w:t>
            </w:r>
            <w:r>
              <w:rPr>
                <w:noProof/>
              </w:rPr>
              <w:t>palielināšanai</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BF1E39" w14:textId="77777777" w:rsidR="00327FF1" w:rsidRDefault="00E406C7">
            <w:pPr>
              <w:pStyle w:val="P68B1DB1-Normal11"/>
              <w:spacing w:line="276" w:lineRule="auto"/>
              <w:jc w:val="center"/>
              <w:rPr>
                <w:noProof/>
                <w:szCs w:val="20"/>
              </w:rPr>
            </w:pPr>
            <w:r>
              <w:rPr>
                <w:noProof/>
              </w:rPr>
              <w:t>Paziņojums par (visu) publiskā iepirkuma līgumu slēgšanas tiesību piešķiršanu</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76DE9"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07190"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518D22"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A039CE" w14:textId="77777777" w:rsidR="00327FF1" w:rsidRDefault="00E406C7">
            <w:pPr>
              <w:pStyle w:val="P68B1DB1-Normal11"/>
              <w:spacing w:line="276" w:lineRule="auto"/>
              <w:jc w:val="center"/>
              <w:rPr>
                <w:noProof/>
                <w:szCs w:val="20"/>
              </w:rPr>
            </w:pPr>
            <w:r>
              <w:rPr>
                <w:noProof/>
              </w:rPr>
              <w:t>4.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D64F67" w14:textId="77777777" w:rsidR="00327FF1" w:rsidRDefault="00E406C7">
            <w:pPr>
              <w:pStyle w:val="P68B1DB1-Normal11"/>
              <w:spacing w:line="276" w:lineRule="auto"/>
              <w:jc w:val="center"/>
              <w:rPr>
                <w:noProof/>
                <w:szCs w:val="20"/>
              </w:rPr>
            </w:pPr>
            <w:r>
              <w:rPr>
                <w:noProof/>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B10BC5" w14:textId="77777777" w:rsidR="00327FF1" w:rsidRDefault="00E406C7">
            <w:pPr>
              <w:pStyle w:val="P68B1DB1-Normal11"/>
              <w:spacing w:after="120"/>
              <w:rPr>
                <w:noProof/>
                <w:szCs w:val="20"/>
              </w:rPr>
            </w:pPr>
            <w:r>
              <w:rPr>
                <w:noProof/>
              </w:rPr>
              <w:t>Paziņojums par (visu) publisko līgumu slēgšanas tiesību piešķiršanu, lai palielinātu tīkla jaudu atjaunojamo energoresur</w:t>
            </w:r>
            <w:r>
              <w:rPr>
                <w:noProof/>
              </w:rPr>
              <w:t>su enerģijas sadalei un enerģijas patēriņa elektrifikācijai</w:t>
            </w:r>
          </w:p>
        </w:tc>
      </w:tr>
      <w:tr w:rsidR="00327FF1" w14:paraId="79316910"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5E12D6" w14:textId="5672A7EB" w:rsidR="00327FF1" w:rsidRDefault="00E406C7">
            <w:pPr>
              <w:pStyle w:val="P68B1DB1-Normal11"/>
              <w:spacing w:line="276" w:lineRule="auto"/>
              <w:jc w:val="center"/>
              <w:rPr>
                <w:noProof/>
              </w:rPr>
            </w:pPr>
            <w:r>
              <w:rPr>
                <w:noProof/>
              </w:rPr>
              <w:t>M2C2–10</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0559DD" w14:textId="07A0D11E" w:rsidR="00327FF1" w:rsidRDefault="00E406C7">
            <w:pPr>
              <w:pStyle w:val="P68B1DB1-Normal11"/>
              <w:spacing w:line="276" w:lineRule="auto"/>
              <w:jc w:val="center"/>
              <w:rPr>
                <w:noProof/>
              </w:rPr>
            </w:pPr>
            <w:r>
              <w:rPr>
                <w:noProof/>
              </w:rPr>
              <w:t>Investīcija 2.1. Viedo tīklu stiprināšana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516A7" w14:textId="3F833135" w:rsidR="00327FF1" w:rsidRDefault="00E406C7">
            <w:pPr>
              <w:pStyle w:val="P68B1DB1-Normal11"/>
              <w:spacing w:line="276" w:lineRule="auto"/>
              <w:jc w:val="center"/>
              <w:rPr>
                <w:noProof/>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52D451" w14:textId="270398C5" w:rsidR="00327FF1" w:rsidRDefault="00E406C7">
            <w:pPr>
              <w:pStyle w:val="P68B1DB1-Normal11"/>
              <w:spacing w:line="276" w:lineRule="auto"/>
              <w:jc w:val="center"/>
              <w:rPr>
                <w:noProof/>
              </w:rPr>
            </w:pPr>
            <w:r>
              <w:rPr>
                <w:noProof/>
              </w:rPr>
              <w:t>Viedie tīkli — palielināta tīkla jauda un enerģijas patēriņa elektrifikācija</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A80FF3" w14:textId="5008813A" w:rsidR="00327FF1" w:rsidRDefault="00E406C7">
            <w:pPr>
              <w:pStyle w:val="P68B1DB1-Normal11"/>
              <w:spacing w:line="276" w:lineRule="auto"/>
              <w:jc w:val="center"/>
              <w:rPr>
                <w:noProof/>
              </w:rPr>
            </w:pPr>
            <w:r>
              <w:rPr>
                <w:noProof/>
              </w:rPr>
              <w:t xml:space="preserve">Uzstādīšanas sertifikāti vai pieņemšanas testa </w:t>
            </w:r>
            <w:r>
              <w:rPr>
                <w:noProof/>
              </w:rPr>
              <w:t>ziņojumi</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78C61B" w14:textId="77777777" w:rsidR="00327FF1" w:rsidRDefault="00327FF1">
            <w:pPr>
              <w:spacing w:line="276" w:lineRule="auto"/>
              <w:jc w:val="center"/>
              <w:rPr>
                <w:rFonts w:ascii="Arial Narrow" w:hAnsi="Arial Narrow"/>
                <w:noProof/>
                <w:color w:val="006100"/>
                <w:sz w:val="20"/>
              </w:rPr>
            </w:pP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54B1B4" w14:textId="77777777" w:rsidR="00327FF1" w:rsidRDefault="00327FF1">
            <w:pPr>
              <w:spacing w:line="276" w:lineRule="auto"/>
              <w:jc w:val="center"/>
              <w:rPr>
                <w:rFonts w:ascii="Arial Narrow" w:hAnsi="Arial Narrow"/>
                <w:noProof/>
                <w:color w:val="006100"/>
                <w:sz w:val="20"/>
              </w:rPr>
            </w:pP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23391" w14:textId="77777777" w:rsidR="00327FF1" w:rsidRDefault="00327FF1">
            <w:pPr>
              <w:spacing w:line="276" w:lineRule="auto"/>
              <w:jc w:val="center"/>
              <w:rPr>
                <w:rFonts w:ascii="Arial Narrow" w:hAnsi="Arial Narrow"/>
                <w:noProof/>
                <w:color w:val="006100"/>
                <w:sz w:val="20"/>
              </w:rPr>
            </w:pP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F0E7BD" w14:textId="715268BB" w:rsidR="00327FF1" w:rsidRDefault="00E406C7">
            <w:pPr>
              <w:pStyle w:val="P68B1DB1-Normal11"/>
              <w:spacing w:line="276" w:lineRule="auto"/>
              <w:jc w:val="center"/>
              <w:rPr>
                <w:noProof/>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F721FE" w14:textId="0188C5E6" w:rsidR="00327FF1" w:rsidRDefault="00E406C7">
            <w:pPr>
              <w:pStyle w:val="P68B1DB1-Normal11"/>
              <w:spacing w:line="276" w:lineRule="auto"/>
              <w:jc w:val="center"/>
              <w:rPr>
                <w:noProof/>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1CB4AF" w14:textId="77777777" w:rsidR="00327FF1" w:rsidRDefault="00E406C7">
            <w:pPr>
              <w:pStyle w:val="P68B1DB1-Normal12"/>
              <w:rPr>
                <w:noProof/>
              </w:rPr>
            </w:pPr>
            <w:r>
              <w:rPr>
                <w:noProof/>
              </w:rPr>
              <w:t>Uzstādīšanas sertifikāti vai pieņemšanas testa ziņojumi, kas izdoti par intervencēm, kuru rezultātā:</w:t>
            </w:r>
          </w:p>
          <w:p w14:paraId="234C9D41" w14:textId="77777777" w:rsidR="00327FF1" w:rsidRDefault="00E406C7">
            <w:pPr>
              <w:pStyle w:val="P68B1DB1-Normal21"/>
              <w:rPr>
                <w:rFonts w:ascii="Arial Narrow" w:hAnsi="Arial Narrow"/>
                <w:noProof/>
              </w:rPr>
            </w:pPr>
            <w:r>
              <w:rPr>
                <w:rFonts w:ascii="Arial Narrow"/>
                <w:noProof/>
              </w:rPr>
              <w:t>t</w:t>
            </w:r>
            <w:r>
              <w:rPr>
                <w:rFonts w:ascii="Arial Narrow"/>
                <w:noProof/>
              </w:rPr>
              <w:t>ī</w:t>
            </w:r>
            <w:r>
              <w:rPr>
                <w:rFonts w:ascii="Arial Narrow"/>
                <w:noProof/>
              </w:rPr>
              <w:t>kla mitin</w:t>
            </w:r>
            <w:r>
              <w:rPr>
                <w:rFonts w:ascii="Arial Narrow"/>
                <w:noProof/>
              </w:rPr>
              <w:t>āš</w:t>
            </w:r>
            <w:r>
              <w:rPr>
                <w:rFonts w:ascii="Arial Narrow"/>
                <w:noProof/>
              </w:rPr>
              <w:t xml:space="preserve">anas jaudas </w:t>
            </w:r>
            <w:r>
              <w:rPr>
                <w:rFonts w:ascii="Arial Narrow" w:hAnsi="Arial Narrow"/>
                <w:noProof/>
                <w:szCs w:val="20"/>
              </w:rPr>
              <w:t>palielināšana</w:t>
            </w:r>
            <w:r>
              <w:rPr>
                <w:rFonts w:ascii="Arial Narrow"/>
                <w:noProof/>
              </w:rPr>
              <w:t>par vismaz 4</w:t>
            </w:r>
            <w:r>
              <w:rPr>
                <w:rFonts w:ascii="Arial Narrow"/>
                <w:noProof/>
              </w:rPr>
              <w:t> </w:t>
            </w:r>
            <w:r>
              <w:rPr>
                <w:rFonts w:ascii="Arial Narrow"/>
                <w:noProof/>
              </w:rPr>
              <w:t>000</w:t>
            </w:r>
            <w:r>
              <w:rPr>
                <w:rFonts w:ascii="Arial Narrow"/>
                <w:noProof/>
              </w:rPr>
              <w:t> </w:t>
            </w:r>
            <w:r>
              <w:rPr>
                <w:rFonts w:ascii="Arial Narrow"/>
                <w:noProof/>
              </w:rPr>
              <w:t>MW, kas apliecin</w:t>
            </w:r>
            <w:r>
              <w:rPr>
                <w:rFonts w:ascii="Arial Narrow"/>
                <w:noProof/>
              </w:rPr>
              <w:t>ā</w:t>
            </w:r>
            <w:r>
              <w:rPr>
                <w:rFonts w:ascii="Arial Narrow"/>
                <w:noProof/>
              </w:rPr>
              <w:t>ta ar vienu vai vair</w:t>
            </w:r>
            <w:r>
              <w:rPr>
                <w:rFonts w:ascii="Arial Narrow"/>
                <w:noProof/>
              </w:rPr>
              <w:t>ā</w:t>
            </w:r>
            <w:r>
              <w:rPr>
                <w:rFonts w:ascii="Arial Narrow"/>
                <w:noProof/>
              </w:rPr>
              <w:t>kiem neatkar</w:t>
            </w:r>
            <w:r>
              <w:rPr>
                <w:rFonts w:ascii="Arial Narrow"/>
                <w:noProof/>
              </w:rPr>
              <w:t>ī</w:t>
            </w:r>
            <w:r>
              <w:rPr>
                <w:rFonts w:ascii="Arial Narrow"/>
                <w:noProof/>
              </w:rPr>
              <w:t>ga in</w:t>
            </w:r>
            <w:r>
              <w:rPr>
                <w:rFonts w:ascii="Arial Narrow"/>
                <w:noProof/>
              </w:rPr>
              <w:t>ž</w:t>
            </w:r>
            <w:r>
              <w:rPr>
                <w:rFonts w:ascii="Arial Narrow"/>
                <w:noProof/>
              </w:rPr>
              <w:t>eniera zi</w:t>
            </w:r>
            <w:r>
              <w:rPr>
                <w:rFonts w:ascii="Arial Narrow"/>
                <w:noProof/>
              </w:rPr>
              <w:t>ņ</w:t>
            </w:r>
            <w:r>
              <w:rPr>
                <w:rFonts w:ascii="Arial Narrow"/>
                <w:noProof/>
              </w:rPr>
              <w:t>ojumiem,</w:t>
            </w:r>
          </w:p>
          <w:p w14:paraId="59DFC911" w14:textId="5C32ABF3" w:rsidR="00327FF1" w:rsidRDefault="00E406C7">
            <w:pPr>
              <w:pStyle w:val="P68B1DB1-Normal11"/>
              <w:spacing w:after="120"/>
              <w:rPr>
                <w:noProof/>
              </w:rPr>
            </w:pPr>
            <w:r>
              <w:rPr>
                <w:noProof/>
              </w:rPr>
              <w:t>—tīkla patēriņam piegādātās maksimālās jaudas palielinājums vairākos piegādes punktos, kas atbilst vismaz 1500000 iedzīvotāju, kā apliecināts ar vienu vai vairākiem neatkarīga inženiera ziņojumiem.</w:t>
            </w:r>
            <w:r>
              <w:rPr>
                <w:noProof/>
                <w:szCs w:val="20"/>
              </w:rPr>
              <w:t xml:space="preserve"> </w:t>
            </w:r>
          </w:p>
        </w:tc>
      </w:tr>
      <w:tr w:rsidR="00327FF1" w14:paraId="497E6D53"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34F611" w14:textId="77777777" w:rsidR="00327FF1" w:rsidRDefault="00E406C7">
            <w:pPr>
              <w:pStyle w:val="P68B1DB1-Normal11"/>
              <w:spacing w:line="276" w:lineRule="auto"/>
              <w:jc w:val="center"/>
              <w:rPr>
                <w:noProof/>
                <w:szCs w:val="20"/>
              </w:rPr>
            </w:pPr>
            <w:r>
              <w:rPr>
                <w:noProof/>
              </w:rPr>
              <w:t>M2C2–12</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D092DC" w14:textId="77777777" w:rsidR="00327FF1" w:rsidRDefault="00E406C7">
            <w:pPr>
              <w:pStyle w:val="P68B1DB1-Normal11"/>
              <w:spacing w:line="276" w:lineRule="auto"/>
              <w:jc w:val="center"/>
              <w:rPr>
                <w:noProof/>
                <w:szCs w:val="20"/>
              </w:rPr>
            </w:pPr>
            <w:r>
              <w:rPr>
                <w:noProof/>
              </w:rPr>
              <w:t xml:space="preserve">Investīcija 2.2. Intervences elektrotīkla </w:t>
            </w:r>
            <w:r>
              <w:rPr>
                <w:noProof/>
              </w:rPr>
              <w:t>noturības palielināšanai</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9EF3F7"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020FBE" w14:textId="77777777" w:rsidR="00327FF1" w:rsidRDefault="00E406C7">
            <w:pPr>
              <w:pStyle w:val="P68B1DB1-Normal11"/>
              <w:spacing w:line="276" w:lineRule="auto"/>
              <w:jc w:val="center"/>
              <w:rPr>
                <w:noProof/>
                <w:szCs w:val="20"/>
              </w:rPr>
            </w:pPr>
            <w:r>
              <w:rPr>
                <w:noProof/>
              </w:rPr>
              <w:t>Elektroenerģijas sistēmas tīkla noturības palielināšanas projektu piešķiršana</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22AAAB" w14:textId="77777777" w:rsidR="00327FF1" w:rsidRDefault="00E406C7">
            <w:pPr>
              <w:pStyle w:val="P68B1DB1-Normal11"/>
              <w:spacing w:line="276" w:lineRule="auto"/>
              <w:jc w:val="center"/>
              <w:rPr>
                <w:noProof/>
                <w:szCs w:val="20"/>
              </w:rPr>
            </w:pPr>
            <w:r>
              <w:rPr>
                <w:noProof/>
              </w:rPr>
              <w:t>Paziņojums par projektu piešķiršanu</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FA0FE8"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410114"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D3461A"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352FFB" w14:textId="77777777" w:rsidR="00327FF1" w:rsidRDefault="00E406C7">
            <w:pPr>
              <w:pStyle w:val="P68B1DB1-Normal11"/>
              <w:spacing w:line="276" w:lineRule="auto"/>
              <w:jc w:val="center"/>
              <w:rPr>
                <w:noProof/>
                <w:szCs w:val="20"/>
              </w:rPr>
            </w:pPr>
            <w:r>
              <w:rPr>
                <w:noProof/>
              </w:rPr>
              <w:t>4.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7E9689" w14:textId="77777777" w:rsidR="00327FF1" w:rsidRDefault="00E406C7">
            <w:pPr>
              <w:pStyle w:val="P68B1DB1-Normal11"/>
              <w:spacing w:line="276" w:lineRule="auto"/>
              <w:jc w:val="center"/>
              <w:rPr>
                <w:noProof/>
                <w:szCs w:val="20"/>
              </w:rPr>
            </w:pPr>
            <w:r>
              <w:rPr>
                <w:noProof/>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61E441" w14:textId="2F524DD6" w:rsidR="00327FF1" w:rsidRDefault="00E406C7">
            <w:pPr>
              <w:pStyle w:val="P68B1DB1-Normal11"/>
              <w:spacing w:after="120"/>
              <w:rPr>
                <w:noProof/>
                <w:szCs w:val="20"/>
              </w:rPr>
            </w:pPr>
            <w:r>
              <w:rPr>
                <w:noProof/>
              </w:rPr>
              <w:t xml:space="preserve">Tādu projektu piešķiršana, kuru mērķis ir palielināt </w:t>
            </w:r>
            <w:r>
              <w:rPr>
                <w:noProof/>
              </w:rPr>
              <w:t>elektroenerģijas sistēmas tīkla izturētspēju vismaz 4 000 km garumā, lai samazinātu to enerģijas samazinājumu biežumu un ilgumu, kurus izraisa ekstremāli laikapstākļi.</w:t>
            </w:r>
          </w:p>
        </w:tc>
      </w:tr>
      <w:tr w:rsidR="00327FF1" w14:paraId="666D2E77"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39C18F" w14:textId="010CCF81" w:rsidR="00327FF1" w:rsidRDefault="00E406C7">
            <w:pPr>
              <w:pStyle w:val="P68B1DB1-Normal12"/>
              <w:spacing w:line="276" w:lineRule="auto"/>
              <w:jc w:val="center"/>
              <w:rPr>
                <w:noProof/>
              </w:rPr>
            </w:pPr>
            <w:r>
              <w:rPr>
                <w:noProof/>
              </w:rPr>
              <w:t>M2C2–13</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379FE" w14:textId="63812DED" w:rsidR="00327FF1" w:rsidRDefault="00E406C7">
            <w:pPr>
              <w:pStyle w:val="P68B1DB1-Normal11"/>
              <w:spacing w:line="276" w:lineRule="auto"/>
              <w:jc w:val="center"/>
              <w:rPr>
                <w:noProof/>
              </w:rPr>
            </w:pPr>
            <w:r>
              <w:rPr>
                <w:noProof/>
              </w:rPr>
              <w:t>Investīcija 2.2. Intervences elektrotīkla noturības palielināšanai</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2BE674" w14:textId="6DCBC16D" w:rsidR="00327FF1" w:rsidRDefault="00E406C7">
            <w:pPr>
              <w:pStyle w:val="P68B1DB1-Normal11"/>
              <w:spacing w:line="276" w:lineRule="auto"/>
              <w:jc w:val="center"/>
              <w:rPr>
                <w:noProof/>
              </w:rPr>
            </w:pPr>
            <w:r>
              <w:rPr>
                <w:noProof/>
              </w:rPr>
              <w:t>Mērķa</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34E089" w14:textId="3CC86038" w:rsidR="00327FF1" w:rsidRDefault="00E406C7">
            <w:pPr>
              <w:pStyle w:val="P68B1DB1-Normal11"/>
              <w:spacing w:line="276" w:lineRule="auto"/>
              <w:jc w:val="center"/>
              <w:rPr>
                <w:noProof/>
              </w:rPr>
            </w:pPr>
            <w:r>
              <w:rPr>
                <w:noProof/>
              </w:rPr>
              <w:t>Palielināt elektroenerģijas sistēmas tīkla noturību</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96ACEE" w14:textId="646583C7" w:rsidR="00327FF1" w:rsidRDefault="00E406C7">
            <w:pPr>
              <w:pStyle w:val="P68B1DB1-Normal11"/>
              <w:spacing w:line="276" w:lineRule="auto"/>
              <w:jc w:val="center"/>
              <w:rPr>
                <w:noProof/>
              </w:rPr>
            </w:pPr>
            <w:r>
              <w:rPr>
                <w:noProof/>
              </w:rPr>
              <w:t>NEPIEMĒRO</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4F30A" w14:textId="5FB753D1" w:rsidR="00327FF1" w:rsidRDefault="00E406C7">
            <w:pPr>
              <w:pStyle w:val="P68B1DB1-Normal11"/>
              <w:spacing w:line="276" w:lineRule="auto"/>
              <w:jc w:val="center"/>
              <w:rPr>
                <w:noProof/>
              </w:rPr>
            </w:pPr>
            <w:r>
              <w:rPr>
                <w:noProof/>
              </w:rPr>
              <w:t>Skaits</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9C9289" w14:textId="1717595C" w:rsidR="00327FF1" w:rsidRDefault="00E406C7">
            <w:pPr>
              <w:pStyle w:val="P68B1DB1-Normal11"/>
              <w:spacing w:line="276" w:lineRule="auto"/>
              <w:jc w:val="center"/>
              <w:rPr>
                <w:noProof/>
              </w:rPr>
            </w:pPr>
            <w:r>
              <w:rPr>
                <w:noProof/>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AE6BAE" w14:textId="75CBEF7E" w:rsidR="00327FF1" w:rsidRDefault="00E406C7">
            <w:pPr>
              <w:pStyle w:val="P68B1DB1-Normal11"/>
              <w:spacing w:line="276" w:lineRule="auto"/>
              <w:jc w:val="center"/>
              <w:rPr>
                <w:noProof/>
              </w:rPr>
            </w:pPr>
            <w:r>
              <w:rPr>
                <w:noProof/>
              </w:rPr>
              <w:t>4 000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65F136" w14:textId="2BAFA325" w:rsidR="00327FF1" w:rsidRDefault="00E406C7">
            <w:pPr>
              <w:pStyle w:val="P68B1DB1-Normal11"/>
              <w:spacing w:line="276" w:lineRule="auto"/>
              <w:jc w:val="center"/>
              <w:rPr>
                <w:noProof/>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E3A052" w14:textId="0C128B5A" w:rsidR="00327FF1" w:rsidRDefault="00E406C7">
            <w:pPr>
              <w:pStyle w:val="P68B1DB1-Normal11"/>
              <w:spacing w:line="276" w:lineRule="auto"/>
              <w:jc w:val="center"/>
              <w:rPr>
                <w:noProof/>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8A65B8" w14:textId="6DB9D17A" w:rsidR="00327FF1" w:rsidRDefault="00E406C7">
            <w:pPr>
              <w:pStyle w:val="P68B1DB1-Normal12"/>
              <w:spacing w:after="120"/>
              <w:rPr>
                <w:noProof/>
              </w:rPr>
            </w:pPr>
            <w:r>
              <w:rPr>
                <w:noProof/>
              </w:rPr>
              <w:t>Sertifikāti par darbu pabeigšanu, kas atbilst vismaz 4 000 km elektrotīkla noturības palielinājumam, ko apliecina viens vai vairāki neatkarīga inženiera ziņojumi.</w:t>
            </w:r>
          </w:p>
        </w:tc>
      </w:tr>
      <w:tr w:rsidR="00327FF1" w14:paraId="39CBF95D"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4EF95" w14:textId="77777777" w:rsidR="00327FF1" w:rsidRDefault="00E406C7">
            <w:pPr>
              <w:pStyle w:val="P68B1DB1-Normal11"/>
              <w:spacing w:line="276" w:lineRule="auto"/>
              <w:jc w:val="center"/>
              <w:rPr>
                <w:noProof/>
                <w:szCs w:val="20"/>
              </w:rPr>
            </w:pPr>
            <w:r>
              <w:rPr>
                <w:noProof/>
              </w:rPr>
              <w:t>M2C2–14</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D7E639" w14:textId="77777777" w:rsidR="00327FF1" w:rsidRDefault="00E406C7">
            <w:pPr>
              <w:pStyle w:val="P68B1DB1-Normal11"/>
              <w:spacing w:line="276" w:lineRule="auto"/>
              <w:jc w:val="center"/>
              <w:rPr>
                <w:noProof/>
                <w:szCs w:val="20"/>
              </w:rPr>
            </w:pPr>
            <w:r>
              <w:rPr>
                <w:noProof/>
              </w:rPr>
              <w:t>Investīcija 3.3. Ūdeņraža testēšana autotransportam</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A7C9EF"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FABCA1" w14:textId="77777777" w:rsidR="00327FF1" w:rsidRDefault="00E406C7">
            <w:pPr>
              <w:pStyle w:val="P68B1DB1-Normal11"/>
              <w:spacing w:line="276" w:lineRule="auto"/>
              <w:jc w:val="center"/>
              <w:rPr>
                <w:noProof/>
                <w:szCs w:val="20"/>
              </w:rPr>
            </w:pPr>
            <w:r>
              <w:rPr>
                <w:noProof/>
              </w:rPr>
              <w:t>(Visu) publiskā iepirkuma līgumu slēgšanas tiesību piešķiršana par tādu uzpildes staciju izveidi, kurās izmanto ūdeņradi</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23280E" w14:textId="77777777" w:rsidR="00327FF1" w:rsidRDefault="00E406C7">
            <w:pPr>
              <w:pStyle w:val="P68B1DB1-Normal11"/>
              <w:spacing w:line="276" w:lineRule="auto"/>
              <w:jc w:val="center"/>
              <w:rPr>
                <w:noProof/>
                <w:szCs w:val="20"/>
              </w:rPr>
            </w:pPr>
            <w:r>
              <w:rPr>
                <w:noProof/>
              </w:rPr>
              <w:t xml:space="preserve">Paziņojums par (visu) publisko līgumu slēgšanas tiesību piešķiršanu, lai izveidotu vismaz 40 uzlādes stacijas, kuru pamatā ir ūdeņradis </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C48A6F"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FFAD01"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9CA953"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18A434" w14:textId="77777777" w:rsidR="00327FF1" w:rsidRDefault="00E406C7">
            <w:pPr>
              <w:pStyle w:val="P68B1DB1-Normal11"/>
              <w:spacing w:line="276" w:lineRule="auto"/>
              <w:jc w:val="center"/>
              <w:rPr>
                <w:noProof/>
                <w:szCs w:val="20"/>
              </w:rPr>
            </w:pPr>
            <w:r>
              <w:rPr>
                <w:noProof/>
              </w:rPr>
              <w:t>Q1</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602A92" w14:textId="77777777" w:rsidR="00327FF1" w:rsidRDefault="00E406C7">
            <w:pPr>
              <w:pStyle w:val="P68B1DB1-Normal11"/>
              <w:spacing w:line="276" w:lineRule="auto"/>
              <w:jc w:val="center"/>
              <w:rPr>
                <w:noProof/>
                <w:szCs w:val="20"/>
              </w:rPr>
            </w:pPr>
            <w:r>
              <w:rPr>
                <w:noProof/>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4DE80D" w14:textId="77777777" w:rsidR="00327FF1" w:rsidRDefault="00E406C7">
            <w:pPr>
              <w:pStyle w:val="P68B1DB1-Normal11"/>
              <w:spacing w:after="120"/>
              <w:rPr>
                <w:noProof/>
                <w:szCs w:val="20"/>
              </w:rPr>
            </w:pPr>
            <w:r>
              <w:rPr>
                <w:noProof/>
              </w:rPr>
              <w:t>Paziņojums par (visu) publisko līgumu slēgšanas tiesību piešķiršanu par vismaz 40</w:t>
            </w:r>
            <w:r>
              <w:rPr>
                <w:noProof/>
              </w:rPr>
              <w:t xml:space="preserve"> uzlādes staciju izveidi uz ūdeņraža bāzes saskaņā ar Direktīvu 2014/94/ES par alternatīvo degvielu infrastruktūru.</w:t>
            </w:r>
          </w:p>
        </w:tc>
      </w:tr>
      <w:tr w:rsidR="00327FF1" w14:paraId="463D14A9"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2A38EE" w14:textId="77777777" w:rsidR="00327FF1" w:rsidRDefault="00E406C7">
            <w:pPr>
              <w:pStyle w:val="P68B1DB1-Normal11"/>
              <w:spacing w:line="276" w:lineRule="auto"/>
              <w:jc w:val="center"/>
              <w:rPr>
                <w:noProof/>
                <w:szCs w:val="20"/>
              </w:rPr>
            </w:pPr>
            <w:r>
              <w:rPr>
                <w:noProof/>
              </w:rPr>
              <w:t>M2C2–16</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D6DBA1" w14:textId="77777777" w:rsidR="00327FF1" w:rsidRDefault="00E406C7">
            <w:pPr>
              <w:pStyle w:val="P68B1DB1-Normal11"/>
              <w:spacing w:line="276" w:lineRule="auto"/>
              <w:jc w:val="center"/>
              <w:rPr>
                <w:noProof/>
                <w:szCs w:val="20"/>
              </w:rPr>
            </w:pPr>
            <w:r>
              <w:rPr>
                <w:noProof/>
              </w:rPr>
              <w:t>Investīcija Nr. 3.4. Ūdeņraža testēšana dzelzceļa mobilitātes vajadzībām</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B468CE"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25A550" w14:textId="77777777" w:rsidR="00327FF1" w:rsidRDefault="00E406C7">
            <w:pPr>
              <w:pStyle w:val="P68B1DB1-Normal11"/>
              <w:spacing w:line="276" w:lineRule="auto"/>
              <w:jc w:val="center"/>
              <w:rPr>
                <w:noProof/>
                <w:szCs w:val="20"/>
              </w:rPr>
            </w:pPr>
            <w:r>
              <w:rPr>
                <w:noProof/>
              </w:rPr>
              <w:t xml:space="preserve">Resursu piešķiršana ūdeņraža testēšanai </w:t>
            </w:r>
            <w:r>
              <w:rPr>
                <w:noProof/>
              </w:rPr>
              <w:t>dzelzceļa mobilitātes vajadzībām</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43DF48" w14:textId="77777777" w:rsidR="00327FF1" w:rsidRDefault="00E406C7">
            <w:pPr>
              <w:pStyle w:val="P68B1DB1-Normal11"/>
              <w:spacing w:line="276" w:lineRule="auto"/>
              <w:jc w:val="center"/>
              <w:rPr>
                <w:noProof/>
                <w:szCs w:val="20"/>
              </w:rPr>
            </w:pPr>
            <w:r>
              <w:rPr>
                <w:noProof/>
              </w:rPr>
              <w:t>Paziņojums par resursu piešķiršanu</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9923E"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C1A21"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135A61"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7EEE6B" w14:textId="77777777" w:rsidR="00327FF1" w:rsidRDefault="00E406C7">
            <w:pPr>
              <w:pStyle w:val="P68B1DB1-Normal11"/>
              <w:spacing w:line="276" w:lineRule="auto"/>
              <w:jc w:val="center"/>
              <w:rPr>
                <w:noProof/>
                <w:szCs w:val="20"/>
              </w:rPr>
            </w:pPr>
            <w:r>
              <w:rPr>
                <w:noProof/>
              </w:rPr>
              <w:t>Q1</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D34AC" w14:textId="77777777" w:rsidR="00327FF1" w:rsidRDefault="00E406C7">
            <w:pPr>
              <w:pStyle w:val="P68B1DB1-Normal11"/>
              <w:spacing w:line="276" w:lineRule="auto"/>
              <w:jc w:val="center"/>
              <w:rPr>
                <w:noProof/>
                <w:szCs w:val="20"/>
              </w:rPr>
            </w:pPr>
            <w:r>
              <w:rPr>
                <w:noProof/>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2A8500" w14:textId="77777777" w:rsidR="00327FF1" w:rsidRDefault="00E406C7">
            <w:pPr>
              <w:pStyle w:val="P68B1DB1-Normal11"/>
              <w:spacing w:after="120"/>
              <w:rPr>
                <w:noProof/>
                <w:szCs w:val="20"/>
              </w:rPr>
            </w:pPr>
            <w:r>
              <w:rPr>
                <w:noProof/>
              </w:rPr>
              <w:t>Resursu piešķiršana saskaņā ar procedūrām un kritērijiem, kas noteikti, lai būvētu desmit uz ūdeņraža bāzes darbināmas dzelzceļa uzpildes stacijas seš</w:t>
            </w:r>
            <w:r>
              <w:rPr>
                <w:noProof/>
              </w:rPr>
              <w:t>ās dzelzceļa līnijās</w:t>
            </w:r>
          </w:p>
        </w:tc>
      </w:tr>
      <w:tr w:rsidR="00327FF1" w14:paraId="65F01B65"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4E720F" w14:textId="77777777" w:rsidR="00327FF1" w:rsidRDefault="00E406C7">
            <w:pPr>
              <w:pStyle w:val="P68B1DB1-Normal11"/>
              <w:spacing w:line="276" w:lineRule="auto"/>
              <w:jc w:val="center"/>
              <w:rPr>
                <w:noProof/>
                <w:szCs w:val="20"/>
              </w:rPr>
            </w:pPr>
            <w:r>
              <w:rPr>
                <w:noProof/>
              </w:rPr>
              <w:t>M2C2–18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7A7B0C" w14:textId="77777777" w:rsidR="00327FF1" w:rsidRDefault="00E406C7">
            <w:pPr>
              <w:pStyle w:val="P68B1DB1-Normal11"/>
              <w:spacing w:line="276" w:lineRule="auto"/>
              <w:jc w:val="center"/>
              <w:rPr>
                <w:noProof/>
                <w:szCs w:val="20"/>
              </w:rPr>
            </w:pPr>
            <w:r>
              <w:rPr>
                <w:noProof/>
              </w:rPr>
              <w:t>Investīcija 3.5. Ūdeņraža pētniecība un izstrāde</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CF4DC9"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E7C400" w14:textId="77777777" w:rsidR="00327FF1" w:rsidRDefault="00E406C7">
            <w:pPr>
              <w:pStyle w:val="P68B1DB1-Normal11"/>
              <w:spacing w:line="276" w:lineRule="auto"/>
              <w:jc w:val="center"/>
              <w:rPr>
                <w:noProof/>
                <w:szCs w:val="20"/>
              </w:rPr>
            </w:pPr>
            <w:r>
              <w:rPr>
                <w:noProof/>
              </w:rPr>
              <w:t>Visu publisko pētniecības un izstrādes līgumu slēgšanas tiesību piešķiršana pētniecības projektiem ūdeņraža jomā</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5725BE" w14:textId="77777777" w:rsidR="00327FF1" w:rsidRDefault="00E406C7">
            <w:pPr>
              <w:pStyle w:val="P68B1DB1-Normal11"/>
              <w:spacing w:line="276" w:lineRule="auto"/>
              <w:jc w:val="center"/>
              <w:rPr>
                <w:noProof/>
                <w:szCs w:val="20"/>
              </w:rPr>
            </w:pPr>
            <w:r>
              <w:rPr>
                <w:noProof/>
              </w:rPr>
              <w:t xml:space="preserve">Paziņojums par līgumu slēgšanas tiesību </w:t>
            </w:r>
            <w:r>
              <w:rPr>
                <w:noProof/>
              </w:rPr>
              <w:t>piešķiršanu ūdeņraža pētniecības un izstrādes jomā</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4FB987"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8D18CF"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FD697B"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C4894E" w14:textId="77777777" w:rsidR="00327FF1" w:rsidRDefault="00E406C7">
            <w:pPr>
              <w:pStyle w:val="P68B1DB1-Normal11"/>
              <w:spacing w:line="276" w:lineRule="auto"/>
              <w:jc w:val="center"/>
              <w:rPr>
                <w:noProof/>
                <w:szCs w:val="20"/>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D43780" w14:textId="77777777" w:rsidR="00327FF1" w:rsidRDefault="00E406C7">
            <w:pPr>
              <w:pStyle w:val="P68B1DB1-Normal11"/>
              <w:spacing w:line="276" w:lineRule="auto"/>
              <w:jc w:val="center"/>
              <w:rPr>
                <w:noProof/>
                <w:szCs w:val="20"/>
              </w:rPr>
            </w:pPr>
            <w:r>
              <w:rPr>
                <w:noProof/>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61EBE4" w14:textId="257D4A7A" w:rsidR="00327FF1" w:rsidRDefault="00E406C7">
            <w:pPr>
              <w:pStyle w:val="P68B1DB1-Normal11"/>
              <w:spacing w:after="120"/>
              <w:rPr>
                <w:noProof/>
                <w:szCs w:val="20"/>
              </w:rPr>
            </w:pPr>
            <w:r>
              <w:rPr>
                <w:noProof/>
              </w:rPr>
              <w:t>Paziņojums par tādu pētniecības un izstrādes līgumu slēgšanas tiesību piešķiršanu, kuru mērķis ir uzlabot zināšanas par ūdeņraža vektora ieviešanu ražošanas, uzgl</w:t>
            </w:r>
            <w:r>
              <w:rPr>
                <w:noProof/>
              </w:rPr>
              <w:t>abāšanas un izplatīšanas posmā. Līgumos izstrādā vismaz četras pētniecības dimensijas:</w:t>
            </w:r>
          </w:p>
          <w:p w14:paraId="69A33AC1" w14:textId="77777777" w:rsidR="00327FF1" w:rsidRDefault="00E406C7">
            <w:pPr>
              <w:pStyle w:val="P68B1DB1-Normal11"/>
              <w:spacing w:after="120"/>
              <w:rPr>
                <w:noProof/>
                <w:szCs w:val="20"/>
              </w:rPr>
            </w:pPr>
            <w:r>
              <w:rPr>
                <w:noProof/>
              </w:rPr>
              <w:t>zaļā un tīrā ūdeņraža ražošana</w:t>
            </w:r>
          </w:p>
          <w:p w14:paraId="3611EF68" w14:textId="77777777" w:rsidR="00327FF1" w:rsidRDefault="00E406C7">
            <w:pPr>
              <w:pStyle w:val="P68B1DB1-Normal11"/>
              <w:spacing w:after="120"/>
              <w:rPr>
                <w:noProof/>
                <w:szCs w:val="20"/>
              </w:rPr>
            </w:pPr>
            <w:r>
              <w:rPr>
                <w:noProof/>
              </w:rPr>
              <w:t>inovatīvas tehnoloģijas ūdeņraža uzglabāšanai, transportēšanai un pārveidošanai par atvasinājumiem un e-degvielām</w:t>
            </w:r>
          </w:p>
          <w:p w14:paraId="691A34D5" w14:textId="77777777" w:rsidR="00327FF1" w:rsidRDefault="00E406C7">
            <w:pPr>
              <w:pStyle w:val="P68B1DB1-Normal11"/>
              <w:spacing w:after="120"/>
              <w:rPr>
                <w:noProof/>
                <w:szCs w:val="20"/>
              </w:rPr>
            </w:pPr>
            <w:r>
              <w:rPr>
                <w:noProof/>
              </w:rPr>
              <w:t>C) Degvielas elementi st</w:t>
            </w:r>
            <w:r>
              <w:rPr>
                <w:noProof/>
              </w:rPr>
              <w:t>acionāriem un kustīgiem lietojumiem</w:t>
            </w:r>
          </w:p>
          <w:p w14:paraId="2D69B73B" w14:textId="77777777" w:rsidR="00327FF1" w:rsidRDefault="00E406C7">
            <w:pPr>
              <w:pStyle w:val="P68B1DB1-Normal11"/>
              <w:spacing w:after="120"/>
              <w:rPr>
                <w:noProof/>
                <w:szCs w:val="20"/>
              </w:rPr>
            </w:pPr>
            <w:r>
              <w:rPr>
                <w:noProof/>
              </w:rPr>
              <w:t>integrētas viedās pārvaldības sistēmas, lai palielinātu uz ūdeņradi balstītas intelektiskās infrastruktūras noturību un uzticamību</w:t>
            </w:r>
          </w:p>
          <w:p w14:paraId="4BA722D5" w14:textId="77777777" w:rsidR="00327FF1" w:rsidRDefault="00E406C7">
            <w:pPr>
              <w:pStyle w:val="P68B1DB1-Normal11"/>
              <w:spacing w:after="120"/>
              <w:rPr>
                <w:noProof/>
                <w:szCs w:val="20"/>
              </w:rPr>
            </w:pPr>
            <w:r>
              <w:rPr>
                <w:noProof/>
              </w:rPr>
              <w:t>Ar šo pasākumu atbalsta ūdeņraža ražošanu, pamatojoties uz elektrolīzi, izmantojot atjaun</w:t>
            </w:r>
            <w:r>
              <w:rPr>
                <w:noProof/>
              </w:rPr>
              <w:t>īgos energoresursus, kā definēts Direktīvā (ES) 2018/2001 (Atjaunojamo energoresursu direktīva), vai tīkla elektroenerģiju, vai ūdeņraža darbības, kas atbilst aprites cikla SEG emisiju aiztaupījuma prasībai 73,4 % apmērā ūdeņradim, kā rezultātā aprites cik</w:t>
            </w:r>
            <w:r>
              <w:rPr>
                <w:noProof/>
              </w:rPr>
              <w:t>la SEG emisijas ir mazākas par 3 t CO2e/tH2 un 70 % sintētiskajām degvielām uz ūdeņraža bāzes attiecībā pret fosilo degvielu komparatoru 94 g CO2e/MJ pēc analoģijas ar Direktīvas (ES) 2018/2001 25. panta 2. punktā un V pielikumā izklāstīto pieeju.</w:t>
            </w:r>
          </w:p>
        </w:tc>
      </w:tr>
      <w:tr w:rsidR="00327FF1" w14:paraId="268B3B51"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57DF9C" w14:textId="77777777" w:rsidR="00327FF1" w:rsidRDefault="00E406C7">
            <w:pPr>
              <w:pStyle w:val="P68B1DB1-Normal11"/>
              <w:spacing w:line="276" w:lineRule="auto"/>
              <w:jc w:val="center"/>
              <w:rPr>
                <w:noProof/>
                <w:szCs w:val="20"/>
              </w:rPr>
            </w:pPr>
            <w:r>
              <w:rPr>
                <w:noProof/>
              </w:rPr>
              <w:t>M2C2–20</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2A4F6C" w14:textId="77777777" w:rsidR="00327FF1" w:rsidRDefault="00E406C7">
            <w:pPr>
              <w:pStyle w:val="P68B1DB1-Normal11"/>
              <w:spacing w:line="276" w:lineRule="auto"/>
              <w:jc w:val="center"/>
              <w:rPr>
                <w:noProof/>
                <w:szCs w:val="20"/>
              </w:rPr>
            </w:pPr>
            <w:r>
              <w:rPr>
                <w:noProof/>
              </w:rPr>
              <w:t>Reforma Nr. 3 “Administratīvā vienkāršošana un regulatīvo šķēršļu mazināšana ūdeņraža ieviešanai”</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59D5B"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E26B99" w14:textId="77777777" w:rsidR="00327FF1" w:rsidRDefault="00E406C7">
            <w:pPr>
              <w:pStyle w:val="P68B1DB1-Normal11"/>
              <w:spacing w:line="276" w:lineRule="auto"/>
              <w:jc w:val="center"/>
              <w:rPr>
                <w:noProof/>
                <w:szCs w:val="20"/>
              </w:rPr>
            </w:pPr>
            <w:r>
              <w:rPr>
                <w:noProof/>
              </w:rPr>
              <w:t>Vajadzīgo leģislatīvo aktu stāšanās spēkā</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46A79F" w14:textId="77777777" w:rsidR="00327FF1" w:rsidRDefault="00E406C7">
            <w:pPr>
              <w:pStyle w:val="P68B1DB1-Normal11"/>
              <w:spacing w:line="276" w:lineRule="auto"/>
              <w:jc w:val="center"/>
              <w:rPr>
                <w:noProof/>
                <w:szCs w:val="20"/>
              </w:rPr>
            </w:pPr>
            <w:r>
              <w:rPr>
                <w:noProof/>
              </w:rPr>
              <w:t>Likuma norma, kas norāda uz likuma stāšanos spēkā</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994CD7"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2591EB"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5BDEF4"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8516C7" w14:textId="77777777" w:rsidR="00327FF1" w:rsidRDefault="00E406C7">
            <w:pPr>
              <w:pStyle w:val="P68B1DB1-Normal11"/>
              <w:spacing w:line="276" w:lineRule="auto"/>
              <w:jc w:val="center"/>
              <w:rPr>
                <w:noProof/>
                <w:szCs w:val="20"/>
              </w:rPr>
            </w:pPr>
            <w:r>
              <w:rPr>
                <w:noProof/>
              </w:rPr>
              <w:t>Q1</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C78591" w14:textId="77777777" w:rsidR="00327FF1" w:rsidRDefault="00E406C7">
            <w:pPr>
              <w:pStyle w:val="P68B1DB1-Normal11"/>
              <w:spacing w:line="276" w:lineRule="auto"/>
              <w:jc w:val="center"/>
              <w:rPr>
                <w:noProof/>
                <w:szCs w:val="20"/>
              </w:rPr>
            </w:pPr>
            <w:r>
              <w:rPr>
                <w:noProof/>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5BEB23" w14:textId="77777777" w:rsidR="00327FF1" w:rsidRDefault="00E406C7">
            <w:pPr>
              <w:pStyle w:val="P68B1DB1-Normal11"/>
              <w:spacing w:after="120"/>
              <w:rPr>
                <w:noProof/>
                <w:szCs w:val="20"/>
              </w:rPr>
            </w:pPr>
            <w:r>
              <w:rPr>
                <w:noProof/>
              </w:rPr>
              <w:t>Nepieciešamajos tiesību aktos izklāsta i) drošības noteikumus attiecībā uz ūdeņraža ražošanu, transportēšanu un uzglabāšanu, ii) vienkāršo procedūras mazu būvju izveidei zaļā ūdeņraža ražošanai un iii) pasākumus saistībā ar nosacījumiem, lai būvētu uzlādes</w:t>
            </w:r>
            <w:r>
              <w:rPr>
                <w:noProof/>
              </w:rPr>
              <w:t xml:space="preserve"> stacijas, kuru pamatā ir ūdeņradis.</w:t>
            </w:r>
          </w:p>
          <w:p w14:paraId="315860ED" w14:textId="77777777" w:rsidR="00327FF1" w:rsidRDefault="00E406C7">
            <w:pPr>
              <w:pStyle w:val="P68B1DB1-Normal11"/>
              <w:spacing w:after="120"/>
              <w:rPr>
                <w:noProof/>
                <w:szCs w:val="20"/>
              </w:rPr>
            </w:pPr>
            <w:r>
              <w:rPr>
                <w:noProof/>
              </w:rPr>
              <w:t>Šis pasākums atbalsta tikai ūdeņraža darbības, kas atbilst aprites cikla SEG emisiju aiztaupījuma prasībai 73,4 % apmērā ūdeņradim, kā rezultātā rodas 3 tCO2eq/tH2.</w:t>
            </w:r>
          </w:p>
        </w:tc>
      </w:tr>
      <w:tr w:rsidR="00327FF1" w14:paraId="00D5CF48"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6F5663" w14:textId="77777777" w:rsidR="00327FF1" w:rsidRDefault="00E406C7">
            <w:pPr>
              <w:pStyle w:val="P68B1DB1-Normal11"/>
              <w:spacing w:line="276" w:lineRule="auto"/>
              <w:jc w:val="center"/>
              <w:rPr>
                <w:noProof/>
                <w:szCs w:val="20"/>
              </w:rPr>
            </w:pPr>
            <w:r>
              <w:rPr>
                <w:noProof/>
              </w:rPr>
              <w:t>M2C2–21</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1E424" w14:textId="77777777" w:rsidR="00327FF1" w:rsidRDefault="00E406C7">
            <w:pPr>
              <w:pStyle w:val="P68B1DB1-Normal11"/>
              <w:spacing w:line="276" w:lineRule="auto"/>
              <w:jc w:val="center"/>
              <w:rPr>
                <w:noProof/>
                <w:szCs w:val="20"/>
              </w:rPr>
            </w:pPr>
            <w:r>
              <w:rPr>
                <w:noProof/>
              </w:rPr>
              <w:t>Reforma. Ūdeņraža konkurētspējas veicināšanas</w:t>
            </w:r>
            <w:r>
              <w:rPr>
                <w:noProof/>
              </w:rPr>
              <w:t xml:space="preserve"> pasākumi</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A9FA31"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FFDB8" w14:textId="77777777" w:rsidR="00327FF1" w:rsidRDefault="00E406C7">
            <w:pPr>
              <w:pStyle w:val="P68B1DB1-Normal11"/>
              <w:spacing w:line="276" w:lineRule="auto"/>
              <w:jc w:val="center"/>
              <w:rPr>
                <w:noProof/>
                <w:szCs w:val="20"/>
              </w:rPr>
            </w:pPr>
            <w:r>
              <w:rPr>
                <w:noProof/>
              </w:rPr>
              <w:t>Fiskālo stimulu stāšanās spēkā</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E56677" w14:textId="77777777" w:rsidR="00327FF1" w:rsidRDefault="00E406C7">
            <w:pPr>
              <w:pStyle w:val="P68B1DB1-Normal11"/>
              <w:spacing w:line="276" w:lineRule="auto"/>
              <w:jc w:val="center"/>
              <w:rPr>
                <w:noProof/>
                <w:szCs w:val="20"/>
              </w:rPr>
            </w:pPr>
            <w:r>
              <w:rPr>
                <w:noProof/>
              </w:rPr>
              <w:t>Likuma norma, kas norāda uz likuma stāšanos spēkā</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8CF5B" w14:textId="77777777" w:rsidR="00327FF1" w:rsidRDefault="00E406C7">
            <w:pPr>
              <w:pStyle w:val="P68B1DB1-Normal11"/>
              <w:spacing w:line="276" w:lineRule="auto"/>
              <w:jc w:val="center"/>
              <w:rPr>
                <w:noProof/>
                <w:szCs w:val="20"/>
              </w:rPr>
            </w:pPr>
            <w:r>
              <w:rPr>
                <w:noProof/>
              </w:rPr>
              <w:t>N.A.</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578DBC"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E51733"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B7D851" w14:textId="77777777" w:rsidR="00327FF1" w:rsidRDefault="00E406C7">
            <w:pPr>
              <w:pStyle w:val="P68B1DB1-Normal11"/>
              <w:spacing w:line="276" w:lineRule="auto"/>
              <w:jc w:val="center"/>
              <w:rPr>
                <w:noProof/>
                <w:szCs w:val="20"/>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F27EA1" w14:textId="77777777" w:rsidR="00327FF1" w:rsidRDefault="00E406C7">
            <w:pPr>
              <w:pStyle w:val="P68B1DB1-Normal11"/>
              <w:spacing w:line="276" w:lineRule="auto"/>
              <w:jc w:val="center"/>
              <w:rPr>
                <w:noProof/>
                <w:szCs w:val="20"/>
              </w:rPr>
            </w:pPr>
            <w:r>
              <w:rPr>
                <w:noProof/>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F0D337" w14:textId="77777777" w:rsidR="00327FF1" w:rsidRDefault="00E406C7">
            <w:pPr>
              <w:pStyle w:val="P68B1DB1-Normal11"/>
              <w:spacing w:after="120"/>
              <w:rPr>
                <w:noProof/>
                <w:szCs w:val="20"/>
              </w:rPr>
            </w:pPr>
            <w:r>
              <w:rPr>
                <w:noProof/>
              </w:rPr>
              <w:t xml:space="preserve">Tiesību aktā nosaka fiskālos stimulus, lai atbalstītu zaļā ūdeņraža ražošanu un veicinātu zaļā ūdeņraža </w:t>
            </w:r>
            <w:r>
              <w:rPr>
                <w:noProof/>
              </w:rPr>
              <w:t>patēriņu transporta nozarē.</w:t>
            </w:r>
          </w:p>
          <w:p w14:paraId="31E38799" w14:textId="77777777" w:rsidR="00327FF1" w:rsidRDefault="00E406C7">
            <w:pPr>
              <w:pStyle w:val="P68B1DB1-Normal11"/>
              <w:spacing w:after="120"/>
              <w:rPr>
                <w:noProof/>
                <w:szCs w:val="20"/>
              </w:rPr>
            </w:pPr>
            <w:r>
              <w:rPr>
                <w:noProof/>
              </w:rPr>
              <w:t>Šis pasākums atbalsta tikai ūdeņraža darbības, kas atbilst aprites cikla SEG emisiju aiztaupījuma prasībai 73,4 % apmērā ūdeņradim, kā rezultātā rodas 3 tCO2eq/tH2.</w:t>
            </w:r>
          </w:p>
        </w:tc>
      </w:tr>
      <w:tr w:rsidR="00327FF1" w14:paraId="167F15F1"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7D9BD7" w14:textId="77777777" w:rsidR="00327FF1" w:rsidRDefault="00E406C7">
            <w:pPr>
              <w:pStyle w:val="P68B1DB1-Normal11"/>
              <w:spacing w:line="276" w:lineRule="auto"/>
              <w:jc w:val="center"/>
              <w:rPr>
                <w:noProof/>
                <w:szCs w:val="20"/>
              </w:rPr>
            </w:pPr>
            <w:r>
              <w:rPr>
                <w:noProof/>
              </w:rPr>
              <w:t>M2C2–22</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D05C69" w14:textId="77777777" w:rsidR="00327FF1" w:rsidRDefault="00E406C7">
            <w:pPr>
              <w:pStyle w:val="P68B1DB1-Normal11"/>
              <w:spacing w:line="276" w:lineRule="auto"/>
              <w:jc w:val="center"/>
              <w:rPr>
                <w:noProof/>
                <w:szCs w:val="20"/>
              </w:rPr>
            </w:pPr>
            <w:r>
              <w:rPr>
                <w:noProof/>
              </w:rPr>
              <w:t xml:space="preserve">Investīcija 4.1. Ieguldījumi vidi saudzējošā </w:t>
            </w:r>
            <w:r>
              <w:rPr>
                <w:noProof/>
              </w:rPr>
              <w:t>mobilitātē (Valsts cikla ceļa plāns)</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7618E9" w14:textId="77777777" w:rsidR="00327FF1" w:rsidRDefault="00E406C7">
            <w:pPr>
              <w:pStyle w:val="P68B1DB1-Normal11"/>
              <w:spacing w:line="276" w:lineRule="auto"/>
              <w:jc w:val="center"/>
              <w:rPr>
                <w:noProof/>
                <w:szCs w:val="20"/>
              </w:rPr>
            </w:pPr>
            <w:r>
              <w:rPr>
                <w:noProof/>
              </w:rPr>
              <w:t>Mērķa:</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68AA6" w14:textId="77777777" w:rsidR="00327FF1" w:rsidRDefault="00E406C7">
            <w:pPr>
              <w:pStyle w:val="P68B1DB1-Normal11"/>
              <w:spacing w:line="276" w:lineRule="auto"/>
              <w:jc w:val="center"/>
              <w:rPr>
                <w:noProof/>
                <w:szCs w:val="20"/>
              </w:rPr>
            </w:pPr>
            <w:r>
              <w:rPr>
                <w:noProof/>
              </w:rPr>
              <w:t>Riteņbraukšanas joslas T1</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21BA46" w14:textId="77777777" w:rsidR="00327FF1" w:rsidRDefault="00E406C7">
            <w:pPr>
              <w:pStyle w:val="P68B1DB1-Normal11"/>
              <w:spacing w:line="276" w:lineRule="auto"/>
              <w:jc w:val="center"/>
              <w:rPr>
                <w:noProof/>
                <w:szCs w:val="20"/>
              </w:rPr>
            </w:pPr>
            <w:r>
              <w:rPr>
                <w:noProof/>
              </w:rPr>
              <w:t>NEPIEMĒRO</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F40391" w14:textId="77777777" w:rsidR="00327FF1" w:rsidRDefault="00E406C7">
            <w:pPr>
              <w:pStyle w:val="P68B1DB1-Normal11"/>
              <w:spacing w:line="276" w:lineRule="auto"/>
              <w:jc w:val="center"/>
              <w:rPr>
                <w:noProof/>
                <w:szCs w:val="20"/>
              </w:rPr>
            </w:pPr>
            <w:r>
              <w:rPr>
                <w:noProof/>
              </w:rPr>
              <w:t>Km</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9C058" w14:textId="77777777" w:rsidR="00327FF1" w:rsidRDefault="00E406C7">
            <w:pPr>
              <w:pStyle w:val="P68B1DB1-Normal11"/>
              <w:spacing w:line="276" w:lineRule="auto"/>
              <w:jc w:val="center"/>
              <w:rPr>
                <w:noProof/>
                <w:szCs w:val="20"/>
              </w:rPr>
            </w:pPr>
            <w:r>
              <w:rPr>
                <w:noProof/>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94D4AC" w14:textId="77777777" w:rsidR="00327FF1" w:rsidRDefault="00E406C7">
            <w:pPr>
              <w:pStyle w:val="P68B1DB1-Normal11"/>
              <w:spacing w:line="276" w:lineRule="auto"/>
              <w:jc w:val="center"/>
              <w:rPr>
                <w:noProof/>
                <w:szCs w:val="20"/>
              </w:rPr>
            </w:pPr>
            <w:r>
              <w:rPr>
                <w:noProof/>
              </w:rPr>
              <w:t>200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AFA91E" w14:textId="77777777" w:rsidR="00327FF1" w:rsidRDefault="00E406C7">
            <w:pPr>
              <w:pStyle w:val="P68B1DB1-Normal11"/>
              <w:spacing w:line="276" w:lineRule="auto"/>
              <w:jc w:val="center"/>
              <w:rPr>
                <w:noProof/>
                <w:szCs w:val="20"/>
              </w:rPr>
            </w:pPr>
            <w:r>
              <w:rPr>
                <w:noProof/>
              </w:rPr>
              <w:t>4.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F7CD8C" w14:textId="77777777" w:rsidR="00327FF1" w:rsidRDefault="00E406C7">
            <w:pPr>
              <w:pStyle w:val="P68B1DB1-Normal11"/>
              <w:spacing w:line="276" w:lineRule="auto"/>
              <w:jc w:val="center"/>
              <w:rPr>
                <w:noProof/>
                <w:szCs w:val="20"/>
              </w:rPr>
            </w:pPr>
            <w:r>
              <w:rPr>
                <w:noProof/>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55231" w14:textId="77777777" w:rsidR="00327FF1" w:rsidRDefault="00E406C7">
            <w:pPr>
              <w:pStyle w:val="P68B1DB1-Normal11"/>
              <w:spacing w:after="120"/>
              <w:rPr>
                <w:noProof/>
                <w:szCs w:val="20"/>
              </w:rPr>
            </w:pPr>
            <w:r>
              <w:rPr>
                <w:noProof/>
              </w:rPr>
              <w:t>Vismaz 200 km velojoslu pabeigšana lielpilsētu teritorijās, kā noteikts pasākuma aprakstā, vai pilsētās, kurās uzņem universitātes.</w:t>
            </w:r>
          </w:p>
        </w:tc>
      </w:tr>
      <w:tr w:rsidR="00327FF1" w14:paraId="0B1E9B75"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7986DC" w14:textId="77777777" w:rsidR="00327FF1" w:rsidRDefault="00E406C7">
            <w:pPr>
              <w:pStyle w:val="P68B1DB1-Normal11"/>
              <w:spacing w:line="276" w:lineRule="auto"/>
              <w:jc w:val="center"/>
              <w:rPr>
                <w:noProof/>
                <w:szCs w:val="20"/>
              </w:rPr>
            </w:pPr>
            <w:r>
              <w:rPr>
                <w:noProof/>
              </w:rPr>
              <w:t>M2C2–23</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376443" w14:textId="77777777" w:rsidR="00327FF1" w:rsidRDefault="00E406C7">
            <w:pPr>
              <w:pStyle w:val="P68B1DB1-Normal11"/>
              <w:spacing w:line="276" w:lineRule="auto"/>
              <w:jc w:val="center"/>
              <w:rPr>
                <w:noProof/>
                <w:szCs w:val="20"/>
              </w:rPr>
            </w:pPr>
            <w:r>
              <w:rPr>
                <w:noProof/>
              </w:rPr>
              <w:t xml:space="preserve">Investīcija </w:t>
            </w:r>
            <w:r>
              <w:rPr>
                <w:noProof/>
              </w:rPr>
              <w:t>4.1. Ieguldījumi vidi saudzējošā mobilitātē (Valsts cikla ceļa plāns)</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0E3CFA" w14:textId="77777777" w:rsidR="00327FF1" w:rsidRDefault="00E406C7">
            <w:pPr>
              <w:pStyle w:val="P68B1DB1-Normal11"/>
              <w:spacing w:line="276" w:lineRule="auto"/>
              <w:jc w:val="center"/>
              <w:rPr>
                <w:noProof/>
                <w:szCs w:val="20"/>
              </w:rPr>
            </w:pPr>
            <w:r>
              <w:rPr>
                <w:noProof/>
              </w:rPr>
              <w:t>Mērķa</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46061B" w14:textId="77777777" w:rsidR="00327FF1" w:rsidRDefault="00E406C7">
            <w:pPr>
              <w:pStyle w:val="P68B1DB1-Normal11"/>
              <w:spacing w:line="276" w:lineRule="auto"/>
              <w:jc w:val="center"/>
              <w:rPr>
                <w:noProof/>
                <w:szCs w:val="20"/>
              </w:rPr>
            </w:pPr>
            <w:r>
              <w:rPr>
                <w:noProof/>
              </w:rPr>
              <w:t>Riteņbraukšanas joslas T2</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6517FE" w14:textId="77777777" w:rsidR="00327FF1" w:rsidRDefault="00E406C7">
            <w:pPr>
              <w:pStyle w:val="P68B1DB1-Normal11"/>
              <w:spacing w:line="276" w:lineRule="auto"/>
              <w:jc w:val="center"/>
              <w:rPr>
                <w:noProof/>
                <w:szCs w:val="20"/>
              </w:rPr>
            </w:pPr>
            <w:r>
              <w:rPr>
                <w:noProof/>
              </w:rPr>
              <w:t>NEPIEMĒRO</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6517A" w14:textId="77777777" w:rsidR="00327FF1" w:rsidRDefault="00E406C7">
            <w:pPr>
              <w:pStyle w:val="P68B1DB1-Normal11"/>
              <w:spacing w:line="276" w:lineRule="auto"/>
              <w:jc w:val="center"/>
              <w:rPr>
                <w:noProof/>
                <w:szCs w:val="20"/>
              </w:rPr>
            </w:pPr>
            <w:r>
              <w:rPr>
                <w:noProof/>
              </w:rPr>
              <w:t>Km</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8085DE" w14:textId="77777777" w:rsidR="00327FF1" w:rsidRDefault="00E406C7">
            <w:pPr>
              <w:pStyle w:val="P68B1DB1-Normal11"/>
              <w:spacing w:line="276" w:lineRule="auto"/>
              <w:jc w:val="center"/>
              <w:rPr>
                <w:noProof/>
                <w:szCs w:val="20"/>
              </w:rPr>
            </w:pPr>
            <w:r>
              <w:rPr>
                <w:noProof/>
              </w:rPr>
              <w:t>200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9C799A" w14:textId="648E5A32" w:rsidR="00327FF1" w:rsidRDefault="00E406C7">
            <w:pPr>
              <w:pStyle w:val="P68B1DB1-Normal11"/>
              <w:spacing w:line="276" w:lineRule="auto"/>
              <w:jc w:val="center"/>
              <w:rPr>
                <w:noProof/>
                <w:szCs w:val="20"/>
              </w:rPr>
            </w:pPr>
            <w:r>
              <w:rPr>
                <w:noProof/>
                <w:szCs w:val="20"/>
              </w:rPr>
              <w:t>1</w:t>
            </w:r>
            <w:r>
              <w:rPr>
                <w:noProof/>
              </w:rPr>
              <w:t xml:space="preserve"> </w:t>
            </w:r>
            <w:r>
              <w:rPr>
                <w:noProof/>
                <w:szCs w:val="20"/>
              </w:rPr>
              <w:t>261</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F1EE9F" w14:textId="77777777" w:rsidR="00327FF1" w:rsidRDefault="00E406C7">
            <w:pPr>
              <w:pStyle w:val="P68B1DB1-Normal11"/>
              <w:spacing w:line="276" w:lineRule="auto"/>
              <w:jc w:val="center"/>
              <w:rPr>
                <w:noProof/>
                <w:szCs w:val="20"/>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5C3656" w14:textId="77777777" w:rsidR="00327FF1" w:rsidRDefault="00E406C7">
            <w:pPr>
              <w:pStyle w:val="P68B1DB1-Normal11"/>
              <w:spacing w:line="276" w:lineRule="auto"/>
              <w:jc w:val="center"/>
              <w:rPr>
                <w:noProof/>
                <w:szCs w:val="20"/>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9D3C49" w14:textId="58C27959" w:rsidR="00327FF1" w:rsidRDefault="00E406C7">
            <w:pPr>
              <w:pStyle w:val="P68B1DB1-Normal11"/>
              <w:spacing w:after="120"/>
              <w:rPr>
                <w:noProof/>
                <w:szCs w:val="20"/>
              </w:rPr>
            </w:pPr>
            <w:r>
              <w:rPr>
                <w:noProof/>
                <w:szCs w:val="20"/>
              </w:rPr>
              <w:t xml:space="preserve">Sertifikātus par darbu pabeigšanu izsniedz par vismaz 1261 km veloceliņu izbūvi lielpilsētu teritorijās un tūrisma </w:t>
            </w:r>
            <w:r>
              <w:rPr>
                <w:noProof/>
                <w:szCs w:val="20"/>
              </w:rPr>
              <w:t>veloceliņu izbūvi.</w:t>
            </w:r>
          </w:p>
        </w:tc>
      </w:tr>
      <w:tr w:rsidR="00327FF1" w14:paraId="3BC6C350"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3E904D" w14:textId="77777777" w:rsidR="00327FF1" w:rsidRDefault="00E406C7">
            <w:pPr>
              <w:pStyle w:val="P68B1DB1-Normal11"/>
              <w:spacing w:line="276" w:lineRule="auto"/>
              <w:jc w:val="center"/>
              <w:rPr>
                <w:noProof/>
                <w:szCs w:val="20"/>
              </w:rPr>
            </w:pPr>
            <w:r>
              <w:rPr>
                <w:noProof/>
              </w:rPr>
              <w:t>M2C2–27</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32A7AC" w14:textId="77777777" w:rsidR="00327FF1" w:rsidRDefault="00E406C7">
            <w:pPr>
              <w:pStyle w:val="P68B1DB1-Normal11"/>
              <w:spacing w:line="276" w:lineRule="auto"/>
              <w:jc w:val="center"/>
              <w:rPr>
                <w:noProof/>
                <w:szCs w:val="20"/>
              </w:rPr>
            </w:pPr>
            <w:r>
              <w:rPr>
                <w:noProof/>
              </w:rPr>
              <w:t>Investīcija Nr. 4.3. Uzlādes infrastruktūras uzstādīšana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575930"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548E6" w14:textId="77777777" w:rsidR="00327FF1" w:rsidRDefault="00E406C7">
            <w:pPr>
              <w:pStyle w:val="P68B1DB1-Normal11"/>
              <w:spacing w:line="276" w:lineRule="auto"/>
              <w:jc w:val="center"/>
              <w:rPr>
                <w:noProof/>
                <w:szCs w:val="20"/>
              </w:rPr>
            </w:pPr>
            <w:r>
              <w:rPr>
                <w:noProof/>
              </w:rPr>
              <w:t>Visu publisko līgumu slēgšanas tiesību piešķiršana uzlādes infrastruktūras uzstādīšanai M1</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CA7DD0" w14:textId="77777777" w:rsidR="00327FF1" w:rsidRDefault="00E406C7">
            <w:pPr>
              <w:pStyle w:val="P68B1DB1-Normal11"/>
              <w:spacing w:line="276" w:lineRule="auto"/>
              <w:jc w:val="center"/>
              <w:rPr>
                <w:noProof/>
                <w:szCs w:val="20"/>
              </w:rPr>
            </w:pPr>
            <w:r>
              <w:rPr>
                <w:noProof/>
              </w:rPr>
              <w:t xml:space="preserve">Paziņojums par visu publisko līgumu slēgšanas tiesību </w:t>
            </w:r>
            <w:r>
              <w:rPr>
                <w:noProof/>
              </w:rPr>
              <w:t>piešķiršanu uzlādes infrastruktūras uzstādīšanai</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4981BC"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02D5BA"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CDFE8A"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AAAFEE" w14:textId="77777777" w:rsidR="00327FF1" w:rsidRDefault="00E406C7">
            <w:pPr>
              <w:pStyle w:val="P68B1DB1-Normal11"/>
              <w:spacing w:line="276" w:lineRule="auto"/>
              <w:jc w:val="center"/>
              <w:rPr>
                <w:noProof/>
                <w:szCs w:val="20"/>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2BEEFD" w14:textId="77777777" w:rsidR="00327FF1" w:rsidRDefault="00E406C7">
            <w:pPr>
              <w:pStyle w:val="P68B1DB1-Normal11"/>
              <w:spacing w:line="276" w:lineRule="auto"/>
              <w:jc w:val="center"/>
              <w:rPr>
                <w:noProof/>
                <w:szCs w:val="20"/>
              </w:rPr>
            </w:pPr>
            <w:r>
              <w:rPr>
                <w:noProof/>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7C3C39" w14:textId="763991FA" w:rsidR="00327FF1" w:rsidRDefault="00E406C7">
            <w:pPr>
              <w:pStyle w:val="P68B1DB1-Normal11"/>
              <w:spacing w:after="120"/>
              <w:rPr>
                <w:noProof/>
                <w:szCs w:val="20"/>
              </w:rPr>
            </w:pPr>
            <w:r>
              <w:rPr>
                <w:noProof/>
              </w:rPr>
              <w:t>Paziņojums par visu publisko līgumu slēgšanas tiesību piešķiršanu vismaz 4700 uzlādes staciju būvniecībai pilsētu teritorijās (visās pašvaldībās).</w:t>
            </w:r>
          </w:p>
          <w:p w14:paraId="1A1F3F29" w14:textId="77777777" w:rsidR="00327FF1" w:rsidRDefault="00E406C7">
            <w:pPr>
              <w:pStyle w:val="P68B1DB1-Normal11"/>
              <w:spacing w:after="120"/>
              <w:rPr>
                <w:noProof/>
                <w:szCs w:val="20"/>
              </w:rPr>
            </w:pPr>
            <w:r>
              <w:rPr>
                <w:noProof/>
              </w:rPr>
              <w:t xml:space="preserve">Projektā var </w:t>
            </w:r>
            <w:r>
              <w:rPr>
                <w:noProof/>
              </w:rPr>
              <w:t>iekļaut arī izmēģinājuma uzlādes stacijas, kas paredzētas enerģijas uzkrāšanai.</w:t>
            </w:r>
          </w:p>
        </w:tc>
      </w:tr>
      <w:tr w:rsidR="00327FF1" w14:paraId="2DD940AA"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3FAF79" w14:textId="77777777" w:rsidR="00327FF1" w:rsidRDefault="00E406C7">
            <w:pPr>
              <w:pStyle w:val="P68B1DB1-Normal12"/>
              <w:spacing w:line="276" w:lineRule="auto"/>
              <w:jc w:val="center"/>
              <w:rPr>
                <w:noProof/>
              </w:rPr>
            </w:pPr>
            <w:r>
              <w:rPr>
                <w:noProof/>
              </w:rPr>
              <w:t>M2C2–28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3BA5E0" w14:textId="77777777" w:rsidR="00327FF1" w:rsidRDefault="00E406C7">
            <w:pPr>
              <w:pStyle w:val="P68B1DB1-Normal11"/>
              <w:spacing w:line="276" w:lineRule="auto"/>
              <w:jc w:val="center"/>
              <w:rPr>
                <w:noProof/>
                <w:szCs w:val="20"/>
              </w:rPr>
            </w:pPr>
            <w:r>
              <w:rPr>
                <w:noProof/>
              </w:rPr>
              <w:t>Investīcija Nr. 4.3. Uzlādes infrastruktūras uzstādīšana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5751F4"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EFAD5F" w14:textId="77777777" w:rsidR="00327FF1" w:rsidRDefault="00E406C7">
            <w:pPr>
              <w:pStyle w:val="P68B1DB1-Normal11"/>
              <w:spacing w:line="276" w:lineRule="auto"/>
              <w:jc w:val="center"/>
              <w:rPr>
                <w:noProof/>
                <w:szCs w:val="20"/>
              </w:rPr>
            </w:pPr>
            <w:r>
              <w:rPr>
                <w:noProof/>
              </w:rPr>
              <w:t xml:space="preserve">Publiskā iepirkuma līgumu slēgšanas tiesību piešķiršana uzlādes infrastruktūras uzstādīšanai </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DAE40A" w14:textId="3710E5DB" w:rsidR="00327FF1" w:rsidRDefault="00E406C7">
            <w:pPr>
              <w:pStyle w:val="P68B1DB1-Normal11"/>
              <w:spacing w:line="276" w:lineRule="auto"/>
              <w:jc w:val="center"/>
              <w:rPr>
                <w:noProof/>
                <w:szCs w:val="20"/>
              </w:rPr>
            </w:pPr>
            <w:r>
              <w:rPr>
                <w:noProof/>
              </w:rPr>
              <w:t>Publiskā iepirkuma līgumu slēgšanas tiesību piešķiršana uzlādes infrastruktūras uzstādīšanai</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6B14E4"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0D770D"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CE9E3"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C5A432" w14:textId="77777777" w:rsidR="00327FF1" w:rsidRDefault="00E406C7">
            <w:pPr>
              <w:pStyle w:val="P68B1DB1-Normal11"/>
              <w:spacing w:line="276" w:lineRule="auto"/>
              <w:jc w:val="center"/>
              <w:rPr>
                <w:noProof/>
                <w:szCs w:val="20"/>
              </w:rPr>
            </w:pPr>
            <w:r>
              <w:rPr>
                <w:noProof/>
              </w:rPr>
              <w:t>4.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390062" w14:textId="77777777" w:rsidR="00327FF1" w:rsidRDefault="00E406C7">
            <w:pPr>
              <w:pStyle w:val="P68B1DB1-Normal11"/>
              <w:spacing w:line="276" w:lineRule="auto"/>
              <w:jc w:val="center"/>
              <w:rPr>
                <w:noProof/>
                <w:szCs w:val="20"/>
              </w:rPr>
            </w:pPr>
            <w:r>
              <w:rPr>
                <w:noProof/>
              </w:rPr>
              <w:t>2024</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D090F0" w14:textId="77777777" w:rsidR="00327FF1" w:rsidRDefault="00E406C7">
            <w:pPr>
              <w:pStyle w:val="P68B1DB1-Normal21"/>
              <w:spacing w:after="120"/>
              <w:rPr>
                <w:rFonts w:ascii="Arial Narrow" w:hAnsi="Arial Narrow"/>
                <w:noProof/>
                <w:szCs w:val="20"/>
              </w:rPr>
            </w:pPr>
            <w:r>
              <w:rPr>
                <w:rFonts w:ascii="Arial Narrow" w:hAnsi="Arial Narrow"/>
                <w:noProof/>
                <w:szCs w:val="20"/>
              </w:rPr>
              <w:t>Līgumu slēgšanas tiesību piešķiršana, lai izbūvētu vismaz</w:t>
            </w:r>
            <w:r>
              <w:rPr>
                <w:noProof/>
              </w:rPr>
              <w:t xml:space="preserve"> </w:t>
            </w:r>
            <w:r>
              <w:rPr>
                <w:rFonts w:ascii="Arial Narrow" w:hAnsi="Arial Narrow"/>
                <w:noProof/>
                <w:szCs w:val="20"/>
              </w:rPr>
              <w:t>2100 ātras publiskās uzlādes infrastruktūras punktus pa brīvc</w:t>
            </w:r>
            <w:r>
              <w:rPr>
                <w:rFonts w:ascii="Arial Narrow" w:hAnsi="Arial Narrow"/>
                <w:noProof/>
                <w:szCs w:val="20"/>
              </w:rPr>
              <w:t>eļiem un vismaz 9900</w:t>
            </w:r>
            <w:r>
              <w:rPr>
                <w:noProof/>
              </w:rPr>
              <w:t xml:space="preserve"> </w:t>
            </w:r>
            <w:r>
              <w:rPr>
                <w:rFonts w:ascii="Arial Narrow" w:hAnsi="Arial Narrow"/>
                <w:noProof/>
                <w:szCs w:val="20"/>
              </w:rPr>
              <w:t>— pilsētu teritorijās.</w:t>
            </w:r>
          </w:p>
          <w:p w14:paraId="4354F8CA" w14:textId="77777777" w:rsidR="00327FF1" w:rsidRDefault="00327FF1">
            <w:pPr>
              <w:spacing w:after="120"/>
              <w:rPr>
                <w:rFonts w:ascii="Arial Narrow" w:hAnsi="Arial Narrow"/>
                <w:noProof/>
                <w:color w:val="006100"/>
                <w:sz w:val="20"/>
                <w:szCs w:val="20"/>
              </w:rPr>
            </w:pPr>
          </w:p>
        </w:tc>
      </w:tr>
      <w:tr w:rsidR="00327FF1" w14:paraId="793429A4"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928716" w14:textId="77777777" w:rsidR="00327FF1" w:rsidRDefault="00E406C7">
            <w:pPr>
              <w:pStyle w:val="P68B1DB1-Normal12"/>
              <w:spacing w:line="276" w:lineRule="auto"/>
              <w:jc w:val="center"/>
              <w:rPr>
                <w:noProof/>
              </w:rPr>
            </w:pPr>
            <w:r>
              <w:rPr>
                <w:noProof/>
              </w:rPr>
              <w:t>M2C2–29</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551BDA" w14:textId="77777777" w:rsidR="00327FF1" w:rsidRDefault="00E406C7">
            <w:pPr>
              <w:pStyle w:val="P68B1DB1-Normal12"/>
              <w:spacing w:line="276" w:lineRule="auto"/>
              <w:jc w:val="center"/>
              <w:rPr>
                <w:noProof/>
              </w:rPr>
            </w:pPr>
            <w:r>
              <w:rPr>
                <w:noProof/>
              </w:rPr>
              <w:t>Investīcija Nr. 4.3. Uzlādes infrastruktūras uzstādīšana</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1A5144" w14:textId="77777777" w:rsidR="00327FF1" w:rsidRDefault="00E406C7">
            <w:pPr>
              <w:pStyle w:val="P68B1DB1-Normal12"/>
              <w:spacing w:line="276" w:lineRule="auto"/>
              <w:jc w:val="center"/>
              <w:rPr>
                <w:noProof/>
              </w:rPr>
            </w:pPr>
            <w:r>
              <w:rPr>
                <w:noProof/>
              </w:rPr>
              <w:t>Mērķa</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AC6ABC" w14:textId="77777777" w:rsidR="00327FF1" w:rsidRDefault="00E406C7">
            <w:pPr>
              <w:pStyle w:val="P68B1DB1-Normal12"/>
              <w:spacing w:line="276" w:lineRule="auto"/>
              <w:jc w:val="center"/>
              <w:rPr>
                <w:noProof/>
              </w:rPr>
            </w:pPr>
            <w:r>
              <w:rPr>
                <w:noProof/>
              </w:rPr>
              <w:t xml:space="preserve">Ātrās uzlādes staciju skaits </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875748" w14:textId="77777777" w:rsidR="00327FF1" w:rsidRDefault="00E406C7">
            <w:pPr>
              <w:pStyle w:val="P68B1DB1-Normal12"/>
              <w:spacing w:line="276" w:lineRule="auto"/>
              <w:jc w:val="center"/>
              <w:rPr>
                <w:noProof/>
              </w:rPr>
            </w:pPr>
            <w:r>
              <w:rPr>
                <w:noProof/>
              </w:rPr>
              <w:t>NEPIEMĒRO</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2C4CB6" w14:textId="77777777" w:rsidR="00327FF1" w:rsidRDefault="00E406C7">
            <w:pPr>
              <w:pStyle w:val="P68B1DB1-Normal12"/>
              <w:spacing w:line="276" w:lineRule="auto"/>
              <w:jc w:val="center"/>
              <w:rPr>
                <w:noProof/>
              </w:rPr>
            </w:pPr>
            <w:r>
              <w:rPr>
                <w:noProof/>
              </w:rPr>
              <w:t>Skaits</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8796CB" w14:textId="77777777" w:rsidR="00327FF1" w:rsidRDefault="00E406C7">
            <w:pPr>
              <w:pStyle w:val="P68B1DB1-Normal12"/>
              <w:spacing w:line="276" w:lineRule="auto"/>
              <w:jc w:val="center"/>
              <w:rPr>
                <w:noProof/>
              </w:rPr>
            </w:pPr>
            <w:r>
              <w:rPr>
                <w:noProof/>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B0B7D3" w14:textId="4332BBDD" w:rsidR="00327FF1" w:rsidRDefault="00E406C7">
            <w:pPr>
              <w:pStyle w:val="P68B1DB1-Normal11"/>
              <w:spacing w:line="276" w:lineRule="auto"/>
              <w:jc w:val="center"/>
              <w:rPr>
                <w:noProof/>
                <w:szCs w:val="20"/>
              </w:rPr>
            </w:pPr>
            <w:r>
              <w:rPr>
                <w:noProof/>
                <w:szCs w:val="20"/>
              </w:rPr>
              <w:t>10</w:t>
            </w:r>
            <w:r>
              <w:rPr>
                <w:noProof/>
              </w:rPr>
              <w:t xml:space="preserve"> </w:t>
            </w:r>
            <w:r>
              <w:rPr>
                <w:noProof/>
                <w:szCs w:val="20"/>
              </w:rPr>
              <w:t>368</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8D778" w14:textId="77777777" w:rsidR="00327FF1" w:rsidRDefault="00E406C7">
            <w:pPr>
              <w:pStyle w:val="P68B1DB1-Normal12"/>
              <w:spacing w:line="276" w:lineRule="auto"/>
              <w:jc w:val="center"/>
              <w:rPr>
                <w:noProof/>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BEEAD0" w14:textId="77777777" w:rsidR="00327FF1" w:rsidRDefault="00E406C7">
            <w:pPr>
              <w:pStyle w:val="P68B1DB1-Normal12"/>
              <w:spacing w:line="276" w:lineRule="auto"/>
              <w:jc w:val="center"/>
              <w:rPr>
                <w:noProof/>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30DB3" w14:textId="09110CF5" w:rsidR="00327FF1" w:rsidRDefault="00E406C7">
            <w:pPr>
              <w:pStyle w:val="P68B1DB1-Normal11"/>
              <w:spacing w:after="120"/>
              <w:jc w:val="both"/>
              <w:rPr>
                <w:noProof/>
                <w:szCs w:val="20"/>
              </w:rPr>
            </w:pPr>
            <w:r>
              <w:rPr>
                <w:noProof/>
                <w:szCs w:val="20"/>
              </w:rPr>
              <w:t xml:space="preserve">Attīstītāja izsniegtie sertifikāti par pieslēguma izmaksu aprēķinu </w:t>
            </w:r>
            <w:r>
              <w:rPr>
                <w:noProof/>
                <w:szCs w:val="20"/>
              </w:rPr>
              <w:t>uzstādīšanu un pieņemšanu ir vismaz 10368 ātras publiskās uzlādes infrastruktūras punktu elektrotransportlīdzekļiem vai nu brīvceļos, vai pilsētu teritorijās.</w:t>
            </w:r>
          </w:p>
          <w:p w14:paraId="73E0268F" w14:textId="7B1E8C1B" w:rsidR="00327FF1" w:rsidRDefault="00E406C7">
            <w:pPr>
              <w:pStyle w:val="P68B1DB1-Normal12"/>
              <w:spacing w:after="120"/>
              <w:jc w:val="both"/>
              <w:rPr>
                <w:noProof/>
              </w:rPr>
            </w:pPr>
            <w:r>
              <w:rPr>
                <w:noProof/>
              </w:rPr>
              <w:t>Elektrotransportlīdzekļu uzlādes infrastruktūra ir vismaz 175 kW brīvceļos un 90 kW pilsētu terit</w:t>
            </w:r>
            <w:r>
              <w:rPr>
                <w:noProof/>
              </w:rPr>
              <w:t xml:space="preserve">orijās. </w:t>
            </w:r>
          </w:p>
        </w:tc>
      </w:tr>
      <w:tr w:rsidR="00327FF1" w14:paraId="3838C670"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2E75C8" w14:textId="77777777" w:rsidR="00327FF1" w:rsidRDefault="00E406C7">
            <w:pPr>
              <w:pStyle w:val="P68B1DB1-Normal12"/>
              <w:spacing w:line="276" w:lineRule="auto"/>
              <w:jc w:val="center"/>
              <w:rPr>
                <w:noProof/>
              </w:rPr>
            </w:pPr>
            <w:r>
              <w:rPr>
                <w:noProof/>
              </w:rPr>
              <w:t>M2C2–30</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696793" w14:textId="77777777" w:rsidR="00327FF1" w:rsidRDefault="00E406C7">
            <w:pPr>
              <w:pStyle w:val="P68B1DB1-Normal12"/>
              <w:spacing w:line="276" w:lineRule="auto"/>
              <w:jc w:val="center"/>
              <w:rPr>
                <w:noProof/>
              </w:rPr>
            </w:pPr>
            <w:r>
              <w:rPr>
                <w:noProof/>
              </w:rPr>
              <w:t>Investīcija — Privāto un vieglo komerciālo transportlīdzekļu autoparka atjaunošanas programma ar elektrotransportlīdzekļiem</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B75E26" w14:textId="77777777" w:rsidR="00327FF1" w:rsidRDefault="00E406C7">
            <w:pPr>
              <w:pStyle w:val="P68B1DB1-Normal12"/>
              <w:spacing w:line="276" w:lineRule="auto"/>
              <w:jc w:val="center"/>
              <w:rPr>
                <w:noProof/>
              </w:rPr>
            </w:pPr>
            <w:r>
              <w:rPr>
                <w:noProof/>
              </w:rPr>
              <w:t>Mērķa </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A3B949" w14:textId="77777777" w:rsidR="00327FF1" w:rsidRDefault="00E406C7">
            <w:pPr>
              <w:pStyle w:val="P68B1DB1-Normal12"/>
              <w:spacing w:line="276" w:lineRule="auto"/>
              <w:jc w:val="center"/>
              <w:rPr>
                <w:noProof/>
              </w:rPr>
            </w:pPr>
            <w:r>
              <w:rPr>
                <w:noProof/>
              </w:rPr>
              <w:t>Iegādāto transportlīdzekļu skaits</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080B6C" w14:textId="77777777" w:rsidR="00327FF1" w:rsidRDefault="00E406C7">
            <w:pPr>
              <w:pStyle w:val="P68B1DB1-Normal12"/>
              <w:spacing w:line="276" w:lineRule="auto"/>
              <w:jc w:val="center"/>
              <w:rPr>
                <w:noProof/>
              </w:rPr>
            </w:pPr>
            <w:r>
              <w:rPr>
                <w:noProof/>
              </w:rPr>
              <w:t>NEPIEMĒRO</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AB0947" w14:textId="77777777" w:rsidR="00327FF1" w:rsidRDefault="00E406C7">
            <w:pPr>
              <w:pStyle w:val="P68B1DB1-Normal12"/>
              <w:spacing w:line="276" w:lineRule="auto"/>
              <w:jc w:val="center"/>
              <w:rPr>
                <w:noProof/>
              </w:rPr>
            </w:pPr>
            <w:r>
              <w:rPr>
                <w:noProof/>
              </w:rPr>
              <w:t>Skaits</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8F9082" w14:textId="77777777" w:rsidR="00327FF1" w:rsidRDefault="00E406C7">
            <w:pPr>
              <w:pStyle w:val="P68B1DB1-Normal12"/>
              <w:spacing w:line="276" w:lineRule="auto"/>
              <w:jc w:val="center"/>
              <w:rPr>
                <w:noProof/>
              </w:rPr>
            </w:pPr>
            <w:r>
              <w:rPr>
                <w:noProof/>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A7890B" w14:textId="793877EC" w:rsidR="00327FF1" w:rsidRDefault="00E406C7">
            <w:pPr>
              <w:pStyle w:val="P68B1DB1-Normal11"/>
              <w:spacing w:line="276" w:lineRule="auto"/>
              <w:jc w:val="center"/>
              <w:rPr>
                <w:noProof/>
                <w:szCs w:val="20"/>
              </w:rPr>
            </w:pPr>
            <w:r>
              <w:rPr>
                <w:noProof/>
                <w:szCs w:val="20"/>
              </w:rPr>
              <w:t>30</w:t>
            </w:r>
            <w:r>
              <w:rPr>
                <w:noProof/>
              </w:rPr>
              <w:t xml:space="preserve"> </w:t>
            </w:r>
            <w:r>
              <w:rPr>
                <w:noProof/>
                <w:szCs w:val="20"/>
              </w:rPr>
              <w:t>830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13F36" w14:textId="77777777" w:rsidR="00327FF1" w:rsidRDefault="00E406C7">
            <w:pPr>
              <w:pStyle w:val="P68B1DB1-Normal12"/>
              <w:spacing w:line="276" w:lineRule="auto"/>
              <w:jc w:val="center"/>
              <w:rPr>
                <w:noProof/>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3011E" w14:textId="77777777" w:rsidR="00327FF1" w:rsidRDefault="00E406C7">
            <w:pPr>
              <w:pStyle w:val="P68B1DB1-Normal12"/>
              <w:spacing w:line="276" w:lineRule="auto"/>
              <w:jc w:val="center"/>
              <w:rPr>
                <w:noProof/>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E912D" w14:textId="4F650512" w:rsidR="00327FF1" w:rsidRDefault="00E406C7">
            <w:pPr>
              <w:pStyle w:val="P68B1DB1-Normal11"/>
              <w:spacing w:after="120"/>
              <w:rPr>
                <w:noProof/>
                <w:szCs w:val="20"/>
              </w:rPr>
            </w:pPr>
            <w:r>
              <w:rPr>
                <w:noProof/>
                <w:szCs w:val="20"/>
              </w:rPr>
              <w:t>Līgumi par vismaz 30830 bezemisiju</w:t>
            </w:r>
            <w:r>
              <w:rPr>
                <w:noProof/>
                <w:szCs w:val="20"/>
              </w:rPr>
              <w:t xml:space="preserve"> transportlīdzekļu iegādi.</w:t>
            </w:r>
          </w:p>
          <w:p w14:paraId="66442471" w14:textId="77777777" w:rsidR="00327FF1" w:rsidRDefault="00E406C7">
            <w:pPr>
              <w:pStyle w:val="P68B1DB1-Normal12"/>
              <w:spacing w:after="120"/>
              <w:jc w:val="both"/>
              <w:rPr>
                <w:noProof/>
              </w:rPr>
            </w:pPr>
            <w:r>
              <w:rPr>
                <w:noProof/>
              </w:rPr>
              <w:t>Par katru transportlīdzekli iesniedz arī sertifikātu par transportlīdzekļa nodošanu metāllūžņos, kas apliecina termiskā transportlīdzekļa nodošanu metāllūžņos.</w:t>
            </w:r>
          </w:p>
          <w:p w14:paraId="5F36ECA0" w14:textId="77777777" w:rsidR="00327FF1" w:rsidRDefault="00E406C7">
            <w:pPr>
              <w:pStyle w:val="P68B1DB1-Normal12"/>
              <w:spacing w:after="120"/>
              <w:rPr>
                <w:noProof/>
              </w:rPr>
            </w:pPr>
            <w:r>
              <w:rPr>
                <w:noProof/>
              </w:rPr>
              <w:t>Shēmas mērķis ir:</w:t>
            </w:r>
          </w:p>
          <w:p w14:paraId="59208D57" w14:textId="77777777" w:rsidR="00327FF1" w:rsidRDefault="00E406C7">
            <w:pPr>
              <w:pStyle w:val="P68B1DB1-Normal12"/>
              <w:spacing w:after="120"/>
              <w:rPr>
                <w:noProof/>
              </w:rPr>
            </w:pPr>
            <w:r>
              <w:rPr>
                <w:noProof/>
              </w:rPr>
              <w:t>• Personas, kas dzīvo funkcionālās pilsētu teritori</w:t>
            </w:r>
            <w:r>
              <w:rPr>
                <w:noProof/>
              </w:rPr>
              <w:t>jās. Attiecībā uz privātpersonām piemēroti ir tikai M1 kategorijas transportlīdzekļi. Atbilstīgi ir tikai M1 kategorijas transportlīdzekļiem.</w:t>
            </w:r>
          </w:p>
          <w:p w14:paraId="50DB2CEE" w14:textId="77777777" w:rsidR="00327FF1" w:rsidRDefault="00E406C7">
            <w:pPr>
              <w:pStyle w:val="P68B1DB1-Normal12"/>
              <w:spacing w:after="120"/>
              <w:rPr>
                <w:noProof/>
              </w:rPr>
            </w:pPr>
            <w:r>
              <w:rPr>
                <w:noProof/>
              </w:rPr>
              <w:t>• Mikrouzņēmumi, kas definēti Regulas (ES) 2023/955 2. panta 9. punktā un kuru juridiskā adrese ir funkcionālās pi</w:t>
            </w:r>
            <w:r>
              <w:rPr>
                <w:noProof/>
              </w:rPr>
              <w:t>lsētu teritorijās. Attiecībā uz mikrouzņēmumiem atbalsttiesīgi ir tikai N1 un N2 kategorijas transportlīdzekļi.</w:t>
            </w:r>
          </w:p>
          <w:p w14:paraId="035776A3" w14:textId="780A7376" w:rsidR="00327FF1" w:rsidRDefault="00E406C7">
            <w:pPr>
              <w:pStyle w:val="P68B1DB1-Normal11"/>
              <w:spacing w:after="120"/>
              <w:rPr>
                <w:noProof/>
                <w:szCs w:val="20"/>
              </w:rPr>
            </w:pPr>
            <w:r>
              <w:rPr>
                <w:noProof/>
                <w:szCs w:val="20"/>
              </w:rPr>
              <w:t>Attiecībā uz privātiem transportlīdzekļiem (M1) stimuls nepārsniedz EUR 11000</w:t>
            </w:r>
            <w:r>
              <w:rPr>
                <w:noProof/>
              </w:rPr>
              <w:t xml:space="preserve"> </w:t>
            </w:r>
            <w:r>
              <w:rPr>
                <w:noProof/>
                <w:szCs w:val="20"/>
              </w:rPr>
              <w:t xml:space="preserve">par jaunu transportlīdzekli personām, kuru ekonomiskās situācijas </w:t>
            </w:r>
            <w:r>
              <w:rPr>
                <w:noProof/>
                <w:szCs w:val="20"/>
              </w:rPr>
              <w:t>rādītājs (ISEE — Indicatore della Situazione Economica Equivalente) ir mazāks vai vienāds ar EUR 30000, un ne vairāk kā EUR 9000</w:t>
            </w:r>
            <w:r>
              <w:rPr>
                <w:noProof/>
              </w:rPr>
              <w:t xml:space="preserve"> </w:t>
            </w:r>
            <w:r>
              <w:rPr>
                <w:noProof/>
                <w:szCs w:val="20"/>
              </w:rPr>
              <w:t>par jaunu transportlīdzekli personām, kuru ISEE ir lielāka par EUR 30000, bet mazāka par vai vienāda ar 40000 EUR. Attiecībā uz</w:t>
            </w:r>
            <w:r>
              <w:rPr>
                <w:noProof/>
                <w:szCs w:val="20"/>
              </w:rPr>
              <w:t xml:space="preserve"> komerciālajiem transportlīdzekļiem (N1 un N2) stimuls sedz līdz 30 % no pirkuma cenas, nepārsniedzot EUR</w:t>
            </w:r>
            <w:r>
              <w:rPr>
                <w:noProof/>
              </w:rPr>
              <w:t xml:space="preserve"> </w:t>
            </w:r>
            <w:r>
              <w:rPr>
                <w:noProof/>
                <w:szCs w:val="20"/>
              </w:rPr>
              <w:t xml:space="preserve">20000 par jaunu transportlīdzekli. </w:t>
            </w:r>
          </w:p>
          <w:p w14:paraId="4D6F0C54" w14:textId="3A4B7752" w:rsidR="00327FF1" w:rsidRDefault="00E406C7">
            <w:pPr>
              <w:pStyle w:val="P68B1DB1-Normal12"/>
              <w:spacing w:after="120"/>
              <w:rPr>
                <w:noProof/>
              </w:rPr>
            </w:pPr>
            <w:r>
              <w:rPr>
                <w:noProof/>
              </w:rPr>
              <w:t>Shēma ir vērsta tikai uz bezemisiju transportlīdzekļu iegādi.</w:t>
            </w:r>
          </w:p>
        </w:tc>
      </w:tr>
      <w:tr w:rsidR="00327FF1" w14:paraId="7E77C348"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17AF2" w14:textId="77777777" w:rsidR="00327FF1" w:rsidRDefault="00E406C7">
            <w:pPr>
              <w:pStyle w:val="P68B1DB1-Normal11"/>
              <w:spacing w:line="276" w:lineRule="auto"/>
              <w:jc w:val="center"/>
              <w:rPr>
                <w:noProof/>
                <w:szCs w:val="20"/>
              </w:rPr>
            </w:pPr>
            <w:r>
              <w:rPr>
                <w:noProof/>
              </w:rPr>
              <w:t>M2C2–33</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7681F7" w14:textId="53EE5FA8" w:rsidR="00327FF1" w:rsidRDefault="00E406C7">
            <w:pPr>
              <w:pStyle w:val="P68B1DB1-Normal11"/>
              <w:spacing w:line="276" w:lineRule="auto"/>
              <w:jc w:val="center"/>
              <w:rPr>
                <w:noProof/>
                <w:szCs w:val="20"/>
              </w:rPr>
            </w:pPr>
            <w:r>
              <w:rPr>
                <w:noProof/>
              </w:rPr>
              <w:t xml:space="preserve">Investīcija Nr. 4.4.2. Reģionālā </w:t>
            </w:r>
            <w:r>
              <w:rPr>
                <w:noProof/>
              </w:rPr>
              <w:t>sabiedriskā transporta dzelzceļa parka stiprināšana ar bezemisiju vilcieniem un universālo pakalpojumu</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649181"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2F0B96" w14:textId="77777777" w:rsidR="00327FF1" w:rsidRDefault="00E406C7">
            <w:pPr>
              <w:pStyle w:val="P68B1DB1-Normal11"/>
              <w:spacing w:line="276" w:lineRule="auto"/>
              <w:jc w:val="center"/>
              <w:rPr>
                <w:noProof/>
                <w:szCs w:val="20"/>
              </w:rPr>
            </w:pPr>
            <w:r>
              <w:rPr>
                <w:noProof/>
              </w:rPr>
              <w:t>Visu publiskā iepirkuma līgumu slēgšanas tiesību</w:t>
            </w:r>
            <w:r>
              <w:rPr>
                <w:noProof/>
              </w:rPr>
              <w:t xml:space="preserve"> piešķiršana reģionālā sabiedriskā transporta dzelzceļa parka stiprināšanai ar bezemisiju vilcieniem un universālo pakalpojumu</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DC2793" w14:textId="77777777" w:rsidR="00327FF1" w:rsidRDefault="00E406C7">
            <w:pPr>
              <w:pStyle w:val="P68B1DB1-Normal11"/>
              <w:spacing w:line="276" w:lineRule="auto"/>
              <w:jc w:val="center"/>
              <w:rPr>
                <w:noProof/>
                <w:szCs w:val="20"/>
              </w:rPr>
            </w:pPr>
            <w:r>
              <w:rPr>
                <w:noProof/>
              </w:rPr>
              <w:t>Paziņojums par visu līgumu slēgšanas tiesību piešķiršanu attiecībā uz reģionālā sabiedriskā transporta dzelzceļa parku ar bezemis</w:t>
            </w:r>
            <w:r>
              <w:rPr>
                <w:noProof/>
              </w:rPr>
              <w:t>iju vilcieniem un universālo pakalpojumu</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E70115"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212B76"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8D4DD8"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F03A9A" w14:textId="77777777" w:rsidR="00327FF1" w:rsidRDefault="00E406C7">
            <w:pPr>
              <w:pStyle w:val="P68B1DB1-Normal11"/>
              <w:spacing w:line="276" w:lineRule="auto"/>
              <w:jc w:val="center"/>
              <w:rPr>
                <w:noProof/>
                <w:szCs w:val="20"/>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04E556" w14:textId="77777777" w:rsidR="00327FF1" w:rsidRDefault="00E406C7">
            <w:pPr>
              <w:pStyle w:val="P68B1DB1-Normal11"/>
              <w:spacing w:line="276" w:lineRule="auto"/>
              <w:jc w:val="center"/>
              <w:rPr>
                <w:noProof/>
                <w:szCs w:val="20"/>
              </w:rPr>
            </w:pPr>
            <w:r>
              <w:rPr>
                <w:noProof/>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DEE158" w14:textId="77777777" w:rsidR="00327FF1" w:rsidRDefault="00E406C7">
            <w:pPr>
              <w:spacing w:after="120"/>
              <w:jc w:val="center"/>
              <w:rPr>
                <w:rFonts w:ascii="Arial Narrow" w:hAnsi="Arial Narrow"/>
                <w:noProof/>
                <w:color w:val="006100"/>
                <w:sz w:val="20"/>
                <w:szCs w:val="20"/>
              </w:rPr>
            </w:pPr>
            <w:r>
              <w:rPr>
                <w:rFonts w:ascii="Arial Narrow" w:hAnsi="Arial Narrow"/>
                <w:noProof/>
                <w:color w:val="006100"/>
                <w:sz w:val="20"/>
                <w:szCs w:val="20"/>
              </w:rPr>
              <w:t>Paziņojums par visu publisko līgumu slēgšanas tiesību piešķiršanu bezemisiju vilcienu iegādei</w:t>
            </w:r>
            <w:r>
              <w:rPr>
                <w:rStyle w:val="FootnoteReference"/>
                <w:rFonts w:ascii="Arial Narrow" w:hAnsi="Arial Narrow"/>
                <w:noProof/>
                <w:color w:val="006100"/>
                <w:sz w:val="20"/>
                <w:szCs w:val="20"/>
              </w:rPr>
              <w:footnoteReference w:id="39"/>
            </w:r>
            <w:r>
              <w:rPr>
                <w:rFonts w:ascii="Arial Narrow" w:hAnsi="Arial Narrow"/>
                <w:noProof/>
              </w:rPr>
              <w:t>.</w:t>
            </w:r>
          </w:p>
        </w:tc>
      </w:tr>
      <w:tr w:rsidR="00327FF1" w14:paraId="5A4CD785"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ECB675" w14:textId="6E0D63D3" w:rsidR="00327FF1" w:rsidRDefault="00E406C7">
            <w:pPr>
              <w:pStyle w:val="P68B1DB1-Normal12"/>
              <w:spacing w:line="276" w:lineRule="auto"/>
              <w:jc w:val="center"/>
              <w:rPr>
                <w:noProof/>
              </w:rPr>
            </w:pPr>
            <w:r>
              <w:rPr>
                <w:noProof/>
              </w:rPr>
              <w:t>M2C2–35</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20878A" w14:textId="12BB7E1B" w:rsidR="00327FF1" w:rsidRDefault="00E406C7">
            <w:pPr>
              <w:pStyle w:val="P68B1DB1-Normal14"/>
              <w:spacing w:line="276" w:lineRule="auto"/>
              <w:jc w:val="center"/>
              <w:rPr>
                <w:noProof/>
                <w:color w:val="006100"/>
                <w:szCs w:val="20"/>
              </w:rPr>
            </w:pPr>
            <w:r>
              <w:rPr>
                <w:noProof/>
                <w:color w:val="006100"/>
              </w:rPr>
              <w:t>Investīcija 4.4.1.: Reģionālā sabiedriskā transporta autobusu parka</w:t>
            </w:r>
            <w:r>
              <w:rPr>
                <w:noProof/>
                <w:color w:val="006100"/>
              </w:rPr>
              <w:t xml:space="preserve"> stiprināšana ar</w:t>
            </w:r>
            <w:r>
              <w:rPr>
                <w:noProof/>
              </w:rPr>
              <w:t xml:space="preserve"> </w:t>
            </w:r>
            <w:r>
              <w:rPr>
                <w:noProof/>
                <w:color w:val="006100"/>
              </w:rPr>
              <w:t>bezemisiju autobusiem</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FC753B" w14:textId="3DE18D61" w:rsidR="00327FF1" w:rsidRDefault="00E406C7">
            <w:pPr>
              <w:pStyle w:val="P68B1DB1-Normal11"/>
              <w:spacing w:line="276" w:lineRule="auto"/>
              <w:jc w:val="center"/>
              <w:rPr>
                <w:noProof/>
              </w:rPr>
            </w:pPr>
            <w:r>
              <w:rPr>
                <w:noProof/>
              </w:rPr>
              <w:t>Mērķa</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29FF79" w14:textId="10F9853A" w:rsidR="00327FF1" w:rsidRDefault="00E406C7">
            <w:pPr>
              <w:pStyle w:val="P68B1DB1-Normal11"/>
              <w:spacing w:line="276" w:lineRule="auto"/>
              <w:jc w:val="center"/>
              <w:rPr>
                <w:noProof/>
              </w:rPr>
            </w:pPr>
            <w:r>
              <w:rPr>
                <w:noProof/>
              </w:rPr>
              <w:t>Izņemto bezemisiju autobusu skaits T2</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3A90C9" w14:textId="4F78C462" w:rsidR="00327FF1" w:rsidRDefault="00E406C7">
            <w:pPr>
              <w:pStyle w:val="P68B1DB1-Normal11"/>
              <w:spacing w:line="276" w:lineRule="auto"/>
              <w:jc w:val="center"/>
              <w:rPr>
                <w:noProof/>
              </w:rPr>
            </w:pPr>
            <w:r>
              <w:rPr>
                <w:noProof/>
              </w:rPr>
              <w:t>NEPIEMĒRO</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D141F8" w14:textId="6712B3EC" w:rsidR="00327FF1" w:rsidRDefault="00E406C7">
            <w:pPr>
              <w:pStyle w:val="P68B1DB1-Normal11"/>
              <w:spacing w:line="276" w:lineRule="auto"/>
              <w:jc w:val="center"/>
              <w:rPr>
                <w:noProof/>
              </w:rPr>
            </w:pPr>
            <w:r>
              <w:rPr>
                <w:noProof/>
              </w:rPr>
              <w:t>Skaits</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C7D7F" w14:textId="538D5A25" w:rsidR="00327FF1" w:rsidRDefault="00E406C7">
            <w:pPr>
              <w:pStyle w:val="P68B1DB1-Normal11"/>
              <w:spacing w:line="276" w:lineRule="auto"/>
              <w:jc w:val="center"/>
              <w:rPr>
                <w:noProof/>
              </w:rPr>
            </w:pPr>
            <w:r>
              <w:rPr>
                <w:noProof/>
              </w:rPr>
              <w:t>800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C71FAB" w14:textId="70C82F7B" w:rsidR="00327FF1" w:rsidRDefault="00E406C7">
            <w:pPr>
              <w:pStyle w:val="P68B1DB1-Normal11"/>
              <w:spacing w:line="276" w:lineRule="auto"/>
              <w:jc w:val="center"/>
              <w:rPr>
                <w:noProof/>
              </w:rPr>
            </w:pPr>
            <w:r>
              <w:rPr>
                <w:noProof/>
              </w:rPr>
              <w:t>3 000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16B53F" w14:textId="4AD26D0E" w:rsidR="00327FF1" w:rsidRDefault="00E406C7">
            <w:pPr>
              <w:pStyle w:val="P68B1DB1-Normal11"/>
              <w:spacing w:line="276" w:lineRule="auto"/>
              <w:jc w:val="center"/>
              <w:rPr>
                <w:noProof/>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33E85C" w14:textId="05AE972B" w:rsidR="00327FF1" w:rsidRDefault="00E406C7">
            <w:pPr>
              <w:pStyle w:val="P68B1DB1-Normal11"/>
              <w:spacing w:line="276" w:lineRule="auto"/>
              <w:jc w:val="center"/>
              <w:rPr>
                <w:noProof/>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EA0160" w14:textId="30897E84" w:rsidR="00327FF1" w:rsidRDefault="00E406C7">
            <w:pPr>
              <w:pStyle w:val="P68B1DB1-Normal12"/>
              <w:rPr>
                <w:noProof/>
              </w:rPr>
            </w:pPr>
            <w:r>
              <w:rPr>
                <w:noProof/>
              </w:rPr>
              <w:t>Vismaz 3000 bezemisiju autobusu reģistrācija.</w:t>
            </w:r>
          </w:p>
          <w:p w14:paraId="4D65ED49" w14:textId="4D436E8E" w:rsidR="00327FF1" w:rsidRDefault="00E406C7">
            <w:pPr>
              <w:pStyle w:val="P68B1DB1-Normal12"/>
              <w:spacing w:after="120"/>
              <w:rPr>
                <w:noProof/>
              </w:rPr>
            </w:pPr>
            <w:r>
              <w:rPr>
                <w:noProof/>
              </w:rPr>
              <w:t>Atbilstīgie autobusi pieder pie M2 un M3 kategorijas transportlīdzekļiem saskaņā ar ANO</w:t>
            </w:r>
            <w:r>
              <w:rPr>
                <w:noProof/>
              </w:rPr>
              <w:t xml:space="preserve"> EEK standartiem un ir vai nu elektrisks, vai ūdeņraža degvielas elements.</w:t>
            </w:r>
          </w:p>
        </w:tc>
      </w:tr>
      <w:tr w:rsidR="00327FF1" w14:paraId="57BDD6E9"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87B2FE" w14:textId="035E8B9E" w:rsidR="00327FF1" w:rsidRDefault="00E406C7">
            <w:pPr>
              <w:pStyle w:val="P68B1DB1-Normal11"/>
              <w:spacing w:line="276" w:lineRule="auto"/>
              <w:jc w:val="center"/>
              <w:rPr>
                <w:noProof/>
              </w:rPr>
            </w:pPr>
            <w:r>
              <w:rPr>
                <w:noProof/>
              </w:rPr>
              <w:t>M2C2–35 ter</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EABA53" w14:textId="0F22C79A" w:rsidR="00327FF1" w:rsidRDefault="00E406C7">
            <w:pPr>
              <w:pStyle w:val="P68B1DB1-Normal12"/>
              <w:spacing w:line="276" w:lineRule="auto"/>
              <w:jc w:val="center"/>
              <w:rPr>
                <w:noProof/>
              </w:rPr>
            </w:pPr>
            <w:r>
              <w:rPr>
                <w:noProof/>
              </w:rPr>
              <w:t>Investīcija 4.4.1.: Reģionālā sabiedriskā transporta autobusu parka stiprināšana ar bezemisiju autobusiem</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FAEC54" w14:textId="049C24C2" w:rsidR="00327FF1" w:rsidRDefault="00E406C7">
            <w:pPr>
              <w:pStyle w:val="P68B1DB1-Normal11"/>
              <w:spacing w:line="276" w:lineRule="auto"/>
              <w:jc w:val="center"/>
              <w:rPr>
                <w:noProof/>
              </w:rPr>
            </w:pPr>
            <w:r>
              <w:rPr>
                <w:noProof/>
              </w:rPr>
              <w:t>Mērķa</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4914C1" w14:textId="4B9E7B67" w:rsidR="00327FF1" w:rsidRDefault="00E406C7">
            <w:pPr>
              <w:pStyle w:val="P68B1DB1-Normal11"/>
              <w:spacing w:line="276" w:lineRule="auto"/>
              <w:jc w:val="center"/>
              <w:rPr>
                <w:noProof/>
              </w:rPr>
            </w:pPr>
            <w:r>
              <w:rPr>
                <w:noProof/>
              </w:rPr>
              <w:t xml:space="preserve">Uzlādes punktu skaits bezemisiju un mazemisiju </w:t>
            </w:r>
            <w:r>
              <w:rPr>
                <w:noProof/>
              </w:rPr>
              <w:t>autobusiem</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ADF979" w14:textId="77777777" w:rsidR="00327FF1" w:rsidRDefault="00327FF1">
            <w:pPr>
              <w:spacing w:line="276" w:lineRule="auto"/>
              <w:jc w:val="center"/>
              <w:rPr>
                <w:rFonts w:ascii="Arial Narrow" w:hAnsi="Arial Narrow"/>
                <w:noProof/>
                <w:color w:val="006100"/>
                <w:sz w:val="20"/>
              </w:rPr>
            </w:pP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4843C3" w14:textId="6D49BD00" w:rsidR="00327FF1" w:rsidRDefault="00E406C7">
            <w:pPr>
              <w:pStyle w:val="P68B1DB1-Normal11"/>
              <w:spacing w:line="276" w:lineRule="auto"/>
              <w:jc w:val="center"/>
              <w:rPr>
                <w:noProof/>
              </w:rPr>
            </w:pPr>
            <w:r>
              <w:rPr>
                <w:noProof/>
              </w:rPr>
              <w:t>Skaits</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5C8181" w14:textId="40E49E6A" w:rsidR="00327FF1" w:rsidRDefault="00E406C7">
            <w:pPr>
              <w:pStyle w:val="P68B1DB1-Normal11"/>
              <w:spacing w:line="276" w:lineRule="auto"/>
              <w:jc w:val="center"/>
              <w:rPr>
                <w:noProof/>
              </w:rPr>
            </w:pPr>
            <w:r>
              <w:rPr>
                <w:noProof/>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E120D6" w14:textId="1D9E1443" w:rsidR="00327FF1" w:rsidRDefault="00E406C7">
            <w:pPr>
              <w:pStyle w:val="P68B1DB1-Normal44"/>
              <w:spacing w:line="276" w:lineRule="auto"/>
              <w:jc w:val="center"/>
              <w:rPr>
                <w:rFonts w:hAnsi="Arial Narrow"/>
                <w:noProof/>
              </w:rPr>
            </w:pPr>
            <w:r>
              <w:rPr>
                <w:noProof/>
              </w:rPr>
              <w:t>1</w:t>
            </w:r>
            <w:r>
              <w:rPr>
                <w:noProof/>
              </w:rPr>
              <w:t> </w:t>
            </w:r>
            <w:r>
              <w:rPr>
                <w:noProof/>
              </w:rPr>
              <w:t>000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B565AA" w14:textId="547C1A51" w:rsidR="00327FF1" w:rsidRDefault="00E406C7">
            <w:pPr>
              <w:pStyle w:val="P68B1DB1-Normal11"/>
              <w:spacing w:line="276" w:lineRule="auto"/>
              <w:jc w:val="center"/>
              <w:rPr>
                <w:noProof/>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A263D" w14:textId="380A764F" w:rsidR="00327FF1" w:rsidRDefault="00E406C7">
            <w:pPr>
              <w:pStyle w:val="P68B1DB1-Normal11"/>
              <w:spacing w:line="276" w:lineRule="auto"/>
              <w:jc w:val="center"/>
              <w:rPr>
                <w:noProof/>
              </w:rPr>
            </w:pPr>
            <w:r>
              <w:rPr>
                <w:noProof/>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69D92F" w14:textId="0E673CAA" w:rsidR="00327FF1" w:rsidRDefault="00E406C7">
            <w:pPr>
              <w:pStyle w:val="P68B1DB1-Normal61"/>
              <w:spacing w:after="120"/>
              <w:rPr>
                <w:rFonts w:hAnsi="Arial Narrow"/>
                <w:noProof/>
              </w:rPr>
            </w:pPr>
            <w:r>
              <w:rPr>
                <w:noProof/>
              </w:rPr>
              <w:t>Uzst</w:t>
            </w:r>
            <w:r>
              <w:rPr>
                <w:noProof/>
              </w:rPr>
              <w:t>ā</w:t>
            </w:r>
            <w:r>
              <w:rPr>
                <w:noProof/>
              </w:rPr>
              <w:t>d</w:t>
            </w:r>
            <w:r>
              <w:rPr>
                <w:noProof/>
              </w:rPr>
              <w:t>īš</w:t>
            </w:r>
            <w:r>
              <w:rPr>
                <w:noProof/>
              </w:rPr>
              <w:t>anas sertifik</w:t>
            </w:r>
            <w:r>
              <w:rPr>
                <w:noProof/>
              </w:rPr>
              <w:t>ā</w:t>
            </w:r>
            <w:r>
              <w:rPr>
                <w:noProof/>
              </w:rPr>
              <w:t>ti un piesl</w:t>
            </w:r>
            <w:r>
              <w:rPr>
                <w:noProof/>
              </w:rPr>
              <w:t>ē</w:t>
            </w:r>
            <w:r>
              <w:rPr>
                <w:noProof/>
              </w:rPr>
              <w:t>guma l</w:t>
            </w:r>
            <w:r>
              <w:rPr>
                <w:noProof/>
              </w:rPr>
              <w:t>ī</w:t>
            </w:r>
            <w:r>
              <w:rPr>
                <w:noProof/>
              </w:rPr>
              <w:t>gumi vai l</w:t>
            </w:r>
            <w:r>
              <w:rPr>
                <w:noProof/>
              </w:rPr>
              <w:t>ī</w:t>
            </w:r>
            <w:r>
              <w:rPr>
                <w:noProof/>
              </w:rPr>
              <w:t>gumi par papildu baro</w:t>
            </w:r>
            <w:r>
              <w:rPr>
                <w:noProof/>
              </w:rPr>
              <w:t>š</w:t>
            </w:r>
            <w:r>
              <w:rPr>
                <w:noProof/>
              </w:rPr>
              <w:t>anas avotu, kas izsniegti vismaz 1000 uzl</w:t>
            </w:r>
            <w:r>
              <w:rPr>
                <w:noProof/>
              </w:rPr>
              <w:t>ā</w:t>
            </w:r>
            <w:r>
              <w:rPr>
                <w:noProof/>
              </w:rPr>
              <w:t>des punktiem.</w:t>
            </w:r>
          </w:p>
        </w:tc>
      </w:tr>
      <w:tr w:rsidR="00327FF1" w14:paraId="66E2326F"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F97D18" w14:textId="21594AAC" w:rsidR="00327FF1" w:rsidRDefault="00E406C7">
            <w:pPr>
              <w:pStyle w:val="P68B1DB1-Normal12"/>
              <w:spacing w:line="276" w:lineRule="auto"/>
              <w:jc w:val="center"/>
              <w:rPr>
                <w:noProof/>
              </w:rPr>
            </w:pPr>
            <w:r>
              <w:rPr>
                <w:noProof/>
              </w:rPr>
              <w:t>M2C2–36</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40EEF7" w14:textId="7992731C" w:rsidR="00327FF1" w:rsidRDefault="00E406C7">
            <w:pPr>
              <w:pStyle w:val="P68B1DB1-Normal11"/>
              <w:spacing w:line="276" w:lineRule="auto"/>
              <w:jc w:val="center"/>
              <w:rPr>
                <w:noProof/>
                <w:szCs w:val="20"/>
              </w:rPr>
            </w:pPr>
            <w:r>
              <w:rPr>
                <w:noProof/>
              </w:rPr>
              <w:t>Investīciju 4.4.3: Valsts ugunsdzēsēju komandas atjaunošanas flote</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1C4D21" w14:textId="0256F615" w:rsidR="00327FF1" w:rsidRDefault="00E406C7">
            <w:pPr>
              <w:pStyle w:val="P68B1DB1-Normal11"/>
              <w:spacing w:line="276" w:lineRule="auto"/>
              <w:jc w:val="center"/>
              <w:rPr>
                <w:noProof/>
              </w:rPr>
            </w:pPr>
            <w:r>
              <w:rPr>
                <w:noProof/>
              </w:rPr>
              <w:t>Mērķa</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C7A4D4" w14:textId="5D2B2F50" w:rsidR="00327FF1" w:rsidRDefault="00E406C7">
            <w:pPr>
              <w:pStyle w:val="P68B1DB1-Normal11"/>
              <w:spacing w:line="276" w:lineRule="auto"/>
              <w:jc w:val="center"/>
              <w:rPr>
                <w:noProof/>
              </w:rPr>
            </w:pPr>
            <w:r>
              <w:rPr>
                <w:noProof/>
              </w:rPr>
              <w:t>“Tīro” transportlīdzekļu skaits atjaunošanas autoparkam valsts ugunsdzēsības komandai</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0B61E9" w14:textId="5CC2E5EE" w:rsidR="00327FF1" w:rsidRDefault="00E406C7">
            <w:pPr>
              <w:pStyle w:val="P68B1DB1-Normal11"/>
              <w:spacing w:line="276" w:lineRule="auto"/>
              <w:jc w:val="center"/>
              <w:rPr>
                <w:noProof/>
              </w:rPr>
            </w:pPr>
            <w:r>
              <w:rPr>
                <w:noProof/>
              </w:rPr>
              <w:t>NEPIEMĒRO</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B7FC17" w14:textId="3BFBD273" w:rsidR="00327FF1" w:rsidRDefault="00E406C7">
            <w:pPr>
              <w:pStyle w:val="P68B1DB1-Normal11"/>
              <w:spacing w:line="276" w:lineRule="auto"/>
              <w:jc w:val="center"/>
              <w:rPr>
                <w:noProof/>
              </w:rPr>
            </w:pPr>
            <w:r>
              <w:rPr>
                <w:noProof/>
              </w:rPr>
              <w:t>Skaits</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4ECD07" w14:textId="46C54A56" w:rsidR="00327FF1" w:rsidRDefault="00E406C7">
            <w:pPr>
              <w:pStyle w:val="P68B1DB1-Normal11"/>
              <w:spacing w:line="276" w:lineRule="auto"/>
              <w:jc w:val="center"/>
              <w:rPr>
                <w:noProof/>
              </w:rPr>
            </w:pPr>
            <w:r>
              <w:rPr>
                <w:noProof/>
              </w:rPr>
              <w:t>0</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1C7B1B" w14:textId="19C1A6CD" w:rsidR="00327FF1" w:rsidRDefault="00E406C7">
            <w:pPr>
              <w:pStyle w:val="P68B1DB1-Normal44"/>
              <w:spacing w:line="276" w:lineRule="auto"/>
              <w:jc w:val="center"/>
              <w:rPr>
                <w:rFonts w:hAnsi="Arial Narrow"/>
                <w:noProof/>
              </w:rPr>
            </w:pPr>
            <w:r>
              <w:rPr>
                <w:noProof/>
              </w:rPr>
              <w:t>3</w:t>
            </w:r>
            <w:r>
              <w:rPr>
                <w:noProof/>
              </w:rPr>
              <w:t> </w:t>
            </w:r>
            <w:r>
              <w:rPr>
                <w:noProof/>
              </w:rPr>
              <w:t>800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AB9480" w14:textId="3528CCFB" w:rsidR="00327FF1" w:rsidRDefault="00E406C7">
            <w:pPr>
              <w:pStyle w:val="P68B1DB1-Normal12"/>
              <w:spacing w:line="276" w:lineRule="auto"/>
              <w:jc w:val="center"/>
              <w:rPr>
                <w:noProof/>
              </w:rPr>
            </w:pPr>
            <w:r>
              <w:rPr>
                <w:noProof/>
              </w:rPr>
              <w:t>4.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6CB63C" w14:textId="794C9019" w:rsidR="00327FF1" w:rsidRDefault="00E406C7">
            <w:pPr>
              <w:pStyle w:val="P68B1DB1-Normal12"/>
              <w:spacing w:line="276" w:lineRule="auto"/>
              <w:jc w:val="center"/>
              <w:rPr>
                <w:noProof/>
              </w:rPr>
            </w:pPr>
            <w:r>
              <w:rPr>
                <w:noProof/>
              </w:rPr>
              <w:t>2025</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103E6" w14:textId="6EA8972A" w:rsidR="00327FF1" w:rsidRDefault="00E406C7">
            <w:pPr>
              <w:pStyle w:val="P68B1DB1-Normal11"/>
              <w:spacing w:after="120"/>
              <w:jc w:val="both"/>
              <w:rPr>
                <w:noProof/>
                <w:szCs w:val="20"/>
              </w:rPr>
            </w:pPr>
            <w:r>
              <w:rPr>
                <w:noProof/>
                <w:szCs w:val="20"/>
              </w:rPr>
              <w:t>Vismaz 3800</w:t>
            </w:r>
            <w:r>
              <w:rPr>
                <w:noProof/>
              </w:rPr>
              <w:t xml:space="preserve"> </w:t>
            </w:r>
            <w:r>
              <w:rPr>
                <w:noProof/>
                <w:szCs w:val="20"/>
              </w:rPr>
              <w:t>“tīro” transportlīdzekļu reģistrācija atjaunošanas autoparkam valsts ugunsdzēsēju komandiera vajadzībām.</w:t>
            </w:r>
          </w:p>
          <w:p w14:paraId="1E3F48ED" w14:textId="503658F6" w:rsidR="00327FF1" w:rsidRDefault="00E406C7">
            <w:pPr>
              <w:pStyle w:val="P68B1DB1-Normal11"/>
              <w:spacing w:after="120"/>
              <w:jc w:val="both"/>
              <w:rPr>
                <w:noProof/>
                <w:szCs w:val="20"/>
              </w:rPr>
            </w:pPr>
            <w:r>
              <w:rPr>
                <w:noProof/>
                <w:szCs w:val="20"/>
              </w:rPr>
              <w:t>Vismaz 3500</w:t>
            </w:r>
            <w:r>
              <w:rPr>
                <w:noProof/>
              </w:rPr>
              <w:t xml:space="preserve"> </w:t>
            </w:r>
            <w:r>
              <w:rPr>
                <w:noProof/>
                <w:szCs w:val="20"/>
              </w:rPr>
              <w:t>tra</w:t>
            </w:r>
            <w:r>
              <w:rPr>
                <w:noProof/>
                <w:szCs w:val="20"/>
              </w:rPr>
              <w:t>nsportlīdzekļiem jābūt 100 % elektriskiem, bet pārējiem — ar biodegvielu vai biometānu.</w:t>
            </w:r>
          </w:p>
          <w:p w14:paraId="7CDD72AD" w14:textId="1D958594" w:rsidR="00327FF1" w:rsidRDefault="00E406C7">
            <w:pPr>
              <w:pStyle w:val="P68B1DB1-Normal12"/>
              <w:jc w:val="both"/>
              <w:rPr>
                <w:noProof/>
              </w:rPr>
            </w:pPr>
            <w:r>
              <w:rPr>
                <w:noProof/>
              </w:rPr>
              <w:t>Biodegvielas ražotājiem ir jāiesniedz sertifikāts(-i) (ilgtspējas apliecinājums), ko izdevis(-i) neatkarīgs(-i) vērtētājs(-i) un kas ir daļa no Komisijas atzītām brīvpr</w:t>
            </w:r>
            <w:r>
              <w:rPr>
                <w:noProof/>
              </w:rPr>
              <w:t xml:space="preserve">ātīgām shēmām vai valstu shēmām saskaņā ar Direktīvas 2018/2001 30. panta 1. punktu, 30. panta 4. punktu vai 30. panta 6. punktu. </w:t>
            </w:r>
          </w:p>
          <w:p w14:paraId="56855B18" w14:textId="77777777" w:rsidR="00327FF1" w:rsidRDefault="00E406C7">
            <w:pPr>
              <w:pStyle w:val="P68B1DB1-Normal12"/>
              <w:jc w:val="both"/>
              <w:rPr>
                <w:noProof/>
              </w:rPr>
            </w:pPr>
            <w:r>
              <w:rPr>
                <w:noProof/>
              </w:rPr>
              <w:t xml:space="preserve">Turklāt līgumā, kas parakstīts ar biometāna piegādātāju, norāda, ka operators iegādājas izcelsmes apliecinājuma sertifikātus </w:t>
            </w:r>
            <w:r>
              <w:rPr>
                <w:noProof/>
              </w:rPr>
              <w:t xml:space="preserve">par paredzamo degvielas izmantojumu. </w:t>
            </w:r>
          </w:p>
          <w:p w14:paraId="4997FD6E" w14:textId="5504987C" w:rsidR="00327FF1" w:rsidRDefault="00E406C7">
            <w:pPr>
              <w:pStyle w:val="P68B1DB1-Normal12"/>
              <w:spacing w:after="120"/>
              <w:rPr>
                <w:noProof/>
              </w:rPr>
            </w:pPr>
            <w:r>
              <w:rPr>
                <w:noProof/>
              </w:rPr>
              <w:t>Transportlīdzekļiem, ko darbina ar biodegvielu, ir tipa apstiprinājums attiecībā uz B100.</w:t>
            </w:r>
          </w:p>
        </w:tc>
      </w:tr>
      <w:tr w:rsidR="00327FF1" w14:paraId="1A0B2942"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8BAAF3" w14:textId="77777777" w:rsidR="00327FF1" w:rsidRDefault="00E406C7">
            <w:pPr>
              <w:pStyle w:val="P68B1DB1-Normal11"/>
              <w:spacing w:line="276" w:lineRule="auto"/>
              <w:jc w:val="center"/>
              <w:rPr>
                <w:noProof/>
                <w:szCs w:val="20"/>
              </w:rPr>
            </w:pPr>
            <w:r>
              <w:rPr>
                <w:noProof/>
              </w:rPr>
              <w:t>M2C2–37</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2A079E" w14:textId="77777777" w:rsidR="00327FF1" w:rsidRDefault="00E406C7">
            <w:pPr>
              <w:pStyle w:val="P68B1DB1-Normal11"/>
              <w:spacing w:line="276" w:lineRule="auto"/>
              <w:jc w:val="center"/>
              <w:rPr>
                <w:noProof/>
                <w:szCs w:val="20"/>
              </w:rPr>
            </w:pPr>
            <w:r>
              <w:rPr>
                <w:noProof/>
              </w:rPr>
              <w:t xml:space="preserve">Reforma. Viedākas projektu novērtēšanas procedūras vietējā sabiedriskā transporta sistēmu nozarē ar stacionārām </w:t>
            </w:r>
            <w:r>
              <w:rPr>
                <w:noProof/>
              </w:rPr>
              <w:t>iekārtām un ātrā masu transporta nozarē</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72FBFC"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39C63D" w14:textId="77777777" w:rsidR="00327FF1" w:rsidRDefault="00E406C7">
            <w:pPr>
              <w:pStyle w:val="P68B1DB1-Normal11"/>
              <w:spacing w:line="276" w:lineRule="auto"/>
              <w:jc w:val="center"/>
              <w:rPr>
                <w:noProof/>
                <w:szCs w:val="20"/>
              </w:rPr>
            </w:pPr>
            <w:r>
              <w:rPr>
                <w:noProof/>
              </w:rPr>
              <w:t>Dekrētlikuma stāšanās spēkā</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770E3E" w14:textId="77777777" w:rsidR="00327FF1" w:rsidRDefault="00E406C7">
            <w:pPr>
              <w:pStyle w:val="P68B1DB1-Normal11"/>
              <w:spacing w:line="276" w:lineRule="auto"/>
              <w:jc w:val="center"/>
              <w:rPr>
                <w:noProof/>
                <w:szCs w:val="20"/>
              </w:rPr>
            </w:pPr>
            <w:r>
              <w:rPr>
                <w:noProof/>
              </w:rPr>
              <w:t>Likuma norma, kas norāda uz dekrētlikuma stāšanos spēkā</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6A3293"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22E0E8"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1B0444"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7F8954" w14:textId="77777777" w:rsidR="00327FF1" w:rsidRDefault="00E406C7">
            <w:pPr>
              <w:pStyle w:val="P68B1DB1-Normal11"/>
              <w:spacing w:line="276" w:lineRule="auto"/>
              <w:jc w:val="center"/>
              <w:rPr>
                <w:noProof/>
                <w:szCs w:val="20"/>
              </w:rPr>
            </w:pPr>
            <w:r>
              <w:rPr>
                <w:noProof/>
              </w:rPr>
              <w:t>4.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C4598B" w14:textId="77777777" w:rsidR="00327FF1" w:rsidRDefault="00E406C7">
            <w:pPr>
              <w:pStyle w:val="P68B1DB1-Normal11"/>
              <w:spacing w:line="276" w:lineRule="auto"/>
              <w:jc w:val="center"/>
              <w:rPr>
                <w:noProof/>
                <w:szCs w:val="20"/>
              </w:rPr>
            </w:pPr>
            <w:r>
              <w:rPr>
                <w:noProof/>
              </w:rPr>
              <w:t>2021</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AC176B" w14:textId="77777777" w:rsidR="00327FF1" w:rsidRDefault="00E406C7">
            <w:pPr>
              <w:pStyle w:val="P68B1DB1-Normal11"/>
              <w:spacing w:after="120"/>
              <w:rPr>
                <w:noProof/>
                <w:szCs w:val="20"/>
              </w:rPr>
            </w:pPr>
            <w:r>
              <w:rPr>
                <w:noProof/>
              </w:rPr>
              <w:t xml:space="preserve">Dekrētlikums vienkāršo projektu vērtēšanas kritērijus attiecībā uz </w:t>
            </w:r>
            <w:r>
              <w:rPr>
                <w:noProof/>
              </w:rPr>
              <w:t>vietējo sabiedrisko transportu un paātrina izstrādes un atļauju piešķiršanas procesu.</w:t>
            </w:r>
          </w:p>
        </w:tc>
      </w:tr>
      <w:tr w:rsidR="00327FF1" w14:paraId="3E30BA9F"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3A8419" w14:textId="77777777" w:rsidR="00327FF1" w:rsidRDefault="00E406C7">
            <w:pPr>
              <w:pStyle w:val="P68B1DB1-Normal11"/>
              <w:spacing w:line="276" w:lineRule="auto"/>
              <w:jc w:val="center"/>
              <w:rPr>
                <w:noProof/>
                <w:szCs w:val="20"/>
              </w:rPr>
            </w:pPr>
            <w:r>
              <w:rPr>
                <w:noProof/>
              </w:rPr>
              <w:t>M2C2–38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EA72A0" w14:textId="77777777" w:rsidR="00327FF1" w:rsidRDefault="00E406C7">
            <w:pPr>
              <w:pStyle w:val="P68B1DB1-Normal11"/>
              <w:spacing w:line="276" w:lineRule="auto"/>
              <w:jc w:val="center"/>
              <w:rPr>
                <w:noProof/>
                <w:szCs w:val="20"/>
              </w:rPr>
            </w:pPr>
            <w:r>
              <w:rPr>
                <w:noProof/>
              </w:rPr>
              <w:t>Ieguldījums 5.1.: Atjaunojamie energoresursi un akumulatori</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C18CE"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903E8B" w14:textId="77777777" w:rsidR="00327FF1" w:rsidRDefault="00E406C7">
            <w:pPr>
              <w:pStyle w:val="P68B1DB1-Normal11"/>
              <w:spacing w:line="276" w:lineRule="auto"/>
              <w:jc w:val="center"/>
              <w:rPr>
                <w:noProof/>
                <w:szCs w:val="20"/>
              </w:rPr>
            </w:pPr>
            <w:r>
              <w:rPr>
                <w:noProof/>
              </w:rPr>
              <w:t>Ministrijas dekrēta stāšanās spēkā</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BC650B" w14:textId="77777777" w:rsidR="00327FF1" w:rsidRDefault="00E406C7">
            <w:pPr>
              <w:pStyle w:val="P68B1DB1-Normal11"/>
              <w:spacing w:line="276" w:lineRule="auto"/>
              <w:jc w:val="center"/>
              <w:rPr>
                <w:noProof/>
                <w:szCs w:val="20"/>
              </w:rPr>
            </w:pPr>
            <w:r>
              <w:rPr>
                <w:noProof/>
              </w:rPr>
              <w:t xml:space="preserve">Likuma norma, kas norāda uz ministrijas dekrēta </w:t>
            </w:r>
            <w:r>
              <w:rPr>
                <w:noProof/>
              </w:rPr>
              <w:t>stāšanos spēkā</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7D1078"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D8B48"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053222"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610842" w14:textId="77777777" w:rsidR="00327FF1" w:rsidRDefault="00E406C7">
            <w:pPr>
              <w:pStyle w:val="P68B1DB1-Normal11"/>
              <w:spacing w:line="276" w:lineRule="auto"/>
              <w:jc w:val="center"/>
              <w:rPr>
                <w:noProof/>
                <w:szCs w:val="20"/>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86B7E0" w14:textId="77777777" w:rsidR="00327FF1" w:rsidRDefault="00E406C7">
            <w:pPr>
              <w:pStyle w:val="P68B1DB1-Normal11"/>
              <w:spacing w:line="276" w:lineRule="auto"/>
              <w:jc w:val="center"/>
              <w:rPr>
                <w:noProof/>
                <w:szCs w:val="20"/>
              </w:rPr>
            </w:pPr>
            <w:r>
              <w:rPr>
                <w:noProof/>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8D56F" w14:textId="77777777" w:rsidR="00327FF1" w:rsidRDefault="00E406C7">
            <w:pPr>
              <w:pStyle w:val="P68B1DB1-Normal11"/>
              <w:spacing w:after="120"/>
              <w:rPr>
                <w:noProof/>
                <w:szCs w:val="20"/>
              </w:rPr>
            </w:pPr>
            <w:r>
              <w:rPr>
                <w:noProof/>
              </w:rPr>
              <w:t>Ministrijas dekrētā norāda pieejamo resursu apjomu, saņēmēju piekļuves prasības, programmu un projektu atbilstības nosacījumus, attiecināmos izdevumus un atbalsta veidu un intensitāti augstas efekti</w:t>
            </w:r>
            <w:r>
              <w:rPr>
                <w:noProof/>
              </w:rPr>
              <w:t>vitātes FE paneļu izstrādei un akumulatoru izstrādei.</w:t>
            </w:r>
          </w:p>
        </w:tc>
      </w:tr>
      <w:tr w:rsidR="00327FF1" w14:paraId="37647D61"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74418C" w14:textId="77777777" w:rsidR="00327FF1" w:rsidRDefault="00E406C7">
            <w:pPr>
              <w:pStyle w:val="P68B1DB1-Normal11"/>
              <w:spacing w:line="276" w:lineRule="auto"/>
              <w:jc w:val="center"/>
              <w:rPr>
                <w:noProof/>
                <w:szCs w:val="20"/>
              </w:rPr>
            </w:pPr>
            <w:r>
              <w:rPr>
                <w:noProof/>
              </w:rPr>
              <w:t>M2C2–41</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38540" w14:textId="77777777" w:rsidR="00327FF1" w:rsidRDefault="00E406C7">
            <w:pPr>
              <w:pStyle w:val="P68B1DB1-Normal11"/>
              <w:spacing w:line="276" w:lineRule="auto"/>
              <w:jc w:val="center"/>
              <w:rPr>
                <w:noProof/>
                <w:szCs w:val="20"/>
              </w:rPr>
            </w:pPr>
            <w:r>
              <w:rPr>
                <w:noProof/>
              </w:rPr>
              <w:t>Investīcija 5.3.: Elektriskie autobusi</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1BEFF3"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D0EEF4" w14:textId="77777777" w:rsidR="00327FF1" w:rsidRDefault="00E406C7">
            <w:pPr>
              <w:pStyle w:val="P68B1DB1-Normal11"/>
              <w:spacing w:line="276" w:lineRule="auto"/>
              <w:jc w:val="center"/>
              <w:rPr>
                <w:noProof/>
                <w:szCs w:val="20"/>
              </w:rPr>
            </w:pPr>
            <w:r>
              <w:rPr>
                <w:noProof/>
              </w:rPr>
              <w:t>Stājas spēkā ministrijas dekrēts, kurā noteikts pieejamo resursu apjoms intervences mērķa sasniegšanai (autobusu piegādes ķēde)</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6BF0E3" w14:textId="77777777" w:rsidR="00327FF1" w:rsidRDefault="00E406C7">
            <w:pPr>
              <w:pStyle w:val="P68B1DB1-Normal11"/>
              <w:spacing w:line="276" w:lineRule="auto"/>
              <w:jc w:val="center"/>
              <w:rPr>
                <w:noProof/>
                <w:szCs w:val="20"/>
              </w:rPr>
            </w:pPr>
            <w:r>
              <w:rPr>
                <w:noProof/>
              </w:rPr>
              <w:t>Ministrijas dekrēta noteikums par stāšanos spēkā</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052409"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43294"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553247"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6B7D0" w14:textId="77777777" w:rsidR="00327FF1" w:rsidRDefault="00E406C7">
            <w:pPr>
              <w:pStyle w:val="P68B1DB1-Normal11"/>
              <w:spacing w:line="276" w:lineRule="auto"/>
              <w:jc w:val="center"/>
              <w:rPr>
                <w:noProof/>
                <w:szCs w:val="20"/>
              </w:rPr>
            </w:pPr>
            <w:r>
              <w:rPr>
                <w:noProof/>
              </w:rPr>
              <w:t>4.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76A796" w14:textId="77777777" w:rsidR="00327FF1" w:rsidRDefault="00E406C7">
            <w:pPr>
              <w:pStyle w:val="P68B1DB1-Normal11"/>
              <w:spacing w:line="276" w:lineRule="auto"/>
              <w:jc w:val="center"/>
              <w:rPr>
                <w:noProof/>
                <w:szCs w:val="20"/>
              </w:rPr>
            </w:pPr>
            <w:r>
              <w:rPr>
                <w:noProof/>
              </w:rPr>
              <w:t>2021</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081D9B" w14:textId="77777777" w:rsidR="00327FF1" w:rsidRDefault="00E406C7">
            <w:pPr>
              <w:pStyle w:val="P68B1DB1-Normal11"/>
              <w:spacing w:after="120"/>
              <w:rPr>
                <w:noProof/>
                <w:szCs w:val="20"/>
              </w:rPr>
            </w:pPr>
            <w:r>
              <w:rPr>
                <w:noProof/>
              </w:rPr>
              <w:t>Ministrijas dekrētā norāda pieejamo resursu apjomu aptuveni 45 rūpniecības pārveides projektu īstenošanai, izmantojot “Attīstības līgumus”.</w:t>
            </w:r>
          </w:p>
        </w:tc>
      </w:tr>
      <w:tr w:rsidR="00327FF1" w14:paraId="1993D4B4" w14:textId="7777777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2AC350" w14:textId="77777777" w:rsidR="00327FF1" w:rsidRDefault="00E406C7">
            <w:pPr>
              <w:pStyle w:val="P68B1DB1-Normal11"/>
              <w:spacing w:line="276" w:lineRule="auto"/>
              <w:jc w:val="center"/>
              <w:rPr>
                <w:noProof/>
                <w:szCs w:val="20"/>
              </w:rPr>
            </w:pPr>
            <w:r>
              <w:rPr>
                <w:noProof/>
              </w:rPr>
              <w:t>M2C2–42</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939C11" w14:textId="77777777" w:rsidR="00327FF1" w:rsidRDefault="00E406C7">
            <w:pPr>
              <w:pStyle w:val="P68B1DB1-Normal11"/>
              <w:spacing w:line="276" w:lineRule="auto"/>
              <w:jc w:val="center"/>
              <w:rPr>
                <w:noProof/>
                <w:szCs w:val="20"/>
              </w:rPr>
            </w:pPr>
            <w:r>
              <w:rPr>
                <w:noProof/>
              </w:rPr>
              <w:t xml:space="preserve">Investīcija </w:t>
            </w:r>
            <w:r>
              <w:rPr>
                <w:noProof/>
              </w:rPr>
              <w:t>5.4.: Kapitāla iepludināšana Zaļās pārkārtošanās fondā (GTF)</w:t>
            </w:r>
          </w:p>
        </w:tc>
        <w:tc>
          <w:tcPr>
            <w:tcW w:w="111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D7275E" w14:textId="77777777" w:rsidR="00327FF1" w:rsidRDefault="00E406C7">
            <w:pPr>
              <w:pStyle w:val="P68B1DB1-Normal11"/>
              <w:spacing w:line="276" w:lineRule="auto"/>
              <w:jc w:val="center"/>
              <w:rPr>
                <w:noProof/>
                <w:szCs w:val="20"/>
              </w:rPr>
            </w:pPr>
            <w:r>
              <w:rPr>
                <w:noProof/>
              </w:rPr>
              <w:t>Atskaites punkts</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0E3045" w14:textId="77777777" w:rsidR="00327FF1" w:rsidRDefault="00E406C7">
            <w:pPr>
              <w:pStyle w:val="P68B1DB1-Normal11"/>
              <w:spacing w:line="276" w:lineRule="auto"/>
              <w:jc w:val="center"/>
              <w:rPr>
                <w:noProof/>
                <w:szCs w:val="20"/>
              </w:rPr>
            </w:pPr>
            <w:r>
              <w:rPr>
                <w:noProof/>
              </w:rPr>
              <w:t>Finanšu nolīguma parakstīšana</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E88DB" w14:textId="77777777" w:rsidR="00327FF1" w:rsidRDefault="00E406C7">
            <w:pPr>
              <w:pStyle w:val="P68B1DB1-Normal11"/>
              <w:spacing w:line="276" w:lineRule="auto"/>
              <w:jc w:val="center"/>
              <w:rPr>
                <w:noProof/>
                <w:szCs w:val="20"/>
              </w:rPr>
            </w:pPr>
            <w:r>
              <w:rPr>
                <w:noProof/>
              </w:rPr>
              <w:t>Paziņojums par finanšu nolīguma parakstīšanu</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B4FF77" w14:textId="77777777" w:rsidR="00327FF1" w:rsidRDefault="00E406C7">
            <w:pPr>
              <w:pStyle w:val="P68B1DB1-Normal11"/>
              <w:spacing w:line="276" w:lineRule="auto"/>
              <w:jc w:val="center"/>
              <w:rPr>
                <w:noProof/>
                <w:szCs w:val="20"/>
              </w:rPr>
            </w:pPr>
            <w:r>
              <w:rPr>
                <w:noProof/>
              </w:rPr>
              <w:t>NEPIEMĒRO</w:t>
            </w:r>
          </w:p>
        </w:tc>
        <w:tc>
          <w:tcPr>
            <w:tcW w:w="100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B96421" w14:textId="77777777" w:rsidR="00327FF1" w:rsidRDefault="00E406C7">
            <w:pPr>
              <w:pStyle w:val="P68B1DB1-Normal11"/>
              <w:spacing w:line="276" w:lineRule="auto"/>
              <w:jc w:val="center"/>
              <w:rPr>
                <w:noProof/>
                <w:szCs w:val="20"/>
              </w:rPr>
            </w:pPr>
            <w:r>
              <w:rPr>
                <w:noProof/>
              </w:rPr>
              <w:t>NEPIEMĒRO</w:t>
            </w:r>
          </w:p>
        </w:tc>
        <w:tc>
          <w:tcPr>
            <w:tcW w:w="139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430F0C" w14:textId="77777777" w:rsidR="00327FF1" w:rsidRDefault="00E406C7">
            <w:pPr>
              <w:pStyle w:val="P68B1DB1-Normal11"/>
              <w:spacing w:line="276" w:lineRule="auto"/>
              <w:jc w:val="center"/>
              <w:rPr>
                <w:noProof/>
                <w:szCs w:val="20"/>
              </w:rPr>
            </w:pPr>
            <w:r>
              <w:rPr>
                <w:noProof/>
              </w:rPr>
              <w:t>NEPIEMĒRO</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A4F6A9" w14:textId="77777777" w:rsidR="00327FF1" w:rsidRDefault="00E406C7">
            <w:pPr>
              <w:pStyle w:val="P68B1DB1-Normal11"/>
              <w:spacing w:line="276" w:lineRule="auto"/>
              <w:jc w:val="center"/>
              <w:rPr>
                <w:noProof/>
                <w:szCs w:val="20"/>
              </w:rPr>
            </w:pPr>
            <w:r>
              <w:rPr>
                <w:noProof/>
              </w:rPr>
              <w:t>2. CET.</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9766D2" w14:textId="77777777" w:rsidR="00327FF1" w:rsidRDefault="00E406C7">
            <w:pPr>
              <w:pStyle w:val="P68B1DB1-Normal11"/>
              <w:spacing w:line="276" w:lineRule="auto"/>
              <w:jc w:val="center"/>
              <w:rPr>
                <w:noProof/>
                <w:szCs w:val="20"/>
              </w:rPr>
            </w:pPr>
            <w:r>
              <w:rPr>
                <w:noProof/>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504D52" w14:textId="77777777" w:rsidR="00327FF1" w:rsidRDefault="00E406C7">
            <w:pPr>
              <w:pStyle w:val="P68B1DB1-Normal11"/>
              <w:spacing w:after="120"/>
              <w:rPr>
                <w:noProof/>
                <w:szCs w:val="20"/>
              </w:rPr>
            </w:pPr>
            <w:r>
              <w:rPr>
                <w:noProof/>
              </w:rPr>
              <w:t xml:space="preserve">Finanšu nolīgumā nosaka netiešās investīcijas RK fondu </w:t>
            </w:r>
            <w:r>
              <w:rPr>
                <w:noProof/>
              </w:rPr>
              <w:t>pārvaldnieku finansēšanā ar ieguldījumiem un uzņēmumiem/jaunizveidotiem uzņēmumiem saskaņā ar zaļās pārkārtošanās mērķiem, lai paplašinātu pētniekiem un jaunuzņēmumiem pieejamo kapitālu, stiprinātu aktīvu RK fondu darbību, attīstītu jaunus un inovatīvus uz</w:t>
            </w:r>
            <w:r>
              <w:rPr>
                <w:noProof/>
              </w:rPr>
              <w:t>ņēmumus partnerībā ar uzņēmumiem.</w:t>
            </w:r>
          </w:p>
          <w:p w14:paraId="327D913B" w14:textId="77777777" w:rsidR="00327FF1" w:rsidRDefault="00E406C7">
            <w:pPr>
              <w:pStyle w:val="P68B1DB1-Normal11"/>
              <w:spacing w:after="120"/>
              <w:rPr>
                <w:noProof/>
                <w:szCs w:val="20"/>
              </w:rPr>
            </w:pPr>
            <w:r>
              <w:rPr>
                <w:noProof/>
              </w:rPr>
              <w:t>Finanšu nolīgumā iekļauj:</w:t>
            </w:r>
          </w:p>
          <w:p w14:paraId="1639415A" w14:textId="77777777" w:rsidR="00327FF1" w:rsidRDefault="00E406C7">
            <w:pPr>
              <w:pStyle w:val="P68B1DB1-ListParagraph15"/>
              <w:numPr>
                <w:ilvl w:val="0"/>
                <w:numId w:val="27"/>
              </w:numPr>
              <w:spacing w:after="120" w:line="240" w:lineRule="auto"/>
              <w:ind w:left="296"/>
              <w:contextualSpacing w:val="0"/>
              <w:rPr>
                <w:noProof/>
                <w:szCs w:val="20"/>
              </w:rPr>
            </w:pPr>
            <w:r>
              <w:rPr>
                <w:noProof/>
              </w:rPr>
              <w:t>ieguldījumu politika,</w:t>
            </w:r>
          </w:p>
          <w:p w14:paraId="2D8CE706" w14:textId="77777777" w:rsidR="00327FF1" w:rsidRDefault="00E406C7">
            <w:pPr>
              <w:pStyle w:val="P68B1DB1-ListParagraph15"/>
              <w:numPr>
                <w:ilvl w:val="0"/>
                <w:numId w:val="27"/>
              </w:numPr>
              <w:spacing w:after="120" w:line="240" w:lineRule="auto"/>
              <w:ind w:left="296"/>
              <w:contextualSpacing w:val="0"/>
              <w:rPr>
                <w:noProof/>
                <w:szCs w:val="20"/>
              </w:rPr>
            </w:pPr>
            <w:r>
              <w:rPr>
                <w:noProof/>
              </w:rPr>
              <w:t>atbilstības kritēriji,</w:t>
            </w:r>
          </w:p>
          <w:p w14:paraId="1187960B" w14:textId="77777777" w:rsidR="00327FF1" w:rsidRDefault="00E406C7">
            <w:pPr>
              <w:pStyle w:val="P68B1DB1-Normal11"/>
              <w:spacing w:after="120"/>
              <w:rPr>
                <w:noProof/>
                <w:szCs w:val="20"/>
              </w:rPr>
            </w:pPr>
            <w:r>
              <w:rPr>
                <w:noProof/>
              </w:rPr>
              <w:t>saskaņā ar šo pasākumu atbalstīto darījumu atbilstība Tehniskajiem norādījumiem “nenodari būtisku kaitējumu” (2021/C58/01), izmantojot ilgtspējas pārba</w:t>
            </w:r>
            <w:r>
              <w:rPr>
                <w:noProof/>
              </w:rPr>
              <w:t>udi, izslēgšanas sarakstu un prasību par atbilstību attiecīgajiem ES un valsts tiesību aktiem vides jomā.</w:t>
            </w:r>
          </w:p>
        </w:tc>
      </w:tr>
    </w:tbl>
    <w:p w14:paraId="5753B36A" w14:textId="77777777" w:rsidR="00327FF1" w:rsidRDefault="00327FF1">
      <w:pPr>
        <w:spacing w:before="120" w:after="120"/>
        <w:jc w:val="both"/>
        <w:rPr>
          <w:noProof/>
        </w:rPr>
        <w:sectPr w:rsidR="00327FF1" w:rsidSect="005F11B9">
          <w:headerReference w:type="even" r:id="rId86"/>
          <w:headerReference w:type="default" r:id="rId87"/>
          <w:footerReference w:type="even" r:id="rId88"/>
          <w:footerReference w:type="default" r:id="rId89"/>
          <w:headerReference w:type="first" r:id="rId90"/>
          <w:footerReference w:type="first" r:id="rId91"/>
          <w:pgSz w:w="16839" w:h="11907" w:orient="landscape"/>
          <w:pgMar w:top="1134" w:right="1134" w:bottom="1134" w:left="1134" w:header="567" w:footer="567" w:gutter="0"/>
          <w:cols w:space="720"/>
          <w:docGrid w:linePitch="360"/>
        </w:sectPr>
      </w:pPr>
    </w:p>
    <w:p w14:paraId="4116C1EC" w14:textId="77777777" w:rsidR="00327FF1" w:rsidRDefault="00E406C7">
      <w:pPr>
        <w:pStyle w:val="P68B1DB1-Heading39"/>
        <w:ind w:left="850" w:hanging="850"/>
        <w:rPr>
          <w:b/>
          <w:bCs/>
          <w:i/>
          <w:iCs/>
          <w:noProof/>
          <w:color w:val="156082" w:themeColor="accent1"/>
          <w:u w:val="single"/>
        </w:rPr>
      </w:pPr>
      <w:r>
        <w:rPr>
          <w:b/>
          <w:noProof/>
          <w:u w:val="single"/>
        </w:rPr>
        <w:t xml:space="preserve">E.3. </w:t>
      </w:r>
      <w:r>
        <w:rPr>
          <w:noProof/>
        </w:rPr>
        <w:t xml:space="preserve"> </w:t>
      </w:r>
      <w:r>
        <w:rPr>
          <w:b/>
          <w:noProof/>
          <w:u w:val="single"/>
        </w:rPr>
        <w:t xml:space="preserve">Aizdevumam pieteikto reformu un investīciju apraksts </w:t>
      </w:r>
    </w:p>
    <w:p w14:paraId="211A6177" w14:textId="77777777" w:rsidR="00327FF1" w:rsidRDefault="00E406C7">
      <w:pPr>
        <w:pStyle w:val="P68B1DB1-Normal5"/>
        <w:spacing w:before="120" w:after="120"/>
        <w:jc w:val="both"/>
        <w:rPr>
          <w:noProof/>
        </w:rPr>
      </w:pPr>
      <w:r>
        <w:rPr>
          <w:noProof/>
        </w:rPr>
        <w:t xml:space="preserve">Investīcija 1.1. — </w:t>
      </w:r>
      <w:r>
        <w:rPr>
          <w:noProof/>
        </w:rPr>
        <w:t>Agrovoltaisko sistēmu attīstība</w:t>
      </w:r>
    </w:p>
    <w:p w14:paraId="0C19C6D5" w14:textId="7D662254" w:rsidR="00327FF1" w:rsidRDefault="00E406C7">
      <w:pPr>
        <w:pStyle w:val="P68B1DB1-Normal7"/>
        <w:spacing w:line="240" w:lineRule="auto"/>
        <w:jc w:val="both"/>
        <w:rPr>
          <w:rFonts w:eastAsia="Calibri"/>
          <w:noProof/>
        </w:rPr>
      </w:pPr>
      <w:r>
        <w:rPr>
          <w:noProof/>
        </w:rPr>
        <w:t>Šis pasākums ietver publiskus ieguldījumus dotāciju shēmā, lai stimulētu privātos ieguldījumus un uzlabotu piekļuvi finansējumam Itālijas lauksaimniecī</w:t>
      </w:r>
      <w:r>
        <w:rPr>
          <w:noProof/>
        </w:rPr>
        <w:t xml:space="preserve">bas un atjaunīgās enerģijas nozarē. Shēma darbojas, piešķirot dotācijas tieši privātajam sektoram. </w:t>
      </w:r>
    </w:p>
    <w:p w14:paraId="53EDA07C" w14:textId="6C9CFB55" w:rsidR="00327FF1" w:rsidRDefault="00E406C7">
      <w:pPr>
        <w:spacing w:line="240" w:lineRule="auto"/>
        <w:jc w:val="both"/>
        <w:rPr>
          <w:rFonts w:ascii="Times New Roman" w:eastAsia="Calibri" w:hAnsi="Times New Roman" w:cs="Times New Roman"/>
          <w:noProof/>
        </w:rPr>
      </w:pPr>
      <w:r>
        <w:rPr>
          <w:rFonts w:ascii="Times New Roman" w:eastAsia="Calibri" w:hAnsi="Times New Roman" w:cs="Times New Roman"/>
          <w:noProof/>
        </w:rPr>
        <w:t>Shēmu pārvalda Gestore Servizi Energetici S.p.A. (GSE) kā īstenošanas partneris. Shēma nodrošina dotāciju, kas sedz daļu no projektu izmaksām. Shēma atbalst</w:t>
      </w:r>
      <w:r>
        <w:rPr>
          <w:rFonts w:ascii="Times New Roman" w:eastAsia="Calibri" w:hAnsi="Times New Roman" w:cs="Times New Roman"/>
          <w:noProof/>
        </w:rPr>
        <w:t>a tādu agrovoltaisko sistēmu būvniecību, kas ietver fotoelementu iekārtu uzstādīšanu lauksaimniecības zemē kopā ar mērinstrumentiem pamatā esošās lauksaimnieciskās darbības uzraudzībai</w:t>
      </w:r>
      <w:r>
        <w:rPr>
          <w:rStyle w:val="FootnoteReference"/>
          <w:rFonts w:ascii="Times New Roman" w:eastAsia="Calibri" w:hAnsi="Times New Roman" w:cs="Times New Roman"/>
          <w:noProof/>
        </w:rPr>
        <w:footnoteReference w:id="40"/>
      </w:r>
      <w:r>
        <w:rPr>
          <w:rFonts w:ascii="Times New Roman" w:eastAsia="Calibri" w:hAnsi="Times New Roman" w:cs="Times New Roman"/>
          <w:noProof/>
        </w:rPr>
        <w:t>.</w:t>
      </w:r>
    </w:p>
    <w:p w14:paraId="5E329D58" w14:textId="77777777" w:rsidR="00327FF1" w:rsidRDefault="00E406C7">
      <w:pPr>
        <w:pStyle w:val="P68B1DB1-Normal38"/>
        <w:spacing w:line="240" w:lineRule="auto"/>
        <w:jc w:val="both"/>
        <w:rPr>
          <w:noProof/>
        </w:rPr>
      </w:pPr>
      <w:r>
        <w:rPr>
          <w:noProof/>
        </w:rPr>
        <w:t>Lai īstenotu ieguldījumu shēmā, Itālija un GSE paraksta īstenošanas n</w:t>
      </w:r>
      <w:r>
        <w:rPr>
          <w:noProof/>
        </w:rPr>
        <w:t>olīgumu, kurā ietver šādu saturu:</w:t>
      </w:r>
    </w:p>
    <w:p w14:paraId="56CB332D" w14:textId="77777777" w:rsidR="00327FF1" w:rsidRDefault="00E406C7">
      <w:pPr>
        <w:pStyle w:val="P68B1DB1-Normal38"/>
        <w:numPr>
          <w:ilvl w:val="0"/>
          <w:numId w:val="18"/>
        </w:numPr>
        <w:jc w:val="both"/>
        <w:rPr>
          <w:rFonts w:eastAsia="Times New Roman"/>
          <w:noProof/>
        </w:rPr>
      </w:pPr>
      <w:r>
        <w:rPr>
          <w:noProof/>
        </w:rPr>
        <w:t>Shēmas lēmumu pieņemšanas procesa apraksts: Galīgo lēmumu par shēmas piešķiršanu pieņem ieguldījumu komiteja vai cita līdzvērtīga pārvaldes struktūra, un to apstiprina ar no valdības neatkarīgu locekļu balsu vairākumu.</w:t>
      </w:r>
    </w:p>
    <w:p w14:paraId="4C772900" w14:textId="77777777" w:rsidR="00327FF1" w:rsidRDefault="00E406C7">
      <w:pPr>
        <w:pStyle w:val="P68B1DB1-LegalNumPar62"/>
        <w:spacing w:line="259" w:lineRule="auto"/>
        <w:jc w:val="both"/>
        <w:rPr>
          <w:noProof/>
        </w:rPr>
      </w:pPr>
      <w:r>
        <w:rPr>
          <w:noProof/>
        </w:rPr>
        <w:t>Sai</w:t>
      </w:r>
      <w:r>
        <w:rPr>
          <w:noProof/>
        </w:rPr>
        <w:t>stītās dotāciju politikas galvenās prasības,</w:t>
      </w:r>
      <w:r>
        <w:rPr>
          <w:b/>
          <w:noProof/>
        </w:rPr>
        <w:t xml:space="preserve"> </w:t>
      </w:r>
      <w:r>
        <w:rPr>
          <w:noProof/>
        </w:rPr>
        <w:t>kas ietver:</w:t>
      </w:r>
    </w:p>
    <w:p w14:paraId="126CD52C" w14:textId="77777777" w:rsidR="00327FF1" w:rsidRDefault="00E406C7">
      <w:pPr>
        <w:pStyle w:val="P68B1DB1-LegalNumPar263"/>
        <w:spacing w:line="259" w:lineRule="auto"/>
        <w:jc w:val="both"/>
        <w:rPr>
          <w:noProof/>
        </w:rPr>
      </w:pPr>
      <w:r>
        <w:rPr>
          <w:noProof/>
        </w:rPr>
        <w:t>Apraksts par piešķirtajām dotācijām un atbalsttiesīgajiem galīgajiem saņēmējiem.</w:t>
      </w:r>
    </w:p>
    <w:p w14:paraId="743AA93C" w14:textId="77777777" w:rsidR="00327FF1" w:rsidRDefault="00E406C7">
      <w:pPr>
        <w:pStyle w:val="P68B1DB1-LegalNumPar263"/>
        <w:spacing w:line="259" w:lineRule="auto"/>
        <w:jc w:val="both"/>
        <w:rPr>
          <w:noProof/>
        </w:rPr>
      </w:pPr>
      <w:r>
        <w:rPr>
          <w:noProof/>
        </w:rPr>
        <w:t>Prasība, ka visiem atbalstītajiem ieguldījumiem jābūt ekonomiski dzīvotspējīgiem</w:t>
      </w:r>
      <w:r>
        <w:rPr>
          <w:b/>
          <w:noProof/>
        </w:rPr>
        <w:t>.</w:t>
      </w:r>
    </w:p>
    <w:p w14:paraId="097B621B" w14:textId="77777777" w:rsidR="00327FF1" w:rsidRDefault="00E406C7">
      <w:pPr>
        <w:pStyle w:val="P68B1DB1-LegalNumPar264"/>
        <w:spacing w:line="259" w:lineRule="auto"/>
        <w:jc w:val="both"/>
        <w:rPr>
          <w:rFonts w:eastAsia="Calibri" w:cs="Times New Roman"/>
          <w:noProof/>
        </w:rPr>
      </w:pPr>
      <w:r>
        <w:rPr>
          <w:noProof/>
        </w:rPr>
        <w:t>Prasība ievērot principu “nenodari b</w:t>
      </w:r>
      <w:r>
        <w:rPr>
          <w:noProof/>
        </w:rPr>
        <w:t>ūtisku kaitējumu” (DNSH), kā noteikts NBK tehniskajos norādījumos (2021/C58/01). Jo īpaši dotāciju politikā no atbilstības izslēdz šādu darbību un aktīvu sarakstu: I) darbības un aktīvi, kas saistīti ar fosilo kurināmo, tostarp lejupējais izmantojums;</w:t>
      </w:r>
      <w:r>
        <w:rPr>
          <w:noProof/>
        </w:rPr>
        <w:footnoteReference w:id="41"/>
      </w:r>
      <w:r>
        <w:rPr>
          <w:noProof/>
        </w:rPr>
        <w:t xml:space="preserve">ii) </w:t>
      </w:r>
      <w:r>
        <w:rPr>
          <w:noProof/>
        </w:rPr>
        <w:t>darbības un aktīvi saskaņā ar ES emisijas kvotu tirdzniecības sistēmu (ETS), kuru prognozētās siltumnīcefekta gāzu emisijas nav zemākas par attiecīgajām līmeņatzīmēm;</w:t>
      </w:r>
      <w:r>
        <w:rPr>
          <w:noProof/>
        </w:rPr>
        <w:footnoteReference w:id="42"/>
      </w:r>
      <w:r>
        <w:rPr>
          <w:noProof/>
        </w:rPr>
        <w:t>iii) darbības un aktīvi, kas saistīti ar atkritumu poligoniem, sadedzināšanas iekārtām</w:t>
      </w:r>
      <w:r>
        <w:rPr>
          <w:noProof/>
        </w:rPr>
        <w:footnoteReference w:id="43"/>
      </w:r>
      <w:r>
        <w:rPr>
          <w:noProof/>
        </w:rPr>
        <w:t xml:space="preserve"> u</w:t>
      </w:r>
      <w:r>
        <w:rPr>
          <w:noProof/>
        </w:rPr>
        <w:t>n mehāniski bioloģiskās apstrādes iekārtām</w:t>
      </w:r>
      <w:r>
        <w:rPr>
          <w:noProof/>
        </w:rPr>
        <w:footnoteReference w:id="44"/>
      </w:r>
      <w:r>
        <w:rPr>
          <w:noProof/>
        </w:rPr>
        <w:t xml:space="preserve">. </w:t>
      </w:r>
    </w:p>
    <w:p w14:paraId="5D6F4A4C" w14:textId="77777777" w:rsidR="00327FF1" w:rsidRDefault="00E406C7">
      <w:pPr>
        <w:pStyle w:val="P68B1DB1-LegalNumPar263"/>
        <w:spacing w:line="259" w:lineRule="auto"/>
        <w:jc w:val="both"/>
        <w:rPr>
          <w:noProof/>
        </w:rPr>
      </w:pPr>
      <w:r>
        <w:rPr>
          <w:noProof/>
        </w:rPr>
        <w:t>Prasību, ka shēmas galasaņēmēji nesaņem atbalstu no citiem Savienības instrumentiem, lai segtu tās pašas izmaksas.</w:t>
      </w:r>
    </w:p>
    <w:p w14:paraId="1182310F" w14:textId="77777777" w:rsidR="00327FF1" w:rsidRDefault="00E406C7">
      <w:pPr>
        <w:pStyle w:val="P68B1DB1-LegalNumPar62"/>
        <w:spacing w:line="259" w:lineRule="auto"/>
        <w:jc w:val="both"/>
        <w:rPr>
          <w:noProof/>
        </w:rPr>
      </w:pPr>
      <w:r>
        <w:rPr>
          <w:noProof/>
        </w:rPr>
        <w:t>Īstenošanas nolīguma aptvertā summa, īstenošanas partnera maksu struktūra un prasība visus neiz</w:t>
      </w:r>
      <w:r>
        <w:rPr>
          <w:noProof/>
        </w:rPr>
        <w:t>mantotos ieņēmumus no shēmas, tostarp pēc 2026. gada, izmantot tiem pašiem politikas mērķiem.</w:t>
      </w:r>
    </w:p>
    <w:p w14:paraId="4AA0D20F" w14:textId="77777777" w:rsidR="00327FF1" w:rsidRDefault="00E406C7">
      <w:pPr>
        <w:pStyle w:val="P68B1DB1-LegalNumPar62"/>
        <w:spacing w:line="259" w:lineRule="auto"/>
        <w:jc w:val="both"/>
        <w:rPr>
          <w:noProof/>
        </w:rPr>
      </w:pPr>
      <w:r>
        <w:rPr>
          <w:noProof/>
        </w:rPr>
        <w:t>Uzraudzības, revīzijas un kontroles prasības, tostarp:</w:t>
      </w:r>
    </w:p>
    <w:p w14:paraId="16A7597A" w14:textId="77777777" w:rsidR="00327FF1" w:rsidRDefault="00E406C7">
      <w:pPr>
        <w:pStyle w:val="P68B1DB1-ListParagraph39"/>
        <w:numPr>
          <w:ilvl w:val="0"/>
          <w:numId w:val="74"/>
        </w:numPr>
        <w:spacing w:before="120" w:after="120" w:line="240" w:lineRule="auto"/>
        <w:jc w:val="both"/>
        <w:rPr>
          <w:noProof/>
        </w:rPr>
      </w:pPr>
      <w:r>
        <w:rPr>
          <w:noProof/>
        </w:rPr>
        <w:t>Apraksts par īstenošanas partnera uzraudzības sistēmu ziņošanai par mobilizētajām subsīdijām.</w:t>
      </w:r>
    </w:p>
    <w:p w14:paraId="2D20507F" w14:textId="77777777" w:rsidR="00327FF1" w:rsidRDefault="00E406C7">
      <w:pPr>
        <w:pStyle w:val="P68B1DB1-Normal38"/>
        <w:numPr>
          <w:ilvl w:val="0"/>
          <w:numId w:val="74"/>
        </w:numPr>
        <w:jc w:val="both"/>
        <w:rPr>
          <w:noProof/>
        </w:rPr>
      </w:pPr>
      <w:r>
        <w:rPr>
          <w:noProof/>
        </w:rPr>
        <w:t xml:space="preserve">Apraksts par īstenošanas partnera procedūrām, kas nodrošinās krāpšanas, korupcijas un interešu konfliktu novēršanu, atklāšanu un labošanu. </w:t>
      </w:r>
    </w:p>
    <w:p w14:paraId="4BBCF44C" w14:textId="77777777" w:rsidR="00327FF1" w:rsidRDefault="00E406C7">
      <w:pPr>
        <w:pStyle w:val="P68B1DB1-Normal38"/>
        <w:numPr>
          <w:ilvl w:val="0"/>
          <w:numId w:val="74"/>
        </w:numPr>
        <w:jc w:val="both"/>
        <w:rPr>
          <w:noProof/>
        </w:rPr>
      </w:pPr>
      <w:r>
        <w:rPr>
          <w:noProof/>
        </w:rPr>
        <w:t>Pienākums pārbaudīt katras darbības atbilstību saskaņā ar Īstenošanas nolīgumā noteiktajām prasībām pirms subsīdijas</w:t>
      </w:r>
      <w:r>
        <w:rPr>
          <w:noProof/>
        </w:rPr>
        <w:t xml:space="preserve"> piešķiršanas darbībai.</w:t>
      </w:r>
    </w:p>
    <w:p w14:paraId="2AF4F17C" w14:textId="77777777" w:rsidR="00327FF1" w:rsidRDefault="00E406C7">
      <w:pPr>
        <w:pStyle w:val="P68B1DB1-Normal38"/>
        <w:numPr>
          <w:ilvl w:val="0"/>
          <w:numId w:val="74"/>
        </w:numPr>
        <w:spacing w:line="240" w:lineRule="auto"/>
        <w:jc w:val="both"/>
        <w:rPr>
          <w:noProof/>
        </w:rPr>
      </w:pPr>
      <w:r>
        <w:rPr>
          <w:noProof/>
        </w:rPr>
        <w:t>Pienākums veikt uz risku balstītas ex post revīzijas saskaņā ar GSE revīzijas plānu. Šajās revīzijās pārbauda:</w:t>
      </w:r>
    </w:p>
    <w:p w14:paraId="11E0EEC7" w14:textId="77777777" w:rsidR="00327FF1" w:rsidRDefault="00E406C7">
      <w:pPr>
        <w:pStyle w:val="P68B1DB1-Normal38"/>
        <w:spacing w:line="240" w:lineRule="auto"/>
        <w:ind w:left="1440"/>
        <w:jc w:val="both"/>
        <w:rPr>
          <w:noProof/>
        </w:rPr>
      </w:pPr>
      <w:r>
        <w:rPr>
          <w:noProof/>
        </w:rPr>
        <w:t>I) kontroles sistēmas ir efektīvas, tostarp krāpšanas, korupcijas un interešu konfliktu atklāšana;</w:t>
      </w:r>
    </w:p>
    <w:p w14:paraId="7D34FBC4" w14:textId="77777777" w:rsidR="00327FF1" w:rsidRDefault="00E406C7">
      <w:pPr>
        <w:pStyle w:val="P68B1DB1-Normal38"/>
        <w:spacing w:line="240" w:lineRule="auto"/>
        <w:ind w:left="1440"/>
        <w:jc w:val="both"/>
        <w:rPr>
          <w:noProof/>
        </w:rPr>
      </w:pPr>
      <w:r>
        <w:rPr>
          <w:noProof/>
        </w:rPr>
        <w:t>II) principa “nenodarī</w:t>
      </w:r>
      <w:r>
        <w:rPr>
          <w:noProof/>
        </w:rPr>
        <w:t>t būtisku kaitējumu” ievērošana, valsts atbalsta noteikumi, klimata mērķrādītāju prasības; un</w:t>
      </w:r>
    </w:p>
    <w:p w14:paraId="74AB863C" w14:textId="77777777" w:rsidR="00327FF1" w:rsidRDefault="00E406C7">
      <w:pPr>
        <w:pStyle w:val="P68B1DB1-Normal38"/>
        <w:spacing w:line="240" w:lineRule="auto"/>
        <w:ind w:left="1440"/>
        <w:jc w:val="both"/>
        <w:rPr>
          <w:noProof/>
        </w:rPr>
      </w:pPr>
      <w:r>
        <w:rPr>
          <w:noProof/>
        </w:rPr>
        <w:t>III) ka ir ievērota prasība, ka shēmas galasaņēmēji nav saņēmuši atbalstu no citiem Savienības instrumentiem, lai segtu tās pašas izmaksas. Revīzijās pārbauda arī</w:t>
      </w:r>
      <w:r>
        <w:rPr>
          <w:noProof/>
        </w:rPr>
        <w:t xml:space="preserve"> darījumu likumību un to, vai tiek ievēroti piemērojamo īstenošanas nolīguma dotāciju nolīgumu nosacījumi. </w:t>
      </w:r>
    </w:p>
    <w:p w14:paraId="5991D141" w14:textId="77777777" w:rsidR="00327FF1" w:rsidRDefault="00E406C7">
      <w:pPr>
        <w:pStyle w:val="P68B1DB1-Normal5"/>
        <w:spacing w:before="120" w:after="120"/>
        <w:jc w:val="both"/>
        <w:rPr>
          <w:noProof/>
        </w:rPr>
      </w:pPr>
      <w:r>
        <w:rPr>
          <w:noProof/>
        </w:rPr>
        <w:t>Investīcija 1.2. AER veicināšana energokopienām un atjaunojamo energoresursu enerģijas pašpatērētāju kopīgai rīcībai</w:t>
      </w:r>
    </w:p>
    <w:p w14:paraId="4A15A0A0" w14:textId="6541857D" w:rsidR="00327FF1" w:rsidRDefault="00E406C7">
      <w:pPr>
        <w:spacing w:before="120" w:after="120"/>
        <w:jc w:val="both"/>
        <w:rPr>
          <w:rFonts w:ascii="Times New Roman" w:eastAsia="MS Mincho" w:hAnsi="Times New Roman" w:cs="Times New Roman"/>
          <w:noProof/>
        </w:rPr>
      </w:pPr>
      <w:r>
        <w:rPr>
          <w:rFonts w:ascii="Times New Roman" w:eastAsia="MS Mincho" w:hAnsi="Times New Roman" w:cs="Times New Roman"/>
          <w:noProof/>
        </w:rPr>
        <w:t>Šis pasākums ietver publiskas i</w:t>
      </w:r>
      <w:r>
        <w:rPr>
          <w:rFonts w:ascii="Times New Roman" w:eastAsia="MS Mincho" w:hAnsi="Times New Roman" w:cs="Times New Roman"/>
          <w:noProof/>
        </w:rPr>
        <w:t>nvestīcijas dotāciju shēmā, lai stimulētu privātās investīcijas un uzlabotu piekļuvi finansējumam Itālijā nolūkā atbalstīt jaunas elektroenerģijas ražošanas jaudas uzstādīšanu kolektīvām konfigurācijām un atjaunīgās enerģijas kopienām, kas atrodas pašvaldī</w:t>
      </w:r>
      <w:r>
        <w:rPr>
          <w:rFonts w:ascii="Times New Roman" w:eastAsia="MS Mincho" w:hAnsi="Times New Roman" w:cs="Times New Roman"/>
          <w:noProof/>
        </w:rPr>
        <w:t>bās, kurās iedzīvotāju skaits ir mazāks par</w:t>
      </w:r>
      <w:r>
        <w:rPr>
          <w:rFonts w:ascii="Arial Narrow" w:hAnsi="Arial Narrow"/>
          <w:noProof/>
          <w:color w:val="006100"/>
          <w:sz w:val="20"/>
        </w:rPr>
        <w:t xml:space="preserve"> </w:t>
      </w:r>
      <w:r>
        <w:rPr>
          <w:rFonts w:ascii="Times New Roman" w:eastAsia="MS Mincho" w:hAnsi="Times New Roman" w:cs="Times New Roman"/>
          <w:noProof/>
        </w:rPr>
        <w:t>50000 iedzīvotāju</w:t>
      </w:r>
      <w:r>
        <w:rPr>
          <w:rStyle w:val="FootnoteReference"/>
          <w:rFonts w:ascii="Times New Roman" w:hAnsi="Times New Roman" w:cs="Times New Roman"/>
          <w:noProof/>
        </w:rPr>
        <w:footnoteReference w:id="45"/>
      </w:r>
      <w:r>
        <w:rPr>
          <w:rFonts w:ascii="Times New Roman" w:eastAsia="MS Mincho" w:hAnsi="Times New Roman" w:cs="Times New Roman"/>
          <w:noProof/>
        </w:rPr>
        <w:t xml:space="preserve">. Shēma darbojas, piešķirot dotācijas tieši privātajam sektoram, kā arī publiskā sektora struktūrām, kas veic līdzīgas darbības. </w:t>
      </w:r>
    </w:p>
    <w:p w14:paraId="3ABFF730" w14:textId="77777777" w:rsidR="00327FF1" w:rsidRDefault="00E406C7">
      <w:pPr>
        <w:pStyle w:val="P68B1DB1-Normal65"/>
        <w:spacing w:before="120" w:after="120"/>
        <w:jc w:val="both"/>
        <w:rPr>
          <w:noProof/>
        </w:rPr>
      </w:pPr>
      <w:r>
        <w:rPr>
          <w:noProof/>
        </w:rPr>
        <w:t>Shēmu pārvalda Gestore dei Servizi Energetiche S.p.A. [turpmāk —</w:t>
      </w:r>
      <w:r>
        <w:rPr>
          <w:noProof/>
        </w:rPr>
        <w:t xml:space="preserve"> GSE] kā īstenošanas partneris. Shēma ietver šādu produktu līniju:</w:t>
      </w:r>
    </w:p>
    <w:p w14:paraId="717AB6D7" w14:textId="69A1598F" w:rsidR="00327FF1" w:rsidRDefault="00E406C7">
      <w:pPr>
        <w:pStyle w:val="P68B1DB1-Normal65"/>
        <w:numPr>
          <w:ilvl w:val="0"/>
          <w:numId w:val="83"/>
        </w:numPr>
        <w:spacing w:before="120" w:after="120" w:line="279" w:lineRule="auto"/>
        <w:jc w:val="both"/>
        <w:rPr>
          <w:noProof/>
        </w:rPr>
      </w:pPr>
      <w:r>
        <w:rPr>
          <w:noProof/>
        </w:rPr>
        <w:t>Dotācija, kas sedz ne vairāk kā 40 % no projekta izmaksām atjaunojamo energoresursu un ražošanas iekārtu būvniecībai, iespējams, kopā ar enerģijas uzkrāšanu.</w:t>
      </w:r>
    </w:p>
    <w:p w14:paraId="0BC53E1C" w14:textId="77777777" w:rsidR="00327FF1" w:rsidRDefault="00E406C7">
      <w:pPr>
        <w:pStyle w:val="P68B1DB1-Normal65"/>
        <w:spacing w:before="120" w:after="120"/>
        <w:jc w:val="both"/>
        <w:rPr>
          <w:noProof/>
        </w:rPr>
      </w:pPr>
      <w:r>
        <w:rPr>
          <w:noProof/>
        </w:rPr>
        <w:t xml:space="preserve">Lai veiktu ieguldījumus shēmā, </w:t>
      </w:r>
      <w:r>
        <w:rPr>
          <w:noProof/>
        </w:rPr>
        <w:t>Itālija un GSE paraksta īstenošanas nolīgumu, kurā ietver šādu saturu:</w:t>
      </w:r>
    </w:p>
    <w:p w14:paraId="28EC7025" w14:textId="77777777" w:rsidR="00327FF1" w:rsidRDefault="00E406C7">
      <w:pPr>
        <w:pStyle w:val="P68B1DB1-Normal65"/>
        <w:numPr>
          <w:ilvl w:val="0"/>
          <w:numId w:val="82"/>
        </w:numPr>
        <w:spacing w:before="120" w:after="120" w:line="279" w:lineRule="auto"/>
        <w:jc w:val="both"/>
        <w:rPr>
          <w:noProof/>
        </w:rPr>
      </w:pPr>
      <w:r>
        <w:rPr>
          <w:noProof/>
        </w:rPr>
        <w:t>Shēmas lēmumu pieņemšanas procesa apraksts: Galīgo lēmumu par shēmas piešķiršanu pieņem ieguldījumu komiteja vai cita līdzvērtīga pārvaldes struktūra, un to apstiprina ar no valdības ne</w:t>
      </w:r>
      <w:r>
        <w:rPr>
          <w:noProof/>
        </w:rPr>
        <w:t>atkarīgu locekļu balsu vairākumu.</w:t>
      </w:r>
    </w:p>
    <w:p w14:paraId="11970938" w14:textId="77777777" w:rsidR="00327FF1" w:rsidRDefault="00E406C7">
      <w:pPr>
        <w:pStyle w:val="P68B1DB1-Normal65"/>
        <w:numPr>
          <w:ilvl w:val="0"/>
          <w:numId w:val="82"/>
        </w:numPr>
        <w:spacing w:before="120" w:after="120" w:line="279" w:lineRule="auto"/>
        <w:jc w:val="both"/>
        <w:rPr>
          <w:noProof/>
        </w:rPr>
      </w:pPr>
      <w:r>
        <w:rPr>
          <w:noProof/>
        </w:rPr>
        <w:t>Saistītās dotāciju politikas galvenās prasības,</w:t>
      </w:r>
      <w:r>
        <w:rPr>
          <w:b/>
          <w:noProof/>
        </w:rPr>
        <w:t xml:space="preserve"> </w:t>
      </w:r>
      <w:r>
        <w:rPr>
          <w:noProof/>
        </w:rPr>
        <w:t>kas ietver:</w:t>
      </w:r>
    </w:p>
    <w:p w14:paraId="6A4971A6" w14:textId="77777777" w:rsidR="00327FF1" w:rsidRDefault="00E406C7">
      <w:pPr>
        <w:pStyle w:val="P68B1DB1-ListParagraph37"/>
        <w:numPr>
          <w:ilvl w:val="1"/>
          <w:numId w:val="81"/>
        </w:numPr>
        <w:spacing w:after="0" w:line="257" w:lineRule="auto"/>
        <w:ind w:left="953" w:hanging="477"/>
        <w:jc w:val="both"/>
        <w:rPr>
          <w:noProof/>
        </w:rPr>
      </w:pPr>
      <w:r>
        <w:rPr>
          <w:noProof/>
        </w:rPr>
        <w:t xml:space="preserve">Apraksts par piešķirtajām dotācijām un atbalsttiesīgajiem galīgajiem saņēmējiem. </w:t>
      </w:r>
    </w:p>
    <w:p w14:paraId="1E99D203" w14:textId="77777777" w:rsidR="00327FF1" w:rsidRDefault="00E406C7">
      <w:pPr>
        <w:pStyle w:val="P68B1DB1-ListParagraph37"/>
        <w:numPr>
          <w:ilvl w:val="1"/>
          <w:numId w:val="81"/>
        </w:numPr>
        <w:spacing w:after="0" w:line="257" w:lineRule="auto"/>
        <w:ind w:left="953" w:hanging="477"/>
        <w:jc w:val="both"/>
        <w:rPr>
          <w:noProof/>
        </w:rPr>
      </w:pPr>
      <w:r>
        <w:rPr>
          <w:noProof/>
        </w:rPr>
        <w:t>Prasība, lai visi atbalstītie ieguldījumi būtu ekonomiski dzīvotspējīgi.</w:t>
      </w:r>
    </w:p>
    <w:p w14:paraId="0E1A755D" w14:textId="77777777" w:rsidR="00327FF1" w:rsidRDefault="00E406C7">
      <w:pPr>
        <w:pStyle w:val="ListParagraph"/>
        <w:numPr>
          <w:ilvl w:val="1"/>
          <w:numId w:val="81"/>
        </w:numPr>
        <w:spacing w:after="0" w:line="257" w:lineRule="auto"/>
        <w:ind w:left="953" w:hanging="477"/>
        <w:jc w:val="both"/>
        <w:rPr>
          <w:rFonts w:ascii="Times New Roman" w:hAnsi="Times New Roman" w:cs="Times New Roman"/>
          <w:noProof/>
        </w:rPr>
      </w:pPr>
      <w:r>
        <w:rPr>
          <w:rFonts w:ascii="Times New Roman" w:hAnsi="Times New Roman" w:cs="Times New Roman" w:hint="eastAsia"/>
          <w:noProof/>
        </w:rPr>
        <w:t xml:space="preserve">Prasība ievērot principu </w:t>
      </w:r>
      <w:r>
        <w:rPr>
          <w:rFonts w:ascii="Times New Roman" w:hAnsi="Times New Roman" w:cs="Times New Roman" w:hint="eastAsia"/>
          <w:noProof/>
        </w:rPr>
        <w:t>“</w:t>
      </w:r>
      <w:r>
        <w:rPr>
          <w:rFonts w:ascii="Times New Roman" w:hAnsi="Times New Roman" w:cs="Times New Roman" w:hint="eastAsia"/>
          <w:noProof/>
        </w:rPr>
        <w:t>nenodari būtisku kaitējumu</w:t>
      </w:r>
      <w:r>
        <w:rPr>
          <w:rFonts w:ascii="Times New Roman" w:hAnsi="Times New Roman" w:cs="Times New Roman" w:hint="eastAsia"/>
          <w:noProof/>
        </w:rPr>
        <w:t>”</w:t>
      </w:r>
      <w:r>
        <w:rPr>
          <w:rFonts w:ascii="Times New Roman" w:hAnsi="Times New Roman" w:cs="Times New Roman" w:hint="eastAsia"/>
          <w:noProof/>
        </w:rPr>
        <w:t xml:space="preserve"> (DNSH), kā noteikts NBK tehniskajos norādījumos (2021/C58/01). Jo īpaši dotāciju politikā no atbilstības izslēdz šādu darbību un aktīvu sarakstu: I) darbības un aktīvi, kas saistīti ar fosilo kurināmo, </w:t>
      </w:r>
      <w:r>
        <w:rPr>
          <w:rFonts w:ascii="Times New Roman" w:hAnsi="Times New Roman" w:cs="Times New Roman" w:hint="eastAsia"/>
          <w:noProof/>
        </w:rPr>
        <w:t>tostarp lejupējais izmantojums</w:t>
      </w:r>
      <w:r>
        <w:rPr>
          <w:rFonts w:ascii="Times New Roman" w:hAnsi="Times New Roman" w:cs="Times New Roman"/>
          <w:noProof/>
        </w:rPr>
        <w:t>;</w:t>
      </w:r>
      <w:r>
        <w:rPr>
          <w:rFonts w:ascii="Times New Roman" w:hAnsi="Times New Roman" w:cs="Times New Roman"/>
          <w:noProof/>
        </w:rPr>
        <w:footnoteReference w:id="46"/>
      </w:r>
      <w:r>
        <w:rPr>
          <w:rFonts w:ascii="Times New Roman" w:hAnsi="Times New Roman" w:cs="Times New Roman"/>
          <w:noProof/>
          <w:vertAlign w:val="superscript"/>
        </w:rPr>
        <w:t>ii</w:t>
      </w:r>
      <w:r>
        <w:rPr>
          <w:rFonts w:ascii="Times New Roman" w:hAnsi="Times New Roman" w:cs="Times New Roman"/>
          <w:noProof/>
        </w:rPr>
        <w:t>) darbības un aktīvi saskaņā ar ES emisijas kvotu tirdzniecības sistēmu (ETS), kuru prognozētās siltumnīcefekta gāzu emisijas nav zemākas par attiecīgajām līmeņatzīmēm;</w:t>
      </w:r>
      <w:r>
        <w:rPr>
          <w:rFonts w:ascii="Times New Roman" w:hAnsi="Times New Roman" w:cs="Times New Roman"/>
          <w:noProof/>
        </w:rPr>
        <w:footnoteReference w:id="47"/>
      </w:r>
      <w:r>
        <w:rPr>
          <w:rFonts w:ascii="Times New Roman" w:hAnsi="Times New Roman" w:cs="Times New Roman"/>
          <w:noProof/>
          <w:vertAlign w:val="superscript"/>
        </w:rPr>
        <w:t>iii</w:t>
      </w:r>
      <w:r>
        <w:rPr>
          <w:rFonts w:ascii="Times New Roman" w:hAnsi="Times New Roman" w:cs="Times New Roman"/>
          <w:noProof/>
        </w:rPr>
        <w:t>) darbības un aktīvi, kas saistīti ar atkritumu po</w:t>
      </w:r>
      <w:r>
        <w:rPr>
          <w:rFonts w:ascii="Times New Roman" w:hAnsi="Times New Roman" w:cs="Times New Roman"/>
          <w:noProof/>
        </w:rPr>
        <w:t>ligoniem, sadedzināšanas iekārtām</w:t>
      </w:r>
      <w:r>
        <w:rPr>
          <w:rFonts w:ascii="Times New Roman" w:hAnsi="Times New Roman" w:cs="Times New Roman"/>
          <w:noProof/>
        </w:rPr>
        <w:footnoteReference w:id="48"/>
      </w:r>
      <w:r>
        <w:rPr>
          <w:rFonts w:ascii="Times New Roman" w:hAnsi="Times New Roman" w:cs="Times New Roman"/>
          <w:noProof/>
        </w:rPr>
        <w:t xml:space="preserve"> un mehāniski bioloģiskās apstrādes iekārtām</w:t>
      </w:r>
      <w:r>
        <w:rPr>
          <w:rFonts w:ascii="Times New Roman" w:hAnsi="Times New Roman" w:cs="Times New Roman"/>
          <w:noProof/>
        </w:rPr>
        <w:footnoteReference w:id="49"/>
      </w:r>
      <w:r>
        <w:rPr>
          <w:rFonts w:ascii="Times New Roman" w:hAnsi="Times New Roman" w:cs="Times New Roman"/>
          <w:noProof/>
        </w:rPr>
        <w:t xml:space="preserve">. </w:t>
      </w:r>
    </w:p>
    <w:p w14:paraId="28153413" w14:textId="77777777" w:rsidR="00327FF1" w:rsidRDefault="00E406C7">
      <w:pPr>
        <w:pStyle w:val="P68B1DB1-ListParagraph37"/>
        <w:numPr>
          <w:ilvl w:val="1"/>
          <w:numId w:val="81"/>
        </w:numPr>
        <w:spacing w:after="0" w:line="257" w:lineRule="auto"/>
        <w:ind w:left="953" w:hanging="477"/>
        <w:jc w:val="both"/>
        <w:rPr>
          <w:noProof/>
        </w:rPr>
      </w:pPr>
      <w:r>
        <w:rPr>
          <w:noProof/>
        </w:rPr>
        <w:t>Prasību, ka shēmas galasaņēmēji nesaņem atbalstu no citiem Savienības instrumentiem, lai segtu tās pašas izmaksas.</w:t>
      </w:r>
    </w:p>
    <w:p w14:paraId="507B74B9" w14:textId="77777777" w:rsidR="00327FF1" w:rsidRDefault="00E406C7">
      <w:pPr>
        <w:pStyle w:val="P68B1DB1-ListParagraph37"/>
        <w:numPr>
          <w:ilvl w:val="0"/>
          <w:numId w:val="82"/>
        </w:numPr>
        <w:spacing w:after="0" w:line="257" w:lineRule="auto"/>
        <w:jc w:val="both"/>
        <w:rPr>
          <w:noProof/>
        </w:rPr>
      </w:pPr>
      <w:r>
        <w:rPr>
          <w:noProof/>
        </w:rPr>
        <w:t>Īstenošanas nolīguma aptvertā summa, īstenošanas partnera m</w:t>
      </w:r>
      <w:r>
        <w:rPr>
          <w:noProof/>
        </w:rPr>
        <w:t>aksu struktūra un prasība visus neizmantotos ieņēmumus no shēmas, tostarp pēc 2026. gada, izmantot tiem pašiem politikas mērķiem.</w:t>
      </w:r>
    </w:p>
    <w:p w14:paraId="2B39C369" w14:textId="77777777" w:rsidR="00327FF1" w:rsidRDefault="00E406C7">
      <w:pPr>
        <w:pStyle w:val="P68B1DB1-ListParagraph37"/>
        <w:numPr>
          <w:ilvl w:val="0"/>
          <w:numId w:val="82"/>
        </w:numPr>
        <w:spacing w:after="0" w:line="257" w:lineRule="auto"/>
        <w:jc w:val="both"/>
        <w:rPr>
          <w:noProof/>
        </w:rPr>
      </w:pPr>
      <w:r>
        <w:rPr>
          <w:noProof/>
        </w:rPr>
        <w:t>Uzraudzības, revīzijas un kontroles prasības, tostarp:</w:t>
      </w:r>
    </w:p>
    <w:p w14:paraId="620A63B1" w14:textId="77777777" w:rsidR="00327FF1" w:rsidRDefault="00E406C7">
      <w:pPr>
        <w:pStyle w:val="P68B1DB1-ListParagraph36"/>
        <w:numPr>
          <w:ilvl w:val="0"/>
          <w:numId w:val="80"/>
        </w:numPr>
        <w:spacing w:after="0" w:line="240" w:lineRule="auto"/>
        <w:ind w:left="1440"/>
        <w:jc w:val="both"/>
        <w:rPr>
          <w:rFonts w:hint="default"/>
          <w:noProof/>
        </w:rPr>
      </w:pPr>
      <w:r>
        <w:rPr>
          <w:noProof/>
        </w:rPr>
        <w:t>Apraksts par īstenošanas partnera uzraudzības sistēmu ziņošanai par mob</w:t>
      </w:r>
      <w:r>
        <w:rPr>
          <w:noProof/>
        </w:rPr>
        <w:t>ilizētajām dotācijām.</w:t>
      </w:r>
    </w:p>
    <w:p w14:paraId="439F6141" w14:textId="77777777" w:rsidR="00327FF1" w:rsidRDefault="00E406C7">
      <w:pPr>
        <w:pStyle w:val="P68B1DB1-ListParagraph36"/>
        <w:numPr>
          <w:ilvl w:val="0"/>
          <w:numId w:val="80"/>
        </w:numPr>
        <w:spacing w:after="0" w:line="257" w:lineRule="auto"/>
        <w:ind w:left="1440"/>
        <w:jc w:val="both"/>
        <w:rPr>
          <w:rFonts w:hint="default"/>
          <w:noProof/>
        </w:rPr>
      </w:pPr>
      <w:r>
        <w:rPr>
          <w:noProof/>
        </w:rPr>
        <w:t>Apraksts par īstenošanas partnera procedūrām, kas nodrošinās krāpšanas, korupcijas un interešu konfliktu novēršanu, atklāšanu un labošanu.</w:t>
      </w:r>
    </w:p>
    <w:p w14:paraId="5462E04A" w14:textId="77777777" w:rsidR="00327FF1" w:rsidRDefault="00E406C7">
      <w:pPr>
        <w:pStyle w:val="P68B1DB1-ListParagraph37"/>
        <w:numPr>
          <w:ilvl w:val="0"/>
          <w:numId w:val="80"/>
        </w:numPr>
        <w:spacing w:after="0" w:line="257" w:lineRule="auto"/>
        <w:ind w:left="1440"/>
        <w:jc w:val="both"/>
        <w:rPr>
          <w:noProof/>
        </w:rPr>
      </w:pPr>
      <w:r>
        <w:rPr>
          <w:noProof/>
        </w:rPr>
        <w:t>Pienākums pārbaudīt katras darbības atbilstību saskaņā ar īstenošanas nolīgumā noteiktajām pras</w:t>
      </w:r>
      <w:r>
        <w:rPr>
          <w:noProof/>
        </w:rPr>
        <w:t>ībām pirms dotācijas piešķiršanas darbībai.</w:t>
      </w:r>
    </w:p>
    <w:p w14:paraId="3F08FB05" w14:textId="77777777" w:rsidR="00327FF1" w:rsidRDefault="00E406C7">
      <w:pPr>
        <w:pStyle w:val="P68B1DB1-ListParagraph37"/>
        <w:numPr>
          <w:ilvl w:val="0"/>
          <w:numId w:val="80"/>
        </w:numPr>
        <w:spacing w:after="0" w:line="257" w:lineRule="auto"/>
        <w:ind w:left="1440"/>
        <w:jc w:val="both"/>
        <w:rPr>
          <w:noProof/>
        </w:rPr>
      </w:pPr>
      <w:r>
        <w:rPr>
          <w:noProof/>
        </w:rPr>
        <w:t>Pienākums veikt uz risku balstītas ex post revīzijas saskaņā ar GSE revīzijas plānu. Šajās revīzijās pārbauda i) kontroles sistēmu efektivitāti, tostarp krāpšanas, korupcijas un interešu konflikta atklāšanu; atbi</w:t>
      </w:r>
      <w:r>
        <w:rPr>
          <w:noProof/>
        </w:rPr>
        <w:t>lstība principam “nenodarīt būtisku kaitējumu”, valsts atbalsta noteikumiem; un iii) ka ir ievērota prasība, ka shēmas galasaņēmēji nav saņēmuši atbalstu no citiem Savienības instrumentiem, lai segtu tās pašas izmaksas. Revīzijās pārbauda arī darījumu liku</w:t>
      </w:r>
      <w:r>
        <w:rPr>
          <w:noProof/>
        </w:rPr>
        <w:t xml:space="preserve">mību un to, vai tiek ievēroti piemērojamā īstenošanas nolīguma un dotāciju nolīgumu nosacījumi. </w:t>
      </w:r>
    </w:p>
    <w:p w14:paraId="46CB81FA" w14:textId="77777777" w:rsidR="00327FF1" w:rsidRDefault="00E406C7">
      <w:pPr>
        <w:pStyle w:val="P68B1DB1-Normal5"/>
        <w:spacing w:before="120" w:after="120"/>
        <w:jc w:val="both"/>
        <w:rPr>
          <w:bCs/>
          <w:noProof/>
        </w:rPr>
      </w:pPr>
      <w:r>
        <w:rPr>
          <w:noProof/>
        </w:rPr>
        <w:t>Investīcija 1.4. Biometāna attīstība saskaņā ar aprites ekonomikas veicināšanas kritērijiem</w:t>
      </w:r>
    </w:p>
    <w:p w14:paraId="08463994" w14:textId="3B1EA517" w:rsidR="00327FF1" w:rsidRDefault="00E406C7">
      <w:pPr>
        <w:jc w:val="both"/>
        <w:rPr>
          <w:rFonts w:ascii="Times New Roman" w:eastAsia="Times New Roman" w:hAnsi="Times New Roman" w:cs="Times New Roman"/>
          <w:noProof/>
        </w:rPr>
      </w:pPr>
      <w:r>
        <w:rPr>
          <w:rFonts w:ascii="Times New Roman" w:eastAsia="Times New Roman" w:hAnsi="Times New Roman" w:cs="Times New Roman"/>
          <w:noProof/>
        </w:rPr>
        <w:t>Šis pasākums ietver publiskas investīcijas dotāciju shēmā, lai stim</w:t>
      </w:r>
      <w:r>
        <w:rPr>
          <w:rFonts w:ascii="Times New Roman" w:eastAsia="Times New Roman" w:hAnsi="Times New Roman" w:cs="Times New Roman"/>
          <w:noProof/>
        </w:rPr>
        <w:t>ulētu privātās investīcijas un uzlabotu piekļuvi finansējumam Itālijas biometāna ražošanā. Shēma darbojas, piešķirot dotācijas tieši privātajam sektoram</w:t>
      </w:r>
      <w:r>
        <w:rPr>
          <w:rStyle w:val="FootnoteReference"/>
          <w:rFonts w:ascii="Times New Roman" w:hAnsi="Times New Roman" w:cs="Times New Roman"/>
          <w:noProof/>
        </w:rPr>
        <w:footnoteReference w:id="50"/>
      </w:r>
      <w:r>
        <w:rPr>
          <w:rFonts w:ascii="Times New Roman" w:hAnsi="Times New Roman" w:cs="Times New Roman"/>
          <w:noProof/>
        </w:rPr>
        <w:t xml:space="preserve">. </w:t>
      </w:r>
    </w:p>
    <w:p w14:paraId="091B8982" w14:textId="77777777" w:rsidR="00327FF1" w:rsidRDefault="00E406C7">
      <w:pPr>
        <w:pStyle w:val="P68B1DB1-Normal8"/>
        <w:jc w:val="both"/>
        <w:rPr>
          <w:noProof/>
        </w:rPr>
      </w:pPr>
      <w:r>
        <w:rPr>
          <w:noProof/>
        </w:rPr>
        <w:t>Shēmu pārvalda Gestore dei Servizi Energetici (GSE) kā īstenošanas partneris. Shēma ietver šādas pro</w:t>
      </w:r>
      <w:r>
        <w:rPr>
          <w:noProof/>
        </w:rPr>
        <w:t xml:space="preserve">duktu līnijas: </w:t>
      </w:r>
    </w:p>
    <w:p w14:paraId="3430D15D" w14:textId="77777777" w:rsidR="00327FF1" w:rsidRDefault="00E406C7">
      <w:pPr>
        <w:pStyle w:val="P68B1DB1-ListParagraph37"/>
        <w:numPr>
          <w:ilvl w:val="0"/>
          <w:numId w:val="79"/>
        </w:numPr>
        <w:spacing w:after="0" w:line="240" w:lineRule="auto"/>
        <w:jc w:val="both"/>
        <w:rPr>
          <w:noProof/>
        </w:rPr>
      </w:pPr>
      <w:r>
        <w:rPr>
          <w:noProof/>
        </w:rPr>
        <w:t>Atbalsts jaunu biometāna ražošanas rūpnīcu būvniecībai. Biometāns atbilst Direktīvā 2018/2001 (RED II direktīva) noteiktajiem kritērijiem, lai pasākums atbilstu principam “nenodarīt būtisku kaitējumu” un attiecīgajām Regulas (ES) 2021/241 V</w:t>
      </w:r>
      <w:r>
        <w:rPr>
          <w:noProof/>
        </w:rPr>
        <w:t>I pielikuma 8. zemsvītras piezīmes prasībām.</w:t>
      </w:r>
    </w:p>
    <w:p w14:paraId="6DE8F823" w14:textId="77777777" w:rsidR="00327FF1" w:rsidRDefault="00327FF1">
      <w:pPr>
        <w:spacing w:after="0"/>
        <w:jc w:val="both"/>
        <w:rPr>
          <w:rFonts w:ascii="Times New Roman" w:hAnsi="Times New Roman" w:cs="Times New Roman"/>
          <w:noProof/>
        </w:rPr>
      </w:pPr>
    </w:p>
    <w:p w14:paraId="1D845858" w14:textId="77777777" w:rsidR="00327FF1" w:rsidRDefault="00E406C7">
      <w:pPr>
        <w:pStyle w:val="P68B1DB1-ListParagraph36"/>
        <w:numPr>
          <w:ilvl w:val="0"/>
          <w:numId w:val="79"/>
        </w:numPr>
        <w:spacing w:after="0" w:line="240" w:lineRule="auto"/>
        <w:jc w:val="both"/>
        <w:rPr>
          <w:rFonts w:hint="default"/>
          <w:noProof/>
        </w:rPr>
      </w:pPr>
      <w:r>
        <w:rPr>
          <w:noProof/>
        </w:rPr>
        <w:t xml:space="preserve">Esošo lauksaimniecības biogāzes iekārtu (tostarp cieto sadzīves atkritumu organisko frakciju </w:t>
      </w:r>
      <w:r>
        <w:rPr>
          <w:noProof/>
        </w:rPr>
        <w:t>—</w:t>
      </w:r>
      <w:r>
        <w:rPr>
          <w:noProof/>
        </w:rPr>
        <w:t xml:space="preserve"> OFUSW) pārveidošana un efektivitātes uzlabošana, lai ražotu biometānu transportam, rūpniecībai un siltumapgādei. Biometāns atbilst Direktīvā 2018/2001 (RED II direktīva) noteiktajiem kritērijiem, lai pasākums atbilstu principam </w:t>
      </w:r>
      <w:r>
        <w:rPr>
          <w:noProof/>
        </w:rPr>
        <w:t>“</w:t>
      </w:r>
      <w:r>
        <w:rPr>
          <w:noProof/>
        </w:rPr>
        <w:t>nenodarīt būtisku kaitējum</w:t>
      </w:r>
      <w:r>
        <w:rPr>
          <w:noProof/>
        </w:rPr>
        <w:t>u</w:t>
      </w:r>
      <w:r>
        <w:rPr>
          <w:noProof/>
        </w:rPr>
        <w:t>”</w:t>
      </w:r>
      <w:r>
        <w:rPr>
          <w:noProof/>
        </w:rPr>
        <w:t xml:space="preserve"> un attiecīgajām Regulas (ES) 2021/241 VI pielikuma 8. zemsvītras piezīmes prasībām.</w:t>
      </w:r>
    </w:p>
    <w:p w14:paraId="793DF01F" w14:textId="77777777" w:rsidR="00327FF1" w:rsidRDefault="00327FF1">
      <w:pPr>
        <w:pStyle w:val="ListParagraph"/>
        <w:spacing w:after="0"/>
        <w:ind w:hanging="360"/>
        <w:rPr>
          <w:rFonts w:ascii="Times New Roman" w:hAnsi="Times New Roman" w:cs="Times New Roman"/>
          <w:noProof/>
        </w:rPr>
      </w:pPr>
    </w:p>
    <w:p w14:paraId="5831D264" w14:textId="77777777" w:rsidR="00327FF1" w:rsidRDefault="00E406C7">
      <w:pPr>
        <w:pStyle w:val="P68B1DB1-Normal7"/>
        <w:spacing w:after="0"/>
        <w:rPr>
          <w:noProof/>
        </w:rPr>
      </w:pPr>
      <w:r>
        <w:rPr>
          <w:noProof/>
        </w:rPr>
        <w:t>Lai īstenotu ieguldījumu shēmā, Itālija un GSE paraksta īstenošanas nolīgumu, kurā ietver šādu saturu:</w:t>
      </w:r>
    </w:p>
    <w:p w14:paraId="0A612D5C" w14:textId="77777777" w:rsidR="00327FF1" w:rsidRDefault="00E406C7">
      <w:pPr>
        <w:pStyle w:val="P68B1DB1-ListParagraph37"/>
        <w:numPr>
          <w:ilvl w:val="0"/>
          <w:numId w:val="78"/>
        </w:numPr>
        <w:spacing w:before="120" w:after="0" w:line="257" w:lineRule="auto"/>
        <w:jc w:val="both"/>
        <w:rPr>
          <w:noProof/>
        </w:rPr>
      </w:pPr>
      <w:r>
        <w:rPr>
          <w:noProof/>
        </w:rPr>
        <w:t>Shēmas lēmumu pieņemšanas procesa apraksts: Galīgo lēmumu par shē</w:t>
      </w:r>
      <w:r>
        <w:rPr>
          <w:noProof/>
        </w:rPr>
        <w:t>mas piešķiršanu pieņem ieguldījumu komiteja vai cita līdzvērtīga pārvaldes struktūra, un to apstiprina ar no valdības neatkarīgu locekļu balsu vairākumu.</w:t>
      </w:r>
    </w:p>
    <w:p w14:paraId="4D15CC88" w14:textId="77777777" w:rsidR="00327FF1" w:rsidRDefault="00E406C7">
      <w:pPr>
        <w:pStyle w:val="P68B1DB1-ListParagraph37"/>
        <w:numPr>
          <w:ilvl w:val="0"/>
          <w:numId w:val="78"/>
        </w:numPr>
        <w:spacing w:before="120" w:after="0" w:line="257" w:lineRule="auto"/>
        <w:jc w:val="both"/>
        <w:rPr>
          <w:noProof/>
        </w:rPr>
      </w:pPr>
      <w:r>
        <w:rPr>
          <w:noProof/>
        </w:rPr>
        <w:t>Saistītās dotāciju politikas galvenās prasības,</w:t>
      </w:r>
      <w:r>
        <w:rPr>
          <w:b/>
          <w:noProof/>
        </w:rPr>
        <w:t xml:space="preserve"> </w:t>
      </w:r>
      <w:r>
        <w:rPr>
          <w:noProof/>
        </w:rPr>
        <w:t>kas ietver:</w:t>
      </w:r>
    </w:p>
    <w:p w14:paraId="58545A64" w14:textId="77777777" w:rsidR="00327FF1" w:rsidRDefault="00E406C7">
      <w:pPr>
        <w:pStyle w:val="P68B1DB1-ListParagraph37"/>
        <w:numPr>
          <w:ilvl w:val="1"/>
          <w:numId w:val="78"/>
        </w:numPr>
        <w:spacing w:after="0" w:line="257" w:lineRule="auto"/>
        <w:ind w:left="953" w:hanging="477"/>
        <w:jc w:val="both"/>
        <w:rPr>
          <w:noProof/>
        </w:rPr>
      </w:pPr>
      <w:r>
        <w:rPr>
          <w:noProof/>
        </w:rPr>
        <w:t>Apraksts par piešķirtajām dotācijām un atb</w:t>
      </w:r>
      <w:r>
        <w:rPr>
          <w:noProof/>
        </w:rPr>
        <w:t>alsttiesīgajiem galīgajiem saņēmējiem.</w:t>
      </w:r>
    </w:p>
    <w:p w14:paraId="371C9821" w14:textId="77777777" w:rsidR="00327FF1" w:rsidRDefault="00E406C7">
      <w:pPr>
        <w:pStyle w:val="P68B1DB1-ListParagraph37"/>
        <w:numPr>
          <w:ilvl w:val="1"/>
          <w:numId w:val="78"/>
        </w:numPr>
        <w:spacing w:after="0" w:line="257" w:lineRule="auto"/>
        <w:ind w:left="953" w:hanging="477"/>
        <w:jc w:val="both"/>
        <w:rPr>
          <w:noProof/>
        </w:rPr>
      </w:pPr>
      <w:r>
        <w:rPr>
          <w:noProof/>
        </w:rPr>
        <w:t>Prasība, lai visi atbalstītie ieguldījumi būtu ekonomiski dzīvotspējīgi.</w:t>
      </w:r>
    </w:p>
    <w:p w14:paraId="5F04EFBF" w14:textId="77777777" w:rsidR="00327FF1" w:rsidRDefault="00E406C7">
      <w:pPr>
        <w:pStyle w:val="ListParagraph"/>
        <w:numPr>
          <w:ilvl w:val="1"/>
          <w:numId w:val="78"/>
        </w:numPr>
        <w:spacing w:after="0" w:line="257" w:lineRule="auto"/>
        <w:ind w:left="953" w:hanging="477"/>
        <w:jc w:val="both"/>
        <w:rPr>
          <w:rFonts w:ascii="Times New Roman" w:hAnsi="Times New Roman" w:cs="Times New Roman"/>
          <w:noProof/>
        </w:rPr>
      </w:pPr>
      <w:r>
        <w:rPr>
          <w:rFonts w:ascii="Times New Roman" w:hAnsi="Times New Roman" w:cs="Times New Roman" w:hint="eastAsia"/>
          <w:noProof/>
        </w:rPr>
        <w:t xml:space="preserve">Prasība ievērot principu </w:t>
      </w:r>
      <w:r>
        <w:rPr>
          <w:rFonts w:ascii="Times New Roman" w:hAnsi="Times New Roman" w:cs="Times New Roman" w:hint="eastAsia"/>
          <w:noProof/>
        </w:rPr>
        <w:t>“</w:t>
      </w:r>
      <w:r>
        <w:rPr>
          <w:rFonts w:ascii="Times New Roman" w:hAnsi="Times New Roman" w:cs="Times New Roman" w:hint="eastAsia"/>
          <w:noProof/>
        </w:rPr>
        <w:t>nenodari būtisku kaitējumu</w:t>
      </w:r>
      <w:r>
        <w:rPr>
          <w:rFonts w:ascii="Times New Roman" w:hAnsi="Times New Roman" w:cs="Times New Roman" w:hint="eastAsia"/>
          <w:noProof/>
        </w:rPr>
        <w:t>”</w:t>
      </w:r>
      <w:r>
        <w:rPr>
          <w:rFonts w:ascii="Times New Roman" w:hAnsi="Times New Roman" w:cs="Times New Roman" w:hint="eastAsia"/>
          <w:noProof/>
        </w:rPr>
        <w:t xml:space="preserve"> (DNSH), kā noteikts NBK tehniskajos norādījumos (2021/C58/01). Jo īpaši dotāciju politikā </w:t>
      </w:r>
      <w:r>
        <w:rPr>
          <w:rFonts w:ascii="Times New Roman" w:hAnsi="Times New Roman" w:cs="Times New Roman" w:hint="eastAsia"/>
          <w:noProof/>
        </w:rPr>
        <w:t>no atbilstības izslēdz šādu darbību un aktīvu sarakstu: I) darbības un aktīvi, kas saistīti ar fosilo kurināmo, tostarp lejupējais izmantojums</w:t>
      </w:r>
      <w:r>
        <w:rPr>
          <w:rFonts w:ascii="Times New Roman" w:hAnsi="Times New Roman" w:cs="Times New Roman"/>
          <w:noProof/>
        </w:rPr>
        <w:t>;</w:t>
      </w:r>
      <w:r>
        <w:rPr>
          <w:rStyle w:val="FootnoteReference"/>
          <w:rFonts w:ascii="Times New Roman" w:hAnsi="Times New Roman" w:cs="Times New Roman"/>
          <w:noProof/>
        </w:rPr>
        <w:footnoteReference w:id="51"/>
      </w:r>
      <w:r>
        <w:rPr>
          <w:rFonts w:ascii="Times New Roman" w:hAnsi="Times New Roman" w:cs="Times New Roman"/>
          <w:noProof/>
        </w:rPr>
        <w:t>ii) darbības un aktīvi saskaņā ar ES emisijas kvotu tirdzniecības sistēmu (ETS), kuru prognozētās siltumnīcefekt</w:t>
      </w:r>
      <w:r>
        <w:rPr>
          <w:rFonts w:ascii="Times New Roman" w:hAnsi="Times New Roman" w:cs="Times New Roman"/>
          <w:noProof/>
        </w:rPr>
        <w:t>a gāzu emisijas nav zemākas par attiecīgajām līmeņatzīmēm;</w:t>
      </w:r>
      <w:r>
        <w:rPr>
          <w:rStyle w:val="FootnoteReference"/>
          <w:rFonts w:ascii="Times New Roman" w:hAnsi="Times New Roman" w:cs="Times New Roman"/>
          <w:noProof/>
        </w:rPr>
        <w:footnoteReference w:id="52"/>
      </w:r>
      <w:r>
        <w:rPr>
          <w:rFonts w:ascii="Times New Roman" w:hAnsi="Times New Roman" w:cs="Times New Roman"/>
          <w:noProof/>
        </w:rPr>
        <w:t>iii) darbības un aktīvi, kas saistīti ar atkritumu poligoniem, sadedzināšanas iekārtām</w:t>
      </w:r>
      <w:r>
        <w:rPr>
          <w:rStyle w:val="FootnoteReference"/>
          <w:rFonts w:ascii="Times New Roman" w:hAnsi="Times New Roman" w:cs="Times New Roman"/>
          <w:noProof/>
        </w:rPr>
        <w:footnoteReference w:id="53"/>
      </w:r>
      <w:r>
        <w:rPr>
          <w:rFonts w:ascii="Times New Roman" w:hAnsi="Times New Roman" w:cs="Times New Roman"/>
          <w:noProof/>
        </w:rPr>
        <w:t xml:space="preserve"> un mehāniski bioloģiskās apstrādes iekārtām</w:t>
      </w:r>
      <w:r>
        <w:rPr>
          <w:rStyle w:val="FootnoteReference"/>
          <w:rFonts w:ascii="Times New Roman" w:hAnsi="Times New Roman" w:cs="Times New Roman"/>
          <w:noProof/>
        </w:rPr>
        <w:footnoteReference w:id="54"/>
      </w:r>
      <w:r>
        <w:rPr>
          <w:rFonts w:ascii="Times New Roman" w:hAnsi="Times New Roman" w:cs="Times New Roman"/>
          <w:noProof/>
        </w:rPr>
        <w:t xml:space="preserve">. </w:t>
      </w:r>
    </w:p>
    <w:p w14:paraId="5B6E5058" w14:textId="77777777" w:rsidR="00327FF1" w:rsidRDefault="00E406C7">
      <w:pPr>
        <w:pStyle w:val="P68B1DB1-ListParagraph37"/>
        <w:numPr>
          <w:ilvl w:val="1"/>
          <w:numId w:val="78"/>
        </w:numPr>
        <w:spacing w:after="0" w:line="257" w:lineRule="auto"/>
        <w:ind w:left="953" w:hanging="477"/>
        <w:jc w:val="both"/>
        <w:rPr>
          <w:noProof/>
        </w:rPr>
      </w:pPr>
      <w:r>
        <w:rPr>
          <w:noProof/>
        </w:rPr>
        <w:t>Prasību, ka shēmas galasaņēmēji nesaņem atbalstu no citiem Sav</w:t>
      </w:r>
      <w:r>
        <w:rPr>
          <w:noProof/>
        </w:rPr>
        <w:t>ienības instrumentiem, lai segtu tās pašas izmaksas.</w:t>
      </w:r>
    </w:p>
    <w:p w14:paraId="320D37A1" w14:textId="77777777" w:rsidR="00327FF1" w:rsidRDefault="00E406C7">
      <w:pPr>
        <w:pStyle w:val="P68B1DB1-ListParagraph37"/>
        <w:numPr>
          <w:ilvl w:val="0"/>
          <w:numId w:val="78"/>
        </w:numPr>
        <w:spacing w:after="0" w:line="257" w:lineRule="auto"/>
        <w:ind w:left="476" w:hanging="476"/>
        <w:jc w:val="both"/>
        <w:rPr>
          <w:noProof/>
        </w:rPr>
      </w:pPr>
      <w:r>
        <w:rPr>
          <w:noProof/>
        </w:rPr>
        <w:t>Īstenošanas nolīguma aptvertā summa, īstenošanas partnera maksu struktūra un prasība visus neizmantotos ieņēmumus no shēmas, tostarp pēc 2026. gada, izmantot tiem pašiem politikas mērķiem.</w:t>
      </w:r>
    </w:p>
    <w:p w14:paraId="401BF866" w14:textId="77777777" w:rsidR="00327FF1" w:rsidRDefault="00E406C7">
      <w:pPr>
        <w:pStyle w:val="P68B1DB1-ListParagraph37"/>
        <w:numPr>
          <w:ilvl w:val="0"/>
          <w:numId w:val="78"/>
        </w:numPr>
        <w:spacing w:after="0" w:line="257" w:lineRule="auto"/>
        <w:ind w:left="476" w:hanging="476"/>
        <w:jc w:val="both"/>
        <w:rPr>
          <w:noProof/>
        </w:rPr>
      </w:pPr>
      <w:r>
        <w:rPr>
          <w:noProof/>
        </w:rPr>
        <w:t>Uzraudzības, r</w:t>
      </w:r>
      <w:r>
        <w:rPr>
          <w:noProof/>
        </w:rPr>
        <w:t>evīzijas un kontroles prasības, tostarp:</w:t>
      </w:r>
    </w:p>
    <w:p w14:paraId="0C1543E3" w14:textId="77777777" w:rsidR="00327FF1" w:rsidRDefault="00E406C7">
      <w:pPr>
        <w:pStyle w:val="P68B1DB1-ListParagraph36"/>
        <w:numPr>
          <w:ilvl w:val="0"/>
          <w:numId w:val="77"/>
        </w:numPr>
        <w:spacing w:after="0" w:line="240" w:lineRule="auto"/>
        <w:ind w:left="1440"/>
        <w:jc w:val="both"/>
        <w:rPr>
          <w:rFonts w:hint="default"/>
          <w:noProof/>
        </w:rPr>
      </w:pPr>
      <w:r>
        <w:rPr>
          <w:noProof/>
        </w:rPr>
        <w:t>Apraksts par īstenošanas partnera uzraudzības sistēmu ziņošanai par mobilizētajām subsīdijām.</w:t>
      </w:r>
    </w:p>
    <w:p w14:paraId="26DA2559" w14:textId="77777777" w:rsidR="00327FF1" w:rsidRDefault="00E406C7">
      <w:pPr>
        <w:pStyle w:val="P68B1DB1-ListParagraph36"/>
        <w:numPr>
          <w:ilvl w:val="0"/>
          <w:numId w:val="77"/>
        </w:numPr>
        <w:spacing w:after="0" w:line="257" w:lineRule="auto"/>
        <w:ind w:left="1440"/>
        <w:jc w:val="both"/>
        <w:rPr>
          <w:rFonts w:hint="default"/>
          <w:noProof/>
        </w:rPr>
      </w:pPr>
      <w:r>
        <w:rPr>
          <w:noProof/>
        </w:rPr>
        <w:t xml:space="preserve">Apraksts par īstenošanas partnera procedūrām, kas nodrošinās krāpšanas, korupcijas un interešu konfliktu novēršanu, atklāšanu un labošanu. </w:t>
      </w:r>
    </w:p>
    <w:p w14:paraId="19D77E8F" w14:textId="77777777" w:rsidR="00327FF1" w:rsidRDefault="00E406C7">
      <w:pPr>
        <w:pStyle w:val="P68B1DB1-ListParagraph37"/>
        <w:numPr>
          <w:ilvl w:val="0"/>
          <w:numId w:val="77"/>
        </w:numPr>
        <w:spacing w:after="0" w:line="257" w:lineRule="auto"/>
        <w:ind w:left="1440"/>
        <w:jc w:val="both"/>
        <w:rPr>
          <w:noProof/>
        </w:rPr>
      </w:pPr>
      <w:r>
        <w:rPr>
          <w:noProof/>
        </w:rPr>
        <w:t>Pienākums pārbaudīt katras darbības atbilstību saskaņā ar Īstenošanas nolīgumā noteiktajām prasībām pirms subsīdijas</w:t>
      </w:r>
      <w:r>
        <w:rPr>
          <w:noProof/>
        </w:rPr>
        <w:t xml:space="preserve"> piešķiršanas darbībai.</w:t>
      </w:r>
    </w:p>
    <w:p w14:paraId="5692CAAD" w14:textId="77777777" w:rsidR="00327FF1" w:rsidRDefault="00E406C7">
      <w:pPr>
        <w:pStyle w:val="P68B1DB1-ListParagraph37"/>
        <w:numPr>
          <w:ilvl w:val="0"/>
          <w:numId w:val="77"/>
        </w:numPr>
        <w:spacing w:after="0" w:line="240" w:lineRule="auto"/>
        <w:ind w:left="1440"/>
        <w:jc w:val="both"/>
        <w:rPr>
          <w:noProof/>
        </w:rPr>
      </w:pPr>
      <w:r>
        <w:rPr>
          <w:noProof/>
        </w:rPr>
        <w:t xml:space="preserve">Pienākums veikt uz risku balstītas ex post revīzijas saskaņā ar GSE revīzijas plānu. Šajās revīzijās pārbauda i) kontroles sistēmu efektivitāti, tostarp krāpšanas, korupcijas un interešu konflikta atklāšanu; II) principa “nenodarīt </w:t>
      </w:r>
      <w:r>
        <w:rPr>
          <w:noProof/>
        </w:rPr>
        <w:t>būtisku kaitējumu” ievērošana, valsts atbalsta noteikumi, klimata mērķrādītāju prasības; un iii) ka ir ievērota prasība, ka shēmas galasaņēmēji nav saņēmuši atbalstu no citiem Savienības instrumentiem, lai segtu tās pašas izmaksas. Revīzijās pārbauda arī d</w:t>
      </w:r>
      <w:r>
        <w:rPr>
          <w:noProof/>
        </w:rPr>
        <w:t xml:space="preserve">arījumu likumību un to, vai tiek ievēroti piemērojamo īstenošanas nolīguma dotāciju nolīgumu nosacījumi. </w:t>
      </w:r>
    </w:p>
    <w:p w14:paraId="6075CB16" w14:textId="77777777" w:rsidR="00327FF1" w:rsidRDefault="00E406C7">
      <w:pPr>
        <w:pStyle w:val="P68B1DB1-Normal5"/>
        <w:spacing w:before="120" w:after="120"/>
        <w:jc w:val="both"/>
        <w:rPr>
          <w:bCs/>
          <w:noProof/>
        </w:rPr>
      </w:pPr>
      <w:r>
        <w:rPr>
          <w:noProof/>
        </w:rPr>
        <w:t>Investīcija 2.1. “Viedtīklu stiprināšana”</w:t>
      </w:r>
    </w:p>
    <w:p w14:paraId="21FD05BA" w14:textId="77777777" w:rsidR="00327FF1" w:rsidRDefault="00E406C7">
      <w:pPr>
        <w:pStyle w:val="P68B1DB1-Normal7"/>
        <w:spacing w:before="120" w:after="120"/>
        <w:jc w:val="both"/>
        <w:rPr>
          <w:noProof/>
        </w:rPr>
      </w:pPr>
      <w:r>
        <w:rPr>
          <w:noProof/>
        </w:rPr>
        <w:t>Šīs investīcijas mērķis ir elektroenerģijas sadales tīkla infrastruktūras modernizācija un digitalizācija. I</w:t>
      </w:r>
      <w:r>
        <w:rPr>
          <w:noProof/>
        </w:rPr>
        <w:t>nvestīcija ietver dotāciju piešķiršanu sadales tīklu operatoriem, lai finansētu intervences, kas palielina sadales tīkla mitināšanas jaudu, kā arī mājsaimniecībām pieejamo jaudu enerģijas patēriņa elektrifikācijai.</w:t>
      </w:r>
    </w:p>
    <w:p w14:paraId="02D17848" w14:textId="77777777" w:rsidR="00327FF1" w:rsidRDefault="00E406C7">
      <w:pPr>
        <w:pStyle w:val="P68B1DB1-Normal5"/>
        <w:spacing w:before="120" w:after="120"/>
        <w:jc w:val="both"/>
        <w:rPr>
          <w:bCs/>
          <w:noProof/>
        </w:rPr>
      </w:pPr>
      <w:r>
        <w:rPr>
          <w:noProof/>
        </w:rPr>
        <w:t>Investīcija 2.2. — Intervences pasākumi e</w:t>
      </w:r>
      <w:r>
        <w:rPr>
          <w:noProof/>
        </w:rPr>
        <w:t>lektrotīkla noturības palielināšanai</w:t>
      </w:r>
    </w:p>
    <w:p w14:paraId="39000F1D" w14:textId="49C3F4A6" w:rsidR="00327FF1" w:rsidRDefault="00E406C7">
      <w:pPr>
        <w:pStyle w:val="P68B1DB1-Normal7"/>
        <w:spacing w:before="120" w:after="120"/>
        <w:jc w:val="both"/>
        <w:rPr>
          <w:noProof/>
        </w:rPr>
      </w:pPr>
      <w:r>
        <w:rPr>
          <w:noProof/>
        </w:rPr>
        <w:t xml:space="preserve">Šīs investīcijas mērķis ir uzlabot elektrotīkla noturību pret ekstremāliem laikapstākļiem, tādējādi samazinot elektroapgādes ilgstošu pārtraukumu iespējamību. Investīcija ietver dotāciju piešķiršanu pārvades un sadales </w:t>
      </w:r>
      <w:r>
        <w:rPr>
          <w:noProof/>
        </w:rPr>
        <w:t>sistēmu operatoriem elektroenerģijas infrastruktūras darbiem.</w:t>
      </w:r>
    </w:p>
    <w:p w14:paraId="5250A4C7" w14:textId="77777777" w:rsidR="00327FF1" w:rsidRDefault="00E406C7">
      <w:pPr>
        <w:pStyle w:val="P68B1DB1-Normal5"/>
        <w:rPr>
          <w:noProof/>
        </w:rPr>
      </w:pPr>
      <w:r>
        <w:rPr>
          <w:noProof/>
        </w:rPr>
        <w:t>Investīcija 3.1. “Ūdeņraža ražošana degradētās teritorijās (Ūdeņraža ielejas)”</w:t>
      </w:r>
    </w:p>
    <w:p w14:paraId="7ACE3D95" w14:textId="77777777" w:rsidR="00327FF1" w:rsidRDefault="00E406C7">
      <w:pPr>
        <w:pStyle w:val="P68B1DB1-Normal7"/>
        <w:spacing w:before="120" w:after="120"/>
        <w:jc w:val="both"/>
        <w:rPr>
          <w:noProof/>
        </w:rPr>
      </w:pPr>
      <w:r>
        <w:rPr>
          <w:noProof/>
        </w:rPr>
        <w:t>Šīs investīcijas mērķis ir izveidot jaunas ūdeņraža ielejas, proti, atjaunīgā ūdeņraža vietējo ražošanu un izmantoš</w:t>
      </w:r>
      <w:r>
        <w:rPr>
          <w:noProof/>
        </w:rPr>
        <w:t xml:space="preserve">anu rūpniecībā, MVU un vietējā transportā. Investīcija ietver dotāciju piešķiršanu ūdeņraža ražošanas projektu īstenošanai pamestās rūpniecības teritorijās. </w:t>
      </w:r>
    </w:p>
    <w:p w14:paraId="551D6E6B" w14:textId="77777777" w:rsidR="00327FF1" w:rsidRDefault="00E406C7">
      <w:pPr>
        <w:pStyle w:val="P68B1DB1-Normal5"/>
        <w:spacing w:before="120" w:after="120"/>
        <w:jc w:val="both"/>
        <w:rPr>
          <w:bCs/>
          <w:noProof/>
        </w:rPr>
      </w:pPr>
      <w:r>
        <w:rPr>
          <w:noProof/>
        </w:rPr>
        <w:t>Investīcija 3.2. Ūdeņraža izmantošana grūti dekarbonizējamā rūpniecībā</w:t>
      </w:r>
    </w:p>
    <w:p w14:paraId="6521F149" w14:textId="77777777" w:rsidR="00327FF1" w:rsidRDefault="00E406C7">
      <w:pPr>
        <w:pStyle w:val="P68B1DB1-Normal7"/>
        <w:spacing w:before="120" w:after="120"/>
        <w:jc w:val="both"/>
        <w:rPr>
          <w:b/>
          <w:bCs/>
          <w:noProof/>
        </w:rPr>
      </w:pPr>
      <w:r>
        <w:rPr>
          <w:noProof/>
        </w:rPr>
        <w:t>Šīs investīcijas ietver atb</w:t>
      </w:r>
      <w:r>
        <w:rPr>
          <w:noProof/>
        </w:rPr>
        <w:t xml:space="preserve">alstu pētniecībai, izstrādei un inovācijai rūpniecisko procesu jomā, lai izstrādātu iniciatīvas ūdeņraža izmantošanai rūpniecības nozarēs, kurās metānu izmanto kā siltumenerģijas avotu (cements, papīra rūpnīcas, keramikas, stikla rūpniecība u. c.). Fosilā </w:t>
      </w:r>
      <w:r>
        <w:rPr>
          <w:noProof/>
        </w:rPr>
        <w:t>kurināmā nozare, piemēram, naftas pārstrādes rūpnīcas, nav atbalsttiesīga. Ar šo pasākumu atbalsta ūdeņraža ražošanu, kas pamatojas uz elektrolīzi, kurā tiek izmantoti Direktīvā (ES) 2018/2001 (Atjaunīgo energoresursu direktīvā) definētie atjaunīgie energo</w:t>
      </w:r>
      <w:r>
        <w:rPr>
          <w:noProof/>
        </w:rPr>
        <w:t>resursi vai tīkla elektroenerģija.”.</w:t>
      </w:r>
      <w:r>
        <w:rPr>
          <w:b/>
          <w:noProof/>
        </w:rPr>
        <w:t xml:space="preserve"> </w:t>
      </w:r>
    </w:p>
    <w:p w14:paraId="6232655E" w14:textId="77777777" w:rsidR="00327FF1" w:rsidRDefault="00E406C7">
      <w:pPr>
        <w:pStyle w:val="P68B1DB1-Normal7"/>
        <w:spacing w:before="120" w:after="120"/>
        <w:jc w:val="both"/>
        <w:rPr>
          <w:noProof/>
        </w:rPr>
      </w:pPr>
      <w:r>
        <w:rPr>
          <w:noProof/>
        </w:rPr>
        <w:t>Lai nodrošinātu, ka pasākums atbilst Atveseļošanas un noturības mehānisma principam “nenodari būtisku kaitējumu”, kā noteikts tehniskajos norādījumos par principa “nenodarīt būtisku kaitējumu” piemērošanu (2021/C58/01)</w:t>
      </w:r>
      <w:r>
        <w:rPr>
          <w:noProof/>
        </w:rPr>
        <w:t>, turpmākajos uzaicinājumos iekļautie atbilstības kritēriji izslēdz darbības saskaņā ar ES emisijas kvotu tirdzniecības sistēmu (ETS), kas sasniedz prognozētās siltumnīcefekta gāzu emisijas, kuras nav zemākas par attiecīgajām līmeņatzīmēm. Ja darbības rezu</w:t>
      </w:r>
      <w:r>
        <w:rPr>
          <w:noProof/>
        </w:rPr>
        <w:t>ltātā tiek sasniegtas prognozētās siltumnīcefekta gāzu emisijas, kas nav ievērojami zemākas, bet joprojām ir zemākas par attiecīgajām līmeņatzīmēm, sniedz paskaidrojumu par iemesliem, kāpēc tas nav iespējams. Līmeņatzīmes, kas noteiktas bezmaksas kvotu pie</w:t>
      </w:r>
      <w:r>
        <w:rPr>
          <w:noProof/>
        </w:rPr>
        <w:t>šķiršanai darbībām, kuras ietilpst emisijas kvotu tirdzniecības sistēmas darbības jomā, kā noteikts Komisijas Īstenošanas regulā (ES) 2021/447.</w:t>
      </w:r>
    </w:p>
    <w:p w14:paraId="4267BDE9" w14:textId="77777777" w:rsidR="00327FF1" w:rsidRDefault="00E406C7">
      <w:pPr>
        <w:pStyle w:val="P68B1DB1-Normal5"/>
        <w:spacing w:before="120" w:after="120"/>
        <w:jc w:val="both"/>
        <w:rPr>
          <w:bCs/>
          <w:noProof/>
        </w:rPr>
      </w:pPr>
      <w:r>
        <w:rPr>
          <w:noProof/>
        </w:rPr>
        <w:t>Investīcija. Ūdeņraža testēšana dzelzceļa mobilitātē un autotransportā</w:t>
      </w:r>
    </w:p>
    <w:p w14:paraId="20ED69AA" w14:textId="77777777" w:rsidR="00327FF1" w:rsidRDefault="00E406C7">
      <w:pPr>
        <w:pStyle w:val="P68B1DB1-Normal66"/>
        <w:spacing w:before="120" w:after="120"/>
        <w:jc w:val="both"/>
        <w:rPr>
          <w:noProof/>
        </w:rPr>
      </w:pPr>
      <w:r>
        <w:rPr>
          <w:noProof/>
        </w:rPr>
        <w:t>Šīs investīcijas mērķis ir veicināt ūdeņr</w:t>
      </w:r>
      <w:r>
        <w:rPr>
          <w:noProof/>
        </w:rPr>
        <w:t xml:space="preserve">aža izmantošanu uzpildes vajadzībām. </w:t>
      </w:r>
    </w:p>
    <w:p w14:paraId="4EFB6650" w14:textId="34AC143E" w:rsidR="00327FF1" w:rsidRDefault="00E406C7">
      <w:pPr>
        <w:pStyle w:val="P68B1DB1-Normal7"/>
        <w:spacing w:before="120" w:after="120"/>
        <w:jc w:val="both"/>
        <w:rPr>
          <w:noProof/>
        </w:rPr>
      </w:pPr>
      <w:r>
        <w:rPr>
          <w:noProof/>
        </w:rPr>
        <w:t>Šī investīcija ietver uz ūdeņradi balstītu dzelzceļa uzpildes staciju būvniecību, kuras būtu vēlams izvietot netālu no vietējām atjaunīgā ūdeņraža ražotnēm un/vai automaģistrāles ūdeņraža uzpildes stacijām, un ūdeņraža</w:t>
      </w:r>
      <w:r>
        <w:rPr>
          <w:noProof/>
        </w:rPr>
        <w:t xml:space="preserve"> uzpildes staciju būvniecību autotransportam.</w:t>
      </w:r>
    </w:p>
    <w:p w14:paraId="1D90F6D0" w14:textId="77777777" w:rsidR="00327FF1" w:rsidRDefault="00E406C7">
      <w:pPr>
        <w:pStyle w:val="P68B1DB1-Normal5"/>
        <w:spacing w:before="120" w:after="120" w:line="278" w:lineRule="auto"/>
        <w:jc w:val="both"/>
        <w:rPr>
          <w:bCs/>
          <w:noProof/>
        </w:rPr>
      </w:pPr>
      <w:r>
        <w:rPr>
          <w:noProof/>
        </w:rPr>
        <w:t>Investīcija 3.5. Ūdeņraža pētniecība un izstrāde</w:t>
      </w:r>
    </w:p>
    <w:p w14:paraId="5D5944AE" w14:textId="77777777" w:rsidR="00327FF1" w:rsidRDefault="00E406C7">
      <w:pPr>
        <w:pStyle w:val="P68B1DB1-Normal7"/>
        <w:spacing w:before="120" w:after="120" w:line="278" w:lineRule="auto"/>
        <w:jc w:val="both"/>
        <w:rPr>
          <w:noProof/>
        </w:rPr>
      </w:pPr>
      <w:r>
        <w:rPr>
          <w:noProof/>
        </w:rPr>
        <w:t>Šīs investīcijas mērķis ir atbalstīt pētniecību un izstrādi visā ūdeņraža vērtības ķēdē. Investīcijas ietver atbalstu ūdeņraža pētniecības un izstrādes projektie</w:t>
      </w:r>
      <w:r>
        <w:rPr>
          <w:noProof/>
        </w:rPr>
        <w:t xml:space="preserve">m, kas attiecas uz zaļā ūdeņraža ražošanu, ūdeņraža uzglabāšanu, transportēšanu un pārveidi par atvasinājumiem un e-degvielām, kurināmā elementiem un integrētām viedām pārvaldības sistēmām uz ūdeņradi balstītai infrastruktūrai. </w:t>
      </w:r>
    </w:p>
    <w:p w14:paraId="44ACAD1D" w14:textId="77777777" w:rsidR="00327FF1" w:rsidRDefault="00E406C7">
      <w:pPr>
        <w:pStyle w:val="P68B1DB1-Normal5"/>
        <w:spacing w:before="120" w:after="120" w:line="278" w:lineRule="auto"/>
        <w:jc w:val="both"/>
        <w:rPr>
          <w:bCs/>
          <w:noProof/>
        </w:rPr>
      </w:pPr>
      <w:r>
        <w:rPr>
          <w:noProof/>
        </w:rPr>
        <w:t xml:space="preserve">Investīcija 4.2. — Ātrās </w:t>
      </w:r>
      <w:r>
        <w:rPr>
          <w:noProof/>
        </w:rPr>
        <w:t>masas transporta sistēmu izstrāde</w:t>
      </w:r>
    </w:p>
    <w:p w14:paraId="2F7A0C93" w14:textId="77777777" w:rsidR="00327FF1" w:rsidRDefault="00E406C7">
      <w:pPr>
        <w:pStyle w:val="P68B1DB1-Normal7"/>
        <w:spacing w:after="120"/>
        <w:ind w:right="4"/>
        <w:jc w:val="both"/>
        <w:rPr>
          <w:noProof/>
        </w:rPr>
      </w:pPr>
      <w:r>
        <w:rPr>
          <w:noProof/>
        </w:rPr>
        <w:t>Pasākuma mērķis ir palielināt ātru masveida transporta sistēmas satiksmi, veicinot modālo pāreju no automobiļu transporta uz sabiedrisko transportu. Šīs investīcijas ietver jaunu ātrgaitas masas transporta sistēmu būvniecī</w:t>
      </w:r>
      <w:r>
        <w:rPr>
          <w:noProof/>
        </w:rPr>
        <w:t xml:space="preserve">bu un esošo līniju paplašināšanu, ātro masu transporta sistēmu infrastruktūras modernizāciju un bezemisiju ritošā sastāva iegādi ātrās masas transporta sistēmām. </w:t>
      </w:r>
    </w:p>
    <w:p w14:paraId="78413179" w14:textId="77777777" w:rsidR="00327FF1" w:rsidRDefault="00E406C7">
      <w:pPr>
        <w:pStyle w:val="P68B1DB1-Normal5"/>
        <w:spacing w:after="120"/>
        <w:jc w:val="both"/>
        <w:rPr>
          <w:bCs/>
          <w:noProof/>
        </w:rPr>
      </w:pPr>
      <w:bookmarkStart w:id="14" w:name="_Hlk151064119"/>
      <w:r>
        <w:rPr>
          <w:noProof/>
        </w:rPr>
        <w:t>Investīcija — Reģionālā sabiedriskā transporta bezemisiju autobusu autoparka stiprināšana</w:t>
      </w:r>
    </w:p>
    <w:p w14:paraId="7813F97F" w14:textId="528350C0" w:rsidR="00327FF1" w:rsidRDefault="00E406C7">
      <w:pPr>
        <w:pStyle w:val="P68B1DB1-Normal7"/>
        <w:spacing w:after="120"/>
        <w:jc w:val="both"/>
        <w:rPr>
          <w:noProof/>
        </w:rPr>
      </w:pPr>
      <w:r>
        <w:rPr>
          <w:noProof/>
        </w:rPr>
        <w:t>Inv</w:t>
      </w:r>
      <w:r>
        <w:rPr>
          <w:noProof/>
        </w:rPr>
        <w:t>estīcijas mērķis ir samazināt siltumnīcefekta gāzu emisijas un modernizēt sabiedrisko autobusu parku. Šīs investīcijas ietver bezemisiju autobusu iepirkumu un uzlādes staciju uzstādīšanu.</w:t>
      </w:r>
    </w:p>
    <w:bookmarkEnd w:id="14"/>
    <w:p w14:paraId="315777CC" w14:textId="77777777" w:rsidR="00327FF1" w:rsidRDefault="00E406C7">
      <w:pPr>
        <w:pStyle w:val="P68B1DB1-Normal5"/>
        <w:spacing w:before="120" w:after="120"/>
        <w:jc w:val="both"/>
        <w:rPr>
          <w:noProof/>
        </w:rPr>
      </w:pPr>
      <w:r>
        <w:rPr>
          <w:noProof/>
        </w:rPr>
        <w:t>Investīcija 4.4.2. — Reģionālā sabiedriskā transporta dzelzceļa park</w:t>
      </w:r>
      <w:r>
        <w:rPr>
          <w:noProof/>
        </w:rPr>
        <w:t>a stiprināšana ar bezemisiju vilcieniem un universālo pakalpojumu</w:t>
      </w:r>
    </w:p>
    <w:p w14:paraId="039B8DED" w14:textId="77777777" w:rsidR="00327FF1" w:rsidRDefault="00E406C7">
      <w:pPr>
        <w:pStyle w:val="P68B1DB1-Normal7"/>
        <w:spacing w:before="120" w:after="120"/>
        <w:jc w:val="both"/>
        <w:rPr>
          <w:b/>
          <w:noProof/>
        </w:rPr>
      </w:pPr>
      <w:r>
        <w:rPr>
          <w:noProof/>
        </w:rPr>
        <w:t>Investīcijas mērķis ir samazināt siltumnīcefekta gāzu emisijas dzelzceļa transportā un modernizēt dzelzceļa parku. Šī investīcija ietver vismaz 97 bezemisiju pasažieru vilcienu reģistrāciju.</w:t>
      </w:r>
    </w:p>
    <w:p w14:paraId="01A07526" w14:textId="77777777" w:rsidR="00327FF1" w:rsidRDefault="00E406C7">
      <w:pPr>
        <w:pStyle w:val="P68B1DB1-Normal5"/>
        <w:spacing w:before="120" w:after="120"/>
        <w:jc w:val="both"/>
        <w:rPr>
          <w:bCs/>
          <w:noProof/>
        </w:rPr>
      </w:pPr>
      <w:r>
        <w:rPr>
          <w:noProof/>
        </w:rPr>
        <w:t xml:space="preserve">Investīcija — Valsts ugunsdzēsēju komandas flotes atjaunošana </w:t>
      </w:r>
    </w:p>
    <w:p w14:paraId="03BAE130" w14:textId="77777777" w:rsidR="00327FF1" w:rsidRDefault="00E406C7">
      <w:pPr>
        <w:spacing w:after="120"/>
        <w:jc w:val="both"/>
        <w:rPr>
          <w:rFonts w:ascii="Times New Roman" w:hAnsi="Times New Roman" w:cs="Times New Roman"/>
          <w:noProof/>
        </w:rPr>
      </w:pPr>
      <w:r>
        <w:rPr>
          <w:rFonts w:ascii="Times New Roman" w:hAnsi="Times New Roman" w:cs="Times New Roman"/>
          <w:noProof/>
        </w:rPr>
        <w:t>Investīcijas mērķis ir samazināt siltumnīcefekta gāzu emisijas un modernizēt ugunsdzēsēju brigādes floti. Šo ieguldījumu veido vismaz</w:t>
      </w:r>
      <w:r>
        <w:rPr>
          <w:noProof/>
          <w:color w:val="006100"/>
          <w:sz w:val="20"/>
          <w:szCs w:val="20"/>
        </w:rPr>
        <w:t xml:space="preserve"> </w:t>
      </w:r>
      <w:r>
        <w:rPr>
          <w:rFonts w:ascii="Times New Roman" w:hAnsi="Times New Roman" w:cs="Times New Roman"/>
          <w:noProof/>
        </w:rPr>
        <w:t>3800 transportlīdzekļu iepirkums Valsts ugunsdzēsēju brigā</w:t>
      </w:r>
      <w:r>
        <w:rPr>
          <w:rFonts w:ascii="Times New Roman" w:hAnsi="Times New Roman" w:cs="Times New Roman"/>
          <w:noProof/>
        </w:rPr>
        <w:t>dei.</w:t>
      </w:r>
    </w:p>
    <w:p w14:paraId="335DB2A0" w14:textId="77777777" w:rsidR="00327FF1" w:rsidRDefault="00E406C7">
      <w:pPr>
        <w:pStyle w:val="P68B1DB1-Normal5"/>
        <w:spacing w:after="120"/>
        <w:jc w:val="both"/>
        <w:rPr>
          <w:noProof/>
        </w:rPr>
      </w:pPr>
      <w:r>
        <w:rPr>
          <w:noProof/>
        </w:rPr>
        <w:t>Investīcija 5.1. Atbalsts ražošanas sistēmai ekoloģiskajai pārejai, neto nulles emisiju tehnoloģijām un stratēģisko piegādes ķēžu konkurētspējai un noturībai</w:t>
      </w:r>
    </w:p>
    <w:p w14:paraId="2C9A6E57" w14:textId="44373AEE" w:rsidR="00327FF1" w:rsidRDefault="00E406C7">
      <w:pPr>
        <w:pStyle w:val="P68B1DB1-Normal7"/>
        <w:spacing w:before="120" w:after="120"/>
        <w:jc w:val="both"/>
        <w:rPr>
          <w:noProof/>
        </w:rPr>
      </w:pPr>
      <w:r>
        <w:rPr>
          <w:noProof/>
        </w:rPr>
        <w:t>Šis pasākums sastāv no diviem apakšieguldījumiem.</w:t>
      </w:r>
    </w:p>
    <w:p w14:paraId="3B87BB5D" w14:textId="77777777" w:rsidR="00327FF1" w:rsidRDefault="00E406C7">
      <w:pPr>
        <w:pStyle w:val="P68B1DB1-Normal5"/>
        <w:spacing w:before="120" w:after="120"/>
        <w:jc w:val="both"/>
        <w:rPr>
          <w:noProof/>
        </w:rPr>
      </w:pPr>
      <w:r>
        <w:rPr>
          <w:noProof/>
        </w:rPr>
        <w:t>Apakšieguldījums Nr. 1:</w:t>
      </w:r>
    </w:p>
    <w:p w14:paraId="612BA002" w14:textId="77777777" w:rsidR="00327FF1" w:rsidRDefault="00E406C7">
      <w:pPr>
        <w:pStyle w:val="P68B1DB1-Normal7"/>
        <w:spacing w:after="120"/>
        <w:jc w:val="both"/>
        <w:rPr>
          <w:rFonts w:eastAsia="Calibri"/>
          <w:noProof/>
        </w:rPr>
      </w:pPr>
      <w:r>
        <w:rPr>
          <w:noProof/>
        </w:rPr>
        <w:t>Šo apakšieguldījumu</w:t>
      </w:r>
      <w:r>
        <w:rPr>
          <w:noProof/>
        </w:rPr>
        <w:t xml:space="preserve"> veido publiskas investīcijas mehānismā, neto nulles emisiju tehnoloģijās, lai stimulētu privātās investīcijas un uzlabotu piekļuvi finansējumam tādās jomās kā energoefektivitāte, atjaunojamo energoresursu ražošana pašpatēriņam un ražošanas procesa ilgtspē</w:t>
      </w:r>
      <w:r>
        <w:rPr>
          <w:noProof/>
        </w:rPr>
        <w:t xml:space="preserve">jīga pārveide. </w:t>
      </w:r>
    </w:p>
    <w:p w14:paraId="61A65E51" w14:textId="77777777" w:rsidR="00327FF1" w:rsidRDefault="00E406C7">
      <w:pPr>
        <w:pStyle w:val="P68B1DB1-Normal7"/>
        <w:spacing w:after="120"/>
        <w:jc w:val="both"/>
        <w:rPr>
          <w:noProof/>
        </w:rPr>
      </w:pPr>
      <w:r>
        <w:rPr>
          <w:noProof/>
        </w:rPr>
        <w:t>Investīcija atbalsta:</w:t>
      </w:r>
    </w:p>
    <w:p w14:paraId="4D37AEC8" w14:textId="15DCA3DD" w:rsidR="00327FF1" w:rsidRDefault="00E406C7">
      <w:pPr>
        <w:pStyle w:val="P68B1DB1-ListParagraph37"/>
        <w:numPr>
          <w:ilvl w:val="0"/>
          <w:numId w:val="63"/>
        </w:numPr>
        <w:spacing w:after="120" w:line="240" w:lineRule="auto"/>
        <w:jc w:val="both"/>
        <w:rPr>
          <w:noProof/>
        </w:rPr>
      </w:pPr>
      <w:r>
        <w:rPr>
          <w:noProof/>
        </w:rPr>
        <w:t xml:space="preserve">valsts ražošanas sistēmas ekoloģisko pārkārtošanos dažādos līmeņos, atbalstot investīcijas tādu ierīču un to tiešo un netiešo komponentu ražošanas ķēžu stiprināšanā, kas attiecas uz ekoloģisko pārkārtošanos (piemēram, </w:t>
      </w:r>
      <w:r>
        <w:rPr>
          <w:noProof/>
        </w:rPr>
        <w:t xml:space="preserve">akumulatoru un enerģijas uzkrāšana, saules un vēja tehnoloģijas, siltumsūkņi un ģeotermālās enerģijas tehnoloģijas, ūdeņraža tehnoloģijas un oglekļa uztveršanas un uzglabāšanas ierīces), </w:t>
      </w:r>
    </w:p>
    <w:p w14:paraId="4BDB2110" w14:textId="77777777" w:rsidR="00327FF1" w:rsidRDefault="00E406C7">
      <w:pPr>
        <w:pStyle w:val="P68B1DB1-ListParagraph37"/>
        <w:numPr>
          <w:ilvl w:val="0"/>
          <w:numId w:val="63"/>
        </w:numPr>
        <w:spacing w:after="120" w:line="240" w:lineRule="auto"/>
        <w:jc w:val="both"/>
        <w:rPr>
          <w:noProof/>
        </w:rPr>
      </w:pPr>
      <w:r>
        <w:rPr>
          <w:noProof/>
        </w:rPr>
        <w:t>ražošanas procesu energoefektivitāte (arī ražojot elektroenerģiju pa</w:t>
      </w:r>
      <w:r>
        <w:rPr>
          <w:noProof/>
        </w:rPr>
        <w:t>špatēriņam no atjaunojamiem energoresursiem, izņemot biomasu),</w:t>
      </w:r>
    </w:p>
    <w:p w14:paraId="309034B6" w14:textId="77777777" w:rsidR="00327FF1" w:rsidRDefault="00E406C7">
      <w:pPr>
        <w:pStyle w:val="P68B1DB1-ListParagraph37"/>
        <w:numPr>
          <w:ilvl w:val="0"/>
          <w:numId w:val="63"/>
        </w:numPr>
        <w:spacing w:after="120" w:line="240" w:lineRule="auto"/>
        <w:jc w:val="both"/>
        <w:rPr>
          <w:noProof/>
        </w:rPr>
      </w:pPr>
      <w:r>
        <w:rPr>
          <w:noProof/>
        </w:rPr>
        <w:t>ražošanas procesu ilgtspēja, arī ņemot vērā aprites ekonomiku un resursu efektīvāku izmantošanu.</w:t>
      </w:r>
    </w:p>
    <w:p w14:paraId="2742F20D" w14:textId="77777777" w:rsidR="00327FF1" w:rsidRDefault="00E406C7">
      <w:pPr>
        <w:pStyle w:val="P68B1DB1-Normal7"/>
        <w:spacing w:after="120"/>
        <w:jc w:val="both"/>
        <w:rPr>
          <w:noProof/>
        </w:rPr>
      </w:pPr>
      <w:r>
        <w:rPr>
          <w:noProof/>
        </w:rPr>
        <w:t>Investīcija i) ietver šādas produktu līnijas:</w:t>
      </w:r>
    </w:p>
    <w:p w14:paraId="4E4C9E96" w14:textId="4C87223C" w:rsidR="00327FF1" w:rsidRDefault="00E406C7">
      <w:pPr>
        <w:pStyle w:val="P68B1DB1-Normal7"/>
        <w:spacing w:after="120"/>
        <w:jc w:val="both"/>
        <w:rPr>
          <w:noProof/>
        </w:rPr>
      </w:pPr>
      <w:r>
        <w:rPr>
          <w:noProof/>
        </w:rPr>
        <w:t>—</w:t>
      </w:r>
      <w:r>
        <w:rPr>
          <w:noProof/>
        </w:rPr>
        <w:tab/>
        <w:t>Pirmais attiecas uz fotoelementu vai vēja enerģi</w:t>
      </w:r>
      <w:r>
        <w:rPr>
          <w:noProof/>
        </w:rPr>
        <w:t xml:space="preserve">jas tehnoloģiju ražošanu un palielina fotoelementu vai vēja enerģijas tehnoloģiju ražošanas jaudu vismaz par 4 GW gadā. </w:t>
      </w:r>
    </w:p>
    <w:p w14:paraId="6C6CAD5E" w14:textId="77777777" w:rsidR="00327FF1" w:rsidRDefault="00E406C7">
      <w:pPr>
        <w:pStyle w:val="P68B1DB1-Normal7"/>
        <w:spacing w:after="120"/>
        <w:jc w:val="both"/>
        <w:rPr>
          <w:noProof/>
        </w:rPr>
      </w:pPr>
      <w:r>
        <w:rPr>
          <w:noProof/>
        </w:rPr>
        <w:t>—</w:t>
      </w:r>
      <w:r>
        <w:rPr>
          <w:noProof/>
        </w:rPr>
        <w:tab/>
        <w:t>Otrais attiecas uz bateriju ražošanu un palielina bateriju ražošanas jaudu vismaz par 28 GW gadā.</w:t>
      </w:r>
    </w:p>
    <w:p w14:paraId="2043D6ED" w14:textId="77777777" w:rsidR="00327FF1" w:rsidRDefault="00E406C7">
      <w:pPr>
        <w:pStyle w:val="P68B1DB1-Normal7"/>
        <w:spacing w:after="120"/>
        <w:jc w:val="both"/>
        <w:rPr>
          <w:noProof/>
        </w:rPr>
      </w:pPr>
      <w:r>
        <w:rPr>
          <w:noProof/>
        </w:rPr>
        <w:t>Mehānisms darbojas, piešķirot neatm</w:t>
      </w:r>
      <w:r>
        <w:rPr>
          <w:noProof/>
        </w:rPr>
        <w:t xml:space="preserve">aksājamas dotācijas, subsidētus aizdevumus un procentu subsīdijas tieši privātajam sektoram. </w:t>
      </w:r>
    </w:p>
    <w:p w14:paraId="65990B9A" w14:textId="77777777" w:rsidR="00327FF1" w:rsidRDefault="00E406C7">
      <w:pPr>
        <w:pStyle w:val="P68B1DB1-Normal7"/>
        <w:spacing w:after="120"/>
        <w:jc w:val="both"/>
        <w:rPr>
          <w:noProof/>
        </w:rPr>
      </w:pPr>
      <w:r>
        <w:rPr>
          <w:noProof/>
        </w:rPr>
        <w:t>Mehānismu pārvalda Invitalia S.p.A. kā īstenošanas partneris. Mehānisms ietver šādus finanšu instrumentus:</w:t>
      </w:r>
    </w:p>
    <w:p w14:paraId="3B5EF40E" w14:textId="77777777" w:rsidR="00327FF1" w:rsidRDefault="00E406C7">
      <w:pPr>
        <w:pStyle w:val="ListParagraph"/>
        <w:numPr>
          <w:ilvl w:val="0"/>
          <w:numId w:val="25"/>
        </w:numPr>
        <w:spacing w:after="120" w:line="240" w:lineRule="auto"/>
        <w:jc w:val="both"/>
        <w:rPr>
          <w:rFonts w:ascii="Times New Roman" w:hAnsi="Times New Roman" w:cs="Times New Roman"/>
          <w:noProof/>
        </w:rPr>
      </w:pPr>
      <w:r>
        <w:rPr>
          <w:rFonts w:ascii="Times New Roman" w:hAnsi="Times New Roman" w:cs="Times New Roman"/>
          <w:noProof/>
        </w:rPr>
        <w:t>Attīstības līgums, ar kuru atbalsta neto nulles emisiju</w:t>
      </w:r>
      <w:r>
        <w:rPr>
          <w:rFonts w:ascii="Times New Roman" w:hAnsi="Times New Roman" w:cs="Times New Roman"/>
          <w:noProof/>
        </w:rPr>
        <w:t xml:space="preserve"> tehnoloģiju projektus, kas pārsniedz</w:t>
      </w:r>
      <w:r>
        <w:rPr>
          <w:rFonts w:ascii="Times New Roman" w:hAnsi="Times New Roman" w:cs="Times New Roman" w:hint="eastAsia"/>
          <w:noProof/>
          <w:color w:val="006100"/>
          <w:sz w:val="20"/>
        </w:rPr>
        <w:t xml:space="preserve">  </w:t>
      </w:r>
      <w:r>
        <w:rPr>
          <w:rFonts w:ascii="Times New Roman" w:hAnsi="Times New Roman" w:cs="Times New Roman"/>
          <w:noProof/>
        </w:rPr>
        <w:t>20000000 EUR, piešķirot dotācijas, procentu likmju subsīdijas un subsidētus aizdevumus.</w:t>
      </w:r>
    </w:p>
    <w:p w14:paraId="44C58026" w14:textId="77777777" w:rsidR="00327FF1" w:rsidRDefault="00E406C7">
      <w:pPr>
        <w:pStyle w:val="ListParagraph"/>
        <w:numPr>
          <w:ilvl w:val="0"/>
          <w:numId w:val="25"/>
        </w:numPr>
        <w:spacing w:after="120" w:line="240" w:lineRule="auto"/>
        <w:jc w:val="both"/>
        <w:rPr>
          <w:rFonts w:ascii="Times New Roman" w:hAnsi="Times New Roman" w:cs="Times New Roman"/>
          <w:noProof/>
        </w:rPr>
      </w:pPr>
      <w:r>
        <w:rPr>
          <w:rFonts w:ascii="Times New Roman" w:hAnsi="Times New Roman" w:cs="Times New Roman"/>
          <w:noProof/>
        </w:rPr>
        <w:t>Rūpnieciskās pārveides fonds, kas atbalsta projektus robežās no EUR</w:t>
      </w:r>
      <w:r>
        <w:rPr>
          <w:rFonts w:ascii="Times New Roman" w:hAnsi="Times New Roman" w:cs="Times New Roman" w:hint="eastAsia"/>
          <w:noProof/>
          <w:color w:val="006100"/>
          <w:sz w:val="20"/>
        </w:rPr>
        <w:t xml:space="preserve">  </w:t>
      </w:r>
      <w:r>
        <w:rPr>
          <w:rFonts w:ascii="Times New Roman" w:hAnsi="Times New Roman" w:cs="Times New Roman"/>
          <w:noProof/>
        </w:rPr>
        <w:t>3000000 līdz EUR</w:t>
      </w:r>
      <w:r>
        <w:rPr>
          <w:rFonts w:ascii="Times New Roman" w:hAnsi="Times New Roman" w:cs="Times New Roman" w:hint="eastAsia"/>
          <w:noProof/>
          <w:color w:val="006100"/>
          <w:sz w:val="20"/>
        </w:rPr>
        <w:t xml:space="preserve">  </w:t>
      </w:r>
      <w:r>
        <w:rPr>
          <w:rFonts w:ascii="Times New Roman" w:hAnsi="Times New Roman" w:cs="Times New Roman"/>
          <w:noProof/>
        </w:rPr>
        <w:t>20000000, piešķirot dotācijas.</w:t>
      </w:r>
    </w:p>
    <w:p w14:paraId="67D1FB15" w14:textId="77777777" w:rsidR="00327FF1" w:rsidRDefault="00E406C7">
      <w:pPr>
        <w:pStyle w:val="P68B1DB1-Normal7"/>
        <w:spacing w:after="120"/>
        <w:jc w:val="both"/>
        <w:rPr>
          <w:noProof/>
        </w:rPr>
      </w:pPr>
      <w:r>
        <w:rPr>
          <w:noProof/>
        </w:rPr>
        <w:t>Lai īstenot</w:t>
      </w:r>
      <w:r>
        <w:rPr>
          <w:noProof/>
        </w:rPr>
        <w:t>u ieguldījumu mehānismā, Itālija un Invitalia S.p.A. paraksta īstenošanas nolīgumu, kurā ietver šādu saturu:</w:t>
      </w:r>
    </w:p>
    <w:p w14:paraId="7D9A4731" w14:textId="77777777" w:rsidR="00327FF1" w:rsidRDefault="00E406C7">
      <w:pPr>
        <w:pStyle w:val="P68B1DB1-ListParagraph37"/>
        <w:numPr>
          <w:ilvl w:val="3"/>
          <w:numId w:val="42"/>
        </w:numPr>
        <w:spacing w:after="120" w:line="240" w:lineRule="auto"/>
        <w:ind w:left="709"/>
        <w:jc w:val="both"/>
        <w:rPr>
          <w:noProof/>
        </w:rPr>
      </w:pPr>
      <w:r>
        <w:rPr>
          <w:noProof/>
        </w:rPr>
        <w:t>Mehānisma lēmumu pieņemšanas procesa apraksts: Galīgos lēmumus par ieguldījumiem un Mehānisma piešķiršanu pieņem investīciju komiteja vai cita atti</w:t>
      </w:r>
      <w:r>
        <w:rPr>
          <w:noProof/>
        </w:rPr>
        <w:t>ecīga līdzvērtīga pārvaldes struktūra, un tos apstiprina ar no valdības neatkarīgu locekļu balsu vairākumu.</w:t>
      </w:r>
    </w:p>
    <w:p w14:paraId="22AA1897" w14:textId="77777777" w:rsidR="00327FF1" w:rsidRDefault="00E406C7">
      <w:pPr>
        <w:pStyle w:val="P68B1DB1-ListParagraph37"/>
        <w:numPr>
          <w:ilvl w:val="3"/>
          <w:numId w:val="42"/>
        </w:numPr>
        <w:spacing w:after="120" w:line="240" w:lineRule="auto"/>
        <w:ind w:left="709"/>
        <w:jc w:val="both"/>
        <w:rPr>
          <w:noProof/>
        </w:rPr>
      </w:pPr>
      <w:r>
        <w:rPr>
          <w:noProof/>
        </w:rPr>
        <w:t>Saistītās ieguldījumu politikas galvenās prasības, kas ietver:</w:t>
      </w:r>
    </w:p>
    <w:p w14:paraId="727E2102" w14:textId="77777777" w:rsidR="00327FF1" w:rsidRDefault="00E406C7">
      <w:pPr>
        <w:pStyle w:val="P68B1DB1-ListParagraph37"/>
        <w:numPr>
          <w:ilvl w:val="4"/>
          <w:numId w:val="42"/>
        </w:numPr>
        <w:spacing w:after="120" w:line="240" w:lineRule="auto"/>
        <w:ind w:left="1276"/>
        <w:jc w:val="both"/>
        <w:rPr>
          <w:noProof/>
        </w:rPr>
      </w:pPr>
      <w:r>
        <w:rPr>
          <w:noProof/>
        </w:rPr>
        <w:t xml:space="preserve">Finanšu produktu un atbalsttiesīgo galasaņēmēju apraksts. </w:t>
      </w:r>
    </w:p>
    <w:p w14:paraId="6BC546DB" w14:textId="77777777" w:rsidR="00327FF1" w:rsidRDefault="00E406C7">
      <w:pPr>
        <w:pStyle w:val="P68B1DB1-ListParagraph37"/>
        <w:numPr>
          <w:ilvl w:val="4"/>
          <w:numId w:val="42"/>
        </w:numPr>
        <w:spacing w:after="120" w:line="240" w:lineRule="auto"/>
        <w:ind w:left="1276"/>
        <w:jc w:val="both"/>
        <w:rPr>
          <w:noProof/>
        </w:rPr>
      </w:pPr>
      <w:r>
        <w:rPr>
          <w:noProof/>
        </w:rPr>
        <w:t>Prasība, lai visi atbalstī</w:t>
      </w:r>
      <w:r>
        <w:rPr>
          <w:noProof/>
        </w:rPr>
        <w:t xml:space="preserve">tie ieguldījumi būtu ekonomiski dzīvotspējīgi. </w:t>
      </w:r>
    </w:p>
    <w:p w14:paraId="0A3C2697" w14:textId="77777777" w:rsidR="00327FF1" w:rsidRDefault="00E406C7">
      <w:pPr>
        <w:pStyle w:val="ListParagraph"/>
        <w:numPr>
          <w:ilvl w:val="4"/>
          <w:numId w:val="42"/>
        </w:numPr>
        <w:spacing w:after="120" w:line="240" w:lineRule="auto"/>
        <w:ind w:left="1276"/>
        <w:jc w:val="both"/>
        <w:rPr>
          <w:rFonts w:ascii="Times New Roman" w:hAnsi="Times New Roman" w:cs="Times New Roman"/>
          <w:noProof/>
        </w:rPr>
      </w:pPr>
      <w:r>
        <w:rPr>
          <w:rFonts w:ascii="Times New Roman" w:hAnsi="Times New Roman" w:cs="Times New Roman" w:hint="eastAsia"/>
          <w:noProof/>
        </w:rPr>
        <w:t xml:space="preserve">Prasība ievērot principu </w:t>
      </w:r>
      <w:r>
        <w:rPr>
          <w:rFonts w:ascii="Times New Roman" w:hAnsi="Times New Roman" w:cs="Times New Roman" w:hint="eastAsia"/>
          <w:noProof/>
        </w:rPr>
        <w:t>“</w:t>
      </w:r>
      <w:r>
        <w:rPr>
          <w:rFonts w:ascii="Times New Roman" w:hAnsi="Times New Roman" w:cs="Times New Roman" w:hint="eastAsia"/>
          <w:noProof/>
        </w:rPr>
        <w:t>nenodari būtisku kaitējumu</w:t>
      </w:r>
      <w:r>
        <w:rPr>
          <w:rFonts w:ascii="Times New Roman" w:hAnsi="Times New Roman" w:cs="Times New Roman" w:hint="eastAsia"/>
          <w:noProof/>
        </w:rPr>
        <w:t>”</w:t>
      </w:r>
      <w:r>
        <w:rPr>
          <w:rFonts w:ascii="Times New Roman" w:hAnsi="Times New Roman" w:cs="Times New Roman" w:hint="eastAsia"/>
          <w:noProof/>
        </w:rPr>
        <w:t xml:space="preserve"> (DNSH), kā noteikts NBK tehniskajos norādījumos (2021/C58/01). Ieguldījumu politika jo īpaši izslēdz no atbilstības šādu darbību un aktīvu sarakstu: I) da</w:t>
      </w:r>
      <w:r>
        <w:rPr>
          <w:rFonts w:ascii="Times New Roman" w:hAnsi="Times New Roman" w:cs="Times New Roman" w:hint="eastAsia"/>
          <w:noProof/>
        </w:rPr>
        <w:t>rbības un aktīvi, kas saistīti ar fosilo kurināmo, tostarp lejupējais izmantojums</w:t>
      </w:r>
      <w:r>
        <w:rPr>
          <w:rFonts w:ascii="Times New Roman" w:hAnsi="Times New Roman" w:cs="Times New Roman"/>
          <w:noProof/>
        </w:rPr>
        <w:t>;</w:t>
      </w:r>
      <w:r>
        <w:rPr>
          <w:rStyle w:val="FootnoteReference"/>
          <w:rFonts w:ascii="Times New Roman" w:hAnsi="Times New Roman" w:cs="Times New Roman"/>
          <w:noProof/>
        </w:rPr>
        <w:footnoteReference w:id="55"/>
      </w:r>
      <w:r>
        <w:rPr>
          <w:rFonts w:ascii="Times New Roman" w:hAnsi="Times New Roman" w:cs="Times New Roman"/>
          <w:noProof/>
        </w:rPr>
        <w:t>ii) darbības un aktīvi saskaņā ar ES emisijas kvotu tirdzniecības sistēmu (ETS), kuru prognozētās siltumnīcefekta gāzu emisijas nav zemākas par attiecīgajām līmeņatzīmēm;</w:t>
      </w:r>
      <w:r>
        <w:rPr>
          <w:rStyle w:val="FootnoteReference"/>
          <w:rFonts w:ascii="Times New Roman" w:hAnsi="Times New Roman" w:cs="Times New Roman"/>
          <w:noProof/>
        </w:rPr>
        <w:footnoteReference w:id="56"/>
      </w:r>
      <w:r>
        <w:rPr>
          <w:rFonts w:ascii="Times New Roman" w:hAnsi="Times New Roman" w:cs="Times New Roman"/>
          <w:noProof/>
        </w:rPr>
        <w:t>ii</w:t>
      </w:r>
      <w:r>
        <w:rPr>
          <w:rFonts w:ascii="Times New Roman" w:hAnsi="Times New Roman" w:cs="Times New Roman"/>
          <w:noProof/>
        </w:rPr>
        <w:t>i) darbības un aktīvi, kas saistīti ar atkritumu poligoniem, sadedzināšanas iekārtām</w:t>
      </w:r>
      <w:r>
        <w:rPr>
          <w:rStyle w:val="FootnoteReference"/>
          <w:rFonts w:ascii="Times New Roman" w:hAnsi="Times New Roman" w:cs="Times New Roman"/>
          <w:noProof/>
        </w:rPr>
        <w:footnoteReference w:id="57"/>
      </w:r>
      <w:r>
        <w:rPr>
          <w:rFonts w:ascii="Times New Roman" w:hAnsi="Times New Roman" w:cs="Times New Roman"/>
          <w:noProof/>
        </w:rPr>
        <w:t xml:space="preserve"> un mehāniski bioloģiskās apstrādes iekārtām</w:t>
      </w:r>
      <w:r>
        <w:rPr>
          <w:rStyle w:val="FootnoteReference"/>
          <w:rFonts w:ascii="Times New Roman" w:hAnsi="Times New Roman" w:cs="Times New Roman"/>
          <w:noProof/>
        </w:rPr>
        <w:footnoteReference w:id="58"/>
      </w:r>
      <w:r>
        <w:rPr>
          <w:rFonts w:ascii="Times New Roman" w:hAnsi="Times New Roman" w:cs="Times New Roman"/>
          <w:noProof/>
        </w:rPr>
        <w:t xml:space="preserve">. </w:t>
      </w:r>
    </w:p>
    <w:p w14:paraId="40A1190A" w14:textId="77777777" w:rsidR="00327FF1" w:rsidRDefault="00E406C7">
      <w:pPr>
        <w:pStyle w:val="P68B1DB1-ListParagraph37"/>
        <w:numPr>
          <w:ilvl w:val="4"/>
          <w:numId w:val="42"/>
        </w:numPr>
        <w:spacing w:after="120" w:line="240" w:lineRule="auto"/>
        <w:ind w:left="1276"/>
        <w:jc w:val="both"/>
        <w:rPr>
          <w:noProof/>
        </w:rPr>
      </w:pPr>
      <w:r>
        <w:rPr>
          <w:noProof/>
        </w:rPr>
        <w:t>Prasība, ka Mehānisma galasaņēmēji nesaņem atbalstu no citiem Savienības instrumentiem, lai segtu tās pašas izmaksas.</w:t>
      </w:r>
    </w:p>
    <w:p w14:paraId="7F4A7895" w14:textId="77777777" w:rsidR="00327FF1" w:rsidRDefault="00E406C7">
      <w:pPr>
        <w:pStyle w:val="P68B1DB1-ListParagraph37"/>
        <w:numPr>
          <w:ilvl w:val="3"/>
          <w:numId w:val="42"/>
        </w:numPr>
        <w:spacing w:after="120" w:line="240" w:lineRule="auto"/>
        <w:ind w:left="709"/>
        <w:jc w:val="both"/>
        <w:rPr>
          <w:noProof/>
        </w:rPr>
      </w:pPr>
      <w:r>
        <w:rPr>
          <w:noProof/>
        </w:rPr>
        <w:t>Summa</w:t>
      </w:r>
      <w:r>
        <w:rPr>
          <w:noProof/>
        </w:rPr>
        <w:t>, uz kuru attiecas īstenošanas nolīgums, īstenošanas partnera maksu struktūra un prasība atkārtoti ieguldīt visus atmaksājumus saskaņā ar Mehānisma ieguldījumu politiku.</w:t>
      </w:r>
    </w:p>
    <w:p w14:paraId="6700F82B" w14:textId="77777777" w:rsidR="00327FF1" w:rsidRDefault="00E406C7">
      <w:pPr>
        <w:pStyle w:val="P68B1DB1-ListParagraph37"/>
        <w:numPr>
          <w:ilvl w:val="3"/>
          <w:numId w:val="42"/>
        </w:numPr>
        <w:spacing w:after="120" w:line="240" w:lineRule="auto"/>
        <w:ind w:left="709"/>
        <w:jc w:val="both"/>
        <w:rPr>
          <w:noProof/>
        </w:rPr>
      </w:pPr>
      <w:r>
        <w:rPr>
          <w:noProof/>
        </w:rPr>
        <w:t>Uzraudzības, revīzijas un kontroles prasības, tostarp:</w:t>
      </w:r>
    </w:p>
    <w:p w14:paraId="2B3D7632" w14:textId="77777777" w:rsidR="00327FF1" w:rsidRDefault="00E406C7">
      <w:pPr>
        <w:pStyle w:val="P68B1DB1-ListParagraph36"/>
        <w:numPr>
          <w:ilvl w:val="4"/>
          <w:numId w:val="42"/>
        </w:numPr>
        <w:spacing w:after="120" w:line="240" w:lineRule="auto"/>
        <w:ind w:left="1276"/>
        <w:jc w:val="both"/>
        <w:rPr>
          <w:rFonts w:hint="default"/>
          <w:noProof/>
        </w:rPr>
      </w:pPr>
      <w:r>
        <w:rPr>
          <w:noProof/>
        </w:rPr>
        <w:t xml:space="preserve">Apraksts par īstenošanas </w:t>
      </w:r>
      <w:r>
        <w:rPr>
          <w:noProof/>
        </w:rPr>
        <w:t>partnera uzraudzības sistēmu ziņošanai par mobilizētajām investīcijām.</w:t>
      </w:r>
    </w:p>
    <w:p w14:paraId="6FEC1734" w14:textId="77777777" w:rsidR="00327FF1" w:rsidRDefault="00E406C7">
      <w:pPr>
        <w:pStyle w:val="P68B1DB1-ListParagraph36"/>
        <w:numPr>
          <w:ilvl w:val="4"/>
          <w:numId w:val="42"/>
        </w:numPr>
        <w:spacing w:after="120" w:line="240" w:lineRule="auto"/>
        <w:ind w:left="1276"/>
        <w:jc w:val="both"/>
        <w:rPr>
          <w:rFonts w:hint="default"/>
          <w:noProof/>
        </w:rPr>
      </w:pPr>
      <w:r>
        <w:rPr>
          <w:noProof/>
        </w:rPr>
        <w:t xml:space="preserve">Apraksts par īstenošanas partnera procedūrām, kas nodrošina krāpšanas, korupcijas un interešu konfliktu novēršanu, atklāšanu un labošanu. </w:t>
      </w:r>
    </w:p>
    <w:p w14:paraId="4F432B30" w14:textId="77777777" w:rsidR="00327FF1" w:rsidRDefault="00E406C7">
      <w:pPr>
        <w:pStyle w:val="P68B1DB1-ListParagraph37"/>
        <w:numPr>
          <w:ilvl w:val="4"/>
          <w:numId w:val="42"/>
        </w:numPr>
        <w:spacing w:after="120" w:line="240" w:lineRule="auto"/>
        <w:ind w:left="1276"/>
        <w:jc w:val="both"/>
        <w:rPr>
          <w:noProof/>
        </w:rPr>
      </w:pPr>
      <w:r>
        <w:rPr>
          <w:noProof/>
        </w:rPr>
        <w:t>Pienākums pārbaudīt katras darbības attiecinām</w:t>
      </w:r>
      <w:r>
        <w:rPr>
          <w:noProof/>
        </w:rPr>
        <w:t>ību saskaņā ar Īstenošanas nolīgumā noteiktajām prasībām pirms apņemšanās finansēt kādu darbību.</w:t>
      </w:r>
    </w:p>
    <w:p w14:paraId="5EDCAFAB" w14:textId="77777777" w:rsidR="00327FF1" w:rsidRDefault="00E406C7">
      <w:pPr>
        <w:pStyle w:val="P68B1DB1-ListParagraph37"/>
        <w:numPr>
          <w:ilvl w:val="4"/>
          <w:numId w:val="42"/>
        </w:numPr>
        <w:spacing w:after="120" w:line="240" w:lineRule="auto"/>
        <w:ind w:left="1276"/>
        <w:jc w:val="both"/>
        <w:rPr>
          <w:noProof/>
        </w:rPr>
      </w:pPr>
      <w:r>
        <w:rPr>
          <w:noProof/>
        </w:rPr>
        <w:t>Pienākums veikt uz risku balstītas ex post revīzijas saskaņā ar Invitalia S.p.A revīzijas plānu. Šajās revīzijās pārbauda:</w:t>
      </w:r>
    </w:p>
    <w:p w14:paraId="534C2E27" w14:textId="77777777" w:rsidR="00327FF1" w:rsidRDefault="00E406C7">
      <w:pPr>
        <w:pStyle w:val="P68B1DB1-ListParagraph37"/>
        <w:numPr>
          <w:ilvl w:val="5"/>
          <w:numId w:val="42"/>
        </w:numPr>
        <w:spacing w:after="120" w:line="240" w:lineRule="auto"/>
        <w:ind w:left="1985"/>
        <w:jc w:val="both"/>
        <w:rPr>
          <w:noProof/>
        </w:rPr>
      </w:pPr>
      <w:r>
        <w:rPr>
          <w:noProof/>
        </w:rPr>
        <w:t xml:space="preserve">ka kontroles sistēmas ir efektīvas, </w:t>
      </w:r>
      <w:r>
        <w:rPr>
          <w:noProof/>
        </w:rPr>
        <w:t>tostarp krāpšanas, korupcijas un interešu konfliktu atklāšana;</w:t>
      </w:r>
    </w:p>
    <w:p w14:paraId="2C9371C0" w14:textId="77777777" w:rsidR="00327FF1" w:rsidRDefault="00E406C7">
      <w:pPr>
        <w:pStyle w:val="P68B1DB1-ListParagraph37"/>
        <w:numPr>
          <w:ilvl w:val="5"/>
          <w:numId w:val="42"/>
        </w:numPr>
        <w:spacing w:after="120" w:line="240" w:lineRule="auto"/>
        <w:ind w:left="1985"/>
        <w:jc w:val="both"/>
        <w:rPr>
          <w:noProof/>
        </w:rPr>
      </w:pPr>
      <w:r>
        <w:rPr>
          <w:noProof/>
        </w:rPr>
        <w:t xml:space="preserve">principa “nenodarīt būtisku kaitējumu” ievērošana, valsts atbalsta noteikumi, klimata mērķrādītāju prasības; un </w:t>
      </w:r>
    </w:p>
    <w:p w14:paraId="2F7F9596" w14:textId="77777777" w:rsidR="00327FF1" w:rsidRDefault="00E406C7">
      <w:pPr>
        <w:pStyle w:val="P68B1DB1-ListParagraph37"/>
        <w:numPr>
          <w:ilvl w:val="5"/>
          <w:numId w:val="42"/>
        </w:numPr>
        <w:spacing w:after="120" w:line="240" w:lineRule="auto"/>
        <w:ind w:left="1985"/>
        <w:jc w:val="both"/>
        <w:rPr>
          <w:noProof/>
        </w:rPr>
      </w:pPr>
      <w:r>
        <w:rPr>
          <w:noProof/>
        </w:rPr>
        <w:t xml:space="preserve">ka ir ievērota prasība, ka Mehānisma galasaņēmēji nav saņēmuši atbalstu no citiem Savienības instrumentiem, lai segtu tās pašas izmaksas. Revīzijās pārbauda arī darījumu likumību un to, vai tiek ievēroti piemērojamā īstenošanas nolīguma nosacījumi. </w:t>
      </w:r>
    </w:p>
    <w:p w14:paraId="4C9A763B" w14:textId="77777777" w:rsidR="00327FF1" w:rsidRDefault="00E406C7">
      <w:pPr>
        <w:spacing w:before="120" w:after="120"/>
        <w:jc w:val="both"/>
        <w:rPr>
          <w:rFonts w:ascii="Times New Roman" w:hAnsi="Times New Roman" w:cs="Times New Roman"/>
          <w:noProof/>
        </w:rPr>
      </w:pPr>
      <w:r>
        <w:rPr>
          <w:rFonts w:ascii="Times New Roman" w:hAnsi="Times New Roman" w:cs="Times New Roman"/>
          <w:noProof/>
        </w:rPr>
        <w:t>5. Pra</w:t>
      </w:r>
      <w:r>
        <w:rPr>
          <w:rFonts w:ascii="Times New Roman" w:hAnsi="Times New Roman" w:cs="Times New Roman"/>
          <w:noProof/>
        </w:rPr>
        <w:t>sības attiecībā uz investīcijām klimata jomā, ko veic īstenošanas partneris: vismaz 460000000</w:t>
      </w:r>
      <w:r>
        <w:rPr>
          <w:rFonts w:ascii="Times New Roman" w:hAnsi="Times New Roman" w:cs="Times New Roman" w:hint="eastAsia"/>
          <w:noProof/>
          <w:color w:val="006100"/>
          <w:sz w:val="20"/>
          <w:szCs w:val="20"/>
        </w:rPr>
        <w:t xml:space="preserve"> </w:t>
      </w:r>
      <w:r>
        <w:rPr>
          <w:rFonts w:ascii="Times New Roman" w:hAnsi="Times New Roman" w:cs="Times New Roman"/>
          <w:noProof/>
        </w:rPr>
        <w:t>EUR</w:t>
      </w:r>
      <w:r>
        <w:rPr>
          <w:rFonts w:ascii="Times New Roman" w:hAnsi="Times New Roman" w:cs="Times New Roman" w:hint="eastAsia"/>
          <w:noProof/>
          <w:color w:val="006100"/>
          <w:sz w:val="20"/>
          <w:szCs w:val="20"/>
        </w:rPr>
        <w:t xml:space="preserve"> </w:t>
      </w:r>
      <w:r>
        <w:rPr>
          <w:rFonts w:ascii="Times New Roman" w:hAnsi="Times New Roman" w:cs="Times New Roman"/>
          <w:noProof/>
        </w:rPr>
        <w:t>no ANM investīcijām mehānismā veicina klimata pārmaiņu mērķu sasniegšanu saskaņā ar ANM regulas VI pielikumu</w:t>
      </w:r>
      <w:r>
        <w:rPr>
          <w:rStyle w:val="FootnoteReference"/>
          <w:rFonts w:ascii="Times New Roman" w:hAnsi="Times New Roman" w:cs="Times New Roman"/>
          <w:noProof/>
        </w:rPr>
        <w:footnoteReference w:id="59"/>
      </w:r>
      <w:r>
        <w:rPr>
          <w:rFonts w:ascii="Times New Roman" w:hAnsi="Times New Roman" w:cs="Times New Roman"/>
          <w:noProof/>
        </w:rPr>
        <w:t>.</w:t>
      </w:r>
    </w:p>
    <w:p w14:paraId="5CB68DFF" w14:textId="77777777" w:rsidR="00327FF1" w:rsidRDefault="00E406C7">
      <w:pPr>
        <w:pStyle w:val="P68B1DB1-Normal5"/>
        <w:spacing w:before="120" w:after="120"/>
        <w:jc w:val="both"/>
        <w:rPr>
          <w:noProof/>
        </w:rPr>
      </w:pPr>
      <w:r>
        <w:rPr>
          <w:noProof/>
        </w:rPr>
        <w:t>Apakšieguldījums Nr. 2:</w:t>
      </w:r>
    </w:p>
    <w:p w14:paraId="6272644C" w14:textId="77777777" w:rsidR="00327FF1" w:rsidRDefault="00E406C7">
      <w:pPr>
        <w:pStyle w:val="P68B1DB1-Normal7"/>
        <w:spacing w:before="120" w:after="120"/>
        <w:jc w:val="both"/>
        <w:rPr>
          <w:noProof/>
        </w:rPr>
      </w:pPr>
      <w:r>
        <w:rPr>
          <w:noProof/>
        </w:rPr>
        <w:t>Šo apakšinvestīciju vei</w:t>
      </w:r>
      <w:r>
        <w:rPr>
          <w:noProof/>
        </w:rPr>
        <w:t>do publiskās investīcijas mehānismā “Stratēģisko piegādes ķēžu konkurētspēja un noturība”, lai stimulētu privātās investīcijas un uzlabotu piekļuvi finansējumam nolūkā stiprināt rūpniecības piegādes ķēdes.</w:t>
      </w:r>
    </w:p>
    <w:p w14:paraId="597EB0B1" w14:textId="77777777" w:rsidR="00327FF1" w:rsidRDefault="00E406C7">
      <w:pPr>
        <w:pStyle w:val="P68B1DB1-Normal7"/>
        <w:spacing w:after="120"/>
        <w:jc w:val="both"/>
        <w:rPr>
          <w:noProof/>
        </w:rPr>
      </w:pPr>
      <w:r>
        <w:rPr>
          <w:noProof/>
        </w:rPr>
        <w:t>Investīcijas atbalsta projektus, kas saistīti ar g</w:t>
      </w:r>
      <w:r>
        <w:rPr>
          <w:noProof/>
        </w:rPr>
        <w:t>alvenajām stratēģiskajām vērtības ķēdēm, piemēram, rūpniecības attīstības programmām un vides aizsardzības attīstības programmām.</w:t>
      </w:r>
    </w:p>
    <w:p w14:paraId="6C4D6485" w14:textId="77777777" w:rsidR="00327FF1" w:rsidRDefault="00E406C7">
      <w:pPr>
        <w:pStyle w:val="P68B1DB1-Normal7"/>
        <w:spacing w:after="120"/>
        <w:jc w:val="both"/>
        <w:rPr>
          <w:noProof/>
        </w:rPr>
      </w:pPr>
      <w:r>
        <w:rPr>
          <w:noProof/>
        </w:rPr>
        <w:t>Mehānisms darbojas, piešķirot neatmaksājamas dotācijas, subsidētus aizdevumus un procentu subsīdijas tieši privātajam sektoram</w:t>
      </w:r>
      <w:r>
        <w:rPr>
          <w:noProof/>
        </w:rPr>
        <w:t>.</w:t>
      </w:r>
    </w:p>
    <w:p w14:paraId="70162392" w14:textId="77777777" w:rsidR="00327FF1" w:rsidRDefault="00E406C7">
      <w:pPr>
        <w:pStyle w:val="P68B1DB1-Normal7"/>
        <w:spacing w:after="120"/>
        <w:jc w:val="both"/>
        <w:rPr>
          <w:noProof/>
        </w:rPr>
      </w:pPr>
      <w:r>
        <w:rPr>
          <w:noProof/>
        </w:rPr>
        <w:t xml:space="preserve">Mehānismu pārvalda Invitalia S.p.A. kā īstenošanas partneris. </w:t>
      </w:r>
    </w:p>
    <w:p w14:paraId="1C5F8F8D" w14:textId="77777777" w:rsidR="00327FF1" w:rsidRDefault="00E406C7">
      <w:pPr>
        <w:pStyle w:val="P68B1DB1-Normal7"/>
        <w:spacing w:after="120"/>
        <w:jc w:val="both"/>
        <w:rPr>
          <w:noProof/>
        </w:rPr>
      </w:pPr>
      <w:r>
        <w:rPr>
          <w:noProof/>
        </w:rPr>
        <w:t>Lai īstenotu ieguldījumu mehānismā, Itālija un Invitalia paraksta īstenošanas nolīgumu, kurā ietver šādu saturu:</w:t>
      </w:r>
    </w:p>
    <w:p w14:paraId="58764336" w14:textId="77777777" w:rsidR="00327FF1" w:rsidRDefault="00E406C7">
      <w:pPr>
        <w:pStyle w:val="P68B1DB1-ListParagraph37"/>
        <w:numPr>
          <w:ilvl w:val="0"/>
          <w:numId w:val="60"/>
        </w:numPr>
        <w:spacing w:after="120" w:line="240" w:lineRule="auto"/>
        <w:jc w:val="both"/>
        <w:rPr>
          <w:noProof/>
        </w:rPr>
      </w:pPr>
      <w:r>
        <w:rPr>
          <w:noProof/>
        </w:rPr>
        <w:t>Mehānisma lēmumu pieņemšanas procesa apraksts: Galīgos lēmumus par ieguldījumi</w:t>
      </w:r>
      <w:r>
        <w:rPr>
          <w:noProof/>
        </w:rPr>
        <w:t>em un Mehānisma piešķiršanu pieņem investīciju komiteja vai cita attiecīga līdzvērtīga pārvaldes struktūra, un tos apstiprina ar no valdības neatkarīgu locekļu balsu vairākumu.</w:t>
      </w:r>
    </w:p>
    <w:p w14:paraId="04A5C01C" w14:textId="77777777" w:rsidR="00327FF1" w:rsidRDefault="00E406C7">
      <w:pPr>
        <w:pStyle w:val="P68B1DB1-ListParagraph37"/>
        <w:numPr>
          <w:ilvl w:val="0"/>
          <w:numId w:val="60"/>
        </w:numPr>
        <w:spacing w:after="120" w:line="240" w:lineRule="auto"/>
        <w:jc w:val="both"/>
        <w:rPr>
          <w:noProof/>
        </w:rPr>
      </w:pPr>
      <w:r>
        <w:rPr>
          <w:noProof/>
        </w:rPr>
        <w:t>Saistītās ieguldījumu politikas galvenās prasības, kas ietver:</w:t>
      </w:r>
    </w:p>
    <w:p w14:paraId="65C7B72E" w14:textId="77777777" w:rsidR="00327FF1" w:rsidRDefault="00E406C7">
      <w:pPr>
        <w:pStyle w:val="P68B1DB1-ListParagraph37"/>
        <w:numPr>
          <w:ilvl w:val="0"/>
          <w:numId w:val="61"/>
        </w:numPr>
        <w:spacing w:after="120" w:line="240" w:lineRule="auto"/>
        <w:jc w:val="both"/>
        <w:rPr>
          <w:noProof/>
        </w:rPr>
      </w:pPr>
      <w:r>
        <w:rPr>
          <w:noProof/>
        </w:rPr>
        <w:t>Finanšu produkta</w:t>
      </w:r>
      <w:r>
        <w:rPr>
          <w:noProof/>
        </w:rPr>
        <w:t xml:space="preserve">(-u) un atbalsttiesīgo galasaņēmēju apraksts. </w:t>
      </w:r>
    </w:p>
    <w:p w14:paraId="39CB44B7" w14:textId="77777777" w:rsidR="00327FF1" w:rsidRDefault="00E406C7">
      <w:pPr>
        <w:pStyle w:val="P68B1DB1-ListParagraph37"/>
        <w:numPr>
          <w:ilvl w:val="0"/>
          <w:numId w:val="61"/>
        </w:numPr>
        <w:spacing w:after="120" w:line="240" w:lineRule="auto"/>
        <w:jc w:val="both"/>
        <w:rPr>
          <w:noProof/>
        </w:rPr>
      </w:pPr>
      <w:r>
        <w:rPr>
          <w:noProof/>
        </w:rPr>
        <w:t xml:space="preserve">Prasība, lai visi atbalstītie ieguldījumi būtu ekonomiski dzīvotspējīgi. </w:t>
      </w:r>
    </w:p>
    <w:p w14:paraId="4617F4A0" w14:textId="77777777" w:rsidR="00327FF1" w:rsidRDefault="00E406C7">
      <w:pPr>
        <w:pStyle w:val="ListParagraph"/>
        <w:numPr>
          <w:ilvl w:val="0"/>
          <w:numId w:val="61"/>
        </w:numPr>
        <w:spacing w:after="120" w:line="240" w:lineRule="auto"/>
        <w:jc w:val="both"/>
        <w:rPr>
          <w:rFonts w:ascii="Times New Roman" w:hAnsi="Times New Roman" w:cs="Times New Roman"/>
          <w:noProof/>
        </w:rPr>
      </w:pPr>
      <w:r>
        <w:rPr>
          <w:rFonts w:ascii="Times New Roman" w:hAnsi="Times New Roman" w:cs="Times New Roman" w:hint="eastAsia"/>
          <w:noProof/>
        </w:rPr>
        <w:t xml:space="preserve">Prasība ievērot principu </w:t>
      </w:r>
      <w:r>
        <w:rPr>
          <w:rFonts w:ascii="Times New Roman" w:hAnsi="Times New Roman" w:cs="Times New Roman" w:hint="eastAsia"/>
          <w:noProof/>
        </w:rPr>
        <w:t>“</w:t>
      </w:r>
      <w:r>
        <w:rPr>
          <w:rFonts w:ascii="Times New Roman" w:hAnsi="Times New Roman" w:cs="Times New Roman" w:hint="eastAsia"/>
          <w:noProof/>
        </w:rPr>
        <w:t>nenodari būtisku kaitējumu</w:t>
      </w:r>
      <w:r>
        <w:rPr>
          <w:rFonts w:ascii="Times New Roman" w:hAnsi="Times New Roman" w:cs="Times New Roman" w:hint="eastAsia"/>
          <w:noProof/>
        </w:rPr>
        <w:t>”</w:t>
      </w:r>
      <w:r>
        <w:rPr>
          <w:rFonts w:ascii="Times New Roman" w:hAnsi="Times New Roman" w:cs="Times New Roman" w:hint="eastAsia"/>
          <w:noProof/>
        </w:rPr>
        <w:t xml:space="preserve"> (DNSH), kā noteikts NBK tehniskajos norādījumos (2021/C58/01). Ieguldījumu politi</w:t>
      </w:r>
      <w:r>
        <w:rPr>
          <w:rFonts w:ascii="Times New Roman" w:hAnsi="Times New Roman" w:cs="Times New Roman" w:hint="eastAsia"/>
          <w:noProof/>
        </w:rPr>
        <w:t>ka jo īpaši izslēdz no atbilstības šādu darbību un aktīvu sarakstu: I) darbības un aktīvi, kas saistīti ar fosilo kurināmo, tostarp lejupējais izmantojums</w:t>
      </w:r>
      <w:r>
        <w:rPr>
          <w:rFonts w:ascii="Times New Roman" w:hAnsi="Times New Roman" w:cs="Times New Roman"/>
          <w:noProof/>
        </w:rPr>
        <w:t>;</w:t>
      </w:r>
      <w:r>
        <w:rPr>
          <w:rStyle w:val="FootnoteReference"/>
          <w:rFonts w:ascii="Times New Roman" w:hAnsi="Times New Roman" w:cs="Times New Roman"/>
          <w:noProof/>
        </w:rPr>
        <w:footnoteReference w:id="60"/>
      </w:r>
      <w:r>
        <w:rPr>
          <w:rFonts w:ascii="Times New Roman" w:hAnsi="Times New Roman" w:cs="Times New Roman"/>
          <w:noProof/>
        </w:rPr>
        <w:t>ii) darbības un aktīvi saskaņā ar ES emisijas kvotu tirdzniecības sistēmu (ETS), kuru prognozētās si</w:t>
      </w:r>
      <w:r>
        <w:rPr>
          <w:rFonts w:ascii="Times New Roman" w:hAnsi="Times New Roman" w:cs="Times New Roman"/>
          <w:noProof/>
        </w:rPr>
        <w:t>ltumnīcefekta gāzu emisijas nav zemākas par attiecīgajām līmeņatzīmēm;</w:t>
      </w:r>
      <w:r>
        <w:rPr>
          <w:rStyle w:val="FootnoteReference"/>
          <w:rFonts w:ascii="Times New Roman" w:hAnsi="Times New Roman" w:cs="Times New Roman"/>
          <w:noProof/>
        </w:rPr>
        <w:footnoteReference w:id="61"/>
      </w:r>
      <w:r>
        <w:rPr>
          <w:rFonts w:ascii="Times New Roman" w:hAnsi="Times New Roman" w:cs="Times New Roman"/>
          <w:noProof/>
        </w:rPr>
        <w:t>iii) darbības un aktīvi, kas saistīti ar atkritumu poligoniem, sadedzināšanas iekārtām</w:t>
      </w:r>
      <w:r>
        <w:rPr>
          <w:rStyle w:val="FootnoteReference"/>
          <w:rFonts w:ascii="Times New Roman" w:hAnsi="Times New Roman" w:cs="Times New Roman"/>
          <w:noProof/>
        </w:rPr>
        <w:footnoteReference w:id="62"/>
      </w:r>
      <w:r>
        <w:rPr>
          <w:rFonts w:ascii="Times New Roman" w:hAnsi="Times New Roman" w:cs="Times New Roman"/>
          <w:noProof/>
        </w:rPr>
        <w:t xml:space="preserve"> un mehāniski bioloģiskās apstrādes iekārtām</w:t>
      </w:r>
      <w:r>
        <w:rPr>
          <w:rStyle w:val="FootnoteReference"/>
          <w:rFonts w:ascii="Times New Roman" w:hAnsi="Times New Roman" w:cs="Times New Roman"/>
          <w:noProof/>
        </w:rPr>
        <w:footnoteReference w:id="63"/>
      </w:r>
      <w:r>
        <w:rPr>
          <w:rFonts w:ascii="Times New Roman" w:hAnsi="Times New Roman" w:cs="Times New Roman"/>
          <w:noProof/>
        </w:rPr>
        <w:t xml:space="preserve">. </w:t>
      </w:r>
    </w:p>
    <w:p w14:paraId="2010774B" w14:textId="77777777" w:rsidR="00327FF1" w:rsidRDefault="00E406C7">
      <w:pPr>
        <w:pStyle w:val="P68B1DB1-ListParagraph37"/>
        <w:numPr>
          <w:ilvl w:val="0"/>
          <w:numId w:val="61"/>
        </w:numPr>
        <w:spacing w:after="120" w:line="240" w:lineRule="auto"/>
        <w:jc w:val="both"/>
        <w:rPr>
          <w:noProof/>
        </w:rPr>
      </w:pPr>
      <w:r>
        <w:rPr>
          <w:noProof/>
        </w:rPr>
        <w:t>Prasība, ka Mehānisma galasaņēmēji nesaņem atbalst</w:t>
      </w:r>
      <w:r>
        <w:rPr>
          <w:noProof/>
        </w:rPr>
        <w:t>u no citiem Savienības instrumentiem, lai segtu tās pašas izmaksas.</w:t>
      </w:r>
    </w:p>
    <w:p w14:paraId="32BD3191" w14:textId="77777777" w:rsidR="00327FF1" w:rsidRDefault="00E406C7">
      <w:pPr>
        <w:pStyle w:val="P68B1DB1-ListParagraph37"/>
        <w:numPr>
          <w:ilvl w:val="0"/>
          <w:numId w:val="60"/>
        </w:numPr>
        <w:spacing w:after="120" w:line="240" w:lineRule="auto"/>
        <w:jc w:val="both"/>
        <w:rPr>
          <w:noProof/>
        </w:rPr>
      </w:pPr>
      <w:r>
        <w:rPr>
          <w:noProof/>
        </w:rPr>
        <w:t>Summa, uz kuru attiecas īstenošanas nolīgums, īstenošanas partnera maksu struktūra un prasība atkārtoti ieguldīt visus atmaksājumus saskaņā ar Mehānisma ieguldījumu politiku.</w:t>
      </w:r>
    </w:p>
    <w:p w14:paraId="1F235FCB" w14:textId="77777777" w:rsidR="00327FF1" w:rsidRDefault="00E406C7">
      <w:pPr>
        <w:pStyle w:val="P68B1DB1-ListParagraph37"/>
        <w:numPr>
          <w:ilvl w:val="0"/>
          <w:numId w:val="60"/>
        </w:numPr>
        <w:spacing w:after="120" w:line="240" w:lineRule="auto"/>
        <w:jc w:val="both"/>
        <w:rPr>
          <w:noProof/>
        </w:rPr>
      </w:pPr>
      <w:r>
        <w:rPr>
          <w:noProof/>
        </w:rPr>
        <w:t xml:space="preserve">Uzraudzības, </w:t>
      </w:r>
      <w:r>
        <w:rPr>
          <w:noProof/>
        </w:rPr>
        <w:t>revīzijas un kontroles prasības, tostarp:</w:t>
      </w:r>
    </w:p>
    <w:p w14:paraId="2B1EB99A" w14:textId="77777777" w:rsidR="00327FF1" w:rsidRDefault="00E406C7">
      <w:pPr>
        <w:pStyle w:val="P68B1DB1-ListParagraph36"/>
        <w:numPr>
          <w:ilvl w:val="1"/>
          <w:numId w:val="62"/>
        </w:numPr>
        <w:spacing w:after="120" w:line="240" w:lineRule="auto"/>
        <w:jc w:val="both"/>
        <w:rPr>
          <w:rFonts w:hint="default"/>
          <w:noProof/>
        </w:rPr>
      </w:pPr>
      <w:r>
        <w:rPr>
          <w:noProof/>
        </w:rPr>
        <w:t>Apraksts par īstenošanas partnera uzraudzības sistēmu ziņošanai par mobilizētajām investīcijām.</w:t>
      </w:r>
    </w:p>
    <w:p w14:paraId="54C30E07" w14:textId="77777777" w:rsidR="00327FF1" w:rsidRDefault="00E406C7">
      <w:pPr>
        <w:pStyle w:val="P68B1DB1-ListParagraph36"/>
        <w:numPr>
          <w:ilvl w:val="1"/>
          <w:numId w:val="62"/>
        </w:numPr>
        <w:spacing w:after="120" w:line="240" w:lineRule="auto"/>
        <w:jc w:val="both"/>
        <w:rPr>
          <w:rFonts w:hint="default"/>
          <w:noProof/>
        </w:rPr>
      </w:pPr>
      <w:r>
        <w:rPr>
          <w:noProof/>
        </w:rPr>
        <w:t xml:space="preserve">Apraksts par īstenošanas partnera procedūrām, kas nodrošina krāpšanas, korupcijas un interešu konfliktu novēršanu, atklāšanu un labošanu. </w:t>
      </w:r>
    </w:p>
    <w:p w14:paraId="59FE0E83" w14:textId="77777777" w:rsidR="00327FF1" w:rsidRDefault="00E406C7">
      <w:pPr>
        <w:pStyle w:val="P68B1DB1-ListParagraph37"/>
        <w:numPr>
          <w:ilvl w:val="1"/>
          <w:numId w:val="62"/>
        </w:numPr>
        <w:spacing w:after="120" w:line="240" w:lineRule="auto"/>
        <w:jc w:val="both"/>
        <w:rPr>
          <w:noProof/>
        </w:rPr>
      </w:pPr>
      <w:r>
        <w:rPr>
          <w:noProof/>
        </w:rPr>
        <w:t>Pienākums pārbaudīt katras darbības attiecināmību saskaņā ar Īstenošanas nolīgumā noteiktajām prasībām pirms apņemšan</w:t>
      </w:r>
      <w:r>
        <w:rPr>
          <w:noProof/>
        </w:rPr>
        <w:t>ās finansēt kādu darbību.</w:t>
      </w:r>
    </w:p>
    <w:p w14:paraId="027FADFB" w14:textId="77777777" w:rsidR="00327FF1" w:rsidRDefault="00E406C7">
      <w:pPr>
        <w:pStyle w:val="P68B1DB1-ListParagraph37"/>
        <w:numPr>
          <w:ilvl w:val="1"/>
          <w:numId w:val="62"/>
        </w:numPr>
        <w:spacing w:after="120" w:line="240" w:lineRule="auto"/>
        <w:jc w:val="both"/>
        <w:rPr>
          <w:noProof/>
        </w:rPr>
      </w:pPr>
      <w:r>
        <w:rPr>
          <w:noProof/>
        </w:rPr>
        <w:t>Pienākums veikt uz risku balstītas ex post revīzijas saskaņā ar Invitalia ĪAT revīzijas plānu. Šajās revīzijās pārbauda:</w:t>
      </w:r>
    </w:p>
    <w:p w14:paraId="7742295B" w14:textId="77777777" w:rsidR="00327FF1" w:rsidRDefault="00E406C7">
      <w:pPr>
        <w:pStyle w:val="P68B1DB1-ListParagraph37"/>
        <w:numPr>
          <w:ilvl w:val="2"/>
          <w:numId w:val="62"/>
        </w:numPr>
        <w:spacing w:after="120" w:line="240" w:lineRule="auto"/>
        <w:jc w:val="both"/>
        <w:rPr>
          <w:noProof/>
        </w:rPr>
      </w:pPr>
      <w:r>
        <w:rPr>
          <w:noProof/>
        </w:rPr>
        <w:t>ka kontroles sistēmas ir efektīvas, tostarp krāpšanas, korupcijas un interešu konfliktu atklāšana;</w:t>
      </w:r>
    </w:p>
    <w:p w14:paraId="40398A96" w14:textId="77777777" w:rsidR="00327FF1" w:rsidRDefault="00E406C7">
      <w:pPr>
        <w:pStyle w:val="P68B1DB1-ListParagraph37"/>
        <w:numPr>
          <w:ilvl w:val="2"/>
          <w:numId w:val="62"/>
        </w:numPr>
        <w:spacing w:after="120" w:line="240" w:lineRule="auto"/>
        <w:jc w:val="both"/>
        <w:rPr>
          <w:noProof/>
        </w:rPr>
      </w:pPr>
      <w:r>
        <w:rPr>
          <w:noProof/>
        </w:rPr>
        <w:t>principa “</w:t>
      </w:r>
      <w:r>
        <w:rPr>
          <w:noProof/>
        </w:rPr>
        <w:t xml:space="preserve">nenodarīt būtisku kaitējumu” ievērošana, valsts atbalsta noteikumi, klimata mērķrādītāju prasības; un </w:t>
      </w:r>
    </w:p>
    <w:p w14:paraId="13932B43" w14:textId="11BC446D" w:rsidR="00327FF1" w:rsidRDefault="00E406C7">
      <w:pPr>
        <w:pStyle w:val="P68B1DB1-ListParagraph37"/>
        <w:numPr>
          <w:ilvl w:val="2"/>
          <w:numId w:val="62"/>
        </w:numPr>
        <w:spacing w:after="120" w:line="240" w:lineRule="auto"/>
        <w:jc w:val="both"/>
        <w:rPr>
          <w:noProof/>
        </w:rPr>
      </w:pPr>
      <w:r>
        <w:rPr>
          <w:noProof/>
        </w:rPr>
        <w:t>ka ir ievērota prasība, ka Mehānisma galasaņēmēji nav saņēmuši atbalstu no citiem Savienības instrumentiem, lai segtu tās pašas izmaksas. Revīzijās pārba</w:t>
      </w:r>
      <w:r>
        <w:rPr>
          <w:noProof/>
        </w:rPr>
        <w:t>uda arī darījumu likumību un to, vai tiek ievēroti piemērojamā īstenošanas nolīguma nosacījumi.</w:t>
      </w:r>
    </w:p>
    <w:p w14:paraId="0FEF5986" w14:textId="77777777" w:rsidR="00327FF1" w:rsidRDefault="00E406C7">
      <w:pPr>
        <w:pStyle w:val="P68B1DB1-Normal29"/>
        <w:spacing w:before="120" w:after="120"/>
        <w:jc w:val="both"/>
        <w:rPr>
          <w:noProof/>
        </w:rPr>
      </w:pPr>
      <w:r>
        <w:rPr>
          <w:noProof/>
        </w:rPr>
        <w:t>Investīcija — līderības izveide starptautiskajā, rūpnieciskajā un pētniecības un izstrādes jomā ūdeņraža jomā</w:t>
      </w:r>
    </w:p>
    <w:p w14:paraId="6C4A1549" w14:textId="77777777" w:rsidR="00327FF1" w:rsidRDefault="00E406C7">
      <w:pPr>
        <w:pStyle w:val="P68B1DB1-Normal8"/>
        <w:spacing w:before="120" w:after="120"/>
        <w:jc w:val="both"/>
        <w:rPr>
          <w:noProof/>
        </w:rPr>
      </w:pPr>
      <w:r>
        <w:rPr>
          <w:noProof/>
        </w:rPr>
        <w:t>Šīs investīcijas mērķis ir atbalstīt ūdeņraža vērt</w:t>
      </w:r>
      <w:r>
        <w:rPr>
          <w:noProof/>
        </w:rPr>
        <w:t>ības ķēdi Itālijā. Šo ieguldījumu veido finansējums: 1) svarīgi projekti visas Eiropas interesēs (IPCEI), kas palielina elektrolīzeru ražošanas jaudu, 2) papildu projekti elektrolīzeru ražošanai, 3) rūpnieciskās investīcijas ūdeņraža vērtības ķēdes atbalst</w:t>
      </w:r>
      <w:r>
        <w:rPr>
          <w:noProof/>
        </w:rPr>
        <w:t xml:space="preserve">am, tostarp pētniecība, izstrāde un apmācība. </w:t>
      </w:r>
    </w:p>
    <w:p w14:paraId="711F86C8" w14:textId="77777777" w:rsidR="00327FF1" w:rsidRDefault="00E406C7">
      <w:pPr>
        <w:pStyle w:val="P68B1DB1-Normal29"/>
        <w:spacing w:before="120" w:after="120"/>
        <w:jc w:val="both"/>
        <w:rPr>
          <w:noProof/>
        </w:rPr>
      </w:pPr>
      <w:r>
        <w:rPr>
          <w:noProof/>
        </w:rPr>
        <w:t>Investīcija — līderības izveide starptautiskajā, rūpnieciskajā un pētniecības un izstrādes jomā elektrisko autobusu jomā</w:t>
      </w:r>
    </w:p>
    <w:p w14:paraId="61828AD5" w14:textId="7E99D44C" w:rsidR="00327FF1" w:rsidRDefault="00E406C7">
      <w:pPr>
        <w:pStyle w:val="P68B1DB1-Normal8"/>
        <w:spacing w:before="120" w:after="120"/>
        <w:jc w:val="both"/>
        <w:rPr>
          <w:noProof/>
        </w:rPr>
      </w:pPr>
      <w:r>
        <w:rPr>
          <w:noProof/>
        </w:rPr>
        <w:t>Šī investīcija ietver atbalstu aptuveni 45 projektiem, kas var veicināt autobusu nozares</w:t>
      </w:r>
      <w:r>
        <w:rPr>
          <w:noProof/>
        </w:rPr>
        <w:t xml:space="preserve"> digitālo un zaļo pārkārtošanos uz elektriskajiem un savienotajiem autobusiem. Paredzams, ka šī investīcija atbalstīs arī investīcijas elektrotransportlīdzekļu parka atjaunošanā (neietverot hibrīdautobusus).</w:t>
      </w:r>
    </w:p>
    <w:p w14:paraId="68150809" w14:textId="77777777" w:rsidR="00327FF1" w:rsidRDefault="00E406C7">
      <w:pPr>
        <w:pStyle w:val="P68B1DB1-Normal29"/>
        <w:spacing w:before="120" w:after="120"/>
        <w:jc w:val="both"/>
        <w:rPr>
          <w:bCs/>
          <w:noProof/>
        </w:rPr>
      </w:pPr>
      <w:r>
        <w:rPr>
          <w:noProof/>
        </w:rPr>
        <w:t>Investīcija 5.4. Kapitāla iepludināšana Zaļās pā</w:t>
      </w:r>
      <w:r>
        <w:rPr>
          <w:noProof/>
        </w:rPr>
        <w:t>rkārtošanās fondā (“GTF”), ko pārvalda CDP riska kapitāls SGR</w:t>
      </w:r>
    </w:p>
    <w:p w14:paraId="09E22860" w14:textId="77777777" w:rsidR="00327FF1" w:rsidRDefault="00E406C7">
      <w:pPr>
        <w:pStyle w:val="P68B1DB1-Normal8"/>
        <w:spacing w:line="240" w:lineRule="auto"/>
        <w:jc w:val="both"/>
        <w:rPr>
          <w:noProof/>
        </w:rPr>
      </w:pPr>
      <w:r>
        <w:rPr>
          <w:noProof/>
        </w:rPr>
        <w:t>Šā pasākuma mērķis ir atbalstīt Itālijas ekonomikas izaugsmes potenciālu, stimulējot privātās investīcijas, uzlabojot finansējuma pieejamību jaunuzņēmumiem, kas iesaistīti zaļās pārkārtošanās pr</w:t>
      </w:r>
      <w:r>
        <w:rPr>
          <w:noProof/>
        </w:rPr>
        <w:t xml:space="preserve">ocesā, un attīstot riska kapitāla tirgu šajā nozarē. Pasākums ietver kapitāla iepludināšanu 250 000 000 EUR apmērā Zaļās pārkārtošanās fondā (“GTF”), ko pārvalda CDP riska kapitāls SGR. </w:t>
      </w:r>
    </w:p>
    <w:p w14:paraId="29197E15" w14:textId="688F627B" w:rsidR="00327FF1" w:rsidRDefault="00E406C7">
      <w:pPr>
        <w:pStyle w:val="P68B1DB1-LegalNumPar260"/>
        <w:numPr>
          <w:ilvl w:val="0"/>
          <w:numId w:val="0"/>
        </w:numPr>
        <w:spacing w:line="259" w:lineRule="auto"/>
        <w:jc w:val="both"/>
        <w:rPr>
          <w:noProof/>
        </w:rPr>
      </w:pPr>
      <w:r>
        <w:rPr>
          <w:noProof/>
        </w:rPr>
        <w:t>CDP riska kapitāls SGR pieņem ieguldījumu politiku pašu kapitāla izma</w:t>
      </w:r>
      <w:r>
        <w:rPr>
          <w:noProof/>
        </w:rPr>
        <w:t>ntošanai. Ieguldījumu politikā iekļauj aprakstu par finanšu produktu(-iem) ar paredzamo atbalsttiesīgo galasaņēmēju veidu</w:t>
      </w:r>
      <w:bookmarkStart w:id="15" w:name="_Hlk198572061"/>
      <w:r>
        <w:rPr>
          <w:noProof/>
        </w:rPr>
        <w:t>, ko paredzēts atbalstīt ar pašu kapitālu,</w:t>
      </w:r>
      <w:bookmarkEnd w:id="15"/>
      <w:r>
        <w:rPr>
          <w:noProof/>
        </w:rPr>
        <w:t xml:space="preserve"> </w:t>
      </w:r>
      <w:bookmarkStart w:id="16" w:name="_Hlk198538454"/>
      <w:r>
        <w:rPr>
          <w:noProof/>
        </w:rPr>
        <w:t>tostarp paredzamo 15 gadu īstenošanas grafiku un pārvaldības maksu ne vairāk kā 13 % apmērā</w:t>
      </w:r>
      <w:bookmarkEnd w:id="16"/>
      <w:r>
        <w:rPr>
          <w:noProof/>
        </w:rPr>
        <w:t>.</w:t>
      </w:r>
      <w:r>
        <w:rPr>
          <w:noProof/>
        </w:rPr>
        <w:footnoteReference w:id="64"/>
      </w:r>
      <w:r>
        <w:rPr>
          <w:noProof/>
        </w:rPr>
        <w:t xml:space="preserve"> GTF darbojas, tieši vai netieši sniedzot pašu kapitāla, kvazikapitāla, parāda vai kvaziparāda atbalstu.</w:t>
      </w:r>
      <w:r>
        <w:rPr>
          <w:noProof/>
        </w:rPr>
        <w:footnoteReference w:id="65"/>
      </w:r>
      <w:r>
        <w:rPr>
          <w:noProof/>
        </w:rPr>
        <w:t xml:space="preserve"> CDP riska kapitāls SGR pieņem revīzijas un kontroles sistēmu, kas aprakstīta pamatnostādnēs “Linee Guida per le attività di rendicontazione e control</w:t>
      </w:r>
      <w:r>
        <w:rPr>
          <w:noProof/>
        </w:rPr>
        <w:t>lo dei Fondi DTF e GTF” pašu kapitāla izmantošanai. Ieguldījumu politika paredz, ka finanšu produkts(-i), ko atbalsta pašu kapitāls, atbilst principam “nenodari būtisku kaitējumu”, kā noteikts Tehniskajos norādījumos par principa “nenodarīt būtisku kaitēju</w:t>
      </w:r>
      <w:r>
        <w:rPr>
          <w:noProof/>
        </w:rPr>
        <w:t>mu” (2021/C58/01) ievērošanu. Jo īpaši, ja tiek sniegts vispārējs atbalsts darbības uzsākšanai, ieguldījumu politikā neiekļauj uzņēmumus, kas būtiski koncentrējas</w:t>
      </w:r>
      <w:r>
        <w:rPr>
          <w:noProof/>
        </w:rPr>
        <w:footnoteReference w:id="66"/>
      </w:r>
      <w:r>
        <w:rPr>
          <w:noProof/>
        </w:rPr>
        <w:t xml:space="preserve"> uz šādām nozarēm: I) enerģijas ražošana, izmantojot fosilo kurināmo, un ar to saistītās darb</w:t>
      </w:r>
      <w:r>
        <w:rPr>
          <w:noProof/>
        </w:rPr>
        <w:t>ības</w:t>
      </w:r>
      <w:r>
        <w:rPr>
          <w:noProof/>
        </w:rPr>
        <w:footnoteReference w:id="67"/>
      </w:r>
      <w:r>
        <w:rPr>
          <w:noProof/>
        </w:rPr>
        <w:t>; II) energoietilpīgas nozares un/vai nozares ar augstu CO2 emisiju līmeni</w:t>
      </w:r>
      <w:r>
        <w:rPr>
          <w:noProof/>
        </w:rPr>
        <w:footnoteReference w:id="68"/>
      </w:r>
      <w:r>
        <w:rPr>
          <w:noProof/>
        </w:rPr>
        <w:t>; III) piesārņojošu transportlīdzekļu ražošana, noma vai pārdošana</w:t>
      </w:r>
      <w:r>
        <w:rPr>
          <w:noProof/>
        </w:rPr>
        <w:footnoteReference w:id="69"/>
      </w:r>
      <w:r>
        <w:rPr>
          <w:noProof/>
        </w:rPr>
        <w:t>; IV) atkritumu savākšana, atkritumu apstrāde</w:t>
      </w:r>
      <w:r>
        <w:rPr>
          <w:noProof/>
        </w:rPr>
        <w:footnoteReference w:id="70"/>
      </w:r>
      <w:r>
        <w:rPr>
          <w:noProof/>
        </w:rPr>
        <w:t>un apglabāšana; v) kodoldegvielas pārstrāde, kodolenerģijas raž</w:t>
      </w:r>
      <w:r>
        <w:rPr>
          <w:noProof/>
        </w:rPr>
        <w:t>ošana. Turklāt ieguldījumu politikā jāparedz atbilstība attiecīgajiem ES un valstu tiesību aktiem vides jomā.</w:t>
      </w:r>
    </w:p>
    <w:p w14:paraId="027ACCD4" w14:textId="0756D441" w:rsidR="00327FF1" w:rsidRDefault="00E406C7">
      <w:pPr>
        <w:pStyle w:val="P68B1DB1-LegalNumPar260"/>
        <w:numPr>
          <w:ilvl w:val="0"/>
          <w:numId w:val="0"/>
        </w:numPr>
        <w:spacing w:line="259" w:lineRule="auto"/>
        <w:jc w:val="both"/>
        <w:rPr>
          <w:noProof/>
        </w:rPr>
        <w:sectPr w:rsidR="00327FF1" w:rsidSect="005F11B9">
          <w:headerReference w:type="even" r:id="rId92"/>
          <w:headerReference w:type="default" r:id="rId93"/>
          <w:footerReference w:type="even" r:id="rId94"/>
          <w:footerReference w:type="default" r:id="rId95"/>
          <w:headerReference w:type="first" r:id="rId96"/>
          <w:footerReference w:type="first" r:id="rId97"/>
          <w:pgSz w:w="11907" w:h="16839"/>
          <w:pgMar w:top="1134" w:right="1134" w:bottom="1134" w:left="1134" w:header="567" w:footer="567" w:gutter="0"/>
          <w:cols w:space="720"/>
          <w:docGrid w:linePitch="360"/>
        </w:sectPr>
      </w:pPr>
      <w:r>
        <w:rPr>
          <w:noProof/>
        </w:rPr>
        <w:t xml:space="preserve"> </w:t>
      </w:r>
    </w:p>
    <w:p w14:paraId="1C9D170A" w14:textId="77777777" w:rsidR="00327FF1" w:rsidRDefault="00327FF1">
      <w:pPr>
        <w:spacing w:before="120" w:after="120"/>
        <w:jc w:val="both"/>
        <w:rPr>
          <w:rFonts w:ascii="Times New Roman" w:eastAsia="Times New Roman" w:hAnsi="Times New Roman" w:cs="Times New Roman"/>
          <w:noProof/>
        </w:rPr>
      </w:pPr>
    </w:p>
    <w:p w14:paraId="51899CDE" w14:textId="77777777" w:rsidR="00327FF1" w:rsidRDefault="00E406C7">
      <w:pPr>
        <w:pStyle w:val="P68B1DB1-Heading341"/>
        <w:ind w:left="850" w:hanging="850"/>
        <w:rPr>
          <w:noProof/>
        </w:rPr>
      </w:pPr>
      <w:r>
        <w:rPr>
          <w:rFonts w:ascii="Times New Roman" w:eastAsia="Times New Roman" w:hAnsi="Times New Roman" w:cs="Times New Roman"/>
          <w:b/>
          <w:noProof/>
          <w:u w:val="single"/>
        </w:rPr>
        <w:t xml:space="preserve">E.4. </w:t>
      </w:r>
      <w:r>
        <w:rPr>
          <w:noProof/>
        </w:rPr>
        <w:t xml:space="preserve"> </w:t>
      </w:r>
      <w:r>
        <w:rPr>
          <w:rFonts w:ascii="Times New Roman" w:eastAsia="Times New Roman" w:hAnsi="Times New Roman" w:cs="Times New Roman"/>
          <w:b/>
          <w:noProof/>
          <w:u w:val="single"/>
        </w:rPr>
        <w:t xml:space="preserve">Atskaites punkti, mērķrādītāji, citi rādītāji un aizdevuma uzraudzības un īstenošanas grafiks </w:t>
      </w:r>
    </w:p>
    <w:tbl>
      <w:tblPr>
        <w:tblW w:w="52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2"/>
        <w:gridCol w:w="1559"/>
        <w:gridCol w:w="1775"/>
        <w:gridCol w:w="1612"/>
        <w:gridCol w:w="1428"/>
        <w:gridCol w:w="1201"/>
        <w:gridCol w:w="1420"/>
        <w:gridCol w:w="1201"/>
        <w:gridCol w:w="1018"/>
        <w:gridCol w:w="725"/>
        <w:gridCol w:w="2347"/>
      </w:tblGrid>
      <w:tr w:rsidR="00327FF1" w14:paraId="2F01B201" w14:textId="77777777">
        <w:trPr>
          <w:trHeight w:val="927"/>
          <w:tblHeader/>
          <w:jc w:val="center"/>
        </w:trPr>
        <w:tc>
          <w:tcPr>
            <w:tcW w:w="1402" w:type="dxa"/>
            <w:vMerge w:val="restart"/>
            <w:shd w:val="clear" w:color="auto" w:fill="BDD7EE"/>
            <w:vAlign w:val="center"/>
            <w:hideMark/>
          </w:tcPr>
          <w:p w14:paraId="2753E05E" w14:textId="77777777" w:rsidR="00327FF1" w:rsidRDefault="00E406C7">
            <w:pPr>
              <w:pStyle w:val="P68B1DB1-Normal14"/>
              <w:jc w:val="center"/>
              <w:rPr>
                <w:b/>
                <w:noProof/>
                <w:szCs w:val="20"/>
              </w:rPr>
            </w:pPr>
            <w:r>
              <w:rPr>
                <w:b/>
                <w:noProof/>
              </w:rPr>
              <w:t>Kārtas numurs</w:t>
            </w:r>
          </w:p>
        </w:tc>
        <w:tc>
          <w:tcPr>
            <w:tcW w:w="1559" w:type="dxa"/>
            <w:vMerge w:val="restart"/>
            <w:shd w:val="clear" w:color="auto" w:fill="BDD7EE"/>
            <w:vAlign w:val="center"/>
            <w:hideMark/>
          </w:tcPr>
          <w:p w14:paraId="57D34951" w14:textId="77777777" w:rsidR="00327FF1" w:rsidRDefault="00E406C7">
            <w:pPr>
              <w:pStyle w:val="P68B1DB1-Normal10"/>
              <w:jc w:val="center"/>
              <w:rPr>
                <w:noProof/>
                <w:szCs w:val="20"/>
              </w:rPr>
            </w:pPr>
            <w:r>
              <w:rPr>
                <w:noProof/>
              </w:rPr>
              <w:t>Saistītais pasākums (reforma vai ieguldījums)</w:t>
            </w:r>
          </w:p>
        </w:tc>
        <w:tc>
          <w:tcPr>
            <w:tcW w:w="1742" w:type="dxa"/>
            <w:vMerge w:val="restart"/>
            <w:shd w:val="clear" w:color="auto" w:fill="BDD7EE"/>
            <w:vAlign w:val="center"/>
            <w:hideMark/>
          </w:tcPr>
          <w:p w14:paraId="5FB09A17" w14:textId="77777777" w:rsidR="00327FF1" w:rsidRDefault="00E406C7">
            <w:pPr>
              <w:pStyle w:val="P68B1DB1-Normal10"/>
              <w:jc w:val="center"/>
              <w:rPr>
                <w:noProof/>
                <w:szCs w:val="20"/>
              </w:rPr>
            </w:pPr>
            <w:r>
              <w:rPr>
                <w:noProof/>
              </w:rPr>
              <w:t>Atskaites punkts/mērķrādītājs</w:t>
            </w:r>
          </w:p>
        </w:tc>
        <w:tc>
          <w:tcPr>
            <w:tcW w:w="1612" w:type="dxa"/>
            <w:vMerge w:val="restart"/>
            <w:shd w:val="clear" w:color="auto" w:fill="BDD7EE"/>
            <w:vAlign w:val="center"/>
            <w:hideMark/>
          </w:tcPr>
          <w:p w14:paraId="15145341" w14:textId="77777777" w:rsidR="00327FF1" w:rsidRDefault="00E406C7">
            <w:pPr>
              <w:pStyle w:val="P68B1DB1-Normal10"/>
              <w:jc w:val="center"/>
              <w:rPr>
                <w:noProof/>
                <w:szCs w:val="20"/>
              </w:rPr>
            </w:pPr>
            <w:r>
              <w:rPr>
                <w:noProof/>
              </w:rPr>
              <w:t>Nosaukums</w:t>
            </w:r>
          </w:p>
        </w:tc>
        <w:tc>
          <w:tcPr>
            <w:tcW w:w="1428" w:type="dxa"/>
            <w:vMerge w:val="restart"/>
            <w:shd w:val="clear" w:color="auto" w:fill="BDD7EE"/>
            <w:vAlign w:val="center"/>
            <w:hideMark/>
          </w:tcPr>
          <w:p w14:paraId="47CA917F" w14:textId="77777777" w:rsidR="00327FF1" w:rsidRDefault="00E406C7">
            <w:pPr>
              <w:jc w:val="center"/>
              <w:rPr>
                <w:rFonts w:ascii="Arial Narrow" w:hAnsi="Arial Narrow"/>
                <w:b/>
                <w:noProof/>
                <w:sz w:val="20"/>
                <w:szCs w:val="20"/>
              </w:rPr>
            </w:pPr>
            <w:r>
              <w:rPr>
                <w:rFonts w:ascii="Arial Narrow" w:hAnsi="Arial Narrow"/>
                <w:b/>
                <w:noProof/>
                <w:sz w:val="20"/>
              </w:rPr>
              <w:t>Kvalitātes rādītāji</w:t>
            </w:r>
            <w:r>
              <w:rPr>
                <w:rFonts w:ascii="Arial Narrow" w:hAnsi="Arial Narrow"/>
                <w:noProof/>
              </w:rPr>
              <w:t xml:space="preserve"> </w:t>
            </w:r>
            <w:r>
              <w:rPr>
                <w:noProof/>
              </w:rPr>
              <w:br/>
            </w:r>
            <w:r>
              <w:rPr>
                <w:rFonts w:ascii="Arial Narrow" w:hAnsi="Arial Narrow"/>
                <w:b/>
                <w:noProof/>
                <w:sz w:val="20"/>
              </w:rPr>
              <w:t>(attiecībā uz starpposma mērķiem)</w:t>
            </w:r>
          </w:p>
        </w:tc>
        <w:tc>
          <w:tcPr>
            <w:tcW w:w="3078" w:type="dxa"/>
            <w:gridSpan w:val="3"/>
            <w:shd w:val="clear" w:color="auto" w:fill="BDD7EE"/>
            <w:vAlign w:val="center"/>
            <w:hideMark/>
          </w:tcPr>
          <w:p w14:paraId="413C8769" w14:textId="77777777" w:rsidR="00327FF1" w:rsidRDefault="00E406C7">
            <w:pPr>
              <w:jc w:val="center"/>
              <w:rPr>
                <w:rFonts w:ascii="Arial Narrow" w:hAnsi="Arial Narrow"/>
                <w:b/>
                <w:noProof/>
                <w:sz w:val="20"/>
                <w:szCs w:val="20"/>
              </w:rPr>
            </w:pPr>
            <w:r>
              <w:rPr>
                <w:rFonts w:ascii="Arial Narrow" w:hAnsi="Arial Narrow"/>
                <w:b/>
                <w:noProof/>
                <w:sz w:val="20"/>
              </w:rPr>
              <w:t>Kvanti</w:t>
            </w:r>
            <w:r>
              <w:rPr>
                <w:rFonts w:ascii="Arial Narrow" w:hAnsi="Arial Narrow"/>
                <w:b/>
                <w:noProof/>
                <w:sz w:val="20"/>
              </w:rPr>
              <w:t>tatīvie rādītāji</w:t>
            </w:r>
            <w:r>
              <w:rPr>
                <w:noProof/>
              </w:rPr>
              <w:br/>
            </w:r>
            <w:r>
              <w:rPr>
                <w:rFonts w:ascii="Arial Narrow" w:hAnsi="Arial Narrow"/>
                <w:b/>
                <w:noProof/>
                <w:sz w:val="20"/>
              </w:rPr>
              <w:t>(mērķiem)</w:t>
            </w:r>
          </w:p>
        </w:tc>
        <w:tc>
          <w:tcPr>
            <w:tcW w:w="1607" w:type="dxa"/>
            <w:gridSpan w:val="2"/>
            <w:shd w:val="clear" w:color="auto" w:fill="BDD7EE"/>
            <w:vAlign w:val="center"/>
            <w:hideMark/>
          </w:tcPr>
          <w:p w14:paraId="4A238B8E" w14:textId="77777777" w:rsidR="00327FF1" w:rsidRDefault="00E406C7">
            <w:pPr>
              <w:pStyle w:val="P68B1DB1-Normal10"/>
              <w:jc w:val="center"/>
              <w:rPr>
                <w:noProof/>
                <w:szCs w:val="20"/>
              </w:rPr>
            </w:pPr>
            <w:r>
              <w:rPr>
                <w:noProof/>
              </w:rPr>
              <w:t>Orientējošs pabeigšanas termiņš</w:t>
            </w:r>
          </w:p>
        </w:tc>
        <w:tc>
          <w:tcPr>
            <w:tcW w:w="2347" w:type="dxa"/>
            <w:vMerge w:val="restart"/>
            <w:shd w:val="clear" w:color="auto" w:fill="BDD7EE"/>
            <w:vAlign w:val="center"/>
            <w:hideMark/>
          </w:tcPr>
          <w:p w14:paraId="50AD9A35" w14:textId="77777777" w:rsidR="00327FF1" w:rsidRDefault="00E406C7">
            <w:pPr>
              <w:pStyle w:val="P68B1DB1-Normal10"/>
              <w:rPr>
                <w:noProof/>
                <w:szCs w:val="20"/>
              </w:rPr>
            </w:pPr>
            <w:r>
              <w:rPr>
                <w:noProof/>
              </w:rPr>
              <w:t>Apraksts par katru atskaites punktu un mērķrādītāju</w:t>
            </w:r>
          </w:p>
        </w:tc>
      </w:tr>
      <w:tr w:rsidR="00327FF1" w14:paraId="3F5B04CC" w14:textId="77777777">
        <w:trPr>
          <w:trHeight w:val="771"/>
          <w:tblHeader/>
          <w:jc w:val="center"/>
        </w:trPr>
        <w:tc>
          <w:tcPr>
            <w:tcW w:w="1402" w:type="dxa"/>
            <w:vMerge/>
            <w:vAlign w:val="center"/>
            <w:hideMark/>
          </w:tcPr>
          <w:p w14:paraId="6F16A687" w14:textId="77777777" w:rsidR="00327FF1" w:rsidRDefault="00327FF1">
            <w:pPr>
              <w:jc w:val="center"/>
              <w:rPr>
                <w:rFonts w:ascii="Arial Narrow" w:hAnsi="Arial Narrow"/>
                <w:b/>
                <w:bCs/>
                <w:noProof/>
                <w:sz w:val="20"/>
                <w:szCs w:val="20"/>
              </w:rPr>
            </w:pPr>
          </w:p>
        </w:tc>
        <w:tc>
          <w:tcPr>
            <w:tcW w:w="1559" w:type="dxa"/>
            <w:vMerge/>
            <w:vAlign w:val="center"/>
            <w:hideMark/>
          </w:tcPr>
          <w:p w14:paraId="52FF84E6" w14:textId="77777777" w:rsidR="00327FF1" w:rsidRDefault="00327FF1">
            <w:pPr>
              <w:jc w:val="center"/>
              <w:rPr>
                <w:rFonts w:ascii="Arial Narrow" w:hAnsi="Arial Narrow"/>
                <w:b/>
                <w:bCs/>
                <w:noProof/>
                <w:sz w:val="20"/>
                <w:szCs w:val="20"/>
              </w:rPr>
            </w:pPr>
          </w:p>
        </w:tc>
        <w:tc>
          <w:tcPr>
            <w:tcW w:w="1742" w:type="dxa"/>
            <w:vMerge/>
            <w:vAlign w:val="center"/>
            <w:hideMark/>
          </w:tcPr>
          <w:p w14:paraId="2F9A4F23" w14:textId="77777777" w:rsidR="00327FF1" w:rsidRDefault="00327FF1">
            <w:pPr>
              <w:jc w:val="center"/>
              <w:rPr>
                <w:rFonts w:ascii="Arial Narrow" w:hAnsi="Arial Narrow"/>
                <w:b/>
                <w:bCs/>
                <w:noProof/>
                <w:sz w:val="20"/>
                <w:szCs w:val="20"/>
              </w:rPr>
            </w:pPr>
          </w:p>
        </w:tc>
        <w:tc>
          <w:tcPr>
            <w:tcW w:w="1612" w:type="dxa"/>
            <w:vMerge/>
            <w:vAlign w:val="center"/>
            <w:hideMark/>
          </w:tcPr>
          <w:p w14:paraId="4DDAB48D" w14:textId="77777777" w:rsidR="00327FF1" w:rsidRDefault="00327FF1">
            <w:pPr>
              <w:jc w:val="center"/>
              <w:rPr>
                <w:rFonts w:ascii="Arial Narrow" w:hAnsi="Arial Narrow"/>
                <w:b/>
                <w:bCs/>
                <w:noProof/>
                <w:sz w:val="20"/>
                <w:szCs w:val="20"/>
              </w:rPr>
            </w:pPr>
          </w:p>
        </w:tc>
        <w:tc>
          <w:tcPr>
            <w:tcW w:w="1428" w:type="dxa"/>
            <w:vMerge/>
            <w:vAlign w:val="center"/>
            <w:hideMark/>
          </w:tcPr>
          <w:p w14:paraId="5A4D5FF6" w14:textId="77777777" w:rsidR="00327FF1" w:rsidRDefault="00327FF1">
            <w:pPr>
              <w:jc w:val="center"/>
              <w:rPr>
                <w:rFonts w:ascii="Arial Narrow" w:hAnsi="Arial Narrow"/>
                <w:b/>
                <w:bCs/>
                <w:noProof/>
                <w:sz w:val="20"/>
                <w:szCs w:val="20"/>
              </w:rPr>
            </w:pPr>
          </w:p>
        </w:tc>
        <w:tc>
          <w:tcPr>
            <w:tcW w:w="1197" w:type="dxa"/>
            <w:shd w:val="clear" w:color="auto" w:fill="BDD7EE"/>
            <w:vAlign w:val="center"/>
            <w:hideMark/>
          </w:tcPr>
          <w:p w14:paraId="656738EE" w14:textId="77777777" w:rsidR="00327FF1" w:rsidRDefault="00E406C7">
            <w:pPr>
              <w:pStyle w:val="P68B1DB1-Normal10"/>
              <w:jc w:val="center"/>
              <w:rPr>
                <w:noProof/>
                <w:szCs w:val="20"/>
              </w:rPr>
            </w:pPr>
            <w:r>
              <w:rPr>
                <w:noProof/>
              </w:rPr>
              <w:t>Mēra vienība</w:t>
            </w:r>
          </w:p>
        </w:tc>
        <w:tc>
          <w:tcPr>
            <w:tcW w:w="972" w:type="dxa"/>
            <w:shd w:val="clear" w:color="auto" w:fill="BDD7EE"/>
            <w:vAlign w:val="center"/>
            <w:hideMark/>
          </w:tcPr>
          <w:p w14:paraId="43FFF720" w14:textId="77777777" w:rsidR="00327FF1" w:rsidRDefault="00E406C7">
            <w:pPr>
              <w:pStyle w:val="P68B1DB1-Normal10"/>
              <w:jc w:val="center"/>
              <w:rPr>
                <w:noProof/>
                <w:szCs w:val="20"/>
              </w:rPr>
            </w:pPr>
            <w:r>
              <w:rPr>
                <w:noProof/>
              </w:rPr>
              <w:t>Pamatscenārijs</w:t>
            </w:r>
          </w:p>
        </w:tc>
        <w:tc>
          <w:tcPr>
            <w:tcW w:w="909" w:type="dxa"/>
            <w:shd w:val="clear" w:color="auto" w:fill="BDD7EE"/>
            <w:vAlign w:val="center"/>
            <w:hideMark/>
          </w:tcPr>
          <w:p w14:paraId="4DB85958" w14:textId="77777777" w:rsidR="00327FF1" w:rsidRDefault="00E406C7">
            <w:pPr>
              <w:pStyle w:val="P68B1DB1-Normal10"/>
              <w:jc w:val="center"/>
              <w:rPr>
                <w:noProof/>
                <w:szCs w:val="20"/>
              </w:rPr>
            </w:pPr>
            <w:r>
              <w:rPr>
                <w:noProof/>
              </w:rPr>
              <w:t>Mērķis</w:t>
            </w:r>
          </w:p>
        </w:tc>
        <w:tc>
          <w:tcPr>
            <w:tcW w:w="882" w:type="dxa"/>
            <w:shd w:val="clear" w:color="auto" w:fill="BDD7EE"/>
            <w:vAlign w:val="center"/>
            <w:hideMark/>
          </w:tcPr>
          <w:p w14:paraId="34487330" w14:textId="77777777" w:rsidR="00327FF1" w:rsidRDefault="00E406C7">
            <w:pPr>
              <w:pStyle w:val="P68B1DB1-Normal10"/>
              <w:jc w:val="center"/>
              <w:rPr>
                <w:noProof/>
                <w:szCs w:val="20"/>
              </w:rPr>
            </w:pPr>
            <w:r>
              <w:rPr>
                <w:noProof/>
              </w:rPr>
              <w:t>Ceturkšņa laikā</w:t>
            </w:r>
          </w:p>
        </w:tc>
        <w:tc>
          <w:tcPr>
            <w:tcW w:w="725" w:type="dxa"/>
            <w:shd w:val="clear" w:color="auto" w:fill="BDD7EE"/>
            <w:vAlign w:val="center"/>
            <w:hideMark/>
          </w:tcPr>
          <w:p w14:paraId="5A77D9B1" w14:textId="77777777" w:rsidR="00327FF1" w:rsidRDefault="00E406C7">
            <w:pPr>
              <w:pStyle w:val="P68B1DB1-Normal10"/>
              <w:jc w:val="center"/>
              <w:rPr>
                <w:noProof/>
                <w:szCs w:val="20"/>
              </w:rPr>
            </w:pPr>
            <w:r>
              <w:rPr>
                <w:noProof/>
              </w:rPr>
              <w:t>Gadu</w:t>
            </w:r>
          </w:p>
        </w:tc>
        <w:tc>
          <w:tcPr>
            <w:tcW w:w="2347" w:type="dxa"/>
            <w:vMerge/>
            <w:vAlign w:val="center"/>
            <w:hideMark/>
          </w:tcPr>
          <w:p w14:paraId="42E752A9" w14:textId="77777777" w:rsidR="00327FF1" w:rsidRDefault="00327FF1">
            <w:pPr>
              <w:rPr>
                <w:rFonts w:ascii="Arial Narrow" w:hAnsi="Arial Narrow"/>
                <w:b/>
                <w:bCs/>
                <w:noProof/>
                <w:sz w:val="20"/>
                <w:szCs w:val="20"/>
              </w:rPr>
            </w:pPr>
          </w:p>
        </w:tc>
      </w:tr>
      <w:tr w:rsidR="00327FF1" w14:paraId="1ED45E99"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D3D310" w14:textId="77777777" w:rsidR="00327FF1" w:rsidRDefault="00E406C7">
            <w:pPr>
              <w:pStyle w:val="P68B1DB1-Normal12"/>
              <w:jc w:val="center"/>
              <w:rPr>
                <w:noProof/>
              </w:rPr>
            </w:pPr>
            <w:bookmarkStart w:id="17" w:name="_Hlk212539687"/>
            <w:r>
              <w:rPr>
                <w:noProof/>
              </w:rPr>
              <w:t>M2C2–5</w:t>
            </w:r>
            <w:bookmarkEnd w:id="17"/>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54D531" w14:textId="77777777" w:rsidR="00327FF1" w:rsidRDefault="00E406C7">
            <w:pPr>
              <w:pStyle w:val="P68B1DB1-Normal12"/>
              <w:jc w:val="center"/>
              <w:rPr>
                <w:noProof/>
              </w:rPr>
            </w:pPr>
            <w:r>
              <w:rPr>
                <w:noProof/>
              </w:rPr>
              <w:t xml:space="preserve">Investīcija 1.4. Biometāna attīstība saskaņā ar aprites ekonomikas </w:t>
            </w:r>
            <w:r>
              <w:rPr>
                <w:noProof/>
              </w:rPr>
              <w:t>veicināšanas kritērijiem</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83A47A" w14:textId="77777777" w:rsidR="00327FF1" w:rsidRDefault="00E406C7">
            <w:pPr>
              <w:pStyle w:val="P68B1DB1-Normal12"/>
              <w:jc w:val="center"/>
              <w:rPr>
                <w:noProof/>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99078" w14:textId="5FC1EF2F" w:rsidR="00327FF1" w:rsidRDefault="00E406C7">
            <w:pPr>
              <w:pStyle w:val="P68B1DB1-Normal12"/>
              <w:jc w:val="center"/>
              <w:rPr>
                <w:noProof/>
              </w:rPr>
            </w:pPr>
            <w:r>
              <w:rPr>
                <w:noProof/>
              </w:rPr>
              <w:t>Īstenošanas nolīgums, ar galīgajiem saņēmējiem parakstītie juridiskie nolīgumi un ieguldījumu pabeigšana</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38359E" w14:textId="77777777" w:rsidR="00327FF1" w:rsidRDefault="00E406C7">
            <w:pPr>
              <w:pStyle w:val="P68B1DB1-Normal12"/>
              <w:jc w:val="center"/>
              <w:rPr>
                <w:noProof/>
              </w:rPr>
            </w:pPr>
            <w:r>
              <w:rPr>
                <w:noProof/>
              </w:rPr>
              <w:t xml:space="preserve">Īstenošanas nolīguma, parakstīto juridisko nolīgumu un nodošanas apliecības stāšanās spēkā </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6DC911" w14:textId="2116C041" w:rsidR="00327FF1" w:rsidRDefault="00E406C7">
            <w:pPr>
              <w:pStyle w:val="P68B1DB1-Normal12"/>
              <w:jc w:val="center"/>
              <w:rPr>
                <w:noProof/>
              </w:rPr>
            </w:pPr>
            <w:r>
              <w:rPr>
                <w:noProof/>
              </w:rPr>
              <w:t xml:space="preserve">NEPIEMĒRO </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C73C68" w14:textId="511808CE" w:rsidR="00327FF1" w:rsidRDefault="00E406C7">
            <w:pPr>
              <w:pStyle w:val="P68B1DB1-Normal12"/>
              <w:jc w:val="center"/>
              <w:rPr>
                <w:noProof/>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55A90" w14:textId="2216B6EF" w:rsidR="00327FF1" w:rsidRDefault="00E406C7">
            <w:pPr>
              <w:pStyle w:val="P68B1DB1-Normal12"/>
              <w:jc w:val="center"/>
              <w:rPr>
                <w:noProof/>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503F05" w14:textId="01B41373" w:rsidR="00327FF1" w:rsidRDefault="00E406C7">
            <w:pPr>
              <w:pStyle w:val="P68B1DB1-Normal12"/>
              <w:jc w:val="center"/>
              <w:rPr>
                <w:noProof/>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8E94A3" w14:textId="4C19ABFF" w:rsidR="00327FF1" w:rsidRDefault="00E406C7">
            <w:pPr>
              <w:pStyle w:val="P68B1DB1-Normal12"/>
              <w:jc w:val="center"/>
              <w:rPr>
                <w:noProof/>
              </w:rPr>
            </w:pPr>
            <w:r>
              <w:rPr>
                <w:noProof/>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18D1CA" w14:textId="58E4A4B1" w:rsidR="00327FF1" w:rsidRDefault="00E406C7">
            <w:pPr>
              <w:pStyle w:val="P68B1DB1-Normal12"/>
              <w:rPr>
                <w:noProof/>
              </w:rPr>
            </w:pPr>
            <w:r>
              <w:rPr>
                <w:noProof/>
              </w:rPr>
              <w:t>Īstenošanas nolīguma stāšanās spēkā.</w:t>
            </w:r>
          </w:p>
          <w:p w14:paraId="60352BC4" w14:textId="78E8B911" w:rsidR="00327FF1" w:rsidRDefault="00E406C7">
            <w:pPr>
              <w:pStyle w:val="P68B1DB1-Normal12"/>
              <w:rPr>
                <w:noProof/>
              </w:rPr>
            </w:pPr>
            <w:r>
              <w:rPr>
                <w:noProof/>
              </w:rPr>
              <w:t>Itālija pārvieto EUR 2236020000 uz GSE par iekārtu.</w:t>
            </w:r>
          </w:p>
          <w:p w14:paraId="72DCE1EE" w14:textId="0FE830D4" w:rsidR="00327FF1" w:rsidRDefault="00E406C7">
            <w:pPr>
              <w:pStyle w:val="P68B1DB1-Normal12"/>
              <w:rPr>
                <w:noProof/>
              </w:rPr>
            </w:pPr>
            <w:r>
              <w:rPr>
                <w:noProof/>
              </w:rPr>
              <w:t xml:space="preserve">GSE ir noslēgusi juridiskus dotāciju nolīgumus ar galasaņēmējiem par summu, kas nepieciešama, lai shēmā izmantotu 100 % no ANM investīcijām (ņemot vērā pārvaldības maksas). </w:t>
            </w:r>
          </w:p>
        </w:tc>
      </w:tr>
      <w:tr w:rsidR="00327FF1" w14:paraId="3A251113"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3DE63A" w14:textId="77777777" w:rsidR="00327FF1" w:rsidRDefault="00E406C7">
            <w:pPr>
              <w:pStyle w:val="P68B1DB1-Normal11"/>
              <w:jc w:val="center"/>
              <w:rPr>
                <w:noProof/>
              </w:rPr>
            </w:pPr>
            <w:r>
              <w:rPr>
                <w:noProof/>
              </w:rPr>
              <w:t>M2C2–9</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B62652" w14:textId="77777777" w:rsidR="00327FF1" w:rsidRDefault="00E406C7">
            <w:pPr>
              <w:pStyle w:val="P68B1DB1-Normal11"/>
              <w:jc w:val="center"/>
              <w:rPr>
                <w:noProof/>
              </w:rPr>
            </w:pPr>
            <w:r>
              <w:rPr>
                <w:noProof/>
              </w:rPr>
              <w:t>Investīcija 2.1. Viedo tīklu stiprināšana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E8FD2B" w14:textId="77777777" w:rsidR="00327FF1" w:rsidRDefault="00E406C7">
            <w:pPr>
              <w:pStyle w:val="P68B1DB1-Normal11"/>
              <w:jc w:val="center"/>
              <w:rPr>
                <w:noProof/>
              </w:rPr>
            </w:pPr>
            <w:r>
              <w:rPr>
                <w:noProof/>
              </w:rPr>
              <w:t>Mērķa</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452B3E" w14:textId="77777777" w:rsidR="00327FF1" w:rsidRDefault="00E406C7">
            <w:pPr>
              <w:pStyle w:val="P68B1DB1-Normal11"/>
              <w:jc w:val="center"/>
              <w:rPr>
                <w:noProof/>
              </w:rPr>
            </w:pPr>
            <w:r>
              <w:rPr>
                <w:noProof/>
              </w:rPr>
              <w:t xml:space="preserve">Viedie tīkli — tīkla </w:t>
            </w:r>
            <w:r>
              <w:rPr>
                <w:noProof/>
              </w:rPr>
              <w:t>jaudas palielināšana atjaunojamo energoresursu sadalei</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98D472" w14:textId="77777777" w:rsidR="00327FF1" w:rsidRDefault="00E406C7">
            <w:pPr>
              <w:pStyle w:val="P68B1DB1-Normal11"/>
              <w:jc w:val="center"/>
              <w:rPr>
                <w:noProof/>
              </w:rPr>
            </w:pPr>
            <w:r>
              <w:rPr>
                <w:noProof/>
              </w:rPr>
              <w:t>NEPIEMĒRO</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1AFAF8" w14:textId="77777777" w:rsidR="00327FF1" w:rsidRDefault="00E406C7">
            <w:pPr>
              <w:pStyle w:val="P68B1DB1-Normal11"/>
              <w:jc w:val="center"/>
              <w:rPr>
                <w:noProof/>
              </w:rPr>
            </w:pPr>
            <w:r>
              <w:rPr>
                <w:noProof/>
              </w:rPr>
              <w:t>Skaits</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1AE8F6" w14:textId="77777777" w:rsidR="00327FF1" w:rsidRDefault="00E406C7">
            <w:pPr>
              <w:pStyle w:val="P68B1DB1-Normal11"/>
              <w:jc w:val="center"/>
              <w:rPr>
                <w:noProof/>
              </w:rPr>
            </w:pPr>
            <w:r>
              <w:rPr>
                <w:noProof/>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6822B9" w14:textId="2D5F0903" w:rsidR="00327FF1" w:rsidRDefault="00E406C7">
            <w:pPr>
              <w:pStyle w:val="P68B1DB1-Normal11"/>
              <w:jc w:val="center"/>
              <w:rPr>
                <w:noProof/>
              </w:rPr>
            </w:pPr>
            <w:r>
              <w:rPr>
                <w:noProof/>
              </w:rPr>
              <w:t>1 000</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08E8B4" w14:textId="77777777" w:rsidR="00327FF1" w:rsidRDefault="00E406C7">
            <w:pPr>
              <w:pStyle w:val="P68B1DB1-Normal11"/>
              <w:jc w:val="center"/>
              <w:rPr>
                <w:noProof/>
              </w:rPr>
            </w:pPr>
            <w:r>
              <w:rPr>
                <w:noProof/>
              </w:rPr>
              <w:t>4.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3FE88" w14:textId="77777777" w:rsidR="00327FF1" w:rsidRDefault="00E406C7">
            <w:pPr>
              <w:pStyle w:val="P68B1DB1-Normal11"/>
              <w:jc w:val="center"/>
              <w:rPr>
                <w:noProof/>
              </w:rPr>
            </w:pPr>
            <w:r>
              <w:rPr>
                <w:noProof/>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D889A4" w14:textId="77777777" w:rsidR="00327FF1" w:rsidRDefault="00E406C7">
            <w:pPr>
              <w:pStyle w:val="P68B1DB1-Normal44"/>
              <w:rPr>
                <w:rFonts w:hAnsi="Arial Narrow"/>
                <w:noProof/>
              </w:rPr>
            </w:pPr>
            <w:r>
              <w:rPr>
                <w:noProof/>
              </w:rPr>
              <w:t>Palielin</w:t>
            </w:r>
            <w:r>
              <w:rPr>
                <w:noProof/>
              </w:rPr>
              <w:t>ā</w:t>
            </w:r>
            <w:r>
              <w:rPr>
                <w:noProof/>
              </w:rPr>
              <w:t>t t</w:t>
            </w:r>
            <w:r>
              <w:rPr>
                <w:noProof/>
              </w:rPr>
              <w:t>ī</w:t>
            </w:r>
            <w:r>
              <w:rPr>
                <w:noProof/>
              </w:rPr>
              <w:t>kla jaudu atjaunojamo energoresursu sadalei vismaz par 1</w:t>
            </w:r>
            <w:r>
              <w:rPr>
                <w:noProof/>
              </w:rPr>
              <w:t> </w:t>
            </w:r>
            <w:r>
              <w:rPr>
                <w:noProof/>
              </w:rPr>
              <w:t>000</w:t>
            </w:r>
            <w:r>
              <w:rPr>
                <w:noProof/>
              </w:rPr>
              <w:t> </w:t>
            </w:r>
            <w:r>
              <w:rPr>
                <w:noProof/>
              </w:rPr>
              <w:t>MW</w:t>
            </w:r>
          </w:p>
        </w:tc>
      </w:tr>
      <w:tr w:rsidR="00327FF1" w14:paraId="56101D80"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01A0D2" w14:textId="77777777" w:rsidR="00327FF1" w:rsidRDefault="00E406C7">
            <w:pPr>
              <w:pStyle w:val="P68B1DB1-Normal11"/>
              <w:jc w:val="center"/>
              <w:rPr>
                <w:noProof/>
              </w:rPr>
            </w:pPr>
            <w:r>
              <w:rPr>
                <w:noProof/>
              </w:rPr>
              <w:t>M2C2–17</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83659E" w14:textId="77777777" w:rsidR="00327FF1" w:rsidRDefault="00E406C7">
            <w:pPr>
              <w:pStyle w:val="P68B1DB1-Normal12"/>
              <w:jc w:val="center"/>
              <w:rPr>
                <w:noProof/>
              </w:rPr>
            </w:pPr>
            <w:r>
              <w:rPr>
                <w:noProof/>
              </w:rPr>
              <w:t>Investīcija 3.4. Ūdeņraža testēšana dzelzceļa mobilitātē un autotransportā</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DE2341" w14:textId="77777777" w:rsidR="00327FF1" w:rsidRDefault="00E406C7">
            <w:pPr>
              <w:pStyle w:val="P68B1DB1-Normal11"/>
              <w:jc w:val="center"/>
              <w:rPr>
                <w:noProof/>
              </w:rPr>
            </w:pPr>
            <w:r>
              <w:rPr>
                <w:noProof/>
              </w:rPr>
              <w:t>Mērķa</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FB720A" w14:textId="77777777" w:rsidR="00327FF1" w:rsidRDefault="00E406C7">
            <w:pPr>
              <w:pStyle w:val="P68B1DB1-Normal12"/>
              <w:jc w:val="center"/>
              <w:rPr>
                <w:noProof/>
              </w:rPr>
            </w:pPr>
            <w:r>
              <w:rPr>
                <w:noProof/>
              </w:rPr>
              <w:t>Uzbūvēto ūdeņraža uzpildes staciju skaits</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52EC63" w14:textId="77777777" w:rsidR="00327FF1" w:rsidRDefault="00E406C7">
            <w:pPr>
              <w:pStyle w:val="P68B1DB1-Normal11"/>
              <w:jc w:val="center"/>
              <w:rPr>
                <w:noProof/>
              </w:rPr>
            </w:pPr>
            <w:r>
              <w:rPr>
                <w:noProof/>
              </w:rPr>
              <w:t>NEPIEMĒRO</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34417" w14:textId="77777777" w:rsidR="00327FF1" w:rsidRDefault="00E406C7">
            <w:pPr>
              <w:pStyle w:val="P68B1DB1-Normal11"/>
              <w:jc w:val="center"/>
              <w:rPr>
                <w:noProof/>
              </w:rPr>
            </w:pPr>
            <w:r>
              <w:rPr>
                <w:noProof/>
              </w:rPr>
              <w:t>Skaits</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98140D" w14:textId="77777777" w:rsidR="00327FF1" w:rsidRDefault="00E406C7">
            <w:pPr>
              <w:pStyle w:val="P68B1DB1-Normal11"/>
              <w:jc w:val="center"/>
              <w:rPr>
                <w:noProof/>
              </w:rPr>
            </w:pPr>
            <w:r>
              <w:rPr>
                <w:noProof/>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460D91" w14:textId="20214810" w:rsidR="00327FF1" w:rsidRDefault="00E406C7">
            <w:pPr>
              <w:pStyle w:val="P68B1DB1-Normal12"/>
              <w:jc w:val="center"/>
              <w:rPr>
                <w:noProof/>
              </w:rPr>
            </w:pPr>
            <w:r>
              <w:rPr>
                <w:noProof/>
              </w:rPr>
              <w:t>29</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833B29" w14:textId="77777777" w:rsidR="00327FF1" w:rsidRDefault="00E406C7">
            <w:pPr>
              <w:pStyle w:val="P68B1DB1-Normal11"/>
              <w:jc w:val="center"/>
              <w:rPr>
                <w:noProof/>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1524F" w14:textId="77777777" w:rsidR="00327FF1" w:rsidRDefault="00E406C7">
            <w:pPr>
              <w:pStyle w:val="P68B1DB1-Normal11"/>
              <w:jc w:val="center"/>
              <w:rPr>
                <w:noProof/>
              </w:rPr>
            </w:pPr>
            <w:r>
              <w:rPr>
                <w:noProof/>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3F864E" w14:textId="3E829DD4" w:rsidR="00327FF1" w:rsidRDefault="00E406C7">
            <w:pPr>
              <w:pStyle w:val="P68B1DB1-Normal12"/>
              <w:spacing w:after="120"/>
              <w:rPr>
                <w:noProof/>
              </w:rPr>
            </w:pPr>
            <w:r>
              <w:rPr>
                <w:noProof/>
              </w:rPr>
              <w:t>Pabeigšanas sertifikātus izdod par vismaz astoņu ar ūdeņradi darbināmu dzelzceļa uzpildes staciju izbūvi vismaz piecās dzelzceļa līnijās un vismaz 21 ūdeņraža uzpildes staci</w:t>
            </w:r>
            <w:r>
              <w:rPr>
                <w:noProof/>
              </w:rPr>
              <w:t>ju autotransportam.</w:t>
            </w:r>
          </w:p>
        </w:tc>
      </w:tr>
      <w:tr w:rsidR="00327FF1" w14:paraId="1999AC37"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48960F" w14:textId="77777777" w:rsidR="00327FF1" w:rsidRDefault="00E406C7">
            <w:pPr>
              <w:pStyle w:val="P68B1DB1-Normal12"/>
              <w:jc w:val="center"/>
              <w:rPr>
                <w:noProof/>
              </w:rPr>
            </w:pPr>
            <w:r>
              <w:rPr>
                <w:noProof/>
              </w:rPr>
              <w:t>M2C2–19</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B1A021" w14:textId="77777777" w:rsidR="00327FF1" w:rsidRDefault="00E406C7">
            <w:pPr>
              <w:pStyle w:val="P68B1DB1-Normal11"/>
              <w:jc w:val="center"/>
              <w:rPr>
                <w:noProof/>
              </w:rPr>
            </w:pPr>
            <w:r>
              <w:rPr>
                <w:noProof/>
              </w:rPr>
              <w:t>Investīcija 3.5. Ūdeņraža pētniecība un izstrāde</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58F44C" w14:textId="77777777" w:rsidR="00327FF1" w:rsidRDefault="00E406C7">
            <w:pPr>
              <w:pStyle w:val="P68B1DB1-Normal11"/>
              <w:jc w:val="center"/>
              <w:rPr>
                <w:noProof/>
              </w:rPr>
            </w:pPr>
            <w:r>
              <w:rPr>
                <w:noProof/>
              </w:rPr>
              <w:t>Mērķa</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0C714" w14:textId="77777777" w:rsidR="00327FF1" w:rsidRDefault="00E406C7">
            <w:pPr>
              <w:pStyle w:val="P68B1DB1-Normal11"/>
              <w:jc w:val="center"/>
              <w:rPr>
                <w:noProof/>
              </w:rPr>
            </w:pPr>
            <w:r>
              <w:rPr>
                <w:noProof/>
              </w:rPr>
              <w:t>Ūdeņraža pētniecības un izstrādes projektu skaits</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01F7F8" w14:textId="77777777" w:rsidR="00327FF1" w:rsidRDefault="00E406C7">
            <w:pPr>
              <w:pStyle w:val="P68B1DB1-Normal11"/>
              <w:jc w:val="center"/>
              <w:rPr>
                <w:noProof/>
              </w:rPr>
            </w:pPr>
            <w:r>
              <w:rPr>
                <w:noProof/>
              </w:rPr>
              <w:t>NEPIEMĒRO</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92DDA8" w14:textId="77777777" w:rsidR="00327FF1" w:rsidRDefault="00E406C7">
            <w:pPr>
              <w:pStyle w:val="P68B1DB1-Normal11"/>
              <w:jc w:val="center"/>
              <w:rPr>
                <w:noProof/>
              </w:rPr>
            </w:pPr>
            <w:r>
              <w:rPr>
                <w:noProof/>
              </w:rPr>
              <w:t>Skaits</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4E3379" w14:textId="77777777" w:rsidR="00327FF1" w:rsidRDefault="00E406C7">
            <w:pPr>
              <w:pStyle w:val="P68B1DB1-Normal11"/>
              <w:jc w:val="center"/>
              <w:rPr>
                <w:noProof/>
              </w:rPr>
            </w:pPr>
            <w:r>
              <w:rPr>
                <w:noProof/>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1980B2" w14:textId="77777777" w:rsidR="00327FF1" w:rsidRDefault="00E406C7">
            <w:pPr>
              <w:pStyle w:val="P68B1DB1-Normal11"/>
              <w:jc w:val="center"/>
              <w:rPr>
                <w:noProof/>
              </w:rPr>
            </w:pPr>
            <w:r>
              <w:rPr>
                <w:noProof/>
              </w:rPr>
              <w:t>10</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B2168" w14:textId="77777777" w:rsidR="00327FF1" w:rsidRDefault="00E406C7">
            <w:pPr>
              <w:pStyle w:val="P68B1DB1-Normal11"/>
              <w:jc w:val="center"/>
              <w:rPr>
                <w:noProof/>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ED461C" w14:textId="77777777" w:rsidR="00327FF1" w:rsidRDefault="00E406C7">
            <w:pPr>
              <w:pStyle w:val="P68B1DB1-Normal11"/>
              <w:jc w:val="center"/>
              <w:rPr>
                <w:noProof/>
              </w:rPr>
            </w:pPr>
            <w:r>
              <w:rPr>
                <w:noProof/>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A763E7" w14:textId="2A67BC44" w:rsidR="00327FF1" w:rsidRDefault="00E406C7">
            <w:pPr>
              <w:pStyle w:val="P68B1DB1-Normal12"/>
              <w:spacing w:after="120"/>
              <w:rPr>
                <w:noProof/>
              </w:rPr>
            </w:pPr>
            <w:r>
              <w:rPr>
                <w:noProof/>
              </w:rPr>
              <w:t xml:space="preserve">Ziņojumi par pētniecības darbību pabeigšanu, kas izdoti par vismaz 10 pētniecības un attīstības projektiem šādās jomās: </w:t>
            </w:r>
          </w:p>
          <w:p w14:paraId="25B09CEA" w14:textId="77777777" w:rsidR="00327FF1" w:rsidRDefault="00E406C7">
            <w:pPr>
              <w:pStyle w:val="P68B1DB1-Normal12"/>
              <w:spacing w:after="120"/>
              <w:rPr>
                <w:noProof/>
              </w:rPr>
            </w:pPr>
            <w:r>
              <w:rPr>
                <w:noProof/>
              </w:rPr>
              <w:t>zaļā ūdeņraža ražošana</w:t>
            </w:r>
          </w:p>
          <w:p w14:paraId="03808A90" w14:textId="77777777" w:rsidR="00327FF1" w:rsidRDefault="00E406C7">
            <w:pPr>
              <w:pStyle w:val="P68B1DB1-Normal12"/>
              <w:spacing w:after="120"/>
              <w:rPr>
                <w:noProof/>
              </w:rPr>
            </w:pPr>
            <w:r>
              <w:rPr>
                <w:noProof/>
              </w:rPr>
              <w:t>ūdeņraža uzglabāšana, transportēšana un pārveidošana par atvasinājumiem un e-degvielām</w:t>
            </w:r>
          </w:p>
          <w:p w14:paraId="755069B6" w14:textId="77777777" w:rsidR="00327FF1" w:rsidRDefault="00E406C7">
            <w:pPr>
              <w:pStyle w:val="P68B1DB1-Normal12"/>
              <w:spacing w:after="120"/>
              <w:rPr>
                <w:noProof/>
              </w:rPr>
            </w:pPr>
            <w:r>
              <w:rPr>
                <w:noProof/>
              </w:rPr>
              <w:t xml:space="preserve">C) Degvielas elementi </w:t>
            </w:r>
          </w:p>
          <w:p w14:paraId="418154A9" w14:textId="53B05575" w:rsidR="00327FF1" w:rsidRDefault="00E406C7">
            <w:pPr>
              <w:pStyle w:val="P68B1DB1-Normal12"/>
              <w:spacing w:after="120"/>
              <w:rPr>
                <w:noProof/>
              </w:rPr>
            </w:pPr>
            <w:r>
              <w:rPr>
                <w:noProof/>
              </w:rPr>
              <w:t>in</w:t>
            </w:r>
            <w:r>
              <w:rPr>
                <w:noProof/>
              </w:rPr>
              <w:t>telektiskas uz ūdeņradi balstītas infrastruktūras integrēta vieda pārvaldība</w:t>
            </w:r>
          </w:p>
        </w:tc>
      </w:tr>
      <w:tr w:rsidR="00327FF1" w14:paraId="1248F73E"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708522" w14:textId="77777777" w:rsidR="00327FF1" w:rsidRDefault="00E406C7">
            <w:pPr>
              <w:pStyle w:val="P68B1DB1-Normal11"/>
              <w:jc w:val="center"/>
              <w:rPr>
                <w:noProof/>
              </w:rPr>
            </w:pPr>
            <w:r>
              <w:rPr>
                <w:noProof/>
              </w:rPr>
              <w:t>M2C2–24</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B04A4E" w14:textId="77777777" w:rsidR="00327FF1" w:rsidRDefault="00E406C7">
            <w:pPr>
              <w:pStyle w:val="P68B1DB1-Normal11"/>
              <w:jc w:val="center"/>
              <w:rPr>
                <w:noProof/>
              </w:rPr>
            </w:pPr>
            <w:r>
              <w:rPr>
                <w:noProof/>
              </w:rPr>
              <w:t xml:space="preserve">Investīcija 4.2. Ātrā masu transporta sistēmu attīstība </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1F942F" w14:textId="77777777" w:rsidR="00327FF1" w:rsidRDefault="00E406C7">
            <w:pPr>
              <w:pStyle w:val="P68B1DB1-Normal11"/>
              <w:jc w:val="center"/>
              <w:rPr>
                <w:noProof/>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84C70A" w14:textId="77777777" w:rsidR="00327FF1" w:rsidRDefault="00E406C7">
            <w:pPr>
              <w:pStyle w:val="P68B1DB1-Normal11"/>
              <w:jc w:val="center"/>
              <w:rPr>
                <w:noProof/>
                <w:szCs w:val="20"/>
              </w:rPr>
            </w:pPr>
            <w:r>
              <w:rPr>
                <w:noProof/>
              </w:rPr>
              <w:t>Visu publiskā iepirkuma līgumu slēgšanas tiesību piešķiršana par</w:t>
            </w:r>
            <w:r>
              <w:rPr>
                <w:noProof/>
                <w:shd w:val="clear" w:color="auto" w:fill="E6E6E6"/>
              </w:rPr>
              <w:t xml:space="preserve"> </w:t>
            </w:r>
            <w:r>
              <w:rPr>
                <w:noProof/>
              </w:rPr>
              <w:t xml:space="preserve">infrastruktūras izveidi ātrajām masu transporta sistēmām </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D476C4" w14:textId="77777777" w:rsidR="00327FF1" w:rsidRDefault="00E406C7">
            <w:pPr>
              <w:pStyle w:val="P68B1DB1-Normal11"/>
              <w:jc w:val="center"/>
              <w:rPr>
                <w:noProof/>
              </w:rPr>
            </w:pPr>
            <w:r>
              <w:rPr>
                <w:noProof/>
              </w:rPr>
              <w:t>Paziņojums par visu publisko līgumu slēgšanas tiesību piešķiršanu</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DD1685" w14:textId="77777777" w:rsidR="00327FF1" w:rsidRDefault="00E406C7">
            <w:pPr>
              <w:pStyle w:val="P68B1DB1-Normal11"/>
              <w:jc w:val="center"/>
              <w:rPr>
                <w:noProof/>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B5B392" w14:textId="77777777" w:rsidR="00327FF1" w:rsidRDefault="00E406C7">
            <w:pPr>
              <w:pStyle w:val="P68B1DB1-Normal11"/>
              <w:jc w:val="center"/>
              <w:rPr>
                <w:noProof/>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B6DE47" w14:textId="77777777" w:rsidR="00327FF1" w:rsidRDefault="00E406C7">
            <w:pPr>
              <w:pStyle w:val="P68B1DB1-Normal11"/>
              <w:jc w:val="center"/>
              <w:rPr>
                <w:noProof/>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7A1565" w14:textId="77777777" w:rsidR="00327FF1" w:rsidRDefault="00E406C7">
            <w:pPr>
              <w:pStyle w:val="P68B1DB1-Normal11"/>
              <w:jc w:val="center"/>
              <w:rPr>
                <w:noProof/>
              </w:rPr>
            </w:pPr>
            <w:r>
              <w:rPr>
                <w:noProof/>
              </w:rPr>
              <w:t>4.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93A818" w14:textId="77777777" w:rsidR="00327FF1" w:rsidRDefault="00E406C7">
            <w:pPr>
              <w:pStyle w:val="P68B1DB1-Normal11"/>
              <w:jc w:val="center"/>
              <w:rPr>
                <w:noProof/>
              </w:rPr>
            </w:pPr>
            <w:r>
              <w:rPr>
                <w:noProof/>
              </w:rPr>
              <w:t>2023</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A489D8" w14:textId="77777777" w:rsidR="00327FF1" w:rsidRDefault="00E406C7">
            <w:pPr>
              <w:pStyle w:val="P68B1DB1-Normal11"/>
              <w:rPr>
                <w:noProof/>
              </w:rPr>
            </w:pPr>
            <w:r>
              <w:rPr>
                <w:noProof/>
              </w:rPr>
              <w:t xml:space="preserve">Paziņojums par visu valsts līgumu slēgšanas tiesību piešķiršanu infrastruktūras projektu </w:t>
            </w:r>
            <w:r>
              <w:rPr>
                <w:noProof/>
              </w:rPr>
              <w:t>izvēršanai, kā noteikts pasākuma aprakstā.</w:t>
            </w:r>
          </w:p>
        </w:tc>
      </w:tr>
      <w:tr w:rsidR="00327FF1" w14:paraId="11E82CB5"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41BBD9" w14:textId="77777777" w:rsidR="00327FF1" w:rsidRDefault="00E406C7">
            <w:pPr>
              <w:pStyle w:val="P68B1DB1-Normal11"/>
              <w:jc w:val="center"/>
              <w:rPr>
                <w:noProof/>
              </w:rPr>
            </w:pPr>
            <w:r>
              <w:rPr>
                <w:noProof/>
              </w:rPr>
              <w:t>M2C2–25</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D041C2" w14:textId="77777777" w:rsidR="00327FF1" w:rsidRDefault="00E406C7">
            <w:pPr>
              <w:pStyle w:val="P68B1DB1-Normal11"/>
              <w:jc w:val="center"/>
              <w:rPr>
                <w:noProof/>
              </w:rPr>
            </w:pPr>
            <w:r>
              <w:rPr>
                <w:noProof/>
              </w:rPr>
              <w:t>Investīcija 4.2. Ātrā masu transporta sistēmu attīstība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7785B9" w14:textId="77777777" w:rsidR="00327FF1" w:rsidRDefault="00E406C7">
            <w:pPr>
              <w:pStyle w:val="P68B1DB1-Normal11"/>
              <w:jc w:val="center"/>
              <w:rPr>
                <w:noProof/>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51C04F" w14:textId="77777777" w:rsidR="00327FF1" w:rsidRDefault="00E406C7">
            <w:pPr>
              <w:pStyle w:val="P68B1DB1-Normal14"/>
              <w:jc w:val="center"/>
              <w:rPr>
                <w:noProof/>
                <w:color w:val="006100"/>
              </w:rPr>
            </w:pPr>
            <w:r>
              <w:rPr>
                <w:noProof/>
                <w:color w:val="006100"/>
              </w:rPr>
              <w:t xml:space="preserve"> Visu publisko līgumu slēgšanas tiesību piešķiršana bezemisiju ritošā sastāva iegādei un intervences ātrās masas transporta sistēmu infrastruktūras modernizācijai</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4B4FB8" w14:textId="77777777" w:rsidR="00327FF1" w:rsidRDefault="00E406C7">
            <w:pPr>
              <w:pStyle w:val="P68B1DB1-Normal11"/>
              <w:jc w:val="center"/>
              <w:rPr>
                <w:noProof/>
              </w:rPr>
            </w:pPr>
            <w:r>
              <w:rPr>
                <w:noProof/>
              </w:rPr>
              <w:t xml:space="preserve">Paziņojums par visu publisko līgumu slēgšanas tiesību piešķiršanu </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E2873" w14:textId="77777777" w:rsidR="00327FF1" w:rsidRDefault="00E406C7">
            <w:pPr>
              <w:pStyle w:val="P68B1DB1-Normal11"/>
              <w:jc w:val="center"/>
              <w:rPr>
                <w:noProof/>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A29F1D" w14:textId="77777777" w:rsidR="00327FF1" w:rsidRDefault="00E406C7">
            <w:pPr>
              <w:pStyle w:val="P68B1DB1-Normal11"/>
              <w:jc w:val="center"/>
              <w:rPr>
                <w:noProof/>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BF057B" w14:textId="77777777" w:rsidR="00327FF1" w:rsidRDefault="00E406C7">
            <w:pPr>
              <w:pStyle w:val="P68B1DB1-Normal11"/>
              <w:jc w:val="center"/>
              <w:rPr>
                <w:noProof/>
              </w:rPr>
            </w:pPr>
            <w:r>
              <w:rPr>
                <w:noProof/>
              </w:rPr>
              <w:t>NEPIEM</w:t>
            </w:r>
            <w:r>
              <w:rPr>
                <w:noProof/>
              </w:rPr>
              <w:t>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4239E5" w14:textId="77777777" w:rsidR="00327FF1" w:rsidRDefault="00E406C7">
            <w:pPr>
              <w:pStyle w:val="P68B1DB1-Normal11"/>
              <w:jc w:val="center"/>
              <w:rPr>
                <w:noProof/>
                <w:szCs w:val="20"/>
              </w:rPr>
            </w:pPr>
            <w:r>
              <w:rPr>
                <w:noProof/>
              </w:rPr>
              <w:t>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B3C38F" w14:textId="77777777" w:rsidR="00327FF1" w:rsidRDefault="00E406C7">
            <w:pPr>
              <w:pStyle w:val="P68B1DB1-Normal11"/>
              <w:jc w:val="center"/>
              <w:rPr>
                <w:noProof/>
              </w:rPr>
            </w:pPr>
            <w:r>
              <w:rPr>
                <w:noProof/>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6215BA" w14:textId="77777777" w:rsidR="00327FF1" w:rsidRDefault="00E406C7">
            <w:pPr>
              <w:pStyle w:val="P68B1DB1-Normal14"/>
              <w:rPr>
                <w:noProof/>
              </w:rPr>
            </w:pPr>
            <w:r>
              <w:rPr>
                <w:noProof/>
                <w:color w:val="006100"/>
              </w:rPr>
              <w:t>Paziņojums par visu valsts līgumu slēgšanas tiesību piešķiršanu, lai iegādātos vismaz 85 ritošā sastāva vienības un vismaz 5 intervences ātras masas transporta sistēmu infrastruktūras modernizācijai, kā noteikts pasākuma aprakstā.</w:t>
            </w:r>
          </w:p>
        </w:tc>
      </w:tr>
      <w:tr w:rsidR="00327FF1" w14:paraId="5EF261F6"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07CEB5" w14:textId="77777777" w:rsidR="00327FF1" w:rsidRDefault="00E406C7">
            <w:pPr>
              <w:pStyle w:val="P68B1DB1-Normal12"/>
              <w:jc w:val="center"/>
              <w:rPr>
                <w:noProof/>
              </w:rPr>
            </w:pPr>
            <w:r>
              <w:rPr>
                <w:noProof/>
              </w:rPr>
              <w:t>M2C2–26</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91BD03" w14:textId="77777777" w:rsidR="00327FF1" w:rsidRDefault="00E406C7">
            <w:pPr>
              <w:pStyle w:val="P68B1DB1-Normal11"/>
              <w:jc w:val="center"/>
              <w:rPr>
                <w:noProof/>
              </w:rPr>
            </w:pPr>
            <w:r>
              <w:rPr>
                <w:noProof/>
              </w:rPr>
              <w:t>Investīcija 4.2. Ātrā masu transporta sistēmu attīstība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0CEBF7" w14:textId="77777777" w:rsidR="00327FF1" w:rsidRDefault="00E406C7">
            <w:pPr>
              <w:pStyle w:val="P68B1DB1-Normal12"/>
              <w:jc w:val="center"/>
              <w:rPr>
                <w:noProof/>
              </w:rPr>
            </w:pPr>
            <w:r>
              <w:rPr>
                <w:noProof/>
              </w:rPr>
              <w:t xml:space="preserve">Atskaites punkts </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52E55" w14:textId="461FE16F" w:rsidR="00327FF1" w:rsidRDefault="00E406C7">
            <w:pPr>
              <w:pStyle w:val="P68B1DB1-Normal12"/>
              <w:jc w:val="center"/>
              <w:rPr>
                <w:noProof/>
              </w:rPr>
            </w:pPr>
            <w:r>
              <w:rPr>
                <w:noProof/>
              </w:rPr>
              <w:t>Uzbūvēta vai modernizēta publiskā infrastruktūra ātrai masu transporta attīstībai, iegādātais ritošais sastāvs</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8F5749" w14:textId="50184467" w:rsidR="00327FF1" w:rsidRDefault="00E406C7">
            <w:pPr>
              <w:pStyle w:val="P68B1DB1-Normal12"/>
              <w:jc w:val="center"/>
              <w:rPr>
                <w:rFonts w:eastAsia="Arial Narrow" w:cs="Arial Narrow"/>
                <w:noProof/>
              </w:rPr>
            </w:pPr>
            <w:r>
              <w:rPr>
                <w:noProof/>
              </w:rPr>
              <w:t>Izsniegtie aizpildīšanas vai reģistrācijas sertifikāti</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144E49" w14:textId="4E04FE88" w:rsidR="00327FF1" w:rsidRDefault="00E406C7">
            <w:pPr>
              <w:pStyle w:val="P68B1DB1-Normal11"/>
              <w:jc w:val="center"/>
              <w:rPr>
                <w:noProof/>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0BF3ED" w14:textId="53C56BBC" w:rsidR="00327FF1" w:rsidRDefault="00E406C7">
            <w:pPr>
              <w:pStyle w:val="P68B1DB1-Normal12"/>
              <w:jc w:val="center"/>
              <w:rPr>
                <w:noProof/>
              </w:rPr>
            </w:pPr>
            <w:r>
              <w:rPr>
                <w:noProof/>
              </w:rPr>
              <w:t>NEPIEM</w:t>
            </w:r>
            <w:r>
              <w:rPr>
                <w:noProof/>
              </w:rPr>
              <w:t>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99A7C8" w14:textId="108831CF" w:rsidR="00327FF1" w:rsidRDefault="00E406C7">
            <w:pPr>
              <w:pStyle w:val="P68B1DB1-Normal12"/>
              <w:jc w:val="center"/>
              <w:rPr>
                <w:noProof/>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C697F3" w14:textId="77777777" w:rsidR="00327FF1" w:rsidRDefault="00E406C7">
            <w:pPr>
              <w:pStyle w:val="P68B1DB1-Normal11"/>
              <w:jc w:val="center"/>
              <w:rPr>
                <w:noProof/>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BFF529" w14:textId="77777777" w:rsidR="00327FF1" w:rsidRDefault="00E406C7">
            <w:pPr>
              <w:pStyle w:val="P68B1DB1-Normal11"/>
              <w:jc w:val="center"/>
              <w:rPr>
                <w:noProof/>
              </w:rPr>
            </w:pPr>
            <w:r>
              <w:rPr>
                <w:noProof/>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2CDBFF" w14:textId="329A4C08" w:rsidR="00327FF1" w:rsidRDefault="00E406C7">
            <w:pPr>
              <w:pStyle w:val="P68B1DB1-ListParagraph13"/>
              <w:numPr>
                <w:ilvl w:val="0"/>
                <w:numId w:val="84"/>
              </w:numPr>
              <w:spacing w:before="120" w:after="120" w:line="240" w:lineRule="auto"/>
              <w:jc w:val="both"/>
              <w:rPr>
                <w:noProof/>
              </w:rPr>
            </w:pPr>
            <w:r>
              <w:rPr>
                <w:noProof/>
              </w:rPr>
              <w:t>Sertifikāti par darbu pabeigšanu, kas izsniegti par vismaz 186 km sabiedriskā transporta infrastruktūru funkcionālās pilsētu teritorijās.</w:t>
            </w:r>
          </w:p>
          <w:p w14:paraId="660095A8" w14:textId="5F308ED7" w:rsidR="00327FF1" w:rsidRDefault="00E406C7">
            <w:pPr>
              <w:pStyle w:val="P68B1DB1-ListParagraph13"/>
              <w:numPr>
                <w:ilvl w:val="0"/>
                <w:numId w:val="84"/>
              </w:numPr>
              <w:spacing w:before="120" w:after="120" w:line="240" w:lineRule="auto"/>
              <w:jc w:val="both"/>
              <w:rPr>
                <w:noProof/>
              </w:rPr>
            </w:pPr>
            <w:r>
              <w:rPr>
                <w:noProof/>
              </w:rPr>
              <w:t>Reģistrēt vismaz 311 bezemisiju ritošā sastāva vienības ātram masu transportam funkcionālās</w:t>
            </w:r>
            <w:r>
              <w:rPr>
                <w:noProof/>
              </w:rPr>
              <w:t xml:space="preserve"> pilsētu teritorijās.</w:t>
            </w:r>
          </w:p>
          <w:p w14:paraId="3F7A4DEF" w14:textId="35EE7F5A" w:rsidR="00327FF1" w:rsidRDefault="00E406C7">
            <w:pPr>
              <w:pStyle w:val="P68B1DB1-ListParagraph13"/>
              <w:numPr>
                <w:ilvl w:val="0"/>
                <w:numId w:val="84"/>
              </w:numPr>
              <w:spacing w:before="120" w:after="120" w:line="240" w:lineRule="auto"/>
              <w:jc w:val="both"/>
              <w:rPr>
                <w:noProof/>
              </w:rPr>
            </w:pPr>
            <w:r>
              <w:rPr>
                <w:noProof/>
              </w:rPr>
              <w:t>Apliecinājums par pabeigšanu, kas izdots par vismaz 10 ātrās masas transporta infrastruktūras modernizācijas intervencēm, kas var ietvert to digitalizāciju. Šīs intervences ietver metro staciju un metro sliežu ceļu infrastruktūras mod</w:t>
            </w:r>
            <w:r>
              <w:rPr>
                <w:noProof/>
              </w:rPr>
              <w:t>ernizāciju, signalizācijas sistēmas dzelzceļam vai tramvaju ceļiem un sabiedriskā tranzīta noliktavas.</w:t>
            </w:r>
          </w:p>
          <w:p w14:paraId="4A489E6C" w14:textId="57A427D6" w:rsidR="00327FF1" w:rsidRDefault="00E406C7">
            <w:pPr>
              <w:pStyle w:val="P68B1DB1-Normal11"/>
              <w:rPr>
                <w:noProof/>
              </w:rPr>
            </w:pPr>
            <w:r>
              <w:rPr>
                <w:noProof/>
              </w:rPr>
              <w:t>Investīcija neietver tādu ceļu būvniecību vai modernizāciju, kas pārsniedz intervences darbības jomu, ja vien tie nav infrastruktūras neatņemamas sastāvd</w:t>
            </w:r>
            <w:r>
              <w:rPr>
                <w:noProof/>
              </w:rPr>
              <w:t>aļas, kas ļauj ekspluatēt bezemisiju ritošo sastāvu.</w:t>
            </w:r>
          </w:p>
        </w:tc>
      </w:tr>
      <w:tr w:rsidR="00327FF1" w14:paraId="1E4F27E7"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A4F436" w14:textId="77777777" w:rsidR="00327FF1" w:rsidRDefault="00E406C7">
            <w:pPr>
              <w:pStyle w:val="P68B1DB1-Normal11"/>
              <w:jc w:val="center"/>
              <w:rPr>
                <w:noProof/>
              </w:rPr>
            </w:pPr>
            <w:r>
              <w:rPr>
                <w:noProof/>
              </w:rPr>
              <w:t>M2C2–31</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3966ED" w14:textId="77777777" w:rsidR="00327FF1" w:rsidRDefault="00E406C7">
            <w:pPr>
              <w:pStyle w:val="P68B1DB1-Normal11"/>
              <w:jc w:val="center"/>
              <w:rPr>
                <w:noProof/>
              </w:rPr>
            </w:pPr>
            <w:r>
              <w:rPr>
                <w:noProof/>
              </w:rPr>
              <w:t>Investīciju 4.4.3: Valsts ugunsdzēsēju komandas atjaunošanas flote</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2E6B7D" w14:textId="77777777" w:rsidR="00327FF1" w:rsidRDefault="00E406C7">
            <w:pPr>
              <w:pStyle w:val="P68B1DB1-Normal11"/>
              <w:jc w:val="center"/>
              <w:rPr>
                <w:noProof/>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DE68A2" w14:textId="77777777" w:rsidR="00327FF1" w:rsidRDefault="00E406C7">
            <w:pPr>
              <w:pStyle w:val="P68B1DB1-Normal11"/>
              <w:jc w:val="center"/>
              <w:rPr>
                <w:noProof/>
              </w:rPr>
            </w:pPr>
            <w:r>
              <w:rPr>
                <w:noProof/>
              </w:rPr>
              <w:t>Visu valsts līgumu slēgšanas tiesību piešķiršana par valsts ugunsdzēsēju komandas atjaunošanas floti</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6100F8" w14:textId="77777777" w:rsidR="00327FF1" w:rsidRDefault="00E406C7">
            <w:pPr>
              <w:pStyle w:val="P68B1DB1-Normal11"/>
              <w:jc w:val="center"/>
              <w:rPr>
                <w:noProof/>
              </w:rPr>
            </w:pPr>
            <w:r>
              <w:rPr>
                <w:noProof/>
              </w:rPr>
              <w:t>Paziņojums par visu valsts ugunsdzēsēju komandiera flotes atjaunošanas līgumu slēgšanas tiesību piešķiršanu</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6EF613" w14:textId="77777777" w:rsidR="00327FF1" w:rsidRDefault="00E406C7">
            <w:pPr>
              <w:pStyle w:val="P68B1DB1-Normal11"/>
              <w:jc w:val="center"/>
              <w:rPr>
                <w:noProof/>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E2F16C" w14:textId="77777777" w:rsidR="00327FF1" w:rsidRDefault="00E406C7">
            <w:pPr>
              <w:pStyle w:val="P68B1DB1-Normal11"/>
              <w:jc w:val="center"/>
              <w:rPr>
                <w:noProof/>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5490C0" w14:textId="77777777" w:rsidR="00327FF1" w:rsidRDefault="00E406C7">
            <w:pPr>
              <w:pStyle w:val="P68B1DB1-Normal11"/>
              <w:jc w:val="center"/>
              <w:rPr>
                <w:noProof/>
              </w:rPr>
            </w:pPr>
            <w:r>
              <w:rPr>
                <w:noProof/>
              </w:rPr>
              <w:t>N.A.</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211C2" w14:textId="77777777" w:rsidR="00327FF1" w:rsidRDefault="00E406C7">
            <w:pPr>
              <w:pStyle w:val="P68B1DB1-Normal11"/>
              <w:jc w:val="center"/>
              <w:rPr>
                <w:noProof/>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B00AA2" w14:textId="77777777" w:rsidR="00327FF1" w:rsidRDefault="00E406C7">
            <w:pPr>
              <w:pStyle w:val="P68B1DB1-Normal11"/>
              <w:jc w:val="center"/>
              <w:rPr>
                <w:noProof/>
              </w:rPr>
            </w:pPr>
            <w:r>
              <w:rPr>
                <w:noProof/>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94A372" w14:textId="77777777" w:rsidR="00327FF1" w:rsidRDefault="00E406C7">
            <w:pPr>
              <w:pStyle w:val="P68B1DB1-Normal11"/>
              <w:rPr>
                <w:noProof/>
              </w:rPr>
            </w:pPr>
            <w:r>
              <w:rPr>
                <w:noProof/>
              </w:rPr>
              <w:t xml:space="preserve">Paziņojums par visu valsts ugunsdzēsēju transportlīdzekļu iegādes publiskā iepirkuma līgumu slēgšanas tiesību </w:t>
            </w:r>
            <w:r>
              <w:rPr>
                <w:noProof/>
              </w:rPr>
              <w:t>piešķiršanu.</w:t>
            </w:r>
          </w:p>
        </w:tc>
      </w:tr>
      <w:tr w:rsidR="00327FF1" w14:paraId="6E2E9D52"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BA9A70" w14:textId="77777777" w:rsidR="00327FF1" w:rsidRDefault="00E406C7">
            <w:pPr>
              <w:pStyle w:val="P68B1DB1-Normal11"/>
              <w:jc w:val="center"/>
              <w:rPr>
                <w:noProof/>
              </w:rPr>
            </w:pPr>
            <w:r>
              <w:rPr>
                <w:noProof/>
              </w:rPr>
              <w:t>M2C2–32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C3AC81" w14:textId="77777777" w:rsidR="00327FF1" w:rsidRDefault="00E406C7">
            <w:pPr>
              <w:pStyle w:val="P68B1DB1-Normal11"/>
              <w:jc w:val="center"/>
              <w:rPr>
                <w:noProof/>
              </w:rPr>
            </w:pPr>
            <w:r>
              <w:rPr>
                <w:noProof/>
              </w:rPr>
              <w:t>Investīcija 4.4.1.: Reģionālā sabiedriskā transporta autobusu parka stiprināšana ar bezemisiju mazemisiju autobusiem</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BDA755" w14:textId="77777777" w:rsidR="00327FF1" w:rsidRDefault="00E406C7">
            <w:pPr>
              <w:pStyle w:val="P68B1DB1-Normal11"/>
              <w:jc w:val="center"/>
              <w:rPr>
                <w:noProof/>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932E2" w14:textId="77777777" w:rsidR="00327FF1" w:rsidRDefault="00E406C7">
            <w:pPr>
              <w:pStyle w:val="P68B1DB1-Normal11"/>
              <w:jc w:val="center"/>
              <w:rPr>
                <w:noProof/>
              </w:rPr>
            </w:pPr>
            <w:r>
              <w:rPr>
                <w:noProof/>
              </w:rPr>
              <w:t xml:space="preserve">Visu publiskā iepirkuma līgumu slēgšanas tiesību piešķiršana reģionālā sabiedriskā transporta </w:t>
            </w:r>
            <w:r>
              <w:rPr>
                <w:noProof/>
              </w:rPr>
              <w:t>autobusu parka stiprināšanai ar bezemisiju mazemisiju autobusiem</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1DB1F" w14:textId="77777777" w:rsidR="00327FF1" w:rsidRDefault="00E406C7">
            <w:pPr>
              <w:pStyle w:val="P68B1DB1-Normal11"/>
              <w:jc w:val="center"/>
              <w:rPr>
                <w:noProof/>
              </w:rPr>
            </w:pPr>
            <w:r>
              <w:rPr>
                <w:noProof/>
              </w:rPr>
              <w:t xml:space="preserve">Paziņojums par visu līgumu slēgšanas tiesību piešķiršanu </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3017FE" w14:textId="77777777" w:rsidR="00327FF1" w:rsidRDefault="00E406C7">
            <w:pPr>
              <w:pStyle w:val="P68B1DB1-Normal11"/>
              <w:jc w:val="center"/>
              <w:rPr>
                <w:noProof/>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153C0C" w14:textId="77777777" w:rsidR="00327FF1" w:rsidRDefault="00E406C7">
            <w:pPr>
              <w:pStyle w:val="P68B1DB1-Normal11"/>
              <w:jc w:val="center"/>
              <w:rPr>
                <w:noProof/>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AD6ADC" w14:textId="77777777" w:rsidR="00327FF1" w:rsidRDefault="00E406C7">
            <w:pPr>
              <w:pStyle w:val="P68B1DB1-Normal11"/>
              <w:jc w:val="center"/>
              <w:rPr>
                <w:noProof/>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E92CDF" w14:textId="77777777" w:rsidR="00327FF1" w:rsidRDefault="00E406C7">
            <w:pPr>
              <w:pStyle w:val="P68B1DB1-Normal11"/>
              <w:jc w:val="center"/>
              <w:rPr>
                <w:noProof/>
              </w:rPr>
            </w:pPr>
            <w:r>
              <w:rPr>
                <w:noProof/>
              </w:rPr>
              <w:t>4.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B54A1" w14:textId="77777777" w:rsidR="00327FF1" w:rsidRDefault="00E406C7">
            <w:pPr>
              <w:pStyle w:val="P68B1DB1-Normal11"/>
              <w:jc w:val="center"/>
              <w:rPr>
                <w:noProof/>
              </w:rPr>
            </w:pPr>
            <w:r>
              <w:rPr>
                <w:noProof/>
              </w:rPr>
              <w:t>2023</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9A9ABA" w14:textId="68878985" w:rsidR="00327FF1" w:rsidRDefault="00E406C7">
            <w:pPr>
              <w:pStyle w:val="P68B1DB1-Normal11"/>
              <w:rPr>
                <w:noProof/>
              </w:rPr>
            </w:pPr>
            <w:r>
              <w:rPr>
                <w:noProof/>
              </w:rPr>
              <w:t>Paziņojums par publisko līgumu slēgšanas tiesību piešķiršanu par vismaz 3000 bezemisiju ma</w:t>
            </w:r>
            <w:r>
              <w:rPr>
                <w:noProof/>
              </w:rPr>
              <w:t>zemisiju autobusu iegādi.</w:t>
            </w:r>
          </w:p>
        </w:tc>
      </w:tr>
      <w:tr w:rsidR="00327FF1" w14:paraId="0AD27A62"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564522" w14:textId="77777777" w:rsidR="00327FF1" w:rsidRDefault="00E406C7">
            <w:pPr>
              <w:pStyle w:val="P68B1DB1-Normal11"/>
              <w:jc w:val="center"/>
              <w:rPr>
                <w:noProof/>
              </w:rPr>
            </w:pPr>
            <w:r>
              <w:rPr>
                <w:noProof/>
              </w:rPr>
              <w:t>M2C2–34</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6E405" w14:textId="77777777" w:rsidR="00327FF1" w:rsidRDefault="00E406C7">
            <w:pPr>
              <w:pStyle w:val="P68B1DB1-Normal11"/>
              <w:jc w:val="center"/>
              <w:rPr>
                <w:noProof/>
              </w:rPr>
            </w:pPr>
            <w:r>
              <w:rPr>
                <w:noProof/>
              </w:rPr>
              <w:t>Investīcija 4.4.1.: Reģionālā sabiedriskā transporta autobusu parka stiprināšana ar bezemisiju mazemisiju autobusiem</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867646" w14:textId="77777777" w:rsidR="00327FF1" w:rsidRDefault="00E406C7">
            <w:pPr>
              <w:pStyle w:val="P68B1DB1-Normal11"/>
              <w:jc w:val="center"/>
              <w:rPr>
                <w:noProof/>
              </w:rPr>
            </w:pPr>
            <w:r>
              <w:rPr>
                <w:noProof/>
              </w:rPr>
              <w:t>Mērķa</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7428D4" w14:textId="77777777" w:rsidR="00327FF1" w:rsidRDefault="00E406C7">
            <w:pPr>
              <w:pStyle w:val="P68B1DB1-Normal11"/>
              <w:jc w:val="center"/>
              <w:rPr>
                <w:noProof/>
              </w:rPr>
            </w:pPr>
            <w:r>
              <w:rPr>
                <w:noProof/>
              </w:rPr>
              <w:t>Izbūvēto bezemisijas mazemisiju autobusu skaits T1</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4F3F35" w14:textId="77777777" w:rsidR="00327FF1" w:rsidRDefault="00E406C7">
            <w:pPr>
              <w:pStyle w:val="P68B1DB1-Normal11"/>
              <w:jc w:val="center"/>
              <w:rPr>
                <w:noProof/>
              </w:rPr>
            </w:pPr>
            <w:r>
              <w:rPr>
                <w:noProof/>
              </w:rPr>
              <w:t>NEPIEMĒRO</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38A733" w14:textId="77777777" w:rsidR="00327FF1" w:rsidRDefault="00E406C7">
            <w:pPr>
              <w:pStyle w:val="P68B1DB1-Normal11"/>
              <w:jc w:val="center"/>
              <w:rPr>
                <w:noProof/>
              </w:rPr>
            </w:pPr>
            <w:r>
              <w:rPr>
                <w:noProof/>
              </w:rPr>
              <w:t>Skaits</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732C4A" w14:textId="77777777" w:rsidR="00327FF1" w:rsidRDefault="00E406C7">
            <w:pPr>
              <w:pStyle w:val="P68B1DB1-Normal11"/>
              <w:jc w:val="center"/>
              <w:rPr>
                <w:noProof/>
              </w:rPr>
            </w:pPr>
            <w:r>
              <w:rPr>
                <w:noProof/>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76E7C6" w14:textId="77777777" w:rsidR="00327FF1" w:rsidRDefault="00E406C7">
            <w:pPr>
              <w:pStyle w:val="P68B1DB1-Normal11"/>
              <w:jc w:val="center"/>
              <w:rPr>
                <w:noProof/>
              </w:rPr>
            </w:pPr>
            <w:r>
              <w:rPr>
                <w:noProof/>
              </w:rPr>
              <w:t>800</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A68F6A" w14:textId="77777777" w:rsidR="00327FF1" w:rsidRDefault="00E406C7">
            <w:pPr>
              <w:pStyle w:val="P68B1DB1-Normal11"/>
              <w:jc w:val="center"/>
              <w:rPr>
                <w:noProof/>
              </w:rPr>
            </w:pPr>
            <w:r>
              <w:rPr>
                <w:noProof/>
              </w:rPr>
              <w:t>4.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8B259" w14:textId="77777777" w:rsidR="00327FF1" w:rsidRDefault="00E406C7">
            <w:pPr>
              <w:pStyle w:val="P68B1DB1-Normal11"/>
              <w:jc w:val="center"/>
              <w:rPr>
                <w:noProof/>
              </w:rPr>
            </w:pPr>
            <w:r>
              <w:rPr>
                <w:noProof/>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EB5D5" w14:textId="77777777" w:rsidR="00327FF1" w:rsidRDefault="00E406C7">
            <w:pPr>
              <w:pStyle w:val="P68B1DB1-Normal11"/>
              <w:rPr>
                <w:noProof/>
              </w:rPr>
            </w:pPr>
            <w:r>
              <w:rPr>
                <w:noProof/>
              </w:rPr>
              <w:t xml:space="preserve">Reģistrēt </w:t>
            </w:r>
            <w:r>
              <w:rPr>
                <w:noProof/>
              </w:rPr>
              <w:t>vismaz 800 bezemisiju mazemisiju autobusu, kas iepirkti saskaņā ar M2C2–32, lai stiprinātu attiecīgo autoparku.</w:t>
            </w:r>
          </w:p>
        </w:tc>
      </w:tr>
      <w:tr w:rsidR="00327FF1" w14:paraId="4B95E251"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ADB873" w14:textId="77777777" w:rsidR="00327FF1" w:rsidRDefault="00E406C7">
            <w:pPr>
              <w:pStyle w:val="P68B1DB1-Normal12"/>
              <w:jc w:val="center"/>
              <w:rPr>
                <w:noProof/>
              </w:rPr>
            </w:pPr>
            <w:r>
              <w:rPr>
                <w:noProof/>
              </w:rPr>
              <w:t>M2C2–34a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9EC1E" w14:textId="4F991156" w:rsidR="00327FF1" w:rsidRDefault="00E406C7">
            <w:pPr>
              <w:pStyle w:val="P68B1DB1-Normal11"/>
              <w:jc w:val="center"/>
              <w:rPr>
                <w:noProof/>
              </w:rPr>
            </w:pPr>
            <w:r>
              <w:rPr>
                <w:noProof/>
              </w:rPr>
              <w:t xml:space="preserve">Investīcija Nr. 4.4.2. Reģionālā sabiedriskā transporta dzelzceļa parka stiprināšana ar bezemisiju vilcieniem un universālo </w:t>
            </w:r>
            <w:r>
              <w:rPr>
                <w:noProof/>
              </w:rPr>
              <w:t>pakalpojumu</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341AA8" w14:textId="77777777" w:rsidR="00327FF1" w:rsidRDefault="00E406C7">
            <w:pPr>
              <w:pStyle w:val="P68B1DB1-Normal11"/>
              <w:jc w:val="center"/>
              <w:rPr>
                <w:noProof/>
              </w:rPr>
            </w:pPr>
            <w:r>
              <w:rPr>
                <w:noProof/>
              </w:rPr>
              <w:t>Mērķa</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EF7E44" w14:textId="77777777" w:rsidR="00327FF1" w:rsidRDefault="00E406C7">
            <w:pPr>
              <w:pStyle w:val="P68B1DB1-Normal12"/>
              <w:jc w:val="center"/>
              <w:rPr>
                <w:noProof/>
              </w:rPr>
            </w:pPr>
            <w:r>
              <w:rPr>
                <w:noProof/>
              </w:rPr>
              <w:t xml:space="preserve">Bezemisiju vilcienu skaits </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CBCB5F" w14:textId="77777777" w:rsidR="00327FF1" w:rsidRDefault="00E406C7">
            <w:pPr>
              <w:pStyle w:val="P68B1DB1-Normal11"/>
              <w:jc w:val="center"/>
              <w:rPr>
                <w:noProof/>
              </w:rPr>
            </w:pPr>
            <w:r>
              <w:rPr>
                <w:noProof/>
              </w:rPr>
              <w:t>NEPIEMĒRO</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45DF18" w14:textId="77777777" w:rsidR="00327FF1" w:rsidRDefault="00E406C7">
            <w:pPr>
              <w:pStyle w:val="P68B1DB1-Normal11"/>
              <w:jc w:val="center"/>
              <w:rPr>
                <w:noProof/>
              </w:rPr>
            </w:pPr>
            <w:r>
              <w:rPr>
                <w:noProof/>
              </w:rPr>
              <w:t>Skaits</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8C5E8D" w14:textId="77777777" w:rsidR="00327FF1" w:rsidRDefault="00E406C7">
            <w:pPr>
              <w:pStyle w:val="P68B1DB1-Normal11"/>
              <w:jc w:val="center"/>
              <w:rPr>
                <w:noProof/>
              </w:rPr>
            </w:pPr>
            <w:r>
              <w:rPr>
                <w:noProof/>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144853" w14:textId="77777777" w:rsidR="00327FF1" w:rsidRDefault="00E406C7">
            <w:pPr>
              <w:pStyle w:val="P68B1DB1-Normal11"/>
              <w:jc w:val="center"/>
              <w:rPr>
                <w:noProof/>
              </w:rPr>
            </w:pPr>
            <w:r>
              <w:rPr>
                <w:noProof/>
              </w:rPr>
              <w:t>25</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2770CB" w14:textId="77777777" w:rsidR="00327FF1" w:rsidRDefault="00E406C7">
            <w:pPr>
              <w:pStyle w:val="P68B1DB1-Normal11"/>
              <w:jc w:val="center"/>
              <w:rPr>
                <w:noProof/>
                <w:szCs w:val="20"/>
              </w:rPr>
            </w:pPr>
            <w:r>
              <w:rPr>
                <w:noProof/>
              </w:rPr>
              <w:t>4.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1EF104" w14:textId="77777777" w:rsidR="00327FF1" w:rsidRDefault="00E406C7">
            <w:pPr>
              <w:pStyle w:val="P68B1DB1-Normal11"/>
              <w:jc w:val="center"/>
              <w:rPr>
                <w:noProof/>
              </w:rPr>
            </w:pPr>
            <w:r>
              <w:rPr>
                <w:noProof/>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10F50D" w14:textId="77777777" w:rsidR="00327FF1" w:rsidRDefault="00E406C7">
            <w:pPr>
              <w:pStyle w:val="P68B1DB1-Normal12"/>
              <w:rPr>
                <w:noProof/>
              </w:rPr>
            </w:pPr>
            <w:r>
              <w:rPr>
                <w:noProof/>
              </w:rPr>
              <w:t>Vismaz 25 bezemisiju vilcienu piegāde.</w:t>
            </w:r>
          </w:p>
        </w:tc>
      </w:tr>
      <w:tr w:rsidR="00327FF1" w14:paraId="27D75847"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0335D1" w14:textId="77777777" w:rsidR="00327FF1" w:rsidRDefault="00E406C7">
            <w:pPr>
              <w:pStyle w:val="P68B1DB1-Normal12"/>
              <w:jc w:val="center"/>
              <w:rPr>
                <w:noProof/>
              </w:rPr>
            </w:pPr>
            <w:r>
              <w:rPr>
                <w:noProof/>
              </w:rPr>
              <w:t xml:space="preserve">M2C2–35 bis </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34912F" w14:textId="3E3AECDB" w:rsidR="00327FF1" w:rsidRDefault="00E406C7">
            <w:pPr>
              <w:pStyle w:val="P68B1DB1-Normal11"/>
              <w:jc w:val="center"/>
              <w:rPr>
                <w:noProof/>
              </w:rPr>
            </w:pPr>
            <w:r>
              <w:rPr>
                <w:noProof/>
              </w:rPr>
              <w:t xml:space="preserve">Investīcija Nr. 4.4.2. Reģionālā sabiedriskā transporta dzelzceļa parka stiprināšana ar bezemisiju vilcieniem un </w:t>
            </w:r>
            <w:r>
              <w:rPr>
                <w:noProof/>
              </w:rPr>
              <w:t>universālo pakalpojumu</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B26E06" w14:textId="77777777" w:rsidR="00327FF1" w:rsidRDefault="00E406C7">
            <w:pPr>
              <w:pStyle w:val="P68B1DB1-Normal11"/>
              <w:jc w:val="center"/>
              <w:rPr>
                <w:noProof/>
              </w:rPr>
            </w:pPr>
            <w:r>
              <w:rPr>
                <w:noProof/>
              </w:rPr>
              <w:t>Mērķa</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3ADA0" w14:textId="77777777" w:rsidR="00327FF1" w:rsidRDefault="00E406C7">
            <w:pPr>
              <w:pStyle w:val="P68B1DB1-Normal12"/>
              <w:jc w:val="center"/>
              <w:rPr>
                <w:noProof/>
              </w:rPr>
            </w:pPr>
            <w:r>
              <w:rPr>
                <w:noProof/>
              </w:rPr>
              <w:t xml:space="preserve">Reģistrēto vilcienu skaits </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98BDF9" w14:textId="77777777" w:rsidR="00327FF1" w:rsidRDefault="00E406C7">
            <w:pPr>
              <w:pStyle w:val="P68B1DB1-Normal12"/>
              <w:jc w:val="center"/>
              <w:rPr>
                <w:noProof/>
              </w:rPr>
            </w:pPr>
            <w:r>
              <w:rPr>
                <w:noProof/>
              </w:rPr>
              <w:t>NEPIEMĒRO</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BCD40B" w14:textId="77777777" w:rsidR="00327FF1" w:rsidRDefault="00E406C7">
            <w:pPr>
              <w:pStyle w:val="P68B1DB1-Normal11"/>
              <w:jc w:val="center"/>
              <w:rPr>
                <w:noProof/>
              </w:rPr>
            </w:pPr>
            <w:r>
              <w:rPr>
                <w:noProof/>
              </w:rPr>
              <w:t>Skaits</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1F9AFC" w14:textId="77777777" w:rsidR="00327FF1" w:rsidRDefault="00E406C7">
            <w:pPr>
              <w:pStyle w:val="P68B1DB1-Normal11"/>
              <w:jc w:val="center"/>
              <w:rPr>
                <w:noProof/>
              </w:rPr>
            </w:pPr>
            <w:r>
              <w:rPr>
                <w:noProof/>
              </w:rPr>
              <w:t>25</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89B273" w14:textId="77777777" w:rsidR="00327FF1" w:rsidRDefault="00E406C7">
            <w:pPr>
              <w:pStyle w:val="P68B1DB1-Normal12"/>
              <w:jc w:val="center"/>
              <w:rPr>
                <w:noProof/>
              </w:rPr>
            </w:pPr>
            <w:r>
              <w:rPr>
                <w:noProof/>
              </w:rPr>
              <w:t>97</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8FDE1D" w14:textId="77777777" w:rsidR="00327FF1" w:rsidRDefault="00E406C7">
            <w:pPr>
              <w:pStyle w:val="P68B1DB1-Normal11"/>
              <w:jc w:val="center"/>
              <w:rPr>
                <w:noProof/>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8CD96" w14:textId="77777777" w:rsidR="00327FF1" w:rsidRDefault="00E406C7">
            <w:pPr>
              <w:pStyle w:val="P68B1DB1-Normal11"/>
              <w:jc w:val="center"/>
              <w:rPr>
                <w:noProof/>
              </w:rPr>
            </w:pPr>
            <w:r>
              <w:rPr>
                <w:noProof/>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C9BFFF" w14:textId="4D945CCE" w:rsidR="00327FF1" w:rsidRDefault="00E406C7">
            <w:pPr>
              <w:pStyle w:val="P68B1DB1-Normal12"/>
              <w:spacing w:after="120"/>
              <w:rPr>
                <w:noProof/>
              </w:rPr>
            </w:pPr>
            <w:r>
              <w:rPr>
                <w:noProof/>
              </w:rPr>
              <w:t>Vismaz 97 bezemisiju vilcienu reģistrācija. Atbilstīgie vilcieni ir elektriskie, ūdeņraža kurināmā elementi un līdz 20 divmodu vilcieni.</w:t>
            </w:r>
          </w:p>
        </w:tc>
      </w:tr>
      <w:tr w:rsidR="00327FF1" w14:paraId="202C9C5B"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0FFA0F" w14:textId="77777777" w:rsidR="00327FF1" w:rsidRDefault="00E406C7">
            <w:pPr>
              <w:pStyle w:val="P68B1DB1-Normal11"/>
              <w:jc w:val="center"/>
              <w:rPr>
                <w:noProof/>
              </w:rPr>
            </w:pPr>
            <w:r>
              <w:rPr>
                <w:noProof/>
              </w:rPr>
              <w:t>M2C2–38bis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F8FB07" w14:textId="77777777" w:rsidR="00327FF1" w:rsidRDefault="00E406C7">
            <w:pPr>
              <w:pStyle w:val="P68B1DB1-Normal11"/>
              <w:jc w:val="center"/>
              <w:rPr>
                <w:noProof/>
              </w:rPr>
            </w:pPr>
            <w:r>
              <w:rPr>
                <w:noProof/>
              </w:rPr>
              <w:t xml:space="preserve">Ieguldījums </w:t>
            </w:r>
            <w:r>
              <w:rPr>
                <w:noProof/>
              </w:rPr>
              <w:t>5.1. Atbalsts ražošanas sistēmai ekoloģiskajai pārejai, neto nulles emisiju tehnoloģijām un stratēģisko piegādes ķēžu konkurētspējai un noturībai</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2EC67" w14:textId="77777777" w:rsidR="00327FF1" w:rsidRDefault="00E406C7">
            <w:pPr>
              <w:pStyle w:val="P68B1DB1-Normal11"/>
              <w:jc w:val="center"/>
              <w:rPr>
                <w:noProof/>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F3C904" w14:textId="77777777" w:rsidR="00327FF1" w:rsidRDefault="00E406C7">
            <w:pPr>
              <w:pStyle w:val="P68B1DB1-Normal11"/>
              <w:jc w:val="center"/>
              <w:rPr>
                <w:noProof/>
              </w:rPr>
            </w:pPr>
            <w:r>
              <w:rPr>
                <w:noProof/>
              </w:rPr>
              <w:t>Īstenošanas nolīgums</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736EA1" w14:textId="77777777" w:rsidR="00327FF1" w:rsidRDefault="00E406C7">
            <w:pPr>
              <w:pStyle w:val="P68B1DB1-Normal11"/>
              <w:jc w:val="center"/>
              <w:rPr>
                <w:noProof/>
              </w:rPr>
            </w:pPr>
            <w:r>
              <w:rPr>
                <w:noProof/>
              </w:rPr>
              <w:t>Īstenošanas nolīguma stāšanās spēkā</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67E310" w14:textId="77777777" w:rsidR="00327FF1" w:rsidRDefault="00E406C7">
            <w:pPr>
              <w:pStyle w:val="P68B1DB1-Normal11"/>
              <w:jc w:val="center"/>
              <w:rPr>
                <w:noProof/>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7ECF15" w14:textId="77777777" w:rsidR="00327FF1" w:rsidRDefault="00E406C7">
            <w:pPr>
              <w:pStyle w:val="P68B1DB1-Normal11"/>
              <w:jc w:val="center"/>
              <w:rPr>
                <w:noProof/>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DB0C40" w14:textId="77777777" w:rsidR="00327FF1" w:rsidRDefault="00E406C7">
            <w:pPr>
              <w:pStyle w:val="P68B1DB1-Normal11"/>
              <w:jc w:val="center"/>
              <w:rPr>
                <w:noProof/>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1F938" w14:textId="77777777" w:rsidR="00327FF1" w:rsidRDefault="00E406C7">
            <w:pPr>
              <w:pStyle w:val="P68B1DB1-Normal11"/>
              <w:jc w:val="center"/>
              <w:rPr>
                <w:noProof/>
                <w:szCs w:val="20"/>
              </w:rPr>
            </w:pPr>
            <w:r>
              <w:rPr>
                <w:noProof/>
              </w:rPr>
              <w:t xml:space="preserve">4. </w:t>
            </w:r>
            <w:r>
              <w:rPr>
                <w:noProof/>
              </w:rPr>
              <w:t>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72D0DC" w14:textId="77777777" w:rsidR="00327FF1" w:rsidRDefault="00E406C7">
            <w:pPr>
              <w:pStyle w:val="P68B1DB1-Normal11"/>
              <w:jc w:val="center"/>
              <w:rPr>
                <w:noProof/>
              </w:rPr>
            </w:pPr>
            <w:r>
              <w:rPr>
                <w:noProof/>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C3309D" w14:textId="77777777" w:rsidR="00327FF1" w:rsidRDefault="00E406C7">
            <w:pPr>
              <w:pStyle w:val="P68B1DB1-Normal11"/>
              <w:rPr>
                <w:noProof/>
              </w:rPr>
            </w:pPr>
            <w:r>
              <w:rPr>
                <w:noProof/>
              </w:rPr>
              <w:t>Īstenošanas nolīguma stāšanās spēkā.</w:t>
            </w:r>
          </w:p>
        </w:tc>
      </w:tr>
      <w:tr w:rsidR="00327FF1" w14:paraId="632B61C0"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7704B2" w14:textId="77777777" w:rsidR="00327FF1" w:rsidRDefault="00E406C7">
            <w:pPr>
              <w:pStyle w:val="P68B1DB1-Normal11"/>
              <w:jc w:val="center"/>
              <w:rPr>
                <w:noProof/>
              </w:rPr>
            </w:pPr>
            <w:r>
              <w:rPr>
                <w:noProof/>
              </w:rPr>
              <w:t>M2C2–39</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FC13B7" w14:textId="77777777" w:rsidR="00327FF1" w:rsidRDefault="00E406C7">
            <w:pPr>
              <w:pStyle w:val="P68B1DB1-Normal11"/>
              <w:jc w:val="center"/>
              <w:rPr>
                <w:noProof/>
              </w:rPr>
            </w:pPr>
            <w:r>
              <w:rPr>
                <w:noProof/>
              </w:rPr>
              <w:t>Investīcija 5.1. Atbalsts ražošanas sistēmai ekoloģiskajai pārejai, neto nulles emisiju tehnoloģijām un stratēģisko piegādes ķēžu konkurētspējai un noturībai</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D3CFB" w14:textId="77777777" w:rsidR="00327FF1" w:rsidRDefault="00E406C7">
            <w:pPr>
              <w:pStyle w:val="P68B1DB1-Normal11"/>
              <w:jc w:val="center"/>
              <w:rPr>
                <w:noProof/>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693970" w14:textId="77777777" w:rsidR="00327FF1" w:rsidRDefault="00E406C7">
            <w:pPr>
              <w:pStyle w:val="P68B1DB1-Normal11"/>
              <w:jc w:val="center"/>
              <w:rPr>
                <w:noProof/>
              </w:rPr>
            </w:pPr>
            <w:r>
              <w:rPr>
                <w:noProof/>
              </w:rPr>
              <w:t xml:space="preserve">Itālijas Uzņēmumu un </w:t>
            </w:r>
            <w:r>
              <w:rPr>
                <w:noProof/>
              </w:rPr>
              <w:t>ražotāju ministrija ir pabeigusi līdzekļu pārskaitīšanu Invitalia S.p.A.</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CD1F68" w14:textId="77777777" w:rsidR="00327FF1" w:rsidRDefault="00E406C7">
            <w:pPr>
              <w:pStyle w:val="P68B1DB1-Normal11"/>
              <w:jc w:val="center"/>
              <w:rPr>
                <w:noProof/>
              </w:rPr>
            </w:pPr>
            <w:r>
              <w:rPr>
                <w:noProof/>
              </w:rPr>
              <w:t xml:space="preserve">Nodošanas sertifikāts </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3AA894" w14:textId="77777777" w:rsidR="00327FF1" w:rsidRDefault="00E406C7">
            <w:pPr>
              <w:pStyle w:val="P68B1DB1-Normal11"/>
              <w:jc w:val="center"/>
              <w:rPr>
                <w:noProof/>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220C4" w14:textId="77777777" w:rsidR="00327FF1" w:rsidRDefault="00E406C7">
            <w:pPr>
              <w:pStyle w:val="P68B1DB1-Normal11"/>
              <w:jc w:val="center"/>
              <w:rPr>
                <w:noProof/>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8FC15E" w14:textId="77777777" w:rsidR="00327FF1" w:rsidRDefault="00E406C7">
            <w:pPr>
              <w:pStyle w:val="P68B1DB1-Normal11"/>
              <w:jc w:val="center"/>
              <w:rPr>
                <w:noProof/>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F9F58A" w14:textId="77777777" w:rsidR="00327FF1" w:rsidRDefault="00E406C7">
            <w:pPr>
              <w:pStyle w:val="P68B1DB1-Normal11"/>
              <w:jc w:val="center"/>
              <w:rPr>
                <w:noProof/>
              </w:rPr>
            </w:pPr>
            <w:r>
              <w:rPr>
                <w:noProof/>
              </w:rPr>
              <w:t>4.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4D6010" w14:textId="77777777" w:rsidR="00327FF1" w:rsidRDefault="00E406C7">
            <w:pPr>
              <w:pStyle w:val="P68B1DB1-Normal11"/>
              <w:jc w:val="center"/>
              <w:rPr>
                <w:noProof/>
              </w:rPr>
            </w:pPr>
            <w:r>
              <w:rPr>
                <w:noProof/>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6B10BE" w14:textId="77777777" w:rsidR="00327FF1" w:rsidRDefault="00E406C7">
            <w:pPr>
              <w:pStyle w:val="P68B1DB1-Normal44"/>
              <w:spacing w:before="120" w:after="120"/>
              <w:rPr>
                <w:rFonts w:hAnsi="Arial Narrow"/>
                <w:noProof/>
              </w:rPr>
            </w:pPr>
            <w:r>
              <w:rPr>
                <w:noProof/>
              </w:rPr>
              <w:t>It</w:t>
            </w:r>
            <w:r>
              <w:rPr>
                <w:noProof/>
              </w:rPr>
              <w:t>ā</w:t>
            </w:r>
            <w:r>
              <w:rPr>
                <w:noProof/>
              </w:rPr>
              <w:t>lija p</w:t>
            </w:r>
            <w:r>
              <w:rPr>
                <w:noProof/>
              </w:rPr>
              <w:t>ā</w:t>
            </w:r>
            <w:r>
              <w:rPr>
                <w:noProof/>
              </w:rPr>
              <w:t>rvieto EUR 3500000000 uz Invitalia meh</w:t>
            </w:r>
            <w:r>
              <w:rPr>
                <w:noProof/>
              </w:rPr>
              <w:t>ā</w:t>
            </w:r>
            <w:r>
              <w:rPr>
                <w:noProof/>
              </w:rPr>
              <w:t>nisma vajadz</w:t>
            </w:r>
            <w:r>
              <w:rPr>
                <w:noProof/>
              </w:rPr>
              <w:t>ī</w:t>
            </w:r>
            <w:r>
              <w:rPr>
                <w:noProof/>
              </w:rPr>
              <w:t>b</w:t>
            </w:r>
            <w:r>
              <w:rPr>
                <w:noProof/>
              </w:rPr>
              <w:t>ā</w:t>
            </w:r>
            <w:r>
              <w:rPr>
                <w:noProof/>
              </w:rPr>
              <w:t>m.</w:t>
            </w:r>
          </w:p>
          <w:p w14:paraId="5D6E1513" w14:textId="77777777" w:rsidR="00327FF1" w:rsidRDefault="00327FF1">
            <w:pPr>
              <w:rPr>
                <w:rFonts w:ascii="Arial Narrow" w:hAnsi="Arial Narrow"/>
                <w:noProof/>
                <w:sz w:val="20"/>
              </w:rPr>
            </w:pPr>
          </w:p>
        </w:tc>
      </w:tr>
      <w:tr w:rsidR="00327FF1" w14:paraId="49B359F5"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51F984" w14:textId="77777777" w:rsidR="00327FF1" w:rsidRDefault="00E406C7">
            <w:pPr>
              <w:pStyle w:val="P68B1DB1-Normal11"/>
              <w:jc w:val="center"/>
              <w:rPr>
                <w:noProof/>
                <w:szCs w:val="20"/>
              </w:rPr>
            </w:pPr>
            <w:r>
              <w:rPr>
                <w:noProof/>
              </w:rPr>
              <w:t>M2C2–40</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DDEC9B" w14:textId="77777777" w:rsidR="00327FF1" w:rsidRDefault="00E406C7">
            <w:pPr>
              <w:pStyle w:val="P68B1DB1-Normal11"/>
              <w:jc w:val="center"/>
              <w:rPr>
                <w:noProof/>
              </w:rPr>
            </w:pPr>
            <w:r>
              <w:rPr>
                <w:noProof/>
              </w:rPr>
              <w:t xml:space="preserve">Ieguldījums 5.1. Atbalsts ražošanas </w:t>
            </w:r>
            <w:r>
              <w:rPr>
                <w:noProof/>
              </w:rPr>
              <w:t>sistēmai ekoloģiskajai pārejai, neto nulles emisiju tehnoloģijām un stratēģisko piegādes ķēžu konkurētspējai un noturībai</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CAE43A" w14:textId="77777777" w:rsidR="00327FF1" w:rsidRDefault="00E406C7">
            <w:pPr>
              <w:pStyle w:val="P68B1DB1-Normal11"/>
              <w:jc w:val="center"/>
              <w:rPr>
                <w:noProof/>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A270E5" w14:textId="77777777" w:rsidR="00327FF1" w:rsidRDefault="00E406C7">
            <w:pPr>
              <w:pStyle w:val="P68B1DB1-Normal11"/>
              <w:jc w:val="center"/>
              <w:rPr>
                <w:noProof/>
              </w:rPr>
            </w:pPr>
            <w:r>
              <w:rPr>
                <w:noProof/>
              </w:rPr>
              <w:t>Grozījums īstenošanas nolīgumā, ar galīgajiem saņēmējiem parakstītie juridiskie nolīgumi un ieguldījumu pabeigšana</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03C72" w14:textId="77777777" w:rsidR="00327FF1" w:rsidRDefault="00E406C7">
            <w:pPr>
              <w:pStyle w:val="P68B1DB1-Normal11"/>
              <w:jc w:val="center"/>
              <w:rPr>
                <w:noProof/>
              </w:rPr>
            </w:pPr>
            <w:r>
              <w:rPr>
                <w:noProof/>
              </w:rPr>
              <w:t>Grozītā īstenošanas nolīguma stāšanās spēkā, ar galīgajiem saņēmējiem parakstītie juridiskie nolīgumi un nodošanas apliecinājums</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BB8B4" w14:textId="77777777" w:rsidR="00327FF1" w:rsidRDefault="00E406C7">
            <w:pPr>
              <w:pStyle w:val="P68B1DB1-Normal11"/>
              <w:jc w:val="center"/>
              <w:rPr>
                <w:noProof/>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C9C2AE" w14:textId="77777777" w:rsidR="00327FF1" w:rsidRDefault="00E406C7">
            <w:pPr>
              <w:pStyle w:val="P68B1DB1-Normal11"/>
              <w:jc w:val="center"/>
              <w:rPr>
                <w:noProof/>
              </w:rPr>
            </w:pPr>
            <w:r>
              <w:rPr>
                <w:noProof/>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E7FA1" w14:textId="77777777" w:rsidR="00327FF1" w:rsidRDefault="00E406C7">
            <w:pPr>
              <w:pStyle w:val="P68B1DB1-Normal11"/>
              <w:jc w:val="center"/>
              <w:rPr>
                <w:noProof/>
              </w:rPr>
            </w:pPr>
            <w:r>
              <w:rPr>
                <w:noProof/>
              </w:rPr>
              <w:t>100</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B304FA" w14:textId="77777777" w:rsidR="00327FF1" w:rsidRDefault="00E406C7">
            <w:pPr>
              <w:pStyle w:val="P68B1DB1-Normal11"/>
              <w:jc w:val="center"/>
              <w:rPr>
                <w:noProof/>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D2BB37" w14:textId="77777777" w:rsidR="00327FF1" w:rsidRDefault="00E406C7">
            <w:pPr>
              <w:pStyle w:val="P68B1DB1-Normal11"/>
              <w:jc w:val="center"/>
              <w:rPr>
                <w:noProof/>
              </w:rPr>
            </w:pPr>
            <w:r>
              <w:rPr>
                <w:noProof/>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65295D" w14:textId="77777777" w:rsidR="00327FF1" w:rsidRDefault="00E406C7">
            <w:pPr>
              <w:pStyle w:val="P68B1DB1-Normal11"/>
              <w:spacing w:before="120" w:after="120"/>
              <w:rPr>
                <w:noProof/>
              </w:rPr>
            </w:pPr>
            <w:r>
              <w:rPr>
                <w:noProof/>
              </w:rPr>
              <w:t>Īstenošanas nolīguma grozījums.</w:t>
            </w:r>
          </w:p>
          <w:p w14:paraId="36F09C58" w14:textId="20605199" w:rsidR="00327FF1" w:rsidRDefault="00E406C7">
            <w:pPr>
              <w:pStyle w:val="P68B1DB1-Normal11"/>
              <w:spacing w:before="120" w:after="120"/>
              <w:rPr>
                <w:noProof/>
              </w:rPr>
            </w:pPr>
            <w:r>
              <w:rPr>
                <w:noProof/>
              </w:rPr>
              <w:t>Itālija pārvieto EUR 400000000 uz Invitalia mehānisma vajadzībām.</w:t>
            </w:r>
          </w:p>
          <w:p w14:paraId="47AAA15A" w14:textId="63780104" w:rsidR="00327FF1" w:rsidRDefault="00E406C7">
            <w:pPr>
              <w:pStyle w:val="P68B1DB1-Normal21"/>
              <w:spacing w:before="120" w:after="120"/>
              <w:rPr>
                <w:rFonts w:ascii="Arial Narrow" w:hAnsi="Arial Narrow"/>
                <w:noProof/>
                <w:szCs w:val="20"/>
              </w:rPr>
            </w:pPr>
            <w:r>
              <w:rPr>
                <w:rFonts w:ascii="Arial Narrow" w:hAnsi="Arial Narrow"/>
                <w:noProof/>
              </w:rPr>
              <w:t>Invitalia ir noslēdzis juridiskus finansēšanas nolīgumus ar galasaņēmējiem par summu, kas nepieciešama, lai izmantotu 100 % no</w:t>
            </w:r>
            <w:r>
              <w:rPr>
                <w:rFonts w:ascii="Arial Narrow"/>
                <w:noProof/>
              </w:rPr>
              <w:t xml:space="preserve"> ANM ieguld</w:t>
            </w:r>
            <w:r>
              <w:rPr>
                <w:rFonts w:ascii="Arial Narrow"/>
                <w:noProof/>
              </w:rPr>
              <w:t>ī</w:t>
            </w:r>
            <w:r>
              <w:rPr>
                <w:rFonts w:ascii="Arial Narrow"/>
                <w:noProof/>
              </w:rPr>
              <w:t>juma 3</w:t>
            </w:r>
            <w:r>
              <w:rPr>
                <w:rFonts w:ascii="Arial Narrow"/>
                <w:noProof/>
              </w:rPr>
              <w:t> </w:t>
            </w:r>
            <w:r>
              <w:rPr>
                <w:rFonts w:ascii="Arial Narrow"/>
                <w:noProof/>
              </w:rPr>
              <w:t>900</w:t>
            </w:r>
            <w:r>
              <w:rPr>
                <w:rFonts w:ascii="Arial Narrow"/>
                <w:noProof/>
              </w:rPr>
              <w:t> </w:t>
            </w:r>
            <w:r>
              <w:rPr>
                <w:rFonts w:ascii="Arial Narrow"/>
                <w:noProof/>
              </w:rPr>
              <w:t>000</w:t>
            </w:r>
            <w:r>
              <w:rPr>
                <w:rFonts w:ascii="Arial Narrow"/>
                <w:noProof/>
              </w:rPr>
              <w:t> </w:t>
            </w:r>
            <w:r>
              <w:rPr>
                <w:rFonts w:ascii="Arial Narrow"/>
                <w:noProof/>
              </w:rPr>
              <w:t>000</w:t>
            </w:r>
            <w:r>
              <w:rPr>
                <w:rFonts w:ascii="Arial Narrow"/>
                <w:noProof/>
              </w:rPr>
              <w:t> </w:t>
            </w:r>
            <w:r>
              <w:rPr>
                <w:rFonts w:ascii="Arial Narrow"/>
                <w:noProof/>
              </w:rPr>
              <w:t>EUR apm</w:t>
            </w:r>
            <w:r>
              <w:rPr>
                <w:rFonts w:ascii="Arial Narrow"/>
                <w:noProof/>
              </w:rPr>
              <w:t>ē</w:t>
            </w:r>
            <w:r>
              <w:rPr>
                <w:rFonts w:ascii="Arial Narrow"/>
                <w:noProof/>
              </w:rPr>
              <w:t>r</w:t>
            </w:r>
            <w:r>
              <w:rPr>
                <w:rFonts w:ascii="Arial Narrow"/>
                <w:noProof/>
              </w:rPr>
              <w:t>ā</w:t>
            </w:r>
            <w:r>
              <w:rPr>
                <w:rFonts w:ascii="Arial Narrow"/>
                <w:noProof/>
              </w:rPr>
              <w:t xml:space="preserve"> (</w:t>
            </w:r>
            <w:r>
              <w:rPr>
                <w:rFonts w:ascii="Arial Narrow"/>
                <w:noProof/>
              </w:rPr>
              <w:t>ņ</w:t>
            </w:r>
            <w:r>
              <w:rPr>
                <w:rFonts w:ascii="Arial Narrow"/>
                <w:noProof/>
              </w:rPr>
              <w:t xml:space="preserve">emot </w:t>
            </w:r>
            <w:r>
              <w:rPr>
                <w:rFonts w:ascii="Arial Narrow" w:hAnsi="Arial Narrow"/>
                <w:noProof/>
                <w:szCs w:val="20"/>
              </w:rPr>
              <w:t xml:space="preserve">vērā pārvaldības maksas). </w:t>
            </w:r>
            <w:bookmarkStart w:id="18" w:name="_Hlk212583418"/>
            <w:r>
              <w:rPr>
                <w:rFonts w:ascii="Arial Narrow" w:hAnsi="Arial Narrow"/>
                <w:noProof/>
                <w:szCs w:val="20"/>
              </w:rPr>
              <w:t>Vismaz 460 miljoni EUR no šā finansējuma veicina klimat</w:t>
            </w:r>
            <w:r>
              <w:rPr>
                <w:rFonts w:ascii="Arial Narrow" w:hAnsi="Arial Narrow"/>
                <w:noProof/>
                <w:szCs w:val="20"/>
              </w:rPr>
              <w:t>a mērķu sasniegšanu, izmantojot ANM regulas VI pielikumā izklāstīto metodiku.</w:t>
            </w:r>
            <w:bookmarkEnd w:id="18"/>
          </w:p>
          <w:p w14:paraId="77FCDB2D" w14:textId="77777777" w:rsidR="00327FF1" w:rsidRDefault="00E406C7">
            <w:pPr>
              <w:pStyle w:val="P68B1DB1-Normal12"/>
              <w:spacing w:before="120" w:after="120"/>
              <w:rPr>
                <w:noProof/>
              </w:rPr>
            </w:pPr>
            <w:r>
              <w:rPr>
                <w:noProof/>
              </w:rPr>
              <w:t xml:space="preserve">Konkrēti: </w:t>
            </w:r>
          </w:p>
          <w:p w14:paraId="3A713340" w14:textId="04BC23CC" w:rsidR="00327FF1" w:rsidRDefault="00E406C7">
            <w:pPr>
              <w:pStyle w:val="P68B1DB1-Normal12"/>
              <w:spacing w:before="120" w:after="120"/>
              <w:rPr>
                <w:noProof/>
              </w:rPr>
            </w:pPr>
            <w:r>
              <w:rPr>
                <w:noProof/>
              </w:rPr>
              <w:t>—Vismaz 700 000 000 EUR piešķir 1. apakšieguldījumam “Neto nulles emisiju tehnoloģijas”;</w:t>
            </w:r>
          </w:p>
          <w:p w14:paraId="23C7F94A" w14:textId="5B3658DF" w:rsidR="00327FF1" w:rsidRDefault="00E406C7">
            <w:pPr>
              <w:pStyle w:val="P68B1DB1-Normal11"/>
              <w:rPr>
                <w:noProof/>
              </w:rPr>
            </w:pPr>
            <w:r>
              <w:rPr>
                <w:noProof/>
              </w:rPr>
              <w:t xml:space="preserve">—Atlikušās ANM investīcijas piešķir 2. apakšinvestīcijai stratēģisko piegādes </w:t>
            </w:r>
            <w:r>
              <w:rPr>
                <w:noProof/>
              </w:rPr>
              <w:t>ķēžu konkurētspēja un noturība, tostarp pusvadītāju projektiem. Ne vairāk kā 400 000 000 EUR no 2. apakšieguldījuma piešķir agrorūpniecības un lauksaimniecības pārtikas nozarei.</w:t>
            </w:r>
          </w:p>
        </w:tc>
      </w:tr>
      <w:tr w:rsidR="00327FF1" w14:paraId="3A58B0AA"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8EF030" w14:textId="77777777" w:rsidR="00327FF1" w:rsidRDefault="00E406C7">
            <w:pPr>
              <w:pStyle w:val="P68B1DB1-Normal11"/>
              <w:jc w:val="center"/>
              <w:rPr>
                <w:noProof/>
              </w:rPr>
            </w:pPr>
            <w:r>
              <w:rPr>
                <w:noProof/>
              </w:rPr>
              <w:t>M2C2–42bis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10F4C" w14:textId="77777777" w:rsidR="00327FF1" w:rsidRDefault="00E406C7">
            <w:pPr>
              <w:pStyle w:val="P68B1DB1-Normal11"/>
              <w:jc w:val="both"/>
              <w:rPr>
                <w:noProof/>
              </w:rPr>
            </w:pPr>
            <w:r>
              <w:rPr>
                <w:noProof/>
              </w:rPr>
              <w:t xml:space="preserve">Investīcija 5.4. Kapitāla iepludināšana Zaļās pārkārtošanās fondā </w:t>
            </w:r>
            <w:r>
              <w:rPr>
                <w:noProof/>
              </w:rPr>
              <w:t>(“GTF”)</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D49061" w14:textId="77777777" w:rsidR="00327FF1" w:rsidRDefault="00E406C7">
            <w:pPr>
              <w:pStyle w:val="P68B1DB1-Normal11"/>
              <w:jc w:val="both"/>
              <w:rPr>
                <w:noProof/>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B3C04C" w14:textId="77777777" w:rsidR="00327FF1" w:rsidRDefault="00E406C7">
            <w:pPr>
              <w:pStyle w:val="P68B1DB1-Normal11"/>
              <w:jc w:val="both"/>
              <w:rPr>
                <w:noProof/>
              </w:rPr>
            </w:pPr>
            <w:r>
              <w:rPr>
                <w:noProof/>
              </w:rPr>
              <w:t>Kapitāla iepludināšana Zaļās pārkārtošanās fondā</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50325" w14:textId="77777777" w:rsidR="00327FF1" w:rsidRDefault="00E406C7">
            <w:pPr>
              <w:pStyle w:val="P68B1DB1-Normal11"/>
              <w:jc w:val="center"/>
              <w:rPr>
                <w:noProof/>
              </w:rPr>
            </w:pPr>
            <w:r>
              <w:rPr>
                <w:noProof/>
              </w:rPr>
              <w:t>Nodošanas sertifikāts</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B66CA0" w14:textId="77777777" w:rsidR="00327FF1" w:rsidRDefault="00E406C7">
            <w:pPr>
              <w:pStyle w:val="P68B1DB1-Normal11"/>
              <w:jc w:val="center"/>
              <w:rPr>
                <w:noProof/>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71E2DC" w14:textId="77777777" w:rsidR="00327FF1" w:rsidRDefault="00E406C7">
            <w:pPr>
              <w:pStyle w:val="P68B1DB1-Normal11"/>
              <w:jc w:val="center"/>
              <w:rPr>
                <w:noProof/>
              </w:rPr>
            </w:pPr>
            <w:r>
              <w:rPr>
                <w:noProof/>
              </w:rPr>
              <w:t xml:space="preserve"> 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18D642" w14:textId="77777777" w:rsidR="00327FF1" w:rsidRDefault="00E406C7">
            <w:pPr>
              <w:pStyle w:val="P68B1DB1-Normal11"/>
              <w:jc w:val="center"/>
              <w:rPr>
                <w:noProof/>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E085A2" w14:textId="77777777" w:rsidR="00327FF1" w:rsidRDefault="00E406C7">
            <w:pPr>
              <w:pStyle w:val="P68B1DB1-Normal11"/>
              <w:jc w:val="center"/>
              <w:rPr>
                <w:noProof/>
                <w:szCs w:val="20"/>
              </w:rPr>
            </w:pPr>
            <w:r>
              <w:rPr>
                <w:noProof/>
              </w:rPr>
              <w:t>4.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7361A8" w14:textId="77777777" w:rsidR="00327FF1" w:rsidRDefault="00E406C7">
            <w:pPr>
              <w:pStyle w:val="P68B1DB1-Normal11"/>
              <w:jc w:val="center"/>
              <w:rPr>
                <w:noProof/>
              </w:rPr>
            </w:pPr>
            <w:r>
              <w:rPr>
                <w:noProof/>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7640A6" w14:textId="77777777" w:rsidR="00327FF1" w:rsidRDefault="00E406C7">
            <w:pPr>
              <w:spacing w:after="120"/>
              <w:jc w:val="both"/>
              <w:rPr>
                <w:rFonts w:ascii="Arial Narrow" w:hAnsi="Arial Narrow"/>
                <w:noProof/>
                <w:color w:val="006100"/>
                <w:sz w:val="20"/>
                <w:szCs w:val="20"/>
              </w:rPr>
            </w:pPr>
            <w:r>
              <w:rPr>
                <w:rFonts w:ascii="Arial Narrow" w:hAnsi="Arial Narrow"/>
                <w:noProof/>
                <w:color w:val="006100"/>
                <w:sz w:val="20"/>
                <w:szCs w:val="20"/>
              </w:rPr>
              <w:t>Itālija pārskaita EUR</w:t>
            </w:r>
            <w:r>
              <w:rPr>
                <w:noProof/>
                <w:sz w:val="23"/>
                <w:szCs w:val="23"/>
              </w:rPr>
              <w:t xml:space="preserve"> </w:t>
            </w:r>
            <w:r>
              <w:rPr>
                <w:rFonts w:ascii="Arial Narrow" w:hAnsi="Arial Narrow"/>
                <w:noProof/>
                <w:color w:val="006100"/>
                <w:sz w:val="20"/>
                <w:szCs w:val="20"/>
              </w:rPr>
              <w:t>250000000</w:t>
            </w:r>
            <w:r>
              <w:rPr>
                <w:noProof/>
                <w:sz w:val="23"/>
                <w:szCs w:val="23"/>
              </w:rPr>
              <w:t xml:space="preserve"> </w:t>
            </w:r>
            <w:r>
              <w:rPr>
                <w:rFonts w:ascii="Arial Narrow" w:hAnsi="Arial Narrow"/>
                <w:noProof/>
                <w:color w:val="006100"/>
                <w:sz w:val="20"/>
                <w:szCs w:val="20"/>
              </w:rPr>
              <w:t>uz GTF.</w:t>
            </w:r>
          </w:p>
          <w:p w14:paraId="1E9AF93F" w14:textId="77777777" w:rsidR="00327FF1" w:rsidRDefault="00E406C7">
            <w:pPr>
              <w:pStyle w:val="P68B1DB1-Normal12"/>
              <w:rPr>
                <w:noProof/>
              </w:rPr>
            </w:pPr>
            <w:r>
              <w:rPr>
                <w:noProof/>
              </w:rPr>
              <w:t xml:space="preserve">Turklāt ieguldījumu politika (“Accordo Finanziario”) atbilst pasākuma </w:t>
            </w:r>
            <w:r>
              <w:rPr>
                <w:noProof/>
              </w:rPr>
              <w:t>aprakstam.</w:t>
            </w:r>
          </w:p>
        </w:tc>
      </w:tr>
      <w:tr w:rsidR="00327FF1" w14:paraId="0263B7BD"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7E4E3C" w14:textId="77777777" w:rsidR="00327FF1" w:rsidRDefault="00E406C7">
            <w:pPr>
              <w:pStyle w:val="P68B1DB1-Normal11"/>
              <w:jc w:val="center"/>
              <w:rPr>
                <w:noProof/>
              </w:rPr>
            </w:pPr>
            <w:r>
              <w:rPr>
                <w:noProof/>
              </w:rPr>
              <w:t>M2C2–43</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8C43E4" w14:textId="77777777" w:rsidR="00327FF1" w:rsidRDefault="00E406C7">
            <w:pPr>
              <w:pStyle w:val="P68B1DB1-Normal11"/>
              <w:jc w:val="both"/>
              <w:rPr>
                <w:noProof/>
              </w:rPr>
            </w:pPr>
            <w:r>
              <w:rPr>
                <w:noProof/>
              </w:rPr>
              <w:t>Investīcija 5.4.: Kapitāla iepludināšana Zaļās pārkārtošanās fondā (GTF)</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155179" w14:textId="77777777" w:rsidR="00327FF1" w:rsidRDefault="00E406C7">
            <w:pPr>
              <w:pStyle w:val="P68B1DB1-Normal11"/>
              <w:jc w:val="both"/>
              <w:rPr>
                <w:noProof/>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39263" w14:textId="77777777" w:rsidR="00327FF1" w:rsidRDefault="00E406C7">
            <w:pPr>
              <w:pStyle w:val="P68B1DB1-Normal11"/>
              <w:jc w:val="both"/>
              <w:rPr>
                <w:noProof/>
              </w:rPr>
            </w:pPr>
            <w:r>
              <w:rPr>
                <w:noProof/>
              </w:rPr>
              <w:t>Ziņojuma pieņemšana</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738428" w14:textId="77777777" w:rsidR="00327FF1" w:rsidRDefault="00E406C7">
            <w:pPr>
              <w:pStyle w:val="P68B1DB1-Normal11"/>
              <w:jc w:val="center"/>
              <w:rPr>
                <w:noProof/>
              </w:rPr>
            </w:pPr>
            <w:r>
              <w:rPr>
                <w:noProof/>
              </w:rPr>
              <w:t>Ziņojuma pieņemšana</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A1C21B" w14:textId="77777777" w:rsidR="00327FF1" w:rsidRDefault="00E406C7">
            <w:pPr>
              <w:pStyle w:val="P68B1DB1-Normal11"/>
              <w:jc w:val="center"/>
              <w:rPr>
                <w:noProof/>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A05BE7" w14:textId="77777777" w:rsidR="00327FF1" w:rsidRDefault="00E406C7">
            <w:pPr>
              <w:pStyle w:val="P68B1DB1-Normal11"/>
              <w:jc w:val="center"/>
              <w:rPr>
                <w:noProof/>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F27B72" w14:textId="77777777" w:rsidR="00327FF1" w:rsidRDefault="00E406C7">
            <w:pPr>
              <w:pStyle w:val="P68B1DB1-Normal11"/>
              <w:jc w:val="center"/>
              <w:rPr>
                <w:noProof/>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7685AD" w14:textId="77777777" w:rsidR="00327FF1" w:rsidRDefault="00E406C7">
            <w:pPr>
              <w:pStyle w:val="P68B1DB1-Normal11"/>
              <w:jc w:val="center"/>
              <w:rPr>
                <w:noProof/>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F31FB5" w14:textId="77777777" w:rsidR="00327FF1" w:rsidRDefault="00E406C7">
            <w:pPr>
              <w:pStyle w:val="P68B1DB1-Normal11"/>
              <w:jc w:val="center"/>
              <w:rPr>
                <w:noProof/>
              </w:rPr>
            </w:pPr>
            <w:r>
              <w:rPr>
                <w:noProof/>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141EC5" w14:textId="77777777" w:rsidR="00327FF1" w:rsidRDefault="00E406C7">
            <w:pPr>
              <w:pStyle w:val="P68B1DB1-Normal11"/>
              <w:spacing w:after="120"/>
              <w:rPr>
                <w:noProof/>
              </w:rPr>
            </w:pPr>
            <w:r>
              <w:rPr>
                <w:noProof/>
              </w:rPr>
              <w:t xml:space="preserve">Itālija nosūta ziņojumu, kurā izklāstītas darbības, ko GTF </w:t>
            </w:r>
            <w:r>
              <w:rPr>
                <w:noProof/>
              </w:rPr>
              <w:t>veicis, lai īstenotu ieguldījumu politiku, tostarp pasākumi, kas veikti, lai īstenotu finanšu produktus, kurus paredzēts atbalstīt ar pašu kapitālu, kā arī paredzamie pasākumi, kas veicami, lai turpinātu īstenot minētos produktus.</w:t>
            </w:r>
          </w:p>
          <w:p w14:paraId="4EED585D" w14:textId="77777777" w:rsidR="00327FF1" w:rsidRDefault="00E406C7">
            <w:pPr>
              <w:pStyle w:val="P68B1DB1-Normal11"/>
              <w:spacing w:after="120"/>
              <w:jc w:val="both"/>
              <w:rPr>
                <w:noProof/>
                <w:szCs w:val="20"/>
              </w:rPr>
            </w:pPr>
            <w:r>
              <w:rPr>
                <w:noProof/>
              </w:rPr>
              <w:t>Ziņojumā norāda arī summa</w:t>
            </w:r>
            <w:r>
              <w:rPr>
                <w:noProof/>
              </w:rPr>
              <w:t>s, kas ieguldītas tiešā/netiešā veidā un katrā finanšu produktā.</w:t>
            </w:r>
          </w:p>
        </w:tc>
      </w:tr>
      <w:tr w:rsidR="00327FF1" w14:paraId="64450C95"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8C79DE" w14:textId="77777777" w:rsidR="00327FF1" w:rsidRDefault="00E406C7">
            <w:pPr>
              <w:pStyle w:val="P68B1DB1-Normal11"/>
              <w:jc w:val="center"/>
              <w:rPr>
                <w:noProof/>
                <w:szCs w:val="20"/>
              </w:rPr>
            </w:pPr>
            <w:r>
              <w:rPr>
                <w:noProof/>
              </w:rPr>
              <w:t>M2C2–44</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2C19F0" w14:textId="77777777" w:rsidR="00327FF1" w:rsidRDefault="00E406C7">
            <w:pPr>
              <w:pStyle w:val="P68B1DB1-Normal11"/>
              <w:jc w:val="center"/>
              <w:rPr>
                <w:noProof/>
                <w:szCs w:val="20"/>
              </w:rPr>
            </w:pPr>
            <w:r>
              <w:rPr>
                <w:noProof/>
              </w:rPr>
              <w:t>Investīcija 1.1. Agrovoltaisko sistēmu attīstība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4EBBFF7" w14:textId="77777777" w:rsidR="00327FF1" w:rsidRDefault="00E406C7">
            <w:pPr>
              <w:pStyle w:val="P68B1DB1-Normal11"/>
              <w:jc w:val="center"/>
              <w:rPr>
                <w:noProof/>
                <w:szCs w:val="20"/>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3302DE9" w14:textId="77777777" w:rsidR="00327FF1" w:rsidRDefault="00E406C7">
            <w:pPr>
              <w:pStyle w:val="P68B1DB1-Normal11"/>
              <w:jc w:val="center"/>
              <w:rPr>
                <w:noProof/>
                <w:szCs w:val="20"/>
              </w:rPr>
            </w:pPr>
            <w:r>
              <w:rPr>
                <w:noProof/>
              </w:rPr>
              <w:t xml:space="preserve">Visu publiskā iepirkuma līgumu slēgšanas tiesību piešķiršana saules fotoelementu paneļu uzstādīšanai agrovoltuālās </w:t>
            </w:r>
            <w:r>
              <w:rPr>
                <w:noProof/>
              </w:rPr>
              <w:t>sistēmās</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5E32E9" w14:textId="77777777" w:rsidR="00327FF1" w:rsidRDefault="00E406C7">
            <w:pPr>
              <w:pStyle w:val="P68B1DB1-Normal67"/>
              <w:jc w:val="center"/>
              <w:rPr>
                <w:rFonts w:eastAsia="Arial Narrow"/>
                <w:noProof/>
              </w:rPr>
            </w:pPr>
            <w:r>
              <w:rPr>
                <w:noProof/>
              </w:rPr>
              <w:t>Pieņemšanas dekrētu publicēšana, piešķirot (piešķirot) visus publiskos līgumus par saules fotoelementu paneļu uzstādīšanu agrovoltu sistēmās</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AD40ABC" w14:textId="77777777" w:rsidR="00327FF1" w:rsidRDefault="00E406C7">
            <w:pPr>
              <w:pStyle w:val="P68B1DB1-Normal11"/>
              <w:jc w:val="center"/>
              <w:rPr>
                <w:noProof/>
                <w:szCs w:val="20"/>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3AC8BF8" w14:textId="77777777" w:rsidR="00327FF1" w:rsidRDefault="00E406C7">
            <w:pPr>
              <w:pStyle w:val="P68B1DB1-Normal11"/>
              <w:jc w:val="center"/>
              <w:rPr>
                <w:noProof/>
                <w:szCs w:val="20"/>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D824904" w14:textId="77777777" w:rsidR="00327FF1" w:rsidRDefault="00E406C7">
            <w:pPr>
              <w:pStyle w:val="P68B1DB1-Normal11"/>
              <w:jc w:val="center"/>
              <w:rPr>
                <w:noProof/>
                <w:szCs w:val="20"/>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A37E077" w14:textId="77777777" w:rsidR="00327FF1" w:rsidRDefault="00E406C7">
            <w:pPr>
              <w:pStyle w:val="P68B1DB1-Normal11"/>
              <w:jc w:val="center"/>
              <w:rPr>
                <w:noProof/>
                <w:szCs w:val="20"/>
              </w:rPr>
            </w:pPr>
            <w:r>
              <w:rPr>
                <w:noProof/>
              </w:rPr>
              <w:t>4.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CAB100C" w14:textId="77777777" w:rsidR="00327FF1" w:rsidRDefault="00E406C7">
            <w:pPr>
              <w:pStyle w:val="P68B1DB1-Normal11"/>
              <w:jc w:val="center"/>
              <w:rPr>
                <w:noProof/>
                <w:szCs w:val="20"/>
              </w:rPr>
            </w:pPr>
            <w:r>
              <w:rPr>
                <w:noProof/>
              </w:rPr>
              <w:t>2024</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9935588" w14:textId="77777777" w:rsidR="00327FF1" w:rsidRDefault="00E406C7">
            <w:pPr>
              <w:pStyle w:val="P68B1DB1-Normal12"/>
              <w:rPr>
                <w:noProof/>
              </w:rPr>
            </w:pPr>
            <w:r>
              <w:rPr>
                <w:noProof/>
              </w:rPr>
              <w:t>Pieņemšanas dekrētu publicēšana, piešķirot (ieķīlājot) visus pu</w:t>
            </w:r>
            <w:r>
              <w:rPr>
                <w:noProof/>
              </w:rPr>
              <w:t xml:space="preserve">bliskos līgumus par saules fotoelementu paneļu un mērinstrumentu uzstādīšanu agrovoltu sistēmās. </w:t>
            </w:r>
          </w:p>
        </w:tc>
      </w:tr>
      <w:tr w:rsidR="00327FF1" w14:paraId="5337BA2E"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00A996" w14:textId="77777777" w:rsidR="00327FF1" w:rsidRDefault="00E406C7">
            <w:pPr>
              <w:pStyle w:val="P68B1DB1-Normal11"/>
              <w:jc w:val="center"/>
              <w:rPr>
                <w:noProof/>
              </w:rPr>
            </w:pPr>
            <w:r>
              <w:rPr>
                <w:noProof/>
              </w:rPr>
              <w:t>M2C2–45</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76CA30" w14:textId="77777777" w:rsidR="00327FF1" w:rsidRDefault="00E406C7">
            <w:pPr>
              <w:pStyle w:val="P68B1DB1-Normal11"/>
              <w:jc w:val="center"/>
              <w:rPr>
                <w:noProof/>
              </w:rPr>
            </w:pPr>
            <w:r>
              <w:rPr>
                <w:noProof/>
              </w:rPr>
              <w:t>Agrovoltaisko sistēmu attīstība</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378674" w14:textId="77777777" w:rsidR="00327FF1" w:rsidRDefault="00E406C7">
            <w:pPr>
              <w:pStyle w:val="P68B1DB1-Normal11"/>
              <w:jc w:val="center"/>
              <w:rPr>
                <w:noProof/>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2DE302" w14:textId="77777777" w:rsidR="00327FF1" w:rsidRDefault="00E406C7">
            <w:pPr>
              <w:pStyle w:val="P68B1DB1-Normal11"/>
              <w:jc w:val="center"/>
              <w:rPr>
                <w:noProof/>
              </w:rPr>
            </w:pPr>
            <w:r>
              <w:rPr>
                <w:noProof/>
              </w:rPr>
              <w:t xml:space="preserve">Īstenošanas nolīgums, ar galīgajiem saņēmējiem parakstītie juridiskie nolīgumi un ieguldījumu </w:t>
            </w:r>
            <w:r>
              <w:rPr>
                <w:noProof/>
              </w:rPr>
              <w:t>pabeigšana</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ABFE3" w14:textId="77777777" w:rsidR="00327FF1" w:rsidRDefault="00E406C7">
            <w:pPr>
              <w:pStyle w:val="P68B1DB1-Normal11"/>
              <w:jc w:val="center"/>
              <w:rPr>
                <w:noProof/>
              </w:rPr>
            </w:pPr>
            <w:r>
              <w:rPr>
                <w:noProof/>
              </w:rPr>
              <w:t>Īstenošanas nolīguma stāšanās spēkā, parakstītie juridiskie nolīgumi, nodošanas apliecība</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501A32" w14:textId="77777777" w:rsidR="00327FF1" w:rsidRDefault="00327FF1">
            <w:pPr>
              <w:jc w:val="center"/>
              <w:rPr>
                <w:rFonts w:ascii="Arial Narrow" w:hAnsi="Arial Narrow"/>
                <w:noProof/>
                <w:color w:val="006100"/>
                <w:sz w:val="20"/>
              </w:rPr>
            </w:pP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09A284" w14:textId="77777777" w:rsidR="00327FF1" w:rsidRDefault="00327FF1">
            <w:pPr>
              <w:jc w:val="center"/>
              <w:rPr>
                <w:rFonts w:ascii="Arial Narrow" w:hAnsi="Arial Narrow"/>
                <w:noProof/>
                <w:color w:val="006100"/>
                <w:sz w:val="20"/>
              </w:rPr>
            </w:pP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AC7E31" w14:textId="77777777" w:rsidR="00327FF1" w:rsidRDefault="00327FF1">
            <w:pPr>
              <w:jc w:val="center"/>
              <w:rPr>
                <w:rFonts w:ascii="Arial Narrow" w:hAnsi="Arial Narrow"/>
                <w:noProof/>
                <w:color w:val="006100"/>
                <w:sz w:val="20"/>
              </w:rPr>
            </w:pP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71FF48" w14:textId="77777777" w:rsidR="00327FF1" w:rsidRDefault="00E406C7">
            <w:pPr>
              <w:pStyle w:val="P68B1DB1-Normal11"/>
              <w:jc w:val="center"/>
              <w:rPr>
                <w:noProof/>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B530E" w14:textId="77777777" w:rsidR="00327FF1" w:rsidRDefault="00E406C7">
            <w:pPr>
              <w:pStyle w:val="P68B1DB1-Normal11"/>
              <w:jc w:val="center"/>
              <w:rPr>
                <w:noProof/>
              </w:rPr>
            </w:pPr>
            <w:r>
              <w:rPr>
                <w:noProof/>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8E417D" w14:textId="77777777" w:rsidR="00327FF1" w:rsidRDefault="00E406C7">
            <w:pPr>
              <w:pStyle w:val="P68B1DB1-Normal12"/>
              <w:rPr>
                <w:noProof/>
              </w:rPr>
            </w:pPr>
            <w:r>
              <w:rPr>
                <w:noProof/>
              </w:rPr>
              <w:t>Īstenošanas nolīguma stāšanās spēkā.</w:t>
            </w:r>
          </w:p>
          <w:p w14:paraId="2C732690" w14:textId="455F2313" w:rsidR="00327FF1" w:rsidRDefault="00E406C7">
            <w:pPr>
              <w:pStyle w:val="P68B1DB1-Normal12"/>
              <w:rPr>
                <w:noProof/>
              </w:rPr>
            </w:pPr>
            <w:r>
              <w:rPr>
                <w:noProof/>
              </w:rPr>
              <w:t>Itālija pārvieto EUR 1099000000 uz GSE mehānisma vajadzībām.</w:t>
            </w:r>
          </w:p>
          <w:p w14:paraId="589B2718" w14:textId="7BE0FBE3" w:rsidR="00327FF1" w:rsidRDefault="00E406C7">
            <w:pPr>
              <w:pStyle w:val="P68B1DB1-Normal12"/>
              <w:rPr>
                <w:noProof/>
              </w:rPr>
            </w:pPr>
            <w:r>
              <w:rPr>
                <w:noProof/>
              </w:rPr>
              <w:t xml:space="preserve">GSE ir noslēgusi juridiskus dotāciju nolīgumus ar galasaņēmējiem par summu, kas nepieciešama, lai shēmā izmantotu 100 % no ANM investīcijām (ņemot vērā pārvaldības maksas). </w:t>
            </w:r>
          </w:p>
        </w:tc>
      </w:tr>
      <w:tr w:rsidR="00327FF1" w14:paraId="0966369D"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3EAA58" w14:textId="77777777" w:rsidR="00327FF1" w:rsidRDefault="00E406C7">
            <w:pPr>
              <w:pStyle w:val="P68B1DB1-Normal12"/>
              <w:jc w:val="center"/>
              <w:rPr>
                <w:noProof/>
              </w:rPr>
            </w:pPr>
            <w:r>
              <w:rPr>
                <w:noProof/>
              </w:rPr>
              <w:t>M2C2–47</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19BB79" w14:textId="77777777" w:rsidR="00327FF1" w:rsidRDefault="00E406C7">
            <w:pPr>
              <w:pStyle w:val="P68B1DB1-Normal11"/>
              <w:jc w:val="center"/>
              <w:rPr>
                <w:noProof/>
              </w:rPr>
            </w:pPr>
            <w:r>
              <w:rPr>
                <w:noProof/>
              </w:rPr>
              <w:t xml:space="preserve">Investīcija 1.2. AER veicināšana energokopienām un atjaunojamo </w:t>
            </w:r>
            <w:r>
              <w:rPr>
                <w:noProof/>
              </w:rPr>
              <w:t>energoresursu enerģijas pašpatērētāju kopīgai rīcībai</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9F211" w14:textId="77777777" w:rsidR="00327FF1" w:rsidRDefault="00E406C7">
            <w:pPr>
              <w:pStyle w:val="P68B1DB1-Normal11"/>
              <w:jc w:val="center"/>
              <w:rPr>
                <w:noProof/>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08393C" w14:textId="77777777" w:rsidR="00327FF1" w:rsidRDefault="00E406C7">
            <w:pPr>
              <w:pStyle w:val="P68B1DB1-Normal11"/>
              <w:jc w:val="center"/>
              <w:rPr>
                <w:noProof/>
              </w:rPr>
            </w:pPr>
            <w:r>
              <w:rPr>
                <w:noProof/>
              </w:rPr>
              <w:t>Īstenošanas nolīgums, ar galīgajiem saņēmējiem parakstītie juridiskie nolīgumi un ieguldījumu pabeigšana</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8A270" w14:textId="77777777" w:rsidR="00327FF1" w:rsidRDefault="00E406C7">
            <w:pPr>
              <w:pStyle w:val="P68B1DB1-Normal11"/>
              <w:jc w:val="center"/>
              <w:rPr>
                <w:noProof/>
                <w:szCs w:val="20"/>
              </w:rPr>
            </w:pPr>
            <w:r>
              <w:rPr>
                <w:noProof/>
              </w:rPr>
              <w:t>Īstenošanas nolīguma, parakstīto juridisko nolīgumu un nodošanas apliecības stāš</w:t>
            </w:r>
            <w:r>
              <w:rPr>
                <w:noProof/>
              </w:rPr>
              <w:t>anās spēkā</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CC9541" w14:textId="77777777" w:rsidR="00327FF1" w:rsidRDefault="00E406C7">
            <w:pPr>
              <w:pStyle w:val="P68B1DB1-Normal12"/>
              <w:jc w:val="center"/>
              <w:rPr>
                <w:noProof/>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86AE0A" w14:textId="77777777" w:rsidR="00327FF1" w:rsidRDefault="00E406C7">
            <w:pPr>
              <w:pStyle w:val="P68B1DB1-Normal12"/>
              <w:jc w:val="center"/>
              <w:rPr>
                <w:noProof/>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CF7DCB" w14:textId="77777777" w:rsidR="00327FF1" w:rsidRDefault="00E406C7">
            <w:pPr>
              <w:pStyle w:val="P68B1DB1-Normal12"/>
              <w:jc w:val="center"/>
              <w:rPr>
                <w:noProof/>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198527" w14:textId="77777777" w:rsidR="00327FF1" w:rsidRDefault="00E406C7">
            <w:pPr>
              <w:pStyle w:val="P68B1DB1-Normal11"/>
              <w:jc w:val="center"/>
              <w:rPr>
                <w:noProof/>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15E9AF" w14:textId="77777777" w:rsidR="00327FF1" w:rsidRDefault="00E406C7">
            <w:pPr>
              <w:pStyle w:val="P68B1DB1-Normal11"/>
              <w:jc w:val="center"/>
              <w:rPr>
                <w:noProof/>
              </w:rPr>
            </w:pPr>
            <w:r>
              <w:rPr>
                <w:noProof/>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B2A11C" w14:textId="77777777" w:rsidR="00327FF1" w:rsidRDefault="00E406C7">
            <w:pPr>
              <w:pStyle w:val="P68B1DB1-Normal11"/>
              <w:rPr>
                <w:noProof/>
              </w:rPr>
            </w:pPr>
            <w:r>
              <w:rPr>
                <w:noProof/>
              </w:rPr>
              <w:t>Īstenošanas nolīguma stāšanās spēkā.</w:t>
            </w:r>
          </w:p>
          <w:p w14:paraId="29DB9467" w14:textId="42BAE8A4" w:rsidR="00327FF1" w:rsidRDefault="00E406C7">
            <w:pPr>
              <w:pStyle w:val="P68B1DB1-Normal12"/>
              <w:rPr>
                <w:noProof/>
              </w:rPr>
            </w:pPr>
            <w:r>
              <w:rPr>
                <w:noProof/>
              </w:rPr>
              <w:t>Itālija pārvieto EUR 795500000 uz GSE par iekārtu.</w:t>
            </w:r>
          </w:p>
          <w:p w14:paraId="67D8F61A" w14:textId="55149862" w:rsidR="00327FF1" w:rsidRDefault="00E406C7">
            <w:pPr>
              <w:pStyle w:val="P68B1DB1-Normal11"/>
              <w:rPr>
                <w:noProof/>
                <w:szCs w:val="20"/>
              </w:rPr>
            </w:pPr>
            <w:r>
              <w:rPr>
                <w:noProof/>
              </w:rPr>
              <w:t>GSE ir noslēgusi juridiskus dotāciju nolīgumus ar galīgajiem saņēmējiem par summu, kas nepieciešama, lai shēmā izm</w:t>
            </w:r>
            <w:r>
              <w:rPr>
                <w:noProof/>
              </w:rPr>
              <w:t xml:space="preserve">antotu vismaz 100 % no ANM investīcijām (ņemot vērā pārvaldības maksas). </w:t>
            </w:r>
          </w:p>
        </w:tc>
      </w:tr>
      <w:tr w:rsidR="00327FF1" w14:paraId="26FE3D63"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9DF7B" w14:textId="77777777" w:rsidR="00327FF1" w:rsidRDefault="00E406C7">
            <w:pPr>
              <w:pStyle w:val="P68B1DB1-Normal11"/>
              <w:jc w:val="center"/>
              <w:rPr>
                <w:noProof/>
                <w:szCs w:val="20"/>
              </w:rPr>
            </w:pPr>
            <w:r>
              <w:rPr>
                <w:noProof/>
              </w:rPr>
              <w:t>M2C2–48</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0F3F3B" w14:textId="77777777" w:rsidR="00327FF1" w:rsidRDefault="00E406C7">
            <w:pPr>
              <w:pStyle w:val="P68B1DB1-Normal11"/>
              <w:jc w:val="center"/>
              <w:rPr>
                <w:noProof/>
                <w:szCs w:val="20"/>
              </w:rPr>
            </w:pPr>
            <w:r>
              <w:rPr>
                <w:noProof/>
              </w:rPr>
              <w:t>Investīcija 3.1. Ūdeņraža ražošana degradētās teritorijās (Ūdeņraža ielejas)</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F9BA90" w14:textId="77777777" w:rsidR="00327FF1" w:rsidRDefault="00E406C7">
            <w:pPr>
              <w:pStyle w:val="P68B1DB1-Normal11"/>
              <w:jc w:val="center"/>
              <w:rPr>
                <w:noProof/>
                <w:szCs w:val="20"/>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76F12A" w14:textId="77777777" w:rsidR="00327FF1" w:rsidRDefault="00E406C7">
            <w:pPr>
              <w:pStyle w:val="P68B1DB1-Normal11"/>
              <w:jc w:val="center"/>
              <w:rPr>
                <w:noProof/>
                <w:szCs w:val="20"/>
              </w:rPr>
            </w:pPr>
            <w:r>
              <w:rPr>
                <w:noProof/>
              </w:rPr>
              <w:t xml:space="preserve">Visu publiskā iepirkuma līgumu slēgšanas tiesību piešķiršana projektiem par </w:t>
            </w:r>
            <w:r>
              <w:rPr>
                <w:noProof/>
              </w:rPr>
              <w:t>ūdeņraža ražošanu pamestu rūpniecisko teritoriju centros</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EC3B5" w14:textId="77777777" w:rsidR="00327FF1" w:rsidRDefault="00E406C7">
            <w:pPr>
              <w:pStyle w:val="P68B1DB1-Normal11"/>
              <w:jc w:val="center"/>
              <w:rPr>
                <w:noProof/>
                <w:szCs w:val="20"/>
              </w:rPr>
            </w:pPr>
            <w:r>
              <w:rPr>
                <w:noProof/>
              </w:rPr>
              <w:t>Paziņojums par visu publiskā iepirkuma līgumu slēgšanas tiesību piešķiršanu ūdeņraža ražošanai pamestu rūpniecisko teritoriju centros</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76BC5D" w14:textId="77777777" w:rsidR="00327FF1" w:rsidRDefault="00E406C7">
            <w:pPr>
              <w:pStyle w:val="P68B1DB1-Normal11"/>
              <w:jc w:val="center"/>
              <w:rPr>
                <w:noProof/>
                <w:szCs w:val="20"/>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250BD0" w14:textId="77777777" w:rsidR="00327FF1" w:rsidRDefault="00E406C7">
            <w:pPr>
              <w:pStyle w:val="P68B1DB1-Normal11"/>
              <w:jc w:val="center"/>
              <w:rPr>
                <w:noProof/>
                <w:szCs w:val="20"/>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42DDBD" w14:textId="77777777" w:rsidR="00327FF1" w:rsidRDefault="00E406C7">
            <w:pPr>
              <w:pStyle w:val="P68B1DB1-Normal11"/>
              <w:jc w:val="center"/>
              <w:rPr>
                <w:noProof/>
                <w:szCs w:val="20"/>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4177D2" w14:textId="77777777" w:rsidR="00327FF1" w:rsidRDefault="00E406C7">
            <w:pPr>
              <w:pStyle w:val="P68B1DB1-Normal11"/>
              <w:jc w:val="center"/>
              <w:rPr>
                <w:noProof/>
                <w:szCs w:val="20"/>
              </w:rPr>
            </w:pPr>
            <w:r>
              <w:rPr>
                <w:noProof/>
              </w:rPr>
              <w:t>Q1</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E9D29" w14:textId="77777777" w:rsidR="00327FF1" w:rsidRDefault="00E406C7">
            <w:pPr>
              <w:pStyle w:val="P68B1DB1-Normal11"/>
              <w:jc w:val="center"/>
              <w:rPr>
                <w:noProof/>
                <w:szCs w:val="20"/>
              </w:rPr>
            </w:pPr>
            <w:r>
              <w:rPr>
                <w:noProof/>
              </w:rPr>
              <w:t>2023</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0020FC" w14:textId="77777777" w:rsidR="00327FF1" w:rsidRDefault="00E406C7">
            <w:pPr>
              <w:pStyle w:val="P68B1DB1-Normal14"/>
              <w:rPr>
                <w:noProof/>
                <w:color w:val="006100"/>
                <w:szCs w:val="20"/>
              </w:rPr>
            </w:pPr>
            <w:r>
              <w:rPr>
                <w:noProof/>
              </w:rPr>
              <w:t xml:space="preserve">Projektu </w:t>
            </w:r>
            <w:r>
              <w:rPr>
                <w:noProof/>
                <w:color w:val="006100"/>
              </w:rPr>
              <w:t>piešķiršana ūdeņra</w:t>
            </w:r>
            <w:r>
              <w:rPr>
                <w:noProof/>
                <w:color w:val="006100"/>
              </w:rPr>
              <w:t>ža ražošanai pamesto rūpniecisko teritoriju centros. Finansējumu piešķir zaļā ūdeņraža ražošanai ar mazāk nekā 3 tCO2eq/tH2, lai panāktu vislabāko rezultātu dekarbonizācijas ziņā.</w:t>
            </w:r>
            <w:r>
              <w:rPr>
                <w:noProof/>
              </w:rPr>
              <w:t xml:space="preserve"> </w:t>
            </w:r>
            <w:r>
              <w:rPr>
                <w:noProof/>
                <w:color w:val="006100"/>
              </w:rPr>
              <w:t xml:space="preserve">Šis pasākums atbalsta ūdeņraža ražošanu, izmantojot elektrolīzi, izmantojot </w:t>
            </w:r>
            <w:r>
              <w:rPr>
                <w:noProof/>
                <w:color w:val="006100"/>
              </w:rPr>
              <w:t>atjaunīgos energoresursus, kā definēts Direktīvā (ES) 2018/2001 (Atjaunojamo energoresursu direktīva), vai tīkla elektroenerģiju</w:t>
            </w:r>
            <w:r>
              <w:rPr>
                <w:noProof/>
              </w:rPr>
              <w:t>.</w:t>
            </w:r>
          </w:p>
        </w:tc>
      </w:tr>
      <w:tr w:rsidR="00327FF1" w14:paraId="6D59FE80"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85D0A4" w14:textId="77777777" w:rsidR="00327FF1" w:rsidRDefault="00E406C7">
            <w:pPr>
              <w:pStyle w:val="P68B1DB1-Normal11"/>
              <w:jc w:val="center"/>
              <w:rPr>
                <w:noProof/>
                <w:szCs w:val="20"/>
              </w:rPr>
            </w:pPr>
            <w:r>
              <w:rPr>
                <w:noProof/>
              </w:rPr>
              <w:t>M2C2–49</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A1D69A" w14:textId="77777777" w:rsidR="00327FF1" w:rsidRDefault="00E406C7">
            <w:pPr>
              <w:pStyle w:val="P68B1DB1-Normal11"/>
              <w:jc w:val="center"/>
              <w:rPr>
                <w:noProof/>
                <w:szCs w:val="20"/>
              </w:rPr>
            </w:pPr>
            <w:r>
              <w:rPr>
                <w:noProof/>
              </w:rPr>
              <w:t>Investīcija 3.1. Ūdeņraža ražošana degradētās teritorijās (Ūdeņraža ielejas)</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B2C688" w14:textId="77777777" w:rsidR="00327FF1" w:rsidRDefault="00E406C7">
            <w:pPr>
              <w:pStyle w:val="P68B1DB1-Normal11"/>
              <w:jc w:val="center"/>
              <w:rPr>
                <w:noProof/>
                <w:szCs w:val="20"/>
              </w:rPr>
            </w:pPr>
            <w:r>
              <w:rPr>
                <w:noProof/>
              </w:rPr>
              <w:t>Mērķa</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775886" w14:textId="77777777" w:rsidR="00327FF1" w:rsidRDefault="00E406C7">
            <w:pPr>
              <w:pStyle w:val="P68B1DB1-Normal11"/>
              <w:jc w:val="center"/>
              <w:rPr>
                <w:noProof/>
                <w:szCs w:val="20"/>
              </w:rPr>
            </w:pPr>
            <w:r>
              <w:rPr>
                <w:noProof/>
              </w:rPr>
              <w:t>Īstenotie projekti</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8BF61B" w14:textId="77777777" w:rsidR="00327FF1" w:rsidRDefault="00E406C7">
            <w:pPr>
              <w:pStyle w:val="P68B1DB1-Normal11"/>
              <w:jc w:val="center"/>
              <w:rPr>
                <w:noProof/>
                <w:szCs w:val="20"/>
              </w:rPr>
            </w:pPr>
            <w:r>
              <w:rPr>
                <w:noProof/>
              </w:rPr>
              <w:t>NEPIEMĒRO</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D3317" w14:textId="77777777" w:rsidR="00327FF1" w:rsidRDefault="00E406C7">
            <w:pPr>
              <w:pStyle w:val="P68B1DB1-Normal11"/>
              <w:jc w:val="center"/>
              <w:rPr>
                <w:noProof/>
                <w:szCs w:val="20"/>
              </w:rPr>
            </w:pPr>
            <w:r>
              <w:rPr>
                <w:noProof/>
              </w:rPr>
              <w:t>Skaits</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4DC58E" w14:textId="77777777" w:rsidR="00327FF1" w:rsidRDefault="00E406C7">
            <w:pPr>
              <w:pStyle w:val="P68B1DB1-Normal11"/>
              <w:jc w:val="center"/>
              <w:rPr>
                <w:noProof/>
                <w:szCs w:val="20"/>
              </w:rPr>
            </w:pPr>
            <w:r>
              <w:rPr>
                <w:noProof/>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A0CE60" w14:textId="77777777" w:rsidR="00327FF1" w:rsidRDefault="00E406C7">
            <w:pPr>
              <w:pStyle w:val="P68B1DB1-Normal11"/>
              <w:jc w:val="center"/>
              <w:rPr>
                <w:noProof/>
                <w:szCs w:val="20"/>
              </w:rPr>
            </w:pPr>
            <w:r>
              <w:rPr>
                <w:noProof/>
              </w:rPr>
              <w:t>10</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1A0108" w14:textId="77777777" w:rsidR="00327FF1" w:rsidRDefault="00E406C7">
            <w:pPr>
              <w:pStyle w:val="P68B1DB1-Normal11"/>
              <w:jc w:val="center"/>
              <w:rPr>
                <w:noProof/>
                <w:szCs w:val="20"/>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A666AD" w14:textId="77777777" w:rsidR="00327FF1" w:rsidRDefault="00E406C7">
            <w:pPr>
              <w:pStyle w:val="P68B1DB1-Normal11"/>
              <w:jc w:val="center"/>
              <w:rPr>
                <w:noProof/>
                <w:szCs w:val="20"/>
              </w:rPr>
            </w:pPr>
            <w:r>
              <w:rPr>
                <w:noProof/>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BDBB5D" w14:textId="77777777" w:rsidR="00327FF1" w:rsidRDefault="00E406C7">
            <w:pPr>
              <w:pStyle w:val="P68B1DB1-Normal11"/>
              <w:spacing w:after="120"/>
              <w:rPr>
                <w:noProof/>
              </w:rPr>
            </w:pPr>
            <w:r>
              <w:rPr>
                <w:noProof/>
              </w:rPr>
              <w:t>Sertifikāti par darbu pabeigšanu, kas izsniegti 10 ūdeņraža ieleju projektiem, tostarp 10 elektrolīzeru uzstādīšanai ar jaudu vismaz 1 MW katrs.</w:t>
            </w:r>
          </w:p>
          <w:p w14:paraId="463EAC04" w14:textId="177BC647" w:rsidR="00327FF1" w:rsidRDefault="00E406C7">
            <w:pPr>
              <w:pStyle w:val="P68B1DB1-Normal11"/>
              <w:spacing w:after="120"/>
              <w:rPr>
                <w:noProof/>
                <w:szCs w:val="20"/>
              </w:rPr>
            </w:pPr>
            <w:r>
              <w:rPr>
                <w:noProof/>
              </w:rPr>
              <w:t xml:space="preserve">Attīstītāja pieņemtās pieslēguma izmaksu aplēses tiek izdotas elektrolīzeriem, kuriem </w:t>
            </w:r>
            <w:r>
              <w:rPr>
                <w:noProof/>
              </w:rPr>
              <w:t>nepieciešams tīkla pieslēgums.</w:t>
            </w:r>
          </w:p>
        </w:tc>
      </w:tr>
      <w:tr w:rsidR="00327FF1" w14:paraId="78E5612A"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8567AB" w14:textId="77777777" w:rsidR="00327FF1" w:rsidRDefault="00E406C7">
            <w:pPr>
              <w:pStyle w:val="P68B1DB1-Normal12"/>
              <w:jc w:val="center"/>
              <w:rPr>
                <w:noProof/>
              </w:rPr>
            </w:pPr>
            <w:r>
              <w:rPr>
                <w:noProof/>
              </w:rPr>
              <w:t>M2C2–50</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E6C5A5" w14:textId="77777777" w:rsidR="00327FF1" w:rsidRDefault="00E406C7">
            <w:pPr>
              <w:pStyle w:val="P68B1DB1-Normal11"/>
              <w:jc w:val="center"/>
              <w:rPr>
                <w:noProof/>
                <w:szCs w:val="20"/>
              </w:rPr>
            </w:pPr>
            <w:r>
              <w:rPr>
                <w:noProof/>
              </w:rPr>
              <w:t>Investīcija 3.2. Ūdeņraža izmantošana grūti dekarbonizējamā rūpniecībā</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38F91A" w14:textId="77777777" w:rsidR="00327FF1" w:rsidRDefault="00E406C7">
            <w:pPr>
              <w:pStyle w:val="P68B1DB1-Normal11"/>
              <w:jc w:val="center"/>
              <w:rPr>
                <w:noProof/>
                <w:szCs w:val="20"/>
              </w:rPr>
            </w:pPr>
            <w:r>
              <w:rPr>
                <w:noProof/>
              </w:rPr>
              <w:t>Atskaites 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B909B9" w14:textId="77777777" w:rsidR="00327FF1" w:rsidRDefault="00E406C7">
            <w:pPr>
              <w:pStyle w:val="P68B1DB1-Normal11"/>
              <w:jc w:val="center"/>
              <w:rPr>
                <w:noProof/>
                <w:szCs w:val="20"/>
              </w:rPr>
            </w:pPr>
            <w:r>
              <w:rPr>
                <w:noProof/>
              </w:rPr>
              <w:t>Vienošanās veicināt pāreju no metāna uz zaļo ūdeņradi</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B6EFA6" w14:textId="77777777" w:rsidR="00327FF1" w:rsidRDefault="00E406C7">
            <w:pPr>
              <w:pStyle w:val="P68B1DB1-Normal11"/>
              <w:jc w:val="center"/>
              <w:rPr>
                <w:noProof/>
                <w:szCs w:val="20"/>
              </w:rPr>
            </w:pPr>
            <w:r>
              <w:rPr>
                <w:noProof/>
              </w:rPr>
              <w:t>Nolīguma parakstīšana</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148D4C" w14:textId="77777777" w:rsidR="00327FF1" w:rsidRDefault="00E406C7">
            <w:pPr>
              <w:pStyle w:val="P68B1DB1-Normal11"/>
              <w:jc w:val="center"/>
              <w:rPr>
                <w:noProof/>
                <w:szCs w:val="20"/>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7D55DC" w14:textId="77777777" w:rsidR="00327FF1" w:rsidRDefault="00E406C7">
            <w:pPr>
              <w:pStyle w:val="P68B1DB1-Normal11"/>
              <w:jc w:val="center"/>
              <w:rPr>
                <w:noProof/>
                <w:szCs w:val="20"/>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5383B5" w14:textId="77777777" w:rsidR="00327FF1" w:rsidRDefault="00E406C7">
            <w:pPr>
              <w:pStyle w:val="P68B1DB1-Normal11"/>
              <w:jc w:val="center"/>
              <w:rPr>
                <w:noProof/>
                <w:szCs w:val="20"/>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F085BB" w14:textId="77777777" w:rsidR="00327FF1" w:rsidRDefault="00E406C7">
            <w:pPr>
              <w:pStyle w:val="P68B1DB1-Normal11"/>
              <w:jc w:val="center"/>
              <w:rPr>
                <w:noProof/>
                <w:szCs w:val="20"/>
              </w:rPr>
            </w:pPr>
            <w:r>
              <w:rPr>
                <w:noProof/>
              </w:rPr>
              <w:t>Q1</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71BA4" w14:textId="77777777" w:rsidR="00327FF1" w:rsidRDefault="00E406C7">
            <w:pPr>
              <w:pStyle w:val="P68B1DB1-Normal11"/>
              <w:jc w:val="center"/>
              <w:rPr>
                <w:noProof/>
                <w:szCs w:val="20"/>
              </w:rPr>
            </w:pPr>
            <w:r>
              <w:rPr>
                <w:noProof/>
              </w:rPr>
              <w:t>2023</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FC5212" w14:textId="77777777" w:rsidR="00327FF1" w:rsidRDefault="00E406C7">
            <w:pPr>
              <w:pStyle w:val="P68B1DB1-Normal14"/>
              <w:rPr>
                <w:noProof/>
                <w:color w:val="006100"/>
                <w:szCs w:val="20"/>
              </w:rPr>
            </w:pPr>
            <w:r>
              <w:rPr>
                <w:noProof/>
              </w:rPr>
              <w:t xml:space="preserve">Nolīguma </w:t>
            </w:r>
            <w:r>
              <w:rPr>
                <w:noProof/>
                <w:color w:val="006100"/>
              </w:rPr>
              <w:t>parakstīšana ar atlasītajiem projektu īpašniekiem, lai veicinātu pāreju no metāna uz zaļo ūdeņradi. Projektus daļēji velta pētniecības, izstrādes un inovācijas procesam, un daļēji tos velta rūpnieciskā prototipa īstenošanai un testēšanai, izmantojot ūdeņra</w:t>
            </w:r>
            <w:r>
              <w:rPr>
                <w:noProof/>
                <w:color w:val="006100"/>
              </w:rPr>
              <w:t>di.</w:t>
            </w:r>
            <w:r>
              <w:rPr>
                <w:noProof/>
              </w:rPr>
              <w:t xml:space="preserve"> </w:t>
            </w:r>
            <w:r>
              <w:rPr>
                <w:noProof/>
                <w:color w:val="006100"/>
              </w:rPr>
              <w:t>Ar šo pasākumu atbalsta ūdeņraža ražošanu elektrolīzes ceļā, izmantojot atjaunīgos energoresursus, kā definēts Direktīvā (ES) 2018/2001 (Atjaunojamo energoresursu direktīva), vai tīkla elektroenerģiju.</w:t>
            </w:r>
          </w:p>
        </w:tc>
      </w:tr>
      <w:tr w:rsidR="00327FF1" w14:paraId="095C9F2C"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CD864A" w14:textId="77777777" w:rsidR="00327FF1" w:rsidRDefault="00E406C7">
            <w:pPr>
              <w:pStyle w:val="P68B1DB1-Normal11"/>
              <w:jc w:val="center"/>
              <w:rPr>
                <w:noProof/>
                <w:szCs w:val="20"/>
              </w:rPr>
            </w:pPr>
            <w:r>
              <w:rPr>
                <w:noProof/>
              </w:rPr>
              <w:t>M2C2–52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A58C70" w14:textId="77777777" w:rsidR="00327FF1" w:rsidRDefault="00E406C7">
            <w:pPr>
              <w:pStyle w:val="P68B1DB1-Normal11"/>
              <w:jc w:val="center"/>
              <w:rPr>
                <w:noProof/>
                <w:szCs w:val="20"/>
              </w:rPr>
            </w:pPr>
            <w:r>
              <w:rPr>
                <w:noProof/>
              </w:rPr>
              <w:t>Investīcija 5.2. Ūdeņradis</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09906E" w14:textId="77777777" w:rsidR="00327FF1" w:rsidRDefault="00E406C7">
            <w:pPr>
              <w:pStyle w:val="P68B1DB1-Normal11"/>
              <w:jc w:val="center"/>
              <w:rPr>
                <w:noProof/>
                <w:szCs w:val="20"/>
              </w:rPr>
            </w:pPr>
            <w:r>
              <w:rPr>
                <w:noProof/>
              </w:rPr>
              <w:t xml:space="preserve">Atskaites </w:t>
            </w:r>
            <w:r>
              <w:rPr>
                <w:noProof/>
              </w:rPr>
              <w:t>punkts</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F6D3F5" w14:textId="77777777" w:rsidR="00327FF1" w:rsidRDefault="00E406C7">
            <w:pPr>
              <w:pStyle w:val="P68B1DB1-Normal11"/>
              <w:jc w:val="center"/>
              <w:rPr>
                <w:noProof/>
                <w:szCs w:val="20"/>
              </w:rPr>
            </w:pPr>
            <w:r>
              <w:rPr>
                <w:noProof/>
              </w:rPr>
              <w:t>Elektrolīzeru ražošana</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2E2B8E" w14:textId="77777777" w:rsidR="00327FF1" w:rsidRDefault="00E406C7">
            <w:pPr>
              <w:pStyle w:val="P68B1DB1-Normal11"/>
              <w:jc w:val="center"/>
              <w:rPr>
                <w:noProof/>
                <w:szCs w:val="20"/>
              </w:rPr>
            </w:pPr>
            <w:r>
              <w:rPr>
                <w:noProof/>
              </w:rPr>
              <w:t>Paziņojums par visu publisko līgumu publicēšanu</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49C05A" w14:textId="77777777" w:rsidR="00327FF1" w:rsidRDefault="00E406C7">
            <w:pPr>
              <w:pStyle w:val="P68B1DB1-Normal11"/>
              <w:jc w:val="center"/>
              <w:rPr>
                <w:noProof/>
                <w:szCs w:val="20"/>
              </w:rPr>
            </w:pPr>
            <w:r>
              <w:rPr>
                <w:noProof/>
              </w:rPr>
              <w:t>NEPIEMĒRO</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650767" w14:textId="77777777" w:rsidR="00327FF1" w:rsidRDefault="00E406C7">
            <w:pPr>
              <w:pStyle w:val="P68B1DB1-Normal11"/>
              <w:jc w:val="center"/>
              <w:rPr>
                <w:noProof/>
                <w:szCs w:val="20"/>
              </w:rPr>
            </w:pPr>
            <w:r>
              <w:rPr>
                <w:noProof/>
              </w:rPr>
              <w:t>NEPIEMĒRO</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D9B190" w14:textId="77777777" w:rsidR="00327FF1" w:rsidRDefault="00E406C7">
            <w:pPr>
              <w:pStyle w:val="P68B1DB1-Normal11"/>
              <w:jc w:val="center"/>
              <w:rPr>
                <w:noProof/>
                <w:szCs w:val="20"/>
              </w:rPr>
            </w:pPr>
            <w:r>
              <w:rPr>
                <w:noProof/>
              </w:rPr>
              <w:t>NEPIEMĒRO</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DD587" w14:textId="77777777" w:rsidR="00327FF1" w:rsidRDefault="00E406C7">
            <w:pPr>
              <w:pStyle w:val="P68B1DB1-Normal11"/>
              <w:jc w:val="center"/>
              <w:rPr>
                <w:noProof/>
                <w:szCs w:val="20"/>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758252" w14:textId="77777777" w:rsidR="00327FF1" w:rsidRDefault="00E406C7">
            <w:pPr>
              <w:pStyle w:val="P68B1DB1-Normal11"/>
              <w:jc w:val="center"/>
              <w:rPr>
                <w:noProof/>
                <w:szCs w:val="20"/>
              </w:rPr>
            </w:pPr>
            <w:r>
              <w:rPr>
                <w:noProof/>
              </w:rPr>
              <w:t>2022</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155B4D" w14:textId="77777777" w:rsidR="00327FF1" w:rsidRDefault="00E406C7">
            <w:pPr>
              <w:pStyle w:val="P68B1DB1-Normal11"/>
              <w:rPr>
                <w:noProof/>
                <w:szCs w:val="20"/>
              </w:rPr>
            </w:pPr>
            <w:r>
              <w:rPr>
                <w:noProof/>
              </w:rPr>
              <w:t xml:space="preserve">Līguma slēgšanas tiesību piešķiršana par elektrolīzeru ražošanas rūpnīcas būvniecību. </w:t>
            </w:r>
          </w:p>
        </w:tc>
      </w:tr>
      <w:tr w:rsidR="00327FF1" w14:paraId="2F6F8428" w14:textId="77777777">
        <w:trPr>
          <w:trHeight w:val="309"/>
          <w:jc w:val="center"/>
        </w:trPr>
        <w:tc>
          <w:tcPr>
            <w:tcW w:w="14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531AC0" w14:textId="77777777" w:rsidR="00327FF1" w:rsidRDefault="00E406C7">
            <w:pPr>
              <w:pStyle w:val="P68B1DB1-Normal12"/>
              <w:jc w:val="center"/>
              <w:rPr>
                <w:noProof/>
              </w:rPr>
            </w:pPr>
            <w:r>
              <w:rPr>
                <w:noProof/>
              </w:rPr>
              <w:t>M2C2–53</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360155" w14:textId="77777777" w:rsidR="00327FF1" w:rsidRDefault="00E406C7">
            <w:pPr>
              <w:pStyle w:val="P68B1DB1-Normal11"/>
              <w:jc w:val="center"/>
              <w:rPr>
                <w:noProof/>
                <w:szCs w:val="20"/>
              </w:rPr>
            </w:pPr>
            <w:r>
              <w:rPr>
                <w:noProof/>
              </w:rPr>
              <w:t>Investīcija 5.2. Ūdeņradis</w:t>
            </w:r>
          </w:p>
        </w:tc>
        <w:tc>
          <w:tcPr>
            <w:tcW w:w="17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DDDB98" w14:textId="77777777" w:rsidR="00327FF1" w:rsidRDefault="00E406C7">
            <w:pPr>
              <w:pStyle w:val="P68B1DB1-Normal11"/>
              <w:jc w:val="center"/>
              <w:rPr>
                <w:noProof/>
                <w:szCs w:val="20"/>
              </w:rPr>
            </w:pPr>
            <w:r>
              <w:rPr>
                <w:noProof/>
              </w:rPr>
              <w:t>Mērķa</w:t>
            </w:r>
          </w:p>
        </w:tc>
        <w:tc>
          <w:tcPr>
            <w:tcW w:w="16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3E1529" w14:textId="77777777" w:rsidR="00327FF1" w:rsidRDefault="00E406C7">
            <w:pPr>
              <w:pStyle w:val="P68B1DB1-Normal11"/>
              <w:jc w:val="center"/>
              <w:rPr>
                <w:noProof/>
                <w:szCs w:val="20"/>
              </w:rPr>
            </w:pPr>
            <w:r>
              <w:rPr>
                <w:noProof/>
              </w:rPr>
              <w:t xml:space="preserve">Būvēta(-as) rūpniecības iekārta(-as) </w:t>
            </w:r>
          </w:p>
        </w:tc>
        <w:tc>
          <w:tcPr>
            <w:tcW w:w="142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E8F8D" w14:textId="77777777" w:rsidR="00327FF1" w:rsidRDefault="00E406C7">
            <w:pPr>
              <w:pStyle w:val="P68B1DB1-Normal11"/>
              <w:jc w:val="center"/>
              <w:rPr>
                <w:noProof/>
                <w:szCs w:val="20"/>
              </w:rPr>
            </w:pPr>
            <w:r>
              <w:rPr>
                <w:noProof/>
              </w:rPr>
              <w:t>NEPIEMĒRO</w:t>
            </w:r>
          </w:p>
        </w:tc>
        <w:tc>
          <w:tcPr>
            <w:tcW w:w="11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95DCE8" w14:textId="77777777" w:rsidR="00327FF1" w:rsidRDefault="00E406C7">
            <w:pPr>
              <w:pStyle w:val="P68B1DB1-Normal11"/>
              <w:jc w:val="center"/>
              <w:rPr>
                <w:noProof/>
                <w:szCs w:val="20"/>
              </w:rPr>
            </w:pPr>
            <w:r>
              <w:rPr>
                <w:noProof/>
              </w:rPr>
              <w:t>Skaits</w:t>
            </w:r>
          </w:p>
        </w:tc>
        <w:tc>
          <w:tcPr>
            <w:tcW w:w="9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486B19" w14:textId="77777777" w:rsidR="00327FF1" w:rsidRDefault="00E406C7">
            <w:pPr>
              <w:pStyle w:val="P68B1DB1-Normal11"/>
              <w:jc w:val="center"/>
              <w:rPr>
                <w:noProof/>
                <w:szCs w:val="20"/>
              </w:rPr>
            </w:pPr>
            <w:r>
              <w:rPr>
                <w:noProof/>
              </w:rPr>
              <w:t>0</w:t>
            </w:r>
          </w:p>
        </w:tc>
        <w:tc>
          <w:tcPr>
            <w:tcW w:w="9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418E7B" w14:textId="77777777" w:rsidR="00327FF1" w:rsidRDefault="00E406C7">
            <w:pPr>
              <w:pStyle w:val="P68B1DB1-Normal11"/>
              <w:jc w:val="center"/>
              <w:rPr>
                <w:noProof/>
                <w:szCs w:val="20"/>
              </w:rPr>
            </w:pPr>
            <w:r>
              <w:rPr>
                <w:noProof/>
              </w:rPr>
              <w:t>1</w:t>
            </w:r>
          </w:p>
        </w:tc>
        <w:tc>
          <w:tcPr>
            <w:tcW w:w="8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03AF06" w14:textId="77777777" w:rsidR="00327FF1" w:rsidRDefault="00E406C7">
            <w:pPr>
              <w:pStyle w:val="P68B1DB1-Normal11"/>
              <w:jc w:val="center"/>
              <w:rPr>
                <w:noProof/>
                <w:szCs w:val="20"/>
              </w:rPr>
            </w:pPr>
            <w:r>
              <w:rPr>
                <w:noProof/>
              </w:rPr>
              <w:t>2. CET.</w:t>
            </w:r>
          </w:p>
        </w:tc>
        <w:tc>
          <w:tcPr>
            <w:tcW w:w="7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5E1E59" w14:textId="77777777" w:rsidR="00327FF1" w:rsidRDefault="00E406C7">
            <w:pPr>
              <w:pStyle w:val="P68B1DB1-Normal11"/>
              <w:jc w:val="center"/>
              <w:rPr>
                <w:noProof/>
                <w:szCs w:val="20"/>
              </w:rPr>
            </w:pPr>
            <w:r>
              <w:rPr>
                <w:noProof/>
              </w:rPr>
              <w:t>2026</w:t>
            </w:r>
          </w:p>
        </w:tc>
        <w:tc>
          <w:tcPr>
            <w:tcW w:w="234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8CA3A9" w14:textId="02725E73" w:rsidR="00327FF1" w:rsidRDefault="00E406C7">
            <w:pPr>
              <w:pStyle w:val="P68B1DB1-Normal12"/>
              <w:rPr>
                <w:noProof/>
              </w:rPr>
            </w:pPr>
            <w:r>
              <w:rPr>
                <w:noProof/>
              </w:rPr>
              <w:t xml:space="preserve">Būvdarbu pabeigšanas sertifikāti, kas izsniegti, lai būvētu vismaz vienu rūpniecisko iekārtu elektrolīzeru vai modulāro dūmvadu ražošanai. Rūpnīcas(-u) kopējā agregētā ražošanas jauda </w:t>
            </w:r>
            <w:r>
              <w:rPr>
                <w:noProof/>
              </w:rPr>
              <w:t>sasniedz vismaz 890 MW/gadā.</w:t>
            </w:r>
          </w:p>
        </w:tc>
      </w:tr>
    </w:tbl>
    <w:p w14:paraId="3C108043" w14:textId="77777777" w:rsidR="00327FF1" w:rsidRDefault="00327FF1">
      <w:pPr>
        <w:rPr>
          <w:noProof/>
        </w:rPr>
        <w:sectPr w:rsidR="00327FF1" w:rsidSect="005A558B">
          <w:headerReference w:type="default" r:id="rId98"/>
          <w:footerReference w:type="default" r:id="rId99"/>
          <w:pgSz w:w="16838" w:h="11906" w:orient="landscape"/>
          <w:pgMar w:top="1440" w:right="1440" w:bottom="1440" w:left="1440" w:header="708" w:footer="708" w:gutter="0"/>
          <w:cols w:space="708"/>
          <w:docGrid w:linePitch="360"/>
        </w:sectPr>
      </w:pPr>
    </w:p>
    <w:p w14:paraId="4EBCA40F" w14:textId="6296DC50" w:rsidR="00327FF1" w:rsidRDefault="00E406C7">
      <w:pPr>
        <w:pStyle w:val="P68B1DB1-Heading23"/>
        <w:ind w:left="1080"/>
        <w:rPr>
          <w:noProof/>
        </w:rPr>
      </w:pPr>
      <w:r>
        <w:rPr>
          <w:noProof/>
        </w:rPr>
        <w:t>F. MISSION 2 COMPONENT 3 — Ēku energoefektivitāte un pārkvalifikācija</w:t>
      </w:r>
    </w:p>
    <w:p w14:paraId="35EEBAED" w14:textId="77777777" w:rsidR="00327FF1" w:rsidRDefault="00E406C7">
      <w:pPr>
        <w:pStyle w:val="P68B1DB1-Normal7"/>
        <w:spacing w:before="120" w:after="120"/>
        <w:jc w:val="both"/>
        <w:rPr>
          <w:noProof/>
        </w:rPr>
      </w:pPr>
      <w:r>
        <w:rPr>
          <w:noProof/>
        </w:rPr>
        <w:t xml:space="preserve">Energoefektivitāte ir šā komponenta stūrakmens, ko veido trīs galvenie pīlāri. </w:t>
      </w:r>
    </w:p>
    <w:p w14:paraId="2285EA05" w14:textId="77777777" w:rsidR="00327FF1" w:rsidRDefault="00E406C7">
      <w:pPr>
        <w:pStyle w:val="P68B1DB1-Normal7"/>
        <w:numPr>
          <w:ilvl w:val="0"/>
          <w:numId w:val="29"/>
        </w:numPr>
        <w:spacing w:before="120" w:after="120" w:line="240" w:lineRule="auto"/>
        <w:ind w:left="360"/>
        <w:contextualSpacing/>
        <w:jc w:val="both"/>
        <w:rPr>
          <w:noProof/>
        </w:rPr>
      </w:pPr>
      <w:r>
        <w:rPr>
          <w:noProof/>
        </w:rPr>
        <w:t xml:space="preserve">Pirmais pīlārs ir </w:t>
      </w:r>
      <w:r>
        <w:rPr>
          <w:noProof/>
        </w:rPr>
        <w:t>pagaidu stimula ieviešana privātā nekustamā īpašuma enerģētiskai un seismiskai renovācijai, atskaitot ar intervencēm saistītās izmaksas. Atbalsttiesīgās intervences ir tās, kas palielina mājokļa energoefektivitāti vismaz par divām energosertifikāta kategor</w:t>
      </w:r>
      <w:r>
        <w:rPr>
          <w:noProof/>
        </w:rPr>
        <w:t xml:space="preserve">ijām, panākot vidēji lielāku enerģijas patēriņu par vairāk nekā 30 %. </w:t>
      </w:r>
    </w:p>
    <w:p w14:paraId="066F8614" w14:textId="77777777" w:rsidR="00327FF1" w:rsidRDefault="00E406C7">
      <w:pPr>
        <w:pStyle w:val="P68B1DB1-Normal7"/>
        <w:numPr>
          <w:ilvl w:val="0"/>
          <w:numId w:val="29"/>
        </w:numPr>
        <w:spacing w:before="120" w:after="120" w:line="240" w:lineRule="auto"/>
        <w:ind w:left="360"/>
        <w:contextualSpacing/>
        <w:jc w:val="both"/>
        <w:rPr>
          <w:noProof/>
        </w:rPr>
      </w:pPr>
      <w:r>
        <w:rPr>
          <w:noProof/>
        </w:rPr>
        <w:t>Šā komponenta otrais pīlārs ir valsts skolu un citu tiesu iestāžu efektivitātes un drošības uzlabošana.</w:t>
      </w:r>
    </w:p>
    <w:p w14:paraId="7F7772F2" w14:textId="77777777" w:rsidR="00327FF1" w:rsidRDefault="00E406C7">
      <w:pPr>
        <w:pStyle w:val="P68B1DB1-Normal7"/>
        <w:numPr>
          <w:ilvl w:val="0"/>
          <w:numId w:val="29"/>
        </w:numPr>
        <w:spacing w:before="120" w:after="120" w:line="240" w:lineRule="auto"/>
        <w:ind w:left="360"/>
        <w:contextualSpacing/>
        <w:jc w:val="both"/>
        <w:rPr>
          <w:noProof/>
        </w:rPr>
      </w:pPr>
      <w:r>
        <w:rPr>
          <w:noProof/>
        </w:rPr>
        <w:t>Trešā pīlāra mērķis ir stimulēt efektīvu centralizētās siltumapgādes tīklu būvnie</w:t>
      </w:r>
      <w:r>
        <w:rPr>
          <w:noProof/>
        </w:rPr>
        <w:t xml:space="preserve">cību un paplašināšanu pilsētu teritorijās. </w:t>
      </w:r>
    </w:p>
    <w:p w14:paraId="2481AB45" w14:textId="77777777" w:rsidR="00327FF1" w:rsidRDefault="00E406C7">
      <w:pPr>
        <w:pStyle w:val="P68B1DB1-Normal7"/>
        <w:spacing w:before="120" w:after="120"/>
        <w:jc w:val="both"/>
        <w:rPr>
          <w:noProof/>
        </w:rPr>
      </w:pPr>
      <w:r>
        <w:rPr>
          <w:noProof/>
        </w:rPr>
        <w:t xml:space="preserve">Turklāt ir vairākas reformas, kuru mērķis ir vienkāršot un paātrināt to projektu īstenošanu, kuru mērķis ir uzlabot ēku energoefektivitāti. </w:t>
      </w:r>
    </w:p>
    <w:p w14:paraId="1D944B90" w14:textId="76982F28" w:rsidR="00327FF1" w:rsidRDefault="00E406C7">
      <w:pPr>
        <w:pStyle w:val="P68B1DB1-Normal7"/>
        <w:spacing w:before="120" w:after="120"/>
        <w:jc w:val="both"/>
        <w:rPr>
          <w:noProof/>
        </w:rPr>
      </w:pPr>
      <w:r>
        <w:rPr>
          <w:noProof/>
        </w:rPr>
        <w:t>Paredzams, ka šis komponents ievērojami palīdzēs sasniegt Itālijas klim</w:t>
      </w:r>
      <w:r>
        <w:rPr>
          <w:noProof/>
        </w:rPr>
        <w:t>ata un enerģētikas mērķrādītājus 2030. gadam, jo civilais sektors ir atbildīgs par gandrīz pusi no kopējā enerģijas patēriņa Itālijā. Lielākā daļa ēku tika uzbūvētas pirms energotaupības kritēriju pieņemšanas un attiecīgo tiesību aktu stāšanās spēkā, tāpēc</w:t>
      </w:r>
      <w:r>
        <w:rPr>
          <w:noProof/>
        </w:rPr>
        <w:t xml:space="preserve"> energoefektivitātes un pielāgošanās seismiskajiem riskiem vajadzības ir ievērojamas. </w:t>
      </w:r>
    </w:p>
    <w:p w14:paraId="5D239074" w14:textId="77777777" w:rsidR="00327FF1" w:rsidRDefault="00E406C7">
      <w:pPr>
        <w:pStyle w:val="P68B1DB1-Normal7"/>
        <w:spacing w:before="120" w:after="120"/>
        <w:jc w:val="both"/>
        <w:rPr>
          <w:noProof/>
        </w:rPr>
      </w:pPr>
      <w:r>
        <w:rPr>
          <w:noProof/>
        </w:rPr>
        <w:t>Šis komponents attiecas uz daļu no 2020. gada valstij adresētā ieteikuma Nr. 3, ar kuru Padome ieteica Itālijai rīkoties, lai “uzlabotu investīcijas zaļās un digitālās p</w:t>
      </w:r>
      <w:r>
        <w:rPr>
          <w:noProof/>
        </w:rPr>
        <w:t>ārkārtošanās jomā, jo īpaši [...] ūdens resursu apsaimniekošanā, kā arī pastiprinātā digitālajā infrastruktūrā, lai nodrošinātu pamatpakalpojumu sniegšanu”. Tajā ir aplūkotas arī daļas no 2019. gada konkrētām valstīm adresētajiem ieteikumiem Nr. 3 (“Ar inv</w:t>
      </w:r>
      <w:r>
        <w:rPr>
          <w:noProof/>
        </w:rPr>
        <w:t>estīcijām saistīta ekonomikas politika attiecībā uz infrastruktūras kvalitāti, ņemot vērā reģionālās atšķirības. [...] un uzlabot valsts pārvaldes efektivitāti [...], paātrinot digitalizāciju un palielinot vietējo sabiedrisko pakalpojumu efektivitāti un kv</w:t>
      </w:r>
      <w:r>
        <w:rPr>
          <w:noProof/>
        </w:rPr>
        <w:t>alitāti”).</w:t>
      </w:r>
    </w:p>
    <w:p w14:paraId="3869945F" w14:textId="77777777" w:rsidR="00327FF1" w:rsidRDefault="00E406C7">
      <w:pPr>
        <w:pStyle w:val="P68B1DB1-Normal7"/>
        <w:spacing w:before="120" w:after="120"/>
        <w:jc w:val="both"/>
        <w:rPr>
          <w:noProof/>
        </w:rPr>
      </w:pPr>
      <w:r>
        <w:rPr>
          <w:noProof/>
        </w:rPr>
        <w:t xml:space="preserve">Paredzams, ka neviens pasākums šajā komponentā būtiski nekaitēs vides mērķiem Regulas (ES) 2020/852 17. panta nozīmē, ņemot vērā atveseļošanas un noturības plānā izklāstīto pasākumu aprakstu un mazināšanas pasākumus saskaņā ar DNSH tehniskajiem </w:t>
      </w:r>
      <w:r>
        <w:rPr>
          <w:noProof/>
        </w:rPr>
        <w:t xml:space="preserve">norādījumiem (2021/C58/01). </w:t>
      </w:r>
    </w:p>
    <w:p w14:paraId="456DDF5F" w14:textId="77777777" w:rsidR="00327FF1" w:rsidRDefault="00E406C7">
      <w:pPr>
        <w:pStyle w:val="P68B1DB1-Heading39"/>
        <w:ind w:left="850" w:hanging="850"/>
        <w:rPr>
          <w:b/>
          <w:bCs/>
          <w:i/>
          <w:iCs/>
          <w:noProof/>
          <w:color w:val="156082" w:themeColor="accent1"/>
          <w:u w:val="single"/>
        </w:rPr>
      </w:pPr>
      <w:r>
        <w:rPr>
          <w:b/>
          <w:noProof/>
          <w:u w:val="single"/>
        </w:rPr>
        <w:t xml:space="preserve">F.1. </w:t>
      </w:r>
      <w:r>
        <w:rPr>
          <w:noProof/>
        </w:rPr>
        <w:t xml:space="preserve"> </w:t>
      </w:r>
      <w:r>
        <w:rPr>
          <w:b/>
          <w:noProof/>
          <w:u w:val="single"/>
        </w:rPr>
        <w:t>Reformu un investīciju apraksts neatmaksājamam finansiālajam atbalstam</w:t>
      </w:r>
    </w:p>
    <w:p w14:paraId="231F17B4" w14:textId="77777777" w:rsidR="00327FF1" w:rsidRDefault="00E406C7">
      <w:pPr>
        <w:pStyle w:val="P68B1DB1-Normal5"/>
        <w:spacing w:before="120" w:after="120" w:line="257" w:lineRule="auto"/>
        <w:jc w:val="both"/>
        <w:rPr>
          <w:bCs/>
          <w:noProof/>
        </w:rPr>
      </w:pPr>
      <w:r>
        <w:rPr>
          <w:noProof/>
        </w:rPr>
        <w:t>Investīcija 2.1: Ekobonusa stiprināšana energoefektivitātes jomā</w:t>
      </w:r>
    </w:p>
    <w:p w14:paraId="7ADD2636" w14:textId="5A1DD616" w:rsidR="00327FF1" w:rsidRDefault="00E406C7">
      <w:pPr>
        <w:pStyle w:val="P68B1DB1-Normal7"/>
        <w:spacing w:before="120" w:after="120"/>
        <w:jc w:val="both"/>
        <w:rPr>
          <w:noProof/>
        </w:rPr>
      </w:pPr>
      <w:r>
        <w:rPr>
          <w:noProof/>
        </w:rPr>
        <w:t>Šā pasākuma mērķis ir atbalstīt dzīvojamo ēku energorenovāciju. Pasākums ietver atbal</w:t>
      </w:r>
      <w:r>
        <w:rPr>
          <w:noProof/>
        </w:rPr>
        <w:t>sta sniegšanu nodokļu atskaitījumu veidā vai kā alternatīvu nodokļu atskaitīšanas instrumentam finanšu instrumentu veidā (t. s. “kredīta pārvedums” un “rēķina atlaide”) konkrētām organizāciju un mājsaimniecību kategorijām.</w:t>
      </w:r>
    </w:p>
    <w:p w14:paraId="263625F9" w14:textId="77777777" w:rsidR="00327FF1" w:rsidRDefault="00E406C7">
      <w:pPr>
        <w:pStyle w:val="P68B1DB1-Normal5"/>
        <w:spacing w:before="120" w:after="120"/>
        <w:jc w:val="both"/>
        <w:rPr>
          <w:bCs/>
          <w:noProof/>
        </w:rPr>
      </w:pPr>
      <w:r>
        <w:rPr>
          <w:noProof/>
        </w:rPr>
        <w:t>Reforma. Energoefektivitātes inte</w:t>
      </w:r>
      <w:r>
        <w:rPr>
          <w:noProof/>
        </w:rPr>
        <w:t>rvenču procedūru vienkāršošana un paātrināšana</w:t>
      </w:r>
    </w:p>
    <w:p w14:paraId="065B94EE" w14:textId="77777777" w:rsidR="00327FF1" w:rsidRDefault="00E406C7">
      <w:pPr>
        <w:pStyle w:val="P68B1DB1-Normal7"/>
        <w:spacing w:before="120" w:after="120"/>
        <w:jc w:val="both"/>
        <w:rPr>
          <w:noProof/>
        </w:rPr>
      </w:pPr>
      <w:r>
        <w:rPr>
          <w:noProof/>
        </w:rPr>
        <w:t>Šīs reformas mērķis ir vienkāršot un paātrināt ar energoefektivitāti saistīto intervenču īstenošanas procedūras. To veido četras galvenās darbības:</w:t>
      </w:r>
    </w:p>
    <w:p w14:paraId="026D2F47" w14:textId="77777777" w:rsidR="00327FF1" w:rsidRDefault="00E406C7">
      <w:pPr>
        <w:pStyle w:val="P68B1DB1-Normal7"/>
        <w:numPr>
          <w:ilvl w:val="0"/>
          <w:numId w:val="30"/>
        </w:numPr>
        <w:spacing w:before="120" w:after="120" w:line="240" w:lineRule="auto"/>
        <w:ind w:left="357" w:hanging="357"/>
        <w:contextualSpacing/>
        <w:jc w:val="both"/>
        <w:rPr>
          <w:noProof/>
        </w:rPr>
      </w:pPr>
      <w:r>
        <w:rPr>
          <w:b/>
          <w:noProof/>
        </w:rPr>
        <w:t xml:space="preserve">Ēku energoefektivitātes valsts portāla atklāšana: </w:t>
      </w:r>
      <w:r>
        <w:rPr>
          <w:noProof/>
        </w:rPr>
        <w:t>Portāls atb</w:t>
      </w:r>
      <w:r>
        <w:rPr>
          <w:noProof/>
        </w:rPr>
        <w:t>alsta iedzīvotājus un operatorus energoefektivitātes projektu pārvaldībā, un tas ir vienkāršs informācijas avots lēmumu pieņēmējiem. Tajā ietver informāciju par nacionālā ēku fonda energoefektivitāti, kas, paredzams, palīdzēs uzņēmumiem un iedzīvotājiem pi</w:t>
      </w:r>
      <w:r>
        <w:rPr>
          <w:noProof/>
        </w:rPr>
        <w:t>eņemt lēmumus par sava īpašuma energoefektivitātes uzlabošanu. Izveido vienas pieturas aģentūru, lai sniegtu palīdzību un visu noderīgo informāciju iedzīvotājiem un uzņēmumiem saistībā ar ēku enerģijas kartēšanu, nozares noteikumu ievērošanu, efektivitātes</w:t>
      </w:r>
      <w:r>
        <w:rPr>
          <w:noProof/>
        </w:rPr>
        <w:t xml:space="preserve"> potenciāla novērtēšanu un rīcības prioritāšu izvēli, tostarp pakāpeniskas pārveidošanas plāniem, šim nolūkam vispiemērotāko veicināšanas līdzekļu izvēli un profesionālo prasmju apmācību. </w:t>
      </w:r>
    </w:p>
    <w:p w14:paraId="31BB6ED7" w14:textId="77777777" w:rsidR="00327FF1" w:rsidRDefault="00E406C7">
      <w:pPr>
        <w:pStyle w:val="P68B1DB1-Normal7"/>
        <w:numPr>
          <w:ilvl w:val="0"/>
          <w:numId w:val="30"/>
        </w:numPr>
        <w:spacing w:before="120" w:after="120" w:line="240" w:lineRule="auto"/>
        <w:ind w:left="357" w:hanging="357"/>
        <w:contextualSpacing/>
        <w:jc w:val="both"/>
        <w:rPr>
          <w:b/>
          <w:noProof/>
        </w:rPr>
      </w:pPr>
      <w:r>
        <w:rPr>
          <w:noProof/>
        </w:rPr>
        <w:t xml:space="preserve">Civilajam </w:t>
      </w:r>
      <w:r>
        <w:rPr>
          <w:b/>
          <w:noProof/>
        </w:rPr>
        <w:t>sektoram paredzētā informācijas un apmācības plāna darbīb</w:t>
      </w:r>
      <w:r>
        <w:rPr>
          <w:b/>
          <w:noProof/>
        </w:rPr>
        <w:t xml:space="preserve">u stiprināšana — </w:t>
      </w:r>
      <w:r>
        <w:rPr>
          <w:noProof/>
        </w:rPr>
        <w:t>Informācijas un apmācības plānā ņem vērā vajadzību izstrādāt gan īpašas iniciatīvas, kuru mērķis ir novērst informācijas trūkumu tiešajiem lietotājiem dzīvojamo ēku sektorā, gan atbilstīgus apmācības pasākumus par stimuliem un par visefekt</w:t>
      </w:r>
      <w:r>
        <w:rPr>
          <w:noProof/>
        </w:rPr>
        <w:t xml:space="preserve">īvākajiem intervences pasākumiem uzņēmumiem, kas piedāvā energopakalpojumus, veic intervences pasākumus, un prezervāta administratoriem. Plānu izstrādā, ņemot vērā vajadzības, kas izriet no Superbonus pasākuma, lai maksimāli palielinātu tā efektivitāti un </w:t>
      </w:r>
      <w:r>
        <w:rPr>
          <w:noProof/>
        </w:rPr>
        <w:t>liktu pamatus ilgstošai lietderības kultūrai būvniecībā.</w:t>
      </w:r>
      <w:r>
        <w:rPr>
          <w:b/>
          <w:noProof/>
        </w:rPr>
        <w:t xml:space="preserve"> </w:t>
      </w:r>
    </w:p>
    <w:p w14:paraId="7E9802D9" w14:textId="77777777" w:rsidR="00327FF1" w:rsidRDefault="00E406C7">
      <w:pPr>
        <w:pStyle w:val="P68B1DB1-Normal7"/>
        <w:numPr>
          <w:ilvl w:val="0"/>
          <w:numId w:val="30"/>
        </w:numPr>
        <w:spacing w:before="120" w:after="120" w:line="240" w:lineRule="auto"/>
        <w:ind w:left="357" w:hanging="357"/>
        <w:contextualSpacing/>
        <w:jc w:val="both"/>
        <w:rPr>
          <w:noProof/>
        </w:rPr>
      </w:pPr>
      <w:r>
        <w:rPr>
          <w:noProof/>
        </w:rPr>
        <w:t xml:space="preserve">Valsts energoefektivitātes fonda </w:t>
      </w:r>
      <w:r>
        <w:rPr>
          <w:b/>
          <w:noProof/>
        </w:rPr>
        <w:t xml:space="preserve">atjaunināšana un stiprināšana: </w:t>
      </w:r>
      <w:r>
        <w:rPr>
          <w:noProof/>
        </w:rPr>
        <w:t>Pārskatot noteikumus par Valsts energoefektivitātes fonda izveidi un pārvaldību (15. pants Likumdošanas dekrētā Nr. 102/2014 un starpm</w:t>
      </w:r>
      <w:r>
        <w:rPr>
          <w:noProof/>
        </w:rPr>
        <w:t xml:space="preserve">inistriju 2017. gada 22. decembra dekrēts), stājas spēkā grozījumi, lai veicinātu pieejamo resursu uzlabošanu un plašāku izmantošanu. </w:t>
      </w:r>
    </w:p>
    <w:p w14:paraId="5C05EB22" w14:textId="77777777" w:rsidR="00327FF1" w:rsidRDefault="00E406C7">
      <w:pPr>
        <w:pStyle w:val="P68B1DB1-Normal7"/>
        <w:numPr>
          <w:ilvl w:val="0"/>
          <w:numId w:val="30"/>
        </w:numPr>
        <w:spacing w:before="120" w:after="120" w:line="240" w:lineRule="auto"/>
        <w:ind w:left="357" w:hanging="357"/>
        <w:contextualSpacing/>
        <w:jc w:val="both"/>
        <w:rPr>
          <w:noProof/>
        </w:rPr>
      </w:pPr>
      <w:r>
        <w:rPr>
          <w:b/>
          <w:noProof/>
        </w:rPr>
        <w:t xml:space="preserve">Paātrināt centrālās valsts attīstības programmas EPAC programmas finansēto projektu īstenošanas posmu: </w:t>
      </w:r>
      <w:r>
        <w:rPr>
          <w:noProof/>
        </w:rPr>
        <w:t xml:space="preserve">Veic regulatīvu </w:t>
      </w:r>
      <w:r>
        <w:rPr>
          <w:noProof/>
        </w:rPr>
        <w:t>pārskatīšanu, kuras mērķis ir veicināt efektīvāku to resursu pārvaldību, kas īpaši piešķirti centrālās valsts pārvaldes ēku pārkvalifikācijas programmai (PREPAC).</w:t>
      </w:r>
    </w:p>
    <w:p w14:paraId="5BCAB7CB" w14:textId="38E98E5A" w:rsidR="00327FF1" w:rsidRDefault="00327FF1">
      <w:pPr>
        <w:numPr>
          <w:ilvl w:val="0"/>
          <w:numId w:val="30"/>
        </w:numPr>
        <w:spacing w:before="120" w:after="120" w:line="240" w:lineRule="auto"/>
        <w:ind w:left="357" w:hanging="357"/>
        <w:contextualSpacing/>
        <w:jc w:val="both"/>
        <w:rPr>
          <w:rFonts w:ascii="Times New Roman" w:hAnsi="Times New Roman" w:cs="Times New Roman"/>
          <w:noProof/>
        </w:rPr>
        <w:sectPr w:rsidR="00327FF1" w:rsidSect="005F11B9">
          <w:headerReference w:type="default" r:id="rId100"/>
          <w:footerReference w:type="default" r:id="rId101"/>
          <w:pgSz w:w="11906" w:h="16838"/>
          <w:pgMar w:top="1440" w:right="1440" w:bottom="1440" w:left="1440" w:header="708" w:footer="708" w:gutter="0"/>
          <w:cols w:space="708"/>
          <w:docGrid w:linePitch="360"/>
        </w:sectPr>
      </w:pPr>
    </w:p>
    <w:p w14:paraId="0C67A6EB" w14:textId="15E665A6" w:rsidR="00327FF1" w:rsidRDefault="00E406C7">
      <w:pPr>
        <w:pStyle w:val="P68B1DB1-Heading368"/>
        <w:ind w:left="850" w:hanging="850"/>
        <w:rPr>
          <w:noProof/>
        </w:rPr>
      </w:pPr>
      <w:r>
        <w:rPr>
          <w:noProof/>
        </w:rPr>
        <w:t xml:space="preserve">F.2. </w:t>
      </w:r>
      <w:r>
        <w:rPr>
          <w:noProof/>
        </w:rPr>
        <w:tab/>
        <w:t xml:space="preserve">Starpposma mērķi, mērķrādītāji, </w:t>
      </w:r>
      <w:r>
        <w:rPr>
          <w:noProof/>
        </w:rPr>
        <w:t>rādītāji un neatmaksājama finansiālā atbalsta uzraudzības un īstenošanas grafiks</w:t>
      </w:r>
    </w:p>
    <w:p w14:paraId="35F5C65B" w14:textId="77777777" w:rsidR="00327FF1" w:rsidRDefault="00327FF1">
      <w:pPr>
        <w:spacing w:before="120" w:after="120"/>
        <w:ind w:left="709"/>
        <w:jc w:val="both"/>
        <w:rPr>
          <w:noProof/>
        </w:rPr>
      </w:pPr>
    </w:p>
    <w:tbl>
      <w:tblPr>
        <w:tblOverlap w:val="never"/>
        <w:tblW w:w="15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3"/>
        <w:gridCol w:w="1574"/>
        <w:gridCol w:w="1133"/>
        <w:gridCol w:w="1843"/>
        <w:gridCol w:w="1560"/>
        <w:gridCol w:w="1256"/>
        <w:gridCol w:w="871"/>
        <w:gridCol w:w="989"/>
        <w:gridCol w:w="994"/>
        <w:gridCol w:w="710"/>
        <w:gridCol w:w="3902"/>
      </w:tblGrid>
      <w:tr w:rsidR="00327FF1" w14:paraId="7287959F" w14:textId="77777777">
        <w:trPr>
          <w:cantSplit/>
          <w:trHeight w:val="300"/>
          <w:tblHeader/>
          <w:jc w:val="center"/>
        </w:trPr>
        <w:tc>
          <w:tcPr>
            <w:tcW w:w="1123" w:type="dxa"/>
            <w:vMerge w:val="restart"/>
            <w:shd w:val="clear" w:color="auto" w:fill="BBD2EA"/>
            <w:vAlign w:val="center"/>
          </w:tcPr>
          <w:p w14:paraId="000551F7" w14:textId="77777777" w:rsidR="00327FF1" w:rsidRDefault="00E406C7">
            <w:pPr>
              <w:pStyle w:val="Other10"/>
              <w:jc w:val="center"/>
              <w:rPr>
                <w:rFonts w:ascii="Arial Narrow" w:hAnsi="Arial Narrow" w:cs="Arial"/>
                <w:noProof/>
                <w:sz w:val="20"/>
                <w:szCs w:val="20"/>
              </w:rPr>
            </w:pPr>
            <w:bookmarkStart w:id="19" w:name="_Hlk132960760"/>
            <w:r>
              <w:rPr>
                <w:rStyle w:val="Other1"/>
                <w:rFonts w:ascii="Arial Narrow" w:hAnsi="Arial Narrow" w:cs="Arial"/>
                <w:b/>
                <w:noProof/>
                <w:color w:val="000000" w:themeColor="text1"/>
                <w:sz w:val="20"/>
                <w:szCs w:val="20"/>
              </w:rPr>
              <w:t>Kārtas numurs</w:t>
            </w:r>
          </w:p>
        </w:tc>
        <w:tc>
          <w:tcPr>
            <w:tcW w:w="1574" w:type="dxa"/>
            <w:vMerge w:val="restart"/>
            <w:shd w:val="clear" w:color="auto" w:fill="BBD2EA"/>
            <w:vAlign w:val="center"/>
          </w:tcPr>
          <w:p w14:paraId="67262ED8"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Saistīts</w:t>
            </w:r>
          </w:p>
          <w:p w14:paraId="3EE00490"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Pasākums (reforma vai ieguldījums)</w:t>
            </w:r>
          </w:p>
        </w:tc>
        <w:tc>
          <w:tcPr>
            <w:tcW w:w="1133" w:type="dxa"/>
            <w:vMerge w:val="restart"/>
            <w:shd w:val="clear" w:color="auto" w:fill="BBD2EA"/>
            <w:vAlign w:val="center"/>
          </w:tcPr>
          <w:p w14:paraId="331BE5D3"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Atskaites punkts/mērķrādītājs</w:t>
            </w:r>
          </w:p>
        </w:tc>
        <w:tc>
          <w:tcPr>
            <w:tcW w:w="1843" w:type="dxa"/>
            <w:vMerge w:val="restart"/>
            <w:shd w:val="clear" w:color="auto" w:fill="BBD2EA"/>
            <w:vAlign w:val="center"/>
          </w:tcPr>
          <w:p w14:paraId="504C9D81"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Nosaukums</w:t>
            </w:r>
          </w:p>
        </w:tc>
        <w:tc>
          <w:tcPr>
            <w:tcW w:w="1560" w:type="dxa"/>
            <w:vMerge w:val="restart"/>
            <w:shd w:val="clear" w:color="auto" w:fill="BBD2EA"/>
            <w:vAlign w:val="center"/>
          </w:tcPr>
          <w:p w14:paraId="26432D24"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Kvalitatīvie rādītāji (atskaites punktiem)</w:t>
            </w:r>
          </w:p>
        </w:tc>
        <w:tc>
          <w:tcPr>
            <w:tcW w:w="3116" w:type="dxa"/>
            <w:gridSpan w:val="3"/>
            <w:shd w:val="clear" w:color="auto" w:fill="BBD2EA"/>
            <w:vAlign w:val="center"/>
          </w:tcPr>
          <w:p w14:paraId="7A27784B"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Kvantitatīvie rādītāji (mērķrādīt</w:t>
            </w:r>
            <w:r>
              <w:rPr>
                <w:rStyle w:val="Other1"/>
                <w:rFonts w:ascii="Arial Narrow" w:hAnsi="Arial Narrow" w:cs="Arial"/>
                <w:b/>
                <w:noProof/>
                <w:color w:val="000000" w:themeColor="text1"/>
                <w:sz w:val="20"/>
                <w:szCs w:val="20"/>
              </w:rPr>
              <w:t>ājiem)</w:t>
            </w:r>
          </w:p>
        </w:tc>
        <w:tc>
          <w:tcPr>
            <w:tcW w:w="1704" w:type="dxa"/>
            <w:gridSpan w:val="2"/>
            <w:shd w:val="clear" w:color="auto" w:fill="BBD2EA"/>
            <w:vAlign w:val="center"/>
          </w:tcPr>
          <w:p w14:paraId="573EDA9E"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Orientējošs pabeigšanas termiņš</w:t>
            </w:r>
          </w:p>
        </w:tc>
        <w:tc>
          <w:tcPr>
            <w:tcW w:w="3902" w:type="dxa"/>
            <w:vMerge w:val="restart"/>
            <w:shd w:val="clear" w:color="auto" w:fill="BBD2EA"/>
            <w:vAlign w:val="center"/>
          </w:tcPr>
          <w:p w14:paraId="2155C587" w14:textId="77777777" w:rsidR="00327FF1" w:rsidRDefault="00E406C7">
            <w:pPr>
              <w:pStyle w:val="Other10"/>
              <w:ind w:firstLine="22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Apraksts par katru atskaites punktu un mērķrādītāju</w:t>
            </w:r>
          </w:p>
        </w:tc>
      </w:tr>
      <w:tr w:rsidR="00327FF1" w14:paraId="22ACB0E6" w14:textId="77777777">
        <w:trPr>
          <w:cantSplit/>
          <w:trHeight w:val="300"/>
          <w:tblHeader/>
          <w:jc w:val="center"/>
        </w:trPr>
        <w:tc>
          <w:tcPr>
            <w:tcW w:w="1123" w:type="dxa"/>
            <w:vMerge/>
            <w:vAlign w:val="center"/>
          </w:tcPr>
          <w:p w14:paraId="5683DCD6" w14:textId="77777777" w:rsidR="00327FF1" w:rsidRDefault="00327FF1">
            <w:pPr>
              <w:jc w:val="center"/>
              <w:rPr>
                <w:rFonts w:ascii="Arial Narrow" w:hAnsi="Arial Narrow" w:cs="Arial"/>
                <w:noProof/>
                <w:sz w:val="20"/>
                <w:szCs w:val="20"/>
              </w:rPr>
            </w:pPr>
          </w:p>
        </w:tc>
        <w:tc>
          <w:tcPr>
            <w:tcW w:w="1574" w:type="dxa"/>
            <w:vMerge/>
            <w:vAlign w:val="center"/>
          </w:tcPr>
          <w:p w14:paraId="1BBBE31F" w14:textId="77777777" w:rsidR="00327FF1" w:rsidRDefault="00327FF1">
            <w:pPr>
              <w:jc w:val="center"/>
              <w:rPr>
                <w:rFonts w:ascii="Arial Narrow" w:hAnsi="Arial Narrow" w:cs="Arial"/>
                <w:noProof/>
                <w:sz w:val="20"/>
                <w:szCs w:val="20"/>
              </w:rPr>
            </w:pPr>
          </w:p>
        </w:tc>
        <w:tc>
          <w:tcPr>
            <w:tcW w:w="1133" w:type="dxa"/>
            <w:vMerge/>
            <w:vAlign w:val="center"/>
          </w:tcPr>
          <w:p w14:paraId="1204ECE3" w14:textId="77777777" w:rsidR="00327FF1" w:rsidRDefault="00327FF1">
            <w:pPr>
              <w:jc w:val="center"/>
              <w:rPr>
                <w:rFonts w:ascii="Arial Narrow" w:hAnsi="Arial Narrow" w:cs="Arial"/>
                <w:noProof/>
                <w:sz w:val="20"/>
                <w:szCs w:val="20"/>
              </w:rPr>
            </w:pPr>
          </w:p>
        </w:tc>
        <w:tc>
          <w:tcPr>
            <w:tcW w:w="1843" w:type="dxa"/>
            <w:vMerge/>
            <w:vAlign w:val="center"/>
          </w:tcPr>
          <w:p w14:paraId="62008506" w14:textId="77777777" w:rsidR="00327FF1" w:rsidRDefault="00327FF1">
            <w:pPr>
              <w:jc w:val="center"/>
              <w:rPr>
                <w:rFonts w:ascii="Arial Narrow" w:hAnsi="Arial Narrow" w:cs="Arial"/>
                <w:noProof/>
                <w:sz w:val="20"/>
                <w:szCs w:val="20"/>
              </w:rPr>
            </w:pPr>
          </w:p>
        </w:tc>
        <w:tc>
          <w:tcPr>
            <w:tcW w:w="1560" w:type="dxa"/>
            <w:vMerge/>
            <w:vAlign w:val="center"/>
          </w:tcPr>
          <w:p w14:paraId="48FC18BC" w14:textId="77777777" w:rsidR="00327FF1" w:rsidRDefault="00327FF1">
            <w:pPr>
              <w:jc w:val="center"/>
              <w:rPr>
                <w:rFonts w:ascii="Arial Narrow" w:hAnsi="Arial Narrow" w:cs="Arial"/>
                <w:noProof/>
                <w:sz w:val="20"/>
                <w:szCs w:val="20"/>
              </w:rPr>
            </w:pPr>
          </w:p>
        </w:tc>
        <w:tc>
          <w:tcPr>
            <w:tcW w:w="1256" w:type="dxa"/>
            <w:shd w:val="clear" w:color="auto" w:fill="BBD2EA"/>
            <w:vAlign w:val="center"/>
          </w:tcPr>
          <w:p w14:paraId="0A4DD12C"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Mēra vienība</w:t>
            </w:r>
          </w:p>
        </w:tc>
        <w:tc>
          <w:tcPr>
            <w:tcW w:w="871" w:type="dxa"/>
            <w:shd w:val="clear" w:color="auto" w:fill="BBD2EA"/>
            <w:vAlign w:val="center"/>
          </w:tcPr>
          <w:p w14:paraId="665E3589"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Pamatscenārijs</w:t>
            </w:r>
          </w:p>
        </w:tc>
        <w:tc>
          <w:tcPr>
            <w:tcW w:w="989" w:type="dxa"/>
            <w:shd w:val="clear" w:color="auto" w:fill="BBD2EA"/>
            <w:vAlign w:val="center"/>
          </w:tcPr>
          <w:p w14:paraId="4738BD95" w14:textId="77777777" w:rsidR="00327FF1" w:rsidRDefault="00E406C7">
            <w:pPr>
              <w:pStyle w:val="Other10"/>
              <w:ind w:firstLine="28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Mērķis</w:t>
            </w:r>
          </w:p>
        </w:tc>
        <w:tc>
          <w:tcPr>
            <w:tcW w:w="994" w:type="dxa"/>
            <w:shd w:val="clear" w:color="auto" w:fill="BBD2EA"/>
            <w:vAlign w:val="center"/>
          </w:tcPr>
          <w:p w14:paraId="66CDDDC9"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Ceturkšņa laikā</w:t>
            </w:r>
          </w:p>
        </w:tc>
        <w:tc>
          <w:tcPr>
            <w:tcW w:w="710" w:type="dxa"/>
            <w:shd w:val="clear" w:color="auto" w:fill="BBD2EA"/>
            <w:vAlign w:val="center"/>
          </w:tcPr>
          <w:p w14:paraId="02C24E00"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Gadu</w:t>
            </w:r>
          </w:p>
        </w:tc>
        <w:tc>
          <w:tcPr>
            <w:tcW w:w="3902" w:type="dxa"/>
            <w:vMerge/>
            <w:vAlign w:val="center"/>
          </w:tcPr>
          <w:p w14:paraId="733711A4" w14:textId="77777777" w:rsidR="00327FF1" w:rsidRDefault="00327FF1">
            <w:pPr>
              <w:jc w:val="center"/>
              <w:rPr>
                <w:rFonts w:ascii="Arial Narrow" w:hAnsi="Arial Narrow" w:cs="Arial"/>
                <w:noProof/>
                <w:sz w:val="20"/>
                <w:szCs w:val="20"/>
              </w:rPr>
            </w:pPr>
          </w:p>
        </w:tc>
      </w:tr>
      <w:tr w:rsidR="00327FF1" w14:paraId="49704447" w14:textId="77777777">
        <w:trPr>
          <w:cantSplit/>
          <w:trHeight w:val="300"/>
          <w:jc w:val="center"/>
        </w:trPr>
        <w:tc>
          <w:tcPr>
            <w:tcW w:w="1123" w:type="dxa"/>
            <w:shd w:val="clear" w:color="auto" w:fill="C6EFCD"/>
            <w:vAlign w:val="center"/>
          </w:tcPr>
          <w:p w14:paraId="560B3CBF" w14:textId="66CA4BAF" w:rsidR="00327FF1" w:rsidRDefault="00E406C7">
            <w:pPr>
              <w:pStyle w:val="P68B1DB1-Other1069"/>
              <w:jc w:val="center"/>
              <w:rPr>
                <w:rFonts w:cs="Arial"/>
                <w:noProof/>
              </w:rPr>
            </w:pPr>
            <w:r>
              <w:rPr>
                <w:noProof/>
              </w:rPr>
              <w:t>M2C3–1</w:t>
            </w:r>
          </w:p>
        </w:tc>
        <w:tc>
          <w:tcPr>
            <w:tcW w:w="1574" w:type="dxa"/>
            <w:shd w:val="clear" w:color="auto" w:fill="C6EFCD"/>
            <w:vAlign w:val="center"/>
          </w:tcPr>
          <w:p w14:paraId="08265963" w14:textId="169959F6" w:rsidR="00327FF1" w:rsidRDefault="00E406C7">
            <w:pPr>
              <w:pStyle w:val="P68B1DB1-Other1069"/>
              <w:jc w:val="center"/>
              <w:rPr>
                <w:rStyle w:val="Other1"/>
                <w:rFonts w:cs="Arial"/>
                <w:noProof/>
              </w:rPr>
            </w:pPr>
            <w:r>
              <w:rPr>
                <w:noProof/>
              </w:rPr>
              <w:t>Investīcija 2.1. — Ecobonus stiprināšana energoefektivitātes jomā</w:t>
            </w:r>
          </w:p>
        </w:tc>
        <w:tc>
          <w:tcPr>
            <w:tcW w:w="1133" w:type="dxa"/>
            <w:shd w:val="clear" w:color="auto" w:fill="C6EFCD"/>
            <w:vAlign w:val="center"/>
          </w:tcPr>
          <w:p w14:paraId="423FD0F4" w14:textId="4B11DEA0" w:rsidR="00327FF1" w:rsidRDefault="00E406C7">
            <w:pPr>
              <w:pStyle w:val="P68B1DB1-Other1069"/>
              <w:jc w:val="center"/>
              <w:rPr>
                <w:rStyle w:val="Other1"/>
                <w:rFonts w:cs="Arial"/>
                <w:noProof/>
              </w:rPr>
            </w:pPr>
            <w:r>
              <w:rPr>
                <w:noProof/>
              </w:rPr>
              <w:t>Atskaites punkts</w:t>
            </w:r>
          </w:p>
        </w:tc>
        <w:tc>
          <w:tcPr>
            <w:tcW w:w="1843" w:type="dxa"/>
            <w:shd w:val="clear" w:color="auto" w:fill="C6EFCD"/>
            <w:vAlign w:val="center"/>
          </w:tcPr>
          <w:p w14:paraId="253FFE01" w14:textId="07967193" w:rsidR="00327FF1" w:rsidRDefault="00E406C7">
            <w:pPr>
              <w:pStyle w:val="P68B1DB1-Other1069"/>
              <w:jc w:val="center"/>
              <w:rPr>
                <w:rStyle w:val="Other1"/>
                <w:rFonts w:cs="Arial"/>
                <w:noProof/>
              </w:rPr>
            </w:pPr>
            <w:r>
              <w:rPr>
                <w:noProof/>
              </w:rPr>
              <w:t xml:space="preserve">Superbonus </w:t>
            </w:r>
            <w:r>
              <w:rPr>
                <w:noProof/>
              </w:rPr>
              <w:t>pagarinājuma stāšanās spēkā</w:t>
            </w:r>
          </w:p>
        </w:tc>
        <w:tc>
          <w:tcPr>
            <w:tcW w:w="1560" w:type="dxa"/>
            <w:shd w:val="clear" w:color="auto" w:fill="C6EFCD"/>
            <w:vAlign w:val="center"/>
          </w:tcPr>
          <w:p w14:paraId="23002C47" w14:textId="318FD8E3" w:rsidR="00327FF1" w:rsidRDefault="00E406C7">
            <w:pPr>
              <w:pStyle w:val="P68B1DB1-Other1069"/>
              <w:jc w:val="center"/>
              <w:rPr>
                <w:rStyle w:val="Other1"/>
                <w:rFonts w:cs="Arial"/>
                <w:noProof/>
              </w:rPr>
            </w:pPr>
            <w:r>
              <w:rPr>
                <w:noProof/>
              </w:rPr>
              <w:t>Tiesību akta(-u) noteikums, kas norāda stāšanos spēkā</w:t>
            </w:r>
          </w:p>
        </w:tc>
        <w:tc>
          <w:tcPr>
            <w:tcW w:w="1256" w:type="dxa"/>
            <w:shd w:val="clear" w:color="auto" w:fill="C6EFCD"/>
            <w:vAlign w:val="center"/>
          </w:tcPr>
          <w:p w14:paraId="58AF774F" w14:textId="7680570D" w:rsidR="00327FF1" w:rsidRDefault="00E406C7">
            <w:pPr>
              <w:pStyle w:val="P68B1DB1-Other1069"/>
              <w:jc w:val="center"/>
              <w:rPr>
                <w:noProof/>
              </w:rPr>
            </w:pPr>
            <w:r>
              <w:rPr>
                <w:noProof/>
              </w:rPr>
              <w:t>NEPIEMĒRO</w:t>
            </w:r>
          </w:p>
        </w:tc>
        <w:tc>
          <w:tcPr>
            <w:tcW w:w="871" w:type="dxa"/>
            <w:shd w:val="clear" w:color="auto" w:fill="C6EFCD"/>
            <w:vAlign w:val="center"/>
          </w:tcPr>
          <w:p w14:paraId="5E80F188" w14:textId="34987EB7" w:rsidR="00327FF1" w:rsidRDefault="00E406C7">
            <w:pPr>
              <w:pStyle w:val="P68B1DB1-Other1069"/>
              <w:jc w:val="center"/>
              <w:rPr>
                <w:noProof/>
              </w:rPr>
            </w:pPr>
            <w:r>
              <w:rPr>
                <w:noProof/>
              </w:rPr>
              <w:t>NEPIEMĒRO</w:t>
            </w:r>
          </w:p>
        </w:tc>
        <w:tc>
          <w:tcPr>
            <w:tcW w:w="989" w:type="dxa"/>
            <w:shd w:val="clear" w:color="auto" w:fill="C6EFCD"/>
            <w:vAlign w:val="center"/>
          </w:tcPr>
          <w:p w14:paraId="13BED476" w14:textId="59420905" w:rsidR="00327FF1" w:rsidRDefault="00E406C7">
            <w:pPr>
              <w:pStyle w:val="P68B1DB1-Other1069"/>
              <w:jc w:val="center"/>
              <w:rPr>
                <w:noProof/>
              </w:rPr>
            </w:pPr>
            <w:r>
              <w:rPr>
                <w:noProof/>
              </w:rPr>
              <w:t>NEPIEMĒRO</w:t>
            </w:r>
          </w:p>
        </w:tc>
        <w:tc>
          <w:tcPr>
            <w:tcW w:w="994" w:type="dxa"/>
            <w:shd w:val="clear" w:color="auto" w:fill="C6EFCD"/>
            <w:vAlign w:val="center"/>
          </w:tcPr>
          <w:p w14:paraId="1AE9757B" w14:textId="5560FD26" w:rsidR="00327FF1" w:rsidRDefault="00E406C7">
            <w:pPr>
              <w:pStyle w:val="P68B1DB1-Other1069"/>
              <w:jc w:val="center"/>
              <w:rPr>
                <w:rFonts w:cs="Arial"/>
                <w:noProof/>
              </w:rPr>
            </w:pPr>
            <w:r>
              <w:rPr>
                <w:noProof/>
              </w:rPr>
              <w:t>4. CET.</w:t>
            </w:r>
          </w:p>
        </w:tc>
        <w:tc>
          <w:tcPr>
            <w:tcW w:w="710" w:type="dxa"/>
            <w:shd w:val="clear" w:color="auto" w:fill="C6EFCD"/>
            <w:vAlign w:val="center"/>
          </w:tcPr>
          <w:p w14:paraId="094CB585" w14:textId="04DC9012" w:rsidR="00327FF1" w:rsidRDefault="00E406C7">
            <w:pPr>
              <w:pStyle w:val="P68B1DB1-Other1069"/>
              <w:jc w:val="center"/>
              <w:rPr>
                <w:rFonts w:cs="Arial"/>
                <w:noProof/>
              </w:rPr>
            </w:pPr>
            <w:r>
              <w:rPr>
                <w:noProof/>
              </w:rPr>
              <w:t>2021</w:t>
            </w:r>
          </w:p>
        </w:tc>
        <w:tc>
          <w:tcPr>
            <w:tcW w:w="3902" w:type="dxa"/>
            <w:shd w:val="clear" w:color="auto" w:fill="C6EFCD"/>
          </w:tcPr>
          <w:p w14:paraId="5EDC6DE1" w14:textId="1C8FC048" w:rsidR="00327FF1" w:rsidRDefault="00E406C7">
            <w:pPr>
              <w:pStyle w:val="P68B1DB1-Other1069"/>
              <w:rPr>
                <w:rFonts w:cs="Arial"/>
                <w:noProof/>
              </w:rPr>
            </w:pPr>
            <w:r>
              <w:rPr>
                <w:noProof/>
              </w:rPr>
              <w:t>Tiesību akts(-i)</w:t>
            </w:r>
            <w:r>
              <w:rPr>
                <w:noProof/>
              </w:rPr>
              <w:t xml:space="preserve"> pagarina Ecobonus un ismabonus pabalstu līdz 2022. gada 31. decembrim kondominijiem un līdz 2023. gada 30. jūnijam attiecībā uz sociālajiem mājokļiem (IACP).</w:t>
            </w:r>
          </w:p>
        </w:tc>
      </w:tr>
      <w:tr w:rsidR="00327FF1" w14:paraId="4B03D9BA" w14:textId="77777777">
        <w:trPr>
          <w:cantSplit/>
          <w:trHeight w:val="300"/>
          <w:jc w:val="center"/>
        </w:trPr>
        <w:tc>
          <w:tcPr>
            <w:tcW w:w="1123" w:type="dxa"/>
            <w:shd w:val="clear" w:color="auto" w:fill="C6EFCD"/>
            <w:vAlign w:val="center"/>
          </w:tcPr>
          <w:p w14:paraId="72F83513" w14:textId="5A3559C1" w:rsidR="00327FF1" w:rsidRDefault="00E406C7">
            <w:pPr>
              <w:pStyle w:val="P68B1DB1-Other1069"/>
              <w:jc w:val="center"/>
              <w:rPr>
                <w:rFonts w:cs="Arial"/>
                <w:noProof/>
              </w:rPr>
            </w:pPr>
            <w:r>
              <w:rPr>
                <w:noProof/>
              </w:rPr>
              <w:t>M2C3–2</w:t>
            </w:r>
          </w:p>
        </w:tc>
        <w:tc>
          <w:tcPr>
            <w:tcW w:w="1574" w:type="dxa"/>
            <w:shd w:val="clear" w:color="auto" w:fill="C6EFCD"/>
            <w:vAlign w:val="center"/>
          </w:tcPr>
          <w:p w14:paraId="37191F93" w14:textId="4BC123F1" w:rsidR="00327FF1" w:rsidRDefault="00E406C7">
            <w:pPr>
              <w:pStyle w:val="P68B1DB1-Other1069"/>
              <w:jc w:val="center"/>
              <w:rPr>
                <w:rStyle w:val="Other1"/>
                <w:rFonts w:cs="Arial"/>
                <w:noProof/>
              </w:rPr>
            </w:pPr>
            <w:r>
              <w:rPr>
                <w:noProof/>
              </w:rPr>
              <w:t>Investīcija 2.1. — Ecobonus stiprināšana energoefektivitātes jomā</w:t>
            </w:r>
          </w:p>
        </w:tc>
        <w:tc>
          <w:tcPr>
            <w:tcW w:w="1133" w:type="dxa"/>
            <w:shd w:val="clear" w:color="auto" w:fill="C6EFCD"/>
            <w:vAlign w:val="center"/>
          </w:tcPr>
          <w:p w14:paraId="59DD260A" w14:textId="4B8CC4CB" w:rsidR="00327FF1" w:rsidRDefault="00E406C7">
            <w:pPr>
              <w:pStyle w:val="P68B1DB1-Other1069"/>
              <w:jc w:val="center"/>
              <w:rPr>
                <w:rFonts w:cs="Arial"/>
                <w:noProof/>
              </w:rPr>
            </w:pPr>
            <w:r>
              <w:rPr>
                <w:noProof/>
              </w:rPr>
              <w:t>Mērķa</w:t>
            </w:r>
          </w:p>
        </w:tc>
        <w:tc>
          <w:tcPr>
            <w:tcW w:w="1843" w:type="dxa"/>
            <w:shd w:val="clear" w:color="auto" w:fill="C6EFCD"/>
            <w:vAlign w:val="center"/>
          </w:tcPr>
          <w:p w14:paraId="14092D18" w14:textId="72667D54" w:rsidR="00327FF1" w:rsidRDefault="00E406C7">
            <w:pPr>
              <w:pStyle w:val="P68B1DB1-Other1069"/>
              <w:jc w:val="center"/>
              <w:rPr>
                <w:rStyle w:val="Other1"/>
                <w:rFonts w:cs="Arial"/>
                <w:noProof/>
              </w:rPr>
            </w:pPr>
            <w:r>
              <w:rPr>
                <w:noProof/>
              </w:rPr>
              <w:t xml:space="preserve">Ēku renovācija </w:t>
            </w:r>
            <w:r>
              <w:rPr>
                <w:noProof/>
              </w:rPr>
              <w:t>Superbonus T1</w:t>
            </w:r>
          </w:p>
        </w:tc>
        <w:tc>
          <w:tcPr>
            <w:tcW w:w="1560" w:type="dxa"/>
            <w:shd w:val="clear" w:color="auto" w:fill="C6EFCD"/>
            <w:vAlign w:val="center"/>
          </w:tcPr>
          <w:p w14:paraId="3F13B4EE" w14:textId="60E2FAB2" w:rsidR="00327FF1" w:rsidRDefault="00E406C7">
            <w:pPr>
              <w:pStyle w:val="P68B1DB1-Other1069"/>
              <w:jc w:val="center"/>
              <w:rPr>
                <w:rFonts w:cs="Arial"/>
                <w:noProof/>
              </w:rPr>
            </w:pPr>
            <w:r>
              <w:rPr>
                <w:noProof/>
              </w:rPr>
              <w:t>NEPIEMĒRO</w:t>
            </w:r>
          </w:p>
        </w:tc>
        <w:tc>
          <w:tcPr>
            <w:tcW w:w="1256" w:type="dxa"/>
            <w:shd w:val="clear" w:color="auto" w:fill="C6EFCD"/>
            <w:vAlign w:val="center"/>
          </w:tcPr>
          <w:p w14:paraId="7210E5AD" w14:textId="141CE4F2" w:rsidR="00327FF1" w:rsidRDefault="00E406C7">
            <w:pPr>
              <w:pStyle w:val="P68B1DB1-Other1069"/>
              <w:jc w:val="center"/>
              <w:rPr>
                <w:rFonts w:cs="Arial"/>
                <w:noProof/>
              </w:rPr>
            </w:pPr>
            <w:r>
              <w:rPr>
                <w:noProof/>
              </w:rPr>
              <w:t>Skaits</w:t>
            </w:r>
          </w:p>
        </w:tc>
        <w:tc>
          <w:tcPr>
            <w:tcW w:w="871" w:type="dxa"/>
            <w:shd w:val="clear" w:color="auto" w:fill="C6EFCD"/>
            <w:vAlign w:val="center"/>
          </w:tcPr>
          <w:p w14:paraId="0D48082D" w14:textId="04B475AC" w:rsidR="00327FF1" w:rsidRDefault="00E406C7">
            <w:pPr>
              <w:pStyle w:val="P68B1DB1-Other1069"/>
              <w:jc w:val="center"/>
              <w:rPr>
                <w:rFonts w:cs="Arial"/>
                <w:noProof/>
              </w:rPr>
            </w:pPr>
            <w:r>
              <w:rPr>
                <w:noProof/>
              </w:rPr>
              <w:t>0</w:t>
            </w:r>
          </w:p>
        </w:tc>
        <w:tc>
          <w:tcPr>
            <w:tcW w:w="989" w:type="dxa"/>
            <w:shd w:val="clear" w:color="auto" w:fill="C6EFCD"/>
            <w:vAlign w:val="center"/>
          </w:tcPr>
          <w:p w14:paraId="1F6E503C" w14:textId="3795401B" w:rsidR="00327FF1" w:rsidRDefault="00E406C7">
            <w:pPr>
              <w:pStyle w:val="P68B1DB1-Other1069"/>
              <w:jc w:val="center"/>
              <w:rPr>
                <w:rFonts w:cs="Arial"/>
                <w:noProof/>
              </w:rPr>
            </w:pPr>
            <w:r>
              <w:rPr>
                <w:noProof/>
              </w:rPr>
              <w:t>17 000 000</w:t>
            </w:r>
          </w:p>
        </w:tc>
        <w:tc>
          <w:tcPr>
            <w:tcW w:w="994" w:type="dxa"/>
            <w:shd w:val="clear" w:color="auto" w:fill="C6EFCD"/>
            <w:vAlign w:val="center"/>
          </w:tcPr>
          <w:p w14:paraId="6608D5E0" w14:textId="65777DEF" w:rsidR="00327FF1" w:rsidRDefault="00E406C7">
            <w:pPr>
              <w:pStyle w:val="P68B1DB1-Other1069"/>
              <w:jc w:val="center"/>
              <w:rPr>
                <w:rFonts w:cs="Arial"/>
                <w:noProof/>
              </w:rPr>
            </w:pPr>
            <w:r>
              <w:rPr>
                <w:noProof/>
              </w:rPr>
              <w:t>2. CET.</w:t>
            </w:r>
          </w:p>
        </w:tc>
        <w:tc>
          <w:tcPr>
            <w:tcW w:w="710" w:type="dxa"/>
            <w:shd w:val="clear" w:color="auto" w:fill="C6EFCD"/>
            <w:vAlign w:val="center"/>
          </w:tcPr>
          <w:p w14:paraId="7C01E889" w14:textId="34272366" w:rsidR="00327FF1" w:rsidRDefault="00E406C7">
            <w:pPr>
              <w:pStyle w:val="P68B1DB1-Other1069"/>
              <w:jc w:val="center"/>
              <w:rPr>
                <w:rFonts w:cs="Arial"/>
                <w:noProof/>
              </w:rPr>
            </w:pPr>
            <w:r>
              <w:rPr>
                <w:noProof/>
              </w:rPr>
              <w:t>2023</w:t>
            </w:r>
          </w:p>
        </w:tc>
        <w:tc>
          <w:tcPr>
            <w:tcW w:w="3902" w:type="dxa"/>
            <w:shd w:val="clear" w:color="auto" w:fill="C6EFCD"/>
          </w:tcPr>
          <w:p w14:paraId="7042BAC4" w14:textId="32072631" w:rsidR="00327FF1" w:rsidRDefault="00E406C7">
            <w:pPr>
              <w:pStyle w:val="P68B1DB1-Other1069"/>
              <w:rPr>
                <w:rFonts w:cs="Arial"/>
                <w:noProof/>
              </w:rPr>
            </w:pPr>
            <w:r>
              <w:rPr>
                <w:noProof/>
              </w:rPr>
              <w:t>Pilnīga ēku renovācija (vismaz 17000000 kvadrātmetri, kas nodrošina primārās enerģijas ietaupījumu vismaz 40 % apmērā un palielina vismaz divas energoefektivitātes sertifikāta kategorijas).</w:t>
            </w:r>
          </w:p>
        </w:tc>
      </w:tr>
      <w:tr w:rsidR="00327FF1" w14:paraId="60FA6456" w14:textId="77777777">
        <w:trPr>
          <w:cantSplit/>
          <w:trHeight w:val="300"/>
          <w:jc w:val="center"/>
        </w:trPr>
        <w:tc>
          <w:tcPr>
            <w:tcW w:w="1123" w:type="dxa"/>
            <w:shd w:val="clear" w:color="auto" w:fill="C6EFCD"/>
            <w:vAlign w:val="center"/>
          </w:tcPr>
          <w:p w14:paraId="6DC49D64" w14:textId="25F6B46A" w:rsidR="00327FF1" w:rsidRDefault="00E406C7">
            <w:pPr>
              <w:pStyle w:val="P68B1DB1-Other1069"/>
              <w:jc w:val="center"/>
              <w:rPr>
                <w:rFonts w:cs="Arial"/>
                <w:noProof/>
              </w:rPr>
            </w:pPr>
            <w:r>
              <w:rPr>
                <w:noProof/>
              </w:rPr>
              <w:t>M2C3–3</w:t>
            </w:r>
          </w:p>
        </w:tc>
        <w:tc>
          <w:tcPr>
            <w:tcW w:w="1574" w:type="dxa"/>
            <w:shd w:val="clear" w:color="auto" w:fill="C6EFCD"/>
            <w:vAlign w:val="center"/>
          </w:tcPr>
          <w:p w14:paraId="2AD709F4" w14:textId="0474029B" w:rsidR="00327FF1" w:rsidRDefault="00E406C7">
            <w:pPr>
              <w:pStyle w:val="P68B1DB1-Other1069"/>
              <w:jc w:val="center"/>
              <w:rPr>
                <w:rStyle w:val="Other1"/>
                <w:rFonts w:cs="Arial"/>
                <w:noProof/>
              </w:rPr>
            </w:pPr>
            <w:r>
              <w:rPr>
                <w:noProof/>
              </w:rPr>
              <w:t>Investīcija 2.1. — Ecobonus stiprināšana energoefektivitātes jomā</w:t>
            </w:r>
          </w:p>
        </w:tc>
        <w:tc>
          <w:tcPr>
            <w:tcW w:w="1133" w:type="dxa"/>
            <w:shd w:val="clear" w:color="auto" w:fill="C6EFCD"/>
            <w:vAlign w:val="center"/>
          </w:tcPr>
          <w:p w14:paraId="16A59C9A" w14:textId="71949B58" w:rsidR="00327FF1" w:rsidRDefault="00E406C7">
            <w:pPr>
              <w:pStyle w:val="P68B1DB1-Other1069"/>
              <w:jc w:val="center"/>
              <w:rPr>
                <w:rFonts w:cs="Arial"/>
                <w:noProof/>
              </w:rPr>
            </w:pPr>
            <w:r>
              <w:rPr>
                <w:noProof/>
              </w:rPr>
              <w:t>Mērķa</w:t>
            </w:r>
          </w:p>
        </w:tc>
        <w:tc>
          <w:tcPr>
            <w:tcW w:w="1843" w:type="dxa"/>
            <w:shd w:val="clear" w:color="auto" w:fill="C6EFCD"/>
            <w:vAlign w:val="center"/>
          </w:tcPr>
          <w:p w14:paraId="6A7573F1" w14:textId="6D187128" w:rsidR="00327FF1" w:rsidRDefault="00E406C7">
            <w:pPr>
              <w:pStyle w:val="P68B1DB1-Other1069"/>
              <w:jc w:val="center"/>
              <w:rPr>
                <w:rStyle w:val="Other1"/>
                <w:rFonts w:cs="Arial"/>
                <w:noProof/>
              </w:rPr>
            </w:pPr>
            <w:r>
              <w:rPr>
                <w:noProof/>
              </w:rPr>
              <w:t>Ēku renovācija Superbonus T2</w:t>
            </w:r>
          </w:p>
        </w:tc>
        <w:tc>
          <w:tcPr>
            <w:tcW w:w="1560" w:type="dxa"/>
            <w:shd w:val="clear" w:color="auto" w:fill="C6EFCD"/>
            <w:vAlign w:val="center"/>
          </w:tcPr>
          <w:p w14:paraId="36EDE700" w14:textId="5DBA04D7" w:rsidR="00327FF1" w:rsidRDefault="00E406C7">
            <w:pPr>
              <w:pStyle w:val="P68B1DB1-Other1069"/>
              <w:jc w:val="center"/>
              <w:rPr>
                <w:rFonts w:cs="Arial"/>
                <w:noProof/>
              </w:rPr>
            </w:pPr>
            <w:r>
              <w:rPr>
                <w:noProof/>
              </w:rPr>
              <w:t>NEPIEMĒRO</w:t>
            </w:r>
          </w:p>
        </w:tc>
        <w:tc>
          <w:tcPr>
            <w:tcW w:w="1256" w:type="dxa"/>
            <w:shd w:val="clear" w:color="auto" w:fill="C6EFCD"/>
            <w:vAlign w:val="center"/>
          </w:tcPr>
          <w:p w14:paraId="5FC3CDE7" w14:textId="3387E2B2" w:rsidR="00327FF1" w:rsidRDefault="00E406C7">
            <w:pPr>
              <w:pStyle w:val="P68B1DB1-Other1069"/>
              <w:jc w:val="center"/>
              <w:rPr>
                <w:rFonts w:cs="Arial"/>
                <w:noProof/>
              </w:rPr>
            </w:pPr>
            <w:r>
              <w:rPr>
                <w:noProof/>
              </w:rPr>
              <w:t>Skaits</w:t>
            </w:r>
          </w:p>
        </w:tc>
        <w:tc>
          <w:tcPr>
            <w:tcW w:w="871" w:type="dxa"/>
            <w:shd w:val="clear" w:color="auto" w:fill="C6EFCD"/>
            <w:vAlign w:val="center"/>
          </w:tcPr>
          <w:p w14:paraId="75BF0E20" w14:textId="2C79906E" w:rsidR="00327FF1" w:rsidRDefault="00E406C7">
            <w:pPr>
              <w:pStyle w:val="P68B1DB1-Other1069"/>
              <w:jc w:val="center"/>
              <w:rPr>
                <w:rFonts w:cs="Arial"/>
                <w:noProof/>
              </w:rPr>
            </w:pPr>
            <w:r>
              <w:rPr>
                <w:noProof/>
              </w:rPr>
              <w:t>17 000 000</w:t>
            </w:r>
          </w:p>
        </w:tc>
        <w:tc>
          <w:tcPr>
            <w:tcW w:w="989" w:type="dxa"/>
            <w:shd w:val="clear" w:color="auto" w:fill="C6EFCD"/>
            <w:vAlign w:val="center"/>
          </w:tcPr>
          <w:p w14:paraId="3D8DE174" w14:textId="0EF9BFA0" w:rsidR="00327FF1" w:rsidRDefault="00E406C7">
            <w:pPr>
              <w:pStyle w:val="P68B1DB1-Other1069"/>
              <w:jc w:val="center"/>
              <w:rPr>
                <w:rFonts w:cs="Arial"/>
                <w:noProof/>
              </w:rPr>
            </w:pPr>
            <w:r>
              <w:rPr>
                <w:noProof/>
              </w:rPr>
              <w:t>35 800 000</w:t>
            </w:r>
          </w:p>
        </w:tc>
        <w:tc>
          <w:tcPr>
            <w:tcW w:w="994" w:type="dxa"/>
            <w:shd w:val="clear" w:color="auto" w:fill="C6EFCD"/>
            <w:vAlign w:val="center"/>
          </w:tcPr>
          <w:p w14:paraId="070EF47D" w14:textId="16EF7171" w:rsidR="00327FF1" w:rsidRDefault="00E406C7">
            <w:pPr>
              <w:pStyle w:val="P68B1DB1-Other1069"/>
              <w:jc w:val="center"/>
              <w:rPr>
                <w:rFonts w:cs="Arial"/>
                <w:noProof/>
              </w:rPr>
            </w:pPr>
            <w:r>
              <w:rPr>
                <w:noProof/>
              </w:rPr>
              <w:t>4. CET.</w:t>
            </w:r>
          </w:p>
        </w:tc>
        <w:tc>
          <w:tcPr>
            <w:tcW w:w="710" w:type="dxa"/>
            <w:shd w:val="clear" w:color="auto" w:fill="C6EFCD"/>
            <w:vAlign w:val="center"/>
          </w:tcPr>
          <w:p w14:paraId="63C60E9D" w14:textId="7ADFAE06" w:rsidR="00327FF1" w:rsidRDefault="00E406C7">
            <w:pPr>
              <w:pStyle w:val="P68B1DB1-Other1069"/>
              <w:jc w:val="center"/>
              <w:rPr>
                <w:rFonts w:cs="Arial"/>
                <w:noProof/>
              </w:rPr>
            </w:pPr>
            <w:r>
              <w:rPr>
                <w:noProof/>
              </w:rPr>
              <w:t>2025</w:t>
            </w:r>
          </w:p>
        </w:tc>
        <w:tc>
          <w:tcPr>
            <w:tcW w:w="3902" w:type="dxa"/>
            <w:shd w:val="clear" w:color="auto" w:fill="C6EFCD"/>
          </w:tcPr>
          <w:p w14:paraId="0681AB9B" w14:textId="5E4AE060" w:rsidR="00327FF1" w:rsidRDefault="00E406C7">
            <w:pPr>
              <w:pStyle w:val="P68B1DB1-Other1069"/>
              <w:rPr>
                <w:noProof/>
              </w:rPr>
            </w:pPr>
            <w:r>
              <w:rPr>
                <w:noProof/>
              </w:rPr>
              <w:t xml:space="preserve">Izsniedz sertifikātus (“asseverazioni”), kas apliecina ēku renovāciju vismaz par 35800000 </w:t>
            </w:r>
            <w:r>
              <w:rPr>
                <w:noProof/>
              </w:rPr>
              <w:t xml:space="preserve">kvadrātmetriem, kā rezultātā primārās enerģijas ietaupījums sasniedz vismaz 40 %, palielinot vismaz divas energoefektivitātes sertifikāta kategorijas (energoefektivitātes sertifikācija, kā noteikts Dekrētā Nr. 63/2013). </w:t>
            </w:r>
          </w:p>
          <w:p w14:paraId="390CA5D6" w14:textId="77777777" w:rsidR="00327FF1" w:rsidRDefault="00327FF1">
            <w:pPr>
              <w:pStyle w:val="Other10"/>
              <w:rPr>
                <w:rFonts w:ascii="Arial Narrow" w:hAnsi="Arial Narrow"/>
                <w:noProof/>
                <w:sz w:val="20"/>
                <w:szCs w:val="20"/>
              </w:rPr>
            </w:pPr>
          </w:p>
          <w:p w14:paraId="7FED8816" w14:textId="37A110C2" w:rsidR="00327FF1" w:rsidRDefault="00E406C7">
            <w:pPr>
              <w:pStyle w:val="P68B1DB1-Other1069"/>
              <w:rPr>
                <w:noProof/>
              </w:rPr>
            </w:pPr>
            <w:r>
              <w:rPr>
                <w:noProof/>
              </w:rPr>
              <w:t>Gadījumos, kad gāzes kondensācijas</w:t>
            </w:r>
            <w:r>
              <w:rPr>
                <w:noProof/>
              </w:rPr>
              <w:t xml:space="preserve"> katli ir uzstādīti kā izvēlēta esošo neefektīvo gāzes, ogļu un naftas katlu aizstāšana, tiem ir A veiktspēja. Gāzes kondensācijas katlu uzstādīšanas izmaksas nepārsniedz 20 % no kopējām renovācijas programmas izmaksām.</w:t>
            </w:r>
          </w:p>
          <w:p w14:paraId="259C7274" w14:textId="77777777" w:rsidR="00327FF1" w:rsidRDefault="00327FF1">
            <w:pPr>
              <w:pStyle w:val="Other10"/>
              <w:rPr>
                <w:rFonts w:ascii="Arial Narrow" w:hAnsi="Arial Narrow"/>
                <w:noProof/>
                <w:sz w:val="20"/>
                <w:szCs w:val="20"/>
              </w:rPr>
            </w:pPr>
          </w:p>
          <w:p w14:paraId="402B8782" w14:textId="0A046722" w:rsidR="00327FF1" w:rsidRDefault="00E406C7">
            <w:pPr>
              <w:pStyle w:val="P68B1DB1-Other1069"/>
              <w:rPr>
                <w:rStyle w:val="Other1"/>
                <w:rFonts w:cs="Arial"/>
                <w:noProof/>
              </w:rPr>
            </w:pPr>
            <w:r>
              <w:rPr>
                <w:noProof/>
              </w:rPr>
              <w:t>Kopējais aplēstais enerģijas ietaup</w:t>
            </w:r>
            <w:r>
              <w:rPr>
                <w:noProof/>
              </w:rPr>
              <w:t>ījums, ko rada intervences pasākumi, ir vismaz 191 Ktoe.</w:t>
            </w:r>
          </w:p>
        </w:tc>
      </w:tr>
      <w:tr w:rsidR="00327FF1" w14:paraId="764FDB8A" w14:textId="77777777">
        <w:trPr>
          <w:cantSplit/>
          <w:trHeight w:val="300"/>
          <w:jc w:val="center"/>
        </w:trPr>
        <w:tc>
          <w:tcPr>
            <w:tcW w:w="1123" w:type="dxa"/>
            <w:shd w:val="clear" w:color="auto" w:fill="C6EFCD"/>
            <w:vAlign w:val="center"/>
          </w:tcPr>
          <w:p w14:paraId="00E8167B" w14:textId="149B8798" w:rsidR="00327FF1" w:rsidRDefault="00E406C7">
            <w:pPr>
              <w:pStyle w:val="P68B1DB1-Other1069"/>
              <w:jc w:val="center"/>
              <w:rPr>
                <w:rFonts w:cs="Arial"/>
                <w:noProof/>
              </w:rPr>
            </w:pPr>
            <w:r>
              <w:rPr>
                <w:noProof/>
              </w:rPr>
              <w:t>M2C3–4</w:t>
            </w:r>
          </w:p>
        </w:tc>
        <w:tc>
          <w:tcPr>
            <w:tcW w:w="1574" w:type="dxa"/>
            <w:shd w:val="clear" w:color="auto" w:fill="C6EFCD"/>
            <w:vAlign w:val="center"/>
          </w:tcPr>
          <w:p w14:paraId="62B31AFD" w14:textId="2DAD9189" w:rsidR="00327FF1" w:rsidRDefault="00E406C7">
            <w:pPr>
              <w:pStyle w:val="P68B1DB1-Other1069"/>
              <w:jc w:val="center"/>
              <w:rPr>
                <w:rStyle w:val="Other1"/>
                <w:rFonts w:cs="Arial"/>
                <w:noProof/>
              </w:rPr>
            </w:pPr>
            <w:r>
              <w:rPr>
                <w:noProof/>
              </w:rPr>
              <w:t>Reforma Nr. 1.1: Procedūru vienkāršošana un paātrināšana energoefektivitātes intervencēm</w:t>
            </w:r>
          </w:p>
        </w:tc>
        <w:tc>
          <w:tcPr>
            <w:tcW w:w="1133" w:type="dxa"/>
            <w:shd w:val="clear" w:color="auto" w:fill="C6EFCD"/>
            <w:vAlign w:val="center"/>
          </w:tcPr>
          <w:p w14:paraId="0C1F3F7F" w14:textId="76B4FAE6" w:rsidR="00327FF1" w:rsidRDefault="00E406C7">
            <w:pPr>
              <w:pStyle w:val="P68B1DB1-Other1069"/>
              <w:jc w:val="center"/>
              <w:rPr>
                <w:rStyle w:val="Other1"/>
                <w:rFonts w:cs="Arial"/>
                <w:noProof/>
              </w:rPr>
            </w:pPr>
            <w:r>
              <w:rPr>
                <w:noProof/>
              </w:rPr>
              <w:t>Atskaites punkts</w:t>
            </w:r>
          </w:p>
        </w:tc>
        <w:tc>
          <w:tcPr>
            <w:tcW w:w="1843" w:type="dxa"/>
            <w:shd w:val="clear" w:color="auto" w:fill="C6EFCD"/>
            <w:vAlign w:val="center"/>
          </w:tcPr>
          <w:p w14:paraId="25D39313" w14:textId="180A4A5C" w:rsidR="00327FF1" w:rsidRDefault="00E406C7">
            <w:pPr>
              <w:pStyle w:val="P68B1DB1-Other1069"/>
              <w:jc w:val="center"/>
              <w:rPr>
                <w:rStyle w:val="Other1"/>
                <w:rFonts w:cs="Arial"/>
                <w:noProof/>
              </w:rPr>
            </w:pPr>
            <w:r>
              <w:rPr>
                <w:noProof/>
              </w:rPr>
              <w:t>Procedūru vienkāršošana un paātrināšana energoefektivitātes intervencēm</w:t>
            </w:r>
          </w:p>
        </w:tc>
        <w:tc>
          <w:tcPr>
            <w:tcW w:w="1560" w:type="dxa"/>
            <w:shd w:val="clear" w:color="auto" w:fill="C6EFCD"/>
            <w:vAlign w:val="center"/>
          </w:tcPr>
          <w:p w14:paraId="40BE12A0" w14:textId="7F1084C7" w:rsidR="00327FF1" w:rsidRDefault="00E406C7">
            <w:pPr>
              <w:pStyle w:val="P68B1DB1-Other1069"/>
              <w:jc w:val="center"/>
              <w:rPr>
                <w:rStyle w:val="Other1"/>
                <w:rFonts w:cs="Arial"/>
                <w:noProof/>
              </w:rPr>
            </w:pPr>
            <w:r>
              <w:rPr>
                <w:noProof/>
              </w:rPr>
              <w:t xml:space="preserve">Tiesību </w:t>
            </w:r>
            <w:r>
              <w:rPr>
                <w:noProof/>
              </w:rPr>
              <w:t>akta(-u) noteikums, kas norāda stāšanos spēkā</w:t>
            </w:r>
          </w:p>
        </w:tc>
        <w:tc>
          <w:tcPr>
            <w:tcW w:w="1256" w:type="dxa"/>
            <w:shd w:val="clear" w:color="auto" w:fill="C6EFCD"/>
            <w:vAlign w:val="center"/>
          </w:tcPr>
          <w:p w14:paraId="56DD4BFB" w14:textId="1250DF31" w:rsidR="00327FF1" w:rsidRDefault="00E406C7">
            <w:pPr>
              <w:pStyle w:val="P68B1DB1-Other1069"/>
              <w:jc w:val="center"/>
              <w:rPr>
                <w:noProof/>
              </w:rPr>
            </w:pPr>
            <w:r>
              <w:rPr>
                <w:noProof/>
              </w:rPr>
              <w:t>NEPIEMĒRO</w:t>
            </w:r>
          </w:p>
        </w:tc>
        <w:tc>
          <w:tcPr>
            <w:tcW w:w="871" w:type="dxa"/>
            <w:shd w:val="clear" w:color="auto" w:fill="C6EFCD"/>
            <w:vAlign w:val="center"/>
          </w:tcPr>
          <w:p w14:paraId="02B8BD72" w14:textId="438F27E7" w:rsidR="00327FF1" w:rsidRDefault="00E406C7">
            <w:pPr>
              <w:pStyle w:val="P68B1DB1-Other1069"/>
              <w:jc w:val="center"/>
              <w:rPr>
                <w:noProof/>
              </w:rPr>
            </w:pPr>
            <w:r>
              <w:rPr>
                <w:noProof/>
              </w:rPr>
              <w:t>NEPIEMĒRO</w:t>
            </w:r>
          </w:p>
        </w:tc>
        <w:tc>
          <w:tcPr>
            <w:tcW w:w="989" w:type="dxa"/>
            <w:shd w:val="clear" w:color="auto" w:fill="C6EFCD"/>
            <w:vAlign w:val="center"/>
          </w:tcPr>
          <w:p w14:paraId="0448690D" w14:textId="65FA9F3C" w:rsidR="00327FF1" w:rsidRDefault="00E406C7">
            <w:pPr>
              <w:pStyle w:val="P68B1DB1-Other1069"/>
              <w:jc w:val="center"/>
              <w:rPr>
                <w:noProof/>
              </w:rPr>
            </w:pPr>
            <w:r>
              <w:rPr>
                <w:noProof/>
              </w:rPr>
              <w:t>NEPIEMĒRO</w:t>
            </w:r>
          </w:p>
        </w:tc>
        <w:tc>
          <w:tcPr>
            <w:tcW w:w="994" w:type="dxa"/>
            <w:shd w:val="clear" w:color="auto" w:fill="C6EFCD"/>
            <w:vAlign w:val="center"/>
          </w:tcPr>
          <w:p w14:paraId="68F2D8C3" w14:textId="5ABBA43A" w:rsidR="00327FF1" w:rsidRDefault="00E406C7">
            <w:pPr>
              <w:pStyle w:val="P68B1DB1-Other1069"/>
              <w:jc w:val="center"/>
              <w:rPr>
                <w:rFonts w:cs="Arial"/>
                <w:noProof/>
              </w:rPr>
            </w:pPr>
            <w:r>
              <w:rPr>
                <w:noProof/>
              </w:rPr>
              <w:t>2. CET.</w:t>
            </w:r>
          </w:p>
        </w:tc>
        <w:tc>
          <w:tcPr>
            <w:tcW w:w="710" w:type="dxa"/>
            <w:shd w:val="clear" w:color="auto" w:fill="C6EFCD"/>
            <w:vAlign w:val="center"/>
          </w:tcPr>
          <w:p w14:paraId="477294C9" w14:textId="6B982055" w:rsidR="00327FF1" w:rsidRDefault="00E406C7">
            <w:pPr>
              <w:pStyle w:val="P68B1DB1-Other1069"/>
              <w:jc w:val="center"/>
              <w:rPr>
                <w:rFonts w:cs="Arial"/>
                <w:noProof/>
              </w:rPr>
            </w:pPr>
            <w:r>
              <w:rPr>
                <w:noProof/>
              </w:rPr>
              <w:t>2022</w:t>
            </w:r>
          </w:p>
        </w:tc>
        <w:tc>
          <w:tcPr>
            <w:tcW w:w="3902" w:type="dxa"/>
            <w:shd w:val="clear" w:color="auto" w:fill="C6EFCD"/>
          </w:tcPr>
          <w:p w14:paraId="781EA6CF" w14:textId="77777777" w:rsidR="00327FF1" w:rsidRDefault="00E406C7">
            <w:pPr>
              <w:pStyle w:val="P68B1DB1-Other1069"/>
              <w:rPr>
                <w:noProof/>
              </w:rPr>
            </w:pPr>
            <w:r>
              <w:rPr>
                <w:noProof/>
              </w:rPr>
              <w:t>Tiesību akts(-i) vienkāršo un paātrina energoefektivitātes intervenču procedūras:</w:t>
            </w:r>
          </w:p>
          <w:p w14:paraId="4E455EDA" w14:textId="77777777" w:rsidR="00327FF1" w:rsidRDefault="00327FF1">
            <w:pPr>
              <w:pStyle w:val="Other10"/>
              <w:rPr>
                <w:rFonts w:ascii="Arial Narrow" w:hAnsi="Arial Narrow"/>
                <w:noProof/>
                <w:sz w:val="20"/>
                <w:szCs w:val="20"/>
              </w:rPr>
            </w:pPr>
          </w:p>
          <w:p w14:paraId="5654BBBE" w14:textId="77777777" w:rsidR="00327FF1" w:rsidRDefault="00E406C7">
            <w:pPr>
              <w:pStyle w:val="P68B1DB1-ListParagraph13"/>
              <w:numPr>
                <w:ilvl w:val="0"/>
                <w:numId w:val="31"/>
              </w:numPr>
              <w:spacing w:before="120" w:after="120" w:line="276" w:lineRule="auto"/>
              <w:rPr>
                <w:noProof/>
              </w:rPr>
            </w:pPr>
            <w:r>
              <w:rPr>
                <w:noProof/>
              </w:rPr>
              <w:t>Ēku energoefektivitātes valsts portāla izveide</w:t>
            </w:r>
          </w:p>
          <w:p w14:paraId="0BB34D1B" w14:textId="77777777" w:rsidR="00327FF1" w:rsidRDefault="00E406C7">
            <w:pPr>
              <w:pStyle w:val="P68B1DB1-ListParagraph13"/>
              <w:numPr>
                <w:ilvl w:val="0"/>
                <w:numId w:val="31"/>
              </w:numPr>
              <w:spacing w:before="120" w:after="120" w:line="276" w:lineRule="auto"/>
              <w:rPr>
                <w:noProof/>
              </w:rPr>
            </w:pPr>
            <w:r>
              <w:rPr>
                <w:noProof/>
              </w:rPr>
              <w:t xml:space="preserve">Civilajam sektoram paredzētā </w:t>
            </w:r>
            <w:r>
              <w:rPr>
                <w:noProof/>
              </w:rPr>
              <w:t>informācijas un apmācības plāna darbības stiprināšana</w:t>
            </w:r>
          </w:p>
          <w:p w14:paraId="3734E5CA" w14:textId="77777777" w:rsidR="00327FF1" w:rsidRDefault="00E406C7">
            <w:pPr>
              <w:pStyle w:val="P68B1DB1-ListParagraph13"/>
              <w:numPr>
                <w:ilvl w:val="0"/>
                <w:numId w:val="31"/>
              </w:numPr>
              <w:spacing w:before="120" w:after="120" w:line="276" w:lineRule="auto"/>
              <w:rPr>
                <w:noProof/>
              </w:rPr>
            </w:pPr>
            <w:r>
              <w:rPr>
                <w:noProof/>
              </w:rPr>
              <w:t>Valsts energoefektivitātes fonda atjaunināšana un stiprināšana</w:t>
            </w:r>
          </w:p>
          <w:p w14:paraId="11C2B96A" w14:textId="03605180" w:rsidR="00327FF1" w:rsidRDefault="00E406C7">
            <w:pPr>
              <w:pStyle w:val="P68B1DB1-ListParagraph13"/>
              <w:numPr>
                <w:ilvl w:val="0"/>
                <w:numId w:val="31"/>
              </w:numPr>
              <w:spacing w:before="120" w:after="120" w:line="276" w:lineRule="auto"/>
              <w:rPr>
                <w:rFonts w:cs="Arial"/>
                <w:noProof/>
              </w:rPr>
            </w:pPr>
            <w:r>
              <w:rPr>
                <w:noProof/>
              </w:rPr>
              <w:t>Paātrināt PREPAC programmas finansēto projektu īstenošanas posmu</w:t>
            </w:r>
          </w:p>
        </w:tc>
      </w:tr>
      <w:bookmarkEnd w:id="19"/>
    </w:tbl>
    <w:p w14:paraId="2ABFE4DB" w14:textId="77777777" w:rsidR="00327FF1" w:rsidRDefault="00327FF1">
      <w:pPr>
        <w:spacing w:before="120" w:after="120"/>
        <w:ind w:left="709"/>
        <w:jc w:val="both"/>
        <w:rPr>
          <w:noProof/>
        </w:rPr>
      </w:pPr>
    </w:p>
    <w:p w14:paraId="7198DB20" w14:textId="77777777" w:rsidR="00327FF1" w:rsidRDefault="00327FF1">
      <w:pPr>
        <w:spacing w:before="120" w:after="120"/>
        <w:ind w:left="709"/>
        <w:jc w:val="both"/>
        <w:rPr>
          <w:noProof/>
        </w:rPr>
        <w:sectPr w:rsidR="00327FF1" w:rsidSect="005F11B9">
          <w:headerReference w:type="even" r:id="rId102"/>
          <w:headerReference w:type="default" r:id="rId103"/>
          <w:footerReference w:type="even" r:id="rId104"/>
          <w:footerReference w:type="default" r:id="rId105"/>
          <w:headerReference w:type="first" r:id="rId106"/>
          <w:footerReference w:type="first" r:id="rId107"/>
          <w:pgSz w:w="16839" w:h="11907" w:orient="landscape"/>
          <w:pgMar w:top="1134" w:right="1134" w:bottom="1134" w:left="1134" w:header="567" w:footer="567" w:gutter="0"/>
          <w:cols w:space="720"/>
          <w:docGrid w:linePitch="360"/>
        </w:sectPr>
      </w:pPr>
    </w:p>
    <w:p w14:paraId="101B4600" w14:textId="77777777" w:rsidR="00327FF1" w:rsidRDefault="00E406C7">
      <w:pPr>
        <w:pStyle w:val="P68B1DB1-Heading39"/>
        <w:ind w:left="850" w:hanging="850"/>
        <w:rPr>
          <w:b/>
          <w:bCs/>
          <w:i/>
          <w:iCs/>
          <w:noProof/>
          <w:color w:val="156082" w:themeColor="accent1"/>
          <w:u w:val="single"/>
        </w:rPr>
      </w:pPr>
      <w:r>
        <w:rPr>
          <w:b/>
          <w:noProof/>
          <w:u w:val="single"/>
        </w:rPr>
        <w:t xml:space="preserve">F.3. </w:t>
      </w:r>
      <w:r>
        <w:rPr>
          <w:noProof/>
        </w:rPr>
        <w:t xml:space="preserve"> </w:t>
      </w:r>
      <w:r>
        <w:rPr>
          <w:b/>
          <w:noProof/>
          <w:u w:val="single"/>
        </w:rPr>
        <w:t xml:space="preserve">Aizdevumam pieteikto reformu un investīciju apraksts </w:t>
      </w:r>
    </w:p>
    <w:p w14:paraId="01592CB8" w14:textId="77777777" w:rsidR="00327FF1" w:rsidRDefault="00E406C7">
      <w:pPr>
        <w:pStyle w:val="P68B1DB1-Normal70"/>
        <w:spacing w:before="120" w:after="120"/>
        <w:jc w:val="both"/>
        <w:rPr>
          <w:rFonts w:eastAsia="Calibri"/>
          <w:noProof/>
          <w:color w:val="156082" w:themeColor="accent1"/>
        </w:rPr>
      </w:pPr>
      <w:r>
        <w:rPr>
          <w:noProof/>
        </w:rPr>
        <w:t xml:space="preserve">Investīcija 1.1: Jaunu skolu būvniecība, aizstājot ēkas </w:t>
      </w:r>
    </w:p>
    <w:p w14:paraId="55154398" w14:textId="77777777" w:rsidR="00327FF1" w:rsidRDefault="00E406C7">
      <w:pPr>
        <w:pStyle w:val="P68B1DB1-Normal7"/>
        <w:spacing w:before="120" w:after="120"/>
        <w:jc w:val="both"/>
        <w:rPr>
          <w:noProof/>
        </w:rPr>
      </w:pPr>
      <w:r>
        <w:rPr>
          <w:noProof/>
        </w:rPr>
        <w:t>Pasākuma mērķis ir radīt modernas un ilgtspējīgas skolu struktūras, jo īpaši samazinot enerģijas patēriņu un palielinot seismisko drošību. Šis pa</w:t>
      </w:r>
      <w:r>
        <w:rPr>
          <w:noProof/>
        </w:rPr>
        <w:t>sākums ietver valsts skolu ēku fonda daļas aizstāšanu.</w:t>
      </w:r>
    </w:p>
    <w:p w14:paraId="2BCEF344" w14:textId="77777777" w:rsidR="00327FF1" w:rsidRDefault="00E406C7">
      <w:pPr>
        <w:pStyle w:val="P68B1DB1-Normal5"/>
        <w:spacing w:before="120" w:after="120"/>
        <w:jc w:val="both"/>
        <w:rPr>
          <w:rFonts w:eastAsia="Calibri"/>
          <w:bCs/>
          <w:noProof/>
        </w:rPr>
      </w:pPr>
      <w:r>
        <w:rPr>
          <w:noProof/>
        </w:rPr>
        <w:t>Investīcija 1.2. — Publiskā nekustamā īpašuma aktīvu, ko daļēji vai pilnībā izmanto tiesas spriešana, pārkvalificēšana</w:t>
      </w:r>
    </w:p>
    <w:p w14:paraId="3D573CDD" w14:textId="454FADA1" w:rsidR="00327FF1" w:rsidRDefault="00E406C7">
      <w:pPr>
        <w:pStyle w:val="P68B1DB1-Normal7"/>
        <w:spacing w:before="120" w:after="120"/>
        <w:jc w:val="both"/>
        <w:rPr>
          <w:b/>
          <w:bCs/>
          <w:noProof/>
          <w:u w:val="single"/>
        </w:rPr>
      </w:pPr>
      <w:r>
        <w:rPr>
          <w:noProof/>
        </w:rPr>
        <w:t>Pasākuma mērķis ir pārkvalificēt un modernizēt ēkas, ko daļēji vai pilnībā izmanto</w:t>
      </w:r>
      <w:r>
        <w:rPr>
          <w:noProof/>
        </w:rPr>
        <w:t xml:space="preserve"> tiesas spriešana. Pasākums ietver renovācijas un rekvifācijas darbu veikšanu nekustamā īpašuma aktīvos, kas atrodas vairākās Itālijas pašvaldībās, tostarp, bet ne tikai, energoefektivitātes intervences pasākumus.</w:t>
      </w:r>
    </w:p>
    <w:p w14:paraId="56C6B6DC" w14:textId="77777777" w:rsidR="00327FF1" w:rsidRDefault="00E406C7">
      <w:pPr>
        <w:pStyle w:val="P68B1DB1-Normal5"/>
        <w:spacing w:before="120" w:after="120"/>
        <w:jc w:val="both"/>
        <w:rPr>
          <w:rFonts w:eastAsia="Calibri"/>
          <w:bCs/>
          <w:noProof/>
        </w:rPr>
      </w:pPr>
      <w:r>
        <w:rPr>
          <w:noProof/>
        </w:rPr>
        <w:t>Investīcija Nr. 3.1: Efektīvas centralizēt</w:t>
      </w:r>
      <w:r>
        <w:rPr>
          <w:noProof/>
        </w:rPr>
        <w:t>ās siltumapgādes veicināšana</w:t>
      </w:r>
    </w:p>
    <w:p w14:paraId="723900FA" w14:textId="621064D9" w:rsidR="00327FF1" w:rsidRDefault="00E406C7">
      <w:pPr>
        <w:pStyle w:val="P68B1DB1-Normal7"/>
        <w:spacing w:before="120" w:after="120"/>
        <w:jc w:val="both"/>
        <w:rPr>
          <w:b/>
          <w:noProof/>
          <w:sz w:val="24"/>
          <w:szCs w:val="24"/>
          <w:u w:val="single"/>
        </w:rPr>
        <w:sectPr w:rsidR="00327FF1" w:rsidSect="005F11B9">
          <w:headerReference w:type="even" r:id="rId108"/>
          <w:headerReference w:type="default" r:id="rId109"/>
          <w:footerReference w:type="even" r:id="rId110"/>
          <w:footerReference w:type="default" r:id="rId111"/>
          <w:headerReference w:type="first" r:id="rId112"/>
          <w:footerReference w:type="first" r:id="rId113"/>
          <w:pgSz w:w="11907" w:h="16839"/>
          <w:pgMar w:top="1134" w:right="1134" w:bottom="1134" w:left="1134" w:header="567" w:footer="567" w:gutter="0"/>
          <w:cols w:space="720"/>
          <w:docGrid w:linePitch="360"/>
        </w:sectPr>
      </w:pPr>
      <w:r>
        <w:rPr>
          <w:noProof/>
        </w:rPr>
        <w:t>Pasākuma mērķis ir paplašināt efektīvas centralizētās siltumapgādes izmantošanu, pamatojoties uz tāda siltuma sadali, kas saražots no atjaunīgajiem energoresursiem, no</w:t>
      </w:r>
      <w:r>
        <w:rPr>
          <w:noProof/>
        </w:rPr>
        <w:t xml:space="preserve"> atlikumsiltuma vai koģenerācijas stacijās. Pasākums ietver tādu projektu finansēšanu, kas saistīti ar jaunu centralizētās siltumapgādes tīklu būvniecību vai esošo centralizētās siltumapgādes tīklu paplašināšanu, prioritāti piešķirot projektiem, kas garant</w:t>
      </w:r>
      <w:r>
        <w:rPr>
          <w:noProof/>
        </w:rPr>
        <w:t>ē vislielākos ietaupījumus neatjaunojamās primārās enerģijas jomā.</w:t>
      </w:r>
      <w:r>
        <w:rPr>
          <w:b/>
          <w:noProof/>
          <w:sz w:val="24"/>
          <w:szCs w:val="24"/>
          <w:u w:val="single"/>
        </w:rPr>
        <w:t xml:space="preserve"> </w:t>
      </w:r>
    </w:p>
    <w:p w14:paraId="223989E4" w14:textId="29F9B6B8" w:rsidR="00327FF1" w:rsidRDefault="00E406C7">
      <w:pPr>
        <w:pStyle w:val="P68B1DB1-Heading368"/>
        <w:ind w:left="850" w:hanging="850"/>
        <w:rPr>
          <w:noProof/>
        </w:rPr>
      </w:pPr>
      <w:r>
        <w:rPr>
          <w:noProof/>
        </w:rPr>
        <w:t xml:space="preserve">F.4. </w:t>
      </w:r>
      <w:r>
        <w:rPr>
          <w:noProof/>
        </w:rPr>
        <w:tab/>
        <w:t>Atskaites punkti, mērķrādītāji, citi rādītāji un aizdevuma uzraudzības un īstenošanas grafiks</w:t>
      </w:r>
    </w:p>
    <w:p w14:paraId="583B494E" w14:textId="77777777" w:rsidR="00327FF1" w:rsidRDefault="00327FF1">
      <w:pPr>
        <w:spacing w:before="120" w:after="120"/>
        <w:jc w:val="both"/>
        <w:rPr>
          <w:rFonts w:ascii="Times New Roman" w:hAnsi="Times New Roman" w:cs="Times New Roman"/>
          <w:noProof/>
        </w:rPr>
      </w:pPr>
    </w:p>
    <w:tbl>
      <w:tblPr>
        <w:tblOverlap w:val="never"/>
        <w:tblW w:w="15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3"/>
        <w:gridCol w:w="1574"/>
        <w:gridCol w:w="1133"/>
        <w:gridCol w:w="1843"/>
        <w:gridCol w:w="1560"/>
        <w:gridCol w:w="1256"/>
        <w:gridCol w:w="871"/>
        <w:gridCol w:w="989"/>
        <w:gridCol w:w="994"/>
        <w:gridCol w:w="710"/>
        <w:gridCol w:w="3902"/>
      </w:tblGrid>
      <w:tr w:rsidR="00327FF1" w14:paraId="70170A06" w14:textId="77777777">
        <w:trPr>
          <w:cantSplit/>
          <w:trHeight w:val="300"/>
          <w:tblHeader/>
          <w:jc w:val="center"/>
        </w:trPr>
        <w:tc>
          <w:tcPr>
            <w:tcW w:w="1123" w:type="dxa"/>
            <w:vMerge w:val="restart"/>
            <w:shd w:val="clear" w:color="auto" w:fill="BBD2EA"/>
            <w:vAlign w:val="center"/>
          </w:tcPr>
          <w:p w14:paraId="02A367C7"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Kārtas numurs</w:t>
            </w:r>
          </w:p>
        </w:tc>
        <w:tc>
          <w:tcPr>
            <w:tcW w:w="1574" w:type="dxa"/>
            <w:vMerge w:val="restart"/>
            <w:shd w:val="clear" w:color="auto" w:fill="BBD2EA"/>
            <w:vAlign w:val="center"/>
          </w:tcPr>
          <w:p w14:paraId="51D0EDB2"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Saistīts</w:t>
            </w:r>
          </w:p>
          <w:p w14:paraId="573BAC8B"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Pasākums (reforma vai ieguldījums)</w:t>
            </w:r>
          </w:p>
        </w:tc>
        <w:tc>
          <w:tcPr>
            <w:tcW w:w="1133" w:type="dxa"/>
            <w:vMerge w:val="restart"/>
            <w:shd w:val="clear" w:color="auto" w:fill="BBD2EA"/>
            <w:vAlign w:val="center"/>
          </w:tcPr>
          <w:p w14:paraId="27572A0A"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Atskaites punkts/mērķrādītājs</w:t>
            </w:r>
          </w:p>
        </w:tc>
        <w:tc>
          <w:tcPr>
            <w:tcW w:w="1843" w:type="dxa"/>
            <w:vMerge w:val="restart"/>
            <w:shd w:val="clear" w:color="auto" w:fill="BBD2EA"/>
            <w:vAlign w:val="center"/>
          </w:tcPr>
          <w:p w14:paraId="55F4776E"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Nosaukums</w:t>
            </w:r>
          </w:p>
        </w:tc>
        <w:tc>
          <w:tcPr>
            <w:tcW w:w="1560" w:type="dxa"/>
            <w:vMerge w:val="restart"/>
            <w:shd w:val="clear" w:color="auto" w:fill="BBD2EA"/>
            <w:vAlign w:val="center"/>
          </w:tcPr>
          <w:p w14:paraId="1E96A0D6"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Kvalitatīvie rādītāji (atskaites punktiem)</w:t>
            </w:r>
          </w:p>
        </w:tc>
        <w:tc>
          <w:tcPr>
            <w:tcW w:w="3116" w:type="dxa"/>
            <w:gridSpan w:val="3"/>
            <w:shd w:val="clear" w:color="auto" w:fill="BBD2EA"/>
            <w:vAlign w:val="center"/>
          </w:tcPr>
          <w:p w14:paraId="13A4FE79"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Kvantitatīvie rādītāji (mērķrādītājiem)</w:t>
            </w:r>
          </w:p>
        </w:tc>
        <w:tc>
          <w:tcPr>
            <w:tcW w:w="1704" w:type="dxa"/>
            <w:gridSpan w:val="2"/>
            <w:shd w:val="clear" w:color="auto" w:fill="BBD2EA"/>
            <w:vAlign w:val="center"/>
          </w:tcPr>
          <w:p w14:paraId="3BC31B6F"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Orientējošs pabeigšanas termiņš</w:t>
            </w:r>
          </w:p>
        </w:tc>
        <w:tc>
          <w:tcPr>
            <w:tcW w:w="3902" w:type="dxa"/>
            <w:vMerge w:val="restart"/>
            <w:shd w:val="clear" w:color="auto" w:fill="BBD2EA"/>
            <w:vAlign w:val="center"/>
          </w:tcPr>
          <w:p w14:paraId="470042FF" w14:textId="77777777" w:rsidR="00327FF1" w:rsidRDefault="00E406C7">
            <w:pPr>
              <w:pStyle w:val="Other10"/>
              <w:ind w:firstLine="22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Apraksts par katru atskaites punktu un mērķrādītāju</w:t>
            </w:r>
          </w:p>
        </w:tc>
      </w:tr>
      <w:tr w:rsidR="00327FF1" w14:paraId="766D9935" w14:textId="77777777">
        <w:trPr>
          <w:cantSplit/>
          <w:trHeight w:val="300"/>
          <w:tblHeader/>
          <w:jc w:val="center"/>
        </w:trPr>
        <w:tc>
          <w:tcPr>
            <w:tcW w:w="1123" w:type="dxa"/>
            <w:vMerge/>
            <w:vAlign w:val="center"/>
          </w:tcPr>
          <w:p w14:paraId="3EE87CC5" w14:textId="77777777" w:rsidR="00327FF1" w:rsidRDefault="00327FF1">
            <w:pPr>
              <w:jc w:val="center"/>
              <w:rPr>
                <w:rFonts w:ascii="Arial Narrow" w:hAnsi="Arial Narrow" w:cs="Arial"/>
                <w:noProof/>
                <w:sz w:val="20"/>
                <w:szCs w:val="20"/>
              </w:rPr>
            </w:pPr>
          </w:p>
        </w:tc>
        <w:tc>
          <w:tcPr>
            <w:tcW w:w="1574" w:type="dxa"/>
            <w:vMerge/>
            <w:vAlign w:val="center"/>
          </w:tcPr>
          <w:p w14:paraId="78075D51" w14:textId="77777777" w:rsidR="00327FF1" w:rsidRDefault="00327FF1">
            <w:pPr>
              <w:jc w:val="center"/>
              <w:rPr>
                <w:rFonts w:ascii="Arial Narrow" w:hAnsi="Arial Narrow" w:cs="Arial"/>
                <w:noProof/>
                <w:sz w:val="20"/>
                <w:szCs w:val="20"/>
              </w:rPr>
            </w:pPr>
          </w:p>
        </w:tc>
        <w:tc>
          <w:tcPr>
            <w:tcW w:w="1133" w:type="dxa"/>
            <w:vMerge/>
            <w:vAlign w:val="center"/>
          </w:tcPr>
          <w:p w14:paraId="4D93DEC4" w14:textId="77777777" w:rsidR="00327FF1" w:rsidRDefault="00327FF1">
            <w:pPr>
              <w:jc w:val="center"/>
              <w:rPr>
                <w:rFonts w:ascii="Arial Narrow" w:hAnsi="Arial Narrow" w:cs="Arial"/>
                <w:noProof/>
                <w:sz w:val="20"/>
                <w:szCs w:val="20"/>
              </w:rPr>
            </w:pPr>
          </w:p>
        </w:tc>
        <w:tc>
          <w:tcPr>
            <w:tcW w:w="1843" w:type="dxa"/>
            <w:vMerge/>
            <w:vAlign w:val="center"/>
          </w:tcPr>
          <w:p w14:paraId="3CD5E63C" w14:textId="77777777" w:rsidR="00327FF1" w:rsidRDefault="00327FF1">
            <w:pPr>
              <w:jc w:val="center"/>
              <w:rPr>
                <w:rFonts w:ascii="Arial Narrow" w:hAnsi="Arial Narrow" w:cs="Arial"/>
                <w:noProof/>
                <w:sz w:val="20"/>
                <w:szCs w:val="20"/>
              </w:rPr>
            </w:pPr>
          </w:p>
        </w:tc>
        <w:tc>
          <w:tcPr>
            <w:tcW w:w="1560" w:type="dxa"/>
            <w:vMerge/>
            <w:vAlign w:val="center"/>
          </w:tcPr>
          <w:p w14:paraId="74EE6E40" w14:textId="77777777" w:rsidR="00327FF1" w:rsidRDefault="00327FF1">
            <w:pPr>
              <w:jc w:val="center"/>
              <w:rPr>
                <w:rFonts w:ascii="Arial Narrow" w:hAnsi="Arial Narrow" w:cs="Arial"/>
                <w:noProof/>
                <w:sz w:val="20"/>
                <w:szCs w:val="20"/>
              </w:rPr>
            </w:pPr>
          </w:p>
        </w:tc>
        <w:tc>
          <w:tcPr>
            <w:tcW w:w="1256" w:type="dxa"/>
            <w:shd w:val="clear" w:color="auto" w:fill="BBD2EA"/>
            <w:vAlign w:val="center"/>
          </w:tcPr>
          <w:p w14:paraId="7A088103"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Mēra vienība</w:t>
            </w:r>
          </w:p>
        </w:tc>
        <w:tc>
          <w:tcPr>
            <w:tcW w:w="871" w:type="dxa"/>
            <w:shd w:val="clear" w:color="auto" w:fill="BBD2EA"/>
            <w:vAlign w:val="center"/>
          </w:tcPr>
          <w:p w14:paraId="334A425B"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Pamatscenārijs</w:t>
            </w:r>
          </w:p>
        </w:tc>
        <w:tc>
          <w:tcPr>
            <w:tcW w:w="989" w:type="dxa"/>
            <w:shd w:val="clear" w:color="auto" w:fill="BBD2EA"/>
            <w:vAlign w:val="center"/>
          </w:tcPr>
          <w:p w14:paraId="42E0770C" w14:textId="77777777" w:rsidR="00327FF1" w:rsidRDefault="00E406C7">
            <w:pPr>
              <w:pStyle w:val="Other10"/>
              <w:ind w:firstLine="28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Mērķis</w:t>
            </w:r>
          </w:p>
        </w:tc>
        <w:tc>
          <w:tcPr>
            <w:tcW w:w="994" w:type="dxa"/>
            <w:shd w:val="clear" w:color="auto" w:fill="BBD2EA"/>
            <w:vAlign w:val="center"/>
          </w:tcPr>
          <w:p w14:paraId="3843E6F8"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Ceturkšņa laikā</w:t>
            </w:r>
          </w:p>
        </w:tc>
        <w:tc>
          <w:tcPr>
            <w:tcW w:w="710" w:type="dxa"/>
            <w:shd w:val="clear" w:color="auto" w:fill="BBD2EA"/>
            <w:vAlign w:val="center"/>
          </w:tcPr>
          <w:p w14:paraId="2000893E" w14:textId="77777777" w:rsidR="00327FF1" w:rsidRDefault="00E406C7">
            <w:pPr>
              <w:pStyle w:val="Other10"/>
              <w:jc w:val="center"/>
              <w:rPr>
                <w:rFonts w:ascii="Arial Narrow" w:hAnsi="Arial Narrow" w:cs="Arial"/>
                <w:noProof/>
                <w:sz w:val="20"/>
                <w:szCs w:val="20"/>
              </w:rPr>
            </w:pPr>
            <w:r>
              <w:rPr>
                <w:rStyle w:val="Other1"/>
                <w:rFonts w:ascii="Arial Narrow" w:hAnsi="Arial Narrow" w:cs="Arial"/>
                <w:b/>
                <w:noProof/>
                <w:color w:val="000000" w:themeColor="text1"/>
                <w:sz w:val="20"/>
                <w:szCs w:val="20"/>
              </w:rPr>
              <w:t>Gadu</w:t>
            </w:r>
          </w:p>
        </w:tc>
        <w:tc>
          <w:tcPr>
            <w:tcW w:w="3902" w:type="dxa"/>
            <w:vMerge/>
            <w:vAlign w:val="center"/>
          </w:tcPr>
          <w:p w14:paraId="4F9DDE7F" w14:textId="77777777" w:rsidR="00327FF1" w:rsidRDefault="00327FF1">
            <w:pPr>
              <w:jc w:val="center"/>
              <w:rPr>
                <w:rFonts w:ascii="Arial Narrow" w:hAnsi="Arial Narrow" w:cs="Arial"/>
                <w:noProof/>
                <w:sz w:val="20"/>
                <w:szCs w:val="20"/>
              </w:rPr>
            </w:pPr>
          </w:p>
        </w:tc>
      </w:tr>
      <w:tr w:rsidR="00327FF1" w14:paraId="02F0B870" w14:textId="77777777">
        <w:trPr>
          <w:cantSplit/>
          <w:trHeight w:val="300"/>
          <w:jc w:val="center"/>
        </w:trPr>
        <w:tc>
          <w:tcPr>
            <w:tcW w:w="1123" w:type="dxa"/>
            <w:shd w:val="clear" w:color="auto" w:fill="C6EFCD"/>
            <w:vAlign w:val="center"/>
          </w:tcPr>
          <w:p w14:paraId="659B75BF" w14:textId="55B1FF3C" w:rsidR="00327FF1" w:rsidRDefault="00E406C7">
            <w:pPr>
              <w:pStyle w:val="P68B1DB1-Other1069"/>
              <w:jc w:val="center"/>
              <w:rPr>
                <w:rFonts w:cs="Arial"/>
                <w:noProof/>
              </w:rPr>
            </w:pPr>
            <w:r>
              <w:rPr>
                <w:noProof/>
              </w:rPr>
              <w:t>M2C3–5</w:t>
            </w:r>
          </w:p>
        </w:tc>
        <w:tc>
          <w:tcPr>
            <w:tcW w:w="1574" w:type="dxa"/>
            <w:shd w:val="clear" w:color="auto" w:fill="C6EFCD"/>
            <w:vAlign w:val="center"/>
          </w:tcPr>
          <w:p w14:paraId="18010505" w14:textId="00195232" w:rsidR="00327FF1" w:rsidRDefault="00E406C7">
            <w:pPr>
              <w:pStyle w:val="P68B1DB1-Other1069"/>
              <w:jc w:val="center"/>
              <w:rPr>
                <w:rStyle w:val="Other1"/>
                <w:rFonts w:cs="Arial"/>
                <w:noProof/>
              </w:rPr>
            </w:pPr>
            <w:r>
              <w:rPr>
                <w:noProof/>
              </w:rPr>
              <w:t>Investīcija 1.1: Jaunu skolu būvniecība, aizstājot ēkas</w:t>
            </w:r>
          </w:p>
        </w:tc>
        <w:tc>
          <w:tcPr>
            <w:tcW w:w="1133" w:type="dxa"/>
            <w:shd w:val="clear" w:color="auto" w:fill="C6EFCD"/>
            <w:vAlign w:val="center"/>
          </w:tcPr>
          <w:p w14:paraId="7A2A421E" w14:textId="269A6781" w:rsidR="00327FF1" w:rsidRDefault="00E406C7">
            <w:pPr>
              <w:pStyle w:val="P68B1DB1-Other1069"/>
              <w:jc w:val="center"/>
              <w:rPr>
                <w:rStyle w:val="Other1"/>
                <w:rFonts w:cs="Arial"/>
                <w:noProof/>
              </w:rPr>
            </w:pPr>
            <w:r>
              <w:rPr>
                <w:noProof/>
              </w:rPr>
              <w:t>Atskaites punkts</w:t>
            </w:r>
          </w:p>
        </w:tc>
        <w:tc>
          <w:tcPr>
            <w:tcW w:w="1843" w:type="dxa"/>
            <w:shd w:val="clear" w:color="auto" w:fill="C6EFCD"/>
            <w:vAlign w:val="center"/>
          </w:tcPr>
          <w:p w14:paraId="423766AB" w14:textId="6672EFE0" w:rsidR="00327FF1" w:rsidRDefault="00E406C7">
            <w:pPr>
              <w:pStyle w:val="P68B1DB1-Other1069"/>
              <w:jc w:val="center"/>
              <w:rPr>
                <w:rStyle w:val="Other1"/>
                <w:rFonts w:cs="Arial"/>
                <w:noProof/>
              </w:rPr>
            </w:pPr>
            <w:r>
              <w:rPr>
                <w:noProof/>
              </w:rPr>
              <w:t>Visu publiskā iepirkuma līgumu slēgšanas tiesību piešķiršana jaunu skolu būvniecībai, aizstājot ēkas, lai modernizētu enerģiju skolu ēkās, saskaņā ar publiskā iepirkuma procedūru</w:t>
            </w:r>
          </w:p>
        </w:tc>
        <w:tc>
          <w:tcPr>
            <w:tcW w:w="1560" w:type="dxa"/>
            <w:shd w:val="clear" w:color="auto" w:fill="C6EFCD"/>
            <w:vAlign w:val="center"/>
          </w:tcPr>
          <w:p w14:paraId="626A8C01" w14:textId="60B939AB" w:rsidR="00327FF1" w:rsidRDefault="00E406C7">
            <w:pPr>
              <w:pStyle w:val="P68B1DB1-Other1069"/>
              <w:jc w:val="center"/>
              <w:rPr>
                <w:rStyle w:val="Other1"/>
                <w:rFonts w:cs="Arial"/>
                <w:noProof/>
              </w:rPr>
            </w:pPr>
            <w:r>
              <w:rPr>
                <w:noProof/>
              </w:rPr>
              <w:t>Paziņojums par visu publiskā iepirkuma līgumu slēgšanas tiesību piešķiršanu pēc publiskā iepirkuma procedūras</w:t>
            </w:r>
          </w:p>
        </w:tc>
        <w:tc>
          <w:tcPr>
            <w:tcW w:w="1256" w:type="dxa"/>
            <w:shd w:val="clear" w:color="auto" w:fill="C6EFCD"/>
            <w:vAlign w:val="center"/>
          </w:tcPr>
          <w:p w14:paraId="2C89F30F" w14:textId="3CE638DA" w:rsidR="00327FF1" w:rsidRDefault="00E406C7">
            <w:pPr>
              <w:pStyle w:val="P68B1DB1-Other1069"/>
              <w:jc w:val="center"/>
              <w:rPr>
                <w:noProof/>
              </w:rPr>
            </w:pPr>
            <w:r>
              <w:rPr>
                <w:noProof/>
              </w:rPr>
              <w:t>NEPIEMĒRO</w:t>
            </w:r>
          </w:p>
        </w:tc>
        <w:tc>
          <w:tcPr>
            <w:tcW w:w="871" w:type="dxa"/>
            <w:shd w:val="clear" w:color="auto" w:fill="C6EFCD"/>
            <w:vAlign w:val="center"/>
          </w:tcPr>
          <w:p w14:paraId="433E411E" w14:textId="671FD3F7" w:rsidR="00327FF1" w:rsidRDefault="00E406C7">
            <w:pPr>
              <w:pStyle w:val="P68B1DB1-Other1069"/>
              <w:jc w:val="center"/>
              <w:rPr>
                <w:noProof/>
              </w:rPr>
            </w:pPr>
            <w:r>
              <w:rPr>
                <w:noProof/>
              </w:rPr>
              <w:t>NEPIEMĒRO</w:t>
            </w:r>
          </w:p>
        </w:tc>
        <w:tc>
          <w:tcPr>
            <w:tcW w:w="989" w:type="dxa"/>
            <w:shd w:val="clear" w:color="auto" w:fill="C6EFCD"/>
            <w:vAlign w:val="center"/>
          </w:tcPr>
          <w:p w14:paraId="4654FE5B" w14:textId="4B13A397" w:rsidR="00327FF1" w:rsidRDefault="00E406C7">
            <w:pPr>
              <w:pStyle w:val="P68B1DB1-Other1069"/>
              <w:jc w:val="center"/>
              <w:rPr>
                <w:noProof/>
              </w:rPr>
            </w:pPr>
            <w:r>
              <w:rPr>
                <w:noProof/>
              </w:rPr>
              <w:t>NEPIEMĒRO</w:t>
            </w:r>
          </w:p>
        </w:tc>
        <w:tc>
          <w:tcPr>
            <w:tcW w:w="994" w:type="dxa"/>
            <w:shd w:val="clear" w:color="auto" w:fill="C6EFCD"/>
            <w:vAlign w:val="center"/>
          </w:tcPr>
          <w:p w14:paraId="45AEB676" w14:textId="4B77B12B" w:rsidR="00327FF1" w:rsidRDefault="00E406C7">
            <w:pPr>
              <w:pStyle w:val="P68B1DB1-Other1069"/>
              <w:jc w:val="center"/>
              <w:rPr>
                <w:rFonts w:cs="Arial"/>
                <w:noProof/>
              </w:rPr>
            </w:pPr>
            <w:r>
              <w:rPr>
                <w:noProof/>
              </w:rPr>
              <w:t>CET.</w:t>
            </w:r>
          </w:p>
        </w:tc>
        <w:tc>
          <w:tcPr>
            <w:tcW w:w="710" w:type="dxa"/>
            <w:shd w:val="clear" w:color="auto" w:fill="C6EFCD"/>
            <w:vAlign w:val="center"/>
          </w:tcPr>
          <w:p w14:paraId="5A9A98B1" w14:textId="49D4AC3E" w:rsidR="00327FF1" w:rsidRDefault="00E406C7">
            <w:pPr>
              <w:pStyle w:val="P68B1DB1-Other1069"/>
              <w:jc w:val="center"/>
              <w:rPr>
                <w:rFonts w:cs="Arial"/>
                <w:noProof/>
              </w:rPr>
            </w:pPr>
            <w:r>
              <w:rPr>
                <w:noProof/>
              </w:rPr>
              <w:t>2023</w:t>
            </w:r>
          </w:p>
        </w:tc>
        <w:tc>
          <w:tcPr>
            <w:tcW w:w="3902" w:type="dxa"/>
            <w:shd w:val="clear" w:color="auto" w:fill="C6EFCD"/>
          </w:tcPr>
          <w:p w14:paraId="77E0B79B" w14:textId="2141E118" w:rsidR="00327FF1" w:rsidRDefault="00E406C7">
            <w:pPr>
              <w:pStyle w:val="P68B1DB1-Other1069"/>
              <w:rPr>
                <w:rFonts w:cs="Arial"/>
                <w:noProof/>
              </w:rPr>
            </w:pPr>
            <w:r>
              <w:rPr>
                <w:noProof/>
              </w:rPr>
              <w:t>Paziņojums par visu publisko līgumu slēgšanas tiesību piešķiršanu attiecībā uz jaunu skolu ēku nomaiņu, ku</w:t>
            </w:r>
            <w:r>
              <w:rPr>
                <w:noProof/>
              </w:rPr>
              <w:t>ras ir tiesīgas saņemt vietējo iestāžu oficiāli noformētu finansējumu un kuru kopējā platība ir vismaz 400000 kvadrātmetri</w:t>
            </w:r>
          </w:p>
        </w:tc>
      </w:tr>
      <w:tr w:rsidR="00327FF1" w14:paraId="1FDC172A" w14:textId="77777777">
        <w:trPr>
          <w:cantSplit/>
          <w:trHeight w:val="300"/>
          <w:jc w:val="center"/>
        </w:trPr>
        <w:tc>
          <w:tcPr>
            <w:tcW w:w="1123" w:type="dxa"/>
            <w:shd w:val="clear" w:color="auto" w:fill="C6EFCD"/>
            <w:vAlign w:val="center"/>
          </w:tcPr>
          <w:p w14:paraId="67E04F5E" w14:textId="7504287D" w:rsidR="00327FF1" w:rsidRDefault="00E406C7">
            <w:pPr>
              <w:pStyle w:val="P68B1DB1-Other1069"/>
              <w:jc w:val="center"/>
              <w:rPr>
                <w:rFonts w:cs="Arial"/>
                <w:noProof/>
              </w:rPr>
            </w:pPr>
            <w:r>
              <w:rPr>
                <w:noProof/>
              </w:rPr>
              <w:t>M2C3–6</w:t>
            </w:r>
          </w:p>
        </w:tc>
        <w:tc>
          <w:tcPr>
            <w:tcW w:w="1574" w:type="dxa"/>
            <w:shd w:val="clear" w:color="auto" w:fill="C6EFCD"/>
            <w:vAlign w:val="center"/>
          </w:tcPr>
          <w:p w14:paraId="2351A936" w14:textId="3B923F7E" w:rsidR="00327FF1" w:rsidRDefault="00E406C7">
            <w:pPr>
              <w:pStyle w:val="P68B1DB1-Other1069"/>
              <w:jc w:val="center"/>
              <w:rPr>
                <w:rStyle w:val="Other1"/>
                <w:rFonts w:cs="Arial"/>
                <w:noProof/>
              </w:rPr>
            </w:pPr>
            <w:r>
              <w:rPr>
                <w:noProof/>
              </w:rPr>
              <w:t>Investīcija 1.1: Jaunu skolu būvniecība, aizstājot ēkas</w:t>
            </w:r>
          </w:p>
        </w:tc>
        <w:tc>
          <w:tcPr>
            <w:tcW w:w="1133" w:type="dxa"/>
            <w:shd w:val="clear" w:color="auto" w:fill="C6EFCD"/>
            <w:vAlign w:val="center"/>
          </w:tcPr>
          <w:p w14:paraId="0ED541DB" w14:textId="749A96D1" w:rsidR="00327FF1" w:rsidRDefault="00E406C7">
            <w:pPr>
              <w:pStyle w:val="P68B1DB1-Other1069"/>
              <w:jc w:val="center"/>
              <w:rPr>
                <w:rFonts w:cs="Arial"/>
                <w:noProof/>
              </w:rPr>
            </w:pPr>
            <w:r>
              <w:rPr>
                <w:noProof/>
              </w:rPr>
              <w:t>Mērķa</w:t>
            </w:r>
          </w:p>
        </w:tc>
        <w:tc>
          <w:tcPr>
            <w:tcW w:w="1843" w:type="dxa"/>
            <w:shd w:val="clear" w:color="auto" w:fill="C6EFCD"/>
            <w:vAlign w:val="center"/>
          </w:tcPr>
          <w:p w14:paraId="264C1BBE" w14:textId="6998CC28" w:rsidR="00327FF1" w:rsidRDefault="00E406C7">
            <w:pPr>
              <w:pStyle w:val="P68B1DB1-Other1069"/>
              <w:jc w:val="center"/>
              <w:rPr>
                <w:rStyle w:val="Other1"/>
                <w:rFonts w:cs="Arial"/>
                <w:noProof/>
              </w:rPr>
            </w:pPr>
            <w:r>
              <w:rPr>
                <w:noProof/>
              </w:rPr>
              <w:t>Nomaiņas ceļā tiek būvētas vismaz 166 jaunas skolas.</w:t>
            </w:r>
          </w:p>
        </w:tc>
        <w:tc>
          <w:tcPr>
            <w:tcW w:w="1560" w:type="dxa"/>
            <w:shd w:val="clear" w:color="auto" w:fill="C6EFCD"/>
            <w:vAlign w:val="center"/>
          </w:tcPr>
          <w:p w14:paraId="50D10FCE" w14:textId="25DCFAAB" w:rsidR="00327FF1" w:rsidRDefault="00E406C7">
            <w:pPr>
              <w:pStyle w:val="P68B1DB1-Other1069"/>
              <w:jc w:val="center"/>
              <w:rPr>
                <w:rFonts w:cs="Arial"/>
                <w:noProof/>
              </w:rPr>
            </w:pPr>
            <w:r>
              <w:rPr>
                <w:noProof/>
              </w:rPr>
              <w:t>NEPIEMĒRO</w:t>
            </w:r>
          </w:p>
        </w:tc>
        <w:tc>
          <w:tcPr>
            <w:tcW w:w="1256" w:type="dxa"/>
            <w:shd w:val="clear" w:color="auto" w:fill="C6EFCD"/>
            <w:vAlign w:val="center"/>
          </w:tcPr>
          <w:p w14:paraId="7F582C1F" w14:textId="29892752" w:rsidR="00327FF1" w:rsidRDefault="00E406C7">
            <w:pPr>
              <w:pStyle w:val="P68B1DB1-Other1069"/>
              <w:jc w:val="center"/>
              <w:rPr>
                <w:rFonts w:cs="Arial"/>
                <w:noProof/>
              </w:rPr>
            </w:pPr>
            <w:r>
              <w:rPr>
                <w:noProof/>
              </w:rPr>
              <w:t>Skaits</w:t>
            </w:r>
          </w:p>
        </w:tc>
        <w:tc>
          <w:tcPr>
            <w:tcW w:w="871" w:type="dxa"/>
            <w:shd w:val="clear" w:color="auto" w:fill="C6EFCD"/>
            <w:vAlign w:val="center"/>
          </w:tcPr>
          <w:p w14:paraId="74A19CBE" w14:textId="0DB64D48" w:rsidR="00327FF1" w:rsidRDefault="00E406C7">
            <w:pPr>
              <w:pStyle w:val="P68B1DB1-Other1069"/>
              <w:jc w:val="center"/>
              <w:rPr>
                <w:rFonts w:cs="Arial"/>
                <w:noProof/>
              </w:rPr>
            </w:pPr>
            <w:r>
              <w:rPr>
                <w:noProof/>
              </w:rPr>
              <w:t>0</w:t>
            </w:r>
          </w:p>
        </w:tc>
        <w:tc>
          <w:tcPr>
            <w:tcW w:w="989" w:type="dxa"/>
            <w:shd w:val="clear" w:color="auto" w:fill="C6EFCD"/>
            <w:vAlign w:val="center"/>
          </w:tcPr>
          <w:p w14:paraId="77070C0C" w14:textId="25BF8A7D" w:rsidR="00327FF1" w:rsidRDefault="00E406C7">
            <w:pPr>
              <w:pStyle w:val="P68B1DB1-Other1069"/>
              <w:jc w:val="center"/>
              <w:rPr>
                <w:rFonts w:cs="Arial"/>
                <w:noProof/>
              </w:rPr>
            </w:pPr>
            <w:r>
              <w:rPr>
                <w:noProof/>
              </w:rPr>
              <w:t>166</w:t>
            </w:r>
          </w:p>
        </w:tc>
        <w:tc>
          <w:tcPr>
            <w:tcW w:w="994" w:type="dxa"/>
            <w:shd w:val="clear" w:color="auto" w:fill="C6EFCD"/>
            <w:vAlign w:val="center"/>
          </w:tcPr>
          <w:p w14:paraId="64661F45" w14:textId="4030B441" w:rsidR="00327FF1" w:rsidRDefault="00E406C7">
            <w:pPr>
              <w:pStyle w:val="P68B1DB1-Other1069"/>
              <w:jc w:val="center"/>
              <w:rPr>
                <w:rFonts w:cs="Arial"/>
                <w:noProof/>
              </w:rPr>
            </w:pPr>
            <w:r>
              <w:rPr>
                <w:noProof/>
              </w:rPr>
              <w:t>Q1</w:t>
            </w:r>
          </w:p>
        </w:tc>
        <w:tc>
          <w:tcPr>
            <w:tcW w:w="710" w:type="dxa"/>
            <w:shd w:val="clear" w:color="auto" w:fill="C6EFCD"/>
            <w:vAlign w:val="center"/>
          </w:tcPr>
          <w:p w14:paraId="3CCA7E19" w14:textId="277FE919" w:rsidR="00327FF1" w:rsidRDefault="00E406C7">
            <w:pPr>
              <w:pStyle w:val="P68B1DB1-Other1069"/>
              <w:jc w:val="center"/>
              <w:rPr>
                <w:rFonts w:cs="Arial"/>
                <w:noProof/>
              </w:rPr>
            </w:pPr>
            <w:r>
              <w:rPr>
                <w:noProof/>
              </w:rPr>
              <w:t>2026</w:t>
            </w:r>
          </w:p>
        </w:tc>
        <w:tc>
          <w:tcPr>
            <w:tcW w:w="3902" w:type="dxa"/>
            <w:shd w:val="clear" w:color="auto" w:fill="C6EFCD"/>
          </w:tcPr>
          <w:p w14:paraId="0E850D4A" w14:textId="77777777" w:rsidR="00327FF1" w:rsidRDefault="00E406C7">
            <w:pPr>
              <w:pStyle w:val="P68B1DB1-Other1069"/>
              <w:rPr>
                <w:noProof/>
              </w:rPr>
            </w:pPr>
            <w:r>
              <w:rPr>
                <w:noProof/>
              </w:rPr>
              <w:t>Sertifikāti par darbu pabeigšanu, kas izsniegti vismaz 166 jaunu skolu būvniecībai, aizstājot ēku.</w:t>
            </w:r>
          </w:p>
          <w:p w14:paraId="527A07AD" w14:textId="77777777" w:rsidR="00327FF1" w:rsidRDefault="00327FF1">
            <w:pPr>
              <w:pStyle w:val="Other10"/>
              <w:rPr>
                <w:rFonts w:ascii="Arial Narrow" w:hAnsi="Arial Narrow"/>
                <w:noProof/>
                <w:sz w:val="20"/>
                <w:szCs w:val="20"/>
              </w:rPr>
            </w:pPr>
          </w:p>
          <w:p w14:paraId="3F544B5D" w14:textId="2E85483F" w:rsidR="00327FF1" w:rsidRDefault="00E406C7">
            <w:pPr>
              <w:pStyle w:val="P68B1DB1-Other1069"/>
              <w:rPr>
                <w:rFonts w:cs="Arial"/>
                <w:noProof/>
              </w:rPr>
            </w:pPr>
            <w:r>
              <w:rPr>
                <w:noProof/>
              </w:rPr>
              <w:t>166 jauno skolu primārās enerģijas patēriņš ir vismaz par 20 % mazāks nekā prasība par gandrīz nulles enerģijas ēkām, par ko liecina en</w:t>
            </w:r>
            <w:r>
              <w:rPr>
                <w:noProof/>
              </w:rPr>
              <w:t>ergoefektivitātes sertifikātu izdošana.</w:t>
            </w:r>
          </w:p>
        </w:tc>
      </w:tr>
      <w:tr w:rsidR="00327FF1" w14:paraId="12B61452" w14:textId="77777777">
        <w:trPr>
          <w:cantSplit/>
          <w:trHeight w:val="300"/>
          <w:jc w:val="center"/>
        </w:trPr>
        <w:tc>
          <w:tcPr>
            <w:tcW w:w="1123" w:type="dxa"/>
            <w:shd w:val="clear" w:color="auto" w:fill="C6EFCD"/>
            <w:vAlign w:val="center"/>
          </w:tcPr>
          <w:p w14:paraId="59715AB5" w14:textId="44CB2FC7" w:rsidR="00327FF1" w:rsidRDefault="00E406C7">
            <w:pPr>
              <w:pStyle w:val="P68B1DB1-Other1069"/>
              <w:jc w:val="center"/>
              <w:rPr>
                <w:rFonts w:cs="Arial"/>
                <w:noProof/>
              </w:rPr>
            </w:pPr>
            <w:r>
              <w:rPr>
                <w:noProof/>
              </w:rPr>
              <w:t>M2C3–7</w:t>
            </w:r>
          </w:p>
        </w:tc>
        <w:tc>
          <w:tcPr>
            <w:tcW w:w="1574" w:type="dxa"/>
            <w:shd w:val="clear" w:color="auto" w:fill="C6EFCD"/>
            <w:vAlign w:val="center"/>
          </w:tcPr>
          <w:p w14:paraId="6CB1B149" w14:textId="41F4ABE0" w:rsidR="00327FF1" w:rsidRDefault="00E406C7">
            <w:pPr>
              <w:pStyle w:val="P68B1DB1-Other1069"/>
              <w:jc w:val="center"/>
              <w:rPr>
                <w:rStyle w:val="Other1"/>
                <w:rFonts w:cs="Arial"/>
                <w:noProof/>
              </w:rPr>
            </w:pPr>
            <w:r>
              <w:rPr>
                <w:noProof/>
              </w:rPr>
              <w:t>Investīcija 1.2. — Ēku būvniecība, tiesvedības nekustamā īpašuma aktīvu pārkvalificēšana un stiprināšana</w:t>
            </w:r>
          </w:p>
        </w:tc>
        <w:tc>
          <w:tcPr>
            <w:tcW w:w="1133" w:type="dxa"/>
            <w:shd w:val="clear" w:color="auto" w:fill="C6EFCD"/>
            <w:vAlign w:val="center"/>
          </w:tcPr>
          <w:p w14:paraId="77EB2E0F" w14:textId="62728E42" w:rsidR="00327FF1" w:rsidRDefault="00E406C7">
            <w:pPr>
              <w:pStyle w:val="P68B1DB1-Other1069"/>
              <w:jc w:val="center"/>
              <w:rPr>
                <w:rFonts w:cs="Arial"/>
                <w:noProof/>
              </w:rPr>
            </w:pPr>
            <w:r>
              <w:rPr>
                <w:noProof/>
              </w:rPr>
              <w:t>Atskaites punkts</w:t>
            </w:r>
          </w:p>
        </w:tc>
        <w:tc>
          <w:tcPr>
            <w:tcW w:w="1843" w:type="dxa"/>
            <w:shd w:val="clear" w:color="auto" w:fill="C6EFCD"/>
            <w:vAlign w:val="center"/>
          </w:tcPr>
          <w:p w14:paraId="1452EF10" w14:textId="5FC86AAB" w:rsidR="00327FF1" w:rsidRDefault="00E406C7">
            <w:pPr>
              <w:pStyle w:val="P68B1DB1-Other1069"/>
              <w:jc w:val="center"/>
              <w:rPr>
                <w:rStyle w:val="Other1"/>
                <w:rFonts w:cs="Arial"/>
                <w:noProof/>
              </w:rPr>
            </w:pPr>
            <w:r>
              <w:rPr>
                <w:noProof/>
              </w:rPr>
              <w:t xml:space="preserve">Visu publiskā iepirkuma līgumu slēgšanas tiesības jaunu ēku būvniecībai, </w:t>
            </w:r>
            <w:r>
              <w:rPr>
                <w:noProof/>
              </w:rPr>
              <w:t>pārklasificēšanai un tiesvedības nekustamā īpašuma aktīvu nostiprināšanai paraksta līgumslēdzēja iestāde publiskā iepirkuma procedūrā.</w:t>
            </w:r>
          </w:p>
        </w:tc>
        <w:tc>
          <w:tcPr>
            <w:tcW w:w="1560" w:type="dxa"/>
            <w:shd w:val="clear" w:color="auto" w:fill="C6EFCD"/>
            <w:vAlign w:val="center"/>
          </w:tcPr>
          <w:p w14:paraId="4CA9E4CC" w14:textId="26B10328" w:rsidR="00327FF1" w:rsidRDefault="00E406C7">
            <w:pPr>
              <w:pStyle w:val="P68B1DB1-Other1069"/>
              <w:jc w:val="center"/>
              <w:rPr>
                <w:rFonts w:cs="Arial"/>
                <w:noProof/>
              </w:rPr>
            </w:pPr>
            <w:r>
              <w:rPr>
                <w:noProof/>
              </w:rPr>
              <w:t>Paziņojums par visu publiskā iepirkuma līgumu slēgšanas tiesību piešķiršanu pēc publiskā iepirkuma procedūras</w:t>
            </w:r>
          </w:p>
        </w:tc>
        <w:tc>
          <w:tcPr>
            <w:tcW w:w="1256" w:type="dxa"/>
            <w:shd w:val="clear" w:color="auto" w:fill="C6EFCD"/>
            <w:vAlign w:val="center"/>
          </w:tcPr>
          <w:p w14:paraId="2CBB317D" w14:textId="6FD2D19F" w:rsidR="00327FF1" w:rsidRDefault="00E406C7">
            <w:pPr>
              <w:pStyle w:val="P68B1DB1-Other1069"/>
              <w:jc w:val="center"/>
              <w:rPr>
                <w:rFonts w:cs="Arial"/>
                <w:noProof/>
              </w:rPr>
            </w:pPr>
            <w:r>
              <w:rPr>
                <w:noProof/>
              </w:rPr>
              <w:t>NEPIEMĒRO</w:t>
            </w:r>
          </w:p>
        </w:tc>
        <w:tc>
          <w:tcPr>
            <w:tcW w:w="871" w:type="dxa"/>
            <w:shd w:val="clear" w:color="auto" w:fill="C6EFCD"/>
            <w:vAlign w:val="center"/>
          </w:tcPr>
          <w:p w14:paraId="246657E9" w14:textId="05C0B488" w:rsidR="00327FF1" w:rsidRDefault="00E406C7">
            <w:pPr>
              <w:pStyle w:val="P68B1DB1-Other1069"/>
              <w:jc w:val="center"/>
              <w:rPr>
                <w:rFonts w:cs="Arial"/>
                <w:noProof/>
              </w:rPr>
            </w:pPr>
            <w:r>
              <w:rPr>
                <w:noProof/>
              </w:rPr>
              <w:t>N</w:t>
            </w:r>
            <w:r>
              <w:rPr>
                <w:noProof/>
              </w:rPr>
              <w:t>EPIEMĒRO</w:t>
            </w:r>
          </w:p>
        </w:tc>
        <w:tc>
          <w:tcPr>
            <w:tcW w:w="989" w:type="dxa"/>
            <w:shd w:val="clear" w:color="auto" w:fill="C6EFCD"/>
            <w:vAlign w:val="center"/>
          </w:tcPr>
          <w:p w14:paraId="054754C6" w14:textId="4CDA6AF2" w:rsidR="00327FF1" w:rsidRDefault="00E406C7">
            <w:pPr>
              <w:pStyle w:val="P68B1DB1-Other1069"/>
              <w:jc w:val="center"/>
              <w:rPr>
                <w:rFonts w:cs="Arial"/>
                <w:noProof/>
              </w:rPr>
            </w:pPr>
            <w:r>
              <w:rPr>
                <w:noProof/>
              </w:rPr>
              <w:t>NEPIEMĒRO</w:t>
            </w:r>
          </w:p>
        </w:tc>
        <w:tc>
          <w:tcPr>
            <w:tcW w:w="994" w:type="dxa"/>
            <w:shd w:val="clear" w:color="auto" w:fill="C6EFCD"/>
            <w:vAlign w:val="center"/>
          </w:tcPr>
          <w:p w14:paraId="1C8BDC37" w14:textId="72459FD3" w:rsidR="00327FF1" w:rsidRDefault="00E406C7">
            <w:pPr>
              <w:pStyle w:val="P68B1DB1-Other1069"/>
              <w:jc w:val="center"/>
              <w:rPr>
                <w:rFonts w:cs="Arial"/>
                <w:noProof/>
              </w:rPr>
            </w:pPr>
            <w:r>
              <w:rPr>
                <w:noProof/>
              </w:rPr>
              <w:t>4. CET.</w:t>
            </w:r>
          </w:p>
        </w:tc>
        <w:tc>
          <w:tcPr>
            <w:tcW w:w="710" w:type="dxa"/>
            <w:shd w:val="clear" w:color="auto" w:fill="C6EFCD"/>
            <w:vAlign w:val="center"/>
          </w:tcPr>
          <w:p w14:paraId="3C8BEADE" w14:textId="741160A7" w:rsidR="00327FF1" w:rsidRDefault="00E406C7">
            <w:pPr>
              <w:pStyle w:val="P68B1DB1-Other1069"/>
              <w:jc w:val="center"/>
              <w:rPr>
                <w:rFonts w:cs="Arial"/>
                <w:noProof/>
              </w:rPr>
            </w:pPr>
            <w:r>
              <w:rPr>
                <w:noProof/>
              </w:rPr>
              <w:t>2023</w:t>
            </w:r>
          </w:p>
        </w:tc>
        <w:tc>
          <w:tcPr>
            <w:tcW w:w="3902" w:type="dxa"/>
            <w:shd w:val="clear" w:color="auto" w:fill="C6EFCD"/>
          </w:tcPr>
          <w:p w14:paraId="7B80AE92" w14:textId="59B5E260" w:rsidR="00327FF1" w:rsidRDefault="00E406C7">
            <w:pPr>
              <w:pStyle w:val="P68B1DB1-Other1069"/>
              <w:rPr>
                <w:rStyle w:val="Other1"/>
                <w:rFonts w:cs="Arial"/>
                <w:noProof/>
              </w:rPr>
            </w:pPr>
            <w:r>
              <w:rPr>
                <w:noProof/>
              </w:rPr>
              <w:t>Paziņojums par visu publisko līgumu slēgšanas tiesību piešķiršanu attiecībā uz ēku būvniecību, tiesvedības nekustamā īpašuma aktīvu pārkvalificēšanu un stiprināšanu.</w:t>
            </w:r>
          </w:p>
        </w:tc>
      </w:tr>
      <w:tr w:rsidR="00327FF1" w14:paraId="7DB75A60" w14:textId="77777777">
        <w:trPr>
          <w:cantSplit/>
          <w:trHeight w:val="300"/>
          <w:jc w:val="center"/>
        </w:trPr>
        <w:tc>
          <w:tcPr>
            <w:tcW w:w="1123" w:type="dxa"/>
            <w:shd w:val="clear" w:color="auto" w:fill="C6EFCD"/>
            <w:vAlign w:val="center"/>
          </w:tcPr>
          <w:p w14:paraId="6E365C3D" w14:textId="5E7AA3B9" w:rsidR="00327FF1" w:rsidRDefault="00E406C7">
            <w:pPr>
              <w:pStyle w:val="P68B1DB1-Other1069"/>
              <w:jc w:val="center"/>
              <w:rPr>
                <w:rFonts w:cs="Arial"/>
                <w:noProof/>
              </w:rPr>
            </w:pPr>
            <w:r>
              <w:rPr>
                <w:noProof/>
              </w:rPr>
              <w:t>M2C3–8</w:t>
            </w:r>
          </w:p>
        </w:tc>
        <w:tc>
          <w:tcPr>
            <w:tcW w:w="1574" w:type="dxa"/>
            <w:shd w:val="clear" w:color="auto" w:fill="C6EFCD"/>
            <w:vAlign w:val="center"/>
          </w:tcPr>
          <w:p w14:paraId="367D70D2" w14:textId="21E7CCBF" w:rsidR="00327FF1" w:rsidRDefault="00E406C7">
            <w:pPr>
              <w:pStyle w:val="P68B1DB1-Other1069"/>
              <w:jc w:val="center"/>
              <w:rPr>
                <w:rStyle w:val="Other1"/>
                <w:rFonts w:cs="Arial"/>
                <w:noProof/>
              </w:rPr>
            </w:pPr>
            <w:r>
              <w:rPr>
                <w:noProof/>
              </w:rPr>
              <w:t xml:space="preserve">Investīcija 1.2. — Publiskā nekustamā īpašuma </w:t>
            </w:r>
            <w:r>
              <w:rPr>
                <w:noProof/>
              </w:rPr>
              <w:t>aktīvu, ko daļēji vai pilnībā izmanto tiesas spriešana, pārkvalificēšana</w:t>
            </w:r>
          </w:p>
        </w:tc>
        <w:tc>
          <w:tcPr>
            <w:tcW w:w="1133" w:type="dxa"/>
            <w:shd w:val="clear" w:color="auto" w:fill="C6EFCD"/>
            <w:vAlign w:val="center"/>
          </w:tcPr>
          <w:p w14:paraId="055DE80F" w14:textId="54A67B60" w:rsidR="00327FF1" w:rsidRDefault="00E406C7">
            <w:pPr>
              <w:pStyle w:val="P68B1DB1-Other1069"/>
              <w:jc w:val="center"/>
              <w:rPr>
                <w:rStyle w:val="Other1"/>
                <w:rFonts w:cs="Arial"/>
                <w:noProof/>
              </w:rPr>
            </w:pPr>
            <w:r>
              <w:rPr>
                <w:noProof/>
              </w:rPr>
              <w:t>Mērķa</w:t>
            </w:r>
          </w:p>
        </w:tc>
        <w:tc>
          <w:tcPr>
            <w:tcW w:w="1843" w:type="dxa"/>
            <w:shd w:val="clear" w:color="auto" w:fill="C6EFCD"/>
            <w:vAlign w:val="center"/>
          </w:tcPr>
          <w:p w14:paraId="7E9C2AA9" w14:textId="6269488E" w:rsidR="00327FF1" w:rsidRDefault="00E406C7">
            <w:pPr>
              <w:pStyle w:val="P68B1DB1-Other1069"/>
              <w:jc w:val="center"/>
              <w:rPr>
                <w:rStyle w:val="Other1"/>
                <w:rFonts w:cs="Arial"/>
                <w:noProof/>
              </w:rPr>
            </w:pPr>
            <w:r>
              <w:rPr>
                <w:noProof/>
              </w:rPr>
              <w:t>Darbi, kas veikti par vismaz 289000 kvadrātmetriem publisko nekustamā īpašuma aktīvu</w:t>
            </w:r>
          </w:p>
        </w:tc>
        <w:tc>
          <w:tcPr>
            <w:tcW w:w="1560" w:type="dxa"/>
            <w:shd w:val="clear" w:color="auto" w:fill="C6EFCD"/>
            <w:vAlign w:val="center"/>
          </w:tcPr>
          <w:p w14:paraId="481DA3D5" w14:textId="242CD523" w:rsidR="00327FF1" w:rsidRDefault="00E406C7">
            <w:pPr>
              <w:pStyle w:val="P68B1DB1-Other1069"/>
              <w:jc w:val="center"/>
              <w:rPr>
                <w:rStyle w:val="Other1"/>
                <w:rFonts w:cs="Arial"/>
                <w:noProof/>
              </w:rPr>
            </w:pPr>
            <w:r>
              <w:rPr>
                <w:noProof/>
              </w:rPr>
              <w:t>NEPIEMĒRO</w:t>
            </w:r>
          </w:p>
        </w:tc>
        <w:tc>
          <w:tcPr>
            <w:tcW w:w="1256" w:type="dxa"/>
            <w:shd w:val="clear" w:color="auto" w:fill="C6EFCD"/>
            <w:vAlign w:val="center"/>
          </w:tcPr>
          <w:p w14:paraId="342307C2" w14:textId="66F95FC7" w:rsidR="00327FF1" w:rsidRDefault="00E406C7">
            <w:pPr>
              <w:pStyle w:val="P68B1DB1-Other1069"/>
              <w:jc w:val="center"/>
              <w:rPr>
                <w:noProof/>
              </w:rPr>
            </w:pPr>
            <w:r>
              <w:rPr>
                <w:noProof/>
              </w:rPr>
              <w:t>Skaits</w:t>
            </w:r>
          </w:p>
        </w:tc>
        <w:tc>
          <w:tcPr>
            <w:tcW w:w="871" w:type="dxa"/>
            <w:shd w:val="clear" w:color="auto" w:fill="C6EFCD"/>
            <w:vAlign w:val="center"/>
          </w:tcPr>
          <w:p w14:paraId="3EED6E1A" w14:textId="07DC3AC0" w:rsidR="00327FF1" w:rsidRDefault="00E406C7">
            <w:pPr>
              <w:pStyle w:val="P68B1DB1-Other1069"/>
              <w:jc w:val="center"/>
              <w:rPr>
                <w:noProof/>
              </w:rPr>
            </w:pPr>
            <w:r>
              <w:rPr>
                <w:noProof/>
              </w:rPr>
              <w:t>0</w:t>
            </w:r>
          </w:p>
        </w:tc>
        <w:tc>
          <w:tcPr>
            <w:tcW w:w="989" w:type="dxa"/>
            <w:shd w:val="clear" w:color="auto" w:fill="C6EFCD"/>
            <w:vAlign w:val="center"/>
          </w:tcPr>
          <w:p w14:paraId="35A5A001" w14:textId="6CC7DB82" w:rsidR="00327FF1" w:rsidRDefault="00E406C7">
            <w:pPr>
              <w:pStyle w:val="P68B1DB1-Other1069"/>
              <w:jc w:val="center"/>
              <w:rPr>
                <w:noProof/>
              </w:rPr>
            </w:pPr>
            <w:r>
              <w:rPr>
                <w:noProof/>
              </w:rPr>
              <w:t>289 000</w:t>
            </w:r>
          </w:p>
        </w:tc>
        <w:tc>
          <w:tcPr>
            <w:tcW w:w="994" w:type="dxa"/>
            <w:shd w:val="clear" w:color="auto" w:fill="C6EFCD"/>
            <w:vAlign w:val="center"/>
          </w:tcPr>
          <w:p w14:paraId="2DF827EC" w14:textId="2981C5A0" w:rsidR="00327FF1" w:rsidRDefault="00E406C7">
            <w:pPr>
              <w:pStyle w:val="P68B1DB1-Other1069"/>
              <w:jc w:val="center"/>
              <w:rPr>
                <w:rFonts w:cs="Arial"/>
                <w:noProof/>
              </w:rPr>
            </w:pPr>
            <w:r>
              <w:rPr>
                <w:noProof/>
              </w:rPr>
              <w:t>Q1</w:t>
            </w:r>
          </w:p>
        </w:tc>
        <w:tc>
          <w:tcPr>
            <w:tcW w:w="710" w:type="dxa"/>
            <w:shd w:val="clear" w:color="auto" w:fill="C6EFCD"/>
            <w:vAlign w:val="center"/>
          </w:tcPr>
          <w:p w14:paraId="24204F3E" w14:textId="728746B1" w:rsidR="00327FF1" w:rsidRDefault="00E406C7">
            <w:pPr>
              <w:pStyle w:val="P68B1DB1-Other1069"/>
              <w:jc w:val="center"/>
              <w:rPr>
                <w:rFonts w:cs="Arial"/>
                <w:noProof/>
              </w:rPr>
            </w:pPr>
            <w:r>
              <w:rPr>
                <w:noProof/>
              </w:rPr>
              <w:t>2026</w:t>
            </w:r>
          </w:p>
        </w:tc>
        <w:tc>
          <w:tcPr>
            <w:tcW w:w="3902" w:type="dxa"/>
            <w:shd w:val="clear" w:color="auto" w:fill="C6EFCD"/>
          </w:tcPr>
          <w:p w14:paraId="528970C0" w14:textId="798EA747" w:rsidR="00327FF1" w:rsidRDefault="00E406C7">
            <w:pPr>
              <w:pStyle w:val="P68B1DB1-Other1069"/>
              <w:rPr>
                <w:rFonts w:cs="Arial"/>
                <w:noProof/>
              </w:rPr>
            </w:pPr>
            <w:r>
              <w:rPr>
                <w:noProof/>
              </w:rPr>
              <w:t xml:space="preserve">Izsniedz sertifikātus par darbu pabeigšanu par vismaz </w:t>
            </w:r>
            <w:r>
              <w:rPr>
                <w:noProof/>
              </w:rPr>
              <w:t>289000 kvadrātmetriem valsts nekustamā īpašuma aktīvu, ko daļēji vai pilnībā izmanto tiesvedība.</w:t>
            </w:r>
          </w:p>
        </w:tc>
      </w:tr>
      <w:tr w:rsidR="00327FF1" w14:paraId="1D575B72" w14:textId="77777777">
        <w:trPr>
          <w:cantSplit/>
          <w:trHeight w:val="300"/>
          <w:jc w:val="center"/>
        </w:trPr>
        <w:tc>
          <w:tcPr>
            <w:tcW w:w="1123" w:type="dxa"/>
            <w:shd w:val="clear" w:color="auto" w:fill="C6EFCD"/>
            <w:vAlign w:val="center"/>
          </w:tcPr>
          <w:p w14:paraId="281AA1C3" w14:textId="0B527F29" w:rsidR="00327FF1" w:rsidRDefault="00E406C7">
            <w:pPr>
              <w:pStyle w:val="P68B1DB1-Other1069"/>
              <w:jc w:val="center"/>
              <w:rPr>
                <w:rFonts w:cs="Arial"/>
                <w:noProof/>
              </w:rPr>
            </w:pPr>
            <w:r>
              <w:rPr>
                <w:noProof/>
              </w:rPr>
              <w:t>M2C3–9</w:t>
            </w:r>
          </w:p>
        </w:tc>
        <w:tc>
          <w:tcPr>
            <w:tcW w:w="1574" w:type="dxa"/>
            <w:shd w:val="clear" w:color="auto" w:fill="C6EFCD"/>
            <w:vAlign w:val="center"/>
          </w:tcPr>
          <w:p w14:paraId="20BC6D8D" w14:textId="76E4FF6A" w:rsidR="00327FF1" w:rsidRDefault="00E406C7">
            <w:pPr>
              <w:pStyle w:val="P68B1DB1-Other1069"/>
              <w:jc w:val="center"/>
              <w:rPr>
                <w:rStyle w:val="Other1"/>
                <w:rFonts w:cs="Arial"/>
                <w:noProof/>
              </w:rPr>
            </w:pPr>
            <w:r>
              <w:rPr>
                <w:noProof/>
              </w:rPr>
              <w:t>Investīcija Nr. 3.1: Efektīvas centralizētās siltumapgādes veicināšana</w:t>
            </w:r>
          </w:p>
        </w:tc>
        <w:tc>
          <w:tcPr>
            <w:tcW w:w="1133" w:type="dxa"/>
            <w:shd w:val="clear" w:color="auto" w:fill="C6EFCD"/>
            <w:vAlign w:val="center"/>
          </w:tcPr>
          <w:p w14:paraId="77C382CA" w14:textId="4A277633" w:rsidR="00327FF1" w:rsidRDefault="00E406C7">
            <w:pPr>
              <w:pStyle w:val="P68B1DB1-Other1069"/>
              <w:jc w:val="center"/>
              <w:rPr>
                <w:rStyle w:val="Other1"/>
                <w:rFonts w:cs="Arial"/>
                <w:noProof/>
              </w:rPr>
            </w:pPr>
            <w:r>
              <w:rPr>
                <w:noProof/>
              </w:rPr>
              <w:t>Atskaites punkts</w:t>
            </w:r>
          </w:p>
        </w:tc>
        <w:tc>
          <w:tcPr>
            <w:tcW w:w="1843" w:type="dxa"/>
            <w:shd w:val="clear" w:color="auto" w:fill="C6EFCD"/>
            <w:vAlign w:val="center"/>
          </w:tcPr>
          <w:p w14:paraId="227D694C" w14:textId="66EE638F" w:rsidR="00327FF1" w:rsidRDefault="00E406C7">
            <w:pPr>
              <w:pStyle w:val="P68B1DB1-Other1069"/>
              <w:jc w:val="center"/>
              <w:rPr>
                <w:rStyle w:val="Other1"/>
                <w:rFonts w:cs="Arial"/>
                <w:noProof/>
              </w:rPr>
            </w:pPr>
            <w:r>
              <w:rPr>
                <w:noProof/>
              </w:rPr>
              <w:t xml:space="preserve">Līgumus par siltumapgādes tīklu uzlabošanu piešķir Ekoloģiskās </w:t>
            </w:r>
            <w:r>
              <w:rPr>
                <w:noProof/>
              </w:rPr>
              <w:t>pārejas ministrija pēc publiskā iepirkuma procedūras.</w:t>
            </w:r>
          </w:p>
        </w:tc>
        <w:tc>
          <w:tcPr>
            <w:tcW w:w="1560" w:type="dxa"/>
            <w:shd w:val="clear" w:color="auto" w:fill="C6EFCD"/>
            <w:vAlign w:val="center"/>
          </w:tcPr>
          <w:p w14:paraId="403D45AD" w14:textId="626E4767" w:rsidR="00327FF1" w:rsidRDefault="00E406C7">
            <w:pPr>
              <w:pStyle w:val="P68B1DB1-Other1069"/>
              <w:jc w:val="center"/>
              <w:rPr>
                <w:rStyle w:val="Other1"/>
                <w:rFonts w:cs="Arial"/>
                <w:noProof/>
              </w:rPr>
            </w:pPr>
            <w:r>
              <w:rPr>
                <w:noProof/>
              </w:rPr>
              <w:t>Paziņojums par visu publiskā iepirkuma līgumu slēgšanas tiesību piešķiršanu pēc publiskā iepirkuma procedūras</w:t>
            </w:r>
          </w:p>
        </w:tc>
        <w:tc>
          <w:tcPr>
            <w:tcW w:w="1256" w:type="dxa"/>
            <w:shd w:val="clear" w:color="auto" w:fill="C6EFCD"/>
            <w:vAlign w:val="center"/>
          </w:tcPr>
          <w:p w14:paraId="09A6D91D" w14:textId="3BB62E2F" w:rsidR="00327FF1" w:rsidRDefault="00E406C7">
            <w:pPr>
              <w:pStyle w:val="P68B1DB1-Other1069"/>
              <w:jc w:val="center"/>
              <w:rPr>
                <w:noProof/>
              </w:rPr>
            </w:pPr>
            <w:r>
              <w:rPr>
                <w:noProof/>
              </w:rPr>
              <w:t>NEPIEMĒRO</w:t>
            </w:r>
          </w:p>
        </w:tc>
        <w:tc>
          <w:tcPr>
            <w:tcW w:w="871" w:type="dxa"/>
            <w:shd w:val="clear" w:color="auto" w:fill="C6EFCD"/>
            <w:vAlign w:val="center"/>
          </w:tcPr>
          <w:p w14:paraId="60E3EA27" w14:textId="57168CE7" w:rsidR="00327FF1" w:rsidRDefault="00E406C7">
            <w:pPr>
              <w:pStyle w:val="P68B1DB1-Other1069"/>
              <w:jc w:val="center"/>
              <w:rPr>
                <w:noProof/>
              </w:rPr>
            </w:pPr>
            <w:r>
              <w:rPr>
                <w:noProof/>
              </w:rPr>
              <w:t>NEPIEMĒRO</w:t>
            </w:r>
          </w:p>
        </w:tc>
        <w:tc>
          <w:tcPr>
            <w:tcW w:w="989" w:type="dxa"/>
            <w:shd w:val="clear" w:color="auto" w:fill="C6EFCD"/>
            <w:vAlign w:val="center"/>
          </w:tcPr>
          <w:p w14:paraId="229AB1FC" w14:textId="17284CDE" w:rsidR="00327FF1" w:rsidRDefault="00E406C7">
            <w:pPr>
              <w:pStyle w:val="P68B1DB1-Other1069"/>
              <w:jc w:val="center"/>
              <w:rPr>
                <w:noProof/>
              </w:rPr>
            </w:pPr>
            <w:r>
              <w:rPr>
                <w:noProof/>
              </w:rPr>
              <w:t>NEPIEMĒRO</w:t>
            </w:r>
          </w:p>
        </w:tc>
        <w:tc>
          <w:tcPr>
            <w:tcW w:w="994" w:type="dxa"/>
            <w:shd w:val="clear" w:color="auto" w:fill="C6EFCD"/>
            <w:vAlign w:val="center"/>
          </w:tcPr>
          <w:p w14:paraId="23AAE5E4" w14:textId="0019970D" w:rsidR="00327FF1" w:rsidRDefault="00E406C7">
            <w:pPr>
              <w:pStyle w:val="P68B1DB1-Other1069"/>
              <w:jc w:val="center"/>
              <w:rPr>
                <w:rFonts w:cs="Arial"/>
                <w:noProof/>
              </w:rPr>
            </w:pPr>
            <w:r>
              <w:rPr>
                <w:noProof/>
              </w:rPr>
              <w:t>4. CET.</w:t>
            </w:r>
          </w:p>
        </w:tc>
        <w:tc>
          <w:tcPr>
            <w:tcW w:w="710" w:type="dxa"/>
            <w:shd w:val="clear" w:color="auto" w:fill="C6EFCD"/>
            <w:vAlign w:val="center"/>
          </w:tcPr>
          <w:p w14:paraId="6E423165" w14:textId="70C47C40" w:rsidR="00327FF1" w:rsidRDefault="00E406C7">
            <w:pPr>
              <w:pStyle w:val="P68B1DB1-Other1069"/>
              <w:jc w:val="center"/>
              <w:rPr>
                <w:rFonts w:cs="Arial"/>
                <w:noProof/>
              </w:rPr>
            </w:pPr>
            <w:r>
              <w:rPr>
                <w:noProof/>
              </w:rPr>
              <w:t>2022</w:t>
            </w:r>
          </w:p>
        </w:tc>
        <w:tc>
          <w:tcPr>
            <w:tcW w:w="3902" w:type="dxa"/>
            <w:shd w:val="clear" w:color="auto" w:fill="C6EFCD"/>
          </w:tcPr>
          <w:p w14:paraId="0B6A92A1" w14:textId="77777777" w:rsidR="00327FF1" w:rsidRDefault="00E406C7">
            <w:pPr>
              <w:pStyle w:val="P68B1DB1-Other1069"/>
              <w:rPr>
                <w:noProof/>
              </w:rPr>
            </w:pPr>
            <w:r>
              <w:rPr>
                <w:noProof/>
              </w:rPr>
              <w:t>Visu publisko līgumu slēgšanas tiesību piešķiršan</w:t>
            </w:r>
            <w:r>
              <w:rPr>
                <w:noProof/>
              </w:rPr>
              <w:t>a jaunu centralizētās siltumapgādes tīklu būvniecībai vai esošo centralizētās siltumapgādes tīklu paplašināšanai, kuros būtu jāiekļauj prasība samazināt enerģijas patēriņu.</w:t>
            </w:r>
          </w:p>
          <w:p w14:paraId="0241140F" w14:textId="77777777" w:rsidR="00327FF1" w:rsidRDefault="00327FF1">
            <w:pPr>
              <w:pStyle w:val="Other10"/>
              <w:rPr>
                <w:rFonts w:ascii="Arial Narrow" w:hAnsi="Arial Narrow"/>
                <w:noProof/>
                <w:sz w:val="20"/>
                <w:szCs w:val="20"/>
              </w:rPr>
            </w:pPr>
          </w:p>
          <w:p w14:paraId="7C6DDA29" w14:textId="15AB4610" w:rsidR="00327FF1" w:rsidRDefault="00E406C7">
            <w:pPr>
              <w:pStyle w:val="P68B1DB1-Other1071"/>
              <w:rPr>
                <w:rFonts w:cs="Arial"/>
                <w:noProof/>
                <w:szCs w:val="20"/>
              </w:rPr>
            </w:pPr>
            <w:r>
              <w:rPr>
                <w:noProof/>
              </w:rPr>
              <w:t>Līgumu slēgšanas tiesību piešķiršana projektiem, kas atlasīti konkursa uzaicinājum</w:t>
            </w:r>
            <w:r>
              <w:rPr>
                <w:noProof/>
              </w:rPr>
              <w:t>os iesniegt priekšlikumus saskaņā ar Tehniskajiem norādījumiem “nenodari būtisku kaitējumu” (2021/C58/01), izmantojot izslēgšanas sarakstu un prasību par atbilstību attiecīgajiem ES un valsts tiesību aktiem vides jomā.</w:t>
            </w:r>
          </w:p>
        </w:tc>
      </w:tr>
      <w:tr w:rsidR="00327FF1" w14:paraId="25DF86C3" w14:textId="77777777">
        <w:trPr>
          <w:cantSplit/>
          <w:trHeight w:val="300"/>
          <w:jc w:val="center"/>
        </w:trPr>
        <w:tc>
          <w:tcPr>
            <w:tcW w:w="1123" w:type="dxa"/>
            <w:shd w:val="clear" w:color="auto" w:fill="C6EFCD"/>
            <w:vAlign w:val="center"/>
          </w:tcPr>
          <w:p w14:paraId="537CEDF8" w14:textId="1D96E7D6" w:rsidR="00327FF1" w:rsidRDefault="00E406C7">
            <w:pPr>
              <w:pStyle w:val="P68B1DB1-Other1069"/>
              <w:jc w:val="center"/>
              <w:rPr>
                <w:rFonts w:cs="Arial"/>
                <w:noProof/>
              </w:rPr>
            </w:pPr>
            <w:r>
              <w:rPr>
                <w:noProof/>
              </w:rPr>
              <w:t>M2C3–10</w:t>
            </w:r>
          </w:p>
        </w:tc>
        <w:tc>
          <w:tcPr>
            <w:tcW w:w="1574" w:type="dxa"/>
            <w:shd w:val="clear" w:color="auto" w:fill="C6EFCD"/>
            <w:vAlign w:val="center"/>
          </w:tcPr>
          <w:p w14:paraId="7AC22CD0" w14:textId="4148C93F" w:rsidR="00327FF1" w:rsidRDefault="00E406C7">
            <w:pPr>
              <w:pStyle w:val="P68B1DB1-Other1069"/>
              <w:jc w:val="center"/>
              <w:rPr>
                <w:rStyle w:val="Other1"/>
                <w:rFonts w:cs="Arial"/>
                <w:noProof/>
              </w:rPr>
            </w:pPr>
            <w:r>
              <w:rPr>
                <w:noProof/>
              </w:rPr>
              <w:t xml:space="preserve">Investīcija Nr. 3.1: </w:t>
            </w:r>
            <w:r>
              <w:rPr>
                <w:noProof/>
              </w:rPr>
              <w:t>Efektīvas centralizētās siltumapgādes veicināšana</w:t>
            </w:r>
          </w:p>
        </w:tc>
        <w:tc>
          <w:tcPr>
            <w:tcW w:w="1133" w:type="dxa"/>
            <w:shd w:val="clear" w:color="auto" w:fill="C6EFCD"/>
            <w:vAlign w:val="center"/>
          </w:tcPr>
          <w:p w14:paraId="063E3315" w14:textId="205D3AD3" w:rsidR="00327FF1" w:rsidRDefault="00E406C7">
            <w:pPr>
              <w:pStyle w:val="P68B1DB1-Other1069"/>
              <w:jc w:val="center"/>
              <w:rPr>
                <w:rStyle w:val="Other1"/>
                <w:rFonts w:cs="Arial"/>
                <w:noProof/>
              </w:rPr>
            </w:pPr>
            <w:r>
              <w:rPr>
                <w:noProof/>
              </w:rPr>
              <w:t>Mērķa</w:t>
            </w:r>
          </w:p>
        </w:tc>
        <w:tc>
          <w:tcPr>
            <w:tcW w:w="1843" w:type="dxa"/>
            <w:shd w:val="clear" w:color="auto" w:fill="C6EFCD"/>
            <w:vAlign w:val="center"/>
          </w:tcPr>
          <w:p w14:paraId="1B3A6880" w14:textId="33A66853" w:rsidR="00327FF1" w:rsidRDefault="00E406C7">
            <w:pPr>
              <w:pStyle w:val="P68B1DB1-Other1069"/>
              <w:jc w:val="center"/>
              <w:rPr>
                <w:rStyle w:val="Other1"/>
                <w:rFonts w:cs="Arial"/>
                <w:noProof/>
              </w:rPr>
            </w:pPr>
            <w:r>
              <w:rPr>
                <w:noProof/>
              </w:rPr>
              <w:t>Centralizētās siltumapgādes tīklu izveide vai paplašināšana, lai samazinātu enerģijas patēriņu</w:t>
            </w:r>
          </w:p>
        </w:tc>
        <w:tc>
          <w:tcPr>
            <w:tcW w:w="1560" w:type="dxa"/>
            <w:shd w:val="clear" w:color="auto" w:fill="C6EFCD"/>
            <w:vAlign w:val="center"/>
          </w:tcPr>
          <w:p w14:paraId="2AC7AEFF" w14:textId="11FD106C" w:rsidR="00327FF1" w:rsidRDefault="00E406C7">
            <w:pPr>
              <w:pStyle w:val="P68B1DB1-Other1069"/>
              <w:jc w:val="center"/>
              <w:rPr>
                <w:rStyle w:val="Other1"/>
                <w:rFonts w:cs="Arial"/>
                <w:noProof/>
              </w:rPr>
            </w:pPr>
            <w:r>
              <w:rPr>
                <w:noProof/>
              </w:rPr>
              <w:t>NEPIEMĒRO</w:t>
            </w:r>
          </w:p>
        </w:tc>
        <w:tc>
          <w:tcPr>
            <w:tcW w:w="1256" w:type="dxa"/>
            <w:shd w:val="clear" w:color="auto" w:fill="C6EFCD"/>
            <w:vAlign w:val="center"/>
          </w:tcPr>
          <w:p w14:paraId="499144D4" w14:textId="346BB1AA" w:rsidR="00327FF1" w:rsidRDefault="00E406C7">
            <w:pPr>
              <w:pStyle w:val="P68B1DB1-Other1069"/>
              <w:jc w:val="center"/>
              <w:rPr>
                <w:noProof/>
              </w:rPr>
            </w:pPr>
            <w:r>
              <w:rPr>
                <w:noProof/>
              </w:rPr>
              <w:t>KTOE</w:t>
            </w:r>
          </w:p>
        </w:tc>
        <w:tc>
          <w:tcPr>
            <w:tcW w:w="871" w:type="dxa"/>
            <w:shd w:val="clear" w:color="auto" w:fill="C6EFCD"/>
            <w:vAlign w:val="center"/>
          </w:tcPr>
          <w:p w14:paraId="650A4AD6" w14:textId="228B839A" w:rsidR="00327FF1" w:rsidRDefault="00E406C7">
            <w:pPr>
              <w:pStyle w:val="P68B1DB1-Other1069"/>
              <w:jc w:val="center"/>
              <w:rPr>
                <w:noProof/>
              </w:rPr>
            </w:pPr>
            <w:r>
              <w:rPr>
                <w:noProof/>
              </w:rPr>
              <w:t>0</w:t>
            </w:r>
          </w:p>
        </w:tc>
        <w:tc>
          <w:tcPr>
            <w:tcW w:w="989" w:type="dxa"/>
            <w:shd w:val="clear" w:color="auto" w:fill="C6EFCD"/>
            <w:vAlign w:val="center"/>
          </w:tcPr>
          <w:p w14:paraId="56E5DB11" w14:textId="7C115170" w:rsidR="00327FF1" w:rsidRDefault="00E406C7">
            <w:pPr>
              <w:pStyle w:val="P68B1DB1-Other1069"/>
              <w:jc w:val="center"/>
              <w:rPr>
                <w:noProof/>
              </w:rPr>
            </w:pPr>
            <w:r>
              <w:rPr>
                <w:noProof/>
              </w:rPr>
              <w:t>30</w:t>
            </w:r>
          </w:p>
        </w:tc>
        <w:tc>
          <w:tcPr>
            <w:tcW w:w="994" w:type="dxa"/>
            <w:shd w:val="clear" w:color="auto" w:fill="C6EFCD"/>
            <w:vAlign w:val="center"/>
          </w:tcPr>
          <w:p w14:paraId="4B120786" w14:textId="25BB8651" w:rsidR="00327FF1" w:rsidRDefault="00E406C7">
            <w:pPr>
              <w:pStyle w:val="P68B1DB1-Other1069"/>
              <w:jc w:val="center"/>
              <w:rPr>
                <w:rFonts w:cs="Arial"/>
                <w:noProof/>
              </w:rPr>
            </w:pPr>
            <w:r>
              <w:rPr>
                <w:noProof/>
              </w:rPr>
              <w:t>Q1</w:t>
            </w:r>
          </w:p>
        </w:tc>
        <w:tc>
          <w:tcPr>
            <w:tcW w:w="710" w:type="dxa"/>
            <w:shd w:val="clear" w:color="auto" w:fill="C6EFCD"/>
            <w:vAlign w:val="center"/>
          </w:tcPr>
          <w:p w14:paraId="0DB76C2F" w14:textId="261CA81F" w:rsidR="00327FF1" w:rsidRDefault="00E406C7">
            <w:pPr>
              <w:pStyle w:val="P68B1DB1-Other1069"/>
              <w:jc w:val="center"/>
              <w:rPr>
                <w:rFonts w:cs="Arial"/>
                <w:noProof/>
              </w:rPr>
            </w:pPr>
            <w:r>
              <w:rPr>
                <w:noProof/>
              </w:rPr>
              <w:t>2026</w:t>
            </w:r>
          </w:p>
        </w:tc>
        <w:tc>
          <w:tcPr>
            <w:tcW w:w="3902" w:type="dxa"/>
            <w:shd w:val="clear" w:color="auto" w:fill="C6EFCD"/>
          </w:tcPr>
          <w:p w14:paraId="15132EB1" w14:textId="280E001F" w:rsidR="00327FF1" w:rsidRDefault="00E406C7">
            <w:pPr>
              <w:pStyle w:val="P68B1DB1-Normal11"/>
              <w:spacing w:after="120"/>
              <w:rPr>
                <w:noProof/>
              </w:rPr>
            </w:pPr>
            <w:r>
              <w:rPr>
                <w:noProof/>
              </w:rPr>
              <w:t xml:space="preserve">Sertifikātus par jaunu centralizētās siltumapgādes tīklu būvniecības darbu pabeigšanu vai esošo tīklu paplašināšanu izdod, ļaujot samazināt enerģijas patēriņu vismaz par 30 KTOE gadā, ko apliecina neatkarīga inženiera ziņojums. </w:t>
            </w:r>
          </w:p>
          <w:p w14:paraId="53025886" w14:textId="4A96C512" w:rsidR="00327FF1" w:rsidRDefault="00E406C7">
            <w:pPr>
              <w:pStyle w:val="P68B1DB1-Normal12"/>
              <w:spacing w:after="120"/>
              <w:rPr>
                <w:noProof/>
              </w:rPr>
            </w:pPr>
            <w:r>
              <w:rPr>
                <w:noProof/>
              </w:rPr>
              <w:t>Investīcija atbilst nosacīj</w:t>
            </w:r>
            <w:r>
              <w:rPr>
                <w:noProof/>
              </w:rPr>
              <w:t>umiem, kas izklāstīti Regulas 241/2021/ES par Atveseļošanas un noturības mehānismu VI pielikuma 9. zemsvītras piezīmē.</w:t>
            </w:r>
          </w:p>
          <w:p w14:paraId="50BE0C02" w14:textId="52F3755D" w:rsidR="00327FF1" w:rsidRDefault="00E406C7">
            <w:pPr>
              <w:pStyle w:val="P68B1DB1-Other1069"/>
              <w:rPr>
                <w:rFonts w:cs="Arial"/>
                <w:noProof/>
              </w:rPr>
            </w:pPr>
            <w:r>
              <w:rPr>
                <w:noProof/>
              </w:rPr>
              <w:t>Lai centralizētās siltumapgādes sistēmas būtu atbalsttiesīgas, tās par galveno siltuma avotu izmanto siltumu, kas saražots no atjaunīgaji</w:t>
            </w:r>
            <w:r>
              <w:rPr>
                <w:noProof/>
              </w:rPr>
              <w:t>em energoresursiem, atlikumsiltuma vai koģenerācijas stacijās. Fosilo kurināmo izmanto tikai kā rezerves daļu.</w:t>
            </w:r>
          </w:p>
        </w:tc>
      </w:tr>
    </w:tbl>
    <w:p w14:paraId="7A3CF2D4" w14:textId="77777777" w:rsidR="00327FF1" w:rsidRDefault="00327FF1">
      <w:pPr>
        <w:tabs>
          <w:tab w:val="left" w:pos="4252"/>
        </w:tabs>
        <w:rPr>
          <w:i/>
          <w:noProof/>
        </w:rPr>
        <w:sectPr w:rsidR="00327FF1" w:rsidSect="006C4CAC">
          <w:headerReference w:type="even" r:id="rId114"/>
          <w:headerReference w:type="default" r:id="rId115"/>
          <w:footerReference w:type="even" r:id="rId116"/>
          <w:footerReference w:type="default" r:id="rId117"/>
          <w:headerReference w:type="first" r:id="rId118"/>
          <w:footerReference w:type="first" r:id="rId119"/>
          <w:pgSz w:w="16838" w:h="11906" w:orient="landscape"/>
          <w:pgMar w:top="1440" w:right="1440" w:bottom="1440" w:left="1440" w:header="708" w:footer="708" w:gutter="0"/>
          <w:cols w:space="708"/>
          <w:docGrid w:linePitch="360"/>
        </w:sectPr>
      </w:pPr>
    </w:p>
    <w:p w14:paraId="4AA1843D" w14:textId="77777777" w:rsidR="00327FF1" w:rsidRDefault="00E406C7">
      <w:pPr>
        <w:pStyle w:val="P68B1DB1-Heading23"/>
        <w:ind w:left="1080"/>
        <w:rPr>
          <w:noProof/>
        </w:rPr>
      </w:pPr>
      <w:r>
        <w:rPr>
          <w:noProof/>
        </w:rPr>
        <w:t>G. MISSION 2 COMPONENT 4 — Teritoriālā plānošana un ūdens resursi</w:t>
      </w:r>
    </w:p>
    <w:p w14:paraId="315AFA18" w14:textId="77777777" w:rsidR="00327FF1" w:rsidRDefault="00E406C7">
      <w:pPr>
        <w:pStyle w:val="P68B1DB1-Times1272"/>
        <w:rPr>
          <w:noProof/>
        </w:rPr>
      </w:pPr>
      <w:r>
        <w:rPr>
          <w:noProof/>
        </w:rPr>
        <w:t xml:space="preserve">Šā Itālijas </w:t>
      </w:r>
      <w:r>
        <w:rPr>
          <w:noProof/>
        </w:rPr>
        <w:t>atveseļošanas un noturības plāna komponenta mērķis ir novērst vairākas ilgstošas nepilnības, kas saistītas ar ūdens resursu pārvaldību un hidroģeoloģiskajiem riskiem Itālijā, un pieņemt vairākus pasākumus, kuru mērķis ir saglabāt biodaudzveidību. Tas ir jā</w:t>
      </w:r>
      <w:r>
        <w:rPr>
          <w:noProof/>
        </w:rPr>
        <w:t>panāk, būtiski un līdzsvaroti kombinējot reformas un investīcijas šajās dažādajās dimensijās.</w:t>
      </w:r>
    </w:p>
    <w:p w14:paraId="0A392DB5" w14:textId="2AA29ED0" w:rsidR="00327FF1" w:rsidRDefault="00E406C7">
      <w:pPr>
        <w:pStyle w:val="P68B1DB1-Times1272"/>
        <w:rPr>
          <w:noProof/>
        </w:rPr>
      </w:pPr>
      <w:r>
        <w:rPr>
          <w:noProof/>
        </w:rPr>
        <w:t>Attiecībā uz reformām komponents ierosina pasākumu kopumu, kuru galvenais mērķis ir uzlabot ūdens resursu apsaimniekošanas efektivitāti, samazinot nozares sadrums</w:t>
      </w:r>
      <w:r>
        <w:rPr>
          <w:noProof/>
        </w:rPr>
        <w:t>talotību, izveidojot atbilstošu cenu politiku un nosakot vairākus stimulus, lai risinātu pašreizējās problēmas, kas saistītas ar notekūdeņu apsaimniekošanu. Reformas šajā komponentā ietver arī pasākumu kopumu, lai vienkāršotu tādu projektu izstrādi un īste</w:t>
      </w:r>
      <w:r>
        <w:rPr>
          <w:noProof/>
        </w:rPr>
        <w:t>nošanu, kas saistīti ar ūdens infrastruktūru un hidroloģisko risku pārvaldību un samazināšanu.</w:t>
      </w:r>
    </w:p>
    <w:p w14:paraId="4E9B3B11" w14:textId="77777777" w:rsidR="00327FF1" w:rsidRDefault="00E406C7">
      <w:pPr>
        <w:pStyle w:val="P68B1DB1-Times1272"/>
        <w:rPr>
          <w:noProof/>
        </w:rPr>
      </w:pPr>
      <w:r>
        <w:rPr>
          <w:noProof/>
        </w:rPr>
        <w:t>Investīcijas, kas saistītas ar šo komponentu, palīdz mazināt un labāk pārvaldīt hidroģeoloģisko risku Itālijā gan no profilakses, gan pielāgošanās viedokļa, un t</w:t>
      </w:r>
      <w:r>
        <w:rPr>
          <w:noProof/>
        </w:rPr>
        <w:t>o mērķis ir padarīt ar ūdeni saistīto infrastruktūru noturīgāku. Turklāt to mērķis ir ievērojami uzlabot ūdens resursu apsaimniekošanu, uzlabojot notekūdeņu apsaimniekošanu un ievērojami samazinot ūdens noplūdes, tostarp lauksaimniecības nozarē. Investīcij</w:t>
      </w:r>
      <w:r>
        <w:rPr>
          <w:noProof/>
        </w:rPr>
        <w:t>as stiprina minēto nozaru digitalizāciju un padara tās energoefektīvākas un labāk pielāgotas klimata pārmaiņām. Šis komponents ietver arī pasākumu kopumu, kuru mērķis ir saglabāt bioloģisko daudzveidību un zaļās zonas saskaņā ar ES Biodaudzveidības stratēģ</w:t>
      </w:r>
      <w:r>
        <w:rPr>
          <w:noProof/>
        </w:rPr>
        <w:t>iju 2030. gadam.</w:t>
      </w:r>
    </w:p>
    <w:p w14:paraId="3435CB80" w14:textId="77777777" w:rsidR="00327FF1" w:rsidRDefault="00E406C7">
      <w:pPr>
        <w:pStyle w:val="P68B1DB1-Times1273"/>
        <w:rPr>
          <w:rFonts w:ascii="Times New Roman" w:hAnsi="Times New Roman" w:cs="Times New Roman"/>
          <w:noProof/>
        </w:rPr>
      </w:pPr>
      <w:r>
        <w:rPr>
          <w:rFonts w:ascii="Times New Roman" w:hAnsi="Times New Roman" w:cs="Times New Roman"/>
          <w:noProof/>
        </w:rPr>
        <w:t>Šis komponents attiecas uz daļu no</w:t>
      </w:r>
      <w:r>
        <w:rPr>
          <w:rFonts w:ascii="Arial Narrow" w:hAnsi="Arial Narrow"/>
          <w:noProof/>
          <w:color w:val="006100"/>
        </w:rPr>
        <w:t xml:space="preserve"> </w:t>
      </w:r>
      <w:r>
        <w:rPr>
          <w:rFonts w:ascii="Times New Roman" w:hAnsi="Times New Roman" w:cs="Times New Roman"/>
          <w:noProof/>
        </w:rPr>
        <w:t>2020. gada valstij adresētā ieteikuma Nr. 3, ar kuru Eiropas Savienības Padome ieteica Itālijai rīkoties, lai “uzlabotu investīcijas zaļās un digitālās pārkārtošanās jomā, jo īpaši attiecībā uz [...] ūden</w:t>
      </w:r>
      <w:r>
        <w:rPr>
          <w:rFonts w:ascii="Times New Roman" w:hAnsi="Times New Roman" w:cs="Times New Roman"/>
          <w:noProof/>
        </w:rPr>
        <w:t>s apsaimniekotājiem, kā arī pastiprinātu digitālo infrastruktūru, lai nodrošinātu pamatpakalpojumu sniegšanu”. Tajā ir aplūkotas arī daļas 2019. gada konkrētām valstīm adresētajā ieteikumā Nr. 3 (“Ar investīcijām saistīta ekonomikas politika attiecībā uz i</w:t>
      </w:r>
      <w:r>
        <w:rPr>
          <w:rFonts w:ascii="Times New Roman" w:hAnsi="Times New Roman" w:cs="Times New Roman"/>
          <w:noProof/>
        </w:rPr>
        <w:t>nfrastruktūras kvalitāti, ņemot vērā reģionālās atšķirības. [...] un uzlabot valsts pārvaldes efektivitāti [...], paātrinot digitalizāciju un palielinot vietējo sabiedrisko pakalpojumu efektivitāti un kvalitāti”).</w:t>
      </w:r>
    </w:p>
    <w:p w14:paraId="5F6A38E6" w14:textId="4EEF0492" w:rsidR="00327FF1" w:rsidRDefault="00E406C7">
      <w:pPr>
        <w:pStyle w:val="P68B1DB1-Times1272"/>
        <w:rPr>
          <w:b/>
          <w:noProof/>
          <w:u w:val="single"/>
        </w:rPr>
      </w:pPr>
      <w:r>
        <w:rPr>
          <w:noProof/>
        </w:rPr>
        <w:t>Paredzams, ka neviens pasākums šajā kompon</w:t>
      </w:r>
      <w:r>
        <w:rPr>
          <w:noProof/>
        </w:rPr>
        <w:t>entā būtiski nekaitēs vides mērķiem Regulas (ES) 2020/852 17. panta nozīmē, ņemot vērā atveseļošanas un noturības plānā izklāstīto pasākumu aprakstu un mazināšanas pasākumus saskaņā ar DNSH tehniskajiem norādījumiem (2021/C58/01).</w:t>
      </w:r>
    </w:p>
    <w:p w14:paraId="0915BAEE" w14:textId="77777777" w:rsidR="00327FF1" w:rsidRDefault="00E406C7">
      <w:pPr>
        <w:pStyle w:val="P68B1DB1-Heading368"/>
        <w:ind w:left="850" w:hanging="850"/>
        <w:rPr>
          <w:noProof/>
        </w:rPr>
      </w:pPr>
      <w:r>
        <w:rPr>
          <w:noProof/>
        </w:rPr>
        <w:t xml:space="preserve">G.1. </w:t>
      </w:r>
      <w:r>
        <w:rPr>
          <w:noProof/>
        </w:rPr>
        <w:tab/>
        <w:t>Reformu un investīc</w:t>
      </w:r>
      <w:r>
        <w:rPr>
          <w:noProof/>
        </w:rPr>
        <w:t>iju apraksts neatmaksājamam finansiālajam atbalstam</w:t>
      </w:r>
    </w:p>
    <w:p w14:paraId="21B0FB1A" w14:textId="77777777" w:rsidR="00327FF1" w:rsidRDefault="00E406C7">
      <w:pPr>
        <w:pStyle w:val="P68B1DB1-Times1274"/>
        <w:rPr>
          <w:bCs/>
          <w:noProof/>
        </w:rPr>
      </w:pPr>
      <w:r>
        <w:rPr>
          <w:noProof/>
        </w:rPr>
        <w:t xml:space="preserve">Reforma. Procedūru vienkāršošana un paātrināšana pret hidroģeoloģisko nestabilitāti vērstu intervenču īstenošanai </w:t>
      </w:r>
    </w:p>
    <w:p w14:paraId="1D9DE898" w14:textId="77777777" w:rsidR="00327FF1" w:rsidRDefault="00E406C7">
      <w:pPr>
        <w:pStyle w:val="P68B1DB1-Times1272"/>
        <w:rPr>
          <w:noProof/>
        </w:rPr>
      </w:pPr>
      <w:r>
        <w:rPr>
          <w:noProof/>
        </w:rPr>
        <w:t>Šīs reformas mērķis ir pārvarēt Itālijas Revīzijas palātas uzsvērtos hidroģeoloģisko risk</w:t>
      </w:r>
      <w:r>
        <w:rPr>
          <w:noProof/>
        </w:rPr>
        <w:t>u pārvaldības trūkumus. Tas ietver procedūru vienkāršošanu un paātrināšanu projektu īstenošanai šajā jomā, tostarp nosakot maksimālos termiņus katram posmam; par prioritāti noteikt intervences pasākumus saskaņā ar valsts riska novērtējumu un Lēmuma Nr. 131</w:t>
      </w:r>
      <w:r>
        <w:rPr>
          <w:noProof/>
        </w:rPr>
        <w:t>3/2013/ES 6. pantu, kā arī riska pārvaldības spēju novērtējumu un principu “nenodarīt būtisku kaitējumu”; izstrādāt plānu par to struktūru administratīvās spējas palielināšanu, kuras ir atbildīgas par šo projektu īstenošanu, un pastiprināt koordināciju sta</w:t>
      </w:r>
      <w:r>
        <w:rPr>
          <w:noProof/>
        </w:rPr>
        <w:t>rp dažādiem iesaistītajiem pārvaldes līmeņiem, tostarp racionalizējot informācijas plūsmas.</w:t>
      </w:r>
    </w:p>
    <w:p w14:paraId="4DF0C205" w14:textId="77777777" w:rsidR="00327FF1" w:rsidRDefault="00E406C7">
      <w:pPr>
        <w:pStyle w:val="P68B1DB1-Times1274"/>
        <w:rPr>
          <w:bCs/>
          <w:noProof/>
        </w:rPr>
      </w:pPr>
      <w:r>
        <w:rPr>
          <w:noProof/>
        </w:rPr>
        <w:t xml:space="preserve">Reforma — tiesiskā regulējuma reforma labākai ūdens resursu apsaimniekošanai un ilgtspējīgai izmantošanai </w:t>
      </w:r>
    </w:p>
    <w:p w14:paraId="28501980" w14:textId="77777777" w:rsidR="00327FF1" w:rsidRDefault="00E406C7">
      <w:pPr>
        <w:pStyle w:val="P68B1DB1-Times1275"/>
        <w:rPr>
          <w:noProof/>
          <w:sz w:val="22"/>
          <w:szCs w:val="22"/>
        </w:rPr>
      </w:pPr>
      <w:r>
        <w:rPr>
          <w:noProof/>
          <w:sz w:val="22"/>
          <w:szCs w:val="22"/>
        </w:rPr>
        <w:t>Šīs reformas mērķis ir risināt ilgstošās problēmas ūdensa</w:t>
      </w:r>
      <w:r>
        <w:rPr>
          <w:noProof/>
          <w:sz w:val="22"/>
          <w:szCs w:val="22"/>
        </w:rPr>
        <w:t>pgādes nozarē Itālijā, kas atspoguļotas daudzās notiekošās pārkāpuma procedūrās par neatbilstību Padomes Direktīvai 91/271/EEK, kas izpaužas kā pārmērīga nozares sadrumstalotība un pienācīgu stimulu un cenu politikas trūkums. Paredzams, ka paredzētie pasāk</w:t>
      </w:r>
      <w:r>
        <w:rPr>
          <w:noProof/>
          <w:sz w:val="22"/>
          <w:szCs w:val="22"/>
        </w:rPr>
        <w:t>umi</w:t>
      </w:r>
      <w:r>
        <w:rPr>
          <w:noProof/>
        </w:rPr>
        <w:t xml:space="preserve"> </w:t>
      </w:r>
      <w:r>
        <w:rPr>
          <w:noProof/>
          <w:sz w:val="22"/>
          <w:szCs w:val="22"/>
        </w:rPr>
        <w:t>ievērojami samazinās nozares sadrumstalotību, samazinot operatoru skaitu un veicinot apjomradītus ietaupījumus, radot stimulus samazināt ūdens noplūdes un pārmērīgu ūdens patēriņu lauksaimniecības nozarē un izveidojot atbilstošu cenu politiku ilgtspējī</w:t>
      </w:r>
      <w:r>
        <w:rPr>
          <w:noProof/>
          <w:sz w:val="22"/>
          <w:szCs w:val="22"/>
        </w:rPr>
        <w:t xml:space="preserve">gākam ūdens patēriņam. </w:t>
      </w:r>
    </w:p>
    <w:p w14:paraId="23EF1B9E" w14:textId="3BB35227" w:rsidR="00327FF1" w:rsidRDefault="00E406C7">
      <w:pPr>
        <w:pStyle w:val="P68B1DB1-Times1272"/>
        <w:rPr>
          <w:noProof/>
        </w:rPr>
      </w:pPr>
      <w:r>
        <w:rPr>
          <w:noProof/>
        </w:rPr>
        <w:t>Saprašanās memorandus (SM) paraksta ar Kampānijas, Kalabrijas, Molīzes un Sicīlijas reģioniem, lai samazinātu ūdensapgādes pakalpojumu sniedzēju skaita sadrumstalotību. Saprašanās memorandā nosaka mērķus attiecībā uz pašvaldību iest</w:t>
      </w:r>
      <w:r>
        <w:rPr>
          <w:noProof/>
        </w:rPr>
        <w:t xml:space="preserve">āžu noteikšanu, operatoru skaita samazināšanu un apjomradītu ietaupījumu panākšanu, lai divu gadu laikā pēc minētā saprašanās memoranda parakstīšanas noteiktu vienu operatoru vismaz uz katriem 40000 iedzīvotājiem.  </w:t>
      </w:r>
    </w:p>
    <w:p w14:paraId="27034741" w14:textId="77777777" w:rsidR="00327FF1" w:rsidRDefault="00E406C7">
      <w:pPr>
        <w:pStyle w:val="P68B1DB1-Times1274"/>
        <w:rPr>
          <w:bCs/>
          <w:noProof/>
        </w:rPr>
      </w:pPr>
      <w:r>
        <w:rPr>
          <w:noProof/>
        </w:rPr>
        <w:t>Reforma Nr. 4.2. “Pasākumi, lai nodrošin</w:t>
      </w:r>
      <w:r>
        <w:rPr>
          <w:noProof/>
        </w:rPr>
        <w:t>ātu pilnīgu integrēto ūdensapgādes pakalpojumu pārvaldības spēju”</w:t>
      </w:r>
    </w:p>
    <w:p w14:paraId="43D14DB2" w14:textId="77777777" w:rsidR="00327FF1" w:rsidRDefault="00E406C7">
      <w:pPr>
        <w:pStyle w:val="P68B1DB1-Times1272"/>
        <w:rPr>
          <w:bCs/>
          <w:noProof/>
        </w:rPr>
      </w:pPr>
      <w:r>
        <w:rPr>
          <w:noProof/>
        </w:rPr>
        <w:t xml:space="preserve">Šīs reformas mērķis ir risināt galvenās problēmas ūdens resursu apsaimniekošanā un padarīt sistēmu efektīvāku. </w:t>
      </w:r>
    </w:p>
    <w:p w14:paraId="1145EA3E" w14:textId="085CD28E" w:rsidR="00327FF1" w:rsidRDefault="00E406C7">
      <w:pPr>
        <w:pStyle w:val="P68B1DB1-Times1272"/>
        <w:rPr>
          <w:b/>
          <w:noProof/>
        </w:rPr>
      </w:pPr>
      <w:r>
        <w:rPr>
          <w:noProof/>
        </w:rPr>
        <w:t>Paredzams, ka sistēma samazinās pašreizējo operatoru skaita sadrumstalotību, k</w:t>
      </w:r>
      <w:r>
        <w:rPr>
          <w:noProof/>
        </w:rPr>
        <w:t>as pašlaik dažās valsts daļās kavē ūdens resursu efektīvu izmantošanu. Paredzams, ka reforma arī noteiks pareizos stimulus labākai ūdens resursu izmantošanai lauksaimniecības nozarē, ieviesīs sankciju sistēmu par nelikumīgu ūdens ieguvi un ieviesīs cenu si</w:t>
      </w:r>
      <w:r>
        <w:rPr>
          <w:noProof/>
        </w:rPr>
        <w:t>stēmu, kas labāk atspoguļo un vairāk atbilst principam “piesārņotājs maksā”, vienlaikus izvairoties no esošo apūdeņošanas sistēmu paplašināšanas. Pasākumus pieņem sadarbībā ar reģioniem, kuros ūdens resursu apsaimniekošana pašlaik ir problemātiskāka.</w:t>
      </w:r>
    </w:p>
    <w:p w14:paraId="4237FFB3" w14:textId="77777777" w:rsidR="00327FF1" w:rsidRDefault="00E406C7">
      <w:pPr>
        <w:pStyle w:val="P68B1DB1-Times1274"/>
        <w:rPr>
          <w:bCs/>
          <w:noProof/>
        </w:rPr>
      </w:pPr>
      <w:r>
        <w:rPr>
          <w:noProof/>
        </w:rPr>
        <w:t>Inves</w:t>
      </w:r>
      <w:r>
        <w:rPr>
          <w:noProof/>
        </w:rPr>
        <w:t>tīcija 3.2. — Nacionālo parku un aizsargājamo jūras teritoriju digitalizācija</w:t>
      </w:r>
    </w:p>
    <w:p w14:paraId="17B46CDF" w14:textId="70B437EA" w:rsidR="00327FF1" w:rsidRDefault="00E406C7">
      <w:pPr>
        <w:pStyle w:val="P68B1DB1-Times1272"/>
        <w:rPr>
          <w:noProof/>
        </w:rPr>
      </w:pPr>
      <w:r>
        <w:rPr>
          <w:noProof/>
        </w:rPr>
        <w:t>Pasākuma mērķis ir modernizēt un digitalizēt procedūras, kas saistītas ar nacionālo parku un aizsargājamo jūras teritoriju darbību. Pasākums ietver digitālus pakalpojumus a</w:t>
      </w:r>
      <w:r>
        <w:rPr>
          <w:noProof/>
        </w:rPr>
        <w:t>pmeklētājiem un iejaukšanos dabas aizsardzībā un dabas resursu uzraudzībā.</w:t>
      </w:r>
    </w:p>
    <w:p w14:paraId="54FA06DB" w14:textId="77777777" w:rsidR="00327FF1" w:rsidRDefault="00E406C7">
      <w:pPr>
        <w:pStyle w:val="P68B1DB1-Times1274"/>
        <w:rPr>
          <w:bCs/>
          <w:noProof/>
        </w:rPr>
      </w:pPr>
      <w:r>
        <w:rPr>
          <w:noProof/>
        </w:rPr>
        <w:t>Investīciju 4.2: Zudumu samazināšana ūdens sadales tīklos, tostarp tīklu digitalizācija un monitorings</w:t>
      </w:r>
    </w:p>
    <w:p w14:paraId="16E5E683" w14:textId="69636BAC" w:rsidR="00327FF1" w:rsidRDefault="00E406C7">
      <w:pPr>
        <w:pStyle w:val="P68B1DB1-Normal7"/>
        <w:spacing w:before="120" w:after="120"/>
        <w:jc w:val="both"/>
        <w:rPr>
          <w:noProof/>
        </w:rPr>
      </w:pPr>
      <w:r>
        <w:rPr>
          <w:noProof/>
        </w:rPr>
        <w:t>Šā ieguldījuma mērķis ir samazināt dzeramā ūdens zudumus. Pasākums ietver ūden</w:t>
      </w:r>
      <w:r>
        <w:rPr>
          <w:noProof/>
        </w:rPr>
        <w:t>s sadales tīklu modernizāciju un modernizēšanu, izmantojot progresīvas kontroles sistēmas, kas ļauj uzraudzīt tīkla galvenos mezglus un visjutīgākos punktus (ūdens nodalīšana).</w:t>
      </w:r>
    </w:p>
    <w:p w14:paraId="79595230" w14:textId="77777777" w:rsidR="00327FF1" w:rsidRDefault="00327FF1">
      <w:pPr>
        <w:pStyle w:val="Times12"/>
        <w:rPr>
          <w:rFonts w:ascii="Times New Roman" w:hAnsi="Times New Roman" w:cs="Times New Roman"/>
          <w:noProof/>
        </w:rPr>
        <w:sectPr w:rsidR="00327FF1" w:rsidSect="005F11B9">
          <w:headerReference w:type="default" r:id="rId120"/>
          <w:footerReference w:type="default" r:id="rId121"/>
          <w:pgSz w:w="11906" w:h="16838"/>
          <w:pgMar w:top="1440" w:right="1440" w:bottom="1440" w:left="1440" w:header="708" w:footer="708" w:gutter="0"/>
          <w:cols w:space="708"/>
          <w:docGrid w:linePitch="360"/>
        </w:sectPr>
      </w:pPr>
    </w:p>
    <w:p w14:paraId="72B2E54F" w14:textId="77777777" w:rsidR="00327FF1" w:rsidRDefault="00E406C7">
      <w:pPr>
        <w:pStyle w:val="P68B1DB1-Heading39"/>
        <w:ind w:left="850" w:hanging="850"/>
        <w:rPr>
          <w:b/>
          <w:bCs/>
          <w:i/>
          <w:iCs/>
          <w:noProof/>
          <w:u w:val="single"/>
        </w:rPr>
      </w:pPr>
      <w:r>
        <w:rPr>
          <w:b/>
          <w:noProof/>
          <w:u w:val="single"/>
        </w:rPr>
        <w:t xml:space="preserve">G.2. </w:t>
      </w:r>
      <w:r>
        <w:rPr>
          <w:noProof/>
        </w:rPr>
        <w:t xml:space="preserve"> </w:t>
      </w:r>
      <w:r>
        <w:rPr>
          <w:b/>
          <w:noProof/>
          <w:u w:val="single"/>
        </w:rPr>
        <w:t xml:space="preserve">Starpposma mērķi, </w:t>
      </w:r>
      <w:r>
        <w:rPr>
          <w:b/>
          <w:noProof/>
          <w:u w:val="single"/>
        </w:rPr>
        <w:t>mērķrādītāji, rādītāji un neatmaksājama finansiālā atbalsta uzraudzības un īstenošanas grafiks</w:t>
      </w:r>
    </w:p>
    <w:tbl>
      <w:tblPr>
        <w:tblW w:w="14560" w:type="dxa"/>
        <w:jc w:val="center"/>
        <w:tblLook w:val="04A0" w:firstRow="1" w:lastRow="0" w:firstColumn="1" w:lastColumn="0" w:noHBand="0" w:noVBand="1"/>
      </w:tblPr>
      <w:tblGrid>
        <w:gridCol w:w="1231"/>
        <w:gridCol w:w="1364"/>
        <w:gridCol w:w="1615"/>
        <w:gridCol w:w="1395"/>
        <w:gridCol w:w="1291"/>
        <w:gridCol w:w="1288"/>
        <w:gridCol w:w="1297"/>
        <w:gridCol w:w="1100"/>
        <w:gridCol w:w="936"/>
        <w:gridCol w:w="735"/>
        <w:gridCol w:w="2534"/>
      </w:tblGrid>
      <w:tr w:rsidR="00327FF1" w14:paraId="17CF8AB2" w14:textId="77777777">
        <w:trPr>
          <w:trHeight w:val="927"/>
          <w:tblHeader/>
          <w:jc w:val="center"/>
        </w:trPr>
        <w:tc>
          <w:tcPr>
            <w:tcW w:w="1347"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5413FADD" w14:textId="4617DBD5" w:rsidR="00327FF1" w:rsidRDefault="00E406C7">
            <w:pPr>
              <w:pStyle w:val="P68B1DB1-Normal10"/>
              <w:jc w:val="center"/>
              <w:rPr>
                <w:noProof/>
                <w:szCs w:val="20"/>
              </w:rPr>
            </w:pPr>
            <w:r>
              <w:rPr>
                <w:noProof/>
              </w:rPr>
              <w:t>Kārtas numurs</w:t>
            </w:r>
          </w:p>
        </w:tc>
        <w:tc>
          <w:tcPr>
            <w:tcW w:w="1495"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1D8BD12B" w14:textId="77777777" w:rsidR="00327FF1" w:rsidRDefault="00E406C7">
            <w:pPr>
              <w:pStyle w:val="P68B1DB1-Normal10"/>
              <w:jc w:val="center"/>
              <w:rPr>
                <w:noProof/>
                <w:szCs w:val="20"/>
              </w:rPr>
            </w:pPr>
            <w:r>
              <w:rPr>
                <w:noProof/>
              </w:rPr>
              <w:t>Saistītais pasākums (reforma vai ieguldījums)</w:t>
            </w:r>
          </w:p>
        </w:tc>
        <w:tc>
          <w:tcPr>
            <w:tcW w:w="1266"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17E43325" w14:textId="77777777" w:rsidR="00327FF1" w:rsidRDefault="00E406C7">
            <w:pPr>
              <w:pStyle w:val="P68B1DB1-Normal10"/>
              <w:jc w:val="center"/>
              <w:rPr>
                <w:noProof/>
                <w:szCs w:val="20"/>
              </w:rPr>
            </w:pPr>
            <w:r>
              <w:rPr>
                <w:noProof/>
              </w:rPr>
              <w:t>Atskaites punkts/mērķrādītājs</w:t>
            </w:r>
          </w:p>
        </w:tc>
        <w:tc>
          <w:tcPr>
            <w:tcW w:w="1460" w:type="dxa"/>
            <w:vMerge w:val="restart"/>
            <w:tcBorders>
              <w:top w:val="single" w:sz="4" w:space="0" w:color="auto"/>
              <w:left w:val="nil"/>
              <w:bottom w:val="single" w:sz="4" w:space="0" w:color="auto"/>
              <w:right w:val="single" w:sz="4" w:space="0" w:color="auto"/>
            </w:tcBorders>
            <w:shd w:val="clear" w:color="auto" w:fill="BDD7EE"/>
            <w:vAlign w:val="center"/>
            <w:hideMark/>
          </w:tcPr>
          <w:p w14:paraId="288AC1B9" w14:textId="77777777" w:rsidR="00327FF1" w:rsidRDefault="00E406C7">
            <w:pPr>
              <w:pStyle w:val="P68B1DB1-Normal10"/>
              <w:jc w:val="center"/>
              <w:rPr>
                <w:noProof/>
                <w:szCs w:val="20"/>
              </w:rPr>
            </w:pPr>
            <w:r>
              <w:rPr>
                <w:noProof/>
              </w:rPr>
              <w:t>Nosaukums</w:t>
            </w:r>
          </w:p>
        </w:tc>
        <w:tc>
          <w:tcPr>
            <w:tcW w:w="1414"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6E36A148" w14:textId="1CA9EB70"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t xml:space="preserve"> </w:t>
            </w:r>
            <w:r>
              <w:rPr>
                <w:noProof/>
              </w:rPr>
              <w:br/>
            </w:r>
            <w:r>
              <w:rPr>
                <w:rFonts w:ascii="Arial Narrow" w:hAnsi="Arial Narrow"/>
                <w:b/>
                <w:noProof/>
                <w:sz w:val="20"/>
              </w:rPr>
              <w:t>(attiecībā uz starpposma mērķiem)</w:t>
            </w:r>
          </w:p>
        </w:tc>
        <w:tc>
          <w:tcPr>
            <w:tcW w:w="3176" w:type="dxa"/>
            <w:gridSpan w:val="3"/>
            <w:tcBorders>
              <w:top w:val="single" w:sz="4" w:space="0" w:color="auto"/>
              <w:left w:val="nil"/>
              <w:bottom w:val="single" w:sz="4" w:space="0" w:color="auto"/>
              <w:right w:val="single" w:sz="4" w:space="0" w:color="auto"/>
            </w:tcBorders>
            <w:shd w:val="clear" w:color="auto" w:fill="BDD7EE"/>
            <w:vAlign w:val="center"/>
            <w:hideMark/>
          </w:tcPr>
          <w:p w14:paraId="40D64782" w14:textId="00AA22C6" w:rsidR="00327FF1" w:rsidRDefault="00E406C7">
            <w:pPr>
              <w:jc w:val="center"/>
              <w:rPr>
                <w:rFonts w:ascii="Arial Narrow" w:hAnsi="Arial Narrow"/>
                <w:b/>
                <w:noProof/>
                <w:sz w:val="20"/>
                <w:szCs w:val="20"/>
              </w:rPr>
            </w:pPr>
            <w:r>
              <w:rPr>
                <w:rFonts w:ascii="Arial Narrow" w:hAnsi="Arial Narrow"/>
                <w:b/>
                <w:noProof/>
                <w:sz w:val="20"/>
              </w:rPr>
              <w:t>Kvanti</w:t>
            </w:r>
            <w:r>
              <w:rPr>
                <w:rFonts w:ascii="Arial Narrow" w:hAnsi="Arial Narrow"/>
                <w:b/>
                <w:noProof/>
                <w:sz w:val="20"/>
              </w:rPr>
              <w:t>tatīvie rādītāji</w:t>
            </w:r>
            <w:r>
              <w:rPr>
                <w:noProof/>
              </w:rPr>
              <w:t xml:space="preserve"> </w:t>
            </w:r>
            <w:r>
              <w:rPr>
                <w:noProof/>
              </w:rPr>
              <w:br/>
            </w:r>
            <w:r>
              <w:rPr>
                <w:rFonts w:ascii="Arial Narrow" w:hAnsi="Arial Narrow"/>
                <w:b/>
                <w:noProof/>
                <w:sz w:val="20"/>
              </w:rPr>
              <w:t>(mērķiem)</w:t>
            </w:r>
          </w:p>
        </w:tc>
        <w:tc>
          <w:tcPr>
            <w:tcW w:w="1603" w:type="dxa"/>
            <w:gridSpan w:val="2"/>
            <w:tcBorders>
              <w:top w:val="single" w:sz="4" w:space="0" w:color="auto"/>
              <w:left w:val="nil"/>
              <w:bottom w:val="single" w:sz="4" w:space="0" w:color="auto"/>
              <w:right w:val="single" w:sz="4" w:space="0" w:color="auto"/>
            </w:tcBorders>
            <w:shd w:val="clear" w:color="auto" w:fill="BDD7EE"/>
            <w:vAlign w:val="center"/>
            <w:hideMark/>
          </w:tcPr>
          <w:p w14:paraId="778225E8" w14:textId="77777777" w:rsidR="00327FF1" w:rsidRDefault="00E406C7">
            <w:pPr>
              <w:pStyle w:val="P68B1DB1-Normal10"/>
              <w:jc w:val="center"/>
              <w:rPr>
                <w:noProof/>
                <w:szCs w:val="20"/>
              </w:rPr>
            </w:pPr>
            <w:r>
              <w:rPr>
                <w:noProof/>
              </w:rPr>
              <w:t>Orientējošs pabeigšanas termiņš</w:t>
            </w:r>
          </w:p>
        </w:tc>
        <w:tc>
          <w:tcPr>
            <w:tcW w:w="2799"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56F533C2" w14:textId="77777777" w:rsidR="00327FF1" w:rsidRDefault="00E406C7">
            <w:pPr>
              <w:pStyle w:val="P68B1DB1-Normal10"/>
              <w:jc w:val="center"/>
              <w:rPr>
                <w:noProof/>
                <w:szCs w:val="20"/>
              </w:rPr>
            </w:pPr>
            <w:r>
              <w:rPr>
                <w:noProof/>
              </w:rPr>
              <w:t>Apraksts par katru atskaites punktu un mērķrādītāju</w:t>
            </w:r>
          </w:p>
        </w:tc>
      </w:tr>
      <w:tr w:rsidR="00327FF1" w14:paraId="3EDF3579" w14:textId="77777777">
        <w:trPr>
          <w:trHeight w:val="1013"/>
          <w:tblHeader/>
          <w:jc w:val="center"/>
        </w:trPr>
        <w:tc>
          <w:tcPr>
            <w:tcW w:w="1347" w:type="dxa"/>
            <w:vMerge/>
            <w:tcBorders>
              <w:top w:val="single" w:sz="4" w:space="0" w:color="auto"/>
              <w:left w:val="single" w:sz="4" w:space="0" w:color="auto"/>
              <w:bottom w:val="single" w:sz="4" w:space="0" w:color="auto"/>
              <w:right w:val="single" w:sz="4" w:space="0" w:color="auto"/>
            </w:tcBorders>
            <w:vAlign w:val="center"/>
            <w:hideMark/>
          </w:tcPr>
          <w:p w14:paraId="100893C0" w14:textId="77777777" w:rsidR="00327FF1" w:rsidRDefault="00327FF1">
            <w:pPr>
              <w:jc w:val="center"/>
              <w:rPr>
                <w:rFonts w:ascii="Arial Narrow" w:hAnsi="Arial Narrow"/>
                <w:b/>
                <w:bCs/>
                <w:noProof/>
                <w:sz w:val="20"/>
                <w:szCs w:val="20"/>
              </w:rPr>
            </w:pPr>
          </w:p>
        </w:tc>
        <w:tc>
          <w:tcPr>
            <w:tcW w:w="1495" w:type="dxa"/>
            <w:vMerge/>
            <w:tcBorders>
              <w:left w:val="single" w:sz="4" w:space="0" w:color="auto"/>
              <w:right w:val="single" w:sz="4" w:space="0" w:color="auto"/>
            </w:tcBorders>
            <w:vAlign w:val="center"/>
            <w:hideMark/>
          </w:tcPr>
          <w:p w14:paraId="3418F25C" w14:textId="77777777" w:rsidR="00327FF1" w:rsidRDefault="00327FF1">
            <w:pPr>
              <w:jc w:val="center"/>
              <w:rPr>
                <w:rFonts w:ascii="Arial Narrow" w:hAnsi="Arial Narrow"/>
                <w:b/>
                <w:bCs/>
                <w:noProof/>
                <w:sz w:val="20"/>
                <w:szCs w:val="20"/>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14:paraId="3C168372" w14:textId="77777777" w:rsidR="00327FF1" w:rsidRDefault="00327FF1">
            <w:pPr>
              <w:jc w:val="center"/>
              <w:rPr>
                <w:rFonts w:ascii="Arial Narrow" w:hAnsi="Arial Narrow"/>
                <w:b/>
                <w:bCs/>
                <w:noProof/>
                <w:sz w:val="20"/>
                <w:szCs w:val="20"/>
              </w:rPr>
            </w:pPr>
          </w:p>
        </w:tc>
        <w:tc>
          <w:tcPr>
            <w:tcW w:w="1460" w:type="dxa"/>
            <w:vMerge/>
            <w:tcBorders>
              <w:left w:val="single" w:sz="4" w:space="0" w:color="auto"/>
              <w:right w:val="single" w:sz="4" w:space="0" w:color="auto"/>
            </w:tcBorders>
            <w:vAlign w:val="center"/>
            <w:hideMark/>
          </w:tcPr>
          <w:p w14:paraId="46BD85F4" w14:textId="77777777" w:rsidR="00327FF1" w:rsidRDefault="00327FF1">
            <w:pPr>
              <w:jc w:val="center"/>
              <w:rPr>
                <w:rFonts w:ascii="Arial Narrow" w:hAnsi="Arial Narrow"/>
                <w:b/>
                <w:bCs/>
                <w:noProof/>
                <w:sz w:val="20"/>
                <w:szCs w:val="20"/>
              </w:rPr>
            </w:pPr>
          </w:p>
        </w:tc>
        <w:tc>
          <w:tcPr>
            <w:tcW w:w="1414" w:type="dxa"/>
            <w:vMerge/>
            <w:tcBorders>
              <w:top w:val="single" w:sz="4" w:space="0" w:color="auto"/>
              <w:left w:val="single" w:sz="4" w:space="0" w:color="auto"/>
              <w:bottom w:val="single" w:sz="4" w:space="0" w:color="auto"/>
            </w:tcBorders>
            <w:vAlign w:val="center"/>
            <w:hideMark/>
          </w:tcPr>
          <w:p w14:paraId="6FC8BDCD" w14:textId="77777777" w:rsidR="00327FF1" w:rsidRDefault="00327FF1">
            <w:pPr>
              <w:jc w:val="center"/>
              <w:rPr>
                <w:rFonts w:ascii="Arial Narrow" w:hAnsi="Arial Narrow"/>
                <w:b/>
                <w:bCs/>
                <w:noProof/>
                <w:sz w:val="20"/>
                <w:szCs w:val="20"/>
              </w:rPr>
            </w:pPr>
          </w:p>
        </w:tc>
        <w:tc>
          <w:tcPr>
            <w:tcW w:w="1410" w:type="dxa"/>
            <w:tcBorders>
              <w:top w:val="nil"/>
              <w:left w:val="single" w:sz="4" w:space="0" w:color="auto"/>
              <w:bottom w:val="single" w:sz="4" w:space="0" w:color="auto"/>
              <w:right w:val="single" w:sz="4" w:space="0" w:color="auto"/>
            </w:tcBorders>
            <w:shd w:val="clear" w:color="auto" w:fill="BDD7EE"/>
            <w:vAlign w:val="center"/>
            <w:hideMark/>
          </w:tcPr>
          <w:p w14:paraId="03264B5A" w14:textId="77777777" w:rsidR="00327FF1" w:rsidRDefault="00E406C7">
            <w:pPr>
              <w:pStyle w:val="P68B1DB1-Normal10"/>
              <w:jc w:val="center"/>
              <w:rPr>
                <w:noProof/>
                <w:szCs w:val="20"/>
              </w:rPr>
            </w:pPr>
            <w:r>
              <w:rPr>
                <w:noProof/>
              </w:rPr>
              <w:t>Mēra vienība</w:t>
            </w:r>
          </w:p>
        </w:tc>
        <w:tc>
          <w:tcPr>
            <w:tcW w:w="1047" w:type="dxa"/>
            <w:tcBorders>
              <w:top w:val="nil"/>
              <w:left w:val="nil"/>
              <w:bottom w:val="single" w:sz="4" w:space="0" w:color="auto"/>
              <w:right w:val="single" w:sz="4" w:space="0" w:color="auto"/>
            </w:tcBorders>
            <w:shd w:val="clear" w:color="auto" w:fill="BDD7EE"/>
            <w:vAlign w:val="center"/>
            <w:hideMark/>
          </w:tcPr>
          <w:p w14:paraId="6F256222" w14:textId="77777777" w:rsidR="00327FF1" w:rsidRDefault="00E406C7">
            <w:pPr>
              <w:pStyle w:val="P68B1DB1-Normal10"/>
              <w:jc w:val="center"/>
              <w:rPr>
                <w:noProof/>
                <w:szCs w:val="20"/>
              </w:rPr>
            </w:pPr>
            <w:r>
              <w:rPr>
                <w:noProof/>
              </w:rPr>
              <w:t>Pamatscenārijs</w:t>
            </w:r>
          </w:p>
        </w:tc>
        <w:tc>
          <w:tcPr>
            <w:tcW w:w="719" w:type="dxa"/>
            <w:tcBorders>
              <w:top w:val="nil"/>
              <w:left w:val="nil"/>
              <w:bottom w:val="single" w:sz="4" w:space="0" w:color="auto"/>
              <w:right w:val="single" w:sz="4" w:space="0" w:color="auto"/>
            </w:tcBorders>
            <w:shd w:val="clear" w:color="auto" w:fill="BDD7EE"/>
            <w:vAlign w:val="center"/>
            <w:hideMark/>
          </w:tcPr>
          <w:p w14:paraId="0832932A" w14:textId="77777777" w:rsidR="00327FF1" w:rsidRDefault="00E406C7">
            <w:pPr>
              <w:pStyle w:val="P68B1DB1-Normal10"/>
              <w:jc w:val="center"/>
              <w:rPr>
                <w:noProof/>
                <w:szCs w:val="20"/>
              </w:rPr>
            </w:pPr>
            <w:r>
              <w:rPr>
                <w:noProof/>
              </w:rPr>
              <w:t>Mērķis</w:t>
            </w:r>
          </w:p>
        </w:tc>
        <w:tc>
          <w:tcPr>
            <w:tcW w:w="809" w:type="dxa"/>
            <w:tcBorders>
              <w:top w:val="nil"/>
              <w:left w:val="nil"/>
              <w:bottom w:val="single" w:sz="4" w:space="0" w:color="auto"/>
              <w:right w:val="single" w:sz="4" w:space="0" w:color="auto"/>
            </w:tcBorders>
            <w:shd w:val="clear" w:color="auto" w:fill="BDD7EE"/>
            <w:vAlign w:val="center"/>
            <w:hideMark/>
          </w:tcPr>
          <w:p w14:paraId="17447087" w14:textId="77777777" w:rsidR="00327FF1" w:rsidRDefault="00E406C7">
            <w:pPr>
              <w:pStyle w:val="P68B1DB1-Normal10"/>
              <w:jc w:val="center"/>
              <w:rPr>
                <w:noProof/>
                <w:szCs w:val="20"/>
              </w:rPr>
            </w:pPr>
            <w:r>
              <w:rPr>
                <w:noProof/>
              </w:rPr>
              <w:t>Ceturkšņa laikā</w:t>
            </w:r>
          </w:p>
        </w:tc>
        <w:tc>
          <w:tcPr>
            <w:tcW w:w="794" w:type="dxa"/>
            <w:tcBorders>
              <w:top w:val="nil"/>
              <w:left w:val="nil"/>
              <w:bottom w:val="single" w:sz="4" w:space="0" w:color="auto"/>
              <w:right w:val="single" w:sz="4" w:space="0" w:color="auto"/>
            </w:tcBorders>
            <w:shd w:val="clear" w:color="auto" w:fill="BDD7EE"/>
            <w:vAlign w:val="center"/>
            <w:hideMark/>
          </w:tcPr>
          <w:p w14:paraId="379D9C59" w14:textId="77777777" w:rsidR="00327FF1" w:rsidRDefault="00E406C7">
            <w:pPr>
              <w:pStyle w:val="P68B1DB1-Normal10"/>
              <w:jc w:val="center"/>
              <w:rPr>
                <w:noProof/>
                <w:szCs w:val="20"/>
              </w:rPr>
            </w:pPr>
            <w:r>
              <w:rPr>
                <w:noProof/>
              </w:rPr>
              <w:t>Gadu</w:t>
            </w:r>
          </w:p>
        </w:tc>
        <w:tc>
          <w:tcPr>
            <w:tcW w:w="2799" w:type="dxa"/>
            <w:vMerge/>
            <w:tcBorders>
              <w:top w:val="single" w:sz="4" w:space="0" w:color="auto"/>
              <w:bottom w:val="single" w:sz="4" w:space="0" w:color="auto"/>
              <w:right w:val="single" w:sz="4" w:space="0" w:color="auto"/>
            </w:tcBorders>
            <w:vAlign w:val="center"/>
            <w:hideMark/>
          </w:tcPr>
          <w:p w14:paraId="3483C9BD" w14:textId="77777777" w:rsidR="00327FF1" w:rsidRDefault="00327FF1">
            <w:pPr>
              <w:rPr>
                <w:rFonts w:ascii="Arial Narrow" w:hAnsi="Arial Narrow"/>
                <w:b/>
                <w:bCs/>
                <w:noProof/>
                <w:sz w:val="20"/>
                <w:szCs w:val="20"/>
              </w:rPr>
            </w:pPr>
          </w:p>
        </w:tc>
      </w:tr>
      <w:tr w:rsidR="00327FF1" w14:paraId="6279EAA0" w14:textId="77777777">
        <w:trPr>
          <w:trHeight w:val="170"/>
          <w:jc w:val="center"/>
        </w:trPr>
        <w:tc>
          <w:tcPr>
            <w:tcW w:w="134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4132652" w14:textId="77777777" w:rsidR="00327FF1" w:rsidRDefault="00E406C7">
            <w:pPr>
              <w:pStyle w:val="P68B1DB1-Normal11"/>
              <w:spacing w:line="276" w:lineRule="auto"/>
              <w:jc w:val="center"/>
              <w:rPr>
                <w:noProof/>
                <w:szCs w:val="20"/>
              </w:rPr>
            </w:pPr>
            <w:r>
              <w:rPr>
                <w:noProof/>
              </w:rPr>
              <w:t>M2C4–1</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3DB1D694" w14:textId="77777777" w:rsidR="00327FF1" w:rsidRDefault="00E406C7">
            <w:pPr>
              <w:pStyle w:val="P68B1DB1-Normal11"/>
              <w:spacing w:line="276" w:lineRule="auto"/>
              <w:jc w:val="center"/>
              <w:rPr>
                <w:noProof/>
                <w:szCs w:val="20"/>
              </w:rPr>
            </w:pPr>
            <w:r>
              <w:rPr>
                <w:noProof/>
              </w:rPr>
              <w:t>Reforma 2.1. Hidroģeoloģiskās nestabilitātes novēršanas pasākumu īstenošanas procedūru vienkāršošana un paātrināšana</w:t>
            </w:r>
          </w:p>
        </w:tc>
        <w:tc>
          <w:tcPr>
            <w:tcW w:w="1266" w:type="dxa"/>
            <w:tcBorders>
              <w:top w:val="single" w:sz="4" w:space="0" w:color="auto"/>
              <w:left w:val="nil"/>
              <w:bottom w:val="single" w:sz="4" w:space="0" w:color="auto"/>
              <w:right w:val="single" w:sz="4" w:space="0" w:color="auto"/>
            </w:tcBorders>
            <w:shd w:val="clear" w:color="auto" w:fill="C6EFCE"/>
            <w:noWrap/>
            <w:vAlign w:val="center"/>
            <w:hideMark/>
          </w:tcPr>
          <w:p w14:paraId="6A81CDD8" w14:textId="77777777" w:rsidR="00327FF1" w:rsidRDefault="00E406C7">
            <w:pPr>
              <w:pStyle w:val="P68B1DB1-Normal11"/>
              <w:spacing w:line="276" w:lineRule="auto"/>
              <w:jc w:val="center"/>
              <w:rPr>
                <w:noProof/>
                <w:szCs w:val="20"/>
              </w:rPr>
            </w:pPr>
            <w:r>
              <w:rPr>
                <w:noProof/>
              </w:rPr>
              <w:t>Atskaites punkts</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10C2CEC2" w14:textId="77777777" w:rsidR="00327FF1" w:rsidRDefault="00E406C7">
            <w:pPr>
              <w:pStyle w:val="P68B1DB1-Normal11"/>
              <w:spacing w:line="276" w:lineRule="auto"/>
              <w:jc w:val="center"/>
              <w:rPr>
                <w:noProof/>
                <w:szCs w:val="20"/>
              </w:rPr>
            </w:pPr>
            <w:r>
              <w:rPr>
                <w:noProof/>
              </w:rPr>
              <w:t>Tiesiskā regulējuma vienkāršošanas stāšanās spēkā labākai hidroloģisko risku pārvaldī</w:t>
            </w:r>
            <w:r>
              <w:rPr>
                <w:noProof/>
              </w:rPr>
              <w:t>bai</w:t>
            </w:r>
          </w:p>
        </w:tc>
        <w:tc>
          <w:tcPr>
            <w:tcW w:w="1414" w:type="dxa"/>
            <w:tcBorders>
              <w:top w:val="single" w:sz="4" w:space="0" w:color="auto"/>
              <w:left w:val="nil"/>
              <w:bottom w:val="single" w:sz="4" w:space="0" w:color="auto"/>
              <w:right w:val="single" w:sz="4" w:space="0" w:color="auto"/>
            </w:tcBorders>
            <w:shd w:val="clear" w:color="auto" w:fill="C6EFCE"/>
            <w:noWrap/>
            <w:vAlign w:val="center"/>
            <w:hideMark/>
          </w:tcPr>
          <w:p w14:paraId="1C82A28C" w14:textId="77777777" w:rsidR="00327FF1" w:rsidRDefault="00E406C7">
            <w:pPr>
              <w:pStyle w:val="P68B1DB1-Normal11"/>
              <w:spacing w:line="276" w:lineRule="auto"/>
              <w:jc w:val="center"/>
              <w:rPr>
                <w:noProof/>
                <w:szCs w:val="20"/>
              </w:rPr>
            </w:pPr>
            <w:r>
              <w:rPr>
                <w:noProof/>
              </w:rPr>
              <w:t>Attiecīgā(-o) tiesību akta(-u) noteikums, kas norāda stāšanos spēkā</w:t>
            </w:r>
          </w:p>
        </w:tc>
        <w:tc>
          <w:tcPr>
            <w:tcW w:w="1410" w:type="dxa"/>
            <w:tcBorders>
              <w:top w:val="nil"/>
              <w:left w:val="nil"/>
              <w:bottom w:val="single" w:sz="4" w:space="0" w:color="auto"/>
              <w:right w:val="single" w:sz="4" w:space="0" w:color="auto"/>
            </w:tcBorders>
            <w:shd w:val="clear" w:color="auto" w:fill="C6EFCE"/>
            <w:noWrap/>
            <w:vAlign w:val="center"/>
            <w:hideMark/>
          </w:tcPr>
          <w:p w14:paraId="5AA2A5EE" w14:textId="77777777" w:rsidR="00327FF1" w:rsidRDefault="00E406C7">
            <w:pPr>
              <w:pStyle w:val="P68B1DB1-Normal11"/>
              <w:spacing w:line="276" w:lineRule="auto"/>
              <w:jc w:val="center"/>
              <w:rPr>
                <w:noProof/>
                <w:szCs w:val="20"/>
              </w:rPr>
            </w:pPr>
            <w:r>
              <w:rPr>
                <w:noProof/>
              </w:rPr>
              <w:t>NEPIEMĒRO</w:t>
            </w:r>
          </w:p>
        </w:tc>
        <w:tc>
          <w:tcPr>
            <w:tcW w:w="1047" w:type="dxa"/>
            <w:tcBorders>
              <w:top w:val="nil"/>
              <w:left w:val="nil"/>
              <w:bottom w:val="single" w:sz="4" w:space="0" w:color="auto"/>
              <w:right w:val="single" w:sz="4" w:space="0" w:color="auto"/>
            </w:tcBorders>
            <w:shd w:val="clear" w:color="auto" w:fill="C6EFCE"/>
            <w:noWrap/>
            <w:vAlign w:val="center"/>
            <w:hideMark/>
          </w:tcPr>
          <w:p w14:paraId="2CC489D5" w14:textId="77777777" w:rsidR="00327FF1" w:rsidRDefault="00E406C7">
            <w:pPr>
              <w:pStyle w:val="P68B1DB1-Normal11"/>
              <w:spacing w:line="276" w:lineRule="auto"/>
              <w:jc w:val="center"/>
              <w:rPr>
                <w:noProof/>
                <w:szCs w:val="20"/>
              </w:rPr>
            </w:pPr>
            <w:r>
              <w:rPr>
                <w:noProof/>
              </w:rPr>
              <w:t>NEPIEMĒRO</w:t>
            </w:r>
          </w:p>
        </w:tc>
        <w:tc>
          <w:tcPr>
            <w:tcW w:w="719" w:type="dxa"/>
            <w:tcBorders>
              <w:top w:val="nil"/>
              <w:left w:val="nil"/>
              <w:bottom w:val="single" w:sz="4" w:space="0" w:color="auto"/>
              <w:right w:val="single" w:sz="4" w:space="0" w:color="auto"/>
            </w:tcBorders>
            <w:shd w:val="clear" w:color="auto" w:fill="C6EFCE"/>
            <w:noWrap/>
            <w:vAlign w:val="center"/>
            <w:hideMark/>
          </w:tcPr>
          <w:p w14:paraId="0AE87936" w14:textId="77777777" w:rsidR="00327FF1" w:rsidRDefault="00E406C7">
            <w:pPr>
              <w:pStyle w:val="P68B1DB1-Normal11"/>
              <w:spacing w:line="276" w:lineRule="auto"/>
              <w:jc w:val="center"/>
              <w:rPr>
                <w:noProof/>
                <w:szCs w:val="20"/>
              </w:rPr>
            </w:pPr>
            <w:r>
              <w:rPr>
                <w:noProof/>
              </w:rPr>
              <w:t>NEPIEMĒRO</w:t>
            </w:r>
          </w:p>
        </w:tc>
        <w:tc>
          <w:tcPr>
            <w:tcW w:w="809" w:type="dxa"/>
            <w:tcBorders>
              <w:top w:val="nil"/>
              <w:left w:val="nil"/>
              <w:bottom w:val="single" w:sz="4" w:space="0" w:color="auto"/>
              <w:right w:val="single" w:sz="4" w:space="0" w:color="auto"/>
            </w:tcBorders>
            <w:shd w:val="clear" w:color="auto" w:fill="C6EFCE"/>
            <w:noWrap/>
            <w:vAlign w:val="center"/>
            <w:hideMark/>
          </w:tcPr>
          <w:p w14:paraId="137ED560" w14:textId="77777777" w:rsidR="00327FF1" w:rsidRDefault="00E406C7">
            <w:pPr>
              <w:pStyle w:val="P68B1DB1-Normal11"/>
              <w:spacing w:line="276" w:lineRule="auto"/>
              <w:jc w:val="center"/>
              <w:rPr>
                <w:noProof/>
                <w:szCs w:val="20"/>
              </w:rPr>
            </w:pPr>
            <w:r>
              <w:rPr>
                <w:noProof/>
              </w:rPr>
              <w:t>2. CET.</w:t>
            </w:r>
          </w:p>
        </w:tc>
        <w:tc>
          <w:tcPr>
            <w:tcW w:w="794" w:type="dxa"/>
            <w:tcBorders>
              <w:top w:val="nil"/>
              <w:left w:val="nil"/>
              <w:bottom w:val="single" w:sz="4" w:space="0" w:color="auto"/>
              <w:right w:val="single" w:sz="4" w:space="0" w:color="auto"/>
            </w:tcBorders>
            <w:shd w:val="clear" w:color="auto" w:fill="C6EFCE"/>
            <w:noWrap/>
            <w:vAlign w:val="center"/>
            <w:hideMark/>
          </w:tcPr>
          <w:p w14:paraId="03CC85AB" w14:textId="77777777" w:rsidR="00327FF1" w:rsidRDefault="00E406C7">
            <w:pPr>
              <w:pStyle w:val="P68B1DB1-Normal11"/>
              <w:spacing w:line="276" w:lineRule="auto"/>
              <w:jc w:val="center"/>
              <w:rPr>
                <w:noProof/>
                <w:szCs w:val="20"/>
              </w:rPr>
            </w:pPr>
            <w:r>
              <w:rPr>
                <w:noProof/>
              </w:rPr>
              <w:t>2022</w:t>
            </w:r>
          </w:p>
        </w:tc>
        <w:tc>
          <w:tcPr>
            <w:tcW w:w="2799" w:type="dxa"/>
            <w:tcBorders>
              <w:top w:val="single" w:sz="4" w:space="0" w:color="auto"/>
              <w:left w:val="nil"/>
              <w:bottom w:val="single" w:sz="4" w:space="0" w:color="auto"/>
              <w:right w:val="single" w:sz="4" w:space="0" w:color="auto"/>
            </w:tcBorders>
            <w:shd w:val="clear" w:color="auto" w:fill="C6EFCE"/>
            <w:noWrap/>
            <w:vAlign w:val="center"/>
          </w:tcPr>
          <w:p w14:paraId="583090AA" w14:textId="77777777" w:rsidR="00327FF1" w:rsidRDefault="00E406C7">
            <w:pPr>
              <w:pStyle w:val="P68B1DB1-Normal11"/>
              <w:spacing w:line="276" w:lineRule="auto"/>
              <w:rPr>
                <w:noProof/>
                <w:szCs w:val="20"/>
              </w:rPr>
            </w:pPr>
            <w:r>
              <w:rPr>
                <w:noProof/>
              </w:rPr>
              <w:t>Jaunais tiesiskais regulējums (vismaz):</w:t>
            </w:r>
          </w:p>
          <w:p w14:paraId="5A2AB5A7" w14:textId="1A04B656" w:rsidR="00327FF1" w:rsidRDefault="00E406C7">
            <w:pPr>
              <w:pStyle w:val="P68B1DB1-ListParagraph15"/>
              <w:numPr>
                <w:ilvl w:val="0"/>
                <w:numId w:val="27"/>
              </w:numPr>
              <w:tabs>
                <w:tab w:val="left" w:pos="321"/>
              </w:tabs>
              <w:spacing w:before="120" w:after="0" w:line="276" w:lineRule="auto"/>
              <w:ind w:left="0" w:firstLine="37"/>
              <w:rPr>
                <w:noProof/>
                <w:szCs w:val="20"/>
              </w:rPr>
            </w:pPr>
            <w:r>
              <w:rPr>
                <w:noProof/>
              </w:rPr>
              <w:t xml:space="preserve">Piešķirt prioritāti preventīviem pasākumiem saskaņā ar valsts riska novērtējumu un Lēmuma Nr. </w:t>
            </w:r>
            <w:r>
              <w:rPr>
                <w:noProof/>
              </w:rPr>
              <w:t>1313/2013/ES 6. pantu, kā arī riska pārvaldības spēju novērtējumu un principu “nenodarīt būtisku kaitējumu”;</w:t>
            </w:r>
          </w:p>
          <w:p w14:paraId="3387B716" w14:textId="77777777" w:rsidR="00327FF1" w:rsidRDefault="00E406C7">
            <w:pPr>
              <w:pStyle w:val="P68B1DB1-ListParagraph15"/>
              <w:numPr>
                <w:ilvl w:val="0"/>
                <w:numId w:val="27"/>
              </w:numPr>
              <w:tabs>
                <w:tab w:val="left" w:pos="321"/>
              </w:tabs>
              <w:spacing w:before="120" w:after="0" w:line="276" w:lineRule="auto"/>
              <w:ind w:left="0" w:firstLine="37"/>
              <w:rPr>
                <w:noProof/>
                <w:szCs w:val="20"/>
              </w:rPr>
            </w:pPr>
            <w:r>
              <w:rPr>
                <w:noProof/>
              </w:rPr>
              <w:t>Paātrināt projektu izstrādes procedūras un noteikt vispārīgus principus, lai vienkāršotu projektu īstenošanas un finansēšanas procedūras un hidrolo</w:t>
            </w:r>
            <w:r>
              <w:rPr>
                <w:noProof/>
              </w:rPr>
              <w:t>ģiskā riska projektus;</w:t>
            </w:r>
          </w:p>
          <w:p w14:paraId="7887A4A6" w14:textId="77777777" w:rsidR="00327FF1" w:rsidRDefault="00E406C7">
            <w:pPr>
              <w:pStyle w:val="P68B1DB1-ListParagraph15"/>
              <w:numPr>
                <w:ilvl w:val="0"/>
                <w:numId w:val="27"/>
              </w:numPr>
              <w:tabs>
                <w:tab w:val="left" w:pos="321"/>
              </w:tabs>
              <w:spacing w:before="120" w:after="0" w:line="276" w:lineRule="auto"/>
              <w:ind w:left="0" w:firstLine="37"/>
              <w:rPr>
                <w:noProof/>
              </w:rPr>
            </w:pPr>
            <w:r>
              <w:rPr>
                <w:noProof/>
              </w:rPr>
              <w:t>Saskaņot un racionalizēt informācijas plūsmas, lai samazinātu ziņošanas dublēšanos starp dažādām valsts informācijas sistēmām, un izstrādāt rādītāju sistēmu labākai hidroloģisko risku noteikšanai saskaņā ar Itālijas Revīzijas palātas</w:t>
            </w:r>
            <w:r>
              <w:rPr>
                <w:noProof/>
              </w:rPr>
              <w:t xml:space="preserve"> ieteikumiem.</w:t>
            </w:r>
          </w:p>
          <w:p w14:paraId="06C47675" w14:textId="77777777" w:rsidR="00327FF1" w:rsidRDefault="00E406C7">
            <w:pPr>
              <w:pStyle w:val="P68B1DB1-ListParagraph15"/>
              <w:numPr>
                <w:ilvl w:val="0"/>
                <w:numId w:val="27"/>
              </w:numPr>
              <w:tabs>
                <w:tab w:val="left" w:pos="321"/>
              </w:tabs>
              <w:spacing w:before="120" w:after="0" w:line="276" w:lineRule="auto"/>
              <w:ind w:left="0" w:firstLine="37"/>
              <w:rPr>
                <w:noProof/>
              </w:rPr>
            </w:pPr>
            <w:r>
              <w:rPr>
                <w:noProof/>
              </w:rPr>
              <w:t>Pastiprināt intervences koordināciju starp dažādiem valdības līmeņiem saskaņā ar Itālijas Revīzijas palātas ieteikumiem;</w:t>
            </w:r>
          </w:p>
          <w:p w14:paraId="3A012D9D" w14:textId="77777777" w:rsidR="00327FF1" w:rsidRDefault="00E406C7">
            <w:pPr>
              <w:pStyle w:val="P68B1DB1-ListParagraph15"/>
              <w:numPr>
                <w:ilvl w:val="0"/>
                <w:numId w:val="27"/>
              </w:numPr>
              <w:tabs>
                <w:tab w:val="left" w:pos="321"/>
              </w:tabs>
              <w:spacing w:before="120" w:after="0" w:line="276" w:lineRule="auto"/>
              <w:ind w:left="0" w:firstLine="37"/>
              <w:rPr>
                <w:noProof/>
              </w:rPr>
            </w:pPr>
            <w:r>
              <w:rPr>
                <w:noProof/>
              </w:rPr>
              <w:t>Izveidot kopīgas incidentu datubāzes (“dissesto”) saskaņā ar Itālijas Revīzijas palātas ieteikumiem;</w:t>
            </w:r>
          </w:p>
          <w:p w14:paraId="5A3FA1F9" w14:textId="77777777" w:rsidR="00327FF1" w:rsidRDefault="00E406C7">
            <w:pPr>
              <w:pStyle w:val="P68B1DB1-ListParagraph15"/>
              <w:numPr>
                <w:ilvl w:val="0"/>
                <w:numId w:val="27"/>
              </w:numPr>
              <w:tabs>
                <w:tab w:val="left" w:pos="321"/>
              </w:tabs>
              <w:spacing w:before="120" w:after="0" w:line="276" w:lineRule="auto"/>
              <w:ind w:left="0" w:firstLine="37"/>
              <w:rPr>
                <w:noProof/>
              </w:rPr>
            </w:pPr>
            <w:r>
              <w:rPr>
                <w:noProof/>
              </w:rPr>
              <w:t>Noteikt maksimālos t</w:t>
            </w:r>
            <w:r>
              <w:rPr>
                <w:noProof/>
              </w:rPr>
              <w:t>ermiņus katram posmam.</w:t>
            </w:r>
          </w:p>
          <w:p w14:paraId="5635A14D" w14:textId="77777777" w:rsidR="00327FF1" w:rsidRDefault="00E406C7">
            <w:pPr>
              <w:pStyle w:val="P68B1DB1-ListParagraph15"/>
              <w:numPr>
                <w:ilvl w:val="0"/>
                <w:numId w:val="27"/>
              </w:numPr>
              <w:tabs>
                <w:tab w:val="left" w:pos="321"/>
              </w:tabs>
              <w:spacing w:before="120" w:after="0" w:line="276" w:lineRule="auto"/>
              <w:ind w:left="0" w:firstLine="37"/>
              <w:rPr>
                <w:noProof/>
                <w:szCs w:val="20"/>
              </w:rPr>
            </w:pPr>
            <w:r>
              <w:rPr>
                <w:noProof/>
              </w:rPr>
              <w:t>Izstrādāt plānu attiecīgo vienību spēju stiprināšanai.</w:t>
            </w:r>
          </w:p>
        </w:tc>
      </w:tr>
      <w:tr w:rsidR="00327FF1" w14:paraId="5D60658B"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7A2AEC4A" w14:textId="77777777" w:rsidR="00327FF1" w:rsidRDefault="00E406C7">
            <w:pPr>
              <w:pStyle w:val="P68B1DB1-Normal11"/>
              <w:spacing w:line="276" w:lineRule="auto"/>
              <w:jc w:val="center"/>
              <w:rPr>
                <w:noProof/>
                <w:szCs w:val="20"/>
              </w:rPr>
            </w:pPr>
            <w:r>
              <w:rPr>
                <w:noProof/>
              </w:rPr>
              <w:t>M2C4–2</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5BB7CFDD" w14:textId="77777777" w:rsidR="00327FF1" w:rsidRDefault="00E406C7">
            <w:pPr>
              <w:pStyle w:val="P68B1DB1-Normal11"/>
              <w:spacing w:line="276" w:lineRule="auto"/>
              <w:jc w:val="center"/>
              <w:rPr>
                <w:noProof/>
                <w:szCs w:val="20"/>
              </w:rPr>
            </w:pPr>
            <w:r>
              <w:rPr>
                <w:noProof/>
              </w:rPr>
              <w:t>Reforma Nr. 4.2. “Pasākumi, lai nodrošinātu pilnīgu integrēto ūdensapgādes pakalpojumu pārvaldības spēju”</w:t>
            </w:r>
          </w:p>
        </w:tc>
        <w:tc>
          <w:tcPr>
            <w:tcW w:w="1266" w:type="dxa"/>
            <w:tcBorders>
              <w:top w:val="nil"/>
              <w:left w:val="nil"/>
              <w:bottom w:val="single" w:sz="4" w:space="0" w:color="auto"/>
              <w:right w:val="single" w:sz="4" w:space="0" w:color="auto"/>
            </w:tcBorders>
            <w:shd w:val="clear" w:color="auto" w:fill="C6EFCE"/>
            <w:noWrap/>
            <w:vAlign w:val="center"/>
            <w:hideMark/>
          </w:tcPr>
          <w:p w14:paraId="35AE2A3A" w14:textId="77777777" w:rsidR="00327FF1" w:rsidRDefault="00E406C7">
            <w:pPr>
              <w:pStyle w:val="P68B1DB1-Normal11"/>
              <w:spacing w:line="276" w:lineRule="auto"/>
              <w:jc w:val="center"/>
              <w:rPr>
                <w:noProof/>
                <w:szCs w:val="20"/>
              </w:rPr>
            </w:pPr>
            <w:r>
              <w:rPr>
                <w:noProof/>
              </w:rPr>
              <w:t>Atskaites punkts</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7596BDD9" w14:textId="77777777" w:rsidR="00327FF1" w:rsidRDefault="00E406C7">
            <w:pPr>
              <w:pStyle w:val="P68B1DB1-Normal11"/>
              <w:spacing w:line="276" w:lineRule="auto"/>
              <w:jc w:val="center"/>
              <w:rPr>
                <w:noProof/>
                <w:szCs w:val="20"/>
              </w:rPr>
            </w:pPr>
            <w:r>
              <w:rPr>
                <w:noProof/>
              </w:rPr>
              <w:t xml:space="preserve">Reformas stāšanās spēkā, lai nodrošinātu </w:t>
            </w:r>
            <w:r>
              <w:rPr>
                <w:noProof/>
              </w:rPr>
              <w:t>pilnīgu integrēto ūdensapgādes pakalpojumu pārvaldības spēju</w:t>
            </w:r>
          </w:p>
        </w:tc>
        <w:tc>
          <w:tcPr>
            <w:tcW w:w="1414" w:type="dxa"/>
            <w:tcBorders>
              <w:top w:val="nil"/>
              <w:left w:val="nil"/>
              <w:bottom w:val="single" w:sz="4" w:space="0" w:color="auto"/>
              <w:right w:val="single" w:sz="4" w:space="0" w:color="auto"/>
            </w:tcBorders>
            <w:shd w:val="clear" w:color="auto" w:fill="C6EFCE"/>
            <w:noWrap/>
            <w:vAlign w:val="center"/>
            <w:hideMark/>
          </w:tcPr>
          <w:p w14:paraId="32FE1250" w14:textId="77777777" w:rsidR="00327FF1" w:rsidRDefault="00E406C7">
            <w:pPr>
              <w:pStyle w:val="P68B1DB1-Normal11"/>
              <w:spacing w:line="276" w:lineRule="auto"/>
              <w:jc w:val="center"/>
              <w:rPr>
                <w:noProof/>
                <w:szCs w:val="20"/>
              </w:rPr>
            </w:pPr>
            <w:r>
              <w:rPr>
                <w:noProof/>
              </w:rPr>
              <w:t>Attiecīgā(-o) tiesību akta(-u) noteikums, kas norāda stāšanos spēkā</w:t>
            </w:r>
          </w:p>
        </w:tc>
        <w:tc>
          <w:tcPr>
            <w:tcW w:w="1410" w:type="dxa"/>
            <w:tcBorders>
              <w:top w:val="nil"/>
              <w:left w:val="nil"/>
              <w:bottom w:val="single" w:sz="4" w:space="0" w:color="auto"/>
              <w:right w:val="single" w:sz="4" w:space="0" w:color="auto"/>
            </w:tcBorders>
            <w:shd w:val="clear" w:color="auto" w:fill="C6EFCE"/>
            <w:noWrap/>
            <w:vAlign w:val="center"/>
            <w:hideMark/>
          </w:tcPr>
          <w:p w14:paraId="581150DE" w14:textId="77777777" w:rsidR="00327FF1" w:rsidRDefault="00E406C7">
            <w:pPr>
              <w:pStyle w:val="P68B1DB1-Normal11"/>
              <w:spacing w:line="276" w:lineRule="auto"/>
              <w:jc w:val="center"/>
              <w:rPr>
                <w:noProof/>
                <w:szCs w:val="20"/>
              </w:rPr>
            </w:pPr>
            <w:r>
              <w:rPr>
                <w:noProof/>
              </w:rPr>
              <w:t>NEPIEMĒRO</w:t>
            </w:r>
          </w:p>
        </w:tc>
        <w:tc>
          <w:tcPr>
            <w:tcW w:w="1047" w:type="dxa"/>
            <w:tcBorders>
              <w:top w:val="nil"/>
              <w:left w:val="nil"/>
              <w:bottom w:val="single" w:sz="4" w:space="0" w:color="auto"/>
              <w:right w:val="single" w:sz="4" w:space="0" w:color="auto"/>
            </w:tcBorders>
            <w:shd w:val="clear" w:color="auto" w:fill="C6EFCE"/>
            <w:noWrap/>
            <w:vAlign w:val="center"/>
            <w:hideMark/>
          </w:tcPr>
          <w:p w14:paraId="2B582B44" w14:textId="77777777" w:rsidR="00327FF1" w:rsidRDefault="00E406C7">
            <w:pPr>
              <w:pStyle w:val="P68B1DB1-Normal11"/>
              <w:spacing w:line="276" w:lineRule="auto"/>
              <w:jc w:val="center"/>
              <w:rPr>
                <w:noProof/>
                <w:szCs w:val="20"/>
              </w:rPr>
            </w:pPr>
            <w:r>
              <w:rPr>
                <w:noProof/>
              </w:rPr>
              <w:t>NEPIEMĒRO</w:t>
            </w:r>
          </w:p>
        </w:tc>
        <w:tc>
          <w:tcPr>
            <w:tcW w:w="719" w:type="dxa"/>
            <w:tcBorders>
              <w:top w:val="nil"/>
              <w:left w:val="nil"/>
              <w:bottom w:val="single" w:sz="4" w:space="0" w:color="auto"/>
              <w:right w:val="single" w:sz="4" w:space="0" w:color="auto"/>
            </w:tcBorders>
            <w:shd w:val="clear" w:color="auto" w:fill="C6EFCE"/>
            <w:noWrap/>
            <w:vAlign w:val="center"/>
            <w:hideMark/>
          </w:tcPr>
          <w:p w14:paraId="7080A8A4" w14:textId="77777777" w:rsidR="00327FF1" w:rsidRDefault="00E406C7">
            <w:pPr>
              <w:pStyle w:val="P68B1DB1-Normal11"/>
              <w:spacing w:line="276" w:lineRule="auto"/>
              <w:jc w:val="center"/>
              <w:rPr>
                <w:noProof/>
                <w:szCs w:val="20"/>
              </w:rPr>
            </w:pPr>
            <w:r>
              <w:rPr>
                <w:noProof/>
              </w:rPr>
              <w:t>NEPIEMĒRO</w:t>
            </w:r>
          </w:p>
        </w:tc>
        <w:tc>
          <w:tcPr>
            <w:tcW w:w="809" w:type="dxa"/>
            <w:tcBorders>
              <w:top w:val="nil"/>
              <w:left w:val="nil"/>
              <w:bottom w:val="single" w:sz="4" w:space="0" w:color="auto"/>
              <w:right w:val="single" w:sz="4" w:space="0" w:color="auto"/>
            </w:tcBorders>
            <w:shd w:val="clear" w:color="auto" w:fill="C6EFCE"/>
            <w:noWrap/>
            <w:vAlign w:val="center"/>
            <w:hideMark/>
          </w:tcPr>
          <w:p w14:paraId="12D28CB9" w14:textId="77777777" w:rsidR="00327FF1" w:rsidRDefault="00E406C7">
            <w:pPr>
              <w:pStyle w:val="P68B1DB1-Normal11"/>
              <w:spacing w:line="276" w:lineRule="auto"/>
              <w:jc w:val="center"/>
              <w:rPr>
                <w:noProof/>
                <w:szCs w:val="20"/>
              </w:rPr>
            </w:pPr>
            <w:r>
              <w:rPr>
                <w:noProof/>
              </w:rPr>
              <w:t>CET.</w:t>
            </w:r>
          </w:p>
        </w:tc>
        <w:tc>
          <w:tcPr>
            <w:tcW w:w="794" w:type="dxa"/>
            <w:tcBorders>
              <w:top w:val="nil"/>
              <w:left w:val="nil"/>
              <w:bottom w:val="single" w:sz="4" w:space="0" w:color="auto"/>
              <w:right w:val="single" w:sz="4" w:space="0" w:color="auto"/>
            </w:tcBorders>
            <w:shd w:val="clear" w:color="auto" w:fill="C6EFCE"/>
            <w:noWrap/>
            <w:vAlign w:val="center"/>
            <w:hideMark/>
          </w:tcPr>
          <w:p w14:paraId="326D5379" w14:textId="77777777" w:rsidR="00327FF1" w:rsidRDefault="00E406C7">
            <w:pPr>
              <w:pStyle w:val="P68B1DB1-Normal11"/>
              <w:spacing w:line="276" w:lineRule="auto"/>
              <w:jc w:val="center"/>
              <w:rPr>
                <w:noProof/>
                <w:szCs w:val="20"/>
              </w:rPr>
            </w:pPr>
            <w:r>
              <w:rPr>
                <w:noProof/>
              </w:rPr>
              <w:t>2022</w:t>
            </w:r>
          </w:p>
        </w:tc>
        <w:tc>
          <w:tcPr>
            <w:tcW w:w="2799" w:type="dxa"/>
            <w:tcBorders>
              <w:top w:val="nil"/>
              <w:left w:val="nil"/>
              <w:bottom w:val="single" w:sz="4" w:space="0" w:color="auto"/>
              <w:right w:val="single" w:sz="4" w:space="0" w:color="auto"/>
            </w:tcBorders>
            <w:shd w:val="clear" w:color="auto" w:fill="C6EFCE"/>
            <w:noWrap/>
            <w:vAlign w:val="center"/>
            <w:hideMark/>
          </w:tcPr>
          <w:p w14:paraId="272820A0" w14:textId="73BCFD83" w:rsidR="00327FF1" w:rsidRDefault="00E406C7">
            <w:pPr>
              <w:pStyle w:val="P68B1DB1-Normal11"/>
              <w:spacing w:line="276" w:lineRule="auto"/>
              <w:rPr>
                <w:noProof/>
                <w:szCs w:val="20"/>
              </w:rPr>
            </w:pPr>
            <w:r>
              <w:rPr>
                <w:noProof/>
              </w:rPr>
              <w:t>Vispārējais likums/noteikumi par ūdensapgādes pakalpojumiem to ilgtspējīgai izmantošana</w:t>
            </w:r>
            <w:r>
              <w:rPr>
                <w:noProof/>
              </w:rPr>
              <w:t>i un stimulē ieguldījumus ūdens infrastruktūrā, kas vismaz:</w:t>
            </w:r>
          </w:p>
          <w:p w14:paraId="49786188" w14:textId="77777777" w:rsidR="00327FF1" w:rsidRDefault="00E406C7">
            <w:pPr>
              <w:pStyle w:val="P68B1DB1-ListParagraph15"/>
              <w:numPr>
                <w:ilvl w:val="0"/>
                <w:numId w:val="27"/>
              </w:numPr>
              <w:tabs>
                <w:tab w:val="left" w:pos="321"/>
              </w:tabs>
              <w:spacing w:before="120" w:after="0" w:line="276" w:lineRule="auto"/>
              <w:ind w:left="0" w:firstLine="37"/>
              <w:rPr>
                <w:noProof/>
              </w:rPr>
            </w:pPr>
            <w:r>
              <w:rPr>
                <w:noProof/>
              </w:rPr>
              <w:t>Samazināt vienību sadrumstalotību, izmantojot noteikumus un apkopošanas mehānismus, lai stimulētu pašlaik autonomos apsaimniekotājus integrēties unikālā operatorā attiecībā uz visu Ambito Territor</w:t>
            </w:r>
            <w:r>
              <w:rPr>
                <w:noProof/>
              </w:rPr>
              <w:t>iale Ottimale;</w:t>
            </w:r>
          </w:p>
          <w:p w14:paraId="2A427C38" w14:textId="34567E6E" w:rsidR="00327FF1" w:rsidRDefault="00E406C7">
            <w:pPr>
              <w:pStyle w:val="P68B1DB1-ListParagraph15"/>
              <w:numPr>
                <w:ilvl w:val="0"/>
                <w:numId w:val="27"/>
              </w:numPr>
              <w:tabs>
                <w:tab w:val="left" w:pos="321"/>
              </w:tabs>
              <w:spacing w:before="120" w:after="0" w:line="276" w:lineRule="auto"/>
              <w:ind w:left="0" w:firstLine="37"/>
              <w:rPr>
                <w:noProof/>
              </w:rPr>
            </w:pPr>
            <w:r>
              <w:rPr>
                <w:noProof/>
              </w:rPr>
              <w:t>Nodrošināt stimulus ilgtspējīgai ūdens izmantošanai lauksaimniecībā, jo īpaši, lai atbalstītu kopējās ūdens izmantošanas monitoringa sistēmas (SIGRIAN) izmantošanu kolektīviem un pašapgādes apūdeņošanas lietojumiem;</w:t>
            </w:r>
          </w:p>
          <w:p w14:paraId="53A433B4" w14:textId="77777777" w:rsidR="00327FF1" w:rsidRDefault="00E406C7">
            <w:pPr>
              <w:pStyle w:val="P68B1DB1-ListParagraph15"/>
              <w:numPr>
                <w:ilvl w:val="0"/>
                <w:numId w:val="27"/>
              </w:numPr>
              <w:tabs>
                <w:tab w:val="left" w:pos="321"/>
              </w:tabs>
              <w:spacing w:before="120" w:after="0" w:line="276" w:lineRule="auto"/>
              <w:ind w:left="0" w:firstLine="37"/>
              <w:rPr>
                <w:noProof/>
                <w:szCs w:val="20"/>
              </w:rPr>
            </w:pPr>
            <w:r>
              <w:rPr>
                <w:noProof/>
              </w:rPr>
              <w:t>Izveidot regulētu cenu si</w:t>
            </w:r>
            <w:r>
              <w:rPr>
                <w:noProof/>
              </w:rPr>
              <w:t>stēmu, kurā pienācīgi ņem vērā vides resursu izmantošanu un piesārņojumu saskaņā ar principu “piesārņotājs maksā”.</w:t>
            </w:r>
          </w:p>
        </w:tc>
      </w:tr>
      <w:tr w:rsidR="00327FF1" w14:paraId="4FEFCDD5"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56246794" w14:textId="77777777" w:rsidR="00327FF1" w:rsidRDefault="00E406C7">
            <w:pPr>
              <w:pStyle w:val="P68B1DB1-Normal11"/>
              <w:spacing w:line="276" w:lineRule="auto"/>
              <w:jc w:val="center"/>
              <w:rPr>
                <w:noProof/>
                <w:szCs w:val="20"/>
              </w:rPr>
            </w:pPr>
            <w:r>
              <w:rPr>
                <w:noProof/>
              </w:rPr>
              <w:t>M2C4–3</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4DA669B0" w14:textId="77777777" w:rsidR="00327FF1" w:rsidRDefault="00E406C7">
            <w:pPr>
              <w:pStyle w:val="P68B1DB1-Normal11"/>
              <w:spacing w:line="276" w:lineRule="auto"/>
              <w:jc w:val="center"/>
              <w:rPr>
                <w:noProof/>
                <w:szCs w:val="20"/>
              </w:rPr>
            </w:pPr>
            <w:r>
              <w:rPr>
                <w:noProof/>
              </w:rPr>
              <w:t>Reforma Nr. 4.2. “Pasākumi, lai nodrošinātu pilnīgu integrēto ūdensapgādes pakalpojumu pārvaldības spēju”</w:t>
            </w:r>
          </w:p>
        </w:tc>
        <w:tc>
          <w:tcPr>
            <w:tcW w:w="1266" w:type="dxa"/>
            <w:tcBorders>
              <w:top w:val="nil"/>
              <w:left w:val="nil"/>
              <w:bottom w:val="single" w:sz="4" w:space="0" w:color="auto"/>
              <w:right w:val="single" w:sz="4" w:space="0" w:color="auto"/>
            </w:tcBorders>
            <w:shd w:val="clear" w:color="auto" w:fill="C6EFCE"/>
            <w:noWrap/>
            <w:vAlign w:val="center"/>
            <w:hideMark/>
          </w:tcPr>
          <w:p w14:paraId="04316560" w14:textId="77777777" w:rsidR="00327FF1" w:rsidRDefault="00E406C7">
            <w:pPr>
              <w:pStyle w:val="P68B1DB1-Normal11"/>
              <w:spacing w:line="276" w:lineRule="auto"/>
              <w:jc w:val="center"/>
              <w:rPr>
                <w:noProof/>
                <w:szCs w:val="20"/>
              </w:rPr>
            </w:pPr>
            <w:r>
              <w:rPr>
                <w:noProof/>
              </w:rPr>
              <w:t>Atskaites punkts</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760ABE95" w14:textId="77777777" w:rsidR="00327FF1" w:rsidRDefault="00E406C7">
            <w:pPr>
              <w:pStyle w:val="P68B1DB1-Normal11"/>
              <w:spacing w:line="276" w:lineRule="auto"/>
              <w:jc w:val="center"/>
              <w:rPr>
                <w:noProof/>
                <w:szCs w:val="20"/>
              </w:rPr>
            </w:pPr>
            <w:r>
              <w:rPr>
                <w:noProof/>
              </w:rPr>
              <w:t>Tiesiskā regulējuma</w:t>
            </w:r>
            <w:r>
              <w:rPr>
                <w:noProof/>
              </w:rPr>
              <w:t xml:space="preserve"> reforma labākai ūdens apsaimniekošanai un ilgtspējīgai izmantošanai</w:t>
            </w:r>
          </w:p>
        </w:tc>
        <w:tc>
          <w:tcPr>
            <w:tcW w:w="1414" w:type="dxa"/>
            <w:tcBorders>
              <w:top w:val="nil"/>
              <w:left w:val="nil"/>
              <w:bottom w:val="single" w:sz="4" w:space="0" w:color="auto"/>
              <w:right w:val="single" w:sz="4" w:space="0" w:color="auto"/>
            </w:tcBorders>
            <w:shd w:val="clear" w:color="auto" w:fill="C6EFCE"/>
            <w:noWrap/>
            <w:vAlign w:val="center"/>
            <w:hideMark/>
          </w:tcPr>
          <w:p w14:paraId="153E4880" w14:textId="77777777" w:rsidR="00327FF1" w:rsidRDefault="00E406C7">
            <w:pPr>
              <w:pStyle w:val="P68B1DB1-Normal11"/>
              <w:spacing w:line="276" w:lineRule="auto"/>
              <w:jc w:val="center"/>
              <w:rPr>
                <w:noProof/>
                <w:szCs w:val="20"/>
              </w:rPr>
            </w:pPr>
            <w:r>
              <w:rPr>
                <w:noProof/>
              </w:rPr>
              <w:t>Saprašanās memorandu (SM) stāšanās spēkā</w:t>
            </w:r>
          </w:p>
        </w:tc>
        <w:tc>
          <w:tcPr>
            <w:tcW w:w="1410" w:type="dxa"/>
            <w:tcBorders>
              <w:top w:val="nil"/>
              <w:left w:val="nil"/>
              <w:bottom w:val="single" w:sz="4" w:space="0" w:color="auto"/>
              <w:right w:val="single" w:sz="4" w:space="0" w:color="auto"/>
            </w:tcBorders>
            <w:shd w:val="clear" w:color="auto" w:fill="C6EFCE"/>
            <w:noWrap/>
            <w:vAlign w:val="center"/>
            <w:hideMark/>
          </w:tcPr>
          <w:p w14:paraId="11701F69" w14:textId="77777777" w:rsidR="00327FF1" w:rsidRDefault="00E406C7">
            <w:pPr>
              <w:pStyle w:val="P68B1DB1-Normal11"/>
              <w:spacing w:line="276" w:lineRule="auto"/>
              <w:jc w:val="center"/>
              <w:rPr>
                <w:noProof/>
                <w:szCs w:val="20"/>
              </w:rPr>
            </w:pPr>
            <w:r>
              <w:rPr>
                <w:noProof/>
              </w:rPr>
              <w:t>NEPIEMĒRO</w:t>
            </w:r>
          </w:p>
        </w:tc>
        <w:tc>
          <w:tcPr>
            <w:tcW w:w="1047" w:type="dxa"/>
            <w:tcBorders>
              <w:top w:val="nil"/>
              <w:left w:val="nil"/>
              <w:bottom w:val="single" w:sz="4" w:space="0" w:color="auto"/>
              <w:right w:val="single" w:sz="4" w:space="0" w:color="auto"/>
            </w:tcBorders>
            <w:shd w:val="clear" w:color="auto" w:fill="C6EFCE"/>
            <w:noWrap/>
            <w:vAlign w:val="center"/>
            <w:hideMark/>
          </w:tcPr>
          <w:p w14:paraId="1571A882" w14:textId="77777777" w:rsidR="00327FF1" w:rsidRDefault="00E406C7">
            <w:pPr>
              <w:pStyle w:val="P68B1DB1-Normal11"/>
              <w:spacing w:line="276" w:lineRule="auto"/>
              <w:jc w:val="center"/>
              <w:rPr>
                <w:noProof/>
                <w:szCs w:val="20"/>
              </w:rPr>
            </w:pPr>
            <w:r>
              <w:rPr>
                <w:noProof/>
              </w:rPr>
              <w:t>NEPIEMĒRO</w:t>
            </w:r>
          </w:p>
        </w:tc>
        <w:tc>
          <w:tcPr>
            <w:tcW w:w="719" w:type="dxa"/>
            <w:tcBorders>
              <w:top w:val="nil"/>
              <w:left w:val="nil"/>
              <w:bottom w:val="single" w:sz="4" w:space="0" w:color="auto"/>
              <w:right w:val="single" w:sz="4" w:space="0" w:color="auto"/>
            </w:tcBorders>
            <w:shd w:val="clear" w:color="auto" w:fill="C6EFCE"/>
            <w:noWrap/>
            <w:vAlign w:val="center"/>
            <w:hideMark/>
          </w:tcPr>
          <w:p w14:paraId="445A40E5" w14:textId="77777777" w:rsidR="00327FF1" w:rsidRDefault="00E406C7">
            <w:pPr>
              <w:pStyle w:val="P68B1DB1-Normal11"/>
              <w:spacing w:line="276" w:lineRule="auto"/>
              <w:jc w:val="center"/>
              <w:rPr>
                <w:noProof/>
                <w:szCs w:val="20"/>
              </w:rPr>
            </w:pPr>
            <w:r>
              <w:rPr>
                <w:noProof/>
              </w:rPr>
              <w:t>NEPIEMĒRO</w:t>
            </w:r>
          </w:p>
        </w:tc>
        <w:tc>
          <w:tcPr>
            <w:tcW w:w="809" w:type="dxa"/>
            <w:tcBorders>
              <w:top w:val="nil"/>
              <w:left w:val="nil"/>
              <w:bottom w:val="single" w:sz="4" w:space="0" w:color="auto"/>
              <w:right w:val="single" w:sz="4" w:space="0" w:color="auto"/>
            </w:tcBorders>
            <w:shd w:val="clear" w:color="auto" w:fill="C6EFCE"/>
            <w:noWrap/>
            <w:vAlign w:val="center"/>
            <w:hideMark/>
          </w:tcPr>
          <w:p w14:paraId="55785779" w14:textId="77777777" w:rsidR="00327FF1" w:rsidRDefault="00E406C7">
            <w:pPr>
              <w:pStyle w:val="P68B1DB1-Normal11"/>
              <w:spacing w:line="276" w:lineRule="auto"/>
              <w:jc w:val="center"/>
              <w:rPr>
                <w:noProof/>
                <w:szCs w:val="20"/>
              </w:rPr>
            </w:pPr>
            <w:r>
              <w:rPr>
                <w:noProof/>
              </w:rPr>
              <w:t>4. CET.</w:t>
            </w:r>
          </w:p>
        </w:tc>
        <w:tc>
          <w:tcPr>
            <w:tcW w:w="794" w:type="dxa"/>
            <w:tcBorders>
              <w:top w:val="nil"/>
              <w:left w:val="nil"/>
              <w:bottom w:val="single" w:sz="4" w:space="0" w:color="auto"/>
              <w:right w:val="single" w:sz="4" w:space="0" w:color="auto"/>
            </w:tcBorders>
            <w:shd w:val="clear" w:color="auto" w:fill="C6EFCE"/>
            <w:noWrap/>
            <w:vAlign w:val="center"/>
            <w:hideMark/>
          </w:tcPr>
          <w:p w14:paraId="04C0A556" w14:textId="77777777" w:rsidR="00327FF1" w:rsidRDefault="00E406C7">
            <w:pPr>
              <w:pStyle w:val="P68B1DB1-Normal11"/>
              <w:spacing w:line="276" w:lineRule="auto"/>
              <w:jc w:val="center"/>
              <w:rPr>
                <w:noProof/>
                <w:szCs w:val="20"/>
              </w:rPr>
            </w:pPr>
            <w:r>
              <w:rPr>
                <w:noProof/>
              </w:rPr>
              <w:t>2021</w:t>
            </w:r>
          </w:p>
        </w:tc>
        <w:tc>
          <w:tcPr>
            <w:tcW w:w="2799" w:type="dxa"/>
            <w:tcBorders>
              <w:top w:val="nil"/>
              <w:left w:val="nil"/>
              <w:bottom w:val="single" w:sz="4" w:space="0" w:color="auto"/>
              <w:right w:val="single" w:sz="4" w:space="0" w:color="auto"/>
            </w:tcBorders>
            <w:shd w:val="clear" w:color="auto" w:fill="C6EFCE"/>
            <w:noWrap/>
            <w:vAlign w:val="center"/>
            <w:hideMark/>
          </w:tcPr>
          <w:p w14:paraId="6D9388B1" w14:textId="77777777" w:rsidR="00327FF1" w:rsidRDefault="00E406C7">
            <w:pPr>
              <w:pStyle w:val="P68B1DB1-Normal21"/>
              <w:spacing w:line="276" w:lineRule="auto"/>
              <w:rPr>
                <w:rFonts w:ascii="Arial Narrow" w:hAnsi="Arial Narrow"/>
                <w:noProof/>
                <w:szCs w:val="20"/>
              </w:rPr>
            </w:pPr>
            <w:r>
              <w:rPr>
                <w:noProof/>
              </w:rPr>
              <w:t xml:space="preserve">Ekoloģiskās pārejas ministrija </w:t>
            </w:r>
            <w:r>
              <w:rPr>
                <w:rFonts w:ascii="Arial Narrow" w:hAnsi="Arial Narrow"/>
                <w:noProof/>
              </w:rPr>
              <w:t xml:space="preserve">paraksta apakšstacijas memorandus ar Kampānijas, Kalabrijas, Molīzes un </w:t>
            </w:r>
            <w:r>
              <w:rPr>
                <w:rFonts w:ascii="Arial Narrow" w:hAnsi="Arial Narrow"/>
                <w:noProof/>
              </w:rPr>
              <w:t>Sicīlijas reģioniem, lai samazinātu ūdensapgādes pakalpojumus sniedzošo operatoru skaita sadrumstalotību. Saprašanās memorandā būtu jānosaka mērķi noteikt pašvaldību iestādes, samazināt operatoru skaitu un panākt apjomradītus ietaupījumus, lai izveidotu at</w:t>
            </w:r>
            <w:r>
              <w:rPr>
                <w:rFonts w:ascii="Arial Narrow" w:hAnsi="Arial Narrow"/>
                <w:noProof/>
              </w:rPr>
              <w:t>sevišķus operatorus vismaz uz katriem 40000</w:t>
            </w:r>
            <w:r>
              <w:rPr>
                <w:noProof/>
              </w:rPr>
              <w:t xml:space="preserve"> </w:t>
            </w:r>
            <w:r>
              <w:rPr>
                <w:rFonts w:ascii="Arial Narrow" w:hAnsi="Arial Narrow"/>
                <w:noProof/>
              </w:rPr>
              <w:t>iedzīvotājiem</w:t>
            </w:r>
            <w:r>
              <w:rPr>
                <w:noProof/>
              </w:rPr>
              <w:t>.</w:t>
            </w:r>
          </w:p>
        </w:tc>
      </w:tr>
      <w:tr w:rsidR="00327FF1" w14:paraId="3E47CD17"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3DB854FF" w14:textId="77777777" w:rsidR="00327FF1" w:rsidRDefault="00E406C7">
            <w:pPr>
              <w:pStyle w:val="P68B1DB1-Normal11"/>
              <w:spacing w:line="276" w:lineRule="auto"/>
              <w:jc w:val="center"/>
              <w:rPr>
                <w:noProof/>
                <w:szCs w:val="20"/>
              </w:rPr>
            </w:pPr>
            <w:r>
              <w:rPr>
                <w:noProof/>
              </w:rPr>
              <w:t>M2C4–4</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63A194B3" w14:textId="77777777" w:rsidR="00327FF1" w:rsidRDefault="00E406C7">
            <w:pPr>
              <w:pStyle w:val="P68B1DB1-Normal11"/>
              <w:spacing w:line="276" w:lineRule="auto"/>
              <w:jc w:val="center"/>
              <w:rPr>
                <w:noProof/>
                <w:szCs w:val="20"/>
              </w:rPr>
            </w:pPr>
            <w:r>
              <w:rPr>
                <w:noProof/>
              </w:rPr>
              <w:t>Reforma Nr. 4.2. “Pasākumi, lai nodrošinātu pilnīgu integrēto ūdensapgādes pakalpojumu pārvaldības spēju”</w:t>
            </w:r>
          </w:p>
        </w:tc>
        <w:tc>
          <w:tcPr>
            <w:tcW w:w="1266" w:type="dxa"/>
            <w:tcBorders>
              <w:top w:val="nil"/>
              <w:left w:val="nil"/>
              <w:bottom w:val="single" w:sz="4" w:space="0" w:color="auto"/>
              <w:right w:val="single" w:sz="4" w:space="0" w:color="auto"/>
            </w:tcBorders>
            <w:shd w:val="clear" w:color="auto" w:fill="C6EFCE"/>
            <w:noWrap/>
            <w:vAlign w:val="center"/>
            <w:hideMark/>
          </w:tcPr>
          <w:p w14:paraId="48D27D9B" w14:textId="77777777" w:rsidR="00327FF1" w:rsidRDefault="00E406C7">
            <w:pPr>
              <w:pStyle w:val="P68B1DB1-Normal11"/>
              <w:spacing w:line="276" w:lineRule="auto"/>
              <w:jc w:val="center"/>
              <w:rPr>
                <w:noProof/>
                <w:szCs w:val="20"/>
              </w:rPr>
            </w:pPr>
            <w:r>
              <w:rPr>
                <w:noProof/>
              </w:rPr>
              <w:t>Atskaites punkts</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4E297056" w14:textId="753D14E7" w:rsidR="00327FF1" w:rsidRDefault="00E406C7">
            <w:pPr>
              <w:pStyle w:val="P68B1DB1-Normal11"/>
              <w:spacing w:line="276" w:lineRule="auto"/>
              <w:jc w:val="center"/>
              <w:rPr>
                <w:noProof/>
                <w:szCs w:val="20"/>
              </w:rPr>
            </w:pPr>
            <w:r>
              <w:rPr>
                <w:noProof/>
              </w:rPr>
              <w:t>Jaunā tiesiskā regulējuma stāšanās spēkā attiecībā uz apūdeņošanas mērķiem</w:t>
            </w:r>
          </w:p>
        </w:tc>
        <w:tc>
          <w:tcPr>
            <w:tcW w:w="1414" w:type="dxa"/>
            <w:tcBorders>
              <w:top w:val="nil"/>
              <w:left w:val="nil"/>
              <w:bottom w:val="single" w:sz="4" w:space="0" w:color="auto"/>
              <w:right w:val="single" w:sz="4" w:space="0" w:color="auto"/>
            </w:tcBorders>
            <w:shd w:val="clear" w:color="auto" w:fill="C6EFCE"/>
            <w:noWrap/>
            <w:vAlign w:val="center"/>
            <w:hideMark/>
          </w:tcPr>
          <w:p w14:paraId="26C76298" w14:textId="4357E50B" w:rsidR="00327FF1" w:rsidRDefault="00E406C7">
            <w:pPr>
              <w:pStyle w:val="P68B1DB1-Normal11"/>
              <w:spacing w:line="276" w:lineRule="auto"/>
              <w:jc w:val="center"/>
              <w:rPr>
                <w:noProof/>
                <w:szCs w:val="20"/>
              </w:rPr>
            </w:pPr>
            <w:r>
              <w:rPr>
                <w:noProof/>
              </w:rPr>
              <w:t>Attiecīgā tiesību akta noteikums, kas norāda stāšanos spēkā</w:t>
            </w:r>
          </w:p>
        </w:tc>
        <w:tc>
          <w:tcPr>
            <w:tcW w:w="1410" w:type="dxa"/>
            <w:tcBorders>
              <w:top w:val="nil"/>
              <w:left w:val="nil"/>
              <w:bottom w:val="single" w:sz="4" w:space="0" w:color="auto"/>
              <w:right w:val="single" w:sz="4" w:space="0" w:color="auto"/>
            </w:tcBorders>
            <w:shd w:val="clear" w:color="auto" w:fill="C6EFCE"/>
            <w:noWrap/>
            <w:vAlign w:val="center"/>
            <w:hideMark/>
          </w:tcPr>
          <w:p w14:paraId="4A1E2268" w14:textId="77777777" w:rsidR="00327FF1" w:rsidRDefault="00E406C7">
            <w:pPr>
              <w:pStyle w:val="P68B1DB1-Normal11"/>
              <w:spacing w:line="276" w:lineRule="auto"/>
              <w:jc w:val="center"/>
              <w:rPr>
                <w:noProof/>
                <w:szCs w:val="20"/>
              </w:rPr>
            </w:pPr>
            <w:r>
              <w:rPr>
                <w:noProof/>
              </w:rPr>
              <w:t>NEPIEMĒRO</w:t>
            </w:r>
          </w:p>
        </w:tc>
        <w:tc>
          <w:tcPr>
            <w:tcW w:w="1047" w:type="dxa"/>
            <w:tcBorders>
              <w:top w:val="nil"/>
              <w:left w:val="nil"/>
              <w:bottom w:val="single" w:sz="4" w:space="0" w:color="auto"/>
              <w:right w:val="single" w:sz="4" w:space="0" w:color="auto"/>
            </w:tcBorders>
            <w:shd w:val="clear" w:color="auto" w:fill="C6EFCE"/>
            <w:noWrap/>
            <w:vAlign w:val="center"/>
            <w:hideMark/>
          </w:tcPr>
          <w:p w14:paraId="011ACAAC" w14:textId="77777777" w:rsidR="00327FF1" w:rsidRDefault="00E406C7">
            <w:pPr>
              <w:pStyle w:val="P68B1DB1-Normal11"/>
              <w:spacing w:line="276" w:lineRule="auto"/>
              <w:jc w:val="center"/>
              <w:rPr>
                <w:noProof/>
                <w:szCs w:val="20"/>
              </w:rPr>
            </w:pPr>
            <w:r>
              <w:rPr>
                <w:noProof/>
              </w:rPr>
              <w:t>NEPIEMĒRO</w:t>
            </w:r>
          </w:p>
        </w:tc>
        <w:tc>
          <w:tcPr>
            <w:tcW w:w="719" w:type="dxa"/>
            <w:tcBorders>
              <w:top w:val="nil"/>
              <w:left w:val="nil"/>
              <w:bottom w:val="single" w:sz="4" w:space="0" w:color="auto"/>
              <w:right w:val="single" w:sz="4" w:space="0" w:color="auto"/>
            </w:tcBorders>
            <w:shd w:val="clear" w:color="auto" w:fill="C6EFCE"/>
            <w:noWrap/>
            <w:vAlign w:val="center"/>
            <w:hideMark/>
          </w:tcPr>
          <w:p w14:paraId="7BDDE89F" w14:textId="77777777" w:rsidR="00327FF1" w:rsidRDefault="00E406C7">
            <w:pPr>
              <w:pStyle w:val="P68B1DB1-Normal11"/>
              <w:spacing w:line="276" w:lineRule="auto"/>
              <w:jc w:val="center"/>
              <w:rPr>
                <w:noProof/>
                <w:szCs w:val="20"/>
              </w:rPr>
            </w:pPr>
            <w:r>
              <w:rPr>
                <w:noProof/>
              </w:rPr>
              <w:t>NEPIEMĒRO</w:t>
            </w:r>
          </w:p>
        </w:tc>
        <w:tc>
          <w:tcPr>
            <w:tcW w:w="809" w:type="dxa"/>
            <w:tcBorders>
              <w:top w:val="nil"/>
              <w:left w:val="nil"/>
              <w:bottom w:val="single" w:sz="4" w:space="0" w:color="auto"/>
              <w:right w:val="single" w:sz="4" w:space="0" w:color="auto"/>
            </w:tcBorders>
            <w:shd w:val="clear" w:color="auto" w:fill="C6EFCE"/>
            <w:noWrap/>
            <w:vAlign w:val="center"/>
            <w:hideMark/>
          </w:tcPr>
          <w:p w14:paraId="0B320830" w14:textId="77777777" w:rsidR="00327FF1" w:rsidRDefault="00E406C7">
            <w:pPr>
              <w:pStyle w:val="P68B1DB1-Normal11"/>
              <w:spacing w:line="276" w:lineRule="auto"/>
              <w:jc w:val="center"/>
              <w:rPr>
                <w:noProof/>
                <w:szCs w:val="20"/>
              </w:rPr>
            </w:pPr>
            <w:r>
              <w:rPr>
                <w:noProof/>
              </w:rPr>
              <w:t>2. CET.</w:t>
            </w:r>
          </w:p>
        </w:tc>
        <w:tc>
          <w:tcPr>
            <w:tcW w:w="794" w:type="dxa"/>
            <w:tcBorders>
              <w:top w:val="nil"/>
              <w:left w:val="nil"/>
              <w:bottom w:val="single" w:sz="4" w:space="0" w:color="auto"/>
              <w:right w:val="single" w:sz="4" w:space="0" w:color="auto"/>
            </w:tcBorders>
            <w:shd w:val="clear" w:color="auto" w:fill="C6EFCE"/>
            <w:noWrap/>
            <w:vAlign w:val="center"/>
            <w:hideMark/>
          </w:tcPr>
          <w:p w14:paraId="1970D229" w14:textId="77777777" w:rsidR="00327FF1" w:rsidRDefault="00E406C7">
            <w:pPr>
              <w:pStyle w:val="P68B1DB1-Normal11"/>
              <w:spacing w:line="276" w:lineRule="auto"/>
              <w:jc w:val="center"/>
              <w:rPr>
                <w:noProof/>
                <w:szCs w:val="20"/>
              </w:rPr>
            </w:pPr>
            <w:r>
              <w:rPr>
                <w:noProof/>
              </w:rPr>
              <w:t>2022</w:t>
            </w:r>
          </w:p>
        </w:tc>
        <w:tc>
          <w:tcPr>
            <w:tcW w:w="2799" w:type="dxa"/>
            <w:tcBorders>
              <w:top w:val="nil"/>
              <w:left w:val="nil"/>
              <w:bottom w:val="single" w:sz="4" w:space="0" w:color="auto"/>
              <w:right w:val="single" w:sz="4" w:space="0" w:color="auto"/>
            </w:tcBorders>
            <w:shd w:val="clear" w:color="auto" w:fill="C6EFCE"/>
            <w:noWrap/>
            <w:vAlign w:val="center"/>
            <w:hideMark/>
          </w:tcPr>
          <w:p w14:paraId="183B35A1" w14:textId="77777777" w:rsidR="00327FF1" w:rsidRDefault="00E406C7">
            <w:pPr>
              <w:pStyle w:val="P68B1DB1-Normal11"/>
              <w:spacing w:line="276" w:lineRule="auto"/>
              <w:rPr>
                <w:noProof/>
                <w:szCs w:val="20"/>
              </w:rPr>
            </w:pPr>
            <w:r>
              <w:rPr>
                <w:noProof/>
              </w:rPr>
              <w:t>Pārskatītais tiesiskais regulējums ir vismaz:</w:t>
            </w:r>
          </w:p>
          <w:p w14:paraId="328526F3" w14:textId="1DFAAC0B" w:rsidR="00327FF1" w:rsidRDefault="00E406C7">
            <w:pPr>
              <w:pStyle w:val="P68B1DB1-Normal11"/>
              <w:spacing w:line="276" w:lineRule="auto"/>
              <w:rPr>
                <w:noProof/>
                <w:szCs w:val="20"/>
              </w:rPr>
            </w:pPr>
            <w:r>
              <w:rPr>
                <w:noProof/>
              </w:rPr>
              <w:t>Izveidot sodu sistēmu par nelikumīgu ūdens ieguvi</w:t>
            </w:r>
          </w:p>
          <w:p w14:paraId="3933FA5D" w14:textId="77777777" w:rsidR="00327FF1" w:rsidRDefault="00E406C7">
            <w:pPr>
              <w:pStyle w:val="P68B1DB1-Normal11"/>
              <w:spacing w:line="276" w:lineRule="auto"/>
              <w:rPr>
                <w:noProof/>
                <w:szCs w:val="20"/>
              </w:rPr>
            </w:pPr>
            <w:r>
              <w:rPr>
                <w:noProof/>
              </w:rPr>
              <w:t>Pieprasīt ietekmes novērtējumu, kā noteikts Ūdens pamatdi</w:t>
            </w:r>
            <w:r>
              <w:rPr>
                <w:noProof/>
              </w:rPr>
              <w:t>rektīvas 4. panta 7. punktā, lai novērtētu (iespējams, kumulatīvo) ietekmi uz visiem potenciāli skartajiem ūdensobjektiem.</w:t>
            </w:r>
          </w:p>
          <w:p w14:paraId="1A18A392" w14:textId="34A6DBB1" w:rsidR="00327FF1" w:rsidRDefault="00E406C7">
            <w:pPr>
              <w:pStyle w:val="P68B1DB1-Normal11"/>
              <w:spacing w:line="276" w:lineRule="auto"/>
              <w:rPr>
                <w:noProof/>
                <w:szCs w:val="20"/>
              </w:rPr>
            </w:pPr>
            <w:r>
              <w:rPr>
                <w:noProof/>
              </w:rPr>
              <w:t>—Nodrošināt, ka esošās apūdeņošanas sistēmas paplašināšana (tostarp palielinot ūdens izmantošanu, t. i., ne tikai fizisku izplešanos)</w:t>
            </w:r>
            <w:r>
              <w:rPr>
                <w:noProof/>
              </w:rPr>
              <w:t>, pat izmantojot efektīvākas metodes, tiek novērsta, ja attiecīgie ūdensobjekti (virszemes vai gruntsūdeņi) ir sliktākā stāvoklī vai potenciāli labā stāvoklī (klimata pārmaiņu pastiprināšanās kontekstā).</w:t>
            </w:r>
          </w:p>
        </w:tc>
      </w:tr>
      <w:tr w:rsidR="00327FF1" w14:paraId="006AC47F"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6393B5E8" w14:textId="77777777" w:rsidR="00327FF1" w:rsidRDefault="00E406C7">
            <w:pPr>
              <w:pStyle w:val="P68B1DB1-Normal11"/>
              <w:spacing w:line="276" w:lineRule="auto"/>
              <w:jc w:val="center"/>
              <w:rPr>
                <w:noProof/>
                <w:szCs w:val="20"/>
              </w:rPr>
            </w:pPr>
            <w:r>
              <w:rPr>
                <w:noProof/>
              </w:rPr>
              <w:t>M2C4–5</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34B67B38" w14:textId="77777777" w:rsidR="00327FF1" w:rsidRDefault="00E406C7">
            <w:pPr>
              <w:pStyle w:val="P68B1DB1-Normal11"/>
              <w:spacing w:line="276" w:lineRule="auto"/>
              <w:jc w:val="center"/>
              <w:rPr>
                <w:noProof/>
                <w:szCs w:val="20"/>
              </w:rPr>
            </w:pPr>
            <w:r>
              <w:rPr>
                <w:noProof/>
              </w:rPr>
              <w:t>“Investīcija Nr. 3.2. Nacionālo parku digitalizācija</w:t>
            </w:r>
          </w:p>
        </w:tc>
        <w:tc>
          <w:tcPr>
            <w:tcW w:w="1266" w:type="dxa"/>
            <w:tcBorders>
              <w:top w:val="nil"/>
              <w:left w:val="nil"/>
              <w:bottom w:val="single" w:sz="4" w:space="0" w:color="auto"/>
              <w:right w:val="single" w:sz="4" w:space="0" w:color="auto"/>
            </w:tcBorders>
            <w:shd w:val="clear" w:color="auto" w:fill="C6EFCE"/>
            <w:noWrap/>
            <w:vAlign w:val="center"/>
            <w:hideMark/>
          </w:tcPr>
          <w:p w14:paraId="57A1E96F" w14:textId="77777777" w:rsidR="00327FF1" w:rsidRDefault="00E406C7">
            <w:pPr>
              <w:pStyle w:val="P68B1DB1-Normal11"/>
              <w:spacing w:line="276" w:lineRule="auto"/>
              <w:jc w:val="center"/>
              <w:rPr>
                <w:noProof/>
                <w:szCs w:val="20"/>
              </w:rPr>
            </w:pPr>
            <w:r>
              <w:rPr>
                <w:noProof/>
              </w:rPr>
              <w:t>Atskaites punkts</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79853C36" w14:textId="77777777" w:rsidR="00327FF1" w:rsidRDefault="00E406C7">
            <w:pPr>
              <w:pStyle w:val="P68B1DB1-Normal11"/>
              <w:spacing w:line="276" w:lineRule="auto"/>
              <w:jc w:val="center"/>
              <w:rPr>
                <w:noProof/>
                <w:szCs w:val="20"/>
              </w:rPr>
            </w:pPr>
            <w:r>
              <w:rPr>
                <w:noProof/>
              </w:rPr>
              <w:t>Administratīvo vienkāršošanas un digitālo pakalpojumu izstrādes stāšanās spēkā nacionālo parku un aizsargājamo jūras teritoriju apmeklētājiem</w:t>
            </w:r>
          </w:p>
        </w:tc>
        <w:tc>
          <w:tcPr>
            <w:tcW w:w="1414" w:type="dxa"/>
            <w:tcBorders>
              <w:top w:val="nil"/>
              <w:left w:val="nil"/>
              <w:bottom w:val="single" w:sz="4" w:space="0" w:color="auto"/>
              <w:right w:val="single" w:sz="4" w:space="0" w:color="auto"/>
            </w:tcBorders>
            <w:shd w:val="clear" w:color="auto" w:fill="C6EFCE"/>
            <w:noWrap/>
            <w:vAlign w:val="center"/>
            <w:hideMark/>
          </w:tcPr>
          <w:p w14:paraId="0763CB3F" w14:textId="0046E9E6" w:rsidR="00327FF1" w:rsidRDefault="00E406C7">
            <w:pPr>
              <w:pStyle w:val="P68B1DB1-Normal11"/>
              <w:spacing w:line="276" w:lineRule="auto"/>
              <w:jc w:val="center"/>
              <w:rPr>
                <w:noProof/>
                <w:szCs w:val="20"/>
              </w:rPr>
            </w:pPr>
            <w:r>
              <w:rPr>
                <w:noProof/>
              </w:rPr>
              <w:t>Noteikums ministrijas dekrētā par stāšanos spēkā</w:t>
            </w:r>
          </w:p>
        </w:tc>
        <w:tc>
          <w:tcPr>
            <w:tcW w:w="1410" w:type="dxa"/>
            <w:tcBorders>
              <w:top w:val="nil"/>
              <w:left w:val="nil"/>
              <w:bottom w:val="single" w:sz="4" w:space="0" w:color="auto"/>
              <w:right w:val="single" w:sz="4" w:space="0" w:color="auto"/>
            </w:tcBorders>
            <w:shd w:val="clear" w:color="auto" w:fill="C6EFCE"/>
            <w:noWrap/>
            <w:vAlign w:val="center"/>
            <w:hideMark/>
          </w:tcPr>
          <w:p w14:paraId="1A78EB75" w14:textId="77777777" w:rsidR="00327FF1" w:rsidRDefault="00E406C7">
            <w:pPr>
              <w:pStyle w:val="P68B1DB1-Normal11"/>
              <w:spacing w:line="276" w:lineRule="auto"/>
              <w:jc w:val="center"/>
              <w:rPr>
                <w:noProof/>
                <w:szCs w:val="20"/>
              </w:rPr>
            </w:pPr>
            <w:r>
              <w:rPr>
                <w:noProof/>
              </w:rPr>
              <w:t>NEPIEMĒRO</w:t>
            </w:r>
          </w:p>
        </w:tc>
        <w:tc>
          <w:tcPr>
            <w:tcW w:w="1047" w:type="dxa"/>
            <w:tcBorders>
              <w:top w:val="nil"/>
              <w:left w:val="nil"/>
              <w:bottom w:val="single" w:sz="4" w:space="0" w:color="auto"/>
              <w:right w:val="single" w:sz="4" w:space="0" w:color="auto"/>
            </w:tcBorders>
            <w:shd w:val="clear" w:color="auto" w:fill="C6EFCE"/>
            <w:noWrap/>
            <w:vAlign w:val="center"/>
            <w:hideMark/>
          </w:tcPr>
          <w:p w14:paraId="2BEDAA7E" w14:textId="77777777" w:rsidR="00327FF1" w:rsidRDefault="00E406C7">
            <w:pPr>
              <w:pStyle w:val="P68B1DB1-Normal11"/>
              <w:spacing w:line="276" w:lineRule="auto"/>
              <w:jc w:val="center"/>
              <w:rPr>
                <w:noProof/>
                <w:szCs w:val="20"/>
              </w:rPr>
            </w:pPr>
            <w:r>
              <w:rPr>
                <w:noProof/>
              </w:rPr>
              <w:t>NEPIEMĒRO</w:t>
            </w:r>
          </w:p>
        </w:tc>
        <w:tc>
          <w:tcPr>
            <w:tcW w:w="719" w:type="dxa"/>
            <w:tcBorders>
              <w:top w:val="nil"/>
              <w:left w:val="nil"/>
              <w:bottom w:val="single" w:sz="4" w:space="0" w:color="auto"/>
              <w:right w:val="single" w:sz="4" w:space="0" w:color="auto"/>
            </w:tcBorders>
            <w:shd w:val="clear" w:color="auto" w:fill="C6EFCE"/>
            <w:noWrap/>
            <w:vAlign w:val="center"/>
            <w:hideMark/>
          </w:tcPr>
          <w:p w14:paraId="57B26615" w14:textId="77777777" w:rsidR="00327FF1" w:rsidRDefault="00E406C7">
            <w:pPr>
              <w:pStyle w:val="P68B1DB1-Normal11"/>
              <w:spacing w:line="276" w:lineRule="auto"/>
              <w:jc w:val="center"/>
              <w:rPr>
                <w:noProof/>
                <w:szCs w:val="20"/>
              </w:rPr>
            </w:pPr>
            <w:r>
              <w:rPr>
                <w:noProof/>
              </w:rPr>
              <w:t>NEPIEMĒRO</w:t>
            </w:r>
          </w:p>
        </w:tc>
        <w:tc>
          <w:tcPr>
            <w:tcW w:w="809" w:type="dxa"/>
            <w:tcBorders>
              <w:top w:val="nil"/>
              <w:left w:val="nil"/>
              <w:bottom w:val="single" w:sz="4" w:space="0" w:color="auto"/>
              <w:right w:val="single" w:sz="4" w:space="0" w:color="auto"/>
            </w:tcBorders>
            <w:shd w:val="clear" w:color="auto" w:fill="C6EFCE"/>
            <w:noWrap/>
            <w:vAlign w:val="center"/>
            <w:hideMark/>
          </w:tcPr>
          <w:p w14:paraId="72032A50" w14:textId="77777777" w:rsidR="00327FF1" w:rsidRDefault="00E406C7">
            <w:pPr>
              <w:pStyle w:val="P68B1DB1-Normal11"/>
              <w:spacing w:line="276" w:lineRule="auto"/>
              <w:jc w:val="center"/>
              <w:rPr>
                <w:noProof/>
                <w:szCs w:val="20"/>
              </w:rPr>
            </w:pPr>
            <w:r>
              <w:rPr>
                <w:noProof/>
              </w:rPr>
              <w:t>Q1</w:t>
            </w:r>
          </w:p>
        </w:tc>
        <w:tc>
          <w:tcPr>
            <w:tcW w:w="794" w:type="dxa"/>
            <w:tcBorders>
              <w:top w:val="nil"/>
              <w:left w:val="nil"/>
              <w:bottom w:val="single" w:sz="4" w:space="0" w:color="auto"/>
              <w:right w:val="single" w:sz="4" w:space="0" w:color="auto"/>
            </w:tcBorders>
            <w:shd w:val="clear" w:color="auto" w:fill="C6EFCE"/>
            <w:noWrap/>
            <w:vAlign w:val="center"/>
            <w:hideMark/>
          </w:tcPr>
          <w:p w14:paraId="7E7B3479" w14:textId="77777777" w:rsidR="00327FF1" w:rsidRDefault="00E406C7">
            <w:pPr>
              <w:pStyle w:val="P68B1DB1-Normal11"/>
              <w:spacing w:line="276" w:lineRule="auto"/>
              <w:jc w:val="center"/>
              <w:rPr>
                <w:noProof/>
                <w:szCs w:val="20"/>
              </w:rPr>
            </w:pPr>
            <w:r>
              <w:rPr>
                <w:noProof/>
              </w:rPr>
              <w:t>2022</w:t>
            </w:r>
          </w:p>
        </w:tc>
        <w:tc>
          <w:tcPr>
            <w:tcW w:w="2799" w:type="dxa"/>
            <w:tcBorders>
              <w:top w:val="nil"/>
              <w:left w:val="nil"/>
              <w:bottom w:val="single" w:sz="4" w:space="0" w:color="auto"/>
              <w:right w:val="single" w:sz="4" w:space="0" w:color="auto"/>
            </w:tcBorders>
            <w:shd w:val="clear" w:color="auto" w:fill="C6EFCE"/>
            <w:noWrap/>
            <w:vAlign w:val="center"/>
            <w:hideMark/>
          </w:tcPr>
          <w:p w14:paraId="5798F812" w14:textId="4CD20637" w:rsidR="00327FF1" w:rsidRDefault="00E406C7">
            <w:pPr>
              <w:pStyle w:val="P68B1DB1-Normal11"/>
              <w:spacing w:line="276" w:lineRule="auto"/>
              <w:rPr>
                <w:noProof/>
                <w:szCs w:val="20"/>
              </w:rPr>
            </w:pPr>
            <w:r>
              <w:rPr>
                <w:noProof/>
              </w:rPr>
              <w:t>Ministrija</w:t>
            </w:r>
            <w:r>
              <w:rPr>
                <w:noProof/>
              </w:rPr>
              <w:t>s dekrēts pilnvaro izstrādāt digitālos pakalpojumus nacionālo parku un aizsargājamo jūras teritoriju apmeklētājiem.</w:t>
            </w:r>
          </w:p>
          <w:p w14:paraId="2271BCF5" w14:textId="77777777" w:rsidR="00327FF1" w:rsidRDefault="00327FF1">
            <w:pPr>
              <w:spacing w:line="276" w:lineRule="auto"/>
              <w:rPr>
                <w:rFonts w:ascii="Arial Narrow" w:hAnsi="Arial Narrow"/>
                <w:noProof/>
                <w:color w:val="006100"/>
                <w:sz w:val="20"/>
                <w:szCs w:val="20"/>
              </w:rPr>
            </w:pPr>
          </w:p>
        </w:tc>
      </w:tr>
      <w:tr w:rsidR="00327FF1" w14:paraId="13D75684" w14:textId="77777777">
        <w:trPr>
          <w:trHeight w:val="309"/>
          <w:jc w:val="center"/>
        </w:trPr>
        <w:tc>
          <w:tcPr>
            <w:tcW w:w="1347" w:type="dxa"/>
            <w:tcBorders>
              <w:top w:val="nil"/>
              <w:left w:val="single" w:sz="4" w:space="0" w:color="auto"/>
              <w:bottom w:val="single" w:sz="4" w:space="0" w:color="auto"/>
              <w:right w:val="single" w:sz="4" w:space="0" w:color="auto"/>
            </w:tcBorders>
            <w:shd w:val="clear" w:color="auto" w:fill="C6EFCE"/>
            <w:noWrap/>
            <w:vAlign w:val="center"/>
            <w:hideMark/>
          </w:tcPr>
          <w:p w14:paraId="32BFD37D" w14:textId="77777777" w:rsidR="00327FF1" w:rsidRDefault="00E406C7">
            <w:pPr>
              <w:pStyle w:val="P68B1DB1-Normal11"/>
              <w:spacing w:line="276" w:lineRule="auto"/>
              <w:jc w:val="center"/>
              <w:rPr>
                <w:noProof/>
              </w:rPr>
            </w:pPr>
            <w:r>
              <w:rPr>
                <w:noProof/>
              </w:rPr>
              <w:t>M2C4–32</w:t>
            </w:r>
          </w:p>
        </w:tc>
        <w:tc>
          <w:tcPr>
            <w:tcW w:w="1495" w:type="dxa"/>
            <w:tcBorders>
              <w:top w:val="single" w:sz="4" w:space="0" w:color="auto"/>
              <w:left w:val="nil"/>
              <w:bottom w:val="single" w:sz="4" w:space="0" w:color="auto"/>
              <w:right w:val="single" w:sz="4" w:space="0" w:color="auto"/>
            </w:tcBorders>
            <w:shd w:val="clear" w:color="auto" w:fill="C6EFCE"/>
            <w:noWrap/>
            <w:vAlign w:val="center"/>
            <w:hideMark/>
          </w:tcPr>
          <w:p w14:paraId="04213ECD" w14:textId="77777777" w:rsidR="00327FF1" w:rsidRDefault="00E406C7">
            <w:pPr>
              <w:pStyle w:val="P68B1DB1-Normal11"/>
              <w:spacing w:line="276" w:lineRule="auto"/>
              <w:jc w:val="center"/>
              <w:rPr>
                <w:noProof/>
              </w:rPr>
            </w:pPr>
            <w:r>
              <w:rPr>
                <w:noProof/>
              </w:rPr>
              <w:t>Investīciju 4.2: Zudumu samazināšana ūdens sadales tīklos, tostarp tīklu digitalizācija un monitorings</w:t>
            </w:r>
          </w:p>
        </w:tc>
        <w:tc>
          <w:tcPr>
            <w:tcW w:w="1266" w:type="dxa"/>
            <w:tcBorders>
              <w:top w:val="nil"/>
              <w:left w:val="nil"/>
              <w:bottom w:val="single" w:sz="4" w:space="0" w:color="auto"/>
              <w:right w:val="single" w:sz="4" w:space="0" w:color="auto"/>
            </w:tcBorders>
            <w:shd w:val="clear" w:color="auto" w:fill="C6EFCE"/>
            <w:noWrap/>
            <w:vAlign w:val="center"/>
            <w:hideMark/>
          </w:tcPr>
          <w:p w14:paraId="0A72F087" w14:textId="77777777" w:rsidR="00327FF1" w:rsidRDefault="00E406C7">
            <w:pPr>
              <w:pStyle w:val="P68B1DB1-Normal11"/>
              <w:spacing w:line="276" w:lineRule="auto"/>
              <w:jc w:val="center"/>
              <w:rPr>
                <w:noProof/>
              </w:rPr>
            </w:pPr>
            <w:r>
              <w:rPr>
                <w:noProof/>
              </w:rPr>
              <w:t>Mērķa</w:t>
            </w:r>
          </w:p>
        </w:tc>
        <w:tc>
          <w:tcPr>
            <w:tcW w:w="1460" w:type="dxa"/>
            <w:tcBorders>
              <w:top w:val="single" w:sz="4" w:space="0" w:color="auto"/>
              <w:left w:val="nil"/>
              <w:bottom w:val="single" w:sz="4" w:space="0" w:color="auto"/>
              <w:right w:val="single" w:sz="4" w:space="0" w:color="auto"/>
            </w:tcBorders>
            <w:shd w:val="clear" w:color="auto" w:fill="C6EFCE"/>
            <w:noWrap/>
            <w:vAlign w:val="center"/>
            <w:hideMark/>
          </w:tcPr>
          <w:p w14:paraId="76822B67" w14:textId="77777777" w:rsidR="00327FF1" w:rsidRDefault="00E406C7">
            <w:pPr>
              <w:pStyle w:val="P68B1DB1-Normal11"/>
              <w:spacing w:line="276" w:lineRule="auto"/>
              <w:jc w:val="center"/>
              <w:rPr>
                <w:noProof/>
              </w:rPr>
            </w:pPr>
            <w:r>
              <w:rPr>
                <w:noProof/>
              </w:rPr>
              <w:t>Intervences ūdens sadales tīklos, tostarp T2 tīklu digitalizācija un monitorings</w:t>
            </w:r>
          </w:p>
        </w:tc>
        <w:tc>
          <w:tcPr>
            <w:tcW w:w="1414" w:type="dxa"/>
            <w:tcBorders>
              <w:top w:val="nil"/>
              <w:left w:val="nil"/>
              <w:bottom w:val="single" w:sz="4" w:space="0" w:color="auto"/>
              <w:right w:val="single" w:sz="4" w:space="0" w:color="auto"/>
            </w:tcBorders>
            <w:shd w:val="clear" w:color="auto" w:fill="C6EFCE"/>
            <w:noWrap/>
            <w:vAlign w:val="center"/>
            <w:hideMark/>
          </w:tcPr>
          <w:p w14:paraId="7AC80FBE" w14:textId="77777777" w:rsidR="00327FF1" w:rsidRDefault="00E406C7">
            <w:pPr>
              <w:pStyle w:val="P68B1DB1-Normal11"/>
              <w:spacing w:line="276" w:lineRule="auto"/>
              <w:jc w:val="center"/>
              <w:rPr>
                <w:noProof/>
              </w:rPr>
            </w:pPr>
            <w:r>
              <w:rPr>
                <w:noProof/>
              </w:rPr>
              <w:t>NEPIEMĒRO</w:t>
            </w:r>
          </w:p>
        </w:tc>
        <w:tc>
          <w:tcPr>
            <w:tcW w:w="1410" w:type="dxa"/>
            <w:tcBorders>
              <w:top w:val="nil"/>
              <w:left w:val="nil"/>
              <w:bottom w:val="single" w:sz="4" w:space="0" w:color="auto"/>
              <w:right w:val="single" w:sz="4" w:space="0" w:color="auto"/>
            </w:tcBorders>
            <w:shd w:val="clear" w:color="auto" w:fill="C6EFCE"/>
            <w:noWrap/>
            <w:vAlign w:val="center"/>
            <w:hideMark/>
          </w:tcPr>
          <w:p w14:paraId="6810D9A4" w14:textId="77777777" w:rsidR="00327FF1" w:rsidRDefault="00E406C7">
            <w:pPr>
              <w:pStyle w:val="P68B1DB1-Normal11"/>
              <w:spacing w:line="276" w:lineRule="auto"/>
              <w:jc w:val="center"/>
              <w:rPr>
                <w:noProof/>
              </w:rPr>
            </w:pPr>
            <w:r>
              <w:rPr>
                <w:noProof/>
              </w:rPr>
              <w:t>Skaits</w:t>
            </w:r>
          </w:p>
        </w:tc>
        <w:tc>
          <w:tcPr>
            <w:tcW w:w="1047" w:type="dxa"/>
            <w:tcBorders>
              <w:top w:val="nil"/>
              <w:left w:val="nil"/>
              <w:bottom w:val="single" w:sz="4" w:space="0" w:color="auto"/>
              <w:right w:val="single" w:sz="4" w:space="0" w:color="auto"/>
            </w:tcBorders>
            <w:shd w:val="clear" w:color="auto" w:fill="C6EFCE"/>
            <w:noWrap/>
            <w:vAlign w:val="center"/>
            <w:hideMark/>
          </w:tcPr>
          <w:p w14:paraId="697A5EE3" w14:textId="77777777" w:rsidR="00327FF1" w:rsidRDefault="00E406C7">
            <w:pPr>
              <w:pStyle w:val="P68B1DB1-Normal11"/>
              <w:spacing w:line="276" w:lineRule="auto"/>
              <w:jc w:val="center"/>
              <w:rPr>
                <w:noProof/>
              </w:rPr>
            </w:pPr>
            <w:r>
              <w:rPr>
                <w:noProof/>
              </w:rPr>
              <w:t>14 000</w:t>
            </w:r>
          </w:p>
        </w:tc>
        <w:tc>
          <w:tcPr>
            <w:tcW w:w="719" w:type="dxa"/>
            <w:tcBorders>
              <w:top w:val="nil"/>
              <w:left w:val="nil"/>
              <w:bottom w:val="single" w:sz="4" w:space="0" w:color="auto"/>
              <w:right w:val="single" w:sz="4" w:space="0" w:color="auto"/>
            </w:tcBorders>
            <w:shd w:val="clear" w:color="auto" w:fill="C6EFCE"/>
            <w:noWrap/>
            <w:vAlign w:val="center"/>
            <w:hideMark/>
          </w:tcPr>
          <w:p w14:paraId="16972367" w14:textId="77777777" w:rsidR="00327FF1" w:rsidRDefault="00E406C7">
            <w:pPr>
              <w:pStyle w:val="P68B1DB1-Normal11"/>
              <w:spacing w:line="276" w:lineRule="auto"/>
              <w:jc w:val="center"/>
              <w:rPr>
                <w:noProof/>
              </w:rPr>
            </w:pPr>
            <w:r>
              <w:rPr>
                <w:noProof/>
              </w:rPr>
              <w:t>45 000</w:t>
            </w:r>
          </w:p>
        </w:tc>
        <w:tc>
          <w:tcPr>
            <w:tcW w:w="809" w:type="dxa"/>
            <w:tcBorders>
              <w:top w:val="nil"/>
              <w:left w:val="nil"/>
              <w:bottom w:val="single" w:sz="4" w:space="0" w:color="auto"/>
              <w:right w:val="single" w:sz="4" w:space="0" w:color="auto"/>
            </w:tcBorders>
            <w:shd w:val="clear" w:color="auto" w:fill="C6EFCE"/>
            <w:noWrap/>
            <w:vAlign w:val="center"/>
            <w:hideMark/>
          </w:tcPr>
          <w:p w14:paraId="3F35E057" w14:textId="77777777" w:rsidR="00327FF1" w:rsidRDefault="00E406C7">
            <w:pPr>
              <w:pStyle w:val="P68B1DB1-Normal11"/>
              <w:spacing w:line="276" w:lineRule="auto"/>
              <w:jc w:val="center"/>
              <w:rPr>
                <w:noProof/>
              </w:rPr>
            </w:pPr>
            <w:r>
              <w:rPr>
                <w:noProof/>
              </w:rPr>
              <w:t>4. CET.</w:t>
            </w:r>
          </w:p>
        </w:tc>
        <w:tc>
          <w:tcPr>
            <w:tcW w:w="794" w:type="dxa"/>
            <w:tcBorders>
              <w:top w:val="nil"/>
              <w:left w:val="nil"/>
              <w:bottom w:val="single" w:sz="4" w:space="0" w:color="auto"/>
              <w:right w:val="single" w:sz="4" w:space="0" w:color="auto"/>
            </w:tcBorders>
            <w:shd w:val="clear" w:color="auto" w:fill="C6EFCE"/>
            <w:noWrap/>
            <w:vAlign w:val="center"/>
            <w:hideMark/>
          </w:tcPr>
          <w:p w14:paraId="10EC2CBF" w14:textId="77777777" w:rsidR="00327FF1" w:rsidRDefault="00E406C7">
            <w:pPr>
              <w:pStyle w:val="P68B1DB1-Normal11"/>
              <w:spacing w:line="276" w:lineRule="auto"/>
              <w:jc w:val="center"/>
              <w:rPr>
                <w:noProof/>
              </w:rPr>
            </w:pPr>
            <w:r>
              <w:rPr>
                <w:noProof/>
              </w:rPr>
              <w:t>2025</w:t>
            </w:r>
          </w:p>
        </w:tc>
        <w:tc>
          <w:tcPr>
            <w:tcW w:w="2799" w:type="dxa"/>
            <w:tcBorders>
              <w:top w:val="nil"/>
              <w:left w:val="nil"/>
              <w:bottom w:val="single" w:sz="4" w:space="0" w:color="auto"/>
              <w:right w:val="single" w:sz="4" w:space="0" w:color="auto"/>
            </w:tcBorders>
            <w:shd w:val="clear" w:color="auto" w:fill="C6EFCE"/>
            <w:noWrap/>
            <w:vAlign w:val="center"/>
            <w:hideMark/>
          </w:tcPr>
          <w:p w14:paraId="4F7D4545" w14:textId="77777777" w:rsidR="00327FF1" w:rsidRDefault="00E406C7">
            <w:pPr>
              <w:pStyle w:val="P68B1DB1-Normal11"/>
              <w:spacing w:line="276" w:lineRule="auto"/>
              <w:rPr>
                <w:noProof/>
              </w:rPr>
            </w:pPr>
            <w:r>
              <w:rPr>
                <w:noProof/>
              </w:rPr>
              <w:t>Vismaz 45000 kilometru</w:t>
            </w:r>
            <w:r>
              <w:rPr>
                <w:noProof/>
              </w:rPr>
              <w:t xml:space="preserve"> ūdens tīkla nodalīšana</w:t>
            </w:r>
          </w:p>
        </w:tc>
      </w:tr>
    </w:tbl>
    <w:p w14:paraId="1B00E62D" w14:textId="77777777" w:rsidR="00327FF1" w:rsidRDefault="00327FF1">
      <w:pPr>
        <w:spacing w:before="120" w:after="120"/>
        <w:ind w:left="709"/>
        <w:jc w:val="both"/>
        <w:rPr>
          <w:noProof/>
        </w:rPr>
      </w:pPr>
    </w:p>
    <w:p w14:paraId="0C8AFC02" w14:textId="77777777" w:rsidR="00327FF1" w:rsidRDefault="00327FF1">
      <w:pPr>
        <w:spacing w:before="120" w:after="120"/>
        <w:ind w:left="709"/>
        <w:jc w:val="both"/>
        <w:rPr>
          <w:noProof/>
        </w:rPr>
        <w:sectPr w:rsidR="00327FF1" w:rsidSect="005F11B9">
          <w:headerReference w:type="even" r:id="rId122"/>
          <w:headerReference w:type="default" r:id="rId123"/>
          <w:footerReference w:type="even" r:id="rId124"/>
          <w:footerReference w:type="default" r:id="rId125"/>
          <w:headerReference w:type="first" r:id="rId126"/>
          <w:footerReference w:type="first" r:id="rId127"/>
          <w:pgSz w:w="16838" w:h="11906" w:orient="landscape" w:code="9"/>
          <w:pgMar w:top="1134" w:right="1134" w:bottom="1134" w:left="1134" w:header="567" w:footer="567" w:gutter="0"/>
          <w:cols w:space="720"/>
          <w:docGrid w:linePitch="360"/>
        </w:sectPr>
      </w:pPr>
    </w:p>
    <w:p w14:paraId="4AF2856C" w14:textId="77777777" w:rsidR="00327FF1" w:rsidRDefault="00E406C7">
      <w:pPr>
        <w:pStyle w:val="P68B1DB1-Heading39"/>
        <w:ind w:left="850" w:hanging="850"/>
        <w:rPr>
          <w:b/>
          <w:bCs/>
          <w:i/>
          <w:iCs/>
          <w:noProof/>
          <w:color w:val="156082" w:themeColor="accent1"/>
          <w:u w:val="single"/>
        </w:rPr>
      </w:pPr>
      <w:r>
        <w:rPr>
          <w:b/>
          <w:noProof/>
          <w:u w:val="single"/>
        </w:rPr>
        <w:t xml:space="preserve">G.3. </w:t>
      </w:r>
      <w:r>
        <w:rPr>
          <w:noProof/>
        </w:rPr>
        <w:t xml:space="preserve"> </w:t>
      </w:r>
      <w:r>
        <w:rPr>
          <w:b/>
          <w:noProof/>
          <w:u w:val="single"/>
        </w:rPr>
        <w:t xml:space="preserve">Aizdevumam pieteikto reformu un investīciju apraksts </w:t>
      </w:r>
    </w:p>
    <w:p w14:paraId="54F55444" w14:textId="77777777" w:rsidR="00327FF1" w:rsidRDefault="00E406C7">
      <w:pPr>
        <w:pStyle w:val="P68B1DB1-Normal5"/>
        <w:spacing w:before="120" w:after="120" w:line="257" w:lineRule="auto"/>
        <w:jc w:val="both"/>
        <w:rPr>
          <w:noProof/>
        </w:rPr>
      </w:pPr>
      <w:r>
        <w:rPr>
          <w:noProof/>
        </w:rPr>
        <w:t xml:space="preserve">Reforma Nr. 3.1. Valstu gaisa piesārņojuma kontroles programmu pieņemšana </w:t>
      </w:r>
    </w:p>
    <w:p w14:paraId="62AE968F" w14:textId="77777777" w:rsidR="00327FF1" w:rsidRDefault="00E406C7">
      <w:pPr>
        <w:pStyle w:val="P68B1DB1-Normal7"/>
        <w:spacing w:before="120" w:after="120"/>
        <w:jc w:val="both"/>
        <w:rPr>
          <w:noProof/>
        </w:rPr>
      </w:pPr>
      <w:r>
        <w:rPr>
          <w:noProof/>
        </w:rPr>
        <w:t xml:space="preserve">Reformas mērķis ir saskaņot valstu un </w:t>
      </w:r>
      <w:r>
        <w:rPr>
          <w:noProof/>
        </w:rPr>
        <w:t>reģionālos tiesību aktus un ieviest saistītus pasākumus gaisa piesārņotāju emisiju samazināšanai (saskaņā ar mērķrādītājiem, kas noteikti Direktīvā 2016/2284 par valstīm noteikto maksimāli pieļaujamo emisiju un klimata gāzu izmaiņām).</w:t>
      </w:r>
    </w:p>
    <w:p w14:paraId="5ED2CE54" w14:textId="77777777" w:rsidR="00327FF1" w:rsidRDefault="00E406C7">
      <w:pPr>
        <w:pStyle w:val="P68B1DB1-Normal5"/>
        <w:spacing w:before="120" w:after="120" w:line="257" w:lineRule="auto"/>
        <w:jc w:val="both"/>
        <w:rPr>
          <w:bCs/>
          <w:noProof/>
        </w:rPr>
      </w:pPr>
      <w:r>
        <w:rPr>
          <w:noProof/>
        </w:rPr>
        <w:t>Investīcija 1.1: Prog</w:t>
      </w:r>
      <w:r>
        <w:rPr>
          <w:noProof/>
        </w:rPr>
        <w:t>resīvas un integrētas uzraudzības un prognozēšanas sistēmas īstenošana</w:t>
      </w:r>
    </w:p>
    <w:p w14:paraId="5842594F" w14:textId="3B87D2CE" w:rsidR="00327FF1" w:rsidRDefault="00E406C7">
      <w:pPr>
        <w:pStyle w:val="P68B1DB1-Normal7"/>
        <w:spacing w:before="120" w:after="120"/>
        <w:jc w:val="both"/>
        <w:rPr>
          <w:noProof/>
        </w:rPr>
      </w:pPr>
      <w:r>
        <w:rPr>
          <w:noProof/>
        </w:rPr>
        <w:t>Šīs investīcijas mērķis ir apzināt un prognozēt riskus, kas izriet no klimata pārmaiņu ietekmes un neatbilstīgas telpiskās plānošanas, un sniegt informāciju riska novēršanas plāniem. Ši</w:t>
      </w:r>
      <w:r>
        <w:rPr>
          <w:noProof/>
        </w:rPr>
        <w:t>s ieguldījums ietver tādas uzraudzības sistēmas izveidi, kas ļauj attālināti kontrolēt lielus teritoriālos apgabalus un identificēt atkritumu nelikumīgu apglabāšanu.</w:t>
      </w:r>
    </w:p>
    <w:p w14:paraId="04692204" w14:textId="77777777" w:rsidR="00327FF1" w:rsidRDefault="00E406C7">
      <w:pPr>
        <w:pStyle w:val="P68B1DB1-Normal5"/>
        <w:spacing w:before="120" w:after="120" w:line="257" w:lineRule="auto"/>
        <w:jc w:val="both"/>
        <w:rPr>
          <w:bCs/>
          <w:noProof/>
        </w:rPr>
      </w:pPr>
      <w:r>
        <w:rPr>
          <w:noProof/>
        </w:rPr>
        <w:t>Investīcija 2.1: Plūdu un hidroģeoloģiskā riska mazināšanas pasākumi</w:t>
      </w:r>
    </w:p>
    <w:p w14:paraId="59DBF6AD" w14:textId="14513EE2" w:rsidR="00327FF1" w:rsidRDefault="00E406C7">
      <w:pPr>
        <w:pStyle w:val="P68B1DB1-Normal7"/>
        <w:spacing w:after="120"/>
        <w:jc w:val="both"/>
        <w:rPr>
          <w:noProof/>
        </w:rPr>
      </w:pPr>
      <w:r>
        <w:rPr>
          <w:noProof/>
        </w:rPr>
        <w:t>Šā pasākuma mērķis ir</w:t>
      </w:r>
      <w:r>
        <w:rPr>
          <w:noProof/>
        </w:rPr>
        <w:t xml:space="preserve"> novērst hidroģeoloģisko nestabilitāti Itālijas teritorijā. Pasākums sastāv no diviem darbības virzieniem — </w:t>
      </w:r>
      <w:r>
        <w:rPr>
          <w:i/>
          <w:noProof/>
        </w:rPr>
        <w:t>Protezione Civile</w:t>
      </w:r>
      <w:r>
        <w:rPr>
          <w:noProof/>
        </w:rPr>
        <w:t xml:space="preserve"> un</w:t>
      </w:r>
      <w:r>
        <w:rPr>
          <w:i/>
          <w:noProof/>
        </w:rPr>
        <w:t xml:space="preserve"> </w:t>
      </w:r>
      <w:r>
        <w:rPr>
          <w:noProof/>
        </w:rPr>
        <w:t>“Ārkārtas komisārs atjaunošanai Emīlijas-Romanjas, Toskānas un Markes teritorijās”, ko skāruši 2023. gada maija plūdi</w:t>
      </w:r>
      <w:r>
        <w:rPr>
          <w:i/>
          <w:noProof/>
        </w:rPr>
        <w:t xml:space="preserve"> (Commissa</w:t>
      </w:r>
      <w:r>
        <w:rPr>
          <w:i/>
          <w:noProof/>
        </w:rPr>
        <w:t>rio per la ricostruzione nel territorio della regione Emilia Romagna, Toscana e Marche)</w:t>
      </w:r>
      <w:r>
        <w:rPr>
          <w:noProof/>
        </w:rPr>
        <w:t xml:space="preserve"> kā atbildīgā administrācija: pirmais darbības virziens attiecas uz tādu intervences pasākumu kopumu, kuru mērķis ir atjaunot bojātās publiskās struktūras un infrastrukt</w:t>
      </w:r>
      <w:r>
        <w:rPr>
          <w:noProof/>
        </w:rPr>
        <w:t>ūras (E tipa intervences) un samazināt atlikušo risku, kas cieši saistīts ar pasākumu un kura galvenais mērķis ir aizsargāt publisko un privāto drošību (D tipa intervences); otrais darbības virziens attiecas uz pasākumiem, kuru mērķis ir atjaunot ūdensceļu</w:t>
      </w:r>
      <w:r>
        <w:rPr>
          <w:noProof/>
        </w:rPr>
        <w:t>s un palielināt aizsardzību pret plūdiem un zemes nogruvumiem, un transporta tīkla rehabilitācijas pasākumiem teritorijās, kuras skāruši 2023. gada maija plūdi.</w:t>
      </w:r>
    </w:p>
    <w:p w14:paraId="66933458" w14:textId="77777777" w:rsidR="00327FF1" w:rsidRDefault="00E406C7">
      <w:pPr>
        <w:pStyle w:val="P68B1DB1-Normal5"/>
        <w:spacing w:before="120" w:after="120" w:line="257" w:lineRule="auto"/>
        <w:jc w:val="both"/>
        <w:rPr>
          <w:bCs/>
          <w:noProof/>
        </w:rPr>
      </w:pPr>
      <w:r>
        <w:rPr>
          <w:noProof/>
        </w:rPr>
        <w:t xml:space="preserve">Investīcija Nr. 3.1: Pilsētu un piepilsētu mežu aizsardzība un uzlabošana </w:t>
      </w:r>
    </w:p>
    <w:p w14:paraId="384C0A95" w14:textId="0BE62598" w:rsidR="00327FF1" w:rsidRDefault="00E406C7">
      <w:pPr>
        <w:pStyle w:val="P68B1DB1-Normal7"/>
        <w:spacing w:before="120" w:after="120"/>
        <w:jc w:val="both"/>
        <w:rPr>
          <w:noProof/>
        </w:rPr>
      </w:pPr>
      <w:r>
        <w:rPr>
          <w:noProof/>
        </w:rPr>
        <w:t xml:space="preserve">Šā pasākuma mērķis </w:t>
      </w:r>
      <w:r>
        <w:rPr>
          <w:noProof/>
        </w:rPr>
        <w:t xml:space="preserve">ir aizsargāt zaļās zonas un palielināt to skaitu, lai saglabātu un uzlabotu bioloģisko daudzveidību un uzlabotu šo teritoriju iedzīvotāju dzīves kvalitāti. Pasākums ietver meža reproduktīvā materiāla (sēklu vai augu) stādīšanu vismaz 4500000 koku un krūmu </w:t>
      </w:r>
      <w:r>
        <w:rPr>
          <w:noProof/>
        </w:rPr>
        <w:t>(4500 hektāros), no kuriem vismaz 3,5 miljoni koku tiek pārstādīti to galamērķī 14 lielpilsētās Itālijā.</w:t>
      </w:r>
    </w:p>
    <w:p w14:paraId="583EBE35" w14:textId="77777777" w:rsidR="00327FF1" w:rsidRDefault="00E406C7">
      <w:pPr>
        <w:pStyle w:val="P68B1DB1-Times1276"/>
        <w:rPr>
          <w:noProof/>
        </w:rPr>
      </w:pPr>
      <w:r>
        <w:rPr>
          <w:noProof/>
        </w:rPr>
        <w:t>Investīcija 3.2. — Nacionālo parku un aizsargājamo jūras teritoriju digitalizācija</w:t>
      </w:r>
    </w:p>
    <w:p w14:paraId="7A13ED6A" w14:textId="30454FB6" w:rsidR="00327FF1" w:rsidRDefault="00E406C7">
      <w:pPr>
        <w:pStyle w:val="P68B1DB1-Times1277"/>
        <w:rPr>
          <w:noProof/>
        </w:rPr>
      </w:pPr>
      <w:r>
        <w:rPr>
          <w:noProof/>
        </w:rPr>
        <w:t>Šā pasākuma mērķis ir modernizēt un digitalizēt procedūras, kas sais</w:t>
      </w:r>
      <w:r>
        <w:rPr>
          <w:noProof/>
        </w:rPr>
        <w:t>tītas ar nacionālo parku un aizsargājamo jūras teritoriju darbību. Pasākums ietver digitālus pakalpojumus apmeklētājiem un iejaukšanos dabas aizsardzībā un dabas resursu uzraudzībā.</w:t>
      </w:r>
    </w:p>
    <w:p w14:paraId="6987E681" w14:textId="77777777" w:rsidR="00327FF1" w:rsidRDefault="00E406C7">
      <w:pPr>
        <w:pStyle w:val="P68B1DB1-Normal5"/>
        <w:spacing w:before="120" w:after="120" w:line="257" w:lineRule="auto"/>
        <w:jc w:val="both"/>
        <w:rPr>
          <w:bCs/>
          <w:noProof/>
        </w:rPr>
      </w:pPr>
      <w:r>
        <w:rPr>
          <w:noProof/>
        </w:rPr>
        <w:t>Investīcija 3.3. — Po apgabala pārveidošana</w:t>
      </w:r>
    </w:p>
    <w:p w14:paraId="1DA2CB64" w14:textId="77777777" w:rsidR="00327FF1" w:rsidRDefault="00E406C7">
      <w:pPr>
        <w:pStyle w:val="P68B1DB1-Normal7"/>
        <w:spacing w:before="120" w:after="120"/>
        <w:jc w:val="both"/>
        <w:rPr>
          <w:noProof/>
        </w:rPr>
      </w:pPr>
      <w:r>
        <w:rPr>
          <w:noProof/>
        </w:rPr>
        <w:t>Šā pasākuma mērķis ir atjaunot</w:t>
      </w:r>
      <w:r>
        <w:rPr>
          <w:noProof/>
        </w:rPr>
        <w:t xml:space="preserve"> dabiskos procesus un veicināt bioloģiskās daudzveidības atjaunošanos Po upes teritorijā. Pasākums ietver intervences pasākumu veikšanu, lai samazinātu upes gultnes mākslīgumu.</w:t>
      </w:r>
    </w:p>
    <w:p w14:paraId="09617DB8" w14:textId="77777777" w:rsidR="00327FF1" w:rsidRDefault="00E406C7">
      <w:pPr>
        <w:pStyle w:val="P68B1DB1-Normal5"/>
        <w:spacing w:before="120" w:after="120" w:line="257" w:lineRule="auto"/>
        <w:jc w:val="both"/>
        <w:rPr>
          <w:bCs/>
          <w:noProof/>
        </w:rPr>
      </w:pPr>
      <w:r>
        <w:rPr>
          <w:noProof/>
        </w:rPr>
        <w:t>Investīcija 3.4: Bāreņu teritoriju sanācija</w:t>
      </w:r>
    </w:p>
    <w:p w14:paraId="7C20ACC5" w14:textId="77777777" w:rsidR="00327FF1" w:rsidRDefault="00E406C7">
      <w:pPr>
        <w:pStyle w:val="P68B1DB1-Normal7"/>
        <w:spacing w:before="120" w:after="120"/>
        <w:jc w:val="both"/>
        <w:rPr>
          <w:noProof/>
        </w:rPr>
      </w:pPr>
      <w:r>
        <w:rPr>
          <w:noProof/>
        </w:rPr>
        <w:t>Šīs intervences mērķis ir samazināt bāreņzāļu teritoriju ietekmi uz vidi, tādējādi netieši veicinot aprites ekonomiku. Šī investīcija ietver rīcības plāna pieņemšanu attiecībā uz bāreņu objektu apzināšanu un atdzīvināšanu Itālijas reģionos un autonomajās p</w:t>
      </w:r>
      <w:r>
        <w:rPr>
          <w:noProof/>
        </w:rPr>
        <w:t>rovincēs, kā arī īpašu intervences pasākumu īstenošanu, lai tos atjaunotu.</w:t>
      </w:r>
    </w:p>
    <w:p w14:paraId="0C90F2DD" w14:textId="77777777" w:rsidR="00327FF1" w:rsidRDefault="00E406C7">
      <w:pPr>
        <w:pStyle w:val="P68B1DB1-Normal5"/>
        <w:spacing w:before="120" w:after="120" w:line="257" w:lineRule="auto"/>
        <w:jc w:val="both"/>
        <w:rPr>
          <w:bCs/>
          <w:noProof/>
        </w:rPr>
      </w:pPr>
      <w:r>
        <w:rPr>
          <w:noProof/>
        </w:rPr>
        <w:t>Investīcija Nr. 3.5: Jūras gultnes un jūras dzīvotņu atjaunošana un aizsardzība</w:t>
      </w:r>
    </w:p>
    <w:p w14:paraId="2FC1ADFA" w14:textId="77777777" w:rsidR="00327FF1" w:rsidRDefault="00E406C7">
      <w:pPr>
        <w:pStyle w:val="P68B1DB1-Normal7"/>
        <w:jc w:val="both"/>
        <w:rPr>
          <w:noProof/>
        </w:rPr>
      </w:pPr>
      <w:r>
        <w:rPr>
          <w:noProof/>
        </w:rPr>
        <w:t xml:space="preserve">Šā pasākuma mērķis ir palīdzēt pavērst pretējā virzienā jūras gultnes un jūras dzīvotņu degradāciju. </w:t>
      </w:r>
      <w:r>
        <w:rPr>
          <w:noProof/>
        </w:rPr>
        <w:t>Pasākums ietver atbalstu jūras gultnes dzīvotņu kartēšanai un vides monitoringam, plānošanai un plaša mēroga atjaunošanas un aizsardzības pasākumiem, kā arī jūras novērošanas platformu uzlabošanai.</w:t>
      </w:r>
    </w:p>
    <w:p w14:paraId="2DCA7B9B" w14:textId="77777777" w:rsidR="00327FF1" w:rsidRDefault="00E406C7">
      <w:pPr>
        <w:pStyle w:val="P68B1DB1-Normal7"/>
        <w:rPr>
          <w:b/>
          <w:noProof/>
        </w:rPr>
      </w:pPr>
      <w:r>
        <w:rPr>
          <w:noProof/>
        </w:rPr>
        <w:br w:type="page"/>
      </w:r>
    </w:p>
    <w:p w14:paraId="343C114F" w14:textId="332F0473" w:rsidR="00327FF1" w:rsidRDefault="00E406C7">
      <w:pPr>
        <w:pStyle w:val="P68B1DB1-Normal5"/>
        <w:spacing w:before="120" w:after="120" w:line="257" w:lineRule="auto"/>
        <w:jc w:val="both"/>
        <w:rPr>
          <w:rFonts w:eastAsia="Calibri"/>
          <w:noProof/>
        </w:rPr>
      </w:pPr>
      <w:r>
        <w:rPr>
          <w:noProof/>
        </w:rPr>
        <w:t>Reforma Nr. 4.1. Tiesību aktu vienkāršošana un pārvaldīb</w:t>
      </w:r>
      <w:r>
        <w:rPr>
          <w:noProof/>
        </w:rPr>
        <w:t>as stiprināšana ieguldījumu īstenošanai ūdensapgādes infrastruktūrās</w:t>
      </w:r>
    </w:p>
    <w:p w14:paraId="7F70D418" w14:textId="77777777" w:rsidR="00327FF1" w:rsidRDefault="00E406C7">
      <w:pPr>
        <w:pStyle w:val="P68B1DB1-Paragrafoelenco178"/>
        <w:spacing w:after="120" w:line="240" w:lineRule="auto"/>
        <w:ind w:left="0"/>
        <w:jc w:val="both"/>
        <w:rPr>
          <w:iCs/>
          <w:noProof/>
        </w:rPr>
      </w:pPr>
      <w:r>
        <w:rPr>
          <w:noProof/>
        </w:rPr>
        <w:t xml:space="preserve">Pašreizējais tiesiskais regulējums un pašreizējā pārvaldības sadrumstalotība negatīvi ietekmē spēju plānot un īstenot investīcijas ūdensapgādes infrastruktūrās. </w:t>
      </w:r>
    </w:p>
    <w:p w14:paraId="2685991A" w14:textId="77777777" w:rsidR="00327FF1" w:rsidRDefault="00E406C7">
      <w:pPr>
        <w:pStyle w:val="P68B1DB1-Normal7"/>
        <w:suppressAutoHyphens/>
        <w:jc w:val="both"/>
        <w:rPr>
          <w:noProof/>
        </w:rPr>
      </w:pPr>
      <w:r>
        <w:rPr>
          <w:noProof/>
        </w:rPr>
        <w:t>Šīs reformas mērķis ir vi</w:t>
      </w:r>
      <w:r>
        <w:rPr>
          <w:noProof/>
        </w:rPr>
        <w:t>enkāršot un padarīt efektīvāku tiesisko regulējumu un vajadzības gadījumā sniegt palīdzību īstenošanas struktūrām, kurām nav pietiekamu spēju veikt un pabeigt šīs investīcijas sākotnēji noteiktajos termiņos.</w:t>
      </w:r>
    </w:p>
    <w:p w14:paraId="6E4F4200" w14:textId="77777777" w:rsidR="00327FF1" w:rsidRDefault="00E406C7">
      <w:pPr>
        <w:pStyle w:val="P68B1DB1-Normal7"/>
        <w:suppressAutoHyphens/>
        <w:jc w:val="both"/>
        <w:rPr>
          <w:noProof/>
        </w:rPr>
      </w:pPr>
      <w:r>
        <w:rPr>
          <w:noProof/>
        </w:rPr>
        <w:t>Galvenie pasākumi, kas plānoti, lai sasniegtu šo</w:t>
      </w:r>
      <w:r>
        <w:rPr>
          <w:noProof/>
        </w:rPr>
        <w:t>s mērķus, galvenokārt ir šādi: i) izveidot centrālu publisko finanšu instrumentu ieguldījumiem ūdensapgādes nozarē, kas apvieno resursus, kuri pašlaik ir diezgan izkliedēti; vienkāršot procedūras ziņošanai par finansētajiem ieguldījumiem un to uzraudzībai,</w:t>
      </w:r>
      <w:r>
        <w:rPr>
          <w:noProof/>
        </w:rPr>
        <w:t xml:space="preserve"> iii) vēl vairāk iesaistīt regulatoru veicamo investīciju plānošanā un iespējamajā plāna pārskatīšanā.</w:t>
      </w:r>
    </w:p>
    <w:p w14:paraId="71A3E5BF" w14:textId="77777777" w:rsidR="00327FF1" w:rsidRDefault="00E406C7">
      <w:pPr>
        <w:pStyle w:val="P68B1DB1-Normal7"/>
        <w:suppressAutoHyphens/>
        <w:jc w:val="both"/>
        <w:rPr>
          <w:noProof/>
        </w:rPr>
      </w:pPr>
      <w:r>
        <w:rPr>
          <w:noProof/>
        </w:rPr>
        <w:t xml:space="preserve">Infrastruktūras un transporta ministrija iesniedz reformas priekšlikumu attiecībā uz ūdensapgādes nozari. </w:t>
      </w:r>
    </w:p>
    <w:p w14:paraId="37B1B205" w14:textId="77777777" w:rsidR="00327FF1" w:rsidRDefault="00E406C7">
      <w:pPr>
        <w:pStyle w:val="P68B1DB1-Normal5"/>
        <w:spacing w:before="120" w:after="120" w:line="257" w:lineRule="auto"/>
        <w:jc w:val="both"/>
        <w:rPr>
          <w:bCs/>
          <w:noProof/>
        </w:rPr>
      </w:pPr>
      <w:r>
        <w:rPr>
          <w:noProof/>
        </w:rPr>
        <w:t>Investīcija 4.1. Primārā ūdensapgādes infrastr</w:t>
      </w:r>
      <w:r>
        <w:rPr>
          <w:noProof/>
        </w:rPr>
        <w:t>uktūra ūdensapgādes drošībai</w:t>
      </w:r>
    </w:p>
    <w:p w14:paraId="3707375E" w14:textId="77777777" w:rsidR="00327FF1" w:rsidRDefault="00E406C7">
      <w:pPr>
        <w:pStyle w:val="P68B1DB1-Normal7"/>
        <w:spacing w:before="120" w:after="120"/>
        <w:jc w:val="both"/>
        <w:rPr>
          <w:noProof/>
        </w:rPr>
      </w:pPr>
      <w:r>
        <w:rPr>
          <w:noProof/>
        </w:rPr>
        <w:t xml:space="preserve">Šā pasākuma mērķis ir nodrošināt ūdensapgādes drošību svarīgās pilsētu teritorijās un lielās apūdeņotās teritorijās, palielināt tīkla drošību un noturību arī attiecībā uz ūdens transportēšanas jaudu. Pasākums sastāv no darbiem </w:t>
      </w:r>
      <w:r>
        <w:rPr>
          <w:noProof/>
        </w:rPr>
        <w:t>primārajā ūdens infrastruktūrā visā valsts teritorijā.</w:t>
      </w:r>
    </w:p>
    <w:p w14:paraId="2AE3EAEA" w14:textId="77777777" w:rsidR="00327FF1" w:rsidRDefault="00E406C7">
      <w:pPr>
        <w:pStyle w:val="P68B1DB1-Normal5"/>
        <w:rPr>
          <w:bCs/>
          <w:noProof/>
        </w:rPr>
      </w:pPr>
      <w:r>
        <w:rPr>
          <w:noProof/>
        </w:rPr>
        <w:t>Investīciju 4.2: Zudumu samazināšana ūdens sadales tīklos, tostarp tīklu digitalizācija un monitorings</w:t>
      </w:r>
    </w:p>
    <w:p w14:paraId="04B7DDB7" w14:textId="173CE242" w:rsidR="00327FF1" w:rsidRDefault="00E406C7">
      <w:pPr>
        <w:pStyle w:val="P68B1DB1-Normal7"/>
        <w:spacing w:before="120" w:after="120"/>
        <w:jc w:val="both"/>
        <w:rPr>
          <w:noProof/>
        </w:rPr>
      </w:pPr>
      <w:r>
        <w:rPr>
          <w:noProof/>
        </w:rPr>
        <w:t>Šā ieguldījuma mērķis ir samazināt dzeramā ūdens zudumus. Pasākums ietver ūdens sadales tīklu mode</w:t>
      </w:r>
      <w:r>
        <w:rPr>
          <w:noProof/>
        </w:rPr>
        <w:t>rnizāciju un modernizēšanu, izmantojot progresīvas kontroles sistēmas, kas ļauj uzraudzīt tīkla galvenos mezglus un visjutīgākos punktus (ūdens nodalīšana).</w:t>
      </w:r>
    </w:p>
    <w:p w14:paraId="1CC16CA1" w14:textId="77777777" w:rsidR="00327FF1" w:rsidRDefault="00E406C7">
      <w:pPr>
        <w:pStyle w:val="P68B1DB1-Normal5"/>
        <w:spacing w:before="120" w:after="120" w:line="257" w:lineRule="auto"/>
        <w:jc w:val="both"/>
        <w:rPr>
          <w:bCs/>
          <w:noProof/>
        </w:rPr>
      </w:pPr>
      <w:r>
        <w:rPr>
          <w:noProof/>
        </w:rPr>
        <w:t>Ieguldījums 4.3. Investīcijas apūdeņošanas agrosistēmas noturībā labākai ūdens resursu apsaimniekoš</w:t>
      </w:r>
      <w:r>
        <w:rPr>
          <w:noProof/>
        </w:rPr>
        <w:t xml:space="preserve">anai </w:t>
      </w:r>
    </w:p>
    <w:p w14:paraId="43712A57" w14:textId="5BC2C4EC" w:rsidR="00327FF1" w:rsidRDefault="00E406C7">
      <w:pPr>
        <w:pStyle w:val="P68B1DB1-Normal7"/>
        <w:spacing w:before="120" w:after="120" w:line="257" w:lineRule="auto"/>
        <w:jc w:val="both"/>
        <w:rPr>
          <w:b/>
          <w:bCs/>
          <w:noProof/>
        </w:rPr>
      </w:pPr>
      <w:r>
        <w:rPr>
          <w:noProof/>
        </w:rPr>
        <w:t>Šā pasākuma mērķis ir palielināt apūdeņošanas sistēmu efektivitāti, izmantojot digitalizāciju un infrastruktūras intervenci ilgtspējīgākai un pret klimata pārmaiņām noturīgākai lauksaimniecības nozarei.</w:t>
      </w:r>
    </w:p>
    <w:p w14:paraId="67721AE1" w14:textId="77777777" w:rsidR="00327FF1" w:rsidRDefault="00E406C7">
      <w:pPr>
        <w:pStyle w:val="P68B1DB1-Normal5"/>
        <w:rPr>
          <w:bCs/>
          <w:noProof/>
        </w:rPr>
      </w:pPr>
      <w:r>
        <w:rPr>
          <w:noProof/>
        </w:rPr>
        <w:t>Ieguldījums 4.4. Kanalizācija un attīrīšana</w:t>
      </w:r>
    </w:p>
    <w:p w14:paraId="1F7E0A53" w14:textId="77777777" w:rsidR="00327FF1" w:rsidRDefault="00E406C7">
      <w:pPr>
        <w:pStyle w:val="P68B1DB1-Normal7"/>
        <w:tabs>
          <w:tab w:val="left" w:pos="720"/>
        </w:tabs>
        <w:spacing w:before="120" w:after="120"/>
        <w:jc w:val="both"/>
        <w:rPr>
          <w:noProof/>
        </w:rPr>
      </w:pPr>
      <w:r>
        <w:rPr>
          <w:noProof/>
        </w:rPr>
        <w:t xml:space="preserve">Šā </w:t>
      </w:r>
      <w:r>
        <w:rPr>
          <w:noProof/>
        </w:rPr>
        <w:t>pasākuma mērķis ir samazināt Itālijas ūdensapgādes sistēmu nepilnības notekūdeņu kanalizācijas un attīrīšanas jomā, kā arī to aglomerāciju skaitu, kurās ir vājas kanalizācijas un attīrīšanas sistēmas. Pasākums ietver intervences, kuru mērķis ir uzlabot jūr</w:t>
      </w:r>
      <w:r>
        <w:rPr>
          <w:noProof/>
        </w:rPr>
        <w:t>as un iekšzemes ūdeņos novadīto notekūdeņu attīrīšanas efektivitāti.</w:t>
      </w:r>
    </w:p>
    <w:p w14:paraId="415ECACC" w14:textId="77777777" w:rsidR="00327FF1" w:rsidRDefault="00E406C7">
      <w:pPr>
        <w:pStyle w:val="P68B1DB1-Normal5"/>
        <w:rPr>
          <w:bCs/>
          <w:noProof/>
        </w:rPr>
      </w:pPr>
      <w:r>
        <w:rPr>
          <w:noProof/>
        </w:rPr>
        <w:t>Ieguldījums 4.5. Dotāciju shēma ieguldījumiem ūdens infrastruktūrā</w:t>
      </w:r>
    </w:p>
    <w:p w14:paraId="6C96DA3C" w14:textId="1BD1E769" w:rsidR="00327FF1" w:rsidRDefault="00E406C7">
      <w:pPr>
        <w:pStyle w:val="P68B1DB1-Normal7"/>
        <w:spacing w:line="240" w:lineRule="auto"/>
        <w:jc w:val="both"/>
        <w:rPr>
          <w:noProof/>
        </w:rPr>
      </w:pPr>
      <w:r>
        <w:rPr>
          <w:noProof/>
        </w:rPr>
        <w:t>Šis pasākums ietver publiskus ieguldījumus dotāciju shēmā, lai stimulētu privātos ieguldījumus un uzlabotu piekļuvi fina</w:t>
      </w:r>
      <w:r>
        <w:rPr>
          <w:noProof/>
        </w:rPr>
        <w:t>nsējumam Itālijas ūdens apsaimniekošanas nozarē. Shēma darbojas, piešķirot dzīvotspējas starpības dotācijas tieši privātajam sektoram, kā arī publiskā sektora struktūrām, kas veic līdzīgas darbības.</w:t>
      </w:r>
    </w:p>
    <w:p w14:paraId="38DD10A6" w14:textId="77777777" w:rsidR="00327FF1" w:rsidRDefault="00E406C7">
      <w:pPr>
        <w:pStyle w:val="P68B1DB1-Normal7"/>
        <w:rPr>
          <w:noProof/>
        </w:rPr>
      </w:pPr>
      <w:r>
        <w:rPr>
          <w:noProof/>
        </w:rPr>
        <w:br w:type="page"/>
      </w:r>
    </w:p>
    <w:p w14:paraId="723F1FBD" w14:textId="026A08B7" w:rsidR="00327FF1" w:rsidRDefault="00E406C7">
      <w:pPr>
        <w:pStyle w:val="P68B1DB1-Normal7"/>
        <w:spacing w:line="240" w:lineRule="auto"/>
        <w:jc w:val="both"/>
        <w:rPr>
          <w:noProof/>
        </w:rPr>
      </w:pPr>
      <w:r>
        <w:rPr>
          <w:noProof/>
        </w:rPr>
        <w:t xml:space="preserve">Shēmu pārvalda Invitalia S.p.A. kā īstenošanas </w:t>
      </w:r>
      <w:r>
        <w:rPr>
          <w:noProof/>
        </w:rPr>
        <w:t>partneris. Shēma ietver šādu produktu līniju:</w:t>
      </w:r>
    </w:p>
    <w:p w14:paraId="7AB17DE2" w14:textId="77777777" w:rsidR="00327FF1" w:rsidRDefault="00E406C7">
      <w:pPr>
        <w:pStyle w:val="P68B1DB1-ListParagraph37"/>
        <w:keepNext/>
        <w:numPr>
          <w:ilvl w:val="0"/>
          <w:numId w:val="73"/>
        </w:numPr>
        <w:spacing w:line="240" w:lineRule="auto"/>
        <w:jc w:val="both"/>
        <w:rPr>
          <w:noProof/>
        </w:rPr>
      </w:pPr>
      <w:r>
        <w:rPr>
          <w:noProof/>
        </w:rPr>
        <w:t>Dzīvotspējas starpības dotācija, kas paredzēta, lai segtu projektu finansējuma deficītu infrastruktūras projektiem ūdens apsaimniekošanas nozarē. Dotācija subsidē daļu no kopējā ieguldījuma, lai nodrošinātu pro</w:t>
      </w:r>
      <w:r>
        <w:rPr>
          <w:noProof/>
        </w:rPr>
        <w:t>jekta rentabilitāti. Dotāciju struktūras struktūra stimulē ūdens pakalpojumu sniedzēju racionalizāciju un agregēšanu, ieviešot atlīdzības mehānismu.</w:t>
      </w:r>
    </w:p>
    <w:p w14:paraId="06373A6C" w14:textId="77777777" w:rsidR="00327FF1" w:rsidRDefault="00E406C7">
      <w:pPr>
        <w:pStyle w:val="P68B1DB1-Normal7"/>
        <w:spacing w:line="240" w:lineRule="auto"/>
        <w:jc w:val="both"/>
        <w:rPr>
          <w:noProof/>
        </w:rPr>
      </w:pPr>
      <w:r>
        <w:rPr>
          <w:noProof/>
        </w:rPr>
        <w:t>Lai īstenotu ieguldījumu shēmā, Itālija un Invitalia S.p.A. paraksta īstenošanas nolīgumu, kurā ietver šādu</w:t>
      </w:r>
      <w:r>
        <w:rPr>
          <w:noProof/>
        </w:rPr>
        <w:t xml:space="preserve"> saturu:</w:t>
      </w:r>
    </w:p>
    <w:p w14:paraId="0FC8E354" w14:textId="64008D17" w:rsidR="00327FF1" w:rsidRDefault="00E406C7">
      <w:pPr>
        <w:pStyle w:val="P68B1DB1-LegalNumPar79"/>
        <w:numPr>
          <w:ilvl w:val="0"/>
          <w:numId w:val="0"/>
        </w:numPr>
        <w:spacing w:line="259" w:lineRule="auto"/>
        <w:jc w:val="both"/>
        <w:rPr>
          <w:rFonts w:eastAsia="Times New Roman"/>
          <w:noProof/>
        </w:rPr>
      </w:pPr>
      <w:r>
        <w:rPr>
          <w:noProof/>
        </w:rPr>
        <w:t>1. Shēmas lēmumu pieņemšanas procesa apraksts: Galīgo lēmumu par shēmas piešķiršanu pieņem ieguldījumu komiteja vai cita līdzvērtīga pārvaldes struktūra, un to apstiprina ar no valdības neatkarīgu locekļu balsu vairākumu.</w:t>
      </w:r>
    </w:p>
    <w:p w14:paraId="28C5D9CB" w14:textId="1069B619" w:rsidR="00327FF1" w:rsidRDefault="00E406C7">
      <w:pPr>
        <w:pStyle w:val="P68B1DB1-LegalNumPar79"/>
        <w:numPr>
          <w:ilvl w:val="0"/>
          <w:numId w:val="0"/>
        </w:numPr>
        <w:spacing w:line="259" w:lineRule="auto"/>
        <w:ind w:left="476" w:hanging="476"/>
        <w:jc w:val="both"/>
        <w:rPr>
          <w:noProof/>
        </w:rPr>
      </w:pPr>
      <w:r>
        <w:rPr>
          <w:noProof/>
        </w:rPr>
        <w:t>2. Saistītās dotāciju pol</w:t>
      </w:r>
      <w:r>
        <w:rPr>
          <w:noProof/>
        </w:rPr>
        <w:t>itikas galvenās prasības,</w:t>
      </w:r>
      <w:r>
        <w:rPr>
          <w:b/>
          <w:noProof/>
        </w:rPr>
        <w:t xml:space="preserve"> </w:t>
      </w:r>
      <w:r>
        <w:rPr>
          <w:noProof/>
        </w:rPr>
        <w:t>kas ietver:</w:t>
      </w:r>
    </w:p>
    <w:p w14:paraId="49411723" w14:textId="14C676C4" w:rsidR="00327FF1" w:rsidRDefault="00E406C7">
      <w:pPr>
        <w:pStyle w:val="P68B1DB1-LegalNumPar280"/>
        <w:jc w:val="both"/>
        <w:rPr>
          <w:noProof/>
        </w:rPr>
      </w:pPr>
      <w:r>
        <w:rPr>
          <w:noProof/>
        </w:rPr>
        <w:t xml:space="preserve">Apraksts par piešķirtajām dotācijām un atbalsttiesīgajiem galīgajiem saņēmējiem. Galasaņēmēji principā ir uzņēmumi ar privātu līdzdalību. Saskaņā ar nediskriminācijas principu valsts iestādes, kas veic līdzīgas </w:t>
      </w:r>
      <w:r>
        <w:rPr>
          <w:noProof/>
        </w:rPr>
        <w:t>darbības kā privātie subjekti, kuri gūst labumu no shēmas, arī varētu pieņemt kā galasaņēmējus.</w:t>
      </w:r>
    </w:p>
    <w:p w14:paraId="6121841C" w14:textId="77777777" w:rsidR="00327FF1" w:rsidRDefault="00E406C7">
      <w:pPr>
        <w:pStyle w:val="P68B1DB1-LegalNumPar280"/>
        <w:numPr>
          <w:ilvl w:val="1"/>
          <w:numId w:val="85"/>
        </w:numPr>
        <w:spacing w:line="259" w:lineRule="auto"/>
        <w:jc w:val="both"/>
        <w:rPr>
          <w:noProof/>
        </w:rPr>
      </w:pPr>
      <w:r>
        <w:rPr>
          <w:noProof/>
        </w:rPr>
        <w:t>Prasība, ka visiem atbalstītajiem ieguldījumiem jābūt ekonomiski dzīvotspējīgiem</w:t>
      </w:r>
      <w:r>
        <w:rPr>
          <w:b/>
          <w:noProof/>
        </w:rPr>
        <w:t>.</w:t>
      </w:r>
    </w:p>
    <w:p w14:paraId="5DD623AD" w14:textId="08542841" w:rsidR="00327FF1" w:rsidRDefault="00E406C7">
      <w:pPr>
        <w:pStyle w:val="P68B1DB1-LegalNumPar280"/>
        <w:spacing w:line="259" w:lineRule="auto"/>
        <w:jc w:val="both"/>
        <w:rPr>
          <w:noProof/>
        </w:rPr>
      </w:pPr>
      <w:r>
        <w:rPr>
          <w:noProof/>
        </w:rPr>
        <w:t xml:space="preserve">Prasība ievērot principu “nenodari būtisku kaitējumu” (DNSH), kā noteikts NBK </w:t>
      </w:r>
      <w:r>
        <w:rPr>
          <w:noProof/>
        </w:rPr>
        <w:t>tehniskajos norādījumos (2021/C58/01). Jo īpaši dotāciju politikā no atbilstības izslēdz šādu darbību un aktīvu sarakstu: darbības un aktīvi, kas saistīti ar fosilo kurināmo, tostarp lejupējo izmantošanu</w:t>
      </w:r>
      <w:r>
        <w:rPr>
          <w:noProof/>
        </w:rPr>
        <w:footnoteReference w:id="71"/>
      </w:r>
      <w:r>
        <w:rPr>
          <w:noProof/>
        </w:rPr>
        <w:t xml:space="preserve">. Turklāt saistītā dotāciju politika ietver prasību </w:t>
      </w:r>
      <w:r>
        <w:rPr>
          <w:noProof/>
        </w:rPr>
        <w:t>no finansējuma izslēgt: investīcijas, kas saistītas ar jaunu dambju būvniecību; ieguldījumi Eiropas Parlamenta un Padomes 2000. gada 23. oktobra Direktīvas 2000/60, ar ko izveido sistēmu Kopienas rīcībai ūdens resursu politikas jomā, 4. panta 7. punkta pie</w:t>
      </w:r>
      <w:r>
        <w:rPr>
          <w:noProof/>
        </w:rPr>
        <w:t>mērošanas jomā.</w:t>
      </w:r>
    </w:p>
    <w:p w14:paraId="7B238733" w14:textId="77777777" w:rsidR="00327FF1" w:rsidRDefault="00E406C7">
      <w:pPr>
        <w:pStyle w:val="P68B1DB1-LegalNumPar280"/>
        <w:numPr>
          <w:ilvl w:val="1"/>
          <w:numId w:val="85"/>
        </w:numPr>
        <w:spacing w:line="259" w:lineRule="auto"/>
        <w:jc w:val="both"/>
        <w:rPr>
          <w:bCs/>
          <w:noProof/>
        </w:rPr>
      </w:pPr>
      <w:r>
        <w:rPr>
          <w:noProof/>
        </w:rPr>
        <w:t>Prasību, ka shēmas galasaņēmēji nesaņem atbalstu no citiem Savienības instrumentiem, lai segtu tās pašas izmaksas.</w:t>
      </w:r>
    </w:p>
    <w:p w14:paraId="1D06AA30" w14:textId="2DAB9B34" w:rsidR="00327FF1" w:rsidRDefault="00E406C7">
      <w:pPr>
        <w:pStyle w:val="P68B1DB1-LegalNumPar79"/>
        <w:numPr>
          <w:ilvl w:val="0"/>
          <w:numId w:val="0"/>
        </w:numPr>
        <w:spacing w:line="259" w:lineRule="auto"/>
        <w:ind w:left="476" w:hanging="476"/>
        <w:jc w:val="both"/>
        <w:rPr>
          <w:noProof/>
        </w:rPr>
      </w:pPr>
      <w:r>
        <w:rPr>
          <w:noProof/>
        </w:rPr>
        <w:t>3. Īstenošanas nolīguma aptvertā summa, īstenošanas partnera maksu struktūra un prasība visus neizmantotos ieņēmumus no shēma</w:t>
      </w:r>
      <w:r>
        <w:rPr>
          <w:noProof/>
        </w:rPr>
        <w:t>s, tostarp pēc 2026. gada, izmantot tiem pašiem politikas mērķiem.</w:t>
      </w:r>
    </w:p>
    <w:p w14:paraId="2B6DF3F5" w14:textId="77777777" w:rsidR="00327FF1" w:rsidRDefault="00E406C7">
      <w:pPr>
        <w:pStyle w:val="P68B1DB1-Normal7"/>
        <w:rPr>
          <w:noProof/>
          <w:kern w:val="0"/>
        </w:rPr>
      </w:pPr>
      <w:r>
        <w:rPr>
          <w:noProof/>
        </w:rPr>
        <w:br w:type="page"/>
      </w:r>
    </w:p>
    <w:p w14:paraId="23BBB441" w14:textId="7A02B015" w:rsidR="00327FF1" w:rsidRDefault="00E406C7">
      <w:pPr>
        <w:pStyle w:val="P68B1DB1-LegalNumPar79"/>
        <w:numPr>
          <w:ilvl w:val="0"/>
          <w:numId w:val="0"/>
        </w:numPr>
        <w:spacing w:line="259" w:lineRule="auto"/>
        <w:ind w:left="476" w:hanging="476"/>
        <w:jc w:val="both"/>
        <w:rPr>
          <w:noProof/>
        </w:rPr>
      </w:pPr>
      <w:r>
        <w:rPr>
          <w:noProof/>
        </w:rPr>
        <w:t>4. Uzraudzības, revīzijas un kontroles prasības, tostarp:</w:t>
      </w:r>
    </w:p>
    <w:p w14:paraId="72FED9A8" w14:textId="77777777" w:rsidR="00327FF1" w:rsidRDefault="00E406C7">
      <w:pPr>
        <w:pStyle w:val="P68B1DB1-Normal7"/>
        <w:numPr>
          <w:ilvl w:val="0"/>
          <w:numId w:val="175"/>
        </w:numPr>
        <w:spacing w:line="240" w:lineRule="auto"/>
        <w:jc w:val="both"/>
        <w:rPr>
          <w:noProof/>
        </w:rPr>
      </w:pPr>
      <w:r>
        <w:rPr>
          <w:noProof/>
        </w:rPr>
        <w:t>Apraksts par īstenošanas partnera uzraudzības sistēmu ziņošanai par mobilizētajām dotācijām.</w:t>
      </w:r>
    </w:p>
    <w:p w14:paraId="35F0FD24" w14:textId="77777777" w:rsidR="00327FF1" w:rsidRDefault="00E406C7">
      <w:pPr>
        <w:pStyle w:val="P68B1DB1-Normal7"/>
        <w:numPr>
          <w:ilvl w:val="0"/>
          <w:numId w:val="175"/>
        </w:numPr>
        <w:jc w:val="both"/>
        <w:rPr>
          <w:noProof/>
        </w:rPr>
      </w:pPr>
      <w:r>
        <w:rPr>
          <w:noProof/>
        </w:rPr>
        <w:t>Apraksts par īstenošanas partnera pr</w:t>
      </w:r>
      <w:r>
        <w:rPr>
          <w:noProof/>
        </w:rPr>
        <w:t xml:space="preserve">ocedūrām, kas nodrošinās krāpšanas, korupcijas un interešu konfliktu novēršanu, atklāšanu un labošanu. </w:t>
      </w:r>
    </w:p>
    <w:p w14:paraId="792C1256" w14:textId="77777777" w:rsidR="00327FF1" w:rsidRDefault="00E406C7">
      <w:pPr>
        <w:pStyle w:val="P68B1DB1-Normal7"/>
        <w:numPr>
          <w:ilvl w:val="0"/>
          <w:numId w:val="175"/>
        </w:numPr>
        <w:jc w:val="both"/>
        <w:rPr>
          <w:noProof/>
        </w:rPr>
      </w:pPr>
      <w:r>
        <w:rPr>
          <w:noProof/>
        </w:rPr>
        <w:t>Pienākums pārbaudīt katras darbības atbilstību saskaņā ar īstenošanas nolīgumā noteiktajām prasībām pirms dotācijas piešķiršanas darbībai.</w:t>
      </w:r>
    </w:p>
    <w:p w14:paraId="2AC8594A" w14:textId="77777777" w:rsidR="00327FF1" w:rsidRDefault="00E406C7">
      <w:pPr>
        <w:pStyle w:val="P68B1DB1-Normal7"/>
        <w:numPr>
          <w:ilvl w:val="0"/>
          <w:numId w:val="175"/>
        </w:numPr>
        <w:spacing w:line="240" w:lineRule="auto"/>
        <w:jc w:val="both"/>
        <w:rPr>
          <w:noProof/>
        </w:rPr>
      </w:pPr>
      <w:r>
        <w:rPr>
          <w:noProof/>
        </w:rPr>
        <w:t>Pienākums vei</w:t>
      </w:r>
      <w:r>
        <w:rPr>
          <w:noProof/>
        </w:rPr>
        <w:t>kt uz risku balstītas ex post revīzijas saskaņā ar Invitalia S.p.A revīzijas plānu. Šajās revīzijās pārbauda i) kontroles sistēmu efektivitāti, tostarp krāpšanas, korupcijas un interešu konfliktu atklāšanu; II) principa “nenodarīt būtisku kaitējumu” ievēro</w:t>
      </w:r>
      <w:r>
        <w:rPr>
          <w:noProof/>
        </w:rPr>
        <w:t>šana, valsts atbalsta noteikumi, klimata mērķrādītāju prasības; un iii) ka ir ievērota prasība, ka shēmas galasaņēmēji nav saņēmuši atbalstu no citiem Savienības instrumentiem, lai segtu tās pašas izmaksas. Revīzijās pārbauda arī darījumu likumību un to, v</w:t>
      </w:r>
      <w:r>
        <w:rPr>
          <w:noProof/>
        </w:rPr>
        <w:t xml:space="preserve">ai tiek ievēroti piemērojamā īstenošanas nolīguma un dotāciju nolīgumu nosacījumi. </w:t>
      </w:r>
    </w:p>
    <w:p w14:paraId="68162088" w14:textId="28AB8506" w:rsidR="00327FF1" w:rsidRDefault="00E406C7">
      <w:pPr>
        <w:numPr>
          <w:ilvl w:val="0"/>
          <w:numId w:val="85"/>
        </w:numPr>
        <w:spacing w:line="240" w:lineRule="auto"/>
        <w:ind w:left="720" w:hanging="360"/>
        <w:jc w:val="both"/>
        <w:rPr>
          <w:rFonts w:ascii="Times New Roman" w:hAnsi="Times New Roman" w:cs="Times New Roman"/>
          <w:noProof/>
        </w:rPr>
        <w:sectPr w:rsidR="00327FF1" w:rsidSect="005F11B9">
          <w:headerReference w:type="even" r:id="rId128"/>
          <w:headerReference w:type="default" r:id="rId129"/>
          <w:footerReference w:type="even" r:id="rId130"/>
          <w:footerReference w:type="default" r:id="rId131"/>
          <w:headerReference w:type="first" r:id="rId132"/>
          <w:footerReference w:type="first" r:id="rId133"/>
          <w:pgSz w:w="11907" w:h="16839"/>
          <w:pgMar w:top="1134" w:right="1134" w:bottom="1134" w:left="1134" w:header="567" w:footer="567" w:gutter="0"/>
          <w:cols w:space="720"/>
          <w:docGrid w:linePitch="360"/>
        </w:sectPr>
      </w:pPr>
      <w:r>
        <w:rPr>
          <w:rFonts w:ascii="Times New Roman" w:hAnsi="Times New Roman" w:cs="Times New Roman"/>
          <w:noProof/>
        </w:rPr>
        <w:t>Prasības attiecībā uz investīcijām klimata jomā, ko veic īstenošanas partneris: vismaz 400 000 000 EUR no ANM investīcijām shēmā veicina klimata pārmaiņu mērķu sasniegšanu saskaņā ar ANM regulas VI pielikumu.</w:t>
      </w:r>
      <w:r>
        <w:rPr>
          <w:rStyle w:val="FootnoteReference"/>
          <w:rFonts w:ascii="Times New Roman" w:hAnsi="Times New Roman" w:cs="Times New Roman"/>
          <w:noProof/>
        </w:rPr>
        <w:footnoteReference w:id="72"/>
      </w:r>
    </w:p>
    <w:p w14:paraId="33EAFC11" w14:textId="77777777" w:rsidR="00327FF1" w:rsidRDefault="00E406C7">
      <w:pPr>
        <w:pStyle w:val="Heading3"/>
        <w:rPr>
          <w:rStyle w:val="SubtleEmphasis"/>
          <w:rFonts w:ascii="Times New Roman" w:hAnsi="Times New Roman" w:cs="Times New Roman"/>
          <w:b/>
          <w:bCs/>
          <w:i w:val="0"/>
          <w:iCs w:val="0"/>
          <w:noProof/>
          <w:sz w:val="24"/>
          <w:szCs w:val="24"/>
        </w:rPr>
      </w:pPr>
      <w:r>
        <w:rPr>
          <w:rStyle w:val="SubtleEmphasis"/>
          <w:rFonts w:ascii="Times New Roman" w:hAnsi="Times New Roman" w:cs="Times New Roman"/>
          <w:b/>
          <w:i w:val="0"/>
          <w:iCs w:val="0"/>
          <w:noProof/>
          <w:sz w:val="24"/>
          <w:szCs w:val="24"/>
        </w:rPr>
        <w:t xml:space="preserve">G.4. </w:t>
      </w:r>
      <w:r>
        <w:rPr>
          <w:rFonts w:ascii="Times New Roman" w:hAnsi="Times New Roman" w:cs="Times New Roman"/>
          <w:b/>
          <w:i/>
          <w:noProof/>
          <w:sz w:val="24"/>
          <w:szCs w:val="24"/>
        </w:rPr>
        <w:t xml:space="preserve"> </w:t>
      </w:r>
      <w:r>
        <w:rPr>
          <w:rStyle w:val="SubtleEmphasis"/>
          <w:rFonts w:ascii="Times New Roman" w:hAnsi="Times New Roman" w:cs="Times New Roman"/>
          <w:b/>
          <w:i w:val="0"/>
          <w:iCs w:val="0"/>
          <w:noProof/>
          <w:sz w:val="24"/>
          <w:szCs w:val="24"/>
        </w:rPr>
        <w:t xml:space="preserve">Atskaites punkti, mērķrādītāji, citi rādītāji un aizdevuma uzraudzības un īstenošanas grafiks </w:t>
      </w:r>
    </w:p>
    <w:tbl>
      <w:tblPr>
        <w:tblW w:w="148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736"/>
        <w:gridCol w:w="1775"/>
        <w:gridCol w:w="1666"/>
        <w:gridCol w:w="1264"/>
        <w:gridCol w:w="1210"/>
        <w:gridCol w:w="1420"/>
        <w:gridCol w:w="1201"/>
        <w:gridCol w:w="1018"/>
        <w:gridCol w:w="770"/>
        <w:gridCol w:w="3544"/>
      </w:tblGrid>
      <w:tr w:rsidR="00327FF1" w14:paraId="46CA287B" w14:textId="77777777">
        <w:trPr>
          <w:trHeight w:val="300"/>
          <w:tblHeader/>
        </w:trPr>
        <w:tc>
          <w:tcPr>
            <w:tcW w:w="1134" w:type="dxa"/>
            <w:vMerge w:val="restart"/>
            <w:shd w:val="clear" w:color="auto" w:fill="A5C9EB" w:themeFill="text2" w:themeFillTint="40"/>
            <w:noWrap/>
            <w:vAlign w:val="center"/>
          </w:tcPr>
          <w:p w14:paraId="58D4D8EA" w14:textId="77777777" w:rsidR="00327FF1" w:rsidRDefault="00E406C7">
            <w:pPr>
              <w:pStyle w:val="P68B1DB1-Normal10"/>
              <w:jc w:val="center"/>
              <w:rPr>
                <w:noProof/>
              </w:rPr>
            </w:pPr>
            <w:r>
              <w:rPr>
                <w:noProof/>
              </w:rPr>
              <w:t>Kārtas numurs</w:t>
            </w:r>
          </w:p>
        </w:tc>
        <w:tc>
          <w:tcPr>
            <w:tcW w:w="1736" w:type="dxa"/>
            <w:vMerge w:val="restart"/>
            <w:shd w:val="clear" w:color="auto" w:fill="A5C9EB" w:themeFill="text2" w:themeFillTint="40"/>
            <w:noWrap/>
            <w:vAlign w:val="center"/>
          </w:tcPr>
          <w:p w14:paraId="78926072" w14:textId="77777777" w:rsidR="00327FF1" w:rsidRDefault="00E406C7">
            <w:pPr>
              <w:pStyle w:val="P68B1DB1-Normal10"/>
              <w:jc w:val="center"/>
              <w:rPr>
                <w:noProof/>
              </w:rPr>
            </w:pPr>
            <w:r>
              <w:rPr>
                <w:noProof/>
              </w:rPr>
              <w:t>Saistītais pasākums (reforma vai ieguldījums)</w:t>
            </w:r>
          </w:p>
        </w:tc>
        <w:tc>
          <w:tcPr>
            <w:tcW w:w="1261" w:type="dxa"/>
            <w:vMerge w:val="restart"/>
            <w:shd w:val="clear" w:color="auto" w:fill="A5C9EB" w:themeFill="text2" w:themeFillTint="40"/>
            <w:noWrap/>
            <w:vAlign w:val="center"/>
          </w:tcPr>
          <w:p w14:paraId="228AF4A5" w14:textId="77777777" w:rsidR="00327FF1" w:rsidRDefault="00E406C7">
            <w:pPr>
              <w:pStyle w:val="P68B1DB1-Normal10"/>
              <w:jc w:val="center"/>
              <w:rPr>
                <w:noProof/>
              </w:rPr>
            </w:pPr>
            <w:r>
              <w:rPr>
                <w:noProof/>
              </w:rPr>
              <w:t>Atskaites punkts/mērķrādītājs</w:t>
            </w:r>
          </w:p>
        </w:tc>
        <w:tc>
          <w:tcPr>
            <w:tcW w:w="1365" w:type="dxa"/>
            <w:vMerge w:val="restart"/>
            <w:shd w:val="clear" w:color="auto" w:fill="A5C9EB" w:themeFill="text2" w:themeFillTint="40"/>
            <w:noWrap/>
            <w:vAlign w:val="center"/>
          </w:tcPr>
          <w:p w14:paraId="47D821E7" w14:textId="77777777" w:rsidR="00327FF1" w:rsidRDefault="00E406C7">
            <w:pPr>
              <w:pStyle w:val="P68B1DB1-Normal10"/>
              <w:jc w:val="center"/>
              <w:rPr>
                <w:noProof/>
              </w:rPr>
            </w:pPr>
            <w:r>
              <w:rPr>
                <w:noProof/>
              </w:rPr>
              <w:t>Nosaukums</w:t>
            </w:r>
          </w:p>
        </w:tc>
        <w:tc>
          <w:tcPr>
            <w:tcW w:w="1264" w:type="dxa"/>
            <w:vMerge w:val="restart"/>
            <w:shd w:val="clear" w:color="auto" w:fill="A5C9EB" w:themeFill="text2" w:themeFillTint="40"/>
            <w:noWrap/>
            <w:vAlign w:val="center"/>
          </w:tcPr>
          <w:p w14:paraId="49996B17" w14:textId="77777777" w:rsidR="00327FF1" w:rsidRDefault="00E406C7">
            <w:pPr>
              <w:jc w:val="center"/>
              <w:rPr>
                <w:rFonts w:ascii="Arial Narrow" w:hAnsi="Arial Narrow"/>
                <w:b/>
                <w:noProof/>
                <w:sz w:val="20"/>
              </w:rPr>
            </w:pPr>
            <w:r>
              <w:rPr>
                <w:rFonts w:ascii="Arial Narrow" w:hAnsi="Arial Narrow"/>
                <w:b/>
                <w:noProof/>
                <w:sz w:val="20"/>
              </w:rPr>
              <w:t>Kvalitātes rādītāji</w:t>
            </w:r>
            <w:r>
              <w:rPr>
                <w:noProof/>
              </w:rPr>
              <w:t xml:space="preserve"> </w:t>
            </w:r>
            <w:r>
              <w:rPr>
                <w:noProof/>
              </w:rPr>
              <w:br/>
            </w:r>
            <w:r>
              <w:rPr>
                <w:rFonts w:ascii="Arial Narrow" w:hAnsi="Arial Narrow"/>
                <w:b/>
                <w:noProof/>
                <w:sz w:val="20"/>
              </w:rPr>
              <w:t>(attiecībā uz starpposma mērķiem)</w:t>
            </w:r>
          </w:p>
        </w:tc>
        <w:tc>
          <w:tcPr>
            <w:tcW w:w="3001" w:type="dxa"/>
            <w:gridSpan w:val="3"/>
            <w:shd w:val="clear" w:color="auto" w:fill="A5C9EB" w:themeFill="text2" w:themeFillTint="40"/>
            <w:noWrap/>
            <w:vAlign w:val="center"/>
          </w:tcPr>
          <w:p w14:paraId="1DAE38D5" w14:textId="77777777" w:rsidR="00327FF1" w:rsidRDefault="00E406C7">
            <w:pPr>
              <w:jc w:val="center"/>
              <w:rPr>
                <w:rFonts w:ascii="Arial Narrow" w:hAnsi="Arial Narrow"/>
                <w:b/>
                <w:noProof/>
                <w:sz w:val="20"/>
              </w:rPr>
            </w:pPr>
            <w:r>
              <w:rPr>
                <w:rFonts w:ascii="Arial Narrow" w:hAnsi="Arial Narrow"/>
                <w:b/>
                <w:noProof/>
                <w:sz w:val="20"/>
              </w:rPr>
              <w:t>Kvanti</w:t>
            </w:r>
            <w:r>
              <w:rPr>
                <w:rFonts w:ascii="Arial Narrow" w:hAnsi="Arial Narrow"/>
                <w:b/>
                <w:noProof/>
                <w:sz w:val="20"/>
              </w:rPr>
              <w:t>tatīvie rādītāji</w:t>
            </w:r>
            <w:r>
              <w:rPr>
                <w:noProof/>
              </w:rPr>
              <w:br/>
            </w:r>
            <w:r>
              <w:rPr>
                <w:rFonts w:ascii="Arial Narrow" w:hAnsi="Arial Narrow"/>
                <w:b/>
                <w:noProof/>
                <w:sz w:val="20"/>
              </w:rPr>
              <w:t>(mērķiem)</w:t>
            </w:r>
          </w:p>
        </w:tc>
        <w:tc>
          <w:tcPr>
            <w:tcW w:w="1579" w:type="dxa"/>
            <w:gridSpan w:val="2"/>
            <w:shd w:val="clear" w:color="auto" w:fill="A5C9EB" w:themeFill="text2" w:themeFillTint="40"/>
            <w:noWrap/>
            <w:vAlign w:val="center"/>
          </w:tcPr>
          <w:p w14:paraId="3FC7174D" w14:textId="77777777" w:rsidR="00327FF1" w:rsidRDefault="00E406C7">
            <w:pPr>
              <w:pStyle w:val="P68B1DB1-Normal10"/>
              <w:jc w:val="center"/>
              <w:rPr>
                <w:noProof/>
              </w:rPr>
            </w:pPr>
            <w:r>
              <w:rPr>
                <w:noProof/>
              </w:rPr>
              <w:t>Orientējošs pabeigšanas termiņš</w:t>
            </w:r>
          </w:p>
        </w:tc>
        <w:tc>
          <w:tcPr>
            <w:tcW w:w="3544" w:type="dxa"/>
            <w:vMerge w:val="restart"/>
            <w:shd w:val="clear" w:color="auto" w:fill="A5C9EB" w:themeFill="text2" w:themeFillTint="40"/>
            <w:noWrap/>
            <w:vAlign w:val="center"/>
          </w:tcPr>
          <w:p w14:paraId="53D5A93B" w14:textId="77777777" w:rsidR="00327FF1" w:rsidRDefault="00E406C7">
            <w:pPr>
              <w:pStyle w:val="P68B1DB1-Normal10"/>
              <w:jc w:val="center"/>
              <w:rPr>
                <w:noProof/>
              </w:rPr>
            </w:pPr>
            <w:r>
              <w:rPr>
                <w:noProof/>
              </w:rPr>
              <w:t>Apraksts par katru atskaites punktu un mērķrādītāju</w:t>
            </w:r>
          </w:p>
        </w:tc>
      </w:tr>
      <w:tr w:rsidR="00327FF1" w14:paraId="61D30D9F" w14:textId="77777777">
        <w:trPr>
          <w:trHeight w:val="300"/>
          <w:tblHeader/>
        </w:trPr>
        <w:tc>
          <w:tcPr>
            <w:tcW w:w="1134" w:type="dxa"/>
            <w:vMerge/>
            <w:noWrap/>
            <w:vAlign w:val="center"/>
          </w:tcPr>
          <w:p w14:paraId="547FCDAD" w14:textId="77777777" w:rsidR="00327FF1" w:rsidRDefault="00327FF1">
            <w:pPr>
              <w:jc w:val="center"/>
              <w:rPr>
                <w:rFonts w:ascii="Arial Narrow" w:hAnsi="Arial Narrow"/>
                <w:b/>
                <w:bCs/>
                <w:noProof/>
                <w:sz w:val="20"/>
                <w:szCs w:val="20"/>
              </w:rPr>
            </w:pPr>
          </w:p>
        </w:tc>
        <w:tc>
          <w:tcPr>
            <w:tcW w:w="1736" w:type="dxa"/>
            <w:vMerge/>
            <w:noWrap/>
            <w:vAlign w:val="center"/>
          </w:tcPr>
          <w:p w14:paraId="46023B44" w14:textId="77777777" w:rsidR="00327FF1" w:rsidRDefault="00327FF1">
            <w:pPr>
              <w:jc w:val="center"/>
              <w:rPr>
                <w:rFonts w:ascii="Arial Narrow" w:hAnsi="Arial Narrow"/>
                <w:b/>
                <w:bCs/>
                <w:noProof/>
                <w:sz w:val="20"/>
                <w:szCs w:val="20"/>
              </w:rPr>
            </w:pPr>
          </w:p>
        </w:tc>
        <w:tc>
          <w:tcPr>
            <w:tcW w:w="1261" w:type="dxa"/>
            <w:vMerge/>
            <w:noWrap/>
            <w:vAlign w:val="center"/>
          </w:tcPr>
          <w:p w14:paraId="5EA87C3D" w14:textId="77777777" w:rsidR="00327FF1" w:rsidRDefault="00327FF1">
            <w:pPr>
              <w:jc w:val="center"/>
              <w:rPr>
                <w:rFonts w:ascii="Arial Narrow" w:hAnsi="Arial Narrow"/>
                <w:b/>
                <w:bCs/>
                <w:noProof/>
                <w:sz w:val="20"/>
                <w:szCs w:val="20"/>
              </w:rPr>
            </w:pPr>
          </w:p>
        </w:tc>
        <w:tc>
          <w:tcPr>
            <w:tcW w:w="1365" w:type="dxa"/>
            <w:vMerge/>
            <w:noWrap/>
            <w:vAlign w:val="center"/>
          </w:tcPr>
          <w:p w14:paraId="00B31684" w14:textId="77777777" w:rsidR="00327FF1" w:rsidRDefault="00327FF1">
            <w:pPr>
              <w:jc w:val="center"/>
              <w:rPr>
                <w:rFonts w:ascii="Arial Narrow" w:hAnsi="Arial Narrow"/>
                <w:b/>
                <w:bCs/>
                <w:noProof/>
                <w:sz w:val="20"/>
                <w:szCs w:val="20"/>
              </w:rPr>
            </w:pPr>
          </w:p>
        </w:tc>
        <w:tc>
          <w:tcPr>
            <w:tcW w:w="1264" w:type="dxa"/>
            <w:vMerge/>
            <w:noWrap/>
            <w:vAlign w:val="center"/>
          </w:tcPr>
          <w:p w14:paraId="71737E12" w14:textId="77777777" w:rsidR="00327FF1" w:rsidRDefault="00327FF1">
            <w:pPr>
              <w:jc w:val="center"/>
              <w:rPr>
                <w:rFonts w:ascii="Arial Narrow" w:hAnsi="Arial Narrow"/>
                <w:b/>
                <w:bCs/>
                <w:noProof/>
                <w:sz w:val="20"/>
                <w:szCs w:val="20"/>
              </w:rPr>
            </w:pPr>
          </w:p>
        </w:tc>
        <w:tc>
          <w:tcPr>
            <w:tcW w:w="1055" w:type="dxa"/>
            <w:shd w:val="clear" w:color="auto" w:fill="A5C9EB" w:themeFill="text2" w:themeFillTint="40"/>
            <w:noWrap/>
            <w:vAlign w:val="center"/>
          </w:tcPr>
          <w:p w14:paraId="76B87A9D" w14:textId="77777777" w:rsidR="00327FF1" w:rsidRDefault="00E406C7">
            <w:pPr>
              <w:pStyle w:val="P68B1DB1-Normal10"/>
              <w:jc w:val="center"/>
              <w:rPr>
                <w:bCs/>
                <w:noProof/>
                <w:szCs w:val="20"/>
              </w:rPr>
            </w:pPr>
            <w:r>
              <w:rPr>
                <w:noProof/>
              </w:rPr>
              <w:t>Mēra vienība</w:t>
            </w:r>
          </w:p>
        </w:tc>
        <w:tc>
          <w:tcPr>
            <w:tcW w:w="946" w:type="dxa"/>
            <w:shd w:val="clear" w:color="auto" w:fill="A5C9EB" w:themeFill="text2" w:themeFillTint="40"/>
            <w:vAlign w:val="center"/>
          </w:tcPr>
          <w:p w14:paraId="1E44CB01" w14:textId="77777777" w:rsidR="00327FF1" w:rsidRDefault="00E406C7">
            <w:pPr>
              <w:pStyle w:val="P68B1DB1-Normal10"/>
              <w:jc w:val="center"/>
              <w:rPr>
                <w:bCs/>
                <w:noProof/>
                <w:szCs w:val="20"/>
              </w:rPr>
            </w:pPr>
            <w:r>
              <w:rPr>
                <w:noProof/>
              </w:rPr>
              <w:t>Pamatscenārijs</w:t>
            </w:r>
          </w:p>
        </w:tc>
        <w:tc>
          <w:tcPr>
            <w:tcW w:w="1000" w:type="dxa"/>
            <w:shd w:val="clear" w:color="auto" w:fill="A5C9EB" w:themeFill="text2" w:themeFillTint="40"/>
            <w:vAlign w:val="center"/>
          </w:tcPr>
          <w:p w14:paraId="502CA37A" w14:textId="77777777" w:rsidR="00327FF1" w:rsidRDefault="00E406C7">
            <w:pPr>
              <w:pStyle w:val="P68B1DB1-Normal10"/>
              <w:jc w:val="center"/>
              <w:rPr>
                <w:bCs/>
                <w:noProof/>
                <w:szCs w:val="20"/>
              </w:rPr>
            </w:pPr>
            <w:r>
              <w:rPr>
                <w:noProof/>
              </w:rPr>
              <w:t>Mērķis</w:t>
            </w:r>
          </w:p>
        </w:tc>
        <w:tc>
          <w:tcPr>
            <w:tcW w:w="809" w:type="dxa"/>
            <w:shd w:val="clear" w:color="auto" w:fill="A5C9EB" w:themeFill="text2" w:themeFillTint="40"/>
            <w:noWrap/>
            <w:vAlign w:val="center"/>
          </w:tcPr>
          <w:p w14:paraId="5B886F69" w14:textId="77777777" w:rsidR="00327FF1" w:rsidRDefault="00E406C7">
            <w:pPr>
              <w:pStyle w:val="P68B1DB1-Normal10"/>
              <w:jc w:val="center"/>
              <w:rPr>
                <w:noProof/>
                <w:szCs w:val="20"/>
              </w:rPr>
            </w:pPr>
            <w:r>
              <w:rPr>
                <w:noProof/>
              </w:rPr>
              <w:t>Ceturkšņa laikā</w:t>
            </w:r>
          </w:p>
        </w:tc>
        <w:tc>
          <w:tcPr>
            <w:tcW w:w="770" w:type="dxa"/>
            <w:shd w:val="clear" w:color="auto" w:fill="A5C9EB" w:themeFill="text2" w:themeFillTint="40"/>
            <w:vAlign w:val="center"/>
          </w:tcPr>
          <w:p w14:paraId="1C270529" w14:textId="77777777" w:rsidR="00327FF1" w:rsidRDefault="00E406C7">
            <w:pPr>
              <w:pStyle w:val="P68B1DB1-Normal10"/>
              <w:jc w:val="center"/>
              <w:rPr>
                <w:noProof/>
                <w:szCs w:val="20"/>
              </w:rPr>
            </w:pPr>
            <w:r>
              <w:rPr>
                <w:noProof/>
              </w:rPr>
              <w:t>Gadu</w:t>
            </w:r>
          </w:p>
        </w:tc>
        <w:tc>
          <w:tcPr>
            <w:tcW w:w="3544" w:type="dxa"/>
            <w:vMerge/>
            <w:noWrap/>
            <w:vAlign w:val="center"/>
          </w:tcPr>
          <w:p w14:paraId="1FFDAC98" w14:textId="77777777" w:rsidR="00327FF1" w:rsidRDefault="00327FF1">
            <w:pPr>
              <w:rPr>
                <w:rFonts w:ascii="Arial Narrow" w:hAnsi="Arial Narrow"/>
                <w:noProof/>
                <w:sz w:val="20"/>
                <w:szCs w:val="20"/>
              </w:rPr>
            </w:pPr>
          </w:p>
        </w:tc>
      </w:tr>
      <w:tr w:rsidR="00327FF1" w14:paraId="14B78B0D" w14:textId="77777777">
        <w:trPr>
          <w:trHeight w:val="300"/>
        </w:trPr>
        <w:tc>
          <w:tcPr>
            <w:tcW w:w="1134" w:type="dxa"/>
            <w:shd w:val="clear" w:color="auto" w:fill="C6EFCE"/>
            <w:noWrap/>
            <w:vAlign w:val="center"/>
          </w:tcPr>
          <w:p w14:paraId="78BE74C2" w14:textId="77777777" w:rsidR="00327FF1" w:rsidRDefault="00E406C7">
            <w:pPr>
              <w:pStyle w:val="P68B1DB1-Normal11"/>
              <w:spacing w:line="276" w:lineRule="auto"/>
              <w:jc w:val="center"/>
              <w:rPr>
                <w:noProof/>
              </w:rPr>
            </w:pPr>
            <w:r>
              <w:rPr>
                <w:noProof/>
              </w:rPr>
              <w:t>M2C4–6</w:t>
            </w:r>
          </w:p>
        </w:tc>
        <w:tc>
          <w:tcPr>
            <w:tcW w:w="1736" w:type="dxa"/>
            <w:shd w:val="clear" w:color="auto" w:fill="C6EFCE"/>
            <w:noWrap/>
            <w:vAlign w:val="center"/>
          </w:tcPr>
          <w:p w14:paraId="3D923B2D" w14:textId="77777777" w:rsidR="00327FF1" w:rsidRDefault="00E406C7">
            <w:pPr>
              <w:pStyle w:val="P68B1DB1-Normal11"/>
              <w:spacing w:line="276" w:lineRule="auto"/>
              <w:jc w:val="center"/>
              <w:rPr>
                <w:noProof/>
              </w:rPr>
            </w:pPr>
            <w:r>
              <w:rPr>
                <w:noProof/>
              </w:rPr>
              <w:t>“Investīcija Nr. 3.2. Nacionālo parku digitalizācija</w:t>
            </w:r>
          </w:p>
        </w:tc>
        <w:tc>
          <w:tcPr>
            <w:tcW w:w="1261" w:type="dxa"/>
            <w:shd w:val="clear" w:color="auto" w:fill="C6EFCE"/>
            <w:noWrap/>
            <w:vAlign w:val="center"/>
          </w:tcPr>
          <w:p w14:paraId="2DF4FB33" w14:textId="77777777" w:rsidR="00327FF1" w:rsidRDefault="00E406C7">
            <w:pPr>
              <w:pStyle w:val="P68B1DB1-Normal11"/>
              <w:spacing w:line="276" w:lineRule="auto"/>
              <w:jc w:val="center"/>
              <w:rPr>
                <w:noProof/>
              </w:rPr>
            </w:pPr>
            <w:r>
              <w:rPr>
                <w:noProof/>
              </w:rPr>
              <w:t>Mērķa</w:t>
            </w:r>
          </w:p>
        </w:tc>
        <w:tc>
          <w:tcPr>
            <w:tcW w:w="1365" w:type="dxa"/>
            <w:shd w:val="clear" w:color="auto" w:fill="C6EFCE"/>
            <w:noWrap/>
            <w:vAlign w:val="center"/>
          </w:tcPr>
          <w:p w14:paraId="2A55A2CE" w14:textId="77777777" w:rsidR="00327FF1" w:rsidRDefault="00E406C7">
            <w:pPr>
              <w:pStyle w:val="P68B1DB1-Normal11"/>
              <w:spacing w:line="276" w:lineRule="auto"/>
              <w:jc w:val="center"/>
              <w:rPr>
                <w:noProof/>
              </w:rPr>
            </w:pPr>
            <w:r>
              <w:rPr>
                <w:noProof/>
              </w:rPr>
              <w:t xml:space="preserve">Digitālo </w:t>
            </w:r>
            <w:r>
              <w:rPr>
                <w:noProof/>
              </w:rPr>
              <w:t>pakalpojumu izstrāde nacionālo parku un aizsargājamo jūras teritoriju apmeklētājiem</w:t>
            </w:r>
          </w:p>
        </w:tc>
        <w:tc>
          <w:tcPr>
            <w:tcW w:w="1264" w:type="dxa"/>
            <w:shd w:val="clear" w:color="auto" w:fill="C6EFCE"/>
            <w:noWrap/>
            <w:vAlign w:val="center"/>
          </w:tcPr>
          <w:p w14:paraId="3253730E" w14:textId="77777777" w:rsidR="00327FF1" w:rsidRDefault="00E406C7">
            <w:pPr>
              <w:pStyle w:val="P68B1DB1-Normal11"/>
              <w:spacing w:line="276" w:lineRule="auto"/>
              <w:jc w:val="center"/>
              <w:rPr>
                <w:noProof/>
              </w:rPr>
            </w:pPr>
            <w:r>
              <w:rPr>
                <w:noProof/>
              </w:rPr>
              <w:t>NEPIEMĒRO</w:t>
            </w:r>
          </w:p>
        </w:tc>
        <w:tc>
          <w:tcPr>
            <w:tcW w:w="1055" w:type="dxa"/>
            <w:shd w:val="clear" w:color="auto" w:fill="C6EFCE"/>
            <w:noWrap/>
            <w:vAlign w:val="center"/>
          </w:tcPr>
          <w:p w14:paraId="4671BF18" w14:textId="77777777" w:rsidR="00327FF1" w:rsidRDefault="00E406C7">
            <w:pPr>
              <w:pStyle w:val="P68B1DB1-Normal11"/>
              <w:spacing w:line="276" w:lineRule="auto"/>
              <w:jc w:val="center"/>
              <w:rPr>
                <w:noProof/>
              </w:rPr>
            </w:pPr>
            <w:r>
              <w:rPr>
                <w:noProof/>
              </w:rPr>
              <w:t>Procentuālais daudzums</w:t>
            </w:r>
          </w:p>
        </w:tc>
        <w:tc>
          <w:tcPr>
            <w:tcW w:w="946" w:type="dxa"/>
            <w:shd w:val="clear" w:color="auto" w:fill="C6EFCE"/>
            <w:noWrap/>
            <w:vAlign w:val="center"/>
          </w:tcPr>
          <w:p w14:paraId="14BCE1D9" w14:textId="77777777" w:rsidR="00327FF1" w:rsidRDefault="00E406C7">
            <w:pPr>
              <w:pStyle w:val="P68B1DB1-Normal11"/>
              <w:spacing w:line="276" w:lineRule="auto"/>
              <w:jc w:val="center"/>
              <w:rPr>
                <w:noProof/>
              </w:rPr>
            </w:pPr>
            <w:r>
              <w:rPr>
                <w:noProof/>
              </w:rPr>
              <w:t>0</w:t>
            </w:r>
          </w:p>
        </w:tc>
        <w:tc>
          <w:tcPr>
            <w:tcW w:w="1000" w:type="dxa"/>
            <w:shd w:val="clear" w:color="auto" w:fill="C6EFCE"/>
            <w:noWrap/>
            <w:vAlign w:val="center"/>
          </w:tcPr>
          <w:p w14:paraId="2D310B6A" w14:textId="77777777" w:rsidR="00327FF1" w:rsidRDefault="00E406C7">
            <w:pPr>
              <w:pStyle w:val="P68B1DB1-Normal11"/>
              <w:spacing w:line="276" w:lineRule="auto"/>
              <w:jc w:val="center"/>
              <w:rPr>
                <w:noProof/>
              </w:rPr>
            </w:pPr>
            <w:r>
              <w:rPr>
                <w:noProof/>
              </w:rPr>
              <w:t>70</w:t>
            </w:r>
          </w:p>
        </w:tc>
        <w:tc>
          <w:tcPr>
            <w:tcW w:w="809" w:type="dxa"/>
            <w:shd w:val="clear" w:color="auto" w:fill="C6EFCE"/>
            <w:noWrap/>
            <w:vAlign w:val="center"/>
          </w:tcPr>
          <w:p w14:paraId="4D8FA338" w14:textId="77777777" w:rsidR="00327FF1" w:rsidRDefault="00E406C7">
            <w:pPr>
              <w:pStyle w:val="P68B1DB1-Normal11"/>
              <w:spacing w:line="276" w:lineRule="auto"/>
              <w:jc w:val="center"/>
              <w:rPr>
                <w:noProof/>
              </w:rPr>
            </w:pPr>
            <w:r>
              <w:rPr>
                <w:noProof/>
              </w:rPr>
              <w:t>2. CET.</w:t>
            </w:r>
          </w:p>
        </w:tc>
        <w:tc>
          <w:tcPr>
            <w:tcW w:w="770" w:type="dxa"/>
            <w:shd w:val="clear" w:color="auto" w:fill="C6EFCE"/>
            <w:noWrap/>
            <w:vAlign w:val="center"/>
          </w:tcPr>
          <w:p w14:paraId="1A7580A6" w14:textId="77777777" w:rsidR="00327FF1" w:rsidRDefault="00E406C7">
            <w:pPr>
              <w:pStyle w:val="P68B1DB1-Normal11"/>
              <w:spacing w:line="276" w:lineRule="auto"/>
              <w:jc w:val="center"/>
              <w:rPr>
                <w:noProof/>
              </w:rPr>
            </w:pPr>
            <w:r>
              <w:rPr>
                <w:noProof/>
              </w:rPr>
              <w:t>2024</w:t>
            </w:r>
          </w:p>
        </w:tc>
        <w:tc>
          <w:tcPr>
            <w:tcW w:w="3544" w:type="dxa"/>
            <w:shd w:val="clear" w:color="auto" w:fill="C6EFCE"/>
            <w:noWrap/>
            <w:vAlign w:val="center"/>
          </w:tcPr>
          <w:p w14:paraId="28D529F6" w14:textId="022A8E96" w:rsidR="00327FF1" w:rsidRDefault="00E406C7">
            <w:pPr>
              <w:pStyle w:val="P68B1DB1-Normal11"/>
              <w:spacing w:line="276" w:lineRule="auto"/>
              <w:rPr>
                <w:noProof/>
              </w:rPr>
            </w:pPr>
            <w:r>
              <w:rPr>
                <w:noProof/>
              </w:rPr>
              <w:t>Vismaz 70 % nacionālo parku un aizsargājamo jūras teritoriju ir izstrādājuši digitālos pakalpojumus nacionālo parku un ai</w:t>
            </w:r>
            <w:r>
              <w:rPr>
                <w:noProof/>
              </w:rPr>
              <w:t>zsargājamo jūras teritoriju apmeklētājiem (vismaz divi no tiem: savienojums ar Naturitalia.IT portālu; pieteikums administratīvām procedūrām vai ilgtspējīgas mobilitātes lietotne).</w:t>
            </w:r>
          </w:p>
        </w:tc>
      </w:tr>
      <w:tr w:rsidR="00327FF1" w14:paraId="75B78CF8" w14:textId="77777777">
        <w:trPr>
          <w:trHeight w:val="300"/>
        </w:trPr>
        <w:tc>
          <w:tcPr>
            <w:tcW w:w="1134" w:type="dxa"/>
            <w:shd w:val="clear" w:color="auto" w:fill="C6EFCE"/>
            <w:noWrap/>
            <w:vAlign w:val="center"/>
            <w:hideMark/>
          </w:tcPr>
          <w:p w14:paraId="605E2C8A" w14:textId="77777777" w:rsidR="00327FF1" w:rsidRDefault="00E406C7">
            <w:pPr>
              <w:pStyle w:val="P68B1DB1-Normal11"/>
              <w:spacing w:line="276" w:lineRule="auto"/>
              <w:jc w:val="center"/>
              <w:rPr>
                <w:rFonts w:eastAsia="Arial Narrow" w:cs="Arial Narrow"/>
                <w:noProof/>
                <w:szCs w:val="20"/>
              </w:rPr>
            </w:pPr>
            <w:r>
              <w:rPr>
                <w:noProof/>
              </w:rPr>
              <w:t>M2C4–6bis</w:t>
            </w:r>
          </w:p>
        </w:tc>
        <w:tc>
          <w:tcPr>
            <w:tcW w:w="1736" w:type="dxa"/>
            <w:shd w:val="clear" w:color="auto" w:fill="C6EFCE"/>
            <w:noWrap/>
            <w:vAlign w:val="center"/>
          </w:tcPr>
          <w:p w14:paraId="17DF9A87" w14:textId="77777777" w:rsidR="00327FF1" w:rsidRDefault="00E406C7">
            <w:pPr>
              <w:pStyle w:val="P68B1DB1-Normal12"/>
              <w:spacing w:line="276" w:lineRule="auto"/>
              <w:jc w:val="center"/>
              <w:rPr>
                <w:rFonts w:eastAsia="Arial Narrow" w:cs="Arial Narrow"/>
                <w:noProof/>
              </w:rPr>
            </w:pPr>
            <w:r>
              <w:rPr>
                <w:noProof/>
              </w:rPr>
              <w:t>“Investīcija Nr. 3.2. Nacionālo parku digitalizācija</w:t>
            </w:r>
          </w:p>
        </w:tc>
        <w:tc>
          <w:tcPr>
            <w:tcW w:w="1261" w:type="dxa"/>
            <w:shd w:val="clear" w:color="auto" w:fill="C6EFCE"/>
            <w:noWrap/>
            <w:vAlign w:val="center"/>
            <w:hideMark/>
          </w:tcPr>
          <w:p w14:paraId="7837F233" w14:textId="77777777" w:rsidR="00327FF1" w:rsidRDefault="00E406C7">
            <w:pPr>
              <w:pStyle w:val="P68B1DB1-Normal11"/>
              <w:spacing w:line="276" w:lineRule="auto"/>
              <w:jc w:val="center"/>
              <w:rPr>
                <w:noProof/>
                <w:szCs w:val="20"/>
              </w:rPr>
            </w:pPr>
            <w:r>
              <w:rPr>
                <w:noProof/>
              </w:rPr>
              <w:t xml:space="preserve">Atskaites </w:t>
            </w:r>
            <w:r>
              <w:rPr>
                <w:noProof/>
              </w:rPr>
              <w:t>punkts</w:t>
            </w:r>
          </w:p>
        </w:tc>
        <w:tc>
          <w:tcPr>
            <w:tcW w:w="1365" w:type="dxa"/>
            <w:shd w:val="clear" w:color="auto" w:fill="C6EFCE"/>
            <w:noWrap/>
            <w:vAlign w:val="center"/>
          </w:tcPr>
          <w:p w14:paraId="15538178" w14:textId="77777777" w:rsidR="00327FF1" w:rsidRDefault="00E406C7">
            <w:pPr>
              <w:pStyle w:val="P68B1DB1-Normal12"/>
              <w:spacing w:line="276" w:lineRule="auto"/>
              <w:jc w:val="center"/>
              <w:rPr>
                <w:noProof/>
              </w:rPr>
            </w:pPr>
            <w:r>
              <w:rPr>
                <w:noProof/>
              </w:rPr>
              <w:t xml:space="preserve"> Veiktās intervences, kas saistītas ar dabas aizsardzību un dabas resursu monitoringu </w:t>
            </w:r>
          </w:p>
        </w:tc>
        <w:tc>
          <w:tcPr>
            <w:tcW w:w="1264" w:type="dxa"/>
            <w:shd w:val="clear" w:color="auto" w:fill="C6EFCE"/>
            <w:noWrap/>
            <w:vAlign w:val="center"/>
            <w:hideMark/>
          </w:tcPr>
          <w:p w14:paraId="3F9AA4A5" w14:textId="77777777" w:rsidR="00327FF1" w:rsidRDefault="00E406C7">
            <w:pPr>
              <w:pStyle w:val="P68B1DB1-Normal81"/>
              <w:spacing w:line="276" w:lineRule="auto"/>
              <w:jc w:val="center"/>
              <w:rPr>
                <w:rFonts w:eastAsia="Arial Narrow" w:cs="Arial Narrow"/>
                <w:noProof/>
                <w:sz w:val="20"/>
                <w:szCs w:val="20"/>
              </w:rPr>
            </w:pPr>
            <w:r>
              <w:rPr>
                <w:noProof/>
              </w:rPr>
              <w:t xml:space="preserve">Izsniegtie sertifikāti </w:t>
            </w:r>
          </w:p>
        </w:tc>
        <w:tc>
          <w:tcPr>
            <w:tcW w:w="1055" w:type="dxa"/>
            <w:shd w:val="clear" w:color="auto" w:fill="C6EFCE"/>
            <w:noWrap/>
            <w:vAlign w:val="center"/>
            <w:hideMark/>
          </w:tcPr>
          <w:p w14:paraId="2AAB35CB" w14:textId="77777777" w:rsidR="00327FF1" w:rsidRDefault="00327FF1">
            <w:pPr>
              <w:spacing w:line="276" w:lineRule="auto"/>
              <w:jc w:val="center"/>
              <w:rPr>
                <w:rFonts w:ascii="Arial Narrow" w:hAnsi="Arial Narrow"/>
                <w:noProof/>
                <w:color w:val="006100"/>
                <w:sz w:val="20"/>
                <w:szCs w:val="20"/>
              </w:rPr>
            </w:pPr>
          </w:p>
        </w:tc>
        <w:tc>
          <w:tcPr>
            <w:tcW w:w="946" w:type="dxa"/>
            <w:shd w:val="clear" w:color="auto" w:fill="C6EFCE"/>
            <w:noWrap/>
            <w:vAlign w:val="center"/>
          </w:tcPr>
          <w:p w14:paraId="053B7D26" w14:textId="77777777" w:rsidR="00327FF1" w:rsidRDefault="00327FF1">
            <w:pPr>
              <w:spacing w:line="276" w:lineRule="auto"/>
              <w:jc w:val="center"/>
              <w:rPr>
                <w:rFonts w:ascii="Arial Narrow" w:hAnsi="Arial Narrow"/>
                <w:noProof/>
                <w:color w:val="006100"/>
                <w:sz w:val="20"/>
                <w:szCs w:val="20"/>
              </w:rPr>
            </w:pPr>
          </w:p>
        </w:tc>
        <w:tc>
          <w:tcPr>
            <w:tcW w:w="1000" w:type="dxa"/>
            <w:shd w:val="clear" w:color="auto" w:fill="C6EFCE"/>
            <w:noWrap/>
            <w:vAlign w:val="center"/>
          </w:tcPr>
          <w:p w14:paraId="563CCA75" w14:textId="77777777" w:rsidR="00327FF1" w:rsidRDefault="00327FF1">
            <w:pPr>
              <w:spacing w:line="276" w:lineRule="auto"/>
              <w:jc w:val="center"/>
              <w:rPr>
                <w:rFonts w:ascii="Arial Narrow" w:hAnsi="Arial Narrow"/>
                <w:noProof/>
                <w:color w:val="006100"/>
                <w:sz w:val="20"/>
                <w:szCs w:val="20"/>
              </w:rPr>
            </w:pPr>
          </w:p>
        </w:tc>
        <w:tc>
          <w:tcPr>
            <w:tcW w:w="809" w:type="dxa"/>
            <w:shd w:val="clear" w:color="auto" w:fill="C6EFCE"/>
            <w:noWrap/>
            <w:vAlign w:val="center"/>
            <w:hideMark/>
          </w:tcPr>
          <w:p w14:paraId="752FD86C" w14:textId="77777777" w:rsidR="00327FF1" w:rsidRDefault="00E406C7">
            <w:pPr>
              <w:pStyle w:val="P68B1DB1-Normal11"/>
              <w:spacing w:line="276" w:lineRule="auto"/>
              <w:jc w:val="center"/>
              <w:rPr>
                <w:noProof/>
                <w:szCs w:val="20"/>
              </w:rPr>
            </w:pPr>
            <w:r>
              <w:rPr>
                <w:noProof/>
              </w:rPr>
              <w:t>2. CET.</w:t>
            </w:r>
          </w:p>
        </w:tc>
        <w:tc>
          <w:tcPr>
            <w:tcW w:w="770" w:type="dxa"/>
            <w:shd w:val="clear" w:color="auto" w:fill="C6EFCE"/>
            <w:noWrap/>
            <w:vAlign w:val="center"/>
            <w:hideMark/>
          </w:tcPr>
          <w:p w14:paraId="478E92FB" w14:textId="77777777" w:rsidR="00327FF1" w:rsidRDefault="00E406C7">
            <w:pPr>
              <w:pStyle w:val="P68B1DB1-Normal11"/>
              <w:spacing w:line="276" w:lineRule="auto"/>
              <w:jc w:val="center"/>
              <w:rPr>
                <w:noProof/>
                <w:szCs w:val="20"/>
              </w:rPr>
            </w:pPr>
            <w:r>
              <w:rPr>
                <w:noProof/>
              </w:rPr>
              <w:t>2026</w:t>
            </w:r>
          </w:p>
        </w:tc>
        <w:tc>
          <w:tcPr>
            <w:tcW w:w="3544" w:type="dxa"/>
            <w:shd w:val="clear" w:color="auto" w:fill="C6EFCE"/>
            <w:noWrap/>
            <w:vAlign w:val="center"/>
            <w:hideMark/>
          </w:tcPr>
          <w:p w14:paraId="48414D37" w14:textId="0F536883" w:rsidR="00327FF1" w:rsidRDefault="00E406C7">
            <w:pPr>
              <w:pStyle w:val="P68B1DB1-ListParagraph13"/>
              <w:numPr>
                <w:ilvl w:val="0"/>
                <w:numId w:val="32"/>
              </w:numPr>
              <w:spacing w:after="0" w:line="276" w:lineRule="auto"/>
              <w:jc w:val="both"/>
              <w:rPr>
                <w:noProof/>
              </w:rPr>
            </w:pPr>
            <w:r>
              <w:rPr>
                <w:noProof/>
              </w:rPr>
              <w:t>Atbilstības verifikācijas sertifikāts(-i) vismaz 12000 aprīkojuma vienību dabas aizsardzības un monitoringa darbībām;</w:t>
            </w:r>
          </w:p>
          <w:p w14:paraId="0C3C05CF" w14:textId="09D2CBA5" w:rsidR="00327FF1" w:rsidRDefault="00E406C7">
            <w:pPr>
              <w:pStyle w:val="P68B1DB1-ListParagraph13"/>
              <w:numPr>
                <w:ilvl w:val="0"/>
                <w:numId w:val="32"/>
              </w:numPr>
              <w:spacing w:after="0" w:line="276" w:lineRule="auto"/>
              <w:jc w:val="both"/>
              <w:rPr>
                <w:noProof/>
              </w:rPr>
            </w:pPr>
            <w:r>
              <w:rPr>
                <w:noProof/>
              </w:rPr>
              <w:t>Sert</w:t>
            </w:r>
            <w:r>
              <w:rPr>
                <w:noProof/>
              </w:rPr>
              <w:t>ifikāts(-i) par pakalpojumu regulāru izpildi, lai dabas parkos un aizsargājamās jūras teritorijās sniegtu vismaz 7 dažādu veidu tehniskos pakalpojumus, un apmācība zinātniskās un uz vietas veiktās uzraudzības darbībām.</w:t>
            </w:r>
          </w:p>
        </w:tc>
      </w:tr>
      <w:tr w:rsidR="00327FF1" w14:paraId="3A482D7F" w14:textId="77777777">
        <w:trPr>
          <w:trHeight w:val="300"/>
        </w:trPr>
        <w:tc>
          <w:tcPr>
            <w:tcW w:w="1134" w:type="dxa"/>
            <w:shd w:val="clear" w:color="auto" w:fill="C6EFCE"/>
            <w:noWrap/>
            <w:vAlign w:val="center"/>
            <w:hideMark/>
          </w:tcPr>
          <w:p w14:paraId="1DA7FDD5" w14:textId="77777777" w:rsidR="00327FF1" w:rsidRDefault="00E406C7">
            <w:pPr>
              <w:pStyle w:val="P68B1DB1-Normal11"/>
              <w:spacing w:line="276" w:lineRule="auto"/>
              <w:jc w:val="center"/>
              <w:rPr>
                <w:noProof/>
                <w:szCs w:val="20"/>
              </w:rPr>
            </w:pPr>
            <w:r>
              <w:rPr>
                <w:noProof/>
              </w:rPr>
              <w:t>M2C4–7</w:t>
            </w:r>
          </w:p>
        </w:tc>
        <w:tc>
          <w:tcPr>
            <w:tcW w:w="1736" w:type="dxa"/>
            <w:shd w:val="clear" w:color="auto" w:fill="C6EFCE"/>
            <w:noWrap/>
            <w:vAlign w:val="center"/>
          </w:tcPr>
          <w:p w14:paraId="50C1920B" w14:textId="77777777" w:rsidR="00327FF1" w:rsidRDefault="00E406C7">
            <w:pPr>
              <w:pStyle w:val="P68B1DB1-Normal11"/>
              <w:spacing w:line="276" w:lineRule="auto"/>
              <w:jc w:val="center"/>
              <w:rPr>
                <w:noProof/>
                <w:szCs w:val="20"/>
              </w:rPr>
            </w:pPr>
            <w:r>
              <w:rPr>
                <w:noProof/>
              </w:rPr>
              <w:t xml:space="preserve">Reforma Nr. 3.1: Valsts </w:t>
            </w:r>
            <w:r>
              <w:rPr>
                <w:noProof/>
              </w:rPr>
              <w:t>programmu pieņemšana gaisa piesārņojuma kontrolei</w:t>
            </w:r>
          </w:p>
        </w:tc>
        <w:tc>
          <w:tcPr>
            <w:tcW w:w="1261" w:type="dxa"/>
            <w:shd w:val="clear" w:color="auto" w:fill="C6EFCE"/>
            <w:noWrap/>
            <w:vAlign w:val="center"/>
            <w:hideMark/>
          </w:tcPr>
          <w:p w14:paraId="2D0C9CA5" w14:textId="77777777" w:rsidR="00327FF1" w:rsidRDefault="00E406C7">
            <w:pPr>
              <w:pStyle w:val="P68B1DB1-Normal11"/>
              <w:spacing w:line="276" w:lineRule="auto"/>
              <w:jc w:val="center"/>
              <w:rPr>
                <w:noProof/>
                <w:szCs w:val="20"/>
              </w:rPr>
            </w:pPr>
            <w:r>
              <w:rPr>
                <w:noProof/>
              </w:rPr>
              <w:t>Atskaites punkts</w:t>
            </w:r>
          </w:p>
        </w:tc>
        <w:tc>
          <w:tcPr>
            <w:tcW w:w="1365" w:type="dxa"/>
            <w:shd w:val="clear" w:color="auto" w:fill="C6EFCE"/>
            <w:noWrap/>
            <w:vAlign w:val="center"/>
          </w:tcPr>
          <w:p w14:paraId="57E227F4" w14:textId="77777777" w:rsidR="00327FF1" w:rsidRDefault="00E406C7">
            <w:pPr>
              <w:pStyle w:val="P68B1DB1-Normal11"/>
              <w:spacing w:line="276" w:lineRule="auto"/>
              <w:jc w:val="center"/>
              <w:rPr>
                <w:noProof/>
                <w:szCs w:val="20"/>
              </w:rPr>
            </w:pPr>
            <w:r>
              <w:rPr>
                <w:noProof/>
              </w:rPr>
              <w:t>Valsts gaisa piesārņojuma kontroles programmas stāšanās spēkā</w:t>
            </w:r>
          </w:p>
        </w:tc>
        <w:tc>
          <w:tcPr>
            <w:tcW w:w="1264" w:type="dxa"/>
            <w:shd w:val="clear" w:color="auto" w:fill="C6EFCE"/>
            <w:noWrap/>
            <w:vAlign w:val="center"/>
            <w:hideMark/>
          </w:tcPr>
          <w:p w14:paraId="1A239675" w14:textId="77777777" w:rsidR="00327FF1" w:rsidRDefault="00E406C7">
            <w:pPr>
              <w:pStyle w:val="P68B1DB1-Normal11"/>
              <w:spacing w:line="276" w:lineRule="auto"/>
              <w:jc w:val="center"/>
              <w:rPr>
                <w:noProof/>
                <w:szCs w:val="20"/>
              </w:rPr>
            </w:pPr>
            <w:r>
              <w:rPr>
                <w:noProof/>
              </w:rPr>
              <w:t>Noteikums DPCM, kas norāda stāšanos spēkā</w:t>
            </w:r>
          </w:p>
        </w:tc>
        <w:tc>
          <w:tcPr>
            <w:tcW w:w="1055" w:type="dxa"/>
            <w:shd w:val="clear" w:color="auto" w:fill="C6EFCE"/>
            <w:noWrap/>
            <w:vAlign w:val="center"/>
            <w:hideMark/>
          </w:tcPr>
          <w:p w14:paraId="624FBFAC" w14:textId="77777777" w:rsidR="00327FF1" w:rsidRDefault="00E406C7">
            <w:pPr>
              <w:pStyle w:val="P68B1DB1-Normal11"/>
              <w:spacing w:line="276" w:lineRule="auto"/>
              <w:jc w:val="center"/>
              <w:rPr>
                <w:noProof/>
                <w:szCs w:val="20"/>
              </w:rPr>
            </w:pPr>
            <w:r>
              <w:rPr>
                <w:noProof/>
              </w:rPr>
              <w:t>NEPIEMĒRO</w:t>
            </w:r>
          </w:p>
        </w:tc>
        <w:tc>
          <w:tcPr>
            <w:tcW w:w="946" w:type="dxa"/>
            <w:shd w:val="clear" w:color="auto" w:fill="C6EFCE"/>
            <w:noWrap/>
            <w:vAlign w:val="center"/>
          </w:tcPr>
          <w:p w14:paraId="28791A07" w14:textId="77777777" w:rsidR="00327FF1" w:rsidRDefault="00E406C7">
            <w:pPr>
              <w:pStyle w:val="P68B1DB1-Normal11"/>
              <w:spacing w:line="276" w:lineRule="auto"/>
              <w:jc w:val="center"/>
              <w:rPr>
                <w:noProof/>
                <w:szCs w:val="20"/>
              </w:rPr>
            </w:pPr>
            <w:r>
              <w:rPr>
                <w:noProof/>
              </w:rPr>
              <w:t>N.A.</w:t>
            </w:r>
          </w:p>
        </w:tc>
        <w:tc>
          <w:tcPr>
            <w:tcW w:w="1000" w:type="dxa"/>
            <w:shd w:val="clear" w:color="auto" w:fill="C6EFCE"/>
            <w:noWrap/>
            <w:vAlign w:val="center"/>
          </w:tcPr>
          <w:p w14:paraId="48E851A3" w14:textId="77777777" w:rsidR="00327FF1" w:rsidRDefault="00E406C7">
            <w:pPr>
              <w:pStyle w:val="P68B1DB1-Normal11"/>
              <w:spacing w:line="276" w:lineRule="auto"/>
              <w:jc w:val="center"/>
              <w:rPr>
                <w:noProof/>
                <w:szCs w:val="20"/>
              </w:rPr>
            </w:pPr>
            <w:r>
              <w:rPr>
                <w:noProof/>
              </w:rPr>
              <w:t>NEPIEMĒRO</w:t>
            </w:r>
          </w:p>
        </w:tc>
        <w:tc>
          <w:tcPr>
            <w:tcW w:w="809" w:type="dxa"/>
            <w:shd w:val="clear" w:color="auto" w:fill="C6EFCE"/>
            <w:noWrap/>
            <w:vAlign w:val="center"/>
            <w:hideMark/>
          </w:tcPr>
          <w:p w14:paraId="1390C4EA" w14:textId="77777777" w:rsidR="00327FF1" w:rsidRDefault="00E406C7">
            <w:pPr>
              <w:pStyle w:val="P68B1DB1-Normal11"/>
              <w:spacing w:line="276" w:lineRule="auto"/>
              <w:jc w:val="center"/>
              <w:rPr>
                <w:noProof/>
                <w:szCs w:val="20"/>
              </w:rPr>
            </w:pPr>
            <w:r>
              <w:rPr>
                <w:noProof/>
              </w:rPr>
              <w:t>4. CET.</w:t>
            </w:r>
          </w:p>
        </w:tc>
        <w:tc>
          <w:tcPr>
            <w:tcW w:w="770" w:type="dxa"/>
            <w:shd w:val="clear" w:color="auto" w:fill="C6EFCE"/>
            <w:noWrap/>
            <w:vAlign w:val="center"/>
            <w:hideMark/>
          </w:tcPr>
          <w:p w14:paraId="33DF11A9" w14:textId="77777777" w:rsidR="00327FF1" w:rsidRDefault="00E406C7">
            <w:pPr>
              <w:pStyle w:val="P68B1DB1-Normal11"/>
              <w:spacing w:line="276" w:lineRule="auto"/>
              <w:jc w:val="center"/>
              <w:rPr>
                <w:noProof/>
                <w:szCs w:val="20"/>
              </w:rPr>
            </w:pPr>
            <w:r>
              <w:rPr>
                <w:noProof/>
              </w:rPr>
              <w:t>2021</w:t>
            </w:r>
          </w:p>
        </w:tc>
        <w:tc>
          <w:tcPr>
            <w:tcW w:w="3544" w:type="dxa"/>
            <w:shd w:val="clear" w:color="auto" w:fill="C6EFCE"/>
            <w:noWrap/>
            <w:vAlign w:val="center"/>
            <w:hideMark/>
          </w:tcPr>
          <w:p w14:paraId="0FB55345" w14:textId="76DB328F" w:rsidR="00327FF1" w:rsidRDefault="00E406C7">
            <w:pPr>
              <w:pStyle w:val="P68B1DB1-Normal11"/>
              <w:spacing w:line="276" w:lineRule="auto"/>
              <w:rPr>
                <w:noProof/>
                <w:szCs w:val="20"/>
              </w:rPr>
            </w:pPr>
            <w:r>
              <w:rPr>
                <w:noProof/>
              </w:rPr>
              <w:t xml:space="preserve">Ministru padomes priekšsēdētāja dekrētā (DPCM) </w:t>
            </w:r>
            <w:r>
              <w:rPr>
                <w:noProof/>
              </w:rPr>
              <w:t>izklāsta valsts gaisa piesārņojuma kontroles programmu, ar ko ievieš atbilstīgus pasākumus gaisa piesārņojuma samazināšanai saskaņā ar ES Direktīvu 2016/2284 un 2018. gada 30. maija Likumdošanas dekrētu Nr. 81, ar ko transponē minēto direktīvu.</w:t>
            </w:r>
          </w:p>
        </w:tc>
      </w:tr>
      <w:tr w:rsidR="00327FF1" w14:paraId="5120290A" w14:textId="77777777">
        <w:trPr>
          <w:trHeight w:val="300"/>
        </w:trPr>
        <w:tc>
          <w:tcPr>
            <w:tcW w:w="1134" w:type="dxa"/>
            <w:shd w:val="clear" w:color="auto" w:fill="C6EFCE"/>
            <w:noWrap/>
            <w:vAlign w:val="center"/>
            <w:hideMark/>
          </w:tcPr>
          <w:p w14:paraId="7E063A26" w14:textId="77777777" w:rsidR="00327FF1" w:rsidRDefault="00E406C7">
            <w:pPr>
              <w:pStyle w:val="P68B1DB1-Normal11"/>
              <w:spacing w:line="276" w:lineRule="auto"/>
              <w:jc w:val="center"/>
              <w:rPr>
                <w:noProof/>
                <w:szCs w:val="20"/>
              </w:rPr>
            </w:pPr>
            <w:r>
              <w:rPr>
                <w:noProof/>
              </w:rPr>
              <w:t>M2C4–8</w:t>
            </w:r>
          </w:p>
        </w:tc>
        <w:tc>
          <w:tcPr>
            <w:tcW w:w="1736" w:type="dxa"/>
            <w:shd w:val="clear" w:color="auto" w:fill="C6EFCE"/>
            <w:noWrap/>
            <w:vAlign w:val="center"/>
          </w:tcPr>
          <w:p w14:paraId="4FF1BBEA" w14:textId="77777777" w:rsidR="00327FF1" w:rsidRDefault="00E406C7">
            <w:pPr>
              <w:pStyle w:val="P68B1DB1-Normal11"/>
              <w:spacing w:line="276" w:lineRule="auto"/>
              <w:jc w:val="center"/>
              <w:rPr>
                <w:noProof/>
                <w:szCs w:val="20"/>
              </w:rPr>
            </w:pPr>
            <w:r>
              <w:rPr>
                <w:noProof/>
              </w:rPr>
              <w:t>Investīcijas Nr. 1.1. Progresīvas un integrētas uzraudzības un prognozēšanas sistēmas ieviešana</w:t>
            </w:r>
          </w:p>
        </w:tc>
        <w:tc>
          <w:tcPr>
            <w:tcW w:w="1261" w:type="dxa"/>
            <w:shd w:val="clear" w:color="auto" w:fill="C6EFCE"/>
            <w:noWrap/>
            <w:vAlign w:val="center"/>
            <w:hideMark/>
          </w:tcPr>
          <w:p w14:paraId="07C2E072" w14:textId="77777777" w:rsidR="00327FF1" w:rsidRDefault="00E406C7">
            <w:pPr>
              <w:pStyle w:val="P68B1DB1-Normal11"/>
              <w:spacing w:line="276" w:lineRule="auto"/>
              <w:jc w:val="center"/>
              <w:rPr>
                <w:noProof/>
                <w:szCs w:val="20"/>
              </w:rPr>
            </w:pPr>
            <w:r>
              <w:rPr>
                <w:noProof/>
              </w:rPr>
              <w:t>Atskaites punkts</w:t>
            </w:r>
          </w:p>
        </w:tc>
        <w:tc>
          <w:tcPr>
            <w:tcW w:w="1365" w:type="dxa"/>
            <w:shd w:val="clear" w:color="auto" w:fill="C6EFCE"/>
            <w:noWrap/>
            <w:vAlign w:val="center"/>
          </w:tcPr>
          <w:p w14:paraId="5A29201F" w14:textId="77777777" w:rsidR="00327FF1" w:rsidRDefault="00E406C7">
            <w:pPr>
              <w:pStyle w:val="P68B1DB1-Normal11"/>
              <w:spacing w:line="276" w:lineRule="auto"/>
              <w:jc w:val="center"/>
              <w:rPr>
                <w:noProof/>
                <w:szCs w:val="20"/>
              </w:rPr>
            </w:pPr>
            <w:r>
              <w:rPr>
                <w:noProof/>
              </w:rPr>
              <w:t>Darbības plāns progresīvai un integrētai monitoringa un prognozēšanas sistēmai hidroloģisko risku apzināšanai</w:t>
            </w:r>
          </w:p>
        </w:tc>
        <w:tc>
          <w:tcPr>
            <w:tcW w:w="1264" w:type="dxa"/>
            <w:shd w:val="clear" w:color="auto" w:fill="C6EFCE"/>
            <w:noWrap/>
            <w:vAlign w:val="center"/>
            <w:hideMark/>
          </w:tcPr>
          <w:p w14:paraId="76C233A1" w14:textId="522F8BF0" w:rsidR="00327FF1" w:rsidRDefault="00E406C7">
            <w:pPr>
              <w:pStyle w:val="P68B1DB1-Normal11"/>
              <w:spacing w:line="276" w:lineRule="auto"/>
              <w:jc w:val="center"/>
              <w:rPr>
                <w:noProof/>
                <w:szCs w:val="20"/>
              </w:rPr>
            </w:pPr>
            <w:r>
              <w:rPr>
                <w:noProof/>
              </w:rPr>
              <w:t>Ministrijas dekrēta noteikums par</w:t>
            </w:r>
            <w:r>
              <w:rPr>
                <w:noProof/>
              </w:rPr>
              <w:t xml:space="preserve"> stāšanos spēkā</w:t>
            </w:r>
          </w:p>
        </w:tc>
        <w:tc>
          <w:tcPr>
            <w:tcW w:w="1055" w:type="dxa"/>
            <w:shd w:val="clear" w:color="auto" w:fill="C6EFCE"/>
            <w:noWrap/>
            <w:vAlign w:val="center"/>
            <w:hideMark/>
          </w:tcPr>
          <w:p w14:paraId="134396AF" w14:textId="77777777" w:rsidR="00327FF1" w:rsidRDefault="00E406C7">
            <w:pPr>
              <w:pStyle w:val="P68B1DB1-Normal11"/>
              <w:spacing w:line="276" w:lineRule="auto"/>
              <w:jc w:val="center"/>
              <w:rPr>
                <w:noProof/>
                <w:szCs w:val="20"/>
              </w:rPr>
            </w:pPr>
            <w:r>
              <w:rPr>
                <w:noProof/>
              </w:rPr>
              <w:t>NEPIEMĒRO</w:t>
            </w:r>
          </w:p>
        </w:tc>
        <w:tc>
          <w:tcPr>
            <w:tcW w:w="946" w:type="dxa"/>
            <w:shd w:val="clear" w:color="auto" w:fill="C6EFCE"/>
            <w:noWrap/>
            <w:vAlign w:val="center"/>
          </w:tcPr>
          <w:p w14:paraId="22F88055" w14:textId="77777777" w:rsidR="00327FF1" w:rsidRDefault="00E406C7">
            <w:pPr>
              <w:pStyle w:val="P68B1DB1-Normal11"/>
              <w:spacing w:line="276" w:lineRule="auto"/>
              <w:jc w:val="center"/>
              <w:rPr>
                <w:noProof/>
                <w:szCs w:val="20"/>
              </w:rPr>
            </w:pPr>
            <w:r>
              <w:rPr>
                <w:noProof/>
              </w:rPr>
              <w:t>NEPIEMĒRO</w:t>
            </w:r>
          </w:p>
        </w:tc>
        <w:tc>
          <w:tcPr>
            <w:tcW w:w="1000" w:type="dxa"/>
            <w:shd w:val="clear" w:color="auto" w:fill="C6EFCE"/>
            <w:noWrap/>
            <w:vAlign w:val="center"/>
          </w:tcPr>
          <w:p w14:paraId="325FFEAB" w14:textId="77777777" w:rsidR="00327FF1" w:rsidRDefault="00E406C7">
            <w:pPr>
              <w:pStyle w:val="P68B1DB1-Normal11"/>
              <w:spacing w:line="276" w:lineRule="auto"/>
              <w:jc w:val="center"/>
              <w:rPr>
                <w:noProof/>
                <w:szCs w:val="20"/>
              </w:rPr>
            </w:pPr>
            <w:r>
              <w:rPr>
                <w:noProof/>
              </w:rPr>
              <w:t>NEPIEMĒRO</w:t>
            </w:r>
          </w:p>
        </w:tc>
        <w:tc>
          <w:tcPr>
            <w:tcW w:w="809" w:type="dxa"/>
            <w:shd w:val="clear" w:color="auto" w:fill="C6EFCE"/>
            <w:noWrap/>
            <w:vAlign w:val="center"/>
            <w:hideMark/>
          </w:tcPr>
          <w:p w14:paraId="27B9AC08" w14:textId="77777777" w:rsidR="00327FF1" w:rsidRDefault="00E406C7">
            <w:pPr>
              <w:pStyle w:val="P68B1DB1-Normal11"/>
              <w:spacing w:line="276" w:lineRule="auto"/>
              <w:jc w:val="center"/>
              <w:rPr>
                <w:noProof/>
                <w:szCs w:val="20"/>
              </w:rPr>
            </w:pPr>
            <w:r>
              <w:rPr>
                <w:noProof/>
              </w:rPr>
              <w:t>CET.</w:t>
            </w:r>
          </w:p>
        </w:tc>
        <w:tc>
          <w:tcPr>
            <w:tcW w:w="770" w:type="dxa"/>
            <w:shd w:val="clear" w:color="auto" w:fill="C6EFCE"/>
            <w:noWrap/>
            <w:vAlign w:val="center"/>
            <w:hideMark/>
          </w:tcPr>
          <w:p w14:paraId="19097471" w14:textId="77777777" w:rsidR="00327FF1" w:rsidRDefault="00E406C7">
            <w:pPr>
              <w:pStyle w:val="P68B1DB1-Normal11"/>
              <w:spacing w:line="276" w:lineRule="auto"/>
              <w:jc w:val="center"/>
              <w:rPr>
                <w:noProof/>
                <w:szCs w:val="20"/>
              </w:rPr>
            </w:pPr>
            <w:r>
              <w:rPr>
                <w:noProof/>
              </w:rPr>
              <w:t>2021</w:t>
            </w:r>
          </w:p>
        </w:tc>
        <w:tc>
          <w:tcPr>
            <w:tcW w:w="3544" w:type="dxa"/>
            <w:shd w:val="clear" w:color="auto" w:fill="C6EFCE"/>
            <w:noWrap/>
            <w:vAlign w:val="center"/>
            <w:hideMark/>
          </w:tcPr>
          <w:p w14:paraId="1AC4DC1C" w14:textId="77777777" w:rsidR="00327FF1" w:rsidRDefault="00E406C7">
            <w:pPr>
              <w:pStyle w:val="P68B1DB1-Normal11"/>
              <w:spacing w:line="276" w:lineRule="auto"/>
              <w:rPr>
                <w:noProof/>
                <w:szCs w:val="20"/>
              </w:rPr>
            </w:pPr>
            <w:r>
              <w:rPr>
                <w:noProof/>
              </w:rPr>
              <w:t>Ar ministra dekrētu apstiprina darbības plānu progresīvas un integrētas monitoringa un prognozēšanas sistēmas īstenošanai, lai noteiktu hidroloģiskos riskus. Tajā vismaz:</w:t>
            </w:r>
          </w:p>
          <w:p w14:paraId="0D3CD579" w14:textId="77777777" w:rsidR="00327FF1" w:rsidRDefault="00E406C7">
            <w:pPr>
              <w:pStyle w:val="P68B1DB1-ListParagraph15"/>
              <w:numPr>
                <w:ilvl w:val="0"/>
                <w:numId w:val="27"/>
              </w:numPr>
              <w:spacing w:before="120" w:after="120" w:line="276" w:lineRule="auto"/>
              <w:ind w:left="424"/>
              <w:jc w:val="both"/>
              <w:rPr>
                <w:noProof/>
                <w:szCs w:val="20"/>
              </w:rPr>
            </w:pPr>
            <w:r>
              <w:rPr>
                <w:noProof/>
              </w:rPr>
              <w:t>Paredzēt tālizpētes lietojumu</w:t>
            </w:r>
            <w:r>
              <w:rPr>
                <w:noProof/>
              </w:rPr>
              <w:t>s un datu lauka sensorus;</w:t>
            </w:r>
          </w:p>
          <w:p w14:paraId="71D63861" w14:textId="77777777" w:rsidR="00327FF1" w:rsidRDefault="00E406C7">
            <w:pPr>
              <w:pStyle w:val="P68B1DB1-ListParagraph15"/>
              <w:numPr>
                <w:ilvl w:val="0"/>
                <w:numId w:val="27"/>
              </w:numPr>
              <w:spacing w:before="120" w:after="120" w:line="276" w:lineRule="auto"/>
              <w:ind w:left="424"/>
              <w:jc w:val="both"/>
              <w:rPr>
                <w:noProof/>
                <w:szCs w:val="20"/>
              </w:rPr>
            </w:pPr>
            <w:r>
              <w:rPr>
                <w:noProof/>
              </w:rPr>
              <w:t>Izstrādāt saziņas sistēmu, kas nodrošina koordināciju un sadarbspēju starp dažādiem operatoriem kontroles telpās;</w:t>
            </w:r>
          </w:p>
          <w:p w14:paraId="423DCEA2" w14:textId="77777777" w:rsidR="00327FF1" w:rsidRDefault="00E406C7">
            <w:pPr>
              <w:pStyle w:val="P68B1DB1-ListParagraph15"/>
              <w:numPr>
                <w:ilvl w:val="0"/>
                <w:numId w:val="27"/>
              </w:numPr>
              <w:spacing w:before="120" w:after="120" w:line="276" w:lineRule="auto"/>
              <w:ind w:left="424"/>
              <w:jc w:val="both"/>
              <w:rPr>
                <w:noProof/>
                <w:szCs w:val="20"/>
              </w:rPr>
            </w:pPr>
            <w:r>
              <w:rPr>
                <w:noProof/>
              </w:rPr>
              <w:t>Izveidot centrālās un reģionālās kontroles telpas</w:t>
            </w:r>
          </w:p>
          <w:p w14:paraId="582CFE2F" w14:textId="77777777" w:rsidR="00327FF1" w:rsidRDefault="00E406C7">
            <w:pPr>
              <w:pStyle w:val="P68B1DB1-ListParagraph15"/>
              <w:numPr>
                <w:ilvl w:val="0"/>
                <w:numId w:val="27"/>
              </w:numPr>
              <w:spacing w:before="120" w:after="120" w:line="276" w:lineRule="auto"/>
              <w:ind w:left="424"/>
              <w:jc w:val="both"/>
              <w:rPr>
                <w:noProof/>
                <w:szCs w:val="20"/>
              </w:rPr>
            </w:pPr>
            <w:r>
              <w:rPr>
                <w:noProof/>
              </w:rPr>
              <w:t>Izstrādāt kiberdrošības sistēmas un pakalpojumus</w:t>
            </w:r>
          </w:p>
        </w:tc>
      </w:tr>
      <w:tr w:rsidR="00327FF1" w14:paraId="3FAFBE0B" w14:textId="77777777">
        <w:trPr>
          <w:trHeight w:val="300"/>
        </w:trPr>
        <w:tc>
          <w:tcPr>
            <w:tcW w:w="1134" w:type="dxa"/>
            <w:shd w:val="clear" w:color="auto" w:fill="C6EFCE"/>
            <w:noWrap/>
            <w:vAlign w:val="center"/>
            <w:hideMark/>
          </w:tcPr>
          <w:p w14:paraId="59D347E9" w14:textId="77777777" w:rsidR="00327FF1" w:rsidRDefault="00E406C7">
            <w:pPr>
              <w:pStyle w:val="P68B1DB1-Normal12"/>
              <w:spacing w:line="276" w:lineRule="auto"/>
              <w:jc w:val="center"/>
              <w:rPr>
                <w:noProof/>
              </w:rPr>
            </w:pPr>
            <w:r>
              <w:rPr>
                <w:noProof/>
              </w:rPr>
              <w:t>M2C4–9</w:t>
            </w:r>
          </w:p>
        </w:tc>
        <w:tc>
          <w:tcPr>
            <w:tcW w:w="1736" w:type="dxa"/>
            <w:shd w:val="clear" w:color="auto" w:fill="C6EFCE"/>
            <w:noWrap/>
            <w:vAlign w:val="center"/>
          </w:tcPr>
          <w:p w14:paraId="197AA956" w14:textId="77777777" w:rsidR="00327FF1" w:rsidRDefault="00327FF1">
            <w:pPr>
              <w:spacing w:line="276" w:lineRule="auto"/>
              <w:jc w:val="center"/>
              <w:rPr>
                <w:rFonts w:ascii="Arial Narrow" w:hAnsi="Arial Narrow"/>
                <w:noProof/>
                <w:color w:val="006100"/>
                <w:sz w:val="20"/>
                <w:szCs w:val="20"/>
              </w:rPr>
            </w:pPr>
          </w:p>
          <w:p w14:paraId="11BF0D1B" w14:textId="77777777" w:rsidR="00327FF1" w:rsidRDefault="00E406C7">
            <w:pPr>
              <w:pStyle w:val="P68B1DB1-Normal11"/>
              <w:spacing w:line="276" w:lineRule="auto"/>
              <w:jc w:val="center"/>
              <w:rPr>
                <w:noProof/>
                <w:szCs w:val="20"/>
              </w:rPr>
            </w:pPr>
            <w:r>
              <w:rPr>
                <w:noProof/>
              </w:rPr>
              <w:t>Investīcijas Nr. 1.1. Progresīvas un integrētas uzraudzības un prognozēšanas sistēmas ieviešana</w:t>
            </w:r>
          </w:p>
        </w:tc>
        <w:tc>
          <w:tcPr>
            <w:tcW w:w="1261" w:type="dxa"/>
            <w:shd w:val="clear" w:color="auto" w:fill="C6EFCE"/>
            <w:noWrap/>
            <w:vAlign w:val="center"/>
            <w:hideMark/>
          </w:tcPr>
          <w:p w14:paraId="69667583" w14:textId="77777777" w:rsidR="00327FF1" w:rsidRDefault="00E406C7">
            <w:pPr>
              <w:pStyle w:val="P68B1DB1-Normal12"/>
              <w:spacing w:line="276" w:lineRule="auto"/>
              <w:jc w:val="center"/>
              <w:rPr>
                <w:noProof/>
              </w:rPr>
            </w:pPr>
            <w:r>
              <w:rPr>
                <w:noProof/>
              </w:rPr>
              <w:t>Atskaites punkts</w:t>
            </w:r>
          </w:p>
        </w:tc>
        <w:tc>
          <w:tcPr>
            <w:tcW w:w="1365" w:type="dxa"/>
            <w:shd w:val="clear" w:color="auto" w:fill="C6EFCE"/>
            <w:noWrap/>
            <w:vAlign w:val="center"/>
          </w:tcPr>
          <w:p w14:paraId="1AB6FEFB" w14:textId="051856ED" w:rsidR="00327FF1" w:rsidRDefault="00E406C7">
            <w:pPr>
              <w:pStyle w:val="P68B1DB1-Normal12"/>
              <w:spacing w:line="276" w:lineRule="auto"/>
              <w:jc w:val="center"/>
              <w:rPr>
                <w:noProof/>
              </w:rPr>
            </w:pPr>
            <w:r>
              <w:rPr>
                <w:noProof/>
              </w:rPr>
              <w:t xml:space="preserve">Uzraudzības un prognozēšanas sistēma ir pieejama </w:t>
            </w:r>
          </w:p>
        </w:tc>
        <w:tc>
          <w:tcPr>
            <w:tcW w:w="1264" w:type="dxa"/>
            <w:shd w:val="clear" w:color="auto" w:fill="C6EFCE"/>
            <w:noWrap/>
            <w:vAlign w:val="center"/>
            <w:hideMark/>
          </w:tcPr>
          <w:p w14:paraId="7960953C" w14:textId="77777777" w:rsidR="00327FF1" w:rsidRDefault="00E406C7">
            <w:pPr>
              <w:pStyle w:val="P68B1DB1-Normal12"/>
              <w:spacing w:line="276" w:lineRule="auto"/>
              <w:jc w:val="center"/>
              <w:rPr>
                <w:noProof/>
              </w:rPr>
            </w:pPr>
            <w:r>
              <w:rPr>
                <w:noProof/>
              </w:rPr>
              <w:t xml:space="preserve">Sistēma pieejama tiešsaistē </w:t>
            </w:r>
          </w:p>
        </w:tc>
        <w:tc>
          <w:tcPr>
            <w:tcW w:w="1055" w:type="dxa"/>
            <w:shd w:val="clear" w:color="auto" w:fill="C6EFCE"/>
            <w:noWrap/>
            <w:vAlign w:val="center"/>
            <w:hideMark/>
          </w:tcPr>
          <w:p w14:paraId="094A0587" w14:textId="77777777" w:rsidR="00327FF1" w:rsidRDefault="00E406C7">
            <w:pPr>
              <w:pStyle w:val="P68B1DB1-Normal12"/>
              <w:spacing w:line="276" w:lineRule="auto"/>
              <w:jc w:val="center"/>
              <w:rPr>
                <w:noProof/>
              </w:rPr>
            </w:pPr>
            <w:r>
              <w:rPr>
                <w:noProof/>
              </w:rPr>
              <w:t>NEPIEMĒRO</w:t>
            </w:r>
          </w:p>
        </w:tc>
        <w:tc>
          <w:tcPr>
            <w:tcW w:w="946" w:type="dxa"/>
            <w:shd w:val="clear" w:color="auto" w:fill="C6EFCE"/>
            <w:noWrap/>
            <w:vAlign w:val="center"/>
          </w:tcPr>
          <w:p w14:paraId="77C2C0B7" w14:textId="77777777" w:rsidR="00327FF1" w:rsidRDefault="00E406C7">
            <w:pPr>
              <w:pStyle w:val="P68B1DB1-Normal12"/>
              <w:spacing w:line="276" w:lineRule="auto"/>
              <w:jc w:val="center"/>
              <w:rPr>
                <w:noProof/>
              </w:rPr>
            </w:pPr>
            <w:r>
              <w:rPr>
                <w:noProof/>
              </w:rPr>
              <w:t>NEPIEMĒRO</w:t>
            </w:r>
          </w:p>
        </w:tc>
        <w:tc>
          <w:tcPr>
            <w:tcW w:w="1000" w:type="dxa"/>
            <w:shd w:val="clear" w:color="auto" w:fill="C6EFCE"/>
            <w:noWrap/>
            <w:vAlign w:val="center"/>
          </w:tcPr>
          <w:p w14:paraId="056820EC" w14:textId="77777777" w:rsidR="00327FF1" w:rsidRDefault="00E406C7">
            <w:pPr>
              <w:pStyle w:val="P68B1DB1-Normal12"/>
              <w:spacing w:line="276" w:lineRule="auto"/>
              <w:jc w:val="center"/>
              <w:rPr>
                <w:noProof/>
              </w:rPr>
            </w:pPr>
            <w:r>
              <w:rPr>
                <w:noProof/>
              </w:rPr>
              <w:t>NEPIEMĒRO</w:t>
            </w:r>
          </w:p>
        </w:tc>
        <w:tc>
          <w:tcPr>
            <w:tcW w:w="809" w:type="dxa"/>
            <w:shd w:val="clear" w:color="auto" w:fill="C6EFCE"/>
            <w:noWrap/>
            <w:vAlign w:val="center"/>
            <w:hideMark/>
          </w:tcPr>
          <w:p w14:paraId="06C3BBB4" w14:textId="77777777" w:rsidR="00327FF1" w:rsidRDefault="00E406C7">
            <w:pPr>
              <w:pStyle w:val="P68B1DB1-Normal11"/>
              <w:spacing w:line="276" w:lineRule="auto"/>
              <w:jc w:val="center"/>
              <w:rPr>
                <w:noProof/>
                <w:szCs w:val="20"/>
              </w:rPr>
            </w:pPr>
            <w:r>
              <w:rPr>
                <w:noProof/>
              </w:rPr>
              <w:t>2. CET.</w:t>
            </w:r>
          </w:p>
        </w:tc>
        <w:tc>
          <w:tcPr>
            <w:tcW w:w="770" w:type="dxa"/>
            <w:shd w:val="clear" w:color="auto" w:fill="C6EFCE"/>
            <w:noWrap/>
            <w:vAlign w:val="center"/>
            <w:hideMark/>
          </w:tcPr>
          <w:p w14:paraId="1E04A430" w14:textId="77777777" w:rsidR="00327FF1" w:rsidRDefault="00E406C7">
            <w:pPr>
              <w:pStyle w:val="P68B1DB1-Normal11"/>
              <w:spacing w:line="276" w:lineRule="auto"/>
              <w:jc w:val="center"/>
              <w:rPr>
                <w:noProof/>
                <w:szCs w:val="20"/>
              </w:rPr>
            </w:pPr>
            <w:r>
              <w:rPr>
                <w:noProof/>
              </w:rPr>
              <w:t>2025</w:t>
            </w:r>
          </w:p>
        </w:tc>
        <w:tc>
          <w:tcPr>
            <w:tcW w:w="3544" w:type="dxa"/>
            <w:shd w:val="clear" w:color="auto" w:fill="C6EFCE"/>
            <w:noWrap/>
            <w:vAlign w:val="center"/>
            <w:hideMark/>
          </w:tcPr>
          <w:p w14:paraId="331B76F7" w14:textId="77777777" w:rsidR="00327FF1" w:rsidRDefault="00E406C7">
            <w:pPr>
              <w:pStyle w:val="P68B1DB1-Normal12"/>
              <w:spacing w:line="276" w:lineRule="auto"/>
              <w:rPr>
                <w:noProof/>
              </w:rPr>
            </w:pPr>
            <w:r>
              <w:rPr>
                <w:noProof/>
              </w:rPr>
              <w:t>Monitoringa un progno</w:t>
            </w:r>
            <w:r>
              <w:rPr>
                <w:noProof/>
              </w:rPr>
              <w:t>zēšanas sistēma, lai noteiktu hidroloģiskos riskus un atkritumu nelikumīgu apglabāšanu, ir pieejama tiešsaistē.</w:t>
            </w:r>
          </w:p>
        </w:tc>
      </w:tr>
      <w:tr w:rsidR="00327FF1" w14:paraId="28C3D97D" w14:textId="77777777">
        <w:trPr>
          <w:trHeight w:val="300"/>
        </w:trPr>
        <w:tc>
          <w:tcPr>
            <w:tcW w:w="1134" w:type="dxa"/>
            <w:shd w:val="clear" w:color="auto" w:fill="C6EFCE"/>
            <w:noWrap/>
            <w:vAlign w:val="center"/>
          </w:tcPr>
          <w:p w14:paraId="541A7D71" w14:textId="77777777" w:rsidR="00327FF1" w:rsidRDefault="00E406C7">
            <w:pPr>
              <w:pStyle w:val="P68B1DB1-Normal11"/>
              <w:spacing w:line="276" w:lineRule="auto"/>
              <w:jc w:val="center"/>
              <w:rPr>
                <w:noProof/>
                <w:szCs w:val="20"/>
              </w:rPr>
            </w:pPr>
            <w:r>
              <w:rPr>
                <w:noProof/>
              </w:rPr>
              <w:t>M2C4–11</w:t>
            </w:r>
          </w:p>
        </w:tc>
        <w:tc>
          <w:tcPr>
            <w:tcW w:w="1736" w:type="dxa"/>
            <w:shd w:val="clear" w:color="auto" w:fill="C6EFCE"/>
            <w:noWrap/>
            <w:vAlign w:val="center"/>
          </w:tcPr>
          <w:p w14:paraId="174B42E7" w14:textId="77777777" w:rsidR="00327FF1" w:rsidRDefault="00E406C7">
            <w:pPr>
              <w:pStyle w:val="P68B1DB1-Normal11"/>
              <w:spacing w:line="276" w:lineRule="auto"/>
              <w:jc w:val="center"/>
              <w:rPr>
                <w:noProof/>
                <w:szCs w:val="20"/>
              </w:rPr>
            </w:pPr>
            <w:r>
              <w:rPr>
                <w:noProof/>
              </w:rPr>
              <w:t>Investīcija 2.1.a. Pasākumi plūdu un hidroģeoloģiskā riska mazināšanai — intervences pasākumi Emīlijā-Romanjā, Toskānā un Markē</w:t>
            </w:r>
          </w:p>
        </w:tc>
        <w:tc>
          <w:tcPr>
            <w:tcW w:w="1261" w:type="dxa"/>
            <w:shd w:val="clear" w:color="auto" w:fill="C6EFCE"/>
            <w:noWrap/>
            <w:vAlign w:val="center"/>
          </w:tcPr>
          <w:p w14:paraId="3D524C25" w14:textId="77777777" w:rsidR="00327FF1" w:rsidRDefault="00E406C7">
            <w:pPr>
              <w:pStyle w:val="P68B1DB1-Normal11"/>
              <w:spacing w:line="276" w:lineRule="auto"/>
              <w:jc w:val="center"/>
              <w:rPr>
                <w:noProof/>
                <w:szCs w:val="20"/>
              </w:rPr>
            </w:pPr>
            <w:r>
              <w:rPr>
                <w:noProof/>
              </w:rPr>
              <w:t>Atskaites punkts</w:t>
            </w:r>
          </w:p>
        </w:tc>
        <w:tc>
          <w:tcPr>
            <w:tcW w:w="1365" w:type="dxa"/>
            <w:shd w:val="clear" w:color="auto" w:fill="C6EFCE"/>
            <w:noWrap/>
            <w:vAlign w:val="center"/>
          </w:tcPr>
          <w:p w14:paraId="193FF213" w14:textId="77777777" w:rsidR="00327FF1" w:rsidRDefault="00E406C7">
            <w:pPr>
              <w:pStyle w:val="P68B1DB1-Normal11"/>
              <w:spacing w:line="276" w:lineRule="auto"/>
              <w:jc w:val="center"/>
              <w:rPr>
                <w:noProof/>
                <w:szCs w:val="20"/>
              </w:rPr>
            </w:pPr>
            <w:r>
              <w:rPr>
                <w:noProof/>
              </w:rPr>
              <w:t>Ārkārtas komisāra rīkojumā(-os) veikto pasākumu identifikācija</w:t>
            </w:r>
          </w:p>
        </w:tc>
        <w:tc>
          <w:tcPr>
            <w:tcW w:w="1264" w:type="dxa"/>
            <w:shd w:val="clear" w:color="auto" w:fill="C6EFCE"/>
            <w:noWrap/>
            <w:vAlign w:val="center"/>
          </w:tcPr>
          <w:p w14:paraId="45367315" w14:textId="77777777" w:rsidR="00327FF1" w:rsidRDefault="00E406C7">
            <w:pPr>
              <w:pStyle w:val="P68B1DB1-Normal11"/>
              <w:spacing w:line="276" w:lineRule="auto"/>
              <w:jc w:val="center"/>
              <w:rPr>
                <w:noProof/>
                <w:szCs w:val="20"/>
              </w:rPr>
            </w:pPr>
            <w:r>
              <w:rPr>
                <w:noProof/>
              </w:rPr>
              <w:t>Ārkārtas stāvokļa komisāra rīkojums(-i)</w:t>
            </w:r>
          </w:p>
        </w:tc>
        <w:tc>
          <w:tcPr>
            <w:tcW w:w="1055" w:type="dxa"/>
            <w:shd w:val="clear" w:color="auto" w:fill="C6EFCE"/>
            <w:noWrap/>
            <w:vAlign w:val="center"/>
          </w:tcPr>
          <w:p w14:paraId="54E9BE99" w14:textId="77777777" w:rsidR="00327FF1" w:rsidRDefault="00327FF1">
            <w:pPr>
              <w:spacing w:line="276" w:lineRule="auto"/>
              <w:jc w:val="center"/>
              <w:rPr>
                <w:rFonts w:ascii="Arial Narrow" w:hAnsi="Arial Narrow"/>
                <w:noProof/>
                <w:color w:val="006100"/>
                <w:sz w:val="20"/>
                <w:szCs w:val="20"/>
              </w:rPr>
            </w:pPr>
          </w:p>
        </w:tc>
        <w:tc>
          <w:tcPr>
            <w:tcW w:w="946" w:type="dxa"/>
            <w:shd w:val="clear" w:color="auto" w:fill="C6EFCE"/>
            <w:noWrap/>
            <w:vAlign w:val="center"/>
          </w:tcPr>
          <w:p w14:paraId="2641E8D9" w14:textId="77777777" w:rsidR="00327FF1" w:rsidRDefault="00327FF1">
            <w:pPr>
              <w:spacing w:line="276" w:lineRule="auto"/>
              <w:jc w:val="center"/>
              <w:rPr>
                <w:rFonts w:ascii="Arial Narrow" w:hAnsi="Arial Narrow"/>
                <w:noProof/>
                <w:color w:val="006100"/>
                <w:sz w:val="20"/>
                <w:szCs w:val="20"/>
              </w:rPr>
            </w:pPr>
          </w:p>
        </w:tc>
        <w:tc>
          <w:tcPr>
            <w:tcW w:w="1000" w:type="dxa"/>
            <w:shd w:val="clear" w:color="auto" w:fill="C6EFCE"/>
            <w:noWrap/>
            <w:vAlign w:val="center"/>
          </w:tcPr>
          <w:p w14:paraId="498E8A93" w14:textId="77777777" w:rsidR="00327FF1" w:rsidRDefault="00327FF1">
            <w:pPr>
              <w:spacing w:line="276" w:lineRule="auto"/>
              <w:jc w:val="center"/>
              <w:rPr>
                <w:rFonts w:ascii="Arial Narrow" w:hAnsi="Arial Narrow"/>
                <w:noProof/>
                <w:color w:val="006100"/>
                <w:sz w:val="20"/>
                <w:szCs w:val="20"/>
              </w:rPr>
            </w:pPr>
          </w:p>
        </w:tc>
        <w:tc>
          <w:tcPr>
            <w:tcW w:w="809" w:type="dxa"/>
            <w:shd w:val="clear" w:color="auto" w:fill="C6EFCE"/>
            <w:noWrap/>
            <w:vAlign w:val="center"/>
          </w:tcPr>
          <w:p w14:paraId="7C66F6A6" w14:textId="77777777" w:rsidR="00327FF1" w:rsidRDefault="00E406C7">
            <w:pPr>
              <w:pStyle w:val="P68B1DB1-Normal11"/>
              <w:spacing w:line="276" w:lineRule="auto"/>
              <w:jc w:val="center"/>
              <w:rPr>
                <w:noProof/>
                <w:szCs w:val="20"/>
              </w:rPr>
            </w:pPr>
            <w:r>
              <w:rPr>
                <w:noProof/>
              </w:rPr>
              <w:t>CET.</w:t>
            </w:r>
          </w:p>
        </w:tc>
        <w:tc>
          <w:tcPr>
            <w:tcW w:w="770" w:type="dxa"/>
            <w:shd w:val="clear" w:color="auto" w:fill="C6EFCE"/>
            <w:noWrap/>
            <w:vAlign w:val="center"/>
          </w:tcPr>
          <w:p w14:paraId="151148ED" w14:textId="77777777" w:rsidR="00327FF1" w:rsidRDefault="00E406C7">
            <w:pPr>
              <w:pStyle w:val="P68B1DB1-Normal11"/>
              <w:spacing w:line="276" w:lineRule="auto"/>
              <w:jc w:val="center"/>
              <w:rPr>
                <w:noProof/>
                <w:szCs w:val="20"/>
              </w:rPr>
            </w:pPr>
            <w:r>
              <w:rPr>
                <w:noProof/>
              </w:rPr>
              <w:t>2024</w:t>
            </w:r>
          </w:p>
        </w:tc>
        <w:tc>
          <w:tcPr>
            <w:tcW w:w="3544" w:type="dxa"/>
            <w:shd w:val="clear" w:color="auto" w:fill="C6EFCE"/>
            <w:noWrap/>
            <w:vAlign w:val="center"/>
          </w:tcPr>
          <w:p w14:paraId="53276112" w14:textId="77777777" w:rsidR="00327FF1" w:rsidRDefault="00E406C7">
            <w:pPr>
              <w:rPr>
                <w:rFonts w:ascii="Arial Narrow" w:hAnsi="Arial Narrow"/>
                <w:i/>
                <w:noProof/>
                <w:color w:val="006100"/>
                <w:sz w:val="20"/>
                <w:szCs w:val="20"/>
              </w:rPr>
            </w:pPr>
            <w:r>
              <w:rPr>
                <w:rFonts w:ascii="Arial Narrow" w:hAnsi="Arial Narrow"/>
                <w:noProof/>
                <w:color w:val="006100"/>
                <w:sz w:val="20"/>
                <w:szCs w:val="20"/>
              </w:rPr>
              <w:t>Vienā vai vairākos ārkārtas komisāra rīkojumos norāda precīzu sarakstu ar intervencēm, kuru mērķis ir atjaunot ūdensceļus u</w:t>
            </w:r>
            <w:r>
              <w:rPr>
                <w:rFonts w:ascii="Arial Narrow" w:hAnsi="Arial Narrow"/>
                <w:noProof/>
                <w:color w:val="006100"/>
                <w:sz w:val="20"/>
                <w:szCs w:val="20"/>
              </w:rPr>
              <w:t>n palielināt aizsardzību pret plūdiem un zemes nogruvumiem, intervences sabiedrisko ēku, tostarp sabiedrisko ēku un veselības centru, atjaunošanai un atjaunojamā transporta tīkla kopējo kilometru skaitu.</w:t>
            </w:r>
            <w:r>
              <w:rPr>
                <w:noProof/>
              </w:rPr>
              <w:t xml:space="preserve"> </w:t>
            </w:r>
            <w:r>
              <w:rPr>
                <w:rFonts w:ascii="Arial Narrow" w:hAnsi="Arial Narrow"/>
                <w:noProof/>
                <w:color w:val="006100"/>
                <w:sz w:val="20"/>
                <w:szCs w:val="20"/>
              </w:rPr>
              <w:t xml:space="preserve">Kopējā intervenču skaita vērtība ir vismaz 1,2 </w:t>
            </w:r>
            <w:r>
              <w:rPr>
                <w:rFonts w:ascii="Arial Narrow" w:hAnsi="Arial Narrow"/>
                <w:noProof/>
                <w:color w:val="006100"/>
                <w:sz w:val="20"/>
                <w:szCs w:val="20"/>
              </w:rPr>
              <w:t>miljardi EUR.</w:t>
            </w:r>
          </w:p>
        </w:tc>
      </w:tr>
      <w:tr w:rsidR="00327FF1" w14:paraId="3C804535" w14:textId="77777777">
        <w:trPr>
          <w:trHeight w:val="300"/>
        </w:trPr>
        <w:tc>
          <w:tcPr>
            <w:tcW w:w="1134" w:type="dxa"/>
            <w:shd w:val="clear" w:color="auto" w:fill="C6EFCE"/>
            <w:noWrap/>
            <w:vAlign w:val="center"/>
          </w:tcPr>
          <w:p w14:paraId="4C7A3218" w14:textId="77777777" w:rsidR="00327FF1" w:rsidRDefault="00E406C7">
            <w:pPr>
              <w:pStyle w:val="P68B1DB1-Normal12"/>
              <w:spacing w:after="120"/>
              <w:jc w:val="center"/>
              <w:rPr>
                <w:noProof/>
              </w:rPr>
            </w:pPr>
            <w:r>
              <w:rPr>
                <w:noProof/>
              </w:rPr>
              <w:t>M2C4–11bis</w:t>
            </w:r>
          </w:p>
        </w:tc>
        <w:tc>
          <w:tcPr>
            <w:tcW w:w="1736" w:type="dxa"/>
            <w:shd w:val="clear" w:color="auto" w:fill="C6EFCE"/>
            <w:noWrap/>
            <w:vAlign w:val="center"/>
          </w:tcPr>
          <w:p w14:paraId="06E0B18B" w14:textId="77777777" w:rsidR="00327FF1" w:rsidRDefault="00E406C7">
            <w:pPr>
              <w:pStyle w:val="P68B1DB1-Normal12"/>
              <w:spacing w:after="120"/>
              <w:jc w:val="center"/>
              <w:rPr>
                <w:noProof/>
              </w:rPr>
            </w:pPr>
            <w:bookmarkStart w:id="20" w:name="_Hlk160472904"/>
            <w:r>
              <w:rPr>
                <w:noProof/>
              </w:rPr>
              <w:t>Investīcija 2.1.a. Pasākumi plūdu un hidroģeoloģiskā riska mazināšanai — intervences pasākumi Emīlijā-Romanjā, Toskānā un Markē</w:t>
            </w:r>
            <w:bookmarkEnd w:id="20"/>
          </w:p>
        </w:tc>
        <w:tc>
          <w:tcPr>
            <w:tcW w:w="1261" w:type="dxa"/>
            <w:shd w:val="clear" w:color="auto" w:fill="C6EFCE"/>
            <w:noWrap/>
            <w:vAlign w:val="center"/>
          </w:tcPr>
          <w:p w14:paraId="7507C768" w14:textId="77777777" w:rsidR="00327FF1" w:rsidRDefault="00E406C7">
            <w:pPr>
              <w:pStyle w:val="P68B1DB1-Normal12"/>
              <w:spacing w:after="120"/>
              <w:jc w:val="center"/>
              <w:rPr>
                <w:noProof/>
              </w:rPr>
            </w:pPr>
            <w:r>
              <w:rPr>
                <w:noProof/>
              </w:rPr>
              <w:t>Mērķa</w:t>
            </w:r>
          </w:p>
        </w:tc>
        <w:tc>
          <w:tcPr>
            <w:tcW w:w="1365" w:type="dxa"/>
            <w:shd w:val="clear" w:color="auto" w:fill="C6EFCE"/>
            <w:noWrap/>
            <w:vAlign w:val="center"/>
          </w:tcPr>
          <w:p w14:paraId="4679DD89" w14:textId="77777777" w:rsidR="00327FF1" w:rsidRDefault="00E406C7">
            <w:pPr>
              <w:pStyle w:val="P68B1DB1-Normal12"/>
              <w:spacing w:after="120"/>
              <w:jc w:val="center"/>
              <w:rPr>
                <w:noProof/>
              </w:rPr>
            </w:pPr>
            <w:r>
              <w:rPr>
                <w:noProof/>
              </w:rPr>
              <w:t>Īstenotie projekti</w:t>
            </w:r>
          </w:p>
        </w:tc>
        <w:tc>
          <w:tcPr>
            <w:tcW w:w="1264" w:type="dxa"/>
            <w:shd w:val="clear" w:color="auto" w:fill="C6EFCE"/>
            <w:noWrap/>
            <w:vAlign w:val="center"/>
          </w:tcPr>
          <w:p w14:paraId="4C34BB3E" w14:textId="77777777" w:rsidR="00327FF1" w:rsidRDefault="00E406C7">
            <w:pPr>
              <w:pStyle w:val="P68B1DB1-Normal12"/>
              <w:spacing w:after="120"/>
              <w:jc w:val="center"/>
              <w:rPr>
                <w:noProof/>
              </w:rPr>
            </w:pPr>
            <w:r>
              <w:rPr>
                <w:noProof/>
              </w:rPr>
              <w:t>Sertifikācija par projektu pabeigšanu</w:t>
            </w:r>
          </w:p>
        </w:tc>
        <w:tc>
          <w:tcPr>
            <w:tcW w:w="1055" w:type="dxa"/>
            <w:shd w:val="clear" w:color="auto" w:fill="C6EFCE"/>
            <w:noWrap/>
            <w:vAlign w:val="center"/>
          </w:tcPr>
          <w:p w14:paraId="1E0017A3" w14:textId="77777777" w:rsidR="00327FF1" w:rsidRDefault="00E406C7">
            <w:pPr>
              <w:pStyle w:val="P68B1DB1-Normal12"/>
              <w:spacing w:after="120"/>
              <w:jc w:val="center"/>
              <w:rPr>
                <w:noProof/>
              </w:rPr>
            </w:pPr>
            <w:r>
              <w:rPr>
                <w:noProof/>
              </w:rPr>
              <w:t>Skaits</w:t>
            </w:r>
          </w:p>
        </w:tc>
        <w:tc>
          <w:tcPr>
            <w:tcW w:w="946" w:type="dxa"/>
            <w:shd w:val="clear" w:color="auto" w:fill="C6EFCE"/>
            <w:noWrap/>
            <w:vAlign w:val="center"/>
          </w:tcPr>
          <w:p w14:paraId="04978117" w14:textId="77777777" w:rsidR="00327FF1" w:rsidRDefault="00E406C7">
            <w:pPr>
              <w:pStyle w:val="P68B1DB1-Normal12"/>
              <w:spacing w:after="120"/>
              <w:jc w:val="center"/>
              <w:rPr>
                <w:noProof/>
              </w:rPr>
            </w:pPr>
            <w:r>
              <w:rPr>
                <w:noProof/>
              </w:rPr>
              <w:t>0</w:t>
            </w:r>
          </w:p>
        </w:tc>
        <w:tc>
          <w:tcPr>
            <w:tcW w:w="1000" w:type="dxa"/>
            <w:shd w:val="clear" w:color="auto" w:fill="C6EFCE"/>
            <w:noWrap/>
            <w:vAlign w:val="center"/>
          </w:tcPr>
          <w:p w14:paraId="433FFDA9" w14:textId="77777777" w:rsidR="00327FF1" w:rsidRDefault="00E406C7">
            <w:pPr>
              <w:pStyle w:val="P68B1DB1-Normal12"/>
              <w:spacing w:after="120"/>
              <w:jc w:val="center"/>
              <w:rPr>
                <w:noProof/>
              </w:rPr>
            </w:pPr>
            <w:r>
              <w:rPr>
                <w:noProof/>
              </w:rPr>
              <w:t>190</w:t>
            </w:r>
          </w:p>
        </w:tc>
        <w:tc>
          <w:tcPr>
            <w:tcW w:w="809" w:type="dxa"/>
            <w:shd w:val="clear" w:color="auto" w:fill="C6EFCE"/>
            <w:noWrap/>
            <w:vAlign w:val="center"/>
          </w:tcPr>
          <w:p w14:paraId="08F31FFA" w14:textId="77777777" w:rsidR="00327FF1" w:rsidRDefault="00E406C7">
            <w:pPr>
              <w:pStyle w:val="P68B1DB1-Normal12"/>
              <w:spacing w:after="120"/>
              <w:jc w:val="center"/>
              <w:rPr>
                <w:noProof/>
              </w:rPr>
            </w:pPr>
            <w:r>
              <w:rPr>
                <w:noProof/>
              </w:rPr>
              <w:t>2. CET.</w:t>
            </w:r>
          </w:p>
        </w:tc>
        <w:tc>
          <w:tcPr>
            <w:tcW w:w="770" w:type="dxa"/>
            <w:shd w:val="clear" w:color="auto" w:fill="C6EFCE"/>
            <w:noWrap/>
            <w:vAlign w:val="center"/>
          </w:tcPr>
          <w:p w14:paraId="721E7CA7" w14:textId="77777777" w:rsidR="00327FF1" w:rsidRDefault="00E406C7">
            <w:pPr>
              <w:pStyle w:val="P68B1DB1-Normal12"/>
              <w:spacing w:after="120"/>
              <w:jc w:val="center"/>
              <w:rPr>
                <w:noProof/>
              </w:rPr>
            </w:pPr>
            <w:r>
              <w:rPr>
                <w:noProof/>
              </w:rPr>
              <w:t>2026</w:t>
            </w:r>
          </w:p>
        </w:tc>
        <w:tc>
          <w:tcPr>
            <w:tcW w:w="3544" w:type="dxa"/>
            <w:shd w:val="clear" w:color="auto" w:fill="C6EFCE"/>
            <w:noWrap/>
            <w:vAlign w:val="center"/>
          </w:tcPr>
          <w:p w14:paraId="16A113C6" w14:textId="1F8DDB5D" w:rsidR="00327FF1" w:rsidRDefault="00E406C7">
            <w:pPr>
              <w:pStyle w:val="P68B1DB1-Normal12"/>
              <w:spacing w:after="120"/>
              <w:jc w:val="both"/>
              <w:rPr>
                <w:noProof/>
              </w:rPr>
            </w:pPr>
            <w:r>
              <w:rPr>
                <w:noProof/>
              </w:rPr>
              <w:t>Sertifikātus par darbu pabeigšanu izsniedz par vismaz 190 intervences pasākumiem, lai atjaunotu ūdensceļus un palielinātu aizsardzību pret plūdiem un zemes nogruvumiem, kā arī par transporta tīkla atjaunošanas pasākumiem, kā noteikts Ārkārtas lietu komisār</w:t>
            </w:r>
            <w:r>
              <w:rPr>
                <w:noProof/>
              </w:rPr>
              <w:t>a rīkojumā.</w:t>
            </w:r>
          </w:p>
        </w:tc>
      </w:tr>
      <w:tr w:rsidR="00327FF1" w14:paraId="217B07D3" w14:textId="77777777">
        <w:trPr>
          <w:trHeight w:val="300"/>
        </w:trPr>
        <w:tc>
          <w:tcPr>
            <w:tcW w:w="1134" w:type="dxa"/>
            <w:shd w:val="clear" w:color="auto" w:fill="C6EFCE"/>
            <w:noWrap/>
            <w:vAlign w:val="center"/>
          </w:tcPr>
          <w:p w14:paraId="1FEBD786" w14:textId="77777777" w:rsidR="00327FF1" w:rsidRDefault="00E406C7">
            <w:pPr>
              <w:pStyle w:val="P68B1DB1-Normal11"/>
              <w:spacing w:after="120"/>
              <w:jc w:val="center"/>
              <w:rPr>
                <w:noProof/>
                <w:szCs w:val="20"/>
              </w:rPr>
            </w:pPr>
            <w:r>
              <w:rPr>
                <w:noProof/>
              </w:rPr>
              <w:t>M2C4–12</w:t>
            </w:r>
          </w:p>
        </w:tc>
        <w:tc>
          <w:tcPr>
            <w:tcW w:w="1736" w:type="dxa"/>
            <w:shd w:val="clear" w:color="auto" w:fill="C6EFCE"/>
            <w:noWrap/>
            <w:vAlign w:val="center"/>
          </w:tcPr>
          <w:p w14:paraId="35B7FE48" w14:textId="77777777" w:rsidR="00327FF1" w:rsidRDefault="00E406C7">
            <w:pPr>
              <w:pStyle w:val="P68B1DB1-Normal11"/>
              <w:spacing w:after="120"/>
              <w:jc w:val="center"/>
              <w:rPr>
                <w:noProof/>
                <w:szCs w:val="20"/>
              </w:rPr>
            </w:pPr>
            <w:r>
              <w:rPr>
                <w:noProof/>
              </w:rPr>
              <w:t>Investīcija 2.1.b. Pasākumi plūdu un hidroģeoloģiskā riska mazināšanai</w:t>
            </w:r>
          </w:p>
        </w:tc>
        <w:tc>
          <w:tcPr>
            <w:tcW w:w="1261" w:type="dxa"/>
            <w:shd w:val="clear" w:color="auto" w:fill="C6EFCE"/>
            <w:noWrap/>
            <w:vAlign w:val="center"/>
          </w:tcPr>
          <w:p w14:paraId="6EA2D862" w14:textId="77777777" w:rsidR="00327FF1" w:rsidRDefault="00E406C7">
            <w:pPr>
              <w:pStyle w:val="P68B1DB1-Normal11"/>
              <w:spacing w:after="120"/>
              <w:jc w:val="center"/>
              <w:rPr>
                <w:noProof/>
                <w:szCs w:val="20"/>
              </w:rPr>
            </w:pPr>
            <w:r>
              <w:rPr>
                <w:noProof/>
              </w:rPr>
              <w:t>Atskaites punkts</w:t>
            </w:r>
          </w:p>
        </w:tc>
        <w:tc>
          <w:tcPr>
            <w:tcW w:w="1365" w:type="dxa"/>
            <w:shd w:val="clear" w:color="auto" w:fill="C6EFCE"/>
            <w:noWrap/>
            <w:vAlign w:val="center"/>
          </w:tcPr>
          <w:p w14:paraId="78542BB2" w14:textId="77777777" w:rsidR="00327FF1" w:rsidRDefault="00E406C7">
            <w:pPr>
              <w:pStyle w:val="P68B1DB1-Normal11"/>
              <w:spacing w:after="120"/>
              <w:jc w:val="center"/>
              <w:rPr>
                <w:noProof/>
                <w:szCs w:val="20"/>
              </w:rPr>
            </w:pPr>
            <w:r>
              <w:rPr>
                <w:noProof/>
              </w:rPr>
              <w:t>Pārskatītā tiesiskā regulējuma stāšanās spēkā attiecībā uz intervencēm pret plūdiem un hidroģeoloģiskajiem riskiem</w:t>
            </w:r>
          </w:p>
        </w:tc>
        <w:tc>
          <w:tcPr>
            <w:tcW w:w="1264" w:type="dxa"/>
            <w:shd w:val="clear" w:color="auto" w:fill="C6EFCE"/>
            <w:noWrap/>
            <w:vAlign w:val="center"/>
          </w:tcPr>
          <w:p w14:paraId="501D54DB" w14:textId="77777777" w:rsidR="00327FF1" w:rsidRDefault="00E406C7">
            <w:pPr>
              <w:pStyle w:val="P68B1DB1-Normal11"/>
              <w:spacing w:after="120"/>
              <w:jc w:val="center"/>
              <w:rPr>
                <w:noProof/>
                <w:szCs w:val="20"/>
              </w:rPr>
            </w:pPr>
            <w:r>
              <w:rPr>
                <w:noProof/>
              </w:rPr>
              <w:t xml:space="preserve">Rīkojumu noteikumi, kas norāda </w:t>
            </w:r>
            <w:r>
              <w:rPr>
                <w:noProof/>
              </w:rPr>
              <w:t>uz stāšanos spēkā</w:t>
            </w:r>
          </w:p>
        </w:tc>
        <w:tc>
          <w:tcPr>
            <w:tcW w:w="1055" w:type="dxa"/>
            <w:shd w:val="clear" w:color="auto" w:fill="C6EFCE"/>
            <w:noWrap/>
            <w:vAlign w:val="center"/>
          </w:tcPr>
          <w:p w14:paraId="104D45E1" w14:textId="77777777" w:rsidR="00327FF1" w:rsidRDefault="00E406C7">
            <w:pPr>
              <w:pStyle w:val="P68B1DB1-Normal11"/>
              <w:spacing w:after="120"/>
              <w:jc w:val="center"/>
              <w:rPr>
                <w:noProof/>
                <w:szCs w:val="20"/>
              </w:rPr>
            </w:pPr>
            <w:r>
              <w:rPr>
                <w:noProof/>
              </w:rPr>
              <w:t>NEPIEMĒRO</w:t>
            </w:r>
          </w:p>
        </w:tc>
        <w:tc>
          <w:tcPr>
            <w:tcW w:w="946" w:type="dxa"/>
            <w:shd w:val="clear" w:color="auto" w:fill="C6EFCE"/>
            <w:noWrap/>
            <w:vAlign w:val="center"/>
          </w:tcPr>
          <w:p w14:paraId="7F7E86ED" w14:textId="77777777" w:rsidR="00327FF1" w:rsidRDefault="00E406C7">
            <w:pPr>
              <w:pStyle w:val="P68B1DB1-Normal11"/>
              <w:spacing w:after="120"/>
              <w:jc w:val="center"/>
              <w:rPr>
                <w:noProof/>
                <w:szCs w:val="20"/>
              </w:rPr>
            </w:pPr>
            <w:r>
              <w:rPr>
                <w:noProof/>
              </w:rPr>
              <w:t>NEPIEMĒRO</w:t>
            </w:r>
          </w:p>
        </w:tc>
        <w:tc>
          <w:tcPr>
            <w:tcW w:w="1000" w:type="dxa"/>
            <w:shd w:val="clear" w:color="auto" w:fill="C6EFCE"/>
            <w:noWrap/>
            <w:vAlign w:val="center"/>
          </w:tcPr>
          <w:p w14:paraId="340B2929" w14:textId="77777777" w:rsidR="00327FF1" w:rsidRDefault="00E406C7">
            <w:pPr>
              <w:pStyle w:val="P68B1DB1-Normal11"/>
              <w:spacing w:after="120"/>
              <w:jc w:val="center"/>
              <w:rPr>
                <w:noProof/>
                <w:szCs w:val="20"/>
              </w:rPr>
            </w:pPr>
            <w:r>
              <w:rPr>
                <w:noProof/>
              </w:rPr>
              <w:t>NEPIEMĒRO</w:t>
            </w:r>
          </w:p>
        </w:tc>
        <w:tc>
          <w:tcPr>
            <w:tcW w:w="809" w:type="dxa"/>
            <w:shd w:val="clear" w:color="auto" w:fill="C6EFCE"/>
            <w:noWrap/>
            <w:vAlign w:val="center"/>
          </w:tcPr>
          <w:p w14:paraId="2B36D580" w14:textId="77777777" w:rsidR="00327FF1" w:rsidRDefault="00E406C7">
            <w:pPr>
              <w:pStyle w:val="P68B1DB1-Normal11"/>
              <w:spacing w:after="120"/>
              <w:jc w:val="center"/>
              <w:rPr>
                <w:noProof/>
                <w:szCs w:val="20"/>
              </w:rPr>
            </w:pPr>
            <w:r>
              <w:rPr>
                <w:noProof/>
              </w:rPr>
              <w:t>4. CET.</w:t>
            </w:r>
          </w:p>
        </w:tc>
        <w:tc>
          <w:tcPr>
            <w:tcW w:w="770" w:type="dxa"/>
            <w:shd w:val="clear" w:color="auto" w:fill="C6EFCE"/>
            <w:noWrap/>
            <w:vAlign w:val="center"/>
          </w:tcPr>
          <w:p w14:paraId="71A94D8A" w14:textId="77777777" w:rsidR="00327FF1" w:rsidRDefault="00E406C7">
            <w:pPr>
              <w:pStyle w:val="P68B1DB1-Normal11"/>
              <w:spacing w:after="120"/>
              <w:jc w:val="center"/>
              <w:rPr>
                <w:noProof/>
                <w:szCs w:val="20"/>
              </w:rPr>
            </w:pPr>
            <w:r>
              <w:rPr>
                <w:noProof/>
              </w:rPr>
              <w:t>2021</w:t>
            </w:r>
          </w:p>
        </w:tc>
        <w:tc>
          <w:tcPr>
            <w:tcW w:w="3544" w:type="dxa"/>
            <w:shd w:val="clear" w:color="auto" w:fill="C6EFCE"/>
            <w:noWrap/>
            <w:vAlign w:val="center"/>
          </w:tcPr>
          <w:p w14:paraId="07109043" w14:textId="77777777" w:rsidR="00327FF1" w:rsidRDefault="00E406C7">
            <w:pPr>
              <w:pStyle w:val="P68B1DB1-Normal11"/>
              <w:spacing w:after="120"/>
              <w:jc w:val="both"/>
              <w:rPr>
                <w:noProof/>
                <w:szCs w:val="20"/>
              </w:rPr>
            </w:pPr>
            <w:r>
              <w:rPr>
                <w:noProof/>
              </w:rPr>
              <w:t>Dekrētu, ar kuriem apstiprina pirmo intervences un investīciju plānu attiecīgajā teritorijā (komisāra delegāts/reģions/autonomā province) plūdu un hidroģeoloģiskā riska mazināšanai, mērķis ir atj</w:t>
            </w:r>
            <w:r>
              <w:rPr>
                <w:noProof/>
              </w:rPr>
              <w:t>aunot sākotnējos apstākļus un nodrošināt teritoriju noturību pret dabas katastrofām.</w:t>
            </w:r>
          </w:p>
        </w:tc>
      </w:tr>
      <w:tr w:rsidR="00327FF1" w14:paraId="457146B8" w14:textId="77777777">
        <w:trPr>
          <w:trHeight w:val="300"/>
        </w:trPr>
        <w:tc>
          <w:tcPr>
            <w:tcW w:w="1134" w:type="dxa"/>
            <w:shd w:val="clear" w:color="auto" w:fill="C6EFCE"/>
            <w:noWrap/>
            <w:vAlign w:val="center"/>
          </w:tcPr>
          <w:p w14:paraId="07E7E6F3" w14:textId="77777777" w:rsidR="00327FF1" w:rsidRDefault="00E406C7">
            <w:pPr>
              <w:pStyle w:val="P68B1DB1-Normal11"/>
              <w:spacing w:after="120"/>
              <w:jc w:val="center"/>
              <w:rPr>
                <w:noProof/>
                <w:szCs w:val="20"/>
              </w:rPr>
            </w:pPr>
            <w:r>
              <w:rPr>
                <w:noProof/>
              </w:rPr>
              <w:t>M2C4–13</w:t>
            </w:r>
          </w:p>
        </w:tc>
        <w:tc>
          <w:tcPr>
            <w:tcW w:w="1736" w:type="dxa"/>
            <w:shd w:val="clear" w:color="auto" w:fill="C6EFCE"/>
            <w:noWrap/>
            <w:vAlign w:val="center"/>
          </w:tcPr>
          <w:p w14:paraId="66939BB7" w14:textId="77777777" w:rsidR="00327FF1" w:rsidRDefault="00E406C7">
            <w:pPr>
              <w:pStyle w:val="P68B1DB1-Normal11"/>
              <w:spacing w:after="120"/>
              <w:jc w:val="center"/>
              <w:rPr>
                <w:noProof/>
                <w:szCs w:val="20"/>
              </w:rPr>
            </w:pPr>
            <w:r>
              <w:rPr>
                <w:noProof/>
              </w:rPr>
              <w:t>Investīcija 2.1.b — Pasākumi plūdu un hidroģeoloģiskā riska mazināšanai</w:t>
            </w:r>
          </w:p>
        </w:tc>
        <w:tc>
          <w:tcPr>
            <w:tcW w:w="1261" w:type="dxa"/>
            <w:shd w:val="clear" w:color="auto" w:fill="C6EFCE"/>
            <w:noWrap/>
            <w:vAlign w:val="center"/>
          </w:tcPr>
          <w:p w14:paraId="47C9B876" w14:textId="77777777" w:rsidR="00327FF1" w:rsidRDefault="00E406C7">
            <w:pPr>
              <w:pStyle w:val="P68B1DB1-Normal11"/>
              <w:spacing w:after="120"/>
              <w:jc w:val="center"/>
              <w:rPr>
                <w:noProof/>
                <w:szCs w:val="20"/>
              </w:rPr>
            </w:pPr>
            <w:r>
              <w:rPr>
                <w:noProof/>
              </w:rPr>
              <w:t>Mērķa</w:t>
            </w:r>
          </w:p>
        </w:tc>
        <w:tc>
          <w:tcPr>
            <w:tcW w:w="1365" w:type="dxa"/>
            <w:shd w:val="clear" w:color="auto" w:fill="C6EFCE"/>
            <w:noWrap/>
            <w:vAlign w:val="center"/>
          </w:tcPr>
          <w:p w14:paraId="20B65FCF" w14:textId="77777777" w:rsidR="00327FF1" w:rsidRDefault="00E406C7">
            <w:pPr>
              <w:pStyle w:val="P68B1DB1-Normal12"/>
              <w:spacing w:after="120"/>
              <w:jc w:val="center"/>
              <w:rPr>
                <w:noProof/>
              </w:rPr>
            </w:pPr>
            <w:r>
              <w:rPr>
                <w:noProof/>
              </w:rPr>
              <w:t>Veiktās D un E tipa intervences</w:t>
            </w:r>
          </w:p>
        </w:tc>
        <w:tc>
          <w:tcPr>
            <w:tcW w:w="1264" w:type="dxa"/>
            <w:shd w:val="clear" w:color="auto" w:fill="C6EFCE"/>
            <w:noWrap/>
            <w:vAlign w:val="center"/>
          </w:tcPr>
          <w:p w14:paraId="0F8652FB" w14:textId="77777777" w:rsidR="00327FF1" w:rsidRDefault="00E406C7">
            <w:pPr>
              <w:pStyle w:val="P68B1DB1-Normal11"/>
              <w:spacing w:after="120"/>
              <w:jc w:val="center"/>
              <w:rPr>
                <w:noProof/>
                <w:szCs w:val="20"/>
              </w:rPr>
            </w:pPr>
            <w:r>
              <w:rPr>
                <w:noProof/>
              </w:rPr>
              <w:t>NEPIEMĒRO</w:t>
            </w:r>
          </w:p>
        </w:tc>
        <w:tc>
          <w:tcPr>
            <w:tcW w:w="1055" w:type="dxa"/>
            <w:shd w:val="clear" w:color="auto" w:fill="C6EFCE"/>
            <w:noWrap/>
            <w:vAlign w:val="center"/>
          </w:tcPr>
          <w:p w14:paraId="2F2A254D" w14:textId="77777777" w:rsidR="00327FF1" w:rsidRDefault="00E406C7">
            <w:pPr>
              <w:pStyle w:val="P68B1DB1-Normal12"/>
              <w:spacing w:after="120"/>
              <w:jc w:val="center"/>
              <w:rPr>
                <w:noProof/>
              </w:rPr>
            </w:pPr>
            <w:r>
              <w:rPr>
                <w:noProof/>
              </w:rPr>
              <w:t>Procentuālais daudzums</w:t>
            </w:r>
          </w:p>
        </w:tc>
        <w:tc>
          <w:tcPr>
            <w:tcW w:w="946" w:type="dxa"/>
            <w:shd w:val="clear" w:color="auto" w:fill="C6EFCE"/>
            <w:noWrap/>
            <w:vAlign w:val="center"/>
          </w:tcPr>
          <w:p w14:paraId="7EE5C4B3" w14:textId="77777777" w:rsidR="00327FF1" w:rsidRDefault="00E406C7">
            <w:pPr>
              <w:pStyle w:val="P68B1DB1-Normal11"/>
              <w:spacing w:after="120"/>
              <w:jc w:val="center"/>
              <w:rPr>
                <w:noProof/>
                <w:szCs w:val="20"/>
              </w:rPr>
            </w:pPr>
            <w:r>
              <w:rPr>
                <w:noProof/>
              </w:rPr>
              <w:t>0</w:t>
            </w:r>
          </w:p>
        </w:tc>
        <w:tc>
          <w:tcPr>
            <w:tcW w:w="1000" w:type="dxa"/>
            <w:shd w:val="clear" w:color="auto" w:fill="C6EFCE"/>
            <w:noWrap/>
            <w:vAlign w:val="center"/>
          </w:tcPr>
          <w:p w14:paraId="4FB7FD0A" w14:textId="77777777" w:rsidR="00327FF1" w:rsidRDefault="00E406C7">
            <w:pPr>
              <w:pStyle w:val="P68B1DB1-Normal12"/>
              <w:spacing w:after="120"/>
              <w:jc w:val="center"/>
              <w:rPr>
                <w:noProof/>
              </w:rPr>
            </w:pPr>
            <w:r>
              <w:rPr>
                <w:noProof/>
              </w:rPr>
              <w:t>90</w:t>
            </w:r>
          </w:p>
        </w:tc>
        <w:tc>
          <w:tcPr>
            <w:tcW w:w="809" w:type="dxa"/>
            <w:shd w:val="clear" w:color="auto" w:fill="C6EFCE"/>
            <w:noWrap/>
            <w:vAlign w:val="center"/>
          </w:tcPr>
          <w:p w14:paraId="607345C4" w14:textId="77777777" w:rsidR="00327FF1" w:rsidRDefault="00E406C7">
            <w:pPr>
              <w:pStyle w:val="P68B1DB1-Normal11"/>
              <w:spacing w:after="120"/>
              <w:jc w:val="center"/>
              <w:rPr>
                <w:noProof/>
                <w:szCs w:val="20"/>
              </w:rPr>
            </w:pPr>
            <w:r>
              <w:rPr>
                <w:noProof/>
              </w:rPr>
              <w:t>2. CET.</w:t>
            </w:r>
          </w:p>
        </w:tc>
        <w:tc>
          <w:tcPr>
            <w:tcW w:w="770" w:type="dxa"/>
            <w:shd w:val="clear" w:color="auto" w:fill="C6EFCE"/>
            <w:noWrap/>
            <w:vAlign w:val="center"/>
          </w:tcPr>
          <w:p w14:paraId="414867F0" w14:textId="77777777" w:rsidR="00327FF1" w:rsidRDefault="00E406C7">
            <w:pPr>
              <w:pStyle w:val="P68B1DB1-Normal11"/>
              <w:spacing w:after="120"/>
              <w:jc w:val="center"/>
              <w:rPr>
                <w:noProof/>
                <w:szCs w:val="20"/>
              </w:rPr>
            </w:pPr>
            <w:r>
              <w:rPr>
                <w:noProof/>
              </w:rPr>
              <w:t>2026</w:t>
            </w:r>
          </w:p>
        </w:tc>
        <w:tc>
          <w:tcPr>
            <w:tcW w:w="3544" w:type="dxa"/>
            <w:shd w:val="clear" w:color="auto" w:fill="C6EFCE"/>
            <w:noWrap/>
            <w:vAlign w:val="center"/>
          </w:tcPr>
          <w:p w14:paraId="4B34D8E3" w14:textId="20253AE1" w:rsidR="00327FF1" w:rsidRDefault="00E406C7">
            <w:pPr>
              <w:pStyle w:val="P68B1DB1-Normal12"/>
              <w:spacing w:after="120"/>
              <w:rPr>
                <w:noProof/>
              </w:rPr>
            </w:pPr>
            <w:r>
              <w:rPr>
                <w:noProof/>
              </w:rPr>
              <w:t>Sertifikātus par darbu pabeigšanu izsniedz vismaz 90 % no E un D tipa intervencēm, kuru mērķis ir atjaunot bojātās publiskās struktūras, kā noteikts Valsts civilās aizsardzības dienesta apstiprinājuma aktos.</w:t>
            </w:r>
          </w:p>
        </w:tc>
      </w:tr>
      <w:tr w:rsidR="00327FF1" w14:paraId="01D2CA9A" w14:textId="77777777">
        <w:trPr>
          <w:trHeight w:val="300"/>
        </w:trPr>
        <w:tc>
          <w:tcPr>
            <w:tcW w:w="1134" w:type="dxa"/>
            <w:shd w:val="clear" w:color="auto" w:fill="C6EFCE"/>
            <w:noWrap/>
            <w:vAlign w:val="center"/>
            <w:hideMark/>
          </w:tcPr>
          <w:p w14:paraId="25B2DAE9" w14:textId="77777777" w:rsidR="00327FF1" w:rsidRDefault="00E406C7">
            <w:pPr>
              <w:pStyle w:val="P68B1DB1-Normal11"/>
              <w:spacing w:line="276" w:lineRule="auto"/>
              <w:jc w:val="center"/>
              <w:rPr>
                <w:noProof/>
                <w:szCs w:val="20"/>
              </w:rPr>
            </w:pPr>
            <w:r>
              <w:rPr>
                <w:noProof/>
              </w:rPr>
              <w:t>M2C4–18</w:t>
            </w:r>
          </w:p>
        </w:tc>
        <w:tc>
          <w:tcPr>
            <w:tcW w:w="1736" w:type="dxa"/>
            <w:shd w:val="clear" w:color="auto" w:fill="C6EFCE"/>
            <w:noWrap/>
            <w:vAlign w:val="center"/>
            <w:hideMark/>
          </w:tcPr>
          <w:p w14:paraId="5984DCDB" w14:textId="77777777" w:rsidR="00327FF1" w:rsidRDefault="00E406C7">
            <w:pPr>
              <w:pStyle w:val="P68B1DB1-Normal11"/>
              <w:spacing w:line="276" w:lineRule="auto"/>
              <w:jc w:val="center"/>
              <w:rPr>
                <w:noProof/>
                <w:szCs w:val="20"/>
              </w:rPr>
            </w:pPr>
            <w:r>
              <w:rPr>
                <w:noProof/>
              </w:rPr>
              <w:t xml:space="preserve">Investīcijas. 3.1. PUNKTĀ: Pilsētu un </w:t>
            </w:r>
            <w:r>
              <w:rPr>
                <w:noProof/>
              </w:rPr>
              <w:t>piepilsētu mežu aizsardzība un uzlabošana</w:t>
            </w:r>
          </w:p>
        </w:tc>
        <w:tc>
          <w:tcPr>
            <w:tcW w:w="1261" w:type="dxa"/>
            <w:shd w:val="clear" w:color="auto" w:fill="C6EFCE"/>
            <w:noWrap/>
            <w:vAlign w:val="center"/>
            <w:hideMark/>
          </w:tcPr>
          <w:p w14:paraId="5919B0F2" w14:textId="77777777" w:rsidR="00327FF1" w:rsidRDefault="00E406C7">
            <w:pPr>
              <w:pStyle w:val="P68B1DB1-Normal11"/>
              <w:spacing w:line="276" w:lineRule="auto"/>
              <w:jc w:val="center"/>
              <w:rPr>
                <w:noProof/>
                <w:szCs w:val="20"/>
              </w:rPr>
            </w:pPr>
            <w:r>
              <w:rPr>
                <w:noProof/>
              </w:rPr>
              <w:t>Atskaites punkts</w:t>
            </w:r>
          </w:p>
        </w:tc>
        <w:tc>
          <w:tcPr>
            <w:tcW w:w="1365" w:type="dxa"/>
            <w:shd w:val="clear" w:color="auto" w:fill="C6EFCE"/>
            <w:noWrap/>
            <w:vAlign w:val="center"/>
            <w:hideMark/>
          </w:tcPr>
          <w:p w14:paraId="49A629A0" w14:textId="77777777" w:rsidR="00327FF1" w:rsidRDefault="00E406C7">
            <w:pPr>
              <w:pStyle w:val="P68B1DB1-Normal11"/>
              <w:spacing w:line="276" w:lineRule="auto"/>
              <w:jc w:val="center"/>
              <w:rPr>
                <w:noProof/>
                <w:szCs w:val="20"/>
              </w:rPr>
            </w:pPr>
            <w:r>
              <w:rPr>
                <w:noProof/>
              </w:rPr>
              <w:t>Pārskatīto juridisko izmaiņu stāšanās spēkā attiecībā uz pilsētu un piepilsētu zaļo zonu aizsardzību un valorizāciju</w:t>
            </w:r>
          </w:p>
        </w:tc>
        <w:tc>
          <w:tcPr>
            <w:tcW w:w="1264" w:type="dxa"/>
            <w:shd w:val="clear" w:color="auto" w:fill="C6EFCE"/>
            <w:noWrap/>
            <w:vAlign w:val="center"/>
            <w:hideMark/>
          </w:tcPr>
          <w:p w14:paraId="0697C6AE" w14:textId="61C30BE7" w:rsidR="00327FF1" w:rsidRDefault="00E406C7">
            <w:pPr>
              <w:pStyle w:val="P68B1DB1-Normal11"/>
              <w:spacing w:line="276" w:lineRule="auto"/>
              <w:jc w:val="center"/>
              <w:rPr>
                <w:noProof/>
                <w:szCs w:val="20"/>
              </w:rPr>
            </w:pPr>
            <w:r>
              <w:rPr>
                <w:noProof/>
              </w:rPr>
              <w:t xml:space="preserve">Attiecīgo tiesību aktu noteikums, kas norāda uz pilsētvides apmežošanas plāna </w:t>
            </w:r>
            <w:r>
              <w:rPr>
                <w:noProof/>
              </w:rPr>
              <w:t>pieņemšanu</w:t>
            </w:r>
          </w:p>
        </w:tc>
        <w:tc>
          <w:tcPr>
            <w:tcW w:w="1055" w:type="dxa"/>
            <w:shd w:val="clear" w:color="auto" w:fill="C6EFCE"/>
            <w:noWrap/>
            <w:vAlign w:val="center"/>
            <w:hideMark/>
          </w:tcPr>
          <w:p w14:paraId="07ADB5BD" w14:textId="77777777" w:rsidR="00327FF1" w:rsidRDefault="00E406C7">
            <w:pPr>
              <w:pStyle w:val="P68B1DB1-Normal11"/>
              <w:spacing w:line="276" w:lineRule="auto"/>
              <w:jc w:val="center"/>
              <w:rPr>
                <w:noProof/>
                <w:szCs w:val="20"/>
              </w:rPr>
            </w:pPr>
            <w:r>
              <w:rPr>
                <w:noProof/>
              </w:rPr>
              <w:t>NEPIEMĒRO</w:t>
            </w:r>
          </w:p>
        </w:tc>
        <w:tc>
          <w:tcPr>
            <w:tcW w:w="946" w:type="dxa"/>
            <w:shd w:val="clear" w:color="auto" w:fill="C6EFCE"/>
            <w:noWrap/>
            <w:vAlign w:val="center"/>
            <w:hideMark/>
          </w:tcPr>
          <w:p w14:paraId="2E21D3CD" w14:textId="77777777" w:rsidR="00327FF1" w:rsidRDefault="00E406C7">
            <w:pPr>
              <w:pStyle w:val="P68B1DB1-Normal11"/>
              <w:spacing w:line="276" w:lineRule="auto"/>
              <w:jc w:val="center"/>
              <w:rPr>
                <w:noProof/>
                <w:szCs w:val="20"/>
              </w:rPr>
            </w:pPr>
            <w:r>
              <w:rPr>
                <w:noProof/>
              </w:rPr>
              <w:t>NEPIEMĒRO</w:t>
            </w:r>
          </w:p>
        </w:tc>
        <w:tc>
          <w:tcPr>
            <w:tcW w:w="1000" w:type="dxa"/>
            <w:shd w:val="clear" w:color="auto" w:fill="C6EFCE"/>
            <w:noWrap/>
            <w:vAlign w:val="center"/>
            <w:hideMark/>
          </w:tcPr>
          <w:p w14:paraId="62C72587" w14:textId="77777777" w:rsidR="00327FF1" w:rsidRDefault="00E406C7">
            <w:pPr>
              <w:pStyle w:val="P68B1DB1-Normal11"/>
              <w:spacing w:line="276" w:lineRule="auto"/>
              <w:jc w:val="center"/>
              <w:rPr>
                <w:noProof/>
                <w:szCs w:val="20"/>
              </w:rPr>
            </w:pPr>
            <w:r>
              <w:rPr>
                <w:noProof/>
              </w:rPr>
              <w:t>NEPIEMĒRO</w:t>
            </w:r>
          </w:p>
        </w:tc>
        <w:tc>
          <w:tcPr>
            <w:tcW w:w="809" w:type="dxa"/>
            <w:shd w:val="clear" w:color="auto" w:fill="C6EFCE"/>
            <w:noWrap/>
            <w:vAlign w:val="center"/>
            <w:hideMark/>
          </w:tcPr>
          <w:p w14:paraId="0CF7A5E1" w14:textId="77777777" w:rsidR="00327FF1" w:rsidRDefault="00E406C7">
            <w:pPr>
              <w:pStyle w:val="P68B1DB1-Normal11"/>
              <w:spacing w:line="276" w:lineRule="auto"/>
              <w:jc w:val="center"/>
              <w:rPr>
                <w:noProof/>
                <w:szCs w:val="20"/>
              </w:rPr>
            </w:pPr>
            <w:r>
              <w:rPr>
                <w:noProof/>
              </w:rPr>
              <w:t>4. CET.</w:t>
            </w:r>
          </w:p>
        </w:tc>
        <w:tc>
          <w:tcPr>
            <w:tcW w:w="770" w:type="dxa"/>
            <w:shd w:val="clear" w:color="auto" w:fill="C6EFCE"/>
            <w:noWrap/>
            <w:vAlign w:val="center"/>
            <w:hideMark/>
          </w:tcPr>
          <w:p w14:paraId="13A3698E" w14:textId="77777777" w:rsidR="00327FF1" w:rsidRDefault="00E406C7">
            <w:pPr>
              <w:pStyle w:val="P68B1DB1-Normal11"/>
              <w:spacing w:line="276" w:lineRule="auto"/>
              <w:jc w:val="center"/>
              <w:rPr>
                <w:noProof/>
                <w:szCs w:val="20"/>
              </w:rPr>
            </w:pPr>
            <w:r>
              <w:rPr>
                <w:noProof/>
              </w:rPr>
              <w:t>2021</w:t>
            </w:r>
          </w:p>
        </w:tc>
        <w:tc>
          <w:tcPr>
            <w:tcW w:w="3544" w:type="dxa"/>
            <w:shd w:val="clear" w:color="auto" w:fill="C6EFCE"/>
            <w:noWrap/>
            <w:vAlign w:val="center"/>
            <w:hideMark/>
          </w:tcPr>
          <w:p w14:paraId="7F1524A1" w14:textId="77777777" w:rsidR="00327FF1" w:rsidRDefault="00E406C7">
            <w:pPr>
              <w:pStyle w:val="P68B1DB1-Normal11"/>
              <w:rPr>
                <w:noProof/>
                <w:szCs w:val="20"/>
              </w:rPr>
            </w:pPr>
            <w:r>
              <w:rPr>
                <w:noProof/>
              </w:rPr>
              <w:t>Urbānās apmežošanas plāns atbilst 2019. gada 12. decembra likuma 141 (“Klimata likums”) mērķiem un pēc plānošanas posma, kas jāveic lielpilsētām. Plānā būtu jānosaka vismaz šādi mērķi:</w:t>
            </w:r>
          </w:p>
          <w:p w14:paraId="692B2F98" w14:textId="77777777" w:rsidR="00327FF1" w:rsidRDefault="00E406C7">
            <w:pPr>
              <w:pStyle w:val="P68B1DB1-ListParagraph15"/>
              <w:numPr>
                <w:ilvl w:val="0"/>
                <w:numId w:val="27"/>
              </w:numPr>
              <w:spacing w:after="0" w:line="240" w:lineRule="auto"/>
              <w:ind w:left="446"/>
              <w:contextualSpacing w:val="0"/>
              <w:rPr>
                <w:noProof/>
                <w:szCs w:val="20"/>
              </w:rPr>
            </w:pPr>
            <w:r>
              <w:rPr>
                <w:noProof/>
              </w:rPr>
              <w:t>Saglabāt un uzlab</w:t>
            </w:r>
            <w:r>
              <w:rPr>
                <w:noProof/>
              </w:rPr>
              <w:t>ot difūzo bioloģisko daudzveidību saskaņā ar Eiropas bioloģiskās daudzveidības stratēģiju,</w:t>
            </w:r>
          </w:p>
          <w:p w14:paraId="38CDC4D8" w14:textId="77777777" w:rsidR="00327FF1" w:rsidRDefault="00E406C7">
            <w:pPr>
              <w:pStyle w:val="P68B1DB1-ListParagraph15"/>
              <w:numPr>
                <w:ilvl w:val="0"/>
                <w:numId w:val="27"/>
              </w:numPr>
              <w:spacing w:after="0" w:line="240" w:lineRule="auto"/>
              <w:ind w:left="446"/>
              <w:contextualSpacing w:val="0"/>
              <w:rPr>
                <w:noProof/>
                <w:szCs w:val="20"/>
              </w:rPr>
            </w:pPr>
            <w:r>
              <w:rPr>
                <w:noProof/>
              </w:rPr>
              <w:t>Veicināt gaisa piesārņojuma samazināšanu lielpilsētu teritorijās,</w:t>
            </w:r>
          </w:p>
          <w:p w14:paraId="49055827" w14:textId="77777777" w:rsidR="00327FF1" w:rsidRDefault="00E406C7">
            <w:pPr>
              <w:pStyle w:val="P68B1DB1-ListParagraph15"/>
              <w:numPr>
                <w:ilvl w:val="0"/>
                <w:numId w:val="27"/>
              </w:numPr>
              <w:spacing w:after="0" w:line="240" w:lineRule="auto"/>
              <w:ind w:left="446"/>
              <w:contextualSpacing w:val="0"/>
              <w:rPr>
                <w:noProof/>
                <w:szCs w:val="20"/>
              </w:rPr>
            </w:pPr>
            <w:r>
              <w:rPr>
                <w:noProof/>
              </w:rPr>
              <w:t>Samazināt pienākumu neizpildes procedūras gaisa kvalitātes jomā;</w:t>
            </w:r>
          </w:p>
          <w:p w14:paraId="6D13A728" w14:textId="77777777" w:rsidR="00327FF1" w:rsidRDefault="00E406C7">
            <w:pPr>
              <w:pStyle w:val="P68B1DB1-ListParagraph15"/>
              <w:numPr>
                <w:ilvl w:val="0"/>
                <w:numId w:val="27"/>
              </w:numPr>
              <w:spacing w:after="0" w:line="240" w:lineRule="auto"/>
              <w:ind w:left="446"/>
              <w:contextualSpacing w:val="0"/>
              <w:rPr>
                <w:noProof/>
                <w:szCs w:val="20"/>
              </w:rPr>
            </w:pPr>
            <w:r>
              <w:rPr>
                <w:noProof/>
              </w:rPr>
              <w:t>Atjaunot cilvēka radītas ainavas u</w:t>
            </w:r>
            <w:r>
              <w:rPr>
                <w:noProof/>
              </w:rPr>
              <w:t>n uzlabot aizsargājamās teritorijas, kas atrodas lielpilsētu teritoriju tiešā tuvumā;</w:t>
            </w:r>
          </w:p>
          <w:p w14:paraId="2600A551" w14:textId="77777777" w:rsidR="00327FF1" w:rsidRDefault="00E406C7">
            <w:pPr>
              <w:pStyle w:val="P68B1DB1-Normal11"/>
              <w:rPr>
                <w:noProof/>
                <w:szCs w:val="20"/>
              </w:rPr>
            </w:pPr>
            <w:r>
              <w:rPr>
                <w:noProof/>
              </w:rPr>
              <w:t>Ierobežot augsnes patēriņu un atjaunot noderīgas augsnes.</w:t>
            </w:r>
          </w:p>
        </w:tc>
      </w:tr>
      <w:tr w:rsidR="00327FF1" w14:paraId="21752641" w14:textId="77777777">
        <w:trPr>
          <w:trHeight w:val="300"/>
        </w:trPr>
        <w:tc>
          <w:tcPr>
            <w:tcW w:w="1134" w:type="dxa"/>
            <w:shd w:val="clear" w:color="auto" w:fill="C6EFCE"/>
            <w:noWrap/>
            <w:vAlign w:val="center"/>
            <w:hideMark/>
          </w:tcPr>
          <w:p w14:paraId="0EB335F0" w14:textId="77777777" w:rsidR="00327FF1" w:rsidRDefault="00E406C7">
            <w:pPr>
              <w:pStyle w:val="P68B1DB1-Normal11"/>
              <w:spacing w:line="276" w:lineRule="auto"/>
              <w:jc w:val="center"/>
              <w:rPr>
                <w:noProof/>
                <w:szCs w:val="20"/>
              </w:rPr>
            </w:pPr>
            <w:r>
              <w:rPr>
                <w:noProof/>
              </w:rPr>
              <w:t>M2C4–19</w:t>
            </w:r>
          </w:p>
        </w:tc>
        <w:tc>
          <w:tcPr>
            <w:tcW w:w="1736" w:type="dxa"/>
            <w:shd w:val="clear" w:color="auto" w:fill="C6EFCE"/>
            <w:noWrap/>
            <w:vAlign w:val="center"/>
            <w:hideMark/>
          </w:tcPr>
          <w:p w14:paraId="0C28F051" w14:textId="77777777" w:rsidR="00327FF1" w:rsidRDefault="00E406C7">
            <w:pPr>
              <w:pStyle w:val="P68B1DB1-Normal11"/>
              <w:spacing w:line="276" w:lineRule="auto"/>
              <w:jc w:val="center"/>
              <w:rPr>
                <w:noProof/>
                <w:szCs w:val="20"/>
              </w:rPr>
            </w:pPr>
            <w:r>
              <w:rPr>
                <w:noProof/>
              </w:rPr>
              <w:t>Investīcijas. 3.1. PUNKTĀ: Pilsētu un piepilsētu mežu aizsardzība un uzlabošana</w:t>
            </w:r>
          </w:p>
        </w:tc>
        <w:tc>
          <w:tcPr>
            <w:tcW w:w="1261" w:type="dxa"/>
            <w:shd w:val="clear" w:color="auto" w:fill="C6EFCE"/>
            <w:noWrap/>
            <w:vAlign w:val="center"/>
            <w:hideMark/>
          </w:tcPr>
          <w:p w14:paraId="1997F96B" w14:textId="77777777" w:rsidR="00327FF1" w:rsidRDefault="00E406C7">
            <w:pPr>
              <w:pStyle w:val="P68B1DB1-Normal11"/>
              <w:spacing w:line="276" w:lineRule="auto"/>
              <w:jc w:val="center"/>
              <w:rPr>
                <w:noProof/>
                <w:szCs w:val="20"/>
              </w:rPr>
            </w:pPr>
            <w:r>
              <w:rPr>
                <w:noProof/>
              </w:rPr>
              <w:t>Mērķa</w:t>
            </w:r>
          </w:p>
        </w:tc>
        <w:tc>
          <w:tcPr>
            <w:tcW w:w="1365" w:type="dxa"/>
            <w:shd w:val="clear" w:color="auto" w:fill="C6EFCE"/>
            <w:noWrap/>
            <w:vAlign w:val="center"/>
            <w:hideMark/>
          </w:tcPr>
          <w:p w14:paraId="764834DE" w14:textId="77777777" w:rsidR="00327FF1" w:rsidRDefault="00E406C7">
            <w:pPr>
              <w:pStyle w:val="P68B1DB1-Normal11"/>
              <w:spacing w:line="276" w:lineRule="auto"/>
              <w:jc w:val="center"/>
              <w:rPr>
                <w:noProof/>
                <w:szCs w:val="20"/>
              </w:rPr>
            </w:pPr>
            <w:r>
              <w:rPr>
                <w:noProof/>
              </w:rPr>
              <w:t xml:space="preserve">Koki pilsētu un </w:t>
            </w:r>
            <w:r>
              <w:rPr>
                <w:noProof/>
              </w:rPr>
              <w:t>piepilsētu zaļo zonu aizsardzībai un valorizācijai T1</w:t>
            </w:r>
          </w:p>
        </w:tc>
        <w:tc>
          <w:tcPr>
            <w:tcW w:w="1264" w:type="dxa"/>
            <w:shd w:val="clear" w:color="auto" w:fill="C6EFCE"/>
            <w:noWrap/>
            <w:vAlign w:val="center"/>
            <w:hideMark/>
          </w:tcPr>
          <w:p w14:paraId="4B210EED" w14:textId="77777777" w:rsidR="00327FF1" w:rsidRDefault="00E406C7">
            <w:pPr>
              <w:pStyle w:val="P68B1DB1-Normal11"/>
              <w:spacing w:line="276" w:lineRule="auto"/>
              <w:jc w:val="center"/>
              <w:rPr>
                <w:noProof/>
                <w:szCs w:val="20"/>
              </w:rPr>
            </w:pPr>
            <w:r>
              <w:rPr>
                <w:noProof/>
              </w:rPr>
              <w:t>NEPIEMĒRO</w:t>
            </w:r>
          </w:p>
        </w:tc>
        <w:tc>
          <w:tcPr>
            <w:tcW w:w="1055" w:type="dxa"/>
            <w:shd w:val="clear" w:color="auto" w:fill="C6EFCE"/>
            <w:noWrap/>
            <w:vAlign w:val="center"/>
            <w:hideMark/>
          </w:tcPr>
          <w:p w14:paraId="4E4671B0" w14:textId="77777777" w:rsidR="00327FF1" w:rsidRDefault="00E406C7">
            <w:pPr>
              <w:pStyle w:val="P68B1DB1-Normal11"/>
              <w:spacing w:line="276" w:lineRule="auto"/>
              <w:jc w:val="center"/>
              <w:rPr>
                <w:noProof/>
                <w:szCs w:val="20"/>
              </w:rPr>
            </w:pPr>
            <w:r>
              <w:rPr>
                <w:noProof/>
              </w:rPr>
              <w:t>Skaits</w:t>
            </w:r>
          </w:p>
        </w:tc>
        <w:tc>
          <w:tcPr>
            <w:tcW w:w="946" w:type="dxa"/>
            <w:shd w:val="clear" w:color="auto" w:fill="C6EFCE"/>
            <w:noWrap/>
            <w:vAlign w:val="center"/>
            <w:hideMark/>
          </w:tcPr>
          <w:p w14:paraId="7F8453BC" w14:textId="77777777" w:rsidR="00327FF1" w:rsidRDefault="00E406C7">
            <w:pPr>
              <w:pStyle w:val="P68B1DB1-Normal11"/>
              <w:spacing w:line="276" w:lineRule="auto"/>
              <w:jc w:val="center"/>
              <w:rPr>
                <w:noProof/>
                <w:szCs w:val="20"/>
              </w:rPr>
            </w:pPr>
            <w:r>
              <w:rPr>
                <w:noProof/>
              </w:rPr>
              <w:t>0</w:t>
            </w:r>
          </w:p>
        </w:tc>
        <w:tc>
          <w:tcPr>
            <w:tcW w:w="1000" w:type="dxa"/>
            <w:shd w:val="clear" w:color="auto" w:fill="C6EFCE"/>
            <w:noWrap/>
            <w:vAlign w:val="center"/>
            <w:hideMark/>
          </w:tcPr>
          <w:p w14:paraId="128D5B98" w14:textId="77777777" w:rsidR="00327FF1" w:rsidRDefault="00E406C7">
            <w:pPr>
              <w:pStyle w:val="P68B1DB1-Normal11"/>
              <w:spacing w:line="276" w:lineRule="auto"/>
              <w:jc w:val="center"/>
              <w:rPr>
                <w:noProof/>
                <w:szCs w:val="20"/>
              </w:rPr>
            </w:pPr>
            <w:r>
              <w:rPr>
                <w:noProof/>
              </w:rPr>
              <w:t>1 650 000</w:t>
            </w:r>
          </w:p>
        </w:tc>
        <w:tc>
          <w:tcPr>
            <w:tcW w:w="809" w:type="dxa"/>
            <w:shd w:val="clear" w:color="auto" w:fill="C6EFCE"/>
            <w:noWrap/>
            <w:vAlign w:val="center"/>
            <w:hideMark/>
          </w:tcPr>
          <w:p w14:paraId="53FF9947" w14:textId="77777777" w:rsidR="00327FF1" w:rsidRDefault="00E406C7">
            <w:pPr>
              <w:pStyle w:val="P68B1DB1-Normal11"/>
              <w:spacing w:line="276" w:lineRule="auto"/>
              <w:jc w:val="center"/>
              <w:rPr>
                <w:noProof/>
                <w:szCs w:val="20"/>
              </w:rPr>
            </w:pPr>
            <w:r>
              <w:rPr>
                <w:noProof/>
              </w:rPr>
              <w:t>4. CET.</w:t>
            </w:r>
          </w:p>
        </w:tc>
        <w:tc>
          <w:tcPr>
            <w:tcW w:w="770" w:type="dxa"/>
            <w:shd w:val="clear" w:color="auto" w:fill="C6EFCE"/>
            <w:noWrap/>
            <w:vAlign w:val="center"/>
            <w:hideMark/>
          </w:tcPr>
          <w:p w14:paraId="0FA82870" w14:textId="77777777" w:rsidR="00327FF1" w:rsidRDefault="00E406C7">
            <w:pPr>
              <w:pStyle w:val="P68B1DB1-Normal11"/>
              <w:spacing w:line="276" w:lineRule="auto"/>
              <w:jc w:val="center"/>
              <w:rPr>
                <w:noProof/>
                <w:szCs w:val="20"/>
              </w:rPr>
            </w:pPr>
            <w:r>
              <w:rPr>
                <w:noProof/>
              </w:rPr>
              <w:t>2022</w:t>
            </w:r>
          </w:p>
        </w:tc>
        <w:tc>
          <w:tcPr>
            <w:tcW w:w="3544" w:type="dxa"/>
            <w:shd w:val="clear" w:color="auto" w:fill="C6EFCE"/>
            <w:noWrap/>
            <w:vAlign w:val="center"/>
            <w:hideMark/>
          </w:tcPr>
          <w:p w14:paraId="41241CE4" w14:textId="77777777" w:rsidR="00327FF1" w:rsidRDefault="00E406C7">
            <w:pPr>
              <w:pStyle w:val="P68B1DB1-Normal11"/>
              <w:spacing w:line="276" w:lineRule="auto"/>
              <w:rPr>
                <w:noProof/>
                <w:szCs w:val="20"/>
              </w:rPr>
            </w:pPr>
            <w:r>
              <w:rPr>
                <w:noProof/>
              </w:rPr>
              <w:t>Iestādīt vismaz 1650000 koku pilsētu un piepilsētu teritoriju atkārtotai apmežošanai saskaņā ar 2019. gada 12. decembra likuma Nr. 141 (tā sauktais Klimata akts</w:t>
            </w:r>
            <w:r>
              <w:rPr>
                <w:noProof/>
              </w:rPr>
              <w:t>) 4. pantu.</w:t>
            </w:r>
          </w:p>
        </w:tc>
      </w:tr>
      <w:tr w:rsidR="00327FF1" w14:paraId="05C1A266" w14:textId="77777777">
        <w:trPr>
          <w:trHeight w:val="300"/>
        </w:trPr>
        <w:tc>
          <w:tcPr>
            <w:tcW w:w="1134" w:type="dxa"/>
            <w:shd w:val="clear" w:color="auto" w:fill="C6EFCE"/>
            <w:noWrap/>
            <w:vAlign w:val="center"/>
            <w:hideMark/>
          </w:tcPr>
          <w:p w14:paraId="264953C5" w14:textId="77777777" w:rsidR="00327FF1" w:rsidRDefault="00E406C7">
            <w:pPr>
              <w:pStyle w:val="P68B1DB1-Normal11"/>
              <w:spacing w:line="276" w:lineRule="auto"/>
              <w:jc w:val="center"/>
              <w:rPr>
                <w:noProof/>
                <w:szCs w:val="20"/>
              </w:rPr>
            </w:pPr>
            <w:r>
              <w:rPr>
                <w:noProof/>
              </w:rPr>
              <w:t>M2C4–20</w:t>
            </w:r>
          </w:p>
        </w:tc>
        <w:tc>
          <w:tcPr>
            <w:tcW w:w="1736" w:type="dxa"/>
            <w:shd w:val="clear" w:color="auto" w:fill="C6EFCE"/>
            <w:noWrap/>
            <w:vAlign w:val="center"/>
            <w:hideMark/>
          </w:tcPr>
          <w:p w14:paraId="661F8355" w14:textId="77777777" w:rsidR="00327FF1" w:rsidRDefault="00E406C7">
            <w:pPr>
              <w:pStyle w:val="P68B1DB1-Normal11"/>
              <w:spacing w:line="276" w:lineRule="auto"/>
              <w:jc w:val="center"/>
              <w:rPr>
                <w:noProof/>
                <w:szCs w:val="20"/>
              </w:rPr>
            </w:pPr>
            <w:r>
              <w:rPr>
                <w:noProof/>
              </w:rPr>
              <w:t>Investīcijas. 3.1. PUNKTĀ: Pilsētu un piepilsētu mežu aizsardzība un uzlabošana</w:t>
            </w:r>
          </w:p>
        </w:tc>
        <w:tc>
          <w:tcPr>
            <w:tcW w:w="1261" w:type="dxa"/>
            <w:shd w:val="clear" w:color="auto" w:fill="C6EFCE"/>
            <w:noWrap/>
            <w:vAlign w:val="center"/>
            <w:hideMark/>
          </w:tcPr>
          <w:p w14:paraId="61FE3AC1" w14:textId="77777777" w:rsidR="00327FF1" w:rsidRDefault="00E406C7">
            <w:pPr>
              <w:pStyle w:val="P68B1DB1-Normal11"/>
              <w:spacing w:line="276" w:lineRule="auto"/>
              <w:jc w:val="center"/>
              <w:rPr>
                <w:noProof/>
                <w:szCs w:val="20"/>
              </w:rPr>
            </w:pPr>
            <w:r>
              <w:rPr>
                <w:noProof/>
              </w:rPr>
              <w:t>Mērķa</w:t>
            </w:r>
          </w:p>
        </w:tc>
        <w:tc>
          <w:tcPr>
            <w:tcW w:w="1365" w:type="dxa"/>
            <w:shd w:val="clear" w:color="auto" w:fill="C6EFCE"/>
            <w:noWrap/>
            <w:vAlign w:val="center"/>
            <w:hideMark/>
          </w:tcPr>
          <w:p w14:paraId="7120E703" w14:textId="77777777" w:rsidR="00327FF1" w:rsidRDefault="00E406C7">
            <w:pPr>
              <w:pStyle w:val="P68B1DB1-Normal11"/>
              <w:spacing w:line="276" w:lineRule="auto"/>
              <w:jc w:val="center"/>
              <w:rPr>
                <w:noProof/>
                <w:szCs w:val="20"/>
              </w:rPr>
            </w:pPr>
            <w:r>
              <w:rPr>
                <w:noProof/>
              </w:rPr>
              <w:t>Koki pilsētu un piepilsētu zaļo zonu aizsardzībai un valorizācijai T2</w:t>
            </w:r>
          </w:p>
        </w:tc>
        <w:tc>
          <w:tcPr>
            <w:tcW w:w="1264" w:type="dxa"/>
            <w:shd w:val="clear" w:color="auto" w:fill="C6EFCE"/>
            <w:noWrap/>
            <w:vAlign w:val="center"/>
            <w:hideMark/>
          </w:tcPr>
          <w:p w14:paraId="164B4352" w14:textId="77777777" w:rsidR="00327FF1" w:rsidRDefault="00E406C7">
            <w:pPr>
              <w:pStyle w:val="P68B1DB1-Normal11"/>
              <w:spacing w:line="276" w:lineRule="auto"/>
              <w:jc w:val="center"/>
              <w:rPr>
                <w:noProof/>
                <w:szCs w:val="20"/>
              </w:rPr>
            </w:pPr>
            <w:r>
              <w:rPr>
                <w:noProof/>
              </w:rPr>
              <w:t>NEPIEMĒRO</w:t>
            </w:r>
          </w:p>
        </w:tc>
        <w:tc>
          <w:tcPr>
            <w:tcW w:w="1055" w:type="dxa"/>
            <w:shd w:val="clear" w:color="auto" w:fill="C6EFCE"/>
            <w:noWrap/>
            <w:vAlign w:val="center"/>
            <w:hideMark/>
          </w:tcPr>
          <w:p w14:paraId="6062638C" w14:textId="77777777" w:rsidR="00327FF1" w:rsidRDefault="00E406C7">
            <w:pPr>
              <w:pStyle w:val="P68B1DB1-Normal11"/>
              <w:spacing w:line="276" w:lineRule="auto"/>
              <w:jc w:val="center"/>
              <w:rPr>
                <w:noProof/>
                <w:szCs w:val="20"/>
              </w:rPr>
            </w:pPr>
            <w:r>
              <w:rPr>
                <w:noProof/>
              </w:rPr>
              <w:t>Skaits</w:t>
            </w:r>
          </w:p>
        </w:tc>
        <w:tc>
          <w:tcPr>
            <w:tcW w:w="946" w:type="dxa"/>
            <w:shd w:val="clear" w:color="auto" w:fill="C6EFCE"/>
            <w:noWrap/>
            <w:vAlign w:val="center"/>
            <w:hideMark/>
          </w:tcPr>
          <w:p w14:paraId="3991EBFE" w14:textId="77777777" w:rsidR="00327FF1" w:rsidRDefault="00E406C7">
            <w:pPr>
              <w:pStyle w:val="P68B1DB1-Normal11"/>
              <w:spacing w:line="276" w:lineRule="auto"/>
              <w:jc w:val="center"/>
              <w:rPr>
                <w:noProof/>
                <w:szCs w:val="20"/>
              </w:rPr>
            </w:pPr>
            <w:r>
              <w:rPr>
                <w:noProof/>
              </w:rPr>
              <w:t>1 650 000</w:t>
            </w:r>
          </w:p>
        </w:tc>
        <w:tc>
          <w:tcPr>
            <w:tcW w:w="1000" w:type="dxa"/>
            <w:shd w:val="clear" w:color="auto" w:fill="C6EFCE"/>
            <w:noWrap/>
            <w:vAlign w:val="center"/>
            <w:hideMark/>
          </w:tcPr>
          <w:p w14:paraId="2E174BF6" w14:textId="77777777" w:rsidR="00327FF1" w:rsidRDefault="00E406C7">
            <w:pPr>
              <w:pStyle w:val="P68B1DB1-Normal11"/>
              <w:spacing w:line="276" w:lineRule="auto"/>
              <w:jc w:val="center"/>
              <w:rPr>
                <w:noProof/>
                <w:szCs w:val="20"/>
              </w:rPr>
            </w:pPr>
            <w:r>
              <w:rPr>
                <w:noProof/>
              </w:rPr>
              <w:t>4 500 000</w:t>
            </w:r>
          </w:p>
        </w:tc>
        <w:tc>
          <w:tcPr>
            <w:tcW w:w="809" w:type="dxa"/>
            <w:shd w:val="clear" w:color="auto" w:fill="C6EFCE"/>
            <w:noWrap/>
            <w:vAlign w:val="center"/>
            <w:hideMark/>
          </w:tcPr>
          <w:p w14:paraId="4EC9EA4B" w14:textId="77777777" w:rsidR="00327FF1" w:rsidRDefault="00E406C7">
            <w:pPr>
              <w:pStyle w:val="P68B1DB1-Normal11"/>
              <w:spacing w:line="276" w:lineRule="auto"/>
              <w:jc w:val="center"/>
              <w:rPr>
                <w:noProof/>
                <w:szCs w:val="20"/>
              </w:rPr>
            </w:pPr>
            <w:r>
              <w:rPr>
                <w:noProof/>
              </w:rPr>
              <w:t>4. CET.</w:t>
            </w:r>
          </w:p>
        </w:tc>
        <w:tc>
          <w:tcPr>
            <w:tcW w:w="770" w:type="dxa"/>
            <w:shd w:val="clear" w:color="auto" w:fill="C6EFCE"/>
            <w:noWrap/>
            <w:vAlign w:val="center"/>
            <w:hideMark/>
          </w:tcPr>
          <w:p w14:paraId="332E157D" w14:textId="77777777" w:rsidR="00327FF1" w:rsidRDefault="00E406C7">
            <w:pPr>
              <w:pStyle w:val="P68B1DB1-Normal11"/>
              <w:spacing w:line="276" w:lineRule="auto"/>
              <w:jc w:val="center"/>
              <w:rPr>
                <w:noProof/>
                <w:szCs w:val="20"/>
              </w:rPr>
            </w:pPr>
            <w:r>
              <w:rPr>
                <w:noProof/>
              </w:rPr>
              <w:t>2024</w:t>
            </w:r>
          </w:p>
        </w:tc>
        <w:tc>
          <w:tcPr>
            <w:tcW w:w="3544" w:type="dxa"/>
            <w:shd w:val="clear" w:color="auto" w:fill="C6EFCE"/>
            <w:noWrap/>
            <w:vAlign w:val="center"/>
            <w:hideMark/>
          </w:tcPr>
          <w:p w14:paraId="09FB38E0" w14:textId="77777777" w:rsidR="00327FF1" w:rsidRDefault="00E406C7">
            <w:pPr>
              <w:pStyle w:val="P68B1DB1-Normal11"/>
              <w:spacing w:line="276" w:lineRule="auto"/>
              <w:rPr>
                <w:noProof/>
                <w:szCs w:val="20"/>
              </w:rPr>
            </w:pPr>
            <w:r>
              <w:rPr>
                <w:noProof/>
              </w:rPr>
              <w:t xml:space="preserve">Meža reproduktīvā materiāla </w:t>
            </w:r>
            <w:r>
              <w:rPr>
                <w:noProof/>
              </w:rPr>
              <w:t>(sēklu vai augu) stādīšana vismaz 4500000 koku un krūmu atkārtotai apmežošanai pilsētu un piepilsētu teritorijās saskaņā ar 2019. gada 12. decembra likuma Nr. 141 (tā sauktais Klimata akts) 4. pantu.</w:t>
            </w:r>
          </w:p>
        </w:tc>
      </w:tr>
      <w:tr w:rsidR="00327FF1" w14:paraId="49876945"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7FDF4B" w14:textId="77777777" w:rsidR="00327FF1" w:rsidRDefault="00E406C7">
            <w:pPr>
              <w:pStyle w:val="P68B1DB1-Normal11"/>
              <w:spacing w:line="276" w:lineRule="auto"/>
              <w:jc w:val="center"/>
              <w:rPr>
                <w:noProof/>
                <w:szCs w:val="20"/>
              </w:rPr>
            </w:pPr>
            <w:r>
              <w:rPr>
                <w:noProof/>
              </w:rPr>
              <w:t>M2C4–20bis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A641F2" w14:textId="77777777" w:rsidR="00327FF1" w:rsidRDefault="00E406C7">
            <w:pPr>
              <w:pStyle w:val="P68B1DB1-Normal11"/>
              <w:spacing w:line="276" w:lineRule="auto"/>
              <w:jc w:val="center"/>
              <w:rPr>
                <w:noProof/>
                <w:szCs w:val="20"/>
              </w:rPr>
            </w:pPr>
            <w:r>
              <w:rPr>
                <w:noProof/>
              </w:rPr>
              <w:t xml:space="preserve">Investīcijas. 3.1. PUNKTĀ: Pilsētu un </w:t>
            </w:r>
            <w:r>
              <w:rPr>
                <w:noProof/>
              </w:rPr>
              <w:t>piepilsētu mežu aizsardzība un uzlabošana</w:t>
            </w:r>
          </w:p>
        </w:tc>
        <w:tc>
          <w:tcPr>
            <w:tcW w:w="12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3CCAF0" w14:textId="77777777" w:rsidR="00327FF1" w:rsidRDefault="00E406C7">
            <w:pPr>
              <w:pStyle w:val="P68B1DB1-Normal11"/>
              <w:spacing w:line="276" w:lineRule="auto"/>
              <w:jc w:val="center"/>
              <w:rPr>
                <w:noProof/>
                <w:szCs w:val="20"/>
              </w:rPr>
            </w:pPr>
            <w:r>
              <w:rPr>
                <w:noProof/>
              </w:rPr>
              <w:t>Mērķa</w:t>
            </w:r>
          </w:p>
        </w:tc>
        <w:tc>
          <w:tcPr>
            <w:tcW w:w="13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233EE" w14:textId="77777777" w:rsidR="00327FF1" w:rsidRDefault="00E406C7">
            <w:pPr>
              <w:pStyle w:val="P68B1DB1-Normal11"/>
              <w:spacing w:line="276" w:lineRule="auto"/>
              <w:jc w:val="center"/>
              <w:rPr>
                <w:noProof/>
                <w:szCs w:val="20"/>
              </w:rPr>
            </w:pPr>
            <w:r>
              <w:rPr>
                <w:noProof/>
              </w:rPr>
              <w:t>Koki pilsētu un piepilsētu zaļo zonu aizsardzībai un valorizācijai T3</w:t>
            </w:r>
          </w:p>
        </w:tc>
        <w:tc>
          <w:tcPr>
            <w:tcW w:w="126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EE3AA" w14:textId="77777777" w:rsidR="00327FF1" w:rsidRDefault="00E406C7">
            <w:pPr>
              <w:pStyle w:val="P68B1DB1-Normal11"/>
              <w:spacing w:line="276" w:lineRule="auto"/>
              <w:jc w:val="center"/>
              <w:rPr>
                <w:noProof/>
                <w:szCs w:val="20"/>
              </w:rPr>
            </w:pPr>
            <w:r>
              <w:rPr>
                <w:noProof/>
              </w:rPr>
              <w:t>NEPIEMĒRO</w:t>
            </w:r>
          </w:p>
        </w:tc>
        <w:tc>
          <w:tcPr>
            <w:tcW w:w="10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00BF0F" w14:textId="77777777" w:rsidR="00327FF1" w:rsidRDefault="00E406C7">
            <w:pPr>
              <w:pStyle w:val="P68B1DB1-Normal11"/>
              <w:spacing w:line="276" w:lineRule="auto"/>
              <w:jc w:val="center"/>
              <w:rPr>
                <w:noProof/>
                <w:szCs w:val="20"/>
              </w:rPr>
            </w:pPr>
            <w:r>
              <w:rPr>
                <w:noProof/>
              </w:rPr>
              <w:t>Skaits</w:t>
            </w:r>
          </w:p>
        </w:tc>
        <w:tc>
          <w:tcPr>
            <w:tcW w:w="9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E752C" w14:textId="77777777" w:rsidR="00327FF1" w:rsidRDefault="00E406C7">
            <w:pPr>
              <w:pStyle w:val="P68B1DB1-Normal11"/>
              <w:spacing w:line="276" w:lineRule="auto"/>
              <w:jc w:val="center"/>
              <w:rPr>
                <w:noProof/>
                <w:szCs w:val="20"/>
              </w:rPr>
            </w:pPr>
            <w:r>
              <w:rPr>
                <w:noProof/>
              </w:rPr>
              <w:t>0</w:t>
            </w:r>
          </w:p>
        </w:tc>
        <w:tc>
          <w:tcPr>
            <w:tcW w:w="10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D1E0D8" w14:textId="77777777" w:rsidR="00327FF1" w:rsidRDefault="00E406C7">
            <w:pPr>
              <w:pStyle w:val="P68B1DB1-Normal11"/>
              <w:spacing w:line="276" w:lineRule="auto"/>
              <w:jc w:val="center"/>
              <w:rPr>
                <w:noProof/>
                <w:szCs w:val="20"/>
              </w:rPr>
            </w:pPr>
            <w:r>
              <w:rPr>
                <w:noProof/>
              </w:rPr>
              <w:t>3 500 000</w:t>
            </w:r>
          </w:p>
        </w:tc>
        <w:tc>
          <w:tcPr>
            <w:tcW w:w="8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AB795C" w14:textId="77777777" w:rsidR="00327FF1" w:rsidRDefault="00E406C7">
            <w:pPr>
              <w:pStyle w:val="P68B1DB1-Normal11"/>
              <w:spacing w:line="276" w:lineRule="auto"/>
              <w:jc w:val="center"/>
              <w:rPr>
                <w:noProof/>
                <w:szCs w:val="20"/>
              </w:rPr>
            </w:pPr>
            <w:r>
              <w:rPr>
                <w:noProof/>
              </w:rPr>
              <w:t>2. CET.</w:t>
            </w:r>
          </w:p>
        </w:tc>
        <w:tc>
          <w:tcPr>
            <w:tcW w:w="770" w:type="dxa"/>
            <w:tcBorders>
              <w:top w:val="single" w:sz="4" w:space="0" w:color="auto"/>
              <w:left w:val="single" w:sz="4" w:space="0" w:color="auto"/>
              <w:bottom w:val="single" w:sz="4" w:space="0" w:color="auto"/>
              <w:right w:val="single" w:sz="4" w:space="0" w:color="auto"/>
            </w:tcBorders>
            <w:shd w:val="clear" w:color="auto" w:fill="C6EFCE"/>
            <w:vAlign w:val="center"/>
          </w:tcPr>
          <w:p w14:paraId="135BB5C9" w14:textId="77777777" w:rsidR="00327FF1" w:rsidRDefault="00E406C7">
            <w:pPr>
              <w:pStyle w:val="P68B1DB1-Normal11"/>
              <w:spacing w:line="276" w:lineRule="auto"/>
              <w:jc w:val="center"/>
              <w:rPr>
                <w:noProof/>
                <w:szCs w:val="20"/>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59A122" w14:textId="77777777" w:rsidR="00327FF1" w:rsidRDefault="00E406C7">
            <w:pPr>
              <w:pStyle w:val="P68B1DB1-Normal12"/>
              <w:spacing w:line="276" w:lineRule="auto"/>
              <w:rPr>
                <w:noProof/>
              </w:rPr>
            </w:pPr>
            <w:r>
              <w:rPr>
                <w:noProof/>
              </w:rPr>
              <w:t>Meža reproduktīvā materiāla (sēklu vai augu) pārstādīšana vismaz 3500000</w:t>
            </w:r>
            <w:r>
              <w:rPr>
                <w:noProof/>
              </w:rPr>
              <w:t xml:space="preserve"> koku un krūmu meža atjaunošanai pilsētu un piepilsētu teritorijās.</w:t>
            </w:r>
          </w:p>
        </w:tc>
      </w:tr>
      <w:tr w:rsidR="00327FF1" w14:paraId="136D37C5" w14:textId="77777777">
        <w:trPr>
          <w:trHeight w:val="300"/>
        </w:trPr>
        <w:tc>
          <w:tcPr>
            <w:tcW w:w="1134" w:type="dxa"/>
            <w:shd w:val="clear" w:color="auto" w:fill="C6EFCE"/>
            <w:noWrap/>
            <w:vAlign w:val="center"/>
            <w:hideMark/>
          </w:tcPr>
          <w:p w14:paraId="6ADE66B0" w14:textId="77777777" w:rsidR="00327FF1" w:rsidRDefault="00E406C7">
            <w:pPr>
              <w:pStyle w:val="P68B1DB1-Normal11"/>
              <w:spacing w:line="276" w:lineRule="auto"/>
              <w:jc w:val="center"/>
              <w:rPr>
                <w:noProof/>
                <w:szCs w:val="20"/>
              </w:rPr>
            </w:pPr>
            <w:r>
              <w:rPr>
                <w:noProof/>
              </w:rPr>
              <w:t>M2C4–21</w:t>
            </w:r>
          </w:p>
        </w:tc>
        <w:tc>
          <w:tcPr>
            <w:tcW w:w="1736" w:type="dxa"/>
            <w:shd w:val="clear" w:color="auto" w:fill="C6EFCE"/>
            <w:noWrap/>
            <w:vAlign w:val="center"/>
            <w:hideMark/>
          </w:tcPr>
          <w:p w14:paraId="711659FB" w14:textId="77777777" w:rsidR="00327FF1" w:rsidRDefault="00E406C7">
            <w:pPr>
              <w:pStyle w:val="P68B1DB1-Normal11"/>
              <w:spacing w:line="276" w:lineRule="auto"/>
              <w:jc w:val="center"/>
              <w:rPr>
                <w:noProof/>
                <w:szCs w:val="20"/>
              </w:rPr>
            </w:pPr>
            <w:r>
              <w:rPr>
                <w:noProof/>
              </w:rPr>
              <w:t>Investīcija Nr. 3.3. Po apgabala pārveidošana</w:t>
            </w:r>
          </w:p>
        </w:tc>
        <w:tc>
          <w:tcPr>
            <w:tcW w:w="1261" w:type="dxa"/>
            <w:shd w:val="clear" w:color="auto" w:fill="C6EFCE"/>
            <w:noWrap/>
            <w:vAlign w:val="center"/>
            <w:hideMark/>
          </w:tcPr>
          <w:p w14:paraId="0186EFB1" w14:textId="77777777" w:rsidR="00327FF1" w:rsidRDefault="00E406C7">
            <w:pPr>
              <w:pStyle w:val="P68B1DB1-Normal11"/>
              <w:spacing w:line="276" w:lineRule="auto"/>
              <w:jc w:val="center"/>
              <w:rPr>
                <w:noProof/>
                <w:szCs w:val="20"/>
              </w:rPr>
            </w:pPr>
            <w:r>
              <w:rPr>
                <w:noProof/>
              </w:rPr>
              <w:t>Atskaites punkts</w:t>
            </w:r>
          </w:p>
        </w:tc>
        <w:tc>
          <w:tcPr>
            <w:tcW w:w="1365" w:type="dxa"/>
            <w:shd w:val="clear" w:color="auto" w:fill="C6EFCE"/>
            <w:noWrap/>
            <w:vAlign w:val="center"/>
            <w:hideMark/>
          </w:tcPr>
          <w:p w14:paraId="30A6165E" w14:textId="77777777" w:rsidR="00327FF1" w:rsidRDefault="00E406C7">
            <w:pPr>
              <w:pStyle w:val="P68B1DB1-Normal11"/>
              <w:spacing w:line="276" w:lineRule="auto"/>
              <w:jc w:val="center"/>
              <w:rPr>
                <w:noProof/>
                <w:szCs w:val="20"/>
              </w:rPr>
            </w:pPr>
            <w:r>
              <w:rPr>
                <w:noProof/>
              </w:rPr>
              <w:t>Tiesiskā regulējuma pārskatīšana attiecībā uz intervencēm Po apgabala pārveidošanai</w:t>
            </w:r>
          </w:p>
        </w:tc>
        <w:tc>
          <w:tcPr>
            <w:tcW w:w="1264" w:type="dxa"/>
            <w:shd w:val="clear" w:color="auto" w:fill="C6EFCE"/>
            <w:noWrap/>
            <w:vAlign w:val="center"/>
            <w:hideMark/>
          </w:tcPr>
          <w:p w14:paraId="6EB4EF69" w14:textId="77777777" w:rsidR="00327FF1" w:rsidRDefault="00E406C7">
            <w:pPr>
              <w:pStyle w:val="P68B1DB1-Normal11"/>
              <w:spacing w:line="276" w:lineRule="auto"/>
              <w:jc w:val="center"/>
              <w:rPr>
                <w:noProof/>
                <w:szCs w:val="20"/>
              </w:rPr>
            </w:pPr>
            <w:r>
              <w:rPr>
                <w:noProof/>
              </w:rPr>
              <w:t xml:space="preserve">Attiecīgā tiesību akta </w:t>
            </w:r>
            <w:r>
              <w:rPr>
                <w:noProof/>
              </w:rPr>
              <w:t>noteikums, kas norāda stāšanos spēkā</w:t>
            </w:r>
          </w:p>
        </w:tc>
        <w:tc>
          <w:tcPr>
            <w:tcW w:w="1055" w:type="dxa"/>
            <w:shd w:val="clear" w:color="auto" w:fill="C6EFCE"/>
            <w:noWrap/>
            <w:vAlign w:val="center"/>
            <w:hideMark/>
          </w:tcPr>
          <w:p w14:paraId="2E517DA1" w14:textId="77777777" w:rsidR="00327FF1" w:rsidRDefault="00E406C7">
            <w:pPr>
              <w:pStyle w:val="P68B1DB1-Normal11"/>
              <w:spacing w:line="276" w:lineRule="auto"/>
              <w:jc w:val="center"/>
              <w:rPr>
                <w:noProof/>
                <w:szCs w:val="20"/>
              </w:rPr>
            </w:pPr>
            <w:r>
              <w:rPr>
                <w:noProof/>
              </w:rPr>
              <w:t>NEPIEMĒRO</w:t>
            </w:r>
          </w:p>
        </w:tc>
        <w:tc>
          <w:tcPr>
            <w:tcW w:w="946" w:type="dxa"/>
            <w:shd w:val="clear" w:color="auto" w:fill="C6EFCE"/>
            <w:noWrap/>
            <w:vAlign w:val="center"/>
            <w:hideMark/>
          </w:tcPr>
          <w:p w14:paraId="074D49B5" w14:textId="77777777" w:rsidR="00327FF1" w:rsidRDefault="00E406C7">
            <w:pPr>
              <w:pStyle w:val="P68B1DB1-Normal11"/>
              <w:spacing w:line="276" w:lineRule="auto"/>
              <w:jc w:val="center"/>
              <w:rPr>
                <w:noProof/>
                <w:szCs w:val="20"/>
              </w:rPr>
            </w:pPr>
            <w:r>
              <w:rPr>
                <w:noProof/>
              </w:rPr>
              <w:t>NEPIEMĒRO</w:t>
            </w:r>
          </w:p>
        </w:tc>
        <w:tc>
          <w:tcPr>
            <w:tcW w:w="1000" w:type="dxa"/>
            <w:shd w:val="clear" w:color="auto" w:fill="C6EFCE"/>
            <w:noWrap/>
            <w:vAlign w:val="center"/>
            <w:hideMark/>
          </w:tcPr>
          <w:p w14:paraId="3B114B6B" w14:textId="77777777" w:rsidR="00327FF1" w:rsidRDefault="00E406C7">
            <w:pPr>
              <w:pStyle w:val="P68B1DB1-Normal11"/>
              <w:spacing w:line="276" w:lineRule="auto"/>
              <w:jc w:val="center"/>
              <w:rPr>
                <w:noProof/>
                <w:szCs w:val="20"/>
              </w:rPr>
            </w:pPr>
            <w:r>
              <w:rPr>
                <w:noProof/>
              </w:rPr>
              <w:t>NEPIEMĒRO</w:t>
            </w:r>
          </w:p>
        </w:tc>
        <w:tc>
          <w:tcPr>
            <w:tcW w:w="809" w:type="dxa"/>
            <w:shd w:val="clear" w:color="auto" w:fill="C6EFCE"/>
            <w:noWrap/>
            <w:vAlign w:val="center"/>
            <w:hideMark/>
          </w:tcPr>
          <w:p w14:paraId="21871739" w14:textId="77777777" w:rsidR="00327FF1" w:rsidRDefault="00E406C7">
            <w:pPr>
              <w:pStyle w:val="P68B1DB1-Normal11"/>
              <w:spacing w:line="276" w:lineRule="auto"/>
              <w:jc w:val="center"/>
              <w:rPr>
                <w:noProof/>
                <w:szCs w:val="20"/>
              </w:rPr>
            </w:pPr>
            <w:r>
              <w:rPr>
                <w:noProof/>
              </w:rPr>
              <w:t>2. CET.</w:t>
            </w:r>
          </w:p>
        </w:tc>
        <w:tc>
          <w:tcPr>
            <w:tcW w:w="770" w:type="dxa"/>
            <w:shd w:val="clear" w:color="auto" w:fill="C6EFCE"/>
            <w:noWrap/>
            <w:vAlign w:val="center"/>
            <w:hideMark/>
          </w:tcPr>
          <w:p w14:paraId="5692A6E5" w14:textId="77777777" w:rsidR="00327FF1" w:rsidRDefault="00E406C7">
            <w:pPr>
              <w:pStyle w:val="P68B1DB1-Normal11"/>
              <w:spacing w:line="276" w:lineRule="auto"/>
              <w:jc w:val="center"/>
              <w:rPr>
                <w:noProof/>
                <w:szCs w:val="20"/>
              </w:rPr>
            </w:pPr>
            <w:r>
              <w:rPr>
                <w:noProof/>
              </w:rPr>
              <w:t>2023</w:t>
            </w:r>
          </w:p>
        </w:tc>
        <w:tc>
          <w:tcPr>
            <w:tcW w:w="3544" w:type="dxa"/>
            <w:shd w:val="clear" w:color="auto" w:fill="C6EFCE"/>
            <w:noWrap/>
            <w:vAlign w:val="center"/>
            <w:hideMark/>
          </w:tcPr>
          <w:p w14:paraId="53197A14" w14:textId="77777777" w:rsidR="00327FF1" w:rsidRDefault="00E406C7">
            <w:pPr>
              <w:pStyle w:val="P68B1DB1-Normal11"/>
              <w:spacing w:line="276" w:lineRule="auto"/>
              <w:rPr>
                <w:noProof/>
                <w:szCs w:val="20"/>
              </w:rPr>
            </w:pPr>
            <w:r>
              <w:rPr>
                <w:noProof/>
              </w:rPr>
              <w:t xml:space="preserve">Stājas spēkā attiecīgie tiesību akti, kuru mērķis ir atjaunot ekoloģisko koridoru, ko veido </w:t>
            </w:r>
            <w:r>
              <w:rPr>
                <w:noProof/>
                <w:szCs w:val="20"/>
              </w:rPr>
              <w:t>upes</w:t>
            </w:r>
            <w:r>
              <w:rPr>
                <w:noProof/>
              </w:rPr>
              <w:t>gultne, tostarp dabisku meža atjaunošanu un intervenci sānu zaru un stacionāro z</w:t>
            </w:r>
            <w:r>
              <w:rPr>
                <w:noProof/>
              </w:rPr>
              <w:t>aru atjaunošanai un atjaunošanai.</w:t>
            </w:r>
          </w:p>
        </w:tc>
      </w:tr>
      <w:tr w:rsidR="00327FF1" w14:paraId="02FB9DCF" w14:textId="77777777">
        <w:trPr>
          <w:trHeight w:val="300"/>
        </w:trPr>
        <w:tc>
          <w:tcPr>
            <w:tcW w:w="1134" w:type="dxa"/>
            <w:shd w:val="clear" w:color="auto" w:fill="C6EFCE"/>
            <w:noWrap/>
            <w:vAlign w:val="center"/>
            <w:hideMark/>
          </w:tcPr>
          <w:p w14:paraId="6001469F" w14:textId="77777777" w:rsidR="00327FF1" w:rsidRDefault="00E406C7">
            <w:pPr>
              <w:pStyle w:val="P68B1DB1-Normal11"/>
              <w:spacing w:line="276" w:lineRule="auto"/>
              <w:jc w:val="center"/>
              <w:rPr>
                <w:noProof/>
                <w:szCs w:val="20"/>
              </w:rPr>
            </w:pPr>
            <w:r>
              <w:rPr>
                <w:noProof/>
              </w:rPr>
              <w:t>M2C4–22</w:t>
            </w:r>
          </w:p>
        </w:tc>
        <w:tc>
          <w:tcPr>
            <w:tcW w:w="1736" w:type="dxa"/>
            <w:shd w:val="clear" w:color="auto" w:fill="C6EFCE"/>
            <w:noWrap/>
            <w:vAlign w:val="center"/>
            <w:hideMark/>
          </w:tcPr>
          <w:p w14:paraId="2BFF3B99" w14:textId="77777777" w:rsidR="00327FF1" w:rsidRDefault="00E406C7">
            <w:pPr>
              <w:pStyle w:val="P68B1DB1-Normal11"/>
              <w:spacing w:line="276" w:lineRule="auto"/>
              <w:jc w:val="center"/>
              <w:rPr>
                <w:noProof/>
                <w:szCs w:val="20"/>
              </w:rPr>
            </w:pPr>
            <w:r>
              <w:rPr>
                <w:noProof/>
              </w:rPr>
              <w:t>Investīcija Nr. 3.3. Po apgabala pārveidošana</w:t>
            </w:r>
          </w:p>
        </w:tc>
        <w:tc>
          <w:tcPr>
            <w:tcW w:w="1261" w:type="dxa"/>
            <w:shd w:val="clear" w:color="auto" w:fill="C6EFCE"/>
            <w:noWrap/>
            <w:vAlign w:val="center"/>
            <w:hideMark/>
          </w:tcPr>
          <w:p w14:paraId="799E1D64" w14:textId="77777777" w:rsidR="00327FF1" w:rsidRDefault="00E406C7">
            <w:pPr>
              <w:pStyle w:val="P68B1DB1-Normal11"/>
              <w:spacing w:line="276" w:lineRule="auto"/>
              <w:jc w:val="center"/>
              <w:rPr>
                <w:noProof/>
                <w:szCs w:val="20"/>
              </w:rPr>
            </w:pPr>
            <w:r>
              <w:rPr>
                <w:noProof/>
              </w:rPr>
              <w:t>Mērķa</w:t>
            </w:r>
          </w:p>
        </w:tc>
        <w:tc>
          <w:tcPr>
            <w:tcW w:w="1365" w:type="dxa"/>
            <w:shd w:val="clear" w:color="auto" w:fill="C6EFCE"/>
            <w:noWrap/>
            <w:vAlign w:val="center"/>
            <w:hideMark/>
          </w:tcPr>
          <w:p w14:paraId="41DA8A1A" w14:textId="77777777" w:rsidR="00327FF1" w:rsidRDefault="00E406C7">
            <w:pPr>
              <w:pStyle w:val="P68B1DB1-Normal11"/>
              <w:spacing w:line="276" w:lineRule="auto"/>
              <w:jc w:val="center"/>
              <w:rPr>
                <w:noProof/>
                <w:szCs w:val="20"/>
              </w:rPr>
            </w:pPr>
            <w:r>
              <w:rPr>
                <w:noProof/>
              </w:rPr>
              <w:t>Upes gultnes mākslīguma samazināšana Po apgabala T1 atjaunošanai</w:t>
            </w:r>
          </w:p>
        </w:tc>
        <w:tc>
          <w:tcPr>
            <w:tcW w:w="1264" w:type="dxa"/>
            <w:shd w:val="clear" w:color="auto" w:fill="C6EFCE"/>
            <w:noWrap/>
            <w:vAlign w:val="center"/>
            <w:hideMark/>
          </w:tcPr>
          <w:p w14:paraId="77F0DC30" w14:textId="77777777" w:rsidR="00327FF1" w:rsidRDefault="00E406C7">
            <w:pPr>
              <w:pStyle w:val="P68B1DB1-Normal11"/>
              <w:spacing w:line="276" w:lineRule="auto"/>
              <w:jc w:val="center"/>
              <w:rPr>
                <w:noProof/>
                <w:szCs w:val="20"/>
              </w:rPr>
            </w:pPr>
            <w:r>
              <w:rPr>
                <w:noProof/>
              </w:rPr>
              <w:t>NEPIEMĒRO</w:t>
            </w:r>
          </w:p>
        </w:tc>
        <w:tc>
          <w:tcPr>
            <w:tcW w:w="1055" w:type="dxa"/>
            <w:shd w:val="clear" w:color="auto" w:fill="C6EFCE"/>
            <w:noWrap/>
            <w:vAlign w:val="center"/>
            <w:hideMark/>
          </w:tcPr>
          <w:p w14:paraId="6E3C07FC" w14:textId="77777777" w:rsidR="00327FF1" w:rsidRDefault="00E406C7">
            <w:pPr>
              <w:pStyle w:val="P68B1DB1-Normal11"/>
              <w:spacing w:line="276" w:lineRule="auto"/>
              <w:jc w:val="center"/>
              <w:rPr>
                <w:noProof/>
                <w:szCs w:val="20"/>
              </w:rPr>
            </w:pPr>
            <w:r>
              <w:rPr>
                <w:noProof/>
              </w:rPr>
              <w:t>Skaits</w:t>
            </w:r>
          </w:p>
        </w:tc>
        <w:tc>
          <w:tcPr>
            <w:tcW w:w="946" w:type="dxa"/>
            <w:shd w:val="clear" w:color="auto" w:fill="C6EFCE"/>
            <w:noWrap/>
            <w:vAlign w:val="center"/>
            <w:hideMark/>
          </w:tcPr>
          <w:p w14:paraId="100B33C7" w14:textId="77777777" w:rsidR="00327FF1" w:rsidRDefault="00E406C7">
            <w:pPr>
              <w:pStyle w:val="P68B1DB1-Normal11"/>
              <w:spacing w:line="276" w:lineRule="auto"/>
              <w:jc w:val="center"/>
              <w:rPr>
                <w:noProof/>
                <w:szCs w:val="20"/>
              </w:rPr>
            </w:pPr>
            <w:r>
              <w:rPr>
                <w:noProof/>
              </w:rPr>
              <w:t>0</w:t>
            </w:r>
          </w:p>
        </w:tc>
        <w:tc>
          <w:tcPr>
            <w:tcW w:w="1000" w:type="dxa"/>
            <w:shd w:val="clear" w:color="auto" w:fill="C6EFCE"/>
            <w:noWrap/>
            <w:vAlign w:val="center"/>
            <w:hideMark/>
          </w:tcPr>
          <w:p w14:paraId="18CE1C0F" w14:textId="77777777" w:rsidR="00327FF1" w:rsidRDefault="00E406C7">
            <w:pPr>
              <w:pStyle w:val="P68B1DB1-Normal11"/>
              <w:spacing w:line="276" w:lineRule="auto"/>
              <w:jc w:val="center"/>
              <w:rPr>
                <w:noProof/>
                <w:szCs w:val="20"/>
              </w:rPr>
            </w:pPr>
            <w:r>
              <w:rPr>
                <w:noProof/>
              </w:rPr>
              <w:t>13</w:t>
            </w:r>
          </w:p>
        </w:tc>
        <w:tc>
          <w:tcPr>
            <w:tcW w:w="809" w:type="dxa"/>
            <w:shd w:val="clear" w:color="auto" w:fill="C6EFCE"/>
            <w:noWrap/>
            <w:vAlign w:val="center"/>
            <w:hideMark/>
          </w:tcPr>
          <w:p w14:paraId="361718DB" w14:textId="77777777" w:rsidR="00327FF1" w:rsidRDefault="00E406C7">
            <w:pPr>
              <w:pStyle w:val="P68B1DB1-Normal11"/>
              <w:spacing w:line="276" w:lineRule="auto"/>
              <w:jc w:val="center"/>
              <w:rPr>
                <w:noProof/>
                <w:szCs w:val="20"/>
              </w:rPr>
            </w:pPr>
            <w:r>
              <w:rPr>
                <w:noProof/>
              </w:rPr>
              <w:t>4. CET.</w:t>
            </w:r>
          </w:p>
        </w:tc>
        <w:tc>
          <w:tcPr>
            <w:tcW w:w="770" w:type="dxa"/>
            <w:shd w:val="clear" w:color="auto" w:fill="C6EFCE"/>
            <w:noWrap/>
            <w:vAlign w:val="center"/>
            <w:hideMark/>
          </w:tcPr>
          <w:p w14:paraId="2F21663F" w14:textId="77777777" w:rsidR="00327FF1" w:rsidRDefault="00E406C7">
            <w:pPr>
              <w:pStyle w:val="P68B1DB1-Normal11"/>
              <w:spacing w:line="276" w:lineRule="auto"/>
              <w:jc w:val="center"/>
              <w:rPr>
                <w:noProof/>
                <w:szCs w:val="20"/>
              </w:rPr>
            </w:pPr>
            <w:r>
              <w:rPr>
                <w:noProof/>
              </w:rPr>
              <w:t>2024</w:t>
            </w:r>
          </w:p>
        </w:tc>
        <w:tc>
          <w:tcPr>
            <w:tcW w:w="3544" w:type="dxa"/>
            <w:shd w:val="clear" w:color="auto" w:fill="C6EFCE"/>
            <w:noWrap/>
            <w:vAlign w:val="center"/>
            <w:hideMark/>
          </w:tcPr>
          <w:p w14:paraId="2F5C4CD0" w14:textId="77777777" w:rsidR="00327FF1" w:rsidRDefault="00E406C7">
            <w:pPr>
              <w:pStyle w:val="P68B1DB1-Normal12"/>
              <w:spacing w:line="276" w:lineRule="auto"/>
              <w:jc w:val="both"/>
              <w:rPr>
                <w:noProof/>
              </w:rPr>
            </w:pPr>
            <w:r>
              <w:rPr>
                <w:noProof/>
              </w:rPr>
              <w:t xml:space="preserve">Samazināt upes gultnes mākslīgumu vismaz par 13 km gar Po </w:t>
            </w:r>
            <w:r>
              <w:rPr>
                <w:noProof/>
              </w:rPr>
              <w:t>asi.</w:t>
            </w:r>
          </w:p>
        </w:tc>
      </w:tr>
      <w:tr w:rsidR="00327FF1" w14:paraId="52767F20" w14:textId="77777777">
        <w:trPr>
          <w:trHeight w:val="300"/>
        </w:trPr>
        <w:tc>
          <w:tcPr>
            <w:tcW w:w="1134" w:type="dxa"/>
            <w:shd w:val="clear" w:color="auto" w:fill="C6EFCE"/>
            <w:noWrap/>
            <w:vAlign w:val="center"/>
            <w:hideMark/>
          </w:tcPr>
          <w:p w14:paraId="09E1C44D" w14:textId="77777777" w:rsidR="00327FF1" w:rsidRDefault="00E406C7">
            <w:pPr>
              <w:pStyle w:val="P68B1DB1-Normal11"/>
              <w:spacing w:line="276" w:lineRule="auto"/>
              <w:jc w:val="center"/>
              <w:rPr>
                <w:noProof/>
                <w:szCs w:val="20"/>
              </w:rPr>
            </w:pPr>
            <w:r>
              <w:rPr>
                <w:noProof/>
              </w:rPr>
              <w:t>M2C4–23</w:t>
            </w:r>
          </w:p>
        </w:tc>
        <w:tc>
          <w:tcPr>
            <w:tcW w:w="1736" w:type="dxa"/>
            <w:shd w:val="clear" w:color="auto" w:fill="C6EFCE"/>
            <w:noWrap/>
            <w:vAlign w:val="center"/>
            <w:hideMark/>
          </w:tcPr>
          <w:p w14:paraId="353476FF" w14:textId="77777777" w:rsidR="00327FF1" w:rsidRDefault="00E406C7">
            <w:pPr>
              <w:pStyle w:val="P68B1DB1-Normal11"/>
              <w:spacing w:line="276" w:lineRule="auto"/>
              <w:jc w:val="center"/>
              <w:rPr>
                <w:noProof/>
                <w:szCs w:val="20"/>
              </w:rPr>
            </w:pPr>
            <w:r>
              <w:rPr>
                <w:noProof/>
              </w:rPr>
              <w:t>Investīcija Nr. 3.3. Po apgabala pārveidošana</w:t>
            </w:r>
          </w:p>
        </w:tc>
        <w:tc>
          <w:tcPr>
            <w:tcW w:w="1261" w:type="dxa"/>
            <w:shd w:val="clear" w:color="auto" w:fill="C6EFCE"/>
            <w:noWrap/>
            <w:vAlign w:val="center"/>
            <w:hideMark/>
          </w:tcPr>
          <w:p w14:paraId="38C5E7E0" w14:textId="77777777" w:rsidR="00327FF1" w:rsidRDefault="00E406C7">
            <w:pPr>
              <w:pStyle w:val="P68B1DB1-Normal11"/>
              <w:spacing w:line="276" w:lineRule="auto"/>
              <w:jc w:val="center"/>
              <w:rPr>
                <w:noProof/>
                <w:szCs w:val="20"/>
              </w:rPr>
            </w:pPr>
            <w:r>
              <w:rPr>
                <w:noProof/>
              </w:rPr>
              <w:t>Mērķa</w:t>
            </w:r>
          </w:p>
        </w:tc>
        <w:tc>
          <w:tcPr>
            <w:tcW w:w="1365" w:type="dxa"/>
            <w:shd w:val="clear" w:color="auto" w:fill="C6EFCE"/>
            <w:noWrap/>
            <w:vAlign w:val="center"/>
            <w:hideMark/>
          </w:tcPr>
          <w:p w14:paraId="1B5D3F67" w14:textId="77777777" w:rsidR="00327FF1" w:rsidRDefault="00E406C7">
            <w:pPr>
              <w:pStyle w:val="P68B1DB1-Normal11"/>
              <w:spacing w:line="276" w:lineRule="auto"/>
              <w:jc w:val="center"/>
              <w:rPr>
                <w:noProof/>
                <w:szCs w:val="20"/>
              </w:rPr>
            </w:pPr>
            <w:r>
              <w:rPr>
                <w:noProof/>
              </w:rPr>
              <w:t>Upes gultnes mākslīguma samazināšana Po apgabala T2 pārveidošanai</w:t>
            </w:r>
          </w:p>
        </w:tc>
        <w:tc>
          <w:tcPr>
            <w:tcW w:w="1264" w:type="dxa"/>
            <w:shd w:val="clear" w:color="auto" w:fill="C6EFCE"/>
            <w:noWrap/>
            <w:vAlign w:val="center"/>
            <w:hideMark/>
          </w:tcPr>
          <w:p w14:paraId="63560511" w14:textId="77777777" w:rsidR="00327FF1" w:rsidRDefault="00E406C7">
            <w:pPr>
              <w:pStyle w:val="P68B1DB1-Normal11"/>
              <w:spacing w:line="276" w:lineRule="auto"/>
              <w:jc w:val="center"/>
              <w:rPr>
                <w:noProof/>
                <w:szCs w:val="20"/>
              </w:rPr>
            </w:pPr>
            <w:r>
              <w:rPr>
                <w:noProof/>
              </w:rPr>
              <w:t>NEPIEMĒRO</w:t>
            </w:r>
          </w:p>
        </w:tc>
        <w:tc>
          <w:tcPr>
            <w:tcW w:w="1055" w:type="dxa"/>
            <w:shd w:val="clear" w:color="auto" w:fill="C6EFCE"/>
            <w:noWrap/>
            <w:vAlign w:val="center"/>
            <w:hideMark/>
          </w:tcPr>
          <w:p w14:paraId="760D5548" w14:textId="77777777" w:rsidR="00327FF1" w:rsidRDefault="00E406C7">
            <w:pPr>
              <w:pStyle w:val="P68B1DB1-Normal11"/>
              <w:spacing w:line="276" w:lineRule="auto"/>
              <w:jc w:val="center"/>
              <w:rPr>
                <w:noProof/>
                <w:szCs w:val="20"/>
              </w:rPr>
            </w:pPr>
            <w:r>
              <w:rPr>
                <w:noProof/>
              </w:rPr>
              <w:t>Skaits</w:t>
            </w:r>
          </w:p>
        </w:tc>
        <w:tc>
          <w:tcPr>
            <w:tcW w:w="946" w:type="dxa"/>
            <w:shd w:val="clear" w:color="auto" w:fill="C6EFCE"/>
            <w:noWrap/>
            <w:vAlign w:val="center"/>
            <w:hideMark/>
          </w:tcPr>
          <w:p w14:paraId="788DB1E0" w14:textId="77777777" w:rsidR="00327FF1" w:rsidRDefault="00E406C7">
            <w:pPr>
              <w:pStyle w:val="P68B1DB1-Normal11"/>
              <w:spacing w:line="276" w:lineRule="auto"/>
              <w:jc w:val="center"/>
              <w:rPr>
                <w:noProof/>
                <w:szCs w:val="20"/>
              </w:rPr>
            </w:pPr>
            <w:r>
              <w:rPr>
                <w:noProof/>
              </w:rPr>
              <w:t>13</w:t>
            </w:r>
          </w:p>
        </w:tc>
        <w:tc>
          <w:tcPr>
            <w:tcW w:w="1000" w:type="dxa"/>
            <w:shd w:val="clear" w:color="auto" w:fill="C6EFCE"/>
            <w:noWrap/>
            <w:vAlign w:val="center"/>
            <w:hideMark/>
          </w:tcPr>
          <w:p w14:paraId="6EEDCEFD" w14:textId="77777777" w:rsidR="00327FF1" w:rsidRDefault="00E406C7">
            <w:pPr>
              <w:pStyle w:val="P68B1DB1-Normal11"/>
              <w:spacing w:line="276" w:lineRule="auto"/>
              <w:jc w:val="center"/>
              <w:rPr>
                <w:noProof/>
                <w:szCs w:val="20"/>
              </w:rPr>
            </w:pPr>
            <w:r>
              <w:rPr>
                <w:noProof/>
              </w:rPr>
              <w:t>37</w:t>
            </w:r>
          </w:p>
        </w:tc>
        <w:tc>
          <w:tcPr>
            <w:tcW w:w="809" w:type="dxa"/>
            <w:shd w:val="clear" w:color="auto" w:fill="C6EFCE"/>
            <w:noWrap/>
            <w:vAlign w:val="center"/>
            <w:hideMark/>
          </w:tcPr>
          <w:p w14:paraId="342AC06A" w14:textId="77777777" w:rsidR="00327FF1" w:rsidRDefault="00E406C7">
            <w:pPr>
              <w:pStyle w:val="P68B1DB1-Normal11"/>
              <w:spacing w:line="276" w:lineRule="auto"/>
              <w:jc w:val="center"/>
              <w:rPr>
                <w:noProof/>
                <w:szCs w:val="20"/>
              </w:rPr>
            </w:pPr>
            <w:r>
              <w:rPr>
                <w:noProof/>
              </w:rPr>
              <w:t>Q1</w:t>
            </w:r>
          </w:p>
        </w:tc>
        <w:tc>
          <w:tcPr>
            <w:tcW w:w="770" w:type="dxa"/>
            <w:shd w:val="clear" w:color="auto" w:fill="C6EFCE"/>
            <w:noWrap/>
            <w:vAlign w:val="center"/>
            <w:hideMark/>
          </w:tcPr>
          <w:p w14:paraId="672469C3" w14:textId="77777777" w:rsidR="00327FF1" w:rsidRDefault="00E406C7">
            <w:pPr>
              <w:pStyle w:val="P68B1DB1-Normal11"/>
              <w:spacing w:line="276" w:lineRule="auto"/>
              <w:jc w:val="center"/>
              <w:rPr>
                <w:noProof/>
                <w:szCs w:val="20"/>
              </w:rPr>
            </w:pPr>
            <w:r>
              <w:rPr>
                <w:noProof/>
              </w:rPr>
              <w:t>2026</w:t>
            </w:r>
          </w:p>
        </w:tc>
        <w:tc>
          <w:tcPr>
            <w:tcW w:w="3544" w:type="dxa"/>
            <w:shd w:val="clear" w:color="auto" w:fill="C6EFCE"/>
            <w:noWrap/>
            <w:vAlign w:val="center"/>
            <w:hideMark/>
          </w:tcPr>
          <w:p w14:paraId="7AFA5413" w14:textId="77777777" w:rsidR="00327FF1" w:rsidRDefault="00E406C7">
            <w:pPr>
              <w:pStyle w:val="P68B1DB1-Normal12"/>
              <w:spacing w:line="276" w:lineRule="auto"/>
              <w:rPr>
                <w:noProof/>
              </w:rPr>
            </w:pPr>
            <w:r>
              <w:rPr>
                <w:noProof/>
              </w:rPr>
              <w:t xml:space="preserve">Tiek izsniegti sertifikāti par darbu pabeigšanu, lai samazinātu upes gultnes mākslīgumu </w:t>
            </w:r>
            <w:r>
              <w:rPr>
                <w:noProof/>
              </w:rPr>
              <w:t>vismaz par 37 km gar Po asi.</w:t>
            </w:r>
          </w:p>
          <w:p w14:paraId="70784EDE" w14:textId="4CEF00B8" w:rsidR="00327FF1" w:rsidRDefault="00E406C7">
            <w:pPr>
              <w:pStyle w:val="P68B1DB1-Normal12"/>
              <w:spacing w:line="276" w:lineRule="auto"/>
              <w:rPr>
                <w:noProof/>
              </w:rPr>
            </w:pPr>
            <w:r>
              <w:rPr>
                <w:noProof/>
              </w:rPr>
              <w:t>Tiek izsniegti sertifikāti par tādu darbu pabeigšanu, kas saistīti ar meža atjaunošanas darbībām vismaz 337 hektāru piekrastes mežu platībās.</w:t>
            </w:r>
          </w:p>
        </w:tc>
      </w:tr>
      <w:tr w:rsidR="00327FF1" w14:paraId="09546FBF" w14:textId="77777777">
        <w:trPr>
          <w:trHeight w:val="300"/>
        </w:trPr>
        <w:tc>
          <w:tcPr>
            <w:tcW w:w="1134" w:type="dxa"/>
            <w:shd w:val="clear" w:color="auto" w:fill="C6EFCE"/>
            <w:noWrap/>
            <w:vAlign w:val="center"/>
            <w:hideMark/>
          </w:tcPr>
          <w:p w14:paraId="26F7DECB" w14:textId="77777777" w:rsidR="00327FF1" w:rsidRDefault="00E406C7">
            <w:pPr>
              <w:pStyle w:val="P68B1DB1-Normal11"/>
              <w:spacing w:line="276" w:lineRule="auto"/>
              <w:jc w:val="center"/>
              <w:rPr>
                <w:noProof/>
                <w:szCs w:val="20"/>
              </w:rPr>
            </w:pPr>
            <w:r>
              <w:rPr>
                <w:noProof/>
              </w:rPr>
              <w:t>M2C4–24</w:t>
            </w:r>
          </w:p>
        </w:tc>
        <w:tc>
          <w:tcPr>
            <w:tcW w:w="1736" w:type="dxa"/>
            <w:shd w:val="clear" w:color="auto" w:fill="C6EFCE"/>
            <w:noWrap/>
            <w:vAlign w:val="center"/>
            <w:hideMark/>
          </w:tcPr>
          <w:p w14:paraId="0E2AE85E" w14:textId="77777777" w:rsidR="00327FF1" w:rsidRDefault="00E406C7">
            <w:pPr>
              <w:pStyle w:val="P68B1DB1-Normal11"/>
              <w:spacing w:line="276" w:lineRule="auto"/>
              <w:jc w:val="center"/>
              <w:rPr>
                <w:noProof/>
                <w:szCs w:val="20"/>
              </w:rPr>
            </w:pPr>
            <w:r>
              <w:rPr>
                <w:noProof/>
              </w:rPr>
              <w:t>Ieguldījums 3.4. “Retzemju teritoriju augsnes” sanācija</w:t>
            </w:r>
          </w:p>
        </w:tc>
        <w:tc>
          <w:tcPr>
            <w:tcW w:w="1261" w:type="dxa"/>
            <w:shd w:val="clear" w:color="auto" w:fill="C6EFCE"/>
            <w:noWrap/>
            <w:vAlign w:val="center"/>
            <w:hideMark/>
          </w:tcPr>
          <w:p w14:paraId="1F2110BA" w14:textId="77777777" w:rsidR="00327FF1" w:rsidRDefault="00E406C7">
            <w:pPr>
              <w:pStyle w:val="P68B1DB1-Normal11"/>
              <w:spacing w:line="276" w:lineRule="auto"/>
              <w:jc w:val="center"/>
              <w:rPr>
                <w:noProof/>
                <w:szCs w:val="20"/>
              </w:rPr>
            </w:pPr>
            <w:r>
              <w:rPr>
                <w:noProof/>
              </w:rPr>
              <w:t>Atskaites punkts</w:t>
            </w:r>
          </w:p>
        </w:tc>
        <w:tc>
          <w:tcPr>
            <w:tcW w:w="1365" w:type="dxa"/>
            <w:shd w:val="clear" w:color="auto" w:fill="C6EFCE"/>
            <w:noWrap/>
            <w:vAlign w:val="center"/>
            <w:hideMark/>
          </w:tcPr>
          <w:p w14:paraId="528B7A59" w14:textId="77777777" w:rsidR="00327FF1" w:rsidRDefault="00E406C7">
            <w:pPr>
              <w:pStyle w:val="P68B1DB1-Normal11"/>
              <w:spacing w:line="276" w:lineRule="auto"/>
              <w:jc w:val="center"/>
              <w:rPr>
                <w:noProof/>
                <w:szCs w:val="20"/>
              </w:rPr>
            </w:pPr>
            <w:r>
              <w:rPr>
                <w:noProof/>
              </w:rPr>
              <w:t>Bāreņu attīrīšanas tiesiskais regulējums</w:t>
            </w:r>
          </w:p>
        </w:tc>
        <w:tc>
          <w:tcPr>
            <w:tcW w:w="1264" w:type="dxa"/>
            <w:shd w:val="clear" w:color="auto" w:fill="C6EFCE"/>
            <w:noWrap/>
            <w:vAlign w:val="center"/>
            <w:hideMark/>
          </w:tcPr>
          <w:p w14:paraId="4BE18CCF" w14:textId="77777777" w:rsidR="00327FF1" w:rsidRDefault="00E406C7">
            <w:pPr>
              <w:pStyle w:val="P68B1DB1-Normal11"/>
              <w:spacing w:line="276" w:lineRule="auto"/>
              <w:jc w:val="center"/>
              <w:rPr>
                <w:noProof/>
                <w:szCs w:val="20"/>
              </w:rPr>
            </w:pPr>
            <w:r>
              <w:rPr>
                <w:noProof/>
              </w:rPr>
              <w:t>Attiecīgā tiesību akta noteikums, kas norāda uz rīcības plāna pieņemšanu</w:t>
            </w:r>
          </w:p>
        </w:tc>
        <w:tc>
          <w:tcPr>
            <w:tcW w:w="1055" w:type="dxa"/>
            <w:shd w:val="clear" w:color="auto" w:fill="C6EFCE"/>
            <w:noWrap/>
            <w:vAlign w:val="center"/>
            <w:hideMark/>
          </w:tcPr>
          <w:p w14:paraId="26E3D14B" w14:textId="77777777" w:rsidR="00327FF1" w:rsidRDefault="00E406C7">
            <w:pPr>
              <w:pStyle w:val="P68B1DB1-Normal11"/>
              <w:spacing w:line="276" w:lineRule="auto"/>
              <w:jc w:val="center"/>
              <w:rPr>
                <w:noProof/>
                <w:szCs w:val="20"/>
              </w:rPr>
            </w:pPr>
            <w:r>
              <w:rPr>
                <w:noProof/>
              </w:rPr>
              <w:t>NEPIEMĒRO</w:t>
            </w:r>
          </w:p>
        </w:tc>
        <w:tc>
          <w:tcPr>
            <w:tcW w:w="946" w:type="dxa"/>
            <w:shd w:val="clear" w:color="auto" w:fill="C6EFCE"/>
            <w:noWrap/>
            <w:vAlign w:val="center"/>
            <w:hideMark/>
          </w:tcPr>
          <w:p w14:paraId="0CE0F9E6" w14:textId="77777777" w:rsidR="00327FF1" w:rsidRDefault="00E406C7">
            <w:pPr>
              <w:pStyle w:val="P68B1DB1-Normal11"/>
              <w:spacing w:line="276" w:lineRule="auto"/>
              <w:jc w:val="center"/>
              <w:rPr>
                <w:noProof/>
                <w:szCs w:val="20"/>
              </w:rPr>
            </w:pPr>
            <w:r>
              <w:rPr>
                <w:noProof/>
              </w:rPr>
              <w:t>NEPIEMĒRO</w:t>
            </w:r>
          </w:p>
        </w:tc>
        <w:tc>
          <w:tcPr>
            <w:tcW w:w="1000" w:type="dxa"/>
            <w:shd w:val="clear" w:color="auto" w:fill="C6EFCE"/>
            <w:noWrap/>
            <w:vAlign w:val="center"/>
            <w:hideMark/>
          </w:tcPr>
          <w:p w14:paraId="2DDFA341" w14:textId="77777777" w:rsidR="00327FF1" w:rsidRDefault="00E406C7">
            <w:pPr>
              <w:pStyle w:val="P68B1DB1-Normal11"/>
              <w:spacing w:line="276" w:lineRule="auto"/>
              <w:jc w:val="center"/>
              <w:rPr>
                <w:noProof/>
                <w:szCs w:val="20"/>
              </w:rPr>
            </w:pPr>
            <w:r>
              <w:rPr>
                <w:noProof/>
              </w:rPr>
              <w:t>NEPIEMĒRO</w:t>
            </w:r>
          </w:p>
        </w:tc>
        <w:tc>
          <w:tcPr>
            <w:tcW w:w="809" w:type="dxa"/>
            <w:shd w:val="clear" w:color="auto" w:fill="C6EFCE"/>
            <w:noWrap/>
            <w:vAlign w:val="center"/>
            <w:hideMark/>
          </w:tcPr>
          <w:p w14:paraId="7786BF04" w14:textId="77777777" w:rsidR="00327FF1" w:rsidRDefault="00E406C7">
            <w:pPr>
              <w:pStyle w:val="P68B1DB1-Normal11"/>
              <w:spacing w:line="276" w:lineRule="auto"/>
              <w:jc w:val="center"/>
              <w:rPr>
                <w:noProof/>
                <w:szCs w:val="20"/>
              </w:rPr>
            </w:pPr>
            <w:r>
              <w:rPr>
                <w:noProof/>
              </w:rPr>
              <w:t>4. CET.</w:t>
            </w:r>
          </w:p>
        </w:tc>
        <w:tc>
          <w:tcPr>
            <w:tcW w:w="770" w:type="dxa"/>
            <w:shd w:val="clear" w:color="auto" w:fill="C6EFCE"/>
            <w:noWrap/>
            <w:vAlign w:val="center"/>
            <w:hideMark/>
          </w:tcPr>
          <w:p w14:paraId="075AE475" w14:textId="77777777" w:rsidR="00327FF1" w:rsidRDefault="00E406C7">
            <w:pPr>
              <w:pStyle w:val="P68B1DB1-Normal11"/>
              <w:spacing w:line="276" w:lineRule="auto"/>
              <w:jc w:val="center"/>
              <w:rPr>
                <w:noProof/>
                <w:szCs w:val="20"/>
              </w:rPr>
            </w:pPr>
            <w:r>
              <w:rPr>
                <w:noProof/>
              </w:rPr>
              <w:t>2022</w:t>
            </w:r>
          </w:p>
        </w:tc>
        <w:tc>
          <w:tcPr>
            <w:tcW w:w="3544" w:type="dxa"/>
            <w:shd w:val="clear" w:color="auto" w:fill="C6EFCE"/>
            <w:noWrap/>
            <w:vAlign w:val="center"/>
            <w:hideMark/>
          </w:tcPr>
          <w:p w14:paraId="44FB147A" w14:textId="77777777" w:rsidR="00327FF1" w:rsidRDefault="00E406C7">
            <w:pPr>
              <w:pStyle w:val="P68B1DB1-Normal11"/>
              <w:spacing w:line="276" w:lineRule="auto"/>
              <w:rPr>
                <w:noProof/>
                <w:szCs w:val="20"/>
              </w:rPr>
            </w:pPr>
            <w:r>
              <w:rPr>
                <w:noProof/>
              </w:rPr>
              <w:t>Rīcības plāns bāreņu atdzīvināšanai samazina zemes aizņemšanu un veicina pilsētvides atjaunošanu. T</w:t>
            </w:r>
            <w:r>
              <w:rPr>
                <w:noProof/>
              </w:rPr>
              <w:t>ajā obligāti iekļauj:</w:t>
            </w:r>
          </w:p>
          <w:p w14:paraId="6F4D5A18" w14:textId="77777777" w:rsidR="00327FF1" w:rsidRDefault="00E406C7">
            <w:pPr>
              <w:pStyle w:val="P68B1DB1-ListParagraph15"/>
              <w:numPr>
                <w:ilvl w:val="0"/>
                <w:numId w:val="27"/>
              </w:numPr>
              <w:spacing w:after="0" w:line="276" w:lineRule="auto"/>
              <w:ind w:left="305"/>
              <w:rPr>
                <w:noProof/>
                <w:szCs w:val="20"/>
              </w:rPr>
            </w:pPr>
            <w:r>
              <w:rPr>
                <w:noProof/>
              </w:rPr>
              <w:t>Nenosakāmu transportlīdzekļu objektu noteikšana visos 21 reģionos un/vai autonomajās provincēs;</w:t>
            </w:r>
          </w:p>
          <w:p w14:paraId="05863964" w14:textId="77777777" w:rsidR="00327FF1" w:rsidRDefault="00E406C7">
            <w:pPr>
              <w:pStyle w:val="P68B1DB1-ListParagraph15"/>
              <w:numPr>
                <w:ilvl w:val="0"/>
                <w:numId w:val="27"/>
              </w:numPr>
              <w:spacing w:after="0" w:line="276" w:lineRule="auto"/>
              <w:ind w:left="305"/>
              <w:rPr>
                <w:noProof/>
                <w:szCs w:val="20"/>
              </w:rPr>
            </w:pPr>
            <w:r>
              <w:rPr>
                <w:noProof/>
              </w:rPr>
              <w:t>Konkrēti pasākumi, kas jāveic katrā bāreņzāļu teritorijā, lai samazinātu zemes aizņemšanu un veicinātu pilsētvides atjaunošanu</w:t>
            </w:r>
          </w:p>
        </w:tc>
      </w:tr>
      <w:tr w:rsidR="00327FF1" w14:paraId="527B821A" w14:textId="77777777">
        <w:trPr>
          <w:trHeight w:val="300"/>
        </w:trPr>
        <w:tc>
          <w:tcPr>
            <w:tcW w:w="1134" w:type="dxa"/>
            <w:shd w:val="clear" w:color="auto" w:fill="C6EFCE"/>
            <w:noWrap/>
            <w:vAlign w:val="center"/>
            <w:hideMark/>
          </w:tcPr>
          <w:p w14:paraId="074FB1A1" w14:textId="77777777" w:rsidR="00327FF1" w:rsidRDefault="00E406C7">
            <w:pPr>
              <w:pStyle w:val="P68B1DB1-Normal12"/>
              <w:spacing w:line="276" w:lineRule="auto"/>
              <w:jc w:val="center"/>
              <w:rPr>
                <w:noProof/>
              </w:rPr>
            </w:pPr>
            <w:r>
              <w:rPr>
                <w:noProof/>
              </w:rPr>
              <w:t>M2C4–25</w:t>
            </w:r>
          </w:p>
        </w:tc>
        <w:tc>
          <w:tcPr>
            <w:tcW w:w="1736" w:type="dxa"/>
            <w:shd w:val="clear" w:color="auto" w:fill="C6EFCE"/>
            <w:noWrap/>
            <w:vAlign w:val="center"/>
            <w:hideMark/>
          </w:tcPr>
          <w:p w14:paraId="175E2CA8" w14:textId="77777777" w:rsidR="00327FF1" w:rsidRDefault="00E406C7">
            <w:pPr>
              <w:pStyle w:val="P68B1DB1-Normal11"/>
              <w:spacing w:line="276" w:lineRule="auto"/>
              <w:jc w:val="center"/>
              <w:rPr>
                <w:noProof/>
                <w:szCs w:val="20"/>
              </w:rPr>
            </w:pPr>
            <w:r>
              <w:rPr>
                <w:noProof/>
              </w:rPr>
              <w:t>Ieguldījums 3.4. “Retzemju teritoriju augsnes” sanācija</w:t>
            </w:r>
          </w:p>
        </w:tc>
        <w:tc>
          <w:tcPr>
            <w:tcW w:w="1261" w:type="dxa"/>
            <w:shd w:val="clear" w:color="auto" w:fill="C6EFCE"/>
            <w:noWrap/>
            <w:vAlign w:val="center"/>
            <w:hideMark/>
          </w:tcPr>
          <w:p w14:paraId="12E3E13B" w14:textId="77777777" w:rsidR="00327FF1" w:rsidRDefault="00E406C7">
            <w:pPr>
              <w:pStyle w:val="P68B1DB1-Normal11"/>
              <w:spacing w:line="276" w:lineRule="auto"/>
              <w:jc w:val="center"/>
              <w:rPr>
                <w:noProof/>
                <w:szCs w:val="20"/>
              </w:rPr>
            </w:pPr>
            <w:r>
              <w:rPr>
                <w:noProof/>
              </w:rPr>
              <w:t>Mērķa</w:t>
            </w:r>
          </w:p>
        </w:tc>
        <w:tc>
          <w:tcPr>
            <w:tcW w:w="1365" w:type="dxa"/>
            <w:shd w:val="clear" w:color="auto" w:fill="C6EFCE"/>
            <w:noWrap/>
            <w:vAlign w:val="center"/>
            <w:hideMark/>
          </w:tcPr>
          <w:p w14:paraId="4B4450C0" w14:textId="12AC963B" w:rsidR="00327FF1" w:rsidRDefault="00E406C7">
            <w:pPr>
              <w:pStyle w:val="P68B1DB1-Normal11"/>
              <w:spacing w:line="276" w:lineRule="auto"/>
              <w:jc w:val="center"/>
              <w:rPr>
                <w:noProof/>
                <w:szCs w:val="20"/>
              </w:rPr>
            </w:pPr>
            <w:r>
              <w:rPr>
                <w:noProof/>
              </w:rPr>
              <w:t>Bāreņu objektu atdzīvināšana</w:t>
            </w:r>
          </w:p>
        </w:tc>
        <w:tc>
          <w:tcPr>
            <w:tcW w:w="1264" w:type="dxa"/>
            <w:shd w:val="clear" w:color="auto" w:fill="C6EFCE"/>
            <w:noWrap/>
            <w:vAlign w:val="center"/>
            <w:hideMark/>
          </w:tcPr>
          <w:p w14:paraId="16DAB80F" w14:textId="77777777" w:rsidR="00327FF1" w:rsidRDefault="00E406C7">
            <w:pPr>
              <w:pStyle w:val="P68B1DB1-Normal12"/>
              <w:spacing w:line="276" w:lineRule="auto"/>
              <w:jc w:val="center"/>
              <w:rPr>
                <w:noProof/>
              </w:rPr>
            </w:pPr>
            <w:r>
              <w:rPr>
                <w:noProof/>
              </w:rPr>
              <w:t>NEPIEMĒRO</w:t>
            </w:r>
          </w:p>
        </w:tc>
        <w:tc>
          <w:tcPr>
            <w:tcW w:w="1055" w:type="dxa"/>
            <w:shd w:val="clear" w:color="auto" w:fill="C6EFCE"/>
            <w:noWrap/>
            <w:vAlign w:val="center"/>
            <w:hideMark/>
          </w:tcPr>
          <w:p w14:paraId="5FD3D6E9" w14:textId="77777777" w:rsidR="00327FF1" w:rsidRDefault="00E406C7">
            <w:pPr>
              <w:pStyle w:val="P68B1DB1-Normal11"/>
              <w:spacing w:line="276" w:lineRule="auto"/>
              <w:jc w:val="center"/>
              <w:rPr>
                <w:noProof/>
                <w:szCs w:val="20"/>
              </w:rPr>
            </w:pPr>
            <w:r>
              <w:rPr>
                <w:noProof/>
              </w:rPr>
              <w:t>Procentuālais daudzums</w:t>
            </w:r>
          </w:p>
        </w:tc>
        <w:tc>
          <w:tcPr>
            <w:tcW w:w="946" w:type="dxa"/>
            <w:shd w:val="clear" w:color="auto" w:fill="C6EFCE"/>
            <w:noWrap/>
            <w:vAlign w:val="center"/>
            <w:hideMark/>
          </w:tcPr>
          <w:p w14:paraId="5CE8A313" w14:textId="77777777" w:rsidR="00327FF1" w:rsidRDefault="00E406C7">
            <w:pPr>
              <w:pStyle w:val="P68B1DB1-Normal11"/>
              <w:spacing w:line="276" w:lineRule="auto"/>
              <w:jc w:val="center"/>
              <w:rPr>
                <w:noProof/>
                <w:szCs w:val="20"/>
              </w:rPr>
            </w:pPr>
            <w:r>
              <w:rPr>
                <w:noProof/>
              </w:rPr>
              <w:t>0</w:t>
            </w:r>
          </w:p>
        </w:tc>
        <w:tc>
          <w:tcPr>
            <w:tcW w:w="1000" w:type="dxa"/>
            <w:shd w:val="clear" w:color="auto" w:fill="C6EFCE"/>
            <w:noWrap/>
            <w:vAlign w:val="center"/>
            <w:hideMark/>
          </w:tcPr>
          <w:p w14:paraId="63C50876" w14:textId="77777777" w:rsidR="00327FF1" w:rsidRDefault="00E406C7">
            <w:pPr>
              <w:pStyle w:val="P68B1DB1-Normal11"/>
              <w:spacing w:line="276" w:lineRule="auto"/>
              <w:jc w:val="center"/>
              <w:rPr>
                <w:noProof/>
                <w:szCs w:val="20"/>
              </w:rPr>
            </w:pPr>
            <w:r>
              <w:rPr>
                <w:noProof/>
              </w:rPr>
              <w:t>70</w:t>
            </w:r>
          </w:p>
        </w:tc>
        <w:tc>
          <w:tcPr>
            <w:tcW w:w="809" w:type="dxa"/>
            <w:shd w:val="clear" w:color="auto" w:fill="C6EFCE"/>
            <w:noWrap/>
            <w:vAlign w:val="center"/>
            <w:hideMark/>
          </w:tcPr>
          <w:p w14:paraId="18E27AAD" w14:textId="77777777" w:rsidR="00327FF1" w:rsidRDefault="00E406C7">
            <w:pPr>
              <w:pStyle w:val="P68B1DB1-Normal11"/>
              <w:spacing w:line="276" w:lineRule="auto"/>
              <w:jc w:val="center"/>
              <w:rPr>
                <w:noProof/>
                <w:szCs w:val="20"/>
              </w:rPr>
            </w:pPr>
            <w:r>
              <w:rPr>
                <w:noProof/>
              </w:rPr>
              <w:t>Q1</w:t>
            </w:r>
          </w:p>
        </w:tc>
        <w:tc>
          <w:tcPr>
            <w:tcW w:w="770" w:type="dxa"/>
            <w:shd w:val="clear" w:color="auto" w:fill="C6EFCE"/>
            <w:noWrap/>
            <w:vAlign w:val="center"/>
            <w:hideMark/>
          </w:tcPr>
          <w:p w14:paraId="4388F03A" w14:textId="77777777" w:rsidR="00327FF1" w:rsidRDefault="00E406C7">
            <w:pPr>
              <w:pStyle w:val="P68B1DB1-Normal11"/>
              <w:spacing w:line="276" w:lineRule="auto"/>
              <w:jc w:val="center"/>
              <w:rPr>
                <w:noProof/>
                <w:szCs w:val="20"/>
              </w:rPr>
            </w:pPr>
            <w:r>
              <w:rPr>
                <w:noProof/>
              </w:rPr>
              <w:t>2026</w:t>
            </w:r>
          </w:p>
        </w:tc>
        <w:tc>
          <w:tcPr>
            <w:tcW w:w="3544" w:type="dxa"/>
            <w:shd w:val="clear" w:color="auto" w:fill="C6EFCE"/>
            <w:noWrap/>
            <w:vAlign w:val="center"/>
            <w:hideMark/>
          </w:tcPr>
          <w:p w14:paraId="7774AF71" w14:textId="092C81B9" w:rsidR="00327FF1" w:rsidRDefault="00E406C7">
            <w:pPr>
              <w:pStyle w:val="P68B1DB1-Normal11"/>
              <w:spacing w:line="276" w:lineRule="auto"/>
              <w:rPr>
                <w:noProof/>
                <w:szCs w:val="20"/>
              </w:rPr>
            </w:pPr>
            <w:r>
              <w:rPr>
                <w:noProof/>
              </w:rPr>
              <w:t>Augsnes sanācijas sertifikāti (kā noteikts rīcības plāna 5. panta 3. punktā), kas izsniegti 70 % no rīcības plānā uzska</w:t>
            </w:r>
            <w:r>
              <w:rPr>
                <w:noProof/>
              </w:rPr>
              <w:t>itītajām nenosakāmajām teritorijām.</w:t>
            </w:r>
          </w:p>
        </w:tc>
      </w:tr>
      <w:tr w:rsidR="00327FF1" w14:paraId="1B5C7512" w14:textId="77777777">
        <w:trPr>
          <w:trHeight w:val="300"/>
        </w:trPr>
        <w:tc>
          <w:tcPr>
            <w:tcW w:w="1134" w:type="dxa"/>
            <w:shd w:val="clear" w:color="auto" w:fill="C6EFCE"/>
            <w:noWrap/>
            <w:vAlign w:val="center"/>
            <w:hideMark/>
          </w:tcPr>
          <w:p w14:paraId="673B099E" w14:textId="77777777" w:rsidR="00327FF1" w:rsidRDefault="00E406C7">
            <w:pPr>
              <w:pStyle w:val="P68B1DB1-Normal11"/>
              <w:spacing w:line="276" w:lineRule="auto"/>
              <w:jc w:val="center"/>
              <w:rPr>
                <w:noProof/>
                <w:szCs w:val="20"/>
              </w:rPr>
            </w:pPr>
            <w:r>
              <w:rPr>
                <w:noProof/>
              </w:rPr>
              <w:t>M2C4–26</w:t>
            </w:r>
          </w:p>
        </w:tc>
        <w:tc>
          <w:tcPr>
            <w:tcW w:w="1736" w:type="dxa"/>
            <w:shd w:val="clear" w:color="auto" w:fill="C6EFCE"/>
            <w:noWrap/>
            <w:vAlign w:val="center"/>
            <w:hideMark/>
          </w:tcPr>
          <w:p w14:paraId="5EECDAFF" w14:textId="77777777" w:rsidR="00327FF1" w:rsidRDefault="00E406C7">
            <w:pPr>
              <w:pStyle w:val="P68B1DB1-Normal11"/>
              <w:spacing w:line="276" w:lineRule="auto"/>
              <w:jc w:val="center"/>
              <w:rPr>
                <w:noProof/>
                <w:szCs w:val="20"/>
              </w:rPr>
            </w:pPr>
            <w:r>
              <w:rPr>
                <w:noProof/>
              </w:rPr>
              <w:t>Ieguldījums 3.5. Jūras gultnes un jūras dzīvotņu atjaunošana un aizsardzība</w:t>
            </w:r>
          </w:p>
        </w:tc>
        <w:tc>
          <w:tcPr>
            <w:tcW w:w="1261" w:type="dxa"/>
            <w:shd w:val="clear" w:color="auto" w:fill="C6EFCE"/>
            <w:noWrap/>
            <w:vAlign w:val="center"/>
            <w:hideMark/>
          </w:tcPr>
          <w:p w14:paraId="3F9A585B" w14:textId="77777777" w:rsidR="00327FF1" w:rsidRDefault="00E406C7">
            <w:pPr>
              <w:pStyle w:val="P68B1DB1-Normal11"/>
              <w:spacing w:line="276" w:lineRule="auto"/>
              <w:jc w:val="center"/>
              <w:rPr>
                <w:noProof/>
                <w:szCs w:val="20"/>
              </w:rPr>
            </w:pPr>
            <w:r>
              <w:rPr>
                <w:noProof/>
              </w:rPr>
              <w:t>Mērķa</w:t>
            </w:r>
          </w:p>
        </w:tc>
        <w:tc>
          <w:tcPr>
            <w:tcW w:w="1365" w:type="dxa"/>
            <w:shd w:val="clear" w:color="auto" w:fill="C6EFCE"/>
            <w:noWrap/>
            <w:vAlign w:val="center"/>
            <w:hideMark/>
          </w:tcPr>
          <w:p w14:paraId="1F3C6E3B" w14:textId="77777777" w:rsidR="00327FF1" w:rsidRDefault="00E406C7">
            <w:pPr>
              <w:pStyle w:val="P68B1DB1-Normal11"/>
              <w:spacing w:line="276" w:lineRule="auto"/>
              <w:jc w:val="center"/>
              <w:rPr>
                <w:noProof/>
                <w:szCs w:val="20"/>
              </w:rPr>
            </w:pPr>
            <w:r>
              <w:rPr>
                <w:noProof/>
              </w:rPr>
              <w:t>Jūras gultnes un jūras dzīvotņu atjaunošana un aizsardzība</w:t>
            </w:r>
          </w:p>
        </w:tc>
        <w:tc>
          <w:tcPr>
            <w:tcW w:w="1264" w:type="dxa"/>
            <w:shd w:val="clear" w:color="auto" w:fill="C6EFCE"/>
            <w:noWrap/>
            <w:vAlign w:val="center"/>
            <w:hideMark/>
          </w:tcPr>
          <w:p w14:paraId="6C5D98BC" w14:textId="77777777" w:rsidR="00327FF1" w:rsidRDefault="00E406C7">
            <w:pPr>
              <w:pStyle w:val="P68B1DB1-Normal11"/>
              <w:spacing w:line="276" w:lineRule="auto"/>
              <w:jc w:val="center"/>
              <w:rPr>
                <w:noProof/>
                <w:szCs w:val="20"/>
              </w:rPr>
            </w:pPr>
            <w:r>
              <w:rPr>
                <w:noProof/>
              </w:rPr>
              <w:t>NEPIEMĒRO</w:t>
            </w:r>
          </w:p>
        </w:tc>
        <w:tc>
          <w:tcPr>
            <w:tcW w:w="1055" w:type="dxa"/>
            <w:shd w:val="clear" w:color="auto" w:fill="C6EFCE"/>
            <w:noWrap/>
            <w:vAlign w:val="center"/>
            <w:hideMark/>
          </w:tcPr>
          <w:p w14:paraId="5DB95330" w14:textId="77777777" w:rsidR="00327FF1" w:rsidRDefault="00E406C7">
            <w:pPr>
              <w:pStyle w:val="P68B1DB1-Normal11"/>
              <w:spacing w:line="276" w:lineRule="auto"/>
              <w:jc w:val="center"/>
              <w:rPr>
                <w:noProof/>
                <w:szCs w:val="20"/>
              </w:rPr>
            </w:pPr>
            <w:r>
              <w:rPr>
                <w:noProof/>
              </w:rPr>
              <w:t>Skaits</w:t>
            </w:r>
          </w:p>
        </w:tc>
        <w:tc>
          <w:tcPr>
            <w:tcW w:w="946" w:type="dxa"/>
            <w:shd w:val="clear" w:color="auto" w:fill="C6EFCE"/>
            <w:noWrap/>
            <w:vAlign w:val="center"/>
            <w:hideMark/>
          </w:tcPr>
          <w:p w14:paraId="29B9520C" w14:textId="77777777" w:rsidR="00327FF1" w:rsidRDefault="00E406C7">
            <w:pPr>
              <w:pStyle w:val="P68B1DB1-Normal11"/>
              <w:spacing w:line="276" w:lineRule="auto"/>
              <w:jc w:val="center"/>
              <w:rPr>
                <w:noProof/>
                <w:szCs w:val="20"/>
              </w:rPr>
            </w:pPr>
            <w:r>
              <w:rPr>
                <w:noProof/>
              </w:rPr>
              <w:t>0</w:t>
            </w:r>
          </w:p>
        </w:tc>
        <w:tc>
          <w:tcPr>
            <w:tcW w:w="1000" w:type="dxa"/>
            <w:shd w:val="clear" w:color="auto" w:fill="C6EFCE"/>
            <w:noWrap/>
            <w:vAlign w:val="center"/>
            <w:hideMark/>
          </w:tcPr>
          <w:p w14:paraId="458D68A1" w14:textId="020C0BD6" w:rsidR="00327FF1" w:rsidRDefault="00E406C7">
            <w:pPr>
              <w:pStyle w:val="P68B1DB1-Normal11"/>
              <w:spacing w:line="276" w:lineRule="auto"/>
              <w:jc w:val="center"/>
              <w:rPr>
                <w:noProof/>
                <w:szCs w:val="20"/>
              </w:rPr>
            </w:pPr>
            <w:r>
              <w:rPr>
                <w:noProof/>
              </w:rPr>
              <w:t>10</w:t>
            </w:r>
          </w:p>
        </w:tc>
        <w:tc>
          <w:tcPr>
            <w:tcW w:w="809" w:type="dxa"/>
            <w:shd w:val="clear" w:color="auto" w:fill="C6EFCE"/>
            <w:noWrap/>
            <w:vAlign w:val="center"/>
            <w:hideMark/>
          </w:tcPr>
          <w:p w14:paraId="5CF3D342" w14:textId="77777777" w:rsidR="00327FF1" w:rsidRDefault="00E406C7">
            <w:pPr>
              <w:pStyle w:val="P68B1DB1-Normal11"/>
              <w:spacing w:line="276" w:lineRule="auto"/>
              <w:jc w:val="center"/>
              <w:rPr>
                <w:noProof/>
                <w:szCs w:val="20"/>
              </w:rPr>
            </w:pPr>
            <w:r>
              <w:rPr>
                <w:noProof/>
              </w:rPr>
              <w:t>2. CET.</w:t>
            </w:r>
          </w:p>
        </w:tc>
        <w:tc>
          <w:tcPr>
            <w:tcW w:w="770" w:type="dxa"/>
            <w:shd w:val="clear" w:color="auto" w:fill="C6EFCE"/>
            <w:noWrap/>
            <w:vAlign w:val="center"/>
            <w:hideMark/>
          </w:tcPr>
          <w:p w14:paraId="10FC84F7" w14:textId="77777777" w:rsidR="00327FF1" w:rsidRDefault="00E406C7">
            <w:pPr>
              <w:pStyle w:val="P68B1DB1-Normal11"/>
              <w:spacing w:line="276" w:lineRule="auto"/>
              <w:jc w:val="center"/>
              <w:rPr>
                <w:noProof/>
                <w:szCs w:val="20"/>
              </w:rPr>
            </w:pPr>
            <w:r>
              <w:rPr>
                <w:noProof/>
              </w:rPr>
              <w:t>2025</w:t>
            </w:r>
          </w:p>
        </w:tc>
        <w:tc>
          <w:tcPr>
            <w:tcW w:w="3544" w:type="dxa"/>
            <w:shd w:val="clear" w:color="auto" w:fill="C6EFCE"/>
            <w:noWrap/>
            <w:vAlign w:val="center"/>
            <w:hideMark/>
          </w:tcPr>
          <w:p w14:paraId="55AA2B60" w14:textId="77777777" w:rsidR="00327FF1" w:rsidRDefault="00E406C7">
            <w:pPr>
              <w:pStyle w:val="P68B1DB1-Normal12"/>
              <w:spacing w:line="276" w:lineRule="auto"/>
              <w:rPr>
                <w:noProof/>
              </w:rPr>
            </w:pPr>
            <w:r>
              <w:rPr>
                <w:noProof/>
              </w:rPr>
              <w:t xml:space="preserve">Ir veiktas šādas 10 darbības: </w:t>
            </w:r>
          </w:p>
          <w:p w14:paraId="7C4EF0D7" w14:textId="78143F30" w:rsidR="00327FF1" w:rsidRDefault="00E406C7">
            <w:pPr>
              <w:pStyle w:val="P68B1DB1-Normal12"/>
              <w:numPr>
                <w:ilvl w:val="0"/>
                <w:numId w:val="174"/>
              </w:numPr>
              <w:spacing w:line="276" w:lineRule="auto"/>
              <w:rPr>
                <w:noProof/>
              </w:rPr>
            </w:pPr>
            <w:r>
              <w:rPr>
                <w:noProof/>
              </w:rPr>
              <w:t>Austeru atjaunošanas vietas ir izvietotas vismaz vienā vietā katrā no šādiem reģioniem:  Friuli-Venēcija Džūlija un Emīlija Romanja;</w:t>
            </w:r>
          </w:p>
          <w:p w14:paraId="7B7A68AE" w14:textId="7368140D" w:rsidR="00327FF1" w:rsidRDefault="00E406C7">
            <w:pPr>
              <w:pStyle w:val="P68B1DB1-Normal12"/>
              <w:numPr>
                <w:ilvl w:val="0"/>
                <w:numId w:val="174"/>
              </w:numPr>
              <w:spacing w:line="276" w:lineRule="auto"/>
              <w:rPr>
                <w:noProof/>
              </w:rPr>
            </w:pPr>
            <w:r>
              <w:rPr>
                <w:noProof/>
              </w:rPr>
              <w:t xml:space="preserve">Jūras gultne un jūras veģetācija ir iestādīta vismaz vienā vietā katrā no šādiem reģioniem:   Lacio, Kampānijā, Kalabrijā, </w:t>
            </w:r>
            <w:r>
              <w:rPr>
                <w:noProof/>
              </w:rPr>
              <w:t>Sicīlijā;</w:t>
            </w:r>
          </w:p>
          <w:p w14:paraId="220ECFBA" w14:textId="77777777" w:rsidR="00327FF1" w:rsidRDefault="00E406C7">
            <w:pPr>
              <w:pStyle w:val="P68B1DB1-Normal12"/>
              <w:numPr>
                <w:ilvl w:val="0"/>
                <w:numId w:val="174"/>
              </w:numPr>
              <w:spacing w:line="276" w:lineRule="auto"/>
              <w:rPr>
                <w:noProof/>
              </w:rPr>
            </w:pPr>
            <w:r>
              <w:rPr>
                <w:noProof/>
              </w:rPr>
              <w:t>Vidusjūras rietumu, centrālās un dienvidu daļas teritorijās ir ierīkoti ar bojām aprīkoti pietauvošanās lauki;</w:t>
            </w:r>
          </w:p>
          <w:p w14:paraId="2D43D76E" w14:textId="3C943F42" w:rsidR="00327FF1" w:rsidRDefault="00E406C7">
            <w:pPr>
              <w:pStyle w:val="P68B1DB1-Normal12"/>
              <w:numPr>
                <w:ilvl w:val="0"/>
                <w:numId w:val="174"/>
              </w:numPr>
              <w:spacing w:line="276" w:lineRule="auto"/>
              <w:rPr>
                <w:noProof/>
              </w:rPr>
            </w:pPr>
            <w:r>
              <w:rPr>
                <w:noProof/>
              </w:rPr>
              <w:t>Grostas tīkli ir aizvākti kopumā vismaz 15 vietās, kas atrodas Sicīlijā, Kampānijā, Lacio, Apūlijā, Markē un Emīlijā Romanjā;</w:t>
            </w:r>
          </w:p>
          <w:p w14:paraId="1EAC6E08" w14:textId="54CFFFEC" w:rsidR="00327FF1" w:rsidRDefault="00E406C7">
            <w:pPr>
              <w:pStyle w:val="P68B1DB1-Normal12"/>
              <w:numPr>
                <w:ilvl w:val="0"/>
                <w:numId w:val="174"/>
              </w:numPr>
              <w:spacing w:line="276" w:lineRule="auto"/>
              <w:rPr>
                <w:noProof/>
              </w:rPr>
            </w:pPr>
            <w:r>
              <w:rPr>
                <w:noProof/>
              </w:rPr>
              <w:t>Piekraste</w:t>
            </w:r>
            <w:r>
              <w:rPr>
                <w:noProof/>
              </w:rPr>
              <w:t>s radiālās stacijas ir uzturētas vai uzstādītas vai aprīkotas ar izstrādes programmatūru vismaz 9 vietās, un ir iegādāta mobilā okeanogrāfijas pētniecības nodaļa;</w:t>
            </w:r>
          </w:p>
          <w:p w14:paraId="5805DEEE" w14:textId="602D454C" w:rsidR="00327FF1" w:rsidRDefault="00E406C7">
            <w:pPr>
              <w:pStyle w:val="P68B1DB1-Normal12"/>
              <w:numPr>
                <w:ilvl w:val="0"/>
                <w:numId w:val="174"/>
              </w:numPr>
              <w:spacing w:line="276" w:lineRule="auto"/>
              <w:rPr>
                <w:noProof/>
              </w:rPr>
            </w:pPr>
            <w:r>
              <w:rPr>
                <w:noProof/>
              </w:rPr>
              <w:t>Ir palaistas vismaz 12 viļņu mērīšanas bojas;</w:t>
            </w:r>
          </w:p>
          <w:p w14:paraId="5AC6A412" w14:textId="77777777" w:rsidR="00327FF1" w:rsidRDefault="00E406C7">
            <w:pPr>
              <w:pStyle w:val="P68B1DB1-ListParagraph13"/>
              <w:numPr>
                <w:ilvl w:val="0"/>
                <w:numId w:val="174"/>
              </w:numPr>
              <w:rPr>
                <w:noProof/>
              </w:rPr>
            </w:pPr>
            <w:r>
              <w:rPr>
                <w:noProof/>
              </w:rPr>
              <w:t>Vismaz 25 tīkla stacijās ir veikta jaunu sensor</w:t>
            </w:r>
            <w:r>
              <w:rPr>
                <w:noProof/>
              </w:rPr>
              <w:t>u apkope vai uzstādīšana;</w:t>
            </w:r>
          </w:p>
          <w:p w14:paraId="7FB9AE5A" w14:textId="15908631" w:rsidR="00327FF1" w:rsidRDefault="00E406C7">
            <w:pPr>
              <w:pStyle w:val="P68B1DB1-ListParagraph13"/>
              <w:numPr>
                <w:ilvl w:val="0"/>
                <w:numId w:val="174"/>
              </w:numPr>
              <w:rPr>
                <w:noProof/>
              </w:rPr>
            </w:pPr>
            <w:r>
              <w:rPr>
                <w:noProof/>
              </w:rPr>
              <w:t>Vismaz 3 jaunu jūras meteoroloģisko staciju ierīkošana un vismaz 25 jūras laika staciju uzturēšana Venēcijas lagūnas apgabalā;</w:t>
            </w:r>
          </w:p>
          <w:p w14:paraId="4F5FC07C" w14:textId="77777777" w:rsidR="00327FF1" w:rsidRDefault="00E406C7">
            <w:pPr>
              <w:pStyle w:val="P68B1DB1-Normal12"/>
              <w:numPr>
                <w:ilvl w:val="0"/>
                <w:numId w:val="174"/>
              </w:numPr>
              <w:spacing w:line="276" w:lineRule="auto"/>
              <w:rPr>
                <w:noProof/>
              </w:rPr>
            </w:pPr>
            <w:r>
              <w:rPr>
                <w:noProof/>
              </w:rPr>
              <w:t>Ir ierīkotas vismaz 10 stacionāras stacijas nepārtrauktam ķīmisko, fizikālo un trofisko parametru monit</w:t>
            </w:r>
            <w:r>
              <w:rPr>
                <w:noProof/>
              </w:rPr>
              <w:t>oringam lagūnās;</w:t>
            </w:r>
          </w:p>
          <w:p w14:paraId="27682320" w14:textId="05B89749" w:rsidR="00327FF1" w:rsidRDefault="00E406C7">
            <w:pPr>
              <w:pStyle w:val="P68B1DB1-Normal12"/>
              <w:numPr>
                <w:ilvl w:val="0"/>
                <w:numId w:val="174"/>
              </w:numPr>
              <w:spacing w:line="276" w:lineRule="auto"/>
              <w:rPr>
                <w:noProof/>
              </w:rPr>
            </w:pPr>
            <w:r>
              <w:rPr>
                <w:noProof/>
              </w:rPr>
              <w:t xml:space="preserve">Datus ir radījušas vismaz piecas novērošanas programmatūras sistēmas jūras un piekrastes dzīvotņu monitoringam. </w:t>
            </w:r>
          </w:p>
          <w:p w14:paraId="4285A01E" w14:textId="0C0ABF11" w:rsidR="00327FF1" w:rsidRDefault="00E406C7">
            <w:pPr>
              <w:pStyle w:val="P68B1DB1-Normal12"/>
              <w:spacing w:line="276" w:lineRule="auto"/>
              <w:rPr>
                <w:noProof/>
              </w:rPr>
            </w:pPr>
            <w:r>
              <w:rPr>
                <w:noProof/>
              </w:rPr>
              <w:t>Visos kuģu vai kuģu iepirkumos izmanto labāko pieejamo tehnoloģiju ar vismazāko ietekmi uz vidi nozarē.</w:t>
            </w:r>
          </w:p>
        </w:tc>
      </w:tr>
      <w:tr w:rsidR="00327FF1" w14:paraId="1B5A200B" w14:textId="77777777">
        <w:trPr>
          <w:trHeight w:val="300"/>
        </w:trPr>
        <w:tc>
          <w:tcPr>
            <w:tcW w:w="1134" w:type="dxa"/>
            <w:shd w:val="clear" w:color="auto" w:fill="C6EFCE"/>
            <w:noWrap/>
            <w:vAlign w:val="center"/>
            <w:hideMark/>
          </w:tcPr>
          <w:p w14:paraId="4503E2AB" w14:textId="77777777" w:rsidR="00327FF1" w:rsidRDefault="00E406C7">
            <w:pPr>
              <w:pStyle w:val="P68B1DB1-Normal11"/>
              <w:spacing w:line="276" w:lineRule="auto"/>
              <w:jc w:val="center"/>
              <w:rPr>
                <w:noProof/>
                <w:szCs w:val="20"/>
              </w:rPr>
            </w:pPr>
            <w:r>
              <w:rPr>
                <w:noProof/>
              </w:rPr>
              <w:t>M2C4–27</w:t>
            </w:r>
          </w:p>
        </w:tc>
        <w:tc>
          <w:tcPr>
            <w:tcW w:w="1736" w:type="dxa"/>
            <w:shd w:val="clear" w:color="auto" w:fill="C6EFCE"/>
            <w:noWrap/>
            <w:vAlign w:val="center"/>
            <w:hideMark/>
          </w:tcPr>
          <w:p w14:paraId="411B9DA0" w14:textId="77777777" w:rsidR="00327FF1" w:rsidRDefault="00E406C7">
            <w:pPr>
              <w:pStyle w:val="P68B1DB1-Normal11"/>
              <w:spacing w:line="276" w:lineRule="auto"/>
              <w:jc w:val="center"/>
              <w:rPr>
                <w:noProof/>
                <w:szCs w:val="20"/>
              </w:rPr>
            </w:pPr>
            <w:r>
              <w:rPr>
                <w:noProof/>
              </w:rPr>
              <w:t>Reforma</w:t>
            </w:r>
            <w:r>
              <w:rPr>
                <w:noProof/>
              </w:rPr>
              <w:t xml:space="preserve"> Nr. 4.1. Tiesību aktu vienkāršošana un pārvaldības stiprināšana ieguldījumu īstenošanai ūdensapgādes infrastruktūrās</w:t>
            </w:r>
          </w:p>
        </w:tc>
        <w:tc>
          <w:tcPr>
            <w:tcW w:w="1261" w:type="dxa"/>
            <w:shd w:val="clear" w:color="auto" w:fill="C6EFCE"/>
            <w:noWrap/>
            <w:vAlign w:val="center"/>
            <w:hideMark/>
          </w:tcPr>
          <w:p w14:paraId="5B7AE55B" w14:textId="77777777" w:rsidR="00327FF1" w:rsidRDefault="00E406C7">
            <w:pPr>
              <w:pStyle w:val="P68B1DB1-Normal11"/>
              <w:spacing w:line="276" w:lineRule="auto"/>
              <w:jc w:val="center"/>
              <w:rPr>
                <w:noProof/>
                <w:szCs w:val="20"/>
              </w:rPr>
            </w:pPr>
            <w:r>
              <w:rPr>
                <w:noProof/>
              </w:rPr>
              <w:t>Atskaites punkts</w:t>
            </w:r>
          </w:p>
        </w:tc>
        <w:tc>
          <w:tcPr>
            <w:tcW w:w="1365" w:type="dxa"/>
            <w:shd w:val="clear" w:color="auto" w:fill="C6EFCE"/>
            <w:noWrap/>
            <w:vAlign w:val="center"/>
            <w:hideMark/>
          </w:tcPr>
          <w:p w14:paraId="14BDB2EC" w14:textId="77777777" w:rsidR="00327FF1" w:rsidRDefault="00E406C7">
            <w:pPr>
              <w:pStyle w:val="P68B1DB1-Normal11"/>
              <w:spacing w:line="276" w:lineRule="auto"/>
              <w:jc w:val="center"/>
              <w:rPr>
                <w:noProof/>
                <w:szCs w:val="20"/>
              </w:rPr>
            </w:pPr>
            <w:r>
              <w:rPr>
                <w:noProof/>
              </w:rPr>
              <w:t xml:space="preserve">Tiesību aktu vienkāršošanas stāšanās spēkā attiecībā uz intervencēm primārās ūdensapgādes infrastruktūrā ūdensapgādes </w:t>
            </w:r>
            <w:r>
              <w:rPr>
                <w:noProof/>
              </w:rPr>
              <w:t>drošībai</w:t>
            </w:r>
          </w:p>
        </w:tc>
        <w:tc>
          <w:tcPr>
            <w:tcW w:w="1264" w:type="dxa"/>
            <w:shd w:val="clear" w:color="auto" w:fill="C6EFCE"/>
            <w:noWrap/>
            <w:vAlign w:val="center"/>
            <w:hideMark/>
          </w:tcPr>
          <w:p w14:paraId="4C85B990" w14:textId="166E7E80" w:rsidR="00327FF1" w:rsidRDefault="00E406C7">
            <w:pPr>
              <w:pStyle w:val="P68B1DB1-Normal11"/>
              <w:spacing w:line="276" w:lineRule="auto"/>
              <w:jc w:val="center"/>
              <w:rPr>
                <w:noProof/>
                <w:szCs w:val="20"/>
              </w:rPr>
            </w:pPr>
            <w:r>
              <w:rPr>
                <w:noProof/>
              </w:rPr>
              <w:t>Attiecīgā(-o) tiesību akta(-u) noteikums(-i), kas norāda stāšanos spēkā</w:t>
            </w:r>
          </w:p>
        </w:tc>
        <w:tc>
          <w:tcPr>
            <w:tcW w:w="1055" w:type="dxa"/>
            <w:shd w:val="clear" w:color="auto" w:fill="C6EFCE"/>
            <w:noWrap/>
            <w:vAlign w:val="center"/>
            <w:hideMark/>
          </w:tcPr>
          <w:p w14:paraId="412C9B22" w14:textId="77777777" w:rsidR="00327FF1" w:rsidRDefault="00E406C7">
            <w:pPr>
              <w:pStyle w:val="P68B1DB1-Normal11"/>
              <w:spacing w:line="276" w:lineRule="auto"/>
              <w:jc w:val="center"/>
              <w:rPr>
                <w:noProof/>
                <w:szCs w:val="20"/>
              </w:rPr>
            </w:pPr>
            <w:r>
              <w:rPr>
                <w:noProof/>
              </w:rPr>
              <w:t>NEPIEMĒRO</w:t>
            </w:r>
          </w:p>
        </w:tc>
        <w:tc>
          <w:tcPr>
            <w:tcW w:w="946" w:type="dxa"/>
            <w:shd w:val="clear" w:color="auto" w:fill="C6EFCE"/>
            <w:noWrap/>
            <w:vAlign w:val="center"/>
            <w:hideMark/>
          </w:tcPr>
          <w:p w14:paraId="67484EAD" w14:textId="77777777" w:rsidR="00327FF1" w:rsidRDefault="00E406C7">
            <w:pPr>
              <w:pStyle w:val="P68B1DB1-Normal11"/>
              <w:spacing w:line="276" w:lineRule="auto"/>
              <w:jc w:val="center"/>
              <w:rPr>
                <w:noProof/>
                <w:szCs w:val="20"/>
              </w:rPr>
            </w:pPr>
            <w:r>
              <w:rPr>
                <w:noProof/>
              </w:rPr>
              <w:t>NEPIEMĒRO</w:t>
            </w:r>
          </w:p>
        </w:tc>
        <w:tc>
          <w:tcPr>
            <w:tcW w:w="1000" w:type="dxa"/>
            <w:shd w:val="clear" w:color="auto" w:fill="C6EFCE"/>
            <w:noWrap/>
            <w:vAlign w:val="center"/>
            <w:hideMark/>
          </w:tcPr>
          <w:p w14:paraId="5BFF2F31" w14:textId="77777777" w:rsidR="00327FF1" w:rsidRDefault="00E406C7">
            <w:pPr>
              <w:pStyle w:val="P68B1DB1-Normal11"/>
              <w:spacing w:line="276" w:lineRule="auto"/>
              <w:jc w:val="center"/>
              <w:rPr>
                <w:noProof/>
                <w:szCs w:val="20"/>
              </w:rPr>
            </w:pPr>
            <w:r>
              <w:rPr>
                <w:noProof/>
              </w:rPr>
              <w:t>NEPIEMĒRO</w:t>
            </w:r>
          </w:p>
        </w:tc>
        <w:tc>
          <w:tcPr>
            <w:tcW w:w="809" w:type="dxa"/>
            <w:shd w:val="clear" w:color="auto" w:fill="C6EFCE"/>
            <w:noWrap/>
            <w:vAlign w:val="center"/>
            <w:hideMark/>
          </w:tcPr>
          <w:p w14:paraId="67C25DAA" w14:textId="77777777" w:rsidR="00327FF1" w:rsidRDefault="00E406C7">
            <w:pPr>
              <w:pStyle w:val="P68B1DB1-Normal11"/>
              <w:spacing w:line="276" w:lineRule="auto"/>
              <w:jc w:val="center"/>
              <w:rPr>
                <w:noProof/>
                <w:szCs w:val="20"/>
              </w:rPr>
            </w:pPr>
            <w:r>
              <w:rPr>
                <w:noProof/>
              </w:rPr>
              <w:t>Q1</w:t>
            </w:r>
          </w:p>
        </w:tc>
        <w:tc>
          <w:tcPr>
            <w:tcW w:w="770" w:type="dxa"/>
            <w:shd w:val="clear" w:color="auto" w:fill="C6EFCE"/>
            <w:noWrap/>
            <w:vAlign w:val="center"/>
            <w:hideMark/>
          </w:tcPr>
          <w:p w14:paraId="26902E0F" w14:textId="77777777" w:rsidR="00327FF1" w:rsidRDefault="00E406C7">
            <w:pPr>
              <w:pStyle w:val="P68B1DB1-Normal11"/>
              <w:spacing w:line="276" w:lineRule="auto"/>
              <w:jc w:val="center"/>
              <w:rPr>
                <w:noProof/>
                <w:szCs w:val="20"/>
              </w:rPr>
            </w:pPr>
            <w:r>
              <w:rPr>
                <w:noProof/>
              </w:rPr>
              <w:t>2022</w:t>
            </w:r>
          </w:p>
        </w:tc>
        <w:tc>
          <w:tcPr>
            <w:tcW w:w="3544" w:type="dxa"/>
            <w:shd w:val="clear" w:color="auto" w:fill="C6EFCE"/>
            <w:noWrap/>
            <w:vAlign w:val="center"/>
            <w:hideMark/>
          </w:tcPr>
          <w:p w14:paraId="0443AD20" w14:textId="77777777" w:rsidR="00327FF1" w:rsidRDefault="00E406C7">
            <w:pPr>
              <w:pStyle w:val="P68B1DB1-Normal11"/>
              <w:spacing w:line="276" w:lineRule="auto"/>
              <w:rPr>
                <w:noProof/>
                <w:szCs w:val="20"/>
              </w:rPr>
            </w:pPr>
            <w:r>
              <w:rPr>
                <w:noProof/>
              </w:rPr>
              <w:t>Pārskatītie tiesību akti stiprina pārvaldību un vienkāršo ieguldījumu īstenošanu ūdensapgādes infrastruktūrā. Jaunajam tiesiskajam regulē</w:t>
            </w:r>
            <w:r>
              <w:rPr>
                <w:noProof/>
              </w:rPr>
              <w:t>jumam vajadzētu būt vismaz,</w:t>
            </w:r>
          </w:p>
          <w:p w14:paraId="33555687" w14:textId="77777777" w:rsidR="00327FF1" w:rsidRDefault="00E406C7">
            <w:pPr>
              <w:pStyle w:val="P68B1DB1-ListParagraph15"/>
              <w:spacing w:after="0" w:line="276" w:lineRule="auto"/>
              <w:ind w:left="0"/>
              <w:rPr>
                <w:noProof/>
                <w:szCs w:val="20"/>
              </w:rPr>
            </w:pPr>
            <w:r>
              <w:rPr>
                <w:noProof/>
              </w:rPr>
              <w:t>Valsts plānu intervencei ūdensapgādes nozarē padarīt par galveno finansēšanas instrumentu ieguldījumiem ūdensapgādes nozarē.</w:t>
            </w:r>
          </w:p>
          <w:p w14:paraId="6BE551D5" w14:textId="77777777" w:rsidR="00327FF1" w:rsidRDefault="00E406C7">
            <w:pPr>
              <w:pStyle w:val="P68B1DB1-ListParagraph15"/>
              <w:spacing w:after="0" w:line="276" w:lineRule="auto"/>
              <w:ind w:left="0"/>
              <w:rPr>
                <w:noProof/>
                <w:szCs w:val="20"/>
              </w:rPr>
            </w:pPr>
            <w:r>
              <w:rPr>
                <w:noProof/>
              </w:rPr>
              <w:t>Lūgt atzinumu un aktīvi iesaistīt regulatoru (Autorità di Regolazione per Energia Reti e Ambiente) viso</w:t>
            </w:r>
            <w:r>
              <w:rPr>
                <w:noProof/>
              </w:rPr>
              <w:t>s plāna grozījumos vai atjauninājumos.</w:t>
            </w:r>
          </w:p>
          <w:p w14:paraId="57813B95" w14:textId="77777777" w:rsidR="00327FF1" w:rsidRDefault="00E406C7">
            <w:pPr>
              <w:pStyle w:val="P68B1DB1-ListParagraph15"/>
              <w:spacing w:after="0" w:line="276" w:lineRule="auto"/>
              <w:ind w:left="0"/>
              <w:rPr>
                <w:noProof/>
                <w:szCs w:val="20"/>
              </w:rPr>
            </w:pPr>
            <w:r>
              <w:rPr>
                <w:noProof/>
              </w:rPr>
              <w:t>— Sniegt atbalstu un papildu pasākumus īstenošanas struktūrām, kas nespēj veikt ieguldījumus saistībā ar primāro iepirkumu paredzētajā termiņā.</w:t>
            </w:r>
          </w:p>
          <w:p w14:paraId="5482072D" w14:textId="77777777" w:rsidR="00327FF1" w:rsidRDefault="00E406C7">
            <w:pPr>
              <w:pStyle w:val="P68B1DB1-ListParagraph15"/>
              <w:spacing w:after="0" w:line="276" w:lineRule="auto"/>
              <w:ind w:left="0"/>
              <w:rPr>
                <w:noProof/>
                <w:szCs w:val="20"/>
              </w:rPr>
            </w:pPr>
            <w:r>
              <w:rPr>
                <w:noProof/>
              </w:rPr>
              <w:t>Vienkāršot procedūras ziņošanai par ūdensapgādes nozarē finansētajiem ieg</w:t>
            </w:r>
            <w:r>
              <w:rPr>
                <w:noProof/>
              </w:rPr>
              <w:t>uldījumiem un to uzraudzībai.</w:t>
            </w:r>
          </w:p>
        </w:tc>
      </w:tr>
      <w:tr w:rsidR="00327FF1" w14:paraId="18653604" w14:textId="77777777">
        <w:trPr>
          <w:trHeight w:val="300"/>
        </w:trPr>
        <w:tc>
          <w:tcPr>
            <w:tcW w:w="1134" w:type="dxa"/>
            <w:shd w:val="clear" w:color="auto" w:fill="C6EFCE"/>
            <w:noWrap/>
            <w:vAlign w:val="center"/>
            <w:hideMark/>
          </w:tcPr>
          <w:p w14:paraId="6B8BFF8A" w14:textId="77777777" w:rsidR="00327FF1" w:rsidRDefault="00E406C7">
            <w:pPr>
              <w:pStyle w:val="P68B1DB1-Normal11"/>
              <w:spacing w:line="276" w:lineRule="auto"/>
              <w:jc w:val="center"/>
              <w:rPr>
                <w:noProof/>
                <w:szCs w:val="20"/>
              </w:rPr>
            </w:pPr>
            <w:r>
              <w:rPr>
                <w:noProof/>
              </w:rPr>
              <w:t>M2C4–28</w:t>
            </w:r>
          </w:p>
        </w:tc>
        <w:tc>
          <w:tcPr>
            <w:tcW w:w="1736" w:type="dxa"/>
            <w:shd w:val="clear" w:color="auto" w:fill="C6EFCE"/>
            <w:noWrap/>
            <w:vAlign w:val="center"/>
            <w:hideMark/>
          </w:tcPr>
          <w:p w14:paraId="74D73E27" w14:textId="77777777" w:rsidR="00327FF1" w:rsidRDefault="00E406C7">
            <w:pPr>
              <w:pStyle w:val="P68B1DB1-Normal11"/>
              <w:spacing w:line="276" w:lineRule="auto"/>
              <w:jc w:val="center"/>
              <w:rPr>
                <w:noProof/>
                <w:szCs w:val="20"/>
              </w:rPr>
            </w:pPr>
            <w:r>
              <w:rPr>
                <w:noProof/>
              </w:rPr>
              <w:t>Ieguldījums 4.1. Investīcijas primārajā ūdensapgādes infrastruktūrā ūdensapgādes drošībai</w:t>
            </w:r>
          </w:p>
        </w:tc>
        <w:tc>
          <w:tcPr>
            <w:tcW w:w="1261" w:type="dxa"/>
            <w:shd w:val="clear" w:color="auto" w:fill="C6EFCE"/>
            <w:noWrap/>
            <w:vAlign w:val="center"/>
            <w:hideMark/>
          </w:tcPr>
          <w:p w14:paraId="0078431A" w14:textId="77777777" w:rsidR="00327FF1" w:rsidRDefault="00E406C7">
            <w:pPr>
              <w:pStyle w:val="P68B1DB1-Normal11"/>
              <w:spacing w:line="276" w:lineRule="auto"/>
              <w:jc w:val="center"/>
              <w:rPr>
                <w:noProof/>
                <w:szCs w:val="20"/>
              </w:rPr>
            </w:pPr>
            <w:r>
              <w:rPr>
                <w:noProof/>
              </w:rPr>
              <w:t>Atskaites punkts</w:t>
            </w:r>
          </w:p>
        </w:tc>
        <w:tc>
          <w:tcPr>
            <w:tcW w:w="1365" w:type="dxa"/>
            <w:shd w:val="clear" w:color="auto" w:fill="C6EFCE"/>
            <w:noWrap/>
            <w:vAlign w:val="center"/>
            <w:hideMark/>
          </w:tcPr>
          <w:p w14:paraId="20B2E356" w14:textId="77777777" w:rsidR="00327FF1" w:rsidRDefault="00E406C7">
            <w:pPr>
              <w:pStyle w:val="P68B1DB1-Normal11"/>
              <w:spacing w:line="276" w:lineRule="auto"/>
              <w:jc w:val="center"/>
              <w:rPr>
                <w:noProof/>
                <w:szCs w:val="20"/>
              </w:rPr>
            </w:pPr>
            <w:r>
              <w:rPr>
                <w:noProof/>
              </w:rPr>
              <w:t>Finansējuma piešķiršana visiem projektiem ieguldījumiem primārajā ūdens infrastruktūrā un ūdensapgādes drošībā</w:t>
            </w:r>
          </w:p>
        </w:tc>
        <w:tc>
          <w:tcPr>
            <w:tcW w:w="1264" w:type="dxa"/>
            <w:shd w:val="clear" w:color="auto" w:fill="C6EFCE"/>
            <w:noWrap/>
            <w:vAlign w:val="center"/>
            <w:hideMark/>
          </w:tcPr>
          <w:p w14:paraId="09C81823" w14:textId="27F7AB46" w:rsidR="00327FF1" w:rsidRDefault="00E406C7">
            <w:pPr>
              <w:pStyle w:val="P68B1DB1-Normal11"/>
              <w:spacing w:line="276" w:lineRule="auto"/>
              <w:jc w:val="center"/>
              <w:rPr>
                <w:noProof/>
                <w:szCs w:val="20"/>
              </w:rPr>
            </w:pPr>
            <w:r>
              <w:rPr>
                <w:noProof/>
              </w:rPr>
              <w:t>Dekrēta(-u) publicēšana</w:t>
            </w:r>
          </w:p>
        </w:tc>
        <w:tc>
          <w:tcPr>
            <w:tcW w:w="1055" w:type="dxa"/>
            <w:shd w:val="clear" w:color="auto" w:fill="C6EFCE"/>
            <w:noWrap/>
            <w:vAlign w:val="center"/>
            <w:hideMark/>
          </w:tcPr>
          <w:p w14:paraId="5C52B70A" w14:textId="77777777" w:rsidR="00327FF1" w:rsidRDefault="00E406C7">
            <w:pPr>
              <w:pStyle w:val="P68B1DB1-Normal11"/>
              <w:spacing w:line="276" w:lineRule="auto"/>
              <w:jc w:val="center"/>
              <w:rPr>
                <w:noProof/>
                <w:szCs w:val="20"/>
              </w:rPr>
            </w:pPr>
            <w:r>
              <w:rPr>
                <w:noProof/>
              </w:rPr>
              <w:t>NEPIEMĒRO</w:t>
            </w:r>
          </w:p>
        </w:tc>
        <w:tc>
          <w:tcPr>
            <w:tcW w:w="946" w:type="dxa"/>
            <w:shd w:val="clear" w:color="auto" w:fill="C6EFCE"/>
            <w:noWrap/>
            <w:vAlign w:val="center"/>
            <w:hideMark/>
          </w:tcPr>
          <w:p w14:paraId="6C44E54A" w14:textId="77777777" w:rsidR="00327FF1" w:rsidRDefault="00E406C7">
            <w:pPr>
              <w:pStyle w:val="P68B1DB1-Normal11"/>
              <w:spacing w:line="276" w:lineRule="auto"/>
              <w:jc w:val="center"/>
              <w:rPr>
                <w:noProof/>
                <w:szCs w:val="20"/>
              </w:rPr>
            </w:pPr>
            <w:r>
              <w:rPr>
                <w:noProof/>
              </w:rPr>
              <w:t>NEPIEMĒRO</w:t>
            </w:r>
          </w:p>
        </w:tc>
        <w:tc>
          <w:tcPr>
            <w:tcW w:w="1000" w:type="dxa"/>
            <w:shd w:val="clear" w:color="auto" w:fill="C6EFCE"/>
            <w:noWrap/>
            <w:vAlign w:val="center"/>
            <w:hideMark/>
          </w:tcPr>
          <w:p w14:paraId="2A1D4A8F" w14:textId="77777777" w:rsidR="00327FF1" w:rsidRDefault="00E406C7">
            <w:pPr>
              <w:pStyle w:val="P68B1DB1-Normal11"/>
              <w:spacing w:line="276" w:lineRule="auto"/>
              <w:jc w:val="center"/>
              <w:rPr>
                <w:rFonts w:eastAsia="Arial Narrow" w:cs="Arial Narrow"/>
                <w:noProof/>
                <w:szCs w:val="20"/>
              </w:rPr>
            </w:pPr>
            <w:r>
              <w:rPr>
                <w:noProof/>
              </w:rPr>
              <w:t>NEPIEMĒRO</w:t>
            </w:r>
          </w:p>
        </w:tc>
        <w:tc>
          <w:tcPr>
            <w:tcW w:w="809" w:type="dxa"/>
            <w:shd w:val="clear" w:color="auto" w:fill="C6EFCE"/>
            <w:noWrap/>
            <w:vAlign w:val="center"/>
            <w:hideMark/>
          </w:tcPr>
          <w:p w14:paraId="40C22166" w14:textId="77777777" w:rsidR="00327FF1" w:rsidRDefault="00E406C7">
            <w:pPr>
              <w:pStyle w:val="P68B1DB1-Normal11"/>
              <w:spacing w:line="276" w:lineRule="auto"/>
              <w:jc w:val="center"/>
              <w:rPr>
                <w:noProof/>
                <w:szCs w:val="20"/>
              </w:rPr>
            </w:pPr>
            <w:r>
              <w:rPr>
                <w:noProof/>
              </w:rPr>
              <w:t>CET.</w:t>
            </w:r>
          </w:p>
        </w:tc>
        <w:tc>
          <w:tcPr>
            <w:tcW w:w="770" w:type="dxa"/>
            <w:shd w:val="clear" w:color="auto" w:fill="C6EFCE"/>
            <w:noWrap/>
            <w:vAlign w:val="center"/>
            <w:hideMark/>
          </w:tcPr>
          <w:p w14:paraId="72880A89" w14:textId="77777777" w:rsidR="00327FF1" w:rsidRDefault="00E406C7">
            <w:pPr>
              <w:pStyle w:val="P68B1DB1-Normal11"/>
              <w:spacing w:line="276" w:lineRule="auto"/>
              <w:jc w:val="center"/>
              <w:rPr>
                <w:noProof/>
                <w:szCs w:val="20"/>
              </w:rPr>
            </w:pPr>
            <w:r>
              <w:rPr>
                <w:noProof/>
              </w:rPr>
              <w:t>2023</w:t>
            </w:r>
          </w:p>
        </w:tc>
        <w:tc>
          <w:tcPr>
            <w:tcW w:w="3544" w:type="dxa"/>
            <w:shd w:val="clear" w:color="auto" w:fill="C6EFCE"/>
            <w:noWrap/>
            <w:vAlign w:val="center"/>
            <w:hideMark/>
          </w:tcPr>
          <w:p w14:paraId="68092AB8" w14:textId="77777777" w:rsidR="00327FF1" w:rsidRDefault="00E406C7">
            <w:pPr>
              <w:pStyle w:val="P68B1DB1-Normal11"/>
              <w:suppressAutoHyphens/>
              <w:spacing w:line="276" w:lineRule="auto"/>
              <w:rPr>
                <w:noProof/>
                <w:szCs w:val="20"/>
              </w:rPr>
            </w:pPr>
            <w:r>
              <w:rPr>
                <w:noProof/>
              </w:rPr>
              <w:t>Pieņemšanas dekrēta(-u) publicēšana, piešķirot (piešķirot) finansējumu projektiem, kas paredzēti ieguldījumiem primārajā ūdens infrastruktūrā un ūdensapgādes drošībā.</w:t>
            </w:r>
          </w:p>
          <w:p w14:paraId="42B8C5E9" w14:textId="77777777" w:rsidR="00327FF1" w:rsidRDefault="00E406C7">
            <w:pPr>
              <w:pStyle w:val="P68B1DB1-Normal11"/>
              <w:suppressAutoHyphens/>
              <w:spacing w:line="276" w:lineRule="auto"/>
              <w:rPr>
                <w:noProof/>
                <w:szCs w:val="20"/>
              </w:rPr>
            </w:pPr>
            <w:r>
              <w:rPr>
                <w:noProof/>
              </w:rPr>
              <w:t xml:space="preserve">Līgumu darbības joma ir </w:t>
            </w:r>
            <w:r>
              <w:rPr>
                <w:noProof/>
              </w:rPr>
              <w:t>šāda:</w:t>
            </w:r>
          </w:p>
          <w:p w14:paraId="458D5928" w14:textId="77777777" w:rsidR="00327FF1" w:rsidRDefault="00E406C7">
            <w:pPr>
              <w:pStyle w:val="P68B1DB1-ListParagraph15"/>
              <w:numPr>
                <w:ilvl w:val="0"/>
                <w:numId w:val="27"/>
              </w:numPr>
              <w:suppressAutoHyphens/>
              <w:spacing w:after="0" w:line="276" w:lineRule="auto"/>
              <w:ind w:left="305"/>
              <w:rPr>
                <w:noProof/>
                <w:szCs w:val="20"/>
              </w:rPr>
            </w:pPr>
            <w:r>
              <w:rPr>
                <w:noProof/>
              </w:rPr>
              <w:t>Svarīgu pilsētu teritoriju ūdensapgādes drošība;</w:t>
            </w:r>
          </w:p>
          <w:p w14:paraId="5AA22161" w14:textId="77777777" w:rsidR="00327FF1" w:rsidRDefault="00E406C7">
            <w:pPr>
              <w:pStyle w:val="P68B1DB1-ListParagraph15"/>
              <w:numPr>
                <w:ilvl w:val="0"/>
                <w:numId w:val="27"/>
              </w:numPr>
              <w:suppressAutoHyphens/>
              <w:spacing w:after="0" w:line="276" w:lineRule="auto"/>
              <w:ind w:left="305"/>
              <w:rPr>
                <w:noProof/>
                <w:szCs w:val="20"/>
              </w:rPr>
            </w:pPr>
            <w:r>
              <w:rPr>
                <w:noProof/>
              </w:rPr>
              <w:t>Strukturālie darbi, lai palielinātu tīkla drošību un noturību, tostarp pielāgošanos klimata pārmaiņām (izņemot dambjus);</w:t>
            </w:r>
          </w:p>
          <w:p w14:paraId="18E77BE1" w14:textId="77777777" w:rsidR="00327FF1" w:rsidRDefault="00E406C7">
            <w:pPr>
              <w:pStyle w:val="P68B1DB1-ListParagraph15"/>
              <w:numPr>
                <w:ilvl w:val="0"/>
                <w:numId w:val="27"/>
              </w:numPr>
              <w:spacing w:after="0" w:line="276" w:lineRule="auto"/>
              <w:ind w:left="305"/>
              <w:rPr>
                <w:noProof/>
                <w:szCs w:val="20"/>
              </w:rPr>
            </w:pPr>
            <w:r>
              <w:rPr>
                <w:noProof/>
              </w:rPr>
              <w:t>Ūdens transportēšanas jaudas palielināšana.</w:t>
            </w:r>
          </w:p>
          <w:p w14:paraId="038820F6" w14:textId="77777777" w:rsidR="00327FF1" w:rsidRDefault="00E406C7">
            <w:pPr>
              <w:pStyle w:val="P68B1DB1-Normal11"/>
              <w:spacing w:line="276" w:lineRule="auto"/>
              <w:ind w:left="-55"/>
              <w:rPr>
                <w:noProof/>
                <w:szCs w:val="20"/>
              </w:rPr>
            </w:pPr>
            <w:r>
              <w:rPr>
                <w:noProof/>
              </w:rPr>
              <w:t>Atlases kritēriji nodrošina, ka inve</w:t>
            </w:r>
            <w:r>
              <w:rPr>
                <w:noProof/>
              </w:rPr>
              <w:t>stīcijas pilnībā veicina klimata pārmaiņu mērķu sasniegšanu, piemērojot 40 % klimata koeficientu saskaņā ar Atveseļošanas un noturības mehānisma regulas (ES) 2021/241 VI pielikumu.</w:t>
            </w:r>
          </w:p>
        </w:tc>
      </w:tr>
      <w:tr w:rsidR="00327FF1" w14:paraId="0778EDE3" w14:textId="77777777">
        <w:trPr>
          <w:trHeight w:val="300"/>
        </w:trPr>
        <w:tc>
          <w:tcPr>
            <w:tcW w:w="1134" w:type="dxa"/>
            <w:shd w:val="clear" w:color="auto" w:fill="C6EFCE"/>
            <w:noWrap/>
            <w:vAlign w:val="center"/>
            <w:hideMark/>
          </w:tcPr>
          <w:p w14:paraId="7DD5F737" w14:textId="77777777" w:rsidR="00327FF1" w:rsidRDefault="00E406C7">
            <w:pPr>
              <w:pStyle w:val="P68B1DB1-Normal11"/>
              <w:spacing w:line="276" w:lineRule="auto"/>
              <w:jc w:val="center"/>
              <w:rPr>
                <w:noProof/>
                <w:szCs w:val="20"/>
              </w:rPr>
            </w:pPr>
            <w:r>
              <w:rPr>
                <w:noProof/>
              </w:rPr>
              <w:t>M2C4–29</w:t>
            </w:r>
          </w:p>
        </w:tc>
        <w:tc>
          <w:tcPr>
            <w:tcW w:w="1736" w:type="dxa"/>
            <w:shd w:val="clear" w:color="auto" w:fill="C6EFCE"/>
            <w:noWrap/>
            <w:vAlign w:val="center"/>
            <w:hideMark/>
          </w:tcPr>
          <w:p w14:paraId="1479E8ED" w14:textId="77777777" w:rsidR="00327FF1" w:rsidRDefault="00E406C7">
            <w:pPr>
              <w:pStyle w:val="P68B1DB1-Normal11"/>
              <w:spacing w:line="276" w:lineRule="auto"/>
              <w:jc w:val="center"/>
              <w:rPr>
                <w:noProof/>
                <w:szCs w:val="20"/>
              </w:rPr>
            </w:pPr>
            <w:r>
              <w:rPr>
                <w:noProof/>
              </w:rPr>
              <w:t xml:space="preserve">Ieguldījums 4.1. Investīcijas primārajā ūdensapgādes </w:t>
            </w:r>
            <w:r>
              <w:rPr>
                <w:noProof/>
              </w:rPr>
              <w:t>infrastruktūrā ūdensapgādes drošībai</w:t>
            </w:r>
          </w:p>
        </w:tc>
        <w:tc>
          <w:tcPr>
            <w:tcW w:w="1261" w:type="dxa"/>
            <w:shd w:val="clear" w:color="auto" w:fill="C6EFCE"/>
            <w:noWrap/>
            <w:vAlign w:val="center"/>
            <w:hideMark/>
          </w:tcPr>
          <w:p w14:paraId="23E98DF6" w14:textId="77777777" w:rsidR="00327FF1" w:rsidRDefault="00E406C7">
            <w:pPr>
              <w:pStyle w:val="P68B1DB1-Normal11"/>
              <w:spacing w:line="276" w:lineRule="auto"/>
              <w:jc w:val="center"/>
              <w:rPr>
                <w:noProof/>
                <w:szCs w:val="20"/>
              </w:rPr>
            </w:pPr>
            <w:r>
              <w:rPr>
                <w:noProof/>
              </w:rPr>
              <w:t>Mērķa</w:t>
            </w:r>
          </w:p>
        </w:tc>
        <w:tc>
          <w:tcPr>
            <w:tcW w:w="1365" w:type="dxa"/>
            <w:shd w:val="clear" w:color="auto" w:fill="C6EFCE"/>
            <w:noWrap/>
            <w:vAlign w:val="center"/>
            <w:hideMark/>
          </w:tcPr>
          <w:p w14:paraId="51F7E33E" w14:textId="63726DCD" w:rsidR="00327FF1" w:rsidRDefault="00E406C7">
            <w:pPr>
              <w:pStyle w:val="P68B1DB1-Normal11"/>
              <w:spacing w:line="276" w:lineRule="auto"/>
              <w:jc w:val="center"/>
              <w:rPr>
                <w:noProof/>
                <w:szCs w:val="20"/>
              </w:rPr>
            </w:pPr>
            <w:r>
              <w:rPr>
                <w:noProof/>
                <w:szCs w:val="20"/>
              </w:rPr>
              <w:t xml:space="preserve">Ūdens infrastruktūras darbu pabeigšana </w:t>
            </w:r>
            <w:r>
              <w:rPr>
                <w:noProof/>
              </w:rPr>
              <w:t xml:space="preserve"> </w:t>
            </w:r>
          </w:p>
        </w:tc>
        <w:tc>
          <w:tcPr>
            <w:tcW w:w="1264" w:type="dxa"/>
            <w:shd w:val="clear" w:color="auto" w:fill="C6EFCE"/>
            <w:noWrap/>
            <w:vAlign w:val="center"/>
            <w:hideMark/>
          </w:tcPr>
          <w:p w14:paraId="2DD5A94D" w14:textId="77777777" w:rsidR="00327FF1" w:rsidRDefault="00E406C7">
            <w:pPr>
              <w:pStyle w:val="P68B1DB1-Normal11"/>
              <w:spacing w:line="276" w:lineRule="auto"/>
              <w:jc w:val="center"/>
              <w:rPr>
                <w:noProof/>
                <w:szCs w:val="20"/>
              </w:rPr>
            </w:pPr>
            <w:r>
              <w:rPr>
                <w:noProof/>
              </w:rPr>
              <w:t>NEPIEMĒRO</w:t>
            </w:r>
          </w:p>
        </w:tc>
        <w:tc>
          <w:tcPr>
            <w:tcW w:w="1055" w:type="dxa"/>
            <w:shd w:val="clear" w:color="auto" w:fill="C6EFCE"/>
            <w:noWrap/>
            <w:vAlign w:val="center"/>
            <w:hideMark/>
          </w:tcPr>
          <w:p w14:paraId="78CCB866" w14:textId="77777777" w:rsidR="00327FF1" w:rsidRDefault="00E406C7">
            <w:pPr>
              <w:pStyle w:val="P68B1DB1-Normal11"/>
              <w:spacing w:line="276" w:lineRule="auto"/>
              <w:jc w:val="center"/>
              <w:rPr>
                <w:noProof/>
                <w:szCs w:val="20"/>
              </w:rPr>
            </w:pPr>
            <w:r>
              <w:rPr>
                <w:noProof/>
              </w:rPr>
              <w:t>Skaits</w:t>
            </w:r>
          </w:p>
        </w:tc>
        <w:tc>
          <w:tcPr>
            <w:tcW w:w="946" w:type="dxa"/>
            <w:shd w:val="clear" w:color="auto" w:fill="C6EFCE"/>
            <w:noWrap/>
            <w:vAlign w:val="center"/>
            <w:hideMark/>
          </w:tcPr>
          <w:p w14:paraId="60CB218E" w14:textId="77777777" w:rsidR="00327FF1" w:rsidRDefault="00E406C7">
            <w:pPr>
              <w:pStyle w:val="P68B1DB1-Normal11"/>
              <w:spacing w:line="276" w:lineRule="auto"/>
              <w:jc w:val="center"/>
              <w:rPr>
                <w:noProof/>
                <w:szCs w:val="20"/>
              </w:rPr>
            </w:pPr>
            <w:r>
              <w:rPr>
                <w:noProof/>
              </w:rPr>
              <w:t>0</w:t>
            </w:r>
          </w:p>
        </w:tc>
        <w:tc>
          <w:tcPr>
            <w:tcW w:w="1000" w:type="dxa"/>
            <w:shd w:val="clear" w:color="auto" w:fill="C6EFCE"/>
            <w:noWrap/>
            <w:vAlign w:val="center"/>
            <w:hideMark/>
          </w:tcPr>
          <w:p w14:paraId="6BD33234" w14:textId="39B54FB6" w:rsidR="00327FF1" w:rsidRDefault="00E406C7">
            <w:pPr>
              <w:pStyle w:val="P68B1DB1-Normal11"/>
              <w:spacing w:line="276" w:lineRule="auto"/>
              <w:jc w:val="center"/>
              <w:rPr>
                <w:noProof/>
                <w:szCs w:val="20"/>
              </w:rPr>
            </w:pPr>
            <w:r>
              <w:rPr>
                <w:noProof/>
              </w:rPr>
              <w:t>45</w:t>
            </w:r>
          </w:p>
        </w:tc>
        <w:tc>
          <w:tcPr>
            <w:tcW w:w="809" w:type="dxa"/>
            <w:shd w:val="clear" w:color="auto" w:fill="C6EFCE"/>
            <w:noWrap/>
            <w:vAlign w:val="center"/>
            <w:hideMark/>
          </w:tcPr>
          <w:p w14:paraId="2039EB21" w14:textId="77777777" w:rsidR="00327FF1" w:rsidRDefault="00E406C7">
            <w:pPr>
              <w:pStyle w:val="P68B1DB1-Normal11"/>
              <w:spacing w:line="276" w:lineRule="auto"/>
              <w:jc w:val="center"/>
              <w:rPr>
                <w:noProof/>
                <w:szCs w:val="20"/>
              </w:rPr>
            </w:pPr>
            <w:r>
              <w:rPr>
                <w:noProof/>
              </w:rPr>
              <w:t>Q1</w:t>
            </w:r>
          </w:p>
        </w:tc>
        <w:tc>
          <w:tcPr>
            <w:tcW w:w="770" w:type="dxa"/>
            <w:shd w:val="clear" w:color="auto" w:fill="C6EFCE"/>
            <w:noWrap/>
            <w:vAlign w:val="center"/>
            <w:hideMark/>
          </w:tcPr>
          <w:p w14:paraId="68FE1CBD" w14:textId="77777777" w:rsidR="00327FF1" w:rsidRDefault="00E406C7">
            <w:pPr>
              <w:pStyle w:val="P68B1DB1-Normal11"/>
              <w:spacing w:line="276" w:lineRule="auto"/>
              <w:jc w:val="center"/>
              <w:rPr>
                <w:noProof/>
                <w:szCs w:val="20"/>
              </w:rPr>
            </w:pPr>
            <w:r>
              <w:rPr>
                <w:noProof/>
              </w:rPr>
              <w:t>2026</w:t>
            </w:r>
          </w:p>
        </w:tc>
        <w:tc>
          <w:tcPr>
            <w:tcW w:w="3544" w:type="dxa"/>
            <w:shd w:val="clear" w:color="auto" w:fill="C6EFCE"/>
            <w:noWrap/>
            <w:vAlign w:val="center"/>
            <w:hideMark/>
          </w:tcPr>
          <w:p w14:paraId="77A170FF" w14:textId="37EB355A" w:rsidR="00327FF1" w:rsidRDefault="00E406C7">
            <w:pPr>
              <w:pStyle w:val="P68B1DB1-Normal12"/>
              <w:spacing w:line="276" w:lineRule="auto"/>
              <w:rPr>
                <w:noProof/>
              </w:rPr>
            </w:pPr>
            <w:r>
              <w:rPr>
                <w:noProof/>
              </w:rPr>
              <w:t xml:space="preserve">Sertifikāti par darbu pabeigšanu ir izsniegti par iejaukšanos vismaz 45 ūdens sistēmās (gan kompleksās, gan vienkāršās), no kurām vismaz 32 </w:t>
            </w:r>
            <w:r>
              <w:rPr>
                <w:noProof/>
              </w:rPr>
              <w:t>kompleksās ūdens sistēmās.</w:t>
            </w:r>
          </w:p>
        </w:tc>
      </w:tr>
      <w:tr w:rsidR="00327FF1" w14:paraId="5E436F60" w14:textId="77777777">
        <w:trPr>
          <w:trHeight w:val="300"/>
        </w:trPr>
        <w:tc>
          <w:tcPr>
            <w:tcW w:w="1134" w:type="dxa"/>
            <w:shd w:val="clear" w:color="auto" w:fill="C6EFCE"/>
            <w:noWrap/>
            <w:vAlign w:val="center"/>
            <w:hideMark/>
          </w:tcPr>
          <w:p w14:paraId="454ACBB2" w14:textId="77777777" w:rsidR="00327FF1" w:rsidRDefault="00E406C7">
            <w:pPr>
              <w:pStyle w:val="P68B1DB1-Normal11"/>
              <w:spacing w:line="276" w:lineRule="auto"/>
              <w:jc w:val="center"/>
              <w:rPr>
                <w:noProof/>
                <w:szCs w:val="20"/>
              </w:rPr>
            </w:pPr>
            <w:r>
              <w:rPr>
                <w:noProof/>
              </w:rPr>
              <w:t>M2C4–30</w:t>
            </w:r>
          </w:p>
        </w:tc>
        <w:tc>
          <w:tcPr>
            <w:tcW w:w="1736" w:type="dxa"/>
            <w:shd w:val="clear" w:color="auto" w:fill="C6EFCE"/>
            <w:noWrap/>
            <w:vAlign w:val="center"/>
            <w:hideMark/>
          </w:tcPr>
          <w:p w14:paraId="61754846" w14:textId="77777777" w:rsidR="00327FF1" w:rsidRDefault="00E406C7">
            <w:pPr>
              <w:pStyle w:val="P68B1DB1-Normal11"/>
              <w:spacing w:line="276" w:lineRule="auto"/>
              <w:jc w:val="center"/>
              <w:rPr>
                <w:noProof/>
                <w:szCs w:val="20"/>
              </w:rPr>
            </w:pPr>
            <w:r>
              <w:rPr>
                <w:noProof/>
              </w:rPr>
              <w:t>Investīciju 4.2: Zudumu samazināšana ūdens sadales tīklos, tostarp tīklu digitalizācija un monitorings</w:t>
            </w:r>
          </w:p>
        </w:tc>
        <w:tc>
          <w:tcPr>
            <w:tcW w:w="1261" w:type="dxa"/>
            <w:shd w:val="clear" w:color="auto" w:fill="C6EFCE"/>
            <w:noWrap/>
            <w:vAlign w:val="center"/>
            <w:hideMark/>
          </w:tcPr>
          <w:p w14:paraId="6B6292BF" w14:textId="77777777" w:rsidR="00327FF1" w:rsidRDefault="00E406C7">
            <w:pPr>
              <w:pStyle w:val="P68B1DB1-Normal11"/>
              <w:spacing w:line="276" w:lineRule="auto"/>
              <w:jc w:val="center"/>
              <w:rPr>
                <w:noProof/>
                <w:szCs w:val="20"/>
              </w:rPr>
            </w:pPr>
            <w:r>
              <w:rPr>
                <w:noProof/>
              </w:rPr>
              <w:t>Atskaites punkts</w:t>
            </w:r>
          </w:p>
        </w:tc>
        <w:tc>
          <w:tcPr>
            <w:tcW w:w="1365" w:type="dxa"/>
            <w:shd w:val="clear" w:color="auto" w:fill="C6EFCE"/>
            <w:noWrap/>
            <w:vAlign w:val="center"/>
            <w:hideMark/>
          </w:tcPr>
          <w:p w14:paraId="3FA4AA1D" w14:textId="77777777" w:rsidR="00327FF1" w:rsidRDefault="00E406C7">
            <w:pPr>
              <w:pStyle w:val="P68B1DB1-Normal11"/>
              <w:spacing w:line="276" w:lineRule="auto"/>
              <w:jc w:val="center"/>
              <w:rPr>
                <w:noProof/>
                <w:szCs w:val="20"/>
              </w:rPr>
            </w:pPr>
            <w:r>
              <w:rPr>
                <w:noProof/>
              </w:rPr>
              <w:t xml:space="preserve">Finansējuma piešķiršana visiem projektiem, kas paredzēti intervencei ūdens sadales tīklos, tostarp </w:t>
            </w:r>
            <w:r>
              <w:rPr>
                <w:noProof/>
              </w:rPr>
              <w:t>tīklu digitalizācijai un uzraudzībai</w:t>
            </w:r>
          </w:p>
        </w:tc>
        <w:tc>
          <w:tcPr>
            <w:tcW w:w="1264" w:type="dxa"/>
            <w:shd w:val="clear" w:color="auto" w:fill="C6EFCE"/>
            <w:noWrap/>
            <w:vAlign w:val="center"/>
            <w:hideMark/>
          </w:tcPr>
          <w:p w14:paraId="2B1EF6C6" w14:textId="77777777" w:rsidR="00327FF1" w:rsidRDefault="00E406C7">
            <w:pPr>
              <w:pStyle w:val="P68B1DB1-Normal11"/>
              <w:spacing w:line="276" w:lineRule="auto"/>
              <w:jc w:val="center"/>
              <w:rPr>
                <w:rFonts w:eastAsia="Arial Narrow" w:cs="Arial Narrow"/>
                <w:noProof/>
                <w:szCs w:val="20"/>
              </w:rPr>
            </w:pPr>
            <w:r>
              <w:rPr>
                <w:noProof/>
              </w:rPr>
              <w:t>Dekrēta(-u) publicēšana</w:t>
            </w:r>
          </w:p>
        </w:tc>
        <w:tc>
          <w:tcPr>
            <w:tcW w:w="1055" w:type="dxa"/>
            <w:shd w:val="clear" w:color="auto" w:fill="C6EFCE"/>
            <w:noWrap/>
            <w:vAlign w:val="center"/>
            <w:hideMark/>
          </w:tcPr>
          <w:p w14:paraId="5DEDD468" w14:textId="77777777" w:rsidR="00327FF1" w:rsidRDefault="00E406C7">
            <w:pPr>
              <w:pStyle w:val="P68B1DB1-Normal11"/>
              <w:spacing w:line="276" w:lineRule="auto"/>
              <w:jc w:val="center"/>
              <w:rPr>
                <w:noProof/>
                <w:szCs w:val="20"/>
              </w:rPr>
            </w:pPr>
            <w:r>
              <w:rPr>
                <w:noProof/>
              </w:rPr>
              <w:t>NEPIEMĒRO</w:t>
            </w:r>
          </w:p>
        </w:tc>
        <w:tc>
          <w:tcPr>
            <w:tcW w:w="946" w:type="dxa"/>
            <w:shd w:val="clear" w:color="auto" w:fill="C6EFCE"/>
            <w:noWrap/>
            <w:vAlign w:val="center"/>
            <w:hideMark/>
          </w:tcPr>
          <w:p w14:paraId="07FA88C1" w14:textId="77777777" w:rsidR="00327FF1" w:rsidRDefault="00E406C7">
            <w:pPr>
              <w:pStyle w:val="P68B1DB1-Normal11"/>
              <w:spacing w:line="276" w:lineRule="auto"/>
              <w:jc w:val="center"/>
              <w:rPr>
                <w:noProof/>
                <w:szCs w:val="20"/>
              </w:rPr>
            </w:pPr>
            <w:r>
              <w:rPr>
                <w:noProof/>
              </w:rPr>
              <w:t>NEPIEMĒRO</w:t>
            </w:r>
          </w:p>
        </w:tc>
        <w:tc>
          <w:tcPr>
            <w:tcW w:w="1000" w:type="dxa"/>
            <w:shd w:val="clear" w:color="auto" w:fill="C6EFCE"/>
            <w:noWrap/>
            <w:vAlign w:val="center"/>
            <w:hideMark/>
          </w:tcPr>
          <w:p w14:paraId="315D07F7" w14:textId="77777777" w:rsidR="00327FF1" w:rsidRDefault="00E406C7">
            <w:pPr>
              <w:pStyle w:val="P68B1DB1-Normal11"/>
              <w:spacing w:line="276" w:lineRule="auto"/>
              <w:jc w:val="center"/>
              <w:rPr>
                <w:noProof/>
                <w:szCs w:val="20"/>
              </w:rPr>
            </w:pPr>
            <w:r>
              <w:rPr>
                <w:noProof/>
              </w:rPr>
              <w:t>NEPIEMĒRO</w:t>
            </w:r>
          </w:p>
        </w:tc>
        <w:tc>
          <w:tcPr>
            <w:tcW w:w="809" w:type="dxa"/>
            <w:shd w:val="clear" w:color="auto" w:fill="C6EFCE"/>
            <w:noWrap/>
            <w:vAlign w:val="center"/>
            <w:hideMark/>
          </w:tcPr>
          <w:p w14:paraId="59075CE1" w14:textId="77777777" w:rsidR="00327FF1" w:rsidRDefault="00E406C7">
            <w:pPr>
              <w:pStyle w:val="P68B1DB1-Normal11"/>
              <w:spacing w:line="276" w:lineRule="auto"/>
              <w:jc w:val="center"/>
              <w:rPr>
                <w:noProof/>
                <w:szCs w:val="20"/>
              </w:rPr>
            </w:pPr>
            <w:r>
              <w:rPr>
                <w:noProof/>
              </w:rPr>
              <w:t>CET.</w:t>
            </w:r>
          </w:p>
        </w:tc>
        <w:tc>
          <w:tcPr>
            <w:tcW w:w="770" w:type="dxa"/>
            <w:shd w:val="clear" w:color="auto" w:fill="C6EFCE"/>
            <w:noWrap/>
            <w:vAlign w:val="center"/>
            <w:hideMark/>
          </w:tcPr>
          <w:p w14:paraId="0A830EE4" w14:textId="77777777" w:rsidR="00327FF1" w:rsidRDefault="00E406C7">
            <w:pPr>
              <w:pStyle w:val="P68B1DB1-Normal11"/>
              <w:spacing w:line="276" w:lineRule="auto"/>
              <w:jc w:val="center"/>
              <w:rPr>
                <w:noProof/>
                <w:szCs w:val="20"/>
              </w:rPr>
            </w:pPr>
            <w:r>
              <w:rPr>
                <w:noProof/>
              </w:rPr>
              <w:t>2023</w:t>
            </w:r>
          </w:p>
        </w:tc>
        <w:tc>
          <w:tcPr>
            <w:tcW w:w="3544" w:type="dxa"/>
            <w:shd w:val="clear" w:color="auto" w:fill="C6EFCE"/>
            <w:noWrap/>
            <w:vAlign w:val="center"/>
            <w:hideMark/>
          </w:tcPr>
          <w:p w14:paraId="60DEEA90" w14:textId="75FF0C08" w:rsidR="00327FF1" w:rsidRDefault="00E406C7">
            <w:pPr>
              <w:pStyle w:val="P68B1DB1-Normal11"/>
              <w:spacing w:line="276" w:lineRule="auto"/>
              <w:rPr>
                <w:noProof/>
                <w:szCs w:val="20"/>
              </w:rPr>
            </w:pPr>
            <w:r>
              <w:rPr>
                <w:noProof/>
              </w:rPr>
              <w:t>Pieņemšanas dekrēta(-u) publicēšana ar finansējuma piešķiršanu (piešķiršanu) projektiem ūdens sadales tīklu modernizācijai un efektivitātei.</w:t>
            </w:r>
          </w:p>
          <w:p w14:paraId="62D976D1" w14:textId="77777777" w:rsidR="00327FF1" w:rsidRDefault="00E406C7">
            <w:pPr>
              <w:pStyle w:val="P68B1DB1-Normal11"/>
              <w:spacing w:line="276" w:lineRule="auto"/>
              <w:rPr>
                <w:noProof/>
                <w:szCs w:val="20"/>
              </w:rPr>
            </w:pPr>
            <w:r>
              <w:rPr>
                <w:noProof/>
              </w:rPr>
              <w:t>Līgumu darbība</w:t>
            </w:r>
            <w:r>
              <w:rPr>
                <w:noProof/>
              </w:rPr>
              <w:t>s joma ir šāda:</w:t>
            </w:r>
          </w:p>
          <w:p w14:paraId="4BB02E54" w14:textId="262BB9CC" w:rsidR="00327FF1" w:rsidRDefault="00E406C7">
            <w:pPr>
              <w:pStyle w:val="P68B1DB1-ListParagraph15"/>
              <w:numPr>
                <w:ilvl w:val="0"/>
                <w:numId w:val="27"/>
              </w:numPr>
              <w:spacing w:after="0" w:line="276" w:lineRule="auto"/>
              <w:ind w:left="305"/>
              <w:textAlignment w:val="baseline"/>
              <w:rPr>
                <w:noProof/>
                <w:szCs w:val="20"/>
              </w:rPr>
            </w:pPr>
            <w:r>
              <w:rPr>
                <w:noProof/>
              </w:rPr>
              <w:t>Intervences, lai samazinātu zudumus dzeramā ūdens tīklos;</w:t>
            </w:r>
          </w:p>
          <w:p w14:paraId="40EE36C4" w14:textId="31B4281B" w:rsidR="00327FF1" w:rsidRDefault="00E406C7">
            <w:pPr>
              <w:pStyle w:val="P68B1DB1-ListParagraph15"/>
              <w:numPr>
                <w:ilvl w:val="0"/>
                <w:numId w:val="27"/>
              </w:numPr>
              <w:spacing w:after="0" w:line="276" w:lineRule="auto"/>
              <w:ind w:left="305"/>
              <w:textAlignment w:val="baseline"/>
              <w:rPr>
                <w:noProof/>
                <w:szCs w:val="20"/>
              </w:rPr>
            </w:pPr>
            <w:r>
              <w:rPr>
                <w:noProof/>
              </w:rPr>
              <w:t>Palielināt ūdensapgādes sistēmu noturību pret klimata pārmaiņām;</w:t>
            </w:r>
          </w:p>
          <w:p w14:paraId="0DB7C669" w14:textId="77777777" w:rsidR="00327FF1" w:rsidRDefault="00E406C7">
            <w:pPr>
              <w:pStyle w:val="P68B1DB1-ListParagraph15"/>
              <w:numPr>
                <w:ilvl w:val="0"/>
                <w:numId w:val="27"/>
              </w:numPr>
              <w:spacing w:after="0" w:line="276" w:lineRule="auto"/>
              <w:ind w:left="305"/>
              <w:textAlignment w:val="baseline"/>
              <w:rPr>
                <w:noProof/>
                <w:szCs w:val="20"/>
              </w:rPr>
            </w:pPr>
            <w:r>
              <w:rPr>
                <w:noProof/>
              </w:rPr>
              <w:t>Stiprināt tīklu digitalizāciju, lai optimāli apsaimniekotu ūdens resursus, samazinātu atkritumus un ierobežotu neefek</w:t>
            </w:r>
            <w:r>
              <w:rPr>
                <w:noProof/>
              </w:rPr>
              <w:t>tivitāti;</w:t>
            </w:r>
          </w:p>
        </w:tc>
      </w:tr>
      <w:tr w:rsidR="00327FF1" w14:paraId="25CFB198" w14:textId="77777777">
        <w:trPr>
          <w:trHeight w:val="300"/>
        </w:trPr>
        <w:tc>
          <w:tcPr>
            <w:tcW w:w="1134" w:type="dxa"/>
            <w:shd w:val="clear" w:color="auto" w:fill="C6EFCE"/>
            <w:noWrap/>
            <w:vAlign w:val="center"/>
            <w:hideMark/>
          </w:tcPr>
          <w:p w14:paraId="5C14AFC8" w14:textId="77777777" w:rsidR="00327FF1" w:rsidRDefault="00E406C7">
            <w:pPr>
              <w:pStyle w:val="P68B1DB1-Normal11"/>
              <w:spacing w:line="276" w:lineRule="auto"/>
              <w:jc w:val="center"/>
              <w:rPr>
                <w:noProof/>
                <w:szCs w:val="20"/>
              </w:rPr>
            </w:pPr>
            <w:r>
              <w:rPr>
                <w:noProof/>
              </w:rPr>
              <w:t>M2C4–31</w:t>
            </w:r>
          </w:p>
        </w:tc>
        <w:tc>
          <w:tcPr>
            <w:tcW w:w="1736" w:type="dxa"/>
            <w:shd w:val="clear" w:color="auto" w:fill="C6EFCE"/>
            <w:noWrap/>
            <w:vAlign w:val="center"/>
            <w:hideMark/>
          </w:tcPr>
          <w:p w14:paraId="20A879CE" w14:textId="77777777" w:rsidR="00327FF1" w:rsidRDefault="00E406C7">
            <w:pPr>
              <w:pStyle w:val="P68B1DB1-Normal11"/>
              <w:spacing w:line="276" w:lineRule="auto"/>
              <w:jc w:val="center"/>
              <w:rPr>
                <w:noProof/>
                <w:szCs w:val="20"/>
              </w:rPr>
            </w:pPr>
            <w:r>
              <w:rPr>
                <w:noProof/>
              </w:rPr>
              <w:t>Investīciju 4.2: Zudumu samazināšana ūdens sadales tīklos, tostarp tīklu digitalizācija un monitorings</w:t>
            </w:r>
          </w:p>
        </w:tc>
        <w:tc>
          <w:tcPr>
            <w:tcW w:w="1261" w:type="dxa"/>
            <w:shd w:val="clear" w:color="auto" w:fill="C6EFCE"/>
            <w:noWrap/>
            <w:vAlign w:val="center"/>
            <w:hideMark/>
          </w:tcPr>
          <w:p w14:paraId="7A5587C2" w14:textId="77777777" w:rsidR="00327FF1" w:rsidRDefault="00E406C7">
            <w:pPr>
              <w:pStyle w:val="P68B1DB1-Normal11"/>
              <w:spacing w:line="276" w:lineRule="auto"/>
              <w:jc w:val="center"/>
              <w:rPr>
                <w:noProof/>
                <w:szCs w:val="20"/>
              </w:rPr>
            </w:pPr>
            <w:r>
              <w:rPr>
                <w:noProof/>
              </w:rPr>
              <w:t>Mērķa</w:t>
            </w:r>
          </w:p>
        </w:tc>
        <w:tc>
          <w:tcPr>
            <w:tcW w:w="1365" w:type="dxa"/>
            <w:shd w:val="clear" w:color="auto" w:fill="C6EFCE"/>
            <w:noWrap/>
            <w:vAlign w:val="center"/>
            <w:hideMark/>
          </w:tcPr>
          <w:p w14:paraId="3E4618F5" w14:textId="77777777" w:rsidR="00327FF1" w:rsidRDefault="00E406C7">
            <w:pPr>
              <w:pStyle w:val="P68B1DB1-Normal11"/>
              <w:spacing w:line="276" w:lineRule="auto"/>
              <w:jc w:val="center"/>
              <w:rPr>
                <w:noProof/>
                <w:szCs w:val="20"/>
              </w:rPr>
            </w:pPr>
            <w:r>
              <w:rPr>
                <w:noProof/>
              </w:rPr>
              <w:t>Intervences ūdens sadales tīklos, tostarp T1 tīklu digitalizācija un monitorings</w:t>
            </w:r>
          </w:p>
        </w:tc>
        <w:tc>
          <w:tcPr>
            <w:tcW w:w="1264" w:type="dxa"/>
            <w:shd w:val="clear" w:color="auto" w:fill="C6EFCE"/>
            <w:noWrap/>
            <w:vAlign w:val="center"/>
            <w:hideMark/>
          </w:tcPr>
          <w:p w14:paraId="22385608" w14:textId="77777777" w:rsidR="00327FF1" w:rsidRDefault="00E406C7">
            <w:pPr>
              <w:pStyle w:val="P68B1DB1-Normal11"/>
              <w:spacing w:line="276" w:lineRule="auto"/>
              <w:jc w:val="center"/>
              <w:rPr>
                <w:noProof/>
                <w:szCs w:val="20"/>
              </w:rPr>
            </w:pPr>
            <w:r>
              <w:rPr>
                <w:noProof/>
              </w:rPr>
              <w:t>NEPIEMĒRO</w:t>
            </w:r>
          </w:p>
        </w:tc>
        <w:tc>
          <w:tcPr>
            <w:tcW w:w="1055" w:type="dxa"/>
            <w:shd w:val="clear" w:color="auto" w:fill="C6EFCE"/>
            <w:noWrap/>
            <w:vAlign w:val="center"/>
            <w:hideMark/>
          </w:tcPr>
          <w:p w14:paraId="66494161" w14:textId="77777777" w:rsidR="00327FF1" w:rsidRDefault="00E406C7">
            <w:pPr>
              <w:pStyle w:val="P68B1DB1-Normal11"/>
              <w:spacing w:line="276" w:lineRule="auto"/>
              <w:jc w:val="center"/>
              <w:rPr>
                <w:noProof/>
                <w:szCs w:val="20"/>
              </w:rPr>
            </w:pPr>
            <w:r>
              <w:rPr>
                <w:noProof/>
              </w:rPr>
              <w:t>Skaits</w:t>
            </w:r>
          </w:p>
        </w:tc>
        <w:tc>
          <w:tcPr>
            <w:tcW w:w="946" w:type="dxa"/>
            <w:shd w:val="clear" w:color="auto" w:fill="C6EFCE"/>
            <w:noWrap/>
            <w:vAlign w:val="center"/>
            <w:hideMark/>
          </w:tcPr>
          <w:p w14:paraId="235E033A" w14:textId="77777777" w:rsidR="00327FF1" w:rsidRDefault="00E406C7">
            <w:pPr>
              <w:pStyle w:val="P68B1DB1-Normal11"/>
              <w:spacing w:line="276" w:lineRule="auto"/>
              <w:jc w:val="center"/>
              <w:rPr>
                <w:noProof/>
                <w:szCs w:val="20"/>
              </w:rPr>
            </w:pPr>
            <w:r>
              <w:rPr>
                <w:noProof/>
              </w:rPr>
              <w:t>0</w:t>
            </w:r>
          </w:p>
        </w:tc>
        <w:tc>
          <w:tcPr>
            <w:tcW w:w="1000" w:type="dxa"/>
            <w:shd w:val="clear" w:color="auto" w:fill="C6EFCE"/>
            <w:noWrap/>
            <w:vAlign w:val="center"/>
            <w:hideMark/>
          </w:tcPr>
          <w:p w14:paraId="68AE8B81" w14:textId="77777777" w:rsidR="00327FF1" w:rsidRDefault="00E406C7">
            <w:pPr>
              <w:pStyle w:val="P68B1DB1-Normal11"/>
              <w:spacing w:line="276" w:lineRule="auto"/>
              <w:jc w:val="center"/>
              <w:rPr>
                <w:noProof/>
                <w:szCs w:val="20"/>
              </w:rPr>
            </w:pPr>
            <w:r>
              <w:rPr>
                <w:noProof/>
              </w:rPr>
              <w:t>14 000</w:t>
            </w:r>
          </w:p>
        </w:tc>
        <w:tc>
          <w:tcPr>
            <w:tcW w:w="809" w:type="dxa"/>
            <w:shd w:val="clear" w:color="auto" w:fill="C6EFCE"/>
            <w:noWrap/>
            <w:vAlign w:val="center"/>
            <w:hideMark/>
          </w:tcPr>
          <w:p w14:paraId="0B2ABFFD" w14:textId="77777777" w:rsidR="00327FF1" w:rsidRDefault="00E406C7">
            <w:pPr>
              <w:pStyle w:val="P68B1DB1-Normal11"/>
              <w:spacing w:line="276" w:lineRule="auto"/>
              <w:jc w:val="center"/>
              <w:rPr>
                <w:noProof/>
                <w:szCs w:val="20"/>
              </w:rPr>
            </w:pPr>
            <w:r>
              <w:rPr>
                <w:noProof/>
              </w:rPr>
              <w:t>4. CET.</w:t>
            </w:r>
          </w:p>
        </w:tc>
        <w:tc>
          <w:tcPr>
            <w:tcW w:w="770" w:type="dxa"/>
            <w:shd w:val="clear" w:color="auto" w:fill="C6EFCE"/>
            <w:noWrap/>
            <w:vAlign w:val="center"/>
            <w:hideMark/>
          </w:tcPr>
          <w:p w14:paraId="02140483" w14:textId="77777777" w:rsidR="00327FF1" w:rsidRDefault="00E406C7">
            <w:pPr>
              <w:pStyle w:val="P68B1DB1-Normal11"/>
              <w:spacing w:line="276" w:lineRule="auto"/>
              <w:jc w:val="center"/>
              <w:rPr>
                <w:noProof/>
                <w:szCs w:val="20"/>
              </w:rPr>
            </w:pPr>
            <w:r>
              <w:rPr>
                <w:noProof/>
              </w:rPr>
              <w:t>2024</w:t>
            </w:r>
          </w:p>
        </w:tc>
        <w:tc>
          <w:tcPr>
            <w:tcW w:w="3544" w:type="dxa"/>
            <w:shd w:val="clear" w:color="auto" w:fill="C6EFCE"/>
            <w:noWrap/>
            <w:vAlign w:val="center"/>
            <w:hideMark/>
          </w:tcPr>
          <w:p w14:paraId="54FDC086" w14:textId="77777777" w:rsidR="00327FF1" w:rsidRDefault="00E406C7">
            <w:pPr>
              <w:pStyle w:val="P68B1DB1-Normal11"/>
              <w:spacing w:line="276" w:lineRule="auto"/>
              <w:rPr>
                <w:noProof/>
                <w:szCs w:val="20"/>
              </w:rPr>
            </w:pPr>
            <w:r>
              <w:rPr>
                <w:noProof/>
              </w:rPr>
              <w:t xml:space="preserve">Vismaz </w:t>
            </w:r>
            <w:r>
              <w:rPr>
                <w:noProof/>
              </w:rPr>
              <w:t>14000 kilometru ūdens tīkla nodalīšana</w:t>
            </w:r>
          </w:p>
        </w:tc>
      </w:tr>
      <w:tr w:rsidR="00327FF1" w14:paraId="3354221C" w14:textId="77777777">
        <w:trPr>
          <w:trHeight w:val="300"/>
        </w:trPr>
        <w:tc>
          <w:tcPr>
            <w:tcW w:w="1134" w:type="dxa"/>
            <w:shd w:val="clear" w:color="auto" w:fill="C6EFCE"/>
            <w:noWrap/>
            <w:vAlign w:val="center"/>
            <w:hideMark/>
          </w:tcPr>
          <w:p w14:paraId="3EF08396" w14:textId="77777777" w:rsidR="00327FF1" w:rsidRDefault="00E406C7">
            <w:pPr>
              <w:pStyle w:val="P68B1DB1-Normal11"/>
              <w:spacing w:line="276" w:lineRule="auto"/>
              <w:jc w:val="center"/>
              <w:rPr>
                <w:noProof/>
                <w:szCs w:val="20"/>
              </w:rPr>
            </w:pPr>
            <w:r>
              <w:rPr>
                <w:noProof/>
              </w:rPr>
              <w:t>M2C4–33</w:t>
            </w:r>
          </w:p>
        </w:tc>
        <w:tc>
          <w:tcPr>
            <w:tcW w:w="1736" w:type="dxa"/>
            <w:shd w:val="clear" w:color="auto" w:fill="C6EFCE"/>
            <w:noWrap/>
            <w:vAlign w:val="center"/>
            <w:hideMark/>
          </w:tcPr>
          <w:p w14:paraId="2BF4ED95" w14:textId="77777777" w:rsidR="00327FF1" w:rsidRDefault="00E406C7">
            <w:pPr>
              <w:pStyle w:val="P68B1DB1-Normal11"/>
              <w:spacing w:line="276" w:lineRule="auto"/>
              <w:jc w:val="center"/>
              <w:rPr>
                <w:noProof/>
                <w:szCs w:val="20"/>
              </w:rPr>
            </w:pPr>
            <w:r>
              <w:rPr>
                <w:noProof/>
              </w:rPr>
              <w:t>Investīcija 4.3. Ieguldījumi apūdeņošanas agrosistēmas noturībā labākai ūdens resursu pārvaldībai</w:t>
            </w:r>
          </w:p>
        </w:tc>
        <w:tc>
          <w:tcPr>
            <w:tcW w:w="1261" w:type="dxa"/>
            <w:shd w:val="clear" w:color="auto" w:fill="C6EFCE"/>
            <w:noWrap/>
            <w:vAlign w:val="center"/>
            <w:hideMark/>
          </w:tcPr>
          <w:p w14:paraId="6E4B29AB" w14:textId="77777777" w:rsidR="00327FF1" w:rsidRDefault="00E406C7">
            <w:pPr>
              <w:pStyle w:val="P68B1DB1-Normal11"/>
              <w:spacing w:line="276" w:lineRule="auto"/>
              <w:jc w:val="center"/>
              <w:rPr>
                <w:noProof/>
                <w:szCs w:val="20"/>
              </w:rPr>
            </w:pPr>
            <w:r>
              <w:rPr>
                <w:noProof/>
              </w:rPr>
              <w:t>Atskaites punkts</w:t>
            </w:r>
          </w:p>
        </w:tc>
        <w:tc>
          <w:tcPr>
            <w:tcW w:w="1365" w:type="dxa"/>
            <w:shd w:val="clear" w:color="auto" w:fill="C6EFCE"/>
            <w:noWrap/>
            <w:vAlign w:val="center"/>
            <w:hideMark/>
          </w:tcPr>
          <w:p w14:paraId="548A7C55" w14:textId="77777777" w:rsidR="00327FF1" w:rsidRDefault="00E406C7">
            <w:pPr>
              <w:pStyle w:val="P68B1DB1-Normal11"/>
              <w:spacing w:line="276" w:lineRule="auto"/>
              <w:jc w:val="center"/>
              <w:rPr>
                <w:noProof/>
                <w:szCs w:val="20"/>
              </w:rPr>
            </w:pPr>
            <w:r>
              <w:rPr>
                <w:noProof/>
              </w:rPr>
              <w:t xml:space="preserve">Finansējuma piešķiršana visiem projektiem, kuru mērķis ir apūdeņošanas agrosistēmas noturība </w:t>
            </w:r>
            <w:r>
              <w:rPr>
                <w:noProof/>
              </w:rPr>
              <w:t>ūdens resursu labākai apsaimniekošanai</w:t>
            </w:r>
          </w:p>
        </w:tc>
        <w:tc>
          <w:tcPr>
            <w:tcW w:w="1264" w:type="dxa"/>
            <w:shd w:val="clear" w:color="auto" w:fill="C6EFCE"/>
            <w:noWrap/>
            <w:vAlign w:val="center"/>
            <w:hideMark/>
          </w:tcPr>
          <w:p w14:paraId="5FD0A26B" w14:textId="77777777" w:rsidR="00327FF1" w:rsidRDefault="00E406C7">
            <w:pPr>
              <w:pStyle w:val="P68B1DB1-Normal11"/>
              <w:spacing w:line="276" w:lineRule="auto"/>
              <w:jc w:val="center"/>
              <w:rPr>
                <w:noProof/>
                <w:szCs w:val="20"/>
              </w:rPr>
            </w:pPr>
            <w:r>
              <w:rPr>
                <w:noProof/>
              </w:rPr>
              <w:t>Dekrēta(-u) publicēšana.</w:t>
            </w:r>
          </w:p>
        </w:tc>
        <w:tc>
          <w:tcPr>
            <w:tcW w:w="1055" w:type="dxa"/>
            <w:shd w:val="clear" w:color="auto" w:fill="C6EFCE"/>
            <w:noWrap/>
            <w:vAlign w:val="center"/>
            <w:hideMark/>
          </w:tcPr>
          <w:p w14:paraId="61F3BF08" w14:textId="77777777" w:rsidR="00327FF1" w:rsidRDefault="00E406C7">
            <w:pPr>
              <w:pStyle w:val="P68B1DB1-Normal11"/>
              <w:spacing w:line="276" w:lineRule="auto"/>
              <w:jc w:val="center"/>
              <w:rPr>
                <w:noProof/>
                <w:szCs w:val="20"/>
              </w:rPr>
            </w:pPr>
            <w:r>
              <w:rPr>
                <w:noProof/>
              </w:rPr>
              <w:t>NEPIEMĒRO</w:t>
            </w:r>
          </w:p>
        </w:tc>
        <w:tc>
          <w:tcPr>
            <w:tcW w:w="946" w:type="dxa"/>
            <w:shd w:val="clear" w:color="auto" w:fill="C6EFCE"/>
            <w:noWrap/>
            <w:vAlign w:val="center"/>
            <w:hideMark/>
          </w:tcPr>
          <w:p w14:paraId="5EF47FC7" w14:textId="77777777" w:rsidR="00327FF1" w:rsidRDefault="00E406C7">
            <w:pPr>
              <w:pStyle w:val="P68B1DB1-Normal11"/>
              <w:spacing w:line="276" w:lineRule="auto"/>
              <w:jc w:val="center"/>
              <w:rPr>
                <w:noProof/>
                <w:szCs w:val="20"/>
              </w:rPr>
            </w:pPr>
            <w:r>
              <w:rPr>
                <w:noProof/>
              </w:rPr>
              <w:t>NEPIEMĒRO</w:t>
            </w:r>
          </w:p>
        </w:tc>
        <w:tc>
          <w:tcPr>
            <w:tcW w:w="1000" w:type="dxa"/>
            <w:shd w:val="clear" w:color="auto" w:fill="C6EFCE"/>
            <w:noWrap/>
            <w:vAlign w:val="center"/>
            <w:hideMark/>
          </w:tcPr>
          <w:p w14:paraId="64D6E862" w14:textId="77777777" w:rsidR="00327FF1" w:rsidRDefault="00E406C7">
            <w:pPr>
              <w:pStyle w:val="P68B1DB1-Normal11"/>
              <w:spacing w:line="276" w:lineRule="auto"/>
              <w:jc w:val="center"/>
              <w:rPr>
                <w:noProof/>
                <w:szCs w:val="20"/>
              </w:rPr>
            </w:pPr>
            <w:r>
              <w:rPr>
                <w:noProof/>
              </w:rPr>
              <w:t>NEPIEMĒRO</w:t>
            </w:r>
          </w:p>
        </w:tc>
        <w:tc>
          <w:tcPr>
            <w:tcW w:w="809" w:type="dxa"/>
            <w:shd w:val="clear" w:color="auto" w:fill="C6EFCE"/>
            <w:noWrap/>
            <w:vAlign w:val="center"/>
            <w:hideMark/>
          </w:tcPr>
          <w:p w14:paraId="239DD171" w14:textId="77777777" w:rsidR="00327FF1" w:rsidRDefault="00E406C7">
            <w:pPr>
              <w:pStyle w:val="P68B1DB1-Normal11"/>
              <w:spacing w:line="276" w:lineRule="auto"/>
              <w:jc w:val="center"/>
              <w:rPr>
                <w:noProof/>
                <w:szCs w:val="20"/>
              </w:rPr>
            </w:pPr>
            <w:r>
              <w:rPr>
                <w:noProof/>
              </w:rPr>
              <w:t>4. CET.</w:t>
            </w:r>
          </w:p>
        </w:tc>
        <w:tc>
          <w:tcPr>
            <w:tcW w:w="770" w:type="dxa"/>
            <w:shd w:val="clear" w:color="auto" w:fill="C6EFCE"/>
            <w:noWrap/>
            <w:vAlign w:val="center"/>
            <w:hideMark/>
          </w:tcPr>
          <w:p w14:paraId="7878ADB8" w14:textId="77777777" w:rsidR="00327FF1" w:rsidRDefault="00E406C7">
            <w:pPr>
              <w:pStyle w:val="P68B1DB1-Normal11"/>
              <w:spacing w:line="276" w:lineRule="auto"/>
              <w:jc w:val="center"/>
              <w:rPr>
                <w:noProof/>
                <w:szCs w:val="20"/>
              </w:rPr>
            </w:pPr>
            <w:r>
              <w:rPr>
                <w:noProof/>
              </w:rPr>
              <w:t>2023</w:t>
            </w:r>
          </w:p>
        </w:tc>
        <w:tc>
          <w:tcPr>
            <w:tcW w:w="3544" w:type="dxa"/>
            <w:shd w:val="clear" w:color="auto" w:fill="C6EFCE"/>
            <w:noWrap/>
            <w:vAlign w:val="center"/>
            <w:hideMark/>
          </w:tcPr>
          <w:p w14:paraId="48AD6B99" w14:textId="547D8F55" w:rsidR="00327FF1" w:rsidRDefault="00E406C7">
            <w:pPr>
              <w:pStyle w:val="P68B1DB1-Normal11"/>
              <w:autoSpaceDE w:val="0"/>
              <w:autoSpaceDN w:val="0"/>
              <w:spacing w:line="276" w:lineRule="auto"/>
              <w:rPr>
                <w:noProof/>
                <w:szCs w:val="20"/>
              </w:rPr>
            </w:pPr>
            <w:r>
              <w:rPr>
                <w:noProof/>
              </w:rPr>
              <w:t>Pieņemšanas dekrēta(-u) publicēšana ar finansējuma piešķiršanu (piešķiršanu) projektiem, kas paredzēti intervencēm tīklos un apūdeņošanas sistēmās un</w:t>
            </w:r>
            <w:r>
              <w:rPr>
                <w:noProof/>
              </w:rPr>
              <w:t xml:space="preserve"> saistītajā digitalizācijas un uzraudzības sistēmā.</w:t>
            </w:r>
          </w:p>
          <w:p w14:paraId="40059AE2" w14:textId="77777777" w:rsidR="00327FF1" w:rsidRDefault="00E406C7">
            <w:pPr>
              <w:pStyle w:val="P68B1DB1-Normal11"/>
              <w:autoSpaceDE w:val="0"/>
              <w:autoSpaceDN w:val="0"/>
              <w:spacing w:line="276" w:lineRule="auto"/>
              <w:rPr>
                <w:noProof/>
                <w:szCs w:val="20"/>
              </w:rPr>
            </w:pPr>
            <w:r>
              <w:rPr>
                <w:noProof/>
              </w:rPr>
              <w:t>Līgumu darbības joma ir šāda:</w:t>
            </w:r>
          </w:p>
          <w:p w14:paraId="3213A2D3" w14:textId="77777777" w:rsidR="00327FF1" w:rsidRDefault="00E406C7">
            <w:pPr>
              <w:pStyle w:val="P68B1DB1-ListParagraph82"/>
              <w:numPr>
                <w:ilvl w:val="0"/>
                <w:numId w:val="33"/>
              </w:numPr>
              <w:autoSpaceDE w:val="0"/>
              <w:autoSpaceDN w:val="0"/>
              <w:spacing w:after="0" w:line="276" w:lineRule="auto"/>
              <w:jc w:val="both"/>
              <w:rPr>
                <w:noProof/>
                <w:color w:val="006100"/>
                <w:szCs w:val="20"/>
              </w:rPr>
            </w:pPr>
            <w:r>
              <w:rPr>
                <w:noProof/>
                <w:color w:val="006100"/>
              </w:rPr>
              <w:t>Veicināt izmantošanas mērīšanu un monitoringu kolektīvajos tīklos (uzstādot skaitītājus un tālvadības sistēmas), tostarp pāreju no pašpiegādes uz kolektīvu izmantošanu, kas i</w:t>
            </w:r>
            <w:r>
              <w:rPr>
                <w:noProof/>
                <w:color w:val="006100"/>
              </w:rPr>
              <w:t>r priekšnoteikums, lai pabeigtu ieviest ūdens cenu politiku, kuras pamatā ir ūdens apjomi, lai efektīvi izmantotu ūdens resursus lauksaimniecībā un tādējādi stimulētu nelikumīgas ūdens aizvākšanas samazināšanu lauku apvidos.</w:t>
            </w:r>
          </w:p>
          <w:p w14:paraId="365A4082" w14:textId="77777777" w:rsidR="00327FF1" w:rsidRDefault="00E406C7">
            <w:pPr>
              <w:pStyle w:val="P68B1DB1-ListParagraph15"/>
              <w:numPr>
                <w:ilvl w:val="0"/>
                <w:numId w:val="33"/>
              </w:numPr>
              <w:autoSpaceDE w:val="0"/>
              <w:autoSpaceDN w:val="0"/>
              <w:spacing w:after="0" w:line="276" w:lineRule="auto"/>
              <w:jc w:val="both"/>
              <w:rPr>
                <w:noProof/>
                <w:szCs w:val="20"/>
              </w:rPr>
            </w:pPr>
            <w:r>
              <w:rPr>
                <w:noProof/>
              </w:rPr>
              <w:t>Ieguldījumiem apūdeņošanā vajad</w:t>
            </w:r>
            <w:r>
              <w:rPr>
                <w:noProof/>
              </w:rPr>
              <w:t xml:space="preserve">zētu būt vērstiem uz to, lai pašreizējo apūdeņošanu padarītu efektīvāku pat tad, ja attiecīgais ūdensobjekts ir labā stāvoklī. </w:t>
            </w:r>
          </w:p>
          <w:p w14:paraId="3F699C7C" w14:textId="77777777" w:rsidR="00327FF1" w:rsidRDefault="00327FF1">
            <w:pPr>
              <w:pStyle w:val="ListParagraph"/>
              <w:rPr>
                <w:rFonts w:ascii="Arial Narrow" w:hAnsi="Arial Narrow"/>
                <w:noProof/>
                <w:color w:val="006100"/>
                <w:sz w:val="20"/>
              </w:rPr>
            </w:pPr>
          </w:p>
          <w:p w14:paraId="51A5120B" w14:textId="77777777" w:rsidR="00327FF1" w:rsidRDefault="00E406C7">
            <w:pPr>
              <w:pStyle w:val="P68B1DB1-Normal11"/>
              <w:autoSpaceDE w:val="0"/>
              <w:autoSpaceDN w:val="0"/>
              <w:spacing w:line="276" w:lineRule="auto"/>
              <w:rPr>
                <w:noProof/>
                <w:szCs w:val="20"/>
              </w:rPr>
            </w:pPr>
            <w:r>
              <w:rPr>
                <w:noProof/>
              </w:rPr>
              <w:t>Paredzams, ka šis pasākums nenodarīs būtisku kaitējumu vides mērķiem Regulas (ES) 2020/852 17. panta nozīmē, ņemot vērā pasākum</w:t>
            </w:r>
            <w:r>
              <w:rPr>
                <w:noProof/>
              </w:rPr>
              <w:t>a aprakstu un mazināšanas pasākumus, kas izklāstīti atveseļošanas un noturības plānā saskaņā ar Tehniskajiem norādījumiem “nenodarīt būtisku kaitējumu”.</w:t>
            </w:r>
          </w:p>
          <w:p w14:paraId="44B21766" w14:textId="77777777" w:rsidR="00327FF1" w:rsidRDefault="00E406C7">
            <w:pPr>
              <w:pStyle w:val="P68B1DB1-Normal11"/>
              <w:autoSpaceDE w:val="0"/>
              <w:autoSpaceDN w:val="0"/>
              <w:spacing w:line="276" w:lineRule="auto"/>
              <w:rPr>
                <w:noProof/>
                <w:szCs w:val="20"/>
              </w:rPr>
            </w:pPr>
            <w:r>
              <w:rPr>
                <w:noProof/>
              </w:rPr>
              <w:t xml:space="preserve">(2021/C58/01). Jo īpaši attiecībā uz katru apakšieguldījumu pirms būvdarbu uzsākšanas, to laikā un pēc </w:t>
            </w:r>
            <w:r>
              <w:rPr>
                <w:noProof/>
              </w:rPr>
              <w:t xml:space="preserve">to uzsākšanas jānodrošina pilnīga atbilstība ES tiesību aktu, tostarp Ūdens pamatdirektīvas, prasībām. </w:t>
            </w:r>
          </w:p>
          <w:p w14:paraId="7F387101" w14:textId="77777777" w:rsidR="00327FF1" w:rsidRDefault="00E406C7">
            <w:pPr>
              <w:pStyle w:val="P68B1DB1-Normal11"/>
              <w:autoSpaceDE w:val="0"/>
              <w:autoSpaceDN w:val="0"/>
              <w:spacing w:line="276" w:lineRule="auto"/>
              <w:rPr>
                <w:noProof/>
                <w:szCs w:val="20"/>
              </w:rPr>
            </w:pPr>
            <w:r>
              <w:rPr>
                <w:noProof/>
              </w:rPr>
              <w:t>Turklāt intervencēm, ja tās ir piemērojamas saskaņā ar valsts tiesību aktiem, veic ietekmes uz vidi novērtējumu (IVN) saskaņā ar Direktīvu 2011/92/ES, k</w:t>
            </w:r>
            <w:r>
              <w:rPr>
                <w:noProof/>
              </w:rPr>
              <w:t>ā arī attiecīgos novērtējumus Direktīvas 2000/60/EK un Direktīvas 92/43/EEK kontekstā, tostarp nepieciešamo ietekmes mazināšanas pasākumu īstenošanu.</w:t>
            </w:r>
          </w:p>
        </w:tc>
      </w:tr>
      <w:tr w:rsidR="00327FF1" w14:paraId="31D6B18D" w14:textId="77777777">
        <w:trPr>
          <w:trHeight w:val="300"/>
        </w:trPr>
        <w:tc>
          <w:tcPr>
            <w:tcW w:w="1134" w:type="dxa"/>
            <w:shd w:val="clear" w:color="auto" w:fill="C6EFCE"/>
            <w:noWrap/>
            <w:vAlign w:val="center"/>
            <w:hideMark/>
          </w:tcPr>
          <w:p w14:paraId="3DAD51A2" w14:textId="77777777" w:rsidR="00327FF1" w:rsidRDefault="00E406C7">
            <w:pPr>
              <w:pStyle w:val="P68B1DB1-Normal11"/>
              <w:spacing w:line="276" w:lineRule="auto"/>
              <w:jc w:val="center"/>
              <w:rPr>
                <w:noProof/>
                <w:szCs w:val="20"/>
              </w:rPr>
            </w:pPr>
            <w:r>
              <w:rPr>
                <w:noProof/>
              </w:rPr>
              <w:t>M2C4–34</w:t>
            </w:r>
          </w:p>
        </w:tc>
        <w:tc>
          <w:tcPr>
            <w:tcW w:w="1736" w:type="dxa"/>
            <w:shd w:val="clear" w:color="auto" w:fill="C6EFCE"/>
            <w:noWrap/>
            <w:vAlign w:val="center"/>
            <w:hideMark/>
          </w:tcPr>
          <w:p w14:paraId="3D2175F0" w14:textId="77777777" w:rsidR="00327FF1" w:rsidRDefault="00E406C7">
            <w:pPr>
              <w:pStyle w:val="P68B1DB1-Normal11"/>
              <w:spacing w:line="276" w:lineRule="auto"/>
              <w:jc w:val="center"/>
              <w:rPr>
                <w:noProof/>
                <w:szCs w:val="20"/>
              </w:rPr>
            </w:pPr>
            <w:r>
              <w:rPr>
                <w:noProof/>
              </w:rPr>
              <w:t>Investīcija 4.3. Ieguldījumi apūdeņošanas agrosistēmas noturībā labākai ūdens resursu pārvaldībai</w:t>
            </w:r>
          </w:p>
        </w:tc>
        <w:tc>
          <w:tcPr>
            <w:tcW w:w="1261" w:type="dxa"/>
            <w:shd w:val="clear" w:color="auto" w:fill="C6EFCE"/>
            <w:noWrap/>
            <w:vAlign w:val="center"/>
            <w:hideMark/>
          </w:tcPr>
          <w:p w14:paraId="47B659F8" w14:textId="77777777" w:rsidR="00327FF1" w:rsidRDefault="00E406C7">
            <w:pPr>
              <w:pStyle w:val="P68B1DB1-Normal11"/>
              <w:spacing w:line="276" w:lineRule="auto"/>
              <w:jc w:val="center"/>
              <w:rPr>
                <w:noProof/>
                <w:szCs w:val="20"/>
              </w:rPr>
            </w:pPr>
            <w:r>
              <w:rPr>
                <w:noProof/>
              </w:rPr>
              <w:t>Mērķa</w:t>
            </w:r>
          </w:p>
        </w:tc>
        <w:tc>
          <w:tcPr>
            <w:tcW w:w="1365" w:type="dxa"/>
            <w:shd w:val="clear" w:color="auto" w:fill="C6EFCE"/>
            <w:noWrap/>
            <w:vAlign w:val="center"/>
            <w:hideMark/>
          </w:tcPr>
          <w:p w14:paraId="39A65A82" w14:textId="77777777" w:rsidR="00327FF1" w:rsidRDefault="00E406C7">
            <w:pPr>
              <w:pStyle w:val="P68B1DB1-Normal11"/>
              <w:spacing w:line="276" w:lineRule="auto"/>
              <w:jc w:val="center"/>
              <w:rPr>
                <w:noProof/>
                <w:szCs w:val="20"/>
              </w:rPr>
            </w:pPr>
            <w:r>
              <w:rPr>
                <w:noProof/>
              </w:rPr>
              <w:t>Intervences apūdeņošanas agrosistēmas izturētspējai ūdens resursu labākai apsaimniekošanai T1</w:t>
            </w:r>
          </w:p>
        </w:tc>
        <w:tc>
          <w:tcPr>
            <w:tcW w:w="1264" w:type="dxa"/>
            <w:shd w:val="clear" w:color="auto" w:fill="C6EFCE"/>
            <w:noWrap/>
            <w:vAlign w:val="center"/>
            <w:hideMark/>
          </w:tcPr>
          <w:p w14:paraId="3DEAF7C8" w14:textId="77777777" w:rsidR="00327FF1" w:rsidRDefault="00E406C7">
            <w:pPr>
              <w:pStyle w:val="P68B1DB1-Normal11"/>
              <w:spacing w:line="276" w:lineRule="auto"/>
              <w:jc w:val="center"/>
              <w:rPr>
                <w:noProof/>
                <w:szCs w:val="20"/>
              </w:rPr>
            </w:pPr>
            <w:r>
              <w:rPr>
                <w:noProof/>
              </w:rPr>
              <w:t>NEPIEMĒRO</w:t>
            </w:r>
          </w:p>
        </w:tc>
        <w:tc>
          <w:tcPr>
            <w:tcW w:w="1055" w:type="dxa"/>
            <w:shd w:val="clear" w:color="auto" w:fill="C6EFCE"/>
            <w:noWrap/>
            <w:vAlign w:val="center"/>
            <w:hideMark/>
          </w:tcPr>
          <w:p w14:paraId="7A30833A" w14:textId="77777777" w:rsidR="00327FF1" w:rsidRDefault="00E406C7">
            <w:pPr>
              <w:pStyle w:val="P68B1DB1-Normal12"/>
              <w:spacing w:line="276" w:lineRule="auto"/>
              <w:jc w:val="center"/>
              <w:rPr>
                <w:noProof/>
              </w:rPr>
            </w:pPr>
            <w:r>
              <w:rPr>
                <w:noProof/>
              </w:rPr>
              <w:t>Skaits</w:t>
            </w:r>
          </w:p>
        </w:tc>
        <w:tc>
          <w:tcPr>
            <w:tcW w:w="946" w:type="dxa"/>
            <w:shd w:val="clear" w:color="auto" w:fill="C6EFCE"/>
            <w:noWrap/>
            <w:vAlign w:val="center"/>
            <w:hideMark/>
          </w:tcPr>
          <w:p w14:paraId="32274487" w14:textId="77777777" w:rsidR="00327FF1" w:rsidRDefault="00E406C7">
            <w:pPr>
              <w:pStyle w:val="P68B1DB1-Normal12"/>
              <w:spacing w:line="276" w:lineRule="auto"/>
              <w:jc w:val="center"/>
              <w:rPr>
                <w:noProof/>
              </w:rPr>
            </w:pPr>
            <w:r>
              <w:rPr>
                <w:noProof/>
              </w:rPr>
              <w:t>0</w:t>
            </w:r>
          </w:p>
        </w:tc>
        <w:tc>
          <w:tcPr>
            <w:tcW w:w="1000" w:type="dxa"/>
            <w:shd w:val="clear" w:color="auto" w:fill="C6EFCE"/>
            <w:noWrap/>
            <w:vAlign w:val="center"/>
            <w:hideMark/>
          </w:tcPr>
          <w:p w14:paraId="277CBDA5" w14:textId="77777777" w:rsidR="00327FF1" w:rsidRDefault="00E406C7">
            <w:pPr>
              <w:pStyle w:val="P68B1DB1-Normal12"/>
              <w:spacing w:line="276" w:lineRule="auto"/>
              <w:jc w:val="center"/>
              <w:rPr>
                <w:noProof/>
              </w:rPr>
            </w:pPr>
            <w:r>
              <w:rPr>
                <w:noProof/>
              </w:rPr>
              <w:t>40</w:t>
            </w:r>
          </w:p>
        </w:tc>
        <w:tc>
          <w:tcPr>
            <w:tcW w:w="809" w:type="dxa"/>
            <w:shd w:val="clear" w:color="auto" w:fill="C6EFCE"/>
            <w:noWrap/>
            <w:vAlign w:val="center"/>
            <w:hideMark/>
          </w:tcPr>
          <w:p w14:paraId="77842B2B" w14:textId="77777777" w:rsidR="00327FF1" w:rsidRDefault="00E406C7">
            <w:pPr>
              <w:pStyle w:val="P68B1DB1-Normal11"/>
              <w:spacing w:line="276" w:lineRule="auto"/>
              <w:jc w:val="center"/>
              <w:rPr>
                <w:noProof/>
                <w:szCs w:val="20"/>
              </w:rPr>
            </w:pPr>
            <w:r>
              <w:rPr>
                <w:noProof/>
              </w:rPr>
              <w:t>4. CET.</w:t>
            </w:r>
          </w:p>
        </w:tc>
        <w:tc>
          <w:tcPr>
            <w:tcW w:w="770" w:type="dxa"/>
            <w:shd w:val="clear" w:color="auto" w:fill="C6EFCE"/>
            <w:noWrap/>
            <w:vAlign w:val="center"/>
            <w:hideMark/>
          </w:tcPr>
          <w:p w14:paraId="247914B9" w14:textId="77777777" w:rsidR="00327FF1" w:rsidRDefault="00E406C7">
            <w:pPr>
              <w:pStyle w:val="P68B1DB1-Normal11"/>
              <w:spacing w:line="276" w:lineRule="auto"/>
              <w:jc w:val="center"/>
              <w:rPr>
                <w:noProof/>
                <w:szCs w:val="20"/>
              </w:rPr>
            </w:pPr>
            <w:r>
              <w:rPr>
                <w:noProof/>
              </w:rPr>
              <w:t>2024</w:t>
            </w:r>
          </w:p>
        </w:tc>
        <w:tc>
          <w:tcPr>
            <w:tcW w:w="3544" w:type="dxa"/>
            <w:shd w:val="clear" w:color="auto" w:fill="C6EFCE"/>
            <w:noWrap/>
            <w:vAlign w:val="center"/>
            <w:hideMark/>
          </w:tcPr>
          <w:p w14:paraId="541CB9AC" w14:textId="677370F1" w:rsidR="00327FF1" w:rsidRDefault="00E406C7">
            <w:pPr>
              <w:pStyle w:val="P68B1DB1-Normal12"/>
              <w:spacing w:line="276" w:lineRule="auto"/>
              <w:rPr>
                <w:noProof/>
              </w:rPr>
            </w:pPr>
            <w:r>
              <w:rPr>
                <w:noProof/>
              </w:rPr>
              <w:t>Ar skaitītājiem aprīko vismaz 40 atsūknēšanas avotus (uzskaitīti SIGRIAN), kas saistīti</w:t>
            </w:r>
            <w:r>
              <w:rPr>
                <w:noProof/>
              </w:rPr>
              <w:t xml:space="preserve"> ar ūdens koncesiju (concessione di derivazione), kuru jauda ir vismaz 100 l/s.</w:t>
            </w:r>
          </w:p>
          <w:p w14:paraId="6D0BEBB9" w14:textId="77777777" w:rsidR="00327FF1" w:rsidRDefault="00E406C7">
            <w:pPr>
              <w:pStyle w:val="P68B1DB1-Normal11"/>
              <w:spacing w:line="276" w:lineRule="auto"/>
              <w:rPr>
                <w:noProof/>
                <w:szCs w:val="20"/>
              </w:rPr>
            </w:pPr>
            <w:r>
              <w:rPr>
                <w:noProof/>
              </w:rPr>
              <w:t>Vispārējās tīkla efektivitātes intervences ietver arī:</w:t>
            </w:r>
          </w:p>
          <w:p w14:paraId="7D5F1C27" w14:textId="77777777" w:rsidR="00327FF1" w:rsidRDefault="00E406C7">
            <w:pPr>
              <w:pStyle w:val="P68B1DB1-ListParagraph15"/>
              <w:numPr>
                <w:ilvl w:val="0"/>
                <w:numId w:val="34"/>
              </w:numPr>
              <w:spacing w:after="0" w:line="276" w:lineRule="auto"/>
              <w:jc w:val="both"/>
              <w:rPr>
                <w:noProof/>
                <w:szCs w:val="20"/>
              </w:rPr>
            </w:pPr>
            <w:r>
              <w:rPr>
                <w:noProof/>
                <w:szCs w:val="20"/>
              </w:rPr>
              <w:t>30</w:t>
            </w:r>
            <w:r>
              <w:rPr>
                <w:noProof/>
              </w:rPr>
              <w:t>0 trešā līmeņa skaitītāji;</w:t>
            </w:r>
          </w:p>
          <w:p w14:paraId="44C7FF6D" w14:textId="77777777" w:rsidR="00327FF1" w:rsidRDefault="00E406C7">
            <w:pPr>
              <w:pStyle w:val="P68B1DB1-ListParagraph15"/>
              <w:numPr>
                <w:ilvl w:val="0"/>
                <w:numId w:val="34"/>
              </w:numPr>
              <w:spacing w:after="0" w:line="276" w:lineRule="auto"/>
              <w:jc w:val="both"/>
              <w:rPr>
                <w:noProof/>
                <w:szCs w:val="20"/>
              </w:rPr>
            </w:pPr>
            <w:r>
              <w:rPr>
                <w:noProof/>
                <w:szCs w:val="20"/>
              </w:rPr>
              <w:t>10000</w:t>
            </w:r>
            <w:r>
              <w:rPr>
                <w:noProof/>
              </w:rPr>
              <w:t xml:space="preserve">  ceturtā līmeņa skaitītāji;</w:t>
            </w:r>
          </w:p>
          <w:p w14:paraId="479ECACB" w14:textId="77777777" w:rsidR="00327FF1" w:rsidRDefault="00E406C7">
            <w:pPr>
              <w:pStyle w:val="P68B1DB1-ListParagraph15"/>
              <w:numPr>
                <w:ilvl w:val="0"/>
                <w:numId w:val="34"/>
              </w:numPr>
              <w:spacing w:after="0" w:line="276" w:lineRule="auto"/>
              <w:jc w:val="both"/>
              <w:rPr>
                <w:noProof/>
                <w:szCs w:val="20"/>
              </w:rPr>
            </w:pPr>
            <w:r>
              <w:rPr>
                <w:noProof/>
              </w:rPr>
              <w:t>Digitalizācija un tīklu uzlabojumi.</w:t>
            </w:r>
          </w:p>
        </w:tc>
      </w:tr>
      <w:tr w:rsidR="00327FF1" w14:paraId="7DB41ACE" w14:textId="77777777">
        <w:trPr>
          <w:trHeight w:val="300"/>
        </w:trPr>
        <w:tc>
          <w:tcPr>
            <w:tcW w:w="1134" w:type="dxa"/>
            <w:shd w:val="clear" w:color="auto" w:fill="C6EFCE"/>
            <w:noWrap/>
            <w:vAlign w:val="center"/>
            <w:hideMark/>
          </w:tcPr>
          <w:p w14:paraId="146645F7" w14:textId="77777777" w:rsidR="00327FF1" w:rsidRDefault="00E406C7">
            <w:pPr>
              <w:pStyle w:val="P68B1DB1-Normal11"/>
              <w:spacing w:line="276" w:lineRule="auto"/>
              <w:jc w:val="center"/>
              <w:rPr>
                <w:noProof/>
                <w:szCs w:val="20"/>
              </w:rPr>
            </w:pPr>
            <w:r>
              <w:rPr>
                <w:noProof/>
              </w:rPr>
              <w:t>M2C4–34bis</w:t>
            </w:r>
          </w:p>
        </w:tc>
        <w:tc>
          <w:tcPr>
            <w:tcW w:w="1736" w:type="dxa"/>
            <w:shd w:val="clear" w:color="auto" w:fill="C6EFCE"/>
            <w:noWrap/>
            <w:vAlign w:val="center"/>
            <w:hideMark/>
          </w:tcPr>
          <w:p w14:paraId="3296E31B" w14:textId="77777777" w:rsidR="00327FF1" w:rsidRDefault="00E406C7">
            <w:pPr>
              <w:pStyle w:val="P68B1DB1-Normal11"/>
              <w:spacing w:line="276" w:lineRule="auto"/>
              <w:jc w:val="center"/>
              <w:rPr>
                <w:noProof/>
                <w:szCs w:val="20"/>
              </w:rPr>
            </w:pPr>
            <w:r>
              <w:rPr>
                <w:noProof/>
              </w:rPr>
              <w:t>Investīcija 4.3. Ieguldījumi apūdeņošanas agrosistēmas noturībā labākai ūdens resursu pārvaldībai</w:t>
            </w:r>
          </w:p>
        </w:tc>
        <w:tc>
          <w:tcPr>
            <w:tcW w:w="1261" w:type="dxa"/>
            <w:shd w:val="clear" w:color="auto" w:fill="C6EFCE"/>
            <w:noWrap/>
            <w:vAlign w:val="center"/>
            <w:hideMark/>
          </w:tcPr>
          <w:p w14:paraId="61935C7F" w14:textId="77777777" w:rsidR="00327FF1" w:rsidRDefault="00E406C7">
            <w:pPr>
              <w:pStyle w:val="P68B1DB1-Normal11"/>
              <w:spacing w:line="276" w:lineRule="auto"/>
              <w:jc w:val="center"/>
              <w:rPr>
                <w:noProof/>
                <w:szCs w:val="20"/>
              </w:rPr>
            </w:pPr>
            <w:r>
              <w:rPr>
                <w:noProof/>
              </w:rPr>
              <w:t>Mērķa</w:t>
            </w:r>
          </w:p>
        </w:tc>
        <w:tc>
          <w:tcPr>
            <w:tcW w:w="1365" w:type="dxa"/>
            <w:shd w:val="clear" w:color="auto" w:fill="C6EFCE"/>
            <w:noWrap/>
            <w:vAlign w:val="center"/>
            <w:hideMark/>
          </w:tcPr>
          <w:p w14:paraId="6D505E3C" w14:textId="77777777" w:rsidR="00327FF1" w:rsidRDefault="00E406C7">
            <w:pPr>
              <w:pStyle w:val="P68B1DB1-Normal11"/>
              <w:spacing w:line="276" w:lineRule="auto"/>
              <w:jc w:val="center"/>
              <w:rPr>
                <w:noProof/>
                <w:szCs w:val="20"/>
              </w:rPr>
            </w:pPr>
            <w:r>
              <w:rPr>
                <w:noProof/>
              </w:rPr>
              <w:t>Intervences apūdeņošanas agrosistēmas izturētspējai ūdens resursu labākai apsaimniekošanai T1</w:t>
            </w:r>
            <w:r>
              <w:rPr>
                <w:noProof/>
                <w:szCs w:val="20"/>
              </w:rPr>
              <w:t>.2</w:t>
            </w:r>
          </w:p>
        </w:tc>
        <w:tc>
          <w:tcPr>
            <w:tcW w:w="1264" w:type="dxa"/>
            <w:shd w:val="clear" w:color="auto" w:fill="C6EFCE"/>
            <w:noWrap/>
            <w:vAlign w:val="center"/>
            <w:hideMark/>
          </w:tcPr>
          <w:p w14:paraId="3F3C056E" w14:textId="77777777" w:rsidR="00327FF1" w:rsidRDefault="00E406C7">
            <w:pPr>
              <w:pStyle w:val="P68B1DB1-Normal11"/>
              <w:spacing w:line="276" w:lineRule="auto"/>
              <w:jc w:val="center"/>
              <w:rPr>
                <w:noProof/>
                <w:szCs w:val="20"/>
              </w:rPr>
            </w:pPr>
            <w:r>
              <w:rPr>
                <w:noProof/>
              </w:rPr>
              <w:t>NEPIEMĒRO</w:t>
            </w:r>
          </w:p>
        </w:tc>
        <w:tc>
          <w:tcPr>
            <w:tcW w:w="1055" w:type="dxa"/>
            <w:shd w:val="clear" w:color="auto" w:fill="C6EFCE"/>
            <w:noWrap/>
            <w:vAlign w:val="center"/>
            <w:hideMark/>
          </w:tcPr>
          <w:p w14:paraId="7CA91A82" w14:textId="77777777" w:rsidR="00327FF1" w:rsidRDefault="00E406C7">
            <w:pPr>
              <w:pStyle w:val="P68B1DB1-Normal12"/>
              <w:spacing w:line="276" w:lineRule="auto"/>
              <w:jc w:val="center"/>
              <w:rPr>
                <w:noProof/>
              </w:rPr>
            </w:pPr>
            <w:r>
              <w:rPr>
                <w:noProof/>
              </w:rPr>
              <w:t>Skaits</w:t>
            </w:r>
          </w:p>
        </w:tc>
        <w:tc>
          <w:tcPr>
            <w:tcW w:w="946" w:type="dxa"/>
            <w:shd w:val="clear" w:color="auto" w:fill="C6EFCE"/>
            <w:noWrap/>
            <w:vAlign w:val="center"/>
            <w:hideMark/>
          </w:tcPr>
          <w:p w14:paraId="7E6AED5A" w14:textId="77777777" w:rsidR="00327FF1" w:rsidRDefault="00E406C7">
            <w:pPr>
              <w:pStyle w:val="P68B1DB1-Normal12"/>
              <w:spacing w:line="276" w:lineRule="auto"/>
              <w:jc w:val="center"/>
              <w:rPr>
                <w:noProof/>
              </w:rPr>
            </w:pPr>
            <w:r>
              <w:rPr>
                <w:noProof/>
              </w:rPr>
              <w:t>40</w:t>
            </w:r>
          </w:p>
        </w:tc>
        <w:tc>
          <w:tcPr>
            <w:tcW w:w="1000" w:type="dxa"/>
            <w:shd w:val="clear" w:color="auto" w:fill="C6EFCE"/>
            <w:noWrap/>
            <w:vAlign w:val="center"/>
            <w:hideMark/>
          </w:tcPr>
          <w:p w14:paraId="672086E9" w14:textId="77777777" w:rsidR="00327FF1" w:rsidRDefault="00E406C7">
            <w:pPr>
              <w:pStyle w:val="P68B1DB1-Normal12"/>
              <w:spacing w:line="276" w:lineRule="auto"/>
              <w:jc w:val="center"/>
              <w:rPr>
                <w:noProof/>
              </w:rPr>
            </w:pPr>
            <w:r>
              <w:rPr>
                <w:noProof/>
              </w:rPr>
              <w:t>105</w:t>
            </w:r>
          </w:p>
        </w:tc>
        <w:tc>
          <w:tcPr>
            <w:tcW w:w="809" w:type="dxa"/>
            <w:shd w:val="clear" w:color="auto" w:fill="C6EFCE"/>
            <w:noWrap/>
            <w:vAlign w:val="center"/>
            <w:hideMark/>
          </w:tcPr>
          <w:p w14:paraId="65E4842A" w14:textId="77777777" w:rsidR="00327FF1" w:rsidRDefault="00E406C7">
            <w:pPr>
              <w:pStyle w:val="P68B1DB1-Normal11"/>
              <w:spacing w:line="276" w:lineRule="auto"/>
              <w:jc w:val="center"/>
              <w:rPr>
                <w:noProof/>
                <w:szCs w:val="20"/>
              </w:rPr>
            </w:pPr>
            <w:r>
              <w:rPr>
                <w:noProof/>
              </w:rPr>
              <w:t>2. CET.</w:t>
            </w:r>
          </w:p>
        </w:tc>
        <w:tc>
          <w:tcPr>
            <w:tcW w:w="770" w:type="dxa"/>
            <w:shd w:val="clear" w:color="auto" w:fill="C6EFCE"/>
            <w:noWrap/>
            <w:vAlign w:val="center"/>
            <w:hideMark/>
          </w:tcPr>
          <w:p w14:paraId="0AAF3234" w14:textId="77777777" w:rsidR="00327FF1" w:rsidRDefault="00E406C7">
            <w:pPr>
              <w:pStyle w:val="P68B1DB1-Normal11"/>
              <w:spacing w:line="276" w:lineRule="auto"/>
              <w:jc w:val="center"/>
              <w:rPr>
                <w:noProof/>
                <w:szCs w:val="20"/>
              </w:rPr>
            </w:pPr>
            <w:r>
              <w:rPr>
                <w:noProof/>
              </w:rPr>
              <w:t>2026</w:t>
            </w:r>
          </w:p>
        </w:tc>
        <w:tc>
          <w:tcPr>
            <w:tcW w:w="3544" w:type="dxa"/>
            <w:shd w:val="clear" w:color="auto" w:fill="C6EFCE"/>
            <w:noWrap/>
            <w:vAlign w:val="center"/>
            <w:hideMark/>
          </w:tcPr>
          <w:p w14:paraId="7E259A6D" w14:textId="77777777" w:rsidR="00327FF1" w:rsidRDefault="00E406C7">
            <w:pPr>
              <w:pStyle w:val="P68B1DB1-Normal12"/>
              <w:spacing w:line="276" w:lineRule="auto"/>
              <w:rPr>
                <w:noProof/>
              </w:rPr>
            </w:pPr>
            <w:r>
              <w:rPr>
                <w:noProof/>
              </w:rPr>
              <w:t xml:space="preserve">Ar skaitītājiem </w:t>
            </w:r>
            <w:r>
              <w:rPr>
                <w:noProof/>
              </w:rPr>
              <w:t>aprīko vismaz 105 atsūknēšanas avotus (uzskaitīti SIGRIAN), kas saistīti ar ūdens koncesiju (concessione di derivazione), kuru jauda ir vismaz 100 l/s.</w:t>
            </w:r>
          </w:p>
          <w:p w14:paraId="42B281BD" w14:textId="77777777" w:rsidR="00327FF1" w:rsidRDefault="00E406C7">
            <w:pPr>
              <w:pStyle w:val="P68B1DB1-Normal12"/>
              <w:spacing w:after="0" w:line="276" w:lineRule="auto"/>
              <w:jc w:val="both"/>
              <w:rPr>
                <w:noProof/>
              </w:rPr>
            </w:pPr>
            <w:r>
              <w:rPr>
                <w:noProof/>
              </w:rPr>
              <w:t>Kopējās tīkla efektivitātes intervences dod labumu vismaz 422407 hektāru apūdeņotās platības, un tās iet</w:t>
            </w:r>
            <w:r>
              <w:rPr>
                <w:noProof/>
              </w:rPr>
              <w:t xml:space="preserve">ver: </w:t>
            </w:r>
          </w:p>
          <w:p w14:paraId="03A247E1" w14:textId="28304F22" w:rsidR="00327FF1" w:rsidRDefault="00E406C7">
            <w:pPr>
              <w:pStyle w:val="P68B1DB1-ListParagraph13"/>
              <w:numPr>
                <w:ilvl w:val="0"/>
                <w:numId w:val="35"/>
              </w:numPr>
              <w:spacing w:after="0" w:line="276" w:lineRule="auto"/>
              <w:jc w:val="both"/>
              <w:rPr>
                <w:noProof/>
              </w:rPr>
            </w:pPr>
            <w:r>
              <w:rPr>
                <w:noProof/>
              </w:rPr>
              <w:t>750 trešā līmeņa skaitītāju uzstādīšana;</w:t>
            </w:r>
          </w:p>
          <w:p w14:paraId="03AC3505" w14:textId="77777777" w:rsidR="00327FF1" w:rsidRDefault="00E406C7">
            <w:pPr>
              <w:pStyle w:val="P68B1DB1-ListParagraph13"/>
              <w:numPr>
                <w:ilvl w:val="0"/>
                <w:numId w:val="35"/>
              </w:numPr>
              <w:spacing w:after="0" w:line="276" w:lineRule="auto"/>
              <w:jc w:val="both"/>
              <w:rPr>
                <w:noProof/>
              </w:rPr>
            </w:pPr>
            <w:r>
              <w:rPr>
                <w:noProof/>
              </w:rPr>
              <w:t>25000 ceturtā līmeņa skaitītāju uzstādīšana;</w:t>
            </w:r>
          </w:p>
          <w:p w14:paraId="007AAFBA" w14:textId="77777777" w:rsidR="00327FF1" w:rsidRDefault="00E406C7">
            <w:pPr>
              <w:pStyle w:val="P68B1DB1-ListParagraph13"/>
              <w:numPr>
                <w:ilvl w:val="0"/>
                <w:numId w:val="35"/>
              </w:numPr>
              <w:spacing w:after="0" w:line="276" w:lineRule="auto"/>
              <w:jc w:val="both"/>
              <w:rPr>
                <w:noProof/>
              </w:rPr>
            </w:pPr>
            <w:r>
              <w:rPr>
                <w:noProof/>
              </w:rPr>
              <w:t>Digitalizācija un tīklu uzlabojumi.</w:t>
            </w:r>
          </w:p>
        </w:tc>
      </w:tr>
      <w:tr w:rsidR="00327FF1" w14:paraId="6B9E5A7A" w14:textId="77777777">
        <w:trPr>
          <w:trHeight w:val="300"/>
        </w:trPr>
        <w:tc>
          <w:tcPr>
            <w:tcW w:w="1134" w:type="dxa"/>
            <w:shd w:val="clear" w:color="auto" w:fill="C6EFCE"/>
            <w:noWrap/>
            <w:vAlign w:val="center"/>
          </w:tcPr>
          <w:p w14:paraId="01753F6F" w14:textId="4334586A" w:rsidR="00327FF1" w:rsidRDefault="00E406C7">
            <w:pPr>
              <w:pStyle w:val="P68B1DB1-Normal12"/>
              <w:spacing w:line="276" w:lineRule="auto"/>
              <w:jc w:val="center"/>
              <w:rPr>
                <w:noProof/>
              </w:rPr>
            </w:pPr>
            <w:r>
              <w:rPr>
                <w:noProof/>
              </w:rPr>
              <w:t>M2C4–35</w:t>
            </w:r>
          </w:p>
        </w:tc>
        <w:tc>
          <w:tcPr>
            <w:tcW w:w="1736" w:type="dxa"/>
            <w:shd w:val="clear" w:color="auto" w:fill="C6EFCE"/>
            <w:noWrap/>
            <w:vAlign w:val="center"/>
          </w:tcPr>
          <w:p w14:paraId="0A0F483D" w14:textId="77777777" w:rsidR="00327FF1" w:rsidRDefault="00E406C7">
            <w:pPr>
              <w:pStyle w:val="P68B1DB1-Normal12"/>
              <w:spacing w:line="276" w:lineRule="auto"/>
              <w:jc w:val="center"/>
              <w:rPr>
                <w:noProof/>
              </w:rPr>
            </w:pPr>
            <w:r>
              <w:rPr>
                <w:noProof/>
              </w:rPr>
              <w:t>Investīcija 4.3. Ieguldījumi apūdeņošanas agrosistēmas noturībā labākai ūdens resursu pārvaldībai</w:t>
            </w:r>
          </w:p>
        </w:tc>
        <w:tc>
          <w:tcPr>
            <w:tcW w:w="1261" w:type="dxa"/>
            <w:shd w:val="clear" w:color="auto" w:fill="C6EFCE"/>
            <w:noWrap/>
            <w:vAlign w:val="center"/>
          </w:tcPr>
          <w:p w14:paraId="07530782" w14:textId="77777777" w:rsidR="00327FF1" w:rsidRDefault="00E406C7">
            <w:pPr>
              <w:pStyle w:val="P68B1DB1-Normal12"/>
              <w:spacing w:line="276" w:lineRule="auto"/>
              <w:jc w:val="center"/>
              <w:rPr>
                <w:noProof/>
              </w:rPr>
            </w:pPr>
            <w:r>
              <w:rPr>
                <w:noProof/>
              </w:rPr>
              <w:t>Mērķa</w:t>
            </w:r>
          </w:p>
        </w:tc>
        <w:tc>
          <w:tcPr>
            <w:tcW w:w="1365" w:type="dxa"/>
            <w:shd w:val="clear" w:color="auto" w:fill="C6EFCE"/>
            <w:noWrap/>
            <w:vAlign w:val="center"/>
          </w:tcPr>
          <w:p w14:paraId="1753BFD0" w14:textId="77777777" w:rsidR="00327FF1" w:rsidRDefault="00E406C7">
            <w:pPr>
              <w:pStyle w:val="P68B1DB1-Normal12"/>
              <w:spacing w:line="276" w:lineRule="auto"/>
              <w:jc w:val="center"/>
              <w:rPr>
                <w:noProof/>
              </w:rPr>
            </w:pPr>
            <w:r>
              <w:rPr>
                <w:noProof/>
              </w:rPr>
              <w:t xml:space="preserve">Intervences </w:t>
            </w:r>
            <w:r>
              <w:rPr>
                <w:noProof/>
              </w:rPr>
              <w:t>apūdeņošanas agrosistēmas izturētspējai ūdens resursu labākai apsaimniekošanai T2</w:t>
            </w:r>
          </w:p>
        </w:tc>
        <w:tc>
          <w:tcPr>
            <w:tcW w:w="1264" w:type="dxa"/>
            <w:shd w:val="clear" w:color="auto" w:fill="C6EFCE"/>
            <w:noWrap/>
            <w:vAlign w:val="center"/>
          </w:tcPr>
          <w:p w14:paraId="02F24587" w14:textId="77777777" w:rsidR="00327FF1" w:rsidRDefault="00E406C7">
            <w:pPr>
              <w:pStyle w:val="P68B1DB1-Normal12"/>
              <w:spacing w:line="276" w:lineRule="auto"/>
              <w:jc w:val="center"/>
              <w:rPr>
                <w:noProof/>
              </w:rPr>
            </w:pPr>
            <w:r>
              <w:rPr>
                <w:noProof/>
              </w:rPr>
              <w:t>NEPIEMĒRO</w:t>
            </w:r>
          </w:p>
        </w:tc>
        <w:tc>
          <w:tcPr>
            <w:tcW w:w="1055" w:type="dxa"/>
            <w:shd w:val="clear" w:color="auto" w:fill="C6EFCE"/>
            <w:noWrap/>
            <w:vAlign w:val="center"/>
          </w:tcPr>
          <w:p w14:paraId="2361F54B" w14:textId="77777777" w:rsidR="00327FF1" w:rsidRDefault="00E406C7">
            <w:pPr>
              <w:pStyle w:val="P68B1DB1-Normal12"/>
              <w:spacing w:line="276" w:lineRule="auto"/>
              <w:jc w:val="center"/>
              <w:rPr>
                <w:rFonts w:eastAsia="Arial Narrow" w:cs="Arial Narrow"/>
                <w:noProof/>
              </w:rPr>
            </w:pPr>
            <w:r>
              <w:rPr>
                <w:noProof/>
              </w:rPr>
              <w:t>Hektāri</w:t>
            </w:r>
          </w:p>
        </w:tc>
        <w:tc>
          <w:tcPr>
            <w:tcW w:w="946" w:type="dxa"/>
            <w:shd w:val="clear" w:color="auto" w:fill="C6EFCE"/>
            <w:noWrap/>
            <w:vAlign w:val="center"/>
          </w:tcPr>
          <w:p w14:paraId="000C04A6" w14:textId="77777777" w:rsidR="00327FF1" w:rsidRDefault="00E406C7">
            <w:pPr>
              <w:pStyle w:val="P68B1DB1-Normal12"/>
              <w:spacing w:line="276" w:lineRule="auto"/>
              <w:jc w:val="center"/>
              <w:rPr>
                <w:noProof/>
              </w:rPr>
            </w:pPr>
            <w:r>
              <w:rPr>
                <w:noProof/>
              </w:rPr>
              <w:t>0</w:t>
            </w:r>
          </w:p>
        </w:tc>
        <w:tc>
          <w:tcPr>
            <w:tcW w:w="1000" w:type="dxa"/>
            <w:shd w:val="clear" w:color="auto" w:fill="C6EFCE"/>
            <w:noWrap/>
            <w:vAlign w:val="center"/>
          </w:tcPr>
          <w:p w14:paraId="681AFE3A" w14:textId="77777777" w:rsidR="00327FF1" w:rsidRDefault="00E406C7">
            <w:pPr>
              <w:pStyle w:val="P68B1DB1-Normal12"/>
              <w:spacing w:line="276" w:lineRule="auto"/>
              <w:jc w:val="center"/>
              <w:rPr>
                <w:noProof/>
              </w:rPr>
            </w:pPr>
            <w:r>
              <w:rPr>
                <w:noProof/>
              </w:rPr>
              <w:t>96 390</w:t>
            </w:r>
          </w:p>
        </w:tc>
        <w:tc>
          <w:tcPr>
            <w:tcW w:w="809" w:type="dxa"/>
            <w:shd w:val="clear" w:color="auto" w:fill="C6EFCE"/>
            <w:noWrap/>
            <w:vAlign w:val="center"/>
          </w:tcPr>
          <w:p w14:paraId="6E97D5D1" w14:textId="77777777" w:rsidR="00327FF1" w:rsidRDefault="00E406C7">
            <w:pPr>
              <w:pStyle w:val="P68B1DB1-Normal12"/>
              <w:spacing w:line="276" w:lineRule="auto"/>
              <w:jc w:val="center"/>
              <w:rPr>
                <w:noProof/>
              </w:rPr>
            </w:pPr>
            <w:r>
              <w:rPr>
                <w:noProof/>
              </w:rPr>
              <w:t>4. CET.</w:t>
            </w:r>
          </w:p>
        </w:tc>
        <w:tc>
          <w:tcPr>
            <w:tcW w:w="770" w:type="dxa"/>
            <w:shd w:val="clear" w:color="auto" w:fill="C6EFCE"/>
            <w:noWrap/>
            <w:vAlign w:val="center"/>
          </w:tcPr>
          <w:p w14:paraId="51F2A185" w14:textId="77777777" w:rsidR="00327FF1" w:rsidRDefault="00E406C7">
            <w:pPr>
              <w:pStyle w:val="P68B1DB1-Normal12"/>
              <w:spacing w:line="276" w:lineRule="auto"/>
              <w:jc w:val="center"/>
              <w:rPr>
                <w:noProof/>
              </w:rPr>
            </w:pPr>
            <w:r>
              <w:rPr>
                <w:noProof/>
              </w:rPr>
              <w:t>2024</w:t>
            </w:r>
          </w:p>
        </w:tc>
        <w:tc>
          <w:tcPr>
            <w:tcW w:w="3544" w:type="dxa"/>
            <w:shd w:val="clear" w:color="auto" w:fill="C6EFCE"/>
            <w:noWrap/>
            <w:vAlign w:val="center"/>
          </w:tcPr>
          <w:p w14:paraId="642B490D" w14:textId="6EBE2D09" w:rsidR="00327FF1" w:rsidRDefault="00E406C7">
            <w:pPr>
              <w:pStyle w:val="P68B1DB1-Normal12"/>
              <w:spacing w:line="276" w:lineRule="auto"/>
              <w:rPr>
                <w:noProof/>
              </w:rPr>
            </w:pPr>
            <w:r>
              <w:rPr>
                <w:noProof/>
              </w:rPr>
              <w:t>Apūdeņošanas resursus efektīvi izmanto vismaz 96390 hektāros apūdeņotās platības.</w:t>
            </w:r>
          </w:p>
        </w:tc>
      </w:tr>
      <w:tr w:rsidR="00327FF1" w14:paraId="4A4956BD" w14:textId="77777777">
        <w:trPr>
          <w:trHeight w:val="300"/>
        </w:trPr>
        <w:tc>
          <w:tcPr>
            <w:tcW w:w="1134" w:type="dxa"/>
            <w:shd w:val="clear" w:color="auto" w:fill="C6EFCE"/>
            <w:noWrap/>
            <w:vAlign w:val="center"/>
            <w:hideMark/>
          </w:tcPr>
          <w:p w14:paraId="3501E398" w14:textId="586DA716" w:rsidR="00327FF1" w:rsidRDefault="00E406C7">
            <w:pPr>
              <w:pStyle w:val="P68B1DB1-Normal11"/>
              <w:spacing w:line="276" w:lineRule="auto"/>
              <w:jc w:val="center"/>
              <w:rPr>
                <w:noProof/>
                <w:szCs w:val="20"/>
              </w:rPr>
            </w:pPr>
            <w:r>
              <w:rPr>
                <w:noProof/>
              </w:rPr>
              <w:t>M2C4–36</w:t>
            </w:r>
          </w:p>
        </w:tc>
        <w:tc>
          <w:tcPr>
            <w:tcW w:w="1736" w:type="dxa"/>
            <w:shd w:val="clear" w:color="auto" w:fill="C6EFCE"/>
            <w:noWrap/>
            <w:vAlign w:val="center"/>
            <w:hideMark/>
          </w:tcPr>
          <w:p w14:paraId="24852001" w14:textId="77777777" w:rsidR="00327FF1" w:rsidRDefault="00E406C7">
            <w:pPr>
              <w:pStyle w:val="P68B1DB1-Normal11"/>
              <w:spacing w:line="276" w:lineRule="auto"/>
              <w:jc w:val="center"/>
              <w:rPr>
                <w:noProof/>
                <w:szCs w:val="20"/>
              </w:rPr>
            </w:pPr>
            <w:r>
              <w:rPr>
                <w:noProof/>
              </w:rPr>
              <w:t xml:space="preserve">Investīcija 4.4. Ieguldījumi kanalizācijā </w:t>
            </w:r>
            <w:r>
              <w:rPr>
                <w:noProof/>
              </w:rPr>
              <w:t>un attīrīšanā</w:t>
            </w:r>
          </w:p>
        </w:tc>
        <w:tc>
          <w:tcPr>
            <w:tcW w:w="1261" w:type="dxa"/>
            <w:shd w:val="clear" w:color="auto" w:fill="C6EFCE"/>
            <w:noWrap/>
            <w:vAlign w:val="center"/>
            <w:hideMark/>
          </w:tcPr>
          <w:p w14:paraId="22297B6A" w14:textId="77777777" w:rsidR="00327FF1" w:rsidRDefault="00E406C7">
            <w:pPr>
              <w:pStyle w:val="P68B1DB1-Normal11"/>
              <w:spacing w:line="276" w:lineRule="auto"/>
              <w:jc w:val="center"/>
              <w:rPr>
                <w:noProof/>
                <w:szCs w:val="20"/>
              </w:rPr>
            </w:pPr>
            <w:r>
              <w:rPr>
                <w:noProof/>
              </w:rPr>
              <w:t>Atskaites punkts</w:t>
            </w:r>
          </w:p>
        </w:tc>
        <w:tc>
          <w:tcPr>
            <w:tcW w:w="1365" w:type="dxa"/>
            <w:shd w:val="clear" w:color="auto" w:fill="C6EFCE"/>
            <w:noWrap/>
            <w:vAlign w:val="center"/>
            <w:hideMark/>
          </w:tcPr>
          <w:p w14:paraId="2C705C10" w14:textId="10D2928E" w:rsidR="00327FF1" w:rsidRDefault="00E406C7">
            <w:pPr>
              <w:pStyle w:val="P68B1DB1-Normal11"/>
              <w:spacing w:line="276" w:lineRule="auto"/>
              <w:jc w:val="center"/>
              <w:rPr>
                <w:noProof/>
                <w:szCs w:val="20"/>
              </w:rPr>
            </w:pPr>
            <w:r>
              <w:rPr>
                <w:noProof/>
              </w:rPr>
              <w:t>Finansējuma piešķiršana kanalizācijas un attīrīšanas projektiem</w:t>
            </w:r>
          </w:p>
        </w:tc>
        <w:tc>
          <w:tcPr>
            <w:tcW w:w="1264" w:type="dxa"/>
            <w:shd w:val="clear" w:color="auto" w:fill="C6EFCE"/>
            <w:noWrap/>
            <w:vAlign w:val="center"/>
            <w:hideMark/>
          </w:tcPr>
          <w:p w14:paraId="6D88A162" w14:textId="77777777" w:rsidR="00327FF1" w:rsidRDefault="00E406C7">
            <w:pPr>
              <w:pStyle w:val="P68B1DB1-Normal11"/>
              <w:spacing w:line="276" w:lineRule="auto"/>
              <w:jc w:val="center"/>
              <w:rPr>
                <w:rFonts w:eastAsia="Arial Narrow" w:cs="Arial Narrow"/>
                <w:noProof/>
                <w:szCs w:val="20"/>
              </w:rPr>
            </w:pPr>
            <w:r>
              <w:rPr>
                <w:noProof/>
              </w:rPr>
              <w:t>Dekrēta publicēšana</w:t>
            </w:r>
          </w:p>
        </w:tc>
        <w:tc>
          <w:tcPr>
            <w:tcW w:w="1055" w:type="dxa"/>
            <w:shd w:val="clear" w:color="auto" w:fill="C6EFCE"/>
            <w:noWrap/>
            <w:vAlign w:val="center"/>
            <w:hideMark/>
          </w:tcPr>
          <w:p w14:paraId="2DA4290F" w14:textId="77777777" w:rsidR="00327FF1" w:rsidRDefault="00E406C7">
            <w:pPr>
              <w:pStyle w:val="P68B1DB1-Normal11"/>
              <w:spacing w:line="276" w:lineRule="auto"/>
              <w:jc w:val="center"/>
              <w:rPr>
                <w:noProof/>
                <w:szCs w:val="20"/>
              </w:rPr>
            </w:pPr>
            <w:r>
              <w:rPr>
                <w:noProof/>
              </w:rPr>
              <w:t>NEPIEMĒRO</w:t>
            </w:r>
          </w:p>
        </w:tc>
        <w:tc>
          <w:tcPr>
            <w:tcW w:w="946" w:type="dxa"/>
            <w:shd w:val="clear" w:color="auto" w:fill="C6EFCE"/>
            <w:noWrap/>
            <w:vAlign w:val="center"/>
            <w:hideMark/>
          </w:tcPr>
          <w:p w14:paraId="0DC7F30D" w14:textId="77777777" w:rsidR="00327FF1" w:rsidRDefault="00E406C7">
            <w:pPr>
              <w:pStyle w:val="P68B1DB1-Normal11"/>
              <w:spacing w:line="276" w:lineRule="auto"/>
              <w:jc w:val="center"/>
              <w:rPr>
                <w:noProof/>
                <w:szCs w:val="20"/>
              </w:rPr>
            </w:pPr>
            <w:r>
              <w:rPr>
                <w:noProof/>
              </w:rPr>
              <w:t xml:space="preserve">NEPIEMĒRO </w:t>
            </w:r>
          </w:p>
        </w:tc>
        <w:tc>
          <w:tcPr>
            <w:tcW w:w="1000" w:type="dxa"/>
            <w:shd w:val="clear" w:color="auto" w:fill="C6EFCE"/>
            <w:noWrap/>
            <w:vAlign w:val="center"/>
            <w:hideMark/>
          </w:tcPr>
          <w:p w14:paraId="4AC401F4" w14:textId="77777777" w:rsidR="00327FF1" w:rsidRDefault="00E406C7">
            <w:pPr>
              <w:pStyle w:val="P68B1DB1-Normal11"/>
              <w:spacing w:line="276" w:lineRule="auto"/>
              <w:jc w:val="center"/>
              <w:rPr>
                <w:noProof/>
                <w:szCs w:val="20"/>
              </w:rPr>
            </w:pPr>
            <w:r>
              <w:rPr>
                <w:noProof/>
              </w:rPr>
              <w:t>NEPIEMĒRO</w:t>
            </w:r>
          </w:p>
        </w:tc>
        <w:tc>
          <w:tcPr>
            <w:tcW w:w="809" w:type="dxa"/>
            <w:shd w:val="clear" w:color="auto" w:fill="C6EFCE"/>
            <w:noWrap/>
            <w:vAlign w:val="center"/>
            <w:hideMark/>
          </w:tcPr>
          <w:p w14:paraId="5C8BCB60" w14:textId="77777777" w:rsidR="00327FF1" w:rsidRDefault="00E406C7">
            <w:pPr>
              <w:pStyle w:val="P68B1DB1-Normal11"/>
              <w:spacing w:line="276" w:lineRule="auto"/>
              <w:jc w:val="center"/>
              <w:rPr>
                <w:noProof/>
                <w:szCs w:val="20"/>
              </w:rPr>
            </w:pPr>
            <w:r>
              <w:rPr>
                <w:noProof/>
              </w:rPr>
              <w:t>4. CET.</w:t>
            </w:r>
          </w:p>
        </w:tc>
        <w:tc>
          <w:tcPr>
            <w:tcW w:w="770" w:type="dxa"/>
            <w:shd w:val="clear" w:color="auto" w:fill="C6EFCE"/>
            <w:noWrap/>
            <w:vAlign w:val="center"/>
            <w:hideMark/>
          </w:tcPr>
          <w:p w14:paraId="7A0604A1" w14:textId="77777777" w:rsidR="00327FF1" w:rsidRDefault="00E406C7">
            <w:pPr>
              <w:pStyle w:val="P68B1DB1-Normal11"/>
              <w:spacing w:line="276" w:lineRule="auto"/>
              <w:jc w:val="center"/>
              <w:rPr>
                <w:noProof/>
                <w:szCs w:val="20"/>
              </w:rPr>
            </w:pPr>
            <w:r>
              <w:rPr>
                <w:noProof/>
              </w:rPr>
              <w:t>2023</w:t>
            </w:r>
          </w:p>
        </w:tc>
        <w:tc>
          <w:tcPr>
            <w:tcW w:w="3544" w:type="dxa"/>
            <w:shd w:val="clear" w:color="auto" w:fill="C6EFCE"/>
            <w:noWrap/>
            <w:vAlign w:val="center"/>
            <w:hideMark/>
          </w:tcPr>
          <w:p w14:paraId="53EC7DC3" w14:textId="794D14CB" w:rsidR="00327FF1" w:rsidRDefault="00E406C7">
            <w:pPr>
              <w:pStyle w:val="P68B1DB1-Normal11"/>
              <w:spacing w:line="276" w:lineRule="auto"/>
              <w:rPr>
                <w:noProof/>
                <w:szCs w:val="20"/>
              </w:rPr>
            </w:pPr>
            <w:r>
              <w:rPr>
                <w:noProof/>
              </w:rPr>
              <w:t xml:space="preserve">Pieņemšanas dekrēta publicēšana ar finansējuma piešķiršanu (piešķiršanu) projektu priekšlikumiem. </w:t>
            </w:r>
          </w:p>
          <w:p w14:paraId="32A1839F" w14:textId="77777777" w:rsidR="00327FF1" w:rsidRDefault="00E406C7">
            <w:pPr>
              <w:pStyle w:val="P68B1DB1-Normal11"/>
              <w:spacing w:line="276" w:lineRule="auto"/>
              <w:rPr>
                <w:noProof/>
                <w:szCs w:val="20"/>
              </w:rPr>
            </w:pPr>
            <w:r>
              <w:rPr>
                <w:noProof/>
              </w:rPr>
              <w:t>Intervencēs:</w:t>
            </w:r>
          </w:p>
          <w:p w14:paraId="7943462C" w14:textId="77777777" w:rsidR="00327FF1" w:rsidRDefault="00E406C7">
            <w:pPr>
              <w:pStyle w:val="P68B1DB1-ListParagraph15"/>
              <w:numPr>
                <w:ilvl w:val="0"/>
                <w:numId w:val="27"/>
              </w:numPr>
              <w:spacing w:after="0" w:line="276" w:lineRule="auto"/>
              <w:ind w:left="468"/>
              <w:rPr>
                <w:noProof/>
                <w:szCs w:val="20"/>
              </w:rPr>
            </w:pPr>
            <w:r>
              <w:rPr>
                <w:noProof/>
              </w:rPr>
              <w:t>Uzlabot jūras un iekšzemes ūdeņos novadīto notekūdeņu attīrīšanas efektivitāti, izmantojot arī tehnoloģiskos jauninājumus;</w:t>
            </w:r>
          </w:p>
          <w:p w14:paraId="24E7F6E7" w14:textId="77777777" w:rsidR="00327FF1" w:rsidRDefault="00E406C7">
            <w:pPr>
              <w:pStyle w:val="P68B1DB1-ListParagraph15"/>
              <w:numPr>
                <w:ilvl w:val="0"/>
                <w:numId w:val="27"/>
              </w:numPr>
              <w:spacing w:after="0" w:line="276" w:lineRule="auto"/>
              <w:ind w:left="468"/>
              <w:rPr>
                <w:noProof/>
                <w:szCs w:val="20"/>
              </w:rPr>
            </w:pPr>
            <w:r>
              <w:rPr>
                <w:noProof/>
              </w:rPr>
              <w:t>Ja iespējams, dažas a</w:t>
            </w:r>
            <w:r>
              <w:rPr>
                <w:noProof/>
              </w:rPr>
              <w:t>ttīrīšanas iekārtas pārveidot par “zaļām rūpnīcām”, kurās attīrītus notekūdeņus atkārtoti izmanto apūdeņošanai un rūpnieciskiem mērķiem.</w:t>
            </w:r>
          </w:p>
          <w:p w14:paraId="71F7CB90" w14:textId="01AFD39C" w:rsidR="00327FF1" w:rsidRDefault="00E406C7">
            <w:pPr>
              <w:pStyle w:val="P68B1DB1-Normal11"/>
              <w:rPr>
                <w:noProof/>
                <w:szCs w:val="20"/>
              </w:rPr>
            </w:pPr>
            <w:r>
              <w:rPr>
                <w:noProof/>
              </w:rPr>
              <w:t>Šis pasākums nenodara būtisku kaitējumu vides mērķiem Regulas (ES) 2020/852 17. panta nozīmē, ņemot vērā pasākuma aprak</w:t>
            </w:r>
            <w:r>
              <w:rPr>
                <w:noProof/>
              </w:rPr>
              <w:t>stu un mazināšanas pasākumus, kas izklāstīti atveseļošanas un noturības plānā saskaņā ar Tehniskajiem norādījumiem par principa “nenodarīt būtisku kaitējumu” piemērošanu (2021/C58/01). Jo īpaši dūņu sadedzināšana nav attiecināma.</w:t>
            </w:r>
          </w:p>
        </w:tc>
      </w:tr>
      <w:tr w:rsidR="00327FF1" w14:paraId="58C8F37F" w14:textId="77777777">
        <w:trPr>
          <w:trHeight w:val="300"/>
        </w:trPr>
        <w:tc>
          <w:tcPr>
            <w:tcW w:w="1134" w:type="dxa"/>
            <w:shd w:val="clear" w:color="auto" w:fill="C6EFCE"/>
            <w:noWrap/>
            <w:vAlign w:val="center"/>
            <w:hideMark/>
          </w:tcPr>
          <w:p w14:paraId="7A915B36" w14:textId="77777777" w:rsidR="00327FF1" w:rsidRDefault="00E406C7">
            <w:pPr>
              <w:pStyle w:val="P68B1DB1-Normal11"/>
              <w:spacing w:line="276" w:lineRule="auto"/>
              <w:jc w:val="center"/>
              <w:rPr>
                <w:noProof/>
                <w:szCs w:val="20"/>
              </w:rPr>
            </w:pPr>
            <w:r>
              <w:rPr>
                <w:noProof/>
              </w:rPr>
              <w:t>M2C4–38</w:t>
            </w:r>
          </w:p>
        </w:tc>
        <w:tc>
          <w:tcPr>
            <w:tcW w:w="1736" w:type="dxa"/>
            <w:shd w:val="clear" w:color="auto" w:fill="C6EFCE"/>
            <w:noWrap/>
            <w:vAlign w:val="center"/>
            <w:hideMark/>
          </w:tcPr>
          <w:p w14:paraId="35651C8E" w14:textId="77777777" w:rsidR="00327FF1" w:rsidRDefault="00E406C7">
            <w:pPr>
              <w:pStyle w:val="P68B1DB1-Normal11"/>
              <w:spacing w:line="276" w:lineRule="auto"/>
              <w:jc w:val="center"/>
              <w:rPr>
                <w:noProof/>
                <w:szCs w:val="20"/>
              </w:rPr>
            </w:pPr>
            <w:r>
              <w:rPr>
                <w:noProof/>
              </w:rPr>
              <w:t xml:space="preserve">Investīcija 4.4. </w:t>
            </w:r>
            <w:r>
              <w:rPr>
                <w:noProof/>
              </w:rPr>
              <w:t>Ieguldījumi kanalizācijā un attīrīšanā</w:t>
            </w:r>
          </w:p>
        </w:tc>
        <w:tc>
          <w:tcPr>
            <w:tcW w:w="1261" w:type="dxa"/>
            <w:shd w:val="clear" w:color="auto" w:fill="C6EFCE"/>
            <w:noWrap/>
            <w:vAlign w:val="center"/>
            <w:hideMark/>
          </w:tcPr>
          <w:p w14:paraId="030549D5" w14:textId="77777777" w:rsidR="00327FF1" w:rsidRDefault="00E406C7">
            <w:pPr>
              <w:pStyle w:val="P68B1DB1-Normal11"/>
              <w:spacing w:line="276" w:lineRule="auto"/>
              <w:jc w:val="center"/>
              <w:rPr>
                <w:noProof/>
                <w:szCs w:val="20"/>
              </w:rPr>
            </w:pPr>
            <w:r>
              <w:rPr>
                <w:noProof/>
              </w:rPr>
              <w:t>Mērķa</w:t>
            </w:r>
          </w:p>
        </w:tc>
        <w:tc>
          <w:tcPr>
            <w:tcW w:w="1365" w:type="dxa"/>
            <w:shd w:val="clear" w:color="auto" w:fill="C6EFCE"/>
            <w:noWrap/>
            <w:vAlign w:val="center"/>
            <w:hideMark/>
          </w:tcPr>
          <w:p w14:paraId="7CEE2679" w14:textId="016C9F7F" w:rsidR="00327FF1" w:rsidRDefault="00E406C7">
            <w:pPr>
              <w:pStyle w:val="P68B1DB1-Normal12"/>
              <w:spacing w:line="276" w:lineRule="auto"/>
              <w:jc w:val="center"/>
              <w:rPr>
                <w:noProof/>
              </w:rPr>
            </w:pPr>
            <w:r>
              <w:rPr>
                <w:noProof/>
              </w:rPr>
              <w:t>Cilvēka ekvivalents, kas gūst labumu no kanalizācijas un attīrīšanas intervencēm</w:t>
            </w:r>
          </w:p>
        </w:tc>
        <w:tc>
          <w:tcPr>
            <w:tcW w:w="1264" w:type="dxa"/>
            <w:shd w:val="clear" w:color="auto" w:fill="C6EFCE"/>
            <w:noWrap/>
            <w:vAlign w:val="center"/>
            <w:hideMark/>
          </w:tcPr>
          <w:p w14:paraId="5746F5B5" w14:textId="77777777" w:rsidR="00327FF1" w:rsidRDefault="00E406C7">
            <w:pPr>
              <w:pStyle w:val="P68B1DB1-Normal11"/>
              <w:spacing w:line="276" w:lineRule="auto"/>
              <w:jc w:val="center"/>
              <w:rPr>
                <w:noProof/>
                <w:szCs w:val="20"/>
              </w:rPr>
            </w:pPr>
            <w:r>
              <w:rPr>
                <w:noProof/>
              </w:rPr>
              <w:t>NEPIEMĒRO</w:t>
            </w:r>
          </w:p>
        </w:tc>
        <w:tc>
          <w:tcPr>
            <w:tcW w:w="1055" w:type="dxa"/>
            <w:shd w:val="clear" w:color="auto" w:fill="C6EFCE"/>
            <w:noWrap/>
            <w:vAlign w:val="center"/>
            <w:hideMark/>
          </w:tcPr>
          <w:p w14:paraId="584CF400" w14:textId="77777777" w:rsidR="00327FF1" w:rsidRDefault="00E406C7">
            <w:pPr>
              <w:pStyle w:val="P68B1DB1-Normal11"/>
              <w:spacing w:line="276" w:lineRule="auto"/>
              <w:jc w:val="center"/>
              <w:rPr>
                <w:noProof/>
                <w:szCs w:val="20"/>
              </w:rPr>
            </w:pPr>
            <w:r>
              <w:rPr>
                <w:noProof/>
              </w:rPr>
              <w:t>Skaits</w:t>
            </w:r>
          </w:p>
        </w:tc>
        <w:tc>
          <w:tcPr>
            <w:tcW w:w="946" w:type="dxa"/>
            <w:shd w:val="clear" w:color="auto" w:fill="C6EFCE"/>
            <w:noWrap/>
            <w:vAlign w:val="center"/>
            <w:hideMark/>
          </w:tcPr>
          <w:p w14:paraId="1B397646" w14:textId="78F771A5" w:rsidR="00327FF1" w:rsidRDefault="00E406C7">
            <w:pPr>
              <w:pStyle w:val="P68B1DB1-Normal12"/>
              <w:spacing w:line="276" w:lineRule="auto"/>
              <w:jc w:val="center"/>
              <w:rPr>
                <w:noProof/>
              </w:rPr>
            </w:pPr>
            <w:r>
              <w:rPr>
                <w:noProof/>
              </w:rPr>
              <w:t>0</w:t>
            </w:r>
          </w:p>
        </w:tc>
        <w:tc>
          <w:tcPr>
            <w:tcW w:w="1000" w:type="dxa"/>
            <w:shd w:val="clear" w:color="auto" w:fill="C6EFCE"/>
            <w:noWrap/>
            <w:vAlign w:val="center"/>
            <w:hideMark/>
          </w:tcPr>
          <w:p w14:paraId="067B1FD8" w14:textId="56F37B08" w:rsidR="00327FF1" w:rsidRDefault="00E406C7">
            <w:pPr>
              <w:pStyle w:val="P68B1DB1-Normal12"/>
              <w:spacing w:line="276" w:lineRule="auto"/>
              <w:jc w:val="center"/>
              <w:rPr>
                <w:noProof/>
              </w:rPr>
            </w:pPr>
            <w:r>
              <w:rPr>
                <w:noProof/>
              </w:rPr>
              <w:t>3 750 000</w:t>
            </w:r>
          </w:p>
        </w:tc>
        <w:tc>
          <w:tcPr>
            <w:tcW w:w="809" w:type="dxa"/>
            <w:shd w:val="clear" w:color="auto" w:fill="C6EFCE"/>
            <w:noWrap/>
            <w:vAlign w:val="center"/>
            <w:hideMark/>
          </w:tcPr>
          <w:p w14:paraId="3C814EBA" w14:textId="77777777" w:rsidR="00327FF1" w:rsidRDefault="00E406C7">
            <w:pPr>
              <w:pStyle w:val="P68B1DB1-Normal11"/>
              <w:spacing w:line="276" w:lineRule="auto"/>
              <w:jc w:val="center"/>
              <w:rPr>
                <w:noProof/>
                <w:szCs w:val="20"/>
              </w:rPr>
            </w:pPr>
            <w:r>
              <w:rPr>
                <w:noProof/>
              </w:rPr>
              <w:t>Q1</w:t>
            </w:r>
          </w:p>
        </w:tc>
        <w:tc>
          <w:tcPr>
            <w:tcW w:w="770" w:type="dxa"/>
            <w:shd w:val="clear" w:color="auto" w:fill="C6EFCE"/>
            <w:noWrap/>
            <w:vAlign w:val="center"/>
            <w:hideMark/>
          </w:tcPr>
          <w:p w14:paraId="47B60452" w14:textId="77777777" w:rsidR="00327FF1" w:rsidRDefault="00E406C7">
            <w:pPr>
              <w:pStyle w:val="P68B1DB1-Normal11"/>
              <w:spacing w:line="276" w:lineRule="auto"/>
              <w:jc w:val="center"/>
              <w:rPr>
                <w:noProof/>
                <w:szCs w:val="20"/>
              </w:rPr>
            </w:pPr>
            <w:r>
              <w:rPr>
                <w:noProof/>
              </w:rPr>
              <w:t>2026</w:t>
            </w:r>
          </w:p>
        </w:tc>
        <w:tc>
          <w:tcPr>
            <w:tcW w:w="3544" w:type="dxa"/>
            <w:shd w:val="clear" w:color="auto" w:fill="C6EFCE"/>
            <w:noWrap/>
            <w:vAlign w:val="center"/>
            <w:hideMark/>
          </w:tcPr>
          <w:p w14:paraId="2CD093F5" w14:textId="0FBA20F0" w:rsidR="00327FF1" w:rsidRDefault="00E406C7">
            <w:pPr>
              <w:pStyle w:val="P68B1DB1-Normal12"/>
              <w:spacing w:line="276" w:lineRule="auto"/>
              <w:rPr>
                <w:noProof/>
              </w:rPr>
            </w:pPr>
            <w:r>
              <w:rPr>
                <w:noProof/>
              </w:rPr>
              <w:t xml:space="preserve">Sertifikāti par to darbu pabeigšanu, kas izsniegti kanalizācijas un komunālo notekūdeņu attīrīšanas pasākumiem aglomerācijās, kuras aptver vismaz 3750000 cilvēkekvivalentu (PE), no kurām vismaz 1209000 PE atrodas aglomerācijās, uz kurām attiecas pārkāpuma </w:t>
            </w:r>
            <w:r>
              <w:rPr>
                <w:noProof/>
              </w:rPr>
              <w:t>procedūra par neatbilstību Padomes Direktīvai 91/271/EEK, ko apstiprina neatkarīga inženiera ziņojums</w:t>
            </w:r>
          </w:p>
        </w:tc>
      </w:tr>
      <w:tr w:rsidR="00327FF1" w14:paraId="72AFE769" w14:textId="77777777">
        <w:trPr>
          <w:trHeight w:val="300"/>
        </w:trPr>
        <w:tc>
          <w:tcPr>
            <w:tcW w:w="1134" w:type="dxa"/>
            <w:shd w:val="clear" w:color="auto" w:fill="C6EFCE"/>
            <w:noWrap/>
            <w:vAlign w:val="center"/>
          </w:tcPr>
          <w:p w14:paraId="303232A5" w14:textId="12051E97" w:rsidR="00327FF1" w:rsidRDefault="00E406C7">
            <w:pPr>
              <w:pStyle w:val="P68B1DB1-Normal11"/>
              <w:spacing w:line="276" w:lineRule="auto"/>
              <w:jc w:val="center"/>
              <w:rPr>
                <w:noProof/>
              </w:rPr>
            </w:pPr>
            <w:r>
              <w:rPr>
                <w:noProof/>
              </w:rPr>
              <w:t>M2C4–39</w:t>
            </w:r>
          </w:p>
        </w:tc>
        <w:tc>
          <w:tcPr>
            <w:tcW w:w="1736" w:type="dxa"/>
            <w:shd w:val="clear" w:color="auto" w:fill="C6EFCE"/>
            <w:noWrap/>
            <w:vAlign w:val="center"/>
          </w:tcPr>
          <w:p w14:paraId="10CD9FD0" w14:textId="77777777" w:rsidR="00327FF1" w:rsidRDefault="00E406C7">
            <w:pPr>
              <w:pStyle w:val="P68B1DB1-Normal11"/>
              <w:spacing w:line="276" w:lineRule="auto"/>
              <w:jc w:val="center"/>
              <w:rPr>
                <w:noProof/>
              </w:rPr>
            </w:pPr>
            <w:r>
              <w:rPr>
                <w:noProof/>
              </w:rPr>
              <w:t xml:space="preserve">Ieguldījums 4.5. </w:t>
            </w:r>
            <w:r>
              <w:rPr>
                <w:noProof/>
              </w:rPr>
              <w:br/>
              <w:t>Dotāciju shēma ieguldījumiem ūdens infrastruktūrā</w:t>
            </w:r>
          </w:p>
        </w:tc>
        <w:tc>
          <w:tcPr>
            <w:tcW w:w="1261" w:type="dxa"/>
            <w:shd w:val="clear" w:color="auto" w:fill="C6EFCE"/>
            <w:noWrap/>
            <w:vAlign w:val="center"/>
          </w:tcPr>
          <w:p w14:paraId="3B78A70F" w14:textId="77777777" w:rsidR="00327FF1" w:rsidRDefault="00E406C7">
            <w:pPr>
              <w:pStyle w:val="P68B1DB1-Normal11"/>
              <w:spacing w:line="276" w:lineRule="auto"/>
              <w:jc w:val="center"/>
              <w:rPr>
                <w:noProof/>
              </w:rPr>
            </w:pPr>
            <w:r>
              <w:rPr>
                <w:noProof/>
              </w:rPr>
              <w:t>M</w:t>
            </w:r>
          </w:p>
        </w:tc>
        <w:tc>
          <w:tcPr>
            <w:tcW w:w="1365" w:type="dxa"/>
            <w:shd w:val="clear" w:color="auto" w:fill="C6EFCE"/>
            <w:noWrap/>
            <w:vAlign w:val="center"/>
          </w:tcPr>
          <w:p w14:paraId="1EADC2A4" w14:textId="77777777" w:rsidR="00327FF1" w:rsidRDefault="00E406C7">
            <w:pPr>
              <w:pStyle w:val="P68B1DB1-Normal11"/>
              <w:spacing w:line="276" w:lineRule="auto"/>
              <w:jc w:val="center"/>
              <w:rPr>
                <w:noProof/>
              </w:rPr>
            </w:pPr>
            <w:r>
              <w:rPr>
                <w:noProof/>
              </w:rPr>
              <w:t>Īstenošanas nolīgums</w:t>
            </w:r>
          </w:p>
        </w:tc>
        <w:tc>
          <w:tcPr>
            <w:tcW w:w="1264" w:type="dxa"/>
            <w:shd w:val="clear" w:color="auto" w:fill="C6EFCE"/>
            <w:noWrap/>
            <w:vAlign w:val="center"/>
          </w:tcPr>
          <w:p w14:paraId="0B10DF67" w14:textId="77777777" w:rsidR="00327FF1" w:rsidRDefault="00E406C7">
            <w:pPr>
              <w:pStyle w:val="P68B1DB1-Normal11"/>
              <w:spacing w:line="276" w:lineRule="auto"/>
              <w:jc w:val="center"/>
              <w:rPr>
                <w:noProof/>
              </w:rPr>
            </w:pPr>
            <w:r>
              <w:rPr>
                <w:noProof/>
              </w:rPr>
              <w:t>Īstenošanas nolīguma stāšanās spēkā</w:t>
            </w:r>
          </w:p>
        </w:tc>
        <w:tc>
          <w:tcPr>
            <w:tcW w:w="1055" w:type="dxa"/>
            <w:shd w:val="clear" w:color="auto" w:fill="C6EFCE"/>
            <w:noWrap/>
            <w:vAlign w:val="center"/>
          </w:tcPr>
          <w:p w14:paraId="21573362" w14:textId="77777777" w:rsidR="00327FF1" w:rsidRDefault="00E406C7">
            <w:pPr>
              <w:pStyle w:val="P68B1DB1-Normal11"/>
              <w:spacing w:line="276" w:lineRule="auto"/>
              <w:jc w:val="center"/>
              <w:rPr>
                <w:noProof/>
              </w:rPr>
            </w:pPr>
            <w:r>
              <w:rPr>
                <w:noProof/>
              </w:rPr>
              <w:t>NEPIEMĒRO</w:t>
            </w:r>
          </w:p>
        </w:tc>
        <w:tc>
          <w:tcPr>
            <w:tcW w:w="946" w:type="dxa"/>
            <w:shd w:val="clear" w:color="auto" w:fill="C6EFCE"/>
            <w:noWrap/>
            <w:vAlign w:val="center"/>
          </w:tcPr>
          <w:p w14:paraId="295AFC96" w14:textId="77777777" w:rsidR="00327FF1" w:rsidRDefault="00E406C7">
            <w:pPr>
              <w:pStyle w:val="P68B1DB1-Normal11"/>
              <w:spacing w:line="276" w:lineRule="auto"/>
              <w:jc w:val="center"/>
              <w:rPr>
                <w:noProof/>
              </w:rPr>
            </w:pPr>
            <w:r>
              <w:rPr>
                <w:noProof/>
              </w:rPr>
              <w:t>NEPIEMĒRO</w:t>
            </w:r>
          </w:p>
        </w:tc>
        <w:tc>
          <w:tcPr>
            <w:tcW w:w="1000" w:type="dxa"/>
            <w:shd w:val="clear" w:color="auto" w:fill="C6EFCE"/>
            <w:noWrap/>
            <w:vAlign w:val="center"/>
          </w:tcPr>
          <w:p w14:paraId="2298D2FF" w14:textId="77777777" w:rsidR="00327FF1" w:rsidRDefault="00E406C7">
            <w:pPr>
              <w:pStyle w:val="P68B1DB1-Normal11"/>
              <w:spacing w:line="276" w:lineRule="auto"/>
              <w:jc w:val="center"/>
              <w:rPr>
                <w:noProof/>
              </w:rPr>
            </w:pPr>
            <w:r>
              <w:rPr>
                <w:noProof/>
              </w:rPr>
              <w:t>NEPIEMĒRO</w:t>
            </w:r>
          </w:p>
        </w:tc>
        <w:tc>
          <w:tcPr>
            <w:tcW w:w="809" w:type="dxa"/>
            <w:shd w:val="clear" w:color="auto" w:fill="C6EFCE"/>
            <w:noWrap/>
            <w:vAlign w:val="center"/>
          </w:tcPr>
          <w:p w14:paraId="5BE34592" w14:textId="5E76EB3A" w:rsidR="00327FF1" w:rsidRDefault="00E406C7">
            <w:pPr>
              <w:pStyle w:val="P68B1DB1-Normal11"/>
              <w:spacing w:line="276" w:lineRule="auto"/>
              <w:jc w:val="center"/>
              <w:rPr>
                <w:noProof/>
              </w:rPr>
            </w:pPr>
            <w:r>
              <w:rPr>
                <w:noProof/>
              </w:rPr>
              <w:t>2. CET.</w:t>
            </w:r>
          </w:p>
        </w:tc>
        <w:tc>
          <w:tcPr>
            <w:tcW w:w="770" w:type="dxa"/>
            <w:shd w:val="clear" w:color="auto" w:fill="C6EFCE"/>
            <w:noWrap/>
            <w:vAlign w:val="center"/>
          </w:tcPr>
          <w:p w14:paraId="38F0D013" w14:textId="00946537" w:rsidR="00327FF1" w:rsidRDefault="00E406C7">
            <w:pPr>
              <w:pStyle w:val="P68B1DB1-Normal11"/>
              <w:spacing w:line="276" w:lineRule="auto"/>
              <w:jc w:val="center"/>
              <w:rPr>
                <w:noProof/>
              </w:rPr>
            </w:pPr>
            <w:r>
              <w:rPr>
                <w:noProof/>
              </w:rPr>
              <w:t>2026</w:t>
            </w:r>
          </w:p>
        </w:tc>
        <w:tc>
          <w:tcPr>
            <w:tcW w:w="3544" w:type="dxa"/>
            <w:shd w:val="clear" w:color="auto" w:fill="C6EFCE"/>
            <w:noWrap/>
          </w:tcPr>
          <w:p w14:paraId="096B412C" w14:textId="77777777" w:rsidR="00327FF1" w:rsidRDefault="00E406C7">
            <w:pPr>
              <w:pStyle w:val="P68B1DB1-Normal12"/>
              <w:spacing w:line="276" w:lineRule="auto"/>
              <w:rPr>
                <w:noProof/>
              </w:rPr>
            </w:pPr>
            <w:r>
              <w:rPr>
                <w:noProof/>
              </w:rPr>
              <w:t>Īstenošanas nolīguma stāšanās spēkā.</w:t>
            </w:r>
          </w:p>
        </w:tc>
      </w:tr>
      <w:tr w:rsidR="00327FF1" w14:paraId="6229C269" w14:textId="77777777">
        <w:trPr>
          <w:trHeight w:val="300"/>
        </w:trPr>
        <w:tc>
          <w:tcPr>
            <w:tcW w:w="1134" w:type="dxa"/>
            <w:shd w:val="clear" w:color="auto" w:fill="C6EFCE"/>
            <w:noWrap/>
            <w:vAlign w:val="center"/>
          </w:tcPr>
          <w:p w14:paraId="614D8A59" w14:textId="1EDF46AA" w:rsidR="00327FF1" w:rsidRDefault="00E406C7">
            <w:pPr>
              <w:pStyle w:val="P68B1DB1-Normal11"/>
              <w:spacing w:line="276" w:lineRule="auto"/>
              <w:jc w:val="center"/>
              <w:rPr>
                <w:noProof/>
              </w:rPr>
            </w:pPr>
            <w:r>
              <w:rPr>
                <w:noProof/>
              </w:rPr>
              <w:t>M2C4–40</w:t>
            </w:r>
          </w:p>
        </w:tc>
        <w:tc>
          <w:tcPr>
            <w:tcW w:w="1736" w:type="dxa"/>
            <w:shd w:val="clear" w:color="auto" w:fill="C6EFCE"/>
            <w:noWrap/>
            <w:vAlign w:val="center"/>
          </w:tcPr>
          <w:p w14:paraId="76C1650D" w14:textId="4D58067D" w:rsidR="00327FF1" w:rsidRDefault="00E406C7">
            <w:pPr>
              <w:pStyle w:val="P68B1DB1-Normal11"/>
              <w:spacing w:line="276" w:lineRule="auto"/>
              <w:jc w:val="center"/>
              <w:rPr>
                <w:noProof/>
              </w:rPr>
            </w:pPr>
            <w:r>
              <w:rPr>
                <w:noProof/>
              </w:rPr>
              <w:t xml:space="preserve">Ieguldījums 4.5. </w:t>
            </w:r>
            <w:r>
              <w:rPr>
                <w:noProof/>
              </w:rPr>
              <w:br/>
              <w:t>Dotāciju shēma ieguldījumiem ūdens infrastruktūrā</w:t>
            </w:r>
          </w:p>
        </w:tc>
        <w:tc>
          <w:tcPr>
            <w:tcW w:w="1261" w:type="dxa"/>
            <w:shd w:val="clear" w:color="auto" w:fill="C6EFCE"/>
            <w:noWrap/>
            <w:vAlign w:val="center"/>
          </w:tcPr>
          <w:p w14:paraId="744E9310" w14:textId="77777777" w:rsidR="00327FF1" w:rsidRDefault="00E406C7">
            <w:pPr>
              <w:pStyle w:val="P68B1DB1-Normal11"/>
              <w:spacing w:line="276" w:lineRule="auto"/>
              <w:jc w:val="center"/>
              <w:rPr>
                <w:noProof/>
              </w:rPr>
            </w:pPr>
            <w:r>
              <w:rPr>
                <w:noProof/>
              </w:rPr>
              <w:t>T</w:t>
            </w:r>
          </w:p>
        </w:tc>
        <w:tc>
          <w:tcPr>
            <w:tcW w:w="1365" w:type="dxa"/>
            <w:shd w:val="clear" w:color="auto" w:fill="C6EFCE"/>
            <w:noWrap/>
            <w:vAlign w:val="center"/>
          </w:tcPr>
          <w:p w14:paraId="056CCA06" w14:textId="77777777" w:rsidR="00327FF1" w:rsidRDefault="00E406C7">
            <w:pPr>
              <w:pStyle w:val="P68B1DB1-Normal11"/>
              <w:spacing w:line="276" w:lineRule="auto"/>
              <w:jc w:val="center"/>
              <w:rPr>
                <w:noProof/>
              </w:rPr>
            </w:pPr>
            <w:r>
              <w:rPr>
                <w:noProof/>
              </w:rPr>
              <w:t>Ar galīgajiem saņēmējiem parakstītie juridiskie nolīgumi un ieguldījuma pabeigšana</w:t>
            </w:r>
          </w:p>
        </w:tc>
        <w:tc>
          <w:tcPr>
            <w:tcW w:w="1264" w:type="dxa"/>
            <w:shd w:val="clear" w:color="auto" w:fill="C6EFCE"/>
            <w:noWrap/>
            <w:vAlign w:val="center"/>
          </w:tcPr>
          <w:p w14:paraId="398EE960" w14:textId="77777777" w:rsidR="00327FF1" w:rsidRDefault="00E406C7">
            <w:pPr>
              <w:pStyle w:val="P68B1DB1-Normal11"/>
              <w:spacing w:line="276" w:lineRule="auto"/>
              <w:jc w:val="center"/>
              <w:rPr>
                <w:noProof/>
              </w:rPr>
            </w:pPr>
            <w:r>
              <w:rPr>
                <w:noProof/>
              </w:rPr>
              <w:t>NEPIEMĒRO</w:t>
            </w:r>
          </w:p>
        </w:tc>
        <w:tc>
          <w:tcPr>
            <w:tcW w:w="1055" w:type="dxa"/>
            <w:shd w:val="clear" w:color="auto" w:fill="C6EFCE"/>
            <w:noWrap/>
          </w:tcPr>
          <w:p w14:paraId="3A9BCD42" w14:textId="77777777" w:rsidR="00327FF1" w:rsidRDefault="00E406C7">
            <w:pPr>
              <w:pStyle w:val="P68B1DB1-Normal11"/>
              <w:spacing w:line="276" w:lineRule="auto"/>
              <w:jc w:val="center"/>
              <w:rPr>
                <w:noProof/>
              </w:rPr>
            </w:pPr>
            <w:r>
              <w:rPr>
                <w:noProof/>
              </w:rPr>
              <w:t xml:space="preserve">Procentuālā </w:t>
            </w:r>
            <w:r>
              <w:rPr>
                <w:noProof/>
              </w:rPr>
              <w:t>daļa (%)</w:t>
            </w:r>
          </w:p>
        </w:tc>
        <w:tc>
          <w:tcPr>
            <w:tcW w:w="946" w:type="dxa"/>
            <w:shd w:val="clear" w:color="auto" w:fill="C6EFCE"/>
            <w:noWrap/>
          </w:tcPr>
          <w:p w14:paraId="061E3E76" w14:textId="77777777" w:rsidR="00327FF1" w:rsidRDefault="00E406C7">
            <w:pPr>
              <w:pStyle w:val="P68B1DB1-Normal11"/>
              <w:spacing w:line="276" w:lineRule="auto"/>
              <w:jc w:val="center"/>
              <w:rPr>
                <w:noProof/>
              </w:rPr>
            </w:pPr>
            <w:r>
              <w:rPr>
                <w:noProof/>
              </w:rPr>
              <w:t>0 %</w:t>
            </w:r>
          </w:p>
        </w:tc>
        <w:tc>
          <w:tcPr>
            <w:tcW w:w="1000" w:type="dxa"/>
            <w:shd w:val="clear" w:color="auto" w:fill="C6EFCE"/>
            <w:noWrap/>
          </w:tcPr>
          <w:p w14:paraId="514EF468" w14:textId="77777777" w:rsidR="00327FF1" w:rsidRDefault="00E406C7">
            <w:pPr>
              <w:pStyle w:val="P68B1DB1-Normal11"/>
              <w:spacing w:line="276" w:lineRule="auto"/>
              <w:jc w:val="center"/>
              <w:rPr>
                <w:noProof/>
              </w:rPr>
            </w:pPr>
            <w:r>
              <w:rPr>
                <w:noProof/>
              </w:rPr>
              <w:t>100 %</w:t>
            </w:r>
          </w:p>
        </w:tc>
        <w:tc>
          <w:tcPr>
            <w:tcW w:w="809" w:type="dxa"/>
            <w:shd w:val="clear" w:color="auto" w:fill="C6EFCE"/>
            <w:noWrap/>
          </w:tcPr>
          <w:p w14:paraId="5D0314D1" w14:textId="77777777" w:rsidR="00327FF1" w:rsidRDefault="00E406C7">
            <w:pPr>
              <w:pStyle w:val="P68B1DB1-Normal11"/>
              <w:spacing w:line="276" w:lineRule="auto"/>
              <w:jc w:val="center"/>
              <w:rPr>
                <w:noProof/>
              </w:rPr>
            </w:pPr>
            <w:r>
              <w:rPr>
                <w:noProof/>
              </w:rPr>
              <w:t>2. CET.</w:t>
            </w:r>
          </w:p>
        </w:tc>
        <w:tc>
          <w:tcPr>
            <w:tcW w:w="770" w:type="dxa"/>
            <w:shd w:val="clear" w:color="auto" w:fill="C6EFCE"/>
            <w:noWrap/>
          </w:tcPr>
          <w:p w14:paraId="5A428A5D" w14:textId="77777777" w:rsidR="00327FF1" w:rsidRDefault="00E406C7">
            <w:pPr>
              <w:pStyle w:val="P68B1DB1-Normal11"/>
              <w:spacing w:line="276" w:lineRule="auto"/>
              <w:jc w:val="center"/>
              <w:rPr>
                <w:noProof/>
              </w:rPr>
            </w:pPr>
            <w:r>
              <w:rPr>
                <w:noProof/>
              </w:rPr>
              <w:t>2026</w:t>
            </w:r>
          </w:p>
        </w:tc>
        <w:tc>
          <w:tcPr>
            <w:tcW w:w="3544" w:type="dxa"/>
            <w:shd w:val="clear" w:color="auto" w:fill="C6EFCE"/>
            <w:noWrap/>
          </w:tcPr>
          <w:p w14:paraId="45C2F5F7" w14:textId="77777777" w:rsidR="00327FF1" w:rsidRDefault="00E406C7">
            <w:pPr>
              <w:pStyle w:val="P68B1DB1-Normal12"/>
              <w:spacing w:line="276" w:lineRule="auto"/>
              <w:rPr>
                <w:noProof/>
              </w:rPr>
            </w:pPr>
            <w:r>
              <w:rPr>
                <w:noProof/>
              </w:rPr>
              <w:t>Invitalia S.p.A. ir noslēgusi juridiskus dotāciju nolīgumus ar galīgajiem saņēmējiem par summu, kas nepieciešama, lai shēmā izmantotu 100 % no ANM ieguldījuma (ņemot vērā pārvaldības maksas). Vismaz 40 % no šā finansējuma ve</w:t>
            </w:r>
            <w:r>
              <w:rPr>
                <w:noProof/>
              </w:rPr>
              <w:t>icina klimata mērķu sasniegšanu, izmantojot ANM regulas VI pielikumā izklāstīto metodiku.</w:t>
            </w:r>
          </w:p>
          <w:p w14:paraId="6362D8F3" w14:textId="5433CEF9" w:rsidR="00327FF1" w:rsidRDefault="00E406C7">
            <w:pPr>
              <w:pStyle w:val="P68B1DB1-Normal12"/>
              <w:spacing w:line="276" w:lineRule="auto"/>
              <w:rPr>
                <w:noProof/>
              </w:rPr>
            </w:pPr>
            <w:r>
              <w:rPr>
                <w:noProof/>
              </w:rPr>
              <w:t>Itālija pārvieto EUR 1200000000 uz Invitalia S.p.A. mehānisma vajadzībām.</w:t>
            </w:r>
          </w:p>
        </w:tc>
      </w:tr>
    </w:tbl>
    <w:p w14:paraId="771411B4" w14:textId="77777777" w:rsidR="00327FF1" w:rsidRDefault="00327FF1">
      <w:pPr>
        <w:rPr>
          <w:noProof/>
        </w:rPr>
      </w:pPr>
    </w:p>
    <w:p w14:paraId="752DDF9B" w14:textId="77777777" w:rsidR="00327FF1" w:rsidRDefault="00E406C7">
      <w:pPr>
        <w:pStyle w:val="P68B1DB1-Heading23"/>
        <w:ind w:left="1080"/>
        <w:rPr>
          <w:noProof/>
        </w:rPr>
      </w:pPr>
      <w:r>
        <w:rPr>
          <w:noProof/>
        </w:rPr>
        <w:t>H. 3. MISIJAS 1. KOMPONENTS: Ilgtspējīga transporta infrastruktūra</w:t>
      </w:r>
    </w:p>
    <w:p w14:paraId="7BE8374A" w14:textId="77777777" w:rsidR="00327FF1" w:rsidRDefault="00327FF1">
      <w:pPr>
        <w:spacing w:before="120" w:after="120"/>
        <w:jc w:val="both"/>
        <w:rPr>
          <w:rFonts w:ascii="Times New Roman" w:eastAsia="Times New Roman" w:hAnsi="Times New Roman" w:cs="Times New Roman"/>
          <w:noProof/>
          <w:color w:val="000000" w:themeColor="text1"/>
        </w:rPr>
      </w:pPr>
    </w:p>
    <w:p w14:paraId="169E0700" w14:textId="77777777" w:rsidR="00327FF1" w:rsidRDefault="00E406C7">
      <w:pPr>
        <w:pStyle w:val="P68B1DB1-Heading39"/>
        <w:ind w:left="850" w:hanging="850"/>
        <w:rPr>
          <w:b/>
          <w:bCs/>
          <w:i/>
          <w:iCs/>
          <w:noProof/>
          <w:color w:val="156082" w:themeColor="accent1"/>
          <w:u w:val="single"/>
        </w:rPr>
      </w:pPr>
      <w:r>
        <w:rPr>
          <w:b/>
          <w:noProof/>
          <w:u w:val="single"/>
        </w:rPr>
        <w:t xml:space="preserve">H.1. </w:t>
      </w:r>
      <w:r>
        <w:rPr>
          <w:noProof/>
        </w:rPr>
        <w:t xml:space="preserve"> </w:t>
      </w:r>
      <w:r>
        <w:rPr>
          <w:b/>
          <w:noProof/>
          <w:u w:val="single"/>
        </w:rPr>
        <w:t xml:space="preserve">Reformu un </w:t>
      </w:r>
      <w:r>
        <w:rPr>
          <w:b/>
          <w:noProof/>
          <w:u w:val="single"/>
        </w:rPr>
        <w:t>investīciju apraksts neatmaksājamam finansiālajam atbalstam</w:t>
      </w:r>
    </w:p>
    <w:p w14:paraId="477F3AE1" w14:textId="77777777" w:rsidR="00327FF1" w:rsidRDefault="00E406C7">
      <w:pPr>
        <w:pStyle w:val="P68B1DB1-Normal28"/>
        <w:spacing w:before="120" w:after="120"/>
        <w:jc w:val="both"/>
        <w:rPr>
          <w:noProof/>
        </w:rPr>
      </w:pPr>
      <w:r>
        <w:rPr>
          <w:noProof/>
        </w:rPr>
        <w:t>NEPIEMĒRO</w:t>
      </w:r>
    </w:p>
    <w:p w14:paraId="7702A632" w14:textId="77777777" w:rsidR="00327FF1" w:rsidRDefault="00E406C7">
      <w:pPr>
        <w:pStyle w:val="P68B1DB1-Heading39"/>
        <w:ind w:left="850" w:hanging="850"/>
        <w:rPr>
          <w:b/>
          <w:bCs/>
          <w:i/>
          <w:iCs/>
          <w:noProof/>
          <w:u w:val="single"/>
        </w:rPr>
      </w:pPr>
      <w:r>
        <w:rPr>
          <w:b/>
          <w:noProof/>
          <w:u w:val="single"/>
        </w:rPr>
        <w:t xml:space="preserve">H.2. </w:t>
      </w:r>
      <w:r>
        <w:rPr>
          <w:noProof/>
        </w:rPr>
        <w:t xml:space="preserve"> </w:t>
      </w:r>
      <w:r>
        <w:rPr>
          <w:b/>
          <w:noProof/>
          <w:u w:val="single"/>
        </w:rPr>
        <w:t>Starpposma mērķi, mērķrādītāji, rādītāji un neatmaksājama finansiālā atbalsta uzraudzības un īstenošanas grafiks</w:t>
      </w:r>
    </w:p>
    <w:p w14:paraId="3BAED1E9" w14:textId="77777777" w:rsidR="00327FF1" w:rsidRDefault="00E406C7">
      <w:pPr>
        <w:pStyle w:val="P68B1DB1-Normal26"/>
        <w:spacing w:before="120" w:after="120"/>
        <w:jc w:val="both"/>
        <w:rPr>
          <w:noProof/>
        </w:rPr>
      </w:pPr>
      <w:r>
        <w:rPr>
          <w:noProof/>
        </w:rPr>
        <w:t>NEPIEMĒRO</w:t>
      </w:r>
    </w:p>
    <w:p w14:paraId="3CB7BA53" w14:textId="77777777" w:rsidR="00327FF1" w:rsidRDefault="00327FF1">
      <w:pPr>
        <w:spacing w:before="120" w:after="120"/>
        <w:ind w:left="709"/>
        <w:jc w:val="both"/>
        <w:rPr>
          <w:noProof/>
        </w:rPr>
        <w:sectPr w:rsidR="00327FF1" w:rsidSect="00726CF9">
          <w:headerReference w:type="even" r:id="rId134"/>
          <w:headerReference w:type="default" r:id="rId135"/>
          <w:footerReference w:type="even" r:id="rId136"/>
          <w:footerReference w:type="default" r:id="rId137"/>
          <w:headerReference w:type="first" r:id="rId138"/>
          <w:footerReference w:type="first" r:id="rId139"/>
          <w:pgSz w:w="16838" w:h="11906" w:orient="landscape"/>
          <w:pgMar w:top="1440" w:right="1440" w:bottom="1440" w:left="1440" w:header="708" w:footer="708" w:gutter="0"/>
          <w:cols w:space="708"/>
          <w:docGrid w:linePitch="360"/>
        </w:sectPr>
      </w:pPr>
    </w:p>
    <w:p w14:paraId="6F73E475" w14:textId="77777777" w:rsidR="00327FF1" w:rsidRDefault="00E406C7">
      <w:pPr>
        <w:pStyle w:val="P68B1DB1-Heading39"/>
        <w:ind w:left="850" w:hanging="850"/>
        <w:rPr>
          <w:b/>
          <w:bCs/>
          <w:i/>
          <w:iCs/>
          <w:noProof/>
          <w:color w:val="156082" w:themeColor="accent1"/>
          <w:u w:val="single"/>
        </w:rPr>
      </w:pPr>
      <w:r>
        <w:rPr>
          <w:b/>
          <w:noProof/>
          <w:u w:val="single"/>
        </w:rPr>
        <w:t xml:space="preserve">H.3. </w:t>
      </w:r>
      <w:r>
        <w:rPr>
          <w:noProof/>
        </w:rPr>
        <w:t xml:space="preserve"> </w:t>
      </w:r>
      <w:r>
        <w:rPr>
          <w:b/>
          <w:noProof/>
          <w:u w:val="single"/>
        </w:rPr>
        <w:t xml:space="preserve">Aizdevumam pieteikto reformu un investīciju apraksts </w:t>
      </w:r>
    </w:p>
    <w:p w14:paraId="4C104255" w14:textId="77777777" w:rsidR="00327FF1" w:rsidRDefault="00E406C7">
      <w:pPr>
        <w:pStyle w:val="P68B1DB1-Normal7"/>
        <w:spacing w:before="120" w:after="120"/>
        <w:jc w:val="both"/>
        <w:rPr>
          <w:noProof/>
        </w:rPr>
      </w:pPr>
      <w:r>
        <w:rPr>
          <w:noProof/>
        </w:rPr>
        <w:t>Investīcijas šajā komponentā atbalsta dzelzceļa infrastruktūras (ātrgaitas, kravu, reģionālo dzelzceļu, Eiropas Dzelzceļa satiksmes vadības sistēmas) izvēršanu. Tos papildina reformas, kuru mērķis</w:t>
      </w:r>
      <w:r>
        <w:rPr>
          <w:noProof/>
        </w:rPr>
        <w:t xml:space="preserve"> ir paātrināt ieguldījumus dzelzceļa infrastruktūrā un uzlabot autoceļu infrastruktūras kvalitāti. Uzņēmējdarbības vides reformas komponentā ir ietverts pasākums, kas rada papildu stimulus reģioniem izsludināt konkursus par reģionālajiem dzelzceļa sabiedri</w:t>
      </w:r>
      <w:r>
        <w:rPr>
          <w:noProof/>
        </w:rPr>
        <w:t>sko pakalpojumu līgumiem. Šis komponents ietver pasākumus ūdeņraža izmantošanas attīstīšanai dzelzceļos.</w:t>
      </w:r>
    </w:p>
    <w:p w14:paraId="26CD8B06" w14:textId="77777777" w:rsidR="00327FF1" w:rsidRDefault="00E406C7">
      <w:pPr>
        <w:pStyle w:val="P68B1DB1-Normal7"/>
        <w:spacing w:before="120" w:after="120"/>
        <w:jc w:val="both"/>
        <w:rPr>
          <w:noProof/>
        </w:rPr>
      </w:pPr>
      <w:r>
        <w:rPr>
          <w:noProof/>
        </w:rPr>
        <w:t>Šis komponents atbalsta to, ka tiek īstenots 2019. gada valstij adresētais ieteikums Nr. 3, kurā Itālija tiek mudināta “virzīt ar investīcijām saistītu</w:t>
      </w:r>
      <w:r>
        <w:rPr>
          <w:noProof/>
        </w:rPr>
        <w:t xml:space="preserve"> ekonomikas politiku attiecībā uz [...] infrastruktūras kvalitāti, ņemot vērā reģionālās atšķirības”, un 2020. gada konkrētai valstij adresēto ieteikumu Nr. 3 “Priekšlaicīgas investīcijas nobriedušiem publisko investīciju projektiem” un “Focus investīcija </w:t>
      </w:r>
      <w:r>
        <w:rPr>
          <w:noProof/>
        </w:rPr>
        <w:t>zaļās un digitālās pārkārtošanās jomā, jo īpaši attiecībā uz tīru un efektīvu enerģijas ražošanu un izmantošanu, pētniecību un inovāciju, ilgtspējīgu sabiedrisko transportu, atkritumu un ūdens apsaimniekošanu, kā arī pastiprinātu digitālo infrastruktūru, l</w:t>
      </w:r>
      <w:r>
        <w:rPr>
          <w:noProof/>
        </w:rPr>
        <w:t>ai nodrošinātu pamatpakalpojumu sniegšanu”.</w:t>
      </w:r>
    </w:p>
    <w:p w14:paraId="365B3E58" w14:textId="44FDCE30" w:rsidR="00327FF1" w:rsidRDefault="00E406C7">
      <w:pPr>
        <w:pStyle w:val="P68B1DB1-Normal7"/>
        <w:spacing w:before="120" w:after="120"/>
        <w:jc w:val="both"/>
        <w:rPr>
          <w:noProof/>
        </w:rPr>
      </w:pPr>
      <w:r>
        <w:rPr>
          <w:noProof/>
        </w:rPr>
        <w:t>Paredzams, ka neviens pasākums šajā komponentā būtiski nekaitēs vides mērķiem Regulas (ES) 2020/852 17. panta nozīmē, ņemot vērā atveseļošanas un noturības plānā izklāstīto pasākumu aprakstu un mazināšanas pasāku</w:t>
      </w:r>
      <w:r>
        <w:rPr>
          <w:noProof/>
        </w:rPr>
        <w:t xml:space="preserve">mus saskaņā ar DNSH tehniskajiem norādījumiem (2021/C58/01). </w:t>
      </w:r>
    </w:p>
    <w:p w14:paraId="657395A6" w14:textId="77777777" w:rsidR="00327FF1" w:rsidRDefault="00E406C7">
      <w:pPr>
        <w:pStyle w:val="P68B1DB1-Normal5"/>
        <w:spacing w:before="120" w:after="120"/>
        <w:jc w:val="both"/>
        <w:rPr>
          <w:bCs/>
          <w:noProof/>
        </w:rPr>
      </w:pPr>
      <w:r>
        <w:rPr>
          <w:noProof/>
        </w:rPr>
        <w:t xml:space="preserve">Reforma. Infrastruktūras un transporta ministrijas (MIT) un dzelzceļa infrastruktūras pārvaldītāja </w:t>
      </w:r>
      <w:r>
        <w:rPr>
          <w:i/>
          <w:noProof/>
        </w:rPr>
        <w:t>Rete Ferroviaria Italiana</w:t>
      </w:r>
      <w:r>
        <w:rPr>
          <w:noProof/>
        </w:rPr>
        <w:t xml:space="preserve"> līguma apstiprināšanas procesa paātrināšana</w:t>
      </w:r>
    </w:p>
    <w:p w14:paraId="1E40FFC9" w14:textId="77777777" w:rsidR="00327FF1" w:rsidRDefault="00E406C7">
      <w:pPr>
        <w:pStyle w:val="P68B1DB1-Normal7"/>
        <w:spacing w:before="120" w:after="120"/>
        <w:jc w:val="both"/>
        <w:rPr>
          <w:noProof/>
        </w:rPr>
      </w:pPr>
      <w:r>
        <w:rPr>
          <w:noProof/>
        </w:rPr>
        <w:t xml:space="preserve">Šī reforma paredz atcelt </w:t>
      </w:r>
      <w:r>
        <w:rPr>
          <w:noProof/>
        </w:rPr>
        <w:t xml:space="preserve">prasību parlamentārajām komisijām sniegt atzinumu par dzelzceļa infrastruktūras pārvaldītāja </w:t>
      </w:r>
      <w:r>
        <w:rPr>
          <w:i/>
          <w:noProof/>
        </w:rPr>
        <w:t>Rete Ferroviaria Italiana</w:t>
      </w:r>
      <w:r>
        <w:rPr>
          <w:noProof/>
        </w:rPr>
        <w:t xml:space="preserve"> </w:t>
      </w:r>
      <w:r>
        <w:rPr>
          <w:i/>
          <w:noProof/>
        </w:rPr>
        <w:t>(CdP)</w:t>
      </w:r>
      <w:r>
        <w:rPr>
          <w:noProof/>
        </w:rPr>
        <w:t xml:space="preserve"> ieguldījumu sarakstu. Parlamenta komisijas sniedz atzinumu par ieguldījumu stratēģisko programmu.</w:t>
      </w:r>
    </w:p>
    <w:p w14:paraId="3EA18CE0" w14:textId="77777777" w:rsidR="00327FF1" w:rsidRDefault="00E406C7">
      <w:pPr>
        <w:pStyle w:val="P68B1DB1-Normal5"/>
        <w:spacing w:before="120" w:after="120"/>
        <w:jc w:val="both"/>
        <w:rPr>
          <w:bCs/>
          <w:noProof/>
        </w:rPr>
      </w:pPr>
      <w:r>
        <w:rPr>
          <w:noProof/>
        </w:rPr>
        <w:t>Reforma. Projektu apstiprināšanas</w:t>
      </w:r>
      <w:r>
        <w:rPr>
          <w:noProof/>
        </w:rPr>
        <w:t xml:space="preserve"> procesa paātrināšana</w:t>
      </w:r>
    </w:p>
    <w:p w14:paraId="56A63275" w14:textId="77777777" w:rsidR="00327FF1" w:rsidRDefault="00E406C7">
      <w:pPr>
        <w:pStyle w:val="P68B1DB1-Normal7"/>
        <w:spacing w:before="120" w:after="120"/>
        <w:jc w:val="both"/>
        <w:rPr>
          <w:noProof/>
        </w:rPr>
      </w:pPr>
      <w:r>
        <w:rPr>
          <w:noProof/>
        </w:rPr>
        <w:t>Šī reforma paredz pieņemt tiesību aktus, kas ļauj paredzēt būvdarbu vietas norādīšanu “ekonomiskās tehniskās priekšizpētes projekta” (PFTE) laikā, nevis gaidīt galīgo projekta izstrādes posmu. Papildu atļaujas, ko nevar iegūt PFTE, ti</w:t>
      </w:r>
      <w:r>
        <w:rPr>
          <w:noProof/>
        </w:rPr>
        <w:t>ktu saņemtas turpmākajos projekta izstrādes posmos, nesasaucot “Conferenza dei Servizi” kā izņēmumu no Likuma Nr. 241/1990. Šīs izmaiņas samazina projektu apstiprināšanas laiku no 11 līdz 6 mēnešiem.</w:t>
      </w:r>
    </w:p>
    <w:p w14:paraId="40EA9E7A" w14:textId="77777777" w:rsidR="00327FF1" w:rsidRDefault="00E406C7">
      <w:pPr>
        <w:pStyle w:val="P68B1DB1-Normal5"/>
        <w:spacing w:before="120" w:after="120" w:line="276" w:lineRule="auto"/>
        <w:jc w:val="both"/>
        <w:rPr>
          <w:noProof/>
        </w:rPr>
      </w:pPr>
      <w:r>
        <w:rPr>
          <w:noProof/>
        </w:rPr>
        <w:t>Reforma Nr. 1.3. Dzelzceļa infrastruktūras efektivitātes</w:t>
      </w:r>
      <w:r>
        <w:rPr>
          <w:noProof/>
        </w:rPr>
        <w:t xml:space="preserve"> uzlabošana Itālijā</w:t>
      </w:r>
    </w:p>
    <w:p w14:paraId="03CE7E59" w14:textId="2CCC6F55" w:rsidR="00327FF1" w:rsidRDefault="00E406C7">
      <w:pPr>
        <w:pStyle w:val="paragraph"/>
        <w:spacing w:before="0" w:beforeAutospacing="0" w:after="0" w:afterAutospacing="0" w:line="276" w:lineRule="auto"/>
        <w:jc w:val="both"/>
        <w:textAlignment w:val="baseline"/>
        <w:rPr>
          <w:rFonts w:eastAsiaTheme="minorEastAsia"/>
          <w:noProof/>
        </w:rPr>
      </w:pPr>
      <w:r>
        <w:rPr>
          <w:rStyle w:val="normaltextrun"/>
          <w:rFonts w:eastAsiaTheme="majorEastAsia"/>
          <w:noProof/>
        </w:rPr>
        <w:t xml:space="preserve">Šīs reformas mērķis ir veicināt konkurences pieaugumu reģionālajos un starppilsētu dzelzceļa transporta tirgos, uzlabot dzelzceļa līniju un tīklu infrastruktūras plānošanu </w:t>
      </w:r>
      <w:r>
        <w:rPr>
          <w:noProof/>
        </w:rPr>
        <w:t xml:space="preserve"> </w:t>
      </w:r>
      <w:r>
        <w:rPr>
          <w:rStyle w:val="normaltextrun"/>
          <w:rFonts w:eastAsiaTheme="majorEastAsia"/>
          <w:noProof/>
        </w:rPr>
        <w:t>un ieviest dzelzceļa infrastruktūras pārvaldības un investīciju</w:t>
      </w:r>
      <w:r>
        <w:rPr>
          <w:rStyle w:val="normaltextrun"/>
          <w:rFonts w:eastAsiaTheme="majorEastAsia"/>
          <w:noProof/>
        </w:rPr>
        <w:t xml:space="preserve"> darbības rezultātu novērtēšanu. </w:t>
      </w:r>
      <w:r>
        <w:rPr>
          <w:rStyle w:val="eop"/>
          <w:noProof/>
        </w:rPr>
        <w:t xml:space="preserve"> Reforma ietver primāro un sekundāro tiesību aktu</w:t>
      </w:r>
      <w:r>
        <w:rPr>
          <w:noProof/>
        </w:rPr>
        <w:t xml:space="preserve"> pieņemšanu, kā arī tiesību aktu pieņemšanu par ritošā sastāva sabiedrību (ROSCO).</w:t>
      </w:r>
    </w:p>
    <w:p w14:paraId="23D1CF83" w14:textId="77777777" w:rsidR="00327FF1" w:rsidRDefault="00E406C7">
      <w:pPr>
        <w:pStyle w:val="P68B1DB1-Normal5"/>
        <w:spacing w:before="120" w:after="120"/>
        <w:jc w:val="both"/>
        <w:rPr>
          <w:noProof/>
        </w:rPr>
      </w:pPr>
      <w:r>
        <w:rPr>
          <w:noProof/>
        </w:rPr>
        <w:t>Investīcija. Ātrgaitas dzelzceļa savienojumi ar dienvidiem pasažieru un kravu pārvadājumiem</w:t>
      </w:r>
    </w:p>
    <w:p w14:paraId="43128A63" w14:textId="77777777" w:rsidR="00327FF1" w:rsidRDefault="00E406C7">
      <w:pPr>
        <w:pStyle w:val="P68B1DB1-Normal7"/>
        <w:spacing w:before="120" w:after="120"/>
        <w:jc w:val="both"/>
        <w:rPr>
          <w:noProof/>
        </w:rPr>
      </w:pPr>
      <w:r>
        <w:rPr>
          <w:noProof/>
        </w:rPr>
        <w:t xml:space="preserve">Šā ieguldījuma mērķis ir paplašināt Itālijas dzelzceļa infrastruktūru. Šis ieguldījums ietver 114 km ātrgaitas dzelzceļa infrastruktūras izbūvi pasažieru un kravu pārvadājumiem līnijās Napoli-Bari, Salerno-Reggio Calabria un Palermo-Katania. </w:t>
      </w:r>
    </w:p>
    <w:p w14:paraId="3953E1D7" w14:textId="77777777" w:rsidR="00327FF1" w:rsidRDefault="00E406C7">
      <w:pPr>
        <w:pStyle w:val="P68B1DB1-Normal5"/>
        <w:spacing w:before="120" w:after="120"/>
        <w:jc w:val="both"/>
        <w:rPr>
          <w:noProof/>
        </w:rPr>
      </w:pPr>
      <w:r>
        <w:rPr>
          <w:noProof/>
        </w:rPr>
        <w:t>Investīcija.</w:t>
      </w:r>
      <w:r>
        <w:rPr>
          <w:noProof/>
        </w:rPr>
        <w:t xml:space="preserve"> Ātrgaitas līnijas ziemeļos, kas savienojas ar pārējo Eiropu</w:t>
      </w:r>
    </w:p>
    <w:p w14:paraId="620BC1D5" w14:textId="77777777" w:rsidR="00327FF1" w:rsidRDefault="00E406C7">
      <w:pPr>
        <w:pStyle w:val="P68B1DB1-Normal7"/>
        <w:spacing w:before="120" w:after="120"/>
        <w:jc w:val="both"/>
        <w:rPr>
          <w:noProof/>
        </w:rPr>
      </w:pPr>
      <w:r>
        <w:rPr>
          <w:noProof/>
        </w:rPr>
        <w:t>Šā ieguldījuma mērķis ir paplašināt Itālijas dzelzceļa infrastruktūru. Šis ieguldījums ietver 158 km ātrgaitas dzelzceļa infrastruktūras izbūvi pasažieru un kravu pārvadājumiem līnijās Breša-Vero</w:t>
      </w:r>
      <w:r>
        <w:rPr>
          <w:noProof/>
        </w:rPr>
        <w:t xml:space="preserve">na-Vicenza-Padova, Ligūrija-Alpi. </w:t>
      </w:r>
    </w:p>
    <w:p w14:paraId="7D1F2BF7" w14:textId="77777777" w:rsidR="00327FF1" w:rsidRDefault="00E406C7">
      <w:pPr>
        <w:pStyle w:val="P68B1DB1-Normal7"/>
        <w:rPr>
          <w:b/>
          <w:noProof/>
        </w:rPr>
      </w:pPr>
      <w:r>
        <w:rPr>
          <w:noProof/>
        </w:rPr>
        <w:br w:type="page"/>
      </w:r>
    </w:p>
    <w:p w14:paraId="7817E237" w14:textId="629805B0" w:rsidR="00327FF1" w:rsidRDefault="00E406C7">
      <w:pPr>
        <w:pStyle w:val="P68B1DB1-Normal5"/>
        <w:spacing w:before="120" w:after="120"/>
        <w:jc w:val="both"/>
        <w:rPr>
          <w:noProof/>
        </w:rPr>
      </w:pPr>
      <w:r>
        <w:rPr>
          <w:noProof/>
        </w:rPr>
        <w:t>Investīcija. Diagonālie savienojumi</w:t>
      </w:r>
    </w:p>
    <w:p w14:paraId="474E5004" w14:textId="77777777" w:rsidR="00327FF1" w:rsidRDefault="00E406C7">
      <w:pPr>
        <w:pStyle w:val="P68B1DB1-Normal7"/>
        <w:spacing w:before="120" w:after="120"/>
        <w:jc w:val="both"/>
        <w:rPr>
          <w:noProof/>
        </w:rPr>
      </w:pPr>
      <w:r>
        <w:rPr>
          <w:noProof/>
        </w:rPr>
        <w:t>Šā ieguldījuma mērķis ir paplašināt Itālijas dzelzceļa infrastruktūru. Šo ieguldījumu veido 15 km ātrgaitas dzelzceļa izbūve pasažieru un kravu pārvadājumiem Orte-Falconara un Taranto</w:t>
      </w:r>
      <w:r>
        <w:rPr>
          <w:noProof/>
        </w:rPr>
        <w:t xml:space="preserve">-Metaponto-Potenza-Battipaglia līnijās. </w:t>
      </w:r>
    </w:p>
    <w:p w14:paraId="226082FF" w14:textId="77777777" w:rsidR="00327FF1" w:rsidRDefault="00E406C7">
      <w:pPr>
        <w:pStyle w:val="P68B1DB1-Normal5"/>
        <w:spacing w:before="120" w:after="120"/>
        <w:jc w:val="both"/>
        <w:rPr>
          <w:noProof/>
        </w:rPr>
      </w:pPr>
      <w:r>
        <w:rPr>
          <w:noProof/>
        </w:rPr>
        <w:t>Investīcija Nr. 1.4 — Eiropas Dzelzceļa transporta vadības sistēma (ERTMS)</w:t>
      </w:r>
    </w:p>
    <w:p w14:paraId="16422355" w14:textId="388E6601" w:rsidR="00327FF1" w:rsidRDefault="00E406C7">
      <w:pPr>
        <w:pStyle w:val="P68B1DB1-Normal7"/>
        <w:spacing w:before="120" w:after="120"/>
        <w:jc w:val="both"/>
        <w:rPr>
          <w:noProof/>
        </w:rPr>
      </w:pPr>
      <w:r>
        <w:rPr>
          <w:noProof/>
        </w:rPr>
        <w:t>Šā ieguldījuma mērķis ir veicināt Itālijas dzelzceļa infrastruktūras pielāgošanu Eiropas savstarpējas izmantojamības standartiem. Šī investī</w:t>
      </w:r>
      <w:r>
        <w:rPr>
          <w:noProof/>
        </w:rPr>
        <w:t>cija ietver 2 785 km dzelzceļa līniju aprīkošanu ar Eiropas Dzelzceļa transporta vadības sistēmu (ERTMS) infrastruktūras un tehnoloģiju līmenī, kas atbilst Eiropas Komisijai paziņotajam ERTMS Itālijas izvēršanas plānam. .</w:t>
      </w:r>
    </w:p>
    <w:p w14:paraId="02522E54" w14:textId="77777777" w:rsidR="00327FF1" w:rsidRDefault="00E406C7">
      <w:pPr>
        <w:pStyle w:val="P68B1DB1-Normal5"/>
        <w:spacing w:before="120" w:after="120"/>
        <w:jc w:val="both"/>
        <w:rPr>
          <w:noProof/>
        </w:rPr>
      </w:pPr>
      <w:r>
        <w:rPr>
          <w:noProof/>
        </w:rPr>
        <w:t>Investīcija. Dzelzceļa staciju mod</w:t>
      </w:r>
      <w:r>
        <w:rPr>
          <w:noProof/>
        </w:rPr>
        <w:t>ernizācija (</w:t>
      </w:r>
      <w:r>
        <w:rPr>
          <w:i/>
          <w:noProof/>
        </w:rPr>
        <w:t>Rete Ferroviaria Italiana (RFI)</w:t>
      </w:r>
      <w:r>
        <w:rPr>
          <w:noProof/>
        </w:rPr>
        <w:t xml:space="preserve"> pārvaldība; dienvidos)</w:t>
      </w:r>
    </w:p>
    <w:p w14:paraId="02DD1A29" w14:textId="49EC068F" w:rsidR="00327FF1" w:rsidRDefault="00E406C7">
      <w:pPr>
        <w:pStyle w:val="P68B1DB1-Normal7"/>
        <w:spacing w:before="120" w:after="120"/>
        <w:jc w:val="both"/>
        <w:rPr>
          <w:noProof/>
        </w:rPr>
      </w:pPr>
      <w:r>
        <w:rPr>
          <w:noProof/>
        </w:rPr>
        <w:t>Šīs investīcijas mērķis ir padarīt dzelzceļa stacijas pieejamas personām ar invaliditāti un personām ar ierobežotām pārvietošanās spējām. Šis ieguldījums ietver 38 dzelzceļa staciju moderni</w:t>
      </w:r>
      <w:r>
        <w:rPr>
          <w:noProof/>
        </w:rPr>
        <w:t>zāciju.</w:t>
      </w:r>
    </w:p>
    <w:p w14:paraId="7741523C" w14:textId="77777777" w:rsidR="00327FF1" w:rsidRDefault="00E406C7">
      <w:pPr>
        <w:pStyle w:val="P68B1DB1-Normal5"/>
        <w:spacing w:before="120" w:after="120"/>
        <w:jc w:val="both"/>
        <w:rPr>
          <w:noProof/>
        </w:rPr>
      </w:pPr>
      <w:r>
        <w:rPr>
          <w:noProof/>
        </w:rPr>
        <w:t>Investīcija — lielpilsētu mezglu un reģionālo dzelzceļa līniju stiprināšana</w:t>
      </w:r>
    </w:p>
    <w:p w14:paraId="1FFCC29C" w14:textId="341F5CD8" w:rsidR="00327FF1" w:rsidRDefault="00E406C7">
      <w:pPr>
        <w:pStyle w:val="P68B1DB1-Normal7"/>
        <w:spacing w:before="120" w:after="120"/>
        <w:jc w:val="both"/>
        <w:rPr>
          <w:noProof/>
        </w:rPr>
      </w:pPr>
      <w:r>
        <w:rPr>
          <w:noProof/>
        </w:rPr>
        <w:t>Šā ieguldījuma mērķis ir uzlabot Itālijas starpreģionālo un reģionālo dzelzceļa līniju kvalitāti. Šis ieguldījums ietver dzelzceļa līniju modernizāciju vismaz 3 309 km garu</w:t>
      </w:r>
      <w:r>
        <w:rPr>
          <w:noProof/>
        </w:rPr>
        <w:t xml:space="preserve">mā, tostarp 1 162 km dienvidos. Projekti, kas ietilpst šajā pasākumā, var saņemt atbalstu no citām Eiropas programmām. </w:t>
      </w:r>
    </w:p>
    <w:p w14:paraId="3EC299FD" w14:textId="77777777" w:rsidR="00327FF1" w:rsidRDefault="00E406C7">
      <w:pPr>
        <w:pStyle w:val="P68B1DB1-Normal5"/>
        <w:spacing w:before="120" w:after="120"/>
        <w:jc w:val="both"/>
        <w:rPr>
          <w:bCs/>
          <w:noProof/>
        </w:rPr>
      </w:pPr>
      <w:r>
        <w:rPr>
          <w:noProof/>
        </w:rPr>
        <w:t>Reforma Nr. 2.1. “Vadlīnijas risku klasificēšanai un pārvaldībai, drošības novērtēšanai un esošo tiltu uzraudzībai” pieņemšana</w:t>
      </w:r>
    </w:p>
    <w:p w14:paraId="4A9A450B" w14:textId="77777777" w:rsidR="00327FF1" w:rsidRDefault="00E406C7">
      <w:pPr>
        <w:pStyle w:val="P68B1DB1-Normal7"/>
        <w:spacing w:before="120" w:after="120"/>
        <w:jc w:val="both"/>
        <w:rPr>
          <w:noProof/>
        </w:rPr>
      </w:pPr>
      <w:r>
        <w:rPr>
          <w:noProof/>
        </w:rPr>
        <w:t>Šī reform</w:t>
      </w:r>
      <w:r>
        <w:rPr>
          <w:noProof/>
        </w:rPr>
        <w:t>a ietver pamatnostādņu pieņemšanu risku klasificēšanai un pārvaldībai, drošības novērtēšanai un esošo tiltu uzraudzībai. “Pamatnostādņu” pieņemšanu, kas ļauj piemērot kopējus standartus un metodiku visā valsts autoceļu tīklā.</w:t>
      </w:r>
    </w:p>
    <w:p w14:paraId="1B579170" w14:textId="77777777" w:rsidR="00327FF1" w:rsidRDefault="00E406C7">
      <w:pPr>
        <w:pStyle w:val="P68B1DB1-Normal5"/>
        <w:spacing w:before="120" w:after="120"/>
        <w:jc w:val="both"/>
        <w:rPr>
          <w:bCs/>
          <w:noProof/>
        </w:rPr>
      </w:pPr>
      <w:r>
        <w:rPr>
          <w:noProof/>
        </w:rPr>
        <w:t>Reforma — tiltu un viaduktu īp</w:t>
      </w:r>
      <w:r>
        <w:rPr>
          <w:noProof/>
        </w:rPr>
        <w:t>ašuma nodošana no zemāka līmeņa ceļiem uz augstāka ranga ceļiem</w:t>
      </w:r>
    </w:p>
    <w:p w14:paraId="5365E6DA" w14:textId="77777777" w:rsidR="00327FF1" w:rsidRDefault="00E406C7">
      <w:pPr>
        <w:pStyle w:val="P68B1DB1-Normal7"/>
        <w:spacing w:before="120" w:after="120" w:line="300" w:lineRule="atLeast"/>
        <w:jc w:val="both"/>
        <w:rPr>
          <w:noProof/>
        </w:rPr>
      </w:pPr>
      <w:r>
        <w:rPr>
          <w:noProof/>
        </w:rPr>
        <w:t>Šī reforma ietver īpašumtiesību uz tiltiem, viaduktiem un pārvadiem no zemākā tipa ceļiem uz augstāka tipa ceļiem (automaģistrālēm un galvenajiem piepilsētas ceļiem) nodošanu, kas ļauj palieli</w:t>
      </w:r>
      <w:r>
        <w:rPr>
          <w:noProof/>
        </w:rPr>
        <w:t>nāt ceļu tīkla vispārējo drošību, jo tiltus, viaduktus un pārvadus uztur ANAS un/vai autoceļu koncesionāri, kuriem ir labākas plānošanas un uzturēšanas spējas nekā atsevišķām pašvaldībām vai provincēm.</w:t>
      </w:r>
    </w:p>
    <w:p w14:paraId="09733262" w14:textId="77777777" w:rsidR="00327FF1" w:rsidRDefault="00327FF1">
      <w:pPr>
        <w:spacing w:before="120" w:after="120" w:line="300" w:lineRule="atLeast"/>
        <w:jc w:val="both"/>
        <w:rPr>
          <w:rFonts w:ascii="Times New Roman" w:hAnsi="Times New Roman" w:cs="Times New Roman"/>
          <w:noProof/>
        </w:rPr>
        <w:sectPr w:rsidR="00327FF1" w:rsidSect="005F11B9">
          <w:headerReference w:type="even" r:id="rId140"/>
          <w:headerReference w:type="default" r:id="rId141"/>
          <w:footerReference w:type="even" r:id="rId142"/>
          <w:footerReference w:type="default" r:id="rId143"/>
          <w:headerReference w:type="first" r:id="rId144"/>
          <w:footerReference w:type="first" r:id="rId145"/>
          <w:pgSz w:w="11907" w:h="16839"/>
          <w:pgMar w:top="1134" w:right="1134" w:bottom="1134" w:left="1134" w:header="567" w:footer="567" w:gutter="0"/>
          <w:cols w:space="720"/>
          <w:docGrid w:linePitch="360"/>
        </w:sectPr>
      </w:pPr>
    </w:p>
    <w:p w14:paraId="23609206" w14:textId="77777777" w:rsidR="00327FF1" w:rsidRDefault="00E406C7">
      <w:pPr>
        <w:pStyle w:val="P68B1DB1-Heading39"/>
        <w:ind w:left="850" w:hanging="850"/>
        <w:rPr>
          <w:b/>
          <w:bCs/>
          <w:i/>
          <w:iCs/>
          <w:noProof/>
          <w:u w:val="single"/>
        </w:rPr>
      </w:pPr>
      <w:r>
        <w:rPr>
          <w:b/>
          <w:noProof/>
          <w:u w:val="single"/>
        </w:rPr>
        <w:t xml:space="preserve">H.4. </w:t>
      </w:r>
      <w:r>
        <w:rPr>
          <w:noProof/>
        </w:rPr>
        <w:t xml:space="preserve"> </w:t>
      </w:r>
      <w:r>
        <w:rPr>
          <w:b/>
          <w:noProof/>
          <w:u w:val="single"/>
        </w:rPr>
        <w:t xml:space="preserve">Atskaites punkti, mērķrādītāji, citi rādītāji un aizdevuma uzraudzības un īstenošanas grafiks </w:t>
      </w:r>
    </w:p>
    <w:tbl>
      <w:tblPr>
        <w:tblW w:w="1528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512"/>
        <w:gridCol w:w="1235"/>
        <w:gridCol w:w="1373"/>
        <w:gridCol w:w="1504"/>
        <w:gridCol w:w="966"/>
        <w:gridCol w:w="1101"/>
        <w:gridCol w:w="832"/>
        <w:gridCol w:w="829"/>
        <w:gridCol w:w="829"/>
        <w:gridCol w:w="4005"/>
      </w:tblGrid>
      <w:tr w:rsidR="00327FF1" w14:paraId="6A5A54A1" w14:textId="77777777">
        <w:trPr>
          <w:trHeight w:val="939"/>
          <w:tblHeader/>
          <w:jc w:val="right"/>
        </w:trPr>
        <w:tc>
          <w:tcPr>
            <w:tcW w:w="1095" w:type="dxa"/>
            <w:vMerge w:val="restart"/>
            <w:shd w:val="clear" w:color="auto" w:fill="BDD7EE"/>
            <w:vAlign w:val="center"/>
            <w:hideMark/>
          </w:tcPr>
          <w:p w14:paraId="4ACEC167" w14:textId="77777777" w:rsidR="00327FF1" w:rsidRDefault="00E406C7">
            <w:pPr>
              <w:pStyle w:val="P68B1DB1-Normal10"/>
              <w:jc w:val="center"/>
              <w:rPr>
                <w:noProof/>
                <w:szCs w:val="20"/>
              </w:rPr>
            </w:pPr>
            <w:r>
              <w:rPr>
                <w:noProof/>
              </w:rPr>
              <w:t>kārtas numurs</w:t>
            </w:r>
          </w:p>
        </w:tc>
        <w:tc>
          <w:tcPr>
            <w:tcW w:w="1512" w:type="dxa"/>
            <w:vMerge w:val="restart"/>
            <w:shd w:val="clear" w:color="auto" w:fill="BDD7EE"/>
            <w:vAlign w:val="center"/>
            <w:hideMark/>
          </w:tcPr>
          <w:p w14:paraId="78DE625C" w14:textId="77777777" w:rsidR="00327FF1" w:rsidRDefault="00E406C7">
            <w:pPr>
              <w:pStyle w:val="P68B1DB1-Normal10"/>
              <w:jc w:val="center"/>
              <w:rPr>
                <w:noProof/>
                <w:szCs w:val="20"/>
              </w:rPr>
            </w:pPr>
            <w:r>
              <w:rPr>
                <w:noProof/>
              </w:rPr>
              <w:t>Saistītais pasākums (reforma vai ieguldījums)</w:t>
            </w:r>
          </w:p>
        </w:tc>
        <w:tc>
          <w:tcPr>
            <w:tcW w:w="1235" w:type="dxa"/>
            <w:vMerge w:val="restart"/>
            <w:shd w:val="clear" w:color="auto" w:fill="BDD7EE"/>
            <w:vAlign w:val="center"/>
            <w:hideMark/>
          </w:tcPr>
          <w:p w14:paraId="06704A61" w14:textId="77777777" w:rsidR="00327FF1" w:rsidRDefault="00E406C7">
            <w:pPr>
              <w:pStyle w:val="P68B1DB1-Normal10"/>
              <w:jc w:val="center"/>
              <w:rPr>
                <w:noProof/>
                <w:szCs w:val="20"/>
              </w:rPr>
            </w:pPr>
            <w:r>
              <w:rPr>
                <w:noProof/>
              </w:rPr>
              <w:t>Atskaites punkts/mērķrādītājs</w:t>
            </w:r>
          </w:p>
        </w:tc>
        <w:tc>
          <w:tcPr>
            <w:tcW w:w="1373" w:type="dxa"/>
            <w:vMerge w:val="restart"/>
            <w:shd w:val="clear" w:color="auto" w:fill="BDD7EE"/>
            <w:vAlign w:val="center"/>
            <w:hideMark/>
          </w:tcPr>
          <w:p w14:paraId="1CE20E88" w14:textId="77777777" w:rsidR="00327FF1" w:rsidRDefault="00E406C7">
            <w:pPr>
              <w:pStyle w:val="P68B1DB1-Normal10"/>
              <w:jc w:val="center"/>
              <w:rPr>
                <w:noProof/>
                <w:szCs w:val="20"/>
              </w:rPr>
            </w:pPr>
            <w:r>
              <w:rPr>
                <w:noProof/>
              </w:rPr>
              <w:t>Nosaukums</w:t>
            </w:r>
          </w:p>
        </w:tc>
        <w:tc>
          <w:tcPr>
            <w:tcW w:w="1504" w:type="dxa"/>
            <w:vMerge w:val="restart"/>
            <w:shd w:val="clear" w:color="auto" w:fill="BDD7EE"/>
            <w:vAlign w:val="center"/>
            <w:hideMark/>
          </w:tcPr>
          <w:p w14:paraId="27544017" w14:textId="77777777"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 xml:space="preserve">(attiecībā </w:t>
            </w:r>
            <w:r>
              <w:rPr>
                <w:rFonts w:ascii="Arial Narrow" w:hAnsi="Arial Narrow"/>
                <w:b/>
                <w:noProof/>
                <w:sz w:val="20"/>
              </w:rPr>
              <w:t>uz starpposma mērķiem)</w:t>
            </w:r>
          </w:p>
        </w:tc>
        <w:tc>
          <w:tcPr>
            <w:tcW w:w="2899" w:type="dxa"/>
            <w:gridSpan w:val="3"/>
            <w:shd w:val="clear" w:color="auto" w:fill="BDD7EE"/>
            <w:vAlign w:val="center"/>
            <w:hideMark/>
          </w:tcPr>
          <w:p w14:paraId="662B6D2C" w14:textId="77777777" w:rsidR="00327FF1" w:rsidRDefault="00E406C7">
            <w:pPr>
              <w:jc w:val="center"/>
              <w:rPr>
                <w:rFonts w:ascii="Arial Narrow" w:hAnsi="Arial Narrow"/>
                <w:b/>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658" w:type="dxa"/>
            <w:gridSpan w:val="2"/>
            <w:shd w:val="clear" w:color="auto" w:fill="BDD7EE"/>
            <w:vAlign w:val="center"/>
            <w:hideMark/>
          </w:tcPr>
          <w:p w14:paraId="2B082161" w14:textId="77777777" w:rsidR="00327FF1" w:rsidRDefault="00E406C7">
            <w:pPr>
              <w:pStyle w:val="P68B1DB1-Normal10"/>
              <w:jc w:val="center"/>
              <w:rPr>
                <w:noProof/>
                <w:szCs w:val="20"/>
              </w:rPr>
            </w:pPr>
            <w:r>
              <w:rPr>
                <w:noProof/>
              </w:rPr>
              <w:t>Orientējošs pabeigšanas termiņš</w:t>
            </w:r>
          </w:p>
        </w:tc>
        <w:tc>
          <w:tcPr>
            <w:tcW w:w="4005" w:type="dxa"/>
            <w:vMerge w:val="restart"/>
            <w:shd w:val="clear" w:color="auto" w:fill="BDD7EE"/>
            <w:vAlign w:val="center"/>
            <w:hideMark/>
          </w:tcPr>
          <w:p w14:paraId="71F54B65" w14:textId="77777777" w:rsidR="00327FF1" w:rsidRDefault="00E406C7">
            <w:pPr>
              <w:pStyle w:val="P68B1DB1-Normal10"/>
              <w:jc w:val="center"/>
              <w:rPr>
                <w:noProof/>
                <w:szCs w:val="20"/>
              </w:rPr>
            </w:pPr>
            <w:r>
              <w:rPr>
                <w:noProof/>
              </w:rPr>
              <w:t>Apraksts par katru atskaites punktu un mērķrādītāju</w:t>
            </w:r>
          </w:p>
        </w:tc>
      </w:tr>
      <w:tr w:rsidR="00327FF1" w14:paraId="2013418F" w14:textId="77777777">
        <w:trPr>
          <w:trHeight w:val="598"/>
          <w:tblHeader/>
          <w:jc w:val="right"/>
        </w:trPr>
        <w:tc>
          <w:tcPr>
            <w:tcW w:w="1095" w:type="dxa"/>
            <w:vMerge/>
            <w:vAlign w:val="center"/>
            <w:hideMark/>
          </w:tcPr>
          <w:p w14:paraId="266D96E8" w14:textId="77777777" w:rsidR="00327FF1" w:rsidRDefault="00327FF1">
            <w:pPr>
              <w:jc w:val="center"/>
              <w:rPr>
                <w:rFonts w:ascii="Arial Narrow" w:hAnsi="Arial Narrow"/>
                <w:b/>
                <w:bCs/>
                <w:noProof/>
                <w:sz w:val="20"/>
                <w:szCs w:val="20"/>
              </w:rPr>
            </w:pPr>
          </w:p>
        </w:tc>
        <w:tc>
          <w:tcPr>
            <w:tcW w:w="1512" w:type="dxa"/>
            <w:vMerge/>
            <w:vAlign w:val="center"/>
            <w:hideMark/>
          </w:tcPr>
          <w:p w14:paraId="554303C5" w14:textId="77777777" w:rsidR="00327FF1" w:rsidRDefault="00327FF1">
            <w:pPr>
              <w:jc w:val="center"/>
              <w:rPr>
                <w:rFonts w:ascii="Arial Narrow" w:hAnsi="Arial Narrow"/>
                <w:b/>
                <w:bCs/>
                <w:noProof/>
                <w:sz w:val="20"/>
                <w:szCs w:val="20"/>
              </w:rPr>
            </w:pPr>
          </w:p>
        </w:tc>
        <w:tc>
          <w:tcPr>
            <w:tcW w:w="1235" w:type="dxa"/>
            <w:vMerge/>
            <w:vAlign w:val="center"/>
            <w:hideMark/>
          </w:tcPr>
          <w:p w14:paraId="06F46CF8" w14:textId="77777777" w:rsidR="00327FF1" w:rsidRDefault="00327FF1">
            <w:pPr>
              <w:jc w:val="center"/>
              <w:rPr>
                <w:rFonts w:ascii="Arial Narrow" w:hAnsi="Arial Narrow"/>
                <w:b/>
                <w:bCs/>
                <w:noProof/>
                <w:sz w:val="20"/>
                <w:szCs w:val="20"/>
              </w:rPr>
            </w:pPr>
          </w:p>
        </w:tc>
        <w:tc>
          <w:tcPr>
            <w:tcW w:w="1373" w:type="dxa"/>
            <w:vMerge/>
            <w:vAlign w:val="center"/>
            <w:hideMark/>
          </w:tcPr>
          <w:p w14:paraId="6A0515BF" w14:textId="77777777" w:rsidR="00327FF1" w:rsidRDefault="00327FF1">
            <w:pPr>
              <w:jc w:val="center"/>
              <w:rPr>
                <w:rFonts w:ascii="Arial Narrow" w:hAnsi="Arial Narrow"/>
                <w:b/>
                <w:bCs/>
                <w:noProof/>
                <w:sz w:val="20"/>
                <w:szCs w:val="20"/>
              </w:rPr>
            </w:pPr>
          </w:p>
        </w:tc>
        <w:tc>
          <w:tcPr>
            <w:tcW w:w="1504" w:type="dxa"/>
            <w:vMerge/>
            <w:vAlign w:val="center"/>
            <w:hideMark/>
          </w:tcPr>
          <w:p w14:paraId="60202E4E" w14:textId="77777777" w:rsidR="00327FF1" w:rsidRDefault="00327FF1">
            <w:pPr>
              <w:jc w:val="center"/>
              <w:rPr>
                <w:rFonts w:ascii="Arial Narrow" w:hAnsi="Arial Narrow"/>
                <w:b/>
                <w:bCs/>
                <w:noProof/>
                <w:sz w:val="20"/>
                <w:szCs w:val="20"/>
              </w:rPr>
            </w:pPr>
          </w:p>
        </w:tc>
        <w:tc>
          <w:tcPr>
            <w:tcW w:w="966" w:type="dxa"/>
            <w:shd w:val="clear" w:color="auto" w:fill="BDD7EE"/>
            <w:vAlign w:val="center"/>
            <w:hideMark/>
          </w:tcPr>
          <w:p w14:paraId="4D9D5215" w14:textId="77777777" w:rsidR="00327FF1" w:rsidRDefault="00E406C7">
            <w:pPr>
              <w:pStyle w:val="P68B1DB1-Normal10"/>
              <w:jc w:val="center"/>
              <w:rPr>
                <w:noProof/>
                <w:szCs w:val="20"/>
              </w:rPr>
            </w:pPr>
            <w:r>
              <w:rPr>
                <w:noProof/>
              </w:rPr>
              <w:t>Mēra vienība</w:t>
            </w:r>
          </w:p>
        </w:tc>
        <w:tc>
          <w:tcPr>
            <w:tcW w:w="1101" w:type="dxa"/>
            <w:shd w:val="clear" w:color="auto" w:fill="BDD7EE"/>
            <w:vAlign w:val="center"/>
            <w:hideMark/>
          </w:tcPr>
          <w:p w14:paraId="2762D11D" w14:textId="77777777" w:rsidR="00327FF1" w:rsidRDefault="00E406C7">
            <w:pPr>
              <w:pStyle w:val="P68B1DB1-Normal10"/>
              <w:jc w:val="center"/>
              <w:rPr>
                <w:noProof/>
                <w:szCs w:val="20"/>
              </w:rPr>
            </w:pPr>
            <w:r>
              <w:rPr>
                <w:noProof/>
              </w:rPr>
              <w:t>Pamatscenārijs</w:t>
            </w:r>
          </w:p>
        </w:tc>
        <w:tc>
          <w:tcPr>
            <w:tcW w:w="832" w:type="dxa"/>
            <w:shd w:val="clear" w:color="auto" w:fill="BDD7EE"/>
            <w:vAlign w:val="center"/>
            <w:hideMark/>
          </w:tcPr>
          <w:p w14:paraId="14FD0514" w14:textId="77777777" w:rsidR="00327FF1" w:rsidRDefault="00E406C7">
            <w:pPr>
              <w:pStyle w:val="P68B1DB1-Normal10"/>
              <w:jc w:val="center"/>
              <w:rPr>
                <w:noProof/>
                <w:szCs w:val="20"/>
              </w:rPr>
            </w:pPr>
            <w:r>
              <w:rPr>
                <w:noProof/>
              </w:rPr>
              <w:t>Mērķis</w:t>
            </w:r>
          </w:p>
        </w:tc>
        <w:tc>
          <w:tcPr>
            <w:tcW w:w="829" w:type="dxa"/>
            <w:shd w:val="clear" w:color="auto" w:fill="BDD7EE"/>
            <w:vAlign w:val="center"/>
            <w:hideMark/>
          </w:tcPr>
          <w:p w14:paraId="49B884F1" w14:textId="77777777" w:rsidR="00327FF1" w:rsidRDefault="00E406C7">
            <w:pPr>
              <w:pStyle w:val="P68B1DB1-Normal10"/>
              <w:jc w:val="center"/>
              <w:rPr>
                <w:noProof/>
                <w:szCs w:val="20"/>
              </w:rPr>
            </w:pPr>
            <w:r>
              <w:rPr>
                <w:noProof/>
              </w:rPr>
              <w:t>Ceturkšņa laikā</w:t>
            </w:r>
          </w:p>
        </w:tc>
        <w:tc>
          <w:tcPr>
            <w:tcW w:w="829" w:type="dxa"/>
            <w:shd w:val="clear" w:color="auto" w:fill="BDD7EE"/>
            <w:vAlign w:val="center"/>
            <w:hideMark/>
          </w:tcPr>
          <w:p w14:paraId="46D0DFA0" w14:textId="77777777" w:rsidR="00327FF1" w:rsidRDefault="00E406C7">
            <w:pPr>
              <w:pStyle w:val="P68B1DB1-Normal10"/>
              <w:jc w:val="center"/>
              <w:rPr>
                <w:noProof/>
                <w:szCs w:val="20"/>
              </w:rPr>
            </w:pPr>
            <w:r>
              <w:rPr>
                <w:noProof/>
              </w:rPr>
              <w:t>Gadu</w:t>
            </w:r>
          </w:p>
        </w:tc>
        <w:tc>
          <w:tcPr>
            <w:tcW w:w="4005" w:type="dxa"/>
            <w:vMerge/>
            <w:vAlign w:val="center"/>
            <w:hideMark/>
          </w:tcPr>
          <w:p w14:paraId="561FE14E" w14:textId="77777777" w:rsidR="00327FF1" w:rsidRDefault="00327FF1">
            <w:pPr>
              <w:jc w:val="center"/>
              <w:rPr>
                <w:rFonts w:ascii="Arial Narrow" w:hAnsi="Arial Narrow"/>
                <w:b/>
                <w:bCs/>
                <w:noProof/>
                <w:sz w:val="20"/>
                <w:szCs w:val="20"/>
              </w:rPr>
            </w:pPr>
          </w:p>
        </w:tc>
      </w:tr>
      <w:tr w:rsidR="00327FF1" w14:paraId="084A348F" w14:textId="77777777">
        <w:trPr>
          <w:trHeight w:val="2818"/>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C6C4B9" w14:textId="77777777" w:rsidR="00327FF1" w:rsidRDefault="00E406C7">
            <w:pPr>
              <w:pStyle w:val="P68B1DB1-Normal11"/>
              <w:jc w:val="center"/>
              <w:rPr>
                <w:noProof/>
                <w:szCs w:val="20"/>
              </w:rPr>
            </w:pPr>
            <w:r>
              <w:rPr>
                <w:noProof/>
              </w:rPr>
              <w:t>M3C1–1</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5A267" w14:textId="77777777" w:rsidR="00327FF1" w:rsidRDefault="00E406C7">
            <w:pPr>
              <w:pStyle w:val="P68B1DB1-Normal11"/>
              <w:jc w:val="center"/>
              <w:rPr>
                <w:noProof/>
                <w:szCs w:val="20"/>
              </w:rPr>
            </w:pPr>
            <w:r>
              <w:rPr>
                <w:noProof/>
              </w:rPr>
              <w:t xml:space="preserve">Reforma. Paātrināt MIT un RFI līguma </w:t>
            </w:r>
            <w:r>
              <w:rPr>
                <w:noProof/>
              </w:rPr>
              <w:t>apstiprināšanas procesu</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E44845" w14:textId="77777777" w:rsidR="00327FF1" w:rsidRDefault="00E406C7">
            <w:pPr>
              <w:pStyle w:val="P68B1DB1-Normal11"/>
              <w:jc w:val="center"/>
              <w:rPr>
                <w:noProof/>
                <w:szCs w:val="20"/>
              </w:rPr>
            </w:pPr>
            <w:r>
              <w:rPr>
                <w:noProof/>
              </w:rPr>
              <w:t>Atskaites punkts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B56CD6" w14:textId="77777777" w:rsidR="00327FF1" w:rsidRDefault="00E406C7">
            <w:pPr>
              <w:pStyle w:val="P68B1DB1-Normal11"/>
              <w:jc w:val="center"/>
              <w:rPr>
                <w:noProof/>
                <w:szCs w:val="20"/>
              </w:rPr>
            </w:pPr>
            <w:r>
              <w:rPr>
                <w:noProof/>
              </w:rPr>
              <w:t>Stājas spēkā tiesību akta grozījums par Contratti di Programma (CdP) apstiprināšanas procesu</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1D2B8D" w14:textId="77777777" w:rsidR="00327FF1" w:rsidRDefault="00E406C7">
            <w:pPr>
              <w:pStyle w:val="P68B1DB1-Normal11"/>
              <w:jc w:val="center"/>
              <w:rPr>
                <w:noProof/>
                <w:szCs w:val="20"/>
              </w:rPr>
            </w:pPr>
            <w:r>
              <w:rPr>
                <w:noProof/>
              </w:rPr>
              <w:t>Likuma noteikums, kas norāda, ka stājas spēkā tiesību akta grozījums par Contratti di Programma apstiprināšanas procesu</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1CA9F3" w14:textId="77777777" w:rsidR="00327FF1" w:rsidRDefault="00E406C7">
            <w:pPr>
              <w:pStyle w:val="P68B1DB1-Normal11"/>
              <w:jc w:val="center"/>
              <w:rPr>
                <w:noProof/>
                <w:szCs w:val="20"/>
              </w:rPr>
            </w:pPr>
            <w:r>
              <w:rPr>
                <w:noProof/>
              </w:rPr>
              <w:t>NEPIEMĒRO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B08E11" w14:textId="77777777" w:rsidR="00327FF1" w:rsidRDefault="00E406C7">
            <w:pPr>
              <w:pStyle w:val="P68B1DB1-Normal11"/>
              <w:jc w:val="center"/>
              <w:rPr>
                <w:noProof/>
                <w:szCs w:val="20"/>
              </w:rPr>
            </w:pPr>
            <w:r>
              <w:rPr>
                <w:noProof/>
              </w:rPr>
              <w:t>NEPIEMĒRO</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470441" w14:textId="77777777" w:rsidR="00327FF1" w:rsidRDefault="00E406C7">
            <w:pPr>
              <w:pStyle w:val="P68B1DB1-Normal11"/>
              <w:jc w:val="center"/>
              <w:rPr>
                <w:noProof/>
                <w:szCs w:val="20"/>
              </w:rPr>
            </w:pPr>
            <w:r>
              <w:rPr>
                <w:noProof/>
              </w:rPr>
              <w:t>NEPIEMĒRO</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7B28E7" w14:textId="77777777" w:rsidR="00327FF1" w:rsidRDefault="00E406C7">
            <w:pPr>
              <w:pStyle w:val="P68B1DB1-Normal11"/>
              <w:jc w:val="center"/>
              <w:rPr>
                <w:noProof/>
                <w:szCs w:val="20"/>
              </w:rPr>
            </w:pPr>
            <w:r>
              <w:rPr>
                <w:noProof/>
              </w:rPr>
              <w:t>4.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DDCDFFD" w14:textId="77777777" w:rsidR="00327FF1" w:rsidRDefault="00E406C7">
            <w:pPr>
              <w:pStyle w:val="P68B1DB1-Normal11"/>
              <w:jc w:val="center"/>
              <w:rPr>
                <w:noProof/>
                <w:szCs w:val="20"/>
              </w:rPr>
            </w:pPr>
            <w:r>
              <w:rPr>
                <w:noProof/>
              </w:rPr>
              <w:t>2021</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89BDFB" w14:textId="77777777" w:rsidR="00327FF1" w:rsidRDefault="00E406C7">
            <w:pPr>
              <w:pStyle w:val="P68B1DB1-ListParagraph15"/>
              <w:ind w:left="40"/>
              <w:rPr>
                <w:noProof/>
                <w:szCs w:val="20"/>
              </w:rPr>
            </w:pPr>
            <w:r>
              <w:rPr>
                <w:noProof/>
              </w:rPr>
              <w:t xml:space="preserve">Tiesību akta grozījums samazina dzelzceļa infrastruktūras pārvaldītāja </w:t>
            </w:r>
            <w:r>
              <w:rPr>
                <w:i/>
                <w:noProof/>
              </w:rPr>
              <w:t>Rete Ferroviaria Italiana</w:t>
            </w:r>
            <w:r>
              <w:rPr>
                <w:noProof/>
              </w:rPr>
              <w:t xml:space="preserve"> Contratti di Programma (CdP) apstiprināšanas laiku.</w:t>
            </w:r>
          </w:p>
        </w:tc>
      </w:tr>
      <w:tr w:rsidR="00327FF1" w14:paraId="2AC90816" w14:textId="77777777">
        <w:trPr>
          <w:trHeight w:val="3100"/>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CEF46B" w14:textId="77777777" w:rsidR="00327FF1" w:rsidRDefault="00E406C7">
            <w:pPr>
              <w:pStyle w:val="P68B1DB1-Normal11"/>
              <w:jc w:val="center"/>
              <w:rPr>
                <w:noProof/>
                <w:szCs w:val="20"/>
              </w:rPr>
            </w:pPr>
            <w:r>
              <w:rPr>
                <w:noProof/>
              </w:rPr>
              <w:t>M3C1–2</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8375A1" w14:textId="77777777" w:rsidR="00327FF1" w:rsidRDefault="00E406C7">
            <w:pPr>
              <w:pStyle w:val="P68B1DB1-Normal11"/>
              <w:jc w:val="center"/>
              <w:rPr>
                <w:noProof/>
                <w:szCs w:val="20"/>
              </w:rPr>
            </w:pPr>
            <w:r>
              <w:rPr>
                <w:noProof/>
              </w:rPr>
              <w:t>Reforma. Projektu apstiprināšanas procesa paātrināšana</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446347" w14:textId="77777777" w:rsidR="00327FF1" w:rsidRDefault="00E406C7">
            <w:pPr>
              <w:pStyle w:val="P68B1DB1-Normal11"/>
              <w:jc w:val="center"/>
              <w:rPr>
                <w:noProof/>
                <w:szCs w:val="20"/>
              </w:rPr>
            </w:pPr>
            <w:r>
              <w:rPr>
                <w:noProof/>
              </w:rPr>
              <w:t>Atskaites punkts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A160B3" w14:textId="77777777" w:rsidR="00327FF1" w:rsidRDefault="00E406C7">
            <w:pPr>
              <w:pStyle w:val="P68B1DB1-Normal11"/>
              <w:jc w:val="center"/>
              <w:rPr>
                <w:noProof/>
                <w:szCs w:val="20"/>
              </w:rPr>
            </w:pPr>
            <w:r>
              <w:rPr>
                <w:noProof/>
              </w:rPr>
              <w:t>Tādu regulatīvo izmaiņu stāšanās spēkā, kas samazina projektu atļaušanas laiku no 11 mēnešiem uz sešiem mēnešiem</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1079EED" w14:textId="77777777" w:rsidR="00327FF1" w:rsidRDefault="00E406C7">
            <w:pPr>
              <w:pStyle w:val="P68B1DB1-Normal11"/>
              <w:jc w:val="center"/>
              <w:rPr>
                <w:noProof/>
                <w:szCs w:val="20"/>
              </w:rPr>
            </w:pPr>
            <w:r>
              <w:rPr>
                <w:noProof/>
              </w:rPr>
              <w:t xml:space="preserve">Likuma noteikums, kas norāda, ka stājas spēkā regulatīvās izmaiņas, kas samazina atļaujas laiku no 11 mēnešiem uz sešiem </w:t>
            </w:r>
            <w:r>
              <w:rPr>
                <w:noProof/>
              </w:rPr>
              <w:t>mēnešiem.</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68B327" w14:textId="77777777" w:rsidR="00327FF1" w:rsidRDefault="00E406C7">
            <w:pPr>
              <w:pStyle w:val="P68B1DB1-Normal11"/>
              <w:jc w:val="center"/>
              <w:rPr>
                <w:noProof/>
                <w:szCs w:val="20"/>
              </w:rPr>
            </w:pPr>
            <w:r>
              <w:rPr>
                <w:noProof/>
              </w:rPr>
              <w:t>NEPIEMĒRO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DBCD4" w14:textId="77777777" w:rsidR="00327FF1" w:rsidRDefault="00E406C7">
            <w:pPr>
              <w:pStyle w:val="P68B1DB1-Normal11"/>
              <w:jc w:val="center"/>
              <w:rPr>
                <w:noProof/>
                <w:szCs w:val="20"/>
              </w:rPr>
            </w:pPr>
            <w:r>
              <w:rPr>
                <w:noProof/>
              </w:rPr>
              <w:t>NEPIEMĒRO</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1ECCE" w14:textId="77777777" w:rsidR="00327FF1" w:rsidRDefault="00E406C7">
            <w:pPr>
              <w:pStyle w:val="P68B1DB1-Normal11"/>
              <w:jc w:val="center"/>
              <w:rPr>
                <w:noProof/>
                <w:szCs w:val="20"/>
              </w:rPr>
            </w:pPr>
            <w:r>
              <w:rPr>
                <w:noProof/>
              </w:rPr>
              <w:t>NEPIEMĒRO</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95661DE" w14:textId="77777777" w:rsidR="00327FF1" w:rsidRDefault="00E406C7">
            <w:pPr>
              <w:pStyle w:val="P68B1DB1-Normal11"/>
              <w:jc w:val="center"/>
              <w:rPr>
                <w:noProof/>
                <w:szCs w:val="20"/>
              </w:rPr>
            </w:pPr>
            <w:r>
              <w:rPr>
                <w:noProof/>
              </w:rPr>
              <w:t>4.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F562FB" w14:textId="77777777" w:rsidR="00327FF1" w:rsidRDefault="00E406C7">
            <w:pPr>
              <w:pStyle w:val="P68B1DB1-Normal11"/>
              <w:jc w:val="center"/>
              <w:rPr>
                <w:noProof/>
                <w:szCs w:val="20"/>
              </w:rPr>
            </w:pPr>
            <w:r>
              <w:rPr>
                <w:noProof/>
              </w:rPr>
              <w:t>2021</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E30F27" w14:textId="77777777" w:rsidR="00327FF1" w:rsidRDefault="00E406C7">
            <w:pPr>
              <w:pStyle w:val="P68B1DB1-Normal11"/>
              <w:spacing w:before="100" w:beforeAutospacing="1" w:after="165"/>
              <w:rPr>
                <w:noProof/>
                <w:szCs w:val="20"/>
              </w:rPr>
            </w:pPr>
            <w:r>
              <w:rPr>
                <w:noProof/>
              </w:rPr>
              <w:t>Regulatīvās izmaiņas samazina projektu atļaušanas laiku no 11 mēnešiem uz sešiem mēnešiem.</w:t>
            </w:r>
          </w:p>
        </w:tc>
      </w:tr>
      <w:tr w:rsidR="00327FF1" w14:paraId="3A237A41" w14:textId="77777777">
        <w:trPr>
          <w:trHeight w:val="313"/>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480151" w14:textId="77777777" w:rsidR="00327FF1" w:rsidRDefault="00E406C7">
            <w:pPr>
              <w:pStyle w:val="P68B1DB1-Normal11"/>
              <w:jc w:val="center"/>
              <w:rPr>
                <w:noProof/>
                <w:szCs w:val="20"/>
              </w:rPr>
            </w:pPr>
            <w:r>
              <w:rPr>
                <w:noProof/>
              </w:rPr>
              <w:t>M3C1–3</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676BA6" w14:textId="77777777" w:rsidR="00327FF1" w:rsidRDefault="00E406C7">
            <w:pPr>
              <w:pStyle w:val="P68B1DB1-Normal11"/>
              <w:jc w:val="center"/>
              <w:rPr>
                <w:noProof/>
                <w:szCs w:val="20"/>
              </w:rPr>
            </w:pPr>
            <w:r>
              <w:rPr>
                <w:noProof/>
              </w:rPr>
              <w:t>Investīcija. Ātrgaitas dzelzceļa savienojumi ar dienvidiem pasažieru un kravu pārvadājumiem</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999672" w14:textId="77777777" w:rsidR="00327FF1" w:rsidRDefault="00E406C7">
            <w:pPr>
              <w:pStyle w:val="P68B1DB1-Normal11"/>
              <w:jc w:val="center"/>
              <w:rPr>
                <w:noProof/>
                <w:szCs w:val="20"/>
              </w:rPr>
            </w:pPr>
            <w:r>
              <w:rPr>
                <w:noProof/>
              </w:rPr>
              <w:t xml:space="preserve">Atskaites </w:t>
            </w:r>
            <w:r>
              <w:rPr>
                <w:noProof/>
              </w:rPr>
              <w:t>punkts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2D76C5" w14:textId="77777777" w:rsidR="00327FF1" w:rsidRDefault="00E406C7">
            <w:pPr>
              <w:pStyle w:val="P68B1DB1-Normal11"/>
              <w:jc w:val="center"/>
              <w:rPr>
                <w:noProof/>
                <w:szCs w:val="20"/>
              </w:rPr>
            </w:pPr>
            <w:r>
              <w:rPr>
                <w:noProof/>
              </w:rPr>
              <w:t>Līguma slēgšanas tiesību piešķiršana ātrgaitas dzelzceļa būvniecībai līnijās Napoli-Bari un Palermo-Katania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E323803" w14:textId="00F2906F" w:rsidR="00327FF1" w:rsidRDefault="00E406C7">
            <w:pPr>
              <w:pStyle w:val="P68B1DB1-Normal11"/>
              <w:jc w:val="center"/>
              <w:rPr>
                <w:noProof/>
                <w:szCs w:val="20"/>
              </w:rPr>
            </w:pPr>
            <w:r>
              <w:rPr>
                <w:noProof/>
              </w:rPr>
              <w:t xml:space="preserve">Paziņojums par visu publiskā iepirkuma līgumu slēgšanas tiesību piešķiršanu ātrgaitas dzelzceļa būvniecībai līnijās Napoli-Bari un </w:t>
            </w:r>
            <w:r>
              <w:rPr>
                <w:noProof/>
              </w:rPr>
              <w:t>Palermo-Katania</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79B99C5" w14:textId="77777777" w:rsidR="00327FF1" w:rsidRDefault="00E406C7">
            <w:pPr>
              <w:pStyle w:val="P68B1DB1-Normal11"/>
              <w:jc w:val="center"/>
              <w:rPr>
                <w:noProof/>
                <w:szCs w:val="20"/>
              </w:rPr>
            </w:pPr>
            <w:r>
              <w:rPr>
                <w:noProof/>
              </w:rPr>
              <w:t>NEPIEMĒRO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766C366" w14:textId="77777777" w:rsidR="00327FF1" w:rsidRDefault="00E406C7">
            <w:pPr>
              <w:pStyle w:val="P68B1DB1-Normal11"/>
              <w:jc w:val="center"/>
              <w:rPr>
                <w:noProof/>
                <w:szCs w:val="20"/>
              </w:rPr>
            </w:pPr>
            <w:r>
              <w:rPr>
                <w:noProof/>
              </w:rPr>
              <w:t>NEPIEMĒRO</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632008" w14:textId="77777777" w:rsidR="00327FF1" w:rsidRDefault="00E406C7">
            <w:pPr>
              <w:pStyle w:val="P68B1DB1-Normal11"/>
              <w:jc w:val="center"/>
              <w:rPr>
                <w:noProof/>
                <w:szCs w:val="20"/>
              </w:rPr>
            </w:pPr>
            <w:r>
              <w:rPr>
                <w:noProof/>
              </w:rPr>
              <w:t>NEPIEMĒRO</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1D0B609" w14:textId="77777777" w:rsidR="00327FF1" w:rsidRDefault="00E406C7">
            <w:pPr>
              <w:pStyle w:val="P68B1DB1-Normal11"/>
              <w:jc w:val="center"/>
              <w:rPr>
                <w:noProof/>
                <w:szCs w:val="20"/>
              </w:rPr>
            </w:pPr>
            <w:r>
              <w:rPr>
                <w:noProof/>
              </w:rPr>
              <w:t>4.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E45D05" w14:textId="77777777" w:rsidR="00327FF1" w:rsidRDefault="00E406C7">
            <w:pPr>
              <w:pStyle w:val="P68B1DB1-Normal11"/>
              <w:jc w:val="center"/>
              <w:rPr>
                <w:noProof/>
                <w:szCs w:val="20"/>
              </w:rPr>
            </w:pPr>
            <w:r>
              <w:rPr>
                <w:noProof/>
              </w:rPr>
              <w:t>2022</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D17C49" w14:textId="77777777" w:rsidR="00327FF1" w:rsidRDefault="00E406C7">
            <w:pPr>
              <w:pStyle w:val="P68B1DB1-Normal11"/>
              <w:spacing w:before="120" w:after="120"/>
              <w:rPr>
                <w:noProof/>
                <w:szCs w:val="20"/>
              </w:rPr>
            </w:pPr>
            <w:r>
              <w:rPr>
                <w:noProof/>
              </w:rPr>
              <w:t>Paziņojums par visu publiskā iepirkuma līgumu slēgšanas tiesību piešķiršanu ātrgaitas dzelzceļa būvniecībai līnijās Napoli-Bari un Palermo-Katania, pilnībā ievērojot publiskā iepirkuma noteikumus</w:t>
            </w:r>
          </w:p>
          <w:p w14:paraId="1499AC8D" w14:textId="77777777" w:rsidR="00327FF1" w:rsidRDefault="00E406C7">
            <w:pPr>
              <w:pStyle w:val="P68B1DB1-Normal11"/>
              <w:spacing w:before="120" w:after="120"/>
              <w:rPr>
                <w:noProof/>
                <w:szCs w:val="20"/>
              </w:rPr>
            </w:pPr>
            <w:r>
              <w:rPr>
                <w:noProof/>
              </w:rPr>
              <w:t>L</w:t>
            </w:r>
            <w:r>
              <w:rPr>
                <w:noProof/>
              </w:rPr>
              <w:t>īgums(-i) attiecas uz šādām šo līniju daļām:</w:t>
            </w:r>
          </w:p>
          <w:p w14:paraId="667D6141" w14:textId="77777777" w:rsidR="00327FF1" w:rsidRDefault="00E406C7">
            <w:pPr>
              <w:pStyle w:val="P68B1DB1-Normal11"/>
              <w:spacing w:before="120" w:after="120"/>
              <w:rPr>
                <w:noProof/>
                <w:szCs w:val="20"/>
              </w:rPr>
            </w:pPr>
            <w:r>
              <w:rPr>
                <w:noProof/>
              </w:rPr>
              <w:t>Neapoles-Bari līnija: Orsara-Bovino</w:t>
            </w:r>
          </w:p>
          <w:p w14:paraId="7308F81E" w14:textId="749B9E28" w:rsidR="00327FF1" w:rsidRDefault="00E406C7">
            <w:pPr>
              <w:pStyle w:val="P68B1DB1-Normal11"/>
              <w:spacing w:before="120" w:after="120"/>
              <w:rPr>
                <w:noProof/>
                <w:szCs w:val="20"/>
              </w:rPr>
            </w:pPr>
            <w:r>
              <w:rPr>
                <w:noProof/>
              </w:rPr>
              <w:t>Palermo-Katanijas līnija: Catenanuova — Dittaino un Dittaino — Enna</w:t>
            </w:r>
          </w:p>
        </w:tc>
      </w:tr>
      <w:tr w:rsidR="00327FF1" w14:paraId="2BEC294A" w14:textId="77777777">
        <w:trPr>
          <w:trHeight w:val="313"/>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15E40E" w14:textId="77777777" w:rsidR="00327FF1" w:rsidRDefault="00E406C7">
            <w:pPr>
              <w:pStyle w:val="P68B1DB1-Normal11"/>
              <w:jc w:val="center"/>
              <w:rPr>
                <w:noProof/>
                <w:szCs w:val="20"/>
              </w:rPr>
            </w:pPr>
            <w:r>
              <w:rPr>
                <w:noProof/>
              </w:rPr>
              <w:t>M3C1–4</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8DAE220" w14:textId="77777777" w:rsidR="00327FF1" w:rsidRDefault="00E406C7">
            <w:pPr>
              <w:pStyle w:val="P68B1DB1-Normal11"/>
              <w:jc w:val="center"/>
              <w:rPr>
                <w:noProof/>
                <w:szCs w:val="20"/>
              </w:rPr>
            </w:pPr>
            <w:r>
              <w:rPr>
                <w:noProof/>
              </w:rPr>
              <w:t>Investīcija. Ātrgaitas dzelzceļa savienojumi ar dienvidiem pasažieru un kravu pārvadājumiem</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21B4F9" w14:textId="77777777" w:rsidR="00327FF1" w:rsidRDefault="00E406C7">
            <w:pPr>
              <w:pStyle w:val="P68B1DB1-Normal11"/>
              <w:jc w:val="center"/>
              <w:rPr>
                <w:noProof/>
                <w:szCs w:val="20"/>
              </w:rPr>
            </w:pPr>
            <w:r>
              <w:rPr>
                <w:noProof/>
              </w:rPr>
              <w:t>Atskaites punkts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8289C02" w14:textId="77777777" w:rsidR="00327FF1" w:rsidRDefault="00E406C7">
            <w:pPr>
              <w:pStyle w:val="P68B1DB1-Normal11"/>
              <w:jc w:val="center"/>
              <w:rPr>
                <w:noProof/>
                <w:szCs w:val="20"/>
              </w:rPr>
            </w:pPr>
            <w:r>
              <w:rPr>
                <w:noProof/>
              </w:rPr>
              <w:t>Līguma slēgšanas tiesību piešķiršana ātrgaitas dzelzceļa būvniecībai Salerno Reggio Calabria līnijās</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8F5D3C4" w14:textId="110F4857" w:rsidR="00327FF1" w:rsidRDefault="00E406C7">
            <w:pPr>
              <w:pStyle w:val="P68B1DB1-Normal14"/>
              <w:jc w:val="center"/>
              <w:rPr>
                <w:noProof/>
                <w:color w:val="006100"/>
                <w:szCs w:val="20"/>
              </w:rPr>
            </w:pPr>
            <w:r>
              <w:rPr>
                <w:noProof/>
                <w:color w:val="006100"/>
              </w:rPr>
              <w:t xml:space="preserve">Paziņojums par daudzdisciplīnu līguma slēgšanas tiesību piešķiršanu ātrgaitas dzelzceļa būvniecībai Salerno-Reggio Calabria līnijā </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9C9D446" w14:textId="77777777" w:rsidR="00327FF1" w:rsidRDefault="00E406C7">
            <w:pPr>
              <w:pStyle w:val="P68B1DB1-Normal11"/>
              <w:jc w:val="center"/>
              <w:rPr>
                <w:noProof/>
                <w:szCs w:val="20"/>
              </w:rPr>
            </w:pPr>
            <w:r>
              <w:rPr>
                <w:noProof/>
              </w:rPr>
              <w:t>NEPIEMĒRO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E18BF9" w14:textId="77777777" w:rsidR="00327FF1" w:rsidRDefault="00E406C7">
            <w:pPr>
              <w:pStyle w:val="P68B1DB1-Normal11"/>
              <w:jc w:val="center"/>
              <w:rPr>
                <w:noProof/>
                <w:szCs w:val="20"/>
              </w:rPr>
            </w:pPr>
            <w:r>
              <w:rPr>
                <w:noProof/>
              </w:rPr>
              <w:t>NEPIEMĒRO</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DC3A3C0" w14:textId="77777777" w:rsidR="00327FF1" w:rsidRDefault="00E406C7">
            <w:pPr>
              <w:pStyle w:val="P68B1DB1-Normal11"/>
              <w:jc w:val="center"/>
              <w:rPr>
                <w:noProof/>
                <w:szCs w:val="20"/>
              </w:rPr>
            </w:pPr>
            <w:r>
              <w:rPr>
                <w:noProof/>
              </w:rPr>
              <w:t>NEPIEMĒRO</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56DE3DB" w14:textId="77777777" w:rsidR="00327FF1" w:rsidRDefault="00E406C7">
            <w:pPr>
              <w:pStyle w:val="P68B1DB1-Normal11"/>
              <w:jc w:val="center"/>
              <w:rPr>
                <w:noProof/>
                <w:szCs w:val="20"/>
              </w:rPr>
            </w:pPr>
            <w:r>
              <w:rPr>
                <w:noProof/>
              </w:rPr>
              <w:t>4.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3CAF9A3" w14:textId="77777777" w:rsidR="00327FF1" w:rsidRDefault="00E406C7">
            <w:pPr>
              <w:pStyle w:val="P68B1DB1-Normal11"/>
              <w:jc w:val="center"/>
              <w:rPr>
                <w:noProof/>
                <w:szCs w:val="20"/>
              </w:rPr>
            </w:pPr>
            <w:r>
              <w:rPr>
                <w:noProof/>
              </w:rPr>
              <w:t>2023</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D7BB15" w14:textId="1256EE86" w:rsidR="00327FF1" w:rsidRDefault="00E406C7">
            <w:pPr>
              <w:pStyle w:val="P68B1DB1-Normal11"/>
              <w:spacing w:before="120" w:after="120"/>
              <w:rPr>
                <w:noProof/>
                <w:szCs w:val="20"/>
              </w:rPr>
            </w:pPr>
            <w:r>
              <w:rPr>
                <w:noProof/>
              </w:rPr>
              <w:t>Paziņojums par daudzdisciplīnu līguma slēgšanas tiesību piešķiršanu ātrgaitas dzelzceļa būvniecībai Salerno Reggio Calabria līnijā.</w:t>
            </w:r>
          </w:p>
          <w:p w14:paraId="4B30D870" w14:textId="77777777" w:rsidR="00327FF1" w:rsidRDefault="00E406C7">
            <w:pPr>
              <w:pStyle w:val="P68B1DB1-Normal11"/>
              <w:spacing w:before="120" w:after="120"/>
              <w:rPr>
                <w:noProof/>
                <w:szCs w:val="20"/>
              </w:rPr>
            </w:pPr>
            <w:r>
              <w:rPr>
                <w:noProof/>
              </w:rPr>
              <w:t>Līgums attiecas uz šādām šīs līnijas daļām: Battipaglia — Romagnano</w:t>
            </w:r>
          </w:p>
        </w:tc>
      </w:tr>
      <w:tr w:rsidR="00327FF1" w14:paraId="6CE22D6D" w14:textId="77777777">
        <w:trPr>
          <w:trHeight w:val="313"/>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F8C53D" w14:textId="77777777" w:rsidR="00327FF1" w:rsidRDefault="00E406C7">
            <w:pPr>
              <w:pStyle w:val="P68B1DB1-Normal11"/>
              <w:jc w:val="center"/>
              <w:rPr>
                <w:noProof/>
              </w:rPr>
            </w:pPr>
            <w:r>
              <w:rPr>
                <w:noProof/>
              </w:rPr>
              <w:t>M3C1–5</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B38854" w14:textId="77777777" w:rsidR="00327FF1" w:rsidRDefault="00E406C7">
            <w:pPr>
              <w:pStyle w:val="P68B1DB1-Normal11"/>
              <w:jc w:val="center"/>
              <w:rPr>
                <w:noProof/>
              </w:rPr>
            </w:pPr>
            <w:r>
              <w:rPr>
                <w:noProof/>
              </w:rPr>
              <w:t>Investīcija. Ātrgaitas dzelzceļa savienojumi ar dienvidiem pasažieru un kravu pārvadājumiem </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81F02E" w14:textId="77777777" w:rsidR="00327FF1" w:rsidRDefault="00E406C7">
            <w:pPr>
              <w:pStyle w:val="P68B1DB1-Normal11"/>
              <w:jc w:val="center"/>
              <w:rPr>
                <w:noProof/>
              </w:rPr>
            </w:pPr>
            <w:r>
              <w:rPr>
                <w:noProof/>
              </w:rPr>
              <w:t>Mērķa</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E803AE" w14:textId="77777777" w:rsidR="00327FF1" w:rsidRDefault="00E406C7">
            <w:pPr>
              <w:pStyle w:val="P68B1DB1-Normal11"/>
              <w:jc w:val="center"/>
              <w:rPr>
                <w:noProof/>
              </w:rPr>
            </w:pPr>
            <w:r>
              <w:rPr>
                <w:noProof/>
              </w:rPr>
              <w:t>Ātrgaitas dzelzceļš līnijās Napoli-Bari un Palermo-Katania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E2046C" w14:textId="77777777" w:rsidR="00327FF1" w:rsidRDefault="00E406C7">
            <w:pPr>
              <w:pStyle w:val="P68B1DB1-Normal11"/>
              <w:jc w:val="center"/>
              <w:rPr>
                <w:noProof/>
              </w:rPr>
            </w:pPr>
            <w:r>
              <w:rPr>
                <w:noProof/>
              </w:rPr>
              <w:t>NEPIEMĒRO</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D097BF" w14:textId="77777777" w:rsidR="00327FF1" w:rsidRDefault="00E406C7">
            <w:pPr>
              <w:pStyle w:val="P68B1DB1-Normal11"/>
              <w:jc w:val="center"/>
              <w:rPr>
                <w:noProof/>
              </w:rPr>
            </w:pPr>
            <w:r>
              <w:rPr>
                <w:noProof/>
              </w:rPr>
              <w:t>Km</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5A659B" w14:textId="77777777" w:rsidR="00327FF1" w:rsidRDefault="00E406C7">
            <w:pPr>
              <w:pStyle w:val="P68B1DB1-Normal11"/>
              <w:jc w:val="center"/>
              <w:rPr>
                <w:noProof/>
              </w:rPr>
            </w:pPr>
            <w:r>
              <w:rPr>
                <w:noProof/>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F8E8BE" w14:textId="77777777" w:rsidR="00327FF1" w:rsidRDefault="00E406C7">
            <w:pPr>
              <w:pStyle w:val="P68B1DB1-Normal11"/>
              <w:jc w:val="center"/>
              <w:rPr>
                <w:noProof/>
              </w:rPr>
            </w:pPr>
            <w:r>
              <w:rPr>
                <w:noProof/>
              </w:rPr>
              <w:t>41</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057733" w14:textId="77777777" w:rsidR="00327FF1" w:rsidRDefault="00E406C7">
            <w:pPr>
              <w:pStyle w:val="P68B1DB1-Normal11"/>
              <w:jc w:val="center"/>
              <w:rPr>
                <w:noProof/>
              </w:rPr>
            </w:pPr>
            <w:r>
              <w:rPr>
                <w:noProof/>
              </w:rPr>
              <w:t>4.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BA9F84" w14:textId="77777777" w:rsidR="00327FF1" w:rsidRDefault="00E406C7">
            <w:pPr>
              <w:pStyle w:val="P68B1DB1-Normal11"/>
              <w:jc w:val="center"/>
              <w:rPr>
                <w:noProof/>
              </w:rPr>
            </w:pPr>
            <w:r>
              <w:rPr>
                <w:noProof/>
              </w:rPr>
              <w:t>2025</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86696F" w14:textId="77777777" w:rsidR="00327FF1" w:rsidRDefault="00E406C7">
            <w:pPr>
              <w:pStyle w:val="P68B1DB1-Normal11"/>
              <w:spacing w:before="120" w:after="120"/>
              <w:rPr>
                <w:noProof/>
              </w:rPr>
            </w:pPr>
            <w:r>
              <w:rPr>
                <w:noProof/>
              </w:rPr>
              <w:t xml:space="preserve">Sertifikāti par darbiem 41 km ātrgaitas dzelzceļa būvniecībai </w:t>
            </w:r>
            <w:r>
              <w:rPr>
                <w:noProof/>
              </w:rPr>
              <w:t>līnijās Napoli-Bari un Palermo-Katania.</w:t>
            </w:r>
          </w:p>
          <w:p w14:paraId="2887C967" w14:textId="7D820995" w:rsidR="00327FF1" w:rsidRDefault="00E406C7">
            <w:pPr>
              <w:pStyle w:val="P68B1DB1-Normal11"/>
              <w:spacing w:before="120" w:after="120"/>
              <w:rPr>
                <w:noProof/>
              </w:rPr>
            </w:pPr>
            <w:r>
              <w:rPr>
                <w:noProof/>
              </w:rPr>
              <w:t xml:space="preserve">41 km ierīko šādos segmentos: </w:t>
            </w:r>
          </w:p>
          <w:p w14:paraId="7C46347A" w14:textId="77777777" w:rsidR="00327FF1" w:rsidRDefault="00E406C7">
            <w:pPr>
              <w:pStyle w:val="P68B1DB1-Normal11"/>
              <w:spacing w:before="120" w:after="120"/>
              <w:rPr>
                <w:noProof/>
              </w:rPr>
            </w:pPr>
            <w:r>
              <w:rPr>
                <w:noProof/>
              </w:rPr>
              <w:t>Bicocca-Catenanuova (Palermo-Katanija līnija), 20,3 km, attiecībā uz kuru būvdarbi ir sākti pēc 2023. gada 30. septembra.</w:t>
            </w:r>
          </w:p>
          <w:p w14:paraId="2C583823" w14:textId="77777777" w:rsidR="00327FF1" w:rsidRDefault="00E406C7">
            <w:pPr>
              <w:pStyle w:val="P68B1DB1-Normal11"/>
              <w:spacing w:before="120" w:after="120"/>
              <w:rPr>
                <w:noProof/>
              </w:rPr>
            </w:pPr>
            <w:r>
              <w:rPr>
                <w:noProof/>
              </w:rPr>
              <w:t xml:space="preserve">Kancelo-Frasso (Napoli-Bari līnija), 7,3 km, attiecībā uz </w:t>
            </w:r>
            <w:r>
              <w:rPr>
                <w:noProof/>
              </w:rPr>
              <w:t>kuriem būvdarbi ir sākti pēc 2023. gada 30. septembra.</w:t>
            </w:r>
          </w:p>
          <w:p w14:paraId="4F6E6E75" w14:textId="77777777" w:rsidR="00327FF1" w:rsidRDefault="00E406C7">
            <w:pPr>
              <w:pStyle w:val="P68B1DB1-Normal11"/>
              <w:spacing w:before="120" w:after="120"/>
              <w:rPr>
                <w:noProof/>
              </w:rPr>
            </w:pPr>
            <w:r>
              <w:rPr>
                <w:noProof/>
              </w:rPr>
              <w:t>Nepoli-Cancello (Napoli-Bari līnija), 13,5 km, attiecībā uz kuriem būvdarbi ir sākti pēc 2023. gada 30. septembra.</w:t>
            </w:r>
          </w:p>
          <w:p w14:paraId="5A904CE1" w14:textId="77777777" w:rsidR="00327FF1" w:rsidRDefault="00E406C7">
            <w:pPr>
              <w:pStyle w:val="P68B1DB1-Normal12"/>
              <w:spacing w:before="120" w:after="120"/>
              <w:rPr>
                <w:noProof/>
              </w:rPr>
            </w:pPr>
            <w:r>
              <w:rPr>
                <w:noProof/>
              </w:rPr>
              <w:t>Novērtējot un atļaujot katru attiecīgo projektu/investīciju, ievēro visus noteikumus u</w:t>
            </w:r>
            <w:r>
              <w:rPr>
                <w:noProof/>
              </w:rPr>
              <w:t>n procedūras, kas noteiktas ES Direktīvas 92/43/EEK 6. panta 3. un 4. punktā, un ievēro valsts ietekmes novērtējuma pamatnostādnes, kas publicētas Itālijas Republikas Oficiālajā Vēstnesī Nr. 303, 2019. gada 28. decembrī.</w:t>
            </w:r>
          </w:p>
        </w:tc>
      </w:tr>
      <w:tr w:rsidR="00327FF1" w14:paraId="0A8C93D0"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598B2" w14:textId="77777777" w:rsidR="00327FF1" w:rsidRDefault="00E406C7">
            <w:pPr>
              <w:pStyle w:val="P68B1DB1-Normal11"/>
              <w:jc w:val="center"/>
              <w:rPr>
                <w:noProof/>
                <w:szCs w:val="20"/>
              </w:rPr>
            </w:pPr>
            <w:r>
              <w:rPr>
                <w:noProof/>
              </w:rPr>
              <w:t>M3C1–6</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EFC64B" w14:textId="77777777" w:rsidR="00327FF1" w:rsidRDefault="00E406C7">
            <w:pPr>
              <w:pStyle w:val="P68B1DB1-Normal11"/>
              <w:jc w:val="center"/>
              <w:rPr>
                <w:noProof/>
                <w:szCs w:val="20"/>
              </w:rPr>
            </w:pPr>
            <w:r>
              <w:rPr>
                <w:noProof/>
              </w:rPr>
              <w:t xml:space="preserve">Investīcija. Ātrgaitas </w:t>
            </w:r>
            <w:r>
              <w:rPr>
                <w:noProof/>
              </w:rPr>
              <w:t>dzelzceļa savienojumi ar dienvidiem pasažieru un kravu pārvadājumiem</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971F16" w14:textId="77777777" w:rsidR="00327FF1" w:rsidRDefault="00E406C7">
            <w:pPr>
              <w:pStyle w:val="P68B1DB1-Normal11"/>
              <w:jc w:val="center"/>
              <w:rPr>
                <w:noProof/>
                <w:szCs w:val="20"/>
              </w:rPr>
            </w:pPr>
            <w:r>
              <w:rPr>
                <w:noProof/>
              </w:rPr>
              <w:t>Mērķa</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9061C9" w14:textId="00B69690" w:rsidR="00327FF1" w:rsidRDefault="00E406C7">
            <w:pPr>
              <w:pStyle w:val="P68B1DB1-Normal11"/>
              <w:jc w:val="center"/>
              <w:rPr>
                <w:noProof/>
                <w:szCs w:val="20"/>
              </w:rPr>
            </w:pPr>
            <w:r>
              <w:rPr>
                <w:noProof/>
              </w:rPr>
              <w:t>Ātrgaitas dzelzceļš līnijās Napoli-Bari, Salerno-Reggio Calabria, Palermo-Katania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045135" w14:textId="77777777" w:rsidR="00327FF1" w:rsidRDefault="00E406C7">
            <w:pPr>
              <w:pStyle w:val="P68B1DB1-Normal11"/>
              <w:jc w:val="center"/>
              <w:rPr>
                <w:noProof/>
                <w:szCs w:val="20"/>
              </w:rPr>
            </w:pPr>
            <w:r>
              <w:rPr>
                <w:noProof/>
              </w:rPr>
              <w:t>NEPIEMĒRO</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C3B64" w14:textId="77777777" w:rsidR="00327FF1" w:rsidRDefault="00E406C7">
            <w:pPr>
              <w:pStyle w:val="P68B1DB1-Normal11"/>
              <w:jc w:val="center"/>
              <w:rPr>
                <w:rFonts w:eastAsia="Arial Narrow" w:cs="Arial Narrow"/>
                <w:noProof/>
                <w:szCs w:val="20"/>
              </w:rPr>
            </w:pPr>
            <w:r>
              <w:rPr>
                <w:noProof/>
              </w:rPr>
              <w:t>Km</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6F3CB2" w14:textId="77777777" w:rsidR="00327FF1" w:rsidRDefault="00E406C7">
            <w:pPr>
              <w:pStyle w:val="P68B1DB1-Normal11"/>
              <w:jc w:val="center"/>
              <w:rPr>
                <w:noProof/>
                <w:szCs w:val="20"/>
              </w:rPr>
            </w:pPr>
            <w:r>
              <w:rPr>
                <w:noProof/>
              </w:rPr>
              <w:t>41</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882E8" w14:textId="77777777" w:rsidR="00327FF1" w:rsidRDefault="00E406C7">
            <w:pPr>
              <w:pStyle w:val="P68B1DB1-Normal11"/>
              <w:jc w:val="center"/>
              <w:rPr>
                <w:noProof/>
                <w:szCs w:val="20"/>
              </w:rPr>
            </w:pPr>
            <w:r>
              <w:rPr>
                <w:noProof/>
              </w:rPr>
              <w:t>114</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2DD10" w14:textId="77777777" w:rsidR="00327FF1" w:rsidRDefault="00E406C7">
            <w:pPr>
              <w:pStyle w:val="P68B1DB1-Normal11"/>
              <w:jc w:val="center"/>
              <w:rPr>
                <w:noProof/>
                <w:szCs w:val="20"/>
              </w:rPr>
            </w:pPr>
            <w:r>
              <w:rPr>
                <w:noProof/>
              </w:rPr>
              <w:t>2.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27A666" w14:textId="77777777" w:rsidR="00327FF1" w:rsidRDefault="00E406C7">
            <w:pPr>
              <w:pStyle w:val="P68B1DB1-Normal11"/>
              <w:jc w:val="center"/>
              <w:rPr>
                <w:noProof/>
                <w:szCs w:val="20"/>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276CFF" w14:textId="77BAC87C" w:rsidR="00327FF1" w:rsidRDefault="00E406C7">
            <w:pPr>
              <w:pStyle w:val="P68B1DB1-Normal11"/>
              <w:spacing w:before="120" w:after="120"/>
              <w:rPr>
                <w:noProof/>
              </w:rPr>
            </w:pPr>
            <w:r>
              <w:rPr>
                <w:noProof/>
              </w:rPr>
              <w:t xml:space="preserve">Saskaņā ar WBS metodiku izsniedz sertifikātus par darbu </w:t>
            </w:r>
            <w:r>
              <w:rPr>
                <w:noProof/>
              </w:rPr>
              <w:t>pabeigšanu, lai būvētu 114 km ātrgaitas dzelzceļa līnijās Napoli-Bari, Salerno-Reggio Calabria, Palermo-Katania.</w:t>
            </w:r>
          </w:p>
          <w:p w14:paraId="438D5997" w14:textId="77777777" w:rsidR="00327FF1" w:rsidRDefault="00E406C7">
            <w:pPr>
              <w:pStyle w:val="P68B1DB1-Normal11"/>
              <w:spacing w:before="120" w:after="120"/>
              <w:rPr>
                <w:noProof/>
              </w:rPr>
            </w:pPr>
            <w:r>
              <w:rPr>
                <w:noProof/>
              </w:rPr>
              <w:t>Indikatīvais sadalījums ir šāds:</w:t>
            </w:r>
          </w:p>
          <w:p w14:paraId="20B2BF5D" w14:textId="77777777" w:rsidR="00327FF1" w:rsidRDefault="00E406C7">
            <w:pPr>
              <w:pStyle w:val="P68B1DB1-Normal11"/>
              <w:spacing w:before="120" w:after="120"/>
              <w:rPr>
                <w:noProof/>
              </w:rPr>
            </w:pPr>
            <w:r>
              <w:rPr>
                <w:noProof/>
              </w:rPr>
              <w:t>Neapoles-Bari līnija (12 km), no kuras:</w:t>
            </w:r>
          </w:p>
          <w:p w14:paraId="04640D88" w14:textId="77777777" w:rsidR="00327FF1" w:rsidRDefault="00E406C7">
            <w:pPr>
              <w:pStyle w:val="P68B1DB1-ListParagraph15"/>
              <w:numPr>
                <w:ilvl w:val="0"/>
                <w:numId w:val="36"/>
              </w:numPr>
              <w:spacing w:before="120" w:after="120" w:line="240" w:lineRule="auto"/>
              <w:ind w:left="502"/>
              <w:jc w:val="both"/>
              <w:rPr>
                <w:noProof/>
              </w:rPr>
            </w:pPr>
            <w:r>
              <w:rPr>
                <w:noProof/>
              </w:rPr>
              <w:t>Apice-Hirpinia (12 km)</w:t>
            </w:r>
          </w:p>
          <w:p w14:paraId="0D67DD78" w14:textId="77777777" w:rsidR="00327FF1" w:rsidRDefault="00E406C7">
            <w:pPr>
              <w:pStyle w:val="P68B1DB1-ListParagraph15"/>
              <w:numPr>
                <w:ilvl w:val="0"/>
                <w:numId w:val="36"/>
              </w:numPr>
              <w:spacing w:before="120" w:after="120" w:line="240" w:lineRule="auto"/>
              <w:ind w:left="502"/>
              <w:jc w:val="both"/>
              <w:rPr>
                <w:noProof/>
              </w:rPr>
            </w:pPr>
            <w:r>
              <w:rPr>
                <w:noProof/>
              </w:rPr>
              <w:t>Frasso-Telese (11 km)</w:t>
            </w:r>
          </w:p>
          <w:p w14:paraId="64A80DDF" w14:textId="77777777" w:rsidR="00327FF1" w:rsidRDefault="00E406C7">
            <w:pPr>
              <w:pStyle w:val="P68B1DB1-ListParagraph15"/>
              <w:numPr>
                <w:ilvl w:val="0"/>
                <w:numId w:val="36"/>
              </w:numPr>
              <w:spacing w:before="120" w:after="120" w:line="240" w:lineRule="auto"/>
              <w:ind w:left="502"/>
              <w:jc w:val="both"/>
              <w:rPr>
                <w:noProof/>
              </w:rPr>
            </w:pPr>
            <w:r>
              <w:rPr>
                <w:noProof/>
              </w:rPr>
              <w:t>Telese-Vitulano (19 km)</w:t>
            </w:r>
          </w:p>
          <w:p w14:paraId="1E291694" w14:textId="77777777" w:rsidR="00327FF1" w:rsidRDefault="00E406C7">
            <w:pPr>
              <w:pStyle w:val="P68B1DB1-Normal11"/>
              <w:rPr>
                <w:noProof/>
              </w:rPr>
            </w:pPr>
            <w:r>
              <w:rPr>
                <w:noProof/>
              </w:rPr>
              <w:t>S</w:t>
            </w:r>
            <w:r>
              <w:rPr>
                <w:noProof/>
              </w:rPr>
              <w:t>alerno-Regio Calabria (14,7 km), no kuriem:</w:t>
            </w:r>
          </w:p>
          <w:p w14:paraId="2953FB31" w14:textId="77777777" w:rsidR="00327FF1" w:rsidRDefault="00E406C7">
            <w:pPr>
              <w:pStyle w:val="P68B1DB1-ListParagraph15"/>
              <w:numPr>
                <w:ilvl w:val="0"/>
                <w:numId w:val="36"/>
              </w:numPr>
              <w:spacing w:before="120" w:after="120" w:line="240" w:lineRule="auto"/>
              <w:ind w:left="502"/>
              <w:jc w:val="both"/>
              <w:rPr>
                <w:noProof/>
                <w:szCs w:val="20"/>
              </w:rPr>
            </w:pPr>
            <w:r>
              <w:rPr>
                <w:noProof/>
              </w:rPr>
              <w:t>Battipaglia-Romagnano (14,7 km)</w:t>
            </w:r>
          </w:p>
          <w:p w14:paraId="15D84EF6" w14:textId="77777777" w:rsidR="00327FF1" w:rsidRDefault="00E406C7">
            <w:pPr>
              <w:pStyle w:val="P68B1DB1-Normal11"/>
              <w:spacing w:before="120" w:after="120"/>
              <w:rPr>
                <w:noProof/>
                <w:szCs w:val="20"/>
              </w:rPr>
            </w:pPr>
            <w:r>
              <w:rPr>
                <w:noProof/>
              </w:rPr>
              <w:t>Palermo — Katānijas līnija, (16,5 km), no tās:</w:t>
            </w:r>
          </w:p>
          <w:p w14:paraId="2659E3C6" w14:textId="77777777" w:rsidR="00327FF1" w:rsidRDefault="00E406C7">
            <w:pPr>
              <w:pStyle w:val="P68B1DB1-ListParagraph15"/>
              <w:numPr>
                <w:ilvl w:val="0"/>
                <w:numId w:val="36"/>
              </w:numPr>
              <w:spacing w:before="120" w:after="120" w:line="240" w:lineRule="auto"/>
              <w:ind w:left="502"/>
              <w:jc w:val="both"/>
              <w:rPr>
                <w:noProof/>
                <w:szCs w:val="20"/>
              </w:rPr>
            </w:pPr>
            <w:r>
              <w:rPr>
                <w:noProof/>
              </w:rPr>
              <w:t>Dittanio — Enna (2 km)</w:t>
            </w:r>
          </w:p>
          <w:p w14:paraId="6183E371" w14:textId="77777777" w:rsidR="00327FF1" w:rsidRDefault="00E406C7">
            <w:pPr>
              <w:pStyle w:val="P68B1DB1-ListParagraph15"/>
              <w:numPr>
                <w:ilvl w:val="0"/>
                <w:numId w:val="36"/>
              </w:numPr>
              <w:spacing w:before="120" w:after="120" w:line="240" w:lineRule="auto"/>
              <w:ind w:left="502"/>
              <w:jc w:val="both"/>
              <w:rPr>
                <w:noProof/>
              </w:rPr>
            </w:pPr>
            <w:r>
              <w:rPr>
                <w:noProof/>
              </w:rPr>
              <w:t>Giampilieri-Fiumefreddo (7,5 km)</w:t>
            </w:r>
          </w:p>
          <w:p w14:paraId="1BB94EF4" w14:textId="77777777" w:rsidR="00327FF1" w:rsidRDefault="00E406C7">
            <w:pPr>
              <w:pStyle w:val="P68B1DB1-ListParagraph15"/>
              <w:numPr>
                <w:ilvl w:val="0"/>
                <w:numId w:val="36"/>
              </w:numPr>
              <w:spacing w:before="120" w:after="120" w:line="240" w:lineRule="auto"/>
              <w:ind w:left="502"/>
              <w:jc w:val="both"/>
              <w:rPr>
                <w:noProof/>
              </w:rPr>
            </w:pPr>
            <w:r>
              <w:rPr>
                <w:noProof/>
              </w:rPr>
              <w:t>Ogliastrillo-Castelbuono (7 km)</w:t>
            </w:r>
          </w:p>
          <w:p w14:paraId="2F16A582" w14:textId="77777777" w:rsidR="00327FF1" w:rsidRDefault="00327FF1">
            <w:pPr>
              <w:pStyle w:val="ListParagraph"/>
              <w:ind w:left="360"/>
              <w:rPr>
                <w:rFonts w:ascii="Arial Narrow" w:hAnsi="Arial Narrow"/>
                <w:noProof/>
                <w:color w:val="006100"/>
                <w:sz w:val="20"/>
              </w:rPr>
            </w:pPr>
          </w:p>
          <w:p w14:paraId="12D82EEA" w14:textId="77777777" w:rsidR="00327FF1" w:rsidRDefault="00E406C7">
            <w:pPr>
              <w:pStyle w:val="P68B1DB1-Normal11"/>
              <w:rPr>
                <w:noProof/>
              </w:rPr>
            </w:pPr>
            <w:r>
              <w:rPr>
                <w:noProof/>
              </w:rPr>
              <w:t>Novērtējot un atļaujot katru attiecīgo projektu/investīciju, ievēro visus noteikumus un procedūras, kas noteiktas ES Direktīvas 92/43/EEK 6. panta 3. un 4. punktā, un ievēro valsts ietekmes novērtējuma pamatnostādnes, kas publicētas Itālijas Republikas Ofi</w:t>
            </w:r>
            <w:r>
              <w:rPr>
                <w:noProof/>
              </w:rPr>
              <w:t>ciālajā Vēstnesī Nr. 303, 2019. gada 28. decembrī.</w:t>
            </w:r>
          </w:p>
        </w:tc>
      </w:tr>
      <w:tr w:rsidR="00327FF1" w14:paraId="502927D3"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0F4D02" w14:textId="77777777" w:rsidR="00327FF1" w:rsidRDefault="00E406C7">
            <w:pPr>
              <w:pStyle w:val="P68B1DB1-Normal11"/>
              <w:jc w:val="center"/>
              <w:rPr>
                <w:noProof/>
                <w:szCs w:val="20"/>
              </w:rPr>
            </w:pPr>
            <w:r>
              <w:rPr>
                <w:noProof/>
              </w:rPr>
              <w:t>M3C1–9</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0A1347" w14:textId="77777777" w:rsidR="00327FF1" w:rsidRDefault="00E406C7">
            <w:pPr>
              <w:pStyle w:val="P68B1DB1-Normal11"/>
              <w:jc w:val="center"/>
              <w:rPr>
                <w:noProof/>
                <w:szCs w:val="20"/>
              </w:rPr>
            </w:pPr>
            <w:r>
              <w:rPr>
                <w:noProof/>
              </w:rPr>
              <w:t>Investīcija. Ātrgaitas līnijas ziemeļos, kas savieno ar pārējo Eiropu</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92648E" w14:textId="77777777" w:rsidR="00327FF1" w:rsidRDefault="00E406C7">
            <w:pPr>
              <w:pStyle w:val="P68B1DB1-Normal11"/>
              <w:jc w:val="center"/>
              <w:rPr>
                <w:noProof/>
                <w:szCs w:val="20"/>
              </w:rPr>
            </w:pPr>
            <w:r>
              <w:rPr>
                <w:noProof/>
              </w:rPr>
              <w:t>Mērķa</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288CA7" w14:textId="77777777" w:rsidR="00327FF1" w:rsidRDefault="00E406C7">
            <w:pPr>
              <w:pStyle w:val="P68B1DB1-Normal11"/>
              <w:jc w:val="center"/>
              <w:rPr>
                <w:noProof/>
                <w:szCs w:val="20"/>
              </w:rPr>
            </w:pPr>
            <w:r>
              <w:rPr>
                <w:noProof/>
              </w:rPr>
              <w:t>Ātrgaitas dzelzceļš līnijās Breša-Verona-Vicenza-Padova; Ligūrija-Alpi.</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A8C02E" w14:textId="77777777" w:rsidR="00327FF1" w:rsidRDefault="00E406C7">
            <w:pPr>
              <w:pStyle w:val="P68B1DB1-Normal11"/>
              <w:jc w:val="center"/>
              <w:rPr>
                <w:noProof/>
                <w:szCs w:val="20"/>
              </w:rPr>
            </w:pPr>
            <w:r>
              <w:rPr>
                <w:noProof/>
              </w:rPr>
              <w:t>NEPIEMĒRO</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E17290" w14:textId="77777777" w:rsidR="00327FF1" w:rsidRDefault="00E406C7">
            <w:pPr>
              <w:pStyle w:val="P68B1DB1-Normal11"/>
              <w:jc w:val="center"/>
              <w:rPr>
                <w:noProof/>
                <w:szCs w:val="20"/>
              </w:rPr>
            </w:pPr>
            <w:r>
              <w:rPr>
                <w:noProof/>
              </w:rPr>
              <w:t>Skaits</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F4CD96" w14:textId="77777777" w:rsidR="00327FF1" w:rsidRDefault="00E406C7">
            <w:pPr>
              <w:pStyle w:val="P68B1DB1-Normal11"/>
              <w:jc w:val="center"/>
              <w:rPr>
                <w:noProof/>
                <w:szCs w:val="20"/>
              </w:rPr>
            </w:pPr>
            <w:r>
              <w:rPr>
                <w:noProof/>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7FD413" w14:textId="77777777" w:rsidR="00327FF1" w:rsidRDefault="00E406C7">
            <w:pPr>
              <w:pStyle w:val="P68B1DB1-Normal11"/>
              <w:jc w:val="center"/>
              <w:rPr>
                <w:noProof/>
                <w:szCs w:val="20"/>
              </w:rPr>
            </w:pPr>
            <w:r>
              <w:rPr>
                <w:noProof/>
              </w:rPr>
              <w:t>158</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F7BBE9" w14:textId="77777777" w:rsidR="00327FF1" w:rsidRDefault="00E406C7">
            <w:pPr>
              <w:pStyle w:val="P68B1DB1-Normal11"/>
              <w:jc w:val="center"/>
              <w:rPr>
                <w:noProof/>
                <w:szCs w:val="20"/>
              </w:rPr>
            </w:pPr>
            <w:r>
              <w:rPr>
                <w:noProof/>
              </w:rPr>
              <w:t>2.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F0BFC6" w14:textId="77777777" w:rsidR="00327FF1" w:rsidRDefault="00E406C7">
            <w:pPr>
              <w:pStyle w:val="P68B1DB1-Normal11"/>
              <w:jc w:val="center"/>
              <w:rPr>
                <w:noProof/>
                <w:szCs w:val="20"/>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F9D882" w14:textId="53AA2366" w:rsidR="00327FF1" w:rsidRDefault="00E406C7">
            <w:pPr>
              <w:pStyle w:val="P68B1DB1-Normal11"/>
              <w:rPr>
                <w:noProof/>
              </w:rPr>
            </w:pPr>
            <w:r>
              <w:rPr>
                <w:noProof/>
              </w:rPr>
              <w:t xml:space="preserve">Izdod </w:t>
            </w:r>
            <w:r>
              <w:rPr>
                <w:noProof/>
              </w:rPr>
              <w:t>sertifikātus par darbu pabeigšanu saskaņā ar WBS metodiku, lai būvētu 158 km ātrgaitas dzelzceļa līnijās Brescia-Verona-Vicenza-Padova un Liguria-Alpi.</w:t>
            </w:r>
          </w:p>
          <w:p w14:paraId="60F3DB4D" w14:textId="77777777" w:rsidR="00327FF1" w:rsidRDefault="00E406C7">
            <w:pPr>
              <w:pStyle w:val="P68B1DB1-Normal11"/>
              <w:rPr>
                <w:noProof/>
              </w:rPr>
            </w:pPr>
            <w:r>
              <w:rPr>
                <w:noProof/>
              </w:rPr>
              <w:t>Indikatīvais sadalījums ir šāds:</w:t>
            </w:r>
          </w:p>
          <w:p w14:paraId="0630FE48" w14:textId="77777777" w:rsidR="00327FF1" w:rsidRDefault="00E406C7">
            <w:pPr>
              <w:pStyle w:val="P68B1DB1-ListParagraph15"/>
              <w:numPr>
                <w:ilvl w:val="0"/>
                <w:numId w:val="36"/>
              </w:numPr>
              <w:spacing w:before="120" w:after="120" w:line="240" w:lineRule="auto"/>
              <w:ind w:left="502"/>
              <w:jc w:val="both"/>
              <w:rPr>
                <w:noProof/>
                <w:szCs w:val="20"/>
              </w:rPr>
            </w:pPr>
            <w:r>
              <w:rPr>
                <w:noProof/>
              </w:rPr>
              <w:t>Breša-Verona (48 km)</w:t>
            </w:r>
          </w:p>
          <w:p w14:paraId="2097B373" w14:textId="77777777" w:rsidR="00327FF1" w:rsidRDefault="00E406C7">
            <w:pPr>
              <w:pStyle w:val="P68B1DB1-ListParagraph15"/>
              <w:numPr>
                <w:ilvl w:val="0"/>
                <w:numId w:val="36"/>
              </w:numPr>
              <w:spacing w:before="120" w:after="120" w:line="240" w:lineRule="auto"/>
              <w:ind w:left="502"/>
              <w:jc w:val="both"/>
              <w:rPr>
                <w:noProof/>
                <w:szCs w:val="20"/>
              </w:rPr>
            </w:pPr>
            <w:r>
              <w:rPr>
                <w:noProof/>
              </w:rPr>
              <w:t>Verona-Bivio-Vicenza (44 km)</w:t>
            </w:r>
          </w:p>
          <w:p w14:paraId="76CC0B74" w14:textId="77777777" w:rsidR="00327FF1" w:rsidRDefault="00E406C7">
            <w:pPr>
              <w:pStyle w:val="P68B1DB1-ListParagraph15"/>
              <w:numPr>
                <w:ilvl w:val="0"/>
                <w:numId w:val="36"/>
              </w:numPr>
              <w:spacing w:before="120" w:after="120" w:line="240" w:lineRule="auto"/>
              <w:ind w:left="502"/>
              <w:jc w:val="both"/>
              <w:rPr>
                <w:noProof/>
                <w:szCs w:val="20"/>
              </w:rPr>
            </w:pPr>
            <w:r>
              <w:rPr>
                <w:noProof/>
              </w:rPr>
              <w:t>Dženovas mezgls (17 k</w:t>
            </w:r>
            <w:r>
              <w:rPr>
                <w:noProof/>
              </w:rPr>
              <w:t>m)</w:t>
            </w:r>
          </w:p>
          <w:p w14:paraId="0CE068B0" w14:textId="77777777" w:rsidR="00327FF1" w:rsidRDefault="00E406C7">
            <w:pPr>
              <w:pStyle w:val="P68B1DB1-ListParagraph15"/>
              <w:numPr>
                <w:ilvl w:val="0"/>
                <w:numId w:val="36"/>
              </w:numPr>
              <w:spacing w:before="120" w:after="120" w:line="240" w:lineRule="auto"/>
              <w:ind w:left="502"/>
              <w:jc w:val="both"/>
              <w:rPr>
                <w:noProof/>
              </w:rPr>
            </w:pPr>
            <w:r>
              <w:rPr>
                <w:noProof/>
              </w:rPr>
              <w:t>Trešais Giovi šķērsojums (35,3 km)</w:t>
            </w:r>
          </w:p>
          <w:p w14:paraId="181CF20B" w14:textId="77777777" w:rsidR="00327FF1" w:rsidRDefault="00E406C7">
            <w:pPr>
              <w:pStyle w:val="P68B1DB1-ListParagraph15"/>
              <w:numPr>
                <w:ilvl w:val="0"/>
                <w:numId w:val="36"/>
              </w:numPr>
              <w:spacing w:before="120" w:after="120" w:line="240" w:lineRule="auto"/>
              <w:ind w:left="502"/>
              <w:jc w:val="both"/>
              <w:rPr>
                <w:noProof/>
              </w:rPr>
            </w:pPr>
            <w:r>
              <w:rPr>
                <w:noProof/>
              </w:rPr>
              <w:t>Rho-Parabiago (4 km)</w:t>
            </w:r>
          </w:p>
          <w:p w14:paraId="297E5C20" w14:textId="77777777" w:rsidR="00327FF1" w:rsidRDefault="00E406C7">
            <w:pPr>
              <w:pStyle w:val="P68B1DB1-ListParagraph15"/>
              <w:numPr>
                <w:ilvl w:val="0"/>
                <w:numId w:val="36"/>
              </w:numPr>
              <w:spacing w:before="120" w:after="120" w:line="240" w:lineRule="auto"/>
              <w:ind w:left="502"/>
              <w:jc w:val="both"/>
              <w:rPr>
                <w:noProof/>
                <w:szCs w:val="20"/>
              </w:rPr>
            </w:pPr>
            <w:r>
              <w:rPr>
                <w:noProof/>
              </w:rPr>
              <w:t>Pavija-Milano-Rogoredo (10,3 km)</w:t>
            </w:r>
          </w:p>
          <w:p w14:paraId="6FA10014" w14:textId="77777777" w:rsidR="00327FF1" w:rsidRDefault="00E406C7">
            <w:pPr>
              <w:pStyle w:val="P68B1DB1-Normal12"/>
              <w:rPr>
                <w:noProof/>
              </w:rPr>
            </w:pPr>
            <w:r>
              <w:rPr>
                <w:noProof/>
              </w:rPr>
              <w:t xml:space="preserve">Novērtējot un atļaujot katru attiecīgo projektu/investīciju, ievēro visus noteikumus un procedūras, kas noteiktas ES Direktīvas 92/43/EEK 6. panta 3. un 4. punktā, </w:t>
            </w:r>
            <w:r>
              <w:rPr>
                <w:noProof/>
              </w:rPr>
              <w:t>un ievēro valsts ietekmes novērtējuma pamatnostādnes, kas publicētas Itālijas Republikas Oficiālajā Vēstnesī Nr. 303, 2019. gada 28. decembrī.</w:t>
            </w:r>
          </w:p>
          <w:p w14:paraId="0E8CF1E9" w14:textId="77777777" w:rsidR="00327FF1" w:rsidRDefault="00E406C7">
            <w:pPr>
              <w:pStyle w:val="P68B1DB1-Normal12"/>
              <w:rPr>
                <w:noProof/>
              </w:rPr>
            </w:pPr>
            <w:r>
              <w:rPr>
                <w:noProof/>
              </w:rPr>
              <w:t>Attiecībā uz Rho-Parabiago segmentu (4 km) visus ietekmes mazināšanas pasākumus, kas noteikti saistībā ar IVN, in</w:t>
            </w:r>
            <w:r>
              <w:rPr>
                <w:noProof/>
              </w:rPr>
              <w:t>tegrē projektā un ievēro infrastruktūras būvniecības un ekspluatācijas posmos.</w:t>
            </w:r>
          </w:p>
        </w:tc>
      </w:tr>
      <w:tr w:rsidR="00327FF1" w14:paraId="77058459" w14:textId="77777777">
        <w:trPr>
          <w:trHeight w:val="341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99B9F" w14:textId="77777777" w:rsidR="00327FF1" w:rsidRDefault="00E406C7">
            <w:pPr>
              <w:pStyle w:val="P68B1DB1-Normal11"/>
              <w:jc w:val="center"/>
              <w:rPr>
                <w:noProof/>
                <w:szCs w:val="20"/>
              </w:rPr>
            </w:pPr>
            <w:r>
              <w:rPr>
                <w:noProof/>
              </w:rPr>
              <w:t>M3C1–10</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041805" w14:textId="77777777" w:rsidR="00327FF1" w:rsidRDefault="00E406C7">
            <w:pPr>
              <w:pStyle w:val="P68B1DB1-Normal11"/>
              <w:jc w:val="center"/>
              <w:rPr>
                <w:noProof/>
                <w:szCs w:val="20"/>
              </w:rPr>
            </w:pPr>
            <w:r>
              <w:rPr>
                <w:noProof/>
              </w:rPr>
              <w:t>Investīcija. Diagonālie savienojumi</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1A8248" w14:textId="77777777" w:rsidR="00327FF1" w:rsidRDefault="00E406C7">
            <w:pPr>
              <w:pStyle w:val="P68B1DB1-Normal11"/>
              <w:jc w:val="center"/>
              <w:rPr>
                <w:noProof/>
                <w:szCs w:val="20"/>
              </w:rPr>
            </w:pPr>
            <w:r>
              <w:rPr>
                <w:noProof/>
              </w:rPr>
              <w:t>Atskaites punkts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04F7C5" w14:textId="77777777" w:rsidR="00327FF1" w:rsidRDefault="00E406C7">
            <w:pPr>
              <w:pStyle w:val="P68B1DB1-Normal11"/>
              <w:jc w:val="center"/>
              <w:rPr>
                <w:noProof/>
                <w:szCs w:val="20"/>
              </w:rPr>
            </w:pPr>
            <w:r>
              <w:rPr>
                <w:noProof/>
              </w:rPr>
              <w:t>Līguma(-u) piešķiršana savienojumu būvniecībai līnijās Orte-Falconara un Taranto-Metaponto-Potenza-Battipaglia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A224E6" w14:textId="77777777" w:rsidR="00327FF1" w:rsidRDefault="00E406C7">
            <w:pPr>
              <w:pStyle w:val="P68B1DB1-Normal14"/>
              <w:jc w:val="center"/>
              <w:rPr>
                <w:noProof/>
                <w:color w:val="006100"/>
                <w:szCs w:val="20"/>
              </w:rPr>
            </w:pPr>
            <w:r>
              <w:rPr>
                <w:noProof/>
                <w:color w:val="006100"/>
              </w:rPr>
              <w:t>Paziņojums par daudzdisciplīnu līguma slēgšanas tiesību piešķiršanu ātrgaitas dzelzceļa būvniecībai līnijās Orte-Falconara un Taranto-Metaponto-Potenza-Battipaglia</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6E4758" w14:textId="77777777" w:rsidR="00327FF1" w:rsidRDefault="00E406C7">
            <w:pPr>
              <w:pStyle w:val="P68B1DB1-Normal11"/>
              <w:jc w:val="center"/>
              <w:rPr>
                <w:noProof/>
                <w:szCs w:val="20"/>
              </w:rPr>
            </w:pPr>
            <w:r>
              <w:rPr>
                <w:noProof/>
              </w:rPr>
              <w:t>NEPIEMĒRO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B3F939" w14:textId="77777777" w:rsidR="00327FF1" w:rsidRDefault="00E406C7">
            <w:pPr>
              <w:pStyle w:val="P68B1DB1-Normal11"/>
              <w:jc w:val="center"/>
              <w:rPr>
                <w:noProof/>
                <w:szCs w:val="20"/>
              </w:rPr>
            </w:pPr>
            <w:r>
              <w:rPr>
                <w:noProof/>
              </w:rPr>
              <w:t>NEPIEMĒRO</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6CDC05" w14:textId="77777777" w:rsidR="00327FF1" w:rsidRDefault="00E406C7">
            <w:pPr>
              <w:pStyle w:val="P68B1DB1-Normal11"/>
              <w:jc w:val="center"/>
              <w:rPr>
                <w:noProof/>
                <w:szCs w:val="20"/>
              </w:rPr>
            </w:pPr>
            <w:r>
              <w:rPr>
                <w:noProof/>
              </w:rPr>
              <w:t>NEPIEMĒRO</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417D44" w14:textId="77777777" w:rsidR="00327FF1" w:rsidRDefault="00E406C7">
            <w:pPr>
              <w:pStyle w:val="P68B1DB1-Normal11"/>
              <w:jc w:val="center"/>
              <w:rPr>
                <w:noProof/>
                <w:szCs w:val="20"/>
              </w:rPr>
            </w:pPr>
            <w:r>
              <w:rPr>
                <w:noProof/>
              </w:rPr>
              <w:t>Q1</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6F5E31" w14:textId="77777777" w:rsidR="00327FF1" w:rsidRDefault="00E406C7">
            <w:pPr>
              <w:pStyle w:val="P68B1DB1-Normal11"/>
              <w:jc w:val="center"/>
              <w:rPr>
                <w:noProof/>
                <w:szCs w:val="20"/>
              </w:rPr>
            </w:pPr>
            <w:r>
              <w:rPr>
                <w:noProof/>
              </w:rPr>
              <w:t>2024</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7D3206" w14:textId="77777777" w:rsidR="00327FF1" w:rsidRDefault="00E406C7">
            <w:pPr>
              <w:pStyle w:val="P68B1DB1-Normal11"/>
              <w:rPr>
                <w:noProof/>
                <w:szCs w:val="20"/>
              </w:rPr>
            </w:pPr>
            <w:r>
              <w:rPr>
                <w:noProof/>
              </w:rPr>
              <w:t>Paziņojums par daudzdisciplīnu līguma slēgšanas tiesīb</w:t>
            </w:r>
            <w:r>
              <w:rPr>
                <w:noProof/>
              </w:rPr>
              <w:t>u piešķiršanu savienojumu būvniecībai līnijās Orte-Falconara un Taranto-Metaponto-Potenza-Battipaglia.</w:t>
            </w:r>
          </w:p>
          <w:p w14:paraId="3CF5012C" w14:textId="77777777" w:rsidR="00327FF1" w:rsidRDefault="00E406C7">
            <w:pPr>
              <w:pStyle w:val="P68B1DB1-Normal11"/>
              <w:rPr>
                <w:noProof/>
                <w:szCs w:val="20"/>
              </w:rPr>
            </w:pPr>
            <w:r>
              <w:rPr>
                <w:noProof/>
              </w:rPr>
              <w:t xml:space="preserve">Līgums(-i) attiecas uz šādām pozīcijām: </w:t>
            </w:r>
          </w:p>
          <w:p w14:paraId="1E3ACB87" w14:textId="77777777" w:rsidR="00327FF1" w:rsidRDefault="00E406C7">
            <w:pPr>
              <w:pStyle w:val="P68B1DB1-Normal11"/>
              <w:rPr>
                <w:noProof/>
                <w:szCs w:val="20"/>
              </w:rPr>
            </w:pPr>
            <w:r>
              <w:rPr>
                <w:noProof/>
              </w:rPr>
              <w:t>Orte-Falconara</w:t>
            </w:r>
          </w:p>
          <w:p w14:paraId="509ECC04" w14:textId="77777777" w:rsidR="00327FF1" w:rsidRDefault="00E406C7">
            <w:pPr>
              <w:pStyle w:val="P68B1DB1-Normal11"/>
              <w:rPr>
                <w:noProof/>
                <w:szCs w:val="20"/>
              </w:rPr>
            </w:pPr>
            <w:r>
              <w:rPr>
                <w:noProof/>
              </w:rPr>
              <w:t>Taranto-Metaponto-Potenza-Battipaglia</w:t>
            </w:r>
          </w:p>
        </w:tc>
      </w:tr>
      <w:tr w:rsidR="00327FF1" w14:paraId="2FE0D3B7"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B354CD" w14:textId="77777777" w:rsidR="00327FF1" w:rsidRDefault="00E406C7">
            <w:pPr>
              <w:pStyle w:val="P68B1DB1-Normal11"/>
              <w:jc w:val="center"/>
              <w:rPr>
                <w:noProof/>
                <w:szCs w:val="20"/>
              </w:rPr>
            </w:pPr>
            <w:r>
              <w:rPr>
                <w:noProof/>
              </w:rPr>
              <w:t>M3C1–11</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C909B9" w14:textId="77777777" w:rsidR="00327FF1" w:rsidRDefault="00E406C7">
            <w:pPr>
              <w:pStyle w:val="P68B1DB1-Normal11"/>
              <w:jc w:val="center"/>
              <w:rPr>
                <w:noProof/>
                <w:szCs w:val="20"/>
              </w:rPr>
            </w:pPr>
            <w:r>
              <w:rPr>
                <w:noProof/>
              </w:rPr>
              <w:t>Investīcija. Diagonālie savienojumi</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86E276" w14:textId="77777777" w:rsidR="00327FF1" w:rsidRDefault="00E406C7">
            <w:pPr>
              <w:pStyle w:val="P68B1DB1-Normal11"/>
              <w:jc w:val="center"/>
              <w:rPr>
                <w:noProof/>
                <w:szCs w:val="20"/>
              </w:rPr>
            </w:pPr>
            <w:r>
              <w:rPr>
                <w:noProof/>
              </w:rPr>
              <w:t>Mērķa</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AAA40E" w14:textId="77777777" w:rsidR="00327FF1" w:rsidRDefault="00E406C7">
            <w:pPr>
              <w:pStyle w:val="P68B1DB1-Normal11"/>
              <w:jc w:val="center"/>
              <w:rPr>
                <w:noProof/>
                <w:szCs w:val="20"/>
              </w:rPr>
            </w:pPr>
            <w:r>
              <w:rPr>
                <w:noProof/>
              </w:rPr>
              <w:t>Ātrgaitas dzelzceļš Orte-Falconara un Taranto-Metaponto-Potenza-Battipaglia līnijās</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648919" w14:textId="77777777" w:rsidR="00327FF1" w:rsidRDefault="00E406C7">
            <w:pPr>
              <w:pStyle w:val="P68B1DB1-Normal11"/>
              <w:jc w:val="center"/>
              <w:rPr>
                <w:noProof/>
                <w:szCs w:val="20"/>
              </w:rPr>
            </w:pPr>
            <w:r>
              <w:rPr>
                <w:noProof/>
              </w:rPr>
              <w:t>NEPIEMĒRO</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EC6005" w14:textId="77777777" w:rsidR="00327FF1" w:rsidRDefault="00E406C7">
            <w:pPr>
              <w:pStyle w:val="P68B1DB1-Normal11"/>
              <w:jc w:val="center"/>
              <w:rPr>
                <w:noProof/>
                <w:szCs w:val="20"/>
              </w:rPr>
            </w:pPr>
            <w:r>
              <w:rPr>
                <w:noProof/>
              </w:rPr>
              <w:t>Skaits</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2C74C9" w14:textId="77777777" w:rsidR="00327FF1" w:rsidRDefault="00E406C7">
            <w:pPr>
              <w:pStyle w:val="P68B1DB1-Normal11"/>
              <w:jc w:val="center"/>
              <w:rPr>
                <w:noProof/>
                <w:szCs w:val="20"/>
              </w:rPr>
            </w:pPr>
            <w:r>
              <w:rPr>
                <w:noProof/>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891C1B" w14:textId="77777777" w:rsidR="00327FF1" w:rsidRDefault="00E406C7">
            <w:pPr>
              <w:pStyle w:val="P68B1DB1-Normal11"/>
              <w:jc w:val="center"/>
              <w:rPr>
                <w:noProof/>
                <w:szCs w:val="20"/>
              </w:rPr>
            </w:pPr>
            <w:r>
              <w:rPr>
                <w:noProof/>
              </w:rPr>
              <w:t>15</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836E2" w14:textId="77777777" w:rsidR="00327FF1" w:rsidRDefault="00E406C7">
            <w:pPr>
              <w:pStyle w:val="P68B1DB1-Normal11"/>
              <w:jc w:val="center"/>
              <w:rPr>
                <w:noProof/>
                <w:szCs w:val="20"/>
              </w:rPr>
            </w:pPr>
            <w:r>
              <w:rPr>
                <w:noProof/>
              </w:rPr>
              <w:t>2.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2E7EB4" w14:textId="77777777" w:rsidR="00327FF1" w:rsidRDefault="00E406C7">
            <w:pPr>
              <w:pStyle w:val="P68B1DB1-Normal11"/>
              <w:jc w:val="center"/>
              <w:rPr>
                <w:noProof/>
                <w:szCs w:val="20"/>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BF89F2" w14:textId="536C00D1" w:rsidR="00327FF1" w:rsidRDefault="00E406C7">
            <w:pPr>
              <w:pStyle w:val="P68B1DB1-Normal11"/>
              <w:rPr>
                <w:noProof/>
                <w:szCs w:val="20"/>
              </w:rPr>
            </w:pPr>
            <w:r>
              <w:rPr>
                <w:noProof/>
              </w:rPr>
              <w:t xml:space="preserve">Izdod sertifikātus par darbu pabeigšanu — saskaņā ar WBS metodiku — ātrgaitas dzelzceļa 15 km izbūvei līnijās Orte-Falconara un </w:t>
            </w:r>
            <w:r>
              <w:rPr>
                <w:noProof/>
              </w:rPr>
              <w:t>Taranto-Metaponto-Potenza-Battipaglia.</w:t>
            </w:r>
          </w:p>
          <w:p w14:paraId="3C1BD87D" w14:textId="77777777" w:rsidR="00327FF1" w:rsidRDefault="00E406C7">
            <w:pPr>
              <w:pStyle w:val="P68B1DB1-Normal11"/>
              <w:rPr>
                <w:noProof/>
                <w:szCs w:val="20"/>
              </w:rPr>
            </w:pPr>
            <w:r>
              <w:rPr>
                <w:noProof/>
              </w:rPr>
              <w:t>Indikatīvais sadalījums ir šāds:</w:t>
            </w:r>
          </w:p>
          <w:p w14:paraId="134D0981" w14:textId="77777777" w:rsidR="00327FF1" w:rsidRDefault="00E406C7">
            <w:pPr>
              <w:pStyle w:val="P68B1DB1-ListParagraph15"/>
              <w:numPr>
                <w:ilvl w:val="0"/>
                <w:numId w:val="36"/>
              </w:numPr>
              <w:spacing w:before="120" w:after="120" w:line="240" w:lineRule="auto"/>
              <w:ind w:left="502"/>
              <w:jc w:val="both"/>
              <w:rPr>
                <w:noProof/>
                <w:szCs w:val="20"/>
              </w:rPr>
            </w:pPr>
            <w:r>
              <w:rPr>
                <w:noProof/>
              </w:rPr>
              <w:t>Orte-Falconara (12,3 km)</w:t>
            </w:r>
          </w:p>
          <w:p w14:paraId="0D726864" w14:textId="77777777" w:rsidR="00327FF1" w:rsidRDefault="00E406C7">
            <w:pPr>
              <w:pStyle w:val="P68B1DB1-ListParagraph15"/>
              <w:numPr>
                <w:ilvl w:val="0"/>
                <w:numId w:val="36"/>
              </w:numPr>
              <w:spacing w:before="120" w:after="120" w:line="240" w:lineRule="auto"/>
              <w:ind w:left="502"/>
              <w:jc w:val="both"/>
              <w:rPr>
                <w:noProof/>
                <w:szCs w:val="20"/>
              </w:rPr>
            </w:pPr>
            <w:r>
              <w:rPr>
                <w:noProof/>
              </w:rPr>
              <w:t>Taranto-Metaponto-Potenza-Battipaglia (2,8 km)</w:t>
            </w:r>
          </w:p>
          <w:p w14:paraId="791B8596" w14:textId="77777777" w:rsidR="00327FF1" w:rsidRDefault="00E406C7">
            <w:pPr>
              <w:pStyle w:val="P68B1DB1-Normal12"/>
              <w:rPr>
                <w:noProof/>
              </w:rPr>
            </w:pPr>
            <w:r>
              <w:rPr>
                <w:noProof/>
              </w:rPr>
              <w:t>Novērtējot un atļaujot kat</w:t>
            </w:r>
            <w:r>
              <w:rPr>
                <w:noProof/>
              </w:rPr>
              <w:t xml:space="preserve">ru attiecīgo projektu/investīciju, ievēro visus noteikumus un procedūras, kas noteiktas ES Direktīvas 92/43/EEK 6. panta 3. un 4. punktā, un ievēro valsts ietekmes novērtējuma pamatnostādnes, kas publicētas Itālijas Republikas Oficiālajā Vēstnesī Nr. 303, </w:t>
            </w:r>
            <w:r>
              <w:rPr>
                <w:noProof/>
              </w:rPr>
              <w:t>2019. gada 28. decembrī.</w:t>
            </w:r>
          </w:p>
        </w:tc>
      </w:tr>
      <w:tr w:rsidR="00327FF1" w14:paraId="5587325C" w14:textId="77777777">
        <w:trPr>
          <w:trHeight w:val="2415"/>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26CFA5" w14:textId="77777777" w:rsidR="00327FF1" w:rsidRDefault="00E406C7">
            <w:pPr>
              <w:pStyle w:val="P68B1DB1-Normal11"/>
              <w:jc w:val="center"/>
              <w:rPr>
                <w:noProof/>
                <w:szCs w:val="20"/>
              </w:rPr>
            </w:pPr>
            <w:r>
              <w:rPr>
                <w:noProof/>
              </w:rPr>
              <w:t>M3C1–12</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F8E7AC" w14:textId="77777777" w:rsidR="00327FF1" w:rsidRDefault="00E406C7">
            <w:pPr>
              <w:pStyle w:val="P68B1DB1-Normal11"/>
              <w:jc w:val="center"/>
              <w:rPr>
                <w:noProof/>
                <w:szCs w:val="20"/>
              </w:rPr>
            </w:pPr>
            <w:r>
              <w:rPr>
                <w:noProof/>
              </w:rPr>
              <w:t>Investīcija Nr. 1.4. Eiropas Dzelzceļa transporta vadības sistēmas (ERTMS) ieviešana</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DC9F8D" w14:textId="77777777" w:rsidR="00327FF1" w:rsidRDefault="00E406C7">
            <w:pPr>
              <w:pStyle w:val="P68B1DB1-Normal11"/>
              <w:jc w:val="center"/>
              <w:rPr>
                <w:noProof/>
                <w:szCs w:val="20"/>
              </w:rPr>
            </w:pPr>
            <w:r>
              <w:rPr>
                <w:noProof/>
              </w:rPr>
              <w:t>Atskaites punkts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E1DDFA" w14:textId="77777777" w:rsidR="00327FF1" w:rsidRDefault="00E406C7">
            <w:pPr>
              <w:pStyle w:val="P68B1DB1-Normal11"/>
              <w:jc w:val="center"/>
              <w:rPr>
                <w:noProof/>
                <w:szCs w:val="20"/>
              </w:rPr>
            </w:pPr>
            <w:r>
              <w:rPr>
                <w:noProof/>
              </w:rPr>
              <w:t>Līgumu slēgšanas tiesību piešķiršana par Eiropas Dzelzceļa transporta vadības sistēmu</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0DC664" w14:textId="77777777" w:rsidR="00327FF1" w:rsidRDefault="00E406C7">
            <w:pPr>
              <w:pStyle w:val="P68B1DB1-Normal11"/>
              <w:jc w:val="center"/>
              <w:rPr>
                <w:noProof/>
                <w:szCs w:val="20"/>
              </w:rPr>
            </w:pPr>
            <w:r>
              <w:rPr>
                <w:noProof/>
              </w:rPr>
              <w:t xml:space="preserve">Paziņojums par visu publiskā </w:t>
            </w:r>
            <w:r>
              <w:rPr>
                <w:noProof/>
              </w:rPr>
              <w:t>iepirkuma līgumu slēgšanas tiesību piešķiršanu, lai ieviestu Eiropas Dzelzceļa transporta vadības sistēmu</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80CCDD" w14:textId="77777777" w:rsidR="00327FF1" w:rsidRDefault="00E406C7">
            <w:pPr>
              <w:pStyle w:val="P68B1DB1-Normal11"/>
              <w:jc w:val="center"/>
              <w:rPr>
                <w:noProof/>
                <w:szCs w:val="20"/>
              </w:rPr>
            </w:pPr>
            <w:r>
              <w:rPr>
                <w:noProof/>
              </w:rPr>
              <w:t>NEPIEMĒRO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3FE84A" w14:textId="77777777" w:rsidR="00327FF1" w:rsidRDefault="00E406C7">
            <w:pPr>
              <w:pStyle w:val="P68B1DB1-Normal11"/>
              <w:jc w:val="center"/>
              <w:rPr>
                <w:noProof/>
                <w:szCs w:val="20"/>
              </w:rPr>
            </w:pPr>
            <w:r>
              <w:rPr>
                <w:noProof/>
              </w:rPr>
              <w:t>NEPIEMĒRO</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BF4CF3" w14:textId="77777777" w:rsidR="00327FF1" w:rsidRDefault="00E406C7">
            <w:pPr>
              <w:pStyle w:val="P68B1DB1-Normal11"/>
              <w:jc w:val="center"/>
              <w:rPr>
                <w:noProof/>
                <w:szCs w:val="20"/>
              </w:rPr>
            </w:pPr>
            <w:r>
              <w:rPr>
                <w:noProof/>
              </w:rPr>
              <w:t>NEPIEMĒRO</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F7FFF6" w14:textId="77777777" w:rsidR="00327FF1" w:rsidRDefault="00E406C7">
            <w:pPr>
              <w:pStyle w:val="P68B1DB1-Normal11"/>
              <w:jc w:val="center"/>
              <w:rPr>
                <w:noProof/>
                <w:szCs w:val="20"/>
              </w:rPr>
            </w:pPr>
            <w:r>
              <w:rPr>
                <w:noProof/>
              </w:rPr>
              <w:t>4.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23599C" w14:textId="77777777" w:rsidR="00327FF1" w:rsidRDefault="00E406C7">
            <w:pPr>
              <w:pStyle w:val="P68B1DB1-Normal11"/>
              <w:jc w:val="center"/>
              <w:rPr>
                <w:noProof/>
                <w:szCs w:val="20"/>
              </w:rPr>
            </w:pPr>
            <w:r>
              <w:rPr>
                <w:noProof/>
              </w:rPr>
              <w:t>2022</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3175F7" w14:textId="77777777" w:rsidR="00327FF1" w:rsidRDefault="00E406C7">
            <w:pPr>
              <w:pStyle w:val="P68B1DB1-Normal11"/>
              <w:rPr>
                <w:noProof/>
                <w:szCs w:val="20"/>
              </w:rPr>
            </w:pPr>
            <w:r>
              <w:rPr>
                <w:noProof/>
              </w:rPr>
              <w:t>Paziņojums par visu publisko līgumu slēgšanas tiesību piešķiršanu, lai ieviestu Eiropas Dzelzceļa transport</w:t>
            </w:r>
            <w:r>
              <w:rPr>
                <w:noProof/>
              </w:rPr>
              <w:t>a vadības sistēmu (ERTMS)</w:t>
            </w:r>
          </w:p>
        </w:tc>
      </w:tr>
      <w:tr w:rsidR="00327FF1" w14:paraId="700CE8AA"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A3E503" w14:textId="77777777" w:rsidR="00327FF1" w:rsidRDefault="00E406C7">
            <w:pPr>
              <w:pStyle w:val="P68B1DB1-Normal11"/>
              <w:jc w:val="center"/>
              <w:rPr>
                <w:noProof/>
                <w:szCs w:val="20"/>
              </w:rPr>
            </w:pPr>
            <w:r>
              <w:rPr>
                <w:noProof/>
              </w:rPr>
              <w:t>M3C1–14</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958C04" w14:textId="77777777" w:rsidR="00327FF1" w:rsidRDefault="00E406C7">
            <w:pPr>
              <w:pStyle w:val="P68B1DB1-Normal11"/>
              <w:jc w:val="center"/>
              <w:rPr>
                <w:noProof/>
                <w:szCs w:val="20"/>
              </w:rPr>
            </w:pPr>
            <w:r>
              <w:rPr>
                <w:noProof/>
              </w:rPr>
              <w:t>Investīcija Nr. 1.4. Eiropas Dzelzceļa transporta vadības sistēmas (ERTMS) ieviešana</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294CD1" w14:textId="77777777" w:rsidR="00327FF1" w:rsidRDefault="00E406C7">
            <w:pPr>
              <w:pStyle w:val="P68B1DB1-Normal11"/>
              <w:jc w:val="center"/>
              <w:rPr>
                <w:noProof/>
                <w:szCs w:val="20"/>
              </w:rPr>
            </w:pPr>
            <w:r>
              <w:rPr>
                <w:noProof/>
              </w:rPr>
              <w:t>Mērķa</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4E62F" w14:textId="77777777" w:rsidR="00327FF1" w:rsidRDefault="00E406C7">
            <w:pPr>
              <w:pStyle w:val="P68B1DB1-Normal11"/>
              <w:jc w:val="center"/>
              <w:rPr>
                <w:noProof/>
                <w:szCs w:val="20"/>
              </w:rPr>
            </w:pPr>
            <w:r>
              <w:rPr>
                <w:noProof/>
              </w:rPr>
              <w:t xml:space="preserve"> 2 785 km dzelzceļa līniju, kas aprīkotas ar Eiropas Dzelzceļa transporta vadības sistēmu</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AF8771" w14:textId="77777777" w:rsidR="00327FF1" w:rsidRDefault="00E406C7">
            <w:pPr>
              <w:pStyle w:val="P68B1DB1-Normal11"/>
              <w:jc w:val="center"/>
              <w:rPr>
                <w:noProof/>
                <w:szCs w:val="20"/>
              </w:rPr>
            </w:pPr>
            <w:r>
              <w:rPr>
                <w:noProof/>
              </w:rPr>
              <w:t>NEPIEMĒRO</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EBE952" w14:textId="77777777" w:rsidR="00327FF1" w:rsidRDefault="00E406C7">
            <w:pPr>
              <w:pStyle w:val="P68B1DB1-Normal11"/>
              <w:jc w:val="center"/>
              <w:rPr>
                <w:noProof/>
                <w:szCs w:val="20"/>
              </w:rPr>
            </w:pPr>
            <w:r>
              <w:rPr>
                <w:noProof/>
              </w:rPr>
              <w:t>Skaits</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62BE97" w14:textId="77777777" w:rsidR="00327FF1" w:rsidRDefault="00E406C7">
            <w:pPr>
              <w:pStyle w:val="P68B1DB1-Normal11"/>
              <w:jc w:val="center"/>
              <w:rPr>
                <w:noProof/>
                <w:szCs w:val="20"/>
              </w:rPr>
            </w:pPr>
            <w:r>
              <w:rPr>
                <w:noProof/>
              </w:rPr>
              <w:t xml:space="preserve"> 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366B7D" w14:textId="77777777" w:rsidR="00327FF1" w:rsidRDefault="00E406C7">
            <w:pPr>
              <w:pStyle w:val="P68B1DB1-Normal11"/>
              <w:jc w:val="center"/>
              <w:rPr>
                <w:noProof/>
                <w:szCs w:val="20"/>
              </w:rPr>
            </w:pPr>
            <w:r>
              <w:rPr>
                <w:noProof/>
              </w:rPr>
              <w:t>2 785</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C682F0" w14:textId="77777777" w:rsidR="00327FF1" w:rsidRDefault="00E406C7">
            <w:pPr>
              <w:pStyle w:val="P68B1DB1-Normal11"/>
              <w:jc w:val="center"/>
              <w:rPr>
                <w:noProof/>
                <w:szCs w:val="20"/>
              </w:rPr>
            </w:pPr>
            <w:r>
              <w:rPr>
                <w:noProof/>
              </w:rPr>
              <w:t>2.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99F392" w14:textId="77777777" w:rsidR="00327FF1" w:rsidRDefault="00E406C7">
            <w:pPr>
              <w:pStyle w:val="P68B1DB1-Normal11"/>
              <w:jc w:val="center"/>
              <w:rPr>
                <w:noProof/>
                <w:szCs w:val="20"/>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2225B2" w14:textId="77777777" w:rsidR="00327FF1" w:rsidRDefault="00E406C7">
            <w:pPr>
              <w:pStyle w:val="P68B1DB1-Normal11"/>
              <w:spacing w:before="120" w:after="120"/>
              <w:rPr>
                <w:noProof/>
                <w:szCs w:val="20"/>
              </w:rPr>
            </w:pPr>
            <w:r>
              <w:rPr>
                <w:noProof/>
              </w:rPr>
              <w:t>Pabeigšanas sertifikātus izdod 2 785 km dzelzceļam, kas infrastruktūras un tehnoloģiju līmenī aprīkots ar Eiropas Dzelzceļa transporta vadības sistēmu.</w:t>
            </w:r>
          </w:p>
        </w:tc>
      </w:tr>
      <w:tr w:rsidR="00327FF1" w14:paraId="1E441630"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46BB24" w14:textId="77777777" w:rsidR="00327FF1" w:rsidRDefault="00E406C7">
            <w:pPr>
              <w:pStyle w:val="P68B1DB1-Normal11"/>
              <w:jc w:val="center"/>
              <w:rPr>
                <w:noProof/>
                <w:szCs w:val="20"/>
              </w:rPr>
            </w:pPr>
            <w:r>
              <w:rPr>
                <w:noProof/>
              </w:rPr>
              <w:t>M3C1–15</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8637CF" w14:textId="77777777" w:rsidR="00327FF1" w:rsidRDefault="00E406C7">
            <w:pPr>
              <w:pStyle w:val="P68B1DB1-Normal11"/>
              <w:jc w:val="center"/>
              <w:rPr>
                <w:noProof/>
                <w:szCs w:val="20"/>
              </w:rPr>
            </w:pPr>
            <w:r>
              <w:rPr>
                <w:noProof/>
              </w:rPr>
              <w:t>Investīcija 1.5. “Lielpilsētu mezglu un galveno valstu savienojumu stiprināšana”</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17D0F9" w14:textId="77777777" w:rsidR="00327FF1" w:rsidRDefault="00E406C7">
            <w:pPr>
              <w:pStyle w:val="P68B1DB1-Normal11"/>
              <w:jc w:val="center"/>
              <w:rPr>
                <w:noProof/>
                <w:szCs w:val="20"/>
              </w:rPr>
            </w:pPr>
            <w:r>
              <w:rPr>
                <w:noProof/>
              </w:rPr>
              <w:t>Mērķa</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B8B2F3" w14:textId="77777777" w:rsidR="00327FF1" w:rsidRDefault="00E406C7">
            <w:pPr>
              <w:pStyle w:val="P68B1DB1-Normal11"/>
              <w:jc w:val="center"/>
              <w:rPr>
                <w:noProof/>
                <w:szCs w:val="20"/>
              </w:rPr>
            </w:pPr>
            <w:r>
              <w:rPr>
                <w:noProof/>
              </w:rPr>
              <w:t xml:space="preserve">700 km </w:t>
            </w:r>
            <w:r>
              <w:rPr>
                <w:noProof/>
              </w:rPr>
              <w:t>modernizētu līniju posmu, kas būvēti lielpilsētu mezglos un galvenajos valstu savienojumos</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B613F5" w14:textId="77777777" w:rsidR="00327FF1" w:rsidRDefault="00E406C7">
            <w:pPr>
              <w:pStyle w:val="P68B1DB1-Normal11"/>
              <w:jc w:val="center"/>
              <w:rPr>
                <w:noProof/>
                <w:szCs w:val="20"/>
              </w:rPr>
            </w:pPr>
            <w:r>
              <w:rPr>
                <w:noProof/>
              </w:rPr>
              <w:t>NEPIEMĒRO</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286542" w14:textId="77777777" w:rsidR="00327FF1" w:rsidRDefault="00E406C7">
            <w:pPr>
              <w:pStyle w:val="P68B1DB1-Normal11"/>
              <w:jc w:val="center"/>
              <w:rPr>
                <w:noProof/>
                <w:szCs w:val="20"/>
              </w:rPr>
            </w:pPr>
            <w:r>
              <w:rPr>
                <w:noProof/>
              </w:rPr>
              <w:t>Skaits</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C18B36" w14:textId="77777777" w:rsidR="00327FF1" w:rsidRDefault="00E406C7">
            <w:pPr>
              <w:pStyle w:val="P68B1DB1-Normal11"/>
              <w:jc w:val="center"/>
              <w:rPr>
                <w:noProof/>
                <w:szCs w:val="20"/>
              </w:rPr>
            </w:pPr>
            <w:r>
              <w:rPr>
                <w:noProof/>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068896" w14:textId="77777777" w:rsidR="00327FF1" w:rsidRDefault="00E406C7">
            <w:pPr>
              <w:pStyle w:val="P68B1DB1-Normal11"/>
              <w:jc w:val="center"/>
              <w:rPr>
                <w:noProof/>
                <w:szCs w:val="20"/>
              </w:rPr>
            </w:pPr>
            <w:r>
              <w:rPr>
                <w:noProof/>
              </w:rPr>
              <w:t>700</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B2A088" w14:textId="77777777" w:rsidR="00327FF1" w:rsidRDefault="00E406C7">
            <w:pPr>
              <w:pStyle w:val="P68B1DB1-Normal11"/>
              <w:jc w:val="center"/>
              <w:rPr>
                <w:noProof/>
                <w:szCs w:val="20"/>
              </w:rPr>
            </w:pPr>
            <w:r>
              <w:rPr>
                <w:noProof/>
              </w:rPr>
              <w:t>4.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56A87" w14:textId="77777777" w:rsidR="00327FF1" w:rsidRDefault="00E406C7">
            <w:pPr>
              <w:pStyle w:val="P68B1DB1-Normal11"/>
              <w:jc w:val="center"/>
              <w:rPr>
                <w:noProof/>
                <w:szCs w:val="20"/>
              </w:rPr>
            </w:pPr>
            <w:r>
              <w:rPr>
                <w:noProof/>
              </w:rPr>
              <w:t>2024</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94B72E" w14:textId="77777777" w:rsidR="00327FF1" w:rsidRDefault="00E406C7">
            <w:pPr>
              <w:pStyle w:val="P68B1DB1-Normal11"/>
              <w:rPr>
                <w:noProof/>
                <w:szCs w:val="20"/>
              </w:rPr>
            </w:pPr>
            <w:r>
              <w:rPr>
                <w:noProof/>
              </w:rPr>
              <w:t xml:space="preserve">Vismaz 700 km modernizētu līniju posmu, kas būvēti lielpilsētu mezglos un galvenajos valstu savienojumos, gatavi atļaujas </w:t>
            </w:r>
            <w:r>
              <w:rPr>
                <w:noProof/>
              </w:rPr>
              <w:t>saņemšanai un darbības posmi.</w:t>
            </w:r>
          </w:p>
        </w:tc>
      </w:tr>
      <w:tr w:rsidR="00327FF1" w14:paraId="746206FE"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EF03A2" w14:textId="77777777" w:rsidR="00327FF1" w:rsidRDefault="00E406C7">
            <w:pPr>
              <w:pStyle w:val="P68B1DB1-Normal11"/>
              <w:jc w:val="center"/>
              <w:rPr>
                <w:noProof/>
                <w:szCs w:val="20"/>
              </w:rPr>
            </w:pPr>
            <w:r>
              <w:rPr>
                <w:noProof/>
              </w:rPr>
              <w:t>M3C1–17</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6B3D9D" w14:textId="77777777" w:rsidR="00327FF1" w:rsidRDefault="00E406C7">
            <w:pPr>
              <w:pStyle w:val="P68B1DB1-Normal11"/>
              <w:jc w:val="center"/>
              <w:rPr>
                <w:noProof/>
                <w:szCs w:val="20"/>
              </w:rPr>
            </w:pPr>
            <w:r>
              <w:rPr>
                <w:noProof/>
              </w:rPr>
              <w:t>Investīcija Nr. 1.7 — Dzelzceļu modernizācija, elektrifikācija un noturība dienvidos</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2768C1" w14:textId="77777777" w:rsidR="00327FF1" w:rsidRDefault="00327FF1">
            <w:pPr>
              <w:jc w:val="center"/>
              <w:rPr>
                <w:rFonts w:ascii="Arial Narrow" w:hAnsi="Arial Narrow"/>
                <w:noProof/>
                <w:color w:val="006100"/>
                <w:sz w:val="20"/>
                <w:szCs w:val="20"/>
              </w:rPr>
            </w:pPr>
          </w:p>
          <w:p w14:paraId="7BEAA135" w14:textId="77777777" w:rsidR="00327FF1" w:rsidRDefault="00E406C7">
            <w:pPr>
              <w:pStyle w:val="P68B1DB1-Normal11"/>
              <w:jc w:val="center"/>
              <w:rPr>
                <w:noProof/>
                <w:szCs w:val="20"/>
              </w:rPr>
            </w:pPr>
            <w:r>
              <w:rPr>
                <w:noProof/>
              </w:rPr>
              <w:t xml:space="preserve">Mērķa </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375A13" w14:textId="77777777" w:rsidR="00327FF1" w:rsidRDefault="00E406C7">
            <w:pPr>
              <w:pStyle w:val="P68B1DB1-Normal11"/>
              <w:jc w:val="center"/>
              <w:rPr>
                <w:noProof/>
                <w:szCs w:val="20"/>
              </w:rPr>
            </w:pPr>
            <w:r>
              <w:rPr>
                <w:noProof/>
              </w:rPr>
              <w:t>Pabeigti 172 km darbi, kas saistīti ar dienvidu dzelzceļu noturību, gatavi atļaujas piešķiršanai un ekspluatācijas posmiem.</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87736E" w14:textId="77777777" w:rsidR="00327FF1" w:rsidRDefault="00E406C7">
            <w:pPr>
              <w:pStyle w:val="P68B1DB1-Normal11"/>
              <w:jc w:val="center"/>
              <w:rPr>
                <w:noProof/>
                <w:szCs w:val="20"/>
              </w:rPr>
            </w:pPr>
            <w:r>
              <w:rPr>
                <w:noProof/>
              </w:rPr>
              <w:t>NEPIEMĒRO</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64056C" w14:textId="77777777" w:rsidR="00327FF1" w:rsidRDefault="00E406C7">
            <w:pPr>
              <w:pStyle w:val="P68B1DB1-Normal11"/>
              <w:jc w:val="center"/>
              <w:rPr>
                <w:noProof/>
                <w:szCs w:val="20"/>
              </w:rPr>
            </w:pPr>
            <w:r>
              <w:rPr>
                <w:noProof/>
              </w:rPr>
              <w:t>Skaits</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30DE7E" w14:textId="77777777" w:rsidR="00327FF1" w:rsidRDefault="00E406C7">
            <w:pPr>
              <w:pStyle w:val="P68B1DB1-Normal11"/>
              <w:jc w:val="center"/>
              <w:rPr>
                <w:noProof/>
                <w:szCs w:val="20"/>
              </w:rPr>
            </w:pPr>
            <w:r>
              <w:rPr>
                <w:noProof/>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D474F1" w14:textId="77777777" w:rsidR="00327FF1" w:rsidRDefault="00E406C7">
            <w:pPr>
              <w:pStyle w:val="P68B1DB1-Normal11"/>
              <w:jc w:val="center"/>
              <w:rPr>
                <w:noProof/>
                <w:szCs w:val="20"/>
              </w:rPr>
            </w:pPr>
            <w:r>
              <w:rPr>
                <w:noProof/>
              </w:rPr>
              <w:t>172</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973458" w14:textId="77777777" w:rsidR="00327FF1" w:rsidRDefault="00E406C7">
            <w:pPr>
              <w:pStyle w:val="P68B1DB1-Normal11"/>
              <w:jc w:val="center"/>
              <w:rPr>
                <w:noProof/>
                <w:szCs w:val="20"/>
              </w:rPr>
            </w:pPr>
            <w:r>
              <w:rPr>
                <w:noProof/>
              </w:rPr>
              <w:t>4.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BFD1F0" w14:textId="77777777" w:rsidR="00327FF1" w:rsidRDefault="00E406C7">
            <w:pPr>
              <w:pStyle w:val="P68B1DB1-Normal11"/>
              <w:jc w:val="center"/>
              <w:rPr>
                <w:noProof/>
                <w:szCs w:val="20"/>
              </w:rPr>
            </w:pPr>
            <w:r>
              <w:rPr>
                <w:noProof/>
              </w:rPr>
              <w:t>2023</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E59FFA" w14:textId="77777777" w:rsidR="00327FF1" w:rsidRDefault="00E406C7">
            <w:pPr>
              <w:pStyle w:val="P68B1DB1-Normal11"/>
              <w:spacing w:before="120" w:after="120"/>
              <w:rPr>
                <w:noProof/>
                <w:szCs w:val="20"/>
              </w:rPr>
            </w:pPr>
            <w:r>
              <w:rPr>
                <w:noProof/>
              </w:rPr>
              <w:t xml:space="preserve">Pabeigti darbi vismaz 172 km garumā, kas saistīti ar dienvidu dzelzceļu noturību, gatavi atļaujas piešķiršanai un ekspluatācijas posmi. </w:t>
            </w:r>
          </w:p>
          <w:p w14:paraId="1E373814" w14:textId="77777777" w:rsidR="00327FF1" w:rsidRDefault="00E406C7">
            <w:pPr>
              <w:pStyle w:val="P68B1DB1-Normal11"/>
              <w:spacing w:before="120" w:after="120"/>
              <w:rPr>
                <w:noProof/>
              </w:rPr>
            </w:pPr>
            <w:r>
              <w:rPr>
                <w:noProof/>
              </w:rPr>
              <w:t>172 km attiecas uz šādām līnijām:</w:t>
            </w:r>
          </w:p>
          <w:p w14:paraId="476F0D37" w14:textId="77777777" w:rsidR="00327FF1" w:rsidRDefault="00E406C7">
            <w:pPr>
              <w:pStyle w:val="P68B1DB1-Normal83"/>
              <w:spacing w:before="120" w:after="120"/>
              <w:rPr>
                <w:rFonts w:ascii="Arial Narrow" w:hAnsi="Arial Narrow"/>
                <w:noProof/>
                <w:sz w:val="20"/>
                <w:szCs w:val="20"/>
              </w:rPr>
            </w:pPr>
            <w:r>
              <w:rPr>
                <w:rFonts w:ascii="Arial Narrow" w:hAnsi="Arial Narrow"/>
                <w:noProof/>
                <w:sz w:val="20"/>
              </w:rPr>
              <w:t>•</w:t>
            </w:r>
            <w:r>
              <w:rPr>
                <w:noProof/>
              </w:rPr>
              <w:t xml:space="preserve"> </w:t>
            </w:r>
            <w:r>
              <w:rPr>
                <w:rFonts w:ascii="Arial Narrow" w:hAnsi="Arial Narrow"/>
                <w:noProof/>
                <w:sz w:val="20"/>
              </w:rPr>
              <w:t>Paola-Regio Calabria;</w:t>
            </w:r>
          </w:p>
          <w:p w14:paraId="0A5AC86E" w14:textId="77777777" w:rsidR="00327FF1" w:rsidRDefault="00E406C7">
            <w:pPr>
              <w:pStyle w:val="P68B1DB1-Normal83"/>
              <w:spacing w:before="120" w:after="120"/>
              <w:rPr>
                <w:rFonts w:ascii="Arial Narrow" w:hAnsi="Arial Narrow"/>
                <w:noProof/>
                <w:sz w:val="20"/>
                <w:szCs w:val="20"/>
              </w:rPr>
            </w:pPr>
            <w:r>
              <w:rPr>
                <w:rFonts w:ascii="Arial Narrow" w:hAnsi="Arial Narrow"/>
                <w:noProof/>
                <w:sz w:val="20"/>
              </w:rPr>
              <w:t>•</w:t>
            </w:r>
            <w:r>
              <w:rPr>
                <w:noProof/>
              </w:rPr>
              <w:t xml:space="preserve"> </w:t>
            </w:r>
            <w:r>
              <w:rPr>
                <w:rFonts w:ascii="Arial Narrow" w:hAnsi="Arial Narrow"/>
                <w:noProof/>
                <w:sz w:val="20"/>
              </w:rPr>
              <w:t>Lentini Diramazione-Gel</w:t>
            </w:r>
            <w:r>
              <w:rPr>
                <w:rFonts w:ascii="Arial Narrow" w:hAnsi="Arial Narrow"/>
                <w:noProof/>
                <w:sz w:val="20"/>
              </w:rPr>
              <w:t>a;</w:t>
            </w:r>
          </w:p>
          <w:p w14:paraId="57C7E872" w14:textId="77777777" w:rsidR="00327FF1" w:rsidRDefault="00E406C7">
            <w:pPr>
              <w:pStyle w:val="P68B1DB1-Normal83"/>
              <w:spacing w:before="120" w:after="120"/>
              <w:rPr>
                <w:rFonts w:ascii="Arial Narrow" w:hAnsi="Arial Narrow"/>
                <w:noProof/>
                <w:sz w:val="20"/>
                <w:szCs w:val="20"/>
              </w:rPr>
            </w:pPr>
            <w:r>
              <w:rPr>
                <w:rFonts w:ascii="Arial Narrow" w:hAnsi="Arial Narrow"/>
                <w:noProof/>
                <w:sz w:val="20"/>
              </w:rPr>
              <w:t>•</w:t>
            </w:r>
            <w:r>
              <w:rPr>
                <w:noProof/>
              </w:rPr>
              <w:t xml:space="preserve"> </w:t>
            </w:r>
            <w:r>
              <w:rPr>
                <w:rFonts w:ascii="Arial Narrow" w:hAnsi="Arial Narrow"/>
                <w:noProof/>
                <w:sz w:val="20"/>
              </w:rPr>
              <w:t>Mesīna — Katānija-Sirakūza;</w:t>
            </w:r>
          </w:p>
          <w:p w14:paraId="2B2D3801" w14:textId="77777777" w:rsidR="00327FF1" w:rsidRDefault="00E406C7">
            <w:pPr>
              <w:pStyle w:val="P68B1DB1-Normal83"/>
              <w:spacing w:before="120" w:after="120"/>
              <w:rPr>
                <w:rFonts w:ascii="Arial Narrow" w:hAnsi="Arial Narrow"/>
                <w:noProof/>
                <w:sz w:val="20"/>
                <w:szCs w:val="20"/>
              </w:rPr>
            </w:pPr>
            <w:r>
              <w:rPr>
                <w:rFonts w:ascii="Arial Narrow" w:hAnsi="Arial Narrow"/>
                <w:noProof/>
                <w:sz w:val="20"/>
              </w:rPr>
              <w:t>•</w:t>
            </w:r>
            <w:r>
              <w:rPr>
                <w:noProof/>
              </w:rPr>
              <w:t xml:space="preserve"> </w:t>
            </w:r>
            <w:r>
              <w:rPr>
                <w:rFonts w:ascii="Arial Narrow" w:hAnsi="Arial Narrow"/>
                <w:noProof/>
                <w:sz w:val="20"/>
              </w:rPr>
              <w:t>Caserta — Battipaglia;</w:t>
            </w:r>
          </w:p>
          <w:p w14:paraId="00CA48FF" w14:textId="77777777" w:rsidR="00327FF1" w:rsidRDefault="00E406C7">
            <w:pPr>
              <w:pStyle w:val="P68B1DB1-Normal83"/>
              <w:spacing w:before="120" w:after="120"/>
              <w:rPr>
                <w:rFonts w:ascii="Arial Narrow" w:hAnsi="Arial Narrow"/>
                <w:noProof/>
                <w:sz w:val="20"/>
                <w:szCs w:val="20"/>
              </w:rPr>
            </w:pPr>
            <w:r>
              <w:rPr>
                <w:rFonts w:ascii="Arial Narrow" w:hAnsi="Arial Narrow"/>
                <w:noProof/>
                <w:sz w:val="20"/>
              </w:rPr>
              <w:t>•</w:t>
            </w:r>
            <w:r>
              <w:rPr>
                <w:noProof/>
              </w:rPr>
              <w:t xml:space="preserve"> </w:t>
            </w:r>
            <w:r>
              <w:rPr>
                <w:rFonts w:ascii="Arial Narrow" w:hAnsi="Arial Narrow"/>
                <w:noProof/>
                <w:sz w:val="20"/>
              </w:rPr>
              <w:t>Romi — Neapole; un</w:t>
            </w:r>
          </w:p>
          <w:p w14:paraId="6B5F0ED0" w14:textId="77777777" w:rsidR="00327FF1" w:rsidRDefault="00E406C7">
            <w:pPr>
              <w:pStyle w:val="P68B1DB1-Normal83"/>
              <w:spacing w:before="120" w:after="120"/>
              <w:rPr>
                <w:rFonts w:ascii="Arial Narrow" w:hAnsi="Arial Narrow"/>
                <w:noProof/>
                <w:sz w:val="20"/>
                <w:szCs w:val="20"/>
              </w:rPr>
            </w:pPr>
            <w:r>
              <w:rPr>
                <w:rFonts w:ascii="Arial Narrow" w:hAnsi="Arial Narrow"/>
                <w:noProof/>
                <w:sz w:val="20"/>
              </w:rPr>
              <w:t>•</w:t>
            </w:r>
            <w:r>
              <w:rPr>
                <w:noProof/>
              </w:rPr>
              <w:t xml:space="preserve"> </w:t>
            </w:r>
            <w:r>
              <w:rPr>
                <w:rFonts w:ascii="Arial Narrow" w:hAnsi="Arial Narrow"/>
                <w:noProof/>
                <w:sz w:val="20"/>
              </w:rPr>
              <w:t>Bari — Brindisi.</w:t>
            </w:r>
          </w:p>
          <w:p w14:paraId="38C839E6" w14:textId="0D4CDBEF" w:rsidR="00327FF1" w:rsidRDefault="00E406C7">
            <w:pPr>
              <w:pStyle w:val="P68B1DB1-Normal11"/>
              <w:spacing w:before="120" w:after="120"/>
              <w:rPr>
                <w:noProof/>
                <w:szCs w:val="20"/>
              </w:rPr>
            </w:pPr>
            <w:r>
              <w:rPr>
                <w:noProof/>
              </w:rPr>
              <w:t>Mērķrādītāju sasniedz, izmantojot KLP (t. i., “Codice Locale Progetto”), ko neatbalsta citi ES fondi, izņemot ANM.</w:t>
            </w:r>
          </w:p>
        </w:tc>
      </w:tr>
      <w:tr w:rsidR="00327FF1" w14:paraId="27255734"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B32153" w14:textId="77777777" w:rsidR="00327FF1" w:rsidRDefault="00E406C7">
            <w:pPr>
              <w:pStyle w:val="P68B1DB1-Normal11"/>
              <w:jc w:val="center"/>
              <w:rPr>
                <w:noProof/>
                <w:szCs w:val="20"/>
              </w:rPr>
            </w:pPr>
            <w:r>
              <w:rPr>
                <w:noProof/>
              </w:rPr>
              <w:t>M3C1–19</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127273" w14:textId="77777777" w:rsidR="00327FF1" w:rsidRDefault="00E406C7">
            <w:pPr>
              <w:pStyle w:val="P68B1DB1-Normal11"/>
              <w:jc w:val="center"/>
              <w:rPr>
                <w:noProof/>
                <w:szCs w:val="20"/>
              </w:rPr>
            </w:pPr>
            <w:r>
              <w:rPr>
                <w:noProof/>
              </w:rPr>
              <w:t xml:space="preserve">Investīcija. Dzelzceļa staciju </w:t>
            </w:r>
            <w:r>
              <w:rPr>
                <w:noProof/>
              </w:rPr>
              <w:t>modernizācija (RFI pārvaldība; dienvidos)</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BD8503" w14:textId="77777777" w:rsidR="00327FF1" w:rsidRDefault="00E406C7">
            <w:pPr>
              <w:pStyle w:val="P68B1DB1-Normal11"/>
              <w:jc w:val="center"/>
              <w:rPr>
                <w:noProof/>
                <w:szCs w:val="20"/>
              </w:rPr>
            </w:pPr>
            <w:r>
              <w:rPr>
                <w:noProof/>
              </w:rPr>
              <w:t>Mērķa</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A498C3" w14:textId="77777777" w:rsidR="00327FF1" w:rsidRDefault="00E406C7">
            <w:pPr>
              <w:pStyle w:val="P68B1DB1-Normal11"/>
              <w:jc w:val="center"/>
              <w:rPr>
                <w:noProof/>
                <w:szCs w:val="20"/>
              </w:rPr>
            </w:pPr>
            <w:r>
              <w:rPr>
                <w:noProof/>
              </w:rPr>
              <w:t>Modernizētas un pieejamas dzelzceļa stacijas</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852E0E" w14:textId="77777777" w:rsidR="00327FF1" w:rsidRDefault="00E406C7">
            <w:pPr>
              <w:pStyle w:val="P68B1DB1-Normal11"/>
              <w:jc w:val="center"/>
              <w:rPr>
                <w:noProof/>
                <w:szCs w:val="20"/>
              </w:rPr>
            </w:pPr>
            <w:r>
              <w:rPr>
                <w:noProof/>
              </w:rPr>
              <w:t>NEPIEMĒRO</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44B849" w14:textId="77777777" w:rsidR="00327FF1" w:rsidRDefault="00E406C7">
            <w:pPr>
              <w:pStyle w:val="P68B1DB1-Normal11"/>
              <w:jc w:val="center"/>
              <w:rPr>
                <w:noProof/>
                <w:szCs w:val="20"/>
              </w:rPr>
            </w:pPr>
            <w:r>
              <w:rPr>
                <w:noProof/>
              </w:rPr>
              <w:t>Skaits</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5EA341" w14:textId="77777777" w:rsidR="00327FF1" w:rsidRDefault="00E406C7">
            <w:pPr>
              <w:pStyle w:val="P68B1DB1-Normal11"/>
              <w:jc w:val="center"/>
              <w:rPr>
                <w:noProof/>
                <w:szCs w:val="20"/>
              </w:rPr>
            </w:pPr>
            <w:r>
              <w:rPr>
                <w:noProof/>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A9F38B" w14:textId="77777777" w:rsidR="00327FF1" w:rsidRDefault="00E406C7">
            <w:pPr>
              <w:pStyle w:val="P68B1DB1-Normal11"/>
              <w:jc w:val="center"/>
              <w:rPr>
                <w:noProof/>
                <w:szCs w:val="20"/>
              </w:rPr>
            </w:pPr>
            <w:r>
              <w:rPr>
                <w:noProof/>
              </w:rPr>
              <w:t>10</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F0E9F1" w14:textId="77777777" w:rsidR="00327FF1" w:rsidRDefault="00E406C7">
            <w:pPr>
              <w:pStyle w:val="P68B1DB1-Normal11"/>
              <w:jc w:val="center"/>
              <w:rPr>
                <w:noProof/>
                <w:szCs w:val="20"/>
              </w:rPr>
            </w:pPr>
            <w:r>
              <w:rPr>
                <w:noProof/>
              </w:rPr>
              <w:t>4.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4BC992" w14:textId="77777777" w:rsidR="00327FF1" w:rsidRDefault="00E406C7">
            <w:pPr>
              <w:pStyle w:val="P68B1DB1-Normal11"/>
              <w:jc w:val="center"/>
              <w:rPr>
                <w:noProof/>
                <w:szCs w:val="20"/>
              </w:rPr>
            </w:pPr>
            <w:r>
              <w:rPr>
                <w:noProof/>
              </w:rPr>
              <w:t>2024</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0CC2A" w14:textId="77777777" w:rsidR="00327FF1" w:rsidRDefault="00E406C7">
            <w:pPr>
              <w:pStyle w:val="P68B1DB1-Normal12"/>
              <w:jc w:val="both"/>
              <w:rPr>
                <w:noProof/>
              </w:rPr>
            </w:pPr>
            <w:r>
              <w:rPr>
                <w:noProof/>
              </w:rPr>
              <w:t>Desmit dzelzceļa stacijas ir modernizētas un pieejamas saskaņā ar Komisijas Regulu (ES) Nr. 1300/2014.</w:t>
            </w:r>
          </w:p>
        </w:tc>
      </w:tr>
      <w:tr w:rsidR="00327FF1" w14:paraId="5B43724B"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8F279A" w14:textId="77777777" w:rsidR="00327FF1" w:rsidRDefault="00E406C7">
            <w:pPr>
              <w:pStyle w:val="P68B1DB1-Normal11"/>
              <w:jc w:val="center"/>
              <w:rPr>
                <w:noProof/>
                <w:szCs w:val="20"/>
              </w:rPr>
            </w:pPr>
            <w:r>
              <w:rPr>
                <w:noProof/>
              </w:rPr>
              <w:t>M3C1–20</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F2440" w14:textId="77777777" w:rsidR="00327FF1" w:rsidRDefault="00E406C7">
            <w:pPr>
              <w:pStyle w:val="P68B1DB1-Normal11"/>
              <w:jc w:val="center"/>
              <w:rPr>
                <w:noProof/>
                <w:szCs w:val="20"/>
              </w:rPr>
            </w:pPr>
            <w:r>
              <w:rPr>
                <w:noProof/>
              </w:rPr>
              <w:t xml:space="preserve">Investīcija. </w:t>
            </w:r>
            <w:r>
              <w:rPr>
                <w:noProof/>
              </w:rPr>
              <w:t>Dzelzceļa staciju modernizācija (RFI pārvaldība; dienvidos)</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4E74E7" w14:textId="77777777" w:rsidR="00327FF1" w:rsidRDefault="00E406C7">
            <w:pPr>
              <w:pStyle w:val="P68B1DB1-Normal11"/>
              <w:jc w:val="center"/>
              <w:rPr>
                <w:noProof/>
                <w:szCs w:val="20"/>
              </w:rPr>
            </w:pPr>
            <w:r>
              <w:rPr>
                <w:noProof/>
              </w:rPr>
              <w:t>Mērķa</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E7B0F6" w14:textId="77777777" w:rsidR="00327FF1" w:rsidRDefault="00E406C7">
            <w:pPr>
              <w:pStyle w:val="P68B1DB1-Normal11"/>
              <w:jc w:val="center"/>
              <w:rPr>
                <w:noProof/>
                <w:szCs w:val="20"/>
              </w:rPr>
            </w:pPr>
            <w:r>
              <w:rPr>
                <w:noProof/>
              </w:rPr>
              <w:t>Modernizētas un pieejamas dzelzceļa stacijas</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7CAE8C" w14:textId="77777777" w:rsidR="00327FF1" w:rsidRDefault="00E406C7">
            <w:pPr>
              <w:pStyle w:val="P68B1DB1-Normal11"/>
              <w:jc w:val="center"/>
              <w:rPr>
                <w:noProof/>
                <w:szCs w:val="20"/>
              </w:rPr>
            </w:pPr>
            <w:r>
              <w:rPr>
                <w:noProof/>
              </w:rPr>
              <w:t>NEPIEMĒRO</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412140" w14:textId="77777777" w:rsidR="00327FF1" w:rsidRDefault="00E406C7">
            <w:pPr>
              <w:pStyle w:val="P68B1DB1-Normal11"/>
              <w:jc w:val="center"/>
              <w:rPr>
                <w:noProof/>
                <w:szCs w:val="20"/>
              </w:rPr>
            </w:pPr>
            <w:r>
              <w:rPr>
                <w:noProof/>
              </w:rPr>
              <w:t>Skaits</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A57FC6" w14:textId="77777777" w:rsidR="00327FF1" w:rsidRDefault="00E406C7">
            <w:pPr>
              <w:pStyle w:val="P68B1DB1-Normal11"/>
              <w:jc w:val="center"/>
              <w:rPr>
                <w:noProof/>
                <w:szCs w:val="20"/>
              </w:rPr>
            </w:pPr>
            <w:r>
              <w:rPr>
                <w:noProof/>
              </w:rPr>
              <w:t>10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239B82" w14:textId="77777777" w:rsidR="00327FF1" w:rsidRDefault="00E406C7">
            <w:pPr>
              <w:pStyle w:val="P68B1DB1-Normal11"/>
              <w:jc w:val="center"/>
              <w:rPr>
                <w:noProof/>
                <w:szCs w:val="20"/>
              </w:rPr>
            </w:pPr>
            <w:r>
              <w:rPr>
                <w:noProof/>
              </w:rPr>
              <w:t>38</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119620" w14:textId="77777777" w:rsidR="00327FF1" w:rsidRDefault="00E406C7">
            <w:pPr>
              <w:pStyle w:val="P68B1DB1-Normal11"/>
              <w:jc w:val="center"/>
              <w:rPr>
                <w:noProof/>
                <w:szCs w:val="20"/>
              </w:rPr>
            </w:pPr>
            <w:r>
              <w:rPr>
                <w:noProof/>
              </w:rPr>
              <w:t>2.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B949E6" w14:textId="77777777" w:rsidR="00327FF1" w:rsidRDefault="00E406C7">
            <w:pPr>
              <w:pStyle w:val="P68B1DB1-Normal11"/>
              <w:jc w:val="center"/>
              <w:rPr>
                <w:noProof/>
                <w:szCs w:val="20"/>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54FB8F" w14:textId="77777777" w:rsidR="00327FF1" w:rsidRDefault="00E406C7">
            <w:pPr>
              <w:pStyle w:val="P68B1DB1-Normal11"/>
              <w:spacing w:before="120"/>
              <w:jc w:val="both"/>
              <w:rPr>
                <w:noProof/>
              </w:rPr>
            </w:pPr>
            <w:r>
              <w:rPr>
                <w:noProof/>
              </w:rPr>
              <w:t xml:space="preserve">Sertifikāti par darbu pabeigšanu 38 dzelzceļa staciju modernizācijai Abruco, Bazilikatas Kampānijas, </w:t>
            </w:r>
            <w:r>
              <w:rPr>
                <w:noProof/>
              </w:rPr>
              <w:t>Kalabrijas, Molīzes, Apūlijas, Sicīlijas un Sardegnas reģionos.</w:t>
            </w:r>
          </w:p>
        </w:tc>
      </w:tr>
      <w:tr w:rsidR="00327FF1" w14:paraId="4CF7952E"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847CD0" w14:textId="77777777" w:rsidR="00327FF1" w:rsidRDefault="00E406C7">
            <w:pPr>
              <w:pStyle w:val="P68B1DB1-Normal11"/>
              <w:jc w:val="center"/>
              <w:rPr>
                <w:noProof/>
                <w:szCs w:val="20"/>
              </w:rPr>
            </w:pPr>
            <w:r>
              <w:rPr>
                <w:noProof/>
              </w:rPr>
              <w:t>M3C1–21</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5220A" w14:textId="77777777" w:rsidR="00327FF1" w:rsidRDefault="00E406C7">
            <w:pPr>
              <w:pStyle w:val="P68B1DB1-Normal11"/>
              <w:jc w:val="center"/>
              <w:rPr>
                <w:noProof/>
                <w:szCs w:val="20"/>
              </w:rPr>
            </w:pPr>
            <w:r>
              <w:rPr>
                <w:noProof/>
              </w:rPr>
              <w:t xml:space="preserve">Reforma Nr. 2.1. — nesen pieņemtā “Dekrēta vienkāršošanas” īstenošana (kas pārveidota par 2020. gada 11. septembra Likumu Nr. 120), izdodot dekrētu par “Vadlīnijas risku </w:t>
            </w:r>
            <w:r>
              <w:rPr>
                <w:noProof/>
              </w:rPr>
              <w:t>klasificēšanai un pārvaldībai, drošības novērtēšanai un esošo tiltu uzraudzībai”</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E79161" w14:textId="77777777" w:rsidR="00327FF1" w:rsidRDefault="00E406C7">
            <w:pPr>
              <w:pStyle w:val="P68B1DB1-Normal11"/>
              <w:jc w:val="center"/>
              <w:rPr>
                <w:noProof/>
                <w:szCs w:val="20"/>
              </w:rPr>
            </w:pPr>
            <w:r>
              <w:rPr>
                <w:noProof/>
              </w:rPr>
              <w:t>Atskaites punkts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11578" w14:textId="77777777" w:rsidR="00327FF1" w:rsidRDefault="00E406C7">
            <w:pPr>
              <w:pStyle w:val="P68B1DB1-Normal11"/>
              <w:jc w:val="center"/>
              <w:rPr>
                <w:noProof/>
                <w:szCs w:val="20"/>
              </w:rPr>
            </w:pPr>
            <w:r>
              <w:rPr>
                <w:noProof/>
              </w:rPr>
              <w:t>Stājas spēkā “Vadlīnijas risku klasifikācijai un pārvaldībai, drošības novērtēšanai un esošo tiltu uzraudzībai”</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6197B3" w14:textId="77777777" w:rsidR="00327FF1" w:rsidRDefault="00E406C7">
            <w:pPr>
              <w:pStyle w:val="P68B1DB1-Normal11"/>
              <w:jc w:val="center"/>
              <w:rPr>
                <w:noProof/>
                <w:szCs w:val="20"/>
              </w:rPr>
            </w:pPr>
            <w:r>
              <w:rPr>
                <w:noProof/>
              </w:rPr>
              <w:t>Dekrēta noteikums, kas norāda, ka stājas spēkā</w:t>
            </w:r>
            <w:r>
              <w:rPr>
                <w:noProof/>
              </w:rPr>
              <w:t xml:space="preserve"> dekrēts, ar ko pieņem “Vadlīnijas par risku klasifikāciju un pārvaldību, drošības novērtēšanu un esošo tiltu uzraudzību”</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059893" w14:textId="77777777" w:rsidR="00327FF1" w:rsidRDefault="00E406C7">
            <w:pPr>
              <w:pStyle w:val="P68B1DB1-Normal11"/>
              <w:jc w:val="center"/>
              <w:rPr>
                <w:noProof/>
                <w:szCs w:val="20"/>
              </w:rPr>
            </w:pPr>
            <w:r>
              <w:rPr>
                <w:noProof/>
              </w:rPr>
              <w:t>NEPIEMĒRO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BB24A2" w14:textId="77777777" w:rsidR="00327FF1" w:rsidRDefault="00E406C7">
            <w:pPr>
              <w:pStyle w:val="P68B1DB1-Normal11"/>
              <w:jc w:val="center"/>
              <w:rPr>
                <w:noProof/>
                <w:szCs w:val="20"/>
              </w:rPr>
            </w:pPr>
            <w:r>
              <w:rPr>
                <w:noProof/>
              </w:rPr>
              <w:t>NEPIEMĒRO</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791D8A" w14:textId="77777777" w:rsidR="00327FF1" w:rsidRDefault="00E406C7">
            <w:pPr>
              <w:pStyle w:val="P68B1DB1-Normal11"/>
              <w:jc w:val="center"/>
              <w:rPr>
                <w:noProof/>
                <w:szCs w:val="20"/>
              </w:rPr>
            </w:pPr>
            <w:r>
              <w:rPr>
                <w:noProof/>
              </w:rPr>
              <w:t>NEPIEMĒRO</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6F03EE" w14:textId="77777777" w:rsidR="00327FF1" w:rsidRDefault="00E406C7">
            <w:pPr>
              <w:pStyle w:val="P68B1DB1-Normal11"/>
              <w:jc w:val="center"/>
              <w:rPr>
                <w:noProof/>
                <w:szCs w:val="20"/>
              </w:rPr>
            </w:pPr>
            <w:r>
              <w:rPr>
                <w:noProof/>
              </w:rPr>
              <w:t>4.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F6C8A1" w14:textId="77777777" w:rsidR="00327FF1" w:rsidRDefault="00E406C7">
            <w:pPr>
              <w:pStyle w:val="P68B1DB1-Normal11"/>
              <w:jc w:val="center"/>
              <w:rPr>
                <w:noProof/>
                <w:szCs w:val="20"/>
              </w:rPr>
            </w:pPr>
            <w:r>
              <w:rPr>
                <w:noProof/>
              </w:rPr>
              <w:t>2021</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7BBC67" w14:textId="77777777" w:rsidR="00327FF1" w:rsidRDefault="00E406C7">
            <w:pPr>
              <w:pStyle w:val="P68B1DB1-Normal14"/>
              <w:spacing w:before="120" w:after="120"/>
              <w:rPr>
                <w:noProof/>
                <w:color w:val="006100"/>
                <w:szCs w:val="20"/>
              </w:rPr>
            </w:pPr>
            <w:r>
              <w:rPr>
                <w:noProof/>
                <w:color w:val="006100"/>
              </w:rPr>
              <w:t>“Pamatnostādnēs” nosaka kopējus standartus un metodiku visam valsts ceļu tīklam</w:t>
            </w:r>
            <w:r>
              <w:rPr>
                <w:noProof/>
              </w:rPr>
              <w:t xml:space="preserve"> </w:t>
            </w:r>
            <w:r>
              <w:rPr>
                <w:noProof/>
                <w:color w:val="006100"/>
              </w:rPr>
              <w:t>risku klasi</w:t>
            </w:r>
            <w:r>
              <w:rPr>
                <w:noProof/>
                <w:color w:val="006100"/>
              </w:rPr>
              <w:t>ficēšanai un pārvaldībai, drošības novērtēšanai un esošo tiltu uzraudzībai.</w:t>
            </w:r>
          </w:p>
        </w:tc>
      </w:tr>
      <w:tr w:rsidR="00327FF1" w14:paraId="3064014F"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22F6C7" w14:textId="77777777" w:rsidR="00327FF1" w:rsidRDefault="00E406C7">
            <w:pPr>
              <w:pStyle w:val="P68B1DB1-Normal11"/>
              <w:jc w:val="center"/>
              <w:rPr>
                <w:noProof/>
                <w:szCs w:val="20"/>
              </w:rPr>
            </w:pPr>
            <w:r>
              <w:rPr>
                <w:noProof/>
              </w:rPr>
              <w:t>M3C1–22</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620DCE" w14:textId="77777777" w:rsidR="00327FF1" w:rsidRDefault="00E406C7">
            <w:pPr>
              <w:pStyle w:val="P68B1DB1-Normal11"/>
              <w:jc w:val="center"/>
              <w:rPr>
                <w:noProof/>
                <w:szCs w:val="20"/>
              </w:rPr>
            </w:pPr>
            <w:r>
              <w:rPr>
                <w:noProof/>
              </w:rPr>
              <w:t>Reforma — tiltu un viaduktu īpašuma nodošana no zemāka līmeņa ceļiem uz augstāka ranga ceļiem</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B865AF" w14:textId="77777777" w:rsidR="00327FF1" w:rsidRDefault="00E406C7">
            <w:pPr>
              <w:pStyle w:val="P68B1DB1-Normal11"/>
              <w:jc w:val="center"/>
              <w:rPr>
                <w:noProof/>
                <w:szCs w:val="20"/>
              </w:rPr>
            </w:pPr>
            <w:r>
              <w:rPr>
                <w:noProof/>
              </w:rPr>
              <w:t>Atskaites punkts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1E037" w14:textId="77777777" w:rsidR="00327FF1" w:rsidRDefault="00E406C7">
            <w:pPr>
              <w:pStyle w:val="P68B1DB1-Normal11"/>
              <w:jc w:val="center"/>
              <w:rPr>
                <w:noProof/>
                <w:szCs w:val="20"/>
              </w:rPr>
            </w:pPr>
            <w:r>
              <w:rPr>
                <w:noProof/>
              </w:rPr>
              <w:t xml:space="preserve">Īpašumtiesību uz tiltiem, viaduktiem un pārbrauktuvēm </w:t>
            </w:r>
            <w:r>
              <w:rPr>
                <w:noProof/>
              </w:rPr>
              <w:t>nodošana no zemāka līmeņa ceļiem uz augstāka ranga ceļiem (automaģistrāles un valsts galvenie ceļi)</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A35833" w14:textId="77777777" w:rsidR="00327FF1" w:rsidRDefault="00E406C7">
            <w:pPr>
              <w:pStyle w:val="P68B1DB1-Normal11"/>
              <w:jc w:val="center"/>
              <w:rPr>
                <w:noProof/>
                <w:szCs w:val="20"/>
              </w:rPr>
            </w:pPr>
            <w:r>
              <w:rPr>
                <w:noProof/>
              </w:rPr>
              <w:t>Attiecīgā tiesību akta noteikums, kas attiecas uz īpašumtiesību uz tiltiem, viaduktiem un pārvadiem no zemāka līmeņa</w:t>
            </w:r>
            <w:r>
              <w:rPr>
                <w:noProof/>
              </w:rPr>
              <w:t xml:space="preserve"> ceļiem uz augstāka ranga ceļiem stāšanos spēkā (automaģistrāles un valsts galvenie ceļi)</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7B7B8A" w14:textId="77777777" w:rsidR="00327FF1" w:rsidRDefault="00E406C7">
            <w:pPr>
              <w:pStyle w:val="P68B1DB1-Normal11"/>
              <w:jc w:val="center"/>
              <w:rPr>
                <w:noProof/>
                <w:szCs w:val="20"/>
              </w:rPr>
            </w:pPr>
            <w:r>
              <w:rPr>
                <w:noProof/>
              </w:rPr>
              <w:t>NEPIEMĒRO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3F1CE5" w14:textId="77777777" w:rsidR="00327FF1" w:rsidRDefault="00E406C7">
            <w:pPr>
              <w:pStyle w:val="P68B1DB1-Normal11"/>
              <w:jc w:val="center"/>
              <w:rPr>
                <w:noProof/>
                <w:szCs w:val="20"/>
              </w:rPr>
            </w:pPr>
            <w:r>
              <w:rPr>
                <w:noProof/>
              </w:rPr>
              <w:t>NEPIEMĒRO</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46D24" w14:textId="77777777" w:rsidR="00327FF1" w:rsidRDefault="00E406C7">
            <w:pPr>
              <w:pStyle w:val="P68B1DB1-Normal11"/>
              <w:jc w:val="center"/>
              <w:rPr>
                <w:noProof/>
                <w:szCs w:val="20"/>
              </w:rPr>
            </w:pPr>
            <w:r>
              <w:rPr>
                <w:noProof/>
              </w:rPr>
              <w:t>NEPIEMĒRO</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1BA4F8" w14:textId="77777777" w:rsidR="00327FF1" w:rsidRDefault="00E406C7">
            <w:pPr>
              <w:pStyle w:val="P68B1DB1-Normal11"/>
              <w:jc w:val="center"/>
              <w:rPr>
                <w:noProof/>
                <w:szCs w:val="20"/>
              </w:rPr>
            </w:pPr>
            <w:r>
              <w:rPr>
                <w:noProof/>
              </w:rPr>
              <w:t>4.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947BFD" w14:textId="77777777" w:rsidR="00327FF1" w:rsidRDefault="00E406C7">
            <w:pPr>
              <w:pStyle w:val="P68B1DB1-Normal11"/>
              <w:jc w:val="center"/>
              <w:rPr>
                <w:noProof/>
                <w:szCs w:val="20"/>
              </w:rPr>
            </w:pPr>
            <w:r>
              <w:rPr>
                <w:noProof/>
              </w:rPr>
              <w:t>2021</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54DBD" w14:textId="77777777" w:rsidR="00327FF1" w:rsidRDefault="00E406C7">
            <w:pPr>
              <w:pStyle w:val="P68B1DB1-Normal11"/>
              <w:jc w:val="both"/>
              <w:rPr>
                <w:noProof/>
                <w:szCs w:val="20"/>
              </w:rPr>
            </w:pPr>
            <w:r>
              <w:rPr>
                <w:noProof/>
              </w:rPr>
              <w:t>Mākslas darbu īpašumtiesību nodošanai jānotiek sešu mēnešu laikā pēc Likuma 120/20 stāšanās spēkā. To paredzēts pabeigt sas</w:t>
            </w:r>
            <w:r>
              <w:rPr>
                <w:noProof/>
              </w:rPr>
              <w:t>kaņā ar Codice della Strada (Likumdošanas dekrēts 285/1992) un tā noteikumiem (Prezidenta dekrēts Nr. 495/92), kas nosaka noteikumus par īpašumtiesību nodošanu starp ceļu īpašniekiem.</w:t>
            </w:r>
          </w:p>
        </w:tc>
      </w:tr>
      <w:tr w:rsidR="00327FF1" w14:paraId="4D2447AE"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305B0" w14:textId="77777777" w:rsidR="00327FF1" w:rsidRDefault="00E406C7">
            <w:pPr>
              <w:pStyle w:val="P68B1DB1-Normal11"/>
              <w:jc w:val="center"/>
              <w:rPr>
                <w:noProof/>
              </w:rPr>
            </w:pPr>
            <w:r>
              <w:rPr>
                <w:noProof/>
              </w:rPr>
              <w:t>M3C1–26</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E138A" w14:textId="5C958CC8" w:rsidR="00327FF1" w:rsidRDefault="00E406C7">
            <w:pPr>
              <w:pStyle w:val="P68B1DB1-Normal11"/>
              <w:jc w:val="center"/>
              <w:rPr>
                <w:noProof/>
              </w:rPr>
            </w:pPr>
            <w:r>
              <w:rPr>
                <w:noProof/>
              </w:rPr>
              <w:t xml:space="preserve">Reforma Nr. 1.3. Dzelzceļa infrastruktūras efektivitātes </w:t>
            </w:r>
            <w:r>
              <w:rPr>
                <w:noProof/>
              </w:rPr>
              <w:t>uzlabošana Itālijā</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B096D6" w14:textId="77777777" w:rsidR="00327FF1" w:rsidRDefault="00E406C7">
            <w:pPr>
              <w:pStyle w:val="P68B1DB1-Normal11"/>
              <w:jc w:val="center"/>
              <w:rPr>
                <w:noProof/>
              </w:rPr>
            </w:pPr>
            <w:r>
              <w:rPr>
                <w:noProof/>
              </w:rPr>
              <w:t>Atskaites punkts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975367" w14:textId="21A04F2D" w:rsidR="00327FF1" w:rsidRDefault="00E406C7">
            <w:pPr>
              <w:pStyle w:val="P68B1DB1-Normal11"/>
              <w:jc w:val="center"/>
              <w:rPr>
                <w:noProof/>
              </w:rPr>
            </w:pPr>
            <w:r>
              <w:rPr>
                <w:noProof/>
              </w:rPr>
              <w:t>Tiesību aktu un citu tiesību aktu stāšanās spēkā</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0F77E" w14:textId="2283A67F" w:rsidR="00327FF1" w:rsidRDefault="00E406C7">
            <w:pPr>
              <w:pStyle w:val="P68B1DB1-Normal11"/>
              <w:jc w:val="center"/>
              <w:rPr>
                <w:noProof/>
              </w:rPr>
            </w:pPr>
            <w:r>
              <w:rPr>
                <w:noProof/>
              </w:rPr>
              <w:t>Tiesību akti un citi tiesību akti</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936F1E" w14:textId="77777777" w:rsidR="00327FF1" w:rsidRDefault="00E406C7">
            <w:pPr>
              <w:pStyle w:val="P68B1DB1-Normal11"/>
              <w:jc w:val="center"/>
              <w:rPr>
                <w:noProof/>
              </w:rPr>
            </w:pPr>
            <w:r>
              <w:rPr>
                <w:noProof/>
              </w:rPr>
              <w:t>NEPIEMĒRO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1AC3A5" w14:textId="77777777" w:rsidR="00327FF1" w:rsidRDefault="00E406C7">
            <w:pPr>
              <w:pStyle w:val="P68B1DB1-Normal11"/>
              <w:jc w:val="center"/>
              <w:rPr>
                <w:noProof/>
              </w:rPr>
            </w:pPr>
            <w:r>
              <w:rPr>
                <w:noProof/>
              </w:rPr>
              <w:t>NEPIEMĒRO</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D03A39" w14:textId="77777777" w:rsidR="00327FF1" w:rsidRDefault="00E406C7">
            <w:pPr>
              <w:pStyle w:val="P68B1DB1-Normal11"/>
              <w:jc w:val="center"/>
              <w:rPr>
                <w:noProof/>
              </w:rPr>
            </w:pPr>
            <w:r>
              <w:rPr>
                <w:noProof/>
              </w:rPr>
              <w:t>NEPIEMĒRO</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6A022" w14:textId="77777777" w:rsidR="00327FF1" w:rsidRDefault="00E406C7">
            <w:pPr>
              <w:pStyle w:val="P68B1DB1-Normal11"/>
              <w:jc w:val="center"/>
              <w:rPr>
                <w:noProof/>
              </w:rPr>
            </w:pPr>
            <w:r>
              <w:rPr>
                <w:noProof/>
              </w:rPr>
              <w:t>2.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4A02E8" w14:textId="77777777" w:rsidR="00327FF1" w:rsidRDefault="00E406C7">
            <w:pPr>
              <w:pStyle w:val="P68B1DB1-Normal11"/>
              <w:jc w:val="center"/>
              <w:rPr>
                <w:noProof/>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5E4DDB" w14:textId="396E3D79" w:rsidR="00327FF1" w:rsidRDefault="00E406C7">
            <w:pPr>
              <w:pStyle w:val="P68B1DB1-Normal11"/>
              <w:rPr>
                <w:noProof/>
              </w:rPr>
            </w:pPr>
            <w:r>
              <w:rPr>
                <w:noProof/>
              </w:rPr>
              <w:t>Stājas spēkā tiesību akti un vajadzības gadījumā citi tiesību akti, kā norādīts turpmāk.</w:t>
            </w:r>
          </w:p>
          <w:p w14:paraId="05DDA0A8" w14:textId="77777777" w:rsidR="00327FF1" w:rsidRDefault="00E406C7">
            <w:pPr>
              <w:pStyle w:val="P68B1DB1-Normal12"/>
              <w:rPr>
                <w:noProof/>
              </w:rPr>
            </w:pPr>
            <w:r>
              <w:rPr>
                <w:noProof/>
                <w:u w:val="single"/>
              </w:rPr>
              <w:t xml:space="preserve">1. </w:t>
            </w:r>
            <w:r>
              <w:rPr>
                <w:noProof/>
                <w:u w:val="single"/>
              </w:rPr>
              <w:t>daļa. Publisko investīciju efektivitāte un rezultāti</w:t>
            </w:r>
            <w:r>
              <w:rPr>
                <w:noProof/>
              </w:rPr>
              <w:t xml:space="preserve">: </w:t>
            </w:r>
          </w:p>
          <w:p w14:paraId="2268F532" w14:textId="77777777" w:rsidR="00327FF1" w:rsidRDefault="00E406C7">
            <w:pPr>
              <w:pStyle w:val="P68B1DB1-Normal12"/>
              <w:jc w:val="both"/>
              <w:rPr>
                <w:noProof/>
              </w:rPr>
            </w:pPr>
            <w:r>
              <w:rPr>
                <w:noProof/>
              </w:rPr>
              <w:t>Tiesību aktos paredz, ka Infrastruktūras un transporta ministrija pieņem daudzgadu stratēģisko dokumentu, lai vadītu Itālijas daudzgadu infrastruktūras plānošanu vismaz 10 gadus. Dokuments veicina mult</w:t>
            </w:r>
            <w:r>
              <w:rPr>
                <w:noProof/>
              </w:rPr>
              <w:t>imodālus pārvadājumus un pilnībā integrē uzņēmumu rūpniecības vajadzības infrastruktūras plānošanā (piemēram, par prioritāti nosakot ieguldījumus, kas savieno galvenās rūpniecības jomas un loģistikas centrus ar transporta tīklu).</w:t>
            </w:r>
          </w:p>
          <w:p w14:paraId="2F93406E" w14:textId="55393009" w:rsidR="00327FF1" w:rsidRDefault="00E406C7">
            <w:pPr>
              <w:pStyle w:val="P68B1DB1-Normal12"/>
              <w:jc w:val="both"/>
              <w:rPr>
                <w:noProof/>
              </w:rPr>
            </w:pPr>
            <w:r>
              <w:rPr>
                <w:noProof/>
              </w:rPr>
              <w:t>Reforma paredz infrastrukt</w:t>
            </w:r>
            <w:r>
              <w:rPr>
                <w:noProof/>
              </w:rPr>
              <w:t xml:space="preserve">ūras plānošanas dokumentu pārskatīšanu. Konkrētāk, tiesību akti: </w:t>
            </w:r>
          </w:p>
          <w:p w14:paraId="3F1B7774" w14:textId="77777777" w:rsidR="00327FF1" w:rsidRDefault="00E406C7">
            <w:pPr>
              <w:pStyle w:val="P68B1DB1-ListParagraph13"/>
              <w:numPr>
                <w:ilvl w:val="1"/>
                <w:numId w:val="36"/>
              </w:numPr>
              <w:spacing w:before="120" w:after="120" w:line="240" w:lineRule="auto"/>
              <w:ind w:left="360"/>
              <w:jc w:val="both"/>
              <w:rPr>
                <w:noProof/>
              </w:rPr>
            </w:pPr>
            <w:r>
              <w:rPr>
                <w:noProof/>
              </w:rPr>
              <w:t>Nodrošināt, ka Contratto di Programma, dzelzceļa infrastruktūras attīstības stratēģija un infrastruktūras pārvaldītāja uzņēmējdarbības plāns tiek izstrādāts saskaņā ar Infrastruktūras un tra</w:t>
            </w:r>
            <w:r>
              <w:rPr>
                <w:noProof/>
              </w:rPr>
              <w:t>nsporta ministrijas daudzgadu stratēģiskā dokumenta mērķiem un atbilst Direktīvai 34/2012/ES.</w:t>
            </w:r>
          </w:p>
          <w:p w14:paraId="1BC27F86" w14:textId="77777777" w:rsidR="00327FF1" w:rsidRDefault="00E406C7">
            <w:pPr>
              <w:pStyle w:val="P68B1DB1-ListParagraph13"/>
              <w:numPr>
                <w:ilvl w:val="1"/>
                <w:numId w:val="36"/>
              </w:numPr>
              <w:spacing w:before="120" w:after="120" w:line="240" w:lineRule="auto"/>
              <w:ind w:left="360"/>
              <w:jc w:val="both"/>
              <w:rPr>
                <w:noProof/>
              </w:rPr>
            </w:pPr>
            <w:r>
              <w:rPr>
                <w:noProof/>
              </w:rPr>
              <w:t>Kā daļu no Contratto di Programma apstiprināšanas procesa saskaņā ar valsts tiesību aktiem ieviest regulatīvās iestādes (Autorità di regolazione dei trasporti, AR</w:t>
            </w:r>
            <w:r>
              <w:rPr>
                <w:noProof/>
              </w:rPr>
              <w:t>T) atzinumu par mobilitātes stratēģisko dokumentu (Documento strategico della mobilità ferroviaria di passeggeri e merci) (kā noteikts Itālijas tiesību aktos Nr. 233, 2021. gada 5. komma, 1. panta a) punkts). Atzinumā novērtē arī plānoto investīciju atbils</w:t>
            </w:r>
            <w:r>
              <w:rPr>
                <w:noProof/>
              </w:rPr>
              <w:t>tību tirgus vajadzībām, kas apkopotas, izmantojot Direktīvas 2012/34/ES 7.e pantā minētos koordinācijas mehānismus.</w:t>
            </w:r>
          </w:p>
          <w:p w14:paraId="0FA2FE1E" w14:textId="77777777" w:rsidR="00327FF1" w:rsidRDefault="00E406C7">
            <w:pPr>
              <w:pStyle w:val="P68B1DB1-ListParagraph13"/>
              <w:numPr>
                <w:ilvl w:val="1"/>
                <w:numId w:val="36"/>
              </w:numPr>
              <w:spacing w:before="120" w:after="120" w:line="240" w:lineRule="auto"/>
              <w:ind w:left="360"/>
              <w:jc w:val="both"/>
              <w:rPr>
                <w:noProof/>
              </w:rPr>
            </w:pPr>
            <w:r>
              <w:rPr>
                <w:noProof/>
              </w:rPr>
              <w:t>Ieviest jaunajai Contratto di Programma starpposma un galīgo mērķrādītāju sistēmu un attiecīgos termiņus, kā arī snieguma rādītājus un kvali</w:t>
            </w:r>
            <w:r>
              <w:rPr>
                <w:noProof/>
              </w:rPr>
              <w:t>tātes kritērijus, lai īstenotu programmu Contratto di Programma un novērtētu tās faktiskos sasniegumus. Rādītājus un kvalitātes kritērijus nosaka saskaņā ar Direktīvas 2012/34/ES V pielikumu. Bonusu identifikācijas sistēma Rete Ferroviaria Italiana (RFI) v</w:t>
            </w:r>
            <w:r>
              <w:rPr>
                <w:noProof/>
              </w:rPr>
              <w:t>adītājiem atbilst Direktīvas 2012/34/ES 7. panta 4. punktam, un tajā jāņem vērā atskaites punktu un mērķrādītāju sasniegšana un rezultāti, kas iegūti attiecībā uz Contratto di Programma iekļautajiem darbības rādītājiem.</w:t>
            </w:r>
          </w:p>
          <w:p w14:paraId="7AFB6E7B" w14:textId="77777777" w:rsidR="00327FF1" w:rsidRDefault="00E406C7">
            <w:pPr>
              <w:pStyle w:val="P68B1DB1-ListParagraph13"/>
              <w:numPr>
                <w:ilvl w:val="1"/>
                <w:numId w:val="36"/>
              </w:numPr>
              <w:spacing w:before="120" w:after="120" w:line="240" w:lineRule="auto"/>
              <w:ind w:left="360"/>
              <w:jc w:val="both"/>
              <w:rPr>
                <w:noProof/>
              </w:rPr>
            </w:pPr>
            <w:r>
              <w:rPr>
                <w:noProof/>
              </w:rPr>
              <w:t xml:space="preserve">Pilnvarot regulatīvo iestādi (ART), </w:t>
            </w:r>
            <w:r>
              <w:rPr>
                <w:noProof/>
              </w:rPr>
              <w:t xml:space="preserve">vienojoties ar MIT, noteikt darbības rādītājus, kas jāpievieno Contratto di Programma. </w:t>
            </w:r>
          </w:p>
          <w:p w14:paraId="1ACA5D9F" w14:textId="77777777" w:rsidR="00327FF1" w:rsidRDefault="00E406C7">
            <w:pPr>
              <w:pStyle w:val="P68B1DB1-ListParagraph13"/>
              <w:numPr>
                <w:ilvl w:val="1"/>
                <w:numId w:val="36"/>
              </w:numPr>
              <w:spacing w:before="120" w:after="120" w:line="240" w:lineRule="auto"/>
              <w:ind w:left="360"/>
              <w:jc w:val="both"/>
              <w:rPr>
                <w:noProof/>
              </w:rPr>
            </w:pPr>
            <w:r>
              <w:rPr>
                <w:noProof/>
              </w:rPr>
              <w:t>Pilnvarot regulatīvo iestādi (ART) uzraudzīt starpposma un galīgo mērķrādītāju sasniegšanu un Contratto di Programma ietverto darbības rādītāju izpildi</w:t>
            </w:r>
          </w:p>
          <w:p w14:paraId="607656D4" w14:textId="77777777" w:rsidR="00327FF1" w:rsidRDefault="00E406C7">
            <w:pPr>
              <w:pStyle w:val="P68B1DB1-ListParagraph13"/>
              <w:numPr>
                <w:ilvl w:val="1"/>
                <w:numId w:val="36"/>
              </w:numPr>
              <w:spacing w:before="120" w:after="120" w:line="240" w:lineRule="auto"/>
              <w:ind w:left="360"/>
              <w:jc w:val="both"/>
              <w:rPr>
                <w:noProof/>
              </w:rPr>
            </w:pPr>
            <w:r>
              <w:rPr>
                <w:noProof/>
              </w:rPr>
              <w:t>Pieprasīt Infras</w:t>
            </w:r>
            <w:r>
              <w:rPr>
                <w:noProof/>
              </w:rPr>
              <w:t>truktūras un transporta ministrijai veikt padziļinātu izmaksu un ieguvumu analīzi attiecībā uz lieliem ieguldījumiem (investīcijas, kas pārsniedz 50 miljonus euro), kas iekļauti Contratto di Programma. Analīzē izmantotās vienības izmaksas salīdzina ar star</w:t>
            </w:r>
            <w:r>
              <w:rPr>
                <w:noProof/>
              </w:rPr>
              <w:t>ptautiskajiem etaloniem dažādām dzelzceļa infrastruktūras ieguldījumu kategorijām un atbilst ES un valstu pamatnostādnēm par izmaksu un ieguvumu analīzi. Analīzes rezultāti ir pieejami apspriešanai ar ieinteresētajām pusēm pirms līgumisko vienošanos pieņem</w:t>
            </w:r>
            <w:r>
              <w:rPr>
                <w:noProof/>
              </w:rPr>
              <w:t xml:space="preserve">šanas, un pēc to pieņemšanas tos publicē. </w:t>
            </w:r>
          </w:p>
          <w:p w14:paraId="36EDFA74" w14:textId="436E59CD" w:rsidR="00327FF1" w:rsidRDefault="00E406C7">
            <w:pPr>
              <w:pStyle w:val="P68B1DB1-ListParagraph13"/>
              <w:numPr>
                <w:ilvl w:val="1"/>
                <w:numId w:val="36"/>
              </w:numPr>
              <w:spacing w:before="120" w:after="120" w:line="240" w:lineRule="auto"/>
              <w:ind w:left="360"/>
              <w:jc w:val="both"/>
              <w:rPr>
                <w:noProof/>
              </w:rPr>
            </w:pPr>
            <w:r>
              <w:rPr>
                <w:noProof/>
              </w:rPr>
              <w:t xml:space="preserve">Paredzēt </w:t>
            </w:r>
            <w:r>
              <w:rPr>
                <w:i/>
                <w:noProof/>
              </w:rPr>
              <w:t>“Contratto di Programma”</w:t>
            </w:r>
            <w:r>
              <w:rPr>
                <w:noProof/>
              </w:rPr>
              <w:t xml:space="preserve"> pieņemšanu (tostarp izmaksu un ieguvumu analīzi, starpposma un galīgos mērķrādītājus un darbības rādītājus).</w:t>
            </w:r>
          </w:p>
          <w:p w14:paraId="62ADFC25" w14:textId="77777777" w:rsidR="00327FF1" w:rsidRDefault="00E406C7">
            <w:pPr>
              <w:pStyle w:val="P68B1DB1-Normal12"/>
              <w:jc w:val="both"/>
              <w:rPr>
                <w:noProof/>
              </w:rPr>
            </w:pPr>
            <w:r>
              <w:rPr>
                <w:noProof/>
                <w:u w:val="single"/>
              </w:rPr>
              <w:t>2. daļa. Konkurence</w:t>
            </w:r>
            <w:r>
              <w:rPr>
                <w:noProof/>
              </w:rPr>
              <w:t xml:space="preserve">: </w:t>
            </w:r>
          </w:p>
          <w:p w14:paraId="47AF06A3" w14:textId="77777777" w:rsidR="00327FF1" w:rsidRDefault="00E406C7">
            <w:pPr>
              <w:pStyle w:val="P68B1DB1-Normal12"/>
              <w:jc w:val="both"/>
              <w:rPr>
                <w:noProof/>
              </w:rPr>
            </w:pPr>
            <w:r>
              <w:rPr>
                <w:noProof/>
              </w:rPr>
              <w:t>Tiesību akti, lai atbalstītu reformas vērienīgum</w:t>
            </w:r>
            <w:r>
              <w:rPr>
                <w:noProof/>
              </w:rPr>
              <w:t>u, stiprina regulatīvās iestādes (ART) pilnvaras attiecībā uz sabiedrisko pakalpojumu līgumiem dzelzceļa nozarē. Šādas pilnvaras ir vismaz līdzvērtīgas tām, kas noteiktas Direktīvas 2012/34/ES 56. panta 9. punktā. Pants ir pilnvarots uzraudzīt un sniegt at</w:t>
            </w:r>
            <w:r>
              <w:rPr>
                <w:noProof/>
              </w:rPr>
              <w:t>zinumus par sabiedrisko pakalpojumu līgumu darbības jomas noteikšanu un piešķiršanu (tiešai un iekšējai piešķiršanai un piešķiršanai iekšējiem pakalpojumu sniedzējiem) dzelzceļa nozarē, tostarp attiecībā uz efektīvu daļu optimālās dimensijas noteikšanu reģ</w:t>
            </w:r>
            <w:r>
              <w:rPr>
                <w:noProof/>
              </w:rPr>
              <w:t xml:space="preserve">ionālajās robežās un starp tām. </w:t>
            </w:r>
          </w:p>
          <w:p w14:paraId="209E63F9" w14:textId="77777777" w:rsidR="00327FF1" w:rsidRDefault="00E406C7">
            <w:pPr>
              <w:pStyle w:val="P68B1DB1-Normal12"/>
              <w:jc w:val="both"/>
              <w:rPr>
                <w:noProof/>
              </w:rPr>
            </w:pPr>
            <w:r>
              <w:rPr>
                <w:noProof/>
              </w:rPr>
              <w:t>Ar šo tiesību aktu paplašina Likuma 118/2022 (Konkurences likums) 9. panta piemērošanu, tostarp atbilstību ART normatīvajiem aktiem, un 2017. gada 24. aprīļa Dekrētlikuma Nr. 50 27. panta 2. punkta c) apakšpunkta piemērošan</w:t>
            </w:r>
            <w:r>
              <w:rPr>
                <w:noProof/>
              </w:rPr>
              <w:t>u, attiecinot to uz visiem tiešajiem un iekšējiem piešķīrumiem un piešķīrumiem iekšējiem operatoriem saskaņā ar Regulu (EK) Nr. 1370/2007. Attiecībā uz starppilsētu pakalpojumiem, ja saskaņā ar Regulu (EK) Nr. 1370/2007 tiek piešķirti tieši vai in house pi</w:t>
            </w:r>
            <w:r>
              <w:rPr>
                <w:noProof/>
              </w:rPr>
              <w:t>ešķīrumi un piešķīrumi tiešiem pakalpojumu sniedzējiem, tiesību akti paplašina Leģislatīvā dekrēta Nr. 201/2022 17., 30. un 31. pantā iekļautos principus. Uz jebkuru lēmumu pagarināt sabiedrisko pakalpojumu saistību (SPS) līgumu termiņu, kas ir pienācīgi p</w:t>
            </w:r>
            <w:r>
              <w:rPr>
                <w:noProof/>
              </w:rPr>
              <w:t>amatots saskaņā ar Regulu (EK) Nr. 1370/2007, attiecas pārredzamības pienākumi attiecībā uz iekšējo līgumu slēgšanas tiesību piešķiršanu, kas iekļauti Likumdošanas dekrēta Nr. 201/2022 31. pantā.</w:t>
            </w:r>
          </w:p>
          <w:p w14:paraId="776E093E" w14:textId="77777777" w:rsidR="00327FF1" w:rsidRDefault="00E406C7">
            <w:pPr>
              <w:pStyle w:val="P68B1DB1-Normal12"/>
              <w:jc w:val="both"/>
              <w:rPr>
                <w:noProof/>
              </w:rPr>
            </w:pPr>
            <w:r>
              <w:rPr>
                <w:noProof/>
              </w:rPr>
              <w:t xml:space="preserve">Tiesību aktos paredz sākt konkursu par starppilsētu </w:t>
            </w:r>
            <w:r>
              <w:rPr>
                <w:noProof/>
              </w:rPr>
              <w:t>sabiedrisko pakalpojumu līgumu(-iem). Piedāvājumā iekļauj darbības jomas pārskatīšanu saskaņā ar metodiku, ko dzelzceļa regulatīvā iestāde noteikusi pēc tirgus pārbaudes, kā paskaidrots Komisijas skaidrojošo pamatnostādņu par Regulu (EK) Nr. 1370/20073 2.2</w:t>
            </w:r>
            <w:r>
              <w:rPr>
                <w:noProof/>
              </w:rPr>
              <w:t>.3. iedaļā. Līgumu pēc vajadzības sadala atbilstīgās, apstrīdamās daļās, ievērojot attiecīgos kritērijus, ko norādījusi regulatīvā iestāde (ART).</w:t>
            </w:r>
          </w:p>
          <w:p w14:paraId="53657BCB" w14:textId="77777777" w:rsidR="00327FF1" w:rsidRDefault="00E406C7">
            <w:pPr>
              <w:pStyle w:val="P68B1DB1-Normal12"/>
              <w:jc w:val="both"/>
              <w:rPr>
                <w:noProof/>
              </w:rPr>
            </w:pPr>
            <w:r>
              <w:rPr>
                <w:noProof/>
              </w:rPr>
              <w:t>Attiecībā uz reģionālajiem un starppilsētu pakalpojumiem tiesību akti nodrošina, ka valsts/reģionālā īpašuma r</w:t>
            </w:r>
            <w:r>
              <w:rPr>
                <w:noProof/>
              </w:rPr>
              <w:t>itošais sastāvs ir pieejams jaunajiem PSO līgumu operatoriem, kas izraudzīti konkursa kārtībā, ja šādus ritošo sastāvu un tehniskās apkopes pakalpojumus nesniedz jaunie operatori. Tiesību akti nodrošina, ka visa informācija par ritošā sastāva tehniskās apk</w:t>
            </w:r>
            <w:r>
              <w:rPr>
                <w:noProof/>
              </w:rPr>
              <w:t>opes stāvokli potenciālajiem pretendentiem ir pieejama bez informācijas asimetrijas, pārredzamā un nediskriminējošā veidā. Tiesību akti veicina apakšpartiju izslēgšanu un konkursu izsludināšanu no esošajiem līgumiem (cik vien iespējams, pamatojoties uz spē</w:t>
            </w:r>
            <w:r>
              <w:rPr>
                <w:noProof/>
              </w:rPr>
              <w:t xml:space="preserve">kā esošo līgumu noteikumiem). </w:t>
            </w:r>
          </w:p>
          <w:p w14:paraId="774B06B7" w14:textId="77777777" w:rsidR="00327FF1" w:rsidRDefault="00E406C7">
            <w:pPr>
              <w:pStyle w:val="P68B1DB1-Normal12"/>
              <w:jc w:val="both"/>
              <w:rPr>
                <w:noProof/>
              </w:rPr>
            </w:pPr>
            <w:r>
              <w:rPr>
                <w:noProof/>
              </w:rPr>
              <w:t>Turklāt reforma ietver arī spēju veidošanas darbību, kas stiprina valsts un reģionālo iestāžu administratīvās spējas. Spēju veidošanas darbībā izveido ad hoc administratīvo vienību MIT ietvaros, lai atbalstītu koncesiju izvēr</w:t>
            </w:r>
            <w:r>
              <w:rPr>
                <w:noProof/>
              </w:rPr>
              <w:t>tēšanu un analīzi un veiktu lielu infrastruktūras investīciju izmaksu un ieguvumu analīzi. Šajā administratīvajā vienībā ir augsti profesionāls personāls, un to atbalsta neatkarīgi ārējie eksperti. Turklāt spēju veidošanas pasākumi ietver vairākus kursus s</w:t>
            </w:r>
            <w:r>
              <w:rPr>
                <w:noProof/>
              </w:rPr>
              <w:t>adarbībā ar SNA un akreditētajām struktūrām, lai paaugstinātu līgumslēdzēju staciju darbinieku specializētās apmācības un nozaru apmācības līmeni, paļaujoties arī uz apmācības rīkiem, kas ieviesti ANP publiskās pārvaldes reformas ietvaros (piemēram, portāl</w:t>
            </w:r>
            <w:r>
              <w:rPr>
                <w:noProof/>
              </w:rPr>
              <w:t>a syllabus.gov.it).</w:t>
            </w:r>
          </w:p>
          <w:p w14:paraId="144D90DF" w14:textId="77777777" w:rsidR="00327FF1" w:rsidRDefault="00E406C7">
            <w:pPr>
              <w:pStyle w:val="P68B1DB1-Normal11"/>
              <w:rPr>
                <w:noProof/>
                <w:szCs w:val="20"/>
              </w:rPr>
            </w:pPr>
            <w:r>
              <w:rPr>
                <w:noProof/>
              </w:rPr>
              <w:t>Lai sasniegtu atskaites punktu, ir nepieciešams arī:</w:t>
            </w:r>
          </w:p>
          <w:p w14:paraId="7EBB6E2F" w14:textId="77777777" w:rsidR="00327FF1" w:rsidRDefault="00E406C7">
            <w:pPr>
              <w:pStyle w:val="P68B1DB1-ListParagraph15"/>
              <w:numPr>
                <w:ilvl w:val="0"/>
                <w:numId w:val="86"/>
              </w:numPr>
              <w:spacing w:before="120" w:after="120" w:line="240" w:lineRule="auto"/>
              <w:jc w:val="both"/>
              <w:rPr>
                <w:noProof/>
              </w:rPr>
            </w:pPr>
            <w:r>
              <w:rPr>
                <w:noProof/>
              </w:rPr>
              <w:t>Valsts un reģionālo iestāžu spēju veidošanas pasākuma sākums, kā prasīts pasākuma aprakstā.</w:t>
            </w:r>
          </w:p>
          <w:p w14:paraId="777F0399" w14:textId="77777777" w:rsidR="00327FF1" w:rsidRDefault="00E406C7">
            <w:pPr>
              <w:pStyle w:val="P68B1DB1-ListParagraph13"/>
              <w:numPr>
                <w:ilvl w:val="0"/>
                <w:numId w:val="86"/>
              </w:numPr>
              <w:spacing w:before="120" w:after="120" w:line="240" w:lineRule="auto"/>
              <w:jc w:val="both"/>
              <w:rPr>
                <w:noProof/>
              </w:rPr>
            </w:pPr>
            <w:r>
              <w:rPr>
                <w:noProof/>
              </w:rPr>
              <w:t>Starppilsētu piedāvājuma(-u) publicēšana Komisijas iepirkumu datubāzē TED.</w:t>
            </w:r>
          </w:p>
          <w:p w14:paraId="5EB9EE9B" w14:textId="77777777" w:rsidR="00327FF1" w:rsidRDefault="00327FF1">
            <w:pPr>
              <w:pStyle w:val="ListParagraph"/>
              <w:spacing w:before="120" w:after="120" w:line="240" w:lineRule="auto"/>
              <w:ind w:left="360"/>
              <w:jc w:val="both"/>
              <w:rPr>
                <w:rFonts w:ascii="Arial Narrow" w:hAnsi="Arial Narrow"/>
                <w:noProof/>
                <w:color w:val="006100"/>
                <w:sz w:val="20"/>
                <w:szCs w:val="20"/>
              </w:rPr>
            </w:pPr>
          </w:p>
          <w:p w14:paraId="1E038B0D" w14:textId="77777777" w:rsidR="00327FF1" w:rsidRDefault="00E406C7">
            <w:pPr>
              <w:pStyle w:val="P68B1DB1-Normal84"/>
              <w:spacing w:line="257" w:lineRule="auto"/>
              <w:jc w:val="both"/>
              <w:rPr>
                <w:noProof/>
              </w:rPr>
            </w:pPr>
            <w:r>
              <w:rPr>
                <w:noProof/>
                <w:u w:val="single"/>
              </w:rPr>
              <w:t xml:space="preserve">3. daļa. ROSCO </w:t>
            </w:r>
            <w:r>
              <w:rPr>
                <w:noProof/>
                <w:u w:val="single"/>
              </w:rPr>
              <w:t>(ritošā sastāva sabiedrība)</w:t>
            </w:r>
            <w:r>
              <w:rPr>
                <w:noProof/>
              </w:rPr>
              <w:t xml:space="preserve">: </w:t>
            </w:r>
          </w:p>
          <w:p w14:paraId="08FA23EE" w14:textId="76A2C835" w:rsidR="00327FF1" w:rsidRDefault="00E406C7">
            <w:pPr>
              <w:pStyle w:val="P68B1DB1-Normal84"/>
              <w:spacing w:line="257" w:lineRule="auto"/>
              <w:jc w:val="both"/>
              <w:rPr>
                <w:noProof/>
              </w:rPr>
            </w:pPr>
            <w:r>
              <w:rPr>
                <w:noProof/>
              </w:rPr>
              <w:t>Ar tiesību aktiem izveido jaunu pastāvīgu, pilnībā valstij piederošu struktūru (Riting Stock Company — ROSCO) akciju sabiedrības (società per azioni) veidā.</w:t>
            </w:r>
          </w:p>
          <w:p w14:paraId="7F410965" w14:textId="77777777" w:rsidR="00327FF1" w:rsidRDefault="00327FF1">
            <w:pPr>
              <w:spacing w:line="257" w:lineRule="auto"/>
              <w:jc w:val="both"/>
              <w:rPr>
                <w:rFonts w:ascii="Arial Narrow" w:eastAsia="Arial Narrow" w:hAnsi="Arial Narrow" w:cs="Arial Narrow"/>
                <w:noProof/>
                <w:color w:val="006100"/>
                <w:sz w:val="20"/>
                <w:szCs w:val="20"/>
              </w:rPr>
            </w:pPr>
          </w:p>
          <w:p w14:paraId="7D1260C6" w14:textId="77777777" w:rsidR="00327FF1" w:rsidRDefault="00E406C7">
            <w:pPr>
              <w:pStyle w:val="P68B1DB1-Normal84"/>
              <w:spacing w:line="257" w:lineRule="auto"/>
              <w:jc w:val="both"/>
              <w:rPr>
                <w:noProof/>
              </w:rPr>
            </w:pPr>
            <w:r>
              <w:rPr>
                <w:noProof/>
              </w:rPr>
              <w:t>Tiesību aktos skaidri nosaka šāda uzņēmuma uzdevumu, pilnvaras un pi</w:t>
            </w:r>
            <w:r>
              <w:rPr>
                <w:noProof/>
              </w:rPr>
              <w:t>lnvaras, kas nodrošina, ka ritošais sastāvs un tehniskās apkopes pakalpojumi jaunajiem SPS operatoriem ir pieejami pietiekamā apjomā un ar taisnīgiem, vienlīdzīgiem un nediskriminējošiem nosacījumiem, lai palielinātu konkurenci konkursos un sāncensību sais</w:t>
            </w:r>
            <w:r>
              <w:rPr>
                <w:noProof/>
              </w:rPr>
              <w:t>tībā ar pakalpojumu līgumiem.</w:t>
            </w:r>
          </w:p>
          <w:p w14:paraId="45177A26" w14:textId="54546085" w:rsidR="00327FF1" w:rsidRDefault="00E406C7">
            <w:pPr>
              <w:pStyle w:val="P68B1DB1-Normal84"/>
              <w:spacing w:line="257" w:lineRule="auto"/>
              <w:jc w:val="both"/>
              <w:rPr>
                <w:noProof/>
              </w:rPr>
            </w:pPr>
            <w:r>
              <w:rPr>
                <w:noProof/>
              </w:rPr>
              <w:t>Tiesību aktos nosaka, ka šādas sabiedrības sākotnējais kapitāls ir EUR 1000000. Tiesību akti arī atļauj šādai sabiedrībai izveidot īpašam nolūkam paredzētu fondu (“Patrimonio destinato”), lai iegādātos jaunu ritošo sastāvu reģ</w:t>
            </w:r>
            <w:r>
              <w:rPr>
                <w:noProof/>
              </w:rPr>
              <w:t>ionālajam un starppilsētu pakalpojumam par sākotnējo tirgus vērtību, kas ir vismaz EUR 1168000000. Šāds īpašam nolūkam dibinātais fonds ir autonoms un visos nolūkos nošķirts no sabiedrības aktīviem un citiem atsevišķiem aktīviem, ko izveidojis tas pats. Sa</w:t>
            </w:r>
            <w:r>
              <w:rPr>
                <w:noProof/>
              </w:rPr>
              <w:t>biedrības kreditori vai to interesēs nevar celt nekādas prasības pret īpašam nolūkam dibinātu fondu, un tāpat īpašam nolūkam dibinātā fonda kreditori vai viņu interesēs nevar celt prasību pret sabiedrības aktīviem. Tiesību akti arī atļauj uzņēmumam nodot ī</w:t>
            </w:r>
            <w:r>
              <w:rPr>
                <w:noProof/>
              </w:rPr>
              <w:t>pašam nolūkam dibinātajam fondam visus valstij piederošos vilcienus, kas jāiegādājas uzņēmumam, tostarp visus starppilsētu vilcienus, kas iepirkti, izmantojot M2C2–35 bis un M7–31 mērķrādītājus.</w:t>
            </w:r>
          </w:p>
          <w:p w14:paraId="30B5E523" w14:textId="6E901E32" w:rsidR="00327FF1" w:rsidRDefault="00E406C7">
            <w:pPr>
              <w:pStyle w:val="P68B1DB1-Normal84"/>
              <w:rPr>
                <w:noProof/>
              </w:rPr>
            </w:pPr>
            <w:r>
              <w:rPr>
                <w:noProof/>
              </w:rPr>
              <w:t>Tiesību aktos nosaka, ka uzņēmums dibināšanas brīdī neuzņemas</w:t>
            </w:r>
            <w:r>
              <w:rPr>
                <w:noProof/>
              </w:rPr>
              <w:t xml:space="preserve"> nekādus iepriekš pastāvējušus parādus vai saistības no citiem valstij piederošiem uzņēmumiem. Tiesību akta noteikums paredz, ka tā publicē visas juridiskās prasības attiecībā uz sabiedrības dibināšanu un ka no tās pašas dienas sabiedrība ir atbildīga par </w:t>
            </w:r>
            <w:r>
              <w:rPr>
                <w:noProof/>
              </w:rPr>
              <w:t>savām saistībām ar saviem aktīviem.</w:t>
            </w:r>
          </w:p>
        </w:tc>
      </w:tr>
      <w:tr w:rsidR="00327FF1" w14:paraId="45C49559"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DEC17F" w14:textId="1BD0A8EB" w:rsidR="00327FF1" w:rsidRDefault="00E406C7">
            <w:pPr>
              <w:pStyle w:val="P68B1DB1-Normal12"/>
              <w:jc w:val="center"/>
              <w:rPr>
                <w:noProof/>
              </w:rPr>
            </w:pPr>
            <w:r>
              <w:rPr>
                <w:noProof/>
              </w:rPr>
              <w:t>M3C1–27</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B1CC1A" w14:textId="77777777" w:rsidR="00327FF1" w:rsidRDefault="00E406C7">
            <w:pPr>
              <w:pStyle w:val="P68B1DB1-Normal12"/>
              <w:jc w:val="center"/>
              <w:rPr>
                <w:noProof/>
              </w:rPr>
            </w:pPr>
            <w:r>
              <w:rPr>
                <w:noProof/>
              </w:rPr>
              <w:t>Reforma Nr. 1.3. Dzelzceļa infrastruktūras efektivitātes uzlabošana Itālijā</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EFC64E" w14:textId="77777777" w:rsidR="00327FF1" w:rsidRDefault="00E406C7">
            <w:pPr>
              <w:pStyle w:val="P68B1DB1-Normal12"/>
              <w:jc w:val="center"/>
              <w:rPr>
                <w:noProof/>
              </w:rPr>
            </w:pPr>
            <w:r>
              <w:rPr>
                <w:noProof/>
              </w:rPr>
              <w:t>Atskaites punkts</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77567" w14:textId="77777777" w:rsidR="00327FF1" w:rsidRDefault="00E406C7">
            <w:pPr>
              <w:pStyle w:val="P68B1DB1-Normal12"/>
              <w:jc w:val="center"/>
              <w:rPr>
                <w:noProof/>
              </w:rPr>
            </w:pPr>
            <w:r>
              <w:rPr>
                <w:noProof/>
              </w:rPr>
              <w:t>ROSCO finanšu un uzņēmējdarbības plāns, statūti un resursu un aktīvu nodošana.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7FCCCD" w14:textId="77777777" w:rsidR="00327FF1" w:rsidRDefault="00E406C7">
            <w:pPr>
              <w:pStyle w:val="P68B1DB1-Normal12"/>
              <w:jc w:val="center"/>
              <w:rPr>
                <w:noProof/>
              </w:rPr>
            </w:pPr>
            <w:r>
              <w:rPr>
                <w:noProof/>
              </w:rPr>
              <w:t xml:space="preserve">Finanšu un uzņēmējdarbības plāna nodrošināšana, statūtu publicēšana, resursu un aktīvu nodošanas sertifikāti </w:t>
            </w:r>
          </w:p>
        </w:tc>
        <w:tc>
          <w:tcPr>
            <w:tcW w:w="966" w:type="dxa"/>
            <w:tcBorders>
              <w:top w:val="single" w:sz="4" w:space="0" w:color="auto"/>
              <w:left w:val="single" w:sz="4" w:space="0" w:color="auto"/>
              <w:bottom w:val="single" w:sz="4" w:space="0" w:color="auto"/>
              <w:right w:val="single" w:sz="4" w:space="0" w:color="auto"/>
            </w:tcBorders>
            <w:shd w:val="clear" w:color="auto" w:fill="C6EFCE"/>
            <w:noWrap/>
          </w:tcPr>
          <w:p w14:paraId="09E0D341" w14:textId="77777777" w:rsidR="00327FF1" w:rsidRDefault="00E406C7">
            <w:pPr>
              <w:pStyle w:val="P68B1DB1-Normal11"/>
              <w:jc w:val="center"/>
              <w:rPr>
                <w:noProof/>
              </w:rPr>
            </w:pPr>
            <w:r>
              <w:rPr>
                <w:noProof/>
              </w:rPr>
              <w:t>NEPIEMĒRO</w:t>
            </w:r>
          </w:p>
        </w:tc>
        <w:tc>
          <w:tcPr>
            <w:tcW w:w="1101" w:type="dxa"/>
            <w:tcBorders>
              <w:top w:val="single" w:sz="4" w:space="0" w:color="auto"/>
              <w:left w:val="single" w:sz="4" w:space="0" w:color="auto"/>
              <w:bottom w:val="single" w:sz="4" w:space="0" w:color="auto"/>
              <w:right w:val="single" w:sz="4" w:space="0" w:color="auto"/>
            </w:tcBorders>
            <w:shd w:val="clear" w:color="auto" w:fill="C6EFCE"/>
            <w:noWrap/>
          </w:tcPr>
          <w:p w14:paraId="111524FB" w14:textId="77777777" w:rsidR="00327FF1" w:rsidRDefault="00E406C7">
            <w:pPr>
              <w:pStyle w:val="P68B1DB1-Normal11"/>
              <w:jc w:val="center"/>
              <w:rPr>
                <w:noProof/>
              </w:rPr>
            </w:pPr>
            <w:r>
              <w:rPr>
                <w:noProof/>
              </w:rPr>
              <w:t>NEPIEMĒRO</w:t>
            </w:r>
          </w:p>
        </w:tc>
        <w:tc>
          <w:tcPr>
            <w:tcW w:w="832" w:type="dxa"/>
            <w:tcBorders>
              <w:top w:val="single" w:sz="4" w:space="0" w:color="auto"/>
              <w:left w:val="single" w:sz="4" w:space="0" w:color="auto"/>
              <w:bottom w:val="single" w:sz="4" w:space="0" w:color="auto"/>
              <w:right w:val="single" w:sz="4" w:space="0" w:color="auto"/>
            </w:tcBorders>
            <w:shd w:val="clear" w:color="auto" w:fill="C6EFCE"/>
            <w:noWrap/>
          </w:tcPr>
          <w:p w14:paraId="733865C8" w14:textId="77777777" w:rsidR="00327FF1" w:rsidRDefault="00E406C7">
            <w:pPr>
              <w:pStyle w:val="P68B1DB1-Normal11"/>
              <w:jc w:val="center"/>
              <w:rPr>
                <w:noProof/>
              </w:rPr>
            </w:pPr>
            <w:r>
              <w:rPr>
                <w:noProof/>
              </w:rPr>
              <w:t>NEPIEMĒRO</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A59720" w14:textId="77777777" w:rsidR="00327FF1" w:rsidRDefault="00E406C7">
            <w:pPr>
              <w:pStyle w:val="P68B1DB1-Normal12"/>
              <w:jc w:val="center"/>
              <w:rPr>
                <w:noProof/>
              </w:rPr>
            </w:pPr>
            <w:r>
              <w:rPr>
                <w:noProof/>
              </w:rPr>
              <w:t>2.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A38F00" w14:textId="77777777" w:rsidR="00327FF1" w:rsidRDefault="00E406C7">
            <w:pPr>
              <w:pStyle w:val="P68B1DB1-Normal12"/>
              <w:jc w:val="center"/>
              <w:rPr>
                <w:noProof/>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tcPr>
          <w:p w14:paraId="39B1CDD0" w14:textId="77777777" w:rsidR="00327FF1" w:rsidRDefault="00E406C7">
            <w:pPr>
              <w:pStyle w:val="P68B1DB1-Normal85"/>
              <w:spacing w:line="240" w:lineRule="auto"/>
              <w:jc w:val="both"/>
              <w:rPr>
                <w:noProof/>
                <w:color w:val="196B24" w:themeColor="accent3"/>
              </w:rPr>
            </w:pPr>
            <w:r>
              <w:rPr>
                <w:noProof/>
                <w:color w:val="006100"/>
              </w:rPr>
              <w:t>1) Infrastruktūras trucūras un transporta ministrija</w:t>
            </w:r>
            <w:r>
              <w:rPr>
                <w:noProof/>
                <w:color w:val="196B24" w:themeColor="accent3"/>
              </w:rPr>
              <w:t>publicē un apstiprina ROSCO dibināšanas pantu un Uz</w:t>
            </w:r>
            <w:r>
              <w:rPr>
                <w:noProof/>
                <w:color w:val="196B24" w:themeColor="accent3"/>
              </w:rPr>
              <w:t>ņēmumu hartu (statūtus), kuros norāda:</w:t>
            </w:r>
          </w:p>
          <w:p w14:paraId="75318418" w14:textId="77777777" w:rsidR="00327FF1" w:rsidRDefault="00E406C7">
            <w:pPr>
              <w:pStyle w:val="P68B1DB1-ListParagraph86"/>
              <w:numPr>
                <w:ilvl w:val="0"/>
                <w:numId w:val="87"/>
              </w:numPr>
              <w:spacing w:before="120" w:after="120" w:line="240" w:lineRule="auto"/>
              <w:jc w:val="both"/>
              <w:rPr>
                <w:noProof/>
              </w:rPr>
            </w:pPr>
            <w:r>
              <w:rPr>
                <w:noProof/>
              </w:rPr>
              <w:t>precīzs uzņēmuma darbības apjoms, tostarp tas, ka tas darbojas tikai kā struktūra centrālās valdības un vietējo iestāžu (t. i., sabiedriskā transporta iestāžu) vārdā attiecībā uz sabiedrisko pakalpojumu līgumiem dzelz</w:t>
            </w:r>
            <w:r>
              <w:rPr>
                <w:noProof/>
              </w:rPr>
              <w:t>ceļa transporta tirgū (reģionālie pakalpojumi un starppilsētu pakalpojumi),</w:t>
            </w:r>
          </w:p>
          <w:p w14:paraId="07A57D44" w14:textId="77777777" w:rsidR="00327FF1" w:rsidRDefault="00E406C7">
            <w:pPr>
              <w:pStyle w:val="P68B1DB1-ListParagraph86"/>
              <w:numPr>
                <w:ilvl w:val="0"/>
                <w:numId w:val="87"/>
              </w:numPr>
              <w:spacing w:before="120" w:after="120" w:line="240" w:lineRule="auto"/>
              <w:jc w:val="both"/>
              <w:rPr>
                <w:noProof/>
              </w:rPr>
            </w:pPr>
            <w:r>
              <w:rPr>
                <w:noProof/>
              </w:rPr>
              <w:t>ka uzņēmums piegādā ritošo sastāvu tikai centrālajai valdībai un vietējām iestādēm (t. i., sabiedriskā transporta iestādēm), kas izsludina konkursu par sabiedrisko pakalpojumu līgu</w:t>
            </w:r>
            <w:r>
              <w:rPr>
                <w:noProof/>
              </w:rPr>
              <w:t>miem,</w:t>
            </w:r>
          </w:p>
          <w:p w14:paraId="72C34695" w14:textId="77777777" w:rsidR="00327FF1" w:rsidRDefault="00E406C7">
            <w:pPr>
              <w:pStyle w:val="P68B1DB1-ListParagraph86"/>
              <w:numPr>
                <w:ilvl w:val="0"/>
                <w:numId w:val="87"/>
              </w:numPr>
              <w:spacing w:before="120" w:after="120" w:line="240" w:lineRule="auto"/>
              <w:jc w:val="both"/>
              <w:rPr>
                <w:noProof/>
              </w:rPr>
            </w:pPr>
            <w:r>
              <w:rPr>
                <w:noProof/>
              </w:rPr>
              <w:t>ka atbilstīgais ritošais sastāvs, ko iepērk uzņēmums, ir bezemisiju ritošais sastāvs, izmantojot ANM regulas VI pielikuma 72.a intervences lauku, un ir saderīgs ar ERTMS standartiem,</w:t>
            </w:r>
          </w:p>
          <w:p w14:paraId="4877BAC3" w14:textId="77777777" w:rsidR="00327FF1" w:rsidRDefault="00E406C7">
            <w:pPr>
              <w:pStyle w:val="P68B1DB1-ListParagraph86"/>
              <w:numPr>
                <w:ilvl w:val="0"/>
                <w:numId w:val="87"/>
              </w:numPr>
              <w:spacing w:before="120" w:after="120" w:line="240" w:lineRule="auto"/>
              <w:jc w:val="both"/>
              <w:rPr>
                <w:noProof/>
              </w:rPr>
            </w:pPr>
            <w:r>
              <w:rPr>
                <w:noProof/>
              </w:rPr>
              <w:t>vismaz 90 % no uzņēmuma ieņēmumiem tiks gūti, izmantojot ritošo sas</w:t>
            </w:r>
            <w:r>
              <w:rPr>
                <w:noProof/>
              </w:rPr>
              <w:t>tāvu, kas ir saderīgs ar ANM regulas VI pielikuma 72.a intervences jomu,</w:t>
            </w:r>
          </w:p>
          <w:p w14:paraId="3444B5C3" w14:textId="77777777" w:rsidR="00327FF1" w:rsidRDefault="00E406C7">
            <w:pPr>
              <w:pStyle w:val="P68B1DB1-ListParagraph86"/>
              <w:numPr>
                <w:ilvl w:val="0"/>
                <w:numId w:val="87"/>
              </w:numPr>
              <w:spacing w:before="120" w:after="120" w:line="240" w:lineRule="auto"/>
              <w:jc w:val="both"/>
              <w:rPr>
                <w:noProof/>
              </w:rPr>
            </w:pPr>
            <w:r>
              <w:rPr>
                <w:noProof/>
              </w:rPr>
              <w:t>sabiedrības valdes un statūtos noteikto struktūru locekļi:</w:t>
            </w:r>
          </w:p>
          <w:p w14:paraId="4AFDDB65" w14:textId="77777777" w:rsidR="00327FF1" w:rsidRDefault="00E406C7">
            <w:pPr>
              <w:pStyle w:val="P68B1DB1-ListParagraph86"/>
              <w:numPr>
                <w:ilvl w:val="1"/>
                <w:numId w:val="87"/>
              </w:numPr>
              <w:spacing w:before="120" w:after="120" w:line="240" w:lineRule="auto"/>
              <w:jc w:val="both"/>
              <w:rPr>
                <w:noProof/>
              </w:rPr>
            </w:pPr>
            <w:r>
              <w:rPr>
                <w:noProof/>
              </w:rPr>
              <w:t>tiek atlasīti no tādu personu vidus, kuras atbilst godprātības, profesionalitātes un neatkarības prasībām, kas noteiktas bir</w:t>
            </w:r>
            <w:r>
              <w:rPr>
                <w:noProof/>
              </w:rPr>
              <w:t>žā kotētiem uzņēmumiem piemērojamos noteikumos;</w:t>
            </w:r>
          </w:p>
          <w:p w14:paraId="07D69E91" w14:textId="77777777" w:rsidR="00327FF1" w:rsidRDefault="00E406C7">
            <w:pPr>
              <w:pStyle w:val="P68B1DB1-ListParagraph86"/>
              <w:numPr>
                <w:ilvl w:val="1"/>
                <w:numId w:val="87"/>
              </w:numPr>
              <w:spacing w:before="120" w:after="120" w:line="240" w:lineRule="auto"/>
              <w:jc w:val="both"/>
              <w:rPr>
                <w:noProof/>
              </w:rPr>
            </w:pPr>
            <w:r>
              <w:rPr>
                <w:noProof/>
              </w:rPr>
              <w:t>tām ir vajadzīgās pilnvaras, kompetence un objektivitāte, lai veiktu savas stratēģiskās vadības, riska pārvaldības pārraudzības un vadības uzraudzības funkcijas,</w:t>
            </w:r>
          </w:p>
          <w:p w14:paraId="4F8DD13B" w14:textId="77777777" w:rsidR="00327FF1" w:rsidRDefault="00E406C7">
            <w:pPr>
              <w:pStyle w:val="P68B1DB1-ListParagraph86"/>
              <w:numPr>
                <w:ilvl w:val="1"/>
                <w:numId w:val="87"/>
              </w:numPr>
              <w:spacing w:before="120" w:after="120" w:line="240" w:lineRule="auto"/>
              <w:jc w:val="both"/>
              <w:rPr>
                <w:noProof/>
              </w:rPr>
            </w:pPr>
            <w:r>
              <w:rPr>
                <w:noProof/>
              </w:rPr>
              <w:t>rīkoties saskaņā ar integritāti un veicināt to</w:t>
            </w:r>
            <w:r>
              <w:rPr>
                <w:noProof/>
              </w:rPr>
              <w:t>,</w:t>
            </w:r>
          </w:p>
          <w:p w14:paraId="0EA092E3" w14:textId="77777777" w:rsidR="00327FF1" w:rsidRDefault="00E406C7">
            <w:pPr>
              <w:pStyle w:val="P68B1DB1-ListParagraph86"/>
              <w:numPr>
                <w:ilvl w:val="1"/>
                <w:numId w:val="87"/>
              </w:numPr>
              <w:spacing w:before="120" w:after="120" w:line="240" w:lineRule="auto"/>
              <w:jc w:val="both"/>
              <w:rPr>
                <w:noProof/>
              </w:rPr>
            </w:pPr>
            <w:r>
              <w:rPr>
                <w:noProof/>
              </w:rPr>
              <w:t>jāsauc pie atbildības par savu rīcību.</w:t>
            </w:r>
          </w:p>
          <w:p w14:paraId="412FC8C2" w14:textId="77777777" w:rsidR="00327FF1" w:rsidRDefault="00E406C7">
            <w:pPr>
              <w:pStyle w:val="P68B1DB1-Normal87"/>
              <w:spacing w:after="0" w:line="240" w:lineRule="auto"/>
              <w:ind w:right="57"/>
              <w:jc w:val="both"/>
              <w:rPr>
                <w:noProof/>
              </w:rPr>
            </w:pPr>
            <w:r>
              <w:rPr>
                <w:noProof/>
              </w:rPr>
              <w:t>Statūtos paredz arī ierobežojumus uzņēmuma valdes locekļiem meklēt vai pieņemt darbu no tirgus dalībniekiem, kā arī skaidrus noteikumus par interešu konfliktu novēršanu.</w:t>
            </w:r>
          </w:p>
          <w:p w14:paraId="6135A074" w14:textId="77777777" w:rsidR="00327FF1" w:rsidRDefault="00327FF1">
            <w:pPr>
              <w:spacing w:after="0" w:line="240" w:lineRule="auto"/>
              <w:ind w:right="57"/>
              <w:jc w:val="both"/>
              <w:rPr>
                <w:rFonts w:ascii="Arial Narrow" w:hAnsi="Arial Narrow"/>
                <w:noProof/>
                <w:color w:val="196B24" w:themeColor="accent3"/>
                <w:sz w:val="20"/>
                <w:szCs w:val="20"/>
              </w:rPr>
            </w:pPr>
          </w:p>
          <w:p w14:paraId="61596425" w14:textId="52C0C549" w:rsidR="00327FF1" w:rsidRDefault="00E406C7">
            <w:pPr>
              <w:pStyle w:val="P68B1DB1-Normal87"/>
              <w:spacing w:after="0" w:line="240" w:lineRule="auto"/>
              <w:ind w:right="57"/>
              <w:jc w:val="both"/>
              <w:rPr>
                <w:noProof/>
              </w:rPr>
            </w:pPr>
            <w:r>
              <w:rPr>
                <w:noProof/>
              </w:rPr>
              <w:t>2) Infrastruktūras un transporta ministrija,</w:t>
            </w:r>
            <w:r>
              <w:rPr>
                <w:noProof/>
              </w:rPr>
              <w:t xml:space="preserve"> vienojoties ar Ekonomikas un finanšu ministriju, apstiprina uzņēmējdarbības plānu 2026.–2029. gadam, ko noteikusi ad hoc tehniskā komiteja un kas ietver padziļinātu aprakstu par:</w:t>
            </w:r>
          </w:p>
          <w:p w14:paraId="3D63CFC2" w14:textId="77777777" w:rsidR="00327FF1" w:rsidRDefault="00E406C7">
            <w:pPr>
              <w:pStyle w:val="P68B1DB1-ListParagraph86"/>
              <w:numPr>
                <w:ilvl w:val="0"/>
                <w:numId w:val="88"/>
              </w:numPr>
              <w:spacing w:before="120" w:after="0" w:line="240" w:lineRule="auto"/>
              <w:ind w:right="57"/>
              <w:jc w:val="both"/>
              <w:rPr>
                <w:noProof/>
              </w:rPr>
            </w:pPr>
            <w:r>
              <w:rPr>
                <w:noProof/>
              </w:rPr>
              <w:t>uzņēmuma stratēģiskās un operatīvās attīstības virzienus, ņemot vērā tā stat</w:t>
            </w:r>
            <w:r>
              <w:rPr>
                <w:noProof/>
              </w:rPr>
              <w:t xml:space="preserve">ūtos noteikto pamatuzdevumu un mērķus, </w:t>
            </w:r>
          </w:p>
          <w:p w14:paraId="39262A08" w14:textId="77777777" w:rsidR="00327FF1" w:rsidRDefault="00E406C7">
            <w:pPr>
              <w:pStyle w:val="P68B1DB1-ListParagraph86"/>
              <w:numPr>
                <w:ilvl w:val="0"/>
                <w:numId w:val="88"/>
              </w:numPr>
              <w:spacing w:before="120" w:after="0" w:line="240" w:lineRule="auto"/>
              <w:ind w:right="57"/>
              <w:jc w:val="both"/>
              <w:rPr>
                <w:noProof/>
              </w:rPr>
            </w:pPr>
            <w:r>
              <w:rPr>
                <w:noProof/>
              </w:rPr>
              <w:t>veicamo darbību raksturojums,</w:t>
            </w:r>
          </w:p>
          <w:p w14:paraId="0827459C" w14:textId="77777777" w:rsidR="00327FF1" w:rsidRDefault="00E406C7">
            <w:pPr>
              <w:pStyle w:val="P68B1DB1-ListParagraph86"/>
              <w:numPr>
                <w:ilvl w:val="0"/>
                <w:numId w:val="88"/>
              </w:numPr>
              <w:spacing w:before="120" w:after="0" w:line="240" w:lineRule="auto"/>
              <w:ind w:right="57"/>
              <w:jc w:val="both"/>
              <w:rPr>
                <w:noProof/>
              </w:rPr>
            </w:pPr>
            <w:r>
              <w:rPr>
                <w:noProof/>
              </w:rPr>
              <w:t xml:space="preserve">vismaz attiecībā uz katru no pirmajiem trim finanšu gadiem — kapitāla pietiekamības profili, plānotās investīcijas un saistītais finansiālais segums, jo īpaši pārsniedzot sākotnējos ANM </w:t>
            </w:r>
            <w:r>
              <w:rPr>
                <w:noProof/>
              </w:rPr>
              <w:t>nodrošinātos resursus,</w:t>
            </w:r>
          </w:p>
          <w:p w14:paraId="65A616D6" w14:textId="77777777" w:rsidR="00327FF1" w:rsidRDefault="00E406C7">
            <w:pPr>
              <w:pStyle w:val="P68B1DB1-ListParagraph86"/>
              <w:numPr>
                <w:ilvl w:val="0"/>
                <w:numId w:val="88"/>
              </w:numPr>
              <w:spacing w:before="120" w:after="0" w:line="240" w:lineRule="auto"/>
              <w:ind w:right="57"/>
              <w:jc w:val="both"/>
              <w:rPr>
                <w:noProof/>
              </w:rPr>
            </w:pPr>
            <w:r>
              <w:rPr>
                <w:noProof/>
              </w:rPr>
              <w:t>korporatīvā pārvaldība un organizatoriskā struktūra.</w:t>
            </w:r>
          </w:p>
          <w:p w14:paraId="2FC6ED2E" w14:textId="77777777" w:rsidR="00327FF1" w:rsidRDefault="00327FF1">
            <w:pPr>
              <w:pStyle w:val="ListParagraph"/>
              <w:spacing w:after="0"/>
              <w:ind w:left="57" w:right="57" w:hanging="283"/>
              <w:rPr>
                <w:rFonts w:ascii="Arial Narrow" w:hAnsi="Arial Narrow"/>
                <w:noProof/>
                <w:color w:val="196B24" w:themeColor="accent3"/>
                <w:sz w:val="20"/>
                <w:szCs w:val="20"/>
              </w:rPr>
            </w:pPr>
          </w:p>
          <w:p w14:paraId="7D85C497" w14:textId="77777777" w:rsidR="00327FF1" w:rsidRDefault="00E406C7">
            <w:pPr>
              <w:pStyle w:val="P68B1DB1-Normal87"/>
              <w:spacing w:after="0" w:line="240" w:lineRule="auto"/>
              <w:ind w:right="57"/>
              <w:jc w:val="both"/>
              <w:rPr>
                <w:noProof/>
              </w:rPr>
            </w:pPr>
            <w:r>
              <w:rPr>
                <w:noProof/>
              </w:rPr>
              <w:t xml:space="preserve">3) Resursu un aktīvu nodošana: </w:t>
            </w:r>
          </w:p>
          <w:p w14:paraId="0FD3CE9E" w14:textId="77777777" w:rsidR="00327FF1" w:rsidRDefault="00327FF1">
            <w:pPr>
              <w:spacing w:after="0" w:line="240" w:lineRule="auto"/>
              <w:ind w:right="57"/>
              <w:jc w:val="both"/>
              <w:rPr>
                <w:rFonts w:ascii="Arial Narrow" w:eastAsia="Arial Narrow" w:hAnsi="Arial Narrow" w:cs="Arial Narrow"/>
                <w:noProof/>
                <w:color w:val="196B24" w:themeColor="accent3"/>
                <w:sz w:val="20"/>
                <w:szCs w:val="20"/>
              </w:rPr>
            </w:pPr>
          </w:p>
          <w:p w14:paraId="4BAA3D51" w14:textId="0425B5C0" w:rsidR="00327FF1" w:rsidRDefault="00E406C7">
            <w:pPr>
              <w:pStyle w:val="P68B1DB1-Normal88"/>
              <w:spacing w:line="240" w:lineRule="auto"/>
              <w:jc w:val="both"/>
              <w:rPr>
                <w:noProof/>
              </w:rPr>
            </w:pPr>
            <w:r>
              <w:rPr>
                <w:noProof/>
              </w:rPr>
              <w:t xml:space="preserve">Iesniedz apliecinājumu par pārskaitījumu (t. i., iemaksu saņemšanu) par summu, kas ir vismaz 1 200 000 000 EUR, uz bankas kontu uz ROSCO vārda. </w:t>
            </w:r>
            <w:r>
              <w:rPr>
                <w:noProof/>
              </w:rPr>
              <w:t>Attiecībā uz ANM nodrošinātajiem līdzekļiem i) ROSCO ir jāsniedz pamatojums par izvēlēto intervences jomu par katru atbalstīto projektu, kā arī projekta apraksts, lai aprēķinātu ieguldījumu klimata jomā, ii) ROSCO ir arī jāiesniedz dalībvalstij pusgada ziņ</w:t>
            </w:r>
            <w:r>
              <w:rPr>
                <w:noProof/>
              </w:rPr>
              <w:t>ojums par katra projekta/darbības īstenošanu.</w:t>
            </w:r>
          </w:p>
          <w:p w14:paraId="5CFF35EC" w14:textId="77777777" w:rsidR="00327FF1" w:rsidRDefault="00E406C7">
            <w:pPr>
              <w:pStyle w:val="P68B1DB1-Normal88"/>
              <w:spacing w:line="240" w:lineRule="auto"/>
              <w:jc w:val="both"/>
              <w:rPr>
                <w:noProof/>
                <w:color w:val="006100"/>
              </w:rPr>
            </w:pPr>
            <w:r>
              <w:rPr>
                <w:noProof/>
              </w:rPr>
              <w:t>ROSCO un kompetentā ministrija paraksta nulles izmaksu pirkuma līgumu par vismaz visu starppilsētu vilcienu, kas iepirkti, izmantojot M2C2–35 bis un M7–31 mērķrādītājus, īpašuma nodošanu.</w:t>
            </w:r>
          </w:p>
        </w:tc>
      </w:tr>
      <w:tr w:rsidR="00327FF1" w14:paraId="733AD5B2" w14:textId="77777777">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A23F6A" w14:textId="77777777" w:rsidR="00327FF1" w:rsidRDefault="00E406C7">
            <w:pPr>
              <w:pStyle w:val="P68B1DB1-Normal11"/>
              <w:jc w:val="center"/>
              <w:rPr>
                <w:noProof/>
                <w:szCs w:val="20"/>
              </w:rPr>
            </w:pPr>
            <w:r>
              <w:rPr>
                <w:noProof/>
              </w:rPr>
              <w:t>M3C1–28</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67954E" w14:textId="77777777" w:rsidR="00327FF1" w:rsidRDefault="00E406C7">
            <w:pPr>
              <w:pStyle w:val="P68B1DB1-Normal11"/>
              <w:jc w:val="center"/>
              <w:rPr>
                <w:noProof/>
                <w:color w:val="FF0000"/>
                <w:szCs w:val="20"/>
              </w:rPr>
            </w:pPr>
            <w:r>
              <w:rPr>
                <w:noProof/>
              </w:rPr>
              <w:t xml:space="preserve">Investīcija 1.10. “Lielpilsētu mezglu stiprināšana, starpreģionālās un reģionālās dzelzceļa līnijas” </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D7BC55" w14:textId="77777777" w:rsidR="00327FF1" w:rsidRDefault="00E406C7">
            <w:pPr>
              <w:pStyle w:val="P68B1DB1-Normal11"/>
              <w:jc w:val="center"/>
              <w:rPr>
                <w:noProof/>
                <w:szCs w:val="20"/>
              </w:rPr>
            </w:pPr>
            <w:r>
              <w:rPr>
                <w:noProof/>
              </w:rPr>
              <w:t>Mērķa</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60F168" w14:textId="18DEA454" w:rsidR="00327FF1" w:rsidRDefault="00E406C7">
            <w:pPr>
              <w:pStyle w:val="P68B1DB1-Normal11"/>
              <w:jc w:val="center"/>
              <w:rPr>
                <w:noProof/>
                <w:color w:val="FF0000"/>
                <w:szCs w:val="20"/>
              </w:rPr>
            </w:pPr>
            <w:r>
              <w:rPr>
                <w:noProof/>
              </w:rPr>
              <w:t xml:space="preserve">Uzbūvēti 3 309 km modernizētu līniju posmu </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9E52C" w14:textId="77777777" w:rsidR="00327FF1" w:rsidRDefault="00E406C7">
            <w:pPr>
              <w:pStyle w:val="P68B1DB1-Normal11"/>
              <w:jc w:val="center"/>
              <w:rPr>
                <w:noProof/>
                <w:szCs w:val="20"/>
              </w:rPr>
            </w:pPr>
            <w:r>
              <w:rPr>
                <w:noProof/>
              </w:rPr>
              <w:t>NEPIEMĒRO</w:t>
            </w:r>
          </w:p>
        </w:tc>
        <w:tc>
          <w:tcPr>
            <w:tcW w:w="96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7979EB" w14:textId="77777777" w:rsidR="00327FF1" w:rsidRDefault="00E406C7">
            <w:pPr>
              <w:pStyle w:val="P68B1DB1-Normal11"/>
              <w:jc w:val="center"/>
              <w:rPr>
                <w:noProof/>
              </w:rPr>
            </w:pPr>
            <w:r>
              <w:rPr>
                <w:noProof/>
              </w:rPr>
              <w:t>Skaits</w:t>
            </w:r>
          </w:p>
        </w:tc>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6D0F0" w14:textId="77777777" w:rsidR="00327FF1" w:rsidRDefault="00E406C7">
            <w:pPr>
              <w:pStyle w:val="P68B1DB1-Normal11"/>
              <w:jc w:val="center"/>
              <w:rPr>
                <w:noProof/>
              </w:rPr>
            </w:pPr>
            <w:r>
              <w:rPr>
                <w:noProof/>
              </w:rPr>
              <w:t>872</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CA533D" w14:textId="3052F7B1" w:rsidR="00327FF1" w:rsidRDefault="00E406C7">
            <w:pPr>
              <w:pStyle w:val="P68B1DB1-Normal11"/>
              <w:jc w:val="center"/>
              <w:rPr>
                <w:noProof/>
              </w:rPr>
            </w:pPr>
            <w:r>
              <w:rPr>
                <w:noProof/>
              </w:rPr>
              <w:t>3 309</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83304" w14:textId="77777777" w:rsidR="00327FF1" w:rsidRDefault="00E406C7">
            <w:pPr>
              <w:pStyle w:val="P68B1DB1-Normal11"/>
              <w:jc w:val="center"/>
              <w:rPr>
                <w:noProof/>
                <w:szCs w:val="20"/>
              </w:rPr>
            </w:pPr>
            <w:r>
              <w:rPr>
                <w:noProof/>
              </w:rPr>
              <w:t>2. CET.</w:t>
            </w:r>
          </w:p>
        </w:tc>
        <w:tc>
          <w:tcPr>
            <w:tcW w:w="8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F9CA7C" w14:textId="77777777" w:rsidR="00327FF1" w:rsidRDefault="00E406C7">
            <w:pPr>
              <w:pStyle w:val="P68B1DB1-Normal11"/>
              <w:jc w:val="center"/>
              <w:rPr>
                <w:noProof/>
                <w:szCs w:val="20"/>
              </w:rPr>
            </w:pPr>
            <w:r>
              <w:rPr>
                <w:noProof/>
              </w:rPr>
              <w:t>2026</w:t>
            </w:r>
          </w:p>
        </w:tc>
        <w:tc>
          <w:tcPr>
            <w:tcW w:w="40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9F36E" w14:textId="29146725" w:rsidR="00327FF1" w:rsidRDefault="00E406C7">
            <w:pPr>
              <w:pStyle w:val="P68B1DB1-Normal11"/>
              <w:spacing w:after="0" w:line="278" w:lineRule="auto"/>
              <w:rPr>
                <w:noProof/>
              </w:rPr>
            </w:pPr>
            <w:r>
              <w:rPr>
                <w:noProof/>
              </w:rPr>
              <w:t xml:space="preserve">Izsniedz sertifikātus par vismaz 3 309 km reģionālo un vietējo </w:t>
            </w:r>
            <w:r>
              <w:rPr>
                <w:noProof/>
              </w:rPr>
              <w:t>dzelzceļa līniju modernizācijas darbu pabeigšanu. Vismaz 11,7 km dzelzceļa būvdarbu — saskaņā ar WBS metodiku — saistībā ar modernizāciju un elektrifikāciju var attiekties uz šādām līnijām:</w:t>
            </w:r>
            <w:r>
              <w:rPr>
                <w:noProof/>
              </w:rPr>
              <w:br/>
              <w:t xml:space="preserve">Apūlijas reģions </w:t>
            </w:r>
            <w:r>
              <w:rPr>
                <w:noProof/>
              </w:rPr>
              <w:br/>
              <w:t>— Savieno Brindisi (ieskaitot intermodālos centr</w:t>
            </w:r>
            <w:r>
              <w:rPr>
                <w:noProof/>
              </w:rPr>
              <w:t>us);</w:t>
            </w:r>
            <w:r>
              <w:rPr>
                <w:noProof/>
              </w:rPr>
              <w:br/>
              <w:t xml:space="preserve">Kampānijas reģions </w:t>
            </w:r>
            <w:r>
              <w:rPr>
                <w:noProof/>
              </w:rPr>
              <w:br/>
              <w:t xml:space="preserve">— Salerno Arechi — Aeroporto Pontecagnano </w:t>
            </w:r>
            <w:r>
              <w:rPr>
                <w:noProof/>
              </w:rPr>
              <w:br/>
              <w:t xml:space="preserve">Kalabrijas reģions </w:t>
            </w:r>
            <w:r>
              <w:rPr>
                <w:noProof/>
              </w:rPr>
              <w:br/>
              <w:t xml:space="preserve">— Bretella di Sibari </w:t>
            </w:r>
            <w:r>
              <w:rPr>
                <w:noProof/>
              </w:rPr>
              <w:br/>
              <w:t xml:space="preserve">Bazilikatas reģions </w:t>
            </w:r>
            <w:r>
              <w:rPr>
                <w:noProof/>
              </w:rPr>
              <w:br/>
              <w:t xml:space="preserve">— Ferrandina-Matera </w:t>
            </w:r>
            <w:r>
              <w:rPr>
                <w:noProof/>
              </w:rPr>
              <w:br/>
              <w:t xml:space="preserve">Sicīlijas reģions </w:t>
            </w:r>
            <w:r>
              <w:rPr>
                <w:noProof/>
              </w:rPr>
              <w:br/>
              <w:t xml:space="preserve">— Saite uz Augustas ostu </w:t>
            </w:r>
            <w:r>
              <w:rPr>
                <w:noProof/>
              </w:rPr>
              <w:br/>
              <w:t xml:space="preserve">Sardegna reģions </w:t>
            </w:r>
            <w:r>
              <w:rPr>
                <w:noProof/>
              </w:rPr>
              <w:br/>
              <w:t>— Dzelzceļa savienojums ar Olbijas lidost</w:t>
            </w:r>
            <w:r>
              <w:rPr>
                <w:noProof/>
              </w:rPr>
              <w:t xml:space="preserve">u </w:t>
            </w:r>
            <w:r>
              <w:rPr>
                <w:noProof/>
              </w:rPr>
              <w:br/>
              <w:t xml:space="preserve">— Decimomannu-Villamassargia, kas dubulto ceļu </w:t>
            </w:r>
            <w:r>
              <w:rPr>
                <w:noProof/>
              </w:rPr>
              <w:br/>
              <w:t>Izturētspējas intervences vismaz 528 km garumā attiecas uz šādām līnijām: </w:t>
            </w:r>
            <w:r>
              <w:rPr>
                <w:noProof/>
              </w:rPr>
              <w:br/>
              <w:t>Kampānijas, Bazilikatas un Kalabrijas reģions:</w:t>
            </w:r>
            <w:r>
              <w:rPr>
                <w:noProof/>
              </w:rPr>
              <w:br/>
              <w:t>— Romi — Neapole (AV,via Cassino, via Formia);</w:t>
            </w:r>
            <w:r>
              <w:rPr>
                <w:noProof/>
              </w:rPr>
              <w:br/>
              <w:t>— Aversa — Caserta;</w:t>
            </w:r>
            <w:r>
              <w:rPr>
                <w:noProof/>
              </w:rPr>
              <w:br/>
              <w:t xml:space="preserve">— Villa Literno </w:t>
            </w:r>
            <w:r>
              <w:rPr>
                <w:noProof/>
              </w:rPr>
              <w:t>— Napoli Gianturco, </w:t>
            </w:r>
            <w:r>
              <w:rPr>
                <w:noProof/>
              </w:rPr>
              <w:br/>
              <w:t>— Napoli — Salerno LMV Napoli — Salerno Storica;</w:t>
            </w:r>
            <w:r>
              <w:rPr>
                <w:noProof/>
              </w:rPr>
              <w:br/>
              <w:t>— Nocera Inferiore — Salerno;</w:t>
            </w:r>
            <w:r>
              <w:rPr>
                <w:noProof/>
              </w:rPr>
              <w:br/>
              <w:t>— Battipaglia — Paola; </w:t>
            </w:r>
            <w:r>
              <w:rPr>
                <w:noProof/>
              </w:rPr>
              <w:br/>
              <w:t>— Battipaglia — Potenza, </w:t>
            </w:r>
            <w:r>
              <w:rPr>
                <w:noProof/>
              </w:rPr>
              <w:br/>
              <w:t>— Caserta — Battipaglia; Caserta — Foggia; Catanzaro-Regio Calabria;</w:t>
            </w:r>
            <w:r>
              <w:rPr>
                <w:noProof/>
              </w:rPr>
              <w:br/>
              <w:t xml:space="preserve">— Paola — Reggio Calabria; un </w:t>
            </w:r>
            <w:r>
              <w:rPr>
                <w:noProof/>
              </w:rPr>
              <w:br/>
              <w:t>— Paol</w:t>
            </w:r>
            <w:r>
              <w:rPr>
                <w:noProof/>
              </w:rPr>
              <w:t>a — Cosenza — Sibari. </w:t>
            </w:r>
            <w:r>
              <w:rPr>
                <w:noProof/>
              </w:rPr>
              <w:br/>
              <w:t>Molizes reģions:</w:t>
            </w:r>
            <w:r>
              <w:rPr>
                <w:noProof/>
              </w:rPr>
              <w:br/>
              <w:t>Termoli — Campobasso. </w:t>
            </w:r>
            <w:r>
              <w:rPr>
                <w:noProof/>
              </w:rPr>
              <w:br/>
              <w:t>Apūlijas reģions:</w:t>
            </w:r>
            <w:r>
              <w:rPr>
                <w:noProof/>
              </w:rPr>
              <w:br/>
              <w:t>— Bari-Taranto, </w:t>
            </w:r>
            <w:r>
              <w:rPr>
                <w:noProof/>
              </w:rPr>
              <w:br/>
              <w:t>— Taranto — Brindisi, </w:t>
            </w:r>
            <w:r>
              <w:rPr>
                <w:noProof/>
              </w:rPr>
              <w:br/>
              <w:t>— Barletta-Spinazzola.</w:t>
            </w:r>
            <w:r>
              <w:rPr>
                <w:noProof/>
              </w:rPr>
              <w:br/>
              <w:t>Sicīlijas reģions:</w:t>
            </w:r>
            <w:r>
              <w:rPr>
                <w:noProof/>
              </w:rPr>
              <w:br/>
              <w:t>— Fiumetorto — Agrigento;</w:t>
            </w:r>
            <w:r>
              <w:rPr>
                <w:noProof/>
              </w:rPr>
              <w:br/>
              <w:t>— Lercara dir. — Bicocca;</w:t>
            </w:r>
            <w:r>
              <w:rPr>
                <w:noProof/>
              </w:rPr>
              <w:br/>
              <w:t>— Mesīna — Katānija — Sirakūza;</w:t>
            </w:r>
            <w:r>
              <w:rPr>
                <w:noProof/>
              </w:rPr>
              <w:br/>
              <w:t>— Palermo</w:t>
            </w:r>
            <w:r>
              <w:rPr>
                <w:noProof/>
              </w:rPr>
              <w:t xml:space="preserve"> — Mesīna; </w:t>
            </w:r>
            <w:r>
              <w:rPr>
                <w:noProof/>
              </w:rPr>
              <w:br/>
              <w:t>Caltanissetta Xirbi — Canicattì — Aragona;</w:t>
            </w:r>
          </w:p>
          <w:p w14:paraId="425C8A85" w14:textId="174E5F87" w:rsidR="00327FF1" w:rsidRDefault="00E406C7">
            <w:pPr>
              <w:pStyle w:val="P68B1DB1-Normal11"/>
              <w:rPr>
                <w:noProof/>
              </w:rPr>
            </w:pPr>
            <w:r>
              <w:rPr>
                <w:noProof/>
              </w:rPr>
              <w:t>— Canicattì — Siracusa.</w:t>
            </w:r>
            <w:r>
              <w:rPr>
                <w:noProof/>
              </w:rPr>
              <w:br/>
              <w:t>Mērķrādītāju sasniedz, izmantojot KLP (t. i., “Codice Locale Progetto”), ko neatbalsta citi ES fondi, izņemot ANM.</w:t>
            </w:r>
          </w:p>
        </w:tc>
      </w:tr>
    </w:tbl>
    <w:p w14:paraId="33251583" w14:textId="77777777" w:rsidR="00327FF1" w:rsidRDefault="00327FF1">
      <w:pPr>
        <w:tabs>
          <w:tab w:val="left" w:pos="4252"/>
        </w:tabs>
        <w:rPr>
          <w:i/>
          <w:noProof/>
        </w:rPr>
      </w:pPr>
    </w:p>
    <w:p w14:paraId="30B70235" w14:textId="77777777" w:rsidR="00327FF1" w:rsidRDefault="00327FF1">
      <w:pPr>
        <w:spacing w:before="120" w:after="120"/>
        <w:jc w:val="both"/>
        <w:rPr>
          <w:b/>
          <w:bCs/>
          <w:noProof/>
          <w:u w:val="single"/>
        </w:rPr>
        <w:sectPr w:rsidR="00327FF1" w:rsidSect="005F11B9">
          <w:headerReference w:type="even" r:id="rId146"/>
          <w:headerReference w:type="default" r:id="rId147"/>
          <w:footerReference w:type="even" r:id="rId148"/>
          <w:footerReference w:type="default" r:id="rId149"/>
          <w:headerReference w:type="first" r:id="rId150"/>
          <w:footerReference w:type="first" r:id="rId151"/>
          <w:pgSz w:w="16838" w:h="11907" w:orient="landscape" w:code="9"/>
          <w:pgMar w:top="1134" w:right="1134" w:bottom="1134" w:left="1134" w:header="567" w:footer="567" w:gutter="0"/>
          <w:cols w:space="720"/>
          <w:docGrid w:linePitch="360"/>
        </w:sectPr>
      </w:pPr>
    </w:p>
    <w:p w14:paraId="77DC66E5" w14:textId="77777777" w:rsidR="00327FF1" w:rsidRDefault="00E406C7">
      <w:pPr>
        <w:pStyle w:val="P68B1DB1-Heading23"/>
        <w:ind w:left="1080"/>
        <w:rPr>
          <w:noProof/>
        </w:rPr>
      </w:pPr>
      <w:r>
        <w:rPr>
          <w:noProof/>
        </w:rPr>
        <w:t>I. MISSION 3 COMPONENT 2- intermodalitāte un integrēta loģistika</w:t>
      </w:r>
    </w:p>
    <w:p w14:paraId="5D644F82" w14:textId="77777777" w:rsidR="00327FF1" w:rsidRDefault="00E406C7">
      <w:pPr>
        <w:pStyle w:val="P68B1DB1-Normal7"/>
        <w:tabs>
          <w:tab w:val="left" w:pos="1134"/>
        </w:tabs>
        <w:spacing w:before="120" w:after="120"/>
        <w:jc w:val="both"/>
        <w:rPr>
          <w:rFonts w:eastAsia="Calibri"/>
          <w:iCs/>
          <w:noProof/>
        </w:rPr>
      </w:pPr>
      <w:r>
        <w:rPr>
          <w:noProof/>
        </w:rPr>
        <w:t>Šā Itālijas atveseļošanas un noturības plāna komponenta mērķis ir padarīt Itālijas ostas efektīvākas, konkurētspējīgākas, energoefektīvākas un labāk integrētas loģ</w:t>
      </w:r>
      <w:r>
        <w:rPr>
          <w:noProof/>
        </w:rPr>
        <w:t>istikas ķēdē. Tās mērķis ir arī digitalizēt gaisa satiksmes pārvaldības sistēmu.</w:t>
      </w:r>
    </w:p>
    <w:p w14:paraId="6C4B12DA" w14:textId="77777777" w:rsidR="00327FF1" w:rsidRDefault="00E406C7">
      <w:pPr>
        <w:pStyle w:val="P68B1DB1-Normal7"/>
        <w:tabs>
          <w:tab w:val="left" w:pos="1134"/>
        </w:tabs>
        <w:spacing w:before="120" w:after="120"/>
        <w:jc w:val="both"/>
        <w:rPr>
          <w:rFonts w:eastAsia="Calibri"/>
          <w:iCs/>
          <w:noProof/>
        </w:rPr>
      </w:pPr>
      <w:r>
        <w:rPr>
          <w:noProof/>
        </w:rPr>
        <w:t>Šajā nolūkā, no vienas puses, tas ietver svarīgas reformas, lai vienkāršotu procesus, atjauninātu ostu plānošanu un padarītu koncesijas Itālijas ostās konkurētspējīgākas. No o</w:t>
      </w:r>
      <w:r>
        <w:rPr>
          <w:noProof/>
        </w:rPr>
        <w:t>tras puses, daži ieguldījumi, kas paredzēti, lai nodrošinātu intermodalitāti ar Eiropas komunikācijas pamatvirzieniem, attīstot saikni ar jūras un Vidusjūras reģiona valstu nelikumīgu tirdzniecību, palielinot dinamismu un Itālijas ostu sistēmas konkurētspē</w:t>
      </w:r>
      <w:r>
        <w:rPr>
          <w:noProof/>
        </w:rPr>
        <w:t xml:space="preserve">ju, arī ar mērķi samazināt siltumnīcefekta gāzu emisijas. Paredzams, ka ar šo komponentu saistītie ieguldījumi būtiski palielinās pasažieru un kravu pārvadājumu apjomu Itālijas ostās, pozitīvi ietekmējot stimulējošo saimniecisko darbību attiecīgajās jomās </w:t>
      </w:r>
      <w:r>
        <w:rPr>
          <w:noProof/>
        </w:rPr>
        <w:t>un valsts ekonomiku kopumā.</w:t>
      </w:r>
    </w:p>
    <w:p w14:paraId="171F333A" w14:textId="77777777" w:rsidR="00327FF1" w:rsidRDefault="00E406C7">
      <w:pPr>
        <w:pStyle w:val="P68B1DB1-Normal7"/>
        <w:tabs>
          <w:tab w:val="left" w:pos="1134"/>
        </w:tabs>
        <w:spacing w:before="120" w:after="120"/>
        <w:jc w:val="both"/>
        <w:rPr>
          <w:rFonts w:eastAsia="Calibri"/>
          <w:iCs/>
          <w:noProof/>
        </w:rPr>
      </w:pPr>
      <w:r>
        <w:rPr>
          <w:noProof/>
        </w:rPr>
        <w:t>No otras puses, šis komponents attiecas uz loģistikas sistēmu, tostarp lidostu sistēmu, digitalizāciju. Paredzams, ka šīs nozares kļūs konkurētspējīgākas, izmantojot inovatīvus tehnoloģiskos risinājumus, lai padarītu sistēmu efe</w:t>
      </w:r>
      <w:r>
        <w:rPr>
          <w:noProof/>
        </w:rPr>
        <w:t xml:space="preserve">ktīvāku un arī samazinātu to ietekmi uz vidi. </w:t>
      </w:r>
    </w:p>
    <w:p w14:paraId="22FCFFA1" w14:textId="77777777" w:rsidR="00327FF1" w:rsidRDefault="00E406C7">
      <w:pPr>
        <w:pStyle w:val="P68B1DB1-Normal7"/>
        <w:spacing w:before="120" w:after="120"/>
        <w:jc w:val="both"/>
        <w:rPr>
          <w:noProof/>
        </w:rPr>
      </w:pPr>
      <w:r>
        <w:rPr>
          <w:noProof/>
        </w:rPr>
        <w:t>Šis komponents attiecas uz 2019. gada konkrētai valstij adresēto ieteikumu Nr. 3, kurā Itālija tiek mudināta “Turpināt ar investīcijām saistītu ekonomikas politiku attiecībā uz infrastruktūras kvalitāti” un 20</w:t>
      </w:r>
      <w:r>
        <w:rPr>
          <w:noProof/>
        </w:rPr>
        <w:t>20. gada konkrētai valstij adresēto ieteikumu Nr. 3 “Focus investīcija zaļās un digitālās pārkārtošanās jomā, jo īpaši attiecībā uz tīru un efektīvu enerģijas ražošanu un izmantošanu, pētniecību un inovāciju, ilgtspējīgu sabiedrisko transportu, atkritumu u</w:t>
      </w:r>
      <w:r>
        <w:rPr>
          <w:noProof/>
        </w:rPr>
        <w:t>n ūdens apsaimniekošanu, kā arī pastiprinātu digitālo infrastruktūru, lai nodrošinātu pamatpakalpojumu sniegšanu”.</w:t>
      </w:r>
    </w:p>
    <w:p w14:paraId="5EE788DF" w14:textId="77777777" w:rsidR="00327FF1" w:rsidRDefault="00E406C7">
      <w:pPr>
        <w:pStyle w:val="P68B1DB1-Normal7"/>
        <w:spacing w:before="120" w:after="120"/>
        <w:jc w:val="both"/>
        <w:rPr>
          <w:noProof/>
        </w:rPr>
      </w:pPr>
      <w:r>
        <w:rPr>
          <w:noProof/>
        </w:rPr>
        <w:t>Paredzams, ka neviens pasākums šajā komponentā būtiski nekaitēs vides mērķiem Regulas (ES) 2020/852 17. panta nozīmē, ņemot vērā atveseļošana</w:t>
      </w:r>
      <w:r>
        <w:rPr>
          <w:noProof/>
        </w:rPr>
        <w:t>s un noturības plānā izklāstīto pasākumu aprakstu un mazināšanas pasākumus saskaņā ar DNSH tehniskajiem norādījumiem (2021/C58/01).</w:t>
      </w:r>
    </w:p>
    <w:p w14:paraId="737AB47E" w14:textId="77777777" w:rsidR="00327FF1" w:rsidRDefault="00E406C7">
      <w:pPr>
        <w:pStyle w:val="P68B1DB1-Heading359"/>
        <w:ind w:left="850" w:hanging="850"/>
        <w:rPr>
          <w:b/>
          <w:bCs/>
          <w:i/>
          <w:iCs/>
          <w:noProof/>
          <w:color w:val="156082" w:themeColor="accent1"/>
          <w:u w:val="single"/>
        </w:rPr>
      </w:pPr>
      <w:r>
        <w:rPr>
          <w:b/>
          <w:noProof/>
          <w:u w:val="single"/>
        </w:rPr>
        <w:t xml:space="preserve">I.1. </w:t>
      </w:r>
      <w:r>
        <w:rPr>
          <w:noProof/>
        </w:rPr>
        <w:t xml:space="preserve"> </w:t>
      </w:r>
      <w:r>
        <w:rPr>
          <w:b/>
          <w:noProof/>
          <w:u w:val="single"/>
        </w:rPr>
        <w:t>Reformu un investīciju apraksts neatmaksājamam finansiālajam atbalstam</w:t>
      </w:r>
    </w:p>
    <w:p w14:paraId="456B2BAD" w14:textId="77777777" w:rsidR="00327FF1" w:rsidRDefault="00E406C7">
      <w:pPr>
        <w:pStyle w:val="P68B1DB1-Normal5"/>
        <w:spacing w:before="120" w:after="120" w:line="257" w:lineRule="auto"/>
        <w:jc w:val="both"/>
        <w:rPr>
          <w:bCs/>
          <w:noProof/>
        </w:rPr>
      </w:pPr>
      <w:r>
        <w:rPr>
          <w:noProof/>
        </w:rPr>
        <w:t>Reforma. Stratēģiskās plānošanas procesa proced</w:t>
      </w:r>
      <w:r>
        <w:rPr>
          <w:noProof/>
        </w:rPr>
        <w:t>ūru vienkāršošana</w:t>
      </w:r>
    </w:p>
    <w:p w14:paraId="3B7766E3" w14:textId="77777777" w:rsidR="00327FF1" w:rsidRDefault="00E406C7">
      <w:pPr>
        <w:pStyle w:val="P68B1DB1-Normal7"/>
        <w:spacing w:before="120" w:after="120" w:line="257" w:lineRule="auto"/>
        <w:jc w:val="both"/>
        <w:rPr>
          <w:bCs/>
          <w:noProof/>
        </w:rPr>
      </w:pPr>
      <w:r>
        <w:rPr>
          <w:noProof/>
        </w:rPr>
        <w:t>Šis pasākums paredz atjaunināt ostu plānošanu, lai nodrošinātu Itālijas ostu sistēmas stratēģisko redzējumu. Reforma reglamentē vismaz i) ostu sistēmas iestāžu attīstības mērķus; II) apzinātās un iezīmētās teritorijas, kas paredzētas tika</w:t>
      </w:r>
      <w:r>
        <w:rPr>
          <w:noProof/>
        </w:rPr>
        <w:t>i ostas un aizmugures ostas funkcijām, iii) pēdējā kilometra autoceļu un dzelzceļa infrastruktūras savienojumi ar ostām, iv) kritēriji, pēc kuriem nosaka plānošanas saturu, un v) tā nepārprotami identificē vadlīnijas, noteikumus un procedūras ostas regulat</w:t>
      </w:r>
      <w:r>
        <w:rPr>
          <w:noProof/>
        </w:rPr>
        <w:t>īvo plānu sagatavošanai.</w:t>
      </w:r>
    </w:p>
    <w:p w14:paraId="6EB2E08A" w14:textId="49666CB6" w:rsidR="00327FF1" w:rsidRDefault="00E406C7">
      <w:pPr>
        <w:pStyle w:val="P68B1DB1-Normal5"/>
        <w:spacing w:before="120" w:after="120" w:line="257" w:lineRule="auto"/>
        <w:jc w:val="both"/>
        <w:rPr>
          <w:bCs/>
          <w:noProof/>
        </w:rPr>
      </w:pPr>
      <w:r>
        <w:rPr>
          <w:noProof/>
        </w:rPr>
        <w:t xml:space="preserve">Reforma. Konkurētspējīga koncesiju piešķiršana Itālijas ostās </w:t>
      </w:r>
    </w:p>
    <w:p w14:paraId="5F5CF24F" w14:textId="77777777" w:rsidR="00327FF1" w:rsidRDefault="00E406C7">
      <w:pPr>
        <w:pStyle w:val="P68B1DB1-Normal7"/>
        <w:spacing w:before="120" w:after="120"/>
        <w:jc w:val="both"/>
        <w:rPr>
          <w:rFonts w:eastAsia="Calibri"/>
          <w:noProof/>
        </w:rPr>
      </w:pPr>
      <w:r>
        <w:rPr>
          <w:noProof/>
        </w:rPr>
        <w:t>Šā pasākuma mērķis ir definēt nosacījumus attiecībā uz koncesijas ilgumu, piešķīrēju iestāžu uzraudzības un kontroles pilnvarām, atjaunošanas procedūrām, iekārtu nodoša</w:t>
      </w:r>
      <w:r>
        <w:rPr>
          <w:noProof/>
        </w:rPr>
        <w:t>nu jaunajam koncesionāram koncesijas beigās un no koncesionāriem iekasējamo maksu minimālo ierobežojumu noteikšanu.</w:t>
      </w:r>
    </w:p>
    <w:p w14:paraId="0BC8BB5C" w14:textId="77777777" w:rsidR="00327FF1" w:rsidRDefault="00327FF1">
      <w:pPr>
        <w:spacing w:before="120" w:after="120"/>
        <w:jc w:val="both"/>
        <w:rPr>
          <w:rFonts w:ascii="Times New Roman" w:eastAsia="Calibri" w:hAnsi="Times New Roman" w:cs="Times New Roman"/>
          <w:noProof/>
        </w:rPr>
      </w:pPr>
    </w:p>
    <w:p w14:paraId="2EC87929" w14:textId="796550CA" w:rsidR="00327FF1" w:rsidRDefault="00E406C7">
      <w:pPr>
        <w:pStyle w:val="P68B1DB1-Normal5"/>
        <w:spacing w:before="120" w:after="120"/>
        <w:jc w:val="both"/>
        <w:rPr>
          <w:rFonts w:eastAsia="Calibri"/>
          <w:noProof/>
        </w:rPr>
      </w:pPr>
      <w:r>
        <w:rPr>
          <w:noProof/>
        </w:rPr>
        <w:t xml:space="preserve">Reforma. Atļauju vienkāršošana aukstās gludināšanas atļauju piešķiršanas procedūrām Itālijas ostās </w:t>
      </w:r>
    </w:p>
    <w:p w14:paraId="5BDCF156" w14:textId="77777777" w:rsidR="00327FF1" w:rsidRDefault="00E406C7">
      <w:pPr>
        <w:pStyle w:val="P68B1DB1-Normal7"/>
        <w:spacing w:before="120" w:after="120"/>
        <w:jc w:val="both"/>
        <w:rPr>
          <w:rFonts w:eastAsia="Calibri"/>
          <w:noProof/>
        </w:rPr>
      </w:pPr>
      <w:r>
        <w:rPr>
          <w:noProof/>
        </w:rPr>
        <w:t>Paredzams, ka šis pasākums vienkāršos u</w:t>
      </w:r>
      <w:r>
        <w:rPr>
          <w:noProof/>
        </w:rPr>
        <w:t>n samazinās atļauju piešķiršanas procedūru attiecībā uz valsts elektroenerģijas pārvades tīkla staciju būvniecību, lai darbinātu sadales sistēmas elektroenerģijas piegādei kuģiem (</w:t>
      </w:r>
      <w:r>
        <w:rPr>
          <w:i/>
          <w:noProof/>
        </w:rPr>
        <w:t>aukstā gludināšana</w:t>
      </w:r>
      <w:r>
        <w:rPr>
          <w:noProof/>
        </w:rPr>
        <w:t>).</w:t>
      </w:r>
    </w:p>
    <w:p w14:paraId="4623491B" w14:textId="77777777" w:rsidR="00327FF1" w:rsidRDefault="00E406C7">
      <w:pPr>
        <w:pStyle w:val="P68B1DB1-Normal7"/>
        <w:spacing w:before="120" w:after="120"/>
        <w:jc w:val="both"/>
        <w:rPr>
          <w:rFonts w:eastAsia="Calibri"/>
          <w:noProof/>
        </w:rPr>
      </w:pPr>
      <w:r>
        <w:rPr>
          <w:noProof/>
        </w:rPr>
        <w:t xml:space="preserve">Infrastruktūras un transporta ministrija iesniedz </w:t>
      </w:r>
      <w:r>
        <w:rPr>
          <w:noProof/>
        </w:rPr>
        <w:t>priekšlikumu atļauju piešķiršanas procesa racionalizēšanai. Jo īpaši tiek ierosināts, ka aukstās gludināšanas projektus izvērtē teritoriālie biroji, kas ziņo Ekonomikas attīstības ministrijai, kura varētu īsākā laikā izpētīt projektus un attiecīgi tos atļa</w:t>
      </w:r>
      <w:r>
        <w:rPr>
          <w:noProof/>
        </w:rPr>
        <w:t xml:space="preserve">ut. Turklāt ir jāparedz regulatīva iejaukšanās, lai noteiktu vienotu atļauju piešķiršanas procesu projektiem, kuru spriegums pārsniedz 132 kV, un pārējiem projektiem, lai izmantotu procesa sinerģiju. </w:t>
      </w:r>
    </w:p>
    <w:p w14:paraId="52B87AFB" w14:textId="77777777" w:rsidR="00327FF1" w:rsidRDefault="00E406C7">
      <w:pPr>
        <w:pStyle w:val="P68B1DB1-Normal5"/>
        <w:spacing w:before="120" w:after="120"/>
        <w:jc w:val="both"/>
        <w:rPr>
          <w:rFonts w:eastAsia="Calibri"/>
          <w:noProof/>
        </w:rPr>
      </w:pPr>
      <w:r>
        <w:rPr>
          <w:noProof/>
        </w:rPr>
        <w:t>Reforma Nr. 2.1. Vienotā muitas kontaktpunkta (“Sportel</w:t>
      </w:r>
      <w:r>
        <w:rPr>
          <w:noProof/>
        </w:rPr>
        <w:t>lo Unico Doganale”) ieviešana</w:t>
      </w:r>
    </w:p>
    <w:p w14:paraId="0A52D7C9" w14:textId="77777777" w:rsidR="00327FF1" w:rsidRDefault="00E406C7">
      <w:pPr>
        <w:pStyle w:val="P68B1DB1-Normal7"/>
        <w:spacing w:before="120" w:after="120"/>
        <w:jc w:val="both"/>
        <w:rPr>
          <w:noProof/>
        </w:rPr>
      </w:pPr>
      <w:r>
        <w:rPr>
          <w:noProof/>
        </w:rPr>
        <w:t>Mērķis ir izveidot īpašu vienotā kontroles dienesta portālu, kas nodrošinātu sadarbspēju ar valstu datubāzēm un muitas kontroles darbību koordināciju.</w:t>
      </w:r>
    </w:p>
    <w:p w14:paraId="272D0360" w14:textId="77777777" w:rsidR="00327FF1" w:rsidRDefault="00E406C7">
      <w:pPr>
        <w:pStyle w:val="P68B1DB1-Normal5"/>
        <w:spacing w:before="120" w:after="120"/>
        <w:jc w:val="both"/>
        <w:rPr>
          <w:bCs/>
          <w:noProof/>
        </w:rPr>
      </w:pPr>
      <w:r>
        <w:rPr>
          <w:noProof/>
        </w:rPr>
        <w:t>Investīcija 2.1: Loģistikas ķēdes digitalizācija</w:t>
      </w:r>
    </w:p>
    <w:p w14:paraId="04E74D0D" w14:textId="77777777" w:rsidR="00327FF1" w:rsidRDefault="00E406C7">
      <w:pPr>
        <w:pStyle w:val="P68B1DB1-Normal7"/>
        <w:spacing w:before="120" w:after="120"/>
        <w:jc w:val="both"/>
        <w:rPr>
          <w:noProof/>
        </w:rPr>
      </w:pPr>
      <w:r>
        <w:rPr>
          <w:noProof/>
        </w:rPr>
        <w:t>Šā ieguldījuma mērķis ir p</w:t>
      </w:r>
      <w:r>
        <w:rPr>
          <w:noProof/>
        </w:rPr>
        <w:t>alielināt valsts loģistikas konkurētspēju, vienkāršojot procedūras, procesus un kontroli un koncentrējoties uz dokumentu dematerializāciju un datu un informācijas apmaiņu. Šī investīcija ietver sadarbspējīgas digitālās sistēmas izveidi starp publiskā un pr</w:t>
      </w:r>
      <w:r>
        <w:rPr>
          <w:noProof/>
        </w:rPr>
        <w:t>ivātā sektora dalībniekiem kravu un loģistikas jomā.</w:t>
      </w:r>
    </w:p>
    <w:p w14:paraId="388390AA" w14:textId="77777777" w:rsidR="00327FF1" w:rsidRDefault="00E406C7">
      <w:pPr>
        <w:pStyle w:val="P68B1DB1-Normal5"/>
        <w:rPr>
          <w:bCs/>
          <w:noProof/>
        </w:rPr>
      </w:pPr>
      <w:r>
        <w:rPr>
          <w:noProof/>
        </w:rPr>
        <w:t>Ieguldījums 2.2.: Gaisa satiksmes pārvaldības digitalizācija.</w:t>
      </w:r>
    </w:p>
    <w:p w14:paraId="2A51924A" w14:textId="77777777" w:rsidR="00327FF1" w:rsidRDefault="00E406C7">
      <w:pPr>
        <w:pStyle w:val="P68B1DB1-Normal7"/>
        <w:spacing w:before="120" w:after="120"/>
        <w:jc w:val="both"/>
        <w:rPr>
          <w:rFonts w:eastAsia="Calibri"/>
          <w:noProof/>
        </w:rPr>
      </w:pPr>
      <w:r>
        <w:rPr>
          <w:noProof/>
        </w:rPr>
        <w:t>Šīs investīcijas mērķis ir izstrādāt jaunus rīkus aeronavigācijas informācijas digitalizācijai un bezpilota gaisa kuģu platformu un pakalpoju</w:t>
      </w:r>
      <w:r>
        <w:rPr>
          <w:noProof/>
        </w:rPr>
        <w:t>mu ieviešanai. Investīcija ietver bezpilota satiksmes pārvaldības sistēmas (UTMS) izstrādi un savienojamību, aeronavigācijas informācijas digitalizāciju un jauna tehniskās apkopes modeļa noteikšanu.</w:t>
      </w:r>
    </w:p>
    <w:p w14:paraId="1665F422" w14:textId="77777777" w:rsidR="00327FF1" w:rsidRDefault="00E406C7">
      <w:pPr>
        <w:pStyle w:val="paragraph"/>
        <w:spacing w:before="0" w:beforeAutospacing="0" w:after="0" w:afterAutospacing="0"/>
        <w:jc w:val="both"/>
        <w:textAlignment w:val="baseline"/>
        <w:rPr>
          <w:noProof/>
          <w:sz w:val="18"/>
          <w:szCs w:val="18"/>
        </w:rPr>
      </w:pPr>
      <w:r>
        <w:rPr>
          <w:rStyle w:val="normaltextrun"/>
          <w:b/>
          <w:noProof/>
        </w:rPr>
        <w:t>Investīcija 2.3.: Aukstā gludināšana</w:t>
      </w:r>
      <w:r>
        <w:rPr>
          <w:rStyle w:val="eop"/>
          <w:noProof/>
        </w:rPr>
        <w:t xml:space="preserve"> </w:t>
      </w:r>
    </w:p>
    <w:p w14:paraId="64CBB954" w14:textId="77777777" w:rsidR="00327FF1" w:rsidRDefault="00E406C7">
      <w:pPr>
        <w:pStyle w:val="paragraph"/>
        <w:spacing w:line="278" w:lineRule="auto"/>
        <w:jc w:val="both"/>
        <w:rPr>
          <w:rStyle w:val="normaltextrun"/>
          <w:noProof/>
          <w:sz w:val="22"/>
          <w:szCs w:val="22"/>
        </w:rPr>
      </w:pPr>
      <w:r>
        <w:rPr>
          <w:rStyle w:val="normaltextrun"/>
          <w:noProof/>
          <w:sz w:val="22"/>
          <w:szCs w:val="22"/>
        </w:rPr>
        <w:t>Šīs investīcijas mērķis ir samazināt siltumnīcefekta gāzu emisijas jūrniecības nozarē. Šis ieguldījums ietver elektroenerģijas piegādes tīkla izbūvi ostu teritorijās (dokos) un ar to saistītās infrastruktūras savienošanai ar valsts pārvades tīklu.</w:t>
      </w:r>
    </w:p>
    <w:p w14:paraId="60536842" w14:textId="34B37CE9" w:rsidR="00327FF1" w:rsidRDefault="00E406C7">
      <w:pPr>
        <w:pStyle w:val="paragraph"/>
        <w:spacing w:line="278" w:lineRule="auto"/>
        <w:jc w:val="both"/>
        <w:rPr>
          <w:rStyle w:val="eop"/>
          <w:noProof/>
          <w:sz w:val="22"/>
          <w:szCs w:val="22"/>
        </w:rPr>
        <w:sectPr w:rsidR="00327FF1" w:rsidSect="005F11B9">
          <w:headerReference w:type="even" r:id="rId152"/>
          <w:headerReference w:type="default" r:id="rId153"/>
          <w:footerReference w:type="even" r:id="rId154"/>
          <w:footerReference w:type="default" r:id="rId155"/>
          <w:headerReference w:type="first" r:id="rId156"/>
          <w:footerReference w:type="first" r:id="rId157"/>
          <w:pgSz w:w="11907" w:h="16839"/>
          <w:pgMar w:top="1134" w:right="1134" w:bottom="1134" w:left="1134" w:header="567" w:footer="567" w:gutter="0"/>
          <w:cols w:space="720"/>
          <w:docGrid w:linePitch="360"/>
        </w:sectPr>
      </w:pPr>
      <w:r>
        <w:rPr>
          <w:rStyle w:val="eop"/>
          <w:noProof/>
          <w:sz w:val="22"/>
          <w:szCs w:val="22"/>
        </w:rPr>
        <w:t xml:space="preserve"> </w:t>
      </w:r>
    </w:p>
    <w:p w14:paraId="7AD396BF" w14:textId="77777777" w:rsidR="00327FF1" w:rsidRDefault="00E406C7">
      <w:pPr>
        <w:pStyle w:val="P68B1DB1-Heading39"/>
        <w:ind w:left="850" w:hanging="850"/>
        <w:rPr>
          <w:b/>
          <w:bCs/>
          <w:i/>
          <w:iCs/>
          <w:noProof/>
          <w:u w:val="single"/>
        </w:rPr>
      </w:pPr>
      <w:r>
        <w:rPr>
          <w:b/>
          <w:noProof/>
          <w:u w:val="single"/>
        </w:rPr>
        <w:t xml:space="preserve">I.2. </w:t>
      </w:r>
      <w:r>
        <w:rPr>
          <w:noProof/>
        </w:rPr>
        <w:t xml:space="preserve"> </w:t>
      </w:r>
      <w:r>
        <w:rPr>
          <w:b/>
          <w:noProof/>
          <w:u w:val="single"/>
        </w:rPr>
        <w:t>Starpposma mērķi, mērķrādītāji, rādītāji un neatmaksājama finansiālā atbalsta uzraudzības un īstenošanas grafiks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1253"/>
        <w:gridCol w:w="1579"/>
        <w:gridCol w:w="1234"/>
        <w:gridCol w:w="1342"/>
        <w:gridCol w:w="1117"/>
        <w:gridCol w:w="1269"/>
        <w:gridCol w:w="1117"/>
        <w:gridCol w:w="1236"/>
        <w:gridCol w:w="583"/>
        <w:gridCol w:w="3112"/>
      </w:tblGrid>
      <w:tr w:rsidR="00327FF1" w14:paraId="13411E8B" w14:textId="77777777">
        <w:trPr>
          <w:trHeight w:val="927"/>
          <w:tblHeader/>
          <w:jc w:val="center"/>
        </w:trPr>
        <w:tc>
          <w:tcPr>
            <w:tcW w:w="1051" w:type="dxa"/>
            <w:vMerge w:val="restart"/>
            <w:shd w:val="clear" w:color="auto" w:fill="BDD7EE"/>
            <w:vAlign w:val="center"/>
            <w:hideMark/>
          </w:tcPr>
          <w:p w14:paraId="224B175F" w14:textId="77777777" w:rsidR="00327FF1" w:rsidRDefault="00E406C7">
            <w:pPr>
              <w:pStyle w:val="P68B1DB1-Normal10"/>
              <w:jc w:val="center"/>
              <w:rPr>
                <w:noProof/>
                <w:szCs w:val="20"/>
              </w:rPr>
            </w:pPr>
            <w:r>
              <w:rPr>
                <w:noProof/>
              </w:rPr>
              <w:t>kārtas numurs</w:t>
            </w:r>
          </w:p>
        </w:tc>
        <w:tc>
          <w:tcPr>
            <w:tcW w:w="1345" w:type="dxa"/>
            <w:vMerge w:val="restart"/>
            <w:shd w:val="clear" w:color="auto" w:fill="BDD7EE"/>
            <w:vAlign w:val="center"/>
            <w:hideMark/>
          </w:tcPr>
          <w:p w14:paraId="35CC6643" w14:textId="77777777" w:rsidR="00327FF1" w:rsidRDefault="00E406C7">
            <w:pPr>
              <w:pStyle w:val="P68B1DB1-Normal10"/>
              <w:jc w:val="center"/>
              <w:rPr>
                <w:noProof/>
                <w:szCs w:val="20"/>
              </w:rPr>
            </w:pPr>
            <w:r>
              <w:rPr>
                <w:noProof/>
              </w:rPr>
              <w:t>Saistītais pasākums (reforma vai ieguldījums)</w:t>
            </w:r>
          </w:p>
        </w:tc>
        <w:tc>
          <w:tcPr>
            <w:tcW w:w="977" w:type="dxa"/>
            <w:vMerge w:val="restart"/>
            <w:shd w:val="clear" w:color="auto" w:fill="BDD7EE"/>
            <w:vAlign w:val="center"/>
            <w:hideMark/>
          </w:tcPr>
          <w:p w14:paraId="7D7BEE81" w14:textId="77777777" w:rsidR="00327FF1" w:rsidRDefault="00E406C7">
            <w:pPr>
              <w:pStyle w:val="P68B1DB1-Normal10"/>
              <w:jc w:val="center"/>
              <w:rPr>
                <w:noProof/>
                <w:szCs w:val="20"/>
              </w:rPr>
            </w:pPr>
            <w:r>
              <w:rPr>
                <w:noProof/>
              </w:rPr>
              <w:t xml:space="preserve">Atskaites </w:t>
            </w:r>
            <w:r>
              <w:rPr>
                <w:noProof/>
              </w:rPr>
              <w:t>punkts/mērķrādītājs</w:t>
            </w:r>
          </w:p>
        </w:tc>
        <w:tc>
          <w:tcPr>
            <w:tcW w:w="1380" w:type="dxa"/>
            <w:vMerge w:val="restart"/>
            <w:shd w:val="clear" w:color="auto" w:fill="BDD7EE"/>
            <w:vAlign w:val="center"/>
            <w:hideMark/>
          </w:tcPr>
          <w:p w14:paraId="1679C6B9" w14:textId="77777777" w:rsidR="00327FF1" w:rsidRDefault="00E406C7">
            <w:pPr>
              <w:pStyle w:val="P68B1DB1-Normal10"/>
              <w:jc w:val="center"/>
              <w:rPr>
                <w:noProof/>
                <w:szCs w:val="20"/>
              </w:rPr>
            </w:pPr>
            <w:r>
              <w:rPr>
                <w:noProof/>
              </w:rPr>
              <w:t>Nosaukums</w:t>
            </w:r>
          </w:p>
        </w:tc>
        <w:tc>
          <w:tcPr>
            <w:tcW w:w="1504" w:type="dxa"/>
            <w:vMerge w:val="restart"/>
            <w:shd w:val="clear" w:color="auto" w:fill="BDD7EE"/>
            <w:vAlign w:val="center"/>
            <w:hideMark/>
          </w:tcPr>
          <w:p w14:paraId="58C9646C" w14:textId="77777777"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2764" w:type="dxa"/>
            <w:gridSpan w:val="3"/>
            <w:shd w:val="clear" w:color="auto" w:fill="BDD7EE"/>
            <w:vAlign w:val="center"/>
            <w:hideMark/>
          </w:tcPr>
          <w:p w14:paraId="411E6C6F" w14:textId="77777777" w:rsidR="00327FF1" w:rsidRDefault="00E406C7">
            <w:pPr>
              <w:jc w:val="center"/>
              <w:rPr>
                <w:rFonts w:ascii="Arial Narrow" w:hAnsi="Arial Narrow"/>
                <w:b/>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2012" w:type="dxa"/>
            <w:gridSpan w:val="2"/>
            <w:shd w:val="clear" w:color="auto" w:fill="BDD7EE"/>
            <w:vAlign w:val="center"/>
            <w:hideMark/>
          </w:tcPr>
          <w:p w14:paraId="4732B910" w14:textId="77777777" w:rsidR="00327FF1" w:rsidRDefault="00E406C7">
            <w:pPr>
              <w:pStyle w:val="P68B1DB1-Normal10"/>
              <w:jc w:val="center"/>
              <w:rPr>
                <w:noProof/>
                <w:szCs w:val="20"/>
              </w:rPr>
            </w:pPr>
            <w:r>
              <w:rPr>
                <w:noProof/>
              </w:rPr>
              <w:t>Orientējošs pabeigšanas termiņš</w:t>
            </w:r>
          </w:p>
        </w:tc>
        <w:tc>
          <w:tcPr>
            <w:tcW w:w="3528" w:type="dxa"/>
            <w:vMerge w:val="restart"/>
            <w:shd w:val="clear" w:color="auto" w:fill="BDD7EE"/>
            <w:vAlign w:val="center"/>
            <w:hideMark/>
          </w:tcPr>
          <w:p w14:paraId="7FF27360" w14:textId="77777777" w:rsidR="00327FF1" w:rsidRDefault="00E406C7">
            <w:pPr>
              <w:pStyle w:val="P68B1DB1-Normal10"/>
              <w:jc w:val="center"/>
              <w:rPr>
                <w:noProof/>
                <w:szCs w:val="20"/>
              </w:rPr>
            </w:pPr>
            <w:r>
              <w:rPr>
                <w:noProof/>
              </w:rPr>
              <w:t>Apraksts par katru atskaites punktu un mērķrādītāju</w:t>
            </w:r>
          </w:p>
        </w:tc>
      </w:tr>
      <w:tr w:rsidR="00327FF1" w14:paraId="2C38A6E9" w14:textId="77777777">
        <w:trPr>
          <w:trHeight w:val="1013"/>
          <w:jc w:val="center"/>
        </w:trPr>
        <w:tc>
          <w:tcPr>
            <w:tcW w:w="1051" w:type="dxa"/>
            <w:vMerge/>
            <w:vAlign w:val="center"/>
            <w:hideMark/>
          </w:tcPr>
          <w:p w14:paraId="443D66EE" w14:textId="77777777" w:rsidR="00327FF1" w:rsidRDefault="00327FF1">
            <w:pPr>
              <w:jc w:val="center"/>
              <w:rPr>
                <w:rFonts w:ascii="Arial Narrow" w:hAnsi="Arial Narrow"/>
                <w:b/>
                <w:bCs/>
                <w:noProof/>
                <w:sz w:val="20"/>
                <w:szCs w:val="20"/>
              </w:rPr>
            </w:pPr>
          </w:p>
        </w:tc>
        <w:tc>
          <w:tcPr>
            <w:tcW w:w="1345" w:type="dxa"/>
            <w:vMerge/>
            <w:vAlign w:val="center"/>
            <w:hideMark/>
          </w:tcPr>
          <w:p w14:paraId="02A2874A" w14:textId="77777777" w:rsidR="00327FF1" w:rsidRDefault="00327FF1">
            <w:pPr>
              <w:jc w:val="center"/>
              <w:rPr>
                <w:rFonts w:ascii="Arial Narrow" w:hAnsi="Arial Narrow"/>
                <w:b/>
                <w:bCs/>
                <w:noProof/>
                <w:sz w:val="20"/>
                <w:szCs w:val="20"/>
              </w:rPr>
            </w:pPr>
          </w:p>
        </w:tc>
        <w:tc>
          <w:tcPr>
            <w:tcW w:w="977" w:type="dxa"/>
            <w:vMerge/>
            <w:vAlign w:val="center"/>
            <w:hideMark/>
          </w:tcPr>
          <w:p w14:paraId="302CD8A8" w14:textId="77777777" w:rsidR="00327FF1" w:rsidRDefault="00327FF1">
            <w:pPr>
              <w:jc w:val="center"/>
              <w:rPr>
                <w:rFonts w:ascii="Arial Narrow" w:hAnsi="Arial Narrow"/>
                <w:b/>
                <w:bCs/>
                <w:noProof/>
                <w:sz w:val="20"/>
                <w:szCs w:val="20"/>
              </w:rPr>
            </w:pPr>
          </w:p>
        </w:tc>
        <w:tc>
          <w:tcPr>
            <w:tcW w:w="1380" w:type="dxa"/>
            <w:vMerge/>
            <w:vAlign w:val="center"/>
            <w:hideMark/>
          </w:tcPr>
          <w:p w14:paraId="43807668" w14:textId="77777777" w:rsidR="00327FF1" w:rsidRDefault="00327FF1">
            <w:pPr>
              <w:jc w:val="center"/>
              <w:rPr>
                <w:rFonts w:ascii="Arial Narrow" w:hAnsi="Arial Narrow"/>
                <w:b/>
                <w:bCs/>
                <w:noProof/>
                <w:sz w:val="20"/>
                <w:szCs w:val="20"/>
              </w:rPr>
            </w:pPr>
          </w:p>
        </w:tc>
        <w:tc>
          <w:tcPr>
            <w:tcW w:w="1504" w:type="dxa"/>
            <w:vMerge/>
            <w:vAlign w:val="center"/>
            <w:hideMark/>
          </w:tcPr>
          <w:p w14:paraId="324B484D" w14:textId="77777777" w:rsidR="00327FF1" w:rsidRDefault="00327FF1">
            <w:pPr>
              <w:jc w:val="center"/>
              <w:rPr>
                <w:rFonts w:ascii="Arial Narrow" w:hAnsi="Arial Narrow"/>
                <w:b/>
                <w:bCs/>
                <w:noProof/>
                <w:sz w:val="20"/>
                <w:szCs w:val="20"/>
              </w:rPr>
            </w:pPr>
          </w:p>
        </w:tc>
        <w:tc>
          <w:tcPr>
            <w:tcW w:w="1060" w:type="dxa"/>
            <w:shd w:val="clear" w:color="auto" w:fill="BDD7EE"/>
            <w:vAlign w:val="center"/>
            <w:hideMark/>
          </w:tcPr>
          <w:p w14:paraId="0D21879E" w14:textId="77777777" w:rsidR="00327FF1" w:rsidRDefault="00E406C7">
            <w:pPr>
              <w:pStyle w:val="P68B1DB1-Normal10"/>
              <w:jc w:val="center"/>
              <w:rPr>
                <w:noProof/>
                <w:szCs w:val="20"/>
              </w:rPr>
            </w:pPr>
            <w:r>
              <w:rPr>
                <w:noProof/>
              </w:rPr>
              <w:t>Mēra vienība</w:t>
            </w:r>
          </w:p>
        </w:tc>
        <w:tc>
          <w:tcPr>
            <w:tcW w:w="942" w:type="dxa"/>
            <w:shd w:val="clear" w:color="auto" w:fill="BDD7EE"/>
            <w:vAlign w:val="center"/>
            <w:hideMark/>
          </w:tcPr>
          <w:p w14:paraId="5A5C837A" w14:textId="77777777" w:rsidR="00327FF1" w:rsidRDefault="00E406C7">
            <w:pPr>
              <w:pStyle w:val="P68B1DB1-Normal10"/>
              <w:jc w:val="center"/>
              <w:rPr>
                <w:noProof/>
                <w:szCs w:val="20"/>
              </w:rPr>
            </w:pPr>
            <w:r>
              <w:rPr>
                <w:noProof/>
              </w:rPr>
              <w:t>Pamatscenārijs</w:t>
            </w:r>
          </w:p>
        </w:tc>
        <w:tc>
          <w:tcPr>
            <w:tcW w:w="762" w:type="dxa"/>
            <w:shd w:val="clear" w:color="auto" w:fill="BDD7EE"/>
            <w:vAlign w:val="center"/>
            <w:hideMark/>
          </w:tcPr>
          <w:p w14:paraId="2A2CB950" w14:textId="77777777" w:rsidR="00327FF1" w:rsidRDefault="00E406C7">
            <w:pPr>
              <w:pStyle w:val="P68B1DB1-Normal10"/>
              <w:jc w:val="center"/>
              <w:rPr>
                <w:noProof/>
                <w:szCs w:val="20"/>
              </w:rPr>
            </w:pPr>
            <w:r>
              <w:rPr>
                <w:noProof/>
              </w:rPr>
              <w:t>Mērķis</w:t>
            </w:r>
          </w:p>
        </w:tc>
        <w:tc>
          <w:tcPr>
            <w:tcW w:w="1383" w:type="dxa"/>
            <w:shd w:val="clear" w:color="auto" w:fill="BDD7EE"/>
            <w:vAlign w:val="center"/>
            <w:hideMark/>
          </w:tcPr>
          <w:p w14:paraId="10CDEB50" w14:textId="77777777" w:rsidR="00327FF1" w:rsidRDefault="00E406C7">
            <w:pPr>
              <w:pStyle w:val="P68B1DB1-Normal10"/>
              <w:jc w:val="center"/>
              <w:rPr>
                <w:noProof/>
                <w:szCs w:val="20"/>
              </w:rPr>
            </w:pPr>
            <w:r>
              <w:rPr>
                <w:noProof/>
              </w:rPr>
              <w:t xml:space="preserve">Ceturkšņa </w:t>
            </w:r>
            <w:r>
              <w:rPr>
                <w:noProof/>
              </w:rPr>
              <w:t>laikā</w:t>
            </w:r>
          </w:p>
        </w:tc>
        <w:tc>
          <w:tcPr>
            <w:tcW w:w="629" w:type="dxa"/>
            <w:shd w:val="clear" w:color="auto" w:fill="BDD7EE"/>
            <w:vAlign w:val="center"/>
            <w:hideMark/>
          </w:tcPr>
          <w:p w14:paraId="46C906D9" w14:textId="77777777" w:rsidR="00327FF1" w:rsidRDefault="00E406C7">
            <w:pPr>
              <w:pStyle w:val="P68B1DB1-Normal10"/>
              <w:jc w:val="center"/>
              <w:rPr>
                <w:noProof/>
                <w:szCs w:val="20"/>
              </w:rPr>
            </w:pPr>
            <w:r>
              <w:rPr>
                <w:noProof/>
              </w:rPr>
              <w:t>Gadu</w:t>
            </w:r>
          </w:p>
        </w:tc>
        <w:tc>
          <w:tcPr>
            <w:tcW w:w="3528" w:type="dxa"/>
            <w:vMerge/>
            <w:vAlign w:val="center"/>
            <w:hideMark/>
          </w:tcPr>
          <w:p w14:paraId="291881CF" w14:textId="77777777" w:rsidR="00327FF1" w:rsidRDefault="00327FF1">
            <w:pPr>
              <w:rPr>
                <w:rFonts w:ascii="Arial Narrow" w:hAnsi="Arial Narrow"/>
                <w:b/>
                <w:bCs/>
                <w:noProof/>
                <w:sz w:val="20"/>
                <w:szCs w:val="20"/>
              </w:rPr>
            </w:pPr>
          </w:p>
        </w:tc>
      </w:tr>
      <w:tr w:rsidR="00327FF1" w14:paraId="7AE8F155" w14:textId="77777777">
        <w:trPr>
          <w:trHeight w:val="309"/>
          <w:jc w:val="center"/>
        </w:trPr>
        <w:tc>
          <w:tcPr>
            <w:tcW w:w="1051" w:type="dxa"/>
            <w:shd w:val="clear" w:color="auto" w:fill="C6EFCE"/>
            <w:noWrap/>
            <w:vAlign w:val="center"/>
            <w:hideMark/>
          </w:tcPr>
          <w:p w14:paraId="146801C7" w14:textId="77777777" w:rsidR="00327FF1" w:rsidRDefault="00E406C7">
            <w:pPr>
              <w:pStyle w:val="P68B1DB1-Normal11"/>
              <w:jc w:val="center"/>
              <w:rPr>
                <w:noProof/>
                <w:szCs w:val="20"/>
              </w:rPr>
            </w:pPr>
            <w:r>
              <w:rPr>
                <w:noProof/>
              </w:rPr>
              <w:t>M3C2–1</w:t>
            </w:r>
          </w:p>
        </w:tc>
        <w:tc>
          <w:tcPr>
            <w:tcW w:w="1345" w:type="dxa"/>
            <w:shd w:val="clear" w:color="auto" w:fill="C6EFCE"/>
            <w:noWrap/>
            <w:vAlign w:val="center"/>
          </w:tcPr>
          <w:p w14:paraId="7518ED8E" w14:textId="77777777" w:rsidR="00327FF1" w:rsidRDefault="00E406C7">
            <w:pPr>
              <w:pStyle w:val="P68B1DB1-Normal11"/>
              <w:spacing w:line="257" w:lineRule="auto"/>
              <w:jc w:val="center"/>
              <w:rPr>
                <w:noProof/>
                <w:szCs w:val="20"/>
              </w:rPr>
            </w:pPr>
            <w:r>
              <w:rPr>
                <w:noProof/>
              </w:rPr>
              <w:t>Reforma. Stratēģiskās plānošanas procesa procedūru vienkāršošana</w:t>
            </w:r>
          </w:p>
        </w:tc>
        <w:tc>
          <w:tcPr>
            <w:tcW w:w="977" w:type="dxa"/>
            <w:shd w:val="clear" w:color="auto" w:fill="C6EFCE"/>
            <w:noWrap/>
            <w:vAlign w:val="center"/>
          </w:tcPr>
          <w:p w14:paraId="585E5E9D" w14:textId="77777777" w:rsidR="00327FF1" w:rsidRDefault="00E406C7">
            <w:pPr>
              <w:pStyle w:val="P68B1DB1-Normal11"/>
              <w:jc w:val="center"/>
              <w:rPr>
                <w:noProof/>
                <w:szCs w:val="20"/>
              </w:rPr>
            </w:pPr>
            <w:r>
              <w:rPr>
                <w:noProof/>
              </w:rPr>
              <w:t>Atskaites punkts</w:t>
            </w:r>
          </w:p>
        </w:tc>
        <w:tc>
          <w:tcPr>
            <w:tcW w:w="1380" w:type="dxa"/>
            <w:shd w:val="clear" w:color="auto" w:fill="C6EFCE"/>
            <w:noWrap/>
            <w:vAlign w:val="center"/>
          </w:tcPr>
          <w:p w14:paraId="37609AF5" w14:textId="77777777" w:rsidR="00327FF1" w:rsidRDefault="00E406C7">
            <w:pPr>
              <w:pStyle w:val="P68B1DB1-Normal11"/>
              <w:jc w:val="center"/>
              <w:rPr>
                <w:noProof/>
                <w:szCs w:val="20"/>
              </w:rPr>
            </w:pPr>
            <w:r>
              <w:rPr>
                <w:noProof/>
              </w:rPr>
              <w:t>Stājas spēkā tiesību aktu grozījumi, kas saistīti ar stratēģiskās plānošanas procesa procedūru vienkāršošanu</w:t>
            </w:r>
          </w:p>
        </w:tc>
        <w:tc>
          <w:tcPr>
            <w:tcW w:w="1504" w:type="dxa"/>
            <w:shd w:val="clear" w:color="auto" w:fill="C6EFCE"/>
            <w:noWrap/>
            <w:vAlign w:val="center"/>
          </w:tcPr>
          <w:p w14:paraId="10256E64" w14:textId="3ED94AF2" w:rsidR="00327FF1" w:rsidRDefault="00E406C7">
            <w:pPr>
              <w:pStyle w:val="P68B1DB1-Normal11"/>
              <w:jc w:val="center"/>
              <w:rPr>
                <w:noProof/>
                <w:szCs w:val="20"/>
              </w:rPr>
            </w:pPr>
            <w:r>
              <w:rPr>
                <w:noProof/>
              </w:rPr>
              <w:t xml:space="preserve">Tiesību akta(-u) noteikums, kas norāda, ka </w:t>
            </w:r>
            <w:r>
              <w:rPr>
                <w:noProof/>
              </w:rPr>
              <w:t>stājas spēkā tiesību aktu grozījumi, kas saistīti ar stratēģiskās plānošanas procesa procedūru vienkāršošanu</w:t>
            </w:r>
          </w:p>
        </w:tc>
        <w:tc>
          <w:tcPr>
            <w:tcW w:w="1060" w:type="dxa"/>
            <w:shd w:val="clear" w:color="auto" w:fill="C6EFCE"/>
            <w:noWrap/>
            <w:vAlign w:val="center"/>
          </w:tcPr>
          <w:p w14:paraId="0708AD73" w14:textId="77777777" w:rsidR="00327FF1" w:rsidRDefault="00E406C7">
            <w:pPr>
              <w:pStyle w:val="P68B1DB1-Normal11"/>
              <w:jc w:val="center"/>
              <w:rPr>
                <w:noProof/>
                <w:szCs w:val="20"/>
              </w:rPr>
            </w:pPr>
            <w:r>
              <w:rPr>
                <w:noProof/>
              </w:rPr>
              <w:t>NEPIEMĒRO</w:t>
            </w:r>
          </w:p>
        </w:tc>
        <w:tc>
          <w:tcPr>
            <w:tcW w:w="942" w:type="dxa"/>
            <w:shd w:val="clear" w:color="auto" w:fill="C6EFCE"/>
            <w:noWrap/>
            <w:vAlign w:val="center"/>
          </w:tcPr>
          <w:p w14:paraId="72F2D450" w14:textId="77777777" w:rsidR="00327FF1" w:rsidRDefault="00E406C7">
            <w:pPr>
              <w:pStyle w:val="P68B1DB1-Normal11"/>
              <w:jc w:val="center"/>
              <w:rPr>
                <w:noProof/>
                <w:szCs w:val="20"/>
              </w:rPr>
            </w:pPr>
            <w:r>
              <w:rPr>
                <w:noProof/>
              </w:rPr>
              <w:t>NEPIEMĒRO</w:t>
            </w:r>
          </w:p>
        </w:tc>
        <w:tc>
          <w:tcPr>
            <w:tcW w:w="762" w:type="dxa"/>
            <w:shd w:val="clear" w:color="auto" w:fill="C6EFCE"/>
            <w:noWrap/>
            <w:vAlign w:val="center"/>
          </w:tcPr>
          <w:p w14:paraId="68C80276" w14:textId="77777777" w:rsidR="00327FF1" w:rsidRDefault="00E406C7">
            <w:pPr>
              <w:pStyle w:val="P68B1DB1-Normal11"/>
              <w:jc w:val="center"/>
              <w:rPr>
                <w:noProof/>
                <w:szCs w:val="20"/>
              </w:rPr>
            </w:pPr>
            <w:r>
              <w:rPr>
                <w:noProof/>
              </w:rPr>
              <w:t>NEPIEMĒRO</w:t>
            </w:r>
          </w:p>
        </w:tc>
        <w:tc>
          <w:tcPr>
            <w:tcW w:w="1383" w:type="dxa"/>
            <w:shd w:val="clear" w:color="auto" w:fill="C6EFCE"/>
            <w:noWrap/>
            <w:vAlign w:val="center"/>
          </w:tcPr>
          <w:p w14:paraId="5C135D61" w14:textId="77777777" w:rsidR="00327FF1" w:rsidRDefault="00E406C7">
            <w:pPr>
              <w:pStyle w:val="P68B1DB1-Normal11"/>
              <w:jc w:val="center"/>
              <w:rPr>
                <w:noProof/>
                <w:szCs w:val="20"/>
              </w:rPr>
            </w:pPr>
            <w:r>
              <w:rPr>
                <w:noProof/>
              </w:rPr>
              <w:t>4. CET.</w:t>
            </w:r>
          </w:p>
        </w:tc>
        <w:tc>
          <w:tcPr>
            <w:tcW w:w="629" w:type="dxa"/>
            <w:shd w:val="clear" w:color="auto" w:fill="C6EFCE"/>
            <w:noWrap/>
            <w:vAlign w:val="center"/>
          </w:tcPr>
          <w:p w14:paraId="6DF23D62" w14:textId="77777777" w:rsidR="00327FF1" w:rsidRDefault="00E406C7">
            <w:pPr>
              <w:pStyle w:val="P68B1DB1-Normal11"/>
              <w:jc w:val="center"/>
              <w:rPr>
                <w:noProof/>
                <w:szCs w:val="20"/>
              </w:rPr>
            </w:pPr>
            <w:r>
              <w:rPr>
                <w:noProof/>
              </w:rPr>
              <w:t>2022</w:t>
            </w:r>
          </w:p>
        </w:tc>
        <w:tc>
          <w:tcPr>
            <w:tcW w:w="3528" w:type="dxa"/>
            <w:shd w:val="clear" w:color="auto" w:fill="C6EFCE"/>
            <w:noWrap/>
            <w:vAlign w:val="center"/>
          </w:tcPr>
          <w:p w14:paraId="0129CF11" w14:textId="77777777" w:rsidR="00327FF1" w:rsidRDefault="00E406C7">
            <w:pPr>
              <w:pStyle w:val="P68B1DB1-Normal11"/>
              <w:rPr>
                <w:noProof/>
                <w:szCs w:val="20"/>
              </w:rPr>
            </w:pPr>
            <w:r>
              <w:rPr>
                <w:noProof/>
              </w:rPr>
              <w:t>Pārskatītajā tiesiskajā regulējumā nosaka, ka:</w:t>
            </w:r>
          </w:p>
          <w:p w14:paraId="3BF97965" w14:textId="77777777" w:rsidR="00327FF1" w:rsidRDefault="00E406C7">
            <w:pPr>
              <w:pStyle w:val="P68B1DB1-Normal11"/>
              <w:rPr>
                <w:noProof/>
                <w:szCs w:val="20"/>
              </w:rPr>
            </w:pPr>
            <w:r>
              <w:rPr>
                <w:noProof/>
              </w:rPr>
              <w:t xml:space="preserve">— Visas ostu iestādes pieņem savus sistēmas stratēģiskās </w:t>
            </w:r>
            <w:r>
              <w:rPr>
                <w:noProof/>
              </w:rPr>
              <w:t>plānošanas dokumentus (DPSS) un ostu regulatīvos plānus (PRP), pilnībā ņemot vērā Itālijas ostu sistēmu reformu 2016. gadā, kas apstiprināta ar 2016. gada 4. augusta Likumdošanas dekrētu Nr. 169.</w:t>
            </w:r>
          </w:p>
          <w:p w14:paraId="6CB2F6B3" w14:textId="77777777" w:rsidR="00327FF1" w:rsidRDefault="00E406C7">
            <w:pPr>
              <w:pStyle w:val="P68B1DB1-Normal11"/>
              <w:rPr>
                <w:noProof/>
                <w:szCs w:val="20"/>
              </w:rPr>
            </w:pPr>
            <w:r>
              <w:rPr>
                <w:noProof/>
              </w:rPr>
              <w:t>DPSS reglamentē vismaz šādus elementus:</w:t>
            </w:r>
          </w:p>
          <w:p w14:paraId="28AF229F" w14:textId="311CFF9B" w:rsidR="00327FF1" w:rsidRDefault="00E406C7">
            <w:pPr>
              <w:pStyle w:val="P68B1DB1-Normal11"/>
              <w:rPr>
                <w:noProof/>
                <w:szCs w:val="20"/>
              </w:rPr>
            </w:pPr>
            <w:r>
              <w:rPr>
                <w:noProof/>
              </w:rPr>
              <w:t>Ostu sistēmas iestāž</w:t>
            </w:r>
            <w:r>
              <w:rPr>
                <w:noProof/>
              </w:rPr>
              <w:t>u mērķu izstrādi;</w:t>
            </w:r>
          </w:p>
          <w:p w14:paraId="61CFEF52" w14:textId="77777777" w:rsidR="00327FF1" w:rsidRDefault="00E406C7">
            <w:pPr>
              <w:pStyle w:val="P68B1DB1-Normal11"/>
              <w:rPr>
                <w:noProof/>
                <w:szCs w:val="20"/>
              </w:rPr>
            </w:pPr>
            <w:r>
              <w:rPr>
                <w:noProof/>
              </w:rPr>
              <w:t>—Noteiktās un ieskicētās zonas, kas paredzētas tikai ostas un aizmugures ostas funkcijām,</w:t>
            </w:r>
          </w:p>
          <w:p w14:paraId="011D1A86" w14:textId="77777777" w:rsidR="00327FF1" w:rsidRDefault="00E406C7">
            <w:pPr>
              <w:pStyle w:val="P68B1DB1-Normal11"/>
              <w:rPr>
                <w:noProof/>
                <w:szCs w:val="20"/>
              </w:rPr>
            </w:pPr>
            <w:r>
              <w:rPr>
                <w:noProof/>
              </w:rPr>
              <w:t>Pēdējā kilometra autoceļu un dzelzceļa infrastruktūras savienojumi ar ostām,</w:t>
            </w:r>
          </w:p>
          <w:p w14:paraId="548F3236" w14:textId="77777777" w:rsidR="00327FF1" w:rsidRDefault="00E406C7">
            <w:pPr>
              <w:pStyle w:val="P68B1DB1-Normal11"/>
              <w:rPr>
                <w:noProof/>
                <w:szCs w:val="20"/>
              </w:rPr>
            </w:pPr>
            <w:r>
              <w:rPr>
                <w:noProof/>
              </w:rPr>
              <w:t>Kritēriji, pēc kuriem nosaka plānošanas saturu,</w:t>
            </w:r>
          </w:p>
          <w:p w14:paraId="14862FEA" w14:textId="77777777" w:rsidR="00327FF1" w:rsidRDefault="00E406C7">
            <w:pPr>
              <w:pStyle w:val="P68B1DB1-Normal11"/>
              <w:rPr>
                <w:noProof/>
                <w:szCs w:val="20"/>
              </w:rPr>
            </w:pPr>
            <w:r>
              <w:rPr>
                <w:noProof/>
              </w:rPr>
              <w:t>Skaidri noteikt vadlīni</w:t>
            </w:r>
            <w:r>
              <w:rPr>
                <w:noProof/>
              </w:rPr>
              <w:t>jas, noteikumus un procedūras ostas regulatīvo plānu sagatavošanai.</w:t>
            </w:r>
          </w:p>
        </w:tc>
      </w:tr>
      <w:tr w:rsidR="00327FF1" w14:paraId="20F02216" w14:textId="77777777">
        <w:trPr>
          <w:trHeight w:val="309"/>
          <w:jc w:val="center"/>
        </w:trPr>
        <w:tc>
          <w:tcPr>
            <w:tcW w:w="1051" w:type="dxa"/>
            <w:shd w:val="clear" w:color="auto" w:fill="C6EFCE"/>
            <w:noWrap/>
            <w:vAlign w:val="center"/>
          </w:tcPr>
          <w:p w14:paraId="557F351A" w14:textId="77777777" w:rsidR="00327FF1" w:rsidRDefault="00E406C7">
            <w:pPr>
              <w:pStyle w:val="P68B1DB1-Normal11"/>
              <w:jc w:val="center"/>
              <w:rPr>
                <w:noProof/>
                <w:szCs w:val="20"/>
              </w:rPr>
            </w:pPr>
            <w:r>
              <w:rPr>
                <w:noProof/>
              </w:rPr>
              <w:t>M3C2–2</w:t>
            </w:r>
          </w:p>
        </w:tc>
        <w:tc>
          <w:tcPr>
            <w:tcW w:w="1345" w:type="dxa"/>
            <w:shd w:val="clear" w:color="auto" w:fill="C6EFCE"/>
            <w:noWrap/>
            <w:vAlign w:val="center"/>
          </w:tcPr>
          <w:p w14:paraId="0C24FD97" w14:textId="77777777" w:rsidR="00327FF1" w:rsidRDefault="00E406C7">
            <w:pPr>
              <w:pStyle w:val="P68B1DB1-Normal11"/>
              <w:jc w:val="center"/>
              <w:rPr>
                <w:noProof/>
                <w:szCs w:val="20"/>
              </w:rPr>
            </w:pPr>
            <w:r>
              <w:rPr>
                <w:noProof/>
              </w:rPr>
              <w:t>Reforma. Konkurētspējīga koncesiju piešķiršana Itālijas ostās</w:t>
            </w:r>
          </w:p>
        </w:tc>
        <w:tc>
          <w:tcPr>
            <w:tcW w:w="977" w:type="dxa"/>
            <w:shd w:val="clear" w:color="auto" w:fill="C6EFCE"/>
            <w:noWrap/>
            <w:vAlign w:val="center"/>
          </w:tcPr>
          <w:p w14:paraId="022146DA" w14:textId="77777777" w:rsidR="00327FF1" w:rsidRDefault="00E406C7">
            <w:pPr>
              <w:pStyle w:val="P68B1DB1-Normal11"/>
              <w:jc w:val="center"/>
              <w:rPr>
                <w:noProof/>
                <w:szCs w:val="20"/>
              </w:rPr>
            </w:pPr>
            <w:r>
              <w:rPr>
                <w:noProof/>
              </w:rPr>
              <w:t>Atskaites punkts</w:t>
            </w:r>
          </w:p>
        </w:tc>
        <w:tc>
          <w:tcPr>
            <w:tcW w:w="1380" w:type="dxa"/>
            <w:shd w:val="clear" w:color="auto" w:fill="C6EFCE"/>
            <w:noWrap/>
            <w:vAlign w:val="center"/>
          </w:tcPr>
          <w:p w14:paraId="51A7C720" w14:textId="77777777" w:rsidR="00327FF1" w:rsidRDefault="00E406C7">
            <w:pPr>
              <w:pStyle w:val="P68B1DB1-Normal11"/>
              <w:jc w:val="center"/>
              <w:rPr>
                <w:noProof/>
                <w:szCs w:val="20"/>
              </w:rPr>
            </w:pPr>
            <w:r>
              <w:rPr>
                <w:noProof/>
              </w:rPr>
              <w:t>Regulas par ostu koncesijām stāšanās spēkā</w:t>
            </w:r>
          </w:p>
        </w:tc>
        <w:tc>
          <w:tcPr>
            <w:tcW w:w="1504" w:type="dxa"/>
            <w:shd w:val="clear" w:color="auto" w:fill="C6EFCE"/>
            <w:noWrap/>
            <w:vAlign w:val="center"/>
          </w:tcPr>
          <w:p w14:paraId="2C8EFDBB" w14:textId="77777777" w:rsidR="00327FF1" w:rsidRDefault="00E406C7">
            <w:pPr>
              <w:pStyle w:val="P68B1DB1-Normal11"/>
              <w:jc w:val="center"/>
              <w:rPr>
                <w:noProof/>
                <w:szCs w:val="20"/>
              </w:rPr>
            </w:pPr>
            <w:r>
              <w:rPr>
                <w:noProof/>
              </w:rPr>
              <w:t xml:space="preserve">Regulas noteikums, kas norāda, ka stājas spēkā regula par </w:t>
            </w:r>
            <w:r>
              <w:rPr>
                <w:noProof/>
              </w:rPr>
              <w:t>ostas koncesijām</w:t>
            </w:r>
          </w:p>
        </w:tc>
        <w:tc>
          <w:tcPr>
            <w:tcW w:w="1060" w:type="dxa"/>
            <w:shd w:val="clear" w:color="auto" w:fill="C6EFCE"/>
            <w:noWrap/>
            <w:vAlign w:val="center"/>
          </w:tcPr>
          <w:p w14:paraId="04A8B705" w14:textId="77777777" w:rsidR="00327FF1" w:rsidRDefault="00E406C7">
            <w:pPr>
              <w:pStyle w:val="P68B1DB1-Normal11"/>
              <w:jc w:val="center"/>
              <w:rPr>
                <w:noProof/>
                <w:szCs w:val="20"/>
              </w:rPr>
            </w:pPr>
            <w:r>
              <w:rPr>
                <w:noProof/>
              </w:rPr>
              <w:t>NEPIEMĒRO</w:t>
            </w:r>
          </w:p>
        </w:tc>
        <w:tc>
          <w:tcPr>
            <w:tcW w:w="942" w:type="dxa"/>
            <w:shd w:val="clear" w:color="auto" w:fill="C6EFCE"/>
            <w:noWrap/>
            <w:vAlign w:val="center"/>
          </w:tcPr>
          <w:p w14:paraId="5781E440" w14:textId="77777777" w:rsidR="00327FF1" w:rsidRDefault="00E406C7">
            <w:pPr>
              <w:pStyle w:val="P68B1DB1-Normal11"/>
              <w:jc w:val="center"/>
              <w:rPr>
                <w:noProof/>
                <w:szCs w:val="20"/>
              </w:rPr>
            </w:pPr>
            <w:r>
              <w:rPr>
                <w:noProof/>
              </w:rPr>
              <w:t>NEPIEMĒRO</w:t>
            </w:r>
          </w:p>
        </w:tc>
        <w:tc>
          <w:tcPr>
            <w:tcW w:w="762" w:type="dxa"/>
            <w:shd w:val="clear" w:color="auto" w:fill="C6EFCE"/>
            <w:noWrap/>
            <w:vAlign w:val="center"/>
          </w:tcPr>
          <w:p w14:paraId="2D1E5640" w14:textId="77777777" w:rsidR="00327FF1" w:rsidRDefault="00E406C7">
            <w:pPr>
              <w:pStyle w:val="P68B1DB1-Normal11"/>
              <w:jc w:val="center"/>
              <w:rPr>
                <w:noProof/>
                <w:szCs w:val="20"/>
              </w:rPr>
            </w:pPr>
            <w:r>
              <w:rPr>
                <w:noProof/>
              </w:rPr>
              <w:t>NEPIEMĒRO</w:t>
            </w:r>
          </w:p>
        </w:tc>
        <w:tc>
          <w:tcPr>
            <w:tcW w:w="1383" w:type="dxa"/>
            <w:shd w:val="clear" w:color="auto" w:fill="C6EFCE"/>
            <w:noWrap/>
            <w:vAlign w:val="center"/>
          </w:tcPr>
          <w:p w14:paraId="7FDF9768" w14:textId="77777777" w:rsidR="00327FF1" w:rsidRDefault="00E406C7">
            <w:pPr>
              <w:pStyle w:val="P68B1DB1-Normal11"/>
              <w:jc w:val="center"/>
              <w:rPr>
                <w:noProof/>
                <w:szCs w:val="20"/>
              </w:rPr>
            </w:pPr>
            <w:r>
              <w:rPr>
                <w:noProof/>
              </w:rPr>
              <w:t>4. CET.</w:t>
            </w:r>
          </w:p>
        </w:tc>
        <w:tc>
          <w:tcPr>
            <w:tcW w:w="629" w:type="dxa"/>
            <w:shd w:val="clear" w:color="auto" w:fill="C6EFCE"/>
            <w:noWrap/>
            <w:vAlign w:val="center"/>
          </w:tcPr>
          <w:p w14:paraId="3FC07FE5" w14:textId="77777777" w:rsidR="00327FF1" w:rsidRDefault="00E406C7">
            <w:pPr>
              <w:pStyle w:val="P68B1DB1-Normal11"/>
              <w:jc w:val="center"/>
              <w:rPr>
                <w:noProof/>
                <w:szCs w:val="20"/>
              </w:rPr>
            </w:pPr>
            <w:r>
              <w:rPr>
                <w:noProof/>
              </w:rPr>
              <w:t>2022</w:t>
            </w:r>
          </w:p>
        </w:tc>
        <w:tc>
          <w:tcPr>
            <w:tcW w:w="3528" w:type="dxa"/>
            <w:shd w:val="clear" w:color="auto" w:fill="C6EFCE"/>
            <w:noWrap/>
            <w:vAlign w:val="center"/>
          </w:tcPr>
          <w:p w14:paraId="56F74BA2" w14:textId="77777777" w:rsidR="00327FF1" w:rsidRDefault="00E406C7">
            <w:pPr>
              <w:pStyle w:val="P68B1DB1-Normal11"/>
              <w:rPr>
                <w:noProof/>
                <w:szCs w:val="20"/>
              </w:rPr>
            </w:pPr>
            <w:r>
              <w:rPr>
                <w:noProof/>
              </w:rPr>
              <w:t>Jaunajā regulā nosaka pamatnosacījumus koncesiju piešķiršanai ostās. Regulā nosaka vismaz:</w:t>
            </w:r>
          </w:p>
          <w:p w14:paraId="681D5EB7" w14:textId="77777777" w:rsidR="00327FF1" w:rsidRDefault="00E406C7">
            <w:pPr>
              <w:pStyle w:val="P68B1DB1-Normal11"/>
              <w:rPr>
                <w:noProof/>
                <w:szCs w:val="20"/>
              </w:rPr>
            </w:pPr>
            <w:r>
              <w:rPr>
                <w:noProof/>
              </w:rPr>
              <w:t>Nosacījumus, kas attiecas uz koncesijas ilgumu;</w:t>
            </w:r>
          </w:p>
          <w:p w14:paraId="49C77CA7" w14:textId="77777777" w:rsidR="00327FF1" w:rsidRDefault="00E406C7">
            <w:pPr>
              <w:pStyle w:val="P68B1DB1-Normal11"/>
              <w:rPr>
                <w:noProof/>
                <w:szCs w:val="20"/>
              </w:rPr>
            </w:pPr>
            <w:r>
              <w:rPr>
                <w:noProof/>
              </w:rPr>
              <w:t>Piešķīrēju iestāžu uzraudzības un kontroles pilnvaras;</w:t>
            </w:r>
          </w:p>
          <w:p w14:paraId="0505FB46" w14:textId="77777777" w:rsidR="00327FF1" w:rsidRDefault="00E406C7">
            <w:pPr>
              <w:pStyle w:val="P68B1DB1-Normal11"/>
              <w:rPr>
                <w:noProof/>
                <w:szCs w:val="20"/>
              </w:rPr>
            </w:pPr>
            <w:r>
              <w:rPr>
                <w:noProof/>
              </w:rPr>
              <w:t>At</w:t>
            </w:r>
            <w:r>
              <w:rPr>
                <w:noProof/>
              </w:rPr>
              <w:t>jaunošanas metodes;</w:t>
            </w:r>
          </w:p>
          <w:p w14:paraId="51854F6C" w14:textId="77777777" w:rsidR="00327FF1" w:rsidRDefault="00E406C7">
            <w:pPr>
              <w:pStyle w:val="P68B1DB1-Normal11"/>
              <w:rPr>
                <w:noProof/>
                <w:szCs w:val="20"/>
              </w:rPr>
            </w:pPr>
            <w:r>
              <w:rPr>
                <w:noProof/>
              </w:rPr>
              <w:t>Iekārtu nodošana jaunajam koncesionāram koncesijas beigās;</w:t>
            </w:r>
          </w:p>
          <w:p w14:paraId="0244B569" w14:textId="77777777" w:rsidR="00327FF1" w:rsidRDefault="00E406C7">
            <w:pPr>
              <w:pStyle w:val="P68B1DB1-Normal11"/>
              <w:rPr>
                <w:noProof/>
                <w:szCs w:val="20"/>
              </w:rPr>
            </w:pPr>
            <w:r>
              <w:rPr>
                <w:noProof/>
              </w:rPr>
              <w:t>—Ierobežo minimālās maksas, kas jāmaksā licenciātiem.</w:t>
            </w:r>
          </w:p>
        </w:tc>
      </w:tr>
      <w:tr w:rsidR="00327FF1" w14:paraId="15B2BA0F" w14:textId="77777777">
        <w:trPr>
          <w:trHeight w:val="309"/>
          <w:jc w:val="center"/>
        </w:trPr>
        <w:tc>
          <w:tcPr>
            <w:tcW w:w="1051" w:type="dxa"/>
            <w:shd w:val="clear" w:color="auto" w:fill="C6EFCE"/>
            <w:noWrap/>
            <w:vAlign w:val="center"/>
          </w:tcPr>
          <w:p w14:paraId="37586E87"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M3C2–3 </w:t>
            </w:r>
          </w:p>
        </w:tc>
        <w:tc>
          <w:tcPr>
            <w:tcW w:w="1345" w:type="dxa"/>
            <w:shd w:val="clear" w:color="auto" w:fill="C6EFCE"/>
            <w:noWrap/>
            <w:vAlign w:val="center"/>
          </w:tcPr>
          <w:p w14:paraId="5694F4ED" w14:textId="77777777" w:rsidR="00327FF1" w:rsidRDefault="00E406C7">
            <w:pPr>
              <w:pStyle w:val="P68B1DB1-Normal11"/>
              <w:jc w:val="center"/>
              <w:rPr>
                <w:noProof/>
                <w:szCs w:val="20"/>
              </w:rPr>
            </w:pPr>
            <w:r>
              <w:rPr>
                <w:noProof/>
              </w:rPr>
              <w:t>Reforma Nr. 2.1 — Vienotās muitas sistēmas ieviešana (“Sportello Unico Doganale”) </w:t>
            </w:r>
          </w:p>
        </w:tc>
        <w:tc>
          <w:tcPr>
            <w:tcW w:w="977" w:type="dxa"/>
            <w:shd w:val="clear" w:color="auto" w:fill="C6EFCE"/>
            <w:noWrap/>
            <w:vAlign w:val="center"/>
          </w:tcPr>
          <w:p w14:paraId="2B8517AB" w14:textId="77777777" w:rsidR="00327FF1" w:rsidRDefault="00E406C7">
            <w:pPr>
              <w:pStyle w:val="P68B1DB1-Normal11"/>
              <w:jc w:val="center"/>
              <w:rPr>
                <w:noProof/>
                <w:szCs w:val="20"/>
              </w:rPr>
            </w:pPr>
            <w:r>
              <w:rPr>
                <w:noProof/>
              </w:rPr>
              <w:t>Atskaites punkts </w:t>
            </w:r>
          </w:p>
        </w:tc>
        <w:tc>
          <w:tcPr>
            <w:tcW w:w="1380" w:type="dxa"/>
            <w:shd w:val="clear" w:color="auto" w:fill="C6EFCE"/>
            <w:noWrap/>
            <w:vAlign w:val="center"/>
          </w:tcPr>
          <w:p w14:paraId="2BE9C05B" w14:textId="77777777" w:rsidR="00327FF1" w:rsidRDefault="00E406C7">
            <w:pPr>
              <w:pStyle w:val="P68B1DB1-paragraph89"/>
              <w:spacing w:before="0" w:beforeAutospacing="0" w:after="0" w:afterAutospacing="0"/>
              <w:jc w:val="center"/>
              <w:textAlignment w:val="baseline"/>
              <w:rPr>
                <w:noProof/>
                <w:szCs w:val="20"/>
              </w:rPr>
            </w:pPr>
            <w:r>
              <w:rPr>
                <w:noProof/>
              </w:rPr>
              <w:t xml:space="preserve">Dekrēta par vienoto muitas sistēmu stāšanās spēkā </w:t>
            </w:r>
          </w:p>
          <w:p w14:paraId="4185369B" w14:textId="77777777" w:rsidR="00327FF1" w:rsidRDefault="00E406C7">
            <w:pPr>
              <w:pStyle w:val="P68B1DB1-Normal11"/>
              <w:jc w:val="center"/>
              <w:rPr>
                <w:noProof/>
                <w:szCs w:val="20"/>
              </w:rPr>
            </w:pPr>
            <w:r>
              <w:rPr>
                <w:noProof/>
              </w:rPr>
              <w:t>Stends (Sportello Unico Doganale) </w:t>
            </w:r>
          </w:p>
        </w:tc>
        <w:tc>
          <w:tcPr>
            <w:tcW w:w="1504" w:type="dxa"/>
            <w:shd w:val="clear" w:color="auto" w:fill="C6EFCE"/>
            <w:noWrap/>
            <w:vAlign w:val="center"/>
          </w:tcPr>
          <w:p w14:paraId="2E8CA017" w14:textId="77777777" w:rsidR="00327FF1" w:rsidRDefault="00E406C7">
            <w:pPr>
              <w:pStyle w:val="P68B1DB1-Normal11"/>
              <w:jc w:val="center"/>
              <w:rPr>
                <w:noProof/>
                <w:szCs w:val="20"/>
              </w:rPr>
            </w:pPr>
            <w:r>
              <w:rPr>
                <w:noProof/>
              </w:rPr>
              <w:t>Dekrēta noteikums, kas norāda, ka stājas spēkā Dekrēts par vienoto muitas dienestu (Sportello Unico Doganale) </w:t>
            </w:r>
          </w:p>
        </w:tc>
        <w:tc>
          <w:tcPr>
            <w:tcW w:w="1060" w:type="dxa"/>
            <w:shd w:val="clear" w:color="auto" w:fill="C6EFCE"/>
            <w:noWrap/>
            <w:vAlign w:val="center"/>
          </w:tcPr>
          <w:p w14:paraId="63E66CA4" w14:textId="77777777" w:rsidR="00327FF1" w:rsidRDefault="00E406C7">
            <w:pPr>
              <w:pStyle w:val="P68B1DB1-Normal11"/>
              <w:jc w:val="center"/>
              <w:rPr>
                <w:noProof/>
              </w:rPr>
            </w:pPr>
            <w:r>
              <w:rPr>
                <w:noProof/>
              </w:rPr>
              <w:t>NEPIEMĒRO </w:t>
            </w:r>
          </w:p>
        </w:tc>
        <w:tc>
          <w:tcPr>
            <w:tcW w:w="942" w:type="dxa"/>
            <w:shd w:val="clear" w:color="auto" w:fill="C6EFCE"/>
            <w:noWrap/>
            <w:vAlign w:val="center"/>
          </w:tcPr>
          <w:p w14:paraId="19E2CB10" w14:textId="77777777" w:rsidR="00327FF1" w:rsidRDefault="00E406C7">
            <w:pPr>
              <w:pStyle w:val="P68B1DB1-Normal11"/>
              <w:jc w:val="center"/>
              <w:rPr>
                <w:noProof/>
              </w:rPr>
            </w:pPr>
            <w:r>
              <w:rPr>
                <w:noProof/>
              </w:rPr>
              <w:t>NEPIEMĒRO </w:t>
            </w:r>
          </w:p>
        </w:tc>
        <w:tc>
          <w:tcPr>
            <w:tcW w:w="762" w:type="dxa"/>
            <w:shd w:val="clear" w:color="auto" w:fill="C6EFCE"/>
            <w:noWrap/>
            <w:vAlign w:val="center"/>
          </w:tcPr>
          <w:p w14:paraId="2C94E57A" w14:textId="77777777" w:rsidR="00327FF1" w:rsidRDefault="00E406C7">
            <w:pPr>
              <w:pStyle w:val="P68B1DB1-Normal11"/>
              <w:jc w:val="center"/>
              <w:rPr>
                <w:noProof/>
              </w:rPr>
            </w:pPr>
            <w:r>
              <w:rPr>
                <w:noProof/>
              </w:rPr>
              <w:t>NEPIEMĒRO </w:t>
            </w:r>
          </w:p>
        </w:tc>
        <w:tc>
          <w:tcPr>
            <w:tcW w:w="1383" w:type="dxa"/>
            <w:shd w:val="clear" w:color="auto" w:fill="C6EFCE"/>
            <w:noWrap/>
            <w:vAlign w:val="center"/>
          </w:tcPr>
          <w:p w14:paraId="673449CB" w14:textId="77777777" w:rsidR="00327FF1" w:rsidRDefault="00E406C7">
            <w:pPr>
              <w:pStyle w:val="P68B1DB1-Normal11"/>
              <w:jc w:val="center"/>
              <w:rPr>
                <w:noProof/>
              </w:rPr>
            </w:pPr>
            <w:r>
              <w:rPr>
                <w:noProof/>
              </w:rPr>
              <w:t>4. CET. </w:t>
            </w:r>
          </w:p>
        </w:tc>
        <w:tc>
          <w:tcPr>
            <w:tcW w:w="629" w:type="dxa"/>
            <w:shd w:val="clear" w:color="auto" w:fill="C6EFCE"/>
            <w:noWrap/>
            <w:vAlign w:val="center"/>
          </w:tcPr>
          <w:p w14:paraId="5BFFCDBB" w14:textId="77777777" w:rsidR="00327FF1" w:rsidRDefault="00E406C7">
            <w:pPr>
              <w:pStyle w:val="P68B1DB1-Normal11"/>
              <w:jc w:val="center"/>
              <w:rPr>
                <w:noProof/>
              </w:rPr>
            </w:pPr>
            <w:r>
              <w:rPr>
                <w:noProof/>
              </w:rPr>
              <w:t>2021 </w:t>
            </w:r>
          </w:p>
        </w:tc>
        <w:tc>
          <w:tcPr>
            <w:tcW w:w="3528" w:type="dxa"/>
            <w:shd w:val="clear" w:color="auto" w:fill="C6EFCE"/>
            <w:noWrap/>
            <w:vAlign w:val="center"/>
          </w:tcPr>
          <w:p w14:paraId="7F8468BB" w14:textId="77777777" w:rsidR="00327FF1" w:rsidRDefault="00E406C7">
            <w:pPr>
              <w:pStyle w:val="P68B1DB1-Normal11"/>
              <w:rPr>
                <w:noProof/>
                <w:szCs w:val="20"/>
              </w:rPr>
            </w:pPr>
            <w:r>
              <w:rPr>
                <w:noProof/>
              </w:rPr>
              <w:t>Dekrētā nos</w:t>
            </w:r>
            <w:r>
              <w:rPr>
                <w:noProof/>
              </w:rPr>
              <w:t>aka vienotā muitas dienesta metodes un specifikācijas saskaņā ar Regulu (ES) 1239/2019 par Eiropas Jūras vienloga sistēmas īstenošanu un Eiropas Parlamenta un Padomes Regulu (ES) 2020/1056 (2020. gada 15. jūlijs) par kravu pārvadājumu elektronisku informāc</w:t>
            </w:r>
            <w:r>
              <w:rPr>
                <w:noProof/>
              </w:rPr>
              <w:t>iju (eFTI). </w:t>
            </w:r>
          </w:p>
        </w:tc>
      </w:tr>
      <w:tr w:rsidR="00327FF1" w14:paraId="4BDF12FC" w14:textId="77777777">
        <w:trPr>
          <w:trHeight w:val="309"/>
          <w:jc w:val="center"/>
        </w:trPr>
        <w:tc>
          <w:tcPr>
            <w:tcW w:w="1051" w:type="dxa"/>
            <w:shd w:val="clear" w:color="auto" w:fill="C6EFCE"/>
            <w:noWrap/>
            <w:vAlign w:val="center"/>
          </w:tcPr>
          <w:p w14:paraId="04988920" w14:textId="77777777" w:rsidR="00327FF1" w:rsidRDefault="00E406C7">
            <w:pPr>
              <w:pStyle w:val="P68B1DB1-Normal11"/>
              <w:jc w:val="center"/>
              <w:rPr>
                <w:noProof/>
                <w:szCs w:val="20"/>
              </w:rPr>
            </w:pPr>
            <w:r>
              <w:rPr>
                <w:noProof/>
              </w:rPr>
              <w:t>M3C2–4</w:t>
            </w:r>
          </w:p>
        </w:tc>
        <w:tc>
          <w:tcPr>
            <w:tcW w:w="1345" w:type="dxa"/>
            <w:shd w:val="clear" w:color="auto" w:fill="C6EFCE"/>
            <w:noWrap/>
            <w:vAlign w:val="center"/>
          </w:tcPr>
          <w:p w14:paraId="6AD14286" w14:textId="4086A10B" w:rsidR="00327FF1" w:rsidRDefault="00E406C7">
            <w:pPr>
              <w:pStyle w:val="P68B1DB1-Normal11"/>
              <w:jc w:val="center"/>
              <w:rPr>
                <w:noProof/>
                <w:szCs w:val="20"/>
              </w:rPr>
            </w:pPr>
            <w:r>
              <w:rPr>
                <w:noProof/>
              </w:rPr>
              <w:t>Reforma — Aukstās gludināšanas iekārtu atļauju piešķiršanas procedūru vienkāršošana</w:t>
            </w:r>
          </w:p>
        </w:tc>
        <w:tc>
          <w:tcPr>
            <w:tcW w:w="977" w:type="dxa"/>
            <w:shd w:val="clear" w:color="auto" w:fill="C6EFCE"/>
            <w:noWrap/>
            <w:vAlign w:val="center"/>
          </w:tcPr>
          <w:p w14:paraId="78F20DD4" w14:textId="77777777" w:rsidR="00327FF1" w:rsidRDefault="00E406C7">
            <w:pPr>
              <w:pStyle w:val="P68B1DB1-Normal11"/>
              <w:jc w:val="center"/>
              <w:rPr>
                <w:noProof/>
                <w:szCs w:val="20"/>
              </w:rPr>
            </w:pPr>
            <w:r>
              <w:rPr>
                <w:noProof/>
              </w:rPr>
              <w:t>Atskaites punkts</w:t>
            </w:r>
          </w:p>
        </w:tc>
        <w:tc>
          <w:tcPr>
            <w:tcW w:w="1380" w:type="dxa"/>
            <w:shd w:val="clear" w:color="auto" w:fill="C6EFCE"/>
            <w:noWrap/>
            <w:vAlign w:val="center"/>
          </w:tcPr>
          <w:p w14:paraId="790987A8" w14:textId="07DD04A2" w:rsidR="00327FF1" w:rsidRDefault="00E406C7">
            <w:pPr>
              <w:pStyle w:val="P68B1DB1-Normal11"/>
              <w:spacing w:line="257" w:lineRule="auto"/>
              <w:jc w:val="center"/>
              <w:rPr>
                <w:noProof/>
                <w:szCs w:val="20"/>
              </w:rPr>
            </w:pPr>
            <w:r>
              <w:rPr>
                <w:noProof/>
              </w:rPr>
              <w:t>Auksto gludināšanas iekārtu atļauju piešķiršanas procedūru vienkāršošanas stāšanās spēkā</w:t>
            </w:r>
          </w:p>
        </w:tc>
        <w:tc>
          <w:tcPr>
            <w:tcW w:w="1504" w:type="dxa"/>
            <w:shd w:val="clear" w:color="auto" w:fill="C6EFCE"/>
            <w:noWrap/>
            <w:vAlign w:val="center"/>
          </w:tcPr>
          <w:p w14:paraId="7DA62BCB" w14:textId="450761F7" w:rsidR="00327FF1" w:rsidRDefault="00E406C7">
            <w:pPr>
              <w:pStyle w:val="P68B1DB1-Normal11"/>
              <w:jc w:val="center"/>
              <w:rPr>
                <w:noProof/>
                <w:szCs w:val="20"/>
              </w:rPr>
            </w:pPr>
            <w:r>
              <w:rPr>
                <w:noProof/>
              </w:rPr>
              <w:t xml:space="preserve">Tiesību norma, kas norāda, ka stājas spēkā </w:t>
            </w:r>
            <w:r>
              <w:rPr>
                <w:noProof/>
              </w:rPr>
              <w:t>atļauju piešķiršanas procedūru vienkāršošana aukstās gludināšanas iekārtām</w:t>
            </w:r>
          </w:p>
        </w:tc>
        <w:tc>
          <w:tcPr>
            <w:tcW w:w="1060" w:type="dxa"/>
            <w:shd w:val="clear" w:color="auto" w:fill="C6EFCE"/>
            <w:noWrap/>
            <w:vAlign w:val="center"/>
          </w:tcPr>
          <w:p w14:paraId="6AEAFD02" w14:textId="77777777" w:rsidR="00327FF1" w:rsidRDefault="00E406C7">
            <w:pPr>
              <w:pStyle w:val="P68B1DB1-Normal11"/>
              <w:jc w:val="center"/>
              <w:rPr>
                <w:noProof/>
                <w:szCs w:val="20"/>
              </w:rPr>
            </w:pPr>
            <w:r>
              <w:rPr>
                <w:noProof/>
              </w:rPr>
              <w:t>NEPIEMĒRO</w:t>
            </w:r>
          </w:p>
        </w:tc>
        <w:tc>
          <w:tcPr>
            <w:tcW w:w="942" w:type="dxa"/>
            <w:shd w:val="clear" w:color="auto" w:fill="C6EFCE"/>
            <w:noWrap/>
            <w:vAlign w:val="center"/>
          </w:tcPr>
          <w:p w14:paraId="53F93614" w14:textId="77777777" w:rsidR="00327FF1" w:rsidRDefault="00E406C7">
            <w:pPr>
              <w:pStyle w:val="P68B1DB1-Normal11"/>
              <w:jc w:val="center"/>
              <w:rPr>
                <w:noProof/>
                <w:szCs w:val="20"/>
              </w:rPr>
            </w:pPr>
            <w:r>
              <w:rPr>
                <w:noProof/>
              </w:rPr>
              <w:t>NEPIEMĒRO</w:t>
            </w:r>
          </w:p>
        </w:tc>
        <w:tc>
          <w:tcPr>
            <w:tcW w:w="762" w:type="dxa"/>
            <w:shd w:val="clear" w:color="auto" w:fill="C6EFCE"/>
            <w:noWrap/>
            <w:vAlign w:val="center"/>
          </w:tcPr>
          <w:p w14:paraId="1A9C7CF4" w14:textId="77777777" w:rsidR="00327FF1" w:rsidRDefault="00E406C7">
            <w:pPr>
              <w:pStyle w:val="P68B1DB1-Normal11"/>
              <w:jc w:val="center"/>
              <w:rPr>
                <w:noProof/>
                <w:szCs w:val="20"/>
              </w:rPr>
            </w:pPr>
            <w:r>
              <w:rPr>
                <w:noProof/>
              </w:rPr>
              <w:t>NEPIEMĒRO</w:t>
            </w:r>
          </w:p>
        </w:tc>
        <w:tc>
          <w:tcPr>
            <w:tcW w:w="1383" w:type="dxa"/>
            <w:shd w:val="clear" w:color="auto" w:fill="C6EFCE"/>
            <w:noWrap/>
            <w:vAlign w:val="center"/>
          </w:tcPr>
          <w:p w14:paraId="00724E66" w14:textId="77777777" w:rsidR="00327FF1" w:rsidRDefault="00E406C7">
            <w:pPr>
              <w:pStyle w:val="P68B1DB1-Normal11"/>
              <w:jc w:val="center"/>
              <w:rPr>
                <w:noProof/>
                <w:szCs w:val="20"/>
              </w:rPr>
            </w:pPr>
            <w:r>
              <w:rPr>
                <w:noProof/>
              </w:rPr>
              <w:t>4. CET.</w:t>
            </w:r>
          </w:p>
        </w:tc>
        <w:tc>
          <w:tcPr>
            <w:tcW w:w="629" w:type="dxa"/>
            <w:shd w:val="clear" w:color="auto" w:fill="C6EFCE"/>
            <w:noWrap/>
            <w:vAlign w:val="center"/>
          </w:tcPr>
          <w:p w14:paraId="3C36438C" w14:textId="77777777" w:rsidR="00327FF1" w:rsidRDefault="00E406C7">
            <w:pPr>
              <w:pStyle w:val="P68B1DB1-Normal11"/>
              <w:jc w:val="center"/>
              <w:rPr>
                <w:noProof/>
                <w:szCs w:val="20"/>
              </w:rPr>
            </w:pPr>
            <w:r>
              <w:rPr>
                <w:noProof/>
              </w:rPr>
              <w:t>2022</w:t>
            </w:r>
          </w:p>
        </w:tc>
        <w:tc>
          <w:tcPr>
            <w:tcW w:w="3528" w:type="dxa"/>
            <w:shd w:val="clear" w:color="auto" w:fill="C6EFCE"/>
            <w:noWrap/>
            <w:vAlign w:val="center"/>
          </w:tcPr>
          <w:p w14:paraId="08CA16F3" w14:textId="77777777" w:rsidR="00327FF1" w:rsidRDefault="00E406C7">
            <w:pPr>
              <w:pStyle w:val="P68B1DB1-Normal11"/>
              <w:rPr>
                <w:noProof/>
                <w:szCs w:val="20"/>
              </w:rPr>
            </w:pPr>
            <w:r>
              <w:rPr>
                <w:noProof/>
              </w:rPr>
              <w:t>Racionalizēt atļauju piešķiršanas procesu, lai līdz ne vairāk kā 12 mēnešiem samazinātu atļauju piešķiršanas laiku tādas enerģijas transpo</w:t>
            </w:r>
            <w:r>
              <w:rPr>
                <w:noProof/>
              </w:rPr>
              <w:t>rta infrastruktūras būvniecībai, kuras mērķis ir pietauvošanās posmā kuģiem piegādāt elektroenerģiju no sauszemes (ja iejaukšanās nav pakļauta ietekmes uz vidi novērtējumam)</w:t>
            </w:r>
          </w:p>
        </w:tc>
      </w:tr>
      <w:tr w:rsidR="00327FF1" w14:paraId="567A3697" w14:textId="77777777">
        <w:trPr>
          <w:trHeight w:val="309"/>
          <w:jc w:val="center"/>
        </w:trPr>
        <w:tc>
          <w:tcPr>
            <w:tcW w:w="1051" w:type="dxa"/>
            <w:shd w:val="clear" w:color="auto" w:fill="C6EFCE"/>
            <w:noWrap/>
            <w:vAlign w:val="center"/>
          </w:tcPr>
          <w:p w14:paraId="47E83BEB" w14:textId="77777777" w:rsidR="00327FF1" w:rsidRDefault="00E406C7">
            <w:pPr>
              <w:pStyle w:val="P68B1DB1-Normal11"/>
              <w:jc w:val="center"/>
              <w:rPr>
                <w:noProof/>
                <w:szCs w:val="20"/>
              </w:rPr>
            </w:pPr>
            <w:r>
              <w:rPr>
                <w:noProof/>
              </w:rPr>
              <w:t>M3C2–5</w:t>
            </w:r>
          </w:p>
        </w:tc>
        <w:tc>
          <w:tcPr>
            <w:tcW w:w="1345" w:type="dxa"/>
            <w:shd w:val="clear" w:color="auto" w:fill="C6EFCE"/>
            <w:noWrap/>
            <w:vAlign w:val="center"/>
          </w:tcPr>
          <w:p w14:paraId="334F6F34" w14:textId="47461387" w:rsidR="00327FF1" w:rsidRDefault="00E406C7">
            <w:pPr>
              <w:pStyle w:val="P68B1DB1-Normal11"/>
              <w:jc w:val="center"/>
              <w:rPr>
                <w:noProof/>
                <w:szCs w:val="20"/>
              </w:rPr>
            </w:pPr>
            <w:r>
              <w:rPr>
                <w:noProof/>
              </w:rPr>
              <w:t>Investīcija 2.1. — Loģistikas ķēdes digitalizācija</w:t>
            </w:r>
          </w:p>
        </w:tc>
        <w:tc>
          <w:tcPr>
            <w:tcW w:w="977" w:type="dxa"/>
            <w:shd w:val="clear" w:color="auto" w:fill="C6EFCE"/>
            <w:noWrap/>
            <w:vAlign w:val="center"/>
          </w:tcPr>
          <w:p w14:paraId="0969E6A6" w14:textId="77777777" w:rsidR="00327FF1" w:rsidRDefault="00E406C7">
            <w:pPr>
              <w:pStyle w:val="P68B1DB1-Normal11"/>
              <w:jc w:val="center"/>
              <w:rPr>
                <w:noProof/>
                <w:szCs w:val="20"/>
              </w:rPr>
            </w:pPr>
            <w:r>
              <w:rPr>
                <w:noProof/>
              </w:rPr>
              <w:t>Mērķa</w:t>
            </w:r>
          </w:p>
        </w:tc>
        <w:tc>
          <w:tcPr>
            <w:tcW w:w="1380" w:type="dxa"/>
            <w:shd w:val="clear" w:color="auto" w:fill="C6EFCE"/>
            <w:noWrap/>
            <w:vAlign w:val="center"/>
          </w:tcPr>
          <w:p w14:paraId="3EC23018" w14:textId="77777777" w:rsidR="00327FF1" w:rsidRDefault="00E406C7">
            <w:pPr>
              <w:pStyle w:val="P68B1DB1-Normal11"/>
              <w:spacing w:line="257" w:lineRule="auto"/>
              <w:jc w:val="center"/>
              <w:rPr>
                <w:noProof/>
                <w:szCs w:val="20"/>
              </w:rPr>
            </w:pPr>
            <w:r>
              <w:rPr>
                <w:noProof/>
              </w:rPr>
              <w:t xml:space="preserve">Loģistikas ķēdes </w:t>
            </w:r>
            <w:r>
              <w:rPr>
                <w:noProof/>
              </w:rPr>
              <w:t>digitalizācija</w:t>
            </w:r>
          </w:p>
        </w:tc>
        <w:tc>
          <w:tcPr>
            <w:tcW w:w="1504" w:type="dxa"/>
            <w:shd w:val="clear" w:color="auto" w:fill="C6EFCE"/>
            <w:noWrap/>
            <w:vAlign w:val="center"/>
          </w:tcPr>
          <w:p w14:paraId="3ABBCEA1" w14:textId="77777777" w:rsidR="00327FF1" w:rsidRDefault="00E406C7">
            <w:pPr>
              <w:pStyle w:val="P68B1DB1-Normal11"/>
              <w:jc w:val="center"/>
              <w:rPr>
                <w:noProof/>
                <w:szCs w:val="20"/>
              </w:rPr>
            </w:pPr>
            <w:r>
              <w:rPr>
                <w:noProof/>
              </w:rPr>
              <w:t>NEPIEMĒRO</w:t>
            </w:r>
          </w:p>
        </w:tc>
        <w:tc>
          <w:tcPr>
            <w:tcW w:w="1060" w:type="dxa"/>
            <w:shd w:val="clear" w:color="auto" w:fill="C6EFCE"/>
            <w:noWrap/>
            <w:vAlign w:val="center"/>
          </w:tcPr>
          <w:p w14:paraId="51F2BC05" w14:textId="77777777" w:rsidR="00327FF1" w:rsidRDefault="00E406C7">
            <w:pPr>
              <w:pStyle w:val="P68B1DB1-Normal11"/>
              <w:jc w:val="center"/>
              <w:rPr>
                <w:noProof/>
                <w:szCs w:val="20"/>
              </w:rPr>
            </w:pPr>
            <w:r>
              <w:rPr>
                <w:noProof/>
              </w:rPr>
              <w:t>Skaits</w:t>
            </w:r>
          </w:p>
        </w:tc>
        <w:tc>
          <w:tcPr>
            <w:tcW w:w="942" w:type="dxa"/>
            <w:shd w:val="clear" w:color="auto" w:fill="C6EFCE"/>
            <w:noWrap/>
            <w:vAlign w:val="center"/>
          </w:tcPr>
          <w:p w14:paraId="6823FB3C" w14:textId="77777777" w:rsidR="00327FF1" w:rsidRDefault="00E406C7">
            <w:pPr>
              <w:pStyle w:val="P68B1DB1-Normal11"/>
              <w:jc w:val="center"/>
              <w:rPr>
                <w:noProof/>
                <w:szCs w:val="20"/>
              </w:rPr>
            </w:pPr>
            <w:r>
              <w:rPr>
                <w:noProof/>
              </w:rPr>
              <w:t>0</w:t>
            </w:r>
          </w:p>
        </w:tc>
        <w:tc>
          <w:tcPr>
            <w:tcW w:w="762" w:type="dxa"/>
            <w:shd w:val="clear" w:color="auto" w:fill="C6EFCE"/>
            <w:noWrap/>
            <w:vAlign w:val="center"/>
          </w:tcPr>
          <w:p w14:paraId="476A0A75" w14:textId="77777777" w:rsidR="00327FF1" w:rsidRDefault="00E406C7">
            <w:pPr>
              <w:pStyle w:val="P68B1DB1-Normal11"/>
              <w:jc w:val="center"/>
              <w:rPr>
                <w:noProof/>
                <w:szCs w:val="20"/>
              </w:rPr>
            </w:pPr>
            <w:r>
              <w:rPr>
                <w:noProof/>
              </w:rPr>
              <w:t>12</w:t>
            </w:r>
          </w:p>
        </w:tc>
        <w:tc>
          <w:tcPr>
            <w:tcW w:w="1383" w:type="dxa"/>
            <w:shd w:val="clear" w:color="auto" w:fill="C6EFCE"/>
            <w:noWrap/>
            <w:vAlign w:val="center"/>
          </w:tcPr>
          <w:p w14:paraId="4A20064A" w14:textId="77777777" w:rsidR="00327FF1" w:rsidRDefault="00E406C7">
            <w:pPr>
              <w:pStyle w:val="P68B1DB1-Normal11"/>
              <w:jc w:val="center"/>
              <w:rPr>
                <w:noProof/>
                <w:szCs w:val="20"/>
              </w:rPr>
            </w:pPr>
            <w:r>
              <w:rPr>
                <w:noProof/>
              </w:rPr>
              <w:t>2. CET.</w:t>
            </w:r>
          </w:p>
        </w:tc>
        <w:tc>
          <w:tcPr>
            <w:tcW w:w="629" w:type="dxa"/>
            <w:shd w:val="clear" w:color="auto" w:fill="C6EFCE"/>
            <w:noWrap/>
            <w:vAlign w:val="center"/>
          </w:tcPr>
          <w:p w14:paraId="499E3247" w14:textId="77777777" w:rsidR="00327FF1" w:rsidRDefault="00E406C7">
            <w:pPr>
              <w:pStyle w:val="P68B1DB1-Normal11"/>
              <w:jc w:val="center"/>
              <w:rPr>
                <w:noProof/>
                <w:szCs w:val="20"/>
              </w:rPr>
            </w:pPr>
            <w:r>
              <w:rPr>
                <w:noProof/>
              </w:rPr>
              <w:t>2024</w:t>
            </w:r>
          </w:p>
        </w:tc>
        <w:tc>
          <w:tcPr>
            <w:tcW w:w="3528" w:type="dxa"/>
            <w:shd w:val="clear" w:color="auto" w:fill="C6EFCE"/>
            <w:noWrap/>
            <w:vAlign w:val="center"/>
          </w:tcPr>
          <w:p w14:paraId="54FBAF20" w14:textId="6667F0DE" w:rsidR="00327FF1" w:rsidRDefault="00E406C7">
            <w:pPr>
              <w:pStyle w:val="P68B1DB1-Normal11"/>
              <w:rPr>
                <w:noProof/>
                <w:szCs w:val="20"/>
              </w:rPr>
            </w:pPr>
            <w:r>
              <w:rPr>
                <w:noProof/>
              </w:rPr>
              <w:t xml:space="preserve">Vismaz 12 no 16 ostu sistēmas iestādēm ir aprīkotas ar ostas kopienas sistēmu (PCS) pakalpojumiem, kas ir sadarbspējīgi ar </w:t>
            </w:r>
            <w:r>
              <w:rPr>
                <w:i/>
                <w:noProof/>
              </w:rPr>
              <w:t>Comando Generale delle Capitanerie di Porto</w:t>
            </w:r>
            <w:r>
              <w:rPr>
                <w:noProof/>
              </w:rPr>
              <w:t xml:space="preserve"> un/vai </w:t>
            </w:r>
            <w:r>
              <w:rPr>
                <w:i/>
                <w:noProof/>
              </w:rPr>
              <w:t xml:space="preserve">Agenzia delle Dogane e dei </w:t>
            </w:r>
            <w:r>
              <w:rPr>
                <w:i/>
                <w:noProof/>
              </w:rPr>
              <w:t>Monopoli</w:t>
            </w:r>
            <w:r>
              <w:rPr>
                <w:noProof/>
              </w:rPr>
              <w:t xml:space="preserve"> un savietojami ar jauno PLN (Piattaforma Logistica Nazionale). Ostas sistēmas iestādi uzskata par aprīkotu ar ostas kopienas sistēmu (PCS) pakalpojumiem, ja vismaz viena šīs ostas sistēmas iestādes osta ir aprīkota ar ostas kopienas sistēmām (PCS)</w:t>
            </w:r>
            <w:r>
              <w:rPr>
                <w:noProof/>
              </w:rPr>
              <w:t xml:space="preserve">. </w:t>
            </w:r>
          </w:p>
        </w:tc>
      </w:tr>
      <w:tr w:rsidR="00327FF1" w14:paraId="1226E8CF" w14:textId="77777777">
        <w:trPr>
          <w:trHeight w:val="309"/>
          <w:jc w:val="center"/>
        </w:trPr>
        <w:tc>
          <w:tcPr>
            <w:tcW w:w="1051" w:type="dxa"/>
            <w:shd w:val="clear" w:color="auto" w:fill="C6EFCE"/>
            <w:noWrap/>
            <w:vAlign w:val="center"/>
          </w:tcPr>
          <w:p w14:paraId="298D2223" w14:textId="77777777" w:rsidR="00327FF1" w:rsidRDefault="00E406C7">
            <w:pPr>
              <w:pStyle w:val="P68B1DB1-Normal11"/>
              <w:spacing w:line="257" w:lineRule="auto"/>
              <w:jc w:val="both"/>
              <w:rPr>
                <w:rFonts w:eastAsia="Arial Narrow" w:cs="Arial Narrow"/>
                <w:noProof/>
                <w:szCs w:val="20"/>
              </w:rPr>
            </w:pPr>
            <w:r>
              <w:rPr>
                <w:noProof/>
              </w:rPr>
              <w:t>M3C2–5bis</w:t>
            </w:r>
          </w:p>
        </w:tc>
        <w:tc>
          <w:tcPr>
            <w:tcW w:w="1345" w:type="dxa"/>
            <w:shd w:val="clear" w:color="auto" w:fill="C6EFCE"/>
            <w:noWrap/>
            <w:vAlign w:val="center"/>
          </w:tcPr>
          <w:p w14:paraId="2663660B" w14:textId="77777777" w:rsidR="00327FF1" w:rsidRDefault="00E406C7">
            <w:pPr>
              <w:pStyle w:val="P68B1DB1-Normal12"/>
              <w:spacing w:line="257" w:lineRule="auto"/>
              <w:jc w:val="both"/>
              <w:rPr>
                <w:noProof/>
              </w:rPr>
            </w:pPr>
            <w:r>
              <w:rPr>
                <w:noProof/>
              </w:rPr>
              <w:t>Investīcija 2.1. — Loģistikas ķēdes digitalizācija</w:t>
            </w:r>
          </w:p>
        </w:tc>
        <w:tc>
          <w:tcPr>
            <w:tcW w:w="977" w:type="dxa"/>
            <w:shd w:val="clear" w:color="auto" w:fill="C6EFCE"/>
            <w:noWrap/>
            <w:vAlign w:val="center"/>
          </w:tcPr>
          <w:p w14:paraId="4E4E78DB" w14:textId="77777777" w:rsidR="00327FF1" w:rsidRDefault="00E406C7">
            <w:pPr>
              <w:pStyle w:val="P68B1DB1-Normal11"/>
              <w:spacing w:line="257" w:lineRule="auto"/>
              <w:jc w:val="both"/>
              <w:rPr>
                <w:rFonts w:eastAsia="Arial Narrow" w:cs="Arial Narrow"/>
                <w:noProof/>
                <w:szCs w:val="20"/>
              </w:rPr>
            </w:pPr>
            <w:r>
              <w:rPr>
                <w:noProof/>
              </w:rPr>
              <w:t>Mērķa</w:t>
            </w:r>
          </w:p>
        </w:tc>
        <w:tc>
          <w:tcPr>
            <w:tcW w:w="1380" w:type="dxa"/>
            <w:shd w:val="clear" w:color="auto" w:fill="C6EFCE"/>
            <w:noWrap/>
            <w:vAlign w:val="center"/>
          </w:tcPr>
          <w:p w14:paraId="337F40A0" w14:textId="77777777" w:rsidR="00327FF1" w:rsidRDefault="00E406C7">
            <w:pPr>
              <w:pStyle w:val="P68B1DB1-Normal11"/>
              <w:spacing w:line="257" w:lineRule="auto"/>
              <w:jc w:val="both"/>
              <w:rPr>
                <w:rFonts w:eastAsia="Arial Narrow" w:cs="Arial Narrow"/>
                <w:noProof/>
                <w:szCs w:val="20"/>
              </w:rPr>
            </w:pPr>
            <w:r>
              <w:rPr>
                <w:noProof/>
              </w:rPr>
              <w:t xml:space="preserve">Loģistikas ķēdes digitalizācija </w:t>
            </w:r>
          </w:p>
        </w:tc>
        <w:tc>
          <w:tcPr>
            <w:tcW w:w="1504" w:type="dxa"/>
            <w:shd w:val="clear" w:color="auto" w:fill="C6EFCE"/>
            <w:noWrap/>
            <w:vAlign w:val="center"/>
          </w:tcPr>
          <w:p w14:paraId="33DF1683" w14:textId="77777777" w:rsidR="00327FF1" w:rsidRDefault="00E406C7">
            <w:pPr>
              <w:pStyle w:val="P68B1DB1-Normal11"/>
              <w:spacing w:line="257" w:lineRule="auto"/>
              <w:jc w:val="both"/>
              <w:rPr>
                <w:rFonts w:eastAsia="Arial Narrow" w:cs="Arial Narrow"/>
                <w:noProof/>
                <w:szCs w:val="20"/>
              </w:rPr>
            </w:pPr>
            <w:r>
              <w:rPr>
                <w:noProof/>
              </w:rPr>
              <w:t>NEPIEMĒRO</w:t>
            </w:r>
          </w:p>
        </w:tc>
        <w:tc>
          <w:tcPr>
            <w:tcW w:w="1060" w:type="dxa"/>
            <w:shd w:val="clear" w:color="auto" w:fill="C6EFCE"/>
            <w:noWrap/>
            <w:vAlign w:val="center"/>
          </w:tcPr>
          <w:p w14:paraId="106F7802" w14:textId="77777777" w:rsidR="00327FF1" w:rsidRDefault="00E406C7">
            <w:pPr>
              <w:pStyle w:val="P68B1DB1-Normal11"/>
              <w:spacing w:line="257" w:lineRule="auto"/>
              <w:jc w:val="both"/>
              <w:rPr>
                <w:rFonts w:eastAsia="Arial Narrow" w:cs="Arial Narrow"/>
                <w:noProof/>
                <w:szCs w:val="20"/>
              </w:rPr>
            </w:pPr>
            <w:r>
              <w:rPr>
                <w:noProof/>
              </w:rPr>
              <w:t>Skaits</w:t>
            </w:r>
          </w:p>
        </w:tc>
        <w:tc>
          <w:tcPr>
            <w:tcW w:w="942" w:type="dxa"/>
            <w:shd w:val="clear" w:color="auto" w:fill="C6EFCE"/>
            <w:noWrap/>
            <w:vAlign w:val="center"/>
          </w:tcPr>
          <w:p w14:paraId="1F5BA518" w14:textId="77777777" w:rsidR="00327FF1" w:rsidRDefault="00E406C7">
            <w:pPr>
              <w:pStyle w:val="P68B1DB1-Normal11"/>
              <w:spacing w:line="257" w:lineRule="auto"/>
              <w:jc w:val="both"/>
              <w:rPr>
                <w:rFonts w:eastAsia="Arial Narrow" w:cs="Arial Narrow"/>
                <w:noProof/>
                <w:szCs w:val="20"/>
              </w:rPr>
            </w:pPr>
            <w:r>
              <w:rPr>
                <w:noProof/>
              </w:rPr>
              <w:t>0</w:t>
            </w:r>
          </w:p>
        </w:tc>
        <w:tc>
          <w:tcPr>
            <w:tcW w:w="762" w:type="dxa"/>
            <w:shd w:val="clear" w:color="auto" w:fill="C6EFCE"/>
            <w:noWrap/>
            <w:vAlign w:val="center"/>
          </w:tcPr>
          <w:p w14:paraId="19D93E52" w14:textId="77777777" w:rsidR="00327FF1" w:rsidRDefault="00E406C7">
            <w:pPr>
              <w:pStyle w:val="P68B1DB1-Normal11"/>
              <w:spacing w:line="257" w:lineRule="auto"/>
              <w:jc w:val="both"/>
              <w:rPr>
                <w:rFonts w:eastAsia="Arial Narrow" w:cs="Arial Narrow"/>
                <w:noProof/>
                <w:szCs w:val="20"/>
              </w:rPr>
            </w:pPr>
            <w:r>
              <w:rPr>
                <w:noProof/>
              </w:rPr>
              <w:t>3</w:t>
            </w:r>
          </w:p>
        </w:tc>
        <w:tc>
          <w:tcPr>
            <w:tcW w:w="1383" w:type="dxa"/>
            <w:shd w:val="clear" w:color="auto" w:fill="C6EFCE"/>
            <w:noWrap/>
            <w:vAlign w:val="center"/>
          </w:tcPr>
          <w:p w14:paraId="3E3896E5" w14:textId="77777777" w:rsidR="00327FF1" w:rsidRDefault="00E406C7">
            <w:pPr>
              <w:pStyle w:val="P68B1DB1-Normal11"/>
              <w:spacing w:line="257" w:lineRule="auto"/>
              <w:jc w:val="both"/>
              <w:rPr>
                <w:rFonts w:eastAsia="Arial Narrow" w:cs="Arial Narrow"/>
                <w:noProof/>
                <w:szCs w:val="20"/>
              </w:rPr>
            </w:pPr>
            <w:r>
              <w:rPr>
                <w:noProof/>
              </w:rPr>
              <w:t>2. CET.</w:t>
            </w:r>
          </w:p>
        </w:tc>
        <w:tc>
          <w:tcPr>
            <w:tcW w:w="629" w:type="dxa"/>
            <w:shd w:val="clear" w:color="auto" w:fill="C6EFCE"/>
            <w:noWrap/>
            <w:vAlign w:val="center"/>
          </w:tcPr>
          <w:p w14:paraId="1C01B77E" w14:textId="77777777" w:rsidR="00327FF1" w:rsidRDefault="00E406C7">
            <w:pPr>
              <w:pStyle w:val="P68B1DB1-Normal11"/>
              <w:spacing w:line="257" w:lineRule="auto"/>
              <w:jc w:val="both"/>
              <w:rPr>
                <w:rFonts w:eastAsia="Arial Narrow" w:cs="Arial Narrow"/>
                <w:noProof/>
                <w:szCs w:val="20"/>
              </w:rPr>
            </w:pPr>
            <w:r>
              <w:rPr>
                <w:noProof/>
              </w:rPr>
              <w:t>2026</w:t>
            </w:r>
          </w:p>
        </w:tc>
        <w:tc>
          <w:tcPr>
            <w:tcW w:w="3528" w:type="dxa"/>
            <w:shd w:val="clear" w:color="auto" w:fill="C6EFCE"/>
            <w:noWrap/>
            <w:vAlign w:val="center"/>
          </w:tcPr>
          <w:p w14:paraId="2794F018" w14:textId="6171A935" w:rsidR="00327FF1" w:rsidRDefault="00E406C7">
            <w:pPr>
              <w:pStyle w:val="P68B1DB1-Normal11"/>
              <w:spacing w:after="0" w:line="240" w:lineRule="auto"/>
              <w:jc w:val="both"/>
              <w:rPr>
                <w:noProof/>
              </w:rPr>
            </w:pPr>
            <w:r>
              <w:rPr>
                <w:noProof/>
                <w:szCs w:val="20"/>
              </w:rPr>
              <w:t xml:space="preserve">Veic šādas 3 </w:t>
            </w:r>
            <w:r>
              <w:rPr>
                <w:noProof/>
              </w:rPr>
              <w:t xml:space="preserve">intervences: </w:t>
            </w:r>
          </w:p>
          <w:p w14:paraId="7D6EE7C4" w14:textId="77777777" w:rsidR="00327FF1" w:rsidRDefault="00327FF1">
            <w:pPr>
              <w:spacing w:after="0" w:line="240" w:lineRule="auto"/>
              <w:jc w:val="both"/>
              <w:rPr>
                <w:rFonts w:ascii="Arial Narrow" w:hAnsi="Arial Narrow"/>
                <w:noProof/>
                <w:color w:val="006100"/>
                <w:sz w:val="20"/>
              </w:rPr>
            </w:pPr>
          </w:p>
          <w:p w14:paraId="08E9309F" w14:textId="26C562E0" w:rsidR="00327FF1" w:rsidRDefault="00E406C7">
            <w:pPr>
              <w:pStyle w:val="P68B1DB1-Normal11"/>
              <w:spacing w:after="0" w:line="240" w:lineRule="auto"/>
              <w:jc w:val="both"/>
              <w:rPr>
                <w:rFonts w:eastAsia="Arial Narrow" w:cs="Arial Narrow"/>
                <w:noProof/>
                <w:szCs w:val="20"/>
              </w:rPr>
            </w:pPr>
            <w:r>
              <w:rPr>
                <w:noProof/>
              </w:rPr>
              <w:t xml:space="preserve">1) Log-IN centrs: Digitālās platformas izveide (Piattaforma Logistica Nazionale — PLN). </w:t>
            </w:r>
          </w:p>
          <w:p w14:paraId="74FB010D" w14:textId="77777777" w:rsidR="00327FF1" w:rsidRDefault="00327FF1">
            <w:pPr>
              <w:pStyle w:val="ListParagraph"/>
              <w:spacing w:after="0"/>
              <w:rPr>
                <w:rFonts w:ascii="Arial Narrow" w:eastAsia="Arial Narrow" w:hAnsi="Arial Narrow" w:cs="Arial Narrow"/>
                <w:noProof/>
                <w:color w:val="006100"/>
                <w:sz w:val="20"/>
                <w:szCs w:val="20"/>
              </w:rPr>
            </w:pPr>
          </w:p>
          <w:p w14:paraId="5C643FE4" w14:textId="3AF05B4B" w:rsidR="00327FF1" w:rsidRDefault="00E406C7">
            <w:pPr>
              <w:pStyle w:val="P68B1DB1-Normal11"/>
              <w:spacing w:before="120" w:after="120" w:line="240" w:lineRule="auto"/>
              <w:jc w:val="both"/>
              <w:rPr>
                <w:rFonts w:eastAsia="Arial Narrow" w:cs="Arial Narrow"/>
                <w:noProof/>
                <w:szCs w:val="20"/>
              </w:rPr>
            </w:pPr>
            <w:r>
              <w:rPr>
                <w:noProof/>
              </w:rPr>
              <w:t xml:space="preserve">Ostu tīkls un kravu ciemati: </w:t>
            </w:r>
          </w:p>
          <w:p w14:paraId="0CF3E486" w14:textId="77777777" w:rsidR="00327FF1" w:rsidRDefault="00E406C7">
            <w:pPr>
              <w:pStyle w:val="P68B1DB1-Normal90"/>
              <w:spacing w:before="120" w:after="120"/>
              <w:ind w:left="197"/>
              <w:jc w:val="both"/>
              <w:rPr>
                <w:rFonts w:eastAsia="Arial Narrow" w:cs="Arial Narrow"/>
                <w:noProof/>
                <w:sz w:val="20"/>
                <w:szCs w:val="20"/>
              </w:rPr>
            </w:pPr>
            <w:r>
              <w:rPr>
                <w:noProof/>
                <w:sz w:val="20"/>
              </w:rPr>
              <w:t>Visām 16 ostu sistēmas iestādēm ir PCS (Port Community System) pakalpojumi, kas ir saderīgi ar Piattaforma Logistica Nazionale (PLN). Ostas sistēmas iestādi uzskata par aprīkotu ar ostas kopienas sistēmu (PCS) pakalpojumiem, j</w:t>
            </w:r>
            <w:r>
              <w:rPr>
                <w:noProof/>
                <w:sz w:val="20"/>
              </w:rPr>
              <w:t>a vismaz viena šīs ostas sistēmas iestādes osta ir aprīkota ar ostas Kopienas sistēmām (PCS</w:t>
            </w:r>
            <w:r>
              <w:rPr>
                <w:noProof/>
                <w:sz w:val="18"/>
              </w:rPr>
              <w:t xml:space="preserve">). </w:t>
            </w:r>
            <w:r>
              <w:rPr>
                <w:noProof/>
                <w:sz w:val="20"/>
              </w:rPr>
              <w:t>Šie PCS pakalpojumi darbojas visās galvenajās ostās, kā noteikts Regulā (ES) 1679/2024.</w:t>
            </w:r>
          </w:p>
          <w:p w14:paraId="0392A23B" w14:textId="77777777" w:rsidR="00327FF1" w:rsidRDefault="00E406C7">
            <w:pPr>
              <w:pStyle w:val="P68B1DB1-Normal11"/>
              <w:spacing w:before="120" w:after="120"/>
              <w:ind w:left="197"/>
              <w:jc w:val="both"/>
              <w:rPr>
                <w:rFonts w:eastAsia="Arial Narrow" w:cs="Arial Narrow"/>
                <w:noProof/>
                <w:szCs w:val="20"/>
              </w:rPr>
            </w:pPr>
            <w:r>
              <w:rPr>
                <w:noProof/>
              </w:rPr>
              <w:t xml:space="preserve">Vismaz 12 valsts kravu ciematiem ir kravas ciematu sistēma (PVD), kas ir </w:t>
            </w:r>
            <w:r>
              <w:rPr>
                <w:noProof/>
              </w:rPr>
              <w:t>saderīga ar PLN.</w:t>
            </w:r>
          </w:p>
          <w:p w14:paraId="0F5A316D" w14:textId="66DEAB08" w:rsidR="00327FF1" w:rsidRDefault="00E406C7">
            <w:pPr>
              <w:pStyle w:val="P68B1DB1-Normal12"/>
              <w:spacing w:before="120" w:after="120" w:line="240" w:lineRule="auto"/>
              <w:jc w:val="both"/>
              <w:rPr>
                <w:noProof/>
              </w:rPr>
            </w:pPr>
            <w:r>
              <w:rPr>
                <w:noProof/>
              </w:rPr>
              <w:t>3) Log-IN uzņēmējdarbība: resursu nodošana vismaz 1194 uzņēmumiem, lai izstrādātu digitālās sistēmas pakalpojumu sadarbspējas un eCMR un eFTI atbilstības veicināšanai.</w:t>
            </w:r>
          </w:p>
        </w:tc>
      </w:tr>
      <w:tr w:rsidR="00327FF1" w14:paraId="50A2195F" w14:textId="77777777">
        <w:trPr>
          <w:trHeight w:val="300"/>
          <w:jc w:val="center"/>
        </w:trPr>
        <w:tc>
          <w:tcPr>
            <w:tcW w:w="1051" w:type="dxa"/>
            <w:shd w:val="clear" w:color="auto" w:fill="C6EFCE"/>
            <w:noWrap/>
            <w:vAlign w:val="center"/>
          </w:tcPr>
          <w:p w14:paraId="79BE083D" w14:textId="77777777" w:rsidR="00327FF1" w:rsidRDefault="00E406C7">
            <w:pPr>
              <w:pStyle w:val="P68B1DB1-Normal12"/>
              <w:jc w:val="center"/>
              <w:rPr>
                <w:noProof/>
              </w:rPr>
            </w:pPr>
            <w:r>
              <w:rPr>
                <w:noProof/>
              </w:rPr>
              <w:t>M3C2–6</w:t>
            </w:r>
          </w:p>
        </w:tc>
        <w:tc>
          <w:tcPr>
            <w:tcW w:w="1345" w:type="dxa"/>
            <w:shd w:val="clear" w:color="auto" w:fill="C6EFCE"/>
            <w:noWrap/>
            <w:vAlign w:val="center"/>
          </w:tcPr>
          <w:p w14:paraId="0A4F1176" w14:textId="77777777" w:rsidR="00327FF1" w:rsidRDefault="00E406C7">
            <w:pPr>
              <w:pStyle w:val="P68B1DB1-Normal12"/>
              <w:jc w:val="center"/>
              <w:rPr>
                <w:noProof/>
              </w:rPr>
            </w:pPr>
            <w:r>
              <w:rPr>
                <w:noProof/>
              </w:rPr>
              <w:t>Ieguldījums 2.2.: Gaisa satiksmes pārvaldības digitalizācija</w:t>
            </w:r>
          </w:p>
        </w:tc>
        <w:tc>
          <w:tcPr>
            <w:tcW w:w="977" w:type="dxa"/>
            <w:shd w:val="clear" w:color="auto" w:fill="C6EFCE"/>
            <w:noWrap/>
            <w:vAlign w:val="center"/>
          </w:tcPr>
          <w:p w14:paraId="165D94BE" w14:textId="77777777" w:rsidR="00327FF1" w:rsidRDefault="00E406C7">
            <w:pPr>
              <w:pStyle w:val="P68B1DB1-Normal12"/>
              <w:jc w:val="center"/>
              <w:rPr>
                <w:noProof/>
              </w:rPr>
            </w:pPr>
            <w:r>
              <w:rPr>
                <w:noProof/>
              </w:rPr>
              <w:t>Atskaites punkts</w:t>
            </w:r>
          </w:p>
        </w:tc>
        <w:tc>
          <w:tcPr>
            <w:tcW w:w="1380" w:type="dxa"/>
            <w:shd w:val="clear" w:color="auto" w:fill="C6EFCE"/>
            <w:noWrap/>
            <w:vAlign w:val="center"/>
          </w:tcPr>
          <w:p w14:paraId="1F1FEB55" w14:textId="77777777" w:rsidR="00327FF1" w:rsidRDefault="00E406C7">
            <w:pPr>
              <w:pStyle w:val="P68B1DB1-Normal12"/>
              <w:jc w:val="center"/>
              <w:rPr>
                <w:noProof/>
              </w:rPr>
            </w:pPr>
            <w:r>
              <w:rPr>
                <w:noProof/>
              </w:rPr>
              <w:t>Gaisa satiksmes pārvaldības digitalizācija: jaunu rīku darbības sākšana</w:t>
            </w:r>
          </w:p>
        </w:tc>
        <w:tc>
          <w:tcPr>
            <w:tcW w:w="1504" w:type="dxa"/>
            <w:shd w:val="clear" w:color="auto" w:fill="C6EFCE"/>
            <w:noWrap/>
            <w:vAlign w:val="center"/>
          </w:tcPr>
          <w:p w14:paraId="2693D919" w14:textId="607534F6" w:rsidR="00327FF1" w:rsidRDefault="00E406C7">
            <w:pPr>
              <w:pStyle w:val="P68B1DB1-Normal12"/>
              <w:jc w:val="center"/>
              <w:rPr>
                <w:noProof/>
              </w:rPr>
            </w:pPr>
            <w:r>
              <w:rPr>
                <w:noProof/>
              </w:rPr>
              <w:t>TOC, digitalizētās aeronavigācijas informācijas un UTMS sertifikācija</w:t>
            </w:r>
          </w:p>
        </w:tc>
        <w:tc>
          <w:tcPr>
            <w:tcW w:w="1060" w:type="dxa"/>
            <w:shd w:val="clear" w:color="auto" w:fill="C6EFCE"/>
            <w:noWrap/>
            <w:vAlign w:val="center"/>
          </w:tcPr>
          <w:p w14:paraId="10FC56EC" w14:textId="77777777" w:rsidR="00327FF1" w:rsidRDefault="00E406C7">
            <w:pPr>
              <w:pStyle w:val="P68B1DB1-Normal12"/>
              <w:jc w:val="center"/>
              <w:rPr>
                <w:noProof/>
              </w:rPr>
            </w:pPr>
            <w:r>
              <w:rPr>
                <w:noProof/>
              </w:rPr>
              <w:t>NEPIEMĒRO</w:t>
            </w:r>
          </w:p>
        </w:tc>
        <w:tc>
          <w:tcPr>
            <w:tcW w:w="942" w:type="dxa"/>
            <w:shd w:val="clear" w:color="auto" w:fill="C6EFCE"/>
            <w:noWrap/>
            <w:vAlign w:val="center"/>
          </w:tcPr>
          <w:p w14:paraId="3B9F501C" w14:textId="77777777" w:rsidR="00327FF1" w:rsidRDefault="00E406C7">
            <w:pPr>
              <w:pStyle w:val="P68B1DB1-Normal12"/>
              <w:jc w:val="center"/>
              <w:rPr>
                <w:noProof/>
              </w:rPr>
            </w:pPr>
            <w:r>
              <w:rPr>
                <w:noProof/>
              </w:rPr>
              <w:t xml:space="preserve">NEPIEMĒRO </w:t>
            </w:r>
          </w:p>
        </w:tc>
        <w:tc>
          <w:tcPr>
            <w:tcW w:w="762" w:type="dxa"/>
            <w:shd w:val="clear" w:color="auto" w:fill="C6EFCE"/>
            <w:noWrap/>
            <w:vAlign w:val="center"/>
          </w:tcPr>
          <w:p w14:paraId="69D11ABC" w14:textId="77777777" w:rsidR="00327FF1" w:rsidRDefault="00327FF1">
            <w:pPr>
              <w:jc w:val="center"/>
              <w:rPr>
                <w:rFonts w:ascii="Arial Narrow" w:hAnsi="Arial Narrow"/>
                <w:noProof/>
                <w:color w:val="006100"/>
                <w:sz w:val="20"/>
                <w:szCs w:val="20"/>
              </w:rPr>
            </w:pPr>
          </w:p>
          <w:p w14:paraId="15FB92F7" w14:textId="77777777" w:rsidR="00327FF1" w:rsidRDefault="00E406C7">
            <w:pPr>
              <w:pStyle w:val="P68B1DB1-Normal12"/>
              <w:jc w:val="center"/>
              <w:rPr>
                <w:noProof/>
              </w:rPr>
            </w:pPr>
            <w:r>
              <w:rPr>
                <w:noProof/>
              </w:rPr>
              <w:t>NEPIEMĒRO</w:t>
            </w:r>
          </w:p>
          <w:p w14:paraId="6F41BA16" w14:textId="77777777" w:rsidR="00327FF1" w:rsidRDefault="00327FF1">
            <w:pPr>
              <w:jc w:val="center"/>
              <w:rPr>
                <w:rFonts w:ascii="Arial Narrow" w:hAnsi="Arial Narrow"/>
                <w:noProof/>
                <w:color w:val="006100"/>
                <w:sz w:val="20"/>
                <w:szCs w:val="20"/>
              </w:rPr>
            </w:pPr>
          </w:p>
        </w:tc>
        <w:tc>
          <w:tcPr>
            <w:tcW w:w="1383" w:type="dxa"/>
            <w:shd w:val="clear" w:color="auto" w:fill="C6EFCE"/>
            <w:noWrap/>
            <w:vAlign w:val="center"/>
          </w:tcPr>
          <w:p w14:paraId="478CCC36" w14:textId="77777777" w:rsidR="00327FF1" w:rsidRDefault="00E406C7">
            <w:pPr>
              <w:pStyle w:val="P68B1DB1-Normal12"/>
              <w:jc w:val="center"/>
              <w:rPr>
                <w:noProof/>
              </w:rPr>
            </w:pPr>
            <w:r>
              <w:rPr>
                <w:noProof/>
              </w:rPr>
              <w:t>Q1</w:t>
            </w:r>
          </w:p>
        </w:tc>
        <w:tc>
          <w:tcPr>
            <w:tcW w:w="629" w:type="dxa"/>
            <w:shd w:val="clear" w:color="auto" w:fill="C6EFCE"/>
            <w:noWrap/>
            <w:vAlign w:val="center"/>
          </w:tcPr>
          <w:p w14:paraId="7F8314F2" w14:textId="77777777" w:rsidR="00327FF1" w:rsidRDefault="00E406C7">
            <w:pPr>
              <w:pStyle w:val="P68B1DB1-Normal12"/>
              <w:jc w:val="center"/>
              <w:rPr>
                <w:noProof/>
              </w:rPr>
            </w:pPr>
            <w:r>
              <w:rPr>
                <w:noProof/>
              </w:rPr>
              <w:t>2026</w:t>
            </w:r>
          </w:p>
        </w:tc>
        <w:tc>
          <w:tcPr>
            <w:tcW w:w="3528" w:type="dxa"/>
            <w:shd w:val="clear" w:color="auto" w:fill="C6EFCE"/>
            <w:noWrap/>
            <w:vAlign w:val="center"/>
          </w:tcPr>
          <w:p w14:paraId="62C7863E" w14:textId="77777777" w:rsidR="00327FF1" w:rsidRDefault="00E406C7">
            <w:pPr>
              <w:pStyle w:val="P68B1DB1-Normal12"/>
              <w:jc w:val="both"/>
              <w:rPr>
                <w:noProof/>
              </w:rPr>
            </w:pPr>
            <w:r>
              <w:rPr>
                <w:noProof/>
              </w:rPr>
              <w:t xml:space="preserve">Šādu 3 projektu darbības uzsākšana: </w:t>
            </w:r>
          </w:p>
          <w:p w14:paraId="1B75DBF5" w14:textId="77777777" w:rsidR="00327FF1" w:rsidRDefault="00E406C7">
            <w:pPr>
              <w:pStyle w:val="P68B1DB1-Normal12"/>
              <w:jc w:val="both"/>
              <w:rPr>
                <w:noProof/>
              </w:rPr>
            </w:pPr>
            <w:r>
              <w:rPr>
                <w:noProof/>
              </w:rPr>
              <w:t xml:space="preserve">tehniskās ekspluatācijas centrs (TOC) un vismaz divas gaisa satiksmes pārvaldības sistēmas </w:t>
            </w:r>
          </w:p>
          <w:p w14:paraId="1383FAE8" w14:textId="77777777" w:rsidR="00327FF1" w:rsidRDefault="00E406C7">
            <w:pPr>
              <w:pStyle w:val="P68B1DB1-Normal12"/>
              <w:jc w:val="both"/>
              <w:rPr>
                <w:noProof/>
              </w:rPr>
            </w:pPr>
            <w:r>
              <w:rPr>
                <w:noProof/>
              </w:rPr>
              <w:t xml:space="preserve">digitalizēta aeronavigācijas informācija </w:t>
            </w:r>
          </w:p>
          <w:p w14:paraId="493D52E6" w14:textId="77777777" w:rsidR="00327FF1" w:rsidRDefault="00E406C7">
            <w:pPr>
              <w:pStyle w:val="P68B1DB1-Normal12"/>
              <w:rPr>
                <w:noProof/>
              </w:rPr>
            </w:pPr>
            <w:r>
              <w:rPr>
                <w:noProof/>
              </w:rPr>
              <w:t>C) Bezpilota satiksmes pārvaldības sistēma un savienojamība (UTMS).</w:t>
            </w:r>
          </w:p>
        </w:tc>
      </w:tr>
      <w:tr w:rsidR="00327FF1" w14:paraId="29FD4FAE" w14:textId="77777777">
        <w:trPr>
          <w:trHeight w:val="309"/>
          <w:jc w:val="center"/>
        </w:trPr>
        <w:tc>
          <w:tcPr>
            <w:tcW w:w="1051" w:type="dxa"/>
            <w:shd w:val="clear" w:color="auto" w:fill="C6EFCE"/>
            <w:noWrap/>
            <w:vAlign w:val="center"/>
          </w:tcPr>
          <w:p w14:paraId="75B426DA"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M3C2–7 </w:t>
            </w:r>
          </w:p>
        </w:tc>
        <w:tc>
          <w:tcPr>
            <w:tcW w:w="1345" w:type="dxa"/>
            <w:shd w:val="clear" w:color="auto" w:fill="C6EFCE"/>
            <w:noWrap/>
            <w:vAlign w:val="center"/>
          </w:tcPr>
          <w:p w14:paraId="1B437521"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Investīcija 2.3.: Aukstā gludināšana </w:t>
            </w:r>
          </w:p>
        </w:tc>
        <w:tc>
          <w:tcPr>
            <w:tcW w:w="977" w:type="dxa"/>
            <w:shd w:val="clear" w:color="auto" w:fill="C6EFCE"/>
            <w:noWrap/>
            <w:vAlign w:val="center"/>
          </w:tcPr>
          <w:p w14:paraId="05F13740"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Atskaites punkts </w:t>
            </w:r>
          </w:p>
        </w:tc>
        <w:tc>
          <w:tcPr>
            <w:tcW w:w="1380" w:type="dxa"/>
            <w:shd w:val="clear" w:color="auto" w:fill="C6EFCE"/>
            <w:noWrap/>
            <w:vAlign w:val="center"/>
          </w:tcPr>
          <w:p w14:paraId="11E157F0"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Visu publiskā iepirkuma līgumu slēgšanas tiesību piešķiršana </w:t>
            </w:r>
          </w:p>
        </w:tc>
        <w:tc>
          <w:tcPr>
            <w:tcW w:w="1504" w:type="dxa"/>
            <w:shd w:val="clear" w:color="auto" w:fill="C6EFCE"/>
            <w:noWrap/>
            <w:vAlign w:val="center"/>
          </w:tcPr>
          <w:p w14:paraId="0CF742D2"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szCs w:val="20"/>
              </w:rPr>
              <w:t xml:space="preserve">Konkursa izsludināšana un visu publiskā iepirkuma līgumu slēgšanas tiesību piešķiršana vismaz 15 aukstās gludināšanas iekārtu būvniecībai </w:t>
            </w:r>
          </w:p>
        </w:tc>
        <w:tc>
          <w:tcPr>
            <w:tcW w:w="1060" w:type="dxa"/>
            <w:shd w:val="clear" w:color="auto" w:fill="C6EFCE"/>
            <w:noWrap/>
            <w:vAlign w:val="center"/>
          </w:tcPr>
          <w:p w14:paraId="04CB2159"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NEPIEMĒRO </w:t>
            </w:r>
          </w:p>
        </w:tc>
        <w:tc>
          <w:tcPr>
            <w:tcW w:w="942" w:type="dxa"/>
            <w:shd w:val="clear" w:color="auto" w:fill="C6EFCE"/>
            <w:noWrap/>
            <w:vAlign w:val="center"/>
          </w:tcPr>
          <w:p w14:paraId="7FCB0980"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NEPIEMĒRO </w:t>
            </w:r>
          </w:p>
        </w:tc>
        <w:tc>
          <w:tcPr>
            <w:tcW w:w="762" w:type="dxa"/>
            <w:shd w:val="clear" w:color="auto" w:fill="C6EFCE"/>
            <w:noWrap/>
            <w:vAlign w:val="center"/>
          </w:tcPr>
          <w:p w14:paraId="2B388038"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NEPIEMĒRO </w:t>
            </w:r>
          </w:p>
        </w:tc>
        <w:tc>
          <w:tcPr>
            <w:tcW w:w="1383" w:type="dxa"/>
            <w:shd w:val="clear" w:color="auto" w:fill="C6EFCE"/>
            <w:noWrap/>
            <w:vAlign w:val="center"/>
          </w:tcPr>
          <w:p w14:paraId="319B9C9E"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CET. </w:t>
            </w:r>
          </w:p>
        </w:tc>
        <w:tc>
          <w:tcPr>
            <w:tcW w:w="629" w:type="dxa"/>
            <w:shd w:val="clear" w:color="auto" w:fill="C6EFCE"/>
            <w:noWrap/>
            <w:vAlign w:val="center"/>
          </w:tcPr>
          <w:p w14:paraId="39D41CAF"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2024 </w:t>
            </w:r>
          </w:p>
        </w:tc>
        <w:tc>
          <w:tcPr>
            <w:tcW w:w="3528" w:type="dxa"/>
            <w:shd w:val="clear" w:color="auto" w:fill="C6EFCE"/>
            <w:noWrap/>
            <w:vAlign w:val="center"/>
          </w:tcPr>
          <w:p w14:paraId="195D43C3" w14:textId="77777777" w:rsidR="00327FF1" w:rsidRDefault="00E406C7">
            <w:pPr>
              <w:jc w:val="both"/>
              <w:rPr>
                <w:rFonts w:ascii="Arial Narrow" w:hAnsi="Arial Narrow"/>
                <w:noProof/>
                <w:color w:val="006100"/>
                <w:sz w:val="20"/>
                <w:szCs w:val="20"/>
              </w:rPr>
            </w:pPr>
            <w:r>
              <w:rPr>
                <w:rStyle w:val="normaltextrun"/>
                <w:rFonts w:ascii="Arial Narrow" w:hAnsi="Arial Narrow"/>
                <w:noProof/>
                <w:color w:val="006100"/>
                <w:sz w:val="20"/>
                <w:szCs w:val="20"/>
              </w:rPr>
              <w:t xml:space="preserve">Konkursa izsludināšana un visu līgumu slēgšanas tiesību piešķiršana par vismaz 15 aukstās gludināšanas iekārtu, kas nodrošina elektroenerģiju, būvniecību vismaz 10 ostās. </w:t>
            </w:r>
          </w:p>
        </w:tc>
      </w:tr>
      <w:tr w:rsidR="00327FF1" w14:paraId="22B38668" w14:textId="77777777">
        <w:trPr>
          <w:trHeight w:val="309"/>
          <w:jc w:val="center"/>
        </w:trPr>
        <w:tc>
          <w:tcPr>
            <w:tcW w:w="1051" w:type="dxa"/>
            <w:shd w:val="clear" w:color="auto" w:fill="C6EFCE"/>
            <w:noWrap/>
            <w:vAlign w:val="center"/>
          </w:tcPr>
          <w:p w14:paraId="75E696C2"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M3C2–12</w:t>
            </w:r>
          </w:p>
        </w:tc>
        <w:tc>
          <w:tcPr>
            <w:tcW w:w="1345" w:type="dxa"/>
            <w:shd w:val="clear" w:color="auto" w:fill="C6EFCE"/>
            <w:noWrap/>
            <w:vAlign w:val="center"/>
          </w:tcPr>
          <w:p w14:paraId="2A32746F"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Investīcija 2.3.: Aukstā gludināšana </w:t>
            </w:r>
          </w:p>
        </w:tc>
        <w:tc>
          <w:tcPr>
            <w:tcW w:w="977" w:type="dxa"/>
            <w:shd w:val="clear" w:color="auto" w:fill="C6EFCE"/>
            <w:noWrap/>
            <w:vAlign w:val="center"/>
          </w:tcPr>
          <w:p w14:paraId="6CA985C9"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Mērķa </w:t>
            </w:r>
          </w:p>
        </w:tc>
        <w:tc>
          <w:tcPr>
            <w:tcW w:w="1380" w:type="dxa"/>
            <w:shd w:val="clear" w:color="auto" w:fill="C6EFCE"/>
            <w:noWrap/>
            <w:vAlign w:val="center"/>
          </w:tcPr>
          <w:p w14:paraId="3E7E6A74" w14:textId="77777777" w:rsidR="00327FF1" w:rsidRDefault="00E406C7">
            <w:pPr>
              <w:pStyle w:val="P68B1DB1-Normal11"/>
              <w:jc w:val="center"/>
              <w:rPr>
                <w:noProof/>
                <w:szCs w:val="20"/>
              </w:rPr>
            </w:pPr>
            <w:r>
              <w:rPr>
                <w:noProof/>
              </w:rPr>
              <w:t xml:space="preserve">Darbu pabeigšana un pieslēguma izmaksu aplēšu pieņemšana, ko veic attīstītājs aukstās gludināšanas infrastruktūras jomā. </w:t>
            </w:r>
          </w:p>
        </w:tc>
        <w:tc>
          <w:tcPr>
            <w:tcW w:w="1504" w:type="dxa"/>
            <w:shd w:val="clear" w:color="auto" w:fill="C6EFCE"/>
            <w:noWrap/>
            <w:vAlign w:val="center"/>
          </w:tcPr>
          <w:p w14:paraId="12C6B67D" w14:textId="77777777" w:rsidR="00327FF1" w:rsidRDefault="00E406C7">
            <w:pPr>
              <w:jc w:val="center"/>
              <w:rPr>
                <w:rFonts w:ascii="Arial Narrow" w:hAnsi="Arial Narrow"/>
                <w:noProof/>
                <w:color w:val="006100"/>
                <w:sz w:val="20"/>
                <w:szCs w:val="20"/>
              </w:rPr>
            </w:pPr>
            <w:r>
              <w:rPr>
                <w:rStyle w:val="eop"/>
                <w:rFonts w:ascii="Arial Narrow" w:hAnsi="Arial Narrow"/>
                <w:noProof/>
                <w:color w:val="006100"/>
                <w:sz w:val="20"/>
              </w:rPr>
              <w:t xml:space="preserve"> </w:t>
            </w:r>
          </w:p>
        </w:tc>
        <w:tc>
          <w:tcPr>
            <w:tcW w:w="1060" w:type="dxa"/>
            <w:shd w:val="clear" w:color="auto" w:fill="C6EFCE"/>
            <w:noWrap/>
            <w:vAlign w:val="center"/>
          </w:tcPr>
          <w:p w14:paraId="6C53A4C9"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Skaits </w:t>
            </w:r>
          </w:p>
        </w:tc>
        <w:tc>
          <w:tcPr>
            <w:tcW w:w="942" w:type="dxa"/>
            <w:shd w:val="clear" w:color="auto" w:fill="C6EFCE"/>
            <w:noWrap/>
            <w:vAlign w:val="center"/>
          </w:tcPr>
          <w:p w14:paraId="5FE5A8E1"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0 </w:t>
            </w:r>
          </w:p>
        </w:tc>
        <w:tc>
          <w:tcPr>
            <w:tcW w:w="762" w:type="dxa"/>
            <w:shd w:val="clear" w:color="auto" w:fill="C6EFCE"/>
            <w:noWrap/>
            <w:vAlign w:val="center"/>
          </w:tcPr>
          <w:p w14:paraId="088CB54E"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15 </w:t>
            </w:r>
          </w:p>
        </w:tc>
        <w:tc>
          <w:tcPr>
            <w:tcW w:w="1383" w:type="dxa"/>
            <w:shd w:val="clear" w:color="auto" w:fill="C6EFCE"/>
            <w:noWrap/>
            <w:vAlign w:val="center"/>
          </w:tcPr>
          <w:p w14:paraId="19142497"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2. CET.</w:t>
            </w:r>
          </w:p>
        </w:tc>
        <w:tc>
          <w:tcPr>
            <w:tcW w:w="629" w:type="dxa"/>
            <w:shd w:val="clear" w:color="auto" w:fill="C6EFCE"/>
            <w:noWrap/>
            <w:vAlign w:val="center"/>
          </w:tcPr>
          <w:p w14:paraId="34CC71A0" w14:textId="77777777" w:rsidR="00327FF1" w:rsidRDefault="00E406C7">
            <w:pPr>
              <w:jc w:val="center"/>
              <w:rPr>
                <w:rFonts w:ascii="Arial Narrow" w:hAnsi="Arial Narrow"/>
                <w:noProof/>
                <w:color w:val="006100"/>
                <w:sz w:val="20"/>
                <w:szCs w:val="20"/>
              </w:rPr>
            </w:pPr>
            <w:r>
              <w:rPr>
                <w:rStyle w:val="normaltextrun"/>
                <w:rFonts w:ascii="Arial Narrow" w:hAnsi="Arial Narrow"/>
                <w:noProof/>
                <w:color w:val="006100"/>
                <w:sz w:val="20"/>
              </w:rPr>
              <w:t xml:space="preserve">2026 </w:t>
            </w:r>
          </w:p>
        </w:tc>
        <w:tc>
          <w:tcPr>
            <w:tcW w:w="3528" w:type="dxa"/>
            <w:shd w:val="clear" w:color="auto" w:fill="C6EFCE"/>
            <w:noWrap/>
            <w:vAlign w:val="center"/>
          </w:tcPr>
          <w:p w14:paraId="1DDF830F" w14:textId="7021EA9C" w:rsidR="00327FF1" w:rsidRDefault="00E406C7">
            <w:pPr>
              <w:pStyle w:val="P68B1DB1-Normal11"/>
              <w:jc w:val="both"/>
              <w:rPr>
                <w:noProof/>
                <w:szCs w:val="20"/>
              </w:rPr>
            </w:pPr>
            <w:r>
              <w:rPr>
                <w:noProof/>
              </w:rPr>
              <w:t>Sertifikāti par darbu pabeigšanu un to, ka attīstītājs pieņem pieslēguma izmaksu aprēķinus vismaz 15 au</w:t>
            </w:r>
            <w:r>
              <w:rPr>
                <w:noProof/>
              </w:rPr>
              <w:t>kstās gludināšanas infrastruktūrām vismaz 10 ostās.</w:t>
            </w:r>
          </w:p>
        </w:tc>
      </w:tr>
    </w:tbl>
    <w:p w14:paraId="6B856018" w14:textId="77777777" w:rsidR="00327FF1" w:rsidRDefault="00327FF1">
      <w:pPr>
        <w:spacing w:before="120" w:after="120"/>
        <w:ind w:left="709"/>
        <w:jc w:val="both"/>
        <w:rPr>
          <w:noProof/>
        </w:rPr>
      </w:pPr>
    </w:p>
    <w:p w14:paraId="76C45BB2" w14:textId="77777777" w:rsidR="00327FF1" w:rsidRDefault="00327FF1">
      <w:pPr>
        <w:spacing w:before="120" w:after="120"/>
        <w:ind w:left="709"/>
        <w:jc w:val="both"/>
        <w:rPr>
          <w:noProof/>
        </w:rPr>
        <w:sectPr w:rsidR="00327FF1" w:rsidSect="005F11B9">
          <w:headerReference w:type="even" r:id="rId158"/>
          <w:headerReference w:type="default" r:id="rId159"/>
          <w:footerReference w:type="even" r:id="rId160"/>
          <w:footerReference w:type="default" r:id="rId161"/>
          <w:headerReference w:type="first" r:id="rId162"/>
          <w:footerReference w:type="first" r:id="rId163"/>
          <w:pgSz w:w="16839" w:h="11907" w:orient="landscape"/>
          <w:pgMar w:top="1134" w:right="1134" w:bottom="1134" w:left="1134" w:header="567" w:footer="567" w:gutter="0"/>
          <w:cols w:space="720"/>
          <w:docGrid w:linePitch="360"/>
        </w:sectPr>
      </w:pPr>
    </w:p>
    <w:p w14:paraId="65FEB9EB" w14:textId="77777777" w:rsidR="00327FF1" w:rsidRDefault="00E406C7">
      <w:pPr>
        <w:pStyle w:val="P68B1DB1-Heading34"/>
        <w:ind w:left="850" w:hanging="850"/>
        <w:rPr>
          <w:b/>
          <w:bCs/>
          <w:i/>
          <w:iCs/>
          <w:noProof/>
          <w:u w:val="single"/>
        </w:rPr>
      </w:pPr>
      <w:r>
        <w:rPr>
          <w:b/>
          <w:noProof/>
          <w:u w:val="single"/>
        </w:rPr>
        <w:t xml:space="preserve">I.3. </w:t>
      </w:r>
      <w:r>
        <w:rPr>
          <w:noProof/>
        </w:rPr>
        <w:t xml:space="preserve"> </w:t>
      </w:r>
      <w:r>
        <w:rPr>
          <w:b/>
          <w:noProof/>
          <w:u w:val="single"/>
        </w:rPr>
        <w:t xml:space="preserve">Aizdevumam pieteikto reformu un investīciju apraksts </w:t>
      </w:r>
    </w:p>
    <w:p w14:paraId="782F48C1" w14:textId="77777777" w:rsidR="00327FF1" w:rsidRDefault="00E406C7">
      <w:pPr>
        <w:pStyle w:val="P68B1DB1-Normal5"/>
        <w:spacing w:before="120" w:after="120"/>
        <w:jc w:val="both"/>
        <w:rPr>
          <w:rFonts w:eastAsia="Calibri"/>
          <w:noProof/>
        </w:rPr>
      </w:pPr>
      <w:r>
        <w:rPr>
          <w:noProof/>
        </w:rPr>
        <w:t xml:space="preserve">Investīcija 1.1: Zaļās ostas: atjaunīgās enerģijas un energoefektivitātes </w:t>
      </w:r>
      <w:r>
        <w:rPr>
          <w:noProof/>
        </w:rPr>
        <w:t>intervences ostās</w:t>
      </w:r>
    </w:p>
    <w:p w14:paraId="490712E4" w14:textId="77777777" w:rsidR="00327FF1" w:rsidRDefault="00E406C7">
      <w:pPr>
        <w:pStyle w:val="P68B1DB1-Normal7"/>
        <w:spacing w:before="120" w:after="120"/>
        <w:jc w:val="both"/>
        <w:rPr>
          <w:rFonts w:eastAsia="Calibri"/>
          <w:noProof/>
        </w:rPr>
      </w:pPr>
      <w:r>
        <w:rPr>
          <w:noProof/>
        </w:rPr>
        <w:t>Šā pasākuma mērķis ir samazināt siltumnīcefekta gāzu emisijas un uzlabot gaisa kvalitāti ostās un ostas pilsētās. Šīs investīcijas ietver energoefektivitātes intervences, atjaunīgās enerģijas attīstību, kā arī bezemisiju transportlīdzekļu</w:t>
      </w:r>
      <w:r>
        <w:rPr>
          <w:noProof/>
        </w:rPr>
        <w:t xml:space="preserve"> un dienesta laivu iegādi vai fosilā kurināmā transportlīdzekļu un dienesta laivu pārveidošanu par bezemisiju transportlīdzekļiem.</w:t>
      </w:r>
    </w:p>
    <w:p w14:paraId="2F6C9B8E" w14:textId="6032493F" w:rsidR="00327FF1" w:rsidRDefault="00E406C7">
      <w:pPr>
        <w:pStyle w:val="P68B1DB1-Normal5"/>
        <w:spacing w:before="120" w:after="120"/>
        <w:jc w:val="both"/>
        <w:rPr>
          <w:noProof/>
        </w:rPr>
      </w:pPr>
      <w:r>
        <w:rPr>
          <w:noProof/>
        </w:rPr>
        <w:t xml:space="preserve">Reforma Nr. 2.2: Valsts digitālās loģistikas platformas izveide, lai ieviestu kravu un/vai pasažieru pārvadājumu pakalpojumu </w:t>
      </w:r>
      <w:r>
        <w:rPr>
          <w:noProof/>
        </w:rPr>
        <w:t>digitalizāciju</w:t>
      </w:r>
    </w:p>
    <w:p w14:paraId="294DA221" w14:textId="77777777" w:rsidR="00327FF1" w:rsidRDefault="00E406C7">
      <w:pPr>
        <w:pStyle w:val="P68B1DB1-Normal7"/>
        <w:spacing w:before="120" w:after="120"/>
        <w:jc w:val="both"/>
        <w:rPr>
          <w:noProof/>
        </w:rPr>
      </w:pPr>
      <w:r>
        <w:rPr>
          <w:noProof/>
        </w:rPr>
        <w:t xml:space="preserve">Reformas mērķis ir panākt, lai atsevišķu ostas sistēmas iestāžu ostas kopienas sistēmas būtu sadarbspējīgas ar valsts digitālās loģistikas platformu. </w:t>
      </w:r>
    </w:p>
    <w:p w14:paraId="7498718C" w14:textId="5E4426CC" w:rsidR="00327FF1" w:rsidRDefault="00327FF1">
      <w:pPr>
        <w:spacing w:before="120" w:after="120"/>
        <w:jc w:val="both"/>
        <w:rPr>
          <w:rFonts w:ascii="Times New Roman" w:hAnsi="Times New Roman" w:cs="Times New Roman"/>
          <w:noProof/>
        </w:rPr>
        <w:sectPr w:rsidR="00327FF1" w:rsidSect="005F11B9">
          <w:headerReference w:type="even" r:id="rId164"/>
          <w:headerReference w:type="default" r:id="rId165"/>
          <w:footerReference w:type="even" r:id="rId166"/>
          <w:footerReference w:type="default" r:id="rId167"/>
          <w:headerReference w:type="first" r:id="rId168"/>
          <w:footerReference w:type="first" r:id="rId169"/>
          <w:pgSz w:w="11907" w:h="16839"/>
          <w:pgMar w:top="1134" w:right="1134" w:bottom="1134" w:left="1134" w:header="567" w:footer="567" w:gutter="0"/>
          <w:cols w:space="720"/>
          <w:docGrid w:linePitch="360"/>
        </w:sectPr>
      </w:pPr>
    </w:p>
    <w:p w14:paraId="1748F555" w14:textId="77777777" w:rsidR="00327FF1" w:rsidRDefault="00E406C7">
      <w:pPr>
        <w:pStyle w:val="P68B1DB1-Heading39"/>
        <w:ind w:left="850" w:hanging="850"/>
        <w:rPr>
          <w:b/>
          <w:bCs/>
          <w:i/>
          <w:iCs/>
          <w:noProof/>
          <w:u w:val="single"/>
        </w:rPr>
      </w:pPr>
      <w:r>
        <w:rPr>
          <w:b/>
          <w:noProof/>
          <w:u w:val="single"/>
        </w:rPr>
        <w:t xml:space="preserve">I.4. </w:t>
      </w:r>
      <w:r>
        <w:rPr>
          <w:noProof/>
        </w:rPr>
        <w:t xml:space="preserve"> </w:t>
      </w:r>
      <w:r>
        <w:rPr>
          <w:b/>
          <w:noProof/>
          <w:u w:val="single"/>
        </w:rPr>
        <w:t>Atskaites punkti, mērķr</w:t>
      </w:r>
      <w:r>
        <w:rPr>
          <w:b/>
          <w:noProof/>
          <w:u w:val="single"/>
        </w:rPr>
        <w:t xml:space="preserve">ādītāji, citi rādītāji un aizdevuma uzraudzības un īstenošanas grafiks </w:t>
      </w:r>
    </w:p>
    <w:tbl>
      <w:tblPr>
        <w:tblW w:w="53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9"/>
        <w:gridCol w:w="1652"/>
        <w:gridCol w:w="1183"/>
        <w:gridCol w:w="1554"/>
        <w:gridCol w:w="1422"/>
        <w:gridCol w:w="1276"/>
        <w:gridCol w:w="1134"/>
        <w:gridCol w:w="851"/>
        <w:gridCol w:w="935"/>
        <w:gridCol w:w="721"/>
        <w:gridCol w:w="3456"/>
      </w:tblGrid>
      <w:tr w:rsidR="00327FF1" w14:paraId="5BC67E1A" w14:textId="77777777">
        <w:trPr>
          <w:trHeight w:val="939"/>
          <w:tblHeader/>
          <w:jc w:val="center"/>
        </w:trPr>
        <w:tc>
          <w:tcPr>
            <w:tcW w:w="1079" w:type="dxa"/>
            <w:vMerge w:val="restart"/>
            <w:shd w:val="clear" w:color="auto" w:fill="BDD7EE"/>
            <w:vAlign w:val="center"/>
            <w:hideMark/>
          </w:tcPr>
          <w:p w14:paraId="64F87FE4" w14:textId="77777777" w:rsidR="00327FF1" w:rsidRDefault="00E406C7">
            <w:pPr>
              <w:pStyle w:val="P68B1DB1-Normal10"/>
              <w:jc w:val="center"/>
              <w:rPr>
                <w:noProof/>
                <w:szCs w:val="20"/>
              </w:rPr>
            </w:pPr>
            <w:r>
              <w:rPr>
                <w:noProof/>
              </w:rPr>
              <w:t>Kārtas numurs</w:t>
            </w:r>
          </w:p>
        </w:tc>
        <w:tc>
          <w:tcPr>
            <w:tcW w:w="1652" w:type="dxa"/>
            <w:vMerge w:val="restart"/>
            <w:shd w:val="clear" w:color="auto" w:fill="BDD7EE"/>
            <w:vAlign w:val="center"/>
            <w:hideMark/>
          </w:tcPr>
          <w:p w14:paraId="2C4F28A5" w14:textId="77777777" w:rsidR="00327FF1" w:rsidRDefault="00E406C7">
            <w:pPr>
              <w:pStyle w:val="P68B1DB1-Normal10"/>
              <w:jc w:val="center"/>
              <w:rPr>
                <w:noProof/>
                <w:szCs w:val="20"/>
              </w:rPr>
            </w:pPr>
            <w:r>
              <w:rPr>
                <w:noProof/>
              </w:rPr>
              <w:t>Saistītais pasākums (reforma vai ieguldījums)</w:t>
            </w:r>
          </w:p>
        </w:tc>
        <w:tc>
          <w:tcPr>
            <w:tcW w:w="1183" w:type="dxa"/>
            <w:vMerge w:val="restart"/>
            <w:shd w:val="clear" w:color="auto" w:fill="BDD7EE"/>
            <w:vAlign w:val="center"/>
            <w:hideMark/>
          </w:tcPr>
          <w:p w14:paraId="73D6FB1C" w14:textId="5C5ED20D" w:rsidR="00327FF1" w:rsidRDefault="00E406C7">
            <w:pPr>
              <w:pStyle w:val="P68B1DB1-Normal10"/>
              <w:jc w:val="center"/>
              <w:rPr>
                <w:noProof/>
                <w:szCs w:val="20"/>
              </w:rPr>
            </w:pPr>
            <w:r>
              <w:rPr>
                <w:noProof/>
              </w:rPr>
              <w:t>Atskaites punkts/mērķrādītājs</w:t>
            </w:r>
          </w:p>
        </w:tc>
        <w:tc>
          <w:tcPr>
            <w:tcW w:w="1554" w:type="dxa"/>
            <w:vMerge w:val="restart"/>
            <w:shd w:val="clear" w:color="auto" w:fill="BDD7EE"/>
            <w:vAlign w:val="center"/>
            <w:hideMark/>
          </w:tcPr>
          <w:p w14:paraId="196C51B8" w14:textId="77777777" w:rsidR="00327FF1" w:rsidRDefault="00E406C7">
            <w:pPr>
              <w:pStyle w:val="P68B1DB1-Normal10"/>
              <w:jc w:val="center"/>
              <w:rPr>
                <w:noProof/>
                <w:szCs w:val="20"/>
              </w:rPr>
            </w:pPr>
            <w:r>
              <w:rPr>
                <w:noProof/>
              </w:rPr>
              <w:t>Nosaukums</w:t>
            </w:r>
          </w:p>
        </w:tc>
        <w:tc>
          <w:tcPr>
            <w:tcW w:w="1422" w:type="dxa"/>
            <w:vMerge w:val="restart"/>
            <w:shd w:val="clear" w:color="auto" w:fill="BDD7EE"/>
            <w:vAlign w:val="center"/>
            <w:hideMark/>
          </w:tcPr>
          <w:p w14:paraId="6B87ACB9" w14:textId="77777777"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3261" w:type="dxa"/>
            <w:gridSpan w:val="3"/>
            <w:shd w:val="clear" w:color="auto" w:fill="BDD7EE"/>
            <w:vAlign w:val="center"/>
            <w:hideMark/>
          </w:tcPr>
          <w:p w14:paraId="4EFA2DD7" w14:textId="77777777" w:rsidR="00327FF1" w:rsidRDefault="00E406C7">
            <w:pPr>
              <w:jc w:val="center"/>
              <w:rPr>
                <w:rFonts w:ascii="Arial Narrow" w:hAnsi="Arial Narrow"/>
                <w:b/>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656" w:type="dxa"/>
            <w:gridSpan w:val="2"/>
            <w:shd w:val="clear" w:color="auto" w:fill="BDD7EE"/>
            <w:vAlign w:val="center"/>
            <w:hideMark/>
          </w:tcPr>
          <w:p w14:paraId="6EBD7C07" w14:textId="77777777" w:rsidR="00327FF1" w:rsidRDefault="00E406C7">
            <w:pPr>
              <w:pStyle w:val="P68B1DB1-Normal10"/>
              <w:jc w:val="center"/>
              <w:rPr>
                <w:noProof/>
                <w:szCs w:val="20"/>
              </w:rPr>
            </w:pPr>
            <w:r>
              <w:rPr>
                <w:noProof/>
              </w:rPr>
              <w:t xml:space="preserve">Orientējošs pabeigšanas termiņš </w:t>
            </w:r>
          </w:p>
        </w:tc>
        <w:tc>
          <w:tcPr>
            <w:tcW w:w="3456" w:type="dxa"/>
            <w:vMerge w:val="restart"/>
            <w:shd w:val="clear" w:color="auto" w:fill="BDD7EE"/>
            <w:vAlign w:val="center"/>
            <w:hideMark/>
          </w:tcPr>
          <w:p w14:paraId="764BFA19" w14:textId="77777777" w:rsidR="00327FF1" w:rsidRDefault="00E406C7">
            <w:pPr>
              <w:pStyle w:val="P68B1DB1-Normal10"/>
              <w:jc w:val="center"/>
              <w:rPr>
                <w:noProof/>
                <w:szCs w:val="20"/>
              </w:rPr>
            </w:pPr>
            <w:r>
              <w:rPr>
                <w:noProof/>
              </w:rPr>
              <w:t>Apraksts par katru atskaites punktu un mērķrādītāju</w:t>
            </w:r>
          </w:p>
        </w:tc>
      </w:tr>
      <w:tr w:rsidR="00327FF1" w14:paraId="376CB503" w14:textId="77777777">
        <w:trPr>
          <w:trHeight w:val="1027"/>
          <w:tblHeader/>
          <w:jc w:val="center"/>
        </w:trPr>
        <w:tc>
          <w:tcPr>
            <w:tcW w:w="1079" w:type="dxa"/>
            <w:vMerge/>
            <w:vAlign w:val="center"/>
            <w:hideMark/>
          </w:tcPr>
          <w:p w14:paraId="68E0905F" w14:textId="77777777" w:rsidR="00327FF1" w:rsidRDefault="00327FF1">
            <w:pPr>
              <w:rPr>
                <w:rFonts w:ascii="Arial Narrow" w:hAnsi="Arial Narrow"/>
                <w:b/>
                <w:bCs/>
                <w:noProof/>
                <w:sz w:val="20"/>
                <w:szCs w:val="20"/>
              </w:rPr>
            </w:pPr>
          </w:p>
        </w:tc>
        <w:tc>
          <w:tcPr>
            <w:tcW w:w="1652" w:type="dxa"/>
            <w:vMerge/>
            <w:vAlign w:val="center"/>
            <w:hideMark/>
          </w:tcPr>
          <w:p w14:paraId="0A0F800E" w14:textId="77777777" w:rsidR="00327FF1" w:rsidRDefault="00327FF1">
            <w:pPr>
              <w:rPr>
                <w:rFonts w:ascii="Arial Narrow" w:hAnsi="Arial Narrow"/>
                <w:b/>
                <w:bCs/>
                <w:noProof/>
                <w:sz w:val="20"/>
                <w:szCs w:val="20"/>
              </w:rPr>
            </w:pPr>
          </w:p>
        </w:tc>
        <w:tc>
          <w:tcPr>
            <w:tcW w:w="1183" w:type="dxa"/>
            <w:vMerge/>
            <w:vAlign w:val="center"/>
            <w:hideMark/>
          </w:tcPr>
          <w:p w14:paraId="0FB05003" w14:textId="77777777" w:rsidR="00327FF1" w:rsidRDefault="00327FF1">
            <w:pPr>
              <w:rPr>
                <w:rFonts w:ascii="Arial Narrow" w:hAnsi="Arial Narrow"/>
                <w:b/>
                <w:bCs/>
                <w:noProof/>
                <w:sz w:val="20"/>
                <w:szCs w:val="20"/>
              </w:rPr>
            </w:pPr>
          </w:p>
        </w:tc>
        <w:tc>
          <w:tcPr>
            <w:tcW w:w="1554" w:type="dxa"/>
            <w:vMerge/>
            <w:vAlign w:val="center"/>
            <w:hideMark/>
          </w:tcPr>
          <w:p w14:paraId="79FA3C08" w14:textId="77777777" w:rsidR="00327FF1" w:rsidRDefault="00327FF1">
            <w:pPr>
              <w:rPr>
                <w:rFonts w:ascii="Arial Narrow" w:hAnsi="Arial Narrow"/>
                <w:b/>
                <w:bCs/>
                <w:noProof/>
                <w:sz w:val="20"/>
                <w:szCs w:val="20"/>
              </w:rPr>
            </w:pPr>
          </w:p>
        </w:tc>
        <w:tc>
          <w:tcPr>
            <w:tcW w:w="1422" w:type="dxa"/>
            <w:vMerge/>
            <w:vAlign w:val="center"/>
            <w:hideMark/>
          </w:tcPr>
          <w:p w14:paraId="0FDE00E9" w14:textId="77777777" w:rsidR="00327FF1" w:rsidRDefault="00327FF1">
            <w:pPr>
              <w:rPr>
                <w:rFonts w:ascii="Arial Narrow" w:hAnsi="Arial Narrow"/>
                <w:b/>
                <w:bCs/>
                <w:noProof/>
                <w:sz w:val="20"/>
                <w:szCs w:val="20"/>
              </w:rPr>
            </w:pPr>
          </w:p>
        </w:tc>
        <w:tc>
          <w:tcPr>
            <w:tcW w:w="1276" w:type="dxa"/>
            <w:shd w:val="clear" w:color="auto" w:fill="BDD7EE"/>
            <w:vAlign w:val="center"/>
            <w:hideMark/>
          </w:tcPr>
          <w:p w14:paraId="52D5A3D0" w14:textId="77777777" w:rsidR="00327FF1" w:rsidRDefault="00E406C7">
            <w:pPr>
              <w:pStyle w:val="P68B1DB1-Normal10"/>
              <w:jc w:val="center"/>
              <w:rPr>
                <w:noProof/>
                <w:szCs w:val="20"/>
              </w:rPr>
            </w:pPr>
            <w:r>
              <w:rPr>
                <w:noProof/>
              </w:rPr>
              <w:t>Mēra vienība</w:t>
            </w:r>
          </w:p>
        </w:tc>
        <w:tc>
          <w:tcPr>
            <w:tcW w:w="1134" w:type="dxa"/>
            <w:shd w:val="clear" w:color="auto" w:fill="BDD7EE"/>
            <w:vAlign w:val="center"/>
            <w:hideMark/>
          </w:tcPr>
          <w:p w14:paraId="68FA531A" w14:textId="77777777" w:rsidR="00327FF1" w:rsidRDefault="00E406C7">
            <w:pPr>
              <w:pStyle w:val="P68B1DB1-Normal10"/>
              <w:jc w:val="center"/>
              <w:rPr>
                <w:noProof/>
                <w:szCs w:val="20"/>
              </w:rPr>
            </w:pPr>
            <w:r>
              <w:rPr>
                <w:noProof/>
              </w:rPr>
              <w:t xml:space="preserve">Pamatscenārijs </w:t>
            </w:r>
          </w:p>
        </w:tc>
        <w:tc>
          <w:tcPr>
            <w:tcW w:w="851" w:type="dxa"/>
            <w:shd w:val="clear" w:color="auto" w:fill="BDD7EE"/>
            <w:vAlign w:val="center"/>
            <w:hideMark/>
          </w:tcPr>
          <w:p w14:paraId="665305E7" w14:textId="77777777" w:rsidR="00327FF1" w:rsidRDefault="00E406C7">
            <w:pPr>
              <w:pStyle w:val="P68B1DB1-Normal10"/>
              <w:jc w:val="center"/>
              <w:rPr>
                <w:noProof/>
                <w:szCs w:val="20"/>
              </w:rPr>
            </w:pPr>
            <w:r>
              <w:rPr>
                <w:noProof/>
              </w:rPr>
              <w:t xml:space="preserve">Mērķis </w:t>
            </w:r>
          </w:p>
        </w:tc>
        <w:tc>
          <w:tcPr>
            <w:tcW w:w="935" w:type="dxa"/>
            <w:shd w:val="clear" w:color="auto" w:fill="BDD7EE"/>
            <w:vAlign w:val="center"/>
            <w:hideMark/>
          </w:tcPr>
          <w:p w14:paraId="1A16599E" w14:textId="77777777" w:rsidR="00327FF1" w:rsidRDefault="00E406C7">
            <w:pPr>
              <w:pStyle w:val="P68B1DB1-Normal10"/>
              <w:jc w:val="center"/>
              <w:rPr>
                <w:noProof/>
                <w:szCs w:val="20"/>
              </w:rPr>
            </w:pPr>
            <w:r>
              <w:rPr>
                <w:noProof/>
              </w:rPr>
              <w:t>Ceturkšņa laikā</w:t>
            </w:r>
          </w:p>
        </w:tc>
        <w:tc>
          <w:tcPr>
            <w:tcW w:w="721" w:type="dxa"/>
            <w:shd w:val="clear" w:color="auto" w:fill="BDD7EE"/>
            <w:vAlign w:val="center"/>
            <w:hideMark/>
          </w:tcPr>
          <w:p w14:paraId="6678CF0C" w14:textId="77777777" w:rsidR="00327FF1" w:rsidRDefault="00E406C7">
            <w:pPr>
              <w:pStyle w:val="P68B1DB1-Normal10"/>
              <w:jc w:val="center"/>
              <w:rPr>
                <w:noProof/>
                <w:szCs w:val="20"/>
              </w:rPr>
            </w:pPr>
            <w:r>
              <w:rPr>
                <w:noProof/>
              </w:rPr>
              <w:t>Gadu</w:t>
            </w:r>
          </w:p>
        </w:tc>
        <w:tc>
          <w:tcPr>
            <w:tcW w:w="3456" w:type="dxa"/>
            <w:vMerge/>
            <w:vAlign w:val="center"/>
            <w:hideMark/>
          </w:tcPr>
          <w:p w14:paraId="43ABF898" w14:textId="77777777" w:rsidR="00327FF1" w:rsidRDefault="00327FF1">
            <w:pPr>
              <w:rPr>
                <w:rFonts w:ascii="Arial Narrow" w:hAnsi="Arial Narrow"/>
                <w:b/>
                <w:bCs/>
                <w:noProof/>
                <w:sz w:val="20"/>
                <w:szCs w:val="20"/>
              </w:rPr>
            </w:pPr>
          </w:p>
        </w:tc>
      </w:tr>
      <w:tr w:rsidR="00327FF1" w14:paraId="28F5039F" w14:textId="77777777">
        <w:trPr>
          <w:trHeight w:val="313"/>
          <w:jc w:val="center"/>
        </w:trPr>
        <w:tc>
          <w:tcPr>
            <w:tcW w:w="1079" w:type="dxa"/>
            <w:shd w:val="clear" w:color="auto" w:fill="C6EFCE"/>
            <w:noWrap/>
            <w:vAlign w:val="center"/>
          </w:tcPr>
          <w:p w14:paraId="60690D1A" w14:textId="77777777" w:rsidR="00327FF1" w:rsidRDefault="00E406C7">
            <w:pPr>
              <w:pStyle w:val="P68B1DB1-Normal11"/>
              <w:jc w:val="center"/>
              <w:rPr>
                <w:noProof/>
                <w:szCs w:val="20"/>
              </w:rPr>
            </w:pPr>
            <w:r>
              <w:rPr>
                <w:noProof/>
              </w:rPr>
              <w:t>M3C2–8</w:t>
            </w:r>
          </w:p>
        </w:tc>
        <w:tc>
          <w:tcPr>
            <w:tcW w:w="1652" w:type="dxa"/>
            <w:shd w:val="clear" w:color="auto" w:fill="C6EFCE"/>
            <w:noWrap/>
            <w:vAlign w:val="center"/>
          </w:tcPr>
          <w:p w14:paraId="3928968E" w14:textId="77777777" w:rsidR="00327FF1" w:rsidRDefault="00E406C7">
            <w:pPr>
              <w:pStyle w:val="P68B1DB1-Normal11"/>
              <w:jc w:val="center"/>
              <w:rPr>
                <w:noProof/>
                <w:szCs w:val="20"/>
              </w:rPr>
            </w:pPr>
            <w:r>
              <w:rPr>
                <w:noProof/>
              </w:rPr>
              <w:t xml:space="preserve">Investīcija 1.1: Zaļās ostas: atjaunīgās enerģijas un energoefektivitātes intervences </w:t>
            </w:r>
            <w:r>
              <w:rPr>
                <w:noProof/>
              </w:rPr>
              <w:t>ostās</w:t>
            </w:r>
          </w:p>
        </w:tc>
        <w:tc>
          <w:tcPr>
            <w:tcW w:w="1183" w:type="dxa"/>
            <w:shd w:val="clear" w:color="auto" w:fill="C6EFCE"/>
            <w:noWrap/>
            <w:vAlign w:val="center"/>
          </w:tcPr>
          <w:p w14:paraId="6524A5F1" w14:textId="77777777" w:rsidR="00327FF1" w:rsidRDefault="00E406C7">
            <w:pPr>
              <w:pStyle w:val="P68B1DB1-Normal11"/>
              <w:jc w:val="center"/>
              <w:rPr>
                <w:noProof/>
                <w:szCs w:val="20"/>
              </w:rPr>
            </w:pPr>
            <w:r>
              <w:rPr>
                <w:noProof/>
              </w:rPr>
              <w:t>Mērķa</w:t>
            </w:r>
          </w:p>
        </w:tc>
        <w:tc>
          <w:tcPr>
            <w:tcW w:w="1554" w:type="dxa"/>
            <w:shd w:val="clear" w:color="auto" w:fill="C6EFCE"/>
            <w:noWrap/>
            <w:vAlign w:val="center"/>
          </w:tcPr>
          <w:p w14:paraId="49FEFF05" w14:textId="77777777" w:rsidR="00327FF1" w:rsidRDefault="00E406C7">
            <w:pPr>
              <w:pStyle w:val="P68B1DB1-Normal11"/>
              <w:jc w:val="center"/>
              <w:rPr>
                <w:noProof/>
                <w:szCs w:val="20"/>
              </w:rPr>
            </w:pPr>
            <w:r>
              <w:rPr>
                <w:noProof/>
              </w:rPr>
              <w:t>Zaļās ostas: darbu piešķiršana</w:t>
            </w:r>
          </w:p>
        </w:tc>
        <w:tc>
          <w:tcPr>
            <w:tcW w:w="1422" w:type="dxa"/>
            <w:shd w:val="clear" w:color="auto" w:fill="C6EFCE"/>
            <w:noWrap/>
            <w:vAlign w:val="center"/>
          </w:tcPr>
          <w:p w14:paraId="568A2EF1" w14:textId="77777777" w:rsidR="00327FF1" w:rsidRDefault="00E406C7">
            <w:pPr>
              <w:pStyle w:val="P68B1DB1-Normal11"/>
              <w:jc w:val="center"/>
              <w:rPr>
                <w:noProof/>
                <w:szCs w:val="20"/>
              </w:rPr>
            </w:pPr>
            <w:r>
              <w:rPr>
                <w:noProof/>
              </w:rPr>
              <w:t>NEPIEMĒRO</w:t>
            </w:r>
          </w:p>
        </w:tc>
        <w:tc>
          <w:tcPr>
            <w:tcW w:w="1276" w:type="dxa"/>
            <w:shd w:val="clear" w:color="auto" w:fill="C6EFCE"/>
            <w:noWrap/>
            <w:vAlign w:val="center"/>
          </w:tcPr>
          <w:p w14:paraId="0E37C260" w14:textId="77777777" w:rsidR="00327FF1" w:rsidRDefault="00E406C7">
            <w:pPr>
              <w:pStyle w:val="P68B1DB1-Normal11"/>
              <w:jc w:val="center"/>
              <w:rPr>
                <w:noProof/>
                <w:szCs w:val="20"/>
              </w:rPr>
            </w:pPr>
            <w:r>
              <w:rPr>
                <w:noProof/>
              </w:rPr>
              <w:t>Skaits</w:t>
            </w:r>
          </w:p>
        </w:tc>
        <w:tc>
          <w:tcPr>
            <w:tcW w:w="1134" w:type="dxa"/>
            <w:shd w:val="clear" w:color="auto" w:fill="C6EFCE"/>
            <w:noWrap/>
            <w:vAlign w:val="center"/>
          </w:tcPr>
          <w:p w14:paraId="0C2882CB" w14:textId="77777777" w:rsidR="00327FF1" w:rsidRDefault="00E406C7">
            <w:pPr>
              <w:pStyle w:val="P68B1DB1-Normal11"/>
              <w:jc w:val="center"/>
              <w:rPr>
                <w:noProof/>
                <w:szCs w:val="20"/>
              </w:rPr>
            </w:pPr>
            <w:r>
              <w:rPr>
                <w:noProof/>
              </w:rPr>
              <w:t>0</w:t>
            </w:r>
          </w:p>
        </w:tc>
        <w:tc>
          <w:tcPr>
            <w:tcW w:w="851" w:type="dxa"/>
            <w:shd w:val="clear" w:color="auto" w:fill="C6EFCE"/>
            <w:noWrap/>
            <w:vAlign w:val="center"/>
          </w:tcPr>
          <w:p w14:paraId="092E55C7" w14:textId="77777777" w:rsidR="00327FF1" w:rsidRDefault="00E406C7">
            <w:pPr>
              <w:pStyle w:val="P68B1DB1-Normal11"/>
              <w:jc w:val="center"/>
              <w:rPr>
                <w:noProof/>
                <w:szCs w:val="20"/>
              </w:rPr>
            </w:pPr>
            <w:r>
              <w:rPr>
                <w:noProof/>
              </w:rPr>
              <w:t>7</w:t>
            </w:r>
          </w:p>
        </w:tc>
        <w:tc>
          <w:tcPr>
            <w:tcW w:w="935" w:type="dxa"/>
            <w:shd w:val="clear" w:color="auto" w:fill="C6EFCE"/>
            <w:noWrap/>
            <w:vAlign w:val="center"/>
          </w:tcPr>
          <w:p w14:paraId="519D7754" w14:textId="77777777" w:rsidR="00327FF1" w:rsidRDefault="00E406C7">
            <w:pPr>
              <w:pStyle w:val="P68B1DB1-Normal11"/>
              <w:jc w:val="center"/>
              <w:rPr>
                <w:noProof/>
                <w:szCs w:val="20"/>
              </w:rPr>
            </w:pPr>
            <w:r>
              <w:rPr>
                <w:noProof/>
              </w:rPr>
              <w:t>4. CET.</w:t>
            </w:r>
          </w:p>
        </w:tc>
        <w:tc>
          <w:tcPr>
            <w:tcW w:w="721" w:type="dxa"/>
            <w:shd w:val="clear" w:color="auto" w:fill="C6EFCE"/>
            <w:noWrap/>
            <w:vAlign w:val="center"/>
          </w:tcPr>
          <w:p w14:paraId="20F7A8A9" w14:textId="77777777" w:rsidR="00327FF1" w:rsidRDefault="00E406C7">
            <w:pPr>
              <w:pStyle w:val="P68B1DB1-Normal11"/>
              <w:jc w:val="center"/>
              <w:rPr>
                <w:noProof/>
                <w:szCs w:val="20"/>
              </w:rPr>
            </w:pPr>
            <w:r>
              <w:rPr>
                <w:noProof/>
              </w:rPr>
              <w:t>2022</w:t>
            </w:r>
          </w:p>
        </w:tc>
        <w:tc>
          <w:tcPr>
            <w:tcW w:w="3456" w:type="dxa"/>
            <w:shd w:val="clear" w:color="auto" w:fill="C6EFCE"/>
            <w:noWrap/>
            <w:vAlign w:val="center"/>
          </w:tcPr>
          <w:p w14:paraId="580E1863" w14:textId="77777777" w:rsidR="00327FF1" w:rsidRDefault="00E406C7">
            <w:pPr>
              <w:pStyle w:val="P68B1DB1-Normal11"/>
              <w:jc w:val="both"/>
              <w:rPr>
                <w:noProof/>
                <w:szCs w:val="20"/>
              </w:rPr>
            </w:pPr>
            <w:r>
              <w:rPr>
                <w:noProof/>
              </w:rPr>
              <w:t xml:space="preserve">Darbu uzticēšana vismaz septiņām ostu sistēmas iestādēm. Darbu piešķiršanas atlases procedūrā ietilpst: </w:t>
            </w:r>
          </w:p>
          <w:p w14:paraId="2FCA6243" w14:textId="77777777" w:rsidR="00327FF1" w:rsidRDefault="00E406C7">
            <w:pPr>
              <w:pStyle w:val="P68B1DB1-Normal11"/>
              <w:jc w:val="both"/>
              <w:rPr>
                <w:noProof/>
                <w:szCs w:val="20"/>
              </w:rPr>
            </w:pPr>
            <w:r>
              <w:rPr>
                <w:noProof/>
              </w:rPr>
              <w:t xml:space="preserve">atbilstības kritēriji, kas nodrošina, ka darbi atbilst Tehniskajiem </w:t>
            </w:r>
            <w:r>
              <w:rPr>
                <w:noProof/>
              </w:rPr>
              <w:t>norādījumiem “nenodari būtisku kaitējumu” (2021/C58/01) un attiecīgajiem ES un valstu tiesību aktiem vides jomā.</w:t>
            </w:r>
          </w:p>
          <w:p w14:paraId="02286515" w14:textId="77777777" w:rsidR="00327FF1" w:rsidRDefault="00E406C7">
            <w:pPr>
              <w:pStyle w:val="P68B1DB1-Normal11"/>
              <w:jc w:val="both"/>
              <w:rPr>
                <w:noProof/>
                <w:szCs w:val="20"/>
              </w:rPr>
            </w:pPr>
            <w:r>
              <w:rPr>
                <w:noProof/>
              </w:rPr>
              <w:t>b) apņemšanās, ka investīciju ieguldījums klimata jomā saskaņā ar Regulas (ES) 2021/241 VI pielikumā izklāstīto metodiku veido vismaz 79 % no A</w:t>
            </w:r>
            <w:r>
              <w:rPr>
                <w:noProof/>
              </w:rPr>
              <w:t>NM atbalstīto investīciju kopējām izmaksām.</w:t>
            </w:r>
          </w:p>
          <w:p w14:paraId="62BA87B5" w14:textId="77777777" w:rsidR="00327FF1" w:rsidRDefault="00E406C7">
            <w:pPr>
              <w:pStyle w:val="P68B1DB1-Normal11"/>
              <w:jc w:val="both"/>
              <w:rPr>
                <w:noProof/>
                <w:szCs w:val="20"/>
              </w:rPr>
            </w:pPr>
            <w:r>
              <w:rPr>
                <w:noProof/>
              </w:rPr>
              <w:t>saistības ziņot par pasākuma īstenošanu shēmas darbības vidusposmā un shēmas beigās.</w:t>
            </w:r>
          </w:p>
        </w:tc>
      </w:tr>
      <w:tr w:rsidR="00327FF1" w14:paraId="28316CBC" w14:textId="77777777">
        <w:trPr>
          <w:trHeight w:val="313"/>
          <w:jc w:val="center"/>
        </w:trPr>
        <w:tc>
          <w:tcPr>
            <w:tcW w:w="1079" w:type="dxa"/>
            <w:shd w:val="clear" w:color="auto" w:fill="C6EFCE"/>
            <w:noWrap/>
            <w:vAlign w:val="center"/>
          </w:tcPr>
          <w:p w14:paraId="5A98C593" w14:textId="77777777" w:rsidR="00327FF1" w:rsidRDefault="00E406C7">
            <w:pPr>
              <w:pStyle w:val="P68B1DB1-Normal11"/>
              <w:jc w:val="center"/>
              <w:rPr>
                <w:noProof/>
                <w:szCs w:val="20"/>
              </w:rPr>
            </w:pPr>
            <w:r>
              <w:rPr>
                <w:noProof/>
              </w:rPr>
              <w:t>M3C2–9 </w:t>
            </w:r>
          </w:p>
        </w:tc>
        <w:tc>
          <w:tcPr>
            <w:tcW w:w="1652" w:type="dxa"/>
            <w:shd w:val="clear" w:color="auto" w:fill="C6EFCE"/>
            <w:noWrap/>
            <w:vAlign w:val="center"/>
          </w:tcPr>
          <w:p w14:paraId="31E077F0" w14:textId="77777777" w:rsidR="00327FF1" w:rsidRDefault="00E406C7">
            <w:pPr>
              <w:pStyle w:val="P68B1DB1-Normal11"/>
              <w:jc w:val="center"/>
              <w:rPr>
                <w:noProof/>
                <w:szCs w:val="20"/>
              </w:rPr>
            </w:pPr>
            <w:r>
              <w:rPr>
                <w:noProof/>
              </w:rPr>
              <w:t>Investīcija 1.1: Zaļās ostas: atjaunīgās enerģijas un energoefektivitātes intervences ostās </w:t>
            </w:r>
          </w:p>
        </w:tc>
        <w:tc>
          <w:tcPr>
            <w:tcW w:w="1183" w:type="dxa"/>
            <w:shd w:val="clear" w:color="auto" w:fill="C6EFCE"/>
            <w:noWrap/>
            <w:vAlign w:val="center"/>
          </w:tcPr>
          <w:p w14:paraId="0B65FC5F" w14:textId="0430E95B" w:rsidR="00327FF1" w:rsidRDefault="00E406C7">
            <w:pPr>
              <w:pStyle w:val="P68B1DB1-Normal11"/>
              <w:jc w:val="center"/>
              <w:rPr>
                <w:noProof/>
                <w:szCs w:val="20"/>
              </w:rPr>
            </w:pPr>
            <w:r>
              <w:rPr>
                <w:noProof/>
              </w:rPr>
              <w:t>Mērķa</w:t>
            </w:r>
          </w:p>
        </w:tc>
        <w:tc>
          <w:tcPr>
            <w:tcW w:w="1554" w:type="dxa"/>
            <w:shd w:val="clear" w:color="auto" w:fill="C6EFCE"/>
            <w:noWrap/>
            <w:vAlign w:val="center"/>
          </w:tcPr>
          <w:p w14:paraId="628F753E" w14:textId="77777777" w:rsidR="00327FF1" w:rsidRDefault="00E406C7">
            <w:pPr>
              <w:pStyle w:val="P68B1DB1-Normal11"/>
              <w:jc w:val="center"/>
              <w:rPr>
                <w:noProof/>
                <w:szCs w:val="20"/>
              </w:rPr>
            </w:pPr>
            <w:r>
              <w:rPr>
                <w:noProof/>
              </w:rPr>
              <w:t xml:space="preserve">Zaļās ostas: darbu pabeigšana </w:t>
            </w:r>
          </w:p>
        </w:tc>
        <w:tc>
          <w:tcPr>
            <w:tcW w:w="1422" w:type="dxa"/>
            <w:shd w:val="clear" w:color="auto" w:fill="C6EFCE"/>
            <w:noWrap/>
            <w:vAlign w:val="center"/>
          </w:tcPr>
          <w:p w14:paraId="3491B639" w14:textId="77777777" w:rsidR="00327FF1" w:rsidRDefault="00E406C7">
            <w:pPr>
              <w:pStyle w:val="P68B1DB1-Normal11"/>
              <w:jc w:val="center"/>
              <w:rPr>
                <w:noProof/>
                <w:szCs w:val="20"/>
              </w:rPr>
            </w:pPr>
            <w:r>
              <w:rPr>
                <w:noProof/>
              </w:rPr>
              <w:t>NEPIEMĒRO</w:t>
            </w:r>
          </w:p>
        </w:tc>
        <w:tc>
          <w:tcPr>
            <w:tcW w:w="1276" w:type="dxa"/>
            <w:shd w:val="clear" w:color="auto" w:fill="C6EFCE"/>
            <w:noWrap/>
            <w:vAlign w:val="center"/>
          </w:tcPr>
          <w:p w14:paraId="5508755C" w14:textId="77777777" w:rsidR="00327FF1" w:rsidRDefault="00E406C7">
            <w:pPr>
              <w:pStyle w:val="P68B1DB1-Normal11"/>
              <w:jc w:val="center"/>
              <w:rPr>
                <w:noProof/>
                <w:szCs w:val="20"/>
              </w:rPr>
            </w:pPr>
            <w:r>
              <w:rPr>
                <w:noProof/>
              </w:rPr>
              <w:t>Skaits</w:t>
            </w:r>
          </w:p>
        </w:tc>
        <w:tc>
          <w:tcPr>
            <w:tcW w:w="1134" w:type="dxa"/>
            <w:shd w:val="clear" w:color="auto" w:fill="C6EFCE"/>
            <w:noWrap/>
            <w:vAlign w:val="center"/>
          </w:tcPr>
          <w:p w14:paraId="408B1D4B" w14:textId="77777777" w:rsidR="00327FF1" w:rsidRDefault="00E406C7">
            <w:pPr>
              <w:pStyle w:val="P68B1DB1-Normal11"/>
              <w:jc w:val="center"/>
              <w:rPr>
                <w:noProof/>
                <w:szCs w:val="20"/>
              </w:rPr>
            </w:pPr>
            <w:r>
              <w:rPr>
                <w:noProof/>
              </w:rPr>
              <w:t>0</w:t>
            </w:r>
          </w:p>
        </w:tc>
        <w:tc>
          <w:tcPr>
            <w:tcW w:w="851" w:type="dxa"/>
            <w:shd w:val="clear" w:color="auto" w:fill="C6EFCE"/>
            <w:noWrap/>
            <w:vAlign w:val="center"/>
          </w:tcPr>
          <w:p w14:paraId="33EF9C0A" w14:textId="77777777" w:rsidR="00327FF1" w:rsidRDefault="00E406C7">
            <w:pPr>
              <w:pStyle w:val="P68B1DB1-Normal11"/>
              <w:jc w:val="center"/>
              <w:rPr>
                <w:noProof/>
                <w:szCs w:val="20"/>
              </w:rPr>
            </w:pPr>
            <w:r>
              <w:rPr>
                <w:noProof/>
              </w:rPr>
              <w:t>75</w:t>
            </w:r>
          </w:p>
        </w:tc>
        <w:tc>
          <w:tcPr>
            <w:tcW w:w="935" w:type="dxa"/>
            <w:shd w:val="clear" w:color="auto" w:fill="C6EFCE"/>
            <w:noWrap/>
            <w:vAlign w:val="center"/>
          </w:tcPr>
          <w:p w14:paraId="0A4204A7" w14:textId="77777777" w:rsidR="00327FF1" w:rsidRDefault="00E406C7">
            <w:pPr>
              <w:pStyle w:val="P68B1DB1-Normal11"/>
              <w:jc w:val="center"/>
              <w:rPr>
                <w:noProof/>
                <w:szCs w:val="20"/>
              </w:rPr>
            </w:pPr>
            <w:r>
              <w:rPr>
                <w:noProof/>
              </w:rPr>
              <w:t>2. CET. </w:t>
            </w:r>
          </w:p>
        </w:tc>
        <w:tc>
          <w:tcPr>
            <w:tcW w:w="721" w:type="dxa"/>
            <w:shd w:val="clear" w:color="auto" w:fill="C6EFCE"/>
            <w:noWrap/>
            <w:vAlign w:val="center"/>
          </w:tcPr>
          <w:p w14:paraId="21B9260E" w14:textId="77777777" w:rsidR="00327FF1" w:rsidRDefault="00E406C7">
            <w:pPr>
              <w:pStyle w:val="P68B1DB1-Normal11"/>
              <w:jc w:val="center"/>
              <w:rPr>
                <w:noProof/>
                <w:szCs w:val="20"/>
              </w:rPr>
            </w:pPr>
            <w:r>
              <w:rPr>
                <w:noProof/>
              </w:rPr>
              <w:t>2026 </w:t>
            </w:r>
          </w:p>
        </w:tc>
        <w:tc>
          <w:tcPr>
            <w:tcW w:w="3456" w:type="dxa"/>
            <w:shd w:val="clear" w:color="auto" w:fill="C6EFCE"/>
            <w:noWrap/>
            <w:vAlign w:val="center"/>
          </w:tcPr>
          <w:p w14:paraId="56F5A114" w14:textId="3A223E34" w:rsidR="00327FF1" w:rsidRDefault="00E406C7">
            <w:pPr>
              <w:pStyle w:val="P68B1DB1-Normal12"/>
              <w:jc w:val="both"/>
              <w:rPr>
                <w:noProof/>
              </w:rPr>
            </w:pPr>
            <w:r>
              <w:rPr>
                <w:noProof/>
              </w:rPr>
              <w:t>Preču piegāde, būvdarbi un pakalpojumi, kas saistīti ar vismaz 75 projektiem ostu iestādēm.</w:t>
            </w:r>
          </w:p>
        </w:tc>
      </w:tr>
      <w:tr w:rsidR="00327FF1" w14:paraId="13A940EF" w14:textId="77777777">
        <w:trPr>
          <w:trHeight w:val="313"/>
          <w:jc w:val="center"/>
        </w:trPr>
        <w:tc>
          <w:tcPr>
            <w:tcW w:w="1079" w:type="dxa"/>
            <w:shd w:val="clear" w:color="auto" w:fill="C6EFCE"/>
            <w:noWrap/>
            <w:vAlign w:val="center"/>
          </w:tcPr>
          <w:p w14:paraId="0B25346D" w14:textId="77777777" w:rsidR="00327FF1" w:rsidRDefault="00E406C7">
            <w:pPr>
              <w:pStyle w:val="P68B1DB1-Normal11"/>
              <w:jc w:val="center"/>
              <w:rPr>
                <w:noProof/>
                <w:szCs w:val="20"/>
              </w:rPr>
            </w:pPr>
            <w:r>
              <w:rPr>
                <w:noProof/>
              </w:rPr>
              <w:t>M3C2–10</w:t>
            </w:r>
          </w:p>
        </w:tc>
        <w:tc>
          <w:tcPr>
            <w:tcW w:w="1652" w:type="dxa"/>
            <w:shd w:val="clear" w:color="auto" w:fill="C6EFCE"/>
            <w:noWrap/>
            <w:vAlign w:val="center"/>
          </w:tcPr>
          <w:p w14:paraId="2D59020E" w14:textId="4EB9263C" w:rsidR="00327FF1" w:rsidRDefault="00E406C7">
            <w:pPr>
              <w:pStyle w:val="P68B1DB1-Normal11"/>
              <w:jc w:val="center"/>
              <w:rPr>
                <w:noProof/>
                <w:szCs w:val="20"/>
              </w:rPr>
            </w:pPr>
            <w:r>
              <w:rPr>
                <w:noProof/>
              </w:rPr>
              <w:t xml:space="preserve">Reforma Nr. 2.2: Valsts digitālās loģistikas platformas izveide, lai ieviestu kravu </w:t>
            </w:r>
            <w:r>
              <w:rPr>
                <w:noProof/>
              </w:rPr>
              <w:t>un/vai pasažieru pārvadājumu pakalpojumu digitalizāciju</w:t>
            </w:r>
          </w:p>
        </w:tc>
        <w:tc>
          <w:tcPr>
            <w:tcW w:w="1183" w:type="dxa"/>
            <w:shd w:val="clear" w:color="auto" w:fill="C6EFCE"/>
            <w:noWrap/>
            <w:vAlign w:val="center"/>
          </w:tcPr>
          <w:p w14:paraId="4AB09F5D" w14:textId="77777777" w:rsidR="00327FF1" w:rsidRDefault="00E406C7">
            <w:pPr>
              <w:pStyle w:val="P68B1DB1-Normal11"/>
              <w:jc w:val="center"/>
              <w:rPr>
                <w:noProof/>
                <w:szCs w:val="20"/>
              </w:rPr>
            </w:pPr>
            <w:r>
              <w:rPr>
                <w:noProof/>
              </w:rPr>
              <w:t>Atskaites punkts</w:t>
            </w:r>
          </w:p>
        </w:tc>
        <w:tc>
          <w:tcPr>
            <w:tcW w:w="1554" w:type="dxa"/>
            <w:shd w:val="clear" w:color="auto" w:fill="C6EFCE"/>
            <w:noWrap/>
            <w:vAlign w:val="center"/>
          </w:tcPr>
          <w:p w14:paraId="74DE892D" w14:textId="77777777" w:rsidR="00327FF1" w:rsidRDefault="00E406C7">
            <w:pPr>
              <w:pStyle w:val="P68B1DB1-Normal11"/>
              <w:jc w:val="center"/>
              <w:rPr>
                <w:noProof/>
                <w:szCs w:val="20"/>
              </w:rPr>
            </w:pPr>
            <w:r>
              <w:rPr>
                <w:noProof/>
              </w:rPr>
              <w:t xml:space="preserve">Valsts digitālās loģistikas platforma </w:t>
            </w:r>
          </w:p>
        </w:tc>
        <w:tc>
          <w:tcPr>
            <w:tcW w:w="1422" w:type="dxa"/>
            <w:shd w:val="clear" w:color="auto" w:fill="C6EFCE"/>
            <w:noWrap/>
            <w:vAlign w:val="center"/>
          </w:tcPr>
          <w:p w14:paraId="18416DC0" w14:textId="2FFCA15E" w:rsidR="00327FF1" w:rsidRDefault="00E406C7">
            <w:pPr>
              <w:pStyle w:val="P68B1DB1-Normal11"/>
              <w:jc w:val="center"/>
              <w:rPr>
                <w:noProof/>
                <w:szCs w:val="20"/>
              </w:rPr>
            </w:pPr>
            <w:r>
              <w:rPr>
                <w:noProof/>
              </w:rPr>
              <w:t xml:space="preserve">Tiesību akta noteikums, kas norāda uz tiesību akta stāšanos spēkā  </w:t>
            </w:r>
          </w:p>
        </w:tc>
        <w:tc>
          <w:tcPr>
            <w:tcW w:w="1276" w:type="dxa"/>
            <w:shd w:val="clear" w:color="auto" w:fill="C6EFCE"/>
            <w:noWrap/>
            <w:vAlign w:val="center"/>
          </w:tcPr>
          <w:p w14:paraId="211C0F88"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4C8C9166" w14:textId="77777777" w:rsidR="00327FF1" w:rsidRDefault="00E406C7">
            <w:pPr>
              <w:pStyle w:val="P68B1DB1-Normal11"/>
              <w:jc w:val="center"/>
              <w:rPr>
                <w:noProof/>
                <w:szCs w:val="20"/>
              </w:rPr>
            </w:pPr>
            <w:r>
              <w:rPr>
                <w:noProof/>
              </w:rPr>
              <w:t>NEPIEMĒRO</w:t>
            </w:r>
          </w:p>
        </w:tc>
        <w:tc>
          <w:tcPr>
            <w:tcW w:w="851" w:type="dxa"/>
            <w:shd w:val="clear" w:color="auto" w:fill="C6EFCE"/>
            <w:noWrap/>
            <w:vAlign w:val="center"/>
          </w:tcPr>
          <w:p w14:paraId="47B2CA59" w14:textId="77777777" w:rsidR="00327FF1" w:rsidRDefault="00E406C7">
            <w:pPr>
              <w:pStyle w:val="P68B1DB1-Normal11"/>
              <w:jc w:val="center"/>
              <w:rPr>
                <w:noProof/>
                <w:szCs w:val="20"/>
              </w:rPr>
            </w:pPr>
            <w:r>
              <w:rPr>
                <w:noProof/>
              </w:rPr>
              <w:t>NEPIEMĒRO</w:t>
            </w:r>
          </w:p>
        </w:tc>
        <w:tc>
          <w:tcPr>
            <w:tcW w:w="935" w:type="dxa"/>
            <w:shd w:val="clear" w:color="auto" w:fill="C6EFCE"/>
            <w:noWrap/>
            <w:vAlign w:val="center"/>
          </w:tcPr>
          <w:p w14:paraId="31099F6F" w14:textId="77777777" w:rsidR="00327FF1" w:rsidRDefault="00E406C7">
            <w:pPr>
              <w:pStyle w:val="P68B1DB1-Normal11"/>
              <w:jc w:val="center"/>
              <w:rPr>
                <w:noProof/>
                <w:szCs w:val="20"/>
              </w:rPr>
            </w:pPr>
            <w:r>
              <w:rPr>
                <w:noProof/>
              </w:rPr>
              <w:t>2. CET.</w:t>
            </w:r>
          </w:p>
        </w:tc>
        <w:tc>
          <w:tcPr>
            <w:tcW w:w="721" w:type="dxa"/>
            <w:shd w:val="clear" w:color="auto" w:fill="C6EFCE"/>
            <w:noWrap/>
            <w:vAlign w:val="center"/>
          </w:tcPr>
          <w:p w14:paraId="59363CC4" w14:textId="77777777" w:rsidR="00327FF1" w:rsidRDefault="00E406C7">
            <w:pPr>
              <w:pStyle w:val="P68B1DB1-Normal11"/>
              <w:jc w:val="center"/>
              <w:rPr>
                <w:noProof/>
                <w:szCs w:val="20"/>
              </w:rPr>
            </w:pPr>
            <w:r>
              <w:rPr>
                <w:noProof/>
              </w:rPr>
              <w:t>2024</w:t>
            </w:r>
          </w:p>
        </w:tc>
        <w:tc>
          <w:tcPr>
            <w:tcW w:w="3456" w:type="dxa"/>
            <w:shd w:val="clear" w:color="auto" w:fill="C6EFCE"/>
            <w:noWrap/>
            <w:vAlign w:val="center"/>
          </w:tcPr>
          <w:p w14:paraId="10C60412" w14:textId="77777777" w:rsidR="00327FF1" w:rsidRDefault="00E406C7">
            <w:pPr>
              <w:pStyle w:val="P68B1DB1-Normal11"/>
              <w:jc w:val="both"/>
              <w:rPr>
                <w:noProof/>
                <w:szCs w:val="20"/>
              </w:rPr>
            </w:pPr>
            <w:r>
              <w:rPr>
                <w:noProof/>
              </w:rPr>
              <w:t xml:space="preserve">Stājas spēkā tiesību akts, kas </w:t>
            </w:r>
            <w:r>
              <w:rPr>
                <w:noProof/>
              </w:rPr>
              <w:t>nodrošina ostas kopienas sistēmu sadarbspēju ar valsts digitālās loģistikas platformu.</w:t>
            </w:r>
          </w:p>
          <w:p w14:paraId="1796EA5A" w14:textId="77777777" w:rsidR="00327FF1" w:rsidRDefault="00E406C7">
            <w:pPr>
              <w:pStyle w:val="P68B1DB1-Normal11"/>
              <w:jc w:val="both"/>
              <w:rPr>
                <w:noProof/>
                <w:szCs w:val="20"/>
              </w:rPr>
            </w:pPr>
            <w:r>
              <w:rPr>
                <w:noProof/>
              </w:rPr>
              <w:t>Turklāt tiesību aktā paredz, ka ostu sistēmas iestādes ir aprīkotas ar PCS standarta pakalpojumiem (ostu kopienas sistēma), kas ir sadarbspējīgi ar iesaistītajām publisk</w:t>
            </w:r>
            <w:r>
              <w:rPr>
                <w:noProof/>
              </w:rPr>
              <w:t>ās pārvaldes iestādēm un saderīgi ar ES Regulu (ES) Nr. 1056/2020 un valsts digitālās loģistikas platformu.</w:t>
            </w:r>
          </w:p>
        </w:tc>
      </w:tr>
    </w:tbl>
    <w:p w14:paraId="60D0AB25" w14:textId="77777777" w:rsidR="00327FF1" w:rsidRDefault="00327FF1">
      <w:pPr>
        <w:rPr>
          <w:noProof/>
        </w:rPr>
        <w:sectPr w:rsidR="00327FF1" w:rsidSect="00564077">
          <w:headerReference w:type="even" r:id="rId170"/>
          <w:headerReference w:type="default" r:id="rId171"/>
          <w:footerReference w:type="even" r:id="rId172"/>
          <w:footerReference w:type="default" r:id="rId173"/>
          <w:headerReference w:type="first" r:id="rId174"/>
          <w:footerReference w:type="first" r:id="rId175"/>
          <w:pgSz w:w="16838" w:h="11906" w:orient="landscape"/>
          <w:pgMar w:top="1440" w:right="1440" w:bottom="1440" w:left="1440" w:header="708" w:footer="708" w:gutter="0"/>
          <w:cols w:space="708"/>
          <w:docGrid w:linePitch="360"/>
        </w:sectPr>
      </w:pPr>
    </w:p>
    <w:p w14:paraId="4B10191D" w14:textId="77777777" w:rsidR="00327FF1" w:rsidRDefault="00E406C7">
      <w:pPr>
        <w:pStyle w:val="P68B1DB1-Heading291"/>
        <w:rPr>
          <w:rFonts w:ascii="Times New Roman" w:hAnsi="Times New Roman" w:cs="Times New Roman"/>
          <w:noProof/>
        </w:rPr>
      </w:pPr>
      <w:r>
        <w:rPr>
          <w:rFonts w:ascii="Times New Roman" w:eastAsia="Times New Roman" w:hAnsi="Times New Roman" w:cs="Times New Roman"/>
          <w:b/>
          <w:noProof/>
          <w:color w:val="auto"/>
        </w:rPr>
        <w:t xml:space="preserve">J. 4. MISIJAS 1. KOMPONENTS: Izglītības pakalpojumu sniegšanas stiprināšana: no </w:t>
      </w:r>
      <w:r>
        <w:rPr>
          <w:rFonts w:ascii="Times New Roman" w:eastAsia="Times New Roman" w:hAnsi="Times New Roman" w:cs="Times New Roman"/>
          <w:b/>
          <w:noProof/>
          <w:color w:val="auto"/>
        </w:rPr>
        <w:t>bērnudārziem līdz augstskolām</w:t>
      </w:r>
      <w:r>
        <w:rPr>
          <w:rFonts w:ascii="Times New Roman" w:hAnsi="Times New Roman" w:cs="Times New Roman"/>
          <w:noProof/>
        </w:rPr>
        <w:t xml:space="preserve"> </w:t>
      </w:r>
    </w:p>
    <w:p w14:paraId="43A053AA" w14:textId="77777777" w:rsidR="00327FF1" w:rsidRDefault="00E406C7">
      <w:pPr>
        <w:pStyle w:val="P68B1DB1-Normal7"/>
        <w:spacing w:before="120" w:after="120"/>
        <w:jc w:val="both"/>
        <w:rPr>
          <w:noProof/>
        </w:rPr>
      </w:pPr>
      <w:r>
        <w:rPr>
          <w:noProof/>
        </w:rPr>
        <w:t>Šis Itālijas atveseļošanas un noturības plāna komponents ietver četras intervences jomas: I) izglītības un apmācības pakalpojumu kvalitātes uzlabošana un kvantitatīva paplašināšana — no bērnudārziem līdz universitātei; skolot</w:t>
      </w:r>
      <w:r>
        <w:rPr>
          <w:noProof/>
        </w:rPr>
        <w:t xml:space="preserve">āja profesijas reforma, jo īpaši attiecībā uz darbā pieņemšanas un apmācības procesiem, lai uzlabotu pedagoģiskā personāla prasmes un novērstu teritoriālo neatbilstību; III) infrastruktūras prasmju pilnveide un uzlabošana, lai uzlabotu digitālo, zinātnes, </w:t>
      </w:r>
      <w:r>
        <w:rPr>
          <w:noProof/>
        </w:rPr>
        <w:t>tehnoloģiju, inženierzinātņu un matemātikas (STEM) un daudzvalodības mācīšanu, vienlaikus uzlabojot skolu ēku drošību un energoefektivitāti; IV) Grāda grupu, veicinošo grādu un doktorantūras programmu reforma, lai veicinātu lietišķo pētniecību un palielinā</w:t>
      </w:r>
      <w:r>
        <w:rPr>
          <w:noProof/>
        </w:rPr>
        <w:t>tu doktorantūras stipendiju skaitu. Šā komponenta pasākumu mērķis ir novērst Itālijas izglītības, apmācības un pētniecības sistēmas trūkumus ar mērķi uzlabot Itālijas studentu izglītības rezultātus un nodarbināmību. Ar investīcijām un reformām saskaņā ar š</w:t>
      </w:r>
      <w:r>
        <w:rPr>
          <w:noProof/>
        </w:rPr>
        <w:t>o komponentu palīdz īstenot Itālijai 2020. un 2019. gadā adresētos konkrētai valstij adresētos ieteikumus par nepieciešamību “atbalstīt sieviešu līdzdalību darba tirgū, izmantojot visaptverošu stratēģiju, tostarp piekļuvi kvalitatīvai bērnu aprūpei” (2019.</w:t>
      </w:r>
      <w:r>
        <w:rPr>
          <w:noProof/>
        </w:rPr>
        <w:t xml:space="preserve"> gada konkrētai valstij adresētais ieteikums Nr. 2), lai “uzlabotu izglītības rezultātus, izmantojot arī atbilstošus un mērķorientētus ieguldījumus un veicinot prasmju pilnveidi, tostarp stiprinot digitālās prasmes” (2019. gada konkrētai valstij adresētais</w:t>
      </w:r>
      <w:r>
        <w:rPr>
          <w:noProof/>
        </w:rPr>
        <w:t xml:space="preserve"> ieteikums Nr. 2), “veicināt pētniecību un inovāciju” (2019. gada konkrētai valstij adresētais ieteikums Nr. 3), “stiprināt tālmācību un prasmes, tostarp digitālās prasmes” (2020. gada konkrētai valstij adresētais ieteikums Nr. 2) un “koncentrēt ieguldījum</w:t>
      </w:r>
      <w:r>
        <w:rPr>
          <w:noProof/>
        </w:rPr>
        <w:t>us uz pētniecību un inovāciju” (2020. gada konkrētai valstij adresētais ieteikums Nr. 3).</w:t>
      </w:r>
    </w:p>
    <w:p w14:paraId="78B66A56" w14:textId="77777777" w:rsidR="00327FF1" w:rsidRDefault="00E406C7">
      <w:pPr>
        <w:pStyle w:val="P68B1DB1-Heading368"/>
        <w:ind w:left="850" w:hanging="850"/>
        <w:rPr>
          <w:noProof/>
        </w:rPr>
      </w:pPr>
      <w:r>
        <w:rPr>
          <w:noProof/>
        </w:rPr>
        <w:t xml:space="preserve">J.1. </w:t>
      </w:r>
      <w:r>
        <w:rPr>
          <w:noProof/>
        </w:rPr>
        <w:tab/>
        <w:t>Reformu un investīciju apraksts neatmaksājamam finansiālajam atbalstam</w:t>
      </w:r>
    </w:p>
    <w:p w14:paraId="091A4D52" w14:textId="77777777" w:rsidR="00327FF1" w:rsidRDefault="00E406C7">
      <w:pPr>
        <w:pStyle w:val="P68B1DB1-Normal5"/>
        <w:spacing w:before="120" w:after="120"/>
        <w:jc w:val="both"/>
        <w:rPr>
          <w:noProof/>
        </w:rPr>
      </w:pPr>
      <w:r>
        <w:rPr>
          <w:noProof/>
        </w:rPr>
        <w:t>Investīcija 1.1: Bērnudārzu un pirmsskolas izglītības un aprūpes pakalpojumu plāns</w:t>
      </w:r>
    </w:p>
    <w:p w14:paraId="511501CE" w14:textId="77777777" w:rsidR="00327FF1" w:rsidRDefault="00E406C7">
      <w:pPr>
        <w:pStyle w:val="P68B1DB1-Normal7"/>
        <w:spacing w:before="120" w:after="120"/>
        <w:jc w:val="both"/>
        <w:rPr>
          <w:noProof/>
        </w:rPr>
      </w:pPr>
      <w:r>
        <w:rPr>
          <w:noProof/>
        </w:rPr>
        <w:t>Šīs in</w:t>
      </w:r>
      <w:r>
        <w:rPr>
          <w:noProof/>
        </w:rPr>
        <w:t>vestīcijas mērķis ir palielināt un uzlabot izglītības iestādes bērniem vecumā no 0 līdz 6 gadiem. Investīcija ietver bērnu aprūpes vietu būvniecību, pārveidošanu un atjaunošanu bērnudārzos un pirmsskolas iestādēs.</w:t>
      </w:r>
    </w:p>
    <w:p w14:paraId="6031CF6D" w14:textId="77777777" w:rsidR="00327FF1" w:rsidRDefault="00E406C7">
      <w:pPr>
        <w:pStyle w:val="P68B1DB1-Normal5"/>
        <w:spacing w:before="120" w:after="120"/>
        <w:jc w:val="both"/>
        <w:rPr>
          <w:noProof/>
        </w:rPr>
      </w:pPr>
      <w:r>
        <w:rPr>
          <w:noProof/>
        </w:rPr>
        <w:t>Ieguldījums 1.2. Plāns pilna laika pagarin</w:t>
      </w:r>
      <w:r>
        <w:rPr>
          <w:noProof/>
        </w:rPr>
        <w:t>āšanai</w:t>
      </w:r>
    </w:p>
    <w:p w14:paraId="71EF6A27" w14:textId="31F0ED64" w:rsidR="00327FF1" w:rsidRDefault="00E406C7">
      <w:pPr>
        <w:pStyle w:val="P68B1DB1-Normal7"/>
        <w:spacing w:before="120" w:after="120"/>
        <w:jc w:val="both"/>
        <w:rPr>
          <w:noProof/>
        </w:rPr>
      </w:pPr>
      <w:r>
        <w:rPr>
          <w:noProof/>
        </w:rPr>
        <w:t>Šā pasākuma mērķis ir ļaut skolu iestādēm pagarināt mācību stundas, atjaunojot vai būvējot infrastruktūru. Investīcija ietver ēdnīcu telpu būvniecību vai būvniecību skolu telpās.</w:t>
      </w:r>
    </w:p>
    <w:p w14:paraId="065A21A1" w14:textId="77777777" w:rsidR="00327FF1" w:rsidRDefault="00E406C7">
      <w:pPr>
        <w:pStyle w:val="P68B1DB1-Normal5"/>
        <w:spacing w:before="120" w:after="120"/>
        <w:jc w:val="both"/>
        <w:rPr>
          <w:noProof/>
        </w:rPr>
      </w:pPr>
      <w:r>
        <w:rPr>
          <w:noProof/>
        </w:rPr>
        <w:t>Investīcija Nr. 1.3. Skolu sporta infrastruktūras uzlabošanas plāns</w:t>
      </w:r>
    </w:p>
    <w:p w14:paraId="60C2D8EF" w14:textId="424B7B6A" w:rsidR="00327FF1" w:rsidRDefault="00E406C7">
      <w:pPr>
        <w:pStyle w:val="P68B1DB1-Normal7"/>
        <w:spacing w:before="120" w:after="120"/>
        <w:jc w:val="both"/>
        <w:rPr>
          <w:noProof/>
        </w:rPr>
      </w:pPr>
      <w:r>
        <w:rPr>
          <w:noProof/>
        </w:rPr>
        <w:t>Šā</w:t>
      </w:r>
      <w:r>
        <w:rPr>
          <w:noProof/>
        </w:rPr>
        <w:t xml:space="preserve"> pasākuma mērķis ir veicināt sporta aktivitātes skolās. Šis pasākums paredz atjaunot un būvēt sporta objektus un sporta zāles skolām.</w:t>
      </w:r>
    </w:p>
    <w:p w14:paraId="282F869A" w14:textId="77777777" w:rsidR="00327FF1" w:rsidRDefault="00E406C7">
      <w:pPr>
        <w:pStyle w:val="P68B1DB1-Normal5"/>
        <w:spacing w:before="120" w:after="120"/>
        <w:rPr>
          <w:noProof/>
        </w:rPr>
      </w:pPr>
      <w:r>
        <w:rPr>
          <w:noProof/>
        </w:rPr>
        <w:t>Investīcija Nr. 1.4: Ārkārtas intervence, kuras mērķis ir samazināt teritoriālās atšķirības vidusskolas I un II ciklā un n</w:t>
      </w:r>
      <w:r>
        <w:rPr>
          <w:noProof/>
        </w:rPr>
        <w:t>ovērst mācību priekšlaicīgu pārtraukšanu</w:t>
      </w:r>
    </w:p>
    <w:p w14:paraId="4AC8CC8B" w14:textId="753FF6EE" w:rsidR="00327FF1" w:rsidRDefault="00E406C7">
      <w:pPr>
        <w:pStyle w:val="P68B1DB1-Normal7"/>
        <w:spacing w:before="120" w:after="120"/>
        <w:jc w:val="both"/>
        <w:rPr>
          <w:noProof/>
        </w:rPr>
      </w:pPr>
      <w:r>
        <w:rPr>
          <w:noProof/>
        </w:rPr>
        <w:t>Pasākuma mērķis ir novērst pastāvošos trūkumus skolēnu pamatprasmēs. Investīcija ietver mentorēšanas un apmācības pasākumu īstenošanu skolēniem, kuriem draud priekšlaicīga mācību pārtraukšana, un jauniešiem, kuri ja</w:t>
      </w:r>
      <w:r>
        <w:rPr>
          <w:noProof/>
        </w:rPr>
        <w:t>u ir pametuši mācības, arī ar valsts digitālā portāla atbalstu.</w:t>
      </w:r>
    </w:p>
    <w:p w14:paraId="3207E3EB" w14:textId="77777777" w:rsidR="00327FF1" w:rsidRDefault="00E406C7">
      <w:pPr>
        <w:pStyle w:val="P68B1DB1-Normal7"/>
        <w:rPr>
          <w:b/>
          <w:bCs/>
          <w:noProof/>
        </w:rPr>
      </w:pPr>
      <w:r>
        <w:rPr>
          <w:noProof/>
        </w:rPr>
        <w:br w:type="page"/>
      </w:r>
    </w:p>
    <w:p w14:paraId="145BCD09" w14:textId="0AE944FA" w:rsidR="00327FF1" w:rsidRDefault="00E406C7">
      <w:pPr>
        <w:pStyle w:val="P68B1DB1-Normal5"/>
        <w:spacing w:before="120" w:after="120"/>
        <w:jc w:val="both"/>
        <w:rPr>
          <w:noProof/>
        </w:rPr>
      </w:pPr>
      <w:r>
        <w:rPr>
          <w:noProof/>
        </w:rPr>
        <w:t>Reforma Nr. 1.1: Tehnisko un profesionālo institūtu reforma</w:t>
      </w:r>
    </w:p>
    <w:p w14:paraId="20D59243" w14:textId="3F6B5D16" w:rsidR="00327FF1" w:rsidRDefault="00E406C7">
      <w:pPr>
        <w:pStyle w:val="P68B1DB1-Normal7"/>
        <w:spacing w:before="120" w:after="120"/>
        <w:jc w:val="both"/>
        <w:rPr>
          <w:noProof/>
        </w:rPr>
      </w:pPr>
      <w:r>
        <w:rPr>
          <w:noProof/>
        </w:rPr>
        <w:t>Reformas mērķis ir saskaņot tehnisko un profesionālo institūtu mācību programmas ar Itālijas ražošanas sistēmai nepieciešamajām ko</w:t>
      </w:r>
      <w:r>
        <w:rPr>
          <w:noProof/>
        </w:rPr>
        <w:t>mpetencēm, tostarp vietējā līmenī. Reforma jo īpaši saskaņo tehnisko un profesionālo izglītību ar iniciatīvu “Rūpniecība 4.0” un ietver digitālo inovāciju.</w:t>
      </w:r>
    </w:p>
    <w:p w14:paraId="3C58CC76" w14:textId="77777777" w:rsidR="00327FF1" w:rsidRDefault="00E406C7">
      <w:pPr>
        <w:pStyle w:val="P68B1DB1-Normal5"/>
        <w:spacing w:before="120" w:after="120"/>
        <w:jc w:val="both"/>
        <w:rPr>
          <w:noProof/>
        </w:rPr>
      </w:pPr>
      <w:r>
        <w:rPr>
          <w:noProof/>
        </w:rPr>
        <w:t>Reforma Nr. 1.2. Terciārās profesionālās izglītības (ITS) reforma</w:t>
      </w:r>
    </w:p>
    <w:p w14:paraId="35A8A695" w14:textId="77777777" w:rsidR="00327FF1" w:rsidRDefault="00E406C7">
      <w:pPr>
        <w:pStyle w:val="P68B1DB1-Normal7"/>
        <w:spacing w:before="120" w:after="120"/>
        <w:jc w:val="both"/>
        <w:rPr>
          <w:noProof/>
        </w:rPr>
      </w:pPr>
      <w:r>
        <w:rPr>
          <w:noProof/>
        </w:rPr>
        <w:t>Reformas mērķis ir stiprināt terci</w:t>
      </w:r>
      <w:r>
        <w:rPr>
          <w:noProof/>
        </w:rPr>
        <w:t xml:space="preserve">ārās profesionālās izglītības sistēmu, vienkāršojot ITS pārvaldību, lai palielinātu institūtu un uzņemšanas iestāžu skaitu, ņemot vērā vietējo teritoriju. Paredzams, ka reforma novērsīs neatbilstību starp darbaspēka piedāvājumu un pieprasījumu. </w:t>
      </w:r>
    </w:p>
    <w:p w14:paraId="220B6232" w14:textId="77777777" w:rsidR="00327FF1" w:rsidRDefault="00E406C7">
      <w:pPr>
        <w:pStyle w:val="P68B1DB1-Normal5"/>
        <w:spacing w:before="120" w:after="120"/>
        <w:jc w:val="both"/>
        <w:rPr>
          <w:noProof/>
        </w:rPr>
      </w:pPr>
      <w:r>
        <w:rPr>
          <w:noProof/>
        </w:rPr>
        <w:t>Investīcij</w:t>
      </w:r>
      <w:r>
        <w:rPr>
          <w:noProof/>
        </w:rPr>
        <w:t>a Nr. 1.5: Terciārās profesionālās izglītības sistēmas (ITS) izstrāde</w:t>
      </w:r>
    </w:p>
    <w:p w14:paraId="29C2D741" w14:textId="2CEA1B3E" w:rsidR="00327FF1" w:rsidRDefault="00E406C7">
      <w:pPr>
        <w:pStyle w:val="P68B1DB1-Normal7"/>
        <w:spacing w:before="120" w:after="120"/>
        <w:jc w:val="both"/>
        <w:rPr>
          <w:noProof/>
        </w:rPr>
      </w:pPr>
      <w:r>
        <w:rPr>
          <w:noProof/>
        </w:rPr>
        <w:t>Šā pasākuma mērķis ir palielināt profesionālās izglītības iestāžu (ITS) lomu Itālijas izglītības sistēmā. Investīcija paredz paplašināt studentu uzņemšanu ITS un veicināt uzņēmumu iesais</w:t>
      </w:r>
      <w:r>
        <w:rPr>
          <w:noProof/>
        </w:rPr>
        <w:t xml:space="preserve">tīšanos izglītībā, izveidojot valsts digitālo platformu, kas labāk sasaista apmācību ar darba tirgu. </w:t>
      </w:r>
    </w:p>
    <w:p w14:paraId="581CA1B1" w14:textId="77777777" w:rsidR="00327FF1" w:rsidRDefault="00E406C7">
      <w:pPr>
        <w:pStyle w:val="P68B1DB1-Normal5"/>
        <w:spacing w:before="120" w:after="120"/>
        <w:jc w:val="both"/>
        <w:rPr>
          <w:noProof/>
        </w:rPr>
      </w:pPr>
      <w:r>
        <w:rPr>
          <w:noProof/>
        </w:rPr>
        <w:t>Reforma Nr. 1.3. Skolu sistēmas reorganizācija</w:t>
      </w:r>
    </w:p>
    <w:p w14:paraId="5D73E53B" w14:textId="77777777" w:rsidR="00327FF1" w:rsidRDefault="00E406C7">
      <w:pPr>
        <w:pStyle w:val="P68B1DB1-Normal7"/>
        <w:spacing w:before="120" w:after="120"/>
        <w:jc w:val="both"/>
        <w:rPr>
          <w:noProof/>
        </w:rPr>
      </w:pPr>
      <w:r>
        <w:rPr>
          <w:noProof/>
        </w:rPr>
        <w:t xml:space="preserve">Reformas mērķis ir divējāds: </w:t>
      </w:r>
    </w:p>
    <w:p w14:paraId="422DF1C8" w14:textId="77777777" w:rsidR="00327FF1" w:rsidRDefault="00E406C7">
      <w:pPr>
        <w:pStyle w:val="P68B1DB1-ListParagraph37"/>
        <w:numPr>
          <w:ilvl w:val="0"/>
          <w:numId w:val="49"/>
        </w:numPr>
        <w:spacing w:before="120" w:after="120" w:line="240" w:lineRule="auto"/>
        <w:ind w:left="360"/>
        <w:jc w:val="both"/>
        <w:rPr>
          <w:noProof/>
        </w:rPr>
      </w:pPr>
      <w:r>
        <w:rPr>
          <w:noProof/>
        </w:rPr>
        <w:t xml:space="preserve">Skolēnu skaita korekcija katrā klasē. </w:t>
      </w:r>
    </w:p>
    <w:p w14:paraId="77A16E54" w14:textId="76C99028" w:rsidR="00327FF1" w:rsidRDefault="00E406C7">
      <w:pPr>
        <w:spacing w:before="120" w:after="120"/>
        <w:jc w:val="both"/>
        <w:rPr>
          <w:rFonts w:ascii="Times New Roman" w:hAnsi="Times New Roman" w:cs="Times New Roman"/>
          <w:noProof/>
        </w:rPr>
      </w:pPr>
      <w:r>
        <w:rPr>
          <w:noProof/>
        </w:rPr>
        <w:t xml:space="preserve">Pedagoģisko darbinieku </w:t>
      </w:r>
      <w:r>
        <w:rPr>
          <w:rFonts w:ascii="Times New Roman" w:hAnsi="Times New Roman" w:cs="Times New Roman"/>
          <w:noProof/>
        </w:rPr>
        <w:t xml:space="preserve">skaitu nosaka </w:t>
      </w:r>
      <w:r>
        <w:rPr>
          <w:rFonts w:ascii="Times New Roman" w:hAnsi="Times New Roman" w:cs="Times New Roman"/>
          <w:noProof/>
        </w:rPr>
        <w:t xml:space="preserve">tādā pašā līmenī kā 2020./2021. mācību gadā, ņemot vērā iedzīvotāju skaita samazināšanos un lai samazinātu skolēnu skaitu klasē un pakāpeniski uzlabotu attiecību starp skolēnu skaitu un skolotāju skaitu kopējās nostājās. Intervences īstenošana nepalielina </w:t>
      </w:r>
      <w:r>
        <w:rPr>
          <w:rFonts w:ascii="Times New Roman" w:hAnsi="Times New Roman" w:cs="Times New Roman"/>
          <w:noProof/>
        </w:rPr>
        <w:t>pieejamo ēku skaitu. Iniciatīva pievērš individualizētu uzmanību atsevišķiem skolēniem, jo īpaši visneaizsargātākajiem un noteikti skolēniem ar invaliditāti. Paredzams, ka skolēnu/skolotāju attiecības uzlabošana uzlabos mācīšanas kvalitāti un resursu pieej</w:t>
      </w:r>
      <w:r>
        <w:rPr>
          <w:rFonts w:ascii="Times New Roman" w:hAnsi="Times New Roman" w:cs="Times New Roman"/>
          <w:noProof/>
        </w:rPr>
        <w:t>amību skolu ēkām. Pārskatīt noteikumus par skolu ēku lielumu.</w:t>
      </w:r>
      <w:r>
        <w:rPr>
          <w:noProof/>
        </w:rPr>
        <w:t xml:space="preserve"> </w:t>
      </w:r>
      <w:r>
        <w:rPr>
          <w:rFonts w:ascii="Times New Roman" w:hAnsi="Times New Roman" w:cs="Times New Roman"/>
          <w:noProof/>
        </w:rPr>
        <w:t>Reģionālo skolu iedzīvotājus pieņem kā “efektīvo parametru”, lai noteiktu izglītības iestādes ar galveno vadītāju un galvasmisu, nevis atsevišķas skolas iedzīvotājus, kā paredzēts spēkā esošajos</w:t>
      </w:r>
      <w:r>
        <w:rPr>
          <w:rFonts w:ascii="Times New Roman" w:hAnsi="Times New Roman" w:cs="Times New Roman"/>
          <w:noProof/>
        </w:rPr>
        <w:t xml:space="preserve"> tiesību aktos.</w:t>
      </w:r>
    </w:p>
    <w:p w14:paraId="72AB7293" w14:textId="77777777" w:rsidR="00327FF1" w:rsidRDefault="00E406C7">
      <w:pPr>
        <w:spacing w:before="120" w:after="120"/>
        <w:jc w:val="both"/>
        <w:rPr>
          <w:noProof/>
        </w:rPr>
      </w:pPr>
      <w:r>
        <w:rPr>
          <w:rFonts w:ascii="Times New Roman" w:hAnsi="Times New Roman" w:cs="Times New Roman"/>
          <w:b/>
          <w:noProof/>
        </w:rPr>
        <w:t>Reforma Nr. 1.4. “Orientācijas” sistēmas reforma</w:t>
      </w:r>
      <w:r>
        <w:rPr>
          <w:noProof/>
        </w:rPr>
        <w:t xml:space="preserve"> </w:t>
      </w:r>
    </w:p>
    <w:p w14:paraId="07128335" w14:textId="73C89FE8" w:rsidR="00327FF1" w:rsidRDefault="00E406C7">
      <w:pPr>
        <w:spacing w:before="120" w:after="120"/>
        <w:jc w:val="both"/>
        <w:rPr>
          <w:noProof/>
        </w:rPr>
      </w:pPr>
      <w:r>
        <w:rPr>
          <w:rFonts w:ascii="Times New Roman" w:hAnsi="Times New Roman" w:cs="Times New Roman"/>
          <w:noProof/>
        </w:rPr>
        <w:t>Reformas mērķis ir ieviest orientējošus moduļus (vismaz 30 stundas gadā) vidusskolas ceturtajā un piektajā klasē. Galvenais mērķis ir palīdzēt studentiem izdarīt apzinātu izvēli starp studij</w:t>
      </w:r>
      <w:r>
        <w:rPr>
          <w:rFonts w:ascii="Times New Roman" w:hAnsi="Times New Roman" w:cs="Times New Roman"/>
          <w:noProof/>
        </w:rPr>
        <w:t>u turpināšanu vai profesionālo tālākizglītību (ITS) pirms viņu integrācijas darba tirgū. Reforma paredz arī izveidot digitālās orientācijas platformu, kas saistīta ar universitāšu un profesionālās apmācības institūtu (ITS) terciārās izglītības piedāvājumu.</w:t>
      </w:r>
      <w:r>
        <w:rPr>
          <w:noProof/>
        </w:rPr>
        <w:t xml:space="preserve"> </w:t>
      </w:r>
    </w:p>
    <w:p w14:paraId="544F11D0" w14:textId="77777777" w:rsidR="00327FF1" w:rsidRDefault="00E406C7">
      <w:pPr>
        <w:spacing w:before="120" w:after="120"/>
        <w:rPr>
          <w:noProof/>
        </w:rPr>
      </w:pPr>
      <w:r>
        <w:rPr>
          <w:rFonts w:ascii="Times New Roman" w:hAnsi="Times New Roman" w:cs="Times New Roman"/>
          <w:b/>
          <w:noProof/>
        </w:rPr>
        <w:t>Investīcija Nr. 1.6. Aktīva orientācija pārejā no skolas uz augstskolu</w:t>
      </w:r>
      <w:r>
        <w:rPr>
          <w:noProof/>
        </w:rPr>
        <w:t xml:space="preserve"> </w:t>
      </w:r>
    </w:p>
    <w:p w14:paraId="5964E05F" w14:textId="365775CD" w:rsidR="00327FF1" w:rsidRDefault="00E406C7">
      <w:pPr>
        <w:pStyle w:val="P68B1DB1-Normal7"/>
        <w:spacing w:before="120" w:after="120"/>
        <w:rPr>
          <w:noProof/>
        </w:rPr>
      </w:pPr>
      <w:r>
        <w:rPr>
          <w:noProof/>
        </w:rPr>
        <w:t>Šā pasākuma mērķis ir atvieglot un veicināt pāreju no vidējās izglītības uz augstskolu un samazināt mācību pārtraukšanas rādītājus. Šis pasākums ietver ievirzes kursu nodrošināšanu v</w:t>
      </w:r>
      <w:r>
        <w:rPr>
          <w:noProof/>
        </w:rPr>
        <w:t xml:space="preserve">isiem vidusskolu skolēniem, lai atbalstītu viņus terciārās izglītības izvēlē. </w:t>
      </w:r>
    </w:p>
    <w:p w14:paraId="445C80E0" w14:textId="77777777" w:rsidR="00327FF1" w:rsidRDefault="00E406C7">
      <w:pPr>
        <w:spacing w:before="120" w:after="120"/>
        <w:rPr>
          <w:noProof/>
        </w:rPr>
      </w:pPr>
      <w:r>
        <w:rPr>
          <w:rFonts w:ascii="Times New Roman" w:hAnsi="Times New Roman" w:cs="Times New Roman"/>
          <w:b/>
          <w:noProof/>
        </w:rPr>
        <w:t>Investīcija Nr. 1.7: Stipendijas piekļuvei universitātēm</w:t>
      </w:r>
      <w:r>
        <w:rPr>
          <w:noProof/>
        </w:rPr>
        <w:t xml:space="preserve"> </w:t>
      </w:r>
    </w:p>
    <w:p w14:paraId="6C4030F0" w14:textId="786B3851" w:rsidR="00327FF1" w:rsidRDefault="00E406C7">
      <w:pPr>
        <w:spacing w:before="120" w:after="120"/>
        <w:rPr>
          <w:noProof/>
        </w:rPr>
      </w:pPr>
      <w:r>
        <w:rPr>
          <w:rFonts w:ascii="Times New Roman" w:hAnsi="Times New Roman" w:cs="Times New Roman"/>
          <w:noProof/>
        </w:rPr>
        <w:t>Šā pasākuma mērķis ir uzlabot vienlīdzību attiecībā uz piekļuvi augstākajai izglītībai, atbalstot studentus, kas nonāku</w:t>
      </w:r>
      <w:r>
        <w:rPr>
          <w:rFonts w:ascii="Times New Roman" w:hAnsi="Times New Roman" w:cs="Times New Roman"/>
          <w:noProof/>
        </w:rPr>
        <w:t>ši sociālekonomiskās grūtībās. Pasākums paredz palielināt augstskolu studentiem sniegto stipendiju skaitu.</w:t>
      </w:r>
      <w:r>
        <w:rPr>
          <w:noProof/>
        </w:rPr>
        <w:t xml:space="preserve"> </w:t>
      </w:r>
    </w:p>
    <w:p w14:paraId="531A4F80" w14:textId="77777777" w:rsidR="00327FF1" w:rsidRDefault="00E406C7">
      <w:pPr>
        <w:spacing w:before="120" w:after="120"/>
        <w:jc w:val="both"/>
        <w:rPr>
          <w:noProof/>
        </w:rPr>
      </w:pPr>
      <w:r>
        <w:rPr>
          <w:rFonts w:ascii="Times New Roman" w:hAnsi="Times New Roman" w:cs="Times New Roman"/>
          <w:b/>
          <w:noProof/>
        </w:rPr>
        <w:t>Reforma Nr. 1.5: Universitāšu grādu grupu reformas</w:t>
      </w:r>
      <w:r>
        <w:rPr>
          <w:noProof/>
        </w:rPr>
        <w:t xml:space="preserve"> </w:t>
      </w:r>
    </w:p>
    <w:p w14:paraId="75A2593A" w14:textId="2BC8D82F" w:rsidR="00327FF1" w:rsidRDefault="00E406C7">
      <w:pPr>
        <w:spacing w:before="120" w:after="120"/>
        <w:jc w:val="both"/>
        <w:rPr>
          <w:noProof/>
        </w:rPr>
      </w:pPr>
      <w:r>
        <w:rPr>
          <w:rFonts w:ascii="Times New Roman" w:hAnsi="Times New Roman" w:cs="Times New Roman"/>
          <w:noProof/>
        </w:rPr>
        <w:t>Reforma paredz atjaunināt augstskolu mācību programmas, samazinot esošās stingrās robežas, kas b</w:t>
      </w:r>
      <w:r>
        <w:rPr>
          <w:rFonts w:ascii="Times New Roman" w:hAnsi="Times New Roman" w:cs="Times New Roman"/>
          <w:noProof/>
        </w:rPr>
        <w:t>ūtiski ierobežo iespēju radīt starpdisciplinārus ceļus. Paredzams, ka reforma arī paplašinās iespēju īstenot profesionālās apmācības programmas, ieviešot inovatīvas, uz darbu orientētas grādu klases</w:t>
      </w:r>
      <w:r>
        <w:rPr>
          <w:rFonts w:ascii="Times New Roman" w:hAnsi="Times New Roman" w:cs="Times New Roman"/>
          <w:noProof/>
          <w:color w:val="006100"/>
        </w:rPr>
        <w:t>.</w:t>
      </w:r>
      <w:r>
        <w:rPr>
          <w:noProof/>
        </w:rPr>
        <w:t xml:space="preserve"> </w:t>
      </w:r>
    </w:p>
    <w:p w14:paraId="7EB7D6B7" w14:textId="77777777" w:rsidR="00327FF1" w:rsidRDefault="00E406C7">
      <w:pPr>
        <w:pStyle w:val="P68B1DB1-Normal5"/>
        <w:spacing w:before="120" w:after="120"/>
        <w:jc w:val="both"/>
        <w:rPr>
          <w:bCs/>
          <w:noProof/>
        </w:rPr>
      </w:pPr>
      <w:r>
        <w:rPr>
          <w:noProof/>
        </w:rPr>
        <w:t>Reforma Nr. 1.6. Universitātes grāda reformas veicināša</w:t>
      </w:r>
      <w:r>
        <w:rPr>
          <w:noProof/>
        </w:rPr>
        <w:t xml:space="preserve">na </w:t>
      </w:r>
    </w:p>
    <w:p w14:paraId="7045F197" w14:textId="259921F1" w:rsidR="00327FF1" w:rsidRDefault="00E406C7">
      <w:pPr>
        <w:pStyle w:val="P68B1DB1-Normal7"/>
        <w:spacing w:before="120" w:after="120"/>
        <w:jc w:val="both"/>
        <w:rPr>
          <w:noProof/>
        </w:rPr>
      </w:pPr>
      <w:r>
        <w:rPr>
          <w:noProof/>
        </w:rPr>
        <w:t>Reforma paredz vienkāršot procedūru piekļuvei profesijām, kurās ir jāreģistrējas pēc profesionālajiem pasūtījumiem, izmantojot īpašu profesionālo eksāmenu. Pasākums palīdz saskaņot katra grāda galīgo valsts eksāmenu ar attiecīgo profesionālo pasūtījumu</w:t>
      </w:r>
      <w:r>
        <w:rPr>
          <w:noProof/>
        </w:rPr>
        <w:t xml:space="preserve"> eksāmenu, tādējādi nodrošinot vispārīgus un skaidrus noteikumus un aizstāšanu. </w:t>
      </w:r>
    </w:p>
    <w:p w14:paraId="465220DF" w14:textId="77777777" w:rsidR="00327FF1" w:rsidRDefault="00E406C7">
      <w:pPr>
        <w:spacing w:before="120" w:after="120"/>
        <w:jc w:val="both"/>
        <w:rPr>
          <w:noProof/>
        </w:rPr>
      </w:pPr>
      <w:r>
        <w:rPr>
          <w:rFonts w:ascii="Times New Roman" w:hAnsi="Times New Roman" w:cs="Times New Roman"/>
          <w:b/>
          <w:noProof/>
        </w:rPr>
        <w:t>Reforma Nr. 2.1. Skolotāju pieņemšana darbā</w:t>
      </w:r>
      <w:r>
        <w:rPr>
          <w:noProof/>
        </w:rPr>
        <w:t xml:space="preserve"> </w:t>
      </w:r>
    </w:p>
    <w:p w14:paraId="57C3DDF5" w14:textId="3368C5D4" w:rsidR="00327FF1" w:rsidRDefault="00E406C7">
      <w:pPr>
        <w:spacing w:before="120" w:after="120"/>
        <w:jc w:val="both"/>
        <w:rPr>
          <w:noProof/>
        </w:rPr>
      </w:pPr>
      <w:r>
        <w:rPr>
          <w:rFonts w:ascii="Times New Roman" w:hAnsi="Times New Roman" w:cs="Times New Roman"/>
          <w:noProof/>
        </w:rPr>
        <w:t>Šīs reformas mērķis ir uzlabot izglītības rezultātus, pilnveidojot skolotāju kvalifikācijas, darbā pieņemšanas, karjeras, apmācība</w:t>
      </w:r>
      <w:r>
        <w:rPr>
          <w:rFonts w:ascii="Times New Roman" w:hAnsi="Times New Roman" w:cs="Times New Roman"/>
          <w:noProof/>
        </w:rPr>
        <w:t>s un novērtēšanas sistēmas. Šis pasākums ietver skolotāju pieņemšanu darbā reformētajā darbā pieņemšanas sistēmā.</w:t>
      </w:r>
      <w:r>
        <w:rPr>
          <w:noProof/>
        </w:rPr>
        <w:t xml:space="preserve">  </w:t>
      </w:r>
    </w:p>
    <w:p w14:paraId="1026DCC5" w14:textId="77777777" w:rsidR="00327FF1" w:rsidRDefault="00E406C7">
      <w:pPr>
        <w:spacing w:before="120" w:after="120"/>
        <w:jc w:val="both"/>
        <w:rPr>
          <w:rFonts w:ascii="Times New Roman" w:hAnsi="Times New Roman" w:cs="Times New Roman"/>
          <w:noProof/>
        </w:rPr>
      </w:pPr>
      <w:r>
        <w:rPr>
          <w:rFonts w:ascii="Times New Roman" w:hAnsi="Times New Roman" w:cs="Times New Roman"/>
          <w:b/>
          <w:noProof/>
        </w:rPr>
        <w:t>Reforma Nr. 2.2: Augstākā līmeņa augstākā izglītība un obligāta apmācība skolu vadītājiem, skolotājiem, administratīvajam un tehniskajam per</w:t>
      </w:r>
      <w:r>
        <w:rPr>
          <w:rFonts w:ascii="Times New Roman" w:hAnsi="Times New Roman" w:cs="Times New Roman"/>
          <w:b/>
          <w:noProof/>
        </w:rPr>
        <w:t>sonālam</w:t>
      </w:r>
      <w:r>
        <w:rPr>
          <w:noProof/>
        </w:rPr>
        <w:t xml:space="preserve"> </w:t>
      </w:r>
    </w:p>
    <w:p w14:paraId="3DF02019" w14:textId="77777777" w:rsidR="00327FF1" w:rsidRDefault="00E406C7">
      <w:pPr>
        <w:pStyle w:val="P68B1DB1-Normal7"/>
        <w:spacing w:before="120" w:after="120"/>
        <w:jc w:val="both"/>
        <w:rPr>
          <w:noProof/>
        </w:rPr>
      </w:pPr>
      <w:r>
        <w:rPr>
          <w:noProof/>
        </w:rPr>
        <w:t>Reformas mērķis ir izveidot kvalitatīvu apmācības sistēmu skolu personālam nepārtrauktai profesionālajai un profesionālajai izaugsmei. Tajā paredzēts izveidot kvalificētu iestādi, kas būtu atbildīga par pamatnostādņu publiskošanu saskaņā ar Eiropa</w:t>
      </w:r>
      <w:r>
        <w:rPr>
          <w:noProof/>
        </w:rPr>
        <w:t>s standartiem un par apmācības iniciatīvu atlasi un koordinēšanu, iespējams, sasaistot tās ar karjeras izaugsmi, kā paredzēts darbā pieņemšanas reformā — 2.1. reformā: Plānā iekļauta skolotāju pieņemšana darbā.</w:t>
      </w:r>
    </w:p>
    <w:p w14:paraId="400C3134" w14:textId="54FF43EE" w:rsidR="00327FF1" w:rsidRDefault="00E406C7">
      <w:pPr>
        <w:pStyle w:val="P68B1DB1-Normal5"/>
        <w:spacing w:before="120" w:after="120"/>
        <w:jc w:val="both"/>
        <w:rPr>
          <w:noProof/>
        </w:rPr>
      </w:pPr>
      <w:r>
        <w:rPr>
          <w:noProof/>
        </w:rPr>
        <w:t xml:space="preserve">Investīcija 2.1: Integrēta digitālā mācīšana </w:t>
      </w:r>
      <w:r>
        <w:rPr>
          <w:noProof/>
        </w:rPr>
        <w:t xml:space="preserve">un apmācība digitālās pārveides jomā skolu darbiniekiem </w:t>
      </w:r>
    </w:p>
    <w:p w14:paraId="2EC874BA" w14:textId="5FCE9525" w:rsidR="00327FF1" w:rsidRDefault="00E406C7">
      <w:pPr>
        <w:spacing w:before="120" w:after="120"/>
        <w:jc w:val="both"/>
        <w:rPr>
          <w:rFonts w:ascii="Times New Roman" w:hAnsi="Times New Roman" w:cs="Times New Roman"/>
          <w:noProof/>
        </w:rPr>
      </w:pPr>
      <w:r>
        <w:rPr>
          <w:rFonts w:ascii="Times New Roman" w:hAnsi="Times New Roman" w:cs="Times New Roman"/>
          <w:noProof/>
        </w:rPr>
        <w:t>Šā pasākuma mērķis ir izveidot pastāvīgu sistēmu skolu darbinieku digitālo mācīšanas prasmju veicināšanai. Ieguldījums ietver skolu vadītāju, skolotāju un administratīvā personāla apmācību.</w:t>
      </w:r>
      <w:r>
        <w:rPr>
          <w:noProof/>
        </w:rPr>
        <w:t xml:space="preserve"> </w:t>
      </w:r>
    </w:p>
    <w:p w14:paraId="5B32DF6E" w14:textId="77777777" w:rsidR="00327FF1" w:rsidRDefault="00E406C7">
      <w:pPr>
        <w:spacing w:before="120" w:after="120"/>
        <w:jc w:val="both"/>
        <w:rPr>
          <w:rFonts w:ascii="Times New Roman" w:hAnsi="Times New Roman" w:cs="Times New Roman"/>
          <w:noProof/>
        </w:rPr>
      </w:pPr>
      <w:r>
        <w:rPr>
          <w:rFonts w:ascii="Times New Roman" w:hAnsi="Times New Roman" w:cs="Times New Roman"/>
          <w:b/>
          <w:noProof/>
        </w:rPr>
        <w:t>Investīc</w:t>
      </w:r>
      <w:r>
        <w:rPr>
          <w:rFonts w:ascii="Times New Roman" w:hAnsi="Times New Roman" w:cs="Times New Roman"/>
          <w:b/>
          <w:noProof/>
        </w:rPr>
        <w:t>ija Nr. 3.1: Jaunas prasmes un jaunas valodas</w:t>
      </w:r>
      <w:r>
        <w:rPr>
          <w:noProof/>
        </w:rPr>
        <w:t xml:space="preserve"> </w:t>
      </w:r>
    </w:p>
    <w:p w14:paraId="49B27353" w14:textId="44F73509" w:rsidR="00327FF1" w:rsidRDefault="00E406C7">
      <w:pPr>
        <w:spacing w:before="120" w:after="120"/>
        <w:jc w:val="both"/>
        <w:rPr>
          <w:rFonts w:ascii="Times New Roman" w:hAnsi="Times New Roman" w:cs="Times New Roman"/>
          <w:noProof/>
        </w:rPr>
      </w:pPr>
      <w:r>
        <w:rPr>
          <w:rFonts w:ascii="Times New Roman" w:hAnsi="Times New Roman" w:cs="Times New Roman"/>
          <w:noProof/>
        </w:rPr>
        <w:t xml:space="preserve">Šā pasākuma mērķis ir uzlabot daudzvalodu, STEM, digitālās un inovācijas prasmes visos skolu līmeņos. Pasākums ietver starpdisciplināru STEM ievirzes projektu </w:t>
      </w:r>
      <w:r>
        <w:rPr>
          <w:rFonts w:ascii="Times New Roman" w:eastAsia="Times New Roman" w:hAnsi="Times New Roman" w:cs="Times New Roman"/>
          <w:noProof/>
          <w:color w:val="000000" w:themeColor="text1"/>
        </w:rPr>
        <w:t>aktivizēšanu skolās un programmas “Erasmus+” papla</w:t>
      </w:r>
      <w:r>
        <w:rPr>
          <w:rFonts w:ascii="Times New Roman" w:eastAsia="Times New Roman" w:hAnsi="Times New Roman" w:cs="Times New Roman"/>
          <w:noProof/>
          <w:color w:val="000000" w:themeColor="text1"/>
        </w:rPr>
        <w:t xml:space="preserve">šināšanu. </w:t>
      </w:r>
      <w:r>
        <w:rPr>
          <w:noProof/>
        </w:rPr>
        <w:t xml:space="preserve"> </w:t>
      </w:r>
    </w:p>
    <w:p w14:paraId="5DFF145D" w14:textId="77777777" w:rsidR="00327FF1" w:rsidRDefault="00E406C7">
      <w:pPr>
        <w:pStyle w:val="P68B1DB1-Normal5"/>
        <w:spacing w:before="120" w:after="120"/>
        <w:jc w:val="both"/>
        <w:rPr>
          <w:noProof/>
        </w:rPr>
      </w:pPr>
      <w:r>
        <w:rPr>
          <w:noProof/>
        </w:rPr>
        <w:t>“Investīcija Nr. 3.2. Skola 4.0: inovatīvas skolas, instalācijas, jaunas klases un darbsemināri</w:t>
      </w:r>
    </w:p>
    <w:p w14:paraId="1DBD0C21" w14:textId="04300501" w:rsidR="00327FF1" w:rsidRDefault="00E406C7">
      <w:pPr>
        <w:pStyle w:val="P68B1DB1-Normal7"/>
        <w:spacing w:before="120" w:after="120"/>
        <w:jc w:val="both"/>
        <w:rPr>
          <w:noProof/>
        </w:rPr>
      </w:pPr>
      <w:r>
        <w:rPr>
          <w:noProof/>
        </w:rPr>
        <w:t>Šā pasākuma mērķis ir pārveidot skolu telpas, lai būtu iespējama digitālā mācīšanās. Šis pasākums paredz vismaz 8000 pamatskolu un vidusskolu aprīko</w:t>
      </w:r>
      <w:r>
        <w:rPr>
          <w:noProof/>
        </w:rPr>
        <w:t>šanu ar digitālajiem rīkiem, kas aptver vismaz 100000 klašu.</w:t>
      </w:r>
    </w:p>
    <w:p w14:paraId="78870761" w14:textId="77777777" w:rsidR="00327FF1" w:rsidRDefault="00E406C7">
      <w:pPr>
        <w:pStyle w:val="P68B1DB1-Normal5"/>
        <w:spacing w:before="120" w:after="120"/>
        <w:jc w:val="both"/>
        <w:rPr>
          <w:noProof/>
        </w:rPr>
      </w:pPr>
      <w:r>
        <w:rPr>
          <w:noProof/>
        </w:rPr>
        <w:t>Investīcija 3.3.: Skolu ēku drošības un strukturālās rehabilitācijas plāns</w:t>
      </w:r>
    </w:p>
    <w:p w14:paraId="166D3BBF" w14:textId="4CC9C7E0" w:rsidR="00327FF1" w:rsidRDefault="00E406C7">
      <w:pPr>
        <w:pStyle w:val="P68B1DB1-Normal7"/>
        <w:spacing w:before="120" w:after="120"/>
        <w:jc w:val="both"/>
        <w:rPr>
          <w:noProof/>
        </w:rPr>
      </w:pPr>
      <w:r>
        <w:rPr>
          <w:noProof/>
        </w:rPr>
        <w:t xml:space="preserve">Pasākuma mērķis ir palielināt skolu ēku drošību un energoefektivitāti. Šis pasākums ietver skolu ēku renovācijas un </w:t>
      </w:r>
      <w:r>
        <w:rPr>
          <w:noProof/>
        </w:rPr>
        <w:t>rekonstrukcijas darbus.</w:t>
      </w:r>
    </w:p>
    <w:p w14:paraId="646F21C3" w14:textId="77777777" w:rsidR="00327FF1" w:rsidRDefault="00E406C7">
      <w:pPr>
        <w:pStyle w:val="P68B1DB1-Normal5"/>
        <w:spacing w:before="120" w:after="120"/>
        <w:jc w:val="both"/>
        <w:rPr>
          <w:noProof/>
        </w:rPr>
      </w:pPr>
      <w:r>
        <w:rPr>
          <w:noProof/>
        </w:rPr>
        <w:t>Investīcija 3.4: Mācīšana un padziļinātas universitātes prasmes</w:t>
      </w:r>
    </w:p>
    <w:p w14:paraId="166F13E1" w14:textId="18023A5B" w:rsidR="00327FF1" w:rsidRDefault="00E406C7">
      <w:pPr>
        <w:pStyle w:val="P68B1DB1-Normal7"/>
        <w:spacing w:before="120" w:after="120"/>
        <w:jc w:val="both"/>
        <w:rPr>
          <w:noProof/>
        </w:rPr>
      </w:pPr>
      <w:r>
        <w:rPr>
          <w:noProof/>
        </w:rPr>
        <w:t>Šā pasākuma mērķis ir kvalificēt un inovēt universitāšu programmas, tostarp doktorantūras studijas, lai stiprinātu digitālās prasmes un uzlabotu augstākās izglītības gl</w:t>
      </w:r>
      <w:r>
        <w:rPr>
          <w:noProof/>
        </w:rPr>
        <w:t>obālo iesaisti. Investīcija ietver doktorantūras stipendiju piešķiršanu, augstākās izglītības iestāžu tīklu izveidi, digitālās izglītības centru izveidi un starptautiskās sadarbības un projektu veicināšanu.</w:t>
      </w:r>
    </w:p>
    <w:p w14:paraId="3E5A50A4" w14:textId="5ABA6F50" w:rsidR="00327FF1" w:rsidRDefault="00E406C7">
      <w:pPr>
        <w:pStyle w:val="P68B1DB1-Normal5"/>
        <w:spacing w:before="120" w:after="120"/>
        <w:jc w:val="both"/>
        <w:rPr>
          <w:noProof/>
        </w:rPr>
      </w:pPr>
      <w:r>
        <w:rPr>
          <w:noProof/>
        </w:rPr>
        <w:t xml:space="preserve">Reforma Nr. 4.1. Ph.D. Programmu reforma </w:t>
      </w:r>
    </w:p>
    <w:p w14:paraId="29D47C5F" w14:textId="77777777" w:rsidR="00327FF1" w:rsidRDefault="00E406C7">
      <w:pPr>
        <w:pStyle w:val="P68B1DB1-Normal7"/>
        <w:spacing w:before="120" w:after="120"/>
        <w:jc w:val="both"/>
        <w:rPr>
          <w:noProof/>
        </w:rPr>
      </w:pPr>
      <w:r>
        <w:rPr>
          <w:noProof/>
        </w:rPr>
        <w:t>Reforma</w:t>
      </w:r>
      <w:r>
        <w:rPr>
          <w:noProof/>
        </w:rPr>
        <w:t>s mērķis ir atjaunināt noteikumus par doktorantūras programmām, vienkāršot procedūras uzņēmumu un pētniecības centru iesaistīšanai doktorantūras programmās un stiprināt lietišķo pētniecību. Ierosinātā reforma ir integrēta ar visām investīcijām, kas saistīt</w:t>
      </w:r>
      <w:r>
        <w:rPr>
          <w:noProof/>
        </w:rPr>
        <w:t>as ar doktorantūras programmām mērķjomā “Izglītība un pētniecība”.</w:t>
      </w:r>
    </w:p>
    <w:p w14:paraId="57B4055A" w14:textId="3D4D301F" w:rsidR="00327FF1" w:rsidRDefault="00E406C7">
      <w:pPr>
        <w:pStyle w:val="P68B1DB1-Normal5"/>
        <w:spacing w:before="120" w:after="120"/>
        <w:jc w:val="both"/>
        <w:rPr>
          <w:noProof/>
        </w:rPr>
      </w:pPr>
      <w:r>
        <w:rPr>
          <w:noProof/>
        </w:rPr>
        <w:t xml:space="preserve">Investīcija 4.1: Doktorantūras (uz pētniecību orientēta, valsts pārvalde un kultūras mantojums) skaita un karjeras iespēju paplašināšana </w:t>
      </w:r>
    </w:p>
    <w:p w14:paraId="67B6AA15" w14:textId="77777777" w:rsidR="00327FF1" w:rsidRDefault="00E406C7">
      <w:pPr>
        <w:spacing w:before="120" w:after="120"/>
        <w:jc w:val="both"/>
        <w:rPr>
          <w:rFonts w:ascii="Times New Roman" w:hAnsi="Times New Roman" w:cs="Times New Roman"/>
          <w:noProof/>
        </w:rPr>
      </w:pPr>
      <w:r>
        <w:rPr>
          <w:rFonts w:ascii="Times New Roman" w:hAnsi="Times New Roman" w:cs="Times New Roman"/>
          <w:noProof/>
        </w:rPr>
        <w:t>Pasākuma mērķis ir palielināt cilvēkkapitālu, kas p</w:t>
      </w:r>
      <w:r>
        <w:rPr>
          <w:rFonts w:ascii="Times New Roman" w:hAnsi="Times New Roman" w:cs="Times New Roman"/>
          <w:noProof/>
        </w:rPr>
        <w:t>aredzēts uz pētniecību orientētām darbībām, valsts pārvaldei un kultūras mantojumam. Investīcija paredz, ka universitātes un AFAM iestādes piešķir studentiem vismaz</w:t>
      </w:r>
      <w:r>
        <w:rPr>
          <w:rFonts w:ascii="Arial Narrow" w:hAnsi="Arial Narrow"/>
          <w:noProof/>
          <w:color w:val="006100"/>
          <w:sz w:val="20"/>
          <w:szCs w:val="20"/>
        </w:rPr>
        <w:t xml:space="preserve"> </w:t>
      </w:r>
      <w:r>
        <w:rPr>
          <w:rFonts w:ascii="Times New Roman" w:hAnsi="Times New Roman" w:cs="Times New Roman"/>
          <w:noProof/>
        </w:rPr>
        <w:t>3600 vispārējās doktorantūras stipendijas, vismaz</w:t>
      </w:r>
      <w:r>
        <w:rPr>
          <w:rFonts w:ascii="Arial Narrow" w:hAnsi="Arial Narrow"/>
          <w:noProof/>
          <w:color w:val="006100"/>
          <w:sz w:val="20"/>
          <w:szCs w:val="20"/>
        </w:rPr>
        <w:t xml:space="preserve"> </w:t>
      </w:r>
      <w:r>
        <w:rPr>
          <w:rFonts w:ascii="Times New Roman" w:hAnsi="Times New Roman" w:cs="Times New Roman"/>
          <w:noProof/>
        </w:rPr>
        <w:t>3000 doktorantūras stipendijas valsts pār</w:t>
      </w:r>
      <w:r>
        <w:rPr>
          <w:rFonts w:ascii="Times New Roman" w:hAnsi="Times New Roman" w:cs="Times New Roman"/>
          <w:noProof/>
        </w:rPr>
        <w:t>valdes jomā un vismaz 600 jaunas doktorantūras stipendijas kultūras mantojumam.</w:t>
      </w:r>
    </w:p>
    <w:p w14:paraId="303E3A6B" w14:textId="77777777" w:rsidR="00327FF1" w:rsidRDefault="00327FF1">
      <w:pPr>
        <w:spacing w:before="120" w:after="120"/>
        <w:jc w:val="both"/>
        <w:rPr>
          <w:rFonts w:ascii="Times New Roman" w:hAnsi="Times New Roman" w:cs="Times New Roman"/>
          <w:noProof/>
        </w:rPr>
        <w:sectPr w:rsidR="00327FF1" w:rsidSect="005F11B9">
          <w:headerReference w:type="default" r:id="rId176"/>
          <w:footerReference w:type="default" r:id="rId177"/>
          <w:pgSz w:w="11906" w:h="16838"/>
          <w:pgMar w:top="1440" w:right="1440" w:bottom="1440" w:left="1440" w:header="708" w:footer="708" w:gutter="0"/>
          <w:cols w:space="708"/>
          <w:docGrid w:linePitch="360"/>
        </w:sectPr>
      </w:pPr>
    </w:p>
    <w:p w14:paraId="5E53E3DA" w14:textId="77777777" w:rsidR="00327FF1" w:rsidRDefault="00E406C7">
      <w:pPr>
        <w:pStyle w:val="P68B1DB1-Heading39"/>
        <w:ind w:left="850" w:hanging="850"/>
        <w:rPr>
          <w:b/>
          <w:i/>
          <w:noProof/>
          <w:u w:val="single"/>
        </w:rPr>
      </w:pPr>
      <w:r>
        <w:rPr>
          <w:b/>
          <w:noProof/>
          <w:u w:val="single"/>
        </w:rPr>
        <w:t xml:space="preserve">J.2. </w:t>
      </w:r>
      <w:r>
        <w:rPr>
          <w:noProof/>
        </w:rPr>
        <w:t xml:space="preserve"> </w:t>
      </w:r>
      <w:r>
        <w:rPr>
          <w:b/>
          <w:noProof/>
          <w:u w:val="single"/>
        </w:rPr>
        <w:t>Starpposma mērķi, mērķrādītāji, rādītāji un neatmaksājama finansiālā atbalsta uzraudzības un īstenošanas grafiks</w:t>
      </w: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83"/>
        <w:gridCol w:w="998"/>
        <w:gridCol w:w="1736"/>
        <w:gridCol w:w="1560"/>
        <w:gridCol w:w="1588"/>
        <w:gridCol w:w="1052"/>
        <w:gridCol w:w="955"/>
        <w:gridCol w:w="825"/>
        <w:gridCol w:w="630"/>
        <w:gridCol w:w="2550"/>
      </w:tblGrid>
      <w:tr w:rsidR="00327FF1" w14:paraId="248C2A94" w14:textId="77777777">
        <w:trPr>
          <w:trHeight w:val="300"/>
          <w:tblHeader/>
        </w:trPr>
        <w:tc>
          <w:tcPr>
            <w:tcW w:w="1101" w:type="dxa"/>
            <w:vMerge w:val="restart"/>
            <w:shd w:val="clear" w:color="auto" w:fill="BDD7EE"/>
            <w:vAlign w:val="center"/>
            <w:hideMark/>
          </w:tcPr>
          <w:p w14:paraId="5358F8E3" w14:textId="77777777" w:rsidR="00327FF1" w:rsidRDefault="00E406C7">
            <w:pPr>
              <w:pStyle w:val="P68B1DB1-Normal10"/>
              <w:jc w:val="center"/>
              <w:rPr>
                <w:noProof/>
                <w:szCs w:val="20"/>
              </w:rPr>
            </w:pPr>
            <w:r>
              <w:rPr>
                <w:noProof/>
              </w:rPr>
              <w:t>Kārtas</w:t>
            </w:r>
            <w:r>
              <w:rPr>
                <w:noProof/>
              </w:rPr>
              <w:t xml:space="preserve"> numurs</w:t>
            </w:r>
          </w:p>
        </w:tc>
        <w:tc>
          <w:tcPr>
            <w:tcW w:w="1883" w:type="dxa"/>
            <w:vMerge w:val="restart"/>
            <w:shd w:val="clear" w:color="auto" w:fill="BDD7EE"/>
            <w:vAlign w:val="center"/>
            <w:hideMark/>
          </w:tcPr>
          <w:p w14:paraId="1750FC60" w14:textId="77777777" w:rsidR="00327FF1" w:rsidRDefault="00E406C7">
            <w:pPr>
              <w:pStyle w:val="P68B1DB1-Normal10"/>
              <w:jc w:val="center"/>
              <w:rPr>
                <w:noProof/>
                <w:szCs w:val="20"/>
              </w:rPr>
            </w:pPr>
            <w:r>
              <w:rPr>
                <w:noProof/>
              </w:rPr>
              <w:t>Saistītais pasākums (reforma vai ieguldījums)</w:t>
            </w:r>
          </w:p>
        </w:tc>
        <w:tc>
          <w:tcPr>
            <w:tcW w:w="998" w:type="dxa"/>
            <w:vMerge w:val="restart"/>
            <w:shd w:val="clear" w:color="auto" w:fill="BDD7EE"/>
            <w:vAlign w:val="center"/>
            <w:hideMark/>
          </w:tcPr>
          <w:p w14:paraId="18EEB589" w14:textId="77777777" w:rsidR="00327FF1" w:rsidRDefault="00E406C7">
            <w:pPr>
              <w:pStyle w:val="P68B1DB1-Normal10"/>
              <w:jc w:val="center"/>
              <w:rPr>
                <w:noProof/>
                <w:szCs w:val="20"/>
              </w:rPr>
            </w:pPr>
            <w:r>
              <w:rPr>
                <w:noProof/>
              </w:rPr>
              <w:t>Atskaites punkts/mērķrādītājs</w:t>
            </w:r>
          </w:p>
        </w:tc>
        <w:tc>
          <w:tcPr>
            <w:tcW w:w="1736" w:type="dxa"/>
            <w:vMerge w:val="restart"/>
            <w:shd w:val="clear" w:color="auto" w:fill="BDD7EE"/>
            <w:vAlign w:val="center"/>
            <w:hideMark/>
          </w:tcPr>
          <w:p w14:paraId="18B70743" w14:textId="77777777" w:rsidR="00327FF1" w:rsidRDefault="00E406C7">
            <w:pPr>
              <w:pStyle w:val="P68B1DB1-Normal10"/>
              <w:jc w:val="center"/>
              <w:rPr>
                <w:noProof/>
                <w:szCs w:val="20"/>
              </w:rPr>
            </w:pPr>
            <w:r>
              <w:rPr>
                <w:noProof/>
              </w:rPr>
              <w:t>Nosaukums</w:t>
            </w:r>
          </w:p>
        </w:tc>
        <w:tc>
          <w:tcPr>
            <w:tcW w:w="1560" w:type="dxa"/>
            <w:vMerge w:val="restart"/>
            <w:shd w:val="clear" w:color="auto" w:fill="BDD7EE"/>
            <w:vAlign w:val="center"/>
            <w:hideMark/>
          </w:tcPr>
          <w:p w14:paraId="409E5B8C" w14:textId="77777777"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3595" w:type="dxa"/>
            <w:gridSpan w:val="3"/>
            <w:shd w:val="clear" w:color="auto" w:fill="BDD7EE"/>
            <w:vAlign w:val="center"/>
            <w:hideMark/>
          </w:tcPr>
          <w:p w14:paraId="162AEB45" w14:textId="77777777" w:rsidR="00327FF1" w:rsidRDefault="00E406C7">
            <w:pPr>
              <w:jc w:val="center"/>
              <w:rPr>
                <w:rFonts w:ascii="Arial Narrow" w:hAnsi="Arial Narrow"/>
                <w:b/>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455" w:type="dxa"/>
            <w:gridSpan w:val="2"/>
            <w:shd w:val="clear" w:color="auto" w:fill="BDD7EE"/>
            <w:vAlign w:val="center"/>
            <w:hideMark/>
          </w:tcPr>
          <w:p w14:paraId="07906EA4" w14:textId="77777777" w:rsidR="00327FF1" w:rsidRDefault="00E406C7">
            <w:pPr>
              <w:pStyle w:val="P68B1DB1-Normal10"/>
              <w:jc w:val="center"/>
              <w:rPr>
                <w:noProof/>
                <w:szCs w:val="20"/>
              </w:rPr>
            </w:pPr>
            <w:r>
              <w:rPr>
                <w:noProof/>
              </w:rPr>
              <w:t>Orientējošs pabeigšanas termiņš</w:t>
            </w:r>
          </w:p>
        </w:tc>
        <w:tc>
          <w:tcPr>
            <w:tcW w:w="2550" w:type="dxa"/>
            <w:vMerge w:val="restart"/>
            <w:shd w:val="clear" w:color="auto" w:fill="BDD7EE"/>
            <w:vAlign w:val="center"/>
            <w:hideMark/>
          </w:tcPr>
          <w:p w14:paraId="4AF14260" w14:textId="77777777" w:rsidR="00327FF1" w:rsidRDefault="00E406C7">
            <w:pPr>
              <w:pStyle w:val="P68B1DB1-Normal10"/>
              <w:jc w:val="center"/>
              <w:rPr>
                <w:noProof/>
                <w:szCs w:val="20"/>
              </w:rPr>
            </w:pPr>
            <w:r>
              <w:rPr>
                <w:noProof/>
              </w:rPr>
              <w:t>Apraksts par katru atskaites punktu un mērķ</w:t>
            </w:r>
            <w:r>
              <w:rPr>
                <w:noProof/>
              </w:rPr>
              <w:t>rādītāju</w:t>
            </w:r>
          </w:p>
        </w:tc>
      </w:tr>
      <w:tr w:rsidR="00327FF1" w14:paraId="38EDA02F" w14:textId="77777777">
        <w:trPr>
          <w:trHeight w:val="300"/>
          <w:tblHeader/>
        </w:trPr>
        <w:tc>
          <w:tcPr>
            <w:tcW w:w="1101" w:type="dxa"/>
            <w:vMerge/>
            <w:vAlign w:val="center"/>
            <w:hideMark/>
          </w:tcPr>
          <w:p w14:paraId="304A311B" w14:textId="77777777" w:rsidR="00327FF1" w:rsidRDefault="00327FF1">
            <w:pPr>
              <w:jc w:val="center"/>
              <w:rPr>
                <w:rFonts w:ascii="Arial Narrow" w:hAnsi="Arial Narrow"/>
                <w:b/>
                <w:noProof/>
                <w:sz w:val="20"/>
                <w:szCs w:val="20"/>
              </w:rPr>
            </w:pPr>
          </w:p>
        </w:tc>
        <w:tc>
          <w:tcPr>
            <w:tcW w:w="1883" w:type="dxa"/>
            <w:vMerge/>
            <w:vAlign w:val="center"/>
            <w:hideMark/>
          </w:tcPr>
          <w:p w14:paraId="294A9B46" w14:textId="77777777" w:rsidR="00327FF1" w:rsidRDefault="00327FF1">
            <w:pPr>
              <w:jc w:val="center"/>
              <w:rPr>
                <w:rFonts w:ascii="Arial Narrow" w:hAnsi="Arial Narrow"/>
                <w:b/>
                <w:noProof/>
                <w:sz w:val="20"/>
                <w:szCs w:val="20"/>
              </w:rPr>
            </w:pPr>
          </w:p>
        </w:tc>
        <w:tc>
          <w:tcPr>
            <w:tcW w:w="998" w:type="dxa"/>
            <w:vMerge/>
            <w:vAlign w:val="center"/>
            <w:hideMark/>
          </w:tcPr>
          <w:p w14:paraId="2E338454" w14:textId="77777777" w:rsidR="00327FF1" w:rsidRDefault="00327FF1">
            <w:pPr>
              <w:jc w:val="center"/>
              <w:rPr>
                <w:rFonts w:ascii="Arial Narrow" w:hAnsi="Arial Narrow"/>
                <w:b/>
                <w:noProof/>
                <w:sz w:val="20"/>
                <w:szCs w:val="20"/>
              </w:rPr>
            </w:pPr>
          </w:p>
        </w:tc>
        <w:tc>
          <w:tcPr>
            <w:tcW w:w="1736" w:type="dxa"/>
            <w:vMerge/>
            <w:vAlign w:val="center"/>
            <w:hideMark/>
          </w:tcPr>
          <w:p w14:paraId="09685154" w14:textId="77777777" w:rsidR="00327FF1" w:rsidRDefault="00327FF1">
            <w:pPr>
              <w:jc w:val="center"/>
              <w:rPr>
                <w:rFonts w:ascii="Arial Narrow" w:hAnsi="Arial Narrow"/>
                <w:b/>
                <w:noProof/>
                <w:sz w:val="20"/>
                <w:szCs w:val="20"/>
              </w:rPr>
            </w:pPr>
          </w:p>
        </w:tc>
        <w:tc>
          <w:tcPr>
            <w:tcW w:w="1560" w:type="dxa"/>
            <w:vMerge/>
            <w:vAlign w:val="center"/>
            <w:hideMark/>
          </w:tcPr>
          <w:p w14:paraId="0204A995" w14:textId="77777777" w:rsidR="00327FF1" w:rsidRDefault="00327FF1">
            <w:pPr>
              <w:jc w:val="center"/>
              <w:rPr>
                <w:rFonts w:ascii="Arial Narrow" w:hAnsi="Arial Narrow"/>
                <w:b/>
                <w:noProof/>
                <w:sz w:val="20"/>
                <w:szCs w:val="20"/>
              </w:rPr>
            </w:pPr>
          </w:p>
        </w:tc>
        <w:tc>
          <w:tcPr>
            <w:tcW w:w="1588" w:type="dxa"/>
            <w:shd w:val="clear" w:color="auto" w:fill="BDD7EE"/>
            <w:vAlign w:val="center"/>
            <w:hideMark/>
          </w:tcPr>
          <w:p w14:paraId="07EA7719" w14:textId="77777777" w:rsidR="00327FF1" w:rsidRDefault="00E406C7">
            <w:pPr>
              <w:pStyle w:val="P68B1DB1-Normal10"/>
              <w:jc w:val="center"/>
              <w:rPr>
                <w:noProof/>
                <w:szCs w:val="20"/>
              </w:rPr>
            </w:pPr>
            <w:r>
              <w:rPr>
                <w:noProof/>
              </w:rPr>
              <w:t>Mēra vienība</w:t>
            </w:r>
          </w:p>
        </w:tc>
        <w:tc>
          <w:tcPr>
            <w:tcW w:w="1052" w:type="dxa"/>
            <w:shd w:val="clear" w:color="auto" w:fill="BDD7EE"/>
            <w:vAlign w:val="center"/>
            <w:hideMark/>
          </w:tcPr>
          <w:p w14:paraId="48E7B5E0" w14:textId="77777777" w:rsidR="00327FF1" w:rsidRDefault="00E406C7">
            <w:pPr>
              <w:pStyle w:val="P68B1DB1-Normal10"/>
              <w:jc w:val="center"/>
              <w:rPr>
                <w:noProof/>
                <w:szCs w:val="20"/>
              </w:rPr>
            </w:pPr>
            <w:r>
              <w:rPr>
                <w:noProof/>
              </w:rPr>
              <w:t>Pamatscenārijs</w:t>
            </w:r>
          </w:p>
        </w:tc>
        <w:tc>
          <w:tcPr>
            <w:tcW w:w="955" w:type="dxa"/>
            <w:shd w:val="clear" w:color="auto" w:fill="BDD7EE"/>
            <w:vAlign w:val="center"/>
            <w:hideMark/>
          </w:tcPr>
          <w:p w14:paraId="7C394142" w14:textId="77777777" w:rsidR="00327FF1" w:rsidRDefault="00E406C7">
            <w:pPr>
              <w:pStyle w:val="P68B1DB1-Normal10"/>
              <w:jc w:val="center"/>
              <w:rPr>
                <w:noProof/>
                <w:szCs w:val="20"/>
              </w:rPr>
            </w:pPr>
            <w:r>
              <w:rPr>
                <w:noProof/>
              </w:rPr>
              <w:t>Mērķis</w:t>
            </w:r>
          </w:p>
        </w:tc>
        <w:tc>
          <w:tcPr>
            <w:tcW w:w="825" w:type="dxa"/>
            <w:shd w:val="clear" w:color="auto" w:fill="BDD7EE"/>
            <w:vAlign w:val="center"/>
            <w:hideMark/>
          </w:tcPr>
          <w:p w14:paraId="3B896B4D" w14:textId="77777777" w:rsidR="00327FF1" w:rsidRDefault="00E406C7">
            <w:pPr>
              <w:pStyle w:val="P68B1DB1-Normal10"/>
              <w:jc w:val="center"/>
              <w:rPr>
                <w:noProof/>
                <w:szCs w:val="20"/>
              </w:rPr>
            </w:pPr>
            <w:r>
              <w:rPr>
                <w:noProof/>
              </w:rPr>
              <w:t>Ceturkšņa laikā</w:t>
            </w:r>
          </w:p>
        </w:tc>
        <w:tc>
          <w:tcPr>
            <w:tcW w:w="630" w:type="dxa"/>
            <w:shd w:val="clear" w:color="auto" w:fill="BDD7EE"/>
            <w:vAlign w:val="center"/>
            <w:hideMark/>
          </w:tcPr>
          <w:p w14:paraId="21E63939" w14:textId="77777777" w:rsidR="00327FF1" w:rsidRDefault="00E406C7">
            <w:pPr>
              <w:pStyle w:val="P68B1DB1-Normal10"/>
              <w:jc w:val="center"/>
              <w:rPr>
                <w:noProof/>
                <w:szCs w:val="20"/>
              </w:rPr>
            </w:pPr>
            <w:r>
              <w:rPr>
                <w:noProof/>
              </w:rPr>
              <w:t>Gadu</w:t>
            </w:r>
          </w:p>
        </w:tc>
        <w:tc>
          <w:tcPr>
            <w:tcW w:w="2550" w:type="dxa"/>
            <w:vMerge/>
            <w:vAlign w:val="center"/>
            <w:hideMark/>
          </w:tcPr>
          <w:p w14:paraId="182E07CA" w14:textId="77777777" w:rsidR="00327FF1" w:rsidRDefault="00327FF1">
            <w:pPr>
              <w:rPr>
                <w:rFonts w:ascii="Arial Narrow" w:hAnsi="Arial Narrow"/>
                <w:b/>
                <w:noProof/>
                <w:sz w:val="20"/>
                <w:szCs w:val="20"/>
              </w:rPr>
            </w:pPr>
          </w:p>
        </w:tc>
      </w:tr>
      <w:tr w:rsidR="00327FF1" w14:paraId="22F48242"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26EFB6" w14:textId="77777777" w:rsidR="00327FF1" w:rsidRDefault="00E406C7">
            <w:pPr>
              <w:pStyle w:val="P68B1DB1-Normal11"/>
              <w:jc w:val="center"/>
              <w:rPr>
                <w:noProof/>
                <w:szCs w:val="20"/>
              </w:rPr>
            </w:pPr>
            <w:r>
              <w:rPr>
                <w:noProof/>
              </w:rPr>
              <w:t>M4C1–1</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C6DB47" w14:textId="77777777" w:rsidR="00327FF1" w:rsidRDefault="00E406C7">
            <w:pPr>
              <w:pStyle w:val="P68B1DB1-Normal11"/>
              <w:jc w:val="center"/>
              <w:rPr>
                <w:noProof/>
                <w:szCs w:val="20"/>
              </w:rPr>
            </w:pPr>
            <w:r>
              <w:rPr>
                <w:noProof/>
              </w:rPr>
              <w:t>Reforma Nr. 1.5: Universitātes grāda grupu reforma; Reforma Nr. 1.6. Veicināt augstskolu diplomu reformu; Reforma Nr. 4.1. Ph.D. Programmu reforma</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ED71B8B"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487AC9" w14:textId="77777777" w:rsidR="00327FF1" w:rsidRDefault="00E406C7">
            <w:pPr>
              <w:pStyle w:val="P68B1DB1-Normal11"/>
              <w:jc w:val="center"/>
              <w:rPr>
                <w:noProof/>
                <w:szCs w:val="20"/>
              </w:rPr>
            </w:pPr>
            <w:r>
              <w:rPr>
                <w:noProof/>
              </w:rPr>
              <w:t>Stājas spēkā</w:t>
            </w:r>
            <w:r>
              <w:rPr>
                <w:noProof/>
              </w:rPr>
              <w:t xml:space="preserve"> terciārās izglītības sistēmas reformas, lai uzlabotu izglītības rezultātus (primārie tiesību akti) šādās jomās: a) nodrošināt augstākās izglītības diplomus; akadēmiskā grāda grupas; doktorantūras programmu reforma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9B624F" w14:textId="77777777" w:rsidR="00327FF1" w:rsidRDefault="00E406C7">
            <w:pPr>
              <w:pStyle w:val="P68B1DB1-Normal11"/>
              <w:jc w:val="center"/>
              <w:rPr>
                <w:noProof/>
                <w:szCs w:val="20"/>
              </w:rPr>
            </w:pPr>
            <w:r>
              <w:rPr>
                <w:noProof/>
              </w:rPr>
              <w:t>Likuma noteikums, kas norāda uz reformu s</w:t>
            </w:r>
            <w:r>
              <w:rPr>
                <w:noProof/>
              </w:rPr>
              <w:t>tāšanos spēkā</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417631D"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423763"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53A15E" w14:textId="777777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6242CD" w14:textId="77777777" w:rsidR="00327FF1" w:rsidRDefault="00E406C7">
            <w:pPr>
              <w:pStyle w:val="P68B1DB1-Normal11"/>
              <w:jc w:val="center"/>
              <w:rPr>
                <w:noProof/>
                <w:szCs w:val="20"/>
              </w:rPr>
            </w:pPr>
            <w:r>
              <w:rPr>
                <w:noProof/>
              </w:rPr>
              <w:t>4.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AA9A065" w14:textId="77777777" w:rsidR="00327FF1" w:rsidRDefault="00E406C7">
            <w:pPr>
              <w:pStyle w:val="P68B1DB1-Normal11"/>
              <w:jc w:val="center"/>
              <w:rPr>
                <w:noProof/>
                <w:szCs w:val="20"/>
              </w:rPr>
            </w:pPr>
            <w:r>
              <w:rPr>
                <w:noProof/>
              </w:rPr>
              <w:t>2021</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7B0826" w14:textId="72F53B1D" w:rsidR="00327FF1" w:rsidRDefault="00E406C7">
            <w:pPr>
              <w:rPr>
                <w:rFonts w:ascii="Arial Narrow" w:hAnsi="Arial Narrow"/>
                <w:noProof/>
                <w:color w:val="006100"/>
                <w:sz w:val="20"/>
                <w:szCs w:val="20"/>
              </w:rPr>
            </w:pPr>
            <w:r>
              <w:rPr>
                <w:rFonts w:ascii="Arial Narrow" w:hAnsi="Arial Narrow"/>
                <w:noProof/>
                <w:color w:val="006100"/>
                <w:sz w:val="20"/>
              </w:rPr>
              <w:t xml:space="preserve">Reformas ietver vismaz šādus galvenos elementus: </w:t>
            </w:r>
            <w:r>
              <w:rPr>
                <w:noProof/>
              </w:rPr>
              <w:t xml:space="preserve"> </w:t>
            </w:r>
            <w:r>
              <w:rPr>
                <w:noProof/>
              </w:rPr>
              <w:br/>
            </w:r>
            <w:r>
              <w:rPr>
                <w:rFonts w:ascii="Arial Narrow" w:hAnsi="Arial Narrow"/>
                <w:noProof/>
                <w:color w:val="006100"/>
                <w:sz w:val="20"/>
              </w:rPr>
              <w:t xml:space="preserve">I) iniciatīvas, lai reformētu universitātes grāda grupas, ieviešot lielāku elastību, lai apmierinātu augošo pieprasījumu pēc prasmēm darba tirgū; </w:t>
            </w:r>
            <w:r>
              <w:rPr>
                <w:noProof/>
              </w:rPr>
              <w:t xml:space="preserve"> </w:t>
            </w:r>
            <w:r>
              <w:rPr>
                <w:noProof/>
              </w:rPr>
              <w:br/>
            </w:r>
            <w:r>
              <w:rPr>
                <w:rFonts w:ascii="Arial Narrow" w:hAnsi="Arial Narrow"/>
                <w:noProof/>
                <w:color w:val="006100"/>
                <w:sz w:val="20"/>
              </w:rPr>
              <w:t>II) iniciatīvas, kuru mērķis ir reformēt universitāšu grādus, vienkāršot un paātrināt piekļuvi profesijām;</w:t>
            </w:r>
            <w:r>
              <w:rPr>
                <w:rFonts w:ascii="Arial Narrow" w:hAnsi="Arial Narrow"/>
                <w:noProof/>
              </w:rPr>
              <w:t xml:space="preserve"> </w:t>
            </w:r>
            <w:r>
              <w:rPr>
                <w:noProof/>
              </w:rPr>
              <w:t xml:space="preserve"> </w:t>
            </w:r>
            <w:r>
              <w:rPr>
                <w:noProof/>
              </w:rPr>
              <w:br/>
            </w:r>
            <w:r>
              <w:rPr>
                <w:rFonts w:ascii="Arial Narrow" w:hAnsi="Arial Narrow"/>
                <w:noProof/>
                <w:color w:val="006100"/>
                <w:sz w:val="20"/>
              </w:rPr>
              <w:t>iniciatīvas PHD programmu reformai, lai labāk iesaistītu uzņēmumus un veicinātu lietišķo pētniecību;</w:t>
            </w:r>
            <w:r>
              <w:rPr>
                <w:rFonts w:ascii="Arial Narrow" w:hAnsi="Arial Narrow"/>
                <w:noProof/>
              </w:rPr>
              <w:t xml:space="preserve"> </w:t>
            </w:r>
            <w:r>
              <w:rPr>
                <w:noProof/>
              </w:rPr>
              <w:t xml:space="preserve"> </w:t>
            </w:r>
            <w:r>
              <w:rPr>
                <w:noProof/>
              </w:rPr>
              <w:br/>
            </w:r>
            <w:r>
              <w:rPr>
                <w:rFonts w:ascii="Arial Narrow" w:hAnsi="Arial Narrow"/>
                <w:noProof/>
                <w:color w:val="006100"/>
                <w:sz w:val="20"/>
              </w:rPr>
              <w:t xml:space="preserve">Pasākumi terciārās profesionālās izglītības </w:t>
            </w:r>
            <w:r>
              <w:rPr>
                <w:rFonts w:ascii="Arial Narrow" w:hAnsi="Arial Narrow"/>
                <w:noProof/>
                <w:color w:val="006100"/>
                <w:sz w:val="20"/>
              </w:rPr>
              <w:t>sistēmas reformai, tostarp saiknes stiprināšana un iespējama pāreja uz profesionālajiem grādiem (lauree professionalizzanti), lai apmierinātu darba tirgus pieprasījumu pēc tehniskajām prasmēm</w:t>
            </w:r>
          </w:p>
        </w:tc>
      </w:tr>
      <w:tr w:rsidR="00327FF1" w14:paraId="4CEAB316"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35D98C" w14:textId="77777777" w:rsidR="00327FF1" w:rsidRDefault="00E406C7">
            <w:pPr>
              <w:pStyle w:val="P68B1DB1-Normal11"/>
              <w:jc w:val="center"/>
              <w:rPr>
                <w:noProof/>
                <w:szCs w:val="20"/>
              </w:rPr>
            </w:pPr>
            <w:r>
              <w:rPr>
                <w:noProof/>
              </w:rPr>
              <w:t>M4C1–2</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E792D8" w14:textId="77777777" w:rsidR="00327FF1" w:rsidRDefault="00E406C7">
            <w:pPr>
              <w:pStyle w:val="P68B1DB1-Normal11"/>
              <w:jc w:val="center"/>
              <w:rPr>
                <w:noProof/>
                <w:szCs w:val="20"/>
              </w:rPr>
            </w:pPr>
            <w:r>
              <w:rPr>
                <w:noProof/>
              </w:rPr>
              <w:t>Investīcija Nr. 1.7: Stipendijas piekļuvei universitātēm</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F95124"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AAC8C3" w14:textId="77777777" w:rsidR="00327FF1" w:rsidRDefault="00E406C7">
            <w:pPr>
              <w:pStyle w:val="P68B1DB1-Normal11"/>
              <w:jc w:val="center"/>
              <w:rPr>
                <w:noProof/>
                <w:szCs w:val="20"/>
              </w:rPr>
            </w:pPr>
            <w:r>
              <w:rPr>
                <w:noProof/>
              </w:rPr>
              <w:t>Stājas spēkā ministrijas dekrēti par stipendiju reformu, lai uzlabotu piekļuvi augstākajai izglītībai</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E4D640" w14:textId="77777777" w:rsidR="00327FF1" w:rsidRDefault="00E406C7">
            <w:pPr>
              <w:pStyle w:val="P68B1DB1-Normal11"/>
              <w:jc w:val="center"/>
              <w:rPr>
                <w:noProof/>
                <w:szCs w:val="20"/>
              </w:rPr>
            </w:pPr>
            <w:r>
              <w:rPr>
                <w:noProof/>
              </w:rPr>
              <w:t>Likuma noteikums, kas norāda uz reformas stāšanos spēkā</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FC474B"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47CD69"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9FDB5B" w14:textId="777777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AF2453" w14:textId="77777777" w:rsidR="00327FF1" w:rsidRDefault="00E406C7">
            <w:pPr>
              <w:pStyle w:val="P68B1DB1-Normal11"/>
              <w:jc w:val="center"/>
              <w:rPr>
                <w:noProof/>
                <w:szCs w:val="20"/>
              </w:rPr>
            </w:pPr>
            <w:r>
              <w:rPr>
                <w:noProof/>
              </w:rPr>
              <w:t>4.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115E25" w14:textId="77777777" w:rsidR="00327FF1" w:rsidRDefault="00E406C7">
            <w:pPr>
              <w:pStyle w:val="P68B1DB1-Normal11"/>
              <w:jc w:val="center"/>
              <w:rPr>
                <w:noProof/>
                <w:szCs w:val="20"/>
              </w:rPr>
            </w:pPr>
            <w:r>
              <w:rPr>
                <w:noProof/>
              </w:rPr>
              <w:t>2021</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556AB0" w14:textId="7691BEAD" w:rsidR="00327FF1" w:rsidRDefault="00E406C7">
            <w:pPr>
              <w:pStyle w:val="P68B1DB1-Normal11"/>
              <w:rPr>
                <w:noProof/>
                <w:szCs w:val="20"/>
              </w:rPr>
            </w:pPr>
            <w:r>
              <w:rPr>
                <w:noProof/>
              </w:rPr>
              <w:t xml:space="preserve">Universitāšu un pētniecības ministrijas pieņemtie ministrijas dekrēti par stipendiju reformu uzlabo piekļuvi terciārajai izglītībai talantīgiem studentiem, kas nonākuši sociālekonomiskās grūtībās, palielinot stipendiju apjomu un saņēmēju skaitu līdz 2024. </w:t>
            </w:r>
            <w:r>
              <w:rPr>
                <w:noProof/>
              </w:rPr>
              <w:t>gada 31. decembrim. Šie skolēni tiek identificēti, pamatojoties uz ISEE — Indicatore della Situazione Economica Equivalente.</w:t>
            </w:r>
          </w:p>
        </w:tc>
      </w:tr>
      <w:tr w:rsidR="00327FF1" w14:paraId="6ABB7E21"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2E521F7" w14:textId="77777777" w:rsidR="00327FF1" w:rsidRDefault="00E406C7">
            <w:pPr>
              <w:pStyle w:val="P68B1DB1-Normal11"/>
              <w:jc w:val="center"/>
              <w:rPr>
                <w:noProof/>
                <w:szCs w:val="20"/>
              </w:rPr>
            </w:pPr>
            <w:r>
              <w:rPr>
                <w:noProof/>
              </w:rPr>
              <w:t>M4C1–3</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B54EBCE" w14:textId="77777777" w:rsidR="00327FF1" w:rsidRDefault="00E406C7">
            <w:pPr>
              <w:pStyle w:val="P68B1DB1-Normal11"/>
              <w:jc w:val="center"/>
              <w:rPr>
                <w:noProof/>
                <w:szCs w:val="20"/>
              </w:rPr>
            </w:pPr>
            <w:r>
              <w:rPr>
                <w:noProof/>
              </w:rPr>
              <w:t>Reforma Nr. 2.1. Skolotāju pieņemšana darbā</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3E706F7"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03165C" w14:textId="77777777" w:rsidR="00327FF1" w:rsidRDefault="00E406C7">
            <w:pPr>
              <w:pStyle w:val="P68B1DB1-Normal11"/>
              <w:jc w:val="center"/>
              <w:rPr>
                <w:noProof/>
                <w:szCs w:val="20"/>
              </w:rPr>
            </w:pPr>
            <w:r>
              <w:rPr>
                <w:noProof/>
              </w:rPr>
              <w:t>Stājas spēkā reforma attiecībā uz skolotāja profesiju.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7D9F16" w14:textId="77777777" w:rsidR="00327FF1" w:rsidRDefault="00E406C7">
            <w:pPr>
              <w:pStyle w:val="P68B1DB1-Normal11"/>
              <w:jc w:val="center"/>
              <w:rPr>
                <w:noProof/>
                <w:szCs w:val="20"/>
              </w:rPr>
            </w:pPr>
            <w:r>
              <w:rPr>
                <w:noProof/>
              </w:rPr>
              <w:t xml:space="preserve">Likuma </w:t>
            </w:r>
            <w:r>
              <w:rPr>
                <w:noProof/>
              </w:rPr>
              <w:t>noteikums, kas norāda uz reformas stāšanos spēkā</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44CFCC3"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889A2A6"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331A408" w14:textId="777777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26E85B3" w14:textId="77777777" w:rsidR="00327FF1" w:rsidRDefault="00E406C7">
            <w:pPr>
              <w:pStyle w:val="P68B1DB1-Normal11"/>
              <w:jc w:val="center"/>
              <w:rPr>
                <w:noProof/>
                <w:szCs w:val="20"/>
              </w:rPr>
            </w:pPr>
            <w:r>
              <w:rPr>
                <w:noProof/>
              </w:rPr>
              <w:t>2.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50BDFBF" w14:textId="77777777" w:rsidR="00327FF1" w:rsidRDefault="00E406C7">
            <w:pPr>
              <w:pStyle w:val="P68B1DB1-Normal11"/>
              <w:jc w:val="center"/>
              <w:rPr>
                <w:noProof/>
                <w:szCs w:val="20"/>
              </w:rPr>
            </w:pPr>
            <w:r>
              <w:rPr>
                <w:noProof/>
              </w:rPr>
              <w:t>2022</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3937350" w14:textId="1D05B71B" w:rsidR="00327FF1" w:rsidRDefault="00E406C7">
            <w:pPr>
              <w:rPr>
                <w:rFonts w:ascii="Arial Narrow" w:hAnsi="Arial Narrow"/>
                <w:noProof/>
                <w:color w:val="006100"/>
                <w:sz w:val="20"/>
                <w:szCs w:val="20"/>
              </w:rPr>
            </w:pPr>
            <w:r>
              <w:rPr>
                <w:rFonts w:ascii="Arial Narrow" w:hAnsi="Arial Narrow"/>
                <w:noProof/>
                <w:color w:val="006100"/>
                <w:sz w:val="20"/>
              </w:rPr>
              <w:t xml:space="preserve">Pārskatītais tiesiskais regulējums piesaista, pieņem darbā un motivē kvalitatīvus skolotājus, jo īpaši: </w:t>
            </w:r>
            <w:r>
              <w:rPr>
                <w:noProof/>
              </w:rPr>
              <w:t xml:space="preserve"> </w:t>
            </w:r>
            <w:r>
              <w:rPr>
                <w:noProof/>
              </w:rPr>
              <w:br/>
            </w:r>
            <w:r>
              <w:rPr>
                <w:rFonts w:ascii="Arial Narrow" w:hAnsi="Arial Narrow"/>
                <w:noProof/>
                <w:color w:val="006100"/>
                <w:sz w:val="20"/>
              </w:rPr>
              <w:t xml:space="preserve">I) darbā pieņemšanas sistēmas uzlabošana </w:t>
            </w:r>
            <w:r>
              <w:rPr>
                <w:noProof/>
              </w:rPr>
              <w:t xml:space="preserve"> </w:t>
            </w:r>
            <w:r>
              <w:rPr>
                <w:noProof/>
              </w:rPr>
              <w:br/>
              <w:t xml:space="preserve"> </w:t>
            </w:r>
            <w:r>
              <w:rPr>
                <w:rFonts w:ascii="Arial Narrow" w:hAnsi="Arial Narrow"/>
                <w:noProof/>
                <w:color w:val="006100"/>
                <w:sz w:val="20"/>
              </w:rPr>
              <w:t xml:space="preserve">II) augstākas </w:t>
            </w:r>
            <w:r>
              <w:rPr>
                <w:rFonts w:ascii="Arial Narrow" w:hAnsi="Arial Narrow"/>
                <w:noProof/>
                <w:color w:val="006100"/>
                <w:sz w:val="20"/>
              </w:rPr>
              <w:t xml:space="preserve">kvalifikācijas ieviešana mācīšanā, lai strādātu profesijā vidusskolā; </w:t>
            </w:r>
            <w:r>
              <w:rPr>
                <w:noProof/>
              </w:rPr>
              <w:t xml:space="preserve"> </w:t>
            </w:r>
            <w:r>
              <w:rPr>
                <w:noProof/>
              </w:rPr>
              <w:br/>
            </w:r>
            <w:r>
              <w:rPr>
                <w:rFonts w:ascii="Arial Narrow" w:hAnsi="Arial Narrow"/>
                <w:noProof/>
                <w:color w:val="006100"/>
                <w:sz w:val="20"/>
              </w:rPr>
              <w:t>ierobežot pārmērīgu skolotāju mobilitāti (mācību nepārtrauktības interesēs);</w:t>
            </w:r>
            <w:r>
              <w:rPr>
                <w:rFonts w:ascii="Arial Narrow" w:hAnsi="Arial Narrow"/>
                <w:noProof/>
              </w:rPr>
              <w:t xml:space="preserve"> </w:t>
            </w:r>
            <w:r>
              <w:rPr>
                <w:noProof/>
              </w:rPr>
              <w:t xml:space="preserve"> </w:t>
            </w:r>
            <w:r>
              <w:rPr>
                <w:noProof/>
              </w:rPr>
              <w:br/>
            </w:r>
            <w:r>
              <w:rPr>
                <w:rFonts w:ascii="Arial Narrow" w:hAnsi="Arial Narrow"/>
                <w:noProof/>
                <w:color w:val="006100"/>
                <w:sz w:val="20"/>
              </w:rPr>
              <w:t>IV) karjeras virzības noteikšana, kas ir skaidri saistīta ar snieguma novērtēšanu un pastāvīgu profesionā</w:t>
            </w:r>
            <w:r>
              <w:rPr>
                <w:rFonts w:ascii="Arial Narrow" w:hAnsi="Arial Narrow"/>
                <w:noProof/>
                <w:color w:val="006100"/>
                <w:sz w:val="20"/>
              </w:rPr>
              <w:t>lo izaugsmi.</w:t>
            </w:r>
          </w:p>
        </w:tc>
      </w:tr>
      <w:tr w:rsidR="00327FF1" w14:paraId="5A161C33"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5E2AF6D" w14:textId="77777777" w:rsidR="00327FF1" w:rsidRDefault="00E406C7">
            <w:pPr>
              <w:pStyle w:val="P68B1DB1-Normal11"/>
              <w:jc w:val="center"/>
              <w:rPr>
                <w:noProof/>
                <w:szCs w:val="20"/>
              </w:rPr>
            </w:pPr>
            <w:r>
              <w:rPr>
                <w:noProof/>
              </w:rPr>
              <w:t>M4C1–4</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70B09A" w14:textId="77777777" w:rsidR="00327FF1" w:rsidRDefault="00E406C7">
            <w:pPr>
              <w:pStyle w:val="P68B1DB1-Normal11"/>
              <w:jc w:val="center"/>
              <w:rPr>
                <w:noProof/>
                <w:szCs w:val="20"/>
              </w:rPr>
            </w:pPr>
            <w:r>
              <w:rPr>
                <w:noProof/>
              </w:rPr>
              <w:t>“Investīcija Nr. 3.2. Skola 4.0: inovatīvas skolas, instalācijas, jaunas klases un darbsemināri</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33F325"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E0374D6" w14:textId="77777777" w:rsidR="00327FF1" w:rsidRDefault="00E406C7">
            <w:pPr>
              <w:pStyle w:val="P68B1DB1-Normal11"/>
              <w:jc w:val="center"/>
              <w:rPr>
                <w:noProof/>
                <w:szCs w:val="20"/>
              </w:rPr>
            </w:pPr>
            <w:r>
              <w:rPr>
                <w:noProof/>
              </w:rPr>
              <w:t>Skola 4.0. Plāns Itālijas skolu sistēmas digitālās pārkārtošanās veicināšanai ir pieņemts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5A5F789" w14:textId="77777777" w:rsidR="00327FF1" w:rsidRDefault="00E406C7">
            <w:pPr>
              <w:pStyle w:val="P68B1DB1-Normal11"/>
              <w:jc w:val="center"/>
              <w:rPr>
                <w:noProof/>
                <w:szCs w:val="20"/>
              </w:rPr>
            </w:pPr>
            <w:r>
              <w:rPr>
                <w:noProof/>
              </w:rPr>
              <w:t>Izglītības ministrija — Dekrēts,</w:t>
            </w:r>
            <w:r>
              <w:rPr>
                <w:noProof/>
              </w:rPr>
              <w:t xml:space="preserve"> ar ko pieņem Skolas 4.0 plānu</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B15F951"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50A7B42"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E275CDC" w14:textId="777777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7221B24" w14:textId="77777777" w:rsidR="00327FF1" w:rsidRDefault="00E406C7">
            <w:pPr>
              <w:pStyle w:val="P68B1DB1-Normal11"/>
              <w:jc w:val="center"/>
              <w:rPr>
                <w:noProof/>
                <w:szCs w:val="20"/>
              </w:rPr>
            </w:pPr>
            <w:r>
              <w:rPr>
                <w:noProof/>
              </w:rPr>
              <w:t>2.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2782F43" w14:textId="77777777" w:rsidR="00327FF1" w:rsidRDefault="00E406C7">
            <w:pPr>
              <w:pStyle w:val="P68B1DB1-Normal11"/>
              <w:jc w:val="center"/>
              <w:rPr>
                <w:noProof/>
                <w:szCs w:val="20"/>
              </w:rPr>
            </w:pPr>
            <w:r>
              <w:rPr>
                <w:noProof/>
              </w:rPr>
              <w:t>2022</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7B9E87D" w14:textId="77777777" w:rsidR="00327FF1" w:rsidRDefault="00E406C7">
            <w:pPr>
              <w:pStyle w:val="P68B1DB1-Normal11"/>
              <w:rPr>
                <w:noProof/>
                <w:szCs w:val="20"/>
              </w:rPr>
            </w:pPr>
            <w:r>
              <w:rPr>
                <w:noProof/>
              </w:rPr>
              <w:t>Izglītības ministrijas pieņemtajā plānā “Skola 4.0”, lai veicinātu Itālijas skolu sistēmas digitālo pārkārtošanos, iekļauj:</w:t>
            </w:r>
          </w:p>
          <w:p w14:paraId="32190ABB" w14:textId="77777777" w:rsidR="00327FF1" w:rsidRDefault="00E406C7">
            <w:pPr>
              <w:pStyle w:val="P68B1DB1-Normal11"/>
              <w:rPr>
                <w:noProof/>
                <w:szCs w:val="20"/>
              </w:rPr>
            </w:pPr>
            <w:r>
              <w:rPr>
                <w:noProof/>
              </w:rPr>
              <w:t>100000 klašu pārveide inovatīvā mācību vidē</w:t>
            </w:r>
          </w:p>
          <w:p w14:paraId="05BD8393" w14:textId="77777777" w:rsidR="00327FF1" w:rsidRDefault="00E406C7">
            <w:pPr>
              <w:pStyle w:val="P68B1DB1-Normal11"/>
              <w:rPr>
                <w:noProof/>
                <w:szCs w:val="20"/>
              </w:rPr>
            </w:pPr>
            <w:r>
              <w:rPr>
                <w:noProof/>
              </w:rPr>
              <w:t>b) laboratorij</w:t>
            </w:r>
            <w:r>
              <w:rPr>
                <w:noProof/>
              </w:rPr>
              <w:t>u izveide jaunajām digitālajām profesijām visās vidusskolās.</w:t>
            </w:r>
          </w:p>
          <w:p w14:paraId="526D577F" w14:textId="77777777" w:rsidR="00327FF1" w:rsidRDefault="00E406C7">
            <w:pPr>
              <w:pStyle w:val="P68B1DB1-Normal11"/>
              <w:rPr>
                <w:noProof/>
                <w:szCs w:val="20"/>
              </w:rPr>
            </w:pPr>
            <w:r>
              <w:rPr>
                <w:noProof/>
              </w:rPr>
              <w:t>Darbība pārveido skolu telpas, kas paredzētas tradicionālajām klasēm, par inovatīvām, adaptīvām un elastīgām mācību vidēm, kas ir savienotas, integrētas kopā ar digitālajām, fiziskajām un virtuāl</w:t>
            </w:r>
            <w:r>
              <w:rPr>
                <w:noProof/>
              </w:rPr>
              <w:t>ajām tehnoloģijām. Investīcijas skolu telpās nodrošina visnovatoriskākās mācīšanas tehnoloģijas (kodēšanas un robotikas ierīces, virtuālās realitātes ierīces, progresīvas digitālās ierīces iekļaujošai izglītībai u. c.) līdz vismaz 100000 pamatskolu un vidu</w:t>
            </w:r>
            <w:r>
              <w:rPr>
                <w:noProof/>
              </w:rPr>
              <w:t>sskolu klasēm, ko izmanto nodarbībām.</w:t>
            </w:r>
          </w:p>
          <w:p w14:paraId="47C28CB6" w14:textId="77777777" w:rsidR="00327FF1" w:rsidRDefault="00E406C7">
            <w:pPr>
              <w:pStyle w:val="P68B1DB1-Normal11"/>
              <w:rPr>
                <w:noProof/>
                <w:szCs w:val="20"/>
              </w:rPr>
            </w:pPr>
            <w:r>
              <w:rPr>
                <w:noProof/>
              </w:rPr>
              <w:t>Darbība b) izveido vismaz vienu laboratoriju digitālajām profesijām katrā vidusskolā, laboratoriju, kas cieši savienota ar uzņēmumiem un inovatīviem jaunuzņēmumiem, lai radītu jaunas darbvietas jaunu digitālo profesiju</w:t>
            </w:r>
            <w:r>
              <w:rPr>
                <w:noProof/>
              </w:rPr>
              <w:t xml:space="preserve"> nozarē (piemēram, mākslīgais intelekts, robotika, lielie dati un kiberdrošība, zilā un zaļā ekonomika).</w:t>
            </w:r>
          </w:p>
          <w:p w14:paraId="0D9CF956" w14:textId="77777777" w:rsidR="00327FF1" w:rsidRDefault="00E406C7">
            <w:pPr>
              <w:pStyle w:val="P68B1DB1-Normal11"/>
              <w:rPr>
                <w:noProof/>
                <w:szCs w:val="20"/>
              </w:rPr>
            </w:pPr>
            <w:r>
              <w:rPr>
                <w:noProof/>
              </w:rPr>
              <w:t>Vismaz 40 % no saņēmējām skolām jāatrodas Itālijas dienvidos.</w:t>
            </w:r>
          </w:p>
        </w:tc>
      </w:tr>
      <w:tr w:rsidR="00327FF1" w14:paraId="6304583B"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44C711" w14:textId="77777777" w:rsidR="00327FF1" w:rsidRDefault="00E406C7">
            <w:pPr>
              <w:pStyle w:val="P68B1DB1-Normal11"/>
              <w:jc w:val="center"/>
              <w:rPr>
                <w:noProof/>
                <w:szCs w:val="20"/>
              </w:rPr>
            </w:pPr>
            <w:r>
              <w:rPr>
                <w:noProof/>
              </w:rPr>
              <w:t>M4C1–5</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2959849" w14:textId="77777777" w:rsidR="00327FF1" w:rsidRDefault="00E406C7">
            <w:pPr>
              <w:pStyle w:val="P68B1DB1-Normal11"/>
              <w:jc w:val="center"/>
              <w:rPr>
                <w:noProof/>
                <w:szCs w:val="20"/>
              </w:rPr>
            </w:pPr>
            <w:r>
              <w:rPr>
                <w:noProof/>
              </w:rPr>
              <w:t xml:space="preserve">Reforma Nr. 1.3. Skolu sistēmas reorganizācija; Reforma Nr. 1.2. Terciārās </w:t>
            </w:r>
            <w:r>
              <w:rPr>
                <w:noProof/>
              </w:rPr>
              <w:t>profesionālās izglītības sistēmas (ITS) reforma; Reforma Nr. 1.1: Tehnisko un profesionālo institūtu reforma; Reforma Nr. 1.4. “Orientācijas” sistēmas reforma</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0022CD" w14:textId="77777777" w:rsidR="00327FF1" w:rsidRDefault="00E406C7">
            <w:pPr>
              <w:pStyle w:val="P68B1DB1-Normal11"/>
              <w:jc w:val="center"/>
              <w:rPr>
                <w:noProof/>
                <w:szCs w:val="20"/>
              </w:rPr>
            </w:pPr>
            <w:r>
              <w:rPr>
                <w:noProof/>
              </w:rPr>
              <w:t>Starpposma mērķi</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43FD18" w14:textId="77777777" w:rsidR="00327FF1" w:rsidRDefault="00E406C7">
            <w:pPr>
              <w:pStyle w:val="P68B1DB1-Normal11"/>
              <w:jc w:val="center"/>
              <w:rPr>
                <w:noProof/>
                <w:szCs w:val="20"/>
              </w:rPr>
            </w:pPr>
            <w:r>
              <w:rPr>
                <w:noProof/>
              </w:rPr>
              <w:t xml:space="preserve">Pamatizglītības un vidējās izglītības sistēmas reformu stāšanās spēkā, lai </w:t>
            </w:r>
            <w:r>
              <w:rPr>
                <w:noProof/>
              </w:rPr>
              <w:t>uzlabotu izglītības rezultātus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B516DD7" w14:textId="77777777" w:rsidR="00327FF1" w:rsidRDefault="00E406C7">
            <w:pPr>
              <w:pStyle w:val="P68B1DB1-Normal11"/>
              <w:jc w:val="center"/>
              <w:rPr>
                <w:noProof/>
                <w:szCs w:val="20"/>
              </w:rPr>
            </w:pPr>
            <w:r>
              <w:rPr>
                <w:noProof/>
              </w:rPr>
              <w:t>Likuma noteikums, kas norāda uz reformu stāšanos spēkā</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EFAF10"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1BF079"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E52EDD" w14:textId="777777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43DD7A" w14:textId="77777777" w:rsidR="00327FF1" w:rsidRDefault="00E406C7">
            <w:pPr>
              <w:pStyle w:val="P68B1DB1-Normal11"/>
              <w:jc w:val="center"/>
              <w:rPr>
                <w:noProof/>
                <w:szCs w:val="20"/>
              </w:rPr>
            </w:pPr>
            <w:r>
              <w:rPr>
                <w:noProof/>
              </w:rPr>
              <w:t>4.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29481A4" w14:textId="77777777" w:rsidR="00327FF1" w:rsidRDefault="00E406C7">
            <w:pPr>
              <w:pStyle w:val="P68B1DB1-Normal11"/>
              <w:jc w:val="center"/>
              <w:rPr>
                <w:noProof/>
                <w:szCs w:val="20"/>
              </w:rPr>
            </w:pPr>
            <w:r>
              <w:rPr>
                <w:noProof/>
              </w:rPr>
              <w:t>2022</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3E2EC6" w14:textId="0D2B386A" w:rsidR="00327FF1" w:rsidRDefault="00E406C7">
            <w:pPr>
              <w:rPr>
                <w:rFonts w:ascii="Arial Narrow" w:hAnsi="Arial Narrow"/>
                <w:noProof/>
                <w:color w:val="006100"/>
                <w:sz w:val="20"/>
                <w:szCs w:val="20"/>
              </w:rPr>
            </w:pPr>
            <w:r>
              <w:rPr>
                <w:rFonts w:ascii="Arial Narrow" w:hAnsi="Arial Narrow"/>
                <w:noProof/>
                <w:color w:val="006100"/>
                <w:sz w:val="20"/>
              </w:rPr>
              <w:t>Primāro tiesību aktu reformas pamatizglītības un vidējās izglītības sistēmā, lai uzlabotu izglītības rezultātus (izmantojot pri</w:t>
            </w:r>
            <w:r>
              <w:rPr>
                <w:rFonts w:ascii="Arial Narrow" w:hAnsi="Arial Narrow"/>
                <w:noProof/>
                <w:color w:val="006100"/>
                <w:sz w:val="20"/>
              </w:rPr>
              <w:t xml:space="preserve">māros tiesību aktus), ietver vismaz šādus galvenos elementus: </w:t>
            </w:r>
            <w:r>
              <w:rPr>
                <w:noProof/>
              </w:rPr>
              <w:t xml:space="preserve"> </w:t>
            </w:r>
            <w:r>
              <w:rPr>
                <w:noProof/>
              </w:rPr>
              <w:br/>
            </w:r>
            <w:r>
              <w:rPr>
                <w:rFonts w:ascii="Arial Narrow" w:hAnsi="Arial Narrow"/>
                <w:noProof/>
                <w:color w:val="006100"/>
                <w:sz w:val="20"/>
              </w:rPr>
              <w:t>I) Iniciatīvas izglītības sistēmas organizācijas reformai, lai pielāgotos demogrāfiskajām norisēm (piemēram, skolu un skolēnu/skolotāju skaita attiecība)</w:t>
            </w:r>
            <w:r>
              <w:rPr>
                <w:rFonts w:ascii="Arial Narrow" w:hAnsi="Arial Narrow"/>
                <w:noProof/>
              </w:rPr>
              <w:t xml:space="preserve"> </w:t>
            </w:r>
            <w:r>
              <w:rPr>
                <w:noProof/>
              </w:rPr>
              <w:t xml:space="preserve"> </w:t>
            </w:r>
            <w:r>
              <w:rPr>
                <w:noProof/>
              </w:rPr>
              <w:br/>
              <w:t xml:space="preserve"> </w:t>
            </w:r>
            <w:r>
              <w:rPr>
                <w:rFonts w:ascii="Arial Narrow" w:hAnsi="Arial Narrow"/>
                <w:noProof/>
                <w:color w:val="006100"/>
                <w:sz w:val="20"/>
              </w:rPr>
              <w:t>II) Iniciatīvas, lai reformētu orie</w:t>
            </w:r>
            <w:r>
              <w:rPr>
                <w:rFonts w:ascii="Arial Narrow" w:hAnsi="Arial Narrow"/>
                <w:noProof/>
                <w:color w:val="006100"/>
                <w:sz w:val="20"/>
              </w:rPr>
              <w:t>ntācijas sistēmu, līdz minimumam samazinot priekšlaicīgi pametušo skaitu terciārajā izglītībā;</w:t>
            </w:r>
            <w:r>
              <w:rPr>
                <w:rFonts w:ascii="Arial Narrow" w:hAnsi="Arial Narrow"/>
                <w:noProof/>
              </w:rPr>
              <w:t xml:space="preserve"> </w:t>
            </w:r>
            <w:r>
              <w:rPr>
                <w:noProof/>
              </w:rPr>
              <w:t xml:space="preserve"> </w:t>
            </w:r>
            <w:r>
              <w:rPr>
                <w:noProof/>
              </w:rPr>
              <w:br/>
            </w:r>
            <w:r>
              <w:rPr>
                <w:rFonts w:ascii="Arial Narrow" w:hAnsi="Arial Narrow"/>
                <w:noProof/>
                <w:color w:val="006100"/>
                <w:sz w:val="20"/>
              </w:rPr>
              <w:t xml:space="preserve">iniciatīvas vidējās profesionālās izglītības stiprināšanai (Istituti tecnico- Professionali), tostarp jaunās mācību programmas pieņemšana un to orientācija uz </w:t>
            </w:r>
            <w:r>
              <w:rPr>
                <w:rFonts w:ascii="Arial Narrow" w:hAnsi="Arial Narrow"/>
                <w:noProof/>
                <w:color w:val="006100"/>
                <w:sz w:val="20"/>
              </w:rPr>
              <w:t>Valsts rūpniecības 4.0 plāna inovācijas rezultātiem (Ministero dello Sviluppo economico, Decreto 26 Maggio 2020);</w:t>
            </w:r>
            <w:r>
              <w:rPr>
                <w:rFonts w:ascii="Arial Narrow" w:hAnsi="Arial Narrow"/>
                <w:noProof/>
              </w:rPr>
              <w:t xml:space="preserve"> </w:t>
            </w:r>
            <w:r>
              <w:rPr>
                <w:noProof/>
              </w:rPr>
              <w:t xml:space="preserve"> </w:t>
            </w:r>
            <w:r>
              <w:rPr>
                <w:noProof/>
              </w:rPr>
              <w:br/>
            </w:r>
            <w:r>
              <w:rPr>
                <w:rFonts w:ascii="Arial Narrow" w:hAnsi="Arial Narrow"/>
                <w:noProof/>
                <w:color w:val="006100"/>
                <w:sz w:val="20"/>
              </w:rPr>
              <w:t xml:space="preserve">IV) iniciatīvas skolu vadītāju, skolotāju un administratīvā/tehniskā personāla apmācībai un terciārās augstākās izglītības skolas izveidei, </w:t>
            </w:r>
            <w:r>
              <w:rPr>
                <w:rFonts w:ascii="Arial Narrow" w:hAnsi="Arial Narrow"/>
                <w:noProof/>
                <w:color w:val="006100"/>
                <w:sz w:val="20"/>
              </w:rPr>
              <w:t>lai uzlabotu mācīšanas kvalitāti;</w:t>
            </w:r>
            <w:r>
              <w:rPr>
                <w:rFonts w:ascii="Arial Narrow" w:hAnsi="Arial Narrow"/>
                <w:noProof/>
              </w:rPr>
              <w:t xml:space="preserve"> </w:t>
            </w:r>
            <w:r>
              <w:rPr>
                <w:noProof/>
              </w:rPr>
              <w:t xml:space="preserve"> </w:t>
            </w:r>
            <w:r>
              <w:rPr>
                <w:noProof/>
              </w:rPr>
              <w:br/>
            </w:r>
            <w:r>
              <w:rPr>
                <w:rFonts w:ascii="Arial Narrow" w:hAnsi="Arial Narrow"/>
                <w:noProof/>
                <w:color w:val="006100"/>
                <w:sz w:val="20"/>
              </w:rPr>
              <w:t>V) Iniciatīvas darbību, metodikas un satura integrēšanai, kuru mērķis ir izstrādāt un stiprināt zinātnes, tehnoloģiju, inženierzinātņu un matemātikas (STEM) mācību programmas, digitālās un inovācijas prasmes visos izglīt</w:t>
            </w:r>
            <w:r>
              <w:rPr>
                <w:rFonts w:ascii="Arial Narrow" w:hAnsi="Arial Narrow"/>
                <w:noProof/>
                <w:color w:val="006100"/>
                <w:sz w:val="20"/>
              </w:rPr>
              <w:t>ības ciklos, sākot no bērnudārza līdz vidusskolai, ar mērķi veicināt uzņemšanu STEM terciārajā mācību programmā, jo īpaši sievietēm.</w:t>
            </w:r>
          </w:p>
          <w:p w14:paraId="1A950C44" w14:textId="77777777" w:rsidR="00327FF1" w:rsidRDefault="00E406C7">
            <w:pPr>
              <w:pStyle w:val="P68B1DB1-Normal11"/>
              <w:rPr>
                <w:noProof/>
                <w:szCs w:val="20"/>
              </w:rPr>
            </w:pPr>
            <w:r>
              <w:rPr>
                <w:noProof/>
              </w:rPr>
              <w:t>Lai sasniegtu atskaites punktu, tiesību aktos iekļauj obligātos termiņus sekundāro tiesību aktu, pamatnostādņu un visu nepi</w:t>
            </w:r>
            <w:r>
              <w:rPr>
                <w:noProof/>
              </w:rPr>
              <w:t>eciešamo normatīvo aktu izdošanai (Izglītības ministrijas veikta uzraudzība), lai nodrošinātu raitu īstenošanu.</w:t>
            </w:r>
          </w:p>
        </w:tc>
      </w:tr>
      <w:tr w:rsidR="00327FF1" w14:paraId="5F835BB2"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9ACDF" w14:textId="77777777" w:rsidR="00327FF1" w:rsidRDefault="00E406C7">
            <w:pPr>
              <w:pStyle w:val="P68B1DB1-Normal11"/>
              <w:jc w:val="center"/>
              <w:rPr>
                <w:noProof/>
                <w:szCs w:val="20"/>
              </w:rPr>
            </w:pPr>
            <w:r>
              <w:rPr>
                <w:noProof/>
              </w:rPr>
              <w:t>M4C1–6</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29ADE5" w14:textId="77777777" w:rsidR="00327FF1" w:rsidRDefault="00E406C7">
            <w:pPr>
              <w:pStyle w:val="P68B1DB1-Normal11"/>
              <w:jc w:val="center"/>
              <w:rPr>
                <w:noProof/>
                <w:szCs w:val="20"/>
              </w:rPr>
            </w:pPr>
            <w:r>
              <w:rPr>
                <w:noProof/>
              </w:rPr>
              <w:t xml:space="preserve">Reforma Nr. 2.2: Augstākā līmeņa augstākā izglītība un pastāvīga apmācība skolu vadītājiem, skolotājiem, administratīvajam un </w:t>
            </w:r>
            <w:r>
              <w:rPr>
                <w:noProof/>
              </w:rPr>
              <w:t>tehniskajam personālam</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00FD96"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0D43B3" w14:textId="77777777" w:rsidR="00327FF1" w:rsidRDefault="00E406C7">
            <w:pPr>
              <w:pStyle w:val="P68B1DB1-Normal11"/>
              <w:jc w:val="center"/>
              <w:rPr>
                <w:noProof/>
                <w:szCs w:val="20"/>
              </w:rPr>
            </w:pPr>
            <w:r>
              <w:rPr>
                <w:noProof/>
              </w:rPr>
              <w:t>Stājas spēkā tiesību akti, kuru mērķis ir izveidot kvalitatīvu mācību sistēmu skolā.</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EB0C8F" w14:textId="77777777" w:rsidR="00327FF1" w:rsidRDefault="00E406C7">
            <w:pPr>
              <w:pStyle w:val="P68B1DB1-Normal11"/>
              <w:jc w:val="center"/>
              <w:rPr>
                <w:noProof/>
                <w:szCs w:val="20"/>
              </w:rPr>
            </w:pPr>
            <w:r>
              <w:rPr>
                <w:noProof/>
              </w:rPr>
              <w:t>Likuma noteikums, kas norāda uz tiesību akta stāšanos spēkā.</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D9E52"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BF777E"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81675" w14:textId="777777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625FBF" w14:textId="77777777" w:rsidR="00327FF1" w:rsidRDefault="00E406C7">
            <w:pPr>
              <w:pStyle w:val="P68B1DB1-Normal11"/>
              <w:jc w:val="center"/>
              <w:rPr>
                <w:noProof/>
                <w:szCs w:val="20"/>
              </w:rPr>
            </w:pPr>
            <w:r>
              <w:rPr>
                <w:noProof/>
              </w:rPr>
              <w:t>4.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FFE2AD" w14:textId="77777777" w:rsidR="00327FF1" w:rsidRDefault="00E406C7">
            <w:pPr>
              <w:pStyle w:val="P68B1DB1-Normal11"/>
              <w:jc w:val="center"/>
              <w:rPr>
                <w:noProof/>
                <w:szCs w:val="20"/>
              </w:rPr>
            </w:pPr>
            <w:r>
              <w:rPr>
                <w:noProof/>
              </w:rPr>
              <w:t>2022</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7DAD8" w14:textId="77777777" w:rsidR="00327FF1" w:rsidRDefault="00E406C7">
            <w:pPr>
              <w:pStyle w:val="P68B1DB1-Normal11"/>
              <w:rPr>
                <w:noProof/>
                <w:szCs w:val="20"/>
              </w:rPr>
            </w:pPr>
            <w:r>
              <w:rPr>
                <w:noProof/>
              </w:rPr>
              <w:t xml:space="preserve">Tiesību aktos iekļauj </w:t>
            </w:r>
            <w:r>
              <w:rPr>
                <w:noProof/>
              </w:rPr>
              <w:t xml:space="preserve">noteikumus, kuru mērķis ir izveidot kvalitatīvu mācību sistēmu skolu personālam atbilstīgi nepārtrauktai profesionālajai un profesionālajai izaugsmei, izveidot kvalificētu iestādi, kas atbild par skolu personāla apmācības pamatnostādnēm, mācību iniciatīvu </w:t>
            </w:r>
            <w:r>
              <w:rPr>
                <w:noProof/>
              </w:rPr>
              <w:t>atlasi un koordinēšanu, un saistīt tās ar karjeras izaugsmi, kā paredzēts darbā pieņemšanas reformā. Sākotnējās un tālākizglītības sistēmas īstenošanai būtu jāļauj pārvarēt pašreizējo mācību ceļu sadrumstalotību, jo pašlaik trūkst vienotas valsts stratēģij</w:t>
            </w:r>
            <w:r>
              <w:rPr>
                <w:noProof/>
              </w:rPr>
              <w:t>as.</w:t>
            </w:r>
          </w:p>
        </w:tc>
      </w:tr>
      <w:tr w:rsidR="00327FF1" w14:paraId="708B2F74"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61A397" w14:textId="77777777" w:rsidR="00327FF1" w:rsidRDefault="00E406C7">
            <w:pPr>
              <w:pStyle w:val="P68B1DB1-Normal11"/>
              <w:jc w:val="center"/>
              <w:rPr>
                <w:noProof/>
                <w:szCs w:val="20"/>
              </w:rPr>
            </w:pPr>
            <w:r>
              <w:rPr>
                <w:noProof/>
              </w:rPr>
              <w:t>M4C1–7</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CDAF39" w14:textId="77777777" w:rsidR="00327FF1" w:rsidRDefault="00E406C7">
            <w:pPr>
              <w:pStyle w:val="P68B1DB1-Normal11"/>
              <w:jc w:val="center"/>
              <w:rPr>
                <w:noProof/>
                <w:szCs w:val="20"/>
              </w:rPr>
            </w:pPr>
            <w:r>
              <w:rPr>
                <w:noProof/>
              </w:rPr>
              <w:t>Investīcija Nr. 1.4: Ārkārtas intervence, kuras mērķis ir samazināt teritoriālās atšķirības vidusskolas I un II ciklā un novērst mācību priekšlaicīgu pārtraukšanu</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C7EF9B" w14:textId="77777777" w:rsidR="00327FF1" w:rsidRDefault="00E406C7">
            <w:pPr>
              <w:pStyle w:val="P68B1DB1-Normal11"/>
              <w:jc w:val="center"/>
              <w:rPr>
                <w:noProof/>
                <w:szCs w:val="20"/>
              </w:rPr>
            </w:pPr>
            <w:r>
              <w:rPr>
                <w:noProof/>
              </w:rPr>
              <w:t>Mērķa</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3FD53D" w14:textId="77777777" w:rsidR="00327FF1" w:rsidRDefault="00E406C7">
            <w:pPr>
              <w:pStyle w:val="P68B1DB1-Normal12"/>
              <w:jc w:val="center"/>
              <w:rPr>
                <w:noProof/>
              </w:rPr>
            </w:pPr>
            <w:r>
              <w:rPr>
                <w:noProof/>
              </w:rPr>
              <w:t xml:space="preserve">Studenti vai jaunieši, kas piedalījušies mentorēšanas pasākumos vai </w:t>
            </w:r>
            <w:r>
              <w:rPr>
                <w:noProof/>
              </w:rPr>
              <w:t>apmācības kursos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E46D62" w14:textId="77777777" w:rsidR="00327FF1" w:rsidRDefault="00E406C7">
            <w:pPr>
              <w:pStyle w:val="P68B1DB1-Normal12"/>
              <w:jc w:val="center"/>
              <w:rPr>
                <w:noProof/>
              </w:rPr>
            </w:pPr>
            <w:r>
              <w:rPr>
                <w:noProof/>
              </w:rPr>
              <w:t>NEPIEMĒRO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453BD8" w14:textId="77777777" w:rsidR="00327FF1" w:rsidRDefault="00E406C7">
            <w:pPr>
              <w:pStyle w:val="P68B1DB1-Normal11"/>
              <w:jc w:val="center"/>
              <w:rPr>
                <w:noProof/>
                <w:szCs w:val="20"/>
              </w:rPr>
            </w:pPr>
            <w:r>
              <w:rPr>
                <w:noProof/>
              </w:rPr>
              <w:t>Skaits</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158F08" w14:textId="77777777" w:rsidR="00327FF1" w:rsidRDefault="00E406C7">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1CFD45" w14:textId="12753859" w:rsidR="00327FF1" w:rsidRDefault="00E406C7">
            <w:pPr>
              <w:pStyle w:val="P68B1DB1-Normal11"/>
              <w:jc w:val="center"/>
              <w:rPr>
                <w:noProof/>
                <w:szCs w:val="20"/>
              </w:rPr>
            </w:pPr>
            <w:r>
              <w:rPr>
                <w:noProof/>
              </w:rPr>
              <w:t>820</w:t>
            </w:r>
            <w:r>
              <w:rPr>
                <w:noProof/>
                <w:szCs w:val="20"/>
              </w:rPr>
              <w:t xml:space="preserve"> </w:t>
            </w:r>
            <w:r>
              <w:rPr>
                <w:noProof/>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2D3853" w14:textId="77777777" w:rsidR="00327FF1" w:rsidRDefault="00E406C7">
            <w:pPr>
              <w:pStyle w:val="P68B1DB1-Normal11"/>
              <w:jc w:val="center"/>
              <w:rPr>
                <w:noProof/>
                <w:szCs w:val="20"/>
              </w:rPr>
            </w:pPr>
            <w:r>
              <w:rPr>
                <w:noProof/>
              </w:rPr>
              <w:t>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6B673" w14:textId="77777777" w:rsidR="00327FF1" w:rsidRDefault="00E406C7">
            <w:pPr>
              <w:pStyle w:val="P68B1DB1-Normal11"/>
              <w:jc w:val="center"/>
              <w:rPr>
                <w:noProof/>
                <w:szCs w:val="20"/>
              </w:rPr>
            </w:pPr>
            <w:r>
              <w:rPr>
                <w:noProof/>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221BA5" w14:textId="23D0776C" w:rsidR="00327FF1" w:rsidRDefault="00E406C7">
            <w:pPr>
              <w:rPr>
                <w:rFonts w:ascii="Arial Narrow" w:hAnsi="Arial Narrow"/>
                <w:noProof/>
                <w:color w:val="006100"/>
                <w:sz w:val="20"/>
                <w:szCs w:val="20"/>
              </w:rPr>
            </w:pPr>
            <w:r>
              <w:rPr>
                <w:noProof/>
              </w:rPr>
              <w:t xml:space="preserve">Izsniedz apmeklējuma </w:t>
            </w:r>
            <w:r>
              <w:rPr>
                <w:rFonts w:ascii="Arial Narrow" w:hAnsi="Arial Narrow"/>
                <w:noProof/>
                <w:color w:val="006100"/>
                <w:sz w:val="20"/>
                <w:szCs w:val="20"/>
              </w:rPr>
              <w:t xml:space="preserve">sertifikātus par mentorēšanas un apmācības pasākumiem, kas izsniegti vismaz 820000 atbalsta saņēmēju. </w:t>
            </w:r>
            <w:r>
              <w:rPr>
                <w:noProof/>
              </w:rPr>
              <w:br/>
            </w:r>
            <w:r>
              <w:rPr>
                <w:noProof/>
              </w:rPr>
              <w:br/>
            </w:r>
            <w:r>
              <w:rPr>
                <w:rFonts w:ascii="Arial Narrow" w:hAnsi="Arial Narrow"/>
                <w:noProof/>
                <w:color w:val="006100"/>
                <w:sz w:val="20"/>
                <w:szCs w:val="20"/>
              </w:rPr>
              <w:t>Atšķirība starp priekšlaicīgi pametušo vidējo izglītību ir samazināta, lai sa</w:t>
            </w:r>
            <w:r>
              <w:rPr>
                <w:rFonts w:ascii="Arial Narrow" w:hAnsi="Arial Narrow"/>
                <w:noProof/>
                <w:color w:val="006100"/>
                <w:sz w:val="20"/>
                <w:szCs w:val="20"/>
              </w:rPr>
              <w:t xml:space="preserve">sniegtu ES vidējo rādītāju 2019. gadā (10,2 %), kā to apliecina ISTAT. </w:t>
            </w:r>
          </w:p>
        </w:tc>
      </w:tr>
      <w:tr w:rsidR="00327FF1" w14:paraId="0A02F5FC"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A85CEB" w14:textId="77777777" w:rsidR="00327FF1" w:rsidRDefault="00E406C7">
            <w:pPr>
              <w:pStyle w:val="P68B1DB1-Normal11"/>
              <w:jc w:val="center"/>
              <w:rPr>
                <w:noProof/>
                <w:szCs w:val="20"/>
              </w:rPr>
            </w:pPr>
            <w:r>
              <w:rPr>
                <w:noProof/>
              </w:rPr>
              <w:t>M4C1–8</w:t>
            </w:r>
          </w:p>
          <w:p w14:paraId="24016CE1" w14:textId="77777777" w:rsidR="00327FF1" w:rsidRDefault="00327FF1">
            <w:pPr>
              <w:jc w:val="center"/>
              <w:rPr>
                <w:rFonts w:ascii="Arial Narrow" w:hAnsi="Arial Narrow"/>
                <w:noProof/>
                <w:color w:val="006100"/>
                <w:sz w:val="20"/>
                <w:szCs w:val="20"/>
              </w:rPr>
            </w:pP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BAAE7B" w14:textId="77777777" w:rsidR="00327FF1" w:rsidRDefault="00E406C7">
            <w:pPr>
              <w:pStyle w:val="P68B1DB1-Normal11"/>
              <w:jc w:val="center"/>
              <w:rPr>
                <w:noProof/>
                <w:szCs w:val="20"/>
              </w:rPr>
            </w:pPr>
            <w:r>
              <w:rPr>
                <w:noProof/>
              </w:rPr>
              <w:t>Investīcija Nr. 1.3. Skolu sporta infrastruktūras uzlabošanas plāns</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C48E1C"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8C9174" w14:textId="77777777" w:rsidR="00327FF1" w:rsidRDefault="00E406C7">
            <w:pPr>
              <w:pStyle w:val="P68B1DB1-Normal11"/>
              <w:jc w:val="center"/>
              <w:rPr>
                <w:noProof/>
                <w:szCs w:val="20"/>
              </w:rPr>
            </w:pPr>
            <w:r>
              <w:rPr>
                <w:noProof/>
              </w:rPr>
              <w:t xml:space="preserve">Līgumu slēgšanas tiesību piešķiršana intervences pasākumiem, lai būvētu un atjaunotu </w:t>
            </w:r>
            <w:r>
              <w:rPr>
                <w:noProof/>
              </w:rPr>
              <w:t>sporta objektus un sporta zāles izmantošanai skolā</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F8E64" w14:textId="77DD5CED" w:rsidR="00327FF1" w:rsidRDefault="00E406C7">
            <w:pPr>
              <w:pStyle w:val="P68B1DB1-Normal11"/>
              <w:jc w:val="center"/>
              <w:rPr>
                <w:b/>
                <w:noProof/>
                <w:szCs w:val="20"/>
              </w:rPr>
            </w:pPr>
            <w:r>
              <w:rPr>
                <w:noProof/>
              </w:rPr>
              <w:t>Paziņojums par publisko līgumu slēgšanas tiesību piešķiršanu atbalsttiesīgajām intervencēm</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1680D9"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59DBAD"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4D4355" w14:textId="777777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1CD24B" w14:textId="77777777" w:rsidR="00327FF1" w:rsidRDefault="00E406C7">
            <w:pPr>
              <w:pStyle w:val="P68B1DB1-Normal11"/>
              <w:jc w:val="center"/>
              <w:rPr>
                <w:noProof/>
                <w:szCs w:val="20"/>
              </w:rPr>
            </w:pPr>
            <w:r>
              <w:rPr>
                <w:noProof/>
              </w:rPr>
              <w:t>Q1</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BC6CDA" w14:textId="77777777" w:rsidR="00327FF1" w:rsidRDefault="00E406C7">
            <w:pPr>
              <w:pStyle w:val="P68B1DB1-Normal11"/>
              <w:jc w:val="center"/>
              <w:rPr>
                <w:noProof/>
                <w:szCs w:val="20"/>
              </w:rPr>
            </w:pPr>
            <w:r>
              <w:rPr>
                <w:noProof/>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A8A65C" w14:textId="77777777" w:rsidR="00327FF1" w:rsidRDefault="00E406C7">
            <w:pPr>
              <w:pStyle w:val="P68B1DB1-Normal11"/>
              <w:rPr>
                <w:noProof/>
                <w:szCs w:val="20"/>
              </w:rPr>
            </w:pPr>
            <w:r>
              <w:rPr>
                <w:noProof/>
              </w:rPr>
              <w:t>Līgumu slēgšanas tiesību piešķiršana par intervencēm, kuru mērķis ir būvēt u</w:t>
            </w:r>
            <w:r>
              <w:rPr>
                <w:noProof/>
              </w:rPr>
              <w:t>n renovēt sporta objektus un sporta zāles izmantošanai skolā, saskaņā ar publiskā iepirkuma procedūru.</w:t>
            </w:r>
          </w:p>
        </w:tc>
      </w:tr>
      <w:tr w:rsidR="00327FF1" w14:paraId="4DD039A8"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A380DE" w14:textId="77777777" w:rsidR="00327FF1" w:rsidRDefault="00E406C7">
            <w:pPr>
              <w:pStyle w:val="P68B1DB1-Normal11"/>
              <w:jc w:val="center"/>
              <w:rPr>
                <w:noProof/>
                <w:szCs w:val="20"/>
              </w:rPr>
            </w:pPr>
            <w:r>
              <w:rPr>
                <w:noProof/>
              </w:rPr>
              <w:t>M4C1–9</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938097" w14:textId="77777777" w:rsidR="00327FF1" w:rsidRDefault="00E406C7">
            <w:pPr>
              <w:pStyle w:val="P68B1DB1-Normal11"/>
              <w:jc w:val="center"/>
              <w:rPr>
                <w:noProof/>
                <w:szCs w:val="20"/>
              </w:rPr>
            </w:pPr>
            <w:r>
              <w:rPr>
                <w:noProof/>
              </w:rPr>
              <w:t>Investīcija 1.1: Bērnudārzu un pirmsskolas izglītības un aprūpes pakalpojumu plāns</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B906AF"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23BA5" w14:textId="77777777" w:rsidR="00327FF1" w:rsidRDefault="00E406C7">
            <w:pPr>
              <w:pStyle w:val="P68B1DB1-Normal12"/>
              <w:jc w:val="center"/>
              <w:rPr>
                <w:noProof/>
              </w:rPr>
            </w:pPr>
            <w:r>
              <w:rPr>
                <w:noProof/>
              </w:rPr>
              <w:t xml:space="preserve">Līgumu slēgšanas tiesību piešķiršana </w:t>
            </w:r>
            <w:r>
              <w:rPr>
                <w:noProof/>
              </w:rPr>
              <w:t>attiecībā uz būvniecību, renovāciju un drošības garantēšanu bērnudārzu un pirmsskolas izglītības un aprūpes pakalpojumu sniegšanai</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F6FB24" w14:textId="77777777" w:rsidR="00327FF1" w:rsidRDefault="00E406C7">
            <w:pPr>
              <w:pStyle w:val="P68B1DB1-Normal11"/>
              <w:jc w:val="center"/>
              <w:rPr>
                <w:noProof/>
                <w:szCs w:val="20"/>
              </w:rPr>
            </w:pPr>
            <w:r>
              <w:rPr>
                <w:noProof/>
              </w:rPr>
              <w:t>Vietējo iestāžu paziņojums par publiskā iepirkuma līgumu slēgšanas tiesību piešķiršanas finansējumu attiecībā uz pirmo atbals</w:t>
            </w:r>
            <w:r>
              <w:rPr>
                <w:noProof/>
              </w:rPr>
              <w:t>ttiesīgo intervenču kopumu</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0D5186"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FD330E"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9C94D3" w14:textId="777777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63C57" w14:textId="77777777" w:rsidR="00327FF1" w:rsidRDefault="00E406C7">
            <w:pPr>
              <w:pStyle w:val="P68B1DB1-Normal11"/>
              <w:jc w:val="center"/>
              <w:rPr>
                <w:noProof/>
                <w:szCs w:val="20"/>
              </w:rPr>
            </w:pPr>
            <w:r>
              <w:rPr>
                <w:noProof/>
              </w:rPr>
              <w:t>2.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5BFB5" w14:textId="77777777" w:rsidR="00327FF1" w:rsidRDefault="00E406C7">
            <w:pPr>
              <w:pStyle w:val="P68B1DB1-Normal11"/>
              <w:jc w:val="center"/>
              <w:rPr>
                <w:noProof/>
                <w:szCs w:val="20"/>
              </w:rPr>
            </w:pPr>
            <w:r>
              <w:rPr>
                <w:noProof/>
              </w:rPr>
              <w:t>2023</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D83E06" w14:textId="77777777" w:rsidR="00327FF1" w:rsidRDefault="00E406C7">
            <w:pPr>
              <w:pStyle w:val="P68B1DB1-Normal11"/>
              <w:rPr>
                <w:noProof/>
                <w:szCs w:val="20"/>
              </w:rPr>
            </w:pPr>
            <w:r>
              <w:rPr>
                <w:noProof/>
              </w:rPr>
              <w:t>Līgumu slēgšanas tiesību piešķiršana un teritoriālā sadale bērnudārzu, pirmsskolas izglītības un aprūpes pakalpojumu jomā. Piešķiršanu veic saskaņā ar Tehniskajiem norādījumiem par princ</w:t>
            </w:r>
            <w:r>
              <w:rPr>
                <w:noProof/>
              </w:rPr>
              <w:t>ipa “nenodarīt būtisku kaitējumu” piemērošanu (2021/C58/01), izmantojot izslēgšanas sarakstu un prasību par atbilstību attiecīgajiem ES un valsts tiesību aktiem vides jomā.</w:t>
            </w:r>
          </w:p>
        </w:tc>
      </w:tr>
      <w:tr w:rsidR="00327FF1" w14:paraId="541634D6"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0B4D4" w14:textId="77777777" w:rsidR="00327FF1" w:rsidRDefault="00E406C7">
            <w:pPr>
              <w:pStyle w:val="P68B1DB1-Normal11"/>
              <w:jc w:val="center"/>
              <w:rPr>
                <w:noProof/>
                <w:szCs w:val="20"/>
              </w:rPr>
            </w:pPr>
            <w:r>
              <w:rPr>
                <w:noProof/>
              </w:rPr>
              <w:t>M4C1–10</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65F7D6" w14:textId="77777777" w:rsidR="00327FF1" w:rsidRDefault="00E406C7">
            <w:pPr>
              <w:pStyle w:val="P68B1DB1-Normal11"/>
              <w:jc w:val="center"/>
              <w:rPr>
                <w:noProof/>
                <w:szCs w:val="20"/>
              </w:rPr>
            </w:pPr>
            <w:r>
              <w:rPr>
                <w:noProof/>
              </w:rPr>
              <w:t>Reforma Nr. 2.1. Skolotāju pieņemšana</w:t>
            </w:r>
            <w:r>
              <w:rPr>
                <w:noProof/>
              </w:rPr>
              <w:t xml:space="preserve"> darbā; Reforma Nr. 1.3. Skolu sistēmas reorganizācija; Reforma Nr. 1.2. Terciārās profesionālās izglītības sistēmas (ITS) reforma; Reforma Nr. 1.4. “Orientācijas” sistēmas reforma; Reforma Nr. 1.5: Universitātes grāda grupu reforma; Reforma Nr. 1.6. Augst</w:t>
            </w:r>
            <w:r>
              <w:rPr>
                <w:noProof/>
              </w:rPr>
              <w:t>skolu diplomu reformas veicināšana</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E1D03D"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FEABF8" w14:textId="77777777" w:rsidR="00327FF1" w:rsidRDefault="00E406C7">
            <w:pPr>
              <w:pStyle w:val="P68B1DB1-Normal11"/>
              <w:jc w:val="center"/>
              <w:rPr>
                <w:noProof/>
                <w:szCs w:val="20"/>
              </w:rPr>
            </w:pPr>
            <w:r>
              <w:rPr>
                <w:noProof/>
              </w:rPr>
              <w:t>Regulu stāšanās spēkā, lai vajadzības gadījumā efektīvi īstenotu un piemērotu visus pasākumus, kas attiecas uz pamatizglītības, vidējās izglītības un augstākās izglītības reformām</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1833F2" w14:textId="77777777" w:rsidR="00327FF1" w:rsidRDefault="00E406C7">
            <w:pPr>
              <w:pStyle w:val="P68B1DB1-Normal11"/>
              <w:jc w:val="center"/>
              <w:rPr>
                <w:noProof/>
                <w:color w:val="375623"/>
                <w:szCs w:val="20"/>
              </w:rPr>
            </w:pPr>
            <w:r>
              <w:rPr>
                <w:noProof/>
              </w:rPr>
              <w:t xml:space="preserve">Likuma noteikums, kas </w:t>
            </w:r>
            <w:r>
              <w:rPr>
                <w:noProof/>
              </w:rPr>
              <w:t>norāda uz regulu stāšanos spēkā.</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8D7F23"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5352B4"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98C04B" w14:textId="777777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15F5A8" w14:textId="77777777" w:rsidR="00327FF1" w:rsidRDefault="00E406C7">
            <w:pPr>
              <w:pStyle w:val="P68B1DB1-Normal11"/>
              <w:jc w:val="center"/>
              <w:rPr>
                <w:noProof/>
                <w:szCs w:val="20"/>
              </w:rPr>
            </w:pPr>
            <w:r>
              <w:rPr>
                <w:noProof/>
              </w:rPr>
              <w:t>4.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7E03E6" w14:textId="77777777" w:rsidR="00327FF1" w:rsidRDefault="00E406C7">
            <w:pPr>
              <w:pStyle w:val="P68B1DB1-Normal11"/>
              <w:jc w:val="center"/>
              <w:rPr>
                <w:noProof/>
                <w:szCs w:val="20"/>
              </w:rPr>
            </w:pPr>
            <w:r>
              <w:rPr>
                <w:noProof/>
              </w:rPr>
              <w:t>2023</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686E8A" w14:textId="77777777" w:rsidR="00327FF1" w:rsidRDefault="00E406C7">
            <w:pPr>
              <w:pStyle w:val="P68B1DB1-Normal11"/>
              <w:rPr>
                <w:noProof/>
                <w:szCs w:val="20"/>
              </w:rPr>
            </w:pPr>
            <w:r>
              <w:rPr>
                <w:noProof/>
              </w:rPr>
              <w:t>Sekundārajos tiesību aktos iekļauj visus noteikumus, kas vajadzīgi, lai efektīvi īstenotu un piemērotu visus pasākumus attiecībā uz pamatizglītības, vidējās izglītības un augstākās</w:t>
            </w:r>
            <w:r>
              <w:rPr>
                <w:noProof/>
              </w:rPr>
              <w:t xml:space="preserve"> izglītības reformām:</w:t>
            </w:r>
          </w:p>
          <w:p w14:paraId="306571C3" w14:textId="77777777" w:rsidR="00327FF1" w:rsidRDefault="00E406C7">
            <w:pPr>
              <w:pStyle w:val="P68B1DB1-Normal11"/>
              <w:rPr>
                <w:noProof/>
                <w:szCs w:val="20"/>
              </w:rPr>
            </w:pPr>
            <w:r>
              <w:rPr>
                <w:noProof/>
              </w:rPr>
              <w:t>Terciārās izglītības sistēmas reformas, lai uzlabotu izglītības rezultātus (primārie tiesību akti) šādās jomās: a) nodrošināt augstākās izglītības diplomus; akadēmiskā grāda grupas; doktorantūras programmu reforma;</w:t>
            </w:r>
          </w:p>
          <w:p w14:paraId="3ECA0036" w14:textId="77777777" w:rsidR="00327FF1" w:rsidRDefault="00E406C7">
            <w:pPr>
              <w:pStyle w:val="P68B1DB1-Normal11"/>
              <w:rPr>
                <w:noProof/>
                <w:szCs w:val="20"/>
              </w:rPr>
            </w:pPr>
            <w:r>
              <w:rPr>
                <w:noProof/>
              </w:rPr>
              <w:t>— Ministrijas dekrē</w:t>
            </w:r>
            <w:r>
              <w:rPr>
                <w:noProof/>
              </w:rPr>
              <w:t>ti par stipendiju reformu, lai uzlabotu piekļuvi augstākajai izglītībai;</w:t>
            </w:r>
          </w:p>
          <w:p w14:paraId="6676DE33" w14:textId="77777777" w:rsidR="00327FF1" w:rsidRDefault="00E406C7">
            <w:pPr>
              <w:pStyle w:val="P68B1DB1-Normal11"/>
              <w:rPr>
                <w:noProof/>
                <w:szCs w:val="20"/>
              </w:rPr>
            </w:pPr>
            <w:r>
              <w:rPr>
                <w:noProof/>
              </w:rPr>
              <w:t>Skolotāja profesijas reforma;</w:t>
            </w:r>
          </w:p>
          <w:p w14:paraId="62183651" w14:textId="77777777" w:rsidR="00327FF1" w:rsidRDefault="00E406C7">
            <w:pPr>
              <w:pStyle w:val="P68B1DB1-Normal11"/>
              <w:rPr>
                <w:noProof/>
              </w:rPr>
            </w:pPr>
            <w:r>
              <w:rPr>
                <w:noProof/>
              </w:rPr>
              <w:t>— Pamatizglītības un vidējās izglītības sistēmas reformas, lai uzlabotu izglītības rezultātus;</w:t>
            </w:r>
          </w:p>
          <w:p w14:paraId="79372869" w14:textId="4BF71CC9" w:rsidR="00327FF1" w:rsidRDefault="00E406C7">
            <w:pPr>
              <w:pStyle w:val="P68B1DB1-Normal11"/>
              <w:rPr>
                <w:noProof/>
                <w:szCs w:val="20"/>
              </w:rPr>
            </w:pPr>
            <w:r>
              <w:rPr>
                <w:noProof/>
              </w:rPr>
              <w:t>— Tiesiskā regulējuma mērķis bija izveidot kvalitatīvu māc</w:t>
            </w:r>
            <w:r>
              <w:rPr>
                <w:noProof/>
              </w:rPr>
              <w:t xml:space="preserve">ību sistēmu skolā. </w:t>
            </w:r>
          </w:p>
        </w:tc>
      </w:tr>
      <w:tr w:rsidR="00327FF1" w14:paraId="7E9A173E"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F5D6C6" w14:textId="77777777" w:rsidR="00327FF1" w:rsidRDefault="00E406C7">
            <w:pPr>
              <w:pStyle w:val="P68B1DB1-Normal11"/>
              <w:jc w:val="center"/>
              <w:rPr>
                <w:noProof/>
                <w:szCs w:val="20"/>
              </w:rPr>
            </w:pPr>
            <w:r>
              <w:rPr>
                <w:noProof/>
              </w:rPr>
              <w:t>M4C1–10 bis</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3D4C62" w14:textId="77777777" w:rsidR="00327FF1" w:rsidRDefault="00E406C7">
            <w:pPr>
              <w:pStyle w:val="P68B1DB1-Normal11"/>
              <w:jc w:val="center"/>
              <w:rPr>
                <w:noProof/>
                <w:szCs w:val="20"/>
              </w:rPr>
            </w:pPr>
            <w:r>
              <w:rPr>
                <w:noProof/>
              </w:rPr>
              <w:t>Reforma Nr. 1.1: Tehnisko un profesionālo institūtu reforma</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A83F84"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984B7" w14:textId="77777777" w:rsidR="00327FF1" w:rsidRDefault="00E406C7">
            <w:pPr>
              <w:pStyle w:val="P68B1DB1-Normal11"/>
              <w:jc w:val="center"/>
              <w:rPr>
                <w:noProof/>
                <w:szCs w:val="20"/>
              </w:rPr>
            </w:pPr>
            <w:r>
              <w:rPr>
                <w:noProof/>
              </w:rPr>
              <w:t>Sekundāro tiesību aktu stāšanās spēkā.</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85518B" w14:textId="77777777" w:rsidR="00327FF1" w:rsidRDefault="00E406C7">
            <w:pPr>
              <w:pStyle w:val="P68B1DB1-Normal11"/>
              <w:jc w:val="center"/>
              <w:rPr>
                <w:noProof/>
                <w:szCs w:val="20"/>
              </w:rPr>
            </w:pPr>
            <w:r>
              <w:rPr>
                <w:noProof/>
              </w:rPr>
              <w:t>Likuma noteikums, kas norāda uz sekundāro tiesību aktu stāšanos spēkā.</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964571"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F2FB4E"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FD7D1" w14:textId="777777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277020" w14:textId="77777777" w:rsidR="00327FF1" w:rsidRDefault="00E406C7">
            <w:pPr>
              <w:pStyle w:val="P68B1DB1-Normal11"/>
              <w:jc w:val="center"/>
              <w:rPr>
                <w:noProof/>
                <w:szCs w:val="20"/>
              </w:rPr>
            </w:pPr>
            <w:r>
              <w:rPr>
                <w:noProof/>
              </w:rPr>
              <w:t xml:space="preserve">4. CET. </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055790" w14:textId="77777777" w:rsidR="00327FF1" w:rsidRDefault="00E406C7">
            <w:pPr>
              <w:pStyle w:val="P68B1DB1-Normal11"/>
              <w:jc w:val="center"/>
              <w:rPr>
                <w:noProof/>
                <w:szCs w:val="20"/>
              </w:rPr>
            </w:pPr>
            <w:r>
              <w:rPr>
                <w:noProof/>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D0448" w14:textId="77777777" w:rsidR="00327FF1" w:rsidRDefault="00E406C7">
            <w:pPr>
              <w:pStyle w:val="P68B1DB1-Normal11"/>
              <w:rPr>
                <w:noProof/>
                <w:szCs w:val="20"/>
              </w:rPr>
            </w:pPr>
            <w:r>
              <w:rPr>
                <w:noProof/>
              </w:rPr>
              <w:t>Stājās spēkā sekundārie tiesību akti par tehnisko un profesionālo institūtu reformu.</w:t>
            </w:r>
          </w:p>
        </w:tc>
      </w:tr>
      <w:tr w:rsidR="00327FF1" w14:paraId="635A3DF3"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7AA499" w14:textId="77777777" w:rsidR="00327FF1" w:rsidRDefault="00E406C7">
            <w:pPr>
              <w:pStyle w:val="P68B1DB1-Normal11"/>
              <w:jc w:val="center"/>
              <w:rPr>
                <w:noProof/>
                <w:szCs w:val="20"/>
              </w:rPr>
            </w:pPr>
            <w:r>
              <w:rPr>
                <w:noProof/>
              </w:rPr>
              <w:t>M4C1–11</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09842F" w14:textId="77777777" w:rsidR="00327FF1" w:rsidRDefault="00E406C7">
            <w:pPr>
              <w:pStyle w:val="P68B1DB1-Normal11"/>
              <w:jc w:val="center"/>
              <w:rPr>
                <w:noProof/>
                <w:szCs w:val="20"/>
              </w:rPr>
            </w:pPr>
            <w:r>
              <w:rPr>
                <w:noProof/>
              </w:rPr>
              <w:t>Investīcija Nr. 1.7: Stipendijas piekļuvei universitātēm</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20C9A1" w14:textId="77777777" w:rsidR="00327FF1" w:rsidRDefault="00E406C7">
            <w:pPr>
              <w:pStyle w:val="P68B1DB1-Normal11"/>
              <w:jc w:val="center"/>
              <w:rPr>
                <w:noProof/>
                <w:szCs w:val="20"/>
              </w:rPr>
            </w:pPr>
            <w:r>
              <w:rPr>
                <w:noProof/>
              </w:rPr>
              <w:t>Mērķa</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E3F510" w14:textId="77777777" w:rsidR="00327FF1" w:rsidRDefault="00E406C7">
            <w:pPr>
              <w:pStyle w:val="P68B1DB1-Normal11"/>
              <w:jc w:val="center"/>
              <w:rPr>
                <w:noProof/>
                <w:szCs w:val="20"/>
              </w:rPr>
            </w:pPr>
            <w:r>
              <w:rPr>
                <w:noProof/>
              </w:rPr>
              <w:t>Piešķirta universitātes stipendija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3D3CE7" w14:textId="77777777" w:rsidR="00327FF1" w:rsidRDefault="00E406C7">
            <w:pPr>
              <w:pStyle w:val="P68B1DB1-Normal11"/>
              <w:jc w:val="center"/>
              <w:rPr>
                <w:noProof/>
                <w:szCs w:val="20"/>
              </w:rPr>
            </w:pPr>
            <w:r>
              <w:rPr>
                <w:noProof/>
              </w:rPr>
              <w:t>NEPIEMĒRO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565ECF" w14:textId="77777777" w:rsidR="00327FF1" w:rsidRDefault="00E406C7">
            <w:pPr>
              <w:pStyle w:val="P68B1DB1-Normal11"/>
              <w:jc w:val="center"/>
              <w:rPr>
                <w:noProof/>
                <w:szCs w:val="20"/>
              </w:rPr>
            </w:pPr>
            <w:r>
              <w:rPr>
                <w:noProof/>
              </w:rPr>
              <w:t>Skaits</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7FEC76" w14:textId="77777777" w:rsidR="00327FF1" w:rsidRDefault="00E406C7">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9F4CBA"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55</w:t>
            </w:r>
            <w:r>
              <w:rPr>
                <w:rFonts w:hint="eastAsia"/>
                <w:noProof/>
                <w:sz w:val="23"/>
                <w:szCs w:val="23"/>
              </w:rPr>
              <w:t xml:space="preserve"> </w:t>
            </w:r>
            <w:r>
              <w:rPr>
                <w:rFonts w:ascii="Arial Narrow" w:hAnsi="Arial Narrow"/>
                <w:noProof/>
                <w:color w:val="006100"/>
                <w:sz w:val="20"/>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4F3796" w14:textId="77777777" w:rsidR="00327FF1" w:rsidRDefault="00E406C7">
            <w:pPr>
              <w:pStyle w:val="P68B1DB1-Normal11"/>
              <w:jc w:val="center"/>
              <w:rPr>
                <w:noProof/>
                <w:szCs w:val="20"/>
              </w:rPr>
            </w:pPr>
            <w:r>
              <w:rPr>
                <w:noProof/>
              </w:rPr>
              <w:t>4.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146249" w14:textId="77777777" w:rsidR="00327FF1" w:rsidRDefault="00E406C7">
            <w:pPr>
              <w:pStyle w:val="P68B1DB1-Normal11"/>
              <w:jc w:val="center"/>
              <w:rPr>
                <w:noProof/>
                <w:szCs w:val="20"/>
              </w:rPr>
            </w:pPr>
            <w:r>
              <w:rPr>
                <w:noProof/>
              </w:rPr>
              <w:t>2023</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0B80D4" w14:textId="77777777" w:rsidR="00327FF1" w:rsidRDefault="00E406C7">
            <w:pPr>
              <w:rPr>
                <w:rStyle w:val="normaltextrun"/>
                <w:rFonts w:ascii="Arial Narrow" w:eastAsiaTheme="majorEastAsia" w:hAnsi="Arial Narrow"/>
                <w:noProof/>
                <w:sz w:val="20"/>
                <w:szCs w:val="20"/>
              </w:rPr>
            </w:pPr>
            <w:r>
              <w:rPr>
                <w:rFonts w:ascii="Arial Narrow" w:hAnsi="Arial Narrow"/>
                <w:noProof/>
                <w:color w:val="006100"/>
                <w:sz w:val="20"/>
                <w:szCs w:val="20"/>
              </w:rPr>
              <w:t xml:space="preserve">Vismaz </w:t>
            </w:r>
            <w:r>
              <w:rPr>
                <w:rFonts w:ascii="Arial Narrow" w:hAnsi="Arial Narrow"/>
                <w:noProof/>
                <w:color w:val="006100"/>
                <w:sz w:val="20"/>
                <w:szCs w:val="20"/>
              </w:rPr>
              <w:t>55000</w:t>
            </w:r>
            <w:r>
              <w:rPr>
                <w:rFonts w:hint="eastAsia"/>
                <w:noProof/>
                <w:sz w:val="23"/>
                <w:szCs w:val="23"/>
              </w:rPr>
              <w:t xml:space="preserve"> </w:t>
            </w:r>
            <w:r>
              <w:rPr>
                <w:rFonts w:ascii="Arial Narrow" w:hAnsi="Arial Narrow"/>
                <w:noProof/>
                <w:color w:val="006100"/>
                <w:sz w:val="20"/>
                <w:szCs w:val="20"/>
              </w:rPr>
              <w:t>studentu saņem stipendijas, ko finansē tikai no ANM līdzekļiem.</w:t>
            </w:r>
          </w:p>
        </w:tc>
      </w:tr>
      <w:tr w:rsidR="00327FF1" w14:paraId="3353E91C"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077390" w14:textId="77777777" w:rsidR="00327FF1" w:rsidRDefault="00E406C7">
            <w:pPr>
              <w:pStyle w:val="P68B1DB1-Normal12"/>
              <w:jc w:val="center"/>
              <w:rPr>
                <w:noProof/>
              </w:rPr>
            </w:pPr>
            <w:r>
              <w:rPr>
                <w:noProof/>
              </w:rPr>
              <w:t>M4C1–12</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E91E72" w14:textId="77777777" w:rsidR="00327FF1" w:rsidRDefault="00E406C7">
            <w:pPr>
              <w:pStyle w:val="P68B1DB1-Normal11"/>
              <w:jc w:val="center"/>
              <w:rPr>
                <w:noProof/>
                <w:szCs w:val="20"/>
              </w:rPr>
            </w:pPr>
            <w:r>
              <w:rPr>
                <w:noProof/>
              </w:rPr>
              <w:t>Investīcija 4.1: Doktorantūras (uz pētniecību orientēta, valsts pārvalde un kultūras mantojums) skaita un karjeras iespēju paplašināšana</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41F207" w14:textId="77777777" w:rsidR="00327FF1" w:rsidRDefault="00E406C7">
            <w:pPr>
              <w:pStyle w:val="P68B1DB1-Normal11"/>
              <w:jc w:val="center"/>
              <w:rPr>
                <w:noProof/>
                <w:szCs w:val="20"/>
              </w:rPr>
            </w:pPr>
            <w:r>
              <w:rPr>
                <w:noProof/>
              </w:rPr>
              <w:t>Mērķa</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EBEB4" w14:textId="77777777" w:rsidR="00327FF1" w:rsidRDefault="00E406C7">
            <w:pPr>
              <w:pStyle w:val="P68B1DB1-Normal12"/>
              <w:jc w:val="center"/>
              <w:rPr>
                <w:noProof/>
              </w:rPr>
            </w:pPr>
            <w:r>
              <w:rPr>
                <w:noProof/>
              </w:rPr>
              <w:t xml:space="preserve">Piešķirtās doktorantūras stipendiju programmas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16AFCB" w14:textId="77777777" w:rsidR="00327FF1" w:rsidRDefault="00E406C7">
            <w:pPr>
              <w:pStyle w:val="P68B1DB1-Normal11"/>
              <w:jc w:val="center"/>
              <w:rPr>
                <w:noProof/>
                <w:szCs w:val="20"/>
              </w:rPr>
            </w:pPr>
            <w:r>
              <w:rPr>
                <w:noProof/>
              </w:rPr>
              <w:t>NEPIEMĒRO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62E5A0" w14:textId="77777777" w:rsidR="00327FF1" w:rsidRDefault="00E406C7">
            <w:pPr>
              <w:pStyle w:val="P68B1DB1-Normal11"/>
              <w:jc w:val="center"/>
              <w:rPr>
                <w:noProof/>
                <w:szCs w:val="20"/>
              </w:rPr>
            </w:pPr>
            <w:r>
              <w:rPr>
                <w:noProof/>
              </w:rPr>
              <w:t>Skaits</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0FEDBE" w14:textId="77777777" w:rsidR="00327FF1" w:rsidRDefault="00E406C7">
            <w:pPr>
              <w:pStyle w:val="P68B1DB1-Normal11"/>
              <w:jc w:val="center"/>
              <w:rPr>
                <w:rFonts w:eastAsia="Arial Narrow" w:cs="Arial Narrow"/>
                <w:noProof/>
                <w:szCs w:val="20"/>
              </w:rPr>
            </w:pPr>
            <w:r>
              <w:rPr>
                <w:noProof/>
              </w:rPr>
              <w:t xml:space="preserve"> 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20317E" w14:textId="77777777" w:rsidR="00327FF1" w:rsidRDefault="00E406C7">
            <w:pPr>
              <w:pStyle w:val="P68B1DB1-Normal11"/>
              <w:jc w:val="center"/>
              <w:rPr>
                <w:noProof/>
                <w:szCs w:val="20"/>
              </w:rPr>
            </w:pPr>
            <w:r>
              <w:rPr>
                <w:noProof/>
              </w:rPr>
              <w:t>7 200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1793B4" w14:textId="77777777" w:rsidR="00327FF1" w:rsidRDefault="00E406C7">
            <w:pPr>
              <w:pStyle w:val="P68B1DB1-Normal11"/>
              <w:jc w:val="center"/>
              <w:rPr>
                <w:noProof/>
                <w:szCs w:val="20"/>
              </w:rPr>
            </w:pPr>
            <w:r>
              <w:rPr>
                <w:noProof/>
              </w:rPr>
              <w:t>4.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8A4493" w14:textId="77777777" w:rsidR="00327FF1" w:rsidRDefault="00E406C7">
            <w:pPr>
              <w:pStyle w:val="P68B1DB1-Normal11"/>
              <w:jc w:val="center"/>
              <w:rPr>
                <w:noProof/>
                <w:szCs w:val="20"/>
              </w:rPr>
            </w:pPr>
            <w:r>
              <w:rPr>
                <w:noProof/>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756943" w14:textId="34F03082" w:rsidR="00327FF1" w:rsidRDefault="00E406C7">
            <w:pPr>
              <w:pStyle w:val="P68B1DB1-Normal11"/>
              <w:rPr>
                <w:noProof/>
                <w:szCs w:val="20"/>
              </w:rPr>
            </w:pPr>
            <w:r>
              <w:rPr>
                <w:noProof/>
                <w:szCs w:val="20"/>
              </w:rPr>
              <w:t>Trīs gadu laikā tiek piešķirtas vismaz 3600 vispārējās doktorantūras stipendijas, vismaz 3000 doktorantūras stipendijas valsts pārvaldes jomā un vismaz 600 doktorantūras</w:t>
            </w:r>
            <w:r>
              <w:rPr>
                <w:noProof/>
                <w:szCs w:val="20"/>
              </w:rPr>
              <w:t xml:space="preserve"> stipendijas kultūras mantojuma jomā.</w:t>
            </w:r>
          </w:p>
        </w:tc>
      </w:tr>
      <w:tr w:rsidR="00327FF1" w14:paraId="7263BE99"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22B2BD" w14:textId="77777777" w:rsidR="00327FF1" w:rsidRDefault="00E406C7">
            <w:pPr>
              <w:pStyle w:val="P68B1DB1-Normal11"/>
              <w:jc w:val="center"/>
              <w:rPr>
                <w:noProof/>
                <w:szCs w:val="20"/>
              </w:rPr>
            </w:pPr>
            <w:r>
              <w:rPr>
                <w:noProof/>
              </w:rPr>
              <w:t>M4C1–13</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2FBA4B" w14:textId="77777777" w:rsidR="00327FF1" w:rsidRDefault="00E406C7">
            <w:pPr>
              <w:pStyle w:val="P68B1DB1-Normal12"/>
              <w:jc w:val="center"/>
              <w:rPr>
                <w:noProof/>
              </w:rPr>
            </w:pPr>
            <w:r>
              <w:rPr>
                <w:noProof/>
              </w:rPr>
              <w:t>Investīcija 2.1: Integrēta digitālā mācīšana un apmācība digitālās pārveides jomā skolu darbiniekiem</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0A7EDD" w14:textId="77777777" w:rsidR="00327FF1" w:rsidRDefault="00E406C7">
            <w:pPr>
              <w:pStyle w:val="P68B1DB1-Normal11"/>
              <w:jc w:val="center"/>
              <w:rPr>
                <w:noProof/>
                <w:szCs w:val="20"/>
              </w:rPr>
            </w:pPr>
            <w:r>
              <w:rPr>
                <w:noProof/>
              </w:rPr>
              <w:t>Mērķa</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B1BB89" w14:textId="77777777" w:rsidR="00327FF1" w:rsidRDefault="00E406C7">
            <w:pPr>
              <w:pStyle w:val="P68B1DB1-Normal11"/>
              <w:jc w:val="center"/>
              <w:rPr>
                <w:noProof/>
                <w:szCs w:val="20"/>
              </w:rPr>
            </w:pPr>
            <w:r>
              <w:rPr>
                <w:noProof/>
              </w:rPr>
              <w:t>Skolu vadītāju, skolotāju un administratīvā personāla apmācība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7477C2" w14:textId="77777777" w:rsidR="00327FF1" w:rsidRDefault="00E406C7">
            <w:pPr>
              <w:pStyle w:val="P68B1DB1-Normal11"/>
              <w:jc w:val="center"/>
              <w:rPr>
                <w:noProof/>
                <w:szCs w:val="20"/>
              </w:rPr>
            </w:pPr>
            <w:r>
              <w:rPr>
                <w:noProof/>
              </w:rPr>
              <w:t>NEPIEMĒRO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232ED0" w14:textId="77777777" w:rsidR="00327FF1" w:rsidRDefault="00E406C7">
            <w:pPr>
              <w:pStyle w:val="P68B1DB1-Normal11"/>
              <w:jc w:val="center"/>
              <w:rPr>
                <w:noProof/>
                <w:szCs w:val="20"/>
              </w:rPr>
            </w:pPr>
            <w:r>
              <w:rPr>
                <w:noProof/>
              </w:rPr>
              <w:t>Skaits</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C7932A" w14:textId="77777777" w:rsidR="00327FF1" w:rsidRDefault="00E406C7">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65958A"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650</w:t>
            </w:r>
            <w:r>
              <w:rPr>
                <w:rFonts w:hint="eastAsia"/>
                <w:noProof/>
                <w:sz w:val="23"/>
                <w:szCs w:val="23"/>
              </w:rPr>
              <w:t xml:space="preserve"> </w:t>
            </w:r>
            <w:r>
              <w:rPr>
                <w:rFonts w:ascii="Arial Narrow" w:hAnsi="Arial Narrow"/>
                <w:noProof/>
                <w:color w:val="006100"/>
                <w:sz w:val="20"/>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269C76" w14:textId="77777777" w:rsidR="00327FF1" w:rsidRDefault="00E406C7">
            <w:pPr>
              <w:pStyle w:val="P68B1DB1-Normal11"/>
              <w:jc w:val="center"/>
              <w:rPr>
                <w:noProof/>
                <w:szCs w:val="20"/>
              </w:rPr>
            </w:pPr>
            <w:r>
              <w:rPr>
                <w:noProof/>
              </w:rPr>
              <w:t>4.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4D1FBB" w14:textId="77777777" w:rsidR="00327FF1" w:rsidRDefault="00E406C7">
            <w:pPr>
              <w:pStyle w:val="P68B1DB1-Normal11"/>
              <w:jc w:val="center"/>
              <w:rPr>
                <w:noProof/>
                <w:szCs w:val="20"/>
              </w:rPr>
            </w:pPr>
            <w:r>
              <w:rPr>
                <w:noProof/>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C6F9A3" w14:textId="77777777" w:rsidR="00327FF1" w:rsidRDefault="00E406C7">
            <w:pPr>
              <w:rPr>
                <w:rFonts w:ascii="Arial Narrow" w:hAnsi="Arial Narrow"/>
                <w:noProof/>
                <w:color w:val="006100"/>
                <w:sz w:val="20"/>
                <w:szCs w:val="20"/>
              </w:rPr>
            </w:pPr>
            <w:r>
              <w:rPr>
                <w:rFonts w:hint="eastAsia"/>
                <w:noProof/>
                <w:sz w:val="23"/>
                <w:szCs w:val="23"/>
              </w:rPr>
              <w:t xml:space="preserve">Izsniedz </w:t>
            </w:r>
            <w:r>
              <w:rPr>
                <w:rFonts w:ascii="Arial Narrow" w:hAnsi="Arial Narrow"/>
                <w:noProof/>
                <w:color w:val="006100"/>
                <w:sz w:val="20"/>
                <w:szCs w:val="20"/>
              </w:rPr>
              <w:t>digitālās mācīšanas un digitālās pārveides apmeklējuma sertifikātus, kas izsniegti vismaz 650000 skolu vadītāju, skolotāju un administratīvā personāla.</w:t>
            </w:r>
          </w:p>
        </w:tc>
      </w:tr>
      <w:tr w:rsidR="00327FF1" w14:paraId="3AD63692"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93F25C" w14:textId="77777777" w:rsidR="00327FF1" w:rsidRDefault="00E406C7">
            <w:pPr>
              <w:pStyle w:val="P68B1DB1-Normal11"/>
              <w:jc w:val="center"/>
              <w:rPr>
                <w:noProof/>
                <w:szCs w:val="20"/>
              </w:rPr>
            </w:pPr>
            <w:r>
              <w:rPr>
                <w:noProof/>
              </w:rPr>
              <w:t>M4C1–14</w:t>
            </w:r>
          </w:p>
          <w:p w14:paraId="01C59A27" w14:textId="77777777" w:rsidR="00327FF1" w:rsidRDefault="00327FF1">
            <w:pPr>
              <w:jc w:val="center"/>
              <w:rPr>
                <w:rFonts w:ascii="Arial Narrow" w:hAnsi="Arial Narrow"/>
                <w:noProof/>
                <w:color w:val="006100"/>
                <w:sz w:val="20"/>
                <w:szCs w:val="20"/>
              </w:rPr>
            </w:pP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B77ED8" w14:textId="77777777" w:rsidR="00327FF1" w:rsidRDefault="00E406C7">
            <w:pPr>
              <w:pStyle w:val="P68B1DB1-Normal11"/>
              <w:jc w:val="center"/>
              <w:rPr>
                <w:noProof/>
                <w:szCs w:val="20"/>
              </w:rPr>
            </w:pPr>
            <w:r>
              <w:rPr>
                <w:noProof/>
              </w:rPr>
              <w:t>Reforma Nr. 2.1. Skolotāju pieņemšana darbā</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89F28B" w14:textId="77777777" w:rsidR="00327FF1" w:rsidRDefault="00E406C7">
            <w:pPr>
              <w:pStyle w:val="P68B1DB1-Normal11"/>
              <w:jc w:val="center"/>
              <w:rPr>
                <w:noProof/>
                <w:szCs w:val="20"/>
              </w:rPr>
            </w:pPr>
            <w:r>
              <w:rPr>
                <w:noProof/>
              </w:rPr>
              <w:t>Mērķa</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2AB9AD" w14:textId="77777777" w:rsidR="00327FF1" w:rsidRDefault="00E406C7">
            <w:pPr>
              <w:pStyle w:val="P68B1DB1-Normal11"/>
              <w:jc w:val="center"/>
              <w:rPr>
                <w:noProof/>
                <w:szCs w:val="20"/>
              </w:rPr>
            </w:pPr>
            <w:r>
              <w:rPr>
                <w:noProof/>
              </w:rPr>
              <w:t xml:space="preserve">Skolotāji, kas pieņemti darbā ar </w:t>
            </w:r>
            <w:r>
              <w:rPr>
                <w:noProof/>
              </w:rPr>
              <w:t>reformēto darbā pieņemšanas sistēmu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22135E" w14:textId="77777777" w:rsidR="00327FF1" w:rsidRDefault="00E406C7">
            <w:pPr>
              <w:pStyle w:val="P68B1DB1-Normal11"/>
              <w:jc w:val="center"/>
              <w:rPr>
                <w:noProof/>
                <w:szCs w:val="20"/>
              </w:rPr>
            </w:pPr>
            <w:r>
              <w:rPr>
                <w:noProof/>
              </w:rPr>
              <w:t>NEPIEMĒRO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DB7D2" w14:textId="77777777" w:rsidR="00327FF1" w:rsidRDefault="00E406C7">
            <w:pPr>
              <w:pStyle w:val="P68B1DB1-Normal11"/>
              <w:jc w:val="center"/>
              <w:rPr>
                <w:noProof/>
                <w:szCs w:val="20"/>
              </w:rPr>
            </w:pPr>
            <w:r>
              <w:rPr>
                <w:noProof/>
              </w:rPr>
              <w:t>Skaits</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91AF62" w14:textId="77777777" w:rsidR="00327FF1" w:rsidRDefault="00E406C7">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021001"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20</w:t>
            </w:r>
            <w:r>
              <w:rPr>
                <w:rFonts w:hint="eastAsia"/>
                <w:noProof/>
                <w:sz w:val="23"/>
                <w:szCs w:val="23"/>
              </w:rPr>
              <w:t xml:space="preserve"> </w:t>
            </w:r>
            <w:r>
              <w:rPr>
                <w:rFonts w:ascii="Arial Narrow" w:hAnsi="Arial Narrow"/>
                <w:noProof/>
                <w:color w:val="006100"/>
                <w:sz w:val="20"/>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2CC230" w14:textId="77777777" w:rsidR="00327FF1" w:rsidRDefault="00E406C7">
            <w:pPr>
              <w:pStyle w:val="P68B1DB1-Normal11"/>
              <w:jc w:val="center"/>
              <w:rPr>
                <w:noProof/>
                <w:szCs w:val="20"/>
              </w:rPr>
            </w:pPr>
            <w:r>
              <w:rPr>
                <w:noProof/>
              </w:rPr>
              <w:t>4.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22A4C0" w14:textId="77777777" w:rsidR="00327FF1" w:rsidRDefault="00E406C7">
            <w:pPr>
              <w:pStyle w:val="P68B1DB1-Normal11"/>
              <w:jc w:val="center"/>
              <w:rPr>
                <w:noProof/>
                <w:szCs w:val="20"/>
              </w:rPr>
            </w:pPr>
            <w:r>
              <w:rPr>
                <w:noProof/>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17103A" w14:textId="77777777" w:rsidR="00327FF1" w:rsidRDefault="00E406C7">
            <w:pPr>
              <w:rPr>
                <w:rFonts w:ascii="Arial Narrow" w:hAnsi="Arial Narrow"/>
                <w:noProof/>
                <w:color w:val="006100"/>
                <w:sz w:val="20"/>
                <w:szCs w:val="20"/>
              </w:rPr>
            </w:pPr>
            <w:r>
              <w:rPr>
                <w:rFonts w:ascii="Arial Narrow" w:hAnsi="Arial Narrow"/>
                <w:noProof/>
                <w:color w:val="006100"/>
                <w:sz w:val="20"/>
              </w:rPr>
              <w:t>Vismaz</w:t>
            </w:r>
            <w:r>
              <w:rPr>
                <w:rFonts w:hint="eastAsia"/>
                <w:noProof/>
                <w:sz w:val="23"/>
                <w:szCs w:val="23"/>
              </w:rPr>
              <w:t xml:space="preserve"> </w:t>
            </w:r>
            <w:r>
              <w:rPr>
                <w:rFonts w:ascii="Arial Narrow" w:hAnsi="Arial Narrow"/>
                <w:noProof/>
                <w:color w:val="006100"/>
                <w:sz w:val="20"/>
              </w:rPr>
              <w:t>20000 skolotāju pieņemti darbā ar reformēto darbā pieņemšanas sistēmu</w:t>
            </w:r>
          </w:p>
        </w:tc>
      </w:tr>
      <w:tr w:rsidR="00327FF1" w14:paraId="5335C1E4"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F84D0A" w14:textId="77777777" w:rsidR="00327FF1" w:rsidRDefault="00E406C7">
            <w:pPr>
              <w:pStyle w:val="P68B1DB1-Normal12"/>
              <w:jc w:val="center"/>
              <w:rPr>
                <w:noProof/>
              </w:rPr>
            </w:pPr>
            <w:r>
              <w:rPr>
                <w:noProof/>
              </w:rPr>
              <w:t>M4C1–14 bis</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055D8" w14:textId="7D81C895" w:rsidR="00327FF1" w:rsidRDefault="00E406C7">
            <w:pPr>
              <w:pStyle w:val="P68B1DB1-Normal11"/>
              <w:jc w:val="center"/>
              <w:rPr>
                <w:noProof/>
                <w:szCs w:val="20"/>
              </w:rPr>
            </w:pPr>
            <w:r>
              <w:rPr>
                <w:noProof/>
              </w:rPr>
              <w:t xml:space="preserve">Reforma Nr. 2.1. Skolotāju pieņemšana darbā </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DA17D0" w14:textId="77777777" w:rsidR="00327FF1" w:rsidRDefault="00E406C7">
            <w:pPr>
              <w:pStyle w:val="P68B1DB1-Normal11"/>
              <w:jc w:val="center"/>
              <w:rPr>
                <w:noProof/>
                <w:szCs w:val="20"/>
              </w:rPr>
            </w:pPr>
            <w:r>
              <w:rPr>
                <w:noProof/>
              </w:rPr>
              <w:t xml:space="preserve">Mērķa </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D03FF6" w14:textId="77777777" w:rsidR="00327FF1" w:rsidRDefault="00E406C7">
            <w:pPr>
              <w:pStyle w:val="P68B1DB1-Normal11"/>
              <w:jc w:val="center"/>
              <w:rPr>
                <w:noProof/>
                <w:szCs w:val="20"/>
              </w:rPr>
            </w:pPr>
            <w:r>
              <w:rPr>
                <w:noProof/>
              </w:rPr>
              <w:t xml:space="preserve">Skolotāji, kas pieņemti darbā ar </w:t>
            </w:r>
            <w:r>
              <w:rPr>
                <w:noProof/>
              </w:rPr>
              <w:t>reformēto darbā pieņemšanas sistēmu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27917" w14:textId="77777777" w:rsidR="00327FF1" w:rsidRDefault="00E406C7">
            <w:pPr>
              <w:pStyle w:val="P68B1DB1-Normal11"/>
              <w:jc w:val="center"/>
              <w:rPr>
                <w:noProof/>
                <w:szCs w:val="20"/>
              </w:rPr>
            </w:pPr>
            <w:r>
              <w:rPr>
                <w:noProof/>
              </w:rPr>
              <w:t xml:space="preserve">NEPIEMĒRO </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C2E17" w14:textId="77777777" w:rsidR="00327FF1" w:rsidRDefault="00E406C7">
            <w:pPr>
              <w:pStyle w:val="P68B1DB1-Normal11"/>
              <w:jc w:val="center"/>
              <w:rPr>
                <w:noProof/>
                <w:szCs w:val="20"/>
              </w:rPr>
            </w:pPr>
            <w:r>
              <w:rPr>
                <w:noProof/>
              </w:rPr>
              <w:t xml:space="preserve">Skaits </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6104CE" w14:textId="77777777" w:rsidR="00327FF1" w:rsidRDefault="00E406C7">
            <w:pPr>
              <w:pStyle w:val="P68B1DB1-Normal11"/>
              <w:jc w:val="center"/>
              <w:rPr>
                <w:noProof/>
                <w:szCs w:val="20"/>
              </w:rPr>
            </w:pPr>
            <w:r>
              <w:rPr>
                <w:noProof/>
              </w:rPr>
              <w:t xml:space="preserve">0 </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2494B"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20</w:t>
            </w:r>
            <w:r>
              <w:rPr>
                <w:rFonts w:hint="eastAsia"/>
                <w:noProof/>
                <w:sz w:val="23"/>
                <w:szCs w:val="23"/>
              </w:rPr>
              <w:t xml:space="preserve"> </w:t>
            </w:r>
            <w:r>
              <w:rPr>
                <w:rFonts w:ascii="Arial Narrow" w:hAnsi="Arial Narrow"/>
                <w:noProof/>
                <w:color w:val="006100"/>
                <w:sz w:val="20"/>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2C91D" w14:textId="77777777" w:rsidR="00327FF1" w:rsidRDefault="00E406C7">
            <w:pPr>
              <w:pStyle w:val="P68B1DB1-Normal11"/>
              <w:jc w:val="center"/>
              <w:rPr>
                <w:noProof/>
                <w:szCs w:val="20"/>
              </w:rPr>
            </w:pPr>
            <w:r>
              <w:rPr>
                <w:noProof/>
              </w:rPr>
              <w:t>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AA5BF1" w14:textId="77777777" w:rsidR="00327FF1" w:rsidRDefault="00E406C7">
            <w:pPr>
              <w:pStyle w:val="P68B1DB1-Normal11"/>
              <w:jc w:val="center"/>
              <w:rPr>
                <w:noProof/>
                <w:szCs w:val="20"/>
              </w:rPr>
            </w:pPr>
            <w:r>
              <w:rPr>
                <w:noProof/>
              </w:rPr>
              <w:t xml:space="preserve">2025 </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95F070" w14:textId="77777777" w:rsidR="00327FF1" w:rsidRDefault="00E406C7">
            <w:pPr>
              <w:rPr>
                <w:rFonts w:ascii="Arial Narrow" w:hAnsi="Arial Narrow"/>
                <w:noProof/>
                <w:color w:val="006100"/>
                <w:sz w:val="20"/>
                <w:szCs w:val="20"/>
              </w:rPr>
            </w:pPr>
            <w:r>
              <w:rPr>
                <w:rFonts w:ascii="Arial Narrow" w:hAnsi="Arial Narrow"/>
                <w:noProof/>
                <w:color w:val="006100"/>
                <w:sz w:val="20"/>
                <w:szCs w:val="20"/>
              </w:rPr>
              <w:t>Vismaz 20000</w:t>
            </w:r>
            <w:r>
              <w:rPr>
                <w:rFonts w:hint="eastAsia"/>
                <w:noProof/>
                <w:sz w:val="23"/>
                <w:szCs w:val="23"/>
              </w:rPr>
              <w:t xml:space="preserve"> </w:t>
            </w:r>
            <w:r>
              <w:rPr>
                <w:rFonts w:ascii="Arial Narrow" w:hAnsi="Arial Narrow"/>
                <w:noProof/>
                <w:color w:val="006100"/>
                <w:sz w:val="20"/>
                <w:szCs w:val="20"/>
              </w:rPr>
              <w:t>skolotāju pieņemti darbā ar reformēto darbā pieņemšanas sistēmu</w:t>
            </w:r>
          </w:p>
        </w:tc>
      </w:tr>
      <w:tr w:rsidR="00327FF1" w14:paraId="2F1C8DEA"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5C336D" w14:textId="77777777" w:rsidR="00327FF1" w:rsidRDefault="00E406C7">
            <w:pPr>
              <w:pStyle w:val="P68B1DB1-Normal12"/>
              <w:jc w:val="center"/>
              <w:rPr>
                <w:noProof/>
              </w:rPr>
            </w:pPr>
            <w:r>
              <w:rPr>
                <w:noProof/>
              </w:rPr>
              <w:t>M4C1–14ter</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2DB024" w14:textId="77777777" w:rsidR="00327FF1" w:rsidRDefault="00E406C7">
            <w:pPr>
              <w:pStyle w:val="P68B1DB1-Normal11"/>
              <w:jc w:val="center"/>
              <w:rPr>
                <w:noProof/>
                <w:szCs w:val="20"/>
              </w:rPr>
            </w:pPr>
            <w:r>
              <w:rPr>
                <w:noProof/>
              </w:rPr>
              <w:t>Reforma Nr. 2.1. Skolotāju pieņemšana darbā</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CB4338"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DEBC26" w14:textId="4AD24528" w:rsidR="00327FF1" w:rsidRDefault="00E406C7">
            <w:pPr>
              <w:pStyle w:val="P68B1DB1-Normal12"/>
              <w:jc w:val="center"/>
              <w:rPr>
                <w:noProof/>
              </w:rPr>
            </w:pPr>
            <w:r>
              <w:rPr>
                <w:noProof/>
              </w:rPr>
              <w:t xml:space="preserve">Dekrēti, ar ko apstiprina </w:t>
            </w:r>
            <w:r>
              <w:rPr>
                <w:noProof/>
              </w:rPr>
              <w:t>skolotāju publisko konkursu sarindojumus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E4BA93" w14:textId="77777777" w:rsidR="00327FF1" w:rsidRDefault="00E406C7">
            <w:pPr>
              <w:pStyle w:val="P68B1DB1-Normal11"/>
              <w:jc w:val="center"/>
              <w:rPr>
                <w:noProof/>
                <w:szCs w:val="20"/>
              </w:rPr>
            </w:pPr>
            <w:r>
              <w:rPr>
                <w:noProof/>
              </w:rPr>
              <w:t xml:space="preserve">NEPIEMĒRO </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D658CB" w14:textId="7FB3F66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1930DA" w14:textId="3600DCAF"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73E227" w14:textId="09CD70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7CC88" w14:textId="77777777" w:rsidR="00327FF1" w:rsidRDefault="00E406C7">
            <w:pPr>
              <w:pStyle w:val="P68B1DB1-Normal11"/>
              <w:jc w:val="center"/>
              <w:rPr>
                <w:noProof/>
                <w:szCs w:val="20"/>
              </w:rPr>
            </w:pPr>
            <w:r>
              <w:rPr>
                <w:noProof/>
              </w:rPr>
              <w:t xml:space="preserve">2. CET. </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2E597F" w14:textId="77777777" w:rsidR="00327FF1" w:rsidRDefault="00E406C7">
            <w:pPr>
              <w:pStyle w:val="P68B1DB1-Normal11"/>
              <w:jc w:val="center"/>
              <w:rPr>
                <w:noProof/>
                <w:szCs w:val="20"/>
              </w:rPr>
            </w:pPr>
            <w:r>
              <w:rPr>
                <w:noProof/>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E1F910" w14:textId="57524332" w:rsidR="00327FF1" w:rsidRDefault="00E406C7">
            <w:pPr>
              <w:rPr>
                <w:rFonts w:ascii="Arial Narrow" w:hAnsi="Arial Narrow"/>
                <w:noProof/>
                <w:color w:val="006100"/>
                <w:sz w:val="20"/>
                <w:szCs w:val="20"/>
              </w:rPr>
            </w:pPr>
            <w:r>
              <w:rPr>
                <w:rFonts w:ascii="Arial Narrow" w:hAnsi="Arial Narrow"/>
                <w:noProof/>
                <w:color w:val="006100"/>
                <w:sz w:val="20"/>
                <w:szCs w:val="20"/>
              </w:rPr>
              <w:t>Dekrēti, ar ko apstiprina vismaz 70000</w:t>
            </w:r>
            <w:r>
              <w:rPr>
                <w:noProof/>
                <w:sz w:val="23"/>
                <w:szCs w:val="23"/>
              </w:rPr>
              <w:t xml:space="preserve"> kandidātu, kuri sekmīgi izturējuši publisko konkursu, lai kļūtu par skolotājiem pēc reformētās darbā pieņemšanas sistēmas</w:t>
            </w:r>
            <w:r>
              <w:rPr>
                <w:noProof/>
                <w:sz w:val="23"/>
                <w:szCs w:val="23"/>
              </w:rPr>
              <w:t xml:space="preserve">, tostarp 40000 skolotāju, kas pieņemti darbā saskaņā ar mērķiem M4C1–14 un M4C1–14bis. </w:t>
            </w:r>
          </w:p>
        </w:tc>
      </w:tr>
      <w:tr w:rsidR="00327FF1" w14:paraId="5DD63269"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7D1F33" w14:textId="77777777" w:rsidR="00327FF1" w:rsidRDefault="00E406C7">
            <w:pPr>
              <w:pStyle w:val="P68B1DB1-Normal11"/>
              <w:jc w:val="center"/>
              <w:rPr>
                <w:noProof/>
                <w:szCs w:val="20"/>
              </w:rPr>
            </w:pPr>
            <w:r>
              <w:rPr>
                <w:noProof/>
              </w:rPr>
              <w:t>M4C1–15</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22D585" w14:textId="77777777" w:rsidR="00327FF1" w:rsidRDefault="00E406C7">
            <w:pPr>
              <w:pStyle w:val="P68B1DB1-Normal11"/>
              <w:jc w:val="center"/>
              <w:rPr>
                <w:noProof/>
                <w:szCs w:val="20"/>
              </w:rPr>
            </w:pPr>
            <w:r>
              <w:rPr>
                <w:noProof/>
              </w:rPr>
              <w:t>Investīcija Nr. 1.7: Stipendijas piekļuvei universitātēm</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664208" w14:textId="77777777" w:rsidR="00327FF1" w:rsidRDefault="00E406C7">
            <w:pPr>
              <w:pStyle w:val="P68B1DB1-Normal11"/>
              <w:rPr>
                <w:noProof/>
                <w:szCs w:val="20"/>
              </w:rPr>
            </w:pPr>
            <w:r>
              <w:rPr>
                <w:noProof/>
              </w:rPr>
              <w:t>Mērķa</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000A44" w14:textId="77777777" w:rsidR="00327FF1" w:rsidRDefault="00E406C7">
            <w:pPr>
              <w:pStyle w:val="P68B1DB1-Normal11"/>
              <w:jc w:val="center"/>
              <w:rPr>
                <w:noProof/>
                <w:szCs w:val="20"/>
              </w:rPr>
            </w:pPr>
            <w:r>
              <w:rPr>
                <w:noProof/>
              </w:rPr>
              <w:t>Stipendijas, kas piešķirtas, lai piekļūtu universitātēm</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96B8FC" w14:textId="77777777" w:rsidR="00327FF1" w:rsidRDefault="00E406C7">
            <w:pPr>
              <w:pStyle w:val="P68B1DB1-Normal11"/>
              <w:jc w:val="center"/>
              <w:rPr>
                <w:noProof/>
                <w:szCs w:val="20"/>
              </w:rPr>
            </w:pPr>
            <w:r>
              <w:rPr>
                <w:noProof/>
              </w:rPr>
              <w:t>NEPIEMĒRO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434CB2" w14:textId="77777777" w:rsidR="00327FF1" w:rsidRDefault="00E406C7">
            <w:pPr>
              <w:pStyle w:val="P68B1DB1-Normal11"/>
              <w:jc w:val="center"/>
              <w:rPr>
                <w:noProof/>
                <w:szCs w:val="20"/>
              </w:rPr>
            </w:pPr>
            <w:r>
              <w:rPr>
                <w:noProof/>
              </w:rPr>
              <w:t>Skaits</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24EDD" w14:textId="77777777" w:rsidR="00327FF1" w:rsidRDefault="00E406C7">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F8340D"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55</w:t>
            </w:r>
            <w:r>
              <w:rPr>
                <w:rFonts w:hint="eastAsia"/>
                <w:noProof/>
                <w:sz w:val="23"/>
                <w:szCs w:val="23"/>
              </w:rPr>
              <w:t xml:space="preserve"> </w:t>
            </w:r>
            <w:r>
              <w:rPr>
                <w:rFonts w:ascii="Arial Narrow" w:hAnsi="Arial Narrow"/>
                <w:noProof/>
                <w:color w:val="006100"/>
                <w:sz w:val="20"/>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F1A04D" w14:textId="77777777" w:rsidR="00327FF1" w:rsidRDefault="00E406C7">
            <w:pPr>
              <w:pStyle w:val="P68B1DB1-Normal11"/>
              <w:jc w:val="center"/>
              <w:rPr>
                <w:noProof/>
                <w:szCs w:val="20"/>
              </w:rPr>
            </w:pPr>
            <w:r>
              <w:rPr>
                <w:noProof/>
              </w:rPr>
              <w:t>4.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9F920C" w14:textId="77777777" w:rsidR="00327FF1" w:rsidRDefault="00E406C7">
            <w:pPr>
              <w:pStyle w:val="P68B1DB1-Normal11"/>
              <w:rPr>
                <w:noProof/>
                <w:szCs w:val="20"/>
              </w:rPr>
            </w:pPr>
            <w:r>
              <w:rPr>
                <w:noProof/>
              </w:rPr>
              <w:t>2024</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B2BBAA" w14:textId="77777777" w:rsidR="00327FF1" w:rsidRDefault="00E406C7">
            <w:pPr>
              <w:rPr>
                <w:rFonts w:ascii="Arial Narrow" w:hAnsi="Arial Narrow"/>
                <w:noProof/>
                <w:color w:val="006100"/>
                <w:sz w:val="20"/>
                <w:szCs w:val="20"/>
              </w:rPr>
            </w:pPr>
            <w:r>
              <w:rPr>
                <w:rFonts w:ascii="Arial Narrow" w:hAnsi="Arial Narrow"/>
                <w:noProof/>
                <w:color w:val="006100"/>
                <w:sz w:val="20"/>
              </w:rPr>
              <w:t>Vismaz</w:t>
            </w:r>
            <w:r>
              <w:rPr>
                <w:rFonts w:hint="eastAsia"/>
                <w:noProof/>
                <w:sz w:val="23"/>
                <w:szCs w:val="23"/>
              </w:rPr>
              <w:t xml:space="preserve"> </w:t>
            </w:r>
            <w:r>
              <w:rPr>
                <w:rFonts w:ascii="Arial Narrow" w:hAnsi="Arial Narrow"/>
                <w:noProof/>
                <w:color w:val="006100"/>
                <w:sz w:val="20"/>
              </w:rPr>
              <w:t>55000 studentu saņem stipendijas, ko finansē tikai no ANM līdzekļiem.</w:t>
            </w:r>
          </w:p>
        </w:tc>
      </w:tr>
      <w:tr w:rsidR="00327FF1" w14:paraId="5991F809"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8D52F" w14:textId="77777777" w:rsidR="00327FF1" w:rsidRDefault="00E406C7">
            <w:pPr>
              <w:pStyle w:val="P68B1DB1-Normal11"/>
              <w:jc w:val="center"/>
              <w:rPr>
                <w:noProof/>
                <w:szCs w:val="20"/>
              </w:rPr>
            </w:pPr>
            <w:r>
              <w:rPr>
                <w:noProof/>
              </w:rPr>
              <w:t>M4C1–15 bis</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F7739E" w14:textId="77777777" w:rsidR="00327FF1" w:rsidRDefault="00E406C7">
            <w:pPr>
              <w:pStyle w:val="P68B1DB1-Normal11"/>
              <w:jc w:val="center"/>
              <w:rPr>
                <w:noProof/>
                <w:szCs w:val="20"/>
              </w:rPr>
            </w:pPr>
            <w:r>
              <w:rPr>
                <w:noProof/>
              </w:rPr>
              <w:t>Investīcija Nr. 1.7: Stipendijas piekļuvei universitātēm</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1B64DD" w14:textId="77777777" w:rsidR="00327FF1" w:rsidRDefault="00E406C7">
            <w:pPr>
              <w:pStyle w:val="P68B1DB1-Normal11"/>
              <w:jc w:val="center"/>
              <w:rPr>
                <w:noProof/>
                <w:szCs w:val="20"/>
              </w:rPr>
            </w:pPr>
            <w:r>
              <w:rPr>
                <w:noProof/>
              </w:rPr>
              <w:t>Mērķa</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F964C6" w14:textId="77777777" w:rsidR="00327FF1" w:rsidRDefault="00E406C7">
            <w:pPr>
              <w:pStyle w:val="P68B1DB1-Normal11"/>
              <w:jc w:val="center"/>
              <w:rPr>
                <w:noProof/>
                <w:szCs w:val="20"/>
              </w:rPr>
            </w:pPr>
            <w:r>
              <w:rPr>
                <w:noProof/>
              </w:rPr>
              <w:t>Stipendijas, kas piešķirtas, lai piekļūtu universitātēm</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9BEEC1" w14:textId="77777777" w:rsidR="00327FF1" w:rsidRDefault="00E406C7">
            <w:pPr>
              <w:pStyle w:val="P68B1DB1-Normal11"/>
              <w:jc w:val="center"/>
              <w:rPr>
                <w:noProof/>
                <w:szCs w:val="20"/>
              </w:rPr>
            </w:pPr>
            <w:r>
              <w:rPr>
                <w:noProof/>
              </w:rPr>
              <w:t>NEPIEMĒRO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230808" w14:textId="77777777" w:rsidR="00327FF1" w:rsidRDefault="00E406C7">
            <w:pPr>
              <w:pStyle w:val="P68B1DB1-Normal11"/>
              <w:jc w:val="center"/>
              <w:rPr>
                <w:noProof/>
                <w:szCs w:val="20"/>
              </w:rPr>
            </w:pPr>
            <w:r>
              <w:rPr>
                <w:noProof/>
              </w:rPr>
              <w:t>Skaits</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F7CAF0" w14:textId="77777777" w:rsidR="00327FF1" w:rsidRDefault="00E406C7">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311D39"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83</w:t>
            </w:r>
            <w:r>
              <w:rPr>
                <w:rFonts w:hint="eastAsia"/>
                <w:noProof/>
                <w:sz w:val="23"/>
                <w:szCs w:val="23"/>
              </w:rPr>
              <w:t xml:space="preserve"> </w:t>
            </w:r>
            <w:r>
              <w:rPr>
                <w:rFonts w:ascii="Arial Narrow" w:hAnsi="Arial Narrow"/>
                <w:noProof/>
                <w:color w:val="006100"/>
                <w:sz w:val="20"/>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3AEAD9" w14:textId="77777777" w:rsidR="00327FF1" w:rsidRDefault="00E406C7">
            <w:pPr>
              <w:pStyle w:val="P68B1DB1-Normal11"/>
              <w:jc w:val="center"/>
              <w:rPr>
                <w:noProof/>
                <w:szCs w:val="20"/>
              </w:rPr>
            </w:pPr>
            <w:r>
              <w:rPr>
                <w:noProof/>
              </w:rPr>
              <w:t>2.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506A2F" w14:textId="77777777" w:rsidR="00327FF1" w:rsidRDefault="00E406C7">
            <w:pPr>
              <w:pStyle w:val="P68B1DB1-Normal11"/>
              <w:jc w:val="center"/>
              <w:rPr>
                <w:noProof/>
                <w:szCs w:val="20"/>
              </w:rPr>
            </w:pPr>
            <w:r>
              <w:rPr>
                <w:noProof/>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0687BC" w14:textId="77777777" w:rsidR="00327FF1" w:rsidRDefault="00E406C7">
            <w:pPr>
              <w:rPr>
                <w:rFonts w:ascii="Arial Narrow" w:hAnsi="Arial Narrow"/>
                <w:noProof/>
                <w:color w:val="006100"/>
                <w:sz w:val="20"/>
                <w:szCs w:val="20"/>
              </w:rPr>
            </w:pPr>
            <w:r>
              <w:rPr>
                <w:rFonts w:ascii="Arial Narrow" w:hAnsi="Arial Narrow"/>
                <w:noProof/>
                <w:color w:val="006100"/>
                <w:sz w:val="20"/>
                <w:szCs w:val="20"/>
              </w:rPr>
              <w:t xml:space="preserve">Vismaz </w:t>
            </w:r>
            <w:r>
              <w:rPr>
                <w:rFonts w:ascii="Arial Narrow" w:hAnsi="Arial Narrow"/>
                <w:noProof/>
                <w:color w:val="006100"/>
                <w:sz w:val="20"/>
                <w:szCs w:val="20"/>
              </w:rPr>
              <w:t>83000</w:t>
            </w:r>
            <w:r>
              <w:rPr>
                <w:rFonts w:hint="eastAsia"/>
                <w:noProof/>
                <w:sz w:val="23"/>
                <w:szCs w:val="23"/>
              </w:rPr>
              <w:t xml:space="preserve"> </w:t>
            </w:r>
            <w:r>
              <w:rPr>
                <w:rFonts w:ascii="Arial Narrow" w:hAnsi="Arial Narrow"/>
                <w:noProof/>
                <w:color w:val="006100"/>
                <w:sz w:val="20"/>
                <w:szCs w:val="20"/>
              </w:rPr>
              <w:t>studentu saņem stipendijas, ko finansē tikai no ANM līdzekļiem.</w:t>
            </w:r>
          </w:p>
        </w:tc>
      </w:tr>
      <w:tr w:rsidR="00327FF1" w14:paraId="0145D840" w14:textId="77777777">
        <w:trPr>
          <w:trHeight w:val="1455"/>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E548B6" w14:textId="77777777" w:rsidR="00327FF1" w:rsidRDefault="00E406C7">
            <w:pPr>
              <w:pStyle w:val="P68B1DB1-Normal12"/>
              <w:jc w:val="center"/>
              <w:rPr>
                <w:noProof/>
              </w:rPr>
            </w:pPr>
            <w:r>
              <w:rPr>
                <w:noProof/>
              </w:rPr>
              <w:t>M4C1–16</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2346FC" w14:textId="77777777" w:rsidR="00327FF1" w:rsidRDefault="00E406C7">
            <w:pPr>
              <w:pStyle w:val="P68B1DB1-Normal11"/>
              <w:jc w:val="center"/>
              <w:rPr>
                <w:noProof/>
                <w:szCs w:val="20"/>
              </w:rPr>
            </w:pPr>
            <w:r>
              <w:rPr>
                <w:noProof/>
              </w:rPr>
              <w:t>Investīcija Nr. 3.1: Jaunas prasmes un jaunas valodas</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66F55C"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DF8CA8" w14:textId="77777777" w:rsidR="00327FF1" w:rsidRDefault="00E406C7">
            <w:pPr>
              <w:pStyle w:val="P68B1DB1-Normal12"/>
              <w:rPr>
                <w:noProof/>
              </w:rPr>
            </w:pPr>
            <w:r>
              <w:rPr>
                <w:noProof/>
              </w:rPr>
              <w:t>Dotāciju piešķiršanas lēmuma(-u) pieņemšana par STEM projektu aktivizēšanu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23F8C0" w14:textId="77777777" w:rsidR="00327FF1" w:rsidRDefault="00E406C7">
            <w:pPr>
              <w:pStyle w:val="P68B1DB1-Normal12"/>
              <w:rPr>
                <w:noProof/>
              </w:rPr>
            </w:pPr>
            <w:r>
              <w:rPr>
                <w:noProof/>
              </w:rPr>
              <w:t xml:space="preserve">Dotāciju piešķiršanas </w:t>
            </w:r>
            <w:r>
              <w:rPr>
                <w:noProof/>
              </w:rPr>
              <w:t>lēmuma(-u) pieņemšana</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0AB0EB"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32190A"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F75D2A" w14:textId="777777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BDE781" w14:textId="77777777" w:rsidR="00327FF1" w:rsidRDefault="00E406C7">
            <w:pPr>
              <w:pStyle w:val="P68B1DB1-Normal11"/>
              <w:jc w:val="center"/>
              <w:rPr>
                <w:noProof/>
                <w:szCs w:val="20"/>
              </w:rPr>
            </w:pPr>
            <w:r>
              <w:rPr>
                <w:noProof/>
              </w:rPr>
              <w:t>2.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671223" w14:textId="77777777" w:rsidR="00327FF1" w:rsidRDefault="00E406C7">
            <w:pPr>
              <w:pStyle w:val="P68B1DB1-Normal12"/>
              <w:jc w:val="center"/>
              <w:rPr>
                <w:noProof/>
              </w:rPr>
            </w:pPr>
            <w:r>
              <w:rPr>
                <w:noProof/>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2F8D1F" w14:textId="09E8AD5C" w:rsidR="00327FF1" w:rsidRDefault="00E406C7">
            <w:pPr>
              <w:pStyle w:val="P68B1DB1-Normal12"/>
              <w:rPr>
                <w:noProof/>
              </w:rPr>
            </w:pPr>
            <w:r>
              <w:rPr>
                <w:noProof/>
              </w:rPr>
              <w:t>Dotāciju piešķiršanas lēmuma(-u) pieņemšana par STEM projektu aktivizēšanu vismaz 8000 skolās.</w:t>
            </w:r>
          </w:p>
        </w:tc>
      </w:tr>
      <w:tr w:rsidR="00327FF1" w14:paraId="39A5FC0E"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85B7A2" w14:textId="77777777" w:rsidR="00327FF1" w:rsidRDefault="00E406C7">
            <w:pPr>
              <w:pStyle w:val="P68B1DB1-Normal12"/>
              <w:jc w:val="center"/>
              <w:rPr>
                <w:noProof/>
              </w:rPr>
            </w:pPr>
            <w:r>
              <w:rPr>
                <w:noProof/>
              </w:rPr>
              <w:t>M4C1–17</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E2BE61" w14:textId="77777777" w:rsidR="00327FF1" w:rsidRDefault="00E406C7">
            <w:pPr>
              <w:pStyle w:val="P68B1DB1-Normal12"/>
              <w:jc w:val="center"/>
              <w:rPr>
                <w:noProof/>
              </w:rPr>
            </w:pPr>
            <w:r>
              <w:rPr>
                <w:noProof/>
              </w:rPr>
              <w:t>Investīcija Nr. 3.1: Jaunas prasmes un jaunas valodas</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AE96A2"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D5A762" w14:textId="77777777" w:rsidR="00327FF1" w:rsidRDefault="00E406C7">
            <w:pPr>
              <w:pStyle w:val="P68B1DB1-Normal12"/>
              <w:jc w:val="center"/>
              <w:rPr>
                <w:noProof/>
              </w:rPr>
            </w:pPr>
            <w:r>
              <w:rPr>
                <w:noProof/>
              </w:rPr>
              <w:t>Jaunas prasmes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832EF9" w14:textId="77777777" w:rsidR="00327FF1" w:rsidRDefault="00E406C7">
            <w:pPr>
              <w:pStyle w:val="P68B1DB1-Normal12"/>
              <w:jc w:val="center"/>
              <w:rPr>
                <w:noProof/>
              </w:rPr>
            </w:pPr>
            <w:r>
              <w:rPr>
                <w:noProof/>
              </w:rPr>
              <w:t xml:space="preserve">Dotāciju piešķiršanas lēmuma(-u) pieņemšana </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ADCE29"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CAF493"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5AB02" w14:textId="77777777" w:rsidR="00327FF1" w:rsidRDefault="00E406C7">
            <w:pPr>
              <w:pStyle w:val="P68B1DB1-Normal11"/>
              <w:jc w:val="center"/>
              <w:rPr>
                <w:noProof/>
                <w:szCs w:val="20"/>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4E2C17" w14:textId="77777777" w:rsidR="00327FF1" w:rsidRDefault="00E406C7">
            <w:pPr>
              <w:pStyle w:val="P68B1DB1-Normal11"/>
              <w:jc w:val="center"/>
              <w:rPr>
                <w:noProof/>
                <w:szCs w:val="20"/>
              </w:rPr>
            </w:pPr>
            <w:r>
              <w:rPr>
                <w:noProof/>
              </w:rPr>
              <w:t>2.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FE4951" w14:textId="77777777" w:rsidR="00327FF1" w:rsidRDefault="00E406C7">
            <w:pPr>
              <w:pStyle w:val="P68B1DB1-Normal11"/>
              <w:jc w:val="center"/>
              <w:rPr>
                <w:noProof/>
                <w:szCs w:val="20"/>
              </w:rPr>
            </w:pPr>
            <w:r>
              <w:rPr>
                <w:noProof/>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4F95E5" w14:textId="77777777" w:rsidR="00327FF1" w:rsidRDefault="00E406C7">
            <w:pPr>
              <w:pStyle w:val="P68B1DB1-Normal12"/>
              <w:rPr>
                <w:noProof/>
              </w:rPr>
            </w:pPr>
            <w:r>
              <w:rPr>
                <w:noProof/>
              </w:rPr>
              <w:t xml:space="preserve">Dotāciju piešķiršanas lēmuma(-u) pieņemšana attiecībā uz: </w:t>
            </w:r>
          </w:p>
          <w:p w14:paraId="2E365A7E" w14:textId="0242E4B1" w:rsidR="00327FF1" w:rsidRDefault="00E406C7">
            <w:pPr>
              <w:pStyle w:val="P68B1DB1-ListParagraph13"/>
              <w:numPr>
                <w:ilvl w:val="0"/>
                <w:numId w:val="89"/>
              </w:numPr>
              <w:spacing w:before="120" w:after="120" w:line="240" w:lineRule="auto"/>
              <w:jc w:val="both"/>
              <w:rPr>
                <w:noProof/>
              </w:rPr>
            </w:pPr>
            <w:r>
              <w:rPr>
                <w:noProof/>
              </w:rPr>
              <w:t xml:space="preserve">Skolu personālam paredzētu valodu un/vai metodisku kursu aktivizēšana vismaz 8000 skolās. </w:t>
            </w:r>
          </w:p>
          <w:p w14:paraId="763A679D" w14:textId="58EE5BAA" w:rsidR="00327FF1" w:rsidRDefault="00E406C7">
            <w:pPr>
              <w:pStyle w:val="P68B1DB1-ListParagraph13"/>
              <w:numPr>
                <w:ilvl w:val="0"/>
                <w:numId w:val="89"/>
              </w:numPr>
              <w:spacing w:before="120" w:after="120" w:line="240" w:lineRule="auto"/>
              <w:jc w:val="both"/>
              <w:rPr>
                <w:noProof/>
              </w:rPr>
            </w:pPr>
            <w:r>
              <w:rPr>
                <w:noProof/>
              </w:rPr>
              <w:t xml:space="preserve">Studentiem un/vai </w:t>
            </w:r>
            <w:r>
              <w:rPr>
                <w:noProof/>
              </w:rPr>
              <w:t xml:space="preserve">skolu personālam paredzētās programmas “Erasmus+” stiprināšana 2023., 2024. un 2025. gadam.  </w:t>
            </w:r>
          </w:p>
        </w:tc>
      </w:tr>
      <w:tr w:rsidR="00327FF1" w14:paraId="330E5BAD"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DE24B0" w14:textId="77777777" w:rsidR="00327FF1" w:rsidRDefault="00E406C7">
            <w:pPr>
              <w:pStyle w:val="P68B1DB1-Normal12"/>
              <w:jc w:val="center"/>
              <w:rPr>
                <w:noProof/>
              </w:rPr>
            </w:pPr>
            <w:r>
              <w:rPr>
                <w:noProof/>
              </w:rPr>
              <w:t>M4C1–19</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228EA" w14:textId="77777777" w:rsidR="00327FF1" w:rsidRDefault="00E406C7">
            <w:pPr>
              <w:pStyle w:val="P68B1DB1-Normal12"/>
              <w:jc w:val="center"/>
              <w:rPr>
                <w:noProof/>
              </w:rPr>
            </w:pPr>
            <w:r>
              <w:rPr>
                <w:noProof/>
              </w:rPr>
              <w:t>“Investīcija Nr. 3.2. Skola 4.0: inovatīvas skolas, instalācijas, jaunas klases un darbsemināri</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585C98"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E51DEA" w14:textId="77777777" w:rsidR="00327FF1" w:rsidRDefault="00E406C7">
            <w:pPr>
              <w:pStyle w:val="P68B1DB1-Normal12"/>
              <w:jc w:val="center"/>
              <w:rPr>
                <w:noProof/>
              </w:rPr>
            </w:pPr>
            <w:r>
              <w:rPr>
                <w:noProof/>
              </w:rPr>
              <w:t xml:space="preserve">Dotāciju piešķiršanas lēmuma(-u) pieņemšana par digitālo ierīču iegādi un/vai digitālo laboratoriju izveidi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98D05" w14:textId="5E39E543" w:rsidR="00327FF1" w:rsidRDefault="00E406C7">
            <w:pPr>
              <w:pStyle w:val="P68B1DB1-Normal12"/>
              <w:jc w:val="center"/>
              <w:rPr>
                <w:noProof/>
              </w:rPr>
            </w:pPr>
            <w:r>
              <w:rPr>
                <w:noProof/>
              </w:rPr>
              <w:t xml:space="preserve">Dotāciju piešķiršanas lēmuma(-u) pieņemšana </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63F221"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4C9262" w14:textId="77777777" w:rsidR="00327FF1" w:rsidRDefault="00E406C7">
            <w:pPr>
              <w:pStyle w:val="P68B1DB1-Normal11"/>
              <w:jc w:val="center"/>
              <w:rPr>
                <w:noProof/>
                <w:szCs w:val="20"/>
              </w:rPr>
            </w:pPr>
            <w:r>
              <w:rPr>
                <w:noProof/>
              </w:rPr>
              <w:t>NEPIEMĒRO</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98B4DB" w14:textId="77777777" w:rsidR="00327FF1" w:rsidRDefault="00E406C7">
            <w:pPr>
              <w:pStyle w:val="P68B1DB1-Normal12"/>
              <w:jc w:val="center"/>
              <w:rPr>
                <w:noProof/>
              </w:rPr>
            </w:pPr>
            <w:r>
              <w:rPr>
                <w:noProof/>
              </w:rPr>
              <w:t>NEPIEMĒRO</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F2E0B" w14:textId="77777777" w:rsidR="00327FF1" w:rsidRDefault="00E406C7">
            <w:pPr>
              <w:pStyle w:val="P68B1DB1-Normal11"/>
              <w:jc w:val="center"/>
              <w:rPr>
                <w:noProof/>
                <w:szCs w:val="20"/>
              </w:rPr>
            </w:pPr>
            <w:r>
              <w:rPr>
                <w:noProof/>
              </w:rPr>
              <w:t>2.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638D4" w14:textId="77777777" w:rsidR="00327FF1" w:rsidRDefault="00E406C7">
            <w:pPr>
              <w:pStyle w:val="P68B1DB1-Normal11"/>
              <w:jc w:val="center"/>
              <w:rPr>
                <w:noProof/>
                <w:szCs w:val="20"/>
              </w:rPr>
            </w:pPr>
            <w:r>
              <w:rPr>
                <w:noProof/>
              </w:rPr>
              <w:t>2025</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6F1F3E" w14:textId="036B9812" w:rsidR="00327FF1" w:rsidRDefault="00E406C7">
            <w:pPr>
              <w:pStyle w:val="P68B1DB1-Normal12"/>
              <w:rPr>
                <w:rFonts w:eastAsia="Arial Narrow" w:cs="Arial Narrow"/>
                <w:noProof/>
              </w:rPr>
            </w:pPr>
            <w:r>
              <w:rPr>
                <w:noProof/>
              </w:rPr>
              <w:t>Dotāciju piešķiršanas lēmuma(-u) pieņemšana par klases pārv</w:t>
            </w:r>
            <w:r>
              <w:rPr>
                <w:noProof/>
              </w:rPr>
              <w:t>eidošanu par inovatīvu vidi un/vai digitālo laboratoriju izveidi vismaz 8000 skolās.</w:t>
            </w:r>
          </w:p>
        </w:tc>
      </w:tr>
      <w:tr w:rsidR="00327FF1" w14:paraId="312434B7"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DFC0A2" w14:textId="77777777" w:rsidR="00327FF1" w:rsidRDefault="00E406C7">
            <w:pPr>
              <w:pStyle w:val="P68B1DB1-Normal11"/>
              <w:jc w:val="center"/>
              <w:rPr>
                <w:noProof/>
                <w:szCs w:val="20"/>
              </w:rPr>
            </w:pPr>
            <w:r>
              <w:rPr>
                <w:noProof/>
              </w:rPr>
              <w:t>M4C1–20</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EDD6F3" w14:textId="77777777" w:rsidR="00327FF1" w:rsidRDefault="00E406C7">
            <w:pPr>
              <w:pStyle w:val="P68B1DB1-Normal11"/>
              <w:jc w:val="center"/>
              <w:rPr>
                <w:noProof/>
                <w:szCs w:val="20"/>
              </w:rPr>
            </w:pPr>
            <w:r>
              <w:rPr>
                <w:noProof/>
              </w:rPr>
              <w:t>Investīcija Nr. 1.5: Terciārās profesionālās izglītības sistēmas (ITS) izstrāde</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5C08CA" w14:textId="77777777" w:rsidR="00327FF1" w:rsidRDefault="00E406C7">
            <w:pPr>
              <w:pStyle w:val="P68B1DB1-Normal11"/>
              <w:jc w:val="center"/>
              <w:rPr>
                <w:noProof/>
                <w:szCs w:val="20"/>
              </w:rPr>
            </w:pPr>
            <w:r>
              <w:rPr>
                <w:noProof/>
              </w:rPr>
              <w:t>Mērķa</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9DF0F" w14:textId="77777777" w:rsidR="00327FF1" w:rsidRDefault="00E406C7">
            <w:pPr>
              <w:pStyle w:val="P68B1DB1-Normal12"/>
              <w:jc w:val="center"/>
              <w:rPr>
                <w:noProof/>
              </w:rPr>
            </w:pPr>
            <w:r>
              <w:rPr>
                <w:noProof/>
              </w:rPr>
              <w:t xml:space="preserve">Arodmācību sistēmā (ITS) uzņemto studentu skaits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7F2CB2" w14:textId="77777777" w:rsidR="00327FF1" w:rsidRDefault="00E406C7">
            <w:pPr>
              <w:pStyle w:val="P68B1DB1-Normal11"/>
              <w:jc w:val="center"/>
              <w:rPr>
                <w:noProof/>
                <w:szCs w:val="20"/>
              </w:rPr>
            </w:pPr>
            <w:r>
              <w:rPr>
                <w:noProof/>
              </w:rPr>
              <w:t>NEPIEMĒRO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E2983C" w14:textId="77777777" w:rsidR="00327FF1" w:rsidRDefault="00E406C7">
            <w:pPr>
              <w:pStyle w:val="P68B1DB1-Normal11"/>
              <w:jc w:val="center"/>
              <w:rPr>
                <w:noProof/>
                <w:szCs w:val="20"/>
              </w:rPr>
            </w:pPr>
            <w:r>
              <w:rPr>
                <w:noProof/>
              </w:rPr>
              <w:t>Skaits</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F6FB1B" w14:textId="77777777" w:rsidR="00327FF1" w:rsidRDefault="00E406C7">
            <w:pPr>
              <w:pStyle w:val="P68B1DB1-Normal12"/>
              <w:jc w:val="center"/>
              <w:rPr>
                <w:noProof/>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0C1553" w14:textId="77777777" w:rsidR="00327FF1" w:rsidRDefault="00E406C7">
            <w:pPr>
              <w:pStyle w:val="P68B1DB1-Normal11"/>
              <w:jc w:val="center"/>
              <w:rPr>
                <w:noProof/>
                <w:szCs w:val="20"/>
              </w:rPr>
            </w:pPr>
            <w:r>
              <w:rPr>
                <w:noProof/>
              </w:rPr>
              <w:t>11 000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9AD4CF" w14:textId="77777777" w:rsidR="00327FF1" w:rsidRDefault="00E406C7">
            <w:pPr>
              <w:pStyle w:val="P68B1DB1-Normal12"/>
              <w:jc w:val="center"/>
              <w:rPr>
                <w:noProof/>
              </w:rPr>
            </w:pPr>
            <w:r>
              <w:rPr>
                <w:noProof/>
              </w:rPr>
              <w:t>Q1</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E30A39" w14:textId="77777777" w:rsidR="00327FF1" w:rsidRDefault="00E406C7">
            <w:pPr>
              <w:pStyle w:val="P68B1DB1-Normal12"/>
              <w:jc w:val="center"/>
              <w:rPr>
                <w:noProof/>
              </w:rPr>
            </w:pPr>
            <w:r>
              <w:rPr>
                <w:noProof/>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7869E" w14:textId="3C821366" w:rsidR="00327FF1" w:rsidRDefault="00E406C7">
            <w:pPr>
              <w:pStyle w:val="P68B1DB1-Normal12"/>
              <w:rPr>
                <w:noProof/>
              </w:rPr>
            </w:pPr>
            <w:r>
              <w:rPr>
                <w:noProof/>
              </w:rPr>
              <w:t>2025. pārskata gadā vismaz 11000 studentu ir reģistrējušies ITS akadēmijas Valsts profesionālās izglītības sistēmas reģistrā. ITS sistēmas valsts digitālā platforma ir pieejama tiešsaistē un ir pieejama, kā to apstiprina</w:t>
            </w:r>
            <w:r>
              <w:rPr>
                <w:i/>
                <w:noProof/>
              </w:rPr>
              <w:t>Verbale di collaudo</w:t>
            </w:r>
            <w:r>
              <w:rPr>
                <w:noProof/>
              </w:rPr>
              <w:t>.</w:t>
            </w:r>
          </w:p>
        </w:tc>
      </w:tr>
      <w:tr w:rsidR="00327FF1" w14:paraId="0167E044"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0717BC" w14:textId="77777777" w:rsidR="00327FF1" w:rsidRDefault="00E406C7">
            <w:pPr>
              <w:pStyle w:val="P68B1DB1-Normal11"/>
              <w:jc w:val="center"/>
              <w:rPr>
                <w:noProof/>
              </w:rPr>
            </w:pPr>
            <w:r>
              <w:rPr>
                <w:noProof/>
              </w:rPr>
              <w:t>M4C1–22</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67D8A" w14:textId="77777777" w:rsidR="00327FF1" w:rsidRDefault="00E406C7">
            <w:pPr>
              <w:pStyle w:val="P68B1DB1-Normal11"/>
              <w:jc w:val="center"/>
              <w:rPr>
                <w:noProof/>
              </w:rPr>
            </w:pPr>
            <w:r>
              <w:rPr>
                <w:noProof/>
              </w:rPr>
              <w:t>Investīcija Nr. 1.3. Skolu sporta infrastruktūras uzlabošanas plāns</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ABC5F" w14:textId="77777777" w:rsidR="00327FF1" w:rsidRDefault="00E406C7">
            <w:pPr>
              <w:pStyle w:val="P68B1DB1-Normal11"/>
              <w:jc w:val="center"/>
              <w:rPr>
                <w:noProof/>
              </w:rPr>
            </w:pPr>
            <w:r>
              <w:rPr>
                <w:noProof/>
              </w:rPr>
              <w:t>Mērķa</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096CEB" w14:textId="77777777" w:rsidR="00327FF1" w:rsidRDefault="00E406C7">
            <w:pPr>
              <w:pStyle w:val="P68B1DB1-Normal11"/>
              <w:jc w:val="center"/>
              <w:rPr>
                <w:noProof/>
              </w:rPr>
            </w:pPr>
            <w:r>
              <w:rPr>
                <w:noProof/>
              </w:rPr>
              <w:t>Skolu vajadzībām paredzētu sporta objektu un sporta zāļu būvniecība vai atjaunošana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A43622" w14:textId="77777777" w:rsidR="00327FF1" w:rsidRDefault="00E406C7">
            <w:pPr>
              <w:pStyle w:val="P68B1DB1-Normal11"/>
              <w:jc w:val="center"/>
              <w:rPr>
                <w:noProof/>
                <w:szCs w:val="20"/>
              </w:rPr>
            </w:pPr>
            <w:r>
              <w:rPr>
                <w:noProof/>
              </w:rPr>
              <w:t>NEPIEMĒRO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BD8A1F" w14:textId="77777777" w:rsidR="00327FF1" w:rsidRDefault="00E406C7">
            <w:pPr>
              <w:pStyle w:val="P68B1DB1-Normal11"/>
              <w:jc w:val="center"/>
              <w:rPr>
                <w:noProof/>
                <w:szCs w:val="20"/>
              </w:rPr>
            </w:pPr>
            <w:r>
              <w:rPr>
                <w:noProof/>
              </w:rPr>
              <w:t>Skaits</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68A3F2" w14:textId="77777777" w:rsidR="00327FF1" w:rsidRDefault="00E406C7">
            <w:pPr>
              <w:pStyle w:val="P68B1DB1-Normal11"/>
              <w:jc w:val="center"/>
              <w:rPr>
                <w:noProof/>
                <w:szCs w:val="20"/>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666F35" w14:textId="77777777" w:rsidR="00327FF1" w:rsidRDefault="00E406C7">
            <w:pPr>
              <w:pStyle w:val="P68B1DB1-Normal12"/>
              <w:jc w:val="center"/>
              <w:rPr>
                <w:noProof/>
              </w:rPr>
            </w:pPr>
            <w:r>
              <w:rPr>
                <w:noProof/>
              </w:rPr>
              <w:t>300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C4F421" w14:textId="77777777" w:rsidR="00327FF1" w:rsidRDefault="00E406C7">
            <w:pPr>
              <w:pStyle w:val="P68B1DB1-Normal11"/>
              <w:jc w:val="center"/>
              <w:rPr>
                <w:noProof/>
                <w:szCs w:val="20"/>
              </w:rPr>
            </w:pPr>
            <w:r>
              <w:rPr>
                <w:noProof/>
              </w:rPr>
              <w:t>2.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D698D1" w14:textId="77777777" w:rsidR="00327FF1" w:rsidRDefault="00E406C7">
            <w:pPr>
              <w:pStyle w:val="P68B1DB1-Normal11"/>
              <w:jc w:val="center"/>
              <w:rPr>
                <w:noProof/>
                <w:szCs w:val="20"/>
              </w:rPr>
            </w:pPr>
            <w:r>
              <w:rPr>
                <w:noProof/>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B14318" w14:textId="77777777" w:rsidR="00327FF1" w:rsidRDefault="00E406C7">
            <w:pPr>
              <w:pStyle w:val="P68B1DB1-Normal12"/>
              <w:rPr>
                <w:noProof/>
              </w:rPr>
            </w:pPr>
            <w:r>
              <w:rPr>
                <w:noProof/>
              </w:rPr>
              <w:t xml:space="preserve">Sertifikātus par darbu pabeigšanu izsniedz par vismaz </w:t>
            </w:r>
            <w:r>
              <w:rPr>
                <w:noProof/>
              </w:rPr>
              <w:t>300 sporta zālēm vai sporta objektiem, kas paredzēti izmantošanai skolā.</w:t>
            </w:r>
          </w:p>
        </w:tc>
      </w:tr>
      <w:tr w:rsidR="00327FF1" w14:paraId="6F3F38C3"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9133D70" w14:textId="77777777" w:rsidR="00327FF1" w:rsidRDefault="00E406C7">
            <w:pPr>
              <w:pStyle w:val="P68B1DB1-Normal11"/>
              <w:jc w:val="center"/>
              <w:rPr>
                <w:noProof/>
                <w:szCs w:val="20"/>
              </w:rPr>
            </w:pPr>
            <w:r>
              <w:rPr>
                <w:noProof/>
              </w:rPr>
              <w:t>M4C1–23</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228B606" w14:textId="77777777" w:rsidR="00327FF1" w:rsidRDefault="00E406C7">
            <w:pPr>
              <w:pStyle w:val="P68B1DB1-Normal11"/>
              <w:jc w:val="center"/>
              <w:rPr>
                <w:noProof/>
                <w:szCs w:val="20"/>
              </w:rPr>
            </w:pPr>
            <w:r>
              <w:rPr>
                <w:noProof/>
              </w:rPr>
              <w:t>Investīcija 3.4: Mācīšana un padziļinātas universitātes prasmes</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EDBDC56" w14:textId="77777777" w:rsidR="00327FF1" w:rsidRDefault="00E406C7">
            <w:pPr>
              <w:pStyle w:val="P68B1DB1-Normal11"/>
              <w:jc w:val="center"/>
              <w:rPr>
                <w:noProof/>
                <w:szCs w:val="20"/>
              </w:rPr>
            </w:pPr>
            <w:r>
              <w:rPr>
                <w:noProof/>
              </w:rPr>
              <w:t>Atskaites punkts</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3A08A70" w14:textId="77777777" w:rsidR="00327FF1" w:rsidRDefault="00E406C7">
            <w:pPr>
              <w:pStyle w:val="P68B1DB1-Normal12"/>
              <w:jc w:val="center"/>
              <w:rPr>
                <w:noProof/>
              </w:rPr>
            </w:pPr>
            <w:r>
              <w:rPr>
                <w:noProof/>
              </w:rPr>
              <w:t xml:space="preserve">Darbības vidusskolu un universitāšu programmu, tostarp doktorantūras studiju programmu, </w:t>
            </w:r>
            <w:r>
              <w:rPr>
                <w:noProof/>
              </w:rPr>
              <w:t>kvalifikācijas celšanai un inovācijai.</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0EBB133" w14:textId="77777777" w:rsidR="00327FF1" w:rsidRDefault="00E406C7">
            <w:pPr>
              <w:pStyle w:val="P68B1DB1-Normal11"/>
              <w:jc w:val="center"/>
              <w:rPr>
                <w:noProof/>
                <w:szCs w:val="20"/>
              </w:rPr>
            </w:pPr>
            <w:r>
              <w:rPr>
                <w:noProof/>
              </w:rPr>
              <w:t>NEPIEMĒRO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F9A214" w14:textId="77777777" w:rsidR="00327FF1" w:rsidRDefault="00E406C7">
            <w:pPr>
              <w:pStyle w:val="P68B1DB1-Normal11"/>
              <w:jc w:val="center"/>
              <w:rPr>
                <w:noProof/>
                <w:szCs w:val="20"/>
              </w:rPr>
            </w:pPr>
            <w:r>
              <w:rPr>
                <w:noProof/>
              </w:rPr>
              <w:t>NEPIEMĒRO</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FCBCE15" w14:textId="77777777" w:rsidR="00327FF1" w:rsidRDefault="00327FF1">
            <w:pPr>
              <w:jc w:val="center"/>
              <w:rPr>
                <w:rFonts w:ascii="Arial Narrow" w:hAnsi="Arial Narrow"/>
                <w:noProof/>
                <w:color w:val="006100"/>
                <w:sz w:val="20"/>
                <w:szCs w:val="20"/>
              </w:rPr>
            </w:pP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ADC18A" w14:textId="77777777" w:rsidR="00327FF1" w:rsidRDefault="00327FF1">
            <w:pPr>
              <w:jc w:val="center"/>
              <w:rPr>
                <w:rFonts w:ascii="Arial Narrow" w:hAnsi="Arial Narrow"/>
                <w:noProof/>
                <w:color w:val="006100"/>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E690AB" w14:textId="77777777" w:rsidR="00327FF1" w:rsidRDefault="00E406C7">
            <w:pPr>
              <w:pStyle w:val="P68B1DB1-Normal11"/>
              <w:jc w:val="center"/>
              <w:rPr>
                <w:noProof/>
                <w:szCs w:val="20"/>
              </w:rPr>
            </w:pPr>
            <w:r>
              <w:rPr>
                <w:noProof/>
              </w:rPr>
              <w:t>2.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448B92E" w14:textId="77777777" w:rsidR="00327FF1" w:rsidRDefault="00E406C7">
            <w:pPr>
              <w:pStyle w:val="P68B1DB1-Normal11"/>
              <w:jc w:val="center"/>
              <w:rPr>
                <w:noProof/>
                <w:szCs w:val="20"/>
              </w:rPr>
            </w:pPr>
            <w:r>
              <w:rPr>
                <w:noProof/>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F4D101" w14:textId="77777777" w:rsidR="00327FF1" w:rsidRDefault="00E406C7">
            <w:pPr>
              <w:pStyle w:val="P68B1DB1-Normal12"/>
              <w:rPr>
                <w:noProof/>
              </w:rPr>
            </w:pPr>
            <w:r>
              <w:rPr>
                <w:noProof/>
              </w:rPr>
              <w:t>Dekrēts par vismaz 500 jaunu doktorantūras studiju piešķiršanu universitāšu aktivizētajās programmās, kas vērstas uz digitālo un vidisko pārkārtošanos.</w:t>
            </w:r>
          </w:p>
          <w:p w14:paraId="6F031583" w14:textId="77777777" w:rsidR="00327FF1" w:rsidRDefault="00E406C7">
            <w:pPr>
              <w:pStyle w:val="P68B1DB1-Normal12"/>
              <w:rPr>
                <w:noProof/>
              </w:rPr>
            </w:pPr>
            <w:r>
              <w:rPr>
                <w:noProof/>
              </w:rPr>
              <w:t xml:space="preserve">Tiek parakstīti nolīgumi </w:t>
            </w:r>
            <w:r>
              <w:rPr>
                <w:i/>
                <w:noProof/>
              </w:rPr>
              <w:t>(“Att</w:t>
            </w:r>
            <w:r>
              <w:rPr>
                <w:i/>
                <w:noProof/>
              </w:rPr>
              <w:t>i d’obbligo”)</w:t>
            </w:r>
            <w:r>
              <w:rPr>
                <w:noProof/>
              </w:rPr>
              <w:t xml:space="preserve"> par 3 digitālās izglītības centru (DEH) finansiālu atbalstu. </w:t>
            </w:r>
          </w:p>
          <w:p w14:paraId="645D300F" w14:textId="77777777" w:rsidR="00327FF1" w:rsidRDefault="00E406C7">
            <w:pPr>
              <w:pStyle w:val="P68B1DB1-Normal12"/>
              <w:rPr>
                <w:noProof/>
              </w:rPr>
            </w:pPr>
            <w:r>
              <w:rPr>
                <w:noProof/>
              </w:rPr>
              <w:t xml:space="preserve">Līgumus </w:t>
            </w:r>
            <w:r>
              <w:rPr>
                <w:i/>
                <w:noProof/>
              </w:rPr>
              <w:t>(“Atti d’obbligo”)</w:t>
            </w:r>
            <w:r>
              <w:rPr>
                <w:noProof/>
              </w:rPr>
              <w:t xml:space="preserve"> par 3 augstākās izglītības iestāžu tīkliem paraksta [..].</w:t>
            </w:r>
          </w:p>
          <w:p w14:paraId="660997D3" w14:textId="224DC850" w:rsidR="00327FF1" w:rsidRDefault="00E406C7">
            <w:pPr>
              <w:pStyle w:val="P68B1DB1-Normal12"/>
              <w:rPr>
                <w:noProof/>
              </w:rPr>
            </w:pPr>
            <w:r>
              <w:rPr>
                <w:noProof/>
              </w:rPr>
              <w:t xml:space="preserve">Paraksta vismaz 10 partnerības, ko apliecina </w:t>
            </w:r>
            <w:r>
              <w:rPr>
                <w:i/>
                <w:noProof/>
              </w:rPr>
              <w:t>“Atti d’obbligo</w:t>
            </w:r>
            <w:r>
              <w:rPr>
                <w:noProof/>
              </w:rPr>
              <w:t>”, ar ko izveido starptautiskas izg</w:t>
            </w:r>
            <w:r>
              <w:rPr>
                <w:noProof/>
              </w:rPr>
              <w:t xml:space="preserve">lītības iniciatīvas. </w:t>
            </w:r>
          </w:p>
          <w:p w14:paraId="19125478" w14:textId="77777777" w:rsidR="00327FF1" w:rsidRDefault="00E406C7">
            <w:pPr>
              <w:pStyle w:val="P68B1DB1-Normal12"/>
              <w:rPr>
                <w:rFonts w:eastAsia="Calibri"/>
                <w:noProof/>
              </w:rPr>
            </w:pPr>
            <w:r>
              <w:rPr>
                <w:noProof/>
              </w:rPr>
              <w:t>Paraksta nolīgumus</w:t>
            </w:r>
            <w:r>
              <w:rPr>
                <w:i/>
                <w:noProof/>
              </w:rPr>
              <w:t>(Atti d’</w:t>
            </w:r>
            <w:r>
              <w:rPr>
                <w:noProof/>
              </w:rPr>
              <w:t>obbligo), lai finansiāli atbalstītu vismaz 15 AFAM iestāžu internacionalizācijas projektus.</w:t>
            </w:r>
          </w:p>
        </w:tc>
      </w:tr>
      <w:tr w:rsidR="00327FF1" w14:paraId="00C0F9CC" w14:textId="77777777">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718161" w14:textId="77777777" w:rsidR="00327FF1" w:rsidRDefault="00E406C7">
            <w:pPr>
              <w:pStyle w:val="P68B1DB1-Normal12"/>
              <w:jc w:val="center"/>
              <w:rPr>
                <w:noProof/>
              </w:rPr>
            </w:pPr>
            <w:r>
              <w:rPr>
                <w:noProof/>
              </w:rPr>
              <w:t>M4C1–24</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7D5FDA" w14:textId="77777777" w:rsidR="00327FF1" w:rsidRDefault="00E406C7">
            <w:pPr>
              <w:pStyle w:val="P68B1DB1-Normal11"/>
              <w:jc w:val="center"/>
              <w:rPr>
                <w:noProof/>
              </w:rPr>
            </w:pPr>
            <w:r>
              <w:rPr>
                <w:noProof/>
              </w:rPr>
              <w:t>Investīcija Nr. 1.6. Aktīva orientācija pārejā no skolas uz augstskolu.</w:t>
            </w:r>
          </w:p>
        </w:tc>
        <w:tc>
          <w:tcPr>
            <w:tcW w:w="9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D2DA1A" w14:textId="77777777" w:rsidR="00327FF1" w:rsidRDefault="00E406C7">
            <w:pPr>
              <w:pStyle w:val="P68B1DB1-Normal11"/>
              <w:jc w:val="center"/>
              <w:rPr>
                <w:noProof/>
              </w:rPr>
            </w:pPr>
            <w:r>
              <w:rPr>
                <w:noProof/>
              </w:rPr>
              <w:t>Mērķa</w:t>
            </w:r>
          </w:p>
        </w:tc>
        <w:tc>
          <w:tcPr>
            <w:tcW w:w="17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060238" w14:textId="1D0A60DC" w:rsidR="00327FF1" w:rsidRDefault="00E406C7">
            <w:pPr>
              <w:pStyle w:val="P68B1DB1-Normal12"/>
              <w:jc w:val="center"/>
              <w:rPr>
                <w:noProof/>
              </w:rPr>
            </w:pPr>
            <w:r>
              <w:rPr>
                <w:noProof/>
              </w:rPr>
              <w:t xml:space="preserve">Mācību-universitātes pārejas </w:t>
            </w:r>
            <w:r>
              <w:rPr>
                <w:noProof/>
              </w:rPr>
              <w:t>kursiem izsniegtie apmeklējuma sertifikāti</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8FF1F8" w14:textId="77777777" w:rsidR="00327FF1" w:rsidRDefault="00E406C7">
            <w:pPr>
              <w:pStyle w:val="P68B1DB1-Normal11"/>
              <w:jc w:val="center"/>
              <w:rPr>
                <w:noProof/>
              </w:rPr>
            </w:pPr>
            <w:r>
              <w:rPr>
                <w:noProof/>
              </w:rPr>
              <w:t>NEPIEMĒRO</w:t>
            </w:r>
          </w:p>
        </w:tc>
        <w:tc>
          <w:tcPr>
            <w:tcW w:w="158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425F7B" w14:textId="77777777" w:rsidR="00327FF1" w:rsidRDefault="00E406C7">
            <w:pPr>
              <w:pStyle w:val="P68B1DB1-Normal11"/>
              <w:jc w:val="center"/>
              <w:rPr>
                <w:noProof/>
              </w:rPr>
            </w:pPr>
            <w:r>
              <w:rPr>
                <w:noProof/>
              </w:rPr>
              <w:t>Skaits</w:t>
            </w:r>
          </w:p>
        </w:tc>
        <w:tc>
          <w:tcPr>
            <w:tcW w:w="10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55C7DA" w14:textId="77777777" w:rsidR="00327FF1" w:rsidRDefault="00E406C7">
            <w:pPr>
              <w:pStyle w:val="P68B1DB1-Normal11"/>
              <w:jc w:val="center"/>
              <w:rPr>
                <w:noProof/>
              </w:rPr>
            </w:pPr>
            <w:r>
              <w:rPr>
                <w:noProof/>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E0CBB0" w14:textId="77777777" w:rsidR="00327FF1" w:rsidRDefault="00E406C7">
            <w:pPr>
              <w:pStyle w:val="P68B1DB1-Normal11"/>
              <w:jc w:val="center"/>
              <w:rPr>
                <w:noProof/>
              </w:rPr>
            </w:pPr>
            <w:r>
              <w:rPr>
                <w:noProof/>
              </w:rPr>
              <w:t>1 000 000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F30271" w14:textId="77777777" w:rsidR="00327FF1" w:rsidRDefault="00E406C7">
            <w:pPr>
              <w:pStyle w:val="P68B1DB1-Normal11"/>
              <w:jc w:val="center"/>
              <w:rPr>
                <w:noProof/>
              </w:rPr>
            </w:pPr>
            <w:r>
              <w:rPr>
                <w:noProof/>
              </w:rPr>
              <w:t>2. CET.</w:t>
            </w:r>
          </w:p>
        </w:tc>
        <w:tc>
          <w:tcPr>
            <w:tcW w:w="63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B18B47" w14:textId="77777777" w:rsidR="00327FF1" w:rsidRDefault="00E406C7">
            <w:pPr>
              <w:pStyle w:val="P68B1DB1-Normal11"/>
              <w:jc w:val="center"/>
              <w:rPr>
                <w:noProof/>
              </w:rPr>
            </w:pPr>
            <w:r>
              <w:rPr>
                <w:noProof/>
              </w:rPr>
              <w:t>2026</w:t>
            </w:r>
          </w:p>
        </w:tc>
        <w:tc>
          <w:tcPr>
            <w:tcW w:w="25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392804" w14:textId="77777777" w:rsidR="00327FF1" w:rsidRDefault="00E406C7">
            <w:pPr>
              <w:pStyle w:val="P68B1DB1-Normal12"/>
              <w:rPr>
                <w:noProof/>
              </w:rPr>
            </w:pPr>
            <w:r>
              <w:rPr>
                <w:noProof/>
              </w:rPr>
              <w:t xml:space="preserve">Vidusskolēniem, kas uzņemti akadēmiskajā mācību gadā no 2022./2023. līdz 2025./2026. mācību gadam, ir izsniegti vismaz 1000000 apmeklējuma sertifikātu par pārejas kursiem </w:t>
            </w:r>
            <w:r>
              <w:rPr>
                <w:noProof/>
              </w:rPr>
              <w:t>starp skolu un augstskolām.</w:t>
            </w:r>
          </w:p>
        </w:tc>
      </w:tr>
    </w:tbl>
    <w:p w14:paraId="063BC082" w14:textId="77777777" w:rsidR="00327FF1" w:rsidRDefault="00327FF1">
      <w:pPr>
        <w:tabs>
          <w:tab w:val="left" w:pos="3045"/>
        </w:tabs>
        <w:spacing w:before="120" w:after="120"/>
        <w:jc w:val="both"/>
        <w:rPr>
          <w:b/>
          <w:noProof/>
          <w:u w:val="single"/>
        </w:rPr>
        <w:sectPr w:rsidR="00327FF1" w:rsidSect="005F11B9">
          <w:headerReference w:type="even" r:id="rId178"/>
          <w:headerReference w:type="default" r:id="rId179"/>
          <w:footerReference w:type="even" r:id="rId180"/>
          <w:footerReference w:type="default" r:id="rId181"/>
          <w:headerReference w:type="first" r:id="rId182"/>
          <w:footerReference w:type="first" r:id="rId183"/>
          <w:pgSz w:w="16839" w:h="11907" w:orient="landscape"/>
          <w:pgMar w:top="1134" w:right="1134" w:bottom="1134" w:left="1134" w:header="567" w:footer="567" w:gutter="0"/>
          <w:cols w:space="720"/>
          <w:docGrid w:linePitch="360"/>
        </w:sectPr>
      </w:pPr>
    </w:p>
    <w:p w14:paraId="3D54F3F3" w14:textId="77777777" w:rsidR="00327FF1" w:rsidRDefault="00E406C7">
      <w:pPr>
        <w:pStyle w:val="Heading3"/>
        <w:ind w:left="850" w:hanging="850"/>
        <w:rPr>
          <w:rFonts w:ascii="Times New Roman" w:hAnsi="Times New Roman" w:cs="Times New Roman"/>
          <w:i/>
          <w:noProof/>
          <w:sz w:val="24"/>
          <w:szCs w:val="24"/>
        </w:rPr>
      </w:pPr>
      <w:r>
        <w:rPr>
          <w:rStyle w:val="normaltextrun"/>
          <w:rFonts w:ascii="Times New Roman" w:hAnsi="Times New Roman" w:cs="Times New Roman"/>
          <w:b/>
          <w:noProof/>
          <w:sz w:val="24"/>
          <w:szCs w:val="24"/>
          <w:u w:val="single"/>
        </w:rPr>
        <w:t>J.3. Aizdevumam pieteikto reformu un investīciju apraksts</w:t>
      </w:r>
      <w:r>
        <w:rPr>
          <w:rStyle w:val="eop"/>
          <w:rFonts w:ascii="Times New Roman" w:hAnsi="Times New Roman" w:cs="Times New Roman"/>
          <w:noProof/>
          <w:sz w:val="24"/>
          <w:szCs w:val="24"/>
        </w:rPr>
        <w:t xml:space="preserve"> </w:t>
      </w:r>
    </w:p>
    <w:p w14:paraId="7F1F8381" w14:textId="77777777" w:rsidR="00327FF1" w:rsidRDefault="00E406C7">
      <w:pPr>
        <w:pStyle w:val="paragraph"/>
        <w:spacing w:before="0" w:beforeAutospacing="0" w:after="0" w:afterAutospacing="0"/>
        <w:jc w:val="both"/>
        <w:textAlignment w:val="baseline"/>
        <w:rPr>
          <w:rStyle w:val="normaltextrun"/>
          <w:rFonts w:ascii="Segoe UI" w:hAnsi="Segoe UI" w:cs="Segoe UI"/>
          <w:noProof/>
          <w:sz w:val="18"/>
          <w:szCs w:val="18"/>
        </w:rPr>
      </w:pPr>
      <w:r>
        <w:rPr>
          <w:rStyle w:val="eop"/>
          <w:noProof/>
        </w:rPr>
        <w:t xml:space="preserve"> </w:t>
      </w:r>
    </w:p>
    <w:p w14:paraId="7704DEBA" w14:textId="57CFDD16" w:rsidR="00327FF1" w:rsidRDefault="00E406C7">
      <w:pPr>
        <w:pStyle w:val="paragraph"/>
        <w:spacing w:before="0" w:beforeAutospacing="0" w:after="0" w:afterAutospacing="0"/>
        <w:jc w:val="both"/>
        <w:textAlignment w:val="baseline"/>
        <w:rPr>
          <w:rFonts w:ascii="Segoe UI" w:hAnsi="Segoe UI" w:cs="Segoe UI"/>
          <w:noProof/>
          <w:sz w:val="18"/>
          <w:szCs w:val="18"/>
        </w:rPr>
      </w:pPr>
      <w:r>
        <w:rPr>
          <w:rStyle w:val="normaltextrun"/>
          <w:b/>
          <w:noProof/>
        </w:rPr>
        <w:t xml:space="preserve">Reforma Nr. 1.7: Studentu mājokļu regulējuma reforma un ieguldījumi studentu mājokļos </w:t>
      </w:r>
    </w:p>
    <w:p w14:paraId="10E170F2" w14:textId="77777777" w:rsidR="00327FF1" w:rsidRDefault="00327FF1">
      <w:pPr>
        <w:pStyle w:val="paragraph"/>
        <w:spacing w:before="0" w:beforeAutospacing="0" w:after="0" w:afterAutospacing="0"/>
        <w:jc w:val="both"/>
        <w:textAlignment w:val="baseline"/>
        <w:rPr>
          <w:rStyle w:val="normaltextrun"/>
          <w:noProof/>
          <w:sz w:val="22"/>
          <w:szCs w:val="22"/>
        </w:rPr>
      </w:pPr>
    </w:p>
    <w:p w14:paraId="33B6B2A1" w14:textId="3AD17891" w:rsidR="00327FF1" w:rsidRDefault="00E406C7">
      <w:pPr>
        <w:pStyle w:val="paragraph"/>
        <w:spacing w:before="0" w:beforeAutospacing="0" w:after="120" w:afterAutospacing="0"/>
        <w:jc w:val="both"/>
        <w:rPr>
          <w:rFonts w:ascii="Segoe UI" w:hAnsi="Segoe UI" w:cs="Segoe UI"/>
          <w:noProof/>
          <w:sz w:val="22"/>
          <w:szCs w:val="22"/>
        </w:rPr>
      </w:pPr>
      <w:r>
        <w:rPr>
          <w:rStyle w:val="normaltextrun"/>
          <w:noProof/>
          <w:sz w:val="22"/>
          <w:szCs w:val="22"/>
        </w:rPr>
        <w:t xml:space="preserve">Reformas mērķis ir palielināt universitāšu studentu izmitināšanas iespējas, veicinot privātus un publiskus ieguldījumus objektos ar Universitātes un pētniecības ministrijas ieguldījumu. </w:t>
      </w:r>
    </w:p>
    <w:p w14:paraId="02EFA59B" w14:textId="77777777" w:rsidR="00327FF1" w:rsidRDefault="00E406C7">
      <w:pPr>
        <w:pStyle w:val="paragraph"/>
        <w:spacing w:before="0" w:beforeAutospacing="0" w:after="120" w:afterAutospacing="0"/>
        <w:jc w:val="both"/>
        <w:textAlignment w:val="baseline"/>
        <w:rPr>
          <w:rFonts w:ascii="Segoe UI" w:hAnsi="Segoe UI" w:cs="Segoe UI"/>
          <w:noProof/>
          <w:sz w:val="22"/>
          <w:szCs w:val="22"/>
        </w:rPr>
      </w:pPr>
      <w:r>
        <w:rPr>
          <w:rStyle w:val="normaltextrun"/>
          <w:noProof/>
          <w:sz w:val="22"/>
          <w:szCs w:val="22"/>
        </w:rPr>
        <w:t>Ieguldījums ietver papildu izmitināšanas vietu nodrošināšanu studenti</w:t>
      </w:r>
      <w:r>
        <w:rPr>
          <w:rStyle w:val="normaltextrun"/>
          <w:noProof/>
          <w:sz w:val="22"/>
          <w:szCs w:val="22"/>
        </w:rPr>
        <w:t xml:space="preserve">em. </w:t>
      </w:r>
    </w:p>
    <w:p w14:paraId="3EB0D9FD" w14:textId="77777777" w:rsidR="00327FF1" w:rsidRDefault="00E406C7">
      <w:pPr>
        <w:pStyle w:val="P68B1DB1-Normal5"/>
        <w:spacing w:before="120" w:after="120"/>
        <w:jc w:val="both"/>
        <w:rPr>
          <w:noProof/>
        </w:rPr>
      </w:pPr>
      <w:r>
        <w:rPr>
          <w:noProof/>
        </w:rPr>
        <w:t>Investīcija 1.1: Bērnudārzu un pirmsskolas izglītības un aprūpes pakalpojumu plāns</w:t>
      </w:r>
    </w:p>
    <w:p w14:paraId="21A79EF9" w14:textId="588E247F" w:rsidR="00327FF1" w:rsidRDefault="00E406C7">
      <w:pPr>
        <w:pStyle w:val="P68B1DB1-Normal7"/>
        <w:spacing w:before="120" w:after="120"/>
        <w:jc w:val="both"/>
        <w:rPr>
          <w:noProof/>
        </w:rPr>
      </w:pPr>
      <w:r>
        <w:rPr>
          <w:noProof/>
        </w:rPr>
        <w:t xml:space="preserve">Šīs investīcijas mērķis ir palielināt un uzlabot izglītības iestādes bērniem vecumā no 0 līdz 6 gadiem. Investīcija ietver bērnu aprūpes vietu būvniecību, pārveidošanu </w:t>
      </w:r>
      <w:r>
        <w:rPr>
          <w:noProof/>
        </w:rPr>
        <w:t>un atjaunošanu bērnudārzos un pirmsskolas iestādēs.</w:t>
      </w:r>
    </w:p>
    <w:p w14:paraId="368A7BB1" w14:textId="77777777" w:rsidR="00327FF1" w:rsidRDefault="00E406C7">
      <w:pPr>
        <w:pStyle w:val="P68B1DB1-Normal5"/>
        <w:spacing w:before="120" w:after="120"/>
        <w:jc w:val="both"/>
        <w:rPr>
          <w:noProof/>
        </w:rPr>
      </w:pPr>
      <w:r>
        <w:rPr>
          <w:noProof/>
        </w:rPr>
        <w:t>Ieguldījums 1.2. Plāns pilna laika pagarināšanai</w:t>
      </w:r>
    </w:p>
    <w:p w14:paraId="79B808D8" w14:textId="77777777" w:rsidR="00327FF1" w:rsidRDefault="00E406C7">
      <w:pPr>
        <w:pStyle w:val="P68B1DB1-Normal7"/>
        <w:spacing w:before="120" w:after="120"/>
        <w:jc w:val="both"/>
        <w:rPr>
          <w:b/>
          <w:noProof/>
        </w:rPr>
      </w:pPr>
      <w:r>
        <w:rPr>
          <w:noProof/>
        </w:rPr>
        <w:t>Šā pasākuma mērķis ir ļaut skolu iestādēm pagarināt mācību stundas, atjaunojot vai būvējot infrastruktūru. Investīcija ietver ēdnīcu telpu būvniecību vai b</w:t>
      </w:r>
      <w:r>
        <w:rPr>
          <w:noProof/>
        </w:rPr>
        <w:t>ūvniecību skolu telpās.</w:t>
      </w:r>
      <w:r>
        <w:rPr>
          <w:b/>
          <w:noProof/>
        </w:rPr>
        <w:t xml:space="preserve"> </w:t>
      </w:r>
    </w:p>
    <w:p w14:paraId="2438349E" w14:textId="77777777" w:rsidR="00327FF1" w:rsidRDefault="00E406C7">
      <w:pPr>
        <w:pStyle w:val="P68B1DB1-Normal5"/>
        <w:spacing w:before="120" w:after="120"/>
        <w:jc w:val="both"/>
        <w:rPr>
          <w:noProof/>
        </w:rPr>
      </w:pPr>
      <w:r>
        <w:rPr>
          <w:noProof/>
        </w:rPr>
        <w:t>Investīcija 3.3.: Skolu ēku drošības un strukturālās rehabilitācijas plāns</w:t>
      </w:r>
    </w:p>
    <w:p w14:paraId="18411604" w14:textId="40D896C8" w:rsidR="00327FF1" w:rsidRDefault="00E406C7">
      <w:pPr>
        <w:pStyle w:val="P68B1DB1-Normal7"/>
        <w:spacing w:before="120" w:after="120"/>
        <w:jc w:val="both"/>
        <w:rPr>
          <w:rStyle w:val="eop"/>
          <w:noProof/>
        </w:rPr>
      </w:pPr>
      <w:r>
        <w:rPr>
          <w:noProof/>
        </w:rPr>
        <w:t>Pasākuma mērķis ir palielināt skolu ēku drošību un energoefektivitāti. Šis pasākums ietver skolu ēku renovāciju un rekonstrukciju.</w:t>
      </w:r>
    </w:p>
    <w:p w14:paraId="13F64FE1" w14:textId="77777777" w:rsidR="00327FF1" w:rsidRDefault="00E406C7">
      <w:pPr>
        <w:pStyle w:val="P68B1DB1-Normal5"/>
        <w:jc w:val="both"/>
        <w:rPr>
          <w:bCs/>
          <w:noProof/>
        </w:rPr>
      </w:pPr>
      <w:r>
        <w:rPr>
          <w:noProof/>
        </w:rPr>
        <w:t>Ieguldījums Nr. 5: Studen</w:t>
      </w:r>
      <w:r>
        <w:rPr>
          <w:noProof/>
        </w:rPr>
        <w:t>tu mājokļu fonds</w:t>
      </w:r>
    </w:p>
    <w:p w14:paraId="6B631598" w14:textId="77777777" w:rsidR="00327FF1" w:rsidRDefault="00E406C7">
      <w:pPr>
        <w:pStyle w:val="P68B1DB1-Normal7"/>
        <w:spacing w:line="240" w:lineRule="auto"/>
        <w:jc w:val="both"/>
        <w:rPr>
          <w:noProof/>
        </w:rPr>
      </w:pPr>
      <w:r>
        <w:rPr>
          <w:noProof/>
        </w:rPr>
        <w:t>Šis pasākums ietver publiskus ieguldījumus dotāciju shēmā, lai stimulētu privātos ieguldījumus un uzlabotu piekļuvi finansējumam studentu mājokļu nozarē Itālijā. Shēma darbojas, piešķirot dotācijas tieši privātajam sektoram, kā arī publisk</w:t>
      </w:r>
      <w:r>
        <w:rPr>
          <w:noProof/>
        </w:rPr>
        <w:t xml:space="preserve">ā sektora struktūrām, kas veic līdzīgas darbības. </w:t>
      </w:r>
    </w:p>
    <w:p w14:paraId="53406486" w14:textId="77777777" w:rsidR="00327FF1" w:rsidRDefault="00E406C7">
      <w:pPr>
        <w:pStyle w:val="P68B1DB1-Normal7"/>
        <w:spacing w:line="240" w:lineRule="auto"/>
        <w:jc w:val="both"/>
        <w:rPr>
          <w:noProof/>
        </w:rPr>
      </w:pPr>
      <w:r>
        <w:rPr>
          <w:noProof/>
        </w:rPr>
        <w:t>Shēmu pārvalda Cassa Depositi e Prestiti S.p.A. (CDP S.p.A.) kā īstenošanas partneris. Shēma ietver šādu produktu līniju:</w:t>
      </w:r>
    </w:p>
    <w:p w14:paraId="685D4FB4" w14:textId="55796BF2" w:rsidR="00327FF1" w:rsidRDefault="00E406C7">
      <w:pPr>
        <w:pStyle w:val="P68B1DB1-ListParagraph37"/>
        <w:keepNext/>
        <w:numPr>
          <w:ilvl w:val="0"/>
          <w:numId w:val="73"/>
        </w:numPr>
        <w:spacing w:line="240" w:lineRule="auto"/>
        <w:jc w:val="both"/>
        <w:rPr>
          <w:noProof/>
        </w:rPr>
      </w:pPr>
      <w:r>
        <w:rPr>
          <w:noProof/>
        </w:rPr>
        <w:t xml:space="preserve">Fiksētas summas dotācija ne vairāk kā 20 000 EUR apmērā studentu gultai. </w:t>
      </w:r>
    </w:p>
    <w:p w14:paraId="5EC7A33A" w14:textId="77777777" w:rsidR="00327FF1" w:rsidRDefault="00E406C7">
      <w:pPr>
        <w:pStyle w:val="P68B1DB1-Normal7"/>
        <w:spacing w:line="240" w:lineRule="auto"/>
        <w:jc w:val="both"/>
        <w:rPr>
          <w:noProof/>
        </w:rPr>
      </w:pPr>
      <w:r>
        <w:rPr>
          <w:noProof/>
        </w:rPr>
        <w:t xml:space="preserve">Lai </w:t>
      </w:r>
      <w:r>
        <w:rPr>
          <w:noProof/>
        </w:rPr>
        <w:t>īstenotu ieguldījumu shēmā, Itālija un CDP S.p.A. paraksta īstenošanas nolīgumu, kurā ietver šādu saturu:</w:t>
      </w:r>
    </w:p>
    <w:p w14:paraId="2BCDC50F" w14:textId="77777777" w:rsidR="00327FF1" w:rsidRDefault="00E406C7">
      <w:pPr>
        <w:pStyle w:val="P68B1DB1-LegalNumPar79"/>
        <w:numPr>
          <w:ilvl w:val="0"/>
          <w:numId w:val="172"/>
        </w:numPr>
        <w:spacing w:line="259" w:lineRule="auto"/>
        <w:jc w:val="both"/>
        <w:rPr>
          <w:rFonts w:eastAsia="Times New Roman"/>
          <w:noProof/>
        </w:rPr>
      </w:pPr>
      <w:r>
        <w:rPr>
          <w:noProof/>
        </w:rPr>
        <w:t>Shēmas lēmumu pieņemšanas procesa apraksts: Galīgo lēmumu par shēmas piešķiršanu pieņem ieguldījumu komiteja vai cita līdzvērtīga pārvaldes struktūra,</w:t>
      </w:r>
      <w:r>
        <w:rPr>
          <w:noProof/>
        </w:rPr>
        <w:t xml:space="preserve"> un to apstiprina ar no valdības neatkarīgu locekļu balsu vairākumu.</w:t>
      </w:r>
    </w:p>
    <w:p w14:paraId="100D93E3" w14:textId="77777777" w:rsidR="00327FF1" w:rsidRDefault="00E406C7">
      <w:pPr>
        <w:pStyle w:val="P68B1DB1-LegalNumPar79"/>
        <w:numPr>
          <w:ilvl w:val="0"/>
          <w:numId w:val="85"/>
        </w:numPr>
        <w:spacing w:line="259" w:lineRule="auto"/>
        <w:jc w:val="both"/>
        <w:rPr>
          <w:noProof/>
        </w:rPr>
      </w:pPr>
      <w:r>
        <w:rPr>
          <w:noProof/>
        </w:rPr>
        <w:t>Saistītās dotāciju politikas galvenās prasības,</w:t>
      </w:r>
      <w:r>
        <w:rPr>
          <w:b/>
          <w:noProof/>
        </w:rPr>
        <w:t xml:space="preserve"> </w:t>
      </w:r>
      <w:r>
        <w:rPr>
          <w:noProof/>
        </w:rPr>
        <w:t>kas ietver:</w:t>
      </w:r>
    </w:p>
    <w:p w14:paraId="73EF3138" w14:textId="77777777" w:rsidR="00327FF1" w:rsidRDefault="00E406C7">
      <w:pPr>
        <w:pStyle w:val="P68B1DB1-LegalNumPar280"/>
        <w:numPr>
          <w:ilvl w:val="1"/>
          <w:numId w:val="85"/>
        </w:numPr>
        <w:spacing w:line="259" w:lineRule="auto"/>
        <w:jc w:val="both"/>
        <w:rPr>
          <w:bCs/>
          <w:noProof/>
        </w:rPr>
      </w:pPr>
      <w:r>
        <w:rPr>
          <w:noProof/>
        </w:rPr>
        <w:t>Ieguldījumu sociālās vajadzības, tostarp:</w:t>
      </w:r>
    </w:p>
    <w:p w14:paraId="3A4035AB" w14:textId="47512FCB" w:rsidR="00327FF1" w:rsidRDefault="00E406C7">
      <w:pPr>
        <w:pStyle w:val="P68B1DB1-LegalNumPar392"/>
        <w:numPr>
          <w:ilvl w:val="2"/>
          <w:numId w:val="85"/>
        </w:numPr>
        <w:spacing w:line="259" w:lineRule="auto"/>
        <w:jc w:val="both"/>
        <w:rPr>
          <w:rFonts w:eastAsia="Calibri"/>
          <w:noProof/>
        </w:rPr>
      </w:pPr>
      <w:r>
        <w:rPr>
          <w:noProof/>
        </w:rPr>
        <w:t>Prasību, ka īres maksa augstskolu studentiem ir vismaz par 15 % zemāka nekā vietējā t</w:t>
      </w:r>
      <w:r>
        <w:rPr>
          <w:noProof/>
        </w:rPr>
        <w:t>irgus cena.</w:t>
      </w:r>
    </w:p>
    <w:p w14:paraId="4C57B291" w14:textId="77777777" w:rsidR="00327FF1" w:rsidRDefault="00E406C7">
      <w:pPr>
        <w:pStyle w:val="P68B1DB1-LegalNumPar392"/>
        <w:numPr>
          <w:ilvl w:val="2"/>
          <w:numId w:val="85"/>
        </w:numPr>
        <w:spacing w:line="259" w:lineRule="auto"/>
        <w:jc w:val="both"/>
        <w:rPr>
          <w:noProof/>
        </w:rPr>
      </w:pPr>
      <w:r>
        <w:rPr>
          <w:noProof/>
        </w:rPr>
        <w:t>Prasība, ka 30 % jauno vietu ir jārezervē studentiem, kuri saskaras ar sociālekonomiskām grūtībām, kā to definējušas Diritto allo Studio organizācijas (tiesības studēt).</w:t>
      </w:r>
    </w:p>
    <w:p w14:paraId="5B6A4F86" w14:textId="77777777" w:rsidR="00327FF1" w:rsidRDefault="00E406C7">
      <w:pPr>
        <w:pStyle w:val="P68B1DB1-LegalNumPar392"/>
        <w:spacing w:line="259" w:lineRule="auto"/>
        <w:jc w:val="both"/>
        <w:rPr>
          <w:noProof/>
        </w:rPr>
      </w:pPr>
      <w:r>
        <w:rPr>
          <w:noProof/>
        </w:rPr>
        <w:t>Prasība, ka esošās izmitināšanas vietas, kas tika izmantotas studentu mājo</w:t>
      </w:r>
      <w:r>
        <w:rPr>
          <w:noProof/>
        </w:rPr>
        <w:t>kļiem laikā, kad tika izsludināts attiecīgais uzaicinājums iesniegt projektus, nevar tikt finansētas.</w:t>
      </w:r>
    </w:p>
    <w:p w14:paraId="1879A245" w14:textId="77777777" w:rsidR="00327FF1" w:rsidRDefault="00E406C7">
      <w:pPr>
        <w:pStyle w:val="P68B1DB1-LegalNumPar280"/>
        <w:numPr>
          <w:ilvl w:val="1"/>
          <w:numId w:val="85"/>
        </w:numPr>
        <w:spacing w:line="259" w:lineRule="auto"/>
        <w:jc w:val="both"/>
        <w:rPr>
          <w:noProof/>
        </w:rPr>
      </w:pPr>
      <w:r>
        <w:rPr>
          <w:noProof/>
        </w:rPr>
        <w:t xml:space="preserve">Apraksts par piešķirtajām dotācijām un atbalsttiesīgajiem galīgajiem saņēmējiem. </w:t>
      </w:r>
    </w:p>
    <w:p w14:paraId="0D52FBB3" w14:textId="77777777" w:rsidR="00327FF1" w:rsidRDefault="00E406C7">
      <w:pPr>
        <w:pStyle w:val="P68B1DB1-LegalNumPar280"/>
        <w:numPr>
          <w:ilvl w:val="1"/>
          <w:numId w:val="85"/>
        </w:numPr>
        <w:spacing w:line="259" w:lineRule="auto"/>
        <w:jc w:val="both"/>
        <w:rPr>
          <w:noProof/>
        </w:rPr>
      </w:pPr>
      <w:r>
        <w:rPr>
          <w:noProof/>
        </w:rPr>
        <w:t>Prasība, ka visiem atbalstītajiem ieguldījumiem jābūt ekonomiski dzīvots</w:t>
      </w:r>
      <w:r>
        <w:rPr>
          <w:noProof/>
        </w:rPr>
        <w:t>pējīgiem</w:t>
      </w:r>
      <w:r>
        <w:rPr>
          <w:b/>
          <w:noProof/>
        </w:rPr>
        <w:t>.</w:t>
      </w:r>
    </w:p>
    <w:p w14:paraId="438EB235" w14:textId="77777777" w:rsidR="00327FF1" w:rsidRDefault="00E406C7">
      <w:pPr>
        <w:pStyle w:val="LegalNumPar2"/>
        <w:spacing w:line="259" w:lineRule="auto"/>
        <w:jc w:val="both"/>
        <w:rPr>
          <w:rFonts w:ascii="Times New Roman" w:hAnsi="Times New Roman" w:cs="Times New Roman"/>
          <w:noProof/>
        </w:rPr>
      </w:pPr>
      <w:r>
        <w:rPr>
          <w:rFonts w:ascii="Times New Roman" w:hAnsi="Times New Roman" w:cs="Times New Roman"/>
          <w:noProof/>
        </w:rPr>
        <w:t xml:space="preserve">Prasība ievērot principu “nenodari būtisku kaitējumu” (DNSH), kā noteikts NBK tehniskajos norādījumos (2021/C58/01). Jo īpaši dotāciju politikā no atbilstības izslēdz šādu darbību un aktīvu sarakstu: I) darbības un aktīvi, kas saistīti ar fosilo </w:t>
      </w:r>
      <w:r>
        <w:rPr>
          <w:rFonts w:ascii="Times New Roman" w:hAnsi="Times New Roman" w:cs="Times New Roman"/>
          <w:noProof/>
        </w:rPr>
        <w:t>kurināmo, tostarp lejupējais izmantojums;</w:t>
      </w:r>
      <w:r>
        <w:rPr>
          <w:rFonts w:ascii="Times New Roman" w:hAnsi="Times New Roman" w:cs="Times New Roman"/>
          <w:noProof/>
        </w:rPr>
        <w:footnoteReference w:id="73"/>
      </w:r>
      <w:r>
        <w:rPr>
          <w:rFonts w:ascii="Times New Roman" w:hAnsi="Times New Roman" w:cs="Times New Roman"/>
          <w:noProof/>
        </w:rPr>
        <w:t>ii) darbības un aktīvi saskaņā ar ES emisijas kvotu tirdzniecības sistēmu (ETS), kuru prognozētās siltumnīcefekta gāzu emisijas nav zemākas par attiecīgajām līmeņatzīmēm;</w:t>
      </w:r>
      <w:r>
        <w:rPr>
          <w:rFonts w:ascii="Times New Roman" w:hAnsi="Times New Roman" w:cs="Times New Roman"/>
          <w:noProof/>
        </w:rPr>
        <w:footnoteReference w:id="74"/>
      </w:r>
      <w:r>
        <w:rPr>
          <w:rFonts w:ascii="Times New Roman" w:hAnsi="Times New Roman" w:cs="Times New Roman"/>
          <w:noProof/>
        </w:rPr>
        <w:t xml:space="preserve">iii) darbības un aktīvi, kas saistīti ar </w:t>
      </w:r>
      <w:r>
        <w:rPr>
          <w:rFonts w:ascii="Times New Roman" w:hAnsi="Times New Roman" w:cs="Times New Roman"/>
          <w:noProof/>
        </w:rPr>
        <w:t>atkritumu poligoniem, sadedzināšanas iekārtām</w:t>
      </w:r>
      <w:r>
        <w:rPr>
          <w:rStyle w:val="FootnoteReference"/>
          <w:rFonts w:ascii="Times New Roman" w:hAnsi="Times New Roman" w:cs="Times New Roman"/>
          <w:noProof/>
        </w:rPr>
        <w:footnoteReference w:id="75"/>
      </w:r>
      <w:r>
        <w:rPr>
          <w:rFonts w:ascii="Times New Roman" w:hAnsi="Times New Roman" w:cs="Times New Roman"/>
          <w:noProof/>
        </w:rPr>
        <w:t xml:space="preserve"> un mehāniski bioloģiskās apstrādes iekārtām</w:t>
      </w:r>
      <w:r>
        <w:rPr>
          <w:rStyle w:val="FootnoteReference"/>
          <w:rFonts w:ascii="Times New Roman" w:hAnsi="Times New Roman" w:cs="Times New Roman"/>
          <w:noProof/>
        </w:rPr>
        <w:footnoteReference w:id="76"/>
      </w:r>
      <w:r>
        <w:rPr>
          <w:rFonts w:ascii="Times New Roman" w:hAnsi="Times New Roman" w:cs="Times New Roman"/>
          <w:noProof/>
        </w:rPr>
        <w:t>. Lai novērstu šaubas, gāzes katli nav tiesīgi saņemt atbalstu saskaņā ar šo pasākumu.</w:t>
      </w:r>
    </w:p>
    <w:p w14:paraId="54576D39" w14:textId="77777777" w:rsidR="00327FF1" w:rsidRDefault="00E406C7">
      <w:pPr>
        <w:pStyle w:val="P68B1DB1-LegalNumPar280"/>
        <w:numPr>
          <w:ilvl w:val="1"/>
          <w:numId w:val="85"/>
        </w:numPr>
        <w:spacing w:line="259" w:lineRule="auto"/>
        <w:jc w:val="both"/>
        <w:rPr>
          <w:bCs/>
          <w:noProof/>
        </w:rPr>
      </w:pPr>
      <w:r>
        <w:rPr>
          <w:noProof/>
        </w:rPr>
        <w:t>Prasību, ka shēmas galasaņēmēji nesaņem atbalstu no citiem Savienības instrume</w:t>
      </w:r>
      <w:r>
        <w:rPr>
          <w:noProof/>
        </w:rPr>
        <w:t>ntiem, lai segtu tās pašas izmaksas.</w:t>
      </w:r>
    </w:p>
    <w:p w14:paraId="390618F8" w14:textId="77777777" w:rsidR="00327FF1" w:rsidRDefault="00E406C7">
      <w:pPr>
        <w:pStyle w:val="P68B1DB1-LegalNumPar79"/>
        <w:numPr>
          <w:ilvl w:val="0"/>
          <w:numId w:val="85"/>
        </w:numPr>
        <w:spacing w:line="259" w:lineRule="auto"/>
        <w:jc w:val="both"/>
        <w:rPr>
          <w:noProof/>
        </w:rPr>
      </w:pPr>
      <w:r>
        <w:rPr>
          <w:noProof/>
        </w:rPr>
        <w:t>Īstenošanas nolīguma aptvertā summa, īstenošanas partnera maksu struktūra un prasība visus neizmantotos ieņēmumus no shēmas, tostarp pēc 2026. gada, izmantot tiem pašiem politikas mērķiem.</w:t>
      </w:r>
    </w:p>
    <w:p w14:paraId="39F8C633" w14:textId="77777777" w:rsidR="00327FF1" w:rsidRDefault="00E406C7">
      <w:pPr>
        <w:pStyle w:val="P68B1DB1-LegalNumPar79"/>
        <w:numPr>
          <w:ilvl w:val="0"/>
          <w:numId w:val="85"/>
        </w:numPr>
        <w:spacing w:line="259" w:lineRule="auto"/>
        <w:jc w:val="both"/>
        <w:rPr>
          <w:noProof/>
        </w:rPr>
      </w:pPr>
      <w:r>
        <w:rPr>
          <w:noProof/>
        </w:rPr>
        <w:t>Uzraudzības, revīzijas un kont</w:t>
      </w:r>
      <w:r>
        <w:rPr>
          <w:noProof/>
        </w:rPr>
        <w:t>roles prasības, tostarp:</w:t>
      </w:r>
    </w:p>
    <w:p w14:paraId="17D85FC8" w14:textId="77777777" w:rsidR="00327FF1" w:rsidRDefault="00E406C7">
      <w:pPr>
        <w:pStyle w:val="P68B1DB1-Normal7"/>
        <w:numPr>
          <w:ilvl w:val="0"/>
          <w:numId w:val="173"/>
        </w:numPr>
        <w:spacing w:line="240" w:lineRule="auto"/>
        <w:jc w:val="both"/>
        <w:rPr>
          <w:noProof/>
        </w:rPr>
      </w:pPr>
      <w:r>
        <w:rPr>
          <w:noProof/>
        </w:rPr>
        <w:t>Apraksts par īstenošanas partnera uzraudzības sistēmu ziņošanai par mobilizētajām dotācijām.</w:t>
      </w:r>
    </w:p>
    <w:p w14:paraId="150E4026" w14:textId="125D6F28" w:rsidR="00327FF1" w:rsidRDefault="00E406C7">
      <w:pPr>
        <w:pStyle w:val="P68B1DB1-Normal7"/>
        <w:numPr>
          <w:ilvl w:val="0"/>
          <w:numId w:val="173"/>
        </w:numPr>
        <w:spacing w:line="240" w:lineRule="auto"/>
        <w:jc w:val="both"/>
        <w:rPr>
          <w:noProof/>
        </w:rPr>
      </w:pPr>
      <w:r>
        <w:rPr>
          <w:noProof/>
        </w:rPr>
        <w:t>Apraksts par īstenošanas partnera procedūrām, kas nodrošinās krāpšanas, korupcijas un interešu konfliktu novēršanu, atklāšanu un labošanu.</w:t>
      </w:r>
    </w:p>
    <w:p w14:paraId="1C9F443C" w14:textId="77777777" w:rsidR="00327FF1" w:rsidRDefault="00E406C7">
      <w:pPr>
        <w:pStyle w:val="P68B1DB1-Normal7"/>
        <w:numPr>
          <w:ilvl w:val="0"/>
          <w:numId w:val="173"/>
        </w:numPr>
        <w:spacing w:line="240" w:lineRule="auto"/>
        <w:jc w:val="both"/>
        <w:rPr>
          <w:noProof/>
        </w:rPr>
      </w:pPr>
      <w:r>
        <w:rPr>
          <w:noProof/>
        </w:rPr>
        <w:t>Pienākums pārbaudīt katras darbības atbilstību saskaņā ar īstenošanas nolīgumā noteiktajām prasībām pirms dotācijas piešķiršanas darbībai.</w:t>
      </w:r>
    </w:p>
    <w:p w14:paraId="5CD14373" w14:textId="4C5CBBD9" w:rsidR="00327FF1" w:rsidRDefault="00E406C7">
      <w:pPr>
        <w:numPr>
          <w:ilvl w:val="0"/>
          <w:numId w:val="173"/>
        </w:numPr>
        <w:spacing w:line="240" w:lineRule="auto"/>
        <w:jc w:val="both"/>
        <w:rPr>
          <w:rFonts w:ascii="Times New Roman" w:hAnsi="Times New Roman" w:cs="Times New Roman"/>
          <w:noProof/>
        </w:rPr>
      </w:pPr>
      <w:r>
        <w:rPr>
          <w:rFonts w:ascii="Times New Roman" w:hAnsi="Times New Roman" w:cs="Times New Roman"/>
          <w:noProof/>
        </w:rPr>
        <w:t xml:space="preserve">Pienākums veikt uz risku balstītas ex post revīzijas saskaņā ar CDP S.p.A revīzijas plānu. Šajās revīzijās pārbauda </w:t>
      </w:r>
      <w:r>
        <w:rPr>
          <w:rFonts w:ascii="Times New Roman" w:hAnsi="Times New Roman" w:cs="Times New Roman"/>
          <w:noProof/>
        </w:rPr>
        <w:t xml:space="preserve">i) kontroles sistēmu efektivitāti, tostarp krāpšanas, korupcijas un interešu konfliktu atklāšanu; atbilstība principam “nenodarīt būtisku kaitējumu”, valsts atbalsta noteikumiem; un iii) ka ir ievērota prasība, ka shēmas galasaņēmēji nav saņēmuši atbalstu </w:t>
      </w:r>
      <w:r>
        <w:rPr>
          <w:rFonts w:ascii="Times New Roman" w:hAnsi="Times New Roman" w:cs="Times New Roman"/>
          <w:noProof/>
        </w:rPr>
        <w:t xml:space="preserve">no citiem Savienības instrumentiem, lai segtu tās pašas izmaksas. Revīzijās pārbauda arī darījumu likumību un to, vai tiek ievēroti piemērojamā īstenošanas nolīguma dotāciju nolīgumu nosacījumi. </w:t>
      </w:r>
      <w:r>
        <w:rPr>
          <w:rFonts w:ascii="Times New Roman" w:eastAsia="Times New Roman" w:hAnsi="Times New Roman" w:cs="Times New Roman"/>
          <w:noProof/>
          <w:u w:val="single"/>
        </w:rPr>
        <w:br w:type="page"/>
      </w:r>
    </w:p>
    <w:p w14:paraId="631567D2" w14:textId="77777777" w:rsidR="00327FF1" w:rsidRDefault="00327FF1">
      <w:pPr>
        <w:pStyle w:val="paragraph"/>
        <w:spacing w:before="0" w:beforeAutospacing="0" w:after="120" w:afterAutospacing="0"/>
        <w:jc w:val="both"/>
        <w:textAlignment w:val="baseline"/>
        <w:rPr>
          <w:rStyle w:val="eop"/>
          <w:noProof/>
        </w:rPr>
        <w:sectPr w:rsidR="00327FF1" w:rsidSect="005F11B9">
          <w:headerReference w:type="even" r:id="rId184"/>
          <w:headerReference w:type="default" r:id="rId185"/>
          <w:footerReference w:type="even" r:id="rId186"/>
          <w:footerReference w:type="default" r:id="rId187"/>
          <w:headerReference w:type="first" r:id="rId188"/>
          <w:footerReference w:type="first" r:id="rId189"/>
          <w:pgSz w:w="11907" w:h="16839"/>
          <w:pgMar w:top="1134" w:right="1134" w:bottom="1134" w:left="1134" w:header="567" w:footer="567" w:gutter="0"/>
          <w:cols w:space="720"/>
          <w:docGrid w:linePitch="360"/>
        </w:sectPr>
      </w:pPr>
    </w:p>
    <w:p w14:paraId="473CC359" w14:textId="77777777" w:rsidR="00327FF1" w:rsidRDefault="00E406C7">
      <w:pPr>
        <w:pStyle w:val="Heading3"/>
        <w:ind w:left="850" w:hanging="850"/>
        <w:rPr>
          <w:rFonts w:ascii="Times New Roman" w:hAnsi="Times New Roman" w:cs="Times New Roman"/>
          <w:i/>
          <w:iCs/>
          <w:noProof/>
          <w:sz w:val="24"/>
          <w:szCs w:val="24"/>
        </w:rPr>
      </w:pPr>
      <w:r>
        <w:rPr>
          <w:rStyle w:val="normaltextrun"/>
          <w:rFonts w:ascii="Times New Roman" w:hAnsi="Times New Roman" w:cs="Times New Roman"/>
          <w:b/>
          <w:noProof/>
          <w:sz w:val="24"/>
          <w:szCs w:val="24"/>
          <w:u w:val="single"/>
        </w:rPr>
        <w:t>J.4. Atskaites punkti, mērķrādītāji, citi rādītāji un aizdevuma uzraudzības un īstenošanas grafiks</w:t>
      </w:r>
      <w:r>
        <w:rPr>
          <w:rStyle w:val="eop"/>
          <w:rFonts w:ascii="Times New Roman" w:hAnsi="Times New Roman" w:cs="Times New Roman"/>
          <w:noProof/>
          <w:sz w:val="24"/>
          <w:szCs w:val="24"/>
        </w:rPr>
        <w:t xml:space="preserve"> </w:t>
      </w:r>
    </w:p>
    <w:tbl>
      <w:tblPr>
        <w:tblW w:w="15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8"/>
        <w:gridCol w:w="1701"/>
        <w:gridCol w:w="1135"/>
        <w:gridCol w:w="1814"/>
        <w:gridCol w:w="1578"/>
        <w:gridCol w:w="1148"/>
        <w:gridCol w:w="1133"/>
        <w:gridCol w:w="848"/>
        <w:gridCol w:w="900"/>
        <w:gridCol w:w="710"/>
        <w:gridCol w:w="3208"/>
      </w:tblGrid>
      <w:tr w:rsidR="00327FF1" w14:paraId="2BAE7A71" w14:textId="77777777">
        <w:trPr>
          <w:trHeight w:val="300"/>
          <w:tblHeader/>
          <w:jc w:val="center"/>
        </w:trPr>
        <w:tc>
          <w:tcPr>
            <w:tcW w:w="1078" w:type="dxa"/>
            <w:vMerge w:val="restart"/>
            <w:shd w:val="clear" w:color="auto" w:fill="BDD7EE"/>
            <w:vAlign w:val="center"/>
            <w:hideMark/>
          </w:tcPr>
          <w:p w14:paraId="011F01EE" w14:textId="77777777" w:rsidR="00327FF1" w:rsidRDefault="00E406C7">
            <w:pPr>
              <w:pStyle w:val="P68B1DB1-Normal93"/>
              <w:jc w:val="center"/>
              <w:rPr>
                <w:bCs/>
                <w:noProof/>
              </w:rPr>
            </w:pPr>
            <w:r>
              <w:rPr>
                <w:noProof/>
              </w:rPr>
              <w:t>Kārtas numurs</w:t>
            </w:r>
          </w:p>
        </w:tc>
        <w:tc>
          <w:tcPr>
            <w:tcW w:w="1701" w:type="dxa"/>
            <w:vMerge w:val="restart"/>
            <w:shd w:val="clear" w:color="auto" w:fill="BDD7EE"/>
            <w:vAlign w:val="center"/>
            <w:hideMark/>
          </w:tcPr>
          <w:p w14:paraId="1D99BDB6" w14:textId="77777777" w:rsidR="00327FF1" w:rsidRDefault="00E406C7">
            <w:pPr>
              <w:pStyle w:val="P68B1DB1-Normal93"/>
              <w:jc w:val="center"/>
              <w:rPr>
                <w:bCs/>
                <w:noProof/>
              </w:rPr>
            </w:pPr>
            <w:r>
              <w:rPr>
                <w:noProof/>
              </w:rPr>
              <w:t>Saistītais pasākums (reforma vai ieguldījums)</w:t>
            </w:r>
          </w:p>
        </w:tc>
        <w:tc>
          <w:tcPr>
            <w:tcW w:w="1135" w:type="dxa"/>
            <w:vMerge w:val="restart"/>
            <w:shd w:val="clear" w:color="auto" w:fill="BDD7EE"/>
            <w:vAlign w:val="center"/>
            <w:hideMark/>
          </w:tcPr>
          <w:p w14:paraId="2E0FB614" w14:textId="7B30A9D1" w:rsidR="00327FF1" w:rsidRDefault="00E406C7">
            <w:pPr>
              <w:pStyle w:val="P68B1DB1-Normal93"/>
              <w:jc w:val="center"/>
              <w:rPr>
                <w:bCs/>
                <w:noProof/>
              </w:rPr>
            </w:pPr>
            <w:r>
              <w:rPr>
                <w:noProof/>
              </w:rPr>
              <w:t>Atskaites punkts/mērķrādītājs</w:t>
            </w:r>
          </w:p>
        </w:tc>
        <w:tc>
          <w:tcPr>
            <w:tcW w:w="1814" w:type="dxa"/>
            <w:vMerge w:val="restart"/>
            <w:shd w:val="clear" w:color="auto" w:fill="BDD7EE"/>
            <w:vAlign w:val="center"/>
            <w:hideMark/>
          </w:tcPr>
          <w:p w14:paraId="2BC8DCC5" w14:textId="77777777" w:rsidR="00327FF1" w:rsidRDefault="00E406C7">
            <w:pPr>
              <w:pStyle w:val="P68B1DB1-Normal93"/>
              <w:jc w:val="center"/>
              <w:rPr>
                <w:bCs/>
                <w:noProof/>
              </w:rPr>
            </w:pPr>
            <w:r>
              <w:rPr>
                <w:noProof/>
              </w:rPr>
              <w:t>Nosaukums</w:t>
            </w:r>
          </w:p>
        </w:tc>
        <w:tc>
          <w:tcPr>
            <w:tcW w:w="1578" w:type="dxa"/>
            <w:vMerge w:val="restart"/>
            <w:shd w:val="clear" w:color="auto" w:fill="BDD7EE"/>
            <w:vAlign w:val="center"/>
            <w:hideMark/>
          </w:tcPr>
          <w:p w14:paraId="53CA35F0" w14:textId="77777777" w:rsidR="00327FF1" w:rsidRDefault="00E406C7">
            <w:pPr>
              <w:jc w:val="center"/>
              <w:rPr>
                <w:rFonts w:ascii="Arial Narrow" w:hAnsi="Arial Narrow"/>
                <w:b/>
                <w:bCs/>
                <w:noProof/>
                <w:sz w:val="20"/>
                <w:szCs w:val="20"/>
              </w:rPr>
            </w:pPr>
            <w:r>
              <w:rPr>
                <w:rFonts w:ascii="Arial Narrow" w:hAnsi="Arial Narrow"/>
                <w:b/>
                <w:noProof/>
                <w:sz w:val="20"/>
                <w:szCs w:val="20"/>
              </w:rPr>
              <w:t>Kvalitātes rādītāji</w:t>
            </w:r>
            <w:r>
              <w:rPr>
                <w:noProof/>
              </w:rPr>
              <w:br/>
            </w:r>
            <w:r>
              <w:rPr>
                <w:rFonts w:ascii="Arial Narrow" w:hAnsi="Arial Narrow"/>
                <w:b/>
                <w:noProof/>
                <w:sz w:val="20"/>
                <w:szCs w:val="20"/>
              </w:rPr>
              <w:t>(attiecībā uz starpposma mērķiem)</w:t>
            </w:r>
          </w:p>
        </w:tc>
        <w:tc>
          <w:tcPr>
            <w:tcW w:w="3129" w:type="dxa"/>
            <w:gridSpan w:val="3"/>
            <w:shd w:val="clear" w:color="auto" w:fill="BDD7EE"/>
            <w:vAlign w:val="center"/>
            <w:hideMark/>
          </w:tcPr>
          <w:p w14:paraId="0F841B82" w14:textId="77777777" w:rsidR="00327FF1" w:rsidRDefault="00E406C7">
            <w:pPr>
              <w:jc w:val="center"/>
              <w:rPr>
                <w:rFonts w:ascii="Arial Narrow" w:hAnsi="Arial Narrow"/>
                <w:b/>
                <w:bCs/>
                <w:noProof/>
                <w:sz w:val="20"/>
                <w:szCs w:val="20"/>
              </w:rPr>
            </w:pPr>
            <w:r>
              <w:rPr>
                <w:rFonts w:ascii="Arial Narrow" w:hAnsi="Arial Narrow"/>
                <w:b/>
                <w:noProof/>
                <w:sz w:val="20"/>
                <w:szCs w:val="20"/>
              </w:rPr>
              <w:t>Kvantitatīvie rādītāji</w:t>
            </w:r>
            <w:r>
              <w:rPr>
                <w:noProof/>
              </w:rPr>
              <w:br/>
            </w:r>
            <w:r>
              <w:rPr>
                <w:rFonts w:ascii="Arial Narrow" w:hAnsi="Arial Narrow"/>
                <w:b/>
                <w:noProof/>
                <w:sz w:val="20"/>
                <w:szCs w:val="20"/>
              </w:rPr>
              <w:t>(mērķiem)</w:t>
            </w:r>
          </w:p>
        </w:tc>
        <w:tc>
          <w:tcPr>
            <w:tcW w:w="1610" w:type="dxa"/>
            <w:gridSpan w:val="2"/>
            <w:shd w:val="clear" w:color="auto" w:fill="BDD7EE"/>
            <w:vAlign w:val="center"/>
            <w:hideMark/>
          </w:tcPr>
          <w:p w14:paraId="5A2007D1" w14:textId="77777777" w:rsidR="00327FF1" w:rsidRDefault="00E406C7">
            <w:pPr>
              <w:pStyle w:val="P68B1DB1-Normal93"/>
              <w:jc w:val="center"/>
              <w:rPr>
                <w:bCs/>
                <w:noProof/>
              </w:rPr>
            </w:pPr>
            <w:r>
              <w:rPr>
                <w:noProof/>
              </w:rPr>
              <w:t>Orientējošs pabeigšanas termiņš</w:t>
            </w:r>
          </w:p>
        </w:tc>
        <w:tc>
          <w:tcPr>
            <w:tcW w:w="3208" w:type="dxa"/>
            <w:vMerge w:val="restart"/>
            <w:shd w:val="clear" w:color="auto" w:fill="BDD7EE"/>
            <w:vAlign w:val="center"/>
            <w:hideMark/>
          </w:tcPr>
          <w:p w14:paraId="19D8C29B" w14:textId="77777777" w:rsidR="00327FF1" w:rsidRDefault="00E406C7">
            <w:pPr>
              <w:pStyle w:val="P68B1DB1-Normal93"/>
              <w:jc w:val="center"/>
              <w:rPr>
                <w:bCs/>
                <w:noProof/>
              </w:rPr>
            </w:pPr>
            <w:r>
              <w:rPr>
                <w:noProof/>
              </w:rPr>
              <w:t>Apraksts par katru atskaites punktu un mērķrādītāju</w:t>
            </w:r>
          </w:p>
        </w:tc>
      </w:tr>
      <w:tr w:rsidR="00327FF1" w14:paraId="1A9F2C1C" w14:textId="77777777">
        <w:trPr>
          <w:trHeight w:val="300"/>
          <w:tblHeader/>
          <w:jc w:val="center"/>
        </w:trPr>
        <w:tc>
          <w:tcPr>
            <w:tcW w:w="1078" w:type="dxa"/>
            <w:vMerge/>
            <w:vAlign w:val="center"/>
            <w:hideMark/>
          </w:tcPr>
          <w:p w14:paraId="5F9C1B7D" w14:textId="77777777" w:rsidR="00327FF1" w:rsidRDefault="00327FF1">
            <w:pPr>
              <w:jc w:val="center"/>
              <w:rPr>
                <w:rFonts w:ascii="Arial Narrow" w:hAnsi="Arial Narrow"/>
                <w:b/>
                <w:noProof/>
                <w:sz w:val="20"/>
                <w:szCs w:val="20"/>
              </w:rPr>
            </w:pPr>
          </w:p>
        </w:tc>
        <w:tc>
          <w:tcPr>
            <w:tcW w:w="1701" w:type="dxa"/>
            <w:vMerge/>
            <w:vAlign w:val="center"/>
            <w:hideMark/>
          </w:tcPr>
          <w:p w14:paraId="02D76D78" w14:textId="77777777" w:rsidR="00327FF1" w:rsidRDefault="00327FF1">
            <w:pPr>
              <w:jc w:val="center"/>
              <w:rPr>
                <w:rFonts w:ascii="Arial Narrow" w:hAnsi="Arial Narrow"/>
                <w:b/>
                <w:noProof/>
                <w:sz w:val="20"/>
                <w:szCs w:val="20"/>
              </w:rPr>
            </w:pPr>
          </w:p>
        </w:tc>
        <w:tc>
          <w:tcPr>
            <w:tcW w:w="1135" w:type="dxa"/>
            <w:vMerge/>
            <w:vAlign w:val="center"/>
            <w:hideMark/>
          </w:tcPr>
          <w:p w14:paraId="1D8F4D04" w14:textId="77777777" w:rsidR="00327FF1" w:rsidRDefault="00327FF1">
            <w:pPr>
              <w:jc w:val="center"/>
              <w:rPr>
                <w:rFonts w:ascii="Arial Narrow" w:hAnsi="Arial Narrow"/>
                <w:b/>
                <w:noProof/>
                <w:sz w:val="20"/>
                <w:szCs w:val="20"/>
              </w:rPr>
            </w:pPr>
          </w:p>
        </w:tc>
        <w:tc>
          <w:tcPr>
            <w:tcW w:w="1814" w:type="dxa"/>
            <w:vMerge/>
            <w:vAlign w:val="center"/>
            <w:hideMark/>
          </w:tcPr>
          <w:p w14:paraId="1D8A63AE" w14:textId="77777777" w:rsidR="00327FF1" w:rsidRDefault="00327FF1">
            <w:pPr>
              <w:jc w:val="center"/>
              <w:rPr>
                <w:rFonts w:ascii="Arial Narrow" w:hAnsi="Arial Narrow"/>
                <w:b/>
                <w:noProof/>
                <w:sz w:val="20"/>
                <w:szCs w:val="20"/>
              </w:rPr>
            </w:pPr>
          </w:p>
        </w:tc>
        <w:tc>
          <w:tcPr>
            <w:tcW w:w="1578" w:type="dxa"/>
            <w:vMerge/>
            <w:vAlign w:val="center"/>
            <w:hideMark/>
          </w:tcPr>
          <w:p w14:paraId="611ED0CB" w14:textId="77777777" w:rsidR="00327FF1" w:rsidRDefault="00327FF1">
            <w:pPr>
              <w:jc w:val="center"/>
              <w:rPr>
                <w:rFonts w:ascii="Arial Narrow" w:hAnsi="Arial Narrow"/>
                <w:b/>
                <w:noProof/>
                <w:sz w:val="20"/>
                <w:szCs w:val="20"/>
              </w:rPr>
            </w:pPr>
          </w:p>
        </w:tc>
        <w:tc>
          <w:tcPr>
            <w:tcW w:w="1148" w:type="dxa"/>
            <w:shd w:val="clear" w:color="auto" w:fill="BDD7EE"/>
            <w:vAlign w:val="center"/>
            <w:hideMark/>
          </w:tcPr>
          <w:p w14:paraId="763CD9A1" w14:textId="77777777" w:rsidR="00327FF1" w:rsidRDefault="00E406C7">
            <w:pPr>
              <w:pStyle w:val="P68B1DB1-Normal93"/>
              <w:jc w:val="center"/>
              <w:rPr>
                <w:bCs/>
                <w:noProof/>
              </w:rPr>
            </w:pPr>
            <w:r>
              <w:rPr>
                <w:noProof/>
              </w:rPr>
              <w:t>Mēra vienība</w:t>
            </w:r>
          </w:p>
        </w:tc>
        <w:tc>
          <w:tcPr>
            <w:tcW w:w="1133" w:type="dxa"/>
            <w:shd w:val="clear" w:color="auto" w:fill="BDD7EE"/>
            <w:vAlign w:val="center"/>
            <w:hideMark/>
          </w:tcPr>
          <w:p w14:paraId="1775E62F" w14:textId="77777777" w:rsidR="00327FF1" w:rsidRDefault="00E406C7">
            <w:pPr>
              <w:pStyle w:val="P68B1DB1-Normal93"/>
              <w:jc w:val="center"/>
              <w:rPr>
                <w:bCs/>
                <w:noProof/>
              </w:rPr>
            </w:pPr>
            <w:r>
              <w:rPr>
                <w:noProof/>
              </w:rPr>
              <w:t>Pamatscenārijs</w:t>
            </w:r>
          </w:p>
        </w:tc>
        <w:tc>
          <w:tcPr>
            <w:tcW w:w="848" w:type="dxa"/>
            <w:shd w:val="clear" w:color="auto" w:fill="BDD7EE"/>
            <w:vAlign w:val="center"/>
            <w:hideMark/>
          </w:tcPr>
          <w:p w14:paraId="210C53BF" w14:textId="77777777" w:rsidR="00327FF1" w:rsidRDefault="00E406C7">
            <w:pPr>
              <w:pStyle w:val="P68B1DB1-Normal93"/>
              <w:jc w:val="center"/>
              <w:rPr>
                <w:bCs/>
                <w:noProof/>
              </w:rPr>
            </w:pPr>
            <w:r>
              <w:rPr>
                <w:noProof/>
              </w:rPr>
              <w:t>Mērķis</w:t>
            </w:r>
          </w:p>
        </w:tc>
        <w:tc>
          <w:tcPr>
            <w:tcW w:w="900" w:type="dxa"/>
            <w:shd w:val="clear" w:color="auto" w:fill="BDD7EE"/>
            <w:vAlign w:val="center"/>
            <w:hideMark/>
          </w:tcPr>
          <w:p w14:paraId="70F5827A" w14:textId="77777777" w:rsidR="00327FF1" w:rsidRDefault="00E406C7">
            <w:pPr>
              <w:pStyle w:val="P68B1DB1-Normal93"/>
              <w:jc w:val="center"/>
              <w:rPr>
                <w:bCs/>
                <w:noProof/>
              </w:rPr>
            </w:pPr>
            <w:r>
              <w:rPr>
                <w:noProof/>
              </w:rPr>
              <w:t>Ceturkšņa laikā</w:t>
            </w:r>
          </w:p>
        </w:tc>
        <w:tc>
          <w:tcPr>
            <w:tcW w:w="710" w:type="dxa"/>
            <w:shd w:val="clear" w:color="auto" w:fill="BDD7EE"/>
            <w:vAlign w:val="center"/>
            <w:hideMark/>
          </w:tcPr>
          <w:p w14:paraId="159B7616" w14:textId="77777777" w:rsidR="00327FF1" w:rsidRDefault="00E406C7">
            <w:pPr>
              <w:pStyle w:val="P68B1DB1-Normal93"/>
              <w:jc w:val="center"/>
              <w:rPr>
                <w:bCs/>
                <w:noProof/>
              </w:rPr>
            </w:pPr>
            <w:r>
              <w:rPr>
                <w:noProof/>
              </w:rPr>
              <w:t>Gadu</w:t>
            </w:r>
          </w:p>
        </w:tc>
        <w:tc>
          <w:tcPr>
            <w:tcW w:w="3208" w:type="dxa"/>
            <w:vMerge/>
            <w:vAlign w:val="center"/>
            <w:hideMark/>
          </w:tcPr>
          <w:p w14:paraId="080DF5E6" w14:textId="77777777" w:rsidR="00327FF1" w:rsidRDefault="00327FF1">
            <w:pPr>
              <w:rPr>
                <w:rFonts w:ascii="Arial Narrow" w:hAnsi="Arial Narrow"/>
                <w:b/>
                <w:noProof/>
                <w:sz w:val="20"/>
                <w:szCs w:val="20"/>
              </w:rPr>
            </w:pPr>
          </w:p>
        </w:tc>
      </w:tr>
      <w:tr w:rsidR="00327FF1" w14:paraId="4A830CD5" w14:textId="77777777">
        <w:trPr>
          <w:trHeight w:val="300"/>
          <w:jc w:val="center"/>
        </w:trPr>
        <w:tc>
          <w:tcPr>
            <w:tcW w:w="10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76BE072" w14:textId="77777777" w:rsidR="00327FF1" w:rsidRDefault="00E406C7">
            <w:pPr>
              <w:pStyle w:val="P68B1DB1-Normal12"/>
              <w:jc w:val="center"/>
              <w:rPr>
                <w:noProof/>
              </w:rPr>
            </w:pPr>
            <w:r>
              <w:rPr>
                <w:noProof/>
              </w:rPr>
              <w:t>M4C1–18</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8E710C" w14:textId="77777777" w:rsidR="00327FF1" w:rsidRDefault="00E406C7">
            <w:pPr>
              <w:pStyle w:val="P68B1DB1-Normal12"/>
              <w:jc w:val="center"/>
              <w:rPr>
                <w:noProof/>
              </w:rPr>
            </w:pPr>
            <w:r>
              <w:rPr>
                <w:noProof/>
              </w:rPr>
              <w:t xml:space="preserve">Investīcija 1.1: Bērnudārzu un pirmsskolas izglītības un aprūpes </w:t>
            </w:r>
            <w:r>
              <w:rPr>
                <w:noProof/>
              </w:rPr>
              <w:t>pakalpojumu plāns</w:t>
            </w:r>
          </w:p>
        </w:tc>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93A7F5" w14:textId="77777777" w:rsidR="00327FF1" w:rsidRDefault="00E406C7">
            <w:pPr>
              <w:pStyle w:val="P68B1DB1-Normal12"/>
              <w:jc w:val="center"/>
              <w:rPr>
                <w:noProof/>
              </w:rPr>
            </w:pPr>
            <w:r>
              <w:rPr>
                <w:noProof/>
              </w:rPr>
              <w:t>Mērķa</w:t>
            </w:r>
          </w:p>
        </w:tc>
        <w:tc>
          <w:tcPr>
            <w:tcW w:w="18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9F5099" w14:textId="77777777" w:rsidR="00327FF1" w:rsidRDefault="00E406C7">
            <w:pPr>
              <w:pStyle w:val="P68B1DB1-Normal12"/>
              <w:jc w:val="center"/>
              <w:rPr>
                <w:noProof/>
              </w:rPr>
            </w:pPr>
            <w:r>
              <w:rPr>
                <w:noProof/>
              </w:rPr>
              <w:t xml:space="preserve">Vietas, kas izveidotas agrīnajai pirmsskolas izglītībai un bērnu aprūpei vecumā no 0 līdz 6 gadiem. </w:t>
            </w:r>
          </w:p>
        </w:tc>
        <w:tc>
          <w:tcPr>
            <w:tcW w:w="15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4E3DB52" w14:textId="77777777" w:rsidR="00327FF1" w:rsidRDefault="00E406C7">
            <w:pPr>
              <w:pStyle w:val="P68B1DB1-Normal12"/>
              <w:jc w:val="center"/>
              <w:rPr>
                <w:noProof/>
              </w:rPr>
            </w:pPr>
            <w:r>
              <w:rPr>
                <w:noProof/>
              </w:rPr>
              <w:t>NEPIEMĒRO</w:t>
            </w:r>
          </w:p>
        </w:tc>
        <w:tc>
          <w:tcPr>
            <w:tcW w:w="114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61952E" w14:textId="77777777" w:rsidR="00327FF1" w:rsidRDefault="00E406C7">
            <w:pPr>
              <w:pStyle w:val="P68B1DB1-Normal12"/>
              <w:jc w:val="center"/>
              <w:rPr>
                <w:noProof/>
              </w:rPr>
            </w:pPr>
            <w:r>
              <w:rPr>
                <w:noProof/>
              </w:rPr>
              <w:t>Skaits</w:t>
            </w:r>
          </w:p>
        </w:tc>
        <w:tc>
          <w:tcPr>
            <w:tcW w:w="11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A4EEFC" w14:textId="77777777" w:rsidR="00327FF1" w:rsidRDefault="00E406C7">
            <w:pPr>
              <w:pStyle w:val="P68B1DB1-Normal12"/>
              <w:jc w:val="center"/>
              <w:rPr>
                <w:noProof/>
              </w:rPr>
            </w:pPr>
            <w:r>
              <w:rPr>
                <w:noProof/>
              </w:rPr>
              <w:t>0</w:t>
            </w:r>
          </w:p>
        </w:tc>
        <w:tc>
          <w:tcPr>
            <w:tcW w:w="84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711B41" w14:textId="77777777" w:rsidR="00327FF1" w:rsidRDefault="00E406C7">
            <w:pPr>
              <w:pStyle w:val="P68B1DB1-Normal94"/>
              <w:jc w:val="center"/>
              <w:rPr>
                <w:rFonts w:hint="default"/>
                <w:noProof/>
              </w:rPr>
            </w:pPr>
            <w:r>
              <w:rPr>
                <w:noProof/>
              </w:rPr>
              <w:t>150 480</w:t>
            </w:r>
          </w:p>
        </w:tc>
        <w:tc>
          <w:tcPr>
            <w:tcW w:w="90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2F6110" w14:textId="77777777" w:rsidR="00327FF1" w:rsidRDefault="00E406C7">
            <w:pPr>
              <w:pStyle w:val="P68B1DB1-Normal12"/>
              <w:jc w:val="center"/>
              <w:rPr>
                <w:noProof/>
              </w:rPr>
            </w:pPr>
            <w:r>
              <w:rPr>
                <w:noProof/>
              </w:rPr>
              <w:t>2. CET.</w:t>
            </w:r>
          </w:p>
        </w:tc>
        <w:tc>
          <w:tcPr>
            <w:tcW w:w="71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2AB4B1F" w14:textId="77777777" w:rsidR="00327FF1" w:rsidRDefault="00E406C7">
            <w:pPr>
              <w:pStyle w:val="P68B1DB1-Normal12"/>
              <w:jc w:val="center"/>
              <w:rPr>
                <w:noProof/>
              </w:rPr>
            </w:pPr>
            <w:r>
              <w:rPr>
                <w:noProof/>
              </w:rPr>
              <w:t>2026</w:t>
            </w:r>
          </w:p>
        </w:tc>
        <w:tc>
          <w:tcPr>
            <w:tcW w:w="3208" w:type="dxa"/>
            <w:shd w:val="clear" w:color="auto" w:fill="C6EFCE"/>
            <w:noWrap/>
            <w:vAlign w:val="center"/>
            <w:hideMark/>
          </w:tcPr>
          <w:p w14:paraId="714A4D44" w14:textId="7F6357B9" w:rsidR="00327FF1" w:rsidRDefault="00E406C7">
            <w:pPr>
              <w:pStyle w:val="P68B1DB1-Normal12"/>
              <w:rPr>
                <w:noProof/>
              </w:rPr>
            </w:pPr>
            <w:r>
              <w:rPr>
                <w:noProof/>
              </w:rPr>
              <w:t xml:space="preserve">Sertifikāti par darbu pabeigšanu attiecībā uz vismaz 150480 jaunbūvētām, pārkvalificētām, </w:t>
            </w:r>
            <w:r>
              <w:rPr>
                <w:noProof/>
              </w:rPr>
              <w:t>paplašinātām vietām vai pēc izmantošanas maiņas agrīnās pirmsskolas izglītības un aprūpes pakalpojumos bērniem vecumā no 0 līdz 6 gadiem, no kurām ne vairāk kā 35000 vietu rodas esošo vietu nojaukšanas un rekonstrukcijas rezultātā. Investīcija neietver dab</w:t>
            </w:r>
            <w:r>
              <w:rPr>
                <w:noProof/>
              </w:rPr>
              <w:t>asgāzes katlu iepirkumu.</w:t>
            </w:r>
          </w:p>
        </w:tc>
      </w:tr>
      <w:tr w:rsidR="00327FF1" w14:paraId="1952ED98" w14:textId="77777777">
        <w:trPr>
          <w:trHeight w:val="300"/>
          <w:jc w:val="center"/>
        </w:trPr>
        <w:tc>
          <w:tcPr>
            <w:tcW w:w="1078" w:type="dxa"/>
            <w:shd w:val="clear" w:color="auto" w:fill="C6EFCE"/>
            <w:noWrap/>
            <w:vAlign w:val="center"/>
          </w:tcPr>
          <w:p w14:paraId="20902D35" w14:textId="77777777" w:rsidR="00327FF1" w:rsidRDefault="00E406C7">
            <w:pPr>
              <w:pStyle w:val="P68B1DB1-Normal12"/>
              <w:jc w:val="center"/>
              <w:rPr>
                <w:noProof/>
              </w:rPr>
            </w:pPr>
            <w:r>
              <w:rPr>
                <w:noProof/>
              </w:rPr>
              <w:t>M4C1–21</w:t>
            </w:r>
          </w:p>
        </w:tc>
        <w:tc>
          <w:tcPr>
            <w:tcW w:w="1701" w:type="dxa"/>
            <w:shd w:val="clear" w:color="auto" w:fill="C6EFCE"/>
            <w:noWrap/>
            <w:vAlign w:val="center"/>
          </w:tcPr>
          <w:p w14:paraId="56231E53" w14:textId="77777777" w:rsidR="00327FF1" w:rsidRDefault="00E406C7">
            <w:pPr>
              <w:pStyle w:val="P68B1DB1-Normal12"/>
              <w:jc w:val="center"/>
              <w:rPr>
                <w:noProof/>
              </w:rPr>
            </w:pPr>
            <w:r>
              <w:rPr>
                <w:noProof/>
              </w:rPr>
              <w:t>Ieguldījums 1.2. Plāns pilna laika pagarināšanai</w:t>
            </w:r>
          </w:p>
        </w:tc>
        <w:tc>
          <w:tcPr>
            <w:tcW w:w="1135" w:type="dxa"/>
            <w:shd w:val="clear" w:color="auto" w:fill="C6EFCE"/>
            <w:noWrap/>
            <w:vAlign w:val="center"/>
          </w:tcPr>
          <w:p w14:paraId="1C4F285A" w14:textId="77777777" w:rsidR="00327FF1" w:rsidRDefault="00E406C7">
            <w:pPr>
              <w:pStyle w:val="P68B1DB1-Normal12"/>
              <w:jc w:val="center"/>
              <w:rPr>
                <w:noProof/>
              </w:rPr>
            </w:pPr>
            <w:r>
              <w:rPr>
                <w:noProof/>
              </w:rPr>
              <w:t>Mērķa</w:t>
            </w:r>
          </w:p>
        </w:tc>
        <w:tc>
          <w:tcPr>
            <w:tcW w:w="1814" w:type="dxa"/>
            <w:shd w:val="clear" w:color="auto" w:fill="C6EFCE"/>
            <w:noWrap/>
            <w:vAlign w:val="center"/>
          </w:tcPr>
          <w:p w14:paraId="23CBC223" w14:textId="77777777" w:rsidR="00327FF1" w:rsidRDefault="00E406C7">
            <w:pPr>
              <w:pStyle w:val="P68B1DB1-Normal12"/>
              <w:jc w:val="center"/>
              <w:rPr>
                <w:noProof/>
              </w:rPr>
            </w:pPr>
            <w:r>
              <w:rPr>
                <w:noProof/>
              </w:rPr>
              <w:t>Skolu ēdnīcu telpu būvniecība vai atjaunošana</w:t>
            </w:r>
          </w:p>
        </w:tc>
        <w:tc>
          <w:tcPr>
            <w:tcW w:w="1578" w:type="dxa"/>
            <w:shd w:val="clear" w:color="auto" w:fill="C6EFCE"/>
            <w:noWrap/>
            <w:vAlign w:val="center"/>
          </w:tcPr>
          <w:p w14:paraId="5AE39074" w14:textId="77777777" w:rsidR="00327FF1" w:rsidRDefault="00E406C7">
            <w:pPr>
              <w:pStyle w:val="P68B1DB1-Normal12"/>
              <w:jc w:val="center"/>
              <w:rPr>
                <w:noProof/>
              </w:rPr>
            </w:pPr>
            <w:r>
              <w:rPr>
                <w:noProof/>
              </w:rPr>
              <w:t>NEPIEMĒRO</w:t>
            </w:r>
          </w:p>
        </w:tc>
        <w:tc>
          <w:tcPr>
            <w:tcW w:w="1148" w:type="dxa"/>
            <w:shd w:val="clear" w:color="auto" w:fill="C6EFCE"/>
            <w:noWrap/>
            <w:vAlign w:val="center"/>
          </w:tcPr>
          <w:p w14:paraId="6729A6E0" w14:textId="77777777" w:rsidR="00327FF1" w:rsidRDefault="00E406C7">
            <w:pPr>
              <w:pStyle w:val="P68B1DB1-Normal12"/>
              <w:jc w:val="center"/>
              <w:rPr>
                <w:noProof/>
              </w:rPr>
            </w:pPr>
            <w:r>
              <w:rPr>
                <w:noProof/>
              </w:rPr>
              <w:t>Skaits</w:t>
            </w:r>
          </w:p>
        </w:tc>
        <w:tc>
          <w:tcPr>
            <w:tcW w:w="1133" w:type="dxa"/>
            <w:shd w:val="clear" w:color="auto" w:fill="C6EFCE"/>
            <w:noWrap/>
            <w:vAlign w:val="center"/>
          </w:tcPr>
          <w:p w14:paraId="43F3DF6D" w14:textId="77777777" w:rsidR="00327FF1" w:rsidRDefault="00E406C7">
            <w:pPr>
              <w:pStyle w:val="P68B1DB1-Normal12"/>
              <w:jc w:val="center"/>
              <w:rPr>
                <w:noProof/>
              </w:rPr>
            </w:pPr>
            <w:r>
              <w:rPr>
                <w:noProof/>
              </w:rPr>
              <w:t>0</w:t>
            </w:r>
          </w:p>
        </w:tc>
        <w:tc>
          <w:tcPr>
            <w:tcW w:w="848" w:type="dxa"/>
            <w:shd w:val="clear" w:color="auto" w:fill="C6EFCE"/>
            <w:noWrap/>
            <w:vAlign w:val="center"/>
          </w:tcPr>
          <w:p w14:paraId="7DCF42B1" w14:textId="77777777" w:rsidR="00327FF1" w:rsidRDefault="00E406C7">
            <w:pPr>
              <w:pStyle w:val="P68B1DB1-Normal94"/>
              <w:jc w:val="center"/>
              <w:rPr>
                <w:rFonts w:hint="default"/>
                <w:noProof/>
              </w:rPr>
            </w:pPr>
            <w:r>
              <w:rPr>
                <w:noProof/>
              </w:rPr>
              <w:t>1 000</w:t>
            </w:r>
          </w:p>
        </w:tc>
        <w:tc>
          <w:tcPr>
            <w:tcW w:w="900" w:type="dxa"/>
            <w:shd w:val="clear" w:color="auto" w:fill="C6EFCE"/>
            <w:noWrap/>
            <w:vAlign w:val="center"/>
          </w:tcPr>
          <w:p w14:paraId="133E884C" w14:textId="77777777" w:rsidR="00327FF1" w:rsidRDefault="00E406C7">
            <w:pPr>
              <w:pStyle w:val="P68B1DB1-Normal12"/>
              <w:jc w:val="center"/>
              <w:rPr>
                <w:noProof/>
              </w:rPr>
            </w:pPr>
            <w:r>
              <w:rPr>
                <w:noProof/>
              </w:rPr>
              <w:t>2. CET.</w:t>
            </w:r>
          </w:p>
        </w:tc>
        <w:tc>
          <w:tcPr>
            <w:tcW w:w="710" w:type="dxa"/>
            <w:shd w:val="clear" w:color="auto" w:fill="C6EFCE"/>
            <w:noWrap/>
            <w:vAlign w:val="center"/>
          </w:tcPr>
          <w:p w14:paraId="60FF9929" w14:textId="77777777" w:rsidR="00327FF1" w:rsidRDefault="00E406C7">
            <w:pPr>
              <w:pStyle w:val="P68B1DB1-Normal12"/>
              <w:jc w:val="center"/>
              <w:rPr>
                <w:noProof/>
              </w:rPr>
            </w:pPr>
            <w:r>
              <w:rPr>
                <w:noProof/>
              </w:rPr>
              <w:t>2026</w:t>
            </w:r>
          </w:p>
        </w:tc>
        <w:tc>
          <w:tcPr>
            <w:tcW w:w="3208" w:type="dxa"/>
            <w:shd w:val="clear" w:color="auto" w:fill="C6EFCE"/>
            <w:noWrap/>
            <w:vAlign w:val="center"/>
          </w:tcPr>
          <w:p w14:paraId="46648519" w14:textId="21295D1A" w:rsidR="00327FF1" w:rsidRDefault="00E406C7">
            <w:pPr>
              <w:pStyle w:val="P68B1DB1-Normal12"/>
              <w:rPr>
                <w:noProof/>
              </w:rPr>
            </w:pPr>
            <w:r>
              <w:rPr>
                <w:noProof/>
              </w:rPr>
              <w:t>Sertifikātus par darbu pabeigšanu izsniedz vismaz 1000 ēdnīcu telpās skolās.</w:t>
            </w:r>
          </w:p>
        </w:tc>
      </w:tr>
      <w:tr w:rsidR="00327FF1" w14:paraId="343B84F2" w14:textId="77777777">
        <w:trPr>
          <w:trHeight w:val="300"/>
          <w:jc w:val="center"/>
        </w:trPr>
        <w:tc>
          <w:tcPr>
            <w:tcW w:w="1078" w:type="dxa"/>
            <w:shd w:val="clear" w:color="auto" w:fill="C6EFCE"/>
            <w:noWrap/>
            <w:vAlign w:val="center"/>
          </w:tcPr>
          <w:p w14:paraId="1D71AE12" w14:textId="77777777" w:rsidR="00327FF1" w:rsidRDefault="00E406C7">
            <w:pPr>
              <w:pStyle w:val="P68B1DB1-Normal12"/>
              <w:jc w:val="center"/>
              <w:rPr>
                <w:noProof/>
              </w:rPr>
            </w:pPr>
            <w:r>
              <w:rPr>
                <w:noProof/>
              </w:rPr>
              <w:t>M4C1–26</w:t>
            </w:r>
          </w:p>
        </w:tc>
        <w:tc>
          <w:tcPr>
            <w:tcW w:w="1701" w:type="dxa"/>
            <w:shd w:val="clear" w:color="auto" w:fill="C6EFCE"/>
            <w:noWrap/>
            <w:vAlign w:val="center"/>
          </w:tcPr>
          <w:p w14:paraId="2D2FB7D1" w14:textId="77777777" w:rsidR="00327FF1" w:rsidRDefault="00E406C7">
            <w:pPr>
              <w:pStyle w:val="P68B1DB1-Normal12"/>
              <w:jc w:val="center"/>
              <w:rPr>
                <w:noProof/>
              </w:rPr>
            </w:pPr>
            <w:r>
              <w:rPr>
                <w:noProof/>
              </w:rPr>
              <w:t>Investīcija 3.3.: Skolu ēku drošības un strukturālās rehabilitācijas plāns</w:t>
            </w:r>
          </w:p>
        </w:tc>
        <w:tc>
          <w:tcPr>
            <w:tcW w:w="1135" w:type="dxa"/>
            <w:shd w:val="clear" w:color="auto" w:fill="C6EFCE"/>
            <w:noWrap/>
            <w:vAlign w:val="center"/>
          </w:tcPr>
          <w:p w14:paraId="1AAB8726" w14:textId="77777777" w:rsidR="00327FF1" w:rsidRDefault="00E406C7">
            <w:pPr>
              <w:pStyle w:val="P68B1DB1-Normal12"/>
              <w:jc w:val="center"/>
              <w:rPr>
                <w:noProof/>
              </w:rPr>
            </w:pPr>
            <w:r>
              <w:rPr>
                <w:noProof/>
              </w:rPr>
              <w:t>Mērķa</w:t>
            </w:r>
          </w:p>
        </w:tc>
        <w:tc>
          <w:tcPr>
            <w:tcW w:w="1814" w:type="dxa"/>
            <w:shd w:val="clear" w:color="auto" w:fill="C6EFCE"/>
            <w:noWrap/>
            <w:vAlign w:val="center"/>
          </w:tcPr>
          <w:p w14:paraId="416C7573" w14:textId="77777777" w:rsidR="00327FF1" w:rsidRDefault="00E406C7">
            <w:pPr>
              <w:pStyle w:val="P68B1DB1-Normal12"/>
              <w:jc w:val="center"/>
              <w:rPr>
                <w:noProof/>
              </w:rPr>
            </w:pPr>
            <w:r>
              <w:rPr>
                <w:noProof/>
              </w:rPr>
              <w:t xml:space="preserve"> Rekonstruētas vai renovētas skolu ēkas</w:t>
            </w:r>
          </w:p>
        </w:tc>
        <w:tc>
          <w:tcPr>
            <w:tcW w:w="1578" w:type="dxa"/>
            <w:shd w:val="clear" w:color="auto" w:fill="C6EFCE"/>
            <w:noWrap/>
            <w:vAlign w:val="center"/>
          </w:tcPr>
          <w:p w14:paraId="78E2A2E7" w14:textId="77777777" w:rsidR="00327FF1" w:rsidRDefault="00E406C7">
            <w:pPr>
              <w:pStyle w:val="P68B1DB1-Normal12"/>
              <w:jc w:val="center"/>
              <w:rPr>
                <w:noProof/>
              </w:rPr>
            </w:pPr>
            <w:r>
              <w:rPr>
                <w:noProof/>
              </w:rPr>
              <w:t>NEPIEMĒRO</w:t>
            </w:r>
          </w:p>
        </w:tc>
        <w:tc>
          <w:tcPr>
            <w:tcW w:w="1148" w:type="dxa"/>
            <w:shd w:val="clear" w:color="auto" w:fill="C6EFCE"/>
            <w:noWrap/>
            <w:vAlign w:val="center"/>
          </w:tcPr>
          <w:p w14:paraId="299067DD" w14:textId="77777777" w:rsidR="00327FF1" w:rsidRDefault="00E406C7">
            <w:pPr>
              <w:pStyle w:val="P68B1DB1-Normal12"/>
              <w:jc w:val="center"/>
              <w:rPr>
                <w:noProof/>
              </w:rPr>
            </w:pPr>
            <w:r>
              <w:rPr>
                <w:noProof/>
              </w:rPr>
              <w:t>Skaits</w:t>
            </w:r>
          </w:p>
        </w:tc>
        <w:tc>
          <w:tcPr>
            <w:tcW w:w="1133" w:type="dxa"/>
            <w:shd w:val="clear" w:color="auto" w:fill="C6EFCE"/>
            <w:noWrap/>
            <w:vAlign w:val="center"/>
          </w:tcPr>
          <w:p w14:paraId="23ED4B26" w14:textId="77777777" w:rsidR="00327FF1" w:rsidRDefault="00E406C7">
            <w:pPr>
              <w:pStyle w:val="P68B1DB1-Normal12"/>
              <w:jc w:val="center"/>
              <w:rPr>
                <w:noProof/>
              </w:rPr>
            </w:pPr>
            <w:r>
              <w:rPr>
                <w:noProof/>
              </w:rPr>
              <w:t>0</w:t>
            </w:r>
          </w:p>
        </w:tc>
        <w:tc>
          <w:tcPr>
            <w:tcW w:w="848" w:type="dxa"/>
            <w:shd w:val="clear" w:color="auto" w:fill="C6EFCE"/>
            <w:noWrap/>
            <w:vAlign w:val="center"/>
          </w:tcPr>
          <w:p w14:paraId="6168BDAE" w14:textId="4CFB3D6A" w:rsidR="00327FF1" w:rsidRDefault="00E406C7">
            <w:pPr>
              <w:pStyle w:val="P68B1DB1-Normal12"/>
              <w:jc w:val="center"/>
              <w:rPr>
                <w:noProof/>
              </w:rPr>
            </w:pPr>
            <w:r>
              <w:rPr>
                <w:noProof/>
              </w:rPr>
              <w:t>1 400</w:t>
            </w:r>
          </w:p>
        </w:tc>
        <w:tc>
          <w:tcPr>
            <w:tcW w:w="900" w:type="dxa"/>
            <w:shd w:val="clear" w:color="auto" w:fill="C6EFCE"/>
            <w:noWrap/>
            <w:vAlign w:val="center"/>
          </w:tcPr>
          <w:p w14:paraId="0A41A3FD" w14:textId="77777777" w:rsidR="00327FF1" w:rsidRDefault="00E406C7">
            <w:pPr>
              <w:pStyle w:val="P68B1DB1-Normal12"/>
              <w:jc w:val="center"/>
              <w:rPr>
                <w:noProof/>
              </w:rPr>
            </w:pPr>
            <w:r>
              <w:rPr>
                <w:noProof/>
              </w:rPr>
              <w:t>2. CET.</w:t>
            </w:r>
          </w:p>
        </w:tc>
        <w:tc>
          <w:tcPr>
            <w:tcW w:w="710" w:type="dxa"/>
            <w:shd w:val="clear" w:color="auto" w:fill="C6EFCE"/>
            <w:noWrap/>
            <w:vAlign w:val="center"/>
          </w:tcPr>
          <w:p w14:paraId="133CEA58" w14:textId="77777777" w:rsidR="00327FF1" w:rsidRDefault="00E406C7">
            <w:pPr>
              <w:pStyle w:val="P68B1DB1-Normal12"/>
              <w:jc w:val="center"/>
              <w:rPr>
                <w:noProof/>
              </w:rPr>
            </w:pPr>
            <w:r>
              <w:rPr>
                <w:noProof/>
              </w:rPr>
              <w:t>2026</w:t>
            </w:r>
          </w:p>
        </w:tc>
        <w:tc>
          <w:tcPr>
            <w:tcW w:w="3208" w:type="dxa"/>
            <w:shd w:val="clear" w:color="auto" w:fill="C6EFCE"/>
            <w:noWrap/>
            <w:vAlign w:val="center"/>
          </w:tcPr>
          <w:p w14:paraId="74D89791" w14:textId="4AE582E4" w:rsidR="00327FF1" w:rsidRDefault="00E406C7">
            <w:pPr>
              <w:pStyle w:val="P68B1DB1-Normal12"/>
              <w:rPr>
                <w:noProof/>
              </w:rPr>
            </w:pPr>
            <w:r>
              <w:rPr>
                <w:noProof/>
              </w:rPr>
              <w:t xml:space="preserve">Sertifikātus par tādu renovācijas vai rekonstrukcijas darbu pabeigšanu, kas uzlabo </w:t>
            </w:r>
            <w:r>
              <w:rPr>
                <w:noProof/>
              </w:rPr>
              <w:t>drošību vai energoefektivitāti, izsniedz vismaz 1400 skolu ēkām. Investīcija neietver dabasgāzes katlu iepirkumu.</w:t>
            </w:r>
          </w:p>
        </w:tc>
      </w:tr>
      <w:tr w:rsidR="00327FF1" w14:paraId="41ABCBF5" w14:textId="77777777">
        <w:trPr>
          <w:trHeight w:val="300"/>
          <w:jc w:val="center"/>
        </w:trPr>
        <w:tc>
          <w:tcPr>
            <w:tcW w:w="1078" w:type="dxa"/>
            <w:shd w:val="clear" w:color="auto" w:fill="C6EFCE"/>
            <w:noWrap/>
            <w:vAlign w:val="center"/>
            <w:hideMark/>
          </w:tcPr>
          <w:p w14:paraId="6A6807B6" w14:textId="77777777" w:rsidR="00327FF1" w:rsidRDefault="00E406C7">
            <w:pPr>
              <w:pStyle w:val="P68B1DB1-Normal12"/>
              <w:jc w:val="center"/>
              <w:rPr>
                <w:noProof/>
              </w:rPr>
            </w:pPr>
            <w:r>
              <w:rPr>
                <w:noProof/>
              </w:rPr>
              <w:t>M4C1–27</w:t>
            </w:r>
          </w:p>
        </w:tc>
        <w:tc>
          <w:tcPr>
            <w:tcW w:w="1701" w:type="dxa"/>
            <w:shd w:val="clear" w:color="auto" w:fill="C6EFCE"/>
            <w:noWrap/>
            <w:vAlign w:val="center"/>
          </w:tcPr>
          <w:p w14:paraId="33FCBC1E" w14:textId="77777777" w:rsidR="00327FF1" w:rsidRDefault="00E406C7">
            <w:pPr>
              <w:pStyle w:val="P68B1DB1-Normal12"/>
              <w:jc w:val="center"/>
              <w:rPr>
                <w:noProof/>
              </w:rPr>
            </w:pPr>
            <w:r>
              <w:rPr>
                <w:noProof/>
              </w:rPr>
              <w:t>Reforma Nr. 1.7: Studentu mājokļu regulējuma reforma un ieguldījumi studentu mājokļos</w:t>
            </w:r>
          </w:p>
        </w:tc>
        <w:tc>
          <w:tcPr>
            <w:tcW w:w="1135" w:type="dxa"/>
            <w:shd w:val="clear" w:color="auto" w:fill="C6EFCE"/>
            <w:noWrap/>
            <w:vAlign w:val="center"/>
            <w:hideMark/>
          </w:tcPr>
          <w:p w14:paraId="01C98D10" w14:textId="77777777" w:rsidR="00327FF1" w:rsidRDefault="00E406C7">
            <w:pPr>
              <w:pStyle w:val="P68B1DB1-Normal12"/>
              <w:jc w:val="center"/>
              <w:rPr>
                <w:noProof/>
              </w:rPr>
            </w:pPr>
            <w:r>
              <w:rPr>
                <w:noProof/>
              </w:rPr>
              <w:t>Atskaites punkts</w:t>
            </w:r>
          </w:p>
        </w:tc>
        <w:tc>
          <w:tcPr>
            <w:tcW w:w="1814" w:type="dxa"/>
            <w:shd w:val="clear" w:color="auto" w:fill="C6EFCE"/>
            <w:noWrap/>
            <w:vAlign w:val="center"/>
          </w:tcPr>
          <w:p w14:paraId="2C356133" w14:textId="77777777" w:rsidR="00327FF1" w:rsidRDefault="00E406C7">
            <w:pPr>
              <w:pStyle w:val="P68B1DB1-Normal12"/>
              <w:jc w:val="center"/>
              <w:rPr>
                <w:noProof/>
              </w:rPr>
            </w:pPr>
            <w:r>
              <w:rPr>
                <w:noProof/>
              </w:rPr>
              <w:t xml:space="preserve">Stājas spēkā tiesību akti, ar </w:t>
            </w:r>
            <w:r>
              <w:rPr>
                <w:noProof/>
              </w:rPr>
              <w:t>kuriem groza spēkā esošos noteikumus par studentu mājokļiem.</w:t>
            </w:r>
          </w:p>
        </w:tc>
        <w:tc>
          <w:tcPr>
            <w:tcW w:w="1578" w:type="dxa"/>
            <w:shd w:val="clear" w:color="auto" w:fill="C6EFCE"/>
            <w:noWrap/>
            <w:vAlign w:val="center"/>
            <w:hideMark/>
          </w:tcPr>
          <w:p w14:paraId="16DEB8D3" w14:textId="77777777" w:rsidR="00327FF1" w:rsidRDefault="00E406C7">
            <w:pPr>
              <w:pStyle w:val="P68B1DB1-Normal12"/>
              <w:jc w:val="center"/>
              <w:rPr>
                <w:noProof/>
              </w:rPr>
            </w:pPr>
            <w:r>
              <w:rPr>
                <w:noProof/>
              </w:rPr>
              <w:t>Likuma noteikums, kas norāda uz tiesību akta stāšanos spēkā.</w:t>
            </w:r>
          </w:p>
        </w:tc>
        <w:tc>
          <w:tcPr>
            <w:tcW w:w="1148" w:type="dxa"/>
            <w:shd w:val="clear" w:color="auto" w:fill="C6EFCE"/>
            <w:noWrap/>
            <w:vAlign w:val="center"/>
            <w:hideMark/>
          </w:tcPr>
          <w:p w14:paraId="79653238" w14:textId="77777777" w:rsidR="00327FF1" w:rsidRDefault="00E406C7">
            <w:pPr>
              <w:pStyle w:val="P68B1DB1-Normal12"/>
              <w:jc w:val="center"/>
              <w:rPr>
                <w:noProof/>
              </w:rPr>
            </w:pPr>
            <w:r>
              <w:rPr>
                <w:noProof/>
              </w:rPr>
              <w:t>NEPIEMĒRO</w:t>
            </w:r>
          </w:p>
        </w:tc>
        <w:tc>
          <w:tcPr>
            <w:tcW w:w="1133" w:type="dxa"/>
            <w:shd w:val="clear" w:color="auto" w:fill="C6EFCE"/>
            <w:noWrap/>
            <w:vAlign w:val="center"/>
          </w:tcPr>
          <w:p w14:paraId="3A4477B2" w14:textId="77777777" w:rsidR="00327FF1" w:rsidRDefault="00E406C7">
            <w:pPr>
              <w:pStyle w:val="P68B1DB1-Normal12"/>
              <w:jc w:val="center"/>
              <w:rPr>
                <w:noProof/>
              </w:rPr>
            </w:pPr>
            <w:r>
              <w:rPr>
                <w:noProof/>
              </w:rPr>
              <w:t>NEPIEMĒRO</w:t>
            </w:r>
          </w:p>
        </w:tc>
        <w:tc>
          <w:tcPr>
            <w:tcW w:w="848" w:type="dxa"/>
            <w:shd w:val="clear" w:color="auto" w:fill="C6EFCE"/>
            <w:noWrap/>
            <w:vAlign w:val="center"/>
          </w:tcPr>
          <w:p w14:paraId="6FB0AA1F" w14:textId="77777777" w:rsidR="00327FF1" w:rsidRDefault="00E406C7">
            <w:pPr>
              <w:pStyle w:val="P68B1DB1-Normal12"/>
              <w:jc w:val="center"/>
              <w:rPr>
                <w:noProof/>
              </w:rPr>
            </w:pPr>
            <w:r>
              <w:rPr>
                <w:noProof/>
              </w:rPr>
              <w:t>NEPIEMĒRO</w:t>
            </w:r>
          </w:p>
        </w:tc>
        <w:tc>
          <w:tcPr>
            <w:tcW w:w="900" w:type="dxa"/>
            <w:shd w:val="clear" w:color="auto" w:fill="C6EFCE"/>
            <w:noWrap/>
            <w:vAlign w:val="center"/>
            <w:hideMark/>
          </w:tcPr>
          <w:p w14:paraId="677B6BE2" w14:textId="77777777" w:rsidR="00327FF1" w:rsidRDefault="00E406C7">
            <w:pPr>
              <w:pStyle w:val="P68B1DB1-Normal12"/>
              <w:jc w:val="center"/>
              <w:rPr>
                <w:noProof/>
              </w:rPr>
            </w:pPr>
            <w:r>
              <w:rPr>
                <w:noProof/>
              </w:rPr>
              <w:t>4. CET.</w:t>
            </w:r>
          </w:p>
        </w:tc>
        <w:tc>
          <w:tcPr>
            <w:tcW w:w="710" w:type="dxa"/>
            <w:shd w:val="clear" w:color="auto" w:fill="C6EFCE"/>
            <w:noWrap/>
            <w:vAlign w:val="center"/>
            <w:hideMark/>
          </w:tcPr>
          <w:p w14:paraId="04E6AA6D" w14:textId="77777777" w:rsidR="00327FF1" w:rsidRDefault="00E406C7">
            <w:pPr>
              <w:pStyle w:val="P68B1DB1-Normal12"/>
              <w:jc w:val="center"/>
              <w:rPr>
                <w:noProof/>
              </w:rPr>
            </w:pPr>
            <w:r>
              <w:rPr>
                <w:noProof/>
              </w:rPr>
              <w:t>2021</w:t>
            </w:r>
          </w:p>
        </w:tc>
        <w:tc>
          <w:tcPr>
            <w:tcW w:w="3208" w:type="dxa"/>
            <w:shd w:val="clear" w:color="auto" w:fill="C6EFCE"/>
            <w:noWrap/>
            <w:vAlign w:val="center"/>
            <w:hideMark/>
          </w:tcPr>
          <w:p w14:paraId="3EA388AB" w14:textId="4F203132" w:rsidR="00327FF1" w:rsidRDefault="00E406C7">
            <w:pPr>
              <w:rPr>
                <w:rFonts w:ascii="Arial Narrow" w:hAnsi="Arial Narrow"/>
                <w:noProof/>
                <w:color w:val="006100"/>
                <w:sz w:val="20"/>
                <w:szCs w:val="20"/>
              </w:rPr>
            </w:pPr>
            <w:r>
              <w:rPr>
                <w:rFonts w:ascii="Arial Narrow" w:hAnsi="Arial Narrow"/>
                <w:noProof/>
                <w:color w:val="006100"/>
                <w:sz w:val="20"/>
                <w:szCs w:val="20"/>
              </w:rPr>
              <w:t>Pārskatītie tiesību akti:</w:t>
            </w:r>
            <w:r>
              <w:rPr>
                <w:rFonts w:ascii="Arial Narrow" w:hAnsi="Arial Narrow"/>
                <w:noProof/>
              </w:rPr>
              <w:t xml:space="preserve"> </w:t>
            </w:r>
            <w:r>
              <w:rPr>
                <w:noProof/>
              </w:rPr>
              <w:t xml:space="preserve"> </w:t>
            </w:r>
            <w:r>
              <w:rPr>
                <w:noProof/>
              </w:rPr>
              <w:br/>
            </w:r>
            <w:r>
              <w:rPr>
                <w:rFonts w:ascii="Arial Narrow" w:hAnsi="Arial Narrow"/>
                <w:noProof/>
                <w:color w:val="006100"/>
                <w:sz w:val="20"/>
                <w:szCs w:val="20"/>
              </w:rPr>
              <w:t xml:space="preserve">Grozīt pašreizējos noteikumus par studentu mājokļiem (Likums </w:t>
            </w:r>
            <w:r>
              <w:rPr>
                <w:rFonts w:ascii="Arial Narrow" w:hAnsi="Arial Narrow"/>
                <w:noProof/>
                <w:color w:val="006100"/>
                <w:sz w:val="20"/>
                <w:szCs w:val="20"/>
              </w:rPr>
              <w:t>338/2000 un Likumdošanas dekrēts 68/2012), lai:</w:t>
            </w:r>
          </w:p>
          <w:p w14:paraId="22BEEB07" w14:textId="77777777" w:rsidR="00327FF1" w:rsidRDefault="00E406C7">
            <w:pPr>
              <w:pStyle w:val="P68B1DB1-Normal12"/>
              <w:rPr>
                <w:noProof/>
              </w:rPr>
            </w:pPr>
            <w:r>
              <w:rPr>
                <w:noProof/>
              </w:rPr>
              <w:t>(1). Veicināt ēku pārstrukturēšanu un renovāciju jaunu jaunu ēku vietā (ar lielāku kopfondu procentuālo daļu, kas pašlaik ir 50 %), ar augstākajiem vides standartiem, kas jānodrošina ar iesniegtajiem projekti</w:t>
            </w:r>
            <w:r>
              <w:rPr>
                <w:noProof/>
              </w:rPr>
              <w:t>em;</w:t>
            </w:r>
          </w:p>
          <w:p w14:paraId="114B3C65" w14:textId="77777777" w:rsidR="00327FF1" w:rsidRDefault="00E406C7">
            <w:pPr>
              <w:pStyle w:val="P68B1DB1-Normal12"/>
              <w:rPr>
                <w:noProof/>
              </w:rPr>
            </w:pPr>
            <w:r>
              <w:rPr>
                <w:noProof/>
              </w:rPr>
              <w:t>(2). Vienkāršot, arī pateicoties digitalizācijai, projektu iesniegšanai un atlasei un līdz ar to arī īstenošanas grafikam;</w:t>
            </w:r>
          </w:p>
          <w:p w14:paraId="0E58A1CC" w14:textId="55E89F76" w:rsidR="00327FF1" w:rsidRDefault="00E406C7">
            <w:pPr>
              <w:pStyle w:val="P68B1DB1-Normal12"/>
              <w:rPr>
                <w:noProof/>
              </w:rPr>
            </w:pPr>
            <w:r>
              <w:rPr>
                <w:noProof/>
              </w:rPr>
              <w:t>(3) Ar likumu paredzēt atkāpi no Likumā Nr. 338/2000 noteiktajiem kritērijiem attiecībā uz līdzfinansējuma procentuālo daļu, ko v</w:t>
            </w:r>
            <w:r>
              <w:rPr>
                <w:noProof/>
              </w:rPr>
              <w:t>ar piešķirt.</w:t>
            </w:r>
          </w:p>
          <w:p w14:paraId="7943BDF0" w14:textId="77777777" w:rsidR="00327FF1" w:rsidRDefault="00E406C7">
            <w:pPr>
              <w:pStyle w:val="P68B1DB1-Normal12"/>
              <w:rPr>
                <w:noProof/>
              </w:rPr>
            </w:pPr>
            <w:r>
              <w:rPr>
                <w:noProof/>
              </w:rPr>
              <w:t>Tiks īstenota reforma, Itālijas tiesiskajā regulējumā attiecībā uz studentu mājokļu finansēšanu ieviešot šādas būtiskas izmaiņas:</w:t>
            </w:r>
          </w:p>
          <w:p w14:paraId="36DA8E2F" w14:textId="77777777" w:rsidR="00327FF1" w:rsidRDefault="00E406C7">
            <w:pPr>
              <w:pStyle w:val="P68B1DB1-Normal12"/>
              <w:rPr>
                <w:noProof/>
              </w:rPr>
            </w:pPr>
            <w:r>
              <w:rPr>
                <w:noProof/>
              </w:rPr>
              <w:t>1. Nodrošināt finansējumu arī privātajiem ieguldītājiem (saskaņā ar īstenošanas shēmā aprakstīto shēmu), kā arī a</w:t>
            </w:r>
            <w:r>
              <w:rPr>
                <w:noProof/>
              </w:rPr>
              <w:t>tļaut publiskā un privātā sektora partnerības, kurās universitāte izmantos pieejamo finansējumu, lai atbalstītu finansiālo līdzsvaru nekustamā īpašuma ieguldījumos studentu mājokļos;</w:t>
            </w:r>
          </w:p>
          <w:p w14:paraId="798D6D6C" w14:textId="77777777" w:rsidR="00327FF1" w:rsidRDefault="00E406C7">
            <w:pPr>
              <w:pStyle w:val="P68B1DB1-Normal12"/>
              <w:rPr>
                <w:noProof/>
              </w:rPr>
            </w:pPr>
            <w:r>
              <w:rPr>
                <w:noProof/>
              </w:rPr>
              <w:t>2. Nodrošināt privāto ieguldījumu ilgtermiņa ilgtspēju, garantējot izmaiņ</w:t>
            </w:r>
            <w:r>
              <w:rPr>
                <w:noProof/>
              </w:rPr>
              <w:t>as nodokļu shēmā no tās, ko piemēro viesnīcu pakalpojumiem, uz to, ko piemēro sociālajiem mājokļiem, ierobežojot jauno izmitināšanas vietu izmantošanu studentu mājokļiem Akadēmiskajā gadā, bet ļaujot izmantot struktūras, ja tās nav vajadzīgas studentu vies</w:t>
            </w:r>
            <w:r>
              <w:rPr>
                <w:noProof/>
              </w:rPr>
              <w:t>mīlībai. Tas savukārt palīdzēs nodrošināt jaunu mājokļu klāstu par pieņemamu īres maksu;g3. Finansējuma, kā arī papildu nodokļu atvieglojumu (piemēram, vienlīdzīga attieksme ar sociālajiem mājokļiem) nodrošināšana ar nosacījumu, ka jaunie mājokļi tiek izma</w:t>
            </w:r>
            <w:r>
              <w:rPr>
                <w:noProof/>
              </w:rPr>
              <w:t>ntoti studentu mājokļos visā ieguldījumu periodā un atbilstība saskaņotajai augšējai robežai attiecībā uz no studentiem iekasēto īres maksu pat pēc īpašo finansēšanas shēmu termiņa beigām, kuras es veicu, lai veicinātu privāto operatoru ieguldījumus;n4. Pā</w:t>
            </w:r>
            <w:r>
              <w:rPr>
                <w:noProof/>
              </w:rPr>
              <w:t>rdefinēt standartus studentu mītnēm, no jauna nosakot tiesību aktu prasības attiecībā uz kopējo telpu katram studentam, kas pieejama ēkās apmaiņā pret labāk aprīkotām (atsevišķām) istabām.</w:t>
            </w:r>
          </w:p>
        </w:tc>
      </w:tr>
      <w:tr w:rsidR="00327FF1" w14:paraId="2AF0DBE6" w14:textId="77777777">
        <w:trPr>
          <w:trHeight w:val="300"/>
          <w:jc w:val="center"/>
        </w:trPr>
        <w:tc>
          <w:tcPr>
            <w:tcW w:w="1078" w:type="dxa"/>
            <w:shd w:val="clear" w:color="auto" w:fill="C6EFCE"/>
            <w:noWrap/>
            <w:vAlign w:val="center"/>
            <w:hideMark/>
          </w:tcPr>
          <w:p w14:paraId="76BC5C6E" w14:textId="77777777" w:rsidR="00327FF1" w:rsidRDefault="00E406C7">
            <w:pPr>
              <w:pStyle w:val="P68B1DB1-Normal12"/>
              <w:jc w:val="center"/>
              <w:rPr>
                <w:noProof/>
              </w:rPr>
            </w:pPr>
            <w:r>
              <w:rPr>
                <w:noProof/>
              </w:rPr>
              <w:t>M4C1–28</w:t>
            </w:r>
          </w:p>
        </w:tc>
        <w:tc>
          <w:tcPr>
            <w:tcW w:w="1701" w:type="dxa"/>
            <w:shd w:val="clear" w:color="auto" w:fill="C6EFCE"/>
            <w:noWrap/>
            <w:vAlign w:val="center"/>
            <w:hideMark/>
          </w:tcPr>
          <w:p w14:paraId="3332CD6A" w14:textId="77777777" w:rsidR="00327FF1" w:rsidRDefault="00E406C7">
            <w:pPr>
              <w:pStyle w:val="P68B1DB1-Normal12"/>
              <w:jc w:val="center"/>
              <w:rPr>
                <w:noProof/>
              </w:rPr>
            </w:pPr>
            <w:r>
              <w:rPr>
                <w:noProof/>
              </w:rPr>
              <w:t xml:space="preserve">Reforma Nr. 1.7: Studentu mājokļu regulējuma reforma un </w:t>
            </w:r>
            <w:r>
              <w:rPr>
                <w:noProof/>
              </w:rPr>
              <w:t>ieguldījumi studentu mājokļos</w:t>
            </w:r>
          </w:p>
        </w:tc>
        <w:tc>
          <w:tcPr>
            <w:tcW w:w="1135" w:type="dxa"/>
            <w:shd w:val="clear" w:color="auto" w:fill="C6EFCE"/>
            <w:noWrap/>
            <w:vAlign w:val="center"/>
            <w:hideMark/>
          </w:tcPr>
          <w:p w14:paraId="3EFF3340" w14:textId="77777777" w:rsidR="00327FF1" w:rsidRDefault="00E406C7">
            <w:pPr>
              <w:pStyle w:val="P68B1DB1-Normal12"/>
              <w:jc w:val="center"/>
              <w:rPr>
                <w:noProof/>
              </w:rPr>
            </w:pPr>
            <w:r>
              <w:rPr>
                <w:noProof/>
              </w:rPr>
              <w:t>Atskaites punkts</w:t>
            </w:r>
          </w:p>
        </w:tc>
        <w:tc>
          <w:tcPr>
            <w:tcW w:w="1814" w:type="dxa"/>
            <w:shd w:val="clear" w:color="auto" w:fill="C6EFCE"/>
            <w:noWrap/>
            <w:vAlign w:val="center"/>
            <w:hideMark/>
          </w:tcPr>
          <w:p w14:paraId="5F5DECA0" w14:textId="758DD8C5" w:rsidR="00327FF1" w:rsidRDefault="00E406C7">
            <w:pPr>
              <w:pStyle w:val="P68B1DB1-Normal12"/>
              <w:jc w:val="center"/>
              <w:rPr>
                <w:noProof/>
              </w:rPr>
            </w:pPr>
            <w:r>
              <w:rPr>
                <w:noProof/>
              </w:rPr>
              <w:t>Sākotnējo līgumu slēgšanas tiesību piešķiršana papildu guļamvietu (gultu) izveidei</w:t>
            </w:r>
          </w:p>
        </w:tc>
        <w:tc>
          <w:tcPr>
            <w:tcW w:w="1578" w:type="dxa"/>
            <w:shd w:val="clear" w:color="auto" w:fill="C6EFCE"/>
            <w:noWrap/>
            <w:vAlign w:val="center"/>
            <w:hideMark/>
          </w:tcPr>
          <w:p w14:paraId="314B8FD1" w14:textId="77777777" w:rsidR="00327FF1" w:rsidRDefault="00E406C7">
            <w:pPr>
              <w:pStyle w:val="P68B1DB1-Normal12"/>
              <w:jc w:val="center"/>
              <w:rPr>
                <w:noProof/>
              </w:rPr>
            </w:pPr>
            <w:r>
              <w:rPr>
                <w:noProof/>
              </w:rPr>
              <w:t xml:space="preserve"> Piešķiršanas paziņojuma publicēšana ministrijas tīmekļa vietnē</w:t>
            </w:r>
          </w:p>
        </w:tc>
        <w:tc>
          <w:tcPr>
            <w:tcW w:w="1148" w:type="dxa"/>
            <w:shd w:val="clear" w:color="auto" w:fill="C6EFCE"/>
            <w:noWrap/>
            <w:vAlign w:val="center"/>
            <w:hideMark/>
          </w:tcPr>
          <w:p w14:paraId="3AD908A9" w14:textId="77777777" w:rsidR="00327FF1" w:rsidRDefault="00E406C7">
            <w:pPr>
              <w:pStyle w:val="P68B1DB1-Normal12"/>
              <w:jc w:val="center"/>
              <w:rPr>
                <w:noProof/>
              </w:rPr>
            </w:pPr>
            <w:r>
              <w:rPr>
                <w:noProof/>
              </w:rPr>
              <w:t>NEPIEMĒRO</w:t>
            </w:r>
          </w:p>
        </w:tc>
        <w:tc>
          <w:tcPr>
            <w:tcW w:w="1133" w:type="dxa"/>
            <w:shd w:val="clear" w:color="auto" w:fill="C6EFCE"/>
            <w:noWrap/>
            <w:vAlign w:val="center"/>
            <w:hideMark/>
          </w:tcPr>
          <w:p w14:paraId="332E1D07" w14:textId="77777777" w:rsidR="00327FF1" w:rsidRDefault="00E406C7">
            <w:pPr>
              <w:pStyle w:val="P68B1DB1-Normal12"/>
              <w:jc w:val="center"/>
              <w:rPr>
                <w:noProof/>
              </w:rPr>
            </w:pPr>
            <w:r>
              <w:rPr>
                <w:noProof/>
              </w:rPr>
              <w:t>NEPIEMĒRO</w:t>
            </w:r>
          </w:p>
        </w:tc>
        <w:tc>
          <w:tcPr>
            <w:tcW w:w="848" w:type="dxa"/>
            <w:shd w:val="clear" w:color="auto" w:fill="C6EFCE"/>
            <w:noWrap/>
            <w:vAlign w:val="center"/>
            <w:hideMark/>
          </w:tcPr>
          <w:p w14:paraId="0B1C6306" w14:textId="77777777" w:rsidR="00327FF1" w:rsidRDefault="00E406C7">
            <w:pPr>
              <w:pStyle w:val="P68B1DB1-Normal12"/>
              <w:jc w:val="center"/>
              <w:rPr>
                <w:noProof/>
              </w:rPr>
            </w:pPr>
            <w:r>
              <w:rPr>
                <w:noProof/>
              </w:rPr>
              <w:t>NEPIEMĒRO</w:t>
            </w:r>
          </w:p>
        </w:tc>
        <w:tc>
          <w:tcPr>
            <w:tcW w:w="900" w:type="dxa"/>
            <w:shd w:val="clear" w:color="auto" w:fill="C6EFCE"/>
            <w:noWrap/>
            <w:vAlign w:val="center"/>
            <w:hideMark/>
          </w:tcPr>
          <w:p w14:paraId="5B0F899C" w14:textId="77777777" w:rsidR="00327FF1" w:rsidRDefault="00E406C7">
            <w:pPr>
              <w:pStyle w:val="P68B1DB1-Normal12"/>
              <w:jc w:val="center"/>
              <w:rPr>
                <w:noProof/>
              </w:rPr>
            </w:pPr>
            <w:r>
              <w:rPr>
                <w:noProof/>
              </w:rPr>
              <w:t>2. CET.</w:t>
            </w:r>
          </w:p>
        </w:tc>
        <w:tc>
          <w:tcPr>
            <w:tcW w:w="710" w:type="dxa"/>
            <w:shd w:val="clear" w:color="auto" w:fill="C6EFCE"/>
            <w:noWrap/>
            <w:vAlign w:val="center"/>
            <w:hideMark/>
          </w:tcPr>
          <w:p w14:paraId="7E1F1ADB" w14:textId="77777777" w:rsidR="00327FF1" w:rsidRDefault="00E406C7">
            <w:pPr>
              <w:pStyle w:val="P68B1DB1-Normal12"/>
              <w:jc w:val="center"/>
              <w:rPr>
                <w:noProof/>
              </w:rPr>
            </w:pPr>
            <w:r>
              <w:rPr>
                <w:noProof/>
              </w:rPr>
              <w:t>2023</w:t>
            </w:r>
          </w:p>
        </w:tc>
        <w:tc>
          <w:tcPr>
            <w:tcW w:w="3208" w:type="dxa"/>
            <w:shd w:val="clear" w:color="auto" w:fill="C6EFCE"/>
            <w:noWrap/>
            <w:vAlign w:val="center"/>
            <w:hideMark/>
          </w:tcPr>
          <w:p w14:paraId="0A564710" w14:textId="77777777" w:rsidR="00327FF1" w:rsidRDefault="00E406C7">
            <w:pPr>
              <w:pStyle w:val="P68B1DB1-Normal12"/>
              <w:rPr>
                <w:noProof/>
              </w:rPr>
            </w:pPr>
            <w:r>
              <w:rPr>
                <w:noProof/>
              </w:rPr>
              <w:t xml:space="preserve">Sākotnējo līgumu </w:t>
            </w:r>
            <w:r>
              <w:rPr>
                <w:noProof/>
              </w:rPr>
              <w:t>slēgšanas tiesību piešķiršana par papildu guļamvagonu (gultu) izveidi”;</w:t>
            </w:r>
          </w:p>
        </w:tc>
      </w:tr>
      <w:tr w:rsidR="00327FF1" w14:paraId="1FF45BCD" w14:textId="77777777">
        <w:trPr>
          <w:trHeight w:val="300"/>
          <w:jc w:val="center"/>
        </w:trPr>
        <w:tc>
          <w:tcPr>
            <w:tcW w:w="1078" w:type="dxa"/>
            <w:shd w:val="clear" w:color="auto" w:fill="C6EFCE"/>
            <w:noWrap/>
            <w:vAlign w:val="center"/>
            <w:hideMark/>
          </w:tcPr>
          <w:p w14:paraId="7530CB09" w14:textId="77777777" w:rsidR="00327FF1" w:rsidRDefault="00E406C7">
            <w:pPr>
              <w:pStyle w:val="P68B1DB1-Normal12"/>
              <w:jc w:val="center"/>
              <w:rPr>
                <w:noProof/>
              </w:rPr>
            </w:pPr>
            <w:r>
              <w:rPr>
                <w:noProof/>
              </w:rPr>
              <w:t>M4C1–29</w:t>
            </w:r>
          </w:p>
        </w:tc>
        <w:tc>
          <w:tcPr>
            <w:tcW w:w="1701" w:type="dxa"/>
            <w:shd w:val="clear" w:color="auto" w:fill="C6EFCE"/>
            <w:noWrap/>
            <w:vAlign w:val="center"/>
            <w:hideMark/>
          </w:tcPr>
          <w:p w14:paraId="6BEA1938" w14:textId="77777777" w:rsidR="00327FF1" w:rsidRDefault="00E406C7">
            <w:pPr>
              <w:pStyle w:val="P68B1DB1-Normal12"/>
              <w:jc w:val="center"/>
              <w:rPr>
                <w:noProof/>
              </w:rPr>
            </w:pPr>
            <w:r>
              <w:rPr>
                <w:noProof/>
              </w:rPr>
              <w:t>Reforma Nr. 1.7: Studentu mājokļu regulējuma reforma un ieguldījumi studentu mājokļos</w:t>
            </w:r>
          </w:p>
        </w:tc>
        <w:tc>
          <w:tcPr>
            <w:tcW w:w="1135" w:type="dxa"/>
            <w:shd w:val="clear" w:color="auto" w:fill="C6EFCE"/>
            <w:noWrap/>
            <w:vAlign w:val="center"/>
            <w:hideMark/>
          </w:tcPr>
          <w:p w14:paraId="0ED66A6A" w14:textId="77777777" w:rsidR="00327FF1" w:rsidRDefault="00E406C7">
            <w:pPr>
              <w:pStyle w:val="P68B1DB1-Normal12"/>
              <w:jc w:val="center"/>
              <w:rPr>
                <w:noProof/>
              </w:rPr>
            </w:pPr>
            <w:r>
              <w:rPr>
                <w:noProof/>
              </w:rPr>
              <w:t>Atskaites punkts</w:t>
            </w:r>
          </w:p>
        </w:tc>
        <w:tc>
          <w:tcPr>
            <w:tcW w:w="1814" w:type="dxa"/>
            <w:shd w:val="clear" w:color="auto" w:fill="C6EFCE"/>
            <w:noWrap/>
            <w:vAlign w:val="center"/>
            <w:hideMark/>
          </w:tcPr>
          <w:p w14:paraId="52BD1BBB" w14:textId="77777777" w:rsidR="00327FF1" w:rsidRDefault="00E406C7">
            <w:pPr>
              <w:pStyle w:val="P68B1DB1-Normal12"/>
              <w:jc w:val="center"/>
              <w:rPr>
                <w:noProof/>
              </w:rPr>
            </w:pPr>
            <w:r>
              <w:rPr>
                <w:noProof/>
              </w:rPr>
              <w:t>Stājas spēkā studentu mājokļu tiesību aktu reforma.</w:t>
            </w:r>
          </w:p>
        </w:tc>
        <w:tc>
          <w:tcPr>
            <w:tcW w:w="1578" w:type="dxa"/>
            <w:shd w:val="clear" w:color="auto" w:fill="C6EFCE"/>
            <w:noWrap/>
            <w:vAlign w:val="center"/>
            <w:hideMark/>
          </w:tcPr>
          <w:p w14:paraId="3BDDA9C1" w14:textId="77777777" w:rsidR="00327FF1" w:rsidRDefault="00E406C7">
            <w:pPr>
              <w:pStyle w:val="P68B1DB1-Normal12"/>
              <w:jc w:val="center"/>
              <w:rPr>
                <w:noProof/>
              </w:rPr>
            </w:pPr>
            <w:r>
              <w:rPr>
                <w:noProof/>
              </w:rPr>
              <w:t xml:space="preserve">Likuma noteikums, </w:t>
            </w:r>
            <w:r>
              <w:rPr>
                <w:noProof/>
              </w:rPr>
              <w:t>kas norāda uz reformas stāšanos spēkā.</w:t>
            </w:r>
          </w:p>
        </w:tc>
        <w:tc>
          <w:tcPr>
            <w:tcW w:w="1148" w:type="dxa"/>
            <w:shd w:val="clear" w:color="auto" w:fill="C6EFCE"/>
            <w:noWrap/>
            <w:vAlign w:val="center"/>
            <w:hideMark/>
          </w:tcPr>
          <w:p w14:paraId="41C61C44" w14:textId="77777777" w:rsidR="00327FF1" w:rsidRDefault="00E406C7">
            <w:pPr>
              <w:pStyle w:val="P68B1DB1-Normal12"/>
              <w:jc w:val="center"/>
              <w:rPr>
                <w:noProof/>
              </w:rPr>
            </w:pPr>
            <w:r>
              <w:rPr>
                <w:noProof/>
              </w:rPr>
              <w:t>NEPIEMĒRO</w:t>
            </w:r>
          </w:p>
        </w:tc>
        <w:tc>
          <w:tcPr>
            <w:tcW w:w="1133" w:type="dxa"/>
            <w:shd w:val="clear" w:color="auto" w:fill="C6EFCE"/>
            <w:noWrap/>
            <w:vAlign w:val="center"/>
            <w:hideMark/>
          </w:tcPr>
          <w:p w14:paraId="68373DA9" w14:textId="77777777" w:rsidR="00327FF1" w:rsidRDefault="00E406C7">
            <w:pPr>
              <w:pStyle w:val="P68B1DB1-Normal12"/>
              <w:jc w:val="center"/>
              <w:rPr>
                <w:noProof/>
              </w:rPr>
            </w:pPr>
            <w:r>
              <w:rPr>
                <w:noProof/>
              </w:rPr>
              <w:t>NEPIEMĒRO</w:t>
            </w:r>
          </w:p>
        </w:tc>
        <w:tc>
          <w:tcPr>
            <w:tcW w:w="848" w:type="dxa"/>
            <w:shd w:val="clear" w:color="auto" w:fill="C6EFCE"/>
            <w:noWrap/>
            <w:vAlign w:val="center"/>
            <w:hideMark/>
          </w:tcPr>
          <w:p w14:paraId="2A4557E2" w14:textId="77777777" w:rsidR="00327FF1" w:rsidRDefault="00E406C7">
            <w:pPr>
              <w:pStyle w:val="P68B1DB1-Normal12"/>
              <w:jc w:val="center"/>
              <w:rPr>
                <w:noProof/>
              </w:rPr>
            </w:pPr>
            <w:r>
              <w:rPr>
                <w:noProof/>
              </w:rPr>
              <w:t>NEPIEMĒRO</w:t>
            </w:r>
          </w:p>
        </w:tc>
        <w:tc>
          <w:tcPr>
            <w:tcW w:w="900" w:type="dxa"/>
            <w:shd w:val="clear" w:color="auto" w:fill="C6EFCE"/>
            <w:noWrap/>
            <w:vAlign w:val="center"/>
            <w:hideMark/>
          </w:tcPr>
          <w:p w14:paraId="41494AA0" w14:textId="77777777" w:rsidR="00327FF1" w:rsidRDefault="00E406C7">
            <w:pPr>
              <w:pStyle w:val="P68B1DB1-Normal12"/>
              <w:jc w:val="center"/>
              <w:rPr>
                <w:noProof/>
              </w:rPr>
            </w:pPr>
            <w:r>
              <w:rPr>
                <w:noProof/>
              </w:rPr>
              <w:t>4. CET.</w:t>
            </w:r>
          </w:p>
        </w:tc>
        <w:tc>
          <w:tcPr>
            <w:tcW w:w="710" w:type="dxa"/>
            <w:shd w:val="clear" w:color="auto" w:fill="C6EFCE"/>
            <w:noWrap/>
            <w:vAlign w:val="center"/>
            <w:hideMark/>
          </w:tcPr>
          <w:p w14:paraId="33C0A794" w14:textId="77777777" w:rsidR="00327FF1" w:rsidRDefault="00E406C7">
            <w:pPr>
              <w:pStyle w:val="P68B1DB1-Normal12"/>
              <w:jc w:val="center"/>
              <w:rPr>
                <w:noProof/>
              </w:rPr>
            </w:pPr>
            <w:r>
              <w:rPr>
                <w:noProof/>
              </w:rPr>
              <w:t>2022</w:t>
            </w:r>
          </w:p>
        </w:tc>
        <w:tc>
          <w:tcPr>
            <w:tcW w:w="3208" w:type="dxa"/>
            <w:shd w:val="clear" w:color="auto" w:fill="C6EFCE"/>
            <w:noWrap/>
            <w:vAlign w:val="center"/>
            <w:hideMark/>
          </w:tcPr>
          <w:p w14:paraId="00E9AF3D" w14:textId="77777777" w:rsidR="00327FF1" w:rsidRDefault="00E406C7">
            <w:pPr>
              <w:pStyle w:val="P68B1DB1-Normal12"/>
              <w:rPr>
                <w:noProof/>
              </w:rPr>
            </w:pPr>
            <w:r>
              <w:rPr>
                <w:noProof/>
              </w:rPr>
              <w:t xml:space="preserve">Reforma ietver: 1) līdzdalības atvēršana finansējumam arī privātajiem ieguldītājiem, ļaujot arī publiskā un privātā sektora partnerībām, kurās universitāte izmantos pieejamo </w:t>
            </w:r>
            <w:r>
              <w:rPr>
                <w:noProof/>
              </w:rPr>
              <w:t>finansējumu, lai atbalstītu finansiālo līdzsvaru nekustamā īpašuma ieguldījumos studentu mājokļos; (2). Nodrošināt privāto ieguldījumu ilgtermiņa ilgtspēju, garantējot izmaiņas nodokļu shēmā no tās, ko piemēro viesnīcu pakalpojumiem, uz to, ko piemēro soci</w:t>
            </w:r>
            <w:r>
              <w:rPr>
                <w:noProof/>
              </w:rPr>
              <w:t>ālajiem mājokļiem, ierobežojot jauno izmitināšanas vietu izmantošanu studentu mājokļiem Akadēmiskajā gadā, bet ļaujot izmantot struktūras, ja tās nav vajadzīgas studentu viesmīlībai; (3). Noteikt, ka finansējums, kā arī papildu nodokļu atvieglojumi (piemēr</w:t>
            </w:r>
            <w:r>
              <w:rPr>
                <w:noProof/>
              </w:rPr>
              <w:t>am, vienlīdzīga attieksme ar sociālajiem mājokļiem) ir atkarīgi no jauno izmitināšanas vietu izmantošanas studentu mājokļos visā ieguldījumu periodā un atbilstība saskaņotajai augšējai robežai attiecībā uz īri, kas tiek iekasēta no studentiem, pat pēc īpaš</w:t>
            </w:r>
            <w:r>
              <w:rPr>
                <w:noProof/>
              </w:rPr>
              <w:t>o finansēšanas shēmu darbības beigām, kuras es palīdzu piesaistīt privātajiem operatoriem; (4). Pārdefinēt standartus studentu mītnēm, no jauna nosakot tiesību aktu prasības attiecībā uz kopējo telpu katram studentam, kas pieejama ēkās apmaiņā pret labāk a</w:t>
            </w:r>
            <w:r>
              <w:rPr>
                <w:noProof/>
              </w:rPr>
              <w:t>prīkotām (atsevišķām) istabām.</w:t>
            </w:r>
          </w:p>
        </w:tc>
      </w:tr>
      <w:tr w:rsidR="00327FF1" w14:paraId="4C7B596B" w14:textId="77777777">
        <w:trPr>
          <w:trHeight w:val="300"/>
          <w:jc w:val="center"/>
        </w:trPr>
        <w:tc>
          <w:tcPr>
            <w:tcW w:w="1078" w:type="dxa"/>
            <w:shd w:val="clear" w:color="auto" w:fill="C6EFCE"/>
            <w:noWrap/>
            <w:vAlign w:val="center"/>
            <w:hideMark/>
          </w:tcPr>
          <w:p w14:paraId="7C729A7E" w14:textId="77777777" w:rsidR="00327FF1" w:rsidRDefault="00E406C7">
            <w:pPr>
              <w:pStyle w:val="P68B1DB1-Normal12"/>
              <w:jc w:val="center"/>
              <w:rPr>
                <w:noProof/>
              </w:rPr>
            </w:pPr>
            <w:r>
              <w:rPr>
                <w:noProof/>
              </w:rPr>
              <w:t>M4C1–30</w:t>
            </w:r>
          </w:p>
        </w:tc>
        <w:tc>
          <w:tcPr>
            <w:tcW w:w="1701" w:type="dxa"/>
            <w:shd w:val="clear" w:color="auto" w:fill="C6EFCE"/>
            <w:noWrap/>
            <w:vAlign w:val="center"/>
            <w:hideMark/>
          </w:tcPr>
          <w:p w14:paraId="539DC301" w14:textId="77777777" w:rsidR="00327FF1" w:rsidRDefault="00E406C7">
            <w:pPr>
              <w:pStyle w:val="P68B1DB1-Normal12"/>
              <w:jc w:val="center"/>
              <w:rPr>
                <w:noProof/>
              </w:rPr>
            </w:pPr>
            <w:r>
              <w:rPr>
                <w:noProof/>
              </w:rPr>
              <w:t>Reforma Nr. 1.7: Studentu mājokļu regulējuma reforma un ieguldījumi studentu mājokļos</w:t>
            </w:r>
          </w:p>
        </w:tc>
        <w:tc>
          <w:tcPr>
            <w:tcW w:w="1135" w:type="dxa"/>
            <w:shd w:val="clear" w:color="auto" w:fill="C6EFCE"/>
            <w:noWrap/>
            <w:vAlign w:val="center"/>
            <w:hideMark/>
          </w:tcPr>
          <w:p w14:paraId="664EDCE5" w14:textId="77777777" w:rsidR="00327FF1" w:rsidRDefault="00E406C7">
            <w:pPr>
              <w:pStyle w:val="P68B1DB1-Normal12"/>
              <w:jc w:val="center"/>
              <w:rPr>
                <w:noProof/>
              </w:rPr>
            </w:pPr>
            <w:r>
              <w:rPr>
                <w:noProof/>
              </w:rPr>
              <w:t>Mērķa</w:t>
            </w:r>
          </w:p>
        </w:tc>
        <w:tc>
          <w:tcPr>
            <w:tcW w:w="1814" w:type="dxa"/>
            <w:shd w:val="clear" w:color="auto" w:fill="C6EFCE"/>
            <w:noWrap/>
            <w:vAlign w:val="center"/>
            <w:hideMark/>
          </w:tcPr>
          <w:p w14:paraId="7A7D2DBB" w14:textId="77777777" w:rsidR="00327FF1" w:rsidRDefault="00E406C7">
            <w:pPr>
              <w:pStyle w:val="P68B1DB1-Normal12"/>
              <w:jc w:val="center"/>
              <w:rPr>
                <w:noProof/>
              </w:rPr>
            </w:pPr>
            <w:r>
              <w:rPr>
                <w:noProof/>
              </w:rPr>
              <w:t xml:space="preserve">Izveidotas studentu guļamvietu vienības </w:t>
            </w:r>
          </w:p>
        </w:tc>
        <w:tc>
          <w:tcPr>
            <w:tcW w:w="1578" w:type="dxa"/>
            <w:shd w:val="clear" w:color="auto" w:fill="C6EFCE"/>
            <w:noWrap/>
            <w:vAlign w:val="center"/>
            <w:hideMark/>
          </w:tcPr>
          <w:p w14:paraId="2F505865" w14:textId="77777777" w:rsidR="00327FF1" w:rsidRDefault="00E406C7">
            <w:pPr>
              <w:pStyle w:val="P68B1DB1-Normal12"/>
              <w:jc w:val="center"/>
              <w:rPr>
                <w:noProof/>
              </w:rPr>
            </w:pPr>
            <w:r>
              <w:rPr>
                <w:noProof/>
              </w:rPr>
              <w:t>NEPIEMĒRO</w:t>
            </w:r>
          </w:p>
        </w:tc>
        <w:tc>
          <w:tcPr>
            <w:tcW w:w="1148" w:type="dxa"/>
            <w:shd w:val="clear" w:color="auto" w:fill="C6EFCE"/>
            <w:noWrap/>
            <w:vAlign w:val="center"/>
            <w:hideMark/>
          </w:tcPr>
          <w:p w14:paraId="385BDF1A" w14:textId="77777777" w:rsidR="00327FF1" w:rsidRDefault="00E406C7">
            <w:pPr>
              <w:pStyle w:val="P68B1DB1-Normal12"/>
              <w:jc w:val="center"/>
              <w:rPr>
                <w:noProof/>
              </w:rPr>
            </w:pPr>
            <w:r>
              <w:rPr>
                <w:noProof/>
              </w:rPr>
              <w:t>Skaits</w:t>
            </w:r>
          </w:p>
        </w:tc>
        <w:tc>
          <w:tcPr>
            <w:tcW w:w="1133" w:type="dxa"/>
            <w:shd w:val="clear" w:color="auto" w:fill="C6EFCE"/>
            <w:noWrap/>
            <w:vAlign w:val="center"/>
            <w:hideMark/>
          </w:tcPr>
          <w:p w14:paraId="378ABC11" w14:textId="77777777" w:rsidR="00327FF1" w:rsidRDefault="00E406C7">
            <w:pPr>
              <w:pStyle w:val="P68B1DB1-Normal12"/>
              <w:jc w:val="center"/>
              <w:rPr>
                <w:noProof/>
              </w:rPr>
            </w:pPr>
            <w:r>
              <w:rPr>
                <w:noProof/>
              </w:rPr>
              <w:t>0</w:t>
            </w:r>
          </w:p>
        </w:tc>
        <w:tc>
          <w:tcPr>
            <w:tcW w:w="848" w:type="dxa"/>
            <w:shd w:val="clear" w:color="auto" w:fill="C6EFCE"/>
            <w:noWrap/>
            <w:vAlign w:val="center"/>
            <w:hideMark/>
          </w:tcPr>
          <w:p w14:paraId="605DA6EC"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szCs w:val="20"/>
              </w:rPr>
              <w:t>30</w:t>
            </w:r>
            <w:r>
              <w:rPr>
                <w:rFonts w:hint="eastAsia"/>
                <w:noProof/>
                <w:sz w:val="23"/>
                <w:szCs w:val="23"/>
              </w:rPr>
              <w:t xml:space="preserve"> </w:t>
            </w:r>
            <w:r>
              <w:rPr>
                <w:rFonts w:ascii="Arial Narrow" w:hAnsi="Arial Narrow"/>
                <w:noProof/>
                <w:color w:val="006100"/>
                <w:sz w:val="20"/>
                <w:szCs w:val="20"/>
              </w:rPr>
              <w:t>000</w:t>
            </w:r>
          </w:p>
        </w:tc>
        <w:tc>
          <w:tcPr>
            <w:tcW w:w="900" w:type="dxa"/>
            <w:shd w:val="clear" w:color="auto" w:fill="C6EFCE"/>
            <w:noWrap/>
            <w:vAlign w:val="center"/>
            <w:hideMark/>
          </w:tcPr>
          <w:p w14:paraId="03D9A845" w14:textId="77777777" w:rsidR="00327FF1" w:rsidRDefault="00E406C7">
            <w:pPr>
              <w:pStyle w:val="P68B1DB1-Normal12"/>
              <w:jc w:val="center"/>
              <w:rPr>
                <w:noProof/>
              </w:rPr>
            </w:pPr>
            <w:r>
              <w:rPr>
                <w:noProof/>
              </w:rPr>
              <w:t>2. CET.</w:t>
            </w:r>
          </w:p>
        </w:tc>
        <w:tc>
          <w:tcPr>
            <w:tcW w:w="710" w:type="dxa"/>
            <w:shd w:val="clear" w:color="auto" w:fill="C6EFCE"/>
            <w:noWrap/>
            <w:vAlign w:val="center"/>
            <w:hideMark/>
          </w:tcPr>
          <w:p w14:paraId="50190E32" w14:textId="77777777" w:rsidR="00327FF1" w:rsidRDefault="00E406C7">
            <w:pPr>
              <w:pStyle w:val="P68B1DB1-Normal12"/>
              <w:jc w:val="center"/>
              <w:rPr>
                <w:noProof/>
              </w:rPr>
            </w:pPr>
            <w:r>
              <w:rPr>
                <w:noProof/>
              </w:rPr>
              <w:t>2026</w:t>
            </w:r>
          </w:p>
        </w:tc>
        <w:tc>
          <w:tcPr>
            <w:tcW w:w="3208" w:type="dxa"/>
            <w:shd w:val="clear" w:color="auto" w:fill="C6EFCE"/>
            <w:noWrap/>
            <w:vAlign w:val="center"/>
            <w:hideMark/>
          </w:tcPr>
          <w:p w14:paraId="6C4277AB" w14:textId="210C1F76" w:rsidR="00327FF1" w:rsidRDefault="00E406C7">
            <w:pPr>
              <w:pStyle w:val="paragraph"/>
              <w:spacing w:before="0" w:beforeAutospacing="0" w:after="0" w:afterAutospacing="0"/>
              <w:textAlignment w:val="baseline"/>
              <w:rPr>
                <w:rStyle w:val="normaltextrun"/>
                <w:rFonts w:ascii="Arial Narrow" w:hAnsi="Arial Narrow"/>
                <w:noProof/>
                <w:color w:val="006100"/>
                <w:sz w:val="20"/>
                <w:szCs w:val="20"/>
              </w:rPr>
            </w:pPr>
            <w:r>
              <w:rPr>
                <w:rStyle w:val="normaltextrun"/>
                <w:rFonts w:ascii="Arial Narrow" w:hAnsi="Arial Narrow"/>
                <w:noProof/>
                <w:color w:val="006100"/>
                <w:sz w:val="20"/>
                <w:szCs w:val="20"/>
              </w:rPr>
              <w:t xml:space="preserve">Sertifikātus par darbu pabeigšanu izsniedz vismaz 30000 jaunizveidotu guļamvietu. </w:t>
            </w:r>
          </w:p>
          <w:p w14:paraId="4CF5BD5A" w14:textId="77777777" w:rsidR="00327FF1" w:rsidRDefault="00327FF1">
            <w:pPr>
              <w:pStyle w:val="paragraph"/>
              <w:spacing w:before="0" w:beforeAutospacing="0" w:after="0" w:afterAutospacing="0"/>
              <w:rPr>
                <w:rStyle w:val="normaltextrun"/>
                <w:rFonts w:ascii="Arial Narrow" w:hAnsi="Arial Narrow"/>
                <w:noProof/>
                <w:color w:val="006100"/>
                <w:sz w:val="20"/>
                <w:szCs w:val="20"/>
              </w:rPr>
            </w:pPr>
          </w:p>
          <w:p w14:paraId="39B473A6" w14:textId="110B13CB" w:rsidR="00327FF1" w:rsidRDefault="00E406C7">
            <w:pPr>
              <w:pStyle w:val="paragraph"/>
              <w:spacing w:before="0" w:beforeAutospacing="0" w:after="0" w:afterAutospacing="0"/>
              <w:textAlignment w:val="baseline"/>
              <w:rPr>
                <w:rStyle w:val="normaltextrun"/>
                <w:rFonts w:ascii="Arial Narrow" w:hAnsi="Arial Narrow" w:cs="Segoe UI"/>
                <w:noProof/>
                <w:sz w:val="20"/>
                <w:szCs w:val="20"/>
              </w:rPr>
            </w:pPr>
            <w:r>
              <w:rPr>
                <w:rStyle w:val="normaltextrun"/>
                <w:rFonts w:ascii="Arial Narrow" w:hAnsi="Arial Narrow"/>
                <w:noProof/>
                <w:color w:val="006100"/>
                <w:sz w:val="20"/>
                <w:szCs w:val="20"/>
              </w:rPr>
              <w:t xml:space="preserve">Esošās izmitināšanas vietas, kas tika izmantotas studentu mājokļiem laikā, kad tika izsludināts attiecīgais uzaicinājums iesniegt projektus, nevar ieskaitīt mērķī.    </w:t>
            </w:r>
          </w:p>
          <w:p w14:paraId="5AC57501" w14:textId="77777777" w:rsidR="00327FF1" w:rsidRDefault="00327FF1">
            <w:pPr>
              <w:pStyle w:val="paragraph"/>
              <w:spacing w:before="0" w:beforeAutospacing="0" w:after="0" w:afterAutospacing="0"/>
              <w:textAlignment w:val="baseline"/>
              <w:rPr>
                <w:rStyle w:val="normaltextrun"/>
                <w:rFonts w:ascii="Arial Narrow" w:hAnsi="Arial Narrow"/>
                <w:noProof/>
                <w:color w:val="006100"/>
                <w:sz w:val="20"/>
                <w:szCs w:val="20"/>
              </w:rPr>
            </w:pPr>
          </w:p>
          <w:p w14:paraId="64268F10" w14:textId="4C43AA36" w:rsidR="00327FF1" w:rsidRDefault="00E406C7">
            <w:pPr>
              <w:pStyle w:val="paragraph"/>
              <w:spacing w:before="0" w:beforeAutospacing="0" w:after="0" w:afterAutospacing="0"/>
              <w:textAlignment w:val="baseline"/>
              <w:rPr>
                <w:rStyle w:val="normaltextrun"/>
                <w:rFonts w:ascii="Arial Narrow" w:hAnsi="Arial Narrow"/>
                <w:noProof/>
                <w:color w:val="006100"/>
                <w:sz w:val="20"/>
                <w:szCs w:val="20"/>
              </w:rPr>
            </w:pPr>
            <w:r>
              <w:rPr>
                <w:rStyle w:val="normaltextrun"/>
                <w:rFonts w:ascii="Arial Narrow" w:hAnsi="Arial Narrow"/>
                <w:noProof/>
                <w:color w:val="006100"/>
                <w:sz w:val="20"/>
                <w:szCs w:val="20"/>
              </w:rPr>
              <w:t>202</w:t>
            </w:r>
            <w:r>
              <w:rPr>
                <w:rStyle w:val="normaltextrun"/>
                <w:rFonts w:ascii="Arial Narrow" w:hAnsi="Arial Narrow"/>
                <w:noProof/>
                <w:color w:val="006100"/>
                <w:sz w:val="20"/>
                <w:szCs w:val="20"/>
              </w:rPr>
              <w:t>4. gada uzaicinājumā paredz, ka 30 % no jaunajām vietām tiek rezervētas studentiem, kuri saskaras ar sociālekonomiskām grūtībām, kā to definējušas “Diritto allo Studio” organizācijas (</w:t>
            </w:r>
            <w:r>
              <w:rPr>
                <w:rStyle w:val="normaltextrun"/>
                <w:rFonts w:ascii="Arial Narrow" w:hAnsi="Arial Narrow"/>
                <w:i/>
                <w:noProof/>
                <w:color w:val="006100"/>
                <w:sz w:val="20"/>
                <w:szCs w:val="20"/>
              </w:rPr>
              <w:t>tiesības studēt)</w:t>
            </w:r>
            <w:r>
              <w:rPr>
                <w:rStyle w:val="normaltextrun"/>
                <w:rFonts w:ascii="Arial Narrow" w:hAnsi="Arial Narrow"/>
                <w:noProof/>
                <w:color w:val="006100"/>
                <w:sz w:val="20"/>
                <w:szCs w:val="20"/>
              </w:rPr>
              <w:t>. Šajā uzaicinājumā arī nosaka, ka īres maksa augstskolu</w:t>
            </w:r>
            <w:r>
              <w:rPr>
                <w:rStyle w:val="normaltextrun"/>
                <w:rFonts w:ascii="Arial Narrow" w:hAnsi="Arial Narrow"/>
                <w:noProof/>
                <w:color w:val="006100"/>
                <w:sz w:val="20"/>
                <w:szCs w:val="20"/>
              </w:rPr>
              <w:t xml:space="preserve"> studentiem ir noteikta vismaz 15 % apmērā zem vietējā tirgus cenām. </w:t>
            </w:r>
          </w:p>
          <w:p w14:paraId="364B41A3" w14:textId="77777777" w:rsidR="00327FF1" w:rsidRDefault="00327FF1">
            <w:pPr>
              <w:pStyle w:val="paragraph"/>
              <w:spacing w:before="0" w:beforeAutospacing="0" w:after="0" w:afterAutospacing="0"/>
              <w:textAlignment w:val="baseline"/>
              <w:rPr>
                <w:rStyle w:val="normaltextrun"/>
                <w:rFonts w:ascii="Arial Narrow" w:hAnsi="Arial Narrow"/>
                <w:noProof/>
                <w:color w:val="006100"/>
                <w:sz w:val="20"/>
                <w:szCs w:val="20"/>
              </w:rPr>
            </w:pPr>
          </w:p>
          <w:p w14:paraId="2FE05721" w14:textId="5D6FED23" w:rsidR="00327FF1" w:rsidRDefault="00E406C7">
            <w:pPr>
              <w:pStyle w:val="paragraph"/>
              <w:spacing w:before="0" w:beforeAutospacing="0" w:after="0" w:afterAutospacing="0"/>
              <w:textAlignment w:val="baseline"/>
              <w:rPr>
                <w:rFonts w:ascii="Arial Narrow" w:hAnsi="Arial Narrow" w:cs="Segoe UI"/>
                <w:noProof/>
                <w:sz w:val="20"/>
                <w:szCs w:val="20"/>
              </w:rPr>
            </w:pPr>
            <w:r>
              <w:rPr>
                <w:rStyle w:val="normaltextrun"/>
                <w:rFonts w:ascii="Arial Narrow" w:eastAsia="MS Mincho" w:hAnsi="Arial Narrow" w:cs="Arial"/>
                <w:noProof/>
                <w:color w:val="006100"/>
                <w:sz w:val="20"/>
                <w:szCs w:val="20"/>
              </w:rPr>
              <w:t>Investīcija neietver dabasgāzes katlu iepirkumu.</w:t>
            </w:r>
          </w:p>
        </w:tc>
      </w:tr>
      <w:tr w:rsidR="00327FF1" w14:paraId="3771C4B9" w14:textId="77777777">
        <w:trPr>
          <w:trHeight w:val="300"/>
          <w:jc w:val="center"/>
        </w:trPr>
        <w:tc>
          <w:tcPr>
            <w:tcW w:w="1078" w:type="dxa"/>
            <w:shd w:val="clear" w:color="auto" w:fill="C6EFCE"/>
            <w:noWrap/>
          </w:tcPr>
          <w:p w14:paraId="33222A39" w14:textId="77777777" w:rsidR="00327FF1" w:rsidRDefault="00E406C7">
            <w:pPr>
              <w:pStyle w:val="P68B1DB1-Normal12"/>
              <w:jc w:val="center"/>
              <w:rPr>
                <w:noProof/>
              </w:rPr>
            </w:pPr>
            <w:r>
              <w:rPr>
                <w:noProof/>
              </w:rPr>
              <w:t>M4C1–31</w:t>
            </w:r>
          </w:p>
        </w:tc>
        <w:tc>
          <w:tcPr>
            <w:tcW w:w="1701" w:type="dxa"/>
            <w:shd w:val="clear" w:color="auto" w:fill="C6EFCE"/>
            <w:noWrap/>
          </w:tcPr>
          <w:p w14:paraId="40BAAA11" w14:textId="77777777" w:rsidR="00327FF1" w:rsidRDefault="00E406C7">
            <w:pPr>
              <w:pStyle w:val="P68B1DB1-Normal12"/>
              <w:jc w:val="center"/>
              <w:rPr>
                <w:noProof/>
              </w:rPr>
            </w:pPr>
            <w:r>
              <w:rPr>
                <w:noProof/>
              </w:rPr>
              <w:t>Ieguldījums Nr. 5: Studentu mājokļu fonds</w:t>
            </w:r>
          </w:p>
        </w:tc>
        <w:tc>
          <w:tcPr>
            <w:tcW w:w="1135" w:type="dxa"/>
            <w:shd w:val="clear" w:color="auto" w:fill="C6EFCE"/>
            <w:noWrap/>
          </w:tcPr>
          <w:p w14:paraId="541B3474" w14:textId="77777777" w:rsidR="00327FF1" w:rsidRDefault="00E406C7">
            <w:pPr>
              <w:pStyle w:val="P68B1DB1-Normal12"/>
              <w:jc w:val="center"/>
              <w:rPr>
                <w:noProof/>
              </w:rPr>
            </w:pPr>
            <w:r>
              <w:rPr>
                <w:noProof/>
              </w:rPr>
              <w:t>Atskaites punkts</w:t>
            </w:r>
          </w:p>
        </w:tc>
        <w:tc>
          <w:tcPr>
            <w:tcW w:w="1814" w:type="dxa"/>
            <w:shd w:val="clear" w:color="auto" w:fill="C6EFCE"/>
            <w:noWrap/>
          </w:tcPr>
          <w:p w14:paraId="32B81DA8" w14:textId="77777777" w:rsidR="00327FF1" w:rsidRDefault="00E406C7">
            <w:pPr>
              <w:pStyle w:val="P68B1DB1-Normal12"/>
              <w:jc w:val="center"/>
              <w:rPr>
                <w:noProof/>
              </w:rPr>
            </w:pPr>
            <w:r>
              <w:rPr>
                <w:noProof/>
              </w:rPr>
              <w:t>Īstenošanas nolīgums</w:t>
            </w:r>
          </w:p>
        </w:tc>
        <w:tc>
          <w:tcPr>
            <w:tcW w:w="1578" w:type="dxa"/>
            <w:shd w:val="clear" w:color="auto" w:fill="C6EFCE"/>
            <w:noWrap/>
          </w:tcPr>
          <w:p w14:paraId="5C5695DD" w14:textId="77777777" w:rsidR="00327FF1" w:rsidRDefault="00E406C7">
            <w:pPr>
              <w:pStyle w:val="P68B1DB1-Normal12"/>
              <w:jc w:val="center"/>
              <w:rPr>
                <w:noProof/>
              </w:rPr>
            </w:pPr>
            <w:r>
              <w:rPr>
                <w:noProof/>
              </w:rPr>
              <w:t>Īstenošanas nolīguma stāšanās spēkā</w:t>
            </w:r>
          </w:p>
        </w:tc>
        <w:tc>
          <w:tcPr>
            <w:tcW w:w="1148" w:type="dxa"/>
            <w:shd w:val="clear" w:color="auto" w:fill="C6EFCE"/>
            <w:noWrap/>
          </w:tcPr>
          <w:p w14:paraId="00C02557" w14:textId="77777777" w:rsidR="00327FF1" w:rsidRDefault="00E406C7">
            <w:pPr>
              <w:pStyle w:val="P68B1DB1-Normal12"/>
              <w:jc w:val="center"/>
              <w:rPr>
                <w:noProof/>
              </w:rPr>
            </w:pPr>
            <w:r>
              <w:rPr>
                <w:noProof/>
              </w:rPr>
              <w:t xml:space="preserve"> </w:t>
            </w:r>
          </w:p>
        </w:tc>
        <w:tc>
          <w:tcPr>
            <w:tcW w:w="1133" w:type="dxa"/>
            <w:shd w:val="clear" w:color="auto" w:fill="C6EFCE"/>
            <w:noWrap/>
          </w:tcPr>
          <w:p w14:paraId="66653D37" w14:textId="77777777" w:rsidR="00327FF1" w:rsidRDefault="00E406C7">
            <w:pPr>
              <w:pStyle w:val="P68B1DB1-Normal12"/>
              <w:jc w:val="center"/>
              <w:rPr>
                <w:noProof/>
              </w:rPr>
            </w:pPr>
            <w:r>
              <w:rPr>
                <w:noProof/>
              </w:rPr>
              <w:t xml:space="preserve"> </w:t>
            </w:r>
          </w:p>
        </w:tc>
        <w:tc>
          <w:tcPr>
            <w:tcW w:w="848" w:type="dxa"/>
            <w:shd w:val="clear" w:color="auto" w:fill="C6EFCE"/>
            <w:noWrap/>
          </w:tcPr>
          <w:p w14:paraId="54EA532D" w14:textId="77777777" w:rsidR="00327FF1" w:rsidRDefault="00E406C7">
            <w:pPr>
              <w:pStyle w:val="P68B1DB1-Normal12"/>
              <w:jc w:val="center"/>
              <w:rPr>
                <w:noProof/>
              </w:rPr>
            </w:pPr>
            <w:r>
              <w:rPr>
                <w:noProof/>
              </w:rPr>
              <w:t xml:space="preserve"> </w:t>
            </w:r>
          </w:p>
        </w:tc>
        <w:tc>
          <w:tcPr>
            <w:tcW w:w="900" w:type="dxa"/>
            <w:shd w:val="clear" w:color="auto" w:fill="C6EFCE"/>
            <w:noWrap/>
          </w:tcPr>
          <w:p w14:paraId="3C85D5BE" w14:textId="77777777" w:rsidR="00327FF1" w:rsidRDefault="00E406C7">
            <w:pPr>
              <w:pStyle w:val="P68B1DB1-Normal12"/>
              <w:jc w:val="center"/>
              <w:rPr>
                <w:noProof/>
              </w:rPr>
            </w:pPr>
            <w:r>
              <w:rPr>
                <w:noProof/>
              </w:rPr>
              <w:t xml:space="preserve">4. </w:t>
            </w:r>
            <w:r>
              <w:rPr>
                <w:noProof/>
              </w:rPr>
              <w:t>CET.</w:t>
            </w:r>
          </w:p>
        </w:tc>
        <w:tc>
          <w:tcPr>
            <w:tcW w:w="710" w:type="dxa"/>
            <w:shd w:val="clear" w:color="auto" w:fill="C6EFCE"/>
            <w:noWrap/>
          </w:tcPr>
          <w:p w14:paraId="75659F2E" w14:textId="77777777" w:rsidR="00327FF1" w:rsidRDefault="00E406C7">
            <w:pPr>
              <w:pStyle w:val="P68B1DB1-Normal12"/>
              <w:jc w:val="center"/>
              <w:rPr>
                <w:noProof/>
              </w:rPr>
            </w:pPr>
            <w:r>
              <w:rPr>
                <w:noProof/>
              </w:rPr>
              <w:t>2025</w:t>
            </w:r>
          </w:p>
        </w:tc>
        <w:tc>
          <w:tcPr>
            <w:tcW w:w="3208" w:type="dxa"/>
            <w:shd w:val="clear" w:color="auto" w:fill="C6EFCE"/>
            <w:noWrap/>
          </w:tcPr>
          <w:p w14:paraId="56989AA6" w14:textId="77777777" w:rsidR="00327FF1" w:rsidRDefault="00E406C7">
            <w:pPr>
              <w:pStyle w:val="P68B1DB1-paragraph95"/>
              <w:spacing w:before="0" w:beforeAutospacing="0" w:after="0" w:afterAutospacing="0"/>
              <w:textAlignment w:val="baseline"/>
              <w:rPr>
                <w:noProof/>
              </w:rPr>
            </w:pPr>
            <w:r>
              <w:rPr>
                <w:noProof/>
              </w:rPr>
              <w:t>Īstenošanas nolīguma stāšanās spēkā.</w:t>
            </w:r>
          </w:p>
        </w:tc>
      </w:tr>
      <w:tr w:rsidR="00327FF1" w14:paraId="7D6C78E8" w14:textId="77777777">
        <w:trPr>
          <w:trHeight w:val="300"/>
          <w:jc w:val="center"/>
        </w:trPr>
        <w:tc>
          <w:tcPr>
            <w:tcW w:w="1078" w:type="dxa"/>
            <w:shd w:val="clear" w:color="auto" w:fill="C6EFCE"/>
            <w:noWrap/>
          </w:tcPr>
          <w:p w14:paraId="2294AEB2" w14:textId="77777777" w:rsidR="00327FF1" w:rsidRDefault="00E406C7">
            <w:pPr>
              <w:pStyle w:val="P68B1DB1-Normal12"/>
              <w:jc w:val="center"/>
              <w:rPr>
                <w:noProof/>
              </w:rPr>
            </w:pPr>
            <w:r>
              <w:rPr>
                <w:noProof/>
              </w:rPr>
              <w:t>M4C1–32</w:t>
            </w:r>
          </w:p>
        </w:tc>
        <w:tc>
          <w:tcPr>
            <w:tcW w:w="1701" w:type="dxa"/>
            <w:shd w:val="clear" w:color="auto" w:fill="C6EFCE"/>
            <w:noWrap/>
          </w:tcPr>
          <w:p w14:paraId="3CFEB310" w14:textId="77777777" w:rsidR="00327FF1" w:rsidRDefault="00E406C7">
            <w:pPr>
              <w:pStyle w:val="P68B1DB1-Normal12"/>
              <w:jc w:val="center"/>
              <w:rPr>
                <w:noProof/>
              </w:rPr>
            </w:pPr>
            <w:r>
              <w:rPr>
                <w:noProof/>
              </w:rPr>
              <w:t>Ieguldījums Nr. 5: Studentu mājokļu fonds</w:t>
            </w:r>
          </w:p>
        </w:tc>
        <w:tc>
          <w:tcPr>
            <w:tcW w:w="1135" w:type="dxa"/>
            <w:shd w:val="clear" w:color="auto" w:fill="C6EFCE"/>
            <w:noWrap/>
          </w:tcPr>
          <w:p w14:paraId="122842D5" w14:textId="7B071DB5" w:rsidR="00327FF1" w:rsidRDefault="00E406C7">
            <w:pPr>
              <w:pStyle w:val="P68B1DB1-Normal12"/>
              <w:jc w:val="center"/>
              <w:rPr>
                <w:noProof/>
              </w:rPr>
            </w:pPr>
            <w:r>
              <w:rPr>
                <w:noProof/>
              </w:rPr>
              <w:t>Atskaites punkts</w:t>
            </w:r>
          </w:p>
        </w:tc>
        <w:tc>
          <w:tcPr>
            <w:tcW w:w="1814" w:type="dxa"/>
            <w:shd w:val="clear" w:color="auto" w:fill="C6EFCE"/>
            <w:noWrap/>
          </w:tcPr>
          <w:p w14:paraId="2D98ACF0" w14:textId="77777777" w:rsidR="00327FF1" w:rsidRDefault="00E406C7">
            <w:pPr>
              <w:pStyle w:val="P68B1DB1-Normal12"/>
              <w:jc w:val="center"/>
              <w:rPr>
                <w:noProof/>
              </w:rPr>
            </w:pPr>
            <w:r>
              <w:rPr>
                <w:noProof/>
              </w:rPr>
              <w:t>Ar galīgajiem saņēmējiem parakstītie juridiskie nolīgumi un ieguldījumu pabeigšana</w:t>
            </w:r>
          </w:p>
        </w:tc>
        <w:tc>
          <w:tcPr>
            <w:tcW w:w="1578" w:type="dxa"/>
            <w:shd w:val="clear" w:color="auto" w:fill="C6EFCE"/>
            <w:noWrap/>
          </w:tcPr>
          <w:p w14:paraId="552F3892" w14:textId="77777777" w:rsidR="00327FF1" w:rsidRDefault="00E406C7">
            <w:pPr>
              <w:pStyle w:val="P68B1DB1-Normal12"/>
              <w:jc w:val="center"/>
              <w:rPr>
                <w:noProof/>
              </w:rPr>
            </w:pPr>
            <w:r>
              <w:rPr>
                <w:noProof/>
              </w:rPr>
              <w:t>Parakstītie juridiskie nolīgumi un nodošanas apliecība</w:t>
            </w:r>
          </w:p>
        </w:tc>
        <w:tc>
          <w:tcPr>
            <w:tcW w:w="1148" w:type="dxa"/>
            <w:shd w:val="clear" w:color="auto" w:fill="C6EFCE"/>
            <w:noWrap/>
          </w:tcPr>
          <w:p w14:paraId="0F9A1A86" w14:textId="5375A3F6" w:rsidR="00327FF1" w:rsidRDefault="00E406C7">
            <w:pPr>
              <w:pStyle w:val="P68B1DB1-Normal12"/>
              <w:jc w:val="center"/>
              <w:rPr>
                <w:noProof/>
              </w:rPr>
            </w:pPr>
            <w:r>
              <w:rPr>
                <w:noProof/>
              </w:rPr>
              <w:t>NEPIEMĒRO</w:t>
            </w:r>
          </w:p>
        </w:tc>
        <w:tc>
          <w:tcPr>
            <w:tcW w:w="1133" w:type="dxa"/>
            <w:shd w:val="clear" w:color="auto" w:fill="C6EFCE"/>
            <w:noWrap/>
          </w:tcPr>
          <w:p w14:paraId="25F84639" w14:textId="2AD9E664" w:rsidR="00327FF1" w:rsidRDefault="00E406C7">
            <w:pPr>
              <w:pStyle w:val="P68B1DB1-Normal12"/>
              <w:jc w:val="center"/>
              <w:rPr>
                <w:noProof/>
              </w:rPr>
            </w:pPr>
            <w:r>
              <w:rPr>
                <w:noProof/>
              </w:rPr>
              <w:t>NEPIEMĒRO</w:t>
            </w:r>
          </w:p>
        </w:tc>
        <w:tc>
          <w:tcPr>
            <w:tcW w:w="848" w:type="dxa"/>
            <w:shd w:val="clear" w:color="auto" w:fill="C6EFCE"/>
            <w:noWrap/>
          </w:tcPr>
          <w:p w14:paraId="40AAAD62" w14:textId="12BD911D" w:rsidR="00327FF1" w:rsidRDefault="00E406C7">
            <w:pPr>
              <w:pStyle w:val="P68B1DB1-Normal12"/>
              <w:jc w:val="center"/>
              <w:rPr>
                <w:noProof/>
              </w:rPr>
            </w:pPr>
            <w:r>
              <w:rPr>
                <w:noProof/>
              </w:rPr>
              <w:t>NEPIEMĒRO</w:t>
            </w:r>
          </w:p>
        </w:tc>
        <w:tc>
          <w:tcPr>
            <w:tcW w:w="900" w:type="dxa"/>
            <w:shd w:val="clear" w:color="auto" w:fill="C6EFCE"/>
            <w:noWrap/>
          </w:tcPr>
          <w:p w14:paraId="6ECA56AD" w14:textId="77777777" w:rsidR="00327FF1" w:rsidRDefault="00E406C7">
            <w:pPr>
              <w:pStyle w:val="P68B1DB1-Normal12"/>
              <w:jc w:val="center"/>
              <w:rPr>
                <w:noProof/>
              </w:rPr>
            </w:pPr>
            <w:r>
              <w:rPr>
                <w:noProof/>
              </w:rPr>
              <w:t>2. CET.</w:t>
            </w:r>
          </w:p>
        </w:tc>
        <w:tc>
          <w:tcPr>
            <w:tcW w:w="710" w:type="dxa"/>
            <w:shd w:val="clear" w:color="auto" w:fill="C6EFCE"/>
            <w:noWrap/>
          </w:tcPr>
          <w:p w14:paraId="636C0F06" w14:textId="77777777" w:rsidR="00327FF1" w:rsidRDefault="00E406C7">
            <w:pPr>
              <w:pStyle w:val="P68B1DB1-Normal12"/>
              <w:jc w:val="center"/>
              <w:rPr>
                <w:noProof/>
              </w:rPr>
            </w:pPr>
            <w:r>
              <w:rPr>
                <w:noProof/>
              </w:rPr>
              <w:t>2026</w:t>
            </w:r>
          </w:p>
        </w:tc>
        <w:tc>
          <w:tcPr>
            <w:tcW w:w="3208" w:type="dxa"/>
            <w:shd w:val="clear" w:color="auto" w:fill="C6EFCE"/>
            <w:noWrap/>
          </w:tcPr>
          <w:p w14:paraId="438953D6" w14:textId="77777777" w:rsidR="00327FF1" w:rsidRDefault="00E406C7">
            <w:pPr>
              <w:pStyle w:val="P68B1DB1-Normal12"/>
              <w:spacing w:line="240" w:lineRule="auto"/>
              <w:jc w:val="both"/>
              <w:rPr>
                <w:noProof/>
              </w:rPr>
            </w:pPr>
            <w:r>
              <w:rPr>
                <w:noProof/>
              </w:rPr>
              <w:t xml:space="preserve">Cassa Depositi e Prestiti S.p.A. ir noslēdzis juridiskus dotāciju nolīgumus ar galīgajiem saņēmējiem par summu, kas nepieciešama, lai shēmā izmantotu 100 % no ANM ieguldījuma (ņemot vērā pārvaldības maksas). </w:t>
            </w:r>
          </w:p>
          <w:p w14:paraId="06621FD9" w14:textId="06BD8754" w:rsidR="00327FF1" w:rsidRDefault="00E406C7">
            <w:pPr>
              <w:pStyle w:val="P68B1DB1-paragraph95"/>
              <w:spacing w:before="0" w:beforeAutospacing="0" w:after="0" w:afterAutospacing="0"/>
              <w:textAlignment w:val="baseline"/>
              <w:rPr>
                <w:noProof/>
              </w:rPr>
            </w:pPr>
            <w:r>
              <w:rPr>
                <w:noProof/>
              </w:rPr>
              <w:t>Itāl</w:t>
            </w:r>
            <w:r>
              <w:rPr>
                <w:noProof/>
              </w:rPr>
              <w:t>ija pārskaita EUR 599000000 Cassa Depositi e Prestiti S.p.A. mehānisma vajadzībām.</w:t>
            </w:r>
          </w:p>
        </w:tc>
      </w:tr>
    </w:tbl>
    <w:p w14:paraId="45675B82" w14:textId="77777777" w:rsidR="00327FF1" w:rsidRDefault="00327FF1">
      <w:pPr>
        <w:spacing w:before="120" w:after="120"/>
        <w:jc w:val="both"/>
        <w:rPr>
          <w:rFonts w:ascii="Arial Narrow" w:hAnsi="Arial Narrow"/>
          <w:noProof/>
          <w:color w:val="000000" w:themeColor="text1"/>
          <w:sz w:val="20"/>
          <w:szCs w:val="20"/>
        </w:rPr>
        <w:sectPr w:rsidR="00327FF1" w:rsidSect="005F11B9">
          <w:headerReference w:type="even" r:id="rId190"/>
          <w:headerReference w:type="default" r:id="rId191"/>
          <w:footerReference w:type="even" r:id="rId192"/>
          <w:footerReference w:type="default" r:id="rId193"/>
          <w:headerReference w:type="first" r:id="rId194"/>
          <w:footerReference w:type="first" r:id="rId195"/>
          <w:pgSz w:w="16839" w:h="11907" w:orient="landscape"/>
          <w:pgMar w:top="1134" w:right="1134" w:bottom="1134" w:left="1134" w:header="567" w:footer="567" w:gutter="0"/>
          <w:cols w:space="720"/>
          <w:docGrid w:linePitch="360"/>
        </w:sectPr>
      </w:pPr>
    </w:p>
    <w:p w14:paraId="172BA92A" w14:textId="77777777" w:rsidR="00327FF1" w:rsidRDefault="00E406C7">
      <w:pPr>
        <w:pStyle w:val="P68B1DB1-Heading23"/>
        <w:rPr>
          <w:noProof/>
        </w:rPr>
      </w:pPr>
      <w:r>
        <w:rPr>
          <w:noProof/>
        </w:rPr>
        <w:t>K. 4. MISIJAS 2. KOMPONENTS: No pētniecības līdz darījumdarbībai</w:t>
      </w:r>
    </w:p>
    <w:p w14:paraId="01056623" w14:textId="5AE5A982" w:rsidR="00327FF1" w:rsidRDefault="00E406C7">
      <w:pPr>
        <w:pStyle w:val="P68B1DB1-Normal96"/>
        <w:spacing w:before="120" w:after="120"/>
        <w:jc w:val="both"/>
        <w:rPr>
          <w:rFonts w:eastAsia="Calibri" w:hint="default"/>
          <w:noProof/>
        </w:rPr>
      </w:pPr>
      <w:r>
        <w:rPr>
          <w:noProof/>
        </w:rPr>
        <w:t>Šā Itālijas atveseļošanas un noturības plāna komponenta mērķis ir atbalstīt investīcijas pētniecībā un inovācijā, veicināt inovāciju un tehnoloģiju izplatīšanu, stiprināt prasmes un atbalstīt pāreju uz uz zināšanām balstītu ekonomiku. Tā sniedz atbalstu va</w:t>
      </w:r>
      <w:r>
        <w:rPr>
          <w:noProof/>
        </w:rPr>
        <w:t>lsts pētniecības sistēmai, pētnieku prasmēm un mobilitātei, kā arī publiskā un privātā sektora sadarbībai valstu un ES līmenī. Tās pamatā ir trīs galvenie pīlāri: uzlabota zinātniskā bāze; II) ciešas uzņēmējdarbības un zinātnes saiknes (zināšanu un tehnolo</w:t>
      </w:r>
      <w:r>
        <w:rPr>
          <w:noProof/>
        </w:rPr>
        <w:t>ģiju nodošana; III) Atbalsts uzņēmējdarbības inovācijai (jo īpaši MVU, jaunuzņēmumiem).</w:t>
      </w:r>
    </w:p>
    <w:p w14:paraId="472BF0D5" w14:textId="37A4CA53" w:rsidR="00327FF1" w:rsidRDefault="00E406C7">
      <w:pPr>
        <w:pStyle w:val="P68B1DB1-Normal96"/>
        <w:spacing w:before="120" w:after="120"/>
        <w:jc w:val="both"/>
        <w:rPr>
          <w:rFonts w:hint="default"/>
          <w:noProof/>
        </w:rPr>
      </w:pPr>
      <w:r>
        <w:rPr>
          <w:noProof/>
        </w:rPr>
        <w:t xml:space="preserve">Investīcijas un reformas saskaņā ar šo komponentu palīdz īstenot Itālijai 2020. un 2019. gadā adresētos konkrētai valstij adresētos ieteikumus par nepieciešamību </w:t>
      </w:r>
      <w:r>
        <w:rPr>
          <w:noProof/>
        </w:rPr>
        <w:t>“</w:t>
      </w:r>
      <w:r>
        <w:rPr>
          <w:noProof/>
        </w:rPr>
        <w:t>ar in</w:t>
      </w:r>
      <w:r>
        <w:rPr>
          <w:noProof/>
        </w:rPr>
        <w:t>vestīcijām saistīto ekonomikas politiku koncentrēt uz pētniecību un inovāciju un infrastruktūras kvalitāti</w:t>
      </w:r>
      <w:r>
        <w:rPr>
          <w:noProof/>
        </w:rPr>
        <w:t>”</w:t>
      </w:r>
      <w:r>
        <w:rPr>
          <w:noProof/>
        </w:rPr>
        <w:t xml:space="preserve"> (2019. gada konkrētai valstij adresētais ieteikums Nr. 3), </w:t>
      </w:r>
      <w:r>
        <w:rPr>
          <w:noProof/>
        </w:rPr>
        <w:t>“</w:t>
      </w:r>
      <w:r>
        <w:rPr>
          <w:noProof/>
        </w:rPr>
        <w:t>veicināt privātās investīcijas ekonomikas atveseļošanas veicināšanai</w:t>
      </w:r>
      <w:r>
        <w:rPr>
          <w:noProof/>
        </w:rPr>
        <w:t>”</w:t>
      </w:r>
      <w:r>
        <w:rPr>
          <w:noProof/>
        </w:rPr>
        <w:t xml:space="preserve"> (2020. gada konkrē</w:t>
      </w:r>
      <w:r>
        <w:rPr>
          <w:noProof/>
        </w:rPr>
        <w:t xml:space="preserve">tai valstij adresētais ieteikums Nr. 3) un </w:t>
      </w:r>
      <w:r>
        <w:rPr>
          <w:noProof/>
        </w:rPr>
        <w:t>“</w:t>
      </w:r>
      <w:r>
        <w:rPr>
          <w:noProof/>
        </w:rPr>
        <w:t>koncentrēt investīcijas uz zaļo un digitālo pārkārtošanos, jo īpaši uz pētniecību un inovāciju</w:t>
      </w:r>
      <w:r>
        <w:rPr>
          <w:noProof/>
        </w:rPr>
        <w:t>”</w:t>
      </w:r>
      <w:r>
        <w:rPr>
          <w:noProof/>
        </w:rPr>
        <w:t xml:space="preserve"> (2020. gada konkrētai valstij adresētais ieteikums Nr. 3). </w:t>
      </w:r>
    </w:p>
    <w:p w14:paraId="7BC2E3FB" w14:textId="77777777" w:rsidR="00327FF1" w:rsidRDefault="00E406C7">
      <w:pPr>
        <w:pStyle w:val="P68B1DB1-Heading368"/>
        <w:ind w:left="850" w:hanging="850"/>
        <w:rPr>
          <w:noProof/>
        </w:rPr>
      </w:pPr>
      <w:r>
        <w:rPr>
          <w:noProof/>
        </w:rPr>
        <w:t xml:space="preserve">K.1. </w:t>
      </w:r>
      <w:r>
        <w:rPr>
          <w:noProof/>
        </w:rPr>
        <w:tab/>
        <w:t>Reformu un investīciju apraksts neatmaksājamam fin</w:t>
      </w:r>
      <w:r>
        <w:rPr>
          <w:noProof/>
        </w:rPr>
        <w:t>ansiālajam atbalstam</w:t>
      </w:r>
    </w:p>
    <w:p w14:paraId="6EA0CB35" w14:textId="77777777" w:rsidR="00327FF1" w:rsidRDefault="00327FF1">
      <w:pPr>
        <w:rPr>
          <w:noProof/>
        </w:rPr>
      </w:pPr>
    </w:p>
    <w:p w14:paraId="7EB12039" w14:textId="77777777" w:rsidR="00327FF1" w:rsidRDefault="00E406C7">
      <w:pPr>
        <w:pStyle w:val="P68B1DB1-Normal5"/>
        <w:spacing w:before="120" w:after="120"/>
        <w:jc w:val="both"/>
        <w:rPr>
          <w:noProof/>
        </w:rPr>
      </w:pPr>
      <w:r>
        <w:rPr>
          <w:noProof/>
        </w:rPr>
        <w:t>Ieguldījums 1.2. Jauno pētnieku iesniegto projektu finansēšana</w:t>
      </w:r>
    </w:p>
    <w:p w14:paraId="6C2E1747" w14:textId="77777777" w:rsidR="00327FF1" w:rsidRDefault="00E406C7">
      <w:pPr>
        <w:pStyle w:val="P68B1DB1-Normal7"/>
        <w:spacing w:after="0"/>
        <w:jc w:val="both"/>
        <w:rPr>
          <w:noProof/>
        </w:rPr>
      </w:pPr>
      <w:r>
        <w:rPr>
          <w:noProof/>
        </w:rPr>
        <w:t xml:space="preserve">Šā ieguldījuma mērķis ir noturēt jaunos pētniekus Itālijā. Pasākums ietver atbalstu jauno pētnieku pētniecības darbībām. </w:t>
      </w:r>
    </w:p>
    <w:p w14:paraId="3F3FE046" w14:textId="77777777" w:rsidR="00327FF1" w:rsidRDefault="00E406C7">
      <w:pPr>
        <w:pStyle w:val="P68B1DB1-Normal5"/>
        <w:spacing w:before="120" w:after="120" w:line="257" w:lineRule="auto"/>
        <w:ind w:left="-680" w:firstLine="709"/>
        <w:jc w:val="both"/>
        <w:rPr>
          <w:bCs/>
          <w:i/>
          <w:iCs/>
          <w:noProof/>
          <w:u w:val="single"/>
        </w:rPr>
      </w:pPr>
      <w:r>
        <w:rPr>
          <w:noProof/>
        </w:rPr>
        <w:t>Investīcija 2.2.bis: Inovācijas nolīgumi</w:t>
      </w:r>
    </w:p>
    <w:p w14:paraId="108BC369" w14:textId="47F2B3C9" w:rsidR="00327FF1" w:rsidRDefault="00E406C7">
      <w:pPr>
        <w:pStyle w:val="P68B1DB1-Normal7"/>
        <w:jc w:val="both"/>
        <w:rPr>
          <w:noProof/>
        </w:rPr>
      </w:pPr>
      <w:r>
        <w:rPr>
          <w:noProof/>
        </w:rPr>
        <w:t xml:space="preserve">Šā pasākuma mērķis ir veicināt inovāciju. Pasākums ietver pētniecības, izstrādes un inovācijas projektu definīciju (tā sauktie “inovācijas nolīgumi”) jomās, kas saskan ar programmas “Apvārsnis Eiropa” II pīlāru, kā noteikts Regulā (ES) 2021/695. </w:t>
      </w:r>
    </w:p>
    <w:p w14:paraId="5CD44EC9" w14:textId="77777777" w:rsidR="00327FF1" w:rsidRDefault="00E406C7">
      <w:pPr>
        <w:pStyle w:val="P68B1DB1-Normal5"/>
        <w:spacing w:before="120" w:after="120"/>
        <w:jc w:val="both"/>
        <w:rPr>
          <w:rFonts w:eastAsia="Calibri"/>
          <w:bCs/>
          <w:noProof/>
        </w:rPr>
      </w:pPr>
      <w:r>
        <w:rPr>
          <w:noProof/>
        </w:rPr>
        <w:t>Investīci</w:t>
      </w:r>
      <w:r>
        <w:rPr>
          <w:noProof/>
        </w:rPr>
        <w:t xml:space="preserve">ja 3.3.: Doktorantūras stipendiju piešķiršana sadarbībā ar uzņēmumiem </w:t>
      </w:r>
    </w:p>
    <w:p w14:paraId="57DF6556" w14:textId="77777777" w:rsidR="00327FF1" w:rsidRDefault="00E406C7">
      <w:pPr>
        <w:pStyle w:val="P68B1DB1-Normal7"/>
        <w:spacing w:before="120" w:after="120"/>
        <w:jc w:val="both"/>
        <w:rPr>
          <w:noProof/>
        </w:rPr>
      </w:pPr>
      <w:r>
        <w:rPr>
          <w:noProof/>
        </w:rPr>
        <w:t xml:space="preserve">Šā pasākuma mērķis ir uzlabot augsta līmeņa prasmes, tostarp svarīgo pamattehnoloģiju jomā. </w:t>
      </w:r>
    </w:p>
    <w:p w14:paraId="303F78CC" w14:textId="583A4A22" w:rsidR="00327FF1" w:rsidRDefault="00E406C7">
      <w:pPr>
        <w:spacing w:before="120" w:after="120"/>
        <w:jc w:val="both"/>
        <w:rPr>
          <w:rFonts w:ascii="Times New Roman" w:hAnsi="Times New Roman" w:cs="Times New Roman"/>
          <w:noProof/>
        </w:rPr>
      </w:pPr>
      <w:r>
        <w:rPr>
          <w:rFonts w:ascii="Times New Roman" w:hAnsi="Times New Roman" w:cs="Times New Roman"/>
          <w:noProof/>
        </w:rPr>
        <w:t>Pasākums ietver PhD stipendiju piešķiršanu universitātēm un AFAM iestādēm, sniedzot ieguldīj</w:t>
      </w:r>
      <w:r>
        <w:rPr>
          <w:rFonts w:ascii="Times New Roman" w:hAnsi="Times New Roman" w:cs="Times New Roman"/>
          <w:noProof/>
        </w:rPr>
        <w:t>umu un iesaistot uzņēmumus. Konkrētāk, pasākums, ko īsteno MUR — Universitātes un pētniecības ministrija, paredz piešķirt kopumā</w:t>
      </w:r>
      <w:r>
        <w:rPr>
          <w:rFonts w:ascii="Arial Narrow" w:hAnsi="Arial Narrow"/>
          <w:noProof/>
          <w:color w:val="006100"/>
          <w:sz w:val="20"/>
          <w:szCs w:val="20"/>
        </w:rPr>
        <w:t xml:space="preserve"> </w:t>
      </w:r>
      <w:r>
        <w:rPr>
          <w:rFonts w:ascii="Times New Roman" w:hAnsi="Times New Roman" w:cs="Times New Roman"/>
          <w:noProof/>
        </w:rPr>
        <w:t xml:space="preserve">6000 doktorantūras stipendiju trīs gadu laikā ar privātu līdzfinansējumu. </w:t>
      </w:r>
    </w:p>
    <w:p w14:paraId="0E09FACF" w14:textId="77777777" w:rsidR="00327FF1" w:rsidRDefault="00E406C7">
      <w:pPr>
        <w:pStyle w:val="P68B1DB1-Normal5"/>
        <w:spacing w:before="120" w:after="120" w:line="288" w:lineRule="auto"/>
        <w:jc w:val="both"/>
        <w:rPr>
          <w:bCs/>
          <w:noProof/>
        </w:rPr>
      </w:pPr>
      <w:r>
        <w:rPr>
          <w:noProof/>
        </w:rPr>
        <w:t xml:space="preserve">Reforma Nr. 1.1: Pētniecības un inovācijas atbalsta </w:t>
      </w:r>
      <w:r>
        <w:rPr>
          <w:noProof/>
        </w:rPr>
        <w:t>pasākumu īstenošana vienkāršošanas un mobilitātes veicināšanai</w:t>
      </w:r>
    </w:p>
    <w:p w14:paraId="2FE7A2BA" w14:textId="77777777" w:rsidR="00327FF1" w:rsidRDefault="00E406C7">
      <w:pPr>
        <w:pStyle w:val="P68B1DB1-Normal7"/>
        <w:spacing w:before="120" w:after="120"/>
        <w:jc w:val="both"/>
        <w:rPr>
          <w:noProof/>
        </w:rPr>
      </w:pPr>
      <w:r>
        <w:rPr>
          <w:noProof/>
        </w:rPr>
        <w:t>Reformu īsteno Universitātes un pētniecības ministrija (MUR) un Ekonomikas attīstības ministrija (MiSE), izveidojot starpministriju koordinācijas padomi un izdodot divus ministriju dekrētus: I)</w:t>
      </w:r>
      <w:r>
        <w:rPr>
          <w:noProof/>
        </w:rPr>
        <w:t xml:space="preserve"> palielināt un atbalstīt augsta līmeņa personu mobilitāti (izmantojot stimulus) (piemēram, pētnieki un vadītāji) starp universitātēm, pētniecības infrastruktūrām un uzņēmumiem un ii) vienkāršot pētniecības fondu pārvaldību, iii) reformēt pētnieku karjeras </w:t>
      </w:r>
      <w:r>
        <w:rPr>
          <w:noProof/>
        </w:rPr>
        <w:t xml:space="preserve">ceļu, lai vairāk koncentrētos uz pētniecības darbībām. </w:t>
      </w:r>
    </w:p>
    <w:p w14:paraId="26A96F51" w14:textId="4F3AD324" w:rsidR="00327FF1" w:rsidRDefault="00E406C7">
      <w:pPr>
        <w:pStyle w:val="P68B1DB1-Normal7"/>
        <w:jc w:val="both"/>
        <w:rPr>
          <w:b/>
          <w:bCs/>
          <w:noProof/>
        </w:rPr>
      </w:pPr>
      <w:r>
        <w:rPr>
          <w:noProof/>
        </w:rPr>
        <w:t>Reforma pāriet uz sistēmiskāku pieeju pētniecības un attīstības darbībām, kas pārsniedz pašreizējo resursu pārdales loģiku, dodot priekšroku kopīgai pieejai, un koncentrējas uz birokrātijas vienkāršoš</w:t>
      </w:r>
      <w:r>
        <w:rPr>
          <w:noProof/>
        </w:rPr>
        <w:t xml:space="preserve">anu publiskā un privātā sektora pētniecības darbībām paredzēto līdzekļu pārvaldībā, radot būtisku ietekmi, izvairoties no prioritāšu izkliedes un sadrumstalotības, ko atbalsta arī misijas pirmais komponents. Publiskām pētniecības iestādēm (PRA) ir svarīga </w:t>
      </w:r>
      <w:r>
        <w:rPr>
          <w:noProof/>
        </w:rPr>
        <w:t>loma gan kā iespējamajām partnerību, valstu kampaņu un teritoriālo ekosistēmu projektu vadītājiem, gan kā potenciālajiem dalībniekiem uzaicinājumos iesniegt priekšlikumus par PDR fondu un infrastruktūras fondu.</w:t>
      </w:r>
      <w:r>
        <w:rPr>
          <w:noProof/>
        </w:rPr>
        <w:br w:type="page"/>
      </w:r>
    </w:p>
    <w:p w14:paraId="025FEE9D" w14:textId="2FFD621B" w:rsidR="00327FF1" w:rsidRDefault="00E406C7">
      <w:pPr>
        <w:pStyle w:val="P68B1DB1-Normal5"/>
        <w:spacing w:before="120" w:after="120"/>
        <w:jc w:val="both"/>
        <w:rPr>
          <w:bCs/>
          <w:noProof/>
        </w:rPr>
      </w:pPr>
      <w:r>
        <w:rPr>
          <w:noProof/>
        </w:rPr>
        <w:t>Reforma Nr. 1.2. Trīs gadu plāns pētniecības</w:t>
      </w:r>
      <w:r>
        <w:rPr>
          <w:noProof/>
        </w:rPr>
        <w:t xml:space="preserve"> darbību finansēšanai</w:t>
      </w:r>
    </w:p>
    <w:p w14:paraId="31625454" w14:textId="55A39CA6" w:rsidR="00327FF1" w:rsidRDefault="00E406C7">
      <w:pPr>
        <w:pStyle w:val="P68B1DB1-Normal7"/>
        <w:jc w:val="both"/>
        <w:rPr>
          <w:noProof/>
        </w:rPr>
      </w:pPr>
      <w:r>
        <w:rPr>
          <w:noProof/>
        </w:rPr>
        <w:t>Reformas mērķis ir uzlabot pētniecības finansējuma plānošanu un paredzamību. Tas nozīmē, ka stājas spēkā primārie tiesību akti, kas nosaka tiesisko regulējumu, lai pieņemtu trīs gadu plānu pētniecības darbību finansēšanai.</w:t>
      </w:r>
    </w:p>
    <w:p w14:paraId="375E5F23" w14:textId="77777777" w:rsidR="00327FF1" w:rsidRDefault="00327FF1">
      <w:pPr>
        <w:jc w:val="both"/>
        <w:rPr>
          <w:rFonts w:ascii="Times New Roman" w:hAnsi="Times New Roman" w:cs="Times New Roman"/>
          <w:noProof/>
        </w:rPr>
      </w:pPr>
    </w:p>
    <w:p w14:paraId="3A748D05" w14:textId="77777777" w:rsidR="00327FF1" w:rsidRDefault="00327FF1">
      <w:pPr>
        <w:rPr>
          <w:rFonts w:ascii="Times New Roman" w:hAnsi="Times New Roman" w:cs="Times New Roman"/>
          <w:b/>
          <w:bCs/>
          <w:noProof/>
          <w:u w:val="single"/>
        </w:rPr>
        <w:sectPr w:rsidR="00327FF1" w:rsidSect="005F11B9">
          <w:headerReference w:type="even" r:id="rId196"/>
          <w:headerReference w:type="default" r:id="rId197"/>
          <w:footerReference w:type="even" r:id="rId198"/>
          <w:footerReference w:type="default" r:id="rId199"/>
          <w:headerReference w:type="first" r:id="rId200"/>
          <w:footerReference w:type="first" r:id="rId201"/>
          <w:pgSz w:w="11906" w:h="16838"/>
          <w:pgMar w:top="1440" w:right="1440" w:bottom="1440" w:left="1440" w:header="708" w:footer="708" w:gutter="0"/>
          <w:cols w:space="708"/>
          <w:docGrid w:linePitch="360"/>
        </w:sectPr>
      </w:pPr>
    </w:p>
    <w:p w14:paraId="2452C159" w14:textId="77777777" w:rsidR="00327FF1" w:rsidRDefault="00E406C7">
      <w:pPr>
        <w:pStyle w:val="P68B1DB1-Heading397"/>
        <w:ind w:left="850" w:hanging="850"/>
        <w:rPr>
          <w:rFonts w:hint="default"/>
          <w:noProof/>
        </w:rPr>
      </w:pPr>
      <w:r>
        <w:rPr>
          <w:noProof/>
        </w:rPr>
        <w:t xml:space="preserve">K.2. </w:t>
      </w:r>
      <w:r>
        <w:rPr>
          <w:noProof/>
        </w:rPr>
        <w:tab/>
        <w:t>Atskaites punkti, mērķrādītāji, rādītāji un neatmaksājamā finansiālā atbalsta uzraudzības un īstenošanas grafiks</w:t>
      </w:r>
    </w:p>
    <w:tbl>
      <w:tblPr>
        <w:tblW w:w="14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1310"/>
        <w:gridCol w:w="1696"/>
        <w:gridCol w:w="1247"/>
        <w:gridCol w:w="1318"/>
        <w:gridCol w:w="1151"/>
        <w:gridCol w:w="1359"/>
        <w:gridCol w:w="1472"/>
        <w:gridCol w:w="977"/>
        <w:gridCol w:w="615"/>
        <w:gridCol w:w="2404"/>
      </w:tblGrid>
      <w:tr w:rsidR="00327FF1" w14:paraId="77EBB1CA" w14:textId="77777777">
        <w:trPr>
          <w:trHeight w:val="927"/>
          <w:tblHeader/>
          <w:jc w:val="center"/>
        </w:trPr>
        <w:tc>
          <w:tcPr>
            <w:tcW w:w="1292" w:type="dxa"/>
            <w:vMerge w:val="restart"/>
            <w:shd w:val="clear" w:color="auto" w:fill="BDD7EE"/>
            <w:vAlign w:val="center"/>
            <w:hideMark/>
          </w:tcPr>
          <w:p w14:paraId="15D04695" w14:textId="77777777" w:rsidR="00327FF1" w:rsidRDefault="00E406C7">
            <w:pPr>
              <w:pStyle w:val="P68B1DB1-Normal10"/>
              <w:jc w:val="center"/>
              <w:rPr>
                <w:noProof/>
                <w:szCs w:val="20"/>
              </w:rPr>
            </w:pPr>
            <w:r>
              <w:rPr>
                <w:noProof/>
              </w:rPr>
              <w:t>Kārtas numurs</w:t>
            </w:r>
          </w:p>
        </w:tc>
        <w:tc>
          <w:tcPr>
            <w:tcW w:w="1368" w:type="dxa"/>
            <w:vMerge w:val="restart"/>
            <w:shd w:val="clear" w:color="auto" w:fill="BDD7EE"/>
            <w:vAlign w:val="center"/>
            <w:hideMark/>
          </w:tcPr>
          <w:p w14:paraId="72306E09" w14:textId="77777777" w:rsidR="00327FF1" w:rsidRDefault="00E406C7">
            <w:pPr>
              <w:pStyle w:val="P68B1DB1-Normal10"/>
              <w:jc w:val="center"/>
              <w:rPr>
                <w:noProof/>
                <w:szCs w:val="20"/>
              </w:rPr>
            </w:pPr>
            <w:r>
              <w:rPr>
                <w:noProof/>
              </w:rPr>
              <w:t>Saistītais pasākums (reforma vai ieguldījums)</w:t>
            </w:r>
          </w:p>
        </w:tc>
        <w:tc>
          <w:tcPr>
            <w:tcW w:w="1413" w:type="dxa"/>
            <w:vMerge w:val="restart"/>
            <w:shd w:val="clear" w:color="auto" w:fill="BDD7EE"/>
            <w:vAlign w:val="center"/>
            <w:hideMark/>
          </w:tcPr>
          <w:p w14:paraId="46FA3A0B" w14:textId="77777777" w:rsidR="00327FF1" w:rsidRDefault="00E406C7">
            <w:pPr>
              <w:pStyle w:val="P68B1DB1-Normal10"/>
              <w:jc w:val="center"/>
              <w:rPr>
                <w:noProof/>
                <w:szCs w:val="20"/>
              </w:rPr>
            </w:pPr>
            <w:r>
              <w:rPr>
                <w:noProof/>
              </w:rPr>
              <w:t>Atskaites punkts/mērķrādītājs</w:t>
            </w:r>
          </w:p>
        </w:tc>
        <w:tc>
          <w:tcPr>
            <w:tcW w:w="1302" w:type="dxa"/>
            <w:vMerge w:val="restart"/>
            <w:shd w:val="clear" w:color="auto" w:fill="BDD7EE"/>
            <w:vAlign w:val="center"/>
            <w:hideMark/>
          </w:tcPr>
          <w:p w14:paraId="08918BB2" w14:textId="77777777" w:rsidR="00327FF1" w:rsidRDefault="00E406C7">
            <w:pPr>
              <w:pStyle w:val="P68B1DB1-Normal10"/>
              <w:jc w:val="center"/>
              <w:rPr>
                <w:noProof/>
                <w:szCs w:val="20"/>
              </w:rPr>
            </w:pPr>
            <w:r>
              <w:rPr>
                <w:noProof/>
              </w:rPr>
              <w:t>Nosaukums</w:t>
            </w:r>
          </w:p>
        </w:tc>
        <w:tc>
          <w:tcPr>
            <w:tcW w:w="1377" w:type="dxa"/>
            <w:vMerge w:val="restart"/>
            <w:shd w:val="clear" w:color="auto" w:fill="BDD7EE"/>
            <w:vAlign w:val="center"/>
            <w:hideMark/>
          </w:tcPr>
          <w:p w14:paraId="52A8DB05" w14:textId="77777777"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3702" w:type="dxa"/>
            <w:gridSpan w:val="3"/>
            <w:shd w:val="clear" w:color="auto" w:fill="BDD7EE"/>
            <w:vAlign w:val="center"/>
            <w:hideMark/>
          </w:tcPr>
          <w:p w14:paraId="32E720DD" w14:textId="77777777" w:rsidR="00327FF1" w:rsidRDefault="00E406C7">
            <w:pPr>
              <w:jc w:val="center"/>
              <w:rPr>
                <w:rFonts w:ascii="Arial Narrow" w:hAnsi="Arial Narrow"/>
                <w:b/>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586" w:type="dxa"/>
            <w:gridSpan w:val="2"/>
            <w:shd w:val="clear" w:color="auto" w:fill="BDD7EE"/>
            <w:vAlign w:val="center"/>
            <w:hideMark/>
          </w:tcPr>
          <w:p w14:paraId="67E49427" w14:textId="77777777" w:rsidR="00327FF1" w:rsidRDefault="00E406C7">
            <w:pPr>
              <w:pStyle w:val="P68B1DB1-Normal10"/>
              <w:jc w:val="center"/>
              <w:rPr>
                <w:noProof/>
                <w:szCs w:val="20"/>
              </w:rPr>
            </w:pPr>
            <w:r>
              <w:rPr>
                <w:noProof/>
              </w:rPr>
              <w:t>Orientējošs pabeigšanas termiņš</w:t>
            </w:r>
          </w:p>
        </w:tc>
        <w:tc>
          <w:tcPr>
            <w:tcW w:w="2521" w:type="dxa"/>
            <w:vMerge w:val="restart"/>
            <w:shd w:val="clear" w:color="auto" w:fill="BDD7EE"/>
            <w:vAlign w:val="center"/>
            <w:hideMark/>
          </w:tcPr>
          <w:p w14:paraId="47147C27" w14:textId="77777777" w:rsidR="00327FF1" w:rsidRDefault="00E406C7">
            <w:pPr>
              <w:pStyle w:val="P68B1DB1-Normal10"/>
              <w:jc w:val="center"/>
              <w:rPr>
                <w:noProof/>
                <w:szCs w:val="20"/>
              </w:rPr>
            </w:pPr>
            <w:r>
              <w:rPr>
                <w:noProof/>
              </w:rPr>
              <w:t>Apraksts par katru atskaites punktu un mērķrādītāju</w:t>
            </w:r>
          </w:p>
        </w:tc>
      </w:tr>
      <w:tr w:rsidR="00327FF1" w14:paraId="7DC70438" w14:textId="77777777">
        <w:trPr>
          <w:trHeight w:val="802"/>
          <w:tblHeader/>
          <w:jc w:val="center"/>
        </w:trPr>
        <w:tc>
          <w:tcPr>
            <w:tcW w:w="1292" w:type="dxa"/>
            <w:vMerge/>
            <w:vAlign w:val="center"/>
            <w:hideMark/>
          </w:tcPr>
          <w:p w14:paraId="2810997B" w14:textId="77777777" w:rsidR="00327FF1" w:rsidRDefault="00327FF1">
            <w:pPr>
              <w:jc w:val="center"/>
              <w:rPr>
                <w:rFonts w:ascii="Arial Narrow" w:hAnsi="Arial Narrow"/>
                <w:b/>
                <w:noProof/>
                <w:sz w:val="20"/>
                <w:szCs w:val="20"/>
              </w:rPr>
            </w:pPr>
          </w:p>
        </w:tc>
        <w:tc>
          <w:tcPr>
            <w:tcW w:w="1368" w:type="dxa"/>
            <w:vMerge/>
            <w:vAlign w:val="center"/>
            <w:hideMark/>
          </w:tcPr>
          <w:p w14:paraId="1FDCCA58" w14:textId="77777777" w:rsidR="00327FF1" w:rsidRDefault="00327FF1">
            <w:pPr>
              <w:jc w:val="center"/>
              <w:rPr>
                <w:rFonts w:ascii="Arial Narrow" w:hAnsi="Arial Narrow"/>
                <w:b/>
                <w:noProof/>
                <w:sz w:val="20"/>
                <w:szCs w:val="20"/>
              </w:rPr>
            </w:pPr>
          </w:p>
        </w:tc>
        <w:tc>
          <w:tcPr>
            <w:tcW w:w="1413" w:type="dxa"/>
            <w:vMerge/>
            <w:vAlign w:val="center"/>
            <w:hideMark/>
          </w:tcPr>
          <w:p w14:paraId="744B5075" w14:textId="77777777" w:rsidR="00327FF1" w:rsidRDefault="00327FF1">
            <w:pPr>
              <w:jc w:val="center"/>
              <w:rPr>
                <w:rFonts w:ascii="Arial Narrow" w:hAnsi="Arial Narrow"/>
                <w:b/>
                <w:noProof/>
                <w:sz w:val="20"/>
                <w:szCs w:val="20"/>
              </w:rPr>
            </w:pPr>
          </w:p>
        </w:tc>
        <w:tc>
          <w:tcPr>
            <w:tcW w:w="1302" w:type="dxa"/>
            <w:vMerge/>
            <w:vAlign w:val="center"/>
            <w:hideMark/>
          </w:tcPr>
          <w:p w14:paraId="085A8514" w14:textId="77777777" w:rsidR="00327FF1" w:rsidRDefault="00327FF1">
            <w:pPr>
              <w:jc w:val="center"/>
              <w:rPr>
                <w:rFonts w:ascii="Arial Narrow" w:hAnsi="Arial Narrow"/>
                <w:b/>
                <w:noProof/>
                <w:sz w:val="20"/>
                <w:szCs w:val="20"/>
              </w:rPr>
            </w:pPr>
          </w:p>
        </w:tc>
        <w:tc>
          <w:tcPr>
            <w:tcW w:w="1377" w:type="dxa"/>
            <w:vMerge/>
            <w:vAlign w:val="center"/>
            <w:hideMark/>
          </w:tcPr>
          <w:p w14:paraId="13B00B63" w14:textId="77777777" w:rsidR="00327FF1" w:rsidRDefault="00327FF1">
            <w:pPr>
              <w:jc w:val="center"/>
              <w:rPr>
                <w:rFonts w:ascii="Arial Narrow" w:hAnsi="Arial Narrow"/>
                <w:b/>
                <w:noProof/>
                <w:sz w:val="20"/>
                <w:szCs w:val="20"/>
              </w:rPr>
            </w:pPr>
          </w:p>
        </w:tc>
        <w:tc>
          <w:tcPr>
            <w:tcW w:w="1089" w:type="dxa"/>
            <w:shd w:val="clear" w:color="auto" w:fill="BDD7EE"/>
            <w:vAlign w:val="center"/>
            <w:hideMark/>
          </w:tcPr>
          <w:p w14:paraId="63B19481" w14:textId="77777777" w:rsidR="00327FF1" w:rsidRDefault="00E406C7">
            <w:pPr>
              <w:pStyle w:val="P68B1DB1-Normal10"/>
              <w:jc w:val="center"/>
              <w:rPr>
                <w:noProof/>
                <w:szCs w:val="20"/>
              </w:rPr>
            </w:pPr>
            <w:r>
              <w:rPr>
                <w:noProof/>
              </w:rPr>
              <w:t>Mēra vienība</w:t>
            </w:r>
          </w:p>
        </w:tc>
        <w:tc>
          <w:tcPr>
            <w:tcW w:w="1074" w:type="dxa"/>
            <w:shd w:val="clear" w:color="auto" w:fill="BDD7EE"/>
            <w:vAlign w:val="center"/>
            <w:hideMark/>
          </w:tcPr>
          <w:p w14:paraId="2E9AF3E7" w14:textId="77777777" w:rsidR="00327FF1" w:rsidRDefault="00E406C7">
            <w:pPr>
              <w:pStyle w:val="P68B1DB1-Normal10"/>
              <w:jc w:val="center"/>
              <w:rPr>
                <w:noProof/>
                <w:szCs w:val="20"/>
              </w:rPr>
            </w:pPr>
            <w:r>
              <w:rPr>
                <w:noProof/>
              </w:rPr>
              <w:t>Pamatscenārijs</w:t>
            </w:r>
          </w:p>
        </w:tc>
        <w:tc>
          <w:tcPr>
            <w:tcW w:w="1539" w:type="dxa"/>
            <w:shd w:val="clear" w:color="auto" w:fill="BDD7EE"/>
            <w:vAlign w:val="center"/>
            <w:hideMark/>
          </w:tcPr>
          <w:p w14:paraId="098BB2FF" w14:textId="77777777" w:rsidR="00327FF1" w:rsidRDefault="00E406C7">
            <w:pPr>
              <w:pStyle w:val="P68B1DB1-Normal10"/>
              <w:jc w:val="center"/>
              <w:rPr>
                <w:noProof/>
                <w:szCs w:val="20"/>
              </w:rPr>
            </w:pPr>
            <w:r>
              <w:rPr>
                <w:noProof/>
              </w:rPr>
              <w:t>Mērķis</w:t>
            </w:r>
          </w:p>
        </w:tc>
        <w:tc>
          <w:tcPr>
            <w:tcW w:w="975" w:type="dxa"/>
            <w:shd w:val="clear" w:color="auto" w:fill="BDD7EE"/>
            <w:vAlign w:val="center"/>
            <w:hideMark/>
          </w:tcPr>
          <w:p w14:paraId="4F5E9E74" w14:textId="77777777" w:rsidR="00327FF1" w:rsidRDefault="00E406C7">
            <w:pPr>
              <w:pStyle w:val="P68B1DB1-Normal10"/>
              <w:jc w:val="center"/>
              <w:rPr>
                <w:noProof/>
                <w:szCs w:val="20"/>
              </w:rPr>
            </w:pPr>
            <w:r>
              <w:rPr>
                <w:noProof/>
              </w:rPr>
              <w:t>Ceturkšņa laikā</w:t>
            </w:r>
          </w:p>
        </w:tc>
        <w:tc>
          <w:tcPr>
            <w:tcW w:w="611" w:type="dxa"/>
            <w:shd w:val="clear" w:color="auto" w:fill="BDD7EE"/>
            <w:vAlign w:val="center"/>
            <w:hideMark/>
          </w:tcPr>
          <w:p w14:paraId="7BF19C5B" w14:textId="77777777" w:rsidR="00327FF1" w:rsidRDefault="00E406C7">
            <w:pPr>
              <w:pStyle w:val="P68B1DB1-Normal10"/>
              <w:jc w:val="center"/>
              <w:rPr>
                <w:noProof/>
                <w:szCs w:val="20"/>
              </w:rPr>
            </w:pPr>
            <w:r>
              <w:rPr>
                <w:noProof/>
              </w:rPr>
              <w:t>Gadu</w:t>
            </w:r>
          </w:p>
        </w:tc>
        <w:tc>
          <w:tcPr>
            <w:tcW w:w="2521" w:type="dxa"/>
            <w:vMerge/>
            <w:vAlign w:val="center"/>
            <w:hideMark/>
          </w:tcPr>
          <w:p w14:paraId="7F08558D" w14:textId="77777777" w:rsidR="00327FF1" w:rsidRDefault="00327FF1">
            <w:pPr>
              <w:rPr>
                <w:rFonts w:ascii="Arial Narrow" w:hAnsi="Arial Narrow"/>
                <w:b/>
                <w:noProof/>
                <w:sz w:val="20"/>
                <w:szCs w:val="20"/>
              </w:rPr>
            </w:pPr>
          </w:p>
        </w:tc>
      </w:tr>
      <w:tr w:rsidR="00327FF1" w14:paraId="0D8617CE" w14:textId="77777777">
        <w:trPr>
          <w:trHeight w:val="1065"/>
          <w:jc w:val="center"/>
        </w:trPr>
        <w:tc>
          <w:tcPr>
            <w:tcW w:w="1292" w:type="dxa"/>
            <w:shd w:val="clear" w:color="auto" w:fill="C6EFCE"/>
            <w:noWrap/>
            <w:vAlign w:val="center"/>
            <w:hideMark/>
          </w:tcPr>
          <w:p w14:paraId="56F9DE3D" w14:textId="77777777" w:rsidR="00327FF1" w:rsidRDefault="00E406C7">
            <w:pPr>
              <w:pStyle w:val="P68B1DB1-Normal11"/>
              <w:jc w:val="center"/>
              <w:rPr>
                <w:noProof/>
                <w:szCs w:val="20"/>
              </w:rPr>
            </w:pPr>
            <w:r>
              <w:rPr>
                <w:noProof/>
              </w:rPr>
              <w:t>M4C2–1</w:t>
            </w:r>
          </w:p>
        </w:tc>
        <w:tc>
          <w:tcPr>
            <w:tcW w:w="1368" w:type="dxa"/>
            <w:shd w:val="clear" w:color="auto" w:fill="C6EFCE"/>
            <w:noWrap/>
            <w:vAlign w:val="center"/>
            <w:hideMark/>
          </w:tcPr>
          <w:p w14:paraId="4ACFBAC7" w14:textId="77777777" w:rsidR="00327FF1" w:rsidRDefault="00E406C7">
            <w:pPr>
              <w:pStyle w:val="P68B1DB1-Normal11"/>
              <w:jc w:val="center"/>
              <w:rPr>
                <w:noProof/>
                <w:szCs w:val="20"/>
              </w:rPr>
            </w:pPr>
            <w:r>
              <w:rPr>
                <w:noProof/>
              </w:rPr>
              <w:t xml:space="preserve"> Ieguldījums 1.2. Jauno pētnieku iesniegto projektu finansēšana</w:t>
            </w:r>
          </w:p>
        </w:tc>
        <w:tc>
          <w:tcPr>
            <w:tcW w:w="1413" w:type="dxa"/>
            <w:shd w:val="clear" w:color="auto" w:fill="C6EFCE"/>
            <w:noWrap/>
            <w:vAlign w:val="center"/>
            <w:hideMark/>
          </w:tcPr>
          <w:p w14:paraId="1E3D3E5C" w14:textId="77777777" w:rsidR="00327FF1" w:rsidRDefault="00E406C7">
            <w:pPr>
              <w:pStyle w:val="P68B1DB1-Normal11"/>
              <w:jc w:val="center"/>
              <w:rPr>
                <w:noProof/>
                <w:szCs w:val="20"/>
              </w:rPr>
            </w:pPr>
            <w:r>
              <w:rPr>
                <w:noProof/>
              </w:rPr>
              <w:t>Mērķa</w:t>
            </w:r>
          </w:p>
        </w:tc>
        <w:tc>
          <w:tcPr>
            <w:tcW w:w="1302" w:type="dxa"/>
            <w:shd w:val="clear" w:color="auto" w:fill="C6EFCE"/>
            <w:noWrap/>
            <w:vAlign w:val="center"/>
            <w:hideMark/>
          </w:tcPr>
          <w:p w14:paraId="2E8E0FA3" w14:textId="77777777" w:rsidR="00327FF1" w:rsidRDefault="00E406C7">
            <w:pPr>
              <w:pStyle w:val="P68B1DB1-Normal11"/>
              <w:jc w:val="center"/>
              <w:rPr>
                <w:rFonts w:eastAsia="Calibri"/>
                <w:noProof/>
                <w:szCs w:val="20"/>
              </w:rPr>
            </w:pPr>
            <w:r>
              <w:rPr>
                <w:noProof/>
              </w:rPr>
              <w:t>To studentu skaits, kuriem piešķirta pētniecības stipendija</w:t>
            </w:r>
          </w:p>
        </w:tc>
        <w:tc>
          <w:tcPr>
            <w:tcW w:w="1377" w:type="dxa"/>
            <w:shd w:val="clear" w:color="auto" w:fill="C6EFCE"/>
            <w:noWrap/>
            <w:vAlign w:val="center"/>
            <w:hideMark/>
          </w:tcPr>
          <w:p w14:paraId="1AFAAD3E" w14:textId="77777777" w:rsidR="00327FF1" w:rsidRDefault="00E406C7">
            <w:pPr>
              <w:pStyle w:val="P68B1DB1-Normal11"/>
              <w:jc w:val="center"/>
              <w:rPr>
                <w:noProof/>
                <w:szCs w:val="20"/>
              </w:rPr>
            </w:pPr>
            <w:r>
              <w:rPr>
                <w:noProof/>
              </w:rPr>
              <w:t>NEPIEMĒRO</w:t>
            </w:r>
          </w:p>
        </w:tc>
        <w:tc>
          <w:tcPr>
            <w:tcW w:w="1089" w:type="dxa"/>
            <w:shd w:val="clear" w:color="auto" w:fill="C6EFCE"/>
            <w:noWrap/>
            <w:vAlign w:val="center"/>
            <w:hideMark/>
          </w:tcPr>
          <w:p w14:paraId="1DD4F2E0" w14:textId="77777777" w:rsidR="00327FF1" w:rsidRDefault="00E406C7">
            <w:pPr>
              <w:pStyle w:val="P68B1DB1-Normal11"/>
              <w:jc w:val="center"/>
              <w:rPr>
                <w:noProof/>
                <w:szCs w:val="20"/>
              </w:rPr>
            </w:pPr>
            <w:r>
              <w:rPr>
                <w:noProof/>
              </w:rPr>
              <w:t>Skaits</w:t>
            </w:r>
          </w:p>
        </w:tc>
        <w:tc>
          <w:tcPr>
            <w:tcW w:w="1074" w:type="dxa"/>
            <w:shd w:val="clear" w:color="auto" w:fill="C6EFCE"/>
            <w:noWrap/>
            <w:vAlign w:val="center"/>
            <w:hideMark/>
          </w:tcPr>
          <w:p w14:paraId="0D763C91" w14:textId="77777777" w:rsidR="00327FF1" w:rsidRDefault="00E406C7">
            <w:pPr>
              <w:pStyle w:val="P68B1DB1-Normal11"/>
              <w:jc w:val="center"/>
              <w:rPr>
                <w:noProof/>
                <w:szCs w:val="20"/>
              </w:rPr>
            </w:pPr>
            <w:r>
              <w:rPr>
                <w:noProof/>
              </w:rPr>
              <w:t>50</w:t>
            </w:r>
          </w:p>
        </w:tc>
        <w:tc>
          <w:tcPr>
            <w:tcW w:w="1539" w:type="dxa"/>
            <w:shd w:val="clear" w:color="auto" w:fill="C6EFCE"/>
            <w:noWrap/>
            <w:vAlign w:val="center"/>
            <w:hideMark/>
          </w:tcPr>
          <w:p w14:paraId="0BFE3B34" w14:textId="77777777" w:rsidR="00327FF1" w:rsidRDefault="00E406C7">
            <w:pPr>
              <w:pStyle w:val="P68B1DB1-Normal11"/>
              <w:jc w:val="center"/>
              <w:rPr>
                <w:noProof/>
                <w:szCs w:val="20"/>
              </w:rPr>
            </w:pPr>
            <w:r>
              <w:rPr>
                <w:noProof/>
              </w:rPr>
              <w:t>300</w:t>
            </w:r>
          </w:p>
        </w:tc>
        <w:tc>
          <w:tcPr>
            <w:tcW w:w="975" w:type="dxa"/>
            <w:shd w:val="clear" w:color="auto" w:fill="C6EFCE"/>
            <w:noWrap/>
            <w:vAlign w:val="center"/>
            <w:hideMark/>
          </w:tcPr>
          <w:p w14:paraId="3331FA08" w14:textId="77777777" w:rsidR="00327FF1" w:rsidRDefault="00E406C7">
            <w:pPr>
              <w:pStyle w:val="P68B1DB1-Normal11"/>
              <w:jc w:val="center"/>
              <w:rPr>
                <w:noProof/>
                <w:szCs w:val="20"/>
              </w:rPr>
            </w:pPr>
            <w:r>
              <w:rPr>
                <w:noProof/>
              </w:rPr>
              <w:t>4. CET.</w:t>
            </w:r>
          </w:p>
        </w:tc>
        <w:tc>
          <w:tcPr>
            <w:tcW w:w="611" w:type="dxa"/>
            <w:shd w:val="clear" w:color="auto" w:fill="C6EFCE"/>
            <w:noWrap/>
            <w:vAlign w:val="center"/>
            <w:hideMark/>
          </w:tcPr>
          <w:p w14:paraId="1F51CAF7" w14:textId="77777777" w:rsidR="00327FF1" w:rsidRDefault="00E406C7">
            <w:pPr>
              <w:pStyle w:val="P68B1DB1-Normal11"/>
              <w:jc w:val="center"/>
              <w:rPr>
                <w:noProof/>
                <w:szCs w:val="20"/>
              </w:rPr>
            </w:pPr>
            <w:r>
              <w:rPr>
                <w:noProof/>
              </w:rPr>
              <w:t>2022</w:t>
            </w:r>
          </w:p>
        </w:tc>
        <w:tc>
          <w:tcPr>
            <w:tcW w:w="2521" w:type="dxa"/>
            <w:shd w:val="clear" w:color="auto" w:fill="C6EFCE"/>
            <w:noWrap/>
            <w:vAlign w:val="center"/>
            <w:hideMark/>
          </w:tcPr>
          <w:p w14:paraId="1FE43934" w14:textId="77777777" w:rsidR="00327FF1" w:rsidRDefault="00E406C7">
            <w:pPr>
              <w:pStyle w:val="P68B1DB1-Normal11"/>
              <w:rPr>
                <w:noProof/>
                <w:szCs w:val="20"/>
              </w:rPr>
            </w:pPr>
            <w:r>
              <w:rPr>
                <w:noProof/>
              </w:rPr>
              <w:t xml:space="preserve">Vismaz 300 pētniecības stipendiju piešķiršana studentiem. Piešķiršanas atlases procedūrā </w:t>
            </w:r>
            <w:r>
              <w:rPr>
                <w:noProof/>
              </w:rPr>
              <w:t>iekļauj atbilstības kritērijus, kas nodrošina, ka atlasītie projekti atbilst Tehniskajiem norādījumiem “nenodari būtisku kaitējumu” (2021/C58/01), izmantojot izslēgšanas sarakstu un prasību par atbilstību attiecīgajiem ES un valsts tiesību aktiem vides jom</w:t>
            </w:r>
            <w:r>
              <w:rPr>
                <w:noProof/>
              </w:rPr>
              <w:t>ā.</w:t>
            </w:r>
          </w:p>
          <w:p w14:paraId="117340B5" w14:textId="77777777" w:rsidR="00327FF1" w:rsidRDefault="00E406C7">
            <w:pPr>
              <w:pStyle w:val="P68B1DB1-Normal11"/>
              <w:rPr>
                <w:noProof/>
                <w:szCs w:val="20"/>
              </w:rPr>
            </w:pPr>
            <w:r>
              <w:rPr>
                <w:noProof/>
              </w:rPr>
              <w:t>Apmierinošā mērķa sasniegšanā tiks ņemts vērā arī tas, ka ir noslēgti līgumi ar vismaz 300 jauno pētnieku.</w:t>
            </w:r>
          </w:p>
        </w:tc>
      </w:tr>
      <w:tr w:rsidR="00327FF1" w14:paraId="6AE167D3" w14:textId="77777777">
        <w:trPr>
          <w:trHeight w:val="1065"/>
          <w:jc w:val="center"/>
        </w:trPr>
        <w:tc>
          <w:tcPr>
            <w:tcW w:w="1292" w:type="dxa"/>
            <w:shd w:val="clear" w:color="auto" w:fill="C6EFCE"/>
            <w:noWrap/>
            <w:vAlign w:val="center"/>
            <w:hideMark/>
          </w:tcPr>
          <w:p w14:paraId="6C4BE837" w14:textId="77777777" w:rsidR="00327FF1" w:rsidRDefault="00E406C7">
            <w:pPr>
              <w:pStyle w:val="P68B1DB1-Normal12"/>
              <w:jc w:val="center"/>
              <w:rPr>
                <w:rFonts w:eastAsia="Calibri"/>
                <w:noProof/>
              </w:rPr>
            </w:pPr>
            <w:r>
              <w:rPr>
                <w:noProof/>
              </w:rPr>
              <w:t>M4C2–1bis</w:t>
            </w:r>
          </w:p>
        </w:tc>
        <w:tc>
          <w:tcPr>
            <w:tcW w:w="1368" w:type="dxa"/>
            <w:shd w:val="clear" w:color="auto" w:fill="C6EFCE"/>
            <w:noWrap/>
            <w:vAlign w:val="center"/>
            <w:hideMark/>
          </w:tcPr>
          <w:p w14:paraId="37187088" w14:textId="77777777" w:rsidR="00327FF1" w:rsidRDefault="00E406C7">
            <w:pPr>
              <w:pStyle w:val="P68B1DB1-Normal11"/>
              <w:jc w:val="center"/>
              <w:rPr>
                <w:noProof/>
                <w:szCs w:val="20"/>
              </w:rPr>
            </w:pPr>
            <w:r>
              <w:rPr>
                <w:noProof/>
              </w:rPr>
              <w:t>Ieguldījums 1.2. Jauno pētnieku iesniegto projektu finansēšana</w:t>
            </w:r>
          </w:p>
          <w:p w14:paraId="3FA1D045" w14:textId="77777777" w:rsidR="00327FF1" w:rsidRDefault="00327FF1">
            <w:pPr>
              <w:jc w:val="center"/>
              <w:rPr>
                <w:rFonts w:ascii="Arial Narrow" w:hAnsi="Arial Narrow"/>
                <w:noProof/>
                <w:color w:val="006100"/>
                <w:sz w:val="20"/>
                <w:szCs w:val="20"/>
              </w:rPr>
            </w:pPr>
          </w:p>
        </w:tc>
        <w:tc>
          <w:tcPr>
            <w:tcW w:w="1413" w:type="dxa"/>
            <w:shd w:val="clear" w:color="auto" w:fill="C6EFCE"/>
            <w:noWrap/>
            <w:vAlign w:val="center"/>
            <w:hideMark/>
          </w:tcPr>
          <w:p w14:paraId="3DBFD01E" w14:textId="77777777" w:rsidR="00327FF1" w:rsidRDefault="00E406C7">
            <w:pPr>
              <w:pStyle w:val="P68B1DB1-Normal12"/>
              <w:jc w:val="center"/>
              <w:rPr>
                <w:noProof/>
              </w:rPr>
            </w:pPr>
            <w:r>
              <w:rPr>
                <w:noProof/>
              </w:rPr>
              <w:t>Atskaites punkts</w:t>
            </w:r>
          </w:p>
        </w:tc>
        <w:tc>
          <w:tcPr>
            <w:tcW w:w="1302" w:type="dxa"/>
            <w:shd w:val="clear" w:color="auto" w:fill="C6EFCE"/>
            <w:noWrap/>
            <w:vAlign w:val="center"/>
            <w:hideMark/>
          </w:tcPr>
          <w:p w14:paraId="029FDBB4" w14:textId="00BD6972" w:rsidR="00327FF1" w:rsidRDefault="00E406C7">
            <w:pPr>
              <w:pStyle w:val="P68B1DB1-Normal12"/>
              <w:jc w:val="center"/>
              <w:rPr>
                <w:noProof/>
              </w:rPr>
            </w:pPr>
            <w:r>
              <w:rPr>
                <w:noProof/>
              </w:rPr>
              <w:t xml:space="preserve">Dekrēta(-u), ar ko piešķir finansējumu jaunajiem pētniekiem, publicēšana </w:t>
            </w:r>
          </w:p>
          <w:p w14:paraId="49BC42D6" w14:textId="77777777" w:rsidR="00327FF1" w:rsidRDefault="00327FF1">
            <w:pPr>
              <w:jc w:val="center"/>
              <w:rPr>
                <w:rFonts w:ascii="Arial Narrow" w:eastAsia="Calibri" w:hAnsi="Arial Narrow"/>
                <w:noProof/>
                <w:color w:val="006100"/>
                <w:sz w:val="20"/>
                <w:szCs w:val="20"/>
              </w:rPr>
            </w:pPr>
          </w:p>
        </w:tc>
        <w:tc>
          <w:tcPr>
            <w:tcW w:w="1377" w:type="dxa"/>
            <w:shd w:val="clear" w:color="auto" w:fill="C6EFCE"/>
            <w:noWrap/>
            <w:vAlign w:val="center"/>
            <w:hideMark/>
          </w:tcPr>
          <w:p w14:paraId="565CD94B" w14:textId="77777777" w:rsidR="00327FF1" w:rsidRDefault="00E406C7">
            <w:pPr>
              <w:pStyle w:val="P68B1DB1-Normal12"/>
              <w:jc w:val="center"/>
              <w:rPr>
                <w:noProof/>
              </w:rPr>
            </w:pPr>
            <w:r>
              <w:rPr>
                <w:noProof/>
              </w:rPr>
              <w:t>Dekrēta(-u) publicēšana</w:t>
            </w:r>
          </w:p>
        </w:tc>
        <w:tc>
          <w:tcPr>
            <w:tcW w:w="1089" w:type="dxa"/>
            <w:shd w:val="clear" w:color="auto" w:fill="C6EFCE"/>
            <w:noWrap/>
            <w:vAlign w:val="center"/>
            <w:hideMark/>
          </w:tcPr>
          <w:p w14:paraId="43090303" w14:textId="77777777" w:rsidR="00327FF1" w:rsidRDefault="00E406C7">
            <w:pPr>
              <w:pStyle w:val="P68B1DB1-Normal12"/>
              <w:jc w:val="center"/>
              <w:rPr>
                <w:noProof/>
              </w:rPr>
            </w:pPr>
            <w:r>
              <w:rPr>
                <w:noProof/>
              </w:rPr>
              <w:t>NEPIEMĒRO</w:t>
            </w:r>
          </w:p>
        </w:tc>
        <w:tc>
          <w:tcPr>
            <w:tcW w:w="1074" w:type="dxa"/>
            <w:shd w:val="clear" w:color="auto" w:fill="C6EFCE"/>
            <w:noWrap/>
            <w:vAlign w:val="center"/>
            <w:hideMark/>
          </w:tcPr>
          <w:p w14:paraId="4BC57217" w14:textId="77777777" w:rsidR="00327FF1" w:rsidRDefault="00E406C7">
            <w:pPr>
              <w:pStyle w:val="P68B1DB1-Normal12"/>
              <w:jc w:val="center"/>
              <w:rPr>
                <w:noProof/>
              </w:rPr>
            </w:pPr>
            <w:r>
              <w:rPr>
                <w:noProof/>
              </w:rPr>
              <w:t>NEPIEMĒRO</w:t>
            </w:r>
          </w:p>
        </w:tc>
        <w:tc>
          <w:tcPr>
            <w:tcW w:w="1539" w:type="dxa"/>
            <w:shd w:val="clear" w:color="auto" w:fill="C6EFCE"/>
            <w:noWrap/>
            <w:vAlign w:val="center"/>
            <w:hideMark/>
          </w:tcPr>
          <w:p w14:paraId="70B6BAB0" w14:textId="77777777" w:rsidR="00327FF1" w:rsidRDefault="00E406C7">
            <w:pPr>
              <w:pStyle w:val="P68B1DB1-Normal12"/>
              <w:jc w:val="center"/>
              <w:rPr>
                <w:noProof/>
              </w:rPr>
            </w:pPr>
            <w:r>
              <w:rPr>
                <w:noProof/>
              </w:rPr>
              <w:t>NEPIEMĒRO</w:t>
            </w:r>
          </w:p>
        </w:tc>
        <w:tc>
          <w:tcPr>
            <w:tcW w:w="975" w:type="dxa"/>
            <w:shd w:val="clear" w:color="auto" w:fill="C6EFCE"/>
            <w:noWrap/>
            <w:vAlign w:val="center"/>
            <w:hideMark/>
          </w:tcPr>
          <w:p w14:paraId="2D24E614" w14:textId="77777777" w:rsidR="00327FF1" w:rsidRDefault="00E406C7">
            <w:pPr>
              <w:pStyle w:val="P68B1DB1-Normal12"/>
              <w:jc w:val="center"/>
              <w:rPr>
                <w:noProof/>
              </w:rPr>
            </w:pPr>
            <w:r>
              <w:rPr>
                <w:noProof/>
              </w:rPr>
              <w:t>2. CET.</w:t>
            </w:r>
          </w:p>
        </w:tc>
        <w:tc>
          <w:tcPr>
            <w:tcW w:w="611" w:type="dxa"/>
            <w:shd w:val="clear" w:color="auto" w:fill="C6EFCE"/>
            <w:noWrap/>
            <w:vAlign w:val="center"/>
            <w:hideMark/>
          </w:tcPr>
          <w:p w14:paraId="7B9B55B8" w14:textId="77777777" w:rsidR="00327FF1" w:rsidRDefault="00E406C7">
            <w:pPr>
              <w:pStyle w:val="P68B1DB1-Normal11"/>
              <w:jc w:val="center"/>
              <w:rPr>
                <w:noProof/>
                <w:szCs w:val="20"/>
              </w:rPr>
            </w:pPr>
            <w:r>
              <w:rPr>
                <w:noProof/>
              </w:rPr>
              <w:t>2025</w:t>
            </w:r>
          </w:p>
        </w:tc>
        <w:tc>
          <w:tcPr>
            <w:tcW w:w="2521" w:type="dxa"/>
            <w:shd w:val="clear" w:color="auto" w:fill="C6EFCE"/>
            <w:noWrap/>
            <w:vAlign w:val="center"/>
            <w:hideMark/>
          </w:tcPr>
          <w:p w14:paraId="1134667D" w14:textId="29A0AB10" w:rsidR="00327FF1" w:rsidRDefault="00E406C7">
            <w:pPr>
              <w:pStyle w:val="P68B1DB1-Normal12"/>
              <w:rPr>
                <w:noProof/>
              </w:rPr>
            </w:pPr>
            <w:r>
              <w:rPr>
                <w:noProof/>
              </w:rPr>
              <w:t xml:space="preserve">Publicēts(-i) dekrēts(-i), ar ko piešķir finansējumu vismaz 550 jauno pētnieku atbalstam. </w:t>
            </w:r>
          </w:p>
          <w:p w14:paraId="224C7997" w14:textId="0BA3E18F" w:rsidR="00327FF1" w:rsidRDefault="00E406C7">
            <w:pPr>
              <w:pStyle w:val="P68B1DB1-Normal12"/>
              <w:rPr>
                <w:noProof/>
              </w:rPr>
            </w:pPr>
            <w:r>
              <w:rPr>
                <w:noProof/>
              </w:rPr>
              <w:t xml:space="preserve">Jaunie pētnieki ievēro </w:t>
            </w:r>
            <w:r>
              <w:rPr>
                <w:noProof/>
              </w:rPr>
              <w:t>šādus nosacījumus: ir vecumā līdz 40 gadiem uzaicinājuma laušanas dienā (profili, kas uzaicinājuma iesniegt projektus publicēšanas dienā ir 40 gadus veci, ir atbilstīgi līdz 41 gada vecumam) vai profiliem vecumā no 41 līdz 45 gadiem, kas ir pabeigti ne vai</w:t>
            </w:r>
            <w:r>
              <w:rPr>
                <w:noProof/>
              </w:rPr>
              <w:t>rāk kā pirms 7 gadiem (profili, kas uzaicinājuma iesniegt projektus publicēšanas dienā ir 45 gadi, ir atbilstīgi līdz 46 gadu vecumam).</w:t>
            </w:r>
          </w:p>
        </w:tc>
      </w:tr>
      <w:tr w:rsidR="00327FF1" w14:paraId="49555037" w14:textId="77777777">
        <w:trPr>
          <w:trHeight w:val="309"/>
          <w:jc w:val="center"/>
        </w:trPr>
        <w:tc>
          <w:tcPr>
            <w:tcW w:w="1292" w:type="dxa"/>
            <w:shd w:val="clear" w:color="auto" w:fill="C6EFCE"/>
            <w:noWrap/>
            <w:vAlign w:val="center"/>
          </w:tcPr>
          <w:p w14:paraId="6458FEEA" w14:textId="77777777" w:rsidR="00327FF1" w:rsidRDefault="00E406C7">
            <w:pPr>
              <w:pStyle w:val="P68B1DB1-Normal11"/>
              <w:jc w:val="center"/>
              <w:rPr>
                <w:noProof/>
                <w:szCs w:val="20"/>
              </w:rPr>
            </w:pPr>
            <w:r>
              <w:rPr>
                <w:noProof/>
              </w:rPr>
              <w:t>M4C2–2bis</w:t>
            </w:r>
          </w:p>
        </w:tc>
        <w:tc>
          <w:tcPr>
            <w:tcW w:w="1368" w:type="dxa"/>
            <w:shd w:val="clear" w:color="auto" w:fill="C6EFCE"/>
            <w:noWrap/>
            <w:vAlign w:val="center"/>
          </w:tcPr>
          <w:p w14:paraId="45383B30" w14:textId="77777777" w:rsidR="00327FF1" w:rsidRDefault="00E406C7">
            <w:pPr>
              <w:pStyle w:val="P68B1DB1-Normal11"/>
              <w:jc w:val="center"/>
              <w:rPr>
                <w:noProof/>
              </w:rPr>
            </w:pPr>
            <w:r>
              <w:rPr>
                <w:noProof/>
              </w:rPr>
              <w:t>Ieguldījums 2.2.a: Inovācijas nolīgumi</w:t>
            </w:r>
          </w:p>
        </w:tc>
        <w:tc>
          <w:tcPr>
            <w:tcW w:w="1413" w:type="dxa"/>
            <w:shd w:val="clear" w:color="auto" w:fill="C6EFCE"/>
            <w:noWrap/>
            <w:vAlign w:val="center"/>
          </w:tcPr>
          <w:p w14:paraId="194374A9" w14:textId="77777777" w:rsidR="00327FF1" w:rsidRDefault="00E406C7">
            <w:pPr>
              <w:pStyle w:val="P68B1DB1-Normal11"/>
              <w:jc w:val="center"/>
              <w:rPr>
                <w:noProof/>
              </w:rPr>
            </w:pPr>
            <w:r>
              <w:rPr>
                <w:noProof/>
              </w:rPr>
              <w:t>Mērķa</w:t>
            </w:r>
          </w:p>
        </w:tc>
        <w:tc>
          <w:tcPr>
            <w:tcW w:w="1302" w:type="dxa"/>
            <w:shd w:val="clear" w:color="auto" w:fill="C6EFCE"/>
            <w:noWrap/>
            <w:vAlign w:val="center"/>
          </w:tcPr>
          <w:p w14:paraId="4BDF312A" w14:textId="77777777" w:rsidR="00327FF1" w:rsidRDefault="00E406C7">
            <w:pPr>
              <w:pStyle w:val="P68B1DB1-Normal11"/>
              <w:jc w:val="center"/>
              <w:rPr>
                <w:noProof/>
              </w:rPr>
            </w:pPr>
            <w:r>
              <w:rPr>
                <w:noProof/>
              </w:rPr>
              <w:t xml:space="preserve">Pabeigti inovācijas nolīgumi </w:t>
            </w:r>
          </w:p>
        </w:tc>
        <w:tc>
          <w:tcPr>
            <w:tcW w:w="1377" w:type="dxa"/>
            <w:shd w:val="clear" w:color="auto" w:fill="C6EFCE"/>
            <w:noWrap/>
            <w:vAlign w:val="center"/>
          </w:tcPr>
          <w:p w14:paraId="4C6DF3D2" w14:textId="77777777" w:rsidR="00327FF1" w:rsidRDefault="00E406C7">
            <w:pPr>
              <w:pStyle w:val="P68B1DB1-Normal11"/>
              <w:jc w:val="center"/>
              <w:rPr>
                <w:noProof/>
              </w:rPr>
            </w:pPr>
            <w:r>
              <w:rPr>
                <w:noProof/>
              </w:rPr>
              <w:t>NEPIEMĒRO</w:t>
            </w:r>
          </w:p>
        </w:tc>
        <w:tc>
          <w:tcPr>
            <w:tcW w:w="1089" w:type="dxa"/>
            <w:shd w:val="clear" w:color="auto" w:fill="C6EFCE"/>
            <w:noWrap/>
            <w:vAlign w:val="center"/>
          </w:tcPr>
          <w:p w14:paraId="312F97C8" w14:textId="77777777" w:rsidR="00327FF1" w:rsidRDefault="00E406C7">
            <w:pPr>
              <w:pStyle w:val="P68B1DB1-Normal11"/>
              <w:jc w:val="center"/>
              <w:rPr>
                <w:noProof/>
              </w:rPr>
            </w:pPr>
            <w:r>
              <w:rPr>
                <w:noProof/>
              </w:rPr>
              <w:t>Skaits</w:t>
            </w:r>
          </w:p>
        </w:tc>
        <w:tc>
          <w:tcPr>
            <w:tcW w:w="1074" w:type="dxa"/>
            <w:shd w:val="clear" w:color="auto" w:fill="C6EFCE"/>
            <w:noWrap/>
            <w:vAlign w:val="center"/>
          </w:tcPr>
          <w:p w14:paraId="09DE9AFE" w14:textId="77777777" w:rsidR="00327FF1" w:rsidRDefault="00E406C7">
            <w:pPr>
              <w:pStyle w:val="P68B1DB1-Normal11"/>
              <w:jc w:val="center"/>
              <w:rPr>
                <w:noProof/>
              </w:rPr>
            </w:pPr>
            <w:r>
              <w:rPr>
                <w:noProof/>
              </w:rPr>
              <w:t>0</w:t>
            </w:r>
          </w:p>
        </w:tc>
        <w:tc>
          <w:tcPr>
            <w:tcW w:w="1539" w:type="dxa"/>
            <w:shd w:val="clear" w:color="auto" w:fill="C6EFCE"/>
            <w:noWrap/>
            <w:vAlign w:val="center"/>
          </w:tcPr>
          <w:p w14:paraId="3BECB2C1" w14:textId="77777777" w:rsidR="00327FF1" w:rsidRDefault="00E406C7">
            <w:pPr>
              <w:pStyle w:val="P68B1DB1-Normal11"/>
              <w:jc w:val="center"/>
              <w:rPr>
                <w:noProof/>
                <w:szCs w:val="20"/>
              </w:rPr>
            </w:pPr>
            <w:r>
              <w:rPr>
                <w:noProof/>
              </w:rPr>
              <w:t>32</w:t>
            </w:r>
          </w:p>
        </w:tc>
        <w:tc>
          <w:tcPr>
            <w:tcW w:w="975" w:type="dxa"/>
            <w:shd w:val="clear" w:color="auto" w:fill="C6EFCE"/>
            <w:noWrap/>
            <w:vAlign w:val="center"/>
          </w:tcPr>
          <w:p w14:paraId="02925D99" w14:textId="77777777" w:rsidR="00327FF1" w:rsidRDefault="00E406C7">
            <w:pPr>
              <w:pStyle w:val="P68B1DB1-Normal11"/>
              <w:jc w:val="center"/>
              <w:rPr>
                <w:noProof/>
                <w:szCs w:val="20"/>
              </w:rPr>
            </w:pPr>
            <w:r>
              <w:rPr>
                <w:noProof/>
              </w:rPr>
              <w:t>4. CET.</w:t>
            </w:r>
          </w:p>
        </w:tc>
        <w:tc>
          <w:tcPr>
            <w:tcW w:w="611" w:type="dxa"/>
            <w:shd w:val="clear" w:color="auto" w:fill="C6EFCE"/>
            <w:noWrap/>
            <w:vAlign w:val="center"/>
          </w:tcPr>
          <w:p w14:paraId="441D74FF" w14:textId="77777777" w:rsidR="00327FF1" w:rsidRDefault="00E406C7">
            <w:pPr>
              <w:pStyle w:val="P68B1DB1-Normal12"/>
              <w:jc w:val="center"/>
              <w:rPr>
                <w:noProof/>
              </w:rPr>
            </w:pPr>
            <w:r>
              <w:rPr>
                <w:noProof/>
              </w:rPr>
              <w:t>2025</w:t>
            </w:r>
          </w:p>
        </w:tc>
        <w:tc>
          <w:tcPr>
            <w:tcW w:w="2521" w:type="dxa"/>
            <w:shd w:val="clear" w:color="auto" w:fill="C6EFCE"/>
            <w:noWrap/>
            <w:vAlign w:val="center"/>
          </w:tcPr>
          <w:p w14:paraId="391E403E" w14:textId="21A8441E" w:rsidR="00327FF1" w:rsidRDefault="00E406C7">
            <w:pPr>
              <w:pStyle w:val="P68B1DB1-Normal12"/>
              <w:rPr>
                <w:noProof/>
              </w:rPr>
            </w:pPr>
            <w:r>
              <w:rPr>
                <w:noProof/>
              </w:rPr>
              <w:t xml:space="preserve">Sniedz apliecinājumu par vismaz 32 inovācijas nolīgumu pabeigšanu no šādām intervences jomām: </w:t>
            </w:r>
          </w:p>
          <w:p w14:paraId="589360B1" w14:textId="77777777" w:rsidR="00327FF1" w:rsidRDefault="00E406C7">
            <w:pPr>
              <w:pStyle w:val="P68B1DB1-Normal12"/>
              <w:numPr>
                <w:ilvl w:val="0"/>
                <w:numId w:val="64"/>
              </w:numPr>
              <w:spacing w:line="279" w:lineRule="auto"/>
              <w:rPr>
                <w:noProof/>
              </w:rPr>
            </w:pPr>
            <w:r>
              <w:rPr>
                <w:noProof/>
              </w:rPr>
              <w:t xml:space="preserve">ražošanas tehnoloģijas; </w:t>
            </w:r>
          </w:p>
          <w:p w14:paraId="28F13BCC" w14:textId="77777777" w:rsidR="00327FF1" w:rsidRDefault="00E406C7">
            <w:pPr>
              <w:pStyle w:val="P68B1DB1-Normal12"/>
              <w:numPr>
                <w:ilvl w:val="0"/>
                <w:numId w:val="64"/>
              </w:numPr>
              <w:spacing w:line="279" w:lineRule="auto"/>
              <w:rPr>
                <w:noProof/>
              </w:rPr>
            </w:pPr>
            <w:r>
              <w:rPr>
                <w:noProof/>
              </w:rPr>
              <w:t>digitālās pamattehnoloģijas, tostarp kvantu tehnoloģijas;</w:t>
            </w:r>
          </w:p>
          <w:p w14:paraId="498FBE40" w14:textId="77777777" w:rsidR="00327FF1" w:rsidRDefault="00E406C7">
            <w:pPr>
              <w:pStyle w:val="P68B1DB1-Normal12"/>
              <w:numPr>
                <w:ilvl w:val="0"/>
                <w:numId w:val="64"/>
              </w:numPr>
              <w:spacing w:line="279" w:lineRule="auto"/>
              <w:rPr>
                <w:noProof/>
              </w:rPr>
            </w:pPr>
            <w:r>
              <w:rPr>
                <w:noProof/>
              </w:rPr>
              <w:t xml:space="preserve">jaunās pamattehnoloģijas; </w:t>
            </w:r>
          </w:p>
          <w:p w14:paraId="2A827F7C" w14:textId="77777777" w:rsidR="00327FF1" w:rsidRDefault="00E406C7">
            <w:pPr>
              <w:pStyle w:val="P68B1DB1-Normal12"/>
              <w:numPr>
                <w:ilvl w:val="0"/>
                <w:numId w:val="64"/>
              </w:numPr>
              <w:spacing w:line="279" w:lineRule="auto"/>
              <w:rPr>
                <w:noProof/>
              </w:rPr>
            </w:pPr>
            <w:r>
              <w:rPr>
                <w:noProof/>
              </w:rPr>
              <w:t>progresīvi materiāli;</w:t>
            </w:r>
          </w:p>
          <w:p w14:paraId="6B61708A" w14:textId="77777777" w:rsidR="00327FF1" w:rsidRDefault="00E406C7">
            <w:pPr>
              <w:pStyle w:val="P68B1DB1-Normal12"/>
              <w:numPr>
                <w:ilvl w:val="0"/>
                <w:numId w:val="64"/>
              </w:numPr>
              <w:spacing w:line="279" w:lineRule="auto"/>
              <w:rPr>
                <w:noProof/>
              </w:rPr>
            </w:pPr>
            <w:r>
              <w:rPr>
                <w:noProof/>
              </w:rPr>
              <w:t>mākslīgais intelekts un robo</w:t>
            </w:r>
            <w:r>
              <w:rPr>
                <w:noProof/>
              </w:rPr>
              <w:t xml:space="preserve">tika; </w:t>
            </w:r>
          </w:p>
          <w:p w14:paraId="14275CB1" w14:textId="77777777" w:rsidR="00327FF1" w:rsidRDefault="00E406C7">
            <w:pPr>
              <w:pStyle w:val="P68B1DB1-Normal12"/>
              <w:numPr>
                <w:ilvl w:val="0"/>
                <w:numId w:val="64"/>
              </w:numPr>
              <w:spacing w:line="279" w:lineRule="auto"/>
              <w:rPr>
                <w:noProof/>
              </w:rPr>
            </w:pPr>
            <w:r>
              <w:rPr>
                <w:noProof/>
              </w:rPr>
              <w:t xml:space="preserve">aprites rūpniecība; </w:t>
            </w:r>
          </w:p>
          <w:p w14:paraId="451B9DD6" w14:textId="77777777" w:rsidR="00327FF1" w:rsidRDefault="00E406C7">
            <w:pPr>
              <w:pStyle w:val="P68B1DB1-Normal12"/>
              <w:numPr>
                <w:ilvl w:val="0"/>
                <w:numId w:val="64"/>
              </w:numPr>
              <w:spacing w:line="279" w:lineRule="auto"/>
              <w:rPr>
                <w:noProof/>
              </w:rPr>
            </w:pPr>
            <w:r>
              <w:rPr>
                <w:noProof/>
              </w:rPr>
              <w:t xml:space="preserve">zemas oglekļa emisijas un “tīra” rūpniecība; </w:t>
            </w:r>
          </w:p>
          <w:p w14:paraId="4F82E2AC" w14:textId="77777777" w:rsidR="00327FF1" w:rsidRDefault="00E406C7">
            <w:pPr>
              <w:pStyle w:val="P68B1DB1-Normal12"/>
              <w:numPr>
                <w:ilvl w:val="0"/>
                <w:numId w:val="64"/>
              </w:numPr>
              <w:spacing w:line="279" w:lineRule="auto"/>
              <w:rPr>
                <w:noProof/>
              </w:rPr>
            </w:pPr>
            <w:r>
              <w:rPr>
                <w:noProof/>
              </w:rPr>
              <w:t>neinfekcijas un retās slimības;</w:t>
            </w:r>
          </w:p>
          <w:p w14:paraId="6B3EC8B5" w14:textId="77777777" w:rsidR="00327FF1" w:rsidRDefault="00E406C7">
            <w:pPr>
              <w:pStyle w:val="P68B1DB1-Normal12"/>
              <w:numPr>
                <w:ilvl w:val="0"/>
                <w:numId w:val="64"/>
              </w:numPr>
              <w:spacing w:line="279" w:lineRule="auto"/>
              <w:rPr>
                <w:noProof/>
              </w:rPr>
            </w:pPr>
            <w:r>
              <w:rPr>
                <w:noProof/>
              </w:rPr>
              <w:t xml:space="preserve">infekcijas slimības, tostarp ar nabadzību saistītas un novārtā atstātas slimības; </w:t>
            </w:r>
          </w:p>
          <w:p w14:paraId="62A6BAFE" w14:textId="77777777" w:rsidR="00327FF1" w:rsidRDefault="00E406C7">
            <w:pPr>
              <w:pStyle w:val="P68B1DB1-Normal12"/>
              <w:numPr>
                <w:ilvl w:val="0"/>
                <w:numId w:val="64"/>
              </w:numPr>
              <w:spacing w:line="279" w:lineRule="auto"/>
              <w:rPr>
                <w:noProof/>
              </w:rPr>
            </w:pPr>
            <w:r>
              <w:rPr>
                <w:noProof/>
              </w:rPr>
              <w:t>veselības un aprūpes rīki, tehnoloģijas un digitāli risinājumi, tos</w:t>
            </w:r>
            <w:r>
              <w:rPr>
                <w:noProof/>
              </w:rPr>
              <w:t>tarp personalizētā medicīna;</w:t>
            </w:r>
          </w:p>
          <w:p w14:paraId="31608A33" w14:textId="77777777" w:rsidR="00327FF1" w:rsidRDefault="00E406C7">
            <w:pPr>
              <w:pStyle w:val="P68B1DB1-Normal12"/>
              <w:numPr>
                <w:ilvl w:val="0"/>
                <w:numId w:val="64"/>
              </w:numPr>
              <w:spacing w:line="279" w:lineRule="auto"/>
              <w:rPr>
                <w:noProof/>
              </w:rPr>
            </w:pPr>
            <w:r>
              <w:rPr>
                <w:noProof/>
              </w:rPr>
              <w:t>industriālie objekti enerģētikas pārkārtošanā;</w:t>
            </w:r>
          </w:p>
          <w:p w14:paraId="5FA29DE4" w14:textId="77777777" w:rsidR="00327FF1" w:rsidRDefault="00E406C7">
            <w:pPr>
              <w:pStyle w:val="P68B1DB1-Normal12"/>
              <w:numPr>
                <w:ilvl w:val="0"/>
                <w:numId w:val="64"/>
              </w:numPr>
              <w:spacing w:line="279" w:lineRule="auto"/>
              <w:rPr>
                <w:noProof/>
              </w:rPr>
            </w:pPr>
            <w:r>
              <w:rPr>
                <w:noProof/>
              </w:rPr>
              <w:t>rūpniecības konkurētspēja transporta nozarē;</w:t>
            </w:r>
          </w:p>
          <w:p w14:paraId="7C902C16" w14:textId="77777777" w:rsidR="00327FF1" w:rsidRDefault="00E406C7">
            <w:pPr>
              <w:pStyle w:val="P68B1DB1-Normal12"/>
              <w:numPr>
                <w:ilvl w:val="0"/>
                <w:numId w:val="64"/>
              </w:numPr>
              <w:spacing w:line="279" w:lineRule="auto"/>
              <w:rPr>
                <w:noProof/>
              </w:rPr>
            </w:pPr>
            <w:r>
              <w:rPr>
                <w:noProof/>
              </w:rPr>
              <w:t>tīrs, drošs un pieejams transports un mobilitāte;</w:t>
            </w:r>
          </w:p>
          <w:p w14:paraId="41F83649" w14:textId="77777777" w:rsidR="00327FF1" w:rsidRDefault="00E406C7">
            <w:pPr>
              <w:pStyle w:val="P68B1DB1-Normal12"/>
              <w:numPr>
                <w:ilvl w:val="0"/>
                <w:numId w:val="64"/>
              </w:numPr>
              <w:spacing w:line="279" w:lineRule="auto"/>
              <w:rPr>
                <w:noProof/>
              </w:rPr>
            </w:pPr>
            <w:r>
              <w:rPr>
                <w:noProof/>
              </w:rPr>
              <w:t xml:space="preserve">viedā mobilitāte; </w:t>
            </w:r>
          </w:p>
          <w:p w14:paraId="6A4776BE" w14:textId="77777777" w:rsidR="00327FF1" w:rsidRDefault="00E406C7">
            <w:pPr>
              <w:pStyle w:val="P68B1DB1-Normal12"/>
              <w:numPr>
                <w:ilvl w:val="0"/>
                <w:numId w:val="64"/>
              </w:numPr>
              <w:spacing w:line="279" w:lineRule="auto"/>
              <w:rPr>
                <w:noProof/>
              </w:rPr>
            </w:pPr>
            <w:r>
              <w:rPr>
                <w:noProof/>
              </w:rPr>
              <w:t>enerģijas uzkrāšana;</w:t>
            </w:r>
          </w:p>
          <w:p w14:paraId="52A34A43" w14:textId="77777777" w:rsidR="00327FF1" w:rsidRDefault="00E406C7">
            <w:pPr>
              <w:pStyle w:val="P68B1DB1-Normal12"/>
              <w:numPr>
                <w:ilvl w:val="0"/>
                <w:numId w:val="64"/>
              </w:numPr>
              <w:spacing w:line="279" w:lineRule="auto"/>
              <w:rPr>
                <w:noProof/>
              </w:rPr>
            </w:pPr>
            <w:r>
              <w:rPr>
                <w:noProof/>
              </w:rPr>
              <w:t>pārtikas sistēmas;</w:t>
            </w:r>
          </w:p>
          <w:p w14:paraId="5D64D41D" w14:textId="77777777" w:rsidR="00327FF1" w:rsidRDefault="00E406C7">
            <w:pPr>
              <w:pStyle w:val="P68B1DB1-Normal12"/>
              <w:numPr>
                <w:ilvl w:val="0"/>
                <w:numId w:val="64"/>
              </w:numPr>
              <w:spacing w:line="279" w:lineRule="auto"/>
              <w:rPr>
                <w:noProof/>
              </w:rPr>
            </w:pPr>
            <w:r>
              <w:rPr>
                <w:noProof/>
              </w:rPr>
              <w:t xml:space="preserve">bioloģiskas inovāciju </w:t>
            </w:r>
            <w:r>
              <w:rPr>
                <w:noProof/>
              </w:rPr>
              <w:t>sistēmas Savienības bioekonomikā;</w:t>
            </w:r>
          </w:p>
          <w:p w14:paraId="002A4C55" w14:textId="77777777" w:rsidR="00327FF1" w:rsidRDefault="00E406C7">
            <w:pPr>
              <w:pStyle w:val="P68B1DB1-Normal12"/>
              <w:numPr>
                <w:ilvl w:val="0"/>
                <w:numId w:val="64"/>
              </w:numPr>
              <w:spacing w:line="279" w:lineRule="auto"/>
              <w:rPr>
                <w:noProof/>
              </w:rPr>
            </w:pPr>
            <w:r>
              <w:rPr>
                <w:noProof/>
              </w:rPr>
              <w:t>aprites sistēmas.</w:t>
            </w:r>
          </w:p>
          <w:p w14:paraId="71BF0CA7" w14:textId="19DE5B71" w:rsidR="00327FF1" w:rsidRDefault="00E406C7">
            <w:pPr>
              <w:rPr>
                <w:rFonts w:ascii="Arial Narrow" w:eastAsia="Arial Narrow" w:hAnsi="Arial Narrow" w:cs="Arial Narrow"/>
                <w:noProof/>
                <w:sz w:val="20"/>
                <w:szCs w:val="20"/>
              </w:rPr>
            </w:pPr>
            <w:r>
              <w:rPr>
                <w:rFonts w:ascii="Arial Narrow" w:eastAsia="Arial Narrow" w:hAnsi="Arial Narrow" w:cs="Arial Narrow"/>
                <w:noProof/>
                <w:color w:val="006100"/>
                <w:sz w:val="20"/>
                <w:szCs w:val="20"/>
              </w:rPr>
              <w:t>Lai nodrošinātu, ka pasākums atbilst Tehniskajiem norādījumiem “nenodari būtisku kaitējumu” (2021/C58/01), atlasītajos projektos neiekļauj šādu darbību sarakstu: I) darbībām un aktīviem, kas saistīti ar f</w:t>
            </w:r>
            <w:r>
              <w:rPr>
                <w:rFonts w:ascii="Arial Narrow" w:eastAsia="Arial Narrow" w:hAnsi="Arial Narrow" w:cs="Arial Narrow"/>
                <w:noProof/>
                <w:color w:val="006100"/>
                <w:sz w:val="20"/>
                <w:szCs w:val="20"/>
              </w:rPr>
              <w:t>osilo kurināmo, tostarp lejupēju izmantošanu;</w:t>
            </w:r>
            <w:r>
              <w:rPr>
                <w:rStyle w:val="FootnoteReference"/>
                <w:rFonts w:ascii="Arial Narrow" w:eastAsia="Arial Narrow" w:hAnsi="Arial Narrow" w:cs="Arial Narrow"/>
                <w:noProof/>
                <w:color w:val="006100"/>
                <w:sz w:val="20"/>
                <w:szCs w:val="20"/>
              </w:rPr>
              <w:footnoteReference w:id="77"/>
            </w:r>
            <w:r>
              <w:rPr>
                <w:rFonts w:ascii="Arial Narrow" w:eastAsia="Arial Narrow" w:hAnsi="Arial Narrow" w:cs="Arial Narrow"/>
                <w:noProof/>
                <w:color w:val="006100"/>
                <w:sz w:val="20"/>
                <w:szCs w:val="20"/>
              </w:rPr>
              <w:t xml:space="preserve"> II) darbības saskaņā ar ES emisijas kvotu tirdzniecības sistēmu (ETS), kuru prognozētās siltumnīcefekta gāzu emisijas nav zemākas par attiecīgajām līmeņatzīmēm;</w:t>
            </w:r>
            <w:r>
              <w:rPr>
                <w:rStyle w:val="FootnoteReference"/>
                <w:rFonts w:ascii="Arial Narrow" w:eastAsia="Arial Narrow" w:hAnsi="Arial Narrow" w:cs="Arial Narrow"/>
                <w:noProof/>
                <w:color w:val="006100"/>
                <w:sz w:val="20"/>
                <w:szCs w:val="20"/>
              </w:rPr>
              <w:footnoteReference w:id="78"/>
            </w:r>
            <w:r>
              <w:rPr>
                <w:rFonts w:ascii="Arial Narrow" w:eastAsia="Arial Narrow" w:hAnsi="Arial Narrow" w:cs="Arial Narrow"/>
                <w:noProof/>
                <w:color w:val="006100"/>
                <w:sz w:val="20"/>
                <w:szCs w:val="20"/>
              </w:rPr>
              <w:t xml:space="preserve"> III) darbības un aktīvi, kas saistīti ar atkrit</w:t>
            </w:r>
            <w:r>
              <w:rPr>
                <w:rFonts w:ascii="Arial Narrow" w:eastAsia="Arial Narrow" w:hAnsi="Arial Narrow" w:cs="Arial Narrow"/>
                <w:noProof/>
                <w:color w:val="006100"/>
                <w:sz w:val="20"/>
                <w:szCs w:val="20"/>
              </w:rPr>
              <w:t>umu poligoniem, sadedzināšanas iekārtām</w:t>
            </w:r>
            <w:r>
              <w:rPr>
                <w:rStyle w:val="FootnoteReference"/>
                <w:rFonts w:ascii="Arial Narrow" w:eastAsia="Arial Narrow" w:hAnsi="Arial Narrow" w:cs="Arial Narrow"/>
                <w:noProof/>
                <w:color w:val="006100"/>
                <w:sz w:val="20"/>
                <w:szCs w:val="20"/>
              </w:rPr>
              <w:footnoteReference w:id="79"/>
            </w:r>
            <w:r>
              <w:rPr>
                <w:rFonts w:ascii="Arial Narrow" w:eastAsia="Arial Narrow" w:hAnsi="Arial Narrow" w:cs="Arial Narrow"/>
                <w:noProof/>
                <w:color w:val="006100"/>
                <w:sz w:val="20"/>
                <w:szCs w:val="20"/>
              </w:rPr>
              <w:t xml:space="preserve"> un mehāniski bioloģiskās apstrādes iekārtām.</w:t>
            </w:r>
            <w:r>
              <w:rPr>
                <w:rStyle w:val="FootnoteReference"/>
                <w:rFonts w:ascii="Arial Narrow" w:eastAsia="Arial Narrow" w:hAnsi="Arial Narrow" w:cs="Arial Narrow"/>
                <w:noProof/>
                <w:color w:val="006100"/>
                <w:sz w:val="20"/>
                <w:szCs w:val="20"/>
              </w:rPr>
              <w:footnoteReference w:id="80"/>
            </w:r>
          </w:p>
        </w:tc>
      </w:tr>
      <w:tr w:rsidR="00327FF1" w14:paraId="50D5BCC5" w14:textId="77777777">
        <w:trPr>
          <w:trHeight w:val="309"/>
          <w:jc w:val="center"/>
        </w:trPr>
        <w:tc>
          <w:tcPr>
            <w:tcW w:w="1292" w:type="dxa"/>
            <w:shd w:val="clear" w:color="auto" w:fill="C6EFCE"/>
            <w:noWrap/>
            <w:vAlign w:val="center"/>
            <w:hideMark/>
          </w:tcPr>
          <w:p w14:paraId="68F32545" w14:textId="77777777" w:rsidR="00327FF1" w:rsidRDefault="00E406C7">
            <w:pPr>
              <w:pStyle w:val="P68B1DB1-Normal12"/>
              <w:jc w:val="center"/>
              <w:rPr>
                <w:noProof/>
              </w:rPr>
            </w:pPr>
            <w:r>
              <w:rPr>
                <w:noProof/>
              </w:rPr>
              <w:t>M4C2–3</w:t>
            </w:r>
          </w:p>
        </w:tc>
        <w:tc>
          <w:tcPr>
            <w:tcW w:w="1368" w:type="dxa"/>
            <w:shd w:val="clear" w:color="auto" w:fill="C6EFCE"/>
            <w:noWrap/>
            <w:vAlign w:val="center"/>
            <w:hideMark/>
          </w:tcPr>
          <w:p w14:paraId="52E9B95B" w14:textId="77777777" w:rsidR="00327FF1" w:rsidRDefault="00E406C7">
            <w:pPr>
              <w:pStyle w:val="P68B1DB1-Normal12"/>
              <w:jc w:val="center"/>
              <w:rPr>
                <w:rFonts w:eastAsia="Calibri"/>
                <w:noProof/>
              </w:rPr>
            </w:pPr>
            <w:r>
              <w:rPr>
                <w:noProof/>
              </w:rPr>
              <w:t>Investīcija 3.3.: Doktorantūras stipendiju piešķiršana, kas apvieno sadarbību ar uzņēmumiem un veicina pētnieku pieņemšanu darbā uzņēmumos</w:t>
            </w:r>
          </w:p>
        </w:tc>
        <w:tc>
          <w:tcPr>
            <w:tcW w:w="1413" w:type="dxa"/>
            <w:shd w:val="clear" w:color="auto" w:fill="C6EFCE"/>
            <w:noWrap/>
            <w:vAlign w:val="center"/>
            <w:hideMark/>
          </w:tcPr>
          <w:p w14:paraId="6B78CA79" w14:textId="77777777" w:rsidR="00327FF1" w:rsidRDefault="00E406C7">
            <w:pPr>
              <w:pStyle w:val="P68B1DB1-Normal11"/>
              <w:jc w:val="center"/>
              <w:rPr>
                <w:noProof/>
                <w:szCs w:val="20"/>
              </w:rPr>
            </w:pPr>
            <w:r>
              <w:rPr>
                <w:noProof/>
              </w:rPr>
              <w:t>Mērķa</w:t>
            </w:r>
          </w:p>
        </w:tc>
        <w:tc>
          <w:tcPr>
            <w:tcW w:w="1302" w:type="dxa"/>
            <w:shd w:val="clear" w:color="auto" w:fill="C6EFCE"/>
            <w:noWrap/>
            <w:vAlign w:val="center"/>
            <w:hideMark/>
          </w:tcPr>
          <w:p w14:paraId="13FC6BD0" w14:textId="63902618" w:rsidR="00327FF1" w:rsidRDefault="00E406C7">
            <w:pPr>
              <w:pStyle w:val="P68B1DB1-Normal11"/>
              <w:jc w:val="center"/>
              <w:rPr>
                <w:noProof/>
                <w:szCs w:val="20"/>
              </w:rPr>
            </w:pPr>
            <w:r>
              <w:rPr>
                <w:noProof/>
              </w:rPr>
              <w:t xml:space="preserve">Piešķirto </w:t>
            </w:r>
            <w:r>
              <w:rPr>
                <w:noProof/>
              </w:rPr>
              <w:t>doktorantūras stipendiju skaits</w:t>
            </w:r>
          </w:p>
        </w:tc>
        <w:tc>
          <w:tcPr>
            <w:tcW w:w="1377" w:type="dxa"/>
            <w:shd w:val="clear" w:color="auto" w:fill="C6EFCE"/>
            <w:noWrap/>
            <w:vAlign w:val="center"/>
            <w:hideMark/>
          </w:tcPr>
          <w:p w14:paraId="55C0B4BF" w14:textId="77777777" w:rsidR="00327FF1" w:rsidRDefault="00E406C7">
            <w:pPr>
              <w:pStyle w:val="P68B1DB1-Normal11"/>
              <w:jc w:val="center"/>
              <w:rPr>
                <w:noProof/>
                <w:szCs w:val="20"/>
              </w:rPr>
            </w:pPr>
            <w:r>
              <w:rPr>
                <w:noProof/>
              </w:rPr>
              <w:t>NEPIEMĒRO</w:t>
            </w:r>
          </w:p>
        </w:tc>
        <w:tc>
          <w:tcPr>
            <w:tcW w:w="1089" w:type="dxa"/>
            <w:shd w:val="clear" w:color="auto" w:fill="C6EFCE"/>
            <w:noWrap/>
            <w:vAlign w:val="center"/>
            <w:hideMark/>
          </w:tcPr>
          <w:p w14:paraId="5CE2E757" w14:textId="77777777" w:rsidR="00327FF1" w:rsidRDefault="00E406C7">
            <w:pPr>
              <w:pStyle w:val="P68B1DB1-Normal11"/>
              <w:jc w:val="center"/>
              <w:rPr>
                <w:rFonts w:eastAsia="Calibri"/>
                <w:noProof/>
                <w:szCs w:val="20"/>
              </w:rPr>
            </w:pPr>
            <w:r>
              <w:rPr>
                <w:noProof/>
              </w:rPr>
              <w:t>Skaits</w:t>
            </w:r>
          </w:p>
        </w:tc>
        <w:tc>
          <w:tcPr>
            <w:tcW w:w="1074" w:type="dxa"/>
            <w:shd w:val="clear" w:color="auto" w:fill="C6EFCE"/>
            <w:noWrap/>
            <w:vAlign w:val="center"/>
            <w:hideMark/>
          </w:tcPr>
          <w:p w14:paraId="07D1DA49" w14:textId="77777777" w:rsidR="00327FF1" w:rsidRDefault="00E406C7">
            <w:pPr>
              <w:pStyle w:val="P68B1DB1-Normal11"/>
              <w:jc w:val="center"/>
              <w:rPr>
                <w:noProof/>
                <w:szCs w:val="20"/>
              </w:rPr>
            </w:pPr>
            <w:r>
              <w:rPr>
                <w:noProof/>
              </w:rPr>
              <w:t>0</w:t>
            </w:r>
          </w:p>
        </w:tc>
        <w:tc>
          <w:tcPr>
            <w:tcW w:w="1539" w:type="dxa"/>
            <w:shd w:val="clear" w:color="auto" w:fill="C6EFCE"/>
            <w:noWrap/>
            <w:vAlign w:val="center"/>
            <w:hideMark/>
          </w:tcPr>
          <w:p w14:paraId="18AFE8A8"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6</w:t>
            </w:r>
            <w:r>
              <w:rPr>
                <w:noProof/>
                <w:sz w:val="23"/>
                <w:szCs w:val="23"/>
              </w:rPr>
              <w:t xml:space="preserve"> </w:t>
            </w:r>
            <w:r>
              <w:rPr>
                <w:rFonts w:ascii="Arial Narrow" w:hAnsi="Arial Narrow"/>
                <w:noProof/>
                <w:color w:val="006100"/>
                <w:sz w:val="20"/>
              </w:rPr>
              <w:t>000</w:t>
            </w:r>
          </w:p>
        </w:tc>
        <w:tc>
          <w:tcPr>
            <w:tcW w:w="975" w:type="dxa"/>
            <w:shd w:val="clear" w:color="auto" w:fill="C6EFCE"/>
            <w:noWrap/>
            <w:vAlign w:val="center"/>
            <w:hideMark/>
          </w:tcPr>
          <w:p w14:paraId="2F7D291C" w14:textId="77777777" w:rsidR="00327FF1" w:rsidRDefault="00E406C7">
            <w:pPr>
              <w:pStyle w:val="P68B1DB1-Normal11"/>
              <w:jc w:val="center"/>
              <w:rPr>
                <w:noProof/>
                <w:szCs w:val="20"/>
              </w:rPr>
            </w:pPr>
            <w:r>
              <w:rPr>
                <w:noProof/>
              </w:rPr>
              <w:t>4. CET.</w:t>
            </w:r>
          </w:p>
        </w:tc>
        <w:tc>
          <w:tcPr>
            <w:tcW w:w="611" w:type="dxa"/>
            <w:shd w:val="clear" w:color="auto" w:fill="C6EFCE"/>
            <w:noWrap/>
            <w:vAlign w:val="center"/>
            <w:hideMark/>
          </w:tcPr>
          <w:p w14:paraId="6F9ED3DC" w14:textId="77777777" w:rsidR="00327FF1" w:rsidRDefault="00E406C7">
            <w:pPr>
              <w:pStyle w:val="P68B1DB1-Normal11"/>
              <w:jc w:val="center"/>
              <w:rPr>
                <w:noProof/>
                <w:szCs w:val="20"/>
              </w:rPr>
            </w:pPr>
            <w:r>
              <w:rPr>
                <w:noProof/>
              </w:rPr>
              <w:t>2024</w:t>
            </w:r>
          </w:p>
        </w:tc>
        <w:tc>
          <w:tcPr>
            <w:tcW w:w="2521" w:type="dxa"/>
            <w:shd w:val="clear" w:color="auto" w:fill="C6EFCE"/>
            <w:noWrap/>
            <w:vAlign w:val="center"/>
            <w:hideMark/>
          </w:tcPr>
          <w:p w14:paraId="3B32A412" w14:textId="77777777" w:rsidR="00327FF1" w:rsidRDefault="00E406C7">
            <w:pPr>
              <w:rPr>
                <w:rFonts w:ascii="Arial Narrow" w:hAnsi="Arial Narrow"/>
                <w:noProof/>
                <w:color w:val="006100"/>
                <w:sz w:val="20"/>
                <w:szCs w:val="20"/>
              </w:rPr>
            </w:pPr>
            <w:r>
              <w:rPr>
                <w:rFonts w:ascii="Arial Narrow" w:hAnsi="Arial Narrow"/>
                <w:noProof/>
                <w:color w:val="006100"/>
                <w:sz w:val="20"/>
                <w:szCs w:val="20"/>
              </w:rPr>
              <w:t>Universitātes un AFAM iestādes piešķir vismaz 6000 doktorantūras stipendiju.</w:t>
            </w:r>
          </w:p>
          <w:p w14:paraId="20CD17D7" w14:textId="77777777" w:rsidR="00327FF1" w:rsidRDefault="00E406C7">
            <w:pPr>
              <w:pStyle w:val="P68B1DB1-Normal12"/>
              <w:rPr>
                <w:noProof/>
              </w:rPr>
            </w:pPr>
            <w:r>
              <w:rPr>
                <w:noProof/>
              </w:rPr>
              <w:t>Būtiskās prasības doktora grāda piešķiršanai ir šādas:</w:t>
            </w:r>
          </w:p>
          <w:p w14:paraId="771849A6" w14:textId="77777777" w:rsidR="00327FF1" w:rsidRDefault="00E406C7">
            <w:pPr>
              <w:pStyle w:val="P68B1DB1-Normal12"/>
              <w:rPr>
                <w:noProof/>
              </w:rPr>
            </w:pPr>
            <w:r>
              <w:rPr>
                <w:noProof/>
              </w:rPr>
              <w:t xml:space="preserve">paredz studiju un pētniecības periodus uzņēmumā no </w:t>
            </w:r>
            <w:r>
              <w:rPr>
                <w:noProof/>
              </w:rPr>
              <w:t>vismaz sešiem (6) mēnešiem līdz ne vairāk kā astoņpadsmit (18) mēnešiem;</w:t>
            </w:r>
          </w:p>
          <w:p w14:paraId="79CE6E7F" w14:textId="77777777" w:rsidR="00327FF1" w:rsidRDefault="00E406C7">
            <w:pPr>
              <w:pStyle w:val="P68B1DB1-Normal12"/>
              <w:rPr>
                <w:noProof/>
              </w:rPr>
            </w:pPr>
            <w:r>
              <w:rPr>
                <w:noProof/>
              </w:rPr>
              <w:t>paredz studiju un pētniecības periodus ārvalstīs no vismaz sešiem (6) mēnešiem līdz ne vairāk kā astoņpadsmit (18) mēnešiem;</w:t>
            </w:r>
          </w:p>
          <w:p w14:paraId="7F71EE73" w14:textId="77777777" w:rsidR="00327FF1" w:rsidRDefault="00E406C7">
            <w:pPr>
              <w:pStyle w:val="P68B1DB1-Normal12"/>
              <w:rPr>
                <w:noProof/>
              </w:rPr>
            </w:pPr>
            <w:r>
              <w:rPr>
                <w:noProof/>
              </w:rPr>
              <w:t>paredzēt uzņēmumu iesaistīšanu mācību kursa noteikšanā arī</w:t>
            </w:r>
            <w:r>
              <w:rPr>
                <w:noProof/>
              </w:rPr>
              <w:t xml:space="preserve"> plašākas sadarbības ar universitātēm un AFAM iestādēm kontekstā.</w:t>
            </w:r>
          </w:p>
        </w:tc>
      </w:tr>
      <w:tr w:rsidR="00327FF1" w14:paraId="66EE4F27" w14:textId="77777777">
        <w:trPr>
          <w:trHeight w:val="309"/>
          <w:jc w:val="center"/>
        </w:trPr>
        <w:tc>
          <w:tcPr>
            <w:tcW w:w="1292" w:type="dxa"/>
            <w:shd w:val="clear" w:color="auto" w:fill="C6EFCE"/>
            <w:noWrap/>
            <w:vAlign w:val="center"/>
            <w:hideMark/>
          </w:tcPr>
          <w:p w14:paraId="7DA9B4C0" w14:textId="77777777" w:rsidR="00327FF1" w:rsidRDefault="00E406C7">
            <w:pPr>
              <w:pStyle w:val="P68B1DB1-Normal11"/>
              <w:jc w:val="center"/>
              <w:rPr>
                <w:noProof/>
                <w:szCs w:val="20"/>
              </w:rPr>
            </w:pPr>
            <w:r>
              <w:rPr>
                <w:noProof/>
              </w:rPr>
              <w:t>M4C2–4</w:t>
            </w:r>
          </w:p>
        </w:tc>
        <w:tc>
          <w:tcPr>
            <w:tcW w:w="1368" w:type="dxa"/>
            <w:shd w:val="clear" w:color="auto" w:fill="C6EFCE"/>
            <w:noWrap/>
            <w:vAlign w:val="center"/>
            <w:hideMark/>
          </w:tcPr>
          <w:p w14:paraId="72882A40" w14:textId="77777777" w:rsidR="00327FF1" w:rsidRDefault="00E406C7">
            <w:pPr>
              <w:pStyle w:val="P68B1DB1-Normal11"/>
              <w:jc w:val="center"/>
              <w:rPr>
                <w:noProof/>
                <w:szCs w:val="20"/>
              </w:rPr>
            </w:pPr>
            <w:r>
              <w:rPr>
                <w:noProof/>
              </w:rPr>
              <w:t>Reforma Nr. 1.1: Pētniecības un attīstības atbalsta pasākumu īstenošana vienkāršošanas un mobilitātes veicināšanai</w:t>
            </w:r>
          </w:p>
        </w:tc>
        <w:tc>
          <w:tcPr>
            <w:tcW w:w="1413" w:type="dxa"/>
            <w:shd w:val="clear" w:color="auto" w:fill="C6EFCE"/>
            <w:noWrap/>
            <w:vAlign w:val="center"/>
            <w:hideMark/>
          </w:tcPr>
          <w:p w14:paraId="6CC9C6DE" w14:textId="77777777" w:rsidR="00327FF1" w:rsidRDefault="00E406C7">
            <w:pPr>
              <w:pStyle w:val="P68B1DB1-Normal11"/>
              <w:jc w:val="center"/>
              <w:rPr>
                <w:noProof/>
                <w:szCs w:val="20"/>
              </w:rPr>
            </w:pPr>
            <w:r>
              <w:rPr>
                <w:noProof/>
              </w:rPr>
              <w:t>Atskaites punkts</w:t>
            </w:r>
          </w:p>
        </w:tc>
        <w:tc>
          <w:tcPr>
            <w:tcW w:w="1302" w:type="dxa"/>
            <w:shd w:val="clear" w:color="auto" w:fill="C6EFCE"/>
            <w:noWrap/>
            <w:vAlign w:val="center"/>
            <w:hideMark/>
          </w:tcPr>
          <w:p w14:paraId="13DF28F7" w14:textId="77777777" w:rsidR="00327FF1" w:rsidRDefault="00E406C7">
            <w:pPr>
              <w:pStyle w:val="P68B1DB1-Normal11"/>
              <w:jc w:val="center"/>
              <w:rPr>
                <w:noProof/>
                <w:szCs w:val="20"/>
              </w:rPr>
            </w:pPr>
            <w:r>
              <w:rPr>
                <w:noProof/>
              </w:rPr>
              <w:t xml:space="preserve">Stājas spēkā ministrijas dekrēti par pētniecības </w:t>
            </w:r>
            <w:r>
              <w:rPr>
                <w:noProof/>
              </w:rPr>
              <w:t>un attīstības vienkāršošanu un mobilitāti, kas saistīti ar parasto finansēšanas fondu.</w:t>
            </w:r>
          </w:p>
        </w:tc>
        <w:tc>
          <w:tcPr>
            <w:tcW w:w="1377" w:type="dxa"/>
            <w:shd w:val="clear" w:color="auto" w:fill="C6EFCE"/>
            <w:noWrap/>
            <w:vAlign w:val="center"/>
            <w:hideMark/>
          </w:tcPr>
          <w:p w14:paraId="73333803" w14:textId="77777777" w:rsidR="00327FF1" w:rsidRDefault="00E406C7">
            <w:pPr>
              <w:pStyle w:val="P68B1DB1-Normal11"/>
              <w:jc w:val="center"/>
              <w:rPr>
                <w:noProof/>
                <w:szCs w:val="20"/>
              </w:rPr>
            </w:pPr>
            <w:r>
              <w:rPr>
                <w:noProof/>
              </w:rPr>
              <w:t>Dekrēta noteikums, kas norāda uz likuma stāšanos spēkā</w:t>
            </w:r>
          </w:p>
        </w:tc>
        <w:tc>
          <w:tcPr>
            <w:tcW w:w="1089" w:type="dxa"/>
            <w:shd w:val="clear" w:color="auto" w:fill="C6EFCE"/>
            <w:noWrap/>
            <w:vAlign w:val="center"/>
            <w:hideMark/>
          </w:tcPr>
          <w:p w14:paraId="0EF8B258" w14:textId="77777777" w:rsidR="00327FF1" w:rsidRDefault="00E406C7">
            <w:pPr>
              <w:pStyle w:val="P68B1DB1-Normal11"/>
              <w:jc w:val="center"/>
              <w:rPr>
                <w:noProof/>
                <w:szCs w:val="20"/>
              </w:rPr>
            </w:pPr>
            <w:r>
              <w:rPr>
                <w:noProof/>
              </w:rPr>
              <w:t>NEPIEMĒRO</w:t>
            </w:r>
          </w:p>
        </w:tc>
        <w:tc>
          <w:tcPr>
            <w:tcW w:w="1074" w:type="dxa"/>
            <w:shd w:val="clear" w:color="auto" w:fill="C6EFCE"/>
            <w:noWrap/>
            <w:vAlign w:val="center"/>
            <w:hideMark/>
          </w:tcPr>
          <w:p w14:paraId="75DE9921" w14:textId="77777777" w:rsidR="00327FF1" w:rsidRDefault="00E406C7">
            <w:pPr>
              <w:pStyle w:val="P68B1DB1-Normal11"/>
              <w:jc w:val="center"/>
              <w:rPr>
                <w:noProof/>
                <w:szCs w:val="20"/>
              </w:rPr>
            </w:pPr>
            <w:r>
              <w:rPr>
                <w:noProof/>
              </w:rPr>
              <w:t>NEPIEMĒRO</w:t>
            </w:r>
          </w:p>
        </w:tc>
        <w:tc>
          <w:tcPr>
            <w:tcW w:w="1539" w:type="dxa"/>
            <w:shd w:val="clear" w:color="auto" w:fill="C6EFCE"/>
            <w:noWrap/>
            <w:vAlign w:val="center"/>
            <w:hideMark/>
          </w:tcPr>
          <w:p w14:paraId="77A58BE8" w14:textId="77777777" w:rsidR="00327FF1" w:rsidRDefault="00327FF1">
            <w:pPr>
              <w:jc w:val="center"/>
              <w:rPr>
                <w:rFonts w:ascii="Arial Narrow" w:hAnsi="Arial Narrow"/>
                <w:noProof/>
                <w:color w:val="006100"/>
                <w:sz w:val="20"/>
                <w:szCs w:val="20"/>
              </w:rPr>
            </w:pPr>
          </w:p>
        </w:tc>
        <w:tc>
          <w:tcPr>
            <w:tcW w:w="975" w:type="dxa"/>
            <w:shd w:val="clear" w:color="auto" w:fill="C6EFCE"/>
            <w:noWrap/>
            <w:vAlign w:val="center"/>
            <w:hideMark/>
          </w:tcPr>
          <w:p w14:paraId="24F54C7A" w14:textId="77777777" w:rsidR="00327FF1" w:rsidRDefault="00E406C7">
            <w:pPr>
              <w:pStyle w:val="P68B1DB1-Normal11"/>
              <w:jc w:val="center"/>
              <w:rPr>
                <w:noProof/>
                <w:szCs w:val="20"/>
              </w:rPr>
            </w:pPr>
            <w:r>
              <w:rPr>
                <w:noProof/>
              </w:rPr>
              <w:t>2. CET.</w:t>
            </w:r>
          </w:p>
        </w:tc>
        <w:tc>
          <w:tcPr>
            <w:tcW w:w="611" w:type="dxa"/>
            <w:shd w:val="clear" w:color="auto" w:fill="C6EFCE"/>
            <w:noWrap/>
            <w:vAlign w:val="center"/>
            <w:hideMark/>
          </w:tcPr>
          <w:p w14:paraId="7183AE46" w14:textId="77777777" w:rsidR="00327FF1" w:rsidRDefault="00E406C7">
            <w:pPr>
              <w:pStyle w:val="P68B1DB1-Normal11"/>
              <w:jc w:val="center"/>
              <w:rPr>
                <w:noProof/>
                <w:szCs w:val="20"/>
              </w:rPr>
            </w:pPr>
            <w:r>
              <w:rPr>
                <w:noProof/>
              </w:rPr>
              <w:t>2022</w:t>
            </w:r>
          </w:p>
        </w:tc>
        <w:tc>
          <w:tcPr>
            <w:tcW w:w="2521" w:type="dxa"/>
            <w:shd w:val="clear" w:color="auto" w:fill="C6EFCE"/>
            <w:noWrap/>
            <w:vAlign w:val="center"/>
            <w:hideMark/>
          </w:tcPr>
          <w:p w14:paraId="63C197FB" w14:textId="77777777" w:rsidR="00327FF1" w:rsidRDefault="00E406C7">
            <w:pPr>
              <w:pStyle w:val="P68B1DB1-Normal11"/>
              <w:rPr>
                <w:noProof/>
                <w:szCs w:val="20"/>
              </w:rPr>
            </w:pPr>
            <w:r>
              <w:rPr>
                <w:noProof/>
              </w:rPr>
              <w:t>Ministrijas dekrēti ietver šādus galvenos elementus:</w:t>
            </w:r>
          </w:p>
          <w:p w14:paraId="14F06F66" w14:textId="77777777" w:rsidR="00327FF1" w:rsidRDefault="00E406C7">
            <w:pPr>
              <w:pStyle w:val="P68B1DB1-Normal12"/>
              <w:rPr>
                <w:noProof/>
              </w:rPr>
            </w:pPr>
            <w:r>
              <w:rPr>
                <w:noProof/>
              </w:rPr>
              <w:t xml:space="preserve">I) pāriet uz sistēmiskāku </w:t>
            </w:r>
            <w:r>
              <w:rPr>
                <w:noProof/>
              </w:rPr>
              <w:t>pieeju pētniecības un izstrādes darbībām, izmantojot jaunu vienkāršotu modeli, kura mērķis ir radīt būtisku ietekmi, izvairoties no prioritāšu izkliedētības un sadrumstalotības; II) reformēt tiesību aktus, lai palielinātu augsta līmeņa amatpersonu (piemēra</w:t>
            </w:r>
            <w:r>
              <w:rPr>
                <w:noProof/>
              </w:rPr>
              <w:t>m, pētnieku un vadītāju) mobilitāti starp universitātēm, pētniecības infrastruktūrām un uzņēmumiem; III) līdzekļu pārvaldības vienkāršošana; IV) reformēt pētnieku karjeras virzību, lai vairāk koncentrētos uz pētniecības darbībām.</w:t>
            </w:r>
          </w:p>
        </w:tc>
      </w:tr>
      <w:tr w:rsidR="00327FF1" w14:paraId="7CB6DF17" w14:textId="77777777">
        <w:trPr>
          <w:trHeight w:val="309"/>
          <w:jc w:val="center"/>
        </w:trPr>
        <w:tc>
          <w:tcPr>
            <w:tcW w:w="1292" w:type="dxa"/>
            <w:shd w:val="clear" w:color="auto" w:fill="C6EFCE"/>
            <w:noWrap/>
            <w:vAlign w:val="center"/>
            <w:hideMark/>
          </w:tcPr>
          <w:p w14:paraId="5F5F86B9" w14:textId="77777777" w:rsidR="00327FF1" w:rsidRDefault="00E406C7">
            <w:pPr>
              <w:pStyle w:val="P68B1DB1-Normal84"/>
              <w:jc w:val="center"/>
              <w:rPr>
                <w:noProof/>
              </w:rPr>
            </w:pPr>
            <w:r>
              <w:rPr>
                <w:noProof/>
              </w:rPr>
              <w:t>M4C2–4bis</w:t>
            </w:r>
          </w:p>
        </w:tc>
        <w:tc>
          <w:tcPr>
            <w:tcW w:w="1368" w:type="dxa"/>
            <w:shd w:val="clear" w:color="auto" w:fill="C6EFCE"/>
            <w:noWrap/>
            <w:vAlign w:val="center"/>
            <w:hideMark/>
          </w:tcPr>
          <w:p w14:paraId="6EC05533" w14:textId="77777777" w:rsidR="00327FF1" w:rsidRDefault="00E406C7">
            <w:pPr>
              <w:pStyle w:val="P68B1DB1-Normal84"/>
              <w:jc w:val="center"/>
              <w:rPr>
                <w:noProof/>
              </w:rPr>
            </w:pPr>
            <w:r>
              <w:rPr>
                <w:noProof/>
              </w:rPr>
              <w:t xml:space="preserve">Reforma Nr. </w:t>
            </w:r>
            <w:r>
              <w:rPr>
                <w:noProof/>
              </w:rPr>
              <w:t>1.2. Trīs gadu plāns pētniecības darbību finansēšanai</w:t>
            </w:r>
          </w:p>
        </w:tc>
        <w:tc>
          <w:tcPr>
            <w:tcW w:w="1413" w:type="dxa"/>
            <w:shd w:val="clear" w:color="auto" w:fill="C6EFCE"/>
            <w:noWrap/>
            <w:vAlign w:val="center"/>
            <w:hideMark/>
          </w:tcPr>
          <w:p w14:paraId="6391783E" w14:textId="77777777" w:rsidR="00327FF1" w:rsidRDefault="00E406C7">
            <w:pPr>
              <w:pStyle w:val="P68B1DB1-Normal84"/>
              <w:jc w:val="center"/>
              <w:rPr>
                <w:noProof/>
              </w:rPr>
            </w:pPr>
            <w:r>
              <w:rPr>
                <w:noProof/>
              </w:rPr>
              <w:t>Atskaites punkts</w:t>
            </w:r>
          </w:p>
        </w:tc>
        <w:tc>
          <w:tcPr>
            <w:tcW w:w="1302" w:type="dxa"/>
            <w:shd w:val="clear" w:color="auto" w:fill="C6EFCE"/>
            <w:noWrap/>
            <w:vAlign w:val="center"/>
            <w:hideMark/>
          </w:tcPr>
          <w:p w14:paraId="5EBEBFF5" w14:textId="5625F559" w:rsidR="00327FF1" w:rsidRDefault="00E406C7">
            <w:pPr>
              <w:pStyle w:val="P68B1DB1-Normal84"/>
              <w:spacing w:line="257" w:lineRule="auto"/>
              <w:jc w:val="center"/>
              <w:rPr>
                <w:noProof/>
              </w:rPr>
            </w:pPr>
            <w:r>
              <w:rPr>
                <w:noProof/>
              </w:rPr>
              <w:t xml:space="preserve">Primārie tiesību akti, lai pieņemtu trīs gadu plānu pētniecības darbību finansēšanai </w:t>
            </w:r>
          </w:p>
        </w:tc>
        <w:tc>
          <w:tcPr>
            <w:tcW w:w="1377" w:type="dxa"/>
            <w:shd w:val="clear" w:color="auto" w:fill="C6EFCE"/>
            <w:noWrap/>
            <w:vAlign w:val="center"/>
            <w:hideMark/>
          </w:tcPr>
          <w:p w14:paraId="56D70740" w14:textId="2C124E32" w:rsidR="00327FF1" w:rsidRDefault="00E406C7">
            <w:pPr>
              <w:pStyle w:val="P68B1DB1-Normal84"/>
              <w:jc w:val="center"/>
              <w:rPr>
                <w:noProof/>
              </w:rPr>
            </w:pPr>
            <w:r>
              <w:rPr>
                <w:noProof/>
              </w:rPr>
              <w:t xml:space="preserve">Stājas spēkā primārie tiesību akti, kuros izklāstīts trīs gadu plāns pētniecības darbību </w:t>
            </w:r>
            <w:r>
              <w:rPr>
                <w:noProof/>
              </w:rPr>
              <w:t>finansēšanai</w:t>
            </w:r>
          </w:p>
        </w:tc>
        <w:tc>
          <w:tcPr>
            <w:tcW w:w="1089" w:type="dxa"/>
            <w:shd w:val="clear" w:color="auto" w:fill="C6EFCE"/>
            <w:noWrap/>
            <w:vAlign w:val="center"/>
            <w:hideMark/>
          </w:tcPr>
          <w:p w14:paraId="123DF5A6" w14:textId="77777777" w:rsidR="00327FF1" w:rsidRDefault="00E406C7">
            <w:pPr>
              <w:pStyle w:val="P68B1DB1-Normal84"/>
              <w:jc w:val="center"/>
              <w:rPr>
                <w:noProof/>
              </w:rPr>
            </w:pPr>
            <w:r>
              <w:rPr>
                <w:noProof/>
              </w:rPr>
              <w:t>NEPIEMĒRO</w:t>
            </w:r>
          </w:p>
        </w:tc>
        <w:tc>
          <w:tcPr>
            <w:tcW w:w="1074" w:type="dxa"/>
            <w:shd w:val="clear" w:color="auto" w:fill="C6EFCE"/>
            <w:noWrap/>
            <w:vAlign w:val="center"/>
            <w:hideMark/>
          </w:tcPr>
          <w:p w14:paraId="6E059B26" w14:textId="77777777" w:rsidR="00327FF1" w:rsidRDefault="00E406C7">
            <w:pPr>
              <w:pStyle w:val="P68B1DB1-Normal84"/>
              <w:jc w:val="center"/>
              <w:rPr>
                <w:noProof/>
              </w:rPr>
            </w:pPr>
            <w:r>
              <w:rPr>
                <w:noProof/>
              </w:rPr>
              <w:t>NEPIEMĒRO</w:t>
            </w:r>
          </w:p>
        </w:tc>
        <w:tc>
          <w:tcPr>
            <w:tcW w:w="1539" w:type="dxa"/>
            <w:shd w:val="clear" w:color="auto" w:fill="C6EFCE"/>
            <w:noWrap/>
            <w:vAlign w:val="center"/>
            <w:hideMark/>
          </w:tcPr>
          <w:p w14:paraId="681DE355" w14:textId="77777777" w:rsidR="00327FF1" w:rsidRDefault="00E406C7">
            <w:pPr>
              <w:pStyle w:val="P68B1DB1-Normal84"/>
              <w:jc w:val="center"/>
              <w:rPr>
                <w:noProof/>
              </w:rPr>
            </w:pPr>
            <w:r>
              <w:rPr>
                <w:noProof/>
              </w:rPr>
              <w:t>NEPIEMĒRO</w:t>
            </w:r>
          </w:p>
        </w:tc>
        <w:tc>
          <w:tcPr>
            <w:tcW w:w="975" w:type="dxa"/>
            <w:shd w:val="clear" w:color="auto" w:fill="C6EFCE"/>
            <w:noWrap/>
            <w:vAlign w:val="center"/>
            <w:hideMark/>
          </w:tcPr>
          <w:p w14:paraId="5DA72EAF" w14:textId="77777777" w:rsidR="00327FF1" w:rsidRDefault="00E406C7">
            <w:pPr>
              <w:pStyle w:val="P68B1DB1-Normal84"/>
              <w:jc w:val="center"/>
              <w:rPr>
                <w:noProof/>
              </w:rPr>
            </w:pPr>
            <w:r>
              <w:rPr>
                <w:noProof/>
              </w:rPr>
              <w:t xml:space="preserve">4. CET. </w:t>
            </w:r>
          </w:p>
        </w:tc>
        <w:tc>
          <w:tcPr>
            <w:tcW w:w="611" w:type="dxa"/>
            <w:shd w:val="clear" w:color="auto" w:fill="C6EFCE"/>
            <w:noWrap/>
            <w:vAlign w:val="center"/>
            <w:hideMark/>
          </w:tcPr>
          <w:p w14:paraId="71B6E49C" w14:textId="77777777" w:rsidR="00327FF1" w:rsidRDefault="00E406C7">
            <w:pPr>
              <w:pStyle w:val="P68B1DB1-Normal84"/>
              <w:jc w:val="center"/>
              <w:rPr>
                <w:noProof/>
              </w:rPr>
            </w:pPr>
            <w:r>
              <w:rPr>
                <w:noProof/>
              </w:rPr>
              <w:t>2025</w:t>
            </w:r>
          </w:p>
        </w:tc>
        <w:tc>
          <w:tcPr>
            <w:tcW w:w="2521" w:type="dxa"/>
            <w:shd w:val="clear" w:color="auto" w:fill="C6EFCE"/>
            <w:noWrap/>
            <w:vAlign w:val="center"/>
            <w:hideMark/>
          </w:tcPr>
          <w:p w14:paraId="106D2A3D" w14:textId="554EA815" w:rsidR="00327FF1" w:rsidRDefault="00E406C7">
            <w:pPr>
              <w:pStyle w:val="P68B1DB1-Normal12"/>
              <w:jc w:val="both"/>
              <w:rPr>
                <w:noProof/>
              </w:rPr>
            </w:pPr>
            <w:r>
              <w:rPr>
                <w:noProof/>
              </w:rPr>
              <w:t xml:space="preserve">Reformai ir nepieciešams, lai stātos spēkā primārie tiesību akti, ar ko nosaka tiesisko regulējumu trīs gadu plāna pieņemšanai jaunu darbību finansēšanai. </w:t>
            </w:r>
          </w:p>
          <w:p w14:paraId="46FA197C" w14:textId="77777777" w:rsidR="00327FF1" w:rsidRDefault="00E406C7">
            <w:pPr>
              <w:pStyle w:val="P68B1DB1-Normal12"/>
              <w:rPr>
                <w:noProof/>
              </w:rPr>
            </w:pPr>
            <w:r>
              <w:rPr>
                <w:noProof/>
              </w:rPr>
              <w:t>Tiesiskais regulējums:</w:t>
            </w:r>
          </w:p>
          <w:p w14:paraId="03B09426" w14:textId="750C048B" w:rsidR="00327FF1" w:rsidRDefault="00E406C7">
            <w:pPr>
              <w:pStyle w:val="P68B1DB1-ListParagraph13"/>
              <w:numPr>
                <w:ilvl w:val="0"/>
                <w:numId w:val="90"/>
              </w:numPr>
              <w:spacing w:before="120" w:after="120" w:line="240" w:lineRule="auto"/>
              <w:jc w:val="both"/>
              <w:rPr>
                <w:noProof/>
              </w:rPr>
            </w:pPr>
            <w:r>
              <w:rPr>
                <w:noProof/>
              </w:rPr>
              <w:t xml:space="preserve">Izveidot fondu </w:t>
            </w:r>
            <w:r>
              <w:rPr>
                <w:noProof/>
              </w:rPr>
              <w:t>dažādu finansēšanas instrumentu apvienošanai;</w:t>
            </w:r>
          </w:p>
          <w:p w14:paraId="28303113" w14:textId="09424E3F" w:rsidR="00327FF1" w:rsidRDefault="00E406C7">
            <w:pPr>
              <w:pStyle w:val="P68B1DB1-ListParagraph23"/>
              <w:numPr>
                <w:ilvl w:val="0"/>
                <w:numId w:val="90"/>
              </w:numPr>
              <w:jc w:val="both"/>
              <w:rPr>
                <w:noProof/>
              </w:rPr>
            </w:pPr>
            <w:r>
              <w:rPr>
                <w:noProof/>
              </w:rPr>
              <w:t xml:space="preserve">pieprasīt pieņemt trīs gadu plānu universitāšu, pētniecības iestāžu un AFAM institūciju pētniecības darbību finansēšanai; </w:t>
            </w:r>
          </w:p>
          <w:p w14:paraId="5BD77360" w14:textId="77777777" w:rsidR="00327FF1" w:rsidRDefault="00E406C7">
            <w:pPr>
              <w:pStyle w:val="P68B1DB1-ListParagraph23"/>
              <w:numPr>
                <w:ilvl w:val="0"/>
                <w:numId w:val="90"/>
              </w:numPr>
              <w:jc w:val="both"/>
              <w:rPr>
                <w:noProof/>
              </w:rPr>
            </w:pPr>
            <w:r>
              <w:rPr>
                <w:noProof/>
              </w:rPr>
              <w:t>Pieprasīt pieņemt grafiku (“cronoprogramma”) uzaicinājumu iesniegt projektus izsludināš</w:t>
            </w:r>
            <w:r>
              <w:rPr>
                <w:noProof/>
              </w:rPr>
              <w:t xml:space="preserve">anai un to atlases procedūru pabeigšanai. </w:t>
            </w:r>
          </w:p>
          <w:p w14:paraId="73722308" w14:textId="6AEDA999" w:rsidR="00327FF1" w:rsidRDefault="00E406C7">
            <w:pPr>
              <w:pStyle w:val="P68B1DB1-ListParagraph23"/>
              <w:numPr>
                <w:ilvl w:val="0"/>
                <w:numId w:val="90"/>
              </w:numPr>
              <w:jc w:val="both"/>
              <w:rPr>
                <w:noProof/>
              </w:rPr>
            </w:pPr>
            <w:r>
              <w:rPr>
                <w:noProof/>
              </w:rPr>
              <w:t xml:space="preserve">Iekļaut īpašu budžeta posteni PRIN projektu finansēšanai. </w:t>
            </w:r>
          </w:p>
        </w:tc>
      </w:tr>
    </w:tbl>
    <w:p w14:paraId="0E9978DC" w14:textId="77777777" w:rsidR="00327FF1" w:rsidRDefault="00327FF1">
      <w:pPr>
        <w:spacing w:before="120" w:after="120"/>
        <w:ind w:left="709"/>
        <w:jc w:val="both"/>
        <w:rPr>
          <w:noProof/>
        </w:rPr>
        <w:sectPr w:rsidR="00327FF1" w:rsidSect="005F11B9">
          <w:headerReference w:type="default" r:id="rId202"/>
          <w:footerReference w:type="default" r:id="rId203"/>
          <w:pgSz w:w="16839" w:h="11907" w:orient="landscape"/>
          <w:pgMar w:top="1134" w:right="1134" w:bottom="1134" w:left="1134" w:header="567" w:footer="567" w:gutter="0"/>
          <w:cols w:space="720"/>
          <w:docGrid w:linePitch="360"/>
        </w:sectPr>
      </w:pPr>
    </w:p>
    <w:p w14:paraId="30BE3B02" w14:textId="77777777" w:rsidR="00327FF1" w:rsidRDefault="00E406C7">
      <w:pPr>
        <w:pStyle w:val="Heading3"/>
        <w:ind w:left="850" w:hanging="850"/>
        <w:rPr>
          <w:rFonts w:ascii="Times New Roman" w:eastAsia="Times New Roman" w:hAnsi="Times New Roman" w:cs="Times New Roman"/>
          <w:b/>
          <w:i/>
          <w:noProof/>
          <w:color w:val="156082" w:themeColor="accent1"/>
          <w:u w:val="single"/>
        </w:rPr>
      </w:pPr>
      <w:r>
        <w:rPr>
          <w:rFonts w:ascii="Times New Roman" w:eastAsia="Times New Roman" w:hAnsi="Times New Roman" w:cs="Times New Roman"/>
          <w:b/>
          <w:noProof/>
          <w:u w:val="single"/>
        </w:rPr>
        <w:t xml:space="preserve">K.3. </w:t>
      </w:r>
      <w:r>
        <w:rPr>
          <w:noProof/>
        </w:rPr>
        <w:t xml:space="preserve"> </w:t>
      </w:r>
      <w:r>
        <w:rPr>
          <w:rFonts w:ascii="Times New Roman" w:eastAsia="Times New Roman" w:hAnsi="Times New Roman" w:cs="Times New Roman"/>
          <w:b/>
          <w:noProof/>
          <w:u w:val="single"/>
        </w:rPr>
        <w:t xml:space="preserve">Aizdevumam pieteikto reformu un investīciju apraksts </w:t>
      </w:r>
    </w:p>
    <w:p w14:paraId="0CEA8037" w14:textId="77777777" w:rsidR="00327FF1" w:rsidRDefault="00E406C7">
      <w:pPr>
        <w:pStyle w:val="P68B1DB1-Normal42"/>
        <w:spacing w:before="120" w:after="120"/>
        <w:jc w:val="both"/>
        <w:rPr>
          <w:bCs/>
          <w:noProof/>
        </w:rPr>
      </w:pPr>
      <w:r>
        <w:rPr>
          <w:noProof/>
        </w:rPr>
        <w:t xml:space="preserve">Investīcija 1.1: Valsts nozīmes </w:t>
      </w:r>
      <w:r>
        <w:rPr>
          <w:noProof/>
        </w:rPr>
        <w:t>pētniecības projekti (PRIN)</w:t>
      </w:r>
    </w:p>
    <w:p w14:paraId="1B457235" w14:textId="57D62EDE" w:rsidR="00327FF1" w:rsidRDefault="00E406C7">
      <w:pPr>
        <w:pStyle w:val="P68B1DB1-Normal8"/>
        <w:spacing w:before="120" w:after="120"/>
        <w:jc w:val="both"/>
        <w:rPr>
          <w:noProof/>
          <w:color w:val="000000" w:themeColor="text1"/>
        </w:rPr>
      </w:pPr>
      <w:r>
        <w:rPr>
          <w:noProof/>
          <w:color w:val="000000" w:themeColor="text1"/>
        </w:rPr>
        <w:t>Šā pasākuma mērķis ir atbalstīt</w:t>
      </w:r>
      <w:r>
        <w:rPr>
          <w:noProof/>
        </w:rPr>
        <w:t xml:space="preserve"> pētniecības darbības. Pasākums ietver tādu </w:t>
      </w:r>
      <w:r>
        <w:rPr>
          <w:noProof/>
          <w:color w:val="000000" w:themeColor="text1"/>
        </w:rPr>
        <w:t>pētniecības projektu finansēšanu, kuriem ir liela valsts nozīme (PRIN) un kuri ietver sadarbību starp universitāšu pētniecības vienībām un pētniecības ie</w:t>
      </w:r>
      <w:r>
        <w:rPr>
          <w:noProof/>
          <w:color w:val="000000" w:themeColor="text1"/>
        </w:rPr>
        <w:t>stādēm, kā arī pētnieku pieņemšanu darbā uz noteiktu laiku.</w:t>
      </w:r>
    </w:p>
    <w:p w14:paraId="523B25E2" w14:textId="77777777" w:rsidR="00327FF1" w:rsidRDefault="00E406C7">
      <w:pPr>
        <w:pStyle w:val="paragraph"/>
        <w:spacing w:before="120" w:beforeAutospacing="0" w:after="120" w:afterAutospacing="0"/>
        <w:jc w:val="both"/>
        <w:textAlignment w:val="baseline"/>
        <w:rPr>
          <w:rStyle w:val="eop"/>
          <w:rFonts w:eastAsiaTheme="majorEastAsia"/>
          <w:b/>
          <w:bCs/>
          <w:noProof/>
          <w:color w:val="000000" w:themeColor="text1"/>
          <w:shd w:val="clear" w:color="auto" w:fill="FFFFFF"/>
        </w:rPr>
      </w:pPr>
      <w:r>
        <w:rPr>
          <w:rStyle w:val="normaltextrun"/>
          <w:b/>
          <w:noProof/>
          <w:color w:val="000000" w:themeColor="text1"/>
          <w:shd w:val="clear" w:color="auto" w:fill="FFFFFF"/>
        </w:rPr>
        <w:t>Investīcija Nr. 1.3. Partnerības, kas attiecas uz universitātēm, pētniecības centriem, uzņēmumiem un fundamentālo pētījumu projektu finansēšana</w:t>
      </w:r>
    </w:p>
    <w:p w14:paraId="422925A5" w14:textId="77777777" w:rsidR="00327FF1" w:rsidRDefault="00E406C7">
      <w:pPr>
        <w:pStyle w:val="P68B1DB1-Normal66"/>
        <w:spacing w:before="120" w:after="120"/>
        <w:jc w:val="both"/>
        <w:rPr>
          <w:noProof/>
        </w:rPr>
      </w:pPr>
      <w:r>
        <w:rPr>
          <w:noProof/>
        </w:rPr>
        <w:t>Pasākuma mērķis ir izveidot universitāšu, pētniecība</w:t>
      </w:r>
      <w:r>
        <w:rPr>
          <w:noProof/>
        </w:rPr>
        <w:t>s organizāciju un citu ieinteresēto personu tīklus, veicināt tehnoloģiju nodošanu un atbalstīt uz pētniecību balstītus jaunuzņēmumus un atvasinātus uzņēmumus. Pasākums paredz finansēt vismaz 14 galvenās fundamentālās pētniecības programmas, ko īsteno publi</w:t>
      </w:r>
      <w:r>
        <w:rPr>
          <w:noProof/>
        </w:rPr>
        <w:t>sko un privāto subjektu tīkli.</w:t>
      </w:r>
    </w:p>
    <w:p w14:paraId="3F95FCEA" w14:textId="3A904E5D" w:rsidR="00327FF1" w:rsidRDefault="00E406C7">
      <w:pPr>
        <w:pStyle w:val="P68B1DB1-Normal42"/>
        <w:spacing w:before="120" w:after="120"/>
        <w:jc w:val="both"/>
        <w:rPr>
          <w:bCs/>
          <w:noProof/>
        </w:rPr>
      </w:pPr>
      <w:r>
        <w:rPr>
          <w:noProof/>
        </w:rPr>
        <w:t>Investīcija Nr. 1.4: “Valstu pētniecības un attīstības līderu” izveide attiecībā uz dažām svarīgām pamattehnoloģijām</w:t>
      </w:r>
    </w:p>
    <w:p w14:paraId="78146BE7" w14:textId="77777777" w:rsidR="00327FF1" w:rsidRDefault="00E406C7">
      <w:pPr>
        <w:pStyle w:val="P68B1DB1-Normal66"/>
        <w:spacing w:before="120" w:after="120"/>
        <w:jc w:val="both"/>
        <w:rPr>
          <w:noProof/>
        </w:rPr>
      </w:pPr>
      <w:r>
        <w:rPr>
          <w:noProof/>
        </w:rPr>
        <w:t xml:space="preserve">Šā pasākuma mērķis ir izveidot valstu pētniecības un attīstības vadītājus. Pasākums ietver piecu valsts </w:t>
      </w:r>
      <w:r>
        <w:rPr>
          <w:noProof/>
        </w:rPr>
        <w:t>pētniecības centru finansēšanu, kas spēj sasniegt kritisko pētniecības un inovācijas spēju slieksni, sadarbojoties universitātēm, pētniecības centriem un uzņēmumiem.</w:t>
      </w:r>
    </w:p>
    <w:p w14:paraId="427C8763" w14:textId="77777777" w:rsidR="00327FF1" w:rsidRDefault="00E406C7">
      <w:pPr>
        <w:pStyle w:val="P68B1DB1-Normal42"/>
        <w:spacing w:before="120" w:after="120"/>
        <w:jc w:val="both"/>
        <w:rPr>
          <w:bCs/>
          <w:noProof/>
        </w:rPr>
      </w:pPr>
      <w:r>
        <w:rPr>
          <w:noProof/>
        </w:rPr>
        <w:t>Investīcija Nr. 1.5: “Inovācijas ekosistēmas ilgtspējai”, veidojot “pētniecības un izstrād</w:t>
      </w:r>
      <w:r>
        <w:rPr>
          <w:noProof/>
        </w:rPr>
        <w:t xml:space="preserve">es teritoriālos līderus”. </w:t>
      </w:r>
    </w:p>
    <w:p w14:paraId="3E62AE37" w14:textId="77777777" w:rsidR="00327FF1" w:rsidRDefault="00E406C7">
      <w:pPr>
        <w:pStyle w:val="P68B1DB1-Normal66"/>
        <w:spacing w:before="120" w:after="120"/>
        <w:jc w:val="both"/>
        <w:rPr>
          <w:noProof/>
        </w:rPr>
      </w:pPr>
      <w:r>
        <w:rPr>
          <w:noProof/>
        </w:rPr>
        <w:t>Šā pasākuma mērķis ir veicināt inovāciju. Pasākums ietver esošo vai jaunu inovācijas ekosistēmu finansēšanu, galveno uzmanību pievēršot sociālajai ilgtspējai.</w:t>
      </w:r>
    </w:p>
    <w:p w14:paraId="6AC2583B" w14:textId="77777777" w:rsidR="00327FF1" w:rsidRDefault="00E406C7">
      <w:pPr>
        <w:pStyle w:val="P68B1DB1-Normal29"/>
        <w:spacing w:before="120" w:after="120"/>
        <w:jc w:val="both"/>
        <w:rPr>
          <w:bCs/>
          <w:noProof/>
        </w:rPr>
      </w:pPr>
      <w:r>
        <w:rPr>
          <w:noProof/>
        </w:rPr>
        <w:t>Investīcija 2.1: Svarīgs projekts visas Eiropas interesēs (IPCEI)</w:t>
      </w:r>
    </w:p>
    <w:p w14:paraId="3CBFD0FC" w14:textId="77777777" w:rsidR="00327FF1" w:rsidRDefault="00E406C7">
      <w:pPr>
        <w:pStyle w:val="P68B1DB1-Normal8"/>
        <w:spacing w:before="120" w:after="120" w:line="288" w:lineRule="auto"/>
        <w:jc w:val="both"/>
        <w:rPr>
          <w:noProof/>
        </w:rPr>
      </w:pPr>
      <w:r>
        <w:rPr>
          <w:noProof/>
        </w:rPr>
        <w:t>Šā p</w:t>
      </w:r>
      <w:r>
        <w:rPr>
          <w:noProof/>
        </w:rPr>
        <w:t>asākuma mērķis ir papildināt pašreizējo IPCEI fondu, kas minēts 2020. gada Budžeta likuma 1. panta 232. punktā. Pasākums atbalsta IPCEI fondu ar papildu resursiem.</w:t>
      </w:r>
    </w:p>
    <w:p w14:paraId="25C12F90" w14:textId="77777777" w:rsidR="00327FF1" w:rsidRDefault="00E406C7">
      <w:pPr>
        <w:pStyle w:val="P68B1DB1-Normal29"/>
        <w:spacing w:before="120" w:after="120"/>
        <w:jc w:val="both"/>
        <w:rPr>
          <w:bCs/>
          <w:noProof/>
        </w:rPr>
      </w:pPr>
      <w:r>
        <w:rPr>
          <w:noProof/>
        </w:rPr>
        <w:t xml:space="preserve">Investīcija 2.3.: Tehnoloģiju nodošanas centri </w:t>
      </w:r>
    </w:p>
    <w:p w14:paraId="7F4A5CE2" w14:textId="25008A25" w:rsidR="00327FF1" w:rsidRDefault="00E406C7">
      <w:pPr>
        <w:pStyle w:val="P68B1DB1-Normal8"/>
        <w:spacing w:before="120" w:after="120"/>
        <w:jc w:val="both"/>
        <w:rPr>
          <w:noProof/>
        </w:rPr>
      </w:pPr>
      <w:r>
        <w:rPr>
          <w:noProof/>
        </w:rPr>
        <w:t xml:space="preserve">Šā pasākuma mērķis ir atbalstīt tādu centru </w:t>
      </w:r>
      <w:r>
        <w:rPr>
          <w:noProof/>
        </w:rPr>
        <w:t>tīklu (kompetenču centri, Eiropas digitālās inovācijas centrs, izcilības zīmogs, valstu digitālās inovācijas centri), kas atbild par projektu izstrādi, progresīvu tehnoloģisko pakalpojumu sniegšanu uzņēmumiem un valsts pārvaldes iestādēm un tehnoloģiju nod</w:t>
      </w:r>
      <w:r>
        <w:rPr>
          <w:noProof/>
        </w:rPr>
        <w:t>ošanas pakalpojumiem. Eiropas digitālās inovācijas centri savu darbību veikšanai var saņemt finansējumu no citiem ES fondiem, tostarp programmas “Digitālā Eiropa”</w:t>
      </w:r>
      <w:r>
        <w:rPr>
          <w:noProof/>
          <w:color w:val="D13438"/>
          <w:u w:val="single"/>
        </w:rPr>
        <w:t>.</w:t>
      </w:r>
      <w:r>
        <w:rPr>
          <w:noProof/>
        </w:rPr>
        <w:t xml:space="preserve"> </w:t>
      </w:r>
    </w:p>
    <w:p w14:paraId="62DA456F" w14:textId="77777777" w:rsidR="00327FF1" w:rsidRDefault="00E406C7">
      <w:pPr>
        <w:spacing w:before="120" w:after="120"/>
        <w:jc w:val="both"/>
        <w:rPr>
          <w:rFonts w:ascii="Times New Roman" w:eastAsia="Times New Roman" w:hAnsi="Times New Roman" w:cs="Times New Roman"/>
          <w:noProof/>
        </w:rPr>
      </w:pPr>
      <w:r>
        <w:rPr>
          <w:rFonts w:ascii="Times New Roman" w:eastAsia="Times New Roman" w:hAnsi="Times New Roman" w:cs="Times New Roman"/>
          <w:noProof/>
        </w:rPr>
        <w:t>Ieguldījumu veido divi intervences virzieni. Pirmajā rindā ANM finansē tikai 32 centrus, ne</w:t>
      </w:r>
      <w:r>
        <w:rPr>
          <w:rFonts w:ascii="Times New Roman" w:eastAsia="Times New Roman" w:hAnsi="Times New Roman" w:cs="Times New Roman"/>
          <w:noProof/>
        </w:rPr>
        <w:t xml:space="preserve">saņemot atbalstu no citiem ES avotiem. </w:t>
      </w:r>
      <w:r>
        <w:rPr>
          <w:rFonts w:ascii="Times New Roman" w:eastAsia="Times New Roman" w:hAnsi="Times New Roman" w:cs="Times New Roman"/>
          <w:noProof/>
          <w:color w:val="000000" w:themeColor="text1"/>
        </w:rPr>
        <w:t xml:space="preserve">Otrajā pozīcijā ANM </w:t>
      </w:r>
      <w:r>
        <w:rPr>
          <w:rFonts w:ascii="Times New Roman" w:eastAsia="Times New Roman" w:hAnsi="Times New Roman" w:cs="Times New Roman"/>
          <w:noProof/>
        </w:rPr>
        <w:t xml:space="preserve">finansē daļu no 13 </w:t>
      </w:r>
      <w:r>
        <w:rPr>
          <w:rFonts w:ascii="Times New Roman" w:eastAsia="Times New Roman" w:hAnsi="Times New Roman" w:cs="Times New Roman"/>
          <w:noProof/>
          <w:color w:val="000000" w:themeColor="text1"/>
        </w:rPr>
        <w:t>Eiropas digitālās inovācijas centriem (EDIH)</w:t>
      </w:r>
      <w:r>
        <w:rPr>
          <w:rFonts w:ascii="Times New Roman" w:eastAsia="Times New Roman" w:hAnsi="Times New Roman" w:cs="Times New Roman"/>
          <w:noProof/>
        </w:rPr>
        <w:t xml:space="preserve">, bet otru izmaksu daļu veido programma “Digitālā Eiropa”. Jo īpaši </w:t>
      </w:r>
      <w:r>
        <w:rPr>
          <w:rFonts w:ascii="Times New Roman" w:eastAsia="Times New Roman" w:hAnsi="Times New Roman" w:cs="Times New Roman"/>
          <w:noProof/>
          <w:color w:val="000000" w:themeColor="text1"/>
        </w:rPr>
        <w:t>13 Eiropas digitālās inovācijas centru darbību</w:t>
      </w:r>
      <w:r>
        <w:rPr>
          <w:rFonts w:ascii="Times New Roman" w:eastAsia="Times New Roman" w:hAnsi="Times New Roman" w:cs="Times New Roman"/>
          <w:noProof/>
        </w:rPr>
        <w:t xml:space="preserve">, ko </w:t>
      </w:r>
      <w:r>
        <w:rPr>
          <w:rFonts w:ascii="Times New Roman" w:eastAsia="Times New Roman" w:hAnsi="Times New Roman" w:cs="Times New Roman"/>
          <w:noProof/>
          <w:color w:val="000000" w:themeColor="text1"/>
        </w:rPr>
        <w:t xml:space="preserve">finansē no ANM </w:t>
      </w:r>
      <w:r>
        <w:rPr>
          <w:rFonts w:ascii="Times New Roman" w:eastAsia="Times New Roman" w:hAnsi="Times New Roman" w:cs="Times New Roman"/>
          <w:noProof/>
          <w:color w:val="000000" w:themeColor="text1"/>
        </w:rPr>
        <w:t>un programmas “Digitālā Eiropa”, strukturē darba paketēs</w:t>
      </w:r>
      <w:r>
        <w:rPr>
          <w:rStyle w:val="FootnoteReference"/>
          <w:rFonts w:ascii="Times New Roman" w:eastAsia="Times New Roman" w:hAnsi="Times New Roman" w:cs="Times New Roman"/>
          <w:noProof/>
          <w:color w:val="000000" w:themeColor="text1"/>
        </w:rPr>
        <w:footnoteReference w:id="81"/>
      </w:r>
      <w:r>
        <w:rPr>
          <w:rFonts w:ascii="Times New Roman" w:eastAsia="Times New Roman" w:hAnsi="Times New Roman" w:cs="Times New Roman"/>
          <w:noProof/>
          <w:color w:val="000000" w:themeColor="text1"/>
        </w:rPr>
        <w:t>. ANM atbalsts neattiecas uz darba paketēm, kurām Eiropas digitālās inovācijas centri saņem atbalstu no programmas “Digitālā Eiropa”. I</w:t>
      </w:r>
      <w:r>
        <w:rPr>
          <w:rFonts w:ascii="Times New Roman" w:eastAsia="Times New Roman" w:hAnsi="Times New Roman" w:cs="Times New Roman"/>
          <w:noProof/>
        </w:rPr>
        <w:t xml:space="preserve"> </w:t>
      </w:r>
    </w:p>
    <w:p w14:paraId="6AA68C90" w14:textId="20C06591" w:rsidR="00327FF1" w:rsidRDefault="00E406C7">
      <w:pPr>
        <w:pStyle w:val="P68B1DB1-Normal29"/>
        <w:spacing w:before="120" w:after="120" w:line="288" w:lineRule="auto"/>
        <w:jc w:val="both"/>
        <w:rPr>
          <w:bCs/>
          <w:noProof/>
        </w:rPr>
      </w:pPr>
      <w:r>
        <w:rPr>
          <w:noProof/>
        </w:rPr>
        <w:t>Investīcija Nr. 3.1: Pētniecības un inovācijas infrastruktūras</w:t>
      </w:r>
    </w:p>
    <w:p w14:paraId="126B56F8" w14:textId="10052107" w:rsidR="00327FF1" w:rsidRDefault="00E406C7">
      <w:pPr>
        <w:pStyle w:val="P68B1DB1-Normal8"/>
        <w:spacing w:before="120" w:after="120"/>
        <w:jc w:val="both"/>
        <w:rPr>
          <w:noProof/>
        </w:rPr>
      </w:pPr>
      <w:r>
        <w:rPr>
          <w:noProof/>
        </w:rPr>
        <w:t>Pasākuma mērķis ir atbalstīt tādu pētniecības un inovācijas infrastruktūru izveidi, kas savieno rūpniecību un akadēmiskās aprindas, vai atbalstīt aizejošās infrastruktūras. Ieguldījumu veido esošu vai jaunu infrastruktūras projektu finansēšana ar pētniecī</w:t>
      </w:r>
      <w:r>
        <w:rPr>
          <w:noProof/>
        </w:rPr>
        <w:t>bas pārvaldītāju katrai infrastruktūrai.</w:t>
      </w:r>
    </w:p>
    <w:p w14:paraId="3AF415BA" w14:textId="77777777" w:rsidR="00327FF1" w:rsidRDefault="00E406C7">
      <w:pPr>
        <w:pStyle w:val="P68B1DB1-Normal29"/>
        <w:spacing w:before="120" w:after="120" w:line="288" w:lineRule="auto"/>
        <w:jc w:val="both"/>
        <w:rPr>
          <w:noProof/>
        </w:rPr>
      </w:pPr>
      <w:r>
        <w:rPr>
          <w:noProof/>
        </w:rPr>
        <w:t>“Investīcija Nr. 3.2. Kapitāla iepludināšana Digitālās pārkārtošanās fondā (“DTF”), ko pārvalda CDP riska kapitāls SGR</w:t>
      </w:r>
    </w:p>
    <w:p w14:paraId="40F24BCC" w14:textId="7FF84FBC" w:rsidR="00327FF1" w:rsidRDefault="00E406C7">
      <w:pPr>
        <w:spacing w:line="240" w:lineRule="auto"/>
        <w:jc w:val="both"/>
        <w:rPr>
          <w:rFonts w:ascii="Times New Roman" w:eastAsia="Times New Roman" w:hAnsi="Times New Roman" w:cs="Times New Roman"/>
          <w:noProof/>
        </w:rPr>
      </w:pPr>
      <w:r>
        <w:rPr>
          <w:rFonts w:ascii="Times New Roman" w:eastAsia="Times New Roman" w:hAnsi="Times New Roman" w:cs="Times New Roman"/>
          <w:noProof/>
        </w:rPr>
        <w:t xml:space="preserve">Šā pasākuma mērķis ir atbalstīt Itālijas ekonomikas izaugsmes potenciālu, stimulējot privātās </w:t>
      </w:r>
      <w:r>
        <w:rPr>
          <w:rFonts w:ascii="Times New Roman" w:eastAsia="Times New Roman" w:hAnsi="Times New Roman" w:cs="Times New Roman"/>
          <w:noProof/>
        </w:rPr>
        <w:t>investīcijas, uzlabojot finansējuma pieejamību jaunuzņēmumiem un attīstot riska kapitāla tirgu šajā nozarē. Pasākums ietver kapitāla iepludināšanu 400 000 000 EUR apmērā</w:t>
      </w:r>
      <w:r>
        <w:rPr>
          <w:rFonts w:ascii="Arial Narrow" w:hAnsi="Arial Narrow"/>
          <w:noProof/>
          <w:color w:val="006100"/>
          <w:sz w:val="20"/>
          <w:szCs w:val="20"/>
        </w:rPr>
        <w:t xml:space="preserve">  </w:t>
      </w:r>
      <w:r>
        <w:rPr>
          <w:rFonts w:ascii="Times New Roman" w:eastAsia="Times New Roman" w:hAnsi="Times New Roman" w:cs="Times New Roman"/>
          <w:noProof/>
        </w:rPr>
        <w:t xml:space="preserve">Digitālās pārkārtošanās fondā (“DTF”), ko pārvalda CDP riska kapitāls SGR. </w:t>
      </w:r>
    </w:p>
    <w:p w14:paraId="0DDE14E6" w14:textId="1A7BD8B8" w:rsidR="00327FF1" w:rsidRDefault="00E406C7">
      <w:pPr>
        <w:pStyle w:val="P68B1DB1-LegalNumPar260"/>
        <w:numPr>
          <w:ilvl w:val="0"/>
          <w:numId w:val="0"/>
        </w:numPr>
        <w:spacing w:line="259" w:lineRule="auto"/>
        <w:jc w:val="both"/>
        <w:rPr>
          <w:noProof/>
        </w:rPr>
      </w:pPr>
      <w:r>
        <w:rPr>
          <w:noProof/>
        </w:rPr>
        <w:t>CDP riska</w:t>
      </w:r>
      <w:r>
        <w:rPr>
          <w:noProof/>
        </w:rPr>
        <w:t xml:space="preserve"> kapitāls SGR pieņem ieguldījumu politiku pašu kapitāla izmantošanai. Ieguldījumu politikā iekļauj aprakstu par finanšu produktu(-iem) ar paredzamo atbalsttiesīgo galasaņēmēju veidu, ko paredzēts atbalstīt ar pašu kapitālu, tostarp paredzamo 15 gadu īsteno</w:t>
      </w:r>
      <w:r>
        <w:rPr>
          <w:noProof/>
        </w:rPr>
        <w:t>šanas grafiku un pārvaldības maksu ne vairāk kā 13 % apmērā.</w:t>
      </w:r>
      <w:r>
        <w:rPr>
          <w:noProof/>
        </w:rPr>
        <w:footnoteReference w:id="82"/>
      </w:r>
      <w:r>
        <w:rPr>
          <w:noProof/>
        </w:rPr>
        <w:t xml:space="preserve"> DTF darbojas, tieši vai netieši sniedzot pašu kapitāla, kvazikapitāla, parāda vai kvaziparāda atbalstu.</w:t>
      </w:r>
      <w:r>
        <w:rPr>
          <w:noProof/>
        </w:rPr>
        <w:footnoteReference w:id="83"/>
      </w:r>
      <w:r>
        <w:rPr>
          <w:noProof/>
        </w:rPr>
        <w:t xml:space="preserve"> CDP riska kapitāls SGR pieņem revīzijas un kontroles sistēmu, kas aprakstīta pamatnostādn</w:t>
      </w:r>
      <w:r>
        <w:rPr>
          <w:noProof/>
        </w:rPr>
        <w:t>ēs “Linee Guida per le attività di rendicontazione e controllo dei Fondi DTF e GTF” pašu kapitāla izmantošanai. Ieguldījumu politika paredz, ka finanšu produkts(-i), ko atbalsta pašu kapitāls, atbilst principam “nenodari būtisku kaitējumu”, kā noteikts Teh</w:t>
      </w:r>
      <w:r>
        <w:rPr>
          <w:noProof/>
        </w:rPr>
        <w:t>niskajos norādījumos par principa “nenodarīt būtisku kaitējumu” (2021/C58/01) ievērošanu. Jo īpaši, ja tiek sniegts vispārējs atbalsts darbības uzsākšanai, ieguldījumu politikā neiekļauj uzņēmumus, kas būtiski koncentrējas</w:t>
      </w:r>
      <w:r>
        <w:rPr>
          <w:noProof/>
        </w:rPr>
        <w:footnoteReference w:id="84"/>
      </w:r>
      <w:r>
        <w:rPr>
          <w:noProof/>
        </w:rPr>
        <w:t xml:space="preserve"> uz šādām nozarēm: I) enerģijas r</w:t>
      </w:r>
      <w:r>
        <w:rPr>
          <w:noProof/>
        </w:rPr>
        <w:t>ažošana, izmantojot fosilo kurināmo, un ar to saistītās darbības</w:t>
      </w:r>
      <w:r>
        <w:rPr>
          <w:noProof/>
        </w:rPr>
        <w:footnoteReference w:id="85"/>
      </w:r>
      <w:r>
        <w:rPr>
          <w:noProof/>
        </w:rPr>
        <w:t>; II) energoietilpīgas nozares un/vai nozares ar augstu CO2 emisiju līmeni</w:t>
      </w:r>
      <w:r>
        <w:rPr>
          <w:noProof/>
        </w:rPr>
        <w:footnoteReference w:id="86"/>
      </w:r>
      <w:r>
        <w:rPr>
          <w:noProof/>
        </w:rPr>
        <w:t>; III) piesārņojošu transportlīdzekļu ražošana, noma vai pārdošana</w:t>
      </w:r>
      <w:r>
        <w:rPr>
          <w:noProof/>
        </w:rPr>
        <w:footnoteReference w:id="87"/>
      </w:r>
      <w:r>
        <w:rPr>
          <w:noProof/>
        </w:rPr>
        <w:t>; IV) atkritumu savākšana, atkritumu apstrāde</w:t>
      </w:r>
      <w:r>
        <w:rPr>
          <w:noProof/>
        </w:rPr>
        <w:footnoteReference w:id="88"/>
      </w:r>
      <w:r>
        <w:rPr>
          <w:noProof/>
        </w:rPr>
        <w:t xml:space="preserve">un </w:t>
      </w:r>
      <w:r>
        <w:rPr>
          <w:noProof/>
        </w:rPr>
        <w:t>apglabāšana; v) kodoldegvielas pārstrāde, kodolenerģijas ražošana. Turklāt ieguldījumu politikā jāparedz atbilstība attiecīgajiem ES un valstu tiesību aktiem vides jomā.</w:t>
      </w:r>
    </w:p>
    <w:p w14:paraId="429165A3" w14:textId="4B4489C3" w:rsidR="00327FF1" w:rsidRDefault="00327FF1">
      <w:pPr>
        <w:pStyle w:val="LegalNumPar2"/>
        <w:numPr>
          <w:ilvl w:val="0"/>
          <w:numId w:val="0"/>
        </w:numPr>
        <w:spacing w:line="259" w:lineRule="auto"/>
        <w:jc w:val="both"/>
        <w:rPr>
          <w:rFonts w:ascii="Times New Roman" w:hAnsi="Times New Roman" w:cs="Times New Roman"/>
          <w:noProof/>
        </w:rPr>
        <w:sectPr w:rsidR="00327FF1" w:rsidSect="005F11B9">
          <w:headerReference w:type="even" r:id="rId204"/>
          <w:headerReference w:type="default" r:id="rId205"/>
          <w:footerReference w:type="even" r:id="rId206"/>
          <w:footerReference w:type="default" r:id="rId207"/>
          <w:headerReference w:type="first" r:id="rId208"/>
          <w:footerReference w:type="first" r:id="rId209"/>
          <w:pgSz w:w="11907" w:h="16839"/>
          <w:pgMar w:top="1440" w:right="1440" w:bottom="1440" w:left="1440" w:header="567" w:footer="567" w:gutter="0"/>
          <w:cols w:space="720"/>
          <w:docGrid w:linePitch="360"/>
        </w:sectPr>
      </w:pPr>
    </w:p>
    <w:p w14:paraId="5EF4F01C" w14:textId="77777777" w:rsidR="00327FF1" w:rsidRDefault="00E406C7">
      <w:pPr>
        <w:pStyle w:val="P68B1DB1-Heading368"/>
        <w:ind w:left="850" w:hanging="850"/>
        <w:rPr>
          <w:noProof/>
        </w:rPr>
      </w:pPr>
      <w:r>
        <w:rPr>
          <w:noProof/>
        </w:rPr>
        <w:t xml:space="preserve">K.4. </w:t>
      </w:r>
      <w:r>
        <w:rPr>
          <w:noProof/>
        </w:rPr>
        <w:tab/>
        <w:t>Atskaites punkti, mērķrādīt</w:t>
      </w:r>
      <w:r>
        <w:rPr>
          <w:noProof/>
        </w:rPr>
        <w:t xml:space="preserve">āji, citi rādītāji un aizdevuma uzraudzības un īstenošanas grafiks </w:t>
      </w:r>
    </w:p>
    <w:tbl>
      <w:tblPr>
        <w:tblW w:w="543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1"/>
        <w:gridCol w:w="1395"/>
        <w:gridCol w:w="1486"/>
        <w:gridCol w:w="1441"/>
        <w:gridCol w:w="1584"/>
        <w:gridCol w:w="1297"/>
        <w:gridCol w:w="1152"/>
        <w:gridCol w:w="1296"/>
        <w:gridCol w:w="1009"/>
        <w:gridCol w:w="861"/>
        <w:gridCol w:w="2452"/>
      </w:tblGrid>
      <w:tr w:rsidR="00327FF1" w14:paraId="3A961C41" w14:textId="77777777">
        <w:trPr>
          <w:trHeight w:val="939"/>
          <w:tblHeader/>
        </w:trPr>
        <w:tc>
          <w:tcPr>
            <w:tcW w:w="1441" w:type="dxa"/>
            <w:vMerge w:val="restart"/>
            <w:shd w:val="clear" w:color="auto" w:fill="BDD7EE"/>
            <w:vAlign w:val="center"/>
            <w:hideMark/>
          </w:tcPr>
          <w:p w14:paraId="75AC5077" w14:textId="77777777" w:rsidR="00327FF1" w:rsidRDefault="00E406C7">
            <w:pPr>
              <w:pStyle w:val="P68B1DB1-Normal10"/>
              <w:jc w:val="center"/>
              <w:rPr>
                <w:noProof/>
                <w:szCs w:val="20"/>
              </w:rPr>
            </w:pPr>
            <w:r>
              <w:rPr>
                <w:noProof/>
              </w:rPr>
              <w:t>Kārtas numurs</w:t>
            </w:r>
          </w:p>
        </w:tc>
        <w:tc>
          <w:tcPr>
            <w:tcW w:w="1395" w:type="dxa"/>
            <w:vMerge w:val="restart"/>
            <w:shd w:val="clear" w:color="auto" w:fill="BDD7EE"/>
            <w:vAlign w:val="center"/>
            <w:hideMark/>
          </w:tcPr>
          <w:p w14:paraId="6E97CD74" w14:textId="77777777" w:rsidR="00327FF1" w:rsidRDefault="00E406C7">
            <w:pPr>
              <w:pStyle w:val="P68B1DB1-Normal10"/>
              <w:jc w:val="center"/>
              <w:rPr>
                <w:noProof/>
                <w:szCs w:val="20"/>
              </w:rPr>
            </w:pPr>
            <w:r>
              <w:rPr>
                <w:noProof/>
              </w:rPr>
              <w:t>Saistītais pasākums (reforma vai ieguldījums)</w:t>
            </w:r>
          </w:p>
        </w:tc>
        <w:tc>
          <w:tcPr>
            <w:tcW w:w="1486" w:type="dxa"/>
            <w:vMerge w:val="restart"/>
            <w:shd w:val="clear" w:color="auto" w:fill="BDD7EE"/>
            <w:vAlign w:val="center"/>
            <w:hideMark/>
          </w:tcPr>
          <w:p w14:paraId="50B1CE74" w14:textId="77777777" w:rsidR="00327FF1" w:rsidRDefault="00E406C7">
            <w:pPr>
              <w:pStyle w:val="P68B1DB1-Normal10"/>
              <w:jc w:val="center"/>
              <w:rPr>
                <w:noProof/>
                <w:szCs w:val="20"/>
              </w:rPr>
            </w:pPr>
            <w:r>
              <w:rPr>
                <w:noProof/>
              </w:rPr>
              <w:t>Atskaites punkts/mērķrādītājs</w:t>
            </w:r>
          </w:p>
        </w:tc>
        <w:tc>
          <w:tcPr>
            <w:tcW w:w="1441" w:type="dxa"/>
            <w:vMerge w:val="restart"/>
            <w:shd w:val="clear" w:color="auto" w:fill="BDD7EE"/>
            <w:vAlign w:val="center"/>
            <w:hideMark/>
          </w:tcPr>
          <w:p w14:paraId="504A26F5" w14:textId="77777777" w:rsidR="00327FF1" w:rsidRDefault="00E406C7">
            <w:pPr>
              <w:pStyle w:val="P68B1DB1-Normal10"/>
              <w:jc w:val="center"/>
              <w:rPr>
                <w:noProof/>
                <w:szCs w:val="20"/>
              </w:rPr>
            </w:pPr>
            <w:r>
              <w:rPr>
                <w:noProof/>
              </w:rPr>
              <w:t>Nosaukums</w:t>
            </w:r>
          </w:p>
        </w:tc>
        <w:tc>
          <w:tcPr>
            <w:tcW w:w="1584" w:type="dxa"/>
            <w:vMerge w:val="restart"/>
            <w:shd w:val="clear" w:color="auto" w:fill="BDD7EE"/>
            <w:vAlign w:val="center"/>
            <w:hideMark/>
          </w:tcPr>
          <w:p w14:paraId="47C577A5" w14:textId="77777777"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3745" w:type="dxa"/>
            <w:gridSpan w:val="3"/>
            <w:shd w:val="clear" w:color="auto" w:fill="BDD7EE"/>
            <w:vAlign w:val="center"/>
            <w:hideMark/>
          </w:tcPr>
          <w:p w14:paraId="7D8BCB55" w14:textId="77777777" w:rsidR="00327FF1" w:rsidRDefault="00E406C7">
            <w:pPr>
              <w:jc w:val="center"/>
              <w:rPr>
                <w:rFonts w:ascii="Arial Narrow" w:hAnsi="Arial Narrow"/>
                <w:b/>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870" w:type="dxa"/>
            <w:gridSpan w:val="2"/>
            <w:shd w:val="clear" w:color="auto" w:fill="BDD7EE"/>
            <w:vAlign w:val="center"/>
            <w:hideMark/>
          </w:tcPr>
          <w:p w14:paraId="77046646" w14:textId="77777777" w:rsidR="00327FF1" w:rsidRDefault="00E406C7">
            <w:pPr>
              <w:pStyle w:val="P68B1DB1-Normal10"/>
              <w:jc w:val="center"/>
              <w:rPr>
                <w:noProof/>
                <w:szCs w:val="20"/>
              </w:rPr>
            </w:pPr>
            <w:r>
              <w:rPr>
                <w:noProof/>
              </w:rPr>
              <w:t>O</w:t>
            </w:r>
            <w:r>
              <w:rPr>
                <w:noProof/>
              </w:rPr>
              <w:t>rientējošs pabeigšanas termiņš</w:t>
            </w:r>
          </w:p>
        </w:tc>
        <w:tc>
          <w:tcPr>
            <w:tcW w:w="2452" w:type="dxa"/>
            <w:vMerge w:val="restart"/>
            <w:shd w:val="clear" w:color="auto" w:fill="BDD7EE"/>
            <w:vAlign w:val="center"/>
            <w:hideMark/>
          </w:tcPr>
          <w:p w14:paraId="7ED488EE" w14:textId="77777777" w:rsidR="00327FF1" w:rsidRDefault="00E406C7">
            <w:pPr>
              <w:pStyle w:val="P68B1DB1-Normal10"/>
              <w:jc w:val="center"/>
              <w:rPr>
                <w:noProof/>
                <w:szCs w:val="20"/>
              </w:rPr>
            </w:pPr>
            <w:r>
              <w:rPr>
                <w:noProof/>
              </w:rPr>
              <w:t>Apraksts par katru atskaites punktu un mērķrādītāju</w:t>
            </w:r>
          </w:p>
        </w:tc>
      </w:tr>
      <w:tr w:rsidR="00327FF1" w14:paraId="75BD3359" w14:textId="77777777">
        <w:trPr>
          <w:trHeight w:val="741"/>
          <w:tblHeader/>
        </w:trPr>
        <w:tc>
          <w:tcPr>
            <w:tcW w:w="1441" w:type="dxa"/>
            <w:vMerge/>
            <w:vAlign w:val="center"/>
            <w:hideMark/>
          </w:tcPr>
          <w:p w14:paraId="2BC6C4F4" w14:textId="77777777" w:rsidR="00327FF1" w:rsidRDefault="00327FF1">
            <w:pPr>
              <w:jc w:val="center"/>
              <w:rPr>
                <w:rFonts w:ascii="Arial Narrow" w:hAnsi="Arial Narrow"/>
                <w:b/>
                <w:noProof/>
                <w:sz w:val="20"/>
                <w:szCs w:val="20"/>
              </w:rPr>
            </w:pPr>
          </w:p>
        </w:tc>
        <w:tc>
          <w:tcPr>
            <w:tcW w:w="1395" w:type="dxa"/>
            <w:vMerge/>
            <w:vAlign w:val="center"/>
            <w:hideMark/>
          </w:tcPr>
          <w:p w14:paraId="037E883B" w14:textId="77777777" w:rsidR="00327FF1" w:rsidRDefault="00327FF1">
            <w:pPr>
              <w:jc w:val="center"/>
              <w:rPr>
                <w:rFonts w:ascii="Arial Narrow" w:hAnsi="Arial Narrow"/>
                <w:b/>
                <w:noProof/>
                <w:sz w:val="20"/>
                <w:szCs w:val="20"/>
              </w:rPr>
            </w:pPr>
          </w:p>
        </w:tc>
        <w:tc>
          <w:tcPr>
            <w:tcW w:w="1486" w:type="dxa"/>
            <w:vMerge/>
            <w:vAlign w:val="center"/>
            <w:hideMark/>
          </w:tcPr>
          <w:p w14:paraId="283CECC4" w14:textId="77777777" w:rsidR="00327FF1" w:rsidRDefault="00327FF1">
            <w:pPr>
              <w:jc w:val="center"/>
              <w:rPr>
                <w:rFonts w:ascii="Arial Narrow" w:hAnsi="Arial Narrow"/>
                <w:b/>
                <w:noProof/>
                <w:sz w:val="20"/>
                <w:szCs w:val="20"/>
              </w:rPr>
            </w:pPr>
          </w:p>
        </w:tc>
        <w:tc>
          <w:tcPr>
            <w:tcW w:w="1441" w:type="dxa"/>
            <w:vMerge/>
            <w:vAlign w:val="center"/>
            <w:hideMark/>
          </w:tcPr>
          <w:p w14:paraId="4453F0EC" w14:textId="77777777" w:rsidR="00327FF1" w:rsidRDefault="00327FF1">
            <w:pPr>
              <w:jc w:val="center"/>
              <w:rPr>
                <w:rFonts w:ascii="Arial Narrow" w:hAnsi="Arial Narrow"/>
                <w:b/>
                <w:noProof/>
                <w:sz w:val="20"/>
                <w:szCs w:val="20"/>
              </w:rPr>
            </w:pPr>
          </w:p>
        </w:tc>
        <w:tc>
          <w:tcPr>
            <w:tcW w:w="1584" w:type="dxa"/>
            <w:vMerge/>
            <w:vAlign w:val="center"/>
            <w:hideMark/>
          </w:tcPr>
          <w:p w14:paraId="634E5FC7" w14:textId="77777777" w:rsidR="00327FF1" w:rsidRDefault="00327FF1">
            <w:pPr>
              <w:jc w:val="center"/>
              <w:rPr>
                <w:rFonts w:ascii="Arial Narrow" w:hAnsi="Arial Narrow"/>
                <w:b/>
                <w:noProof/>
                <w:sz w:val="20"/>
                <w:szCs w:val="20"/>
              </w:rPr>
            </w:pPr>
          </w:p>
        </w:tc>
        <w:tc>
          <w:tcPr>
            <w:tcW w:w="1297" w:type="dxa"/>
            <w:shd w:val="clear" w:color="auto" w:fill="BDD7EE"/>
            <w:vAlign w:val="center"/>
            <w:hideMark/>
          </w:tcPr>
          <w:p w14:paraId="50BD5186" w14:textId="77777777" w:rsidR="00327FF1" w:rsidRDefault="00E406C7">
            <w:pPr>
              <w:pStyle w:val="P68B1DB1-Normal10"/>
              <w:jc w:val="center"/>
              <w:rPr>
                <w:noProof/>
                <w:szCs w:val="20"/>
              </w:rPr>
            </w:pPr>
            <w:r>
              <w:rPr>
                <w:noProof/>
              </w:rPr>
              <w:t>Mēra vienība</w:t>
            </w:r>
          </w:p>
        </w:tc>
        <w:tc>
          <w:tcPr>
            <w:tcW w:w="1152" w:type="dxa"/>
            <w:shd w:val="clear" w:color="auto" w:fill="BDD7EE"/>
            <w:vAlign w:val="center"/>
            <w:hideMark/>
          </w:tcPr>
          <w:p w14:paraId="09ED61AB" w14:textId="77777777" w:rsidR="00327FF1" w:rsidRDefault="00E406C7">
            <w:pPr>
              <w:pStyle w:val="P68B1DB1-Normal10"/>
              <w:jc w:val="center"/>
              <w:rPr>
                <w:noProof/>
                <w:szCs w:val="20"/>
              </w:rPr>
            </w:pPr>
            <w:r>
              <w:rPr>
                <w:noProof/>
              </w:rPr>
              <w:t>Pamatscenārijs</w:t>
            </w:r>
          </w:p>
        </w:tc>
        <w:tc>
          <w:tcPr>
            <w:tcW w:w="1296" w:type="dxa"/>
            <w:shd w:val="clear" w:color="auto" w:fill="BDD7EE"/>
            <w:vAlign w:val="center"/>
            <w:hideMark/>
          </w:tcPr>
          <w:p w14:paraId="72C88461" w14:textId="77777777" w:rsidR="00327FF1" w:rsidRDefault="00E406C7">
            <w:pPr>
              <w:pStyle w:val="P68B1DB1-Normal10"/>
              <w:jc w:val="center"/>
              <w:rPr>
                <w:noProof/>
                <w:szCs w:val="20"/>
              </w:rPr>
            </w:pPr>
            <w:r>
              <w:rPr>
                <w:noProof/>
              </w:rPr>
              <w:t>Mērķis</w:t>
            </w:r>
          </w:p>
        </w:tc>
        <w:tc>
          <w:tcPr>
            <w:tcW w:w="1009" w:type="dxa"/>
            <w:shd w:val="clear" w:color="auto" w:fill="BDD7EE"/>
            <w:vAlign w:val="center"/>
            <w:hideMark/>
          </w:tcPr>
          <w:p w14:paraId="118B8456" w14:textId="77777777" w:rsidR="00327FF1" w:rsidRDefault="00E406C7">
            <w:pPr>
              <w:pStyle w:val="P68B1DB1-Normal10"/>
              <w:jc w:val="center"/>
              <w:rPr>
                <w:noProof/>
                <w:szCs w:val="20"/>
              </w:rPr>
            </w:pPr>
            <w:r>
              <w:rPr>
                <w:noProof/>
              </w:rPr>
              <w:t>Ceturkšņa laikā</w:t>
            </w:r>
          </w:p>
        </w:tc>
        <w:tc>
          <w:tcPr>
            <w:tcW w:w="861" w:type="dxa"/>
            <w:shd w:val="clear" w:color="auto" w:fill="BDD7EE"/>
            <w:vAlign w:val="center"/>
            <w:hideMark/>
          </w:tcPr>
          <w:p w14:paraId="30609DE7" w14:textId="77777777" w:rsidR="00327FF1" w:rsidRDefault="00E406C7">
            <w:pPr>
              <w:pStyle w:val="P68B1DB1-Normal10"/>
              <w:jc w:val="center"/>
              <w:rPr>
                <w:noProof/>
                <w:szCs w:val="20"/>
              </w:rPr>
            </w:pPr>
            <w:r>
              <w:rPr>
                <w:noProof/>
              </w:rPr>
              <w:t>Gadu</w:t>
            </w:r>
          </w:p>
        </w:tc>
        <w:tc>
          <w:tcPr>
            <w:tcW w:w="2452" w:type="dxa"/>
            <w:vMerge/>
            <w:vAlign w:val="center"/>
            <w:hideMark/>
          </w:tcPr>
          <w:p w14:paraId="05966569" w14:textId="77777777" w:rsidR="00327FF1" w:rsidRDefault="00327FF1">
            <w:pPr>
              <w:rPr>
                <w:rFonts w:ascii="Arial Narrow" w:hAnsi="Arial Narrow"/>
                <w:b/>
                <w:noProof/>
                <w:sz w:val="20"/>
                <w:szCs w:val="20"/>
              </w:rPr>
            </w:pPr>
          </w:p>
        </w:tc>
      </w:tr>
      <w:tr w:rsidR="00327FF1" w14:paraId="162B57E2" w14:textId="77777777">
        <w:trPr>
          <w:trHeight w:val="1740"/>
        </w:trPr>
        <w:tc>
          <w:tcPr>
            <w:tcW w:w="1441" w:type="dxa"/>
            <w:shd w:val="clear" w:color="auto" w:fill="C6EFCE"/>
            <w:noWrap/>
            <w:vAlign w:val="center"/>
            <w:hideMark/>
          </w:tcPr>
          <w:p w14:paraId="7667E519" w14:textId="77777777" w:rsidR="00327FF1" w:rsidRDefault="00E406C7">
            <w:pPr>
              <w:pStyle w:val="P68B1DB1-Normal11"/>
              <w:jc w:val="center"/>
              <w:rPr>
                <w:noProof/>
                <w:szCs w:val="20"/>
              </w:rPr>
            </w:pPr>
            <w:r>
              <w:rPr>
                <w:noProof/>
              </w:rPr>
              <w:t>M4C2–5</w:t>
            </w:r>
          </w:p>
          <w:p w14:paraId="0ACCF562" w14:textId="77777777" w:rsidR="00327FF1" w:rsidRDefault="00327FF1">
            <w:pPr>
              <w:jc w:val="center"/>
              <w:rPr>
                <w:rFonts w:ascii="Arial Narrow" w:hAnsi="Arial Narrow"/>
                <w:noProof/>
                <w:color w:val="006100"/>
                <w:sz w:val="20"/>
                <w:szCs w:val="20"/>
              </w:rPr>
            </w:pPr>
          </w:p>
        </w:tc>
        <w:tc>
          <w:tcPr>
            <w:tcW w:w="1395" w:type="dxa"/>
            <w:shd w:val="clear" w:color="auto" w:fill="C6EFCE"/>
            <w:noWrap/>
            <w:vAlign w:val="center"/>
          </w:tcPr>
          <w:p w14:paraId="73EE6978" w14:textId="77777777" w:rsidR="00327FF1" w:rsidRDefault="00E406C7">
            <w:pPr>
              <w:pStyle w:val="P68B1DB1-Normal11"/>
              <w:jc w:val="center"/>
              <w:rPr>
                <w:noProof/>
                <w:szCs w:val="20"/>
              </w:rPr>
            </w:pPr>
            <w:r>
              <w:rPr>
                <w:noProof/>
              </w:rPr>
              <w:t>Investīcija 1.1: Valsts nozīmes pētniecības projekti (PRIN)</w:t>
            </w:r>
          </w:p>
        </w:tc>
        <w:tc>
          <w:tcPr>
            <w:tcW w:w="1486" w:type="dxa"/>
            <w:shd w:val="clear" w:color="auto" w:fill="C6EFCE"/>
            <w:noWrap/>
            <w:vAlign w:val="center"/>
            <w:hideMark/>
          </w:tcPr>
          <w:p w14:paraId="1C511BA1" w14:textId="77777777" w:rsidR="00327FF1" w:rsidRDefault="00E406C7">
            <w:pPr>
              <w:pStyle w:val="P68B1DB1-Normal11"/>
              <w:jc w:val="center"/>
              <w:rPr>
                <w:noProof/>
                <w:szCs w:val="20"/>
              </w:rPr>
            </w:pPr>
            <w:r>
              <w:rPr>
                <w:noProof/>
              </w:rPr>
              <w:t>Mērķa</w:t>
            </w:r>
          </w:p>
        </w:tc>
        <w:tc>
          <w:tcPr>
            <w:tcW w:w="1441" w:type="dxa"/>
            <w:shd w:val="clear" w:color="auto" w:fill="C6EFCE"/>
            <w:noWrap/>
            <w:vAlign w:val="center"/>
          </w:tcPr>
          <w:p w14:paraId="6E9DACDA" w14:textId="77777777" w:rsidR="00327FF1" w:rsidRDefault="00E406C7">
            <w:pPr>
              <w:pStyle w:val="P68B1DB1-Normal11"/>
              <w:jc w:val="center"/>
              <w:rPr>
                <w:noProof/>
                <w:szCs w:val="20"/>
              </w:rPr>
            </w:pPr>
            <w:r>
              <w:rPr>
                <w:noProof/>
              </w:rPr>
              <w:t xml:space="preserve">Piešķirto pētniecības projektu </w:t>
            </w:r>
            <w:r>
              <w:rPr>
                <w:noProof/>
              </w:rPr>
              <w:t>skaits</w:t>
            </w:r>
          </w:p>
        </w:tc>
        <w:tc>
          <w:tcPr>
            <w:tcW w:w="1584" w:type="dxa"/>
            <w:shd w:val="clear" w:color="auto" w:fill="C6EFCE"/>
            <w:noWrap/>
            <w:vAlign w:val="center"/>
            <w:hideMark/>
          </w:tcPr>
          <w:p w14:paraId="31FD1E55" w14:textId="77777777" w:rsidR="00327FF1" w:rsidRDefault="00E406C7">
            <w:pPr>
              <w:pStyle w:val="P68B1DB1-Normal11"/>
              <w:jc w:val="center"/>
              <w:rPr>
                <w:noProof/>
                <w:szCs w:val="20"/>
              </w:rPr>
            </w:pPr>
            <w:r>
              <w:rPr>
                <w:noProof/>
              </w:rPr>
              <w:t>NEPIEMĒRO</w:t>
            </w:r>
          </w:p>
        </w:tc>
        <w:tc>
          <w:tcPr>
            <w:tcW w:w="1297" w:type="dxa"/>
            <w:shd w:val="clear" w:color="auto" w:fill="C6EFCE"/>
            <w:noWrap/>
            <w:vAlign w:val="center"/>
            <w:hideMark/>
          </w:tcPr>
          <w:p w14:paraId="56817586" w14:textId="77777777" w:rsidR="00327FF1" w:rsidRDefault="00E406C7">
            <w:pPr>
              <w:pStyle w:val="P68B1DB1-Normal11"/>
              <w:jc w:val="center"/>
              <w:rPr>
                <w:noProof/>
                <w:szCs w:val="20"/>
              </w:rPr>
            </w:pPr>
            <w:r>
              <w:rPr>
                <w:noProof/>
              </w:rPr>
              <w:t>Skaits</w:t>
            </w:r>
          </w:p>
        </w:tc>
        <w:tc>
          <w:tcPr>
            <w:tcW w:w="1152" w:type="dxa"/>
            <w:shd w:val="clear" w:color="auto" w:fill="C6EFCE"/>
            <w:noWrap/>
            <w:vAlign w:val="center"/>
          </w:tcPr>
          <w:p w14:paraId="3F867CEE" w14:textId="77777777" w:rsidR="00327FF1" w:rsidRDefault="00E406C7">
            <w:pPr>
              <w:pStyle w:val="P68B1DB1-Normal11"/>
              <w:jc w:val="center"/>
              <w:rPr>
                <w:noProof/>
                <w:szCs w:val="20"/>
              </w:rPr>
            </w:pPr>
            <w:r>
              <w:rPr>
                <w:noProof/>
              </w:rPr>
              <w:t>0</w:t>
            </w:r>
          </w:p>
        </w:tc>
        <w:tc>
          <w:tcPr>
            <w:tcW w:w="1296" w:type="dxa"/>
            <w:shd w:val="clear" w:color="auto" w:fill="C6EFCE"/>
            <w:noWrap/>
            <w:vAlign w:val="center"/>
          </w:tcPr>
          <w:p w14:paraId="25739BD7"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3</w:t>
            </w:r>
            <w:r>
              <w:rPr>
                <w:noProof/>
                <w:sz w:val="23"/>
                <w:szCs w:val="23"/>
              </w:rPr>
              <w:t xml:space="preserve"> </w:t>
            </w:r>
            <w:r>
              <w:rPr>
                <w:rFonts w:ascii="Arial Narrow" w:hAnsi="Arial Narrow"/>
                <w:noProof/>
                <w:color w:val="006100"/>
                <w:sz w:val="20"/>
              </w:rPr>
              <w:t>150</w:t>
            </w:r>
          </w:p>
        </w:tc>
        <w:tc>
          <w:tcPr>
            <w:tcW w:w="1009" w:type="dxa"/>
            <w:shd w:val="clear" w:color="auto" w:fill="C6EFCE"/>
            <w:noWrap/>
            <w:vAlign w:val="center"/>
            <w:hideMark/>
          </w:tcPr>
          <w:p w14:paraId="5F2E57BA" w14:textId="77777777" w:rsidR="00327FF1" w:rsidRDefault="00E406C7">
            <w:pPr>
              <w:pStyle w:val="P68B1DB1-Normal11"/>
              <w:jc w:val="center"/>
              <w:rPr>
                <w:noProof/>
                <w:szCs w:val="20"/>
              </w:rPr>
            </w:pPr>
            <w:r>
              <w:rPr>
                <w:noProof/>
              </w:rPr>
              <w:t>4. CET.</w:t>
            </w:r>
          </w:p>
        </w:tc>
        <w:tc>
          <w:tcPr>
            <w:tcW w:w="861" w:type="dxa"/>
            <w:shd w:val="clear" w:color="auto" w:fill="C6EFCE"/>
            <w:noWrap/>
            <w:vAlign w:val="center"/>
            <w:hideMark/>
          </w:tcPr>
          <w:p w14:paraId="0FE8657F" w14:textId="77777777" w:rsidR="00327FF1" w:rsidRDefault="00E406C7">
            <w:pPr>
              <w:pStyle w:val="P68B1DB1-Normal11"/>
              <w:jc w:val="center"/>
              <w:rPr>
                <w:noProof/>
                <w:szCs w:val="20"/>
              </w:rPr>
            </w:pPr>
            <w:r>
              <w:rPr>
                <w:noProof/>
              </w:rPr>
              <w:t>2023</w:t>
            </w:r>
          </w:p>
        </w:tc>
        <w:tc>
          <w:tcPr>
            <w:tcW w:w="2452" w:type="dxa"/>
            <w:shd w:val="clear" w:color="auto" w:fill="C6EFCE"/>
            <w:noWrap/>
            <w:vAlign w:val="center"/>
            <w:hideMark/>
          </w:tcPr>
          <w:p w14:paraId="618A7454" w14:textId="77777777" w:rsidR="00327FF1" w:rsidRDefault="00E406C7">
            <w:pPr>
              <w:rPr>
                <w:rFonts w:ascii="Arial Narrow" w:hAnsi="Arial Narrow"/>
                <w:noProof/>
                <w:color w:val="006100"/>
                <w:sz w:val="20"/>
                <w:szCs w:val="20"/>
              </w:rPr>
            </w:pPr>
            <w:r>
              <w:rPr>
                <w:rFonts w:ascii="Arial Narrow" w:hAnsi="Arial Narrow"/>
                <w:noProof/>
                <w:color w:val="006100"/>
                <w:sz w:val="20"/>
              </w:rPr>
              <w:t xml:space="preserve">Vismaz 3150 </w:t>
            </w:r>
            <w:r>
              <w:rPr>
                <w:rFonts w:ascii="Arial Narrow" w:hAnsi="Arial Narrow"/>
                <w:i/>
                <w:noProof/>
                <w:color w:val="006100"/>
                <w:sz w:val="20"/>
              </w:rPr>
              <w:t>Progetti di Ricerca di Interesse Nazionale</w:t>
            </w:r>
            <w:r>
              <w:rPr>
                <w:rFonts w:ascii="Arial Narrow" w:hAnsi="Arial Narrow"/>
                <w:noProof/>
                <w:color w:val="006100"/>
                <w:sz w:val="20"/>
              </w:rPr>
              <w:t xml:space="preserve"> pētniecības projektu piešķiršana.</w:t>
            </w:r>
          </w:p>
          <w:p w14:paraId="179DA764" w14:textId="77777777" w:rsidR="00327FF1" w:rsidRDefault="00E406C7">
            <w:pPr>
              <w:pStyle w:val="P68B1DB1-Normal12"/>
              <w:rPr>
                <w:noProof/>
              </w:rPr>
            </w:pPr>
            <w:r>
              <w:rPr>
                <w:noProof/>
              </w:rPr>
              <w:t>Līgumu slēgšanas tiesības projektiem, kas atlasīti konkursa uzaicinājumos iesniegt priekšlikumus, piešķir saskaņā ar Tehni</w:t>
            </w:r>
            <w:r>
              <w:rPr>
                <w:noProof/>
              </w:rPr>
              <w:t>skajiem norādījumiem “nenodari būtisku kaitējumu” (2021/C58/01), izmantojot izslēgšanas sarakstu un prasību par atbilstību attiecīgajiem ES un valsts tiesību aktiem vides jomā.</w:t>
            </w:r>
          </w:p>
        </w:tc>
      </w:tr>
      <w:tr w:rsidR="00327FF1" w14:paraId="68B079C8" w14:textId="77777777">
        <w:trPr>
          <w:trHeight w:val="313"/>
        </w:trPr>
        <w:tc>
          <w:tcPr>
            <w:tcW w:w="1441" w:type="dxa"/>
            <w:shd w:val="clear" w:color="auto" w:fill="C6EFCE"/>
            <w:noWrap/>
            <w:vAlign w:val="center"/>
            <w:hideMark/>
          </w:tcPr>
          <w:p w14:paraId="17D7478E" w14:textId="77777777" w:rsidR="00327FF1" w:rsidRDefault="00E406C7">
            <w:pPr>
              <w:pStyle w:val="P68B1DB1-Normal12"/>
              <w:jc w:val="center"/>
              <w:rPr>
                <w:noProof/>
              </w:rPr>
            </w:pPr>
            <w:r>
              <w:rPr>
                <w:noProof/>
              </w:rPr>
              <w:t>M4C2–6</w:t>
            </w:r>
          </w:p>
        </w:tc>
        <w:tc>
          <w:tcPr>
            <w:tcW w:w="1395" w:type="dxa"/>
            <w:shd w:val="clear" w:color="auto" w:fill="C6EFCE"/>
            <w:noWrap/>
            <w:vAlign w:val="center"/>
          </w:tcPr>
          <w:p w14:paraId="38E0CCE2" w14:textId="77777777" w:rsidR="00327FF1" w:rsidRDefault="00E406C7">
            <w:pPr>
              <w:pStyle w:val="P68B1DB1-Normal11"/>
              <w:jc w:val="center"/>
              <w:rPr>
                <w:noProof/>
                <w:szCs w:val="20"/>
              </w:rPr>
            </w:pPr>
            <w:r>
              <w:rPr>
                <w:noProof/>
              </w:rPr>
              <w:t>Investīcija 1.1: Valsts nozīmes pētniecības projekti (PRIN)</w:t>
            </w:r>
          </w:p>
        </w:tc>
        <w:tc>
          <w:tcPr>
            <w:tcW w:w="1486" w:type="dxa"/>
            <w:shd w:val="clear" w:color="auto" w:fill="C6EFCE"/>
            <w:noWrap/>
            <w:vAlign w:val="center"/>
            <w:hideMark/>
          </w:tcPr>
          <w:p w14:paraId="2320B9B8" w14:textId="1C35D0AE" w:rsidR="00327FF1" w:rsidRDefault="00E406C7">
            <w:pPr>
              <w:pStyle w:val="P68B1DB1-Normal12"/>
              <w:jc w:val="center"/>
              <w:rPr>
                <w:noProof/>
              </w:rPr>
            </w:pPr>
            <w:r>
              <w:rPr>
                <w:noProof/>
              </w:rPr>
              <w:t xml:space="preserve">Atskaites </w:t>
            </w:r>
            <w:r>
              <w:rPr>
                <w:noProof/>
              </w:rPr>
              <w:t>punkts</w:t>
            </w:r>
          </w:p>
        </w:tc>
        <w:tc>
          <w:tcPr>
            <w:tcW w:w="1441" w:type="dxa"/>
            <w:shd w:val="clear" w:color="auto" w:fill="C6EFCE"/>
            <w:noWrap/>
            <w:vAlign w:val="center"/>
          </w:tcPr>
          <w:p w14:paraId="3981837D" w14:textId="77777777" w:rsidR="00327FF1" w:rsidRDefault="00E406C7">
            <w:pPr>
              <w:pStyle w:val="P68B1DB1-Normal12"/>
              <w:jc w:val="center"/>
              <w:rPr>
                <w:noProof/>
              </w:rPr>
            </w:pPr>
            <w:r>
              <w:rPr>
                <w:noProof/>
              </w:rPr>
              <w:t xml:space="preserve">Dekrēta(-u) par projektu piešķiršanu publicēšana </w:t>
            </w:r>
          </w:p>
        </w:tc>
        <w:tc>
          <w:tcPr>
            <w:tcW w:w="1584" w:type="dxa"/>
            <w:shd w:val="clear" w:color="auto" w:fill="C6EFCE"/>
            <w:noWrap/>
            <w:vAlign w:val="center"/>
            <w:hideMark/>
          </w:tcPr>
          <w:p w14:paraId="389E1C5D" w14:textId="579361C6" w:rsidR="00327FF1" w:rsidRDefault="00E406C7">
            <w:pPr>
              <w:pStyle w:val="P68B1DB1-Normal12"/>
              <w:jc w:val="center"/>
              <w:rPr>
                <w:noProof/>
              </w:rPr>
            </w:pPr>
            <w:r>
              <w:rPr>
                <w:noProof/>
              </w:rPr>
              <w:t>Dekrēta(-u) publicēšana</w:t>
            </w:r>
          </w:p>
        </w:tc>
        <w:tc>
          <w:tcPr>
            <w:tcW w:w="1297" w:type="dxa"/>
            <w:shd w:val="clear" w:color="auto" w:fill="C6EFCE"/>
            <w:noWrap/>
            <w:vAlign w:val="center"/>
            <w:hideMark/>
          </w:tcPr>
          <w:p w14:paraId="24B30057" w14:textId="77777777" w:rsidR="00327FF1" w:rsidRDefault="00E406C7">
            <w:pPr>
              <w:pStyle w:val="P68B1DB1-Normal12"/>
              <w:jc w:val="center"/>
              <w:rPr>
                <w:noProof/>
              </w:rPr>
            </w:pPr>
            <w:r>
              <w:rPr>
                <w:noProof/>
              </w:rPr>
              <w:t>NEPIEMĒRO</w:t>
            </w:r>
          </w:p>
        </w:tc>
        <w:tc>
          <w:tcPr>
            <w:tcW w:w="1152" w:type="dxa"/>
            <w:shd w:val="clear" w:color="auto" w:fill="C6EFCE"/>
            <w:noWrap/>
            <w:vAlign w:val="center"/>
          </w:tcPr>
          <w:p w14:paraId="0220DA4F" w14:textId="77777777" w:rsidR="00327FF1" w:rsidRDefault="00E406C7">
            <w:pPr>
              <w:pStyle w:val="P68B1DB1-Normal12"/>
              <w:jc w:val="center"/>
              <w:rPr>
                <w:noProof/>
              </w:rPr>
            </w:pPr>
            <w:r>
              <w:rPr>
                <w:noProof/>
              </w:rPr>
              <w:t>NEPIEMĒRO</w:t>
            </w:r>
          </w:p>
        </w:tc>
        <w:tc>
          <w:tcPr>
            <w:tcW w:w="1296" w:type="dxa"/>
            <w:shd w:val="clear" w:color="auto" w:fill="C6EFCE"/>
            <w:noWrap/>
            <w:vAlign w:val="center"/>
          </w:tcPr>
          <w:p w14:paraId="4163ADDD" w14:textId="77777777" w:rsidR="00327FF1" w:rsidRDefault="00E406C7">
            <w:pPr>
              <w:pStyle w:val="P68B1DB1-Normal12"/>
              <w:jc w:val="center"/>
              <w:rPr>
                <w:noProof/>
              </w:rPr>
            </w:pPr>
            <w:r>
              <w:rPr>
                <w:noProof/>
              </w:rPr>
              <w:t>NEPIEMĒRO</w:t>
            </w:r>
          </w:p>
        </w:tc>
        <w:tc>
          <w:tcPr>
            <w:tcW w:w="1009" w:type="dxa"/>
            <w:shd w:val="clear" w:color="auto" w:fill="C6EFCE"/>
            <w:noWrap/>
            <w:vAlign w:val="center"/>
            <w:hideMark/>
          </w:tcPr>
          <w:p w14:paraId="2811D4BA"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hideMark/>
          </w:tcPr>
          <w:p w14:paraId="4F1A9B17" w14:textId="77777777" w:rsidR="00327FF1" w:rsidRDefault="00E406C7">
            <w:pPr>
              <w:pStyle w:val="P68B1DB1-Normal11"/>
              <w:jc w:val="center"/>
              <w:rPr>
                <w:noProof/>
                <w:szCs w:val="20"/>
              </w:rPr>
            </w:pPr>
            <w:r>
              <w:rPr>
                <w:noProof/>
              </w:rPr>
              <w:t>2025</w:t>
            </w:r>
          </w:p>
        </w:tc>
        <w:tc>
          <w:tcPr>
            <w:tcW w:w="2452" w:type="dxa"/>
            <w:shd w:val="clear" w:color="auto" w:fill="C6EFCE"/>
            <w:noWrap/>
            <w:vAlign w:val="center"/>
            <w:hideMark/>
          </w:tcPr>
          <w:p w14:paraId="4ABCB20C" w14:textId="77777777" w:rsidR="00327FF1" w:rsidRDefault="00E406C7">
            <w:pPr>
              <w:rPr>
                <w:rFonts w:ascii="Arial Narrow" w:hAnsi="Arial Narrow"/>
                <w:noProof/>
                <w:color w:val="006100"/>
                <w:sz w:val="20"/>
                <w:szCs w:val="20"/>
              </w:rPr>
            </w:pPr>
            <w:r>
              <w:rPr>
                <w:rFonts w:ascii="Arial Narrow" w:hAnsi="Arial Narrow"/>
                <w:noProof/>
                <w:color w:val="006100"/>
                <w:sz w:val="20"/>
                <w:szCs w:val="20"/>
              </w:rPr>
              <w:t>Publicēts(-i) dekrēts(-i), ar ko piešķir vismaz 5350</w:t>
            </w:r>
            <w:r>
              <w:rPr>
                <w:noProof/>
                <w:sz w:val="23"/>
                <w:szCs w:val="23"/>
              </w:rPr>
              <w:t xml:space="preserve"> </w:t>
            </w:r>
            <w:r>
              <w:rPr>
                <w:rFonts w:ascii="Arial Narrow" w:hAnsi="Arial Narrow"/>
                <w:noProof/>
                <w:color w:val="006100"/>
                <w:sz w:val="20"/>
                <w:szCs w:val="20"/>
              </w:rPr>
              <w:t>valsts nozīmes pētniecības projektu (Progetti di Ricerca di Interesse Nazionale</w:t>
            </w:r>
            <w:r>
              <w:rPr>
                <w:rFonts w:ascii="Arial Narrow" w:hAnsi="Arial Narrow"/>
                <w:noProof/>
                <w:color w:val="006100"/>
                <w:sz w:val="20"/>
                <w:szCs w:val="20"/>
              </w:rPr>
              <w:t>).</w:t>
            </w:r>
          </w:p>
          <w:p w14:paraId="44075764" w14:textId="77777777" w:rsidR="00327FF1" w:rsidRDefault="00E406C7">
            <w:pPr>
              <w:pStyle w:val="P68B1DB1-Normal12"/>
              <w:rPr>
                <w:noProof/>
              </w:rPr>
            </w:pPr>
            <w:r>
              <w:rPr>
                <w:noProof/>
              </w:rPr>
              <w:t>Uzaicinājumos iesniegt projektus norāda, ka projekta ilgums ir vismaz divi gadi, un tam nepieciešama universitāšu pētniecības vienību un pētniecības struktūru sadarbība.</w:t>
            </w:r>
          </w:p>
        </w:tc>
      </w:tr>
      <w:tr w:rsidR="00327FF1" w14:paraId="717DE753" w14:textId="77777777">
        <w:trPr>
          <w:trHeight w:val="313"/>
        </w:trPr>
        <w:tc>
          <w:tcPr>
            <w:tcW w:w="1441" w:type="dxa"/>
            <w:shd w:val="clear" w:color="auto" w:fill="C6EFCE"/>
            <w:noWrap/>
            <w:vAlign w:val="center"/>
            <w:hideMark/>
          </w:tcPr>
          <w:p w14:paraId="553CE16B" w14:textId="77777777" w:rsidR="00327FF1" w:rsidRDefault="00E406C7">
            <w:pPr>
              <w:pStyle w:val="P68B1DB1-Normal12"/>
              <w:jc w:val="center"/>
              <w:rPr>
                <w:noProof/>
              </w:rPr>
            </w:pPr>
            <w:r>
              <w:rPr>
                <w:noProof/>
              </w:rPr>
              <w:t>M4C2–7</w:t>
            </w:r>
          </w:p>
        </w:tc>
        <w:tc>
          <w:tcPr>
            <w:tcW w:w="1395" w:type="dxa"/>
            <w:shd w:val="clear" w:color="auto" w:fill="C6EFCE"/>
            <w:noWrap/>
            <w:vAlign w:val="center"/>
            <w:hideMark/>
          </w:tcPr>
          <w:p w14:paraId="1BA0B810" w14:textId="77777777" w:rsidR="00327FF1" w:rsidRDefault="00E406C7">
            <w:pPr>
              <w:pStyle w:val="P68B1DB1-Normal12"/>
              <w:jc w:val="center"/>
              <w:rPr>
                <w:noProof/>
              </w:rPr>
            </w:pPr>
            <w:r>
              <w:rPr>
                <w:noProof/>
              </w:rPr>
              <w:t>Investīcija 1.1: Valsts nozīmes pētniecības projekti (PRIN)</w:t>
            </w:r>
          </w:p>
        </w:tc>
        <w:tc>
          <w:tcPr>
            <w:tcW w:w="1486" w:type="dxa"/>
            <w:shd w:val="clear" w:color="auto" w:fill="C6EFCE"/>
            <w:noWrap/>
            <w:vAlign w:val="center"/>
            <w:hideMark/>
          </w:tcPr>
          <w:p w14:paraId="7FC210C1" w14:textId="77777777" w:rsidR="00327FF1" w:rsidRDefault="00E406C7">
            <w:pPr>
              <w:pStyle w:val="P68B1DB1-Normal12"/>
              <w:jc w:val="center"/>
              <w:rPr>
                <w:noProof/>
              </w:rPr>
            </w:pPr>
            <w:r>
              <w:rPr>
                <w:noProof/>
              </w:rPr>
              <w:t>Mērķa</w:t>
            </w:r>
          </w:p>
        </w:tc>
        <w:tc>
          <w:tcPr>
            <w:tcW w:w="1441" w:type="dxa"/>
            <w:shd w:val="clear" w:color="auto" w:fill="C6EFCE"/>
            <w:noWrap/>
            <w:vAlign w:val="center"/>
            <w:hideMark/>
          </w:tcPr>
          <w:p w14:paraId="5309BF3D" w14:textId="4C1ADC78" w:rsidR="00327FF1" w:rsidRDefault="00E406C7">
            <w:pPr>
              <w:pStyle w:val="P68B1DB1-Normal12"/>
              <w:jc w:val="center"/>
              <w:rPr>
                <w:noProof/>
              </w:rPr>
            </w:pPr>
            <w:r>
              <w:rPr>
                <w:noProof/>
              </w:rPr>
              <w:t xml:space="preserve">Darbā </w:t>
            </w:r>
            <w:r>
              <w:rPr>
                <w:noProof/>
              </w:rPr>
              <w:t>pieņemto pētnieku skaits uz noteiktu laiku</w:t>
            </w:r>
          </w:p>
        </w:tc>
        <w:tc>
          <w:tcPr>
            <w:tcW w:w="1584" w:type="dxa"/>
            <w:shd w:val="clear" w:color="auto" w:fill="C6EFCE"/>
            <w:noWrap/>
            <w:vAlign w:val="center"/>
            <w:hideMark/>
          </w:tcPr>
          <w:p w14:paraId="37FA5C34" w14:textId="77777777" w:rsidR="00327FF1" w:rsidRDefault="00E406C7">
            <w:pPr>
              <w:pStyle w:val="P68B1DB1-Normal12"/>
              <w:jc w:val="center"/>
              <w:rPr>
                <w:noProof/>
              </w:rPr>
            </w:pPr>
            <w:r>
              <w:rPr>
                <w:noProof/>
              </w:rPr>
              <w:t>NEPIEMĒRO</w:t>
            </w:r>
          </w:p>
        </w:tc>
        <w:tc>
          <w:tcPr>
            <w:tcW w:w="1297" w:type="dxa"/>
            <w:shd w:val="clear" w:color="auto" w:fill="C6EFCE"/>
            <w:noWrap/>
            <w:vAlign w:val="center"/>
            <w:hideMark/>
          </w:tcPr>
          <w:p w14:paraId="1AB016F4" w14:textId="77777777" w:rsidR="00327FF1" w:rsidRDefault="00E406C7">
            <w:pPr>
              <w:pStyle w:val="P68B1DB1-Normal12"/>
              <w:jc w:val="center"/>
              <w:rPr>
                <w:noProof/>
              </w:rPr>
            </w:pPr>
            <w:r>
              <w:rPr>
                <w:noProof/>
              </w:rPr>
              <w:t>Skaits</w:t>
            </w:r>
          </w:p>
        </w:tc>
        <w:tc>
          <w:tcPr>
            <w:tcW w:w="1152" w:type="dxa"/>
            <w:shd w:val="clear" w:color="auto" w:fill="C6EFCE"/>
            <w:noWrap/>
            <w:vAlign w:val="center"/>
            <w:hideMark/>
          </w:tcPr>
          <w:p w14:paraId="706D3CDE" w14:textId="77777777" w:rsidR="00327FF1" w:rsidRDefault="00E406C7">
            <w:pPr>
              <w:pStyle w:val="P68B1DB1-Normal12"/>
              <w:jc w:val="center"/>
              <w:rPr>
                <w:noProof/>
              </w:rPr>
            </w:pPr>
            <w:r>
              <w:rPr>
                <w:noProof/>
              </w:rPr>
              <w:t>0</w:t>
            </w:r>
          </w:p>
        </w:tc>
        <w:tc>
          <w:tcPr>
            <w:tcW w:w="1296" w:type="dxa"/>
            <w:shd w:val="clear" w:color="auto" w:fill="C6EFCE"/>
            <w:noWrap/>
            <w:vAlign w:val="center"/>
            <w:hideMark/>
          </w:tcPr>
          <w:p w14:paraId="29C513A0" w14:textId="77777777" w:rsidR="00327FF1" w:rsidRDefault="00E406C7">
            <w:pPr>
              <w:pStyle w:val="P68B1DB1-Normal12"/>
              <w:jc w:val="center"/>
              <w:rPr>
                <w:noProof/>
              </w:rPr>
            </w:pPr>
            <w:r>
              <w:rPr>
                <w:noProof/>
              </w:rPr>
              <w:t>900</w:t>
            </w:r>
          </w:p>
        </w:tc>
        <w:tc>
          <w:tcPr>
            <w:tcW w:w="1009" w:type="dxa"/>
            <w:shd w:val="clear" w:color="auto" w:fill="C6EFCE"/>
            <w:noWrap/>
            <w:vAlign w:val="center"/>
            <w:hideMark/>
          </w:tcPr>
          <w:p w14:paraId="088EA816" w14:textId="77777777" w:rsidR="00327FF1" w:rsidRDefault="00E406C7">
            <w:pPr>
              <w:pStyle w:val="P68B1DB1-Normal12"/>
              <w:jc w:val="center"/>
              <w:rPr>
                <w:noProof/>
              </w:rPr>
            </w:pPr>
            <w:r>
              <w:rPr>
                <w:noProof/>
              </w:rPr>
              <w:t>2. CET.</w:t>
            </w:r>
          </w:p>
        </w:tc>
        <w:tc>
          <w:tcPr>
            <w:tcW w:w="861" w:type="dxa"/>
            <w:shd w:val="clear" w:color="auto" w:fill="C6EFCE"/>
            <w:noWrap/>
            <w:vAlign w:val="center"/>
            <w:hideMark/>
          </w:tcPr>
          <w:p w14:paraId="63D307FE" w14:textId="77777777" w:rsidR="00327FF1" w:rsidRDefault="00E406C7">
            <w:pPr>
              <w:pStyle w:val="P68B1DB1-Normal12"/>
              <w:jc w:val="center"/>
              <w:rPr>
                <w:noProof/>
              </w:rPr>
            </w:pPr>
            <w:r>
              <w:rPr>
                <w:noProof/>
              </w:rPr>
              <w:t>2025</w:t>
            </w:r>
          </w:p>
        </w:tc>
        <w:tc>
          <w:tcPr>
            <w:tcW w:w="2452" w:type="dxa"/>
            <w:shd w:val="clear" w:color="auto" w:fill="C6EFCE"/>
            <w:noWrap/>
            <w:vAlign w:val="center"/>
            <w:hideMark/>
          </w:tcPr>
          <w:p w14:paraId="31E6775D" w14:textId="77777777" w:rsidR="00327FF1" w:rsidRDefault="00E406C7">
            <w:pPr>
              <w:pStyle w:val="P68B1DB1-Normal12"/>
              <w:spacing w:after="120"/>
              <w:rPr>
                <w:noProof/>
              </w:rPr>
            </w:pPr>
            <w:r>
              <w:rPr>
                <w:noProof/>
              </w:rPr>
              <w:t>Pieņem darbā vismaz 900 pētniekus uz noteiktu laiku. Darbā pieņemto pētnieku darbības attiecas uz tematiem, kas ir saskaņoti ar Eiropas Pētniecības un inovācijas pamatprogrammas</w:t>
            </w:r>
            <w:r>
              <w:rPr>
                <w:noProof/>
              </w:rPr>
              <w:t xml:space="preserve"> 2021.–2027. gadam sešām kopām.</w:t>
            </w:r>
          </w:p>
        </w:tc>
      </w:tr>
      <w:tr w:rsidR="00327FF1" w14:paraId="0F0564D8" w14:textId="77777777">
        <w:trPr>
          <w:trHeight w:val="1278"/>
        </w:trPr>
        <w:tc>
          <w:tcPr>
            <w:tcW w:w="1441" w:type="dxa"/>
            <w:shd w:val="clear" w:color="auto" w:fill="C6EFCE"/>
            <w:noWrap/>
            <w:vAlign w:val="center"/>
            <w:hideMark/>
          </w:tcPr>
          <w:p w14:paraId="0620525E" w14:textId="77777777" w:rsidR="00327FF1" w:rsidRDefault="00E406C7">
            <w:pPr>
              <w:pStyle w:val="P68B1DB1-Normal12"/>
              <w:jc w:val="center"/>
              <w:rPr>
                <w:noProof/>
              </w:rPr>
            </w:pPr>
            <w:r>
              <w:rPr>
                <w:noProof/>
              </w:rPr>
              <w:t>M4C2–8</w:t>
            </w:r>
          </w:p>
        </w:tc>
        <w:tc>
          <w:tcPr>
            <w:tcW w:w="1395" w:type="dxa"/>
            <w:shd w:val="clear" w:color="auto" w:fill="C6EFCE"/>
            <w:noWrap/>
            <w:vAlign w:val="center"/>
            <w:hideMark/>
          </w:tcPr>
          <w:p w14:paraId="21049354" w14:textId="77777777" w:rsidR="00327FF1" w:rsidRDefault="00E406C7">
            <w:pPr>
              <w:pStyle w:val="P68B1DB1-Normal11"/>
              <w:jc w:val="center"/>
              <w:rPr>
                <w:noProof/>
                <w:szCs w:val="20"/>
              </w:rPr>
            </w:pPr>
            <w:r>
              <w:rPr>
                <w:noProof/>
              </w:rPr>
              <w:t>Investīcija Nr. 1.3. Partnerības, kas attiecas uz universitātēm, pētniecības centriem, uzņēmumiem un fundamentālo pētījumu projektu finansēšana</w:t>
            </w:r>
          </w:p>
        </w:tc>
        <w:tc>
          <w:tcPr>
            <w:tcW w:w="1486" w:type="dxa"/>
            <w:shd w:val="clear" w:color="auto" w:fill="C6EFCE"/>
            <w:noWrap/>
            <w:vAlign w:val="center"/>
            <w:hideMark/>
          </w:tcPr>
          <w:p w14:paraId="4794B350" w14:textId="77777777" w:rsidR="00327FF1" w:rsidRDefault="00E406C7">
            <w:pPr>
              <w:pStyle w:val="P68B1DB1-Normal11"/>
              <w:jc w:val="center"/>
              <w:rPr>
                <w:noProof/>
                <w:szCs w:val="20"/>
              </w:rPr>
            </w:pPr>
            <w:r>
              <w:rPr>
                <w:noProof/>
              </w:rPr>
              <w:t>Mērķa</w:t>
            </w:r>
          </w:p>
        </w:tc>
        <w:tc>
          <w:tcPr>
            <w:tcW w:w="1441" w:type="dxa"/>
            <w:shd w:val="clear" w:color="auto" w:fill="C6EFCE"/>
            <w:noWrap/>
            <w:vAlign w:val="center"/>
            <w:hideMark/>
          </w:tcPr>
          <w:p w14:paraId="2EAFEDF0" w14:textId="77777777" w:rsidR="00327FF1" w:rsidRDefault="00E406C7">
            <w:pPr>
              <w:pStyle w:val="P68B1DB1-Normal12"/>
              <w:jc w:val="center"/>
              <w:rPr>
                <w:noProof/>
              </w:rPr>
            </w:pPr>
            <w:r>
              <w:rPr>
                <w:noProof/>
              </w:rPr>
              <w:t xml:space="preserve">Parakstīto pētniecības partnerību skaits </w:t>
            </w:r>
          </w:p>
        </w:tc>
        <w:tc>
          <w:tcPr>
            <w:tcW w:w="1584" w:type="dxa"/>
            <w:shd w:val="clear" w:color="auto" w:fill="C6EFCE"/>
            <w:noWrap/>
            <w:vAlign w:val="center"/>
            <w:hideMark/>
          </w:tcPr>
          <w:p w14:paraId="2E47DCEA" w14:textId="77777777" w:rsidR="00327FF1" w:rsidRDefault="00E406C7">
            <w:pPr>
              <w:pStyle w:val="P68B1DB1-Normal11"/>
              <w:jc w:val="center"/>
              <w:rPr>
                <w:noProof/>
                <w:szCs w:val="20"/>
              </w:rPr>
            </w:pPr>
            <w:r>
              <w:rPr>
                <w:noProof/>
              </w:rPr>
              <w:t>NEPIEMĒRO</w:t>
            </w:r>
          </w:p>
        </w:tc>
        <w:tc>
          <w:tcPr>
            <w:tcW w:w="1297" w:type="dxa"/>
            <w:shd w:val="clear" w:color="auto" w:fill="C6EFCE"/>
            <w:noWrap/>
            <w:vAlign w:val="center"/>
            <w:hideMark/>
          </w:tcPr>
          <w:p w14:paraId="15F2D6DA" w14:textId="77777777" w:rsidR="00327FF1" w:rsidRDefault="00E406C7">
            <w:pPr>
              <w:pStyle w:val="P68B1DB1-Normal11"/>
              <w:jc w:val="center"/>
              <w:rPr>
                <w:noProof/>
                <w:szCs w:val="20"/>
              </w:rPr>
            </w:pPr>
            <w:r>
              <w:rPr>
                <w:noProof/>
              </w:rPr>
              <w:t>Skaits</w:t>
            </w:r>
          </w:p>
        </w:tc>
        <w:tc>
          <w:tcPr>
            <w:tcW w:w="1152" w:type="dxa"/>
            <w:shd w:val="clear" w:color="auto" w:fill="C6EFCE"/>
            <w:noWrap/>
            <w:vAlign w:val="center"/>
            <w:hideMark/>
          </w:tcPr>
          <w:p w14:paraId="20291482" w14:textId="77777777" w:rsidR="00327FF1" w:rsidRDefault="00E406C7">
            <w:pPr>
              <w:pStyle w:val="P68B1DB1-Normal11"/>
              <w:jc w:val="center"/>
              <w:rPr>
                <w:noProof/>
                <w:szCs w:val="20"/>
              </w:rPr>
            </w:pPr>
            <w:r>
              <w:rPr>
                <w:noProof/>
              </w:rPr>
              <w:t>0</w:t>
            </w:r>
          </w:p>
        </w:tc>
        <w:tc>
          <w:tcPr>
            <w:tcW w:w="1296" w:type="dxa"/>
            <w:shd w:val="clear" w:color="auto" w:fill="C6EFCE"/>
            <w:noWrap/>
            <w:vAlign w:val="center"/>
            <w:hideMark/>
          </w:tcPr>
          <w:p w14:paraId="63047240"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szCs w:val="20"/>
              </w:rPr>
              <w:t>1</w:t>
            </w:r>
            <w:r>
              <w:rPr>
                <w:noProof/>
                <w:sz w:val="23"/>
                <w:szCs w:val="23"/>
              </w:rPr>
              <w:t xml:space="preserve"> </w:t>
            </w:r>
            <w:r>
              <w:rPr>
                <w:rFonts w:ascii="Arial Narrow" w:hAnsi="Arial Narrow"/>
                <w:noProof/>
                <w:color w:val="006100"/>
                <w:sz w:val="20"/>
                <w:szCs w:val="20"/>
              </w:rPr>
              <w:t>4</w:t>
            </w:r>
          </w:p>
        </w:tc>
        <w:tc>
          <w:tcPr>
            <w:tcW w:w="1009" w:type="dxa"/>
            <w:shd w:val="clear" w:color="auto" w:fill="C6EFCE"/>
            <w:noWrap/>
            <w:vAlign w:val="center"/>
            <w:hideMark/>
          </w:tcPr>
          <w:p w14:paraId="3C9FF5D7"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hideMark/>
          </w:tcPr>
          <w:p w14:paraId="5FA704DB" w14:textId="77777777" w:rsidR="00327FF1" w:rsidRDefault="00E406C7">
            <w:pPr>
              <w:pStyle w:val="P68B1DB1-Normal11"/>
              <w:jc w:val="center"/>
              <w:rPr>
                <w:noProof/>
                <w:szCs w:val="20"/>
              </w:rPr>
            </w:pPr>
            <w:r>
              <w:rPr>
                <w:noProof/>
              </w:rPr>
              <w:t>2025</w:t>
            </w:r>
          </w:p>
        </w:tc>
        <w:tc>
          <w:tcPr>
            <w:tcW w:w="2452" w:type="dxa"/>
            <w:shd w:val="clear" w:color="auto" w:fill="C6EFCE"/>
            <w:noWrap/>
            <w:vAlign w:val="center"/>
            <w:hideMark/>
          </w:tcPr>
          <w:p w14:paraId="257237E7" w14:textId="3D88C4E1" w:rsidR="00327FF1" w:rsidRDefault="00E406C7">
            <w:pPr>
              <w:pStyle w:val="P68B1DB1-Normal12"/>
              <w:spacing w:after="0" w:line="240" w:lineRule="auto"/>
              <w:rPr>
                <w:noProof/>
              </w:rPr>
            </w:pPr>
            <w:r>
              <w:rPr>
                <w:noProof/>
              </w:rPr>
              <w:t>Nolīgumu parakstīšana (“atto d’obbligo”) vismaz 14 pētniecības partnerībām. Uzaicinājumos iesniegt programmas paredz:</w:t>
            </w:r>
          </w:p>
          <w:p w14:paraId="44A8C435" w14:textId="77777777" w:rsidR="00327FF1" w:rsidRDefault="00E406C7">
            <w:pPr>
              <w:pStyle w:val="P68B1DB1-Normal12"/>
              <w:spacing w:after="0" w:line="240" w:lineRule="auto"/>
              <w:rPr>
                <w:noProof/>
              </w:rPr>
            </w:pPr>
            <w:r>
              <w:rPr>
                <w:noProof/>
              </w:rPr>
              <w:t>a) katra partnerība, lai pieņemtu darbā vismaz 100 pētniekus uz noteiktu laiku;</w:t>
            </w:r>
          </w:p>
          <w:p w14:paraId="445514A2" w14:textId="1CCD399A" w:rsidR="00327FF1" w:rsidRDefault="00E406C7">
            <w:pPr>
              <w:pStyle w:val="P68B1DB1-paragraph98"/>
              <w:spacing w:before="0" w:beforeAutospacing="0" w:after="120" w:afterAutospacing="0"/>
              <w:textAlignment w:val="baseline"/>
              <w:rPr>
                <w:noProof/>
              </w:rPr>
            </w:pPr>
            <w:r>
              <w:rPr>
                <w:noProof/>
              </w:rPr>
              <w:t>b) apņemšanās, ka investīciju ieguldījums kli</w:t>
            </w:r>
            <w:r>
              <w:rPr>
                <w:noProof/>
              </w:rPr>
              <w:t>mata jomā saskaņā ar Regulas (ES) 2021/241 VI pielikumā izklāstīto metodiku veido vismaz 42 % no ANM atbalstīto investīciju kopējām izmaksām.</w:t>
            </w:r>
          </w:p>
        </w:tc>
      </w:tr>
      <w:tr w:rsidR="00327FF1" w14:paraId="19FD557A" w14:textId="77777777">
        <w:trPr>
          <w:trHeight w:val="313"/>
        </w:trPr>
        <w:tc>
          <w:tcPr>
            <w:tcW w:w="1441" w:type="dxa"/>
            <w:shd w:val="clear" w:color="auto" w:fill="C6EFCE"/>
            <w:noWrap/>
            <w:vAlign w:val="center"/>
            <w:hideMark/>
          </w:tcPr>
          <w:p w14:paraId="5CFA6BB6" w14:textId="77777777" w:rsidR="00327FF1" w:rsidRDefault="00E406C7">
            <w:pPr>
              <w:pStyle w:val="P68B1DB1-Normal12"/>
              <w:jc w:val="center"/>
              <w:rPr>
                <w:noProof/>
              </w:rPr>
            </w:pPr>
            <w:r>
              <w:rPr>
                <w:noProof/>
              </w:rPr>
              <w:t>M4C2–9</w:t>
            </w:r>
          </w:p>
        </w:tc>
        <w:tc>
          <w:tcPr>
            <w:tcW w:w="1395" w:type="dxa"/>
            <w:shd w:val="clear" w:color="auto" w:fill="C6EFCE"/>
            <w:noWrap/>
            <w:vAlign w:val="center"/>
            <w:hideMark/>
          </w:tcPr>
          <w:p w14:paraId="0E031CA2" w14:textId="42F5CB0C" w:rsidR="00327FF1" w:rsidRDefault="00E406C7">
            <w:pPr>
              <w:pStyle w:val="P68B1DB1-Normal12"/>
              <w:jc w:val="center"/>
              <w:rPr>
                <w:noProof/>
              </w:rPr>
            </w:pPr>
            <w:r>
              <w:rPr>
                <w:noProof/>
              </w:rPr>
              <w:t xml:space="preserve">Investīcija Nr. 1.4: “Valstu pētniecības un attīstības līderu” izveide attiecībā uz dažām svarīgām </w:t>
            </w:r>
            <w:r>
              <w:rPr>
                <w:noProof/>
              </w:rPr>
              <w:t>pamattehnoloģijām</w:t>
            </w:r>
          </w:p>
        </w:tc>
        <w:tc>
          <w:tcPr>
            <w:tcW w:w="1486" w:type="dxa"/>
            <w:shd w:val="clear" w:color="auto" w:fill="C6EFCE"/>
            <w:noWrap/>
            <w:vAlign w:val="center"/>
            <w:hideMark/>
          </w:tcPr>
          <w:p w14:paraId="286E1B77" w14:textId="77777777" w:rsidR="00327FF1" w:rsidRDefault="00E406C7">
            <w:pPr>
              <w:pStyle w:val="P68B1DB1-Normal11"/>
              <w:jc w:val="center"/>
              <w:rPr>
                <w:noProof/>
                <w:szCs w:val="20"/>
              </w:rPr>
            </w:pPr>
            <w:r>
              <w:rPr>
                <w:noProof/>
              </w:rPr>
              <w:t>Mērķa</w:t>
            </w:r>
          </w:p>
        </w:tc>
        <w:tc>
          <w:tcPr>
            <w:tcW w:w="1441" w:type="dxa"/>
            <w:shd w:val="clear" w:color="auto" w:fill="C6EFCE"/>
            <w:noWrap/>
            <w:vAlign w:val="center"/>
            <w:hideMark/>
          </w:tcPr>
          <w:p w14:paraId="2D66AEAF" w14:textId="77777777" w:rsidR="00327FF1" w:rsidRDefault="00E406C7">
            <w:pPr>
              <w:pStyle w:val="P68B1DB1-Normal12"/>
              <w:jc w:val="center"/>
              <w:rPr>
                <w:noProof/>
              </w:rPr>
            </w:pPr>
            <w:r>
              <w:rPr>
                <w:noProof/>
              </w:rPr>
              <w:t xml:space="preserve">Valstu centri ir pabeiguši pētniecības darbības </w:t>
            </w:r>
          </w:p>
        </w:tc>
        <w:tc>
          <w:tcPr>
            <w:tcW w:w="1584" w:type="dxa"/>
            <w:shd w:val="clear" w:color="auto" w:fill="C6EFCE"/>
            <w:noWrap/>
            <w:vAlign w:val="center"/>
            <w:hideMark/>
          </w:tcPr>
          <w:p w14:paraId="57482DD7" w14:textId="77777777" w:rsidR="00327FF1" w:rsidRDefault="00E406C7">
            <w:pPr>
              <w:pStyle w:val="P68B1DB1-Normal11"/>
              <w:jc w:val="center"/>
              <w:rPr>
                <w:noProof/>
                <w:szCs w:val="20"/>
              </w:rPr>
            </w:pPr>
            <w:r>
              <w:rPr>
                <w:noProof/>
              </w:rPr>
              <w:t>NEPIEMĒRO</w:t>
            </w:r>
          </w:p>
        </w:tc>
        <w:tc>
          <w:tcPr>
            <w:tcW w:w="1297" w:type="dxa"/>
            <w:shd w:val="clear" w:color="auto" w:fill="C6EFCE"/>
            <w:noWrap/>
            <w:vAlign w:val="center"/>
            <w:hideMark/>
          </w:tcPr>
          <w:p w14:paraId="071368C6" w14:textId="77777777" w:rsidR="00327FF1" w:rsidRDefault="00E406C7">
            <w:pPr>
              <w:pStyle w:val="P68B1DB1-Normal11"/>
              <w:jc w:val="center"/>
              <w:rPr>
                <w:noProof/>
                <w:szCs w:val="20"/>
              </w:rPr>
            </w:pPr>
            <w:r>
              <w:rPr>
                <w:noProof/>
              </w:rPr>
              <w:t>Skaits</w:t>
            </w:r>
          </w:p>
        </w:tc>
        <w:tc>
          <w:tcPr>
            <w:tcW w:w="1152" w:type="dxa"/>
            <w:shd w:val="clear" w:color="auto" w:fill="C6EFCE"/>
            <w:noWrap/>
            <w:vAlign w:val="center"/>
            <w:hideMark/>
          </w:tcPr>
          <w:p w14:paraId="0EA73B57" w14:textId="77777777" w:rsidR="00327FF1" w:rsidRDefault="00E406C7">
            <w:pPr>
              <w:pStyle w:val="P68B1DB1-Normal11"/>
              <w:jc w:val="center"/>
              <w:rPr>
                <w:noProof/>
                <w:szCs w:val="20"/>
              </w:rPr>
            </w:pPr>
            <w:r>
              <w:rPr>
                <w:noProof/>
              </w:rPr>
              <w:t>0</w:t>
            </w:r>
          </w:p>
        </w:tc>
        <w:tc>
          <w:tcPr>
            <w:tcW w:w="1296" w:type="dxa"/>
            <w:shd w:val="clear" w:color="auto" w:fill="C6EFCE"/>
            <w:noWrap/>
            <w:vAlign w:val="center"/>
            <w:hideMark/>
          </w:tcPr>
          <w:p w14:paraId="409C300D" w14:textId="77777777" w:rsidR="00327FF1" w:rsidRDefault="00E406C7">
            <w:pPr>
              <w:pStyle w:val="P68B1DB1-Normal11"/>
              <w:jc w:val="center"/>
              <w:rPr>
                <w:noProof/>
                <w:szCs w:val="20"/>
              </w:rPr>
            </w:pPr>
            <w:r>
              <w:rPr>
                <w:noProof/>
              </w:rPr>
              <w:t>5</w:t>
            </w:r>
          </w:p>
        </w:tc>
        <w:tc>
          <w:tcPr>
            <w:tcW w:w="1009" w:type="dxa"/>
            <w:shd w:val="clear" w:color="auto" w:fill="C6EFCE"/>
            <w:noWrap/>
            <w:vAlign w:val="center"/>
            <w:hideMark/>
          </w:tcPr>
          <w:p w14:paraId="42EC4C72"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hideMark/>
          </w:tcPr>
          <w:p w14:paraId="7E3D9690" w14:textId="77777777" w:rsidR="00327FF1" w:rsidRDefault="00E406C7">
            <w:pPr>
              <w:pStyle w:val="P68B1DB1-Normal11"/>
              <w:jc w:val="center"/>
              <w:rPr>
                <w:noProof/>
                <w:szCs w:val="20"/>
              </w:rPr>
            </w:pPr>
            <w:r>
              <w:rPr>
                <w:noProof/>
              </w:rPr>
              <w:t>2026</w:t>
            </w:r>
          </w:p>
        </w:tc>
        <w:tc>
          <w:tcPr>
            <w:tcW w:w="2452" w:type="dxa"/>
            <w:shd w:val="clear" w:color="auto" w:fill="C6EFCE"/>
            <w:noWrap/>
            <w:vAlign w:val="center"/>
            <w:hideMark/>
          </w:tcPr>
          <w:p w14:paraId="1BC61AC2" w14:textId="6114964B" w:rsidR="00327FF1" w:rsidRDefault="00E406C7">
            <w:pPr>
              <w:pStyle w:val="P68B1DB1-Normal12"/>
              <w:jc w:val="both"/>
              <w:rPr>
                <w:noProof/>
              </w:rPr>
            </w:pPr>
            <w:r>
              <w:rPr>
                <w:noProof/>
              </w:rPr>
              <w:t xml:space="preserve">Par katru no pieciem valstu centriem izdod ziņojumu par pētniecības darbību pabeigšanu. </w:t>
            </w:r>
          </w:p>
        </w:tc>
      </w:tr>
      <w:tr w:rsidR="00327FF1" w14:paraId="1D0780B0" w14:textId="77777777">
        <w:trPr>
          <w:trHeight w:val="313"/>
        </w:trPr>
        <w:tc>
          <w:tcPr>
            <w:tcW w:w="1441" w:type="dxa"/>
            <w:shd w:val="clear" w:color="auto" w:fill="C6EFCE"/>
            <w:noWrap/>
            <w:vAlign w:val="center"/>
            <w:hideMark/>
          </w:tcPr>
          <w:p w14:paraId="26C4EA5C" w14:textId="77777777" w:rsidR="00327FF1" w:rsidRDefault="00E406C7">
            <w:pPr>
              <w:pStyle w:val="P68B1DB1-Normal11"/>
              <w:jc w:val="center"/>
              <w:rPr>
                <w:noProof/>
                <w:szCs w:val="20"/>
              </w:rPr>
            </w:pPr>
            <w:r>
              <w:rPr>
                <w:noProof/>
              </w:rPr>
              <w:t>M4C2–10</w:t>
            </w:r>
          </w:p>
        </w:tc>
        <w:tc>
          <w:tcPr>
            <w:tcW w:w="1395" w:type="dxa"/>
            <w:shd w:val="clear" w:color="auto" w:fill="C6EFCE"/>
            <w:noWrap/>
            <w:vAlign w:val="center"/>
            <w:hideMark/>
          </w:tcPr>
          <w:p w14:paraId="6B5F985F" w14:textId="77777777" w:rsidR="00327FF1" w:rsidRDefault="00E406C7">
            <w:pPr>
              <w:pStyle w:val="P68B1DB1-Normal11"/>
              <w:jc w:val="center"/>
              <w:rPr>
                <w:noProof/>
                <w:szCs w:val="20"/>
              </w:rPr>
            </w:pPr>
            <w:r>
              <w:rPr>
                <w:noProof/>
              </w:rPr>
              <w:t>Investīcija 2.1: IPCEI</w:t>
            </w:r>
          </w:p>
        </w:tc>
        <w:tc>
          <w:tcPr>
            <w:tcW w:w="1486" w:type="dxa"/>
            <w:shd w:val="clear" w:color="auto" w:fill="C6EFCE"/>
            <w:noWrap/>
            <w:vAlign w:val="center"/>
            <w:hideMark/>
          </w:tcPr>
          <w:p w14:paraId="4D656341" w14:textId="77777777" w:rsidR="00327FF1" w:rsidRDefault="00E406C7">
            <w:pPr>
              <w:pStyle w:val="P68B1DB1-Normal11"/>
              <w:jc w:val="center"/>
              <w:rPr>
                <w:noProof/>
                <w:szCs w:val="20"/>
              </w:rPr>
            </w:pPr>
            <w:r>
              <w:rPr>
                <w:noProof/>
              </w:rPr>
              <w:t>Atskaites punkts</w:t>
            </w:r>
          </w:p>
        </w:tc>
        <w:tc>
          <w:tcPr>
            <w:tcW w:w="1441" w:type="dxa"/>
            <w:shd w:val="clear" w:color="auto" w:fill="C6EFCE"/>
            <w:noWrap/>
            <w:vAlign w:val="center"/>
            <w:hideMark/>
          </w:tcPr>
          <w:p w14:paraId="459DA06F" w14:textId="77777777" w:rsidR="00327FF1" w:rsidRDefault="00E406C7">
            <w:pPr>
              <w:pStyle w:val="P68B1DB1-Normal11"/>
              <w:jc w:val="center"/>
              <w:rPr>
                <w:noProof/>
                <w:szCs w:val="20"/>
              </w:rPr>
            </w:pPr>
            <w:r>
              <w:rPr>
                <w:noProof/>
              </w:rPr>
              <w:t xml:space="preserve">Izsludināt </w:t>
            </w:r>
            <w:r>
              <w:rPr>
                <w:noProof/>
              </w:rPr>
              <w:t>uzaicinājumu izteikt ieinteresētību, lai apzinātu valstu projektus, tostarp projektus IPCEI mikroelektronikas jomā</w:t>
            </w:r>
          </w:p>
        </w:tc>
        <w:tc>
          <w:tcPr>
            <w:tcW w:w="1584" w:type="dxa"/>
            <w:shd w:val="clear" w:color="auto" w:fill="C6EFCE"/>
            <w:noWrap/>
            <w:vAlign w:val="center"/>
            <w:hideMark/>
          </w:tcPr>
          <w:p w14:paraId="4B20AAC6" w14:textId="77777777" w:rsidR="00327FF1" w:rsidRDefault="00E406C7">
            <w:pPr>
              <w:pStyle w:val="P68B1DB1-Normal11"/>
              <w:jc w:val="center"/>
              <w:rPr>
                <w:noProof/>
                <w:szCs w:val="20"/>
              </w:rPr>
            </w:pPr>
            <w:r>
              <w:rPr>
                <w:noProof/>
              </w:rPr>
              <w:t>Uzaicinājums izteikt ieinteresētību ir publicēts</w:t>
            </w:r>
          </w:p>
        </w:tc>
        <w:tc>
          <w:tcPr>
            <w:tcW w:w="1297" w:type="dxa"/>
            <w:shd w:val="clear" w:color="auto" w:fill="C6EFCE"/>
            <w:noWrap/>
            <w:vAlign w:val="center"/>
            <w:hideMark/>
          </w:tcPr>
          <w:p w14:paraId="3F444FB6" w14:textId="77777777" w:rsidR="00327FF1" w:rsidRDefault="00E406C7">
            <w:pPr>
              <w:pStyle w:val="P68B1DB1-Normal11"/>
              <w:jc w:val="center"/>
              <w:rPr>
                <w:noProof/>
                <w:szCs w:val="20"/>
              </w:rPr>
            </w:pPr>
            <w:r>
              <w:rPr>
                <w:noProof/>
              </w:rPr>
              <w:t>NEPIEMĒRO</w:t>
            </w:r>
          </w:p>
        </w:tc>
        <w:tc>
          <w:tcPr>
            <w:tcW w:w="1152" w:type="dxa"/>
            <w:shd w:val="clear" w:color="auto" w:fill="C6EFCE"/>
            <w:noWrap/>
            <w:vAlign w:val="center"/>
            <w:hideMark/>
          </w:tcPr>
          <w:p w14:paraId="3AB2D488" w14:textId="77777777" w:rsidR="00327FF1" w:rsidRDefault="00E406C7">
            <w:pPr>
              <w:pStyle w:val="P68B1DB1-Normal11"/>
              <w:jc w:val="center"/>
              <w:rPr>
                <w:noProof/>
                <w:szCs w:val="20"/>
              </w:rPr>
            </w:pPr>
            <w:r>
              <w:rPr>
                <w:noProof/>
              </w:rPr>
              <w:t>NEPIEMĒRO</w:t>
            </w:r>
          </w:p>
        </w:tc>
        <w:tc>
          <w:tcPr>
            <w:tcW w:w="1296" w:type="dxa"/>
            <w:shd w:val="clear" w:color="auto" w:fill="C6EFCE"/>
            <w:noWrap/>
            <w:vAlign w:val="center"/>
            <w:hideMark/>
          </w:tcPr>
          <w:p w14:paraId="79902FF5" w14:textId="77777777" w:rsidR="00327FF1" w:rsidRDefault="00E406C7">
            <w:pPr>
              <w:pStyle w:val="P68B1DB1-Normal11"/>
              <w:jc w:val="center"/>
              <w:rPr>
                <w:noProof/>
                <w:szCs w:val="20"/>
              </w:rPr>
            </w:pPr>
            <w:r>
              <w:rPr>
                <w:noProof/>
              </w:rPr>
              <w:t>NEPIEMĒRO</w:t>
            </w:r>
          </w:p>
        </w:tc>
        <w:tc>
          <w:tcPr>
            <w:tcW w:w="1009" w:type="dxa"/>
            <w:shd w:val="clear" w:color="auto" w:fill="C6EFCE"/>
            <w:noWrap/>
            <w:vAlign w:val="center"/>
            <w:hideMark/>
          </w:tcPr>
          <w:p w14:paraId="2B8CBFF1"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hideMark/>
          </w:tcPr>
          <w:p w14:paraId="51AC56CB" w14:textId="77777777" w:rsidR="00327FF1" w:rsidRDefault="00E406C7">
            <w:pPr>
              <w:pStyle w:val="P68B1DB1-Normal11"/>
              <w:jc w:val="center"/>
              <w:rPr>
                <w:noProof/>
                <w:szCs w:val="20"/>
              </w:rPr>
            </w:pPr>
            <w:r>
              <w:rPr>
                <w:noProof/>
              </w:rPr>
              <w:t>2021</w:t>
            </w:r>
          </w:p>
        </w:tc>
        <w:tc>
          <w:tcPr>
            <w:tcW w:w="2452" w:type="dxa"/>
            <w:shd w:val="clear" w:color="auto" w:fill="C6EFCE"/>
            <w:noWrap/>
            <w:vAlign w:val="center"/>
            <w:hideMark/>
          </w:tcPr>
          <w:p w14:paraId="5B8A8635" w14:textId="77777777" w:rsidR="00327FF1" w:rsidRDefault="00E406C7">
            <w:pPr>
              <w:pStyle w:val="P68B1DB1-Normal11"/>
              <w:rPr>
                <w:noProof/>
                <w:szCs w:val="20"/>
              </w:rPr>
            </w:pPr>
            <w:r>
              <w:rPr>
                <w:noProof/>
              </w:rPr>
              <w:t xml:space="preserve">Paredzams, ka atbalstāmie IPCEI projekti tiks </w:t>
            </w:r>
            <w:r>
              <w:rPr>
                <w:noProof/>
              </w:rPr>
              <w:t>atjaunināti atkarībā no pašlaik notiekošo valsts IPCEI procedūru faktiskā progresa un valsts atbalsta paziņošanas procedūras progresa posma.</w:t>
            </w:r>
          </w:p>
          <w:p w14:paraId="6C4B7EA3" w14:textId="77777777" w:rsidR="00327FF1" w:rsidRDefault="00E406C7">
            <w:pPr>
              <w:pStyle w:val="P68B1DB1-Normal12"/>
              <w:rPr>
                <w:noProof/>
              </w:rPr>
            </w:pPr>
            <w:r>
              <w:rPr>
                <w:noProof/>
              </w:rPr>
              <w:t>Izvēlētajā IPCEI ņem vērā konkrētas rūpniecības un inovācijas nozares saskaņā ar jau apzinātajām Eiropas vērtības ķ</w:t>
            </w:r>
            <w:r>
              <w:rPr>
                <w:noProof/>
              </w:rPr>
              <w:t>ēdēm.</w:t>
            </w:r>
          </w:p>
          <w:p w14:paraId="274615D3" w14:textId="77777777" w:rsidR="00327FF1" w:rsidRDefault="00E406C7">
            <w:pPr>
              <w:pStyle w:val="P68B1DB1-Normal12"/>
              <w:rPr>
                <w:noProof/>
              </w:rPr>
            </w:pPr>
            <w:r>
              <w:rPr>
                <w:noProof/>
              </w:rPr>
              <w:t>Šī intervence ietver gan jau apstiprinātus IPCEI, gan nākotnes projektus, piemēram, mākoņdatošanu, veselību, rindas materiālus un kiberdrošību.</w:t>
            </w:r>
          </w:p>
          <w:p w14:paraId="46BFF4A0" w14:textId="77777777" w:rsidR="00327FF1" w:rsidRDefault="00E406C7">
            <w:pPr>
              <w:pStyle w:val="P68B1DB1-Normal11"/>
              <w:spacing w:before="120" w:after="120"/>
              <w:rPr>
                <w:noProof/>
                <w:szCs w:val="20"/>
              </w:rPr>
            </w:pPr>
            <w:r>
              <w:rPr>
                <w:noProof/>
              </w:rPr>
              <w:t>Uzaicinājuma noteikumi ietver:</w:t>
            </w:r>
          </w:p>
          <w:p w14:paraId="4D188813" w14:textId="77777777" w:rsidR="00327FF1" w:rsidRDefault="00E406C7">
            <w:pPr>
              <w:pStyle w:val="P68B1DB1-paragraph98"/>
              <w:spacing w:before="0" w:beforeAutospacing="0" w:after="0" w:afterAutospacing="0"/>
              <w:textAlignment w:val="baseline"/>
              <w:rPr>
                <w:noProof/>
              </w:rPr>
            </w:pPr>
            <w:r>
              <w:rPr>
                <w:noProof/>
              </w:rPr>
              <w:t>atbilstības kritēriji, kas nodrošina, ka atlasītie projekti atbilst Tehnisk</w:t>
            </w:r>
            <w:r>
              <w:rPr>
                <w:noProof/>
              </w:rPr>
              <w:t>ajiem norādījumiem “nenodari būtisku kaitējumu” (2021/C58/01), izmantojot izslēgšanas sarakstu un prasību par atbilstību attiecīgajiem ES un valsts tiesību aktiem vides jomā.</w:t>
            </w:r>
          </w:p>
          <w:p w14:paraId="41291499" w14:textId="77777777" w:rsidR="00327FF1" w:rsidRDefault="00E406C7">
            <w:pPr>
              <w:pStyle w:val="P68B1DB1-paragraph89"/>
              <w:spacing w:before="0" w:beforeAutospacing="0" w:after="0" w:afterAutospacing="0"/>
              <w:textAlignment w:val="baseline"/>
              <w:rPr>
                <w:noProof/>
                <w:szCs w:val="20"/>
              </w:rPr>
            </w:pPr>
            <w:r>
              <w:rPr>
                <w:noProof/>
              </w:rPr>
              <w:t>b) apņemšanās, ka investīciju ieguldījums klimata jomā saskaņā ar Regulas (ES) 20</w:t>
            </w:r>
            <w:r>
              <w:rPr>
                <w:noProof/>
              </w:rPr>
              <w:t>21/241 VI pielikumā izklāstīto metodiku veido vismaz 40 % no ANM atbalstīto investīciju kopējām izmaksām.</w:t>
            </w:r>
          </w:p>
          <w:p w14:paraId="6008074C" w14:textId="77777777" w:rsidR="00327FF1" w:rsidRDefault="00E406C7">
            <w:pPr>
              <w:pStyle w:val="P68B1DB1-paragraph89"/>
              <w:spacing w:before="0" w:beforeAutospacing="0" w:after="0" w:afterAutospacing="0"/>
              <w:textAlignment w:val="baseline"/>
              <w:rPr>
                <w:noProof/>
              </w:rPr>
            </w:pPr>
            <w:r>
              <w:rPr>
                <w:noProof/>
              </w:rPr>
              <w:t>C) apņemšanās, ka investīcijas digitālais ieguldījums saskaņā ar Regulas (ES) 2021/241 VII pielikumā izklāstīto metodiku veido vismaz 60 % no ANM atba</w:t>
            </w:r>
            <w:r>
              <w:rPr>
                <w:noProof/>
              </w:rPr>
              <w:t>lstīto investīciju kopējām izmaksām.</w:t>
            </w:r>
          </w:p>
          <w:p w14:paraId="2F0CE705" w14:textId="77777777" w:rsidR="00327FF1" w:rsidRDefault="00E406C7">
            <w:pPr>
              <w:pStyle w:val="P68B1DB1-paragraph98"/>
              <w:spacing w:before="0" w:beforeAutospacing="0" w:after="0" w:afterAutospacing="0"/>
              <w:textAlignment w:val="baseline"/>
              <w:rPr>
                <w:noProof/>
              </w:rPr>
            </w:pPr>
            <w:r>
              <w:rPr>
                <w:noProof/>
              </w:rPr>
              <w:t>d) apņemšanās ziņot par pasākuma īstenošanu shēmas darbības vidusposmā un shēmas beigās.</w:t>
            </w:r>
          </w:p>
        </w:tc>
      </w:tr>
      <w:tr w:rsidR="00327FF1" w14:paraId="4E8776B5" w14:textId="77777777">
        <w:trPr>
          <w:trHeight w:val="313"/>
        </w:trPr>
        <w:tc>
          <w:tcPr>
            <w:tcW w:w="1441" w:type="dxa"/>
            <w:shd w:val="clear" w:color="auto" w:fill="C6EFCE"/>
            <w:noWrap/>
            <w:vAlign w:val="center"/>
            <w:hideMark/>
          </w:tcPr>
          <w:p w14:paraId="43E0998F" w14:textId="77777777" w:rsidR="00327FF1" w:rsidRDefault="00E406C7">
            <w:pPr>
              <w:pStyle w:val="P68B1DB1-Normal11"/>
              <w:jc w:val="center"/>
              <w:rPr>
                <w:noProof/>
                <w:szCs w:val="20"/>
              </w:rPr>
            </w:pPr>
            <w:r>
              <w:rPr>
                <w:noProof/>
              </w:rPr>
              <w:t>M4C2–11</w:t>
            </w:r>
          </w:p>
        </w:tc>
        <w:tc>
          <w:tcPr>
            <w:tcW w:w="1395" w:type="dxa"/>
            <w:shd w:val="clear" w:color="auto" w:fill="C6EFCE"/>
            <w:noWrap/>
            <w:vAlign w:val="center"/>
            <w:hideMark/>
          </w:tcPr>
          <w:p w14:paraId="1A6FD094" w14:textId="77777777" w:rsidR="00327FF1" w:rsidRDefault="00E406C7">
            <w:pPr>
              <w:pStyle w:val="P68B1DB1-Normal11"/>
              <w:jc w:val="center"/>
              <w:rPr>
                <w:noProof/>
                <w:szCs w:val="20"/>
              </w:rPr>
            </w:pPr>
            <w:r>
              <w:rPr>
                <w:noProof/>
              </w:rPr>
              <w:t>Investīcija 2.1: IPCEI</w:t>
            </w:r>
          </w:p>
        </w:tc>
        <w:tc>
          <w:tcPr>
            <w:tcW w:w="1486" w:type="dxa"/>
            <w:shd w:val="clear" w:color="auto" w:fill="C6EFCE"/>
            <w:noWrap/>
            <w:vAlign w:val="center"/>
            <w:hideMark/>
          </w:tcPr>
          <w:p w14:paraId="4EA17822" w14:textId="77777777" w:rsidR="00327FF1" w:rsidRDefault="00E406C7">
            <w:pPr>
              <w:pStyle w:val="P68B1DB1-Normal11"/>
              <w:jc w:val="center"/>
              <w:rPr>
                <w:noProof/>
                <w:szCs w:val="20"/>
              </w:rPr>
            </w:pPr>
            <w:r>
              <w:rPr>
                <w:noProof/>
              </w:rPr>
              <w:t>Atskaites punkts</w:t>
            </w:r>
          </w:p>
        </w:tc>
        <w:tc>
          <w:tcPr>
            <w:tcW w:w="1441" w:type="dxa"/>
            <w:shd w:val="clear" w:color="auto" w:fill="C6EFCE"/>
            <w:noWrap/>
            <w:vAlign w:val="center"/>
            <w:hideMark/>
          </w:tcPr>
          <w:p w14:paraId="238A9D4D" w14:textId="77777777" w:rsidR="00327FF1" w:rsidRDefault="00E406C7">
            <w:pPr>
              <w:pStyle w:val="P68B1DB1-Normal11"/>
              <w:jc w:val="center"/>
              <w:rPr>
                <w:noProof/>
                <w:szCs w:val="20"/>
              </w:rPr>
            </w:pPr>
            <w:r>
              <w:rPr>
                <w:noProof/>
              </w:rPr>
              <w:t xml:space="preserve">Stājas spēkā valsts tiesību akts, ar ko piešķir nepieciešamo finansējumu, lai </w:t>
            </w:r>
            <w:r>
              <w:rPr>
                <w:noProof/>
              </w:rPr>
              <w:t>sniegtu atbalstu projektu dalībniekiem.</w:t>
            </w:r>
          </w:p>
        </w:tc>
        <w:tc>
          <w:tcPr>
            <w:tcW w:w="1584" w:type="dxa"/>
            <w:shd w:val="clear" w:color="auto" w:fill="C6EFCE"/>
            <w:noWrap/>
            <w:vAlign w:val="center"/>
            <w:hideMark/>
          </w:tcPr>
          <w:p w14:paraId="17C14A7F" w14:textId="77777777" w:rsidR="00327FF1" w:rsidRDefault="00E406C7">
            <w:pPr>
              <w:pStyle w:val="P68B1DB1-Normal11"/>
              <w:jc w:val="center"/>
              <w:rPr>
                <w:noProof/>
                <w:szCs w:val="20"/>
              </w:rPr>
            </w:pPr>
            <w:r>
              <w:rPr>
                <w:noProof/>
              </w:rPr>
              <w:t>Valsts tiesību akta noteikums, kas norāda uz akta stāšanos spēkā</w:t>
            </w:r>
          </w:p>
        </w:tc>
        <w:tc>
          <w:tcPr>
            <w:tcW w:w="1297" w:type="dxa"/>
            <w:shd w:val="clear" w:color="auto" w:fill="C6EFCE"/>
            <w:noWrap/>
            <w:vAlign w:val="center"/>
            <w:hideMark/>
          </w:tcPr>
          <w:p w14:paraId="6D53B477" w14:textId="77777777" w:rsidR="00327FF1" w:rsidRDefault="00E406C7">
            <w:pPr>
              <w:pStyle w:val="P68B1DB1-Normal11"/>
              <w:jc w:val="center"/>
              <w:rPr>
                <w:noProof/>
                <w:szCs w:val="20"/>
              </w:rPr>
            </w:pPr>
            <w:r>
              <w:rPr>
                <w:noProof/>
              </w:rPr>
              <w:t>NEPIEMĒRO</w:t>
            </w:r>
          </w:p>
        </w:tc>
        <w:tc>
          <w:tcPr>
            <w:tcW w:w="1152" w:type="dxa"/>
            <w:shd w:val="clear" w:color="auto" w:fill="C6EFCE"/>
            <w:noWrap/>
            <w:vAlign w:val="center"/>
            <w:hideMark/>
          </w:tcPr>
          <w:p w14:paraId="3F3F1A43" w14:textId="77777777" w:rsidR="00327FF1" w:rsidRDefault="00E406C7">
            <w:pPr>
              <w:pStyle w:val="P68B1DB1-Normal11"/>
              <w:jc w:val="center"/>
              <w:rPr>
                <w:noProof/>
                <w:szCs w:val="20"/>
              </w:rPr>
            </w:pPr>
            <w:r>
              <w:rPr>
                <w:noProof/>
              </w:rPr>
              <w:t>NEPIEMĒRO</w:t>
            </w:r>
          </w:p>
        </w:tc>
        <w:tc>
          <w:tcPr>
            <w:tcW w:w="1296" w:type="dxa"/>
            <w:shd w:val="clear" w:color="auto" w:fill="C6EFCE"/>
            <w:noWrap/>
            <w:vAlign w:val="center"/>
            <w:hideMark/>
          </w:tcPr>
          <w:p w14:paraId="72DF5EDE" w14:textId="77777777" w:rsidR="00327FF1" w:rsidRDefault="00E406C7">
            <w:pPr>
              <w:pStyle w:val="P68B1DB1-Normal11"/>
              <w:jc w:val="center"/>
              <w:rPr>
                <w:noProof/>
                <w:szCs w:val="20"/>
              </w:rPr>
            </w:pPr>
            <w:r>
              <w:rPr>
                <w:noProof/>
              </w:rPr>
              <w:t>NEPIEMĒRO</w:t>
            </w:r>
          </w:p>
        </w:tc>
        <w:tc>
          <w:tcPr>
            <w:tcW w:w="1009" w:type="dxa"/>
            <w:shd w:val="clear" w:color="auto" w:fill="C6EFCE"/>
            <w:noWrap/>
            <w:vAlign w:val="center"/>
            <w:hideMark/>
          </w:tcPr>
          <w:p w14:paraId="7E476561"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hideMark/>
          </w:tcPr>
          <w:p w14:paraId="14092876" w14:textId="77777777" w:rsidR="00327FF1" w:rsidRDefault="00E406C7">
            <w:pPr>
              <w:pStyle w:val="P68B1DB1-Normal11"/>
              <w:jc w:val="center"/>
              <w:rPr>
                <w:noProof/>
                <w:szCs w:val="20"/>
              </w:rPr>
            </w:pPr>
            <w:r>
              <w:rPr>
                <w:noProof/>
              </w:rPr>
              <w:t>2022</w:t>
            </w:r>
          </w:p>
        </w:tc>
        <w:tc>
          <w:tcPr>
            <w:tcW w:w="2452" w:type="dxa"/>
            <w:shd w:val="clear" w:color="auto" w:fill="C6EFCE"/>
            <w:noWrap/>
            <w:vAlign w:val="center"/>
            <w:hideMark/>
          </w:tcPr>
          <w:p w14:paraId="3E61F1D6" w14:textId="77777777" w:rsidR="00327FF1" w:rsidRDefault="00E406C7">
            <w:pPr>
              <w:pStyle w:val="P68B1DB1-Normal11"/>
              <w:rPr>
                <w:noProof/>
                <w:szCs w:val="20"/>
              </w:rPr>
            </w:pPr>
            <w:r>
              <w:rPr>
                <w:noProof/>
              </w:rPr>
              <w:t xml:space="preserve">Valsts tiesību aktā norāda projektu iesniegšanas procedūras un termiņus, kā arī potenciālo saņēmēju </w:t>
            </w:r>
            <w:r>
              <w:rPr>
                <w:noProof/>
              </w:rPr>
              <w:t>piekļuves prasības.</w:t>
            </w:r>
          </w:p>
        </w:tc>
      </w:tr>
      <w:tr w:rsidR="00327FF1" w14:paraId="41C45ABA" w14:textId="77777777">
        <w:trPr>
          <w:trHeight w:val="313"/>
        </w:trPr>
        <w:tc>
          <w:tcPr>
            <w:tcW w:w="1441" w:type="dxa"/>
            <w:shd w:val="clear" w:color="auto" w:fill="C6EFCE"/>
            <w:noWrap/>
            <w:vAlign w:val="center"/>
            <w:hideMark/>
          </w:tcPr>
          <w:p w14:paraId="3DE1E109" w14:textId="77777777" w:rsidR="00327FF1" w:rsidRDefault="00E406C7">
            <w:pPr>
              <w:pStyle w:val="P68B1DB1-Normal11"/>
              <w:jc w:val="center"/>
              <w:rPr>
                <w:noProof/>
                <w:szCs w:val="20"/>
              </w:rPr>
            </w:pPr>
            <w:r>
              <w:rPr>
                <w:noProof/>
              </w:rPr>
              <w:t>M4C2–12</w:t>
            </w:r>
          </w:p>
        </w:tc>
        <w:tc>
          <w:tcPr>
            <w:tcW w:w="1395" w:type="dxa"/>
            <w:shd w:val="clear" w:color="auto" w:fill="C6EFCE"/>
            <w:noWrap/>
            <w:vAlign w:val="center"/>
            <w:hideMark/>
          </w:tcPr>
          <w:p w14:paraId="1D82E399" w14:textId="77777777" w:rsidR="00327FF1" w:rsidRDefault="00E406C7">
            <w:pPr>
              <w:pStyle w:val="P68B1DB1-Normal11"/>
              <w:jc w:val="center"/>
              <w:rPr>
                <w:noProof/>
                <w:szCs w:val="20"/>
              </w:rPr>
            </w:pPr>
            <w:r>
              <w:rPr>
                <w:noProof/>
              </w:rPr>
              <w:t>Investīcija 2.1: IPCEI</w:t>
            </w:r>
          </w:p>
        </w:tc>
        <w:tc>
          <w:tcPr>
            <w:tcW w:w="1486" w:type="dxa"/>
            <w:shd w:val="clear" w:color="auto" w:fill="C6EFCE"/>
            <w:noWrap/>
            <w:vAlign w:val="center"/>
            <w:hideMark/>
          </w:tcPr>
          <w:p w14:paraId="41622971" w14:textId="77777777" w:rsidR="00327FF1" w:rsidRDefault="00E406C7">
            <w:pPr>
              <w:pStyle w:val="P68B1DB1-Normal11"/>
              <w:jc w:val="center"/>
              <w:rPr>
                <w:noProof/>
                <w:szCs w:val="20"/>
              </w:rPr>
            </w:pPr>
            <w:r>
              <w:rPr>
                <w:noProof/>
              </w:rPr>
              <w:t>Atskaites punkts</w:t>
            </w:r>
          </w:p>
        </w:tc>
        <w:tc>
          <w:tcPr>
            <w:tcW w:w="1441" w:type="dxa"/>
            <w:shd w:val="clear" w:color="auto" w:fill="C6EFCE"/>
            <w:noWrap/>
            <w:vAlign w:val="center"/>
            <w:hideMark/>
          </w:tcPr>
          <w:p w14:paraId="6DDCAB1D" w14:textId="77777777" w:rsidR="00327FF1" w:rsidRDefault="00E406C7">
            <w:pPr>
              <w:pStyle w:val="P68B1DB1-Normal11"/>
              <w:jc w:val="center"/>
              <w:rPr>
                <w:noProof/>
                <w:szCs w:val="20"/>
              </w:rPr>
            </w:pPr>
            <w:r>
              <w:rPr>
                <w:noProof/>
              </w:rPr>
              <w:t>IPCEI projektu dalībnieku saraksts ir pabeigts līdz 2023. gada 30. jūnijam.</w:t>
            </w:r>
          </w:p>
        </w:tc>
        <w:tc>
          <w:tcPr>
            <w:tcW w:w="1584" w:type="dxa"/>
            <w:shd w:val="clear" w:color="auto" w:fill="C6EFCE"/>
            <w:noWrap/>
            <w:vAlign w:val="center"/>
            <w:hideMark/>
          </w:tcPr>
          <w:p w14:paraId="459D7A49" w14:textId="77777777" w:rsidR="00327FF1" w:rsidRDefault="00E406C7">
            <w:pPr>
              <w:pStyle w:val="P68B1DB1-Normal11"/>
              <w:jc w:val="center"/>
              <w:rPr>
                <w:noProof/>
                <w:szCs w:val="20"/>
              </w:rPr>
            </w:pPr>
            <w:r>
              <w:rPr>
                <w:noProof/>
              </w:rPr>
              <w:t>Dalībnieku saraksta publicēšana</w:t>
            </w:r>
          </w:p>
        </w:tc>
        <w:tc>
          <w:tcPr>
            <w:tcW w:w="1297" w:type="dxa"/>
            <w:shd w:val="clear" w:color="auto" w:fill="C6EFCE"/>
            <w:noWrap/>
            <w:vAlign w:val="center"/>
            <w:hideMark/>
          </w:tcPr>
          <w:p w14:paraId="45691B03" w14:textId="77777777" w:rsidR="00327FF1" w:rsidRDefault="00E406C7">
            <w:pPr>
              <w:pStyle w:val="P68B1DB1-Normal11"/>
              <w:jc w:val="center"/>
              <w:rPr>
                <w:noProof/>
                <w:szCs w:val="20"/>
              </w:rPr>
            </w:pPr>
            <w:r>
              <w:rPr>
                <w:noProof/>
              </w:rPr>
              <w:t>NEPIEMĒRO</w:t>
            </w:r>
          </w:p>
        </w:tc>
        <w:tc>
          <w:tcPr>
            <w:tcW w:w="1152" w:type="dxa"/>
            <w:shd w:val="clear" w:color="auto" w:fill="C6EFCE"/>
            <w:noWrap/>
            <w:vAlign w:val="center"/>
            <w:hideMark/>
          </w:tcPr>
          <w:p w14:paraId="6C3E096B" w14:textId="77777777" w:rsidR="00327FF1" w:rsidRDefault="00E406C7">
            <w:pPr>
              <w:pStyle w:val="P68B1DB1-Normal11"/>
              <w:jc w:val="center"/>
              <w:rPr>
                <w:noProof/>
                <w:szCs w:val="20"/>
              </w:rPr>
            </w:pPr>
            <w:r>
              <w:rPr>
                <w:noProof/>
              </w:rPr>
              <w:t>NEPIEMĒRO</w:t>
            </w:r>
          </w:p>
        </w:tc>
        <w:tc>
          <w:tcPr>
            <w:tcW w:w="1296" w:type="dxa"/>
            <w:shd w:val="clear" w:color="auto" w:fill="C6EFCE"/>
            <w:noWrap/>
            <w:vAlign w:val="center"/>
            <w:hideMark/>
          </w:tcPr>
          <w:p w14:paraId="22FC4B14" w14:textId="77777777" w:rsidR="00327FF1" w:rsidRDefault="00E406C7">
            <w:pPr>
              <w:pStyle w:val="P68B1DB1-Normal11"/>
              <w:jc w:val="center"/>
              <w:rPr>
                <w:noProof/>
                <w:szCs w:val="20"/>
              </w:rPr>
            </w:pPr>
            <w:r>
              <w:rPr>
                <w:noProof/>
              </w:rPr>
              <w:t>NEPIEMĒRO</w:t>
            </w:r>
          </w:p>
        </w:tc>
        <w:tc>
          <w:tcPr>
            <w:tcW w:w="1009" w:type="dxa"/>
            <w:shd w:val="clear" w:color="auto" w:fill="C6EFCE"/>
            <w:noWrap/>
            <w:vAlign w:val="center"/>
            <w:hideMark/>
          </w:tcPr>
          <w:p w14:paraId="43D905D2"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hideMark/>
          </w:tcPr>
          <w:p w14:paraId="77C13508" w14:textId="77777777" w:rsidR="00327FF1" w:rsidRDefault="00E406C7">
            <w:pPr>
              <w:pStyle w:val="P68B1DB1-Normal11"/>
              <w:jc w:val="center"/>
              <w:rPr>
                <w:noProof/>
                <w:szCs w:val="20"/>
              </w:rPr>
            </w:pPr>
            <w:r>
              <w:rPr>
                <w:noProof/>
              </w:rPr>
              <w:t>2023</w:t>
            </w:r>
          </w:p>
        </w:tc>
        <w:tc>
          <w:tcPr>
            <w:tcW w:w="2452" w:type="dxa"/>
            <w:shd w:val="clear" w:color="auto" w:fill="C6EFCE"/>
            <w:noWrap/>
            <w:vAlign w:val="center"/>
            <w:hideMark/>
          </w:tcPr>
          <w:p w14:paraId="4A1C7BC0" w14:textId="77777777" w:rsidR="00327FF1" w:rsidRDefault="00E406C7">
            <w:pPr>
              <w:pStyle w:val="P68B1DB1-Normal12"/>
              <w:rPr>
                <w:noProof/>
              </w:rPr>
            </w:pPr>
            <w:r>
              <w:rPr>
                <w:noProof/>
              </w:rPr>
              <w:t xml:space="preserve">Sarakstā iekļauj uzņemtās pētāmās </w:t>
            </w:r>
            <w:r>
              <w:rPr>
                <w:noProof/>
              </w:rPr>
              <w:t>personas, kas piedalās IPCEI projektos, pēc iesniegto projektu verifikācijas un izvērtēšanas, ko veic saskaņā ar Tehniskajiem norādījumiem “nenodari būtisku kaitējumu” (2021/C58/01), izmantojot izslēgšanas sarakstu un prasību par atbilstību attiecīgajiem E</w:t>
            </w:r>
            <w:r>
              <w:rPr>
                <w:noProof/>
              </w:rPr>
              <w:t>S un valsts vides aizsardzības noteikumiem.</w:t>
            </w:r>
          </w:p>
        </w:tc>
      </w:tr>
      <w:tr w:rsidR="00327FF1" w14:paraId="5F2FC417" w14:textId="77777777">
        <w:trPr>
          <w:trHeight w:val="300"/>
        </w:trPr>
        <w:tc>
          <w:tcPr>
            <w:tcW w:w="1441" w:type="dxa"/>
            <w:shd w:val="clear" w:color="auto" w:fill="C6EFCE"/>
            <w:noWrap/>
            <w:vAlign w:val="center"/>
          </w:tcPr>
          <w:p w14:paraId="3CC8D7CA" w14:textId="77777777" w:rsidR="00327FF1" w:rsidRDefault="00E406C7">
            <w:pPr>
              <w:pStyle w:val="P68B1DB1-Normal12"/>
              <w:jc w:val="center"/>
              <w:rPr>
                <w:noProof/>
              </w:rPr>
            </w:pPr>
            <w:r>
              <w:rPr>
                <w:noProof/>
              </w:rPr>
              <w:t>M4C2–14</w:t>
            </w:r>
          </w:p>
        </w:tc>
        <w:tc>
          <w:tcPr>
            <w:tcW w:w="1395" w:type="dxa"/>
            <w:shd w:val="clear" w:color="auto" w:fill="C6EFCE"/>
            <w:noWrap/>
            <w:vAlign w:val="center"/>
          </w:tcPr>
          <w:p w14:paraId="000B404C" w14:textId="77777777" w:rsidR="00327FF1" w:rsidRDefault="00E406C7">
            <w:pPr>
              <w:pStyle w:val="P68B1DB1-Normal12"/>
              <w:jc w:val="center"/>
              <w:rPr>
                <w:noProof/>
              </w:rPr>
            </w:pPr>
            <w:r>
              <w:rPr>
                <w:noProof/>
              </w:rPr>
              <w:t xml:space="preserve">Investīcija 2.3.: F Tehnoloģiju nodošanas centri </w:t>
            </w:r>
          </w:p>
        </w:tc>
        <w:tc>
          <w:tcPr>
            <w:tcW w:w="1486" w:type="dxa"/>
            <w:shd w:val="clear" w:color="auto" w:fill="C6EFCE"/>
            <w:noWrap/>
            <w:vAlign w:val="center"/>
          </w:tcPr>
          <w:p w14:paraId="4AAE43E7" w14:textId="77777777" w:rsidR="00327FF1" w:rsidRDefault="00E406C7">
            <w:pPr>
              <w:pStyle w:val="P68B1DB1-Normal11"/>
              <w:jc w:val="center"/>
              <w:rPr>
                <w:noProof/>
              </w:rPr>
            </w:pPr>
            <w:r>
              <w:rPr>
                <w:noProof/>
              </w:rPr>
              <w:t>Mērķa</w:t>
            </w:r>
          </w:p>
        </w:tc>
        <w:tc>
          <w:tcPr>
            <w:tcW w:w="1441" w:type="dxa"/>
            <w:shd w:val="clear" w:color="auto" w:fill="C6EFCE"/>
            <w:noWrap/>
            <w:vAlign w:val="center"/>
          </w:tcPr>
          <w:p w14:paraId="1A6FD9C7" w14:textId="77777777" w:rsidR="00327FF1" w:rsidRDefault="00E406C7">
            <w:pPr>
              <w:pStyle w:val="P68B1DB1-Normal12"/>
              <w:jc w:val="center"/>
              <w:rPr>
                <w:noProof/>
              </w:rPr>
            </w:pPr>
            <w:r>
              <w:rPr>
                <w:noProof/>
              </w:rPr>
              <w:t>Finansiālās vērtības izmaksa 330 000 000 EUR apmērā</w:t>
            </w:r>
          </w:p>
        </w:tc>
        <w:tc>
          <w:tcPr>
            <w:tcW w:w="1584" w:type="dxa"/>
            <w:shd w:val="clear" w:color="auto" w:fill="C6EFCE"/>
            <w:noWrap/>
            <w:vAlign w:val="center"/>
          </w:tcPr>
          <w:p w14:paraId="500254C6" w14:textId="77777777" w:rsidR="00327FF1" w:rsidRDefault="00E406C7">
            <w:pPr>
              <w:pStyle w:val="P68B1DB1-Normal11"/>
              <w:jc w:val="center"/>
              <w:rPr>
                <w:noProof/>
              </w:rPr>
            </w:pPr>
            <w:r>
              <w:rPr>
                <w:noProof/>
              </w:rPr>
              <w:t>NEPIEMĒRO</w:t>
            </w:r>
          </w:p>
        </w:tc>
        <w:tc>
          <w:tcPr>
            <w:tcW w:w="1297" w:type="dxa"/>
            <w:shd w:val="clear" w:color="auto" w:fill="C6EFCE"/>
            <w:noWrap/>
            <w:vAlign w:val="center"/>
          </w:tcPr>
          <w:p w14:paraId="047B1397" w14:textId="77777777" w:rsidR="00327FF1" w:rsidRDefault="00E406C7">
            <w:pPr>
              <w:pStyle w:val="P68B1DB1-Normal11"/>
              <w:jc w:val="center"/>
              <w:rPr>
                <w:noProof/>
              </w:rPr>
            </w:pPr>
            <w:r>
              <w:rPr>
                <w:noProof/>
              </w:rPr>
              <w:t>EUR</w:t>
            </w:r>
          </w:p>
        </w:tc>
        <w:tc>
          <w:tcPr>
            <w:tcW w:w="1152" w:type="dxa"/>
            <w:shd w:val="clear" w:color="auto" w:fill="C6EFCE"/>
            <w:noWrap/>
            <w:vAlign w:val="center"/>
          </w:tcPr>
          <w:p w14:paraId="00AB2B4D" w14:textId="77777777" w:rsidR="00327FF1" w:rsidRDefault="00E406C7">
            <w:pPr>
              <w:pStyle w:val="P68B1DB1-Normal11"/>
              <w:jc w:val="center"/>
              <w:rPr>
                <w:noProof/>
              </w:rPr>
            </w:pPr>
            <w:r>
              <w:rPr>
                <w:noProof/>
              </w:rPr>
              <w:t>0</w:t>
            </w:r>
          </w:p>
        </w:tc>
        <w:tc>
          <w:tcPr>
            <w:tcW w:w="1296" w:type="dxa"/>
            <w:shd w:val="clear" w:color="auto" w:fill="C6EFCE"/>
            <w:noWrap/>
            <w:vAlign w:val="center"/>
          </w:tcPr>
          <w:p w14:paraId="41A8D93A" w14:textId="4594B979" w:rsidR="00327FF1" w:rsidRDefault="00E406C7">
            <w:pPr>
              <w:pStyle w:val="P68B1DB1-Normal12"/>
              <w:jc w:val="center"/>
              <w:rPr>
                <w:noProof/>
              </w:rPr>
            </w:pPr>
            <w:r>
              <w:rPr>
                <w:noProof/>
              </w:rPr>
              <w:t>330 000 000</w:t>
            </w:r>
          </w:p>
        </w:tc>
        <w:tc>
          <w:tcPr>
            <w:tcW w:w="1009" w:type="dxa"/>
            <w:shd w:val="clear" w:color="auto" w:fill="C6EFCE"/>
            <w:noWrap/>
            <w:vAlign w:val="center"/>
          </w:tcPr>
          <w:p w14:paraId="05A25F04" w14:textId="77777777" w:rsidR="00327FF1" w:rsidRDefault="00E406C7">
            <w:pPr>
              <w:pStyle w:val="P68B1DB1-Normal11"/>
              <w:jc w:val="center"/>
              <w:rPr>
                <w:noProof/>
              </w:rPr>
            </w:pPr>
            <w:r>
              <w:rPr>
                <w:noProof/>
              </w:rPr>
              <w:t>2. CET.</w:t>
            </w:r>
          </w:p>
        </w:tc>
        <w:tc>
          <w:tcPr>
            <w:tcW w:w="861" w:type="dxa"/>
            <w:shd w:val="clear" w:color="auto" w:fill="C6EFCE"/>
            <w:noWrap/>
            <w:vAlign w:val="center"/>
          </w:tcPr>
          <w:p w14:paraId="4123CC55" w14:textId="77777777" w:rsidR="00327FF1" w:rsidRDefault="00E406C7">
            <w:pPr>
              <w:pStyle w:val="P68B1DB1-Normal12"/>
              <w:jc w:val="center"/>
              <w:rPr>
                <w:noProof/>
              </w:rPr>
            </w:pPr>
            <w:r>
              <w:rPr>
                <w:noProof/>
              </w:rPr>
              <w:t>2026</w:t>
            </w:r>
          </w:p>
        </w:tc>
        <w:tc>
          <w:tcPr>
            <w:tcW w:w="2452" w:type="dxa"/>
            <w:shd w:val="clear" w:color="auto" w:fill="C6EFCE"/>
            <w:noWrap/>
            <w:vAlign w:val="center"/>
          </w:tcPr>
          <w:p w14:paraId="1562B558" w14:textId="101A22E1" w:rsidR="00327FF1" w:rsidRDefault="00E406C7">
            <w:pPr>
              <w:pStyle w:val="P68B1DB1-Normal12"/>
              <w:jc w:val="both"/>
              <w:rPr>
                <w:noProof/>
              </w:rPr>
            </w:pPr>
            <w:r>
              <w:rPr>
                <w:noProof/>
              </w:rPr>
              <w:t xml:space="preserve">Maksājuma rīkojumu kopējo vērtību vismaz </w:t>
            </w:r>
            <w:r>
              <w:rPr>
                <w:noProof/>
              </w:rPr>
              <w:t>330 000 000 EUR apmērā izdod vismaz 45 centriem, ar kuriem ministrija ir parakstījusi finanšu līgumus.</w:t>
            </w:r>
          </w:p>
          <w:p w14:paraId="06D3A9FE" w14:textId="77777777" w:rsidR="00327FF1" w:rsidRDefault="00E406C7">
            <w:pPr>
              <w:pStyle w:val="P68B1DB1-Normal12"/>
              <w:jc w:val="both"/>
              <w:rPr>
                <w:noProof/>
              </w:rPr>
            </w:pPr>
            <w:r>
              <w:rPr>
                <w:noProof/>
              </w:rPr>
              <w:t>Nolīgumos ar 13 Eiropas digitālās inovācijas centriem, ko saskaņā ar otro intervences virzienu līdzfinansē no programmas “Digitālā Eiropa”, precizē ANM f</w:t>
            </w:r>
            <w:r>
              <w:rPr>
                <w:noProof/>
              </w:rPr>
              <w:t xml:space="preserve">inansētās darba paketes. </w:t>
            </w:r>
          </w:p>
          <w:p w14:paraId="0F698C15" w14:textId="759C294D" w:rsidR="00327FF1" w:rsidRDefault="00E406C7">
            <w:pPr>
              <w:pStyle w:val="P68B1DB1-Normal12"/>
              <w:jc w:val="both"/>
              <w:rPr>
                <w:noProof/>
              </w:rPr>
            </w:pPr>
            <w:r>
              <w:rPr>
                <w:noProof/>
              </w:rPr>
              <w:t>Maksājuma rīkojumi attiecas uz 13 Eiropas digitālās inovācijas darba paketēm pasākuma otrajā intervences līnijā, izņemot tās darba paketes, ko finansē no programmas “Digitālā Eiropa”.</w:t>
            </w:r>
          </w:p>
        </w:tc>
      </w:tr>
      <w:tr w:rsidR="00327FF1" w14:paraId="79D9669E" w14:textId="77777777">
        <w:trPr>
          <w:trHeight w:val="313"/>
        </w:trPr>
        <w:tc>
          <w:tcPr>
            <w:tcW w:w="1441" w:type="dxa"/>
            <w:shd w:val="clear" w:color="auto" w:fill="C6EFCE"/>
            <w:noWrap/>
            <w:vAlign w:val="center"/>
            <w:hideMark/>
          </w:tcPr>
          <w:p w14:paraId="1F4484C6" w14:textId="77777777" w:rsidR="00327FF1" w:rsidRDefault="00E406C7">
            <w:pPr>
              <w:pStyle w:val="P68B1DB1-Normal11"/>
              <w:jc w:val="center"/>
              <w:rPr>
                <w:noProof/>
                <w:szCs w:val="20"/>
              </w:rPr>
            </w:pPr>
            <w:r>
              <w:rPr>
                <w:noProof/>
              </w:rPr>
              <w:t>M4C2–16</w:t>
            </w:r>
          </w:p>
        </w:tc>
        <w:tc>
          <w:tcPr>
            <w:tcW w:w="1395" w:type="dxa"/>
            <w:shd w:val="clear" w:color="auto" w:fill="C6EFCE"/>
            <w:noWrap/>
            <w:vAlign w:val="center"/>
            <w:hideMark/>
          </w:tcPr>
          <w:p w14:paraId="22A65F19" w14:textId="77777777" w:rsidR="00327FF1" w:rsidRDefault="00E406C7">
            <w:pPr>
              <w:pStyle w:val="P68B1DB1-Normal11"/>
              <w:jc w:val="center"/>
              <w:rPr>
                <w:noProof/>
                <w:szCs w:val="20"/>
              </w:rPr>
            </w:pPr>
            <w:r>
              <w:rPr>
                <w:noProof/>
              </w:rPr>
              <w:t xml:space="preserve">Investīcija Nr. 3.1: </w:t>
            </w:r>
            <w:r>
              <w:rPr>
                <w:noProof/>
                <w:szCs w:val="20"/>
              </w:rPr>
              <w:t>Pētniecības</w:t>
            </w:r>
            <w:r>
              <w:rPr>
                <w:noProof/>
              </w:rPr>
              <w:t xml:space="preserve"> un inovācijas infrastruktūras</w:t>
            </w:r>
          </w:p>
        </w:tc>
        <w:tc>
          <w:tcPr>
            <w:tcW w:w="1486" w:type="dxa"/>
            <w:shd w:val="clear" w:color="auto" w:fill="C6EFCE"/>
            <w:noWrap/>
            <w:vAlign w:val="center"/>
            <w:hideMark/>
          </w:tcPr>
          <w:p w14:paraId="639AFA47" w14:textId="77777777" w:rsidR="00327FF1" w:rsidRDefault="00E406C7">
            <w:pPr>
              <w:pStyle w:val="P68B1DB1-Normal11"/>
              <w:jc w:val="center"/>
              <w:rPr>
                <w:noProof/>
                <w:szCs w:val="20"/>
              </w:rPr>
            </w:pPr>
            <w:r>
              <w:rPr>
                <w:noProof/>
              </w:rPr>
              <w:t>Mērķa</w:t>
            </w:r>
          </w:p>
        </w:tc>
        <w:tc>
          <w:tcPr>
            <w:tcW w:w="1441" w:type="dxa"/>
            <w:shd w:val="clear" w:color="auto" w:fill="C6EFCE"/>
            <w:noWrap/>
            <w:vAlign w:val="center"/>
            <w:hideMark/>
          </w:tcPr>
          <w:p w14:paraId="4B805879" w14:textId="77777777" w:rsidR="00327FF1" w:rsidRDefault="00E406C7">
            <w:pPr>
              <w:pStyle w:val="P68B1DB1-Normal11"/>
              <w:jc w:val="center"/>
              <w:rPr>
                <w:noProof/>
                <w:szCs w:val="20"/>
              </w:rPr>
            </w:pPr>
            <w:r>
              <w:rPr>
                <w:noProof/>
              </w:rPr>
              <w:t>Finansēto infrastruktūru skaits</w:t>
            </w:r>
          </w:p>
        </w:tc>
        <w:tc>
          <w:tcPr>
            <w:tcW w:w="1584" w:type="dxa"/>
            <w:shd w:val="clear" w:color="auto" w:fill="C6EFCE"/>
            <w:noWrap/>
            <w:vAlign w:val="center"/>
            <w:hideMark/>
          </w:tcPr>
          <w:p w14:paraId="15CEFC44" w14:textId="77777777" w:rsidR="00327FF1" w:rsidRDefault="00E406C7">
            <w:pPr>
              <w:pStyle w:val="P68B1DB1-Normal11"/>
              <w:jc w:val="center"/>
              <w:rPr>
                <w:noProof/>
                <w:szCs w:val="20"/>
              </w:rPr>
            </w:pPr>
            <w:r>
              <w:rPr>
                <w:noProof/>
              </w:rPr>
              <w:t>NEPIEMĒRO</w:t>
            </w:r>
          </w:p>
        </w:tc>
        <w:tc>
          <w:tcPr>
            <w:tcW w:w="1297" w:type="dxa"/>
            <w:shd w:val="clear" w:color="auto" w:fill="C6EFCE"/>
            <w:noWrap/>
            <w:vAlign w:val="center"/>
            <w:hideMark/>
          </w:tcPr>
          <w:p w14:paraId="40B07C2B" w14:textId="77777777" w:rsidR="00327FF1" w:rsidRDefault="00E406C7">
            <w:pPr>
              <w:pStyle w:val="P68B1DB1-Normal11"/>
              <w:jc w:val="center"/>
              <w:rPr>
                <w:noProof/>
                <w:szCs w:val="20"/>
              </w:rPr>
            </w:pPr>
            <w:r>
              <w:rPr>
                <w:noProof/>
              </w:rPr>
              <w:t>Skaits</w:t>
            </w:r>
          </w:p>
        </w:tc>
        <w:tc>
          <w:tcPr>
            <w:tcW w:w="1152" w:type="dxa"/>
            <w:shd w:val="clear" w:color="auto" w:fill="C6EFCE"/>
            <w:noWrap/>
            <w:vAlign w:val="center"/>
            <w:hideMark/>
          </w:tcPr>
          <w:p w14:paraId="4D9851B1" w14:textId="77777777" w:rsidR="00327FF1" w:rsidRDefault="00E406C7">
            <w:pPr>
              <w:pStyle w:val="P68B1DB1-Normal11"/>
              <w:jc w:val="center"/>
              <w:rPr>
                <w:noProof/>
                <w:szCs w:val="20"/>
              </w:rPr>
            </w:pPr>
            <w:r>
              <w:rPr>
                <w:noProof/>
              </w:rPr>
              <w:t>0</w:t>
            </w:r>
          </w:p>
        </w:tc>
        <w:tc>
          <w:tcPr>
            <w:tcW w:w="1296" w:type="dxa"/>
            <w:shd w:val="clear" w:color="auto" w:fill="C6EFCE"/>
            <w:noWrap/>
            <w:vAlign w:val="center"/>
            <w:hideMark/>
          </w:tcPr>
          <w:p w14:paraId="6782C57F" w14:textId="77777777" w:rsidR="00327FF1" w:rsidRDefault="00E406C7">
            <w:pPr>
              <w:pStyle w:val="P68B1DB1-Normal11"/>
              <w:jc w:val="center"/>
              <w:rPr>
                <w:noProof/>
                <w:szCs w:val="20"/>
              </w:rPr>
            </w:pPr>
            <w:r>
              <w:rPr>
                <w:noProof/>
              </w:rPr>
              <w:t>30</w:t>
            </w:r>
          </w:p>
        </w:tc>
        <w:tc>
          <w:tcPr>
            <w:tcW w:w="1009" w:type="dxa"/>
            <w:shd w:val="clear" w:color="auto" w:fill="C6EFCE"/>
            <w:noWrap/>
            <w:vAlign w:val="center"/>
            <w:hideMark/>
          </w:tcPr>
          <w:p w14:paraId="1EDF7CF2"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hideMark/>
          </w:tcPr>
          <w:p w14:paraId="7EC9014A" w14:textId="77777777" w:rsidR="00327FF1" w:rsidRDefault="00E406C7">
            <w:pPr>
              <w:pStyle w:val="P68B1DB1-Normal11"/>
              <w:jc w:val="center"/>
              <w:rPr>
                <w:noProof/>
                <w:szCs w:val="20"/>
              </w:rPr>
            </w:pPr>
            <w:r>
              <w:rPr>
                <w:noProof/>
              </w:rPr>
              <w:t>2023</w:t>
            </w:r>
          </w:p>
        </w:tc>
        <w:tc>
          <w:tcPr>
            <w:tcW w:w="2452" w:type="dxa"/>
            <w:shd w:val="clear" w:color="auto" w:fill="C6EFCE"/>
            <w:noWrap/>
            <w:vAlign w:val="center"/>
            <w:hideMark/>
          </w:tcPr>
          <w:p w14:paraId="004368A0" w14:textId="5BBDA330" w:rsidR="00327FF1" w:rsidRDefault="00E406C7">
            <w:pPr>
              <w:spacing w:after="120"/>
              <w:rPr>
                <w:rFonts w:ascii="Arial Narrow" w:hAnsi="Arial Narrow"/>
                <w:noProof/>
                <w:color w:val="006100"/>
                <w:sz w:val="20"/>
                <w:szCs w:val="20"/>
              </w:rPr>
            </w:pPr>
            <w:r>
              <w:rPr>
                <w:rFonts w:ascii="Arial Narrow" w:hAnsi="Arial Narrow"/>
                <w:noProof/>
                <w:color w:val="006100"/>
                <w:sz w:val="20"/>
              </w:rPr>
              <w:t>Vismaz 30 infrastruktūras, ko finansē integrētajai pētniecības un inovācijas infrastruktūras sistēmai.</w:t>
            </w:r>
            <w:r>
              <w:rPr>
                <w:rFonts w:ascii="Arial Narrow" w:hAnsi="Arial Narrow"/>
                <w:noProof/>
              </w:rPr>
              <w:t xml:space="preserve"> </w:t>
            </w:r>
            <w:r>
              <w:rPr>
                <w:noProof/>
              </w:rPr>
              <w:t xml:space="preserve"> </w:t>
            </w:r>
            <w:r>
              <w:rPr>
                <w:noProof/>
              </w:rPr>
              <w:br/>
            </w:r>
            <w:r>
              <w:rPr>
                <w:rFonts w:ascii="Arial Narrow" w:hAnsi="Arial Narrow"/>
                <w:noProof/>
                <w:color w:val="006100"/>
                <w:sz w:val="20"/>
              </w:rPr>
              <w:t xml:space="preserve">Inovācijas infrastruktūra ietver </w:t>
            </w:r>
            <w:r>
              <w:rPr>
                <w:rFonts w:ascii="Arial Narrow" w:hAnsi="Arial Narrow"/>
                <w:noProof/>
                <w:color w:val="006100"/>
                <w:sz w:val="20"/>
              </w:rPr>
              <w:t>daudzfunkcionālas infrastruktūras, kas spēj aptvert vismaz trīs tematiskās jomas: I) kvantu, ii) progresīvo materiālu, iii) fotonikas, iv) dzīvības zinātnes, v) mākslīgā intelekta, vi) enerģētikas pārkārtošanas.</w:t>
            </w:r>
          </w:p>
          <w:p w14:paraId="3511759A" w14:textId="77777777" w:rsidR="00327FF1" w:rsidRDefault="00E406C7">
            <w:pPr>
              <w:pStyle w:val="P68B1DB1-Normal11"/>
              <w:spacing w:after="120"/>
              <w:jc w:val="both"/>
              <w:rPr>
                <w:noProof/>
                <w:szCs w:val="20"/>
              </w:rPr>
            </w:pPr>
            <w:r>
              <w:rPr>
                <w:noProof/>
              </w:rPr>
              <w:t>Mērķrādītāja apmierinoša sasniegšana ir atka</w:t>
            </w:r>
            <w:r>
              <w:rPr>
                <w:noProof/>
              </w:rPr>
              <w:t>rīga arī no vismaz 30 pētniecības vadītāju pieņemšanas darbā integrētajai pētniecības un inovācijas infrastruktūras sistēmai.</w:t>
            </w:r>
          </w:p>
        </w:tc>
      </w:tr>
      <w:tr w:rsidR="00327FF1" w14:paraId="37730A30" w14:textId="77777777">
        <w:trPr>
          <w:trHeight w:val="313"/>
        </w:trPr>
        <w:tc>
          <w:tcPr>
            <w:tcW w:w="1441" w:type="dxa"/>
            <w:shd w:val="clear" w:color="auto" w:fill="C6EFCE"/>
            <w:noWrap/>
            <w:vAlign w:val="center"/>
            <w:hideMark/>
          </w:tcPr>
          <w:p w14:paraId="2442A32D" w14:textId="77777777" w:rsidR="00327FF1" w:rsidRDefault="00E406C7">
            <w:pPr>
              <w:pStyle w:val="P68B1DB1-Normal12"/>
              <w:jc w:val="center"/>
              <w:rPr>
                <w:noProof/>
              </w:rPr>
            </w:pPr>
            <w:r>
              <w:rPr>
                <w:noProof/>
              </w:rPr>
              <w:t xml:space="preserve">M4C2–16 bis </w:t>
            </w:r>
          </w:p>
        </w:tc>
        <w:tc>
          <w:tcPr>
            <w:tcW w:w="1395" w:type="dxa"/>
            <w:shd w:val="clear" w:color="auto" w:fill="C6EFCE"/>
            <w:noWrap/>
            <w:vAlign w:val="center"/>
            <w:hideMark/>
          </w:tcPr>
          <w:p w14:paraId="2B7ABEDB" w14:textId="152A5F0D" w:rsidR="00327FF1" w:rsidRDefault="00E406C7">
            <w:pPr>
              <w:pStyle w:val="P68B1DB1-Normal12"/>
              <w:jc w:val="center"/>
              <w:rPr>
                <w:noProof/>
              </w:rPr>
            </w:pPr>
            <w:r>
              <w:rPr>
                <w:noProof/>
              </w:rPr>
              <w:t>Investīcija Nr. 3.1: Pētniecības un inovācijas infrastruktūras</w:t>
            </w:r>
          </w:p>
        </w:tc>
        <w:tc>
          <w:tcPr>
            <w:tcW w:w="1486" w:type="dxa"/>
            <w:shd w:val="clear" w:color="auto" w:fill="C6EFCE"/>
            <w:noWrap/>
            <w:vAlign w:val="center"/>
            <w:hideMark/>
          </w:tcPr>
          <w:p w14:paraId="1EF8924E" w14:textId="77777777" w:rsidR="00327FF1" w:rsidRDefault="00E406C7">
            <w:pPr>
              <w:pStyle w:val="P68B1DB1-Normal11"/>
              <w:jc w:val="center"/>
              <w:rPr>
                <w:noProof/>
                <w:szCs w:val="20"/>
              </w:rPr>
            </w:pPr>
            <w:r>
              <w:rPr>
                <w:noProof/>
              </w:rPr>
              <w:t>Mērķa</w:t>
            </w:r>
          </w:p>
        </w:tc>
        <w:tc>
          <w:tcPr>
            <w:tcW w:w="1441" w:type="dxa"/>
            <w:shd w:val="clear" w:color="auto" w:fill="C6EFCE"/>
            <w:noWrap/>
            <w:vAlign w:val="center"/>
            <w:hideMark/>
          </w:tcPr>
          <w:p w14:paraId="41117D66" w14:textId="158D3DCE" w:rsidR="00327FF1" w:rsidRDefault="00E406C7">
            <w:pPr>
              <w:pStyle w:val="P68B1DB1-Normal12"/>
              <w:jc w:val="center"/>
              <w:rPr>
                <w:noProof/>
              </w:rPr>
            </w:pPr>
            <w:r>
              <w:rPr>
                <w:noProof/>
              </w:rPr>
              <w:t xml:space="preserve">To pētniecības un inovācijas infrastruktūru skaits, kas pabeigušas savas darbības </w:t>
            </w:r>
          </w:p>
        </w:tc>
        <w:tc>
          <w:tcPr>
            <w:tcW w:w="1584" w:type="dxa"/>
            <w:shd w:val="clear" w:color="auto" w:fill="C6EFCE"/>
            <w:noWrap/>
            <w:vAlign w:val="center"/>
            <w:hideMark/>
          </w:tcPr>
          <w:p w14:paraId="57047B55" w14:textId="77777777" w:rsidR="00327FF1" w:rsidRDefault="00E406C7">
            <w:pPr>
              <w:pStyle w:val="P68B1DB1-Normal11"/>
              <w:jc w:val="center"/>
              <w:rPr>
                <w:noProof/>
                <w:szCs w:val="20"/>
              </w:rPr>
            </w:pPr>
            <w:r>
              <w:rPr>
                <w:noProof/>
              </w:rPr>
              <w:t>NEPIEMĒRO.</w:t>
            </w:r>
          </w:p>
        </w:tc>
        <w:tc>
          <w:tcPr>
            <w:tcW w:w="1297" w:type="dxa"/>
            <w:shd w:val="clear" w:color="auto" w:fill="C6EFCE"/>
            <w:noWrap/>
            <w:vAlign w:val="center"/>
            <w:hideMark/>
          </w:tcPr>
          <w:p w14:paraId="61FC5E71" w14:textId="77777777" w:rsidR="00327FF1" w:rsidRDefault="00E406C7">
            <w:pPr>
              <w:pStyle w:val="P68B1DB1-Normal11"/>
              <w:jc w:val="center"/>
              <w:rPr>
                <w:noProof/>
                <w:szCs w:val="20"/>
              </w:rPr>
            </w:pPr>
            <w:r>
              <w:rPr>
                <w:noProof/>
              </w:rPr>
              <w:t>Skaits</w:t>
            </w:r>
          </w:p>
        </w:tc>
        <w:tc>
          <w:tcPr>
            <w:tcW w:w="1152" w:type="dxa"/>
            <w:shd w:val="clear" w:color="auto" w:fill="C6EFCE"/>
            <w:noWrap/>
            <w:vAlign w:val="center"/>
            <w:hideMark/>
          </w:tcPr>
          <w:p w14:paraId="29C00AD7" w14:textId="77777777" w:rsidR="00327FF1" w:rsidRDefault="00E406C7">
            <w:pPr>
              <w:pStyle w:val="P68B1DB1-Normal11"/>
              <w:jc w:val="center"/>
              <w:rPr>
                <w:noProof/>
                <w:szCs w:val="20"/>
              </w:rPr>
            </w:pPr>
            <w:r>
              <w:rPr>
                <w:noProof/>
              </w:rPr>
              <w:t>0</w:t>
            </w:r>
          </w:p>
        </w:tc>
        <w:tc>
          <w:tcPr>
            <w:tcW w:w="1296" w:type="dxa"/>
            <w:shd w:val="clear" w:color="auto" w:fill="C6EFCE"/>
            <w:noWrap/>
            <w:vAlign w:val="center"/>
            <w:hideMark/>
          </w:tcPr>
          <w:p w14:paraId="476CA243" w14:textId="77777777" w:rsidR="00327FF1" w:rsidRDefault="00E406C7">
            <w:pPr>
              <w:pStyle w:val="P68B1DB1-Normal11"/>
              <w:jc w:val="center"/>
              <w:rPr>
                <w:noProof/>
                <w:szCs w:val="20"/>
              </w:rPr>
            </w:pPr>
            <w:r>
              <w:rPr>
                <w:noProof/>
              </w:rPr>
              <w:t>30</w:t>
            </w:r>
          </w:p>
        </w:tc>
        <w:tc>
          <w:tcPr>
            <w:tcW w:w="1009" w:type="dxa"/>
            <w:shd w:val="clear" w:color="auto" w:fill="C6EFCE"/>
            <w:noWrap/>
            <w:vAlign w:val="center"/>
            <w:hideMark/>
          </w:tcPr>
          <w:p w14:paraId="2D99BB1C"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hideMark/>
          </w:tcPr>
          <w:p w14:paraId="7DABE1AF" w14:textId="77777777" w:rsidR="00327FF1" w:rsidRDefault="00E406C7">
            <w:pPr>
              <w:pStyle w:val="P68B1DB1-Normal11"/>
              <w:jc w:val="center"/>
              <w:rPr>
                <w:noProof/>
                <w:szCs w:val="20"/>
              </w:rPr>
            </w:pPr>
            <w:r>
              <w:rPr>
                <w:noProof/>
              </w:rPr>
              <w:t>2026</w:t>
            </w:r>
          </w:p>
        </w:tc>
        <w:tc>
          <w:tcPr>
            <w:tcW w:w="2452" w:type="dxa"/>
            <w:shd w:val="clear" w:color="auto" w:fill="C6EFCE"/>
            <w:noWrap/>
            <w:vAlign w:val="center"/>
            <w:hideMark/>
          </w:tcPr>
          <w:p w14:paraId="45FDDF79" w14:textId="691732BE" w:rsidR="00327FF1" w:rsidRDefault="00E406C7">
            <w:pPr>
              <w:pStyle w:val="P68B1DB1-Normal12"/>
              <w:rPr>
                <w:noProof/>
              </w:rPr>
            </w:pPr>
            <w:r>
              <w:rPr>
                <w:noProof/>
              </w:rPr>
              <w:t>Izdod pētniecības darbību ziņojumus par vismaz 30 pētniecības (IR) un inovācijas (ITEC) infrastruktūras projektiem.</w:t>
            </w:r>
          </w:p>
        </w:tc>
      </w:tr>
      <w:tr w:rsidR="00327FF1" w14:paraId="6D2ABF8B" w14:textId="77777777">
        <w:trPr>
          <w:trHeight w:val="313"/>
        </w:trPr>
        <w:tc>
          <w:tcPr>
            <w:tcW w:w="1441" w:type="dxa"/>
            <w:shd w:val="clear" w:color="auto" w:fill="C6EFCE"/>
            <w:noWrap/>
            <w:vAlign w:val="center"/>
            <w:hideMark/>
          </w:tcPr>
          <w:p w14:paraId="535A961F" w14:textId="77777777" w:rsidR="00327FF1" w:rsidRDefault="00E406C7">
            <w:pPr>
              <w:pStyle w:val="P68B1DB1-Normal11"/>
              <w:jc w:val="center"/>
              <w:rPr>
                <w:noProof/>
                <w:szCs w:val="20"/>
              </w:rPr>
            </w:pPr>
            <w:r>
              <w:rPr>
                <w:noProof/>
              </w:rPr>
              <w:t>M4C2–17</w:t>
            </w:r>
          </w:p>
        </w:tc>
        <w:tc>
          <w:tcPr>
            <w:tcW w:w="1395" w:type="dxa"/>
            <w:shd w:val="clear" w:color="auto" w:fill="C6EFCE"/>
            <w:noWrap/>
            <w:vAlign w:val="center"/>
            <w:hideMark/>
          </w:tcPr>
          <w:p w14:paraId="553E166D" w14:textId="77777777" w:rsidR="00327FF1" w:rsidRDefault="00E406C7">
            <w:pPr>
              <w:pStyle w:val="P68B1DB1-Normal11"/>
              <w:jc w:val="center"/>
              <w:rPr>
                <w:noProof/>
                <w:szCs w:val="20"/>
              </w:rPr>
            </w:pPr>
            <w:r>
              <w:rPr>
                <w:noProof/>
              </w:rPr>
              <w:t xml:space="preserve">Investīcija </w:t>
            </w:r>
            <w:r>
              <w:rPr>
                <w:noProof/>
              </w:rPr>
              <w:t>Nr. 3.1: Pētniecības un inovācijas infrastruktūras integrētas sistēmas izveides fonds; Ieguldījumi</w:t>
            </w:r>
          </w:p>
        </w:tc>
        <w:tc>
          <w:tcPr>
            <w:tcW w:w="1486" w:type="dxa"/>
            <w:shd w:val="clear" w:color="auto" w:fill="C6EFCE"/>
            <w:noWrap/>
            <w:vAlign w:val="center"/>
            <w:hideMark/>
          </w:tcPr>
          <w:p w14:paraId="49EF3468" w14:textId="77777777" w:rsidR="00327FF1" w:rsidRDefault="00E406C7">
            <w:pPr>
              <w:pStyle w:val="P68B1DB1-Normal11"/>
              <w:jc w:val="center"/>
              <w:rPr>
                <w:noProof/>
                <w:szCs w:val="20"/>
              </w:rPr>
            </w:pPr>
            <w:r>
              <w:rPr>
                <w:noProof/>
              </w:rPr>
              <w:t>Atskaites punkts</w:t>
            </w:r>
          </w:p>
        </w:tc>
        <w:tc>
          <w:tcPr>
            <w:tcW w:w="1441" w:type="dxa"/>
            <w:shd w:val="clear" w:color="auto" w:fill="C6EFCE"/>
            <w:noWrap/>
            <w:vAlign w:val="center"/>
            <w:hideMark/>
          </w:tcPr>
          <w:p w14:paraId="78BA4754" w14:textId="6688D7A2" w:rsidR="00327FF1" w:rsidRDefault="00E406C7">
            <w:pPr>
              <w:pStyle w:val="P68B1DB1-Normal11"/>
              <w:jc w:val="center"/>
              <w:rPr>
                <w:noProof/>
                <w:szCs w:val="20"/>
              </w:rPr>
            </w:pPr>
            <w:r>
              <w:rPr>
                <w:noProof/>
              </w:rPr>
              <w:t>Līgumu slēgšanas tiesību piešķiršana projektiem, kas attiecas uz: integrēta pētniecības un inovācijas infrastruktūru sistēma</w:t>
            </w:r>
          </w:p>
        </w:tc>
        <w:tc>
          <w:tcPr>
            <w:tcW w:w="1584" w:type="dxa"/>
            <w:shd w:val="clear" w:color="auto" w:fill="C6EFCE"/>
            <w:noWrap/>
            <w:vAlign w:val="center"/>
            <w:hideMark/>
          </w:tcPr>
          <w:p w14:paraId="1D4F61A5" w14:textId="77777777" w:rsidR="00327FF1" w:rsidRDefault="00E406C7">
            <w:pPr>
              <w:pStyle w:val="P68B1DB1-Normal11"/>
              <w:jc w:val="center"/>
              <w:rPr>
                <w:noProof/>
                <w:szCs w:val="20"/>
              </w:rPr>
            </w:pPr>
            <w:r>
              <w:rPr>
                <w:noProof/>
              </w:rPr>
              <w:t xml:space="preserve">Paziņots par </w:t>
            </w:r>
            <w:r>
              <w:rPr>
                <w:noProof/>
              </w:rPr>
              <w:t>līgumu noslēgšanu</w:t>
            </w:r>
          </w:p>
        </w:tc>
        <w:tc>
          <w:tcPr>
            <w:tcW w:w="1297" w:type="dxa"/>
            <w:shd w:val="clear" w:color="auto" w:fill="C6EFCE"/>
            <w:noWrap/>
            <w:vAlign w:val="center"/>
            <w:hideMark/>
          </w:tcPr>
          <w:p w14:paraId="0961C1CC" w14:textId="77777777" w:rsidR="00327FF1" w:rsidRDefault="00E406C7">
            <w:pPr>
              <w:pStyle w:val="P68B1DB1-Normal11"/>
              <w:jc w:val="center"/>
              <w:rPr>
                <w:noProof/>
                <w:szCs w:val="20"/>
              </w:rPr>
            </w:pPr>
            <w:r>
              <w:rPr>
                <w:noProof/>
              </w:rPr>
              <w:t>NEPIEMĒRO</w:t>
            </w:r>
          </w:p>
        </w:tc>
        <w:tc>
          <w:tcPr>
            <w:tcW w:w="1152" w:type="dxa"/>
            <w:shd w:val="clear" w:color="auto" w:fill="C6EFCE"/>
            <w:noWrap/>
            <w:vAlign w:val="center"/>
            <w:hideMark/>
          </w:tcPr>
          <w:p w14:paraId="06547432" w14:textId="77777777" w:rsidR="00327FF1" w:rsidRDefault="00E406C7">
            <w:pPr>
              <w:pStyle w:val="P68B1DB1-Normal11"/>
              <w:jc w:val="center"/>
              <w:rPr>
                <w:noProof/>
                <w:szCs w:val="20"/>
              </w:rPr>
            </w:pPr>
            <w:r>
              <w:rPr>
                <w:noProof/>
              </w:rPr>
              <w:t>NEPIEMĒRO</w:t>
            </w:r>
          </w:p>
        </w:tc>
        <w:tc>
          <w:tcPr>
            <w:tcW w:w="1296" w:type="dxa"/>
            <w:shd w:val="clear" w:color="auto" w:fill="C6EFCE"/>
            <w:noWrap/>
            <w:vAlign w:val="center"/>
            <w:hideMark/>
          </w:tcPr>
          <w:p w14:paraId="70FA67C5" w14:textId="77777777" w:rsidR="00327FF1" w:rsidRDefault="00E406C7">
            <w:pPr>
              <w:pStyle w:val="P68B1DB1-Normal11"/>
              <w:jc w:val="center"/>
              <w:rPr>
                <w:noProof/>
                <w:szCs w:val="20"/>
              </w:rPr>
            </w:pPr>
            <w:r>
              <w:rPr>
                <w:noProof/>
              </w:rPr>
              <w:t>NEPIEMĒRO</w:t>
            </w:r>
          </w:p>
        </w:tc>
        <w:tc>
          <w:tcPr>
            <w:tcW w:w="1009" w:type="dxa"/>
            <w:shd w:val="clear" w:color="auto" w:fill="C6EFCE"/>
            <w:noWrap/>
            <w:vAlign w:val="center"/>
            <w:hideMark/>
          </w:tcPr>
          <w:p w14:paraId="516BE6F4"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hideMark/>
          </w:tcPr>
          <w:p w14:paraId="3387F82E" w14:textId="77777777" w:rsidR="00327FF1" w:rsidRDefault="00E406C7">
            <w:pPr>
              <w:pStyle w:val="P68B1DB1-Normal11"/>
              <w:jc w:val="center"/>
              <w:rPr>
                <w:noProof/>
                <w:szCs w:val="20"/>
              </w:rPr>
            </w:pPr>
            <w:r>
              <w:rPr>
                <w:noProof/>
              </w:rPr>
              <w:t>2022</w:t>
            </w:r>
          </w:p>
        </w:tc>
        <w:tc>
          <w:tcPr>
            <w:tcW w:w="2452" w:type="dxa"/>
            <w:shd w:val="clear" w:color="auto" w:fill="C6EFCE"/>
            <w:noWrap/>
            <w:vAlign w:val="center"/>
            <w:hideMark/>
          </w:tcPr>
          <w:p w14:paraId="0248D8E0" w14:textId="2AC54CDA" w:rsidR="00327FF1" w:rsidRDefault="00E406C7">
            <w:pPr>
              <w:pStyle w:val="P68B1DB1-Normal12"/>
              <w:spacing w:after="120"/>
              <w:rPr>
                <w:noProof/>
              </w:rPr>
            </w:pPr>
            <w:r>
              <w:rPr>
                <w:noProof/>
              </w:rPr>
              <w:t>Paziņojums par līgumu slēgšanas tiesību piešķiršanu projektiem, kas atlasīti konkursa uzaicinājumos iesniegt priekšlikumus, saskaņā ar Tehniskajiem norādījumiem “nenodari būtisku kaitējumu” (2021</w:t>
            </w:r>
            <w:r>
              <w:rPr>
                <w:noProof/>
              </w:rPr>
              <w:t>/C58/01), izmantojot izslēgšanas sarakstu un prasību par atbilstību attiecīgajiem ES un valsts tiesību aktiem vides jomā.</w:t>
            </w:r>
          </w:p>
          <w:p w14:paraId="3FB4CCE3" w14:textId="77777777" w:rsidR="00327FF1" w:rsidRDefault="00E406C7">
            <w:pPr>
              <w:pStyle w:val="P68B1DB1-Normal11"/>
              <w:spacing w:after="120"/>
              <w:rPr>
                <w:noProof/>
              </w:rPr>
            </w:pPr>
            <w:r>
              <w:rPr>
                <w:noProof/>
              </w:rPr>
              <w:t xml:space="preserve">Priekšlikumus atlasa, pamatojoties uz šādiem kritērijiem: </w:t>
            </w:r>
          </w:p>
          <w:p w14:paraId="1624ED32" w14:textId="77777777" w:rsidR="00327FF1" w:rsidRDefault="00E406C7">
            <w:pPr>
              <w:pStyle w:val="P68B1DB1-Normal12"/>
              <w:spacing w:after="120"/>
              <w:rPr>
                <w:noProof/>
              </w:rPr>
            </w:pPr>
            <w:r>
              <w:rPr>
                <w:noProof/>
              </w:rPr>
              <w:t>vadošā loma zinātnē/tehnoloģijā/inovācijā, to inovācijas potenciāls (gan at</w:t>
            </w:r>
            <w:r>
              <w:rPr>
                <w:noProof/>
              </w:rPr>
              <w:t>tiecībā uz atvērtu inovāciju/atklātiem datiem, gan īpašumtiesību attīstību), atbilstība tematiskajām jomām vai jauniem revolucionāriem jauninājumiem, to praktiskās un inovācijas plāni, atbalsts no nozares kā atvērtas inovācijas partnerim un/vai lietotājiem</w:t>
            </w:r>
            <w:r>
              <w:rPr>
                <w:noProof/>
              </w:rPr>
              <w:t>, uzņēmējdarbības attīstības darbību spēks, intelektuālā īpašuma ģenerēšana, skaidri noteikumi par atvērtu un aizsargātu ražošanas un licencēšanas plānu nošķiršanu, spēja attīstīt un uzņemt rūpniecības doktorantūras, saiknes ar uzņēmumu vai cita veida fond</w:t>
            </w:r>
            <w:r>
              <w:rPr>
                <w:noProof/>
              </w:rPr>
              <w:t>i, lai veicinātu jaunu jaunuzņēmumu attīstību.</w:t>
            </w:r>
          </w:p>
          <w:p w14:paraId="21AC61A5" w14:textId="77777777" w:rsidR="00327FF1" w:rsidRDefault="00E406C7">
            <w:pPr>
              <w:pStyle w:val="P68B1DB1-Normal11"/>
              <w:spacing w:after="120"/>
              <w:rPr>
                <w:noProof/>
                <w:szCs w:val="20"/>
              </w:rPr>
            </w:pPr>
            <w:r>
              <w:rPr>
                <w:noProof/>
              </w:rPr>
              <w:t>Atlases procedūrā ir jāveic NBK izvērtējums un attiecīgā gadījumā stratēģiskais vides novērtējums (SVN), ja paredzams, ka projektam būs konsekventa ietekme uz teritoriju.</w:t>
            </w:r>
          </w:p>
        </w:tc>
      </w:tr>
      <w:tr w:rsidR="00327FF1" w14:paraId="476EE27A" w14:textId="77777777">
        <w:trPr>
          <w:trHeight w:val="313"/>
        </w:trPr>
        <w:tc>
          <w:tcPr>
            <w:tcW w:w="1441" w:type="dxa"/>
            <w:shd w:val="clear" w:color="auto" w:fill="C6EFCE"/>
            <w:noWrap/>
            <w:vAlign w:val="center"/>
          </w:tcPr>
          <w:p w14:paraId="1C033813" w14:textId="77777777" w:rsidR="00327FF1" w:rsidRDefault="00E406C7">
            <w:pPr>
              <w:pStyle w:val="P68B1DB1-Normal11"/>
              <w:spacing w:after="120"/>
              <w:jc w:val="center"/>
              <w:rPr>
                <w:noProof/>
                <w:szCs w:val="20"/>
              </w:rPr>
            </w:pPr>
            <w:r>
              <w:rPr>
                <w:noProof/>
              </w:rPr>
              <w:t>M4C2–18</w:t>
            </w:r>
          </w:p>
        </w:tc>
        <w:tc>
          <w:tcPr>
            <w:tcW w:w="1395" w:type="dxa"/>
            <w:shd w:val="clear" w:color="auto" w:fill="C6EFCE"/>
            <w:noWrap/>
            <w:vAlign w:val="center"/>
          </w:tcPr>
          <w:p w14:paraId="428AFF0D" w14:textId="77777777" w:rsidR="00327FF1" w:rsidRDefault="00E406C7">
            <w:pPr>
              <w:pStyle w:val="P68B1DB1-Normal11"/>
              <w:spacing w:after="120"/>
              <w:jc w:val="center"/>
              <w:rPr>
                <w:noProof/>
                <w:szCs w:val="20"/>
              </w:rPr>
            </w:pPr>
            <w:r>
              <w:rPr>
                <w:noProof/>
              </w:rPr>
              <w:t>Ieviešana1.5: “Ilgtspēju</w:t>
            </w:r>
            <w:r>
              <w:rPr>
                <w:noProof/>
              </w:rPr>
              <w:t xml:space="preserve"> sekmējošu inovāciju ekosistēmu” izveide un stiprināšana, veidojot “pētniecības un izstrādes teritoriālos līderus”</w:t>
            </w:r>
          </w:p>
        </w:tc>
        <w:tc>
          <w:tcPr>
            <w:tcW w:w="1486" w:type="dxa"/>
            <w:shd w:val="clear" w:color="auto" w:fill="C6EFCE"/>
            <w:noWrap/>
            <w:vAlign w:val="center"/>
          </w:tcPr>
          <w:p w14:paraId="696780DE" w14:textId="77777777" w:rsidR="00327FF1" w:rsidRDefault="00E406C7">
            <w:pPr>
              <w:pStyle w:val="P68B1DB1-Normal11"/>
              <w:spacing w:after="120"/>
              <w:jc w:val="center"/>
              <w:rPr>
                <w:noProof/>
                <w:szCs w:val="20"/>
              </w:rPr>
            </w:pPr>
            <w:r>
              <w:rPr>
                <w:noProof/>
              </w:rPr>
              <w:t>Atskaites punkts</w:t>
            </w:r>
          </w:p>
        </w:tc>
        <w:tc>
          <w:tcPr>
            <w:tcW w:w="1441" w:type="dxa"/>
            <w:shd w:val="clear" w:color="auto" w:fill="C6EFCE"/>
            <w:noWrap/>
            <w:vAlign w:val="center"/>
          </w:tcPr>
          <w:p w14:paraId="42C7BB1C" w14:textId="6E22095B" w:rsidR="00327FF1" w:rsidRDefault="00E406C7">
            <w:pPr>
              <w:pStyle w:val="P68B1DB1-Normal11"/>
              <w:spacing w:after="120"/>
              <w:jc w:val="center"/>
              <w:rPr>
                <w:noProof/>
                <w:szCs w:val="20"/>
              </w:rPr>
            </w:pPr>
            <w:r>
              <w:rPr>
                <w:noProof/>
              </w:rPr>
              <w:t>Līgumu slēgšanas tiesību piešķiršana projektiem, kas saistīti ar inovācijas ekosistēmām;</w:t>
            </w:r>
          </w:p>
        </w:tc>
        <w:tc>
          <w:tcPr>
            <w:tcW w:w="1584" w:type="dxa"/>
            <w:shd w:val="clear" w:color="auto" w:fill="C6EFCE"/>
            <w:noWrap/>
            <w:vAlign w:val="center"/>
          </w:tcPr>
          <w:p w14:paraId="036201AF" w14:textId="77777777" w:rsidR="00327FF1" w:rsidRDefault="00E406C7">
            <w:pPr>
              <w:pStyle w:val="P68B1DB1-Normal11"/>
              <w:spacing w:after="120"/>
              <w:jc w:val="center"/>
              <w:rPr>
                <w:noProof/>
                <w:szCs w:val="20"/>
              </w:rPr>
            </w:pPr>
            <w:r>
              <w:rPr>
                <w:noProof/>
              </w:rPr>
              <w:t>Paziņots par līgumu noslēgšanu</w:t>
            </w:r>
          </w:p>
        </w:tc>
        <w:tc>
          <w:tcPr>
            <w:tcW w:w="1297" w:type="dxa"/>
            <w:shd w:val="clear" w:color="auto" w:fill="C6EFCE"/>
            <w:noWrap/>
            <w:vAlign w:val="center"/>
          </w:tcPr>
          <w:p w14:paraId="61E74840" w14:textId="77777777" w:rsidR="00327FF1" w:rsidRDefault="00E406C7">
            <w:pPr>
              <w:pStyle w:val="P68B1DB1-Normal11"/>
              <w:spacing w:after="120"/>
              <w:jc w:val="center"/>
              <w:rPr>
                <w:noProof/>
                <w:szCs w:val="20"/>
              </w:rPr>
            </w:pPr>
            <w:r>
              <w:rPr>
                <w:noProof/>
              </w:rPr>
              <w:t>NEPIEMĒRO</w:t>
            </w:r>
          </w:p>
        </w:tc>
        <w:tc>
          <w:tcPr>
            <w:tcW w:w="1152" w:type="dxa"/>
            <w:shd w:val="clear" w:color="auto" w:fill="C6EFCE"/>
            <w:noWrap/>
            <w:vAlign w:val="center"/>
          </w:tcPr>
          <w:p w14:paraId="00CBA981" w14:textId="77777777" w:rsidR="00327FF1" w:rsidRDefault="00E406C7">
            <w:pPr>
              <w:pStyle w:val="P68B1DB1-Normal11"/>
              <w:spacing w:after="120"/>
              <w:jc w:val="center"/>
              <w:rPr>
                <w:noProof/>
                <w:szCs w:val="20"/>
              </w:rPr>
            </w:pPr>
            <w:r>
              <w:rPr>
                <w:noProof/>
              </w:rPr>
              <w:t>NEPIEMĒRO</w:t>
            </w:r>
          </w:p>
        </w:tc>
        <w:tc>
          <w:tcPr>
            <w:tcW w:w="1296" w:type="dxa"/>
            <w:shd w:val="clear" w:color="auto" w:fill="C6EFCE"/>
            <w:noWrap/>
            <w:vAlign w:val="center"/>
          </w:tcPr>
          <w:p w14:paraId="20325CB5" w14:textId="77777777" w:rsidR="00327FF1" w:rsidRDefault="00E406C7">
            <w:pPr>
              <w:pStyle w:val="P68B1DB1-Normal11"/>
              <w:spacing w:after="120"/>
              <w:jc w:val="center"/>
              <w:rPr>
                <w:noProof/>
                <w:szCs w:val="20"/>
              </w:rPr>
            </w:pPr>
            <w:r>
              <w:rPr>
                <w:noProof/>
              </w:rPr>
              <w:t>NEPIEMĒRO</w:t>
            </w:r>
          </w:p>
        </w:tc>
        <w:tc>
          <w:tcPr>
            <w:tcW w:w="1009" w:type="dxa"/>
            <w:shd w:val="clear" w:color="auto" w:fill="C6EFCE"/>
            <w:noWrap/>
            <w:vAlign w:val="center"/>
          </w:tcPr>
          <w:p w14:paraId="471B50FD" w14:textId="77777777" w:rsidR="00327FF1" w:rsidRDefault="00E406C7">
            <w:pPr>
              <w:pStyle w:val="P68B1DB1-Normal11"/>
              <w:spacing w:after="120"/>
              <w:jc w:val="center"/>
              <w:rPr>
                <w:noProof/>
                <w:szCs w:val="20"/>
              </w:rPr>
            </w:pPr>
            <w:r>
              <w:rPr>
                <w:noProof/>
              </w:rPr>
              <w:t>2. CET.</w:t>
            </w:r>
          </w:p>
        </w:tc>
        <w:tc>
          <w:tcPr>
            <w:tcW w:w="861" w:type="dxa"/>
            <w:shd w:val="clear" w:color="auto" w:fill="C6EFCE"/>
            <w:noWrap/>
            <w:vAlign w:val="center"/>
          </w:tcPr>
          <w:p w14:paraId="7DFED8F4" w14:textId="77777777" w:rsidR="00327FF1" w:rsidRDefault="00E406C7">
            <w:pPr>
              <w:pStyle w:val="P68B1DB1-Normal11"/>
              <w:spacing w:after="120"/>
              <w:jc w:val="center"/>
              <w:rPr>
                <w:noProof/>
                <w:szCs w:val="20"/>
              </w:rPr>
            </w:pPr>
            <w:r>
              <w:rPr>
                <w:noProof/>
              </w:rPr>
              <w:t>2022</w:t>
            </w:r>
          </w:p>
        </w:tc>
        <w:tc>
          <w:tcPr>
            <w:tcW w:w="2452" w:type="dxa"/>
            <w:shd w:val="clear" w:color="auto" w:fill="C6EFCE"/>
            <w:noWrap/>
            <w:vAlign w:val="center"/>
          </w:tcPr>
          <w:p w14:paraId="34D60579" w14:textId="2ACDD0CF" w:rsidR="00327FF1" w:rsidRDefault="00E406C7">
            <w:pPr>
              <w:pStyle w:val="P68B1DB1-Normal12"/>
              <w:spacing w:after="120"/>
              <w:rPr>
                <w:noProof/>
              </w:rPr>
            </w:pPr>
            <w:r>
              <w:rPr>
                <w:noProof/>
              </w:rPr>
              <w:t>Paziņojums par līgumu slēgšanas tiesību piešķiršanu projektiem, kas atlasīti konkursa uzaicinājumos iesniegt priekšlikumus, saskaņā ar Tehniskajiem norādījumiem “nenodari būtisku kaitējumu” (2021/C58/01), izmantoj</w:t>
            </w:r>
            <w:r>
              <w:rPr>
                <w:noProof/>
              </w:rPr>
              <w:t>ot izslēgšanas sarakstu un prasību par atbilstību attiecīgajiem ES un valsts tiesību aktiem vides jomā.</w:t>
            </w:r>
          </w:p>
          <w:p w14:paraId="119CBE1D" w14:textId="77777777" w:rsidR="00327FF1" w:rsidRDefault="00E406C7">
            <w:pPr>
              <w:pStyle w:val="P68B1DB1-Normal11"/>
              <w:spacing w:after="120"/>
              <w:rPr>
                <w:noProof/>
                <w:szCs w:val="20"/>
              </w:rPr>
            </w:pPr>
            <w:r>
              <w:rPr>
                <w:noProof/>
              </w:rPr>
              <w:t>Atlases procedūrā ir jāveic NBK izvērtējums un attiecīgā gadījumā stratēģiskais vides novērtējums (SVN), ja paredzams, ka projektam būs konsekventa iete</w:t>
            </w:r>
            <w:r>
              <w:rPr>
                <w:noProof/>
              </w:rPr>
              <w:t>kme uz teritoriju.</w:t>
            </w:r>
          </w:p>
          <w:p w14:paraId="45361921" w14:textId="77777777" w:rsidR="00327FF1" w:rsidRDefault="00E406C7">
            <w:pPr>
              <w:pStyle w:val="P68B1DB1-Normal11"/>
              <w:spacing w:after="120"/>
              <w:rPr>
                <w:noProof/>
                <w:szCs w:val="20"/>
              </w:rPr>
            </w:pPr>
            <w:r>
              <w:rPr>
                <w:noProof/>
              </w:rPr>
              <w:t>Nacionālos centrus (NC) izveido pēc konkursa uzaicinājuma, apvienojot esošās pasaulē vadošās laboratorijas, kas jau darbojas universitātēs, un publiskos un privātos pētniecības centrus, kā arī izveidojot jaunu pielāgotu infrastruktūru.</w:t>
            </w:r>
          </w:p>
        </w:tc>
      </w:tr>
      <w:tr w:rsidR="00327FF1" w14:paraId="51C9DDEE" w14:textId="77777777">
        <w:trPr>
          <w:trHeight w:val="313"/>
        </w:trPr>
        <w:tc>
          <w:tcPr>
            <w:tcW w:w="1441" w:type="dxa"/>
            <w:shd w:val="clear" w:color="auto" w:fill="C6EFCE"/>
            <w:noWrap/>
            <w:vAlign w:val="center"/>
          </w:tcPr>
          <w:p w14:paraId="03F333D9" w14:textId="77777777" w:rsidR="00327FF1" w:rsidRDefault="00E406C7">
            <w:pPr>
              <w:pStyle w:val="P68B1DB1-Normal12"/>
              <w:jc w:val="center"/>
              <w:rPr>
                <w:noProof/>
              </w:rPr>
            </w:pPr>
            <w:r>
              <w:rPr>
                <w:noProof/>
              </w:rPr>
              <w:t>M4C2–18 Bis</w:t>
            </w:r>
          </w:p>
        </w:tc>
        <w:tc>
          <w:tcPr>
            <w:tcW w:w="1395" w:type="dxa"/>
            <w:shd w:val="clear" w:color="auto" w:fill="C6EFCE"/>
            <w:noWrap/>
            <w:vAlign w:val="center"/>
          </w:tcPr>
          <w:p w14:paraId="2418B0EC" w14:textId="34D06CA4" w:rsidR="00327FF1" w:rsidRDefault="00E406C7">
            <w:pPr>
              <w:pStyle w:val="P68B1DB1-Normal12"/>
              <w:jc w:val="center"/>
              <w:rPr>
                <w:noProof/>
              </w:rPr>
            </w:pPr>
            <w:r>
              <w:rPr>
                <w:noProof/>
              </w:rPr>
              <w:t>Ieviešana1.5: “Inovācijas ekosistēmas ilgtspējai”, veidojot “pētniecības un izstrādes teritoriālos līderus”</w:t>
            </w:r>
          </w:p>
        </w:tc>
        <w:tc>
          <w:tcPr>
            <w:tcW w:w="1486" w:type="dxa"/>
            <w:shd w:val="clear" w:color="auto" w:fill="C6EFCE"/>
            <w:noWrap/>
            <w:vAlign w:val="center"/>
          </w:tcPr>
          <w:p w14:paraId="62482433" w14:textId="77777777" w:rsidR="00327FF1" w:rsidRDefault="00E406C7">
            <w:pPr>
              <w:pStyle w:val="P68B1DB1-Normal11"/>
              <w:jc w:val="center"/>
              <w:rPr>
                <w:noProof/>
                <w:szCs w:val="20"/>
              </w:rPr>
            </w:pPr>
            <w:r>
              <w:rPr>
                <w:noProof/>
              </w:rPr>
              <w:t>Mērķa</w:t>
            </w:r>
          </w:p>
        </w:tc>
        <w:tc>
          <w:tcPr>
            <w:tcW w:w="1441" w:type="dxa"/>
            <w:shd w:val="clear" w:color="auto" w:fill="C6EFCE"/>
            <w:noWrap/>
            <w:vAlign w:val="center"/>
          </w:tcPr>
          <w:p w14:paraId="04A1A9E6" w14:textId="3AE4A872" w:rsidR="00327FF1" w:rsidRDefault="00E406C7">
            <w:pPr>
              <w:pStyle w:val="P68B1DB1-Normal12"/>
              <w:jc w:val="center"/>
              <w:rPr>
                <w:noProof/>
              </w:rPr>
            </w:pPr>
            <w:r>
              <w:rPr>
                <w:noProof/>
              </w:rPr>
              <w:t>Inovācijas ekosistēmu īstenotās darbības</w:t>
            </w:r>
          </w:p>
        </w:tc>
        <w:tc>
          <w:tcPr>
            <w:tcW w:w="1584" w:type="dxa"/>
            <w:shd w:val="clear" w:color="auto" w:fill="C6EFCE"/>
            <w:noWrap/>
            <w:vAlign w:val="center"/>
          </w:tcPr>
          <w:p w14:paraId="48FF8936" w14:textId="77777777" w:rsidR="00327FF1" w:rsidRDefault="00E406C7">
            <w:pPr>
              <w:pStyle w:val="P68B1DB1-Normal11"/>
              <w:jc w:val="center"/>
              <w:rPr>
                <w:noProof/>
                <w:szCs w:val="20"/>
              </w:rPr>
            </w:pPr>
            <w:r>
              <w:rPr>
                <w:noProof/>
              </w:rPr>
              <w:t>NEPIEMĒRO.</w:t>
            </w:r>
          </w:p>
        </w:tc>
        <w:tc>
          <w:tcPr>
            <w:tcW w:w="1297" w:type="dxa"/>
            <w:shd w:val="clear" w:color="auto" w:fill="C6EFCE"/>
            <w:noWrap/>
            <w:vAlign w:val="center"/>
          </w:tcPr>
          <w:p w14:paraId="0E3FC05A" w14:textId="77777777" w:rsidR="00327FF1" w:rsidRDefault="00E406C7">
            <w:pPr>
              <w:pStyle w:val="P68B1DB1-Normal11"/>
              <w:jc w:val="center"/>
              <w:rPr>
                <w:noProof/>
                <w:szCs w:val="20"/>
              </w:rPr>
            </w:pPr>
            <w:r>
              <w:rPr>
                <w:noProof/>
              </w:rPr>
              <w:t>Skaits</w:t>
            </w:r>
          </w:p>
        </w:tc>
        <w:tc>
          <w:tcPr>
            <w:tcW w:w="1152" w:type="dxa"/>
            <w:shd w:val="clear" w:color="auto" w:fill="C6EFCE"/>
            <w:noWrap/>
            <w:vAlign w:val="center"/>
          </w:tcPr>
          <w:p w14:paraId="3EC2E71B" w14:textId="77777777" w:rsidR="00327FF1" w:rsidRDefault="00E406C7">
            <w:pPr>
              <w:pStyle w:val="P68B1DB1-Normal11"/>
              <w:jc w:val="center"/>
              <w:rPr>
                <w:noProof/>
                <w:szCs w:val="20"/>
              </w:rPr>
            </w:pPr>
            <w:r>
              <w:rPr>
                <w:noProof/>
              </w:rPr>
              <w:t>0</w:t>
            </w:r>
          </w:p>
        </w:tc>
        <w:tc>
          <w:tcPr>
            <w:tcW w:w="1296" w:type="dxa"/>
            <w:shd w:val="clear" w:color="auto" w:fill="C6EFCE"/>
            <w:noWrap/>
            <w:vAlign w:val="center"/>
          </w:tcPr>
          <w:p w14:paraId="5628C94E" w14:textId="77777777" w:rsidR="00327FF1" w:rsidRDefault="00E406C7">
            <w:pPr>
              <w:pStyle w:val="P68B1DB1-Normal11"/>
              <w:jc w:val="center"/>
              <w:rPr>
                <w:noProof/>
                <w:szCs w:val="20"/>
              </w:rPr>
            </w:pPr>
            <w:r>
              <w:rPr>
                <w:noProof/>
              </w:rPr>
              <w:t>10</w:t>
            </w:r>
          </w:p>
        </w:tc>
        <w:tc>
          <w:tcPr>
            <w:tcW w:w="1009" w:type="dxa"/>
            <w:shd w:val="clear" w:color="auto" w:fill="C6EFCE"/>
            <w:noWrap/>
            <w:vAlign w:val="center"/>
          </w:tcPr>
          <w:p w14:paraId="75BF8EA6"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tcPr>
          <w:p w14:paraId="50D063ED" w14:textId="77777777" w:rsidR="00327FF1" w:rsidRDefault="00E406C7">
            <w:pPr>
              <w:pStyle w:val="P68B1DB1-Normal11"/>
              <w:jc w:val="center"/>
              <w:rPr>
                <w:noProof/>
                <w:szCs w:val="20"/>
              </w:rPr>
            </w:pPr>
            <w:r>
              <w:rPr>
                <w:noProof/>
              </w:rPr>
              <w:t>2026</w:t>
            </w:r>
          </w:p>
        </w:tc>
        <w:tc>
          <w:tcPr>
            <w:tcW w:w="2452" w:type="dxa"/>
            <w:shd w:val="clear" w:color="auto" w:fill="C6EFCE"/>
            <w:noWrap/>
            <w:vAlign w:val="center"/>
          </w:tcPr>
          <w:p w14:paraId="65964B0B" w14:textId="77777777" w:rsidR="00327FF1" w:rsidRDefault="00E406C7">
            <w:pPr>
              <w:pStyle w:val="P68B1DB1-Normal12"/>
              <w:rPr>
                <w:noProof/>
              </w:rPr>
            </w:pPr>
            <w:r>
              <w:rPr>
                <w:noProof/>
              </w:rPr>
              <w:t xml:space="preserve">Izdod pētniecības darbību ziņojumus par vismaz 10 </w:t>
            </w:r>
            <w:r>
              <w:rPr>
                <w:noProof/>
              </w:rPr>
              <w:t>inovācijas ekosistēmām.</w:t>
            </w:r>
          </w:p>
        </w:tc>
      </w:tr>
      <w:tr w:rsidR="00327FF1" w14:paraId="05602867" w14:textId="77777777">
        <w:trPr>
          <w:trHeight w:val="313"/>
        </w:trPr>
        <w:tc>
          <w:tcPr>
            <w:tcW w:w="1441" w:type="dxa"/>
            <w:shd w:val="clear" w:color="auto" w:fill="C6EFCE"/>
            <w:noWrap/>
            <w:vAlign w:val="center"/>
          </w:tcPr>
          <w:p w14:paraId="4853D3BE" w14:textId="77777777" w:rsidR="00327FF1" w:rsidRDefault="00E406C7">
            <w:pPr>
              <w:pStyle w:val="P68B1DB1-Normal11"/>
              <w:jc w:val="center"/>
              <w:rPr>
                <w:noProof/>
                <w:szCs w:val="20"/>
              </w:rPr>
            </w:pPr>
            <w:r>
              <w:rPr>
                <w:noProof/>
              </w:rPr>
              <w:t>M4C2–19</w:t>
            </w:r>
          </w:p>
        </w:tc>
        <w:tc>
          <w:tcPr>
            <w:tcW w:w="1395" w:type="dxa"/>
            <w:shd w:val="clear" w:color="auto" w:fill="C6EFCE"/>
            <w:noWrap/>
            <w:vAlign w:val="center"/>
          </w:tcPr>
          <w:p w14:paraId="52EF0986" w14:textId="77777777" w:rsidR="00327FF1" w:rsidRDefault="00E406C7">
            <w:pPr>
              <w:pStyle w:val="P68B1DB1-Normal11"/>
              <w:jc w:val="center"/>
              <w:rPr>
                <w:noProof/>
                <w:szCs w:val="20"/>
              </w:rPr>
            </w:pPr>
            <w:r>
              <w:rPr>
                <w:noProof/>
              </w:rPr>
              <w:t>Investīcija Nr. 1.4: Stiprināt pētniecības struktūras un atbalstīt “valstu pētniecības un attīstības līderu” izveidi attiecībā uz dažām svarīgām pamattehnoloģijām</w:t>
            </w:r>
          </w:p>
        </w:tc>
        <w:tc>
          <w:tcPr>
            <w:tcW w:w="1486" w:type="dxa"/>
            <w:shd w:val="clear" w:color="auto" w:fill="C6EFCE"/>
            <w:noWrap/>
            <w:vAlign w:val="center"/>
          </w:tcPr>
          <w:p w14:paraId="374D29EE" w14:textId="77777777" w:rsidR="00327FF1" w:rsidRDefault="00E406C7">
            <w:pPr>
              <w:pStyle w:val="P68B1DB1-Normal11"/>
              <w:jc w:val="center"/>
              <w:rPr>
                <w:noProof/>
                <w:szCs w:val="20"/>
              </w:rPr>
            </w:pPr>
            <w:r>
              <w:rPr>
                <w:noProof/>
              </w:rPr>
              <w:t>Atskaites punkts</w:t>
            </w:r>
          </w:p>
        </w:tc>
        <w:tc>
          <w:tcPr>
            <w:tcW w:w="1441" w:type="dxa"/>
            <w:shd w:val="clear" w:color="auto" w:fill="C6EFCE"/>
            <w:noWrap/>
            <w:vAlign w:val="center"/>
          </w:tcPr>
          <w:p w14:paraId="264E578B" w14:textId="77777777" w:rsidR="00327FF1" w:rsidRDefault="00E406C7">
            <w:pPr>
              <w:pStyle w:val="P68B1DB1-Normal11"/>
              <w:jc w:val="center"/>
              <w:rPr>
                <w:noProof/>
                <w:szCs w:val="20"/>
              </w:rPr>
            </w:pPr>
            <w:r>
              <w:rPr>
                <w:noProof/>
              </w:rPr>
              <w:t xml:space="preserve">Līgumu slēgšanas tiesību piešķiršana </w:t>
            </w:r>
            <w:r>
              <w:rPr>
                <w:noProof/>
              </w:rPr>
              <w:t>projektiem, kas saistīti ar valstu pētniecības un attīstības līderiem svarīgu pamattehnoloģiju jomā</w:t>
            </w:r>
          </w:p>
        </w:tc>
        <w:tc>
          <w:tcPr>
            <w:tcW w:w="1584" w:type="dxa"/>
            <w:shd w:val="clear" w:color="auto" w:fill="C6EFCE"/>
            <w:noWrap/>
            <w:vAlign w:val="center"/>
          </w:tcPr>
          <w:p w14:paraId="26813F4C" w14:textId="77777777" w:rsidR="00327FF1" w:rsidRDefault="00E406C7">
            <w:pPr>
              <w:pStyle w:val="P68B1DB1-Normal11"/>
              <w:jc w:val="center"/>
              <w:rPr>
                <w:noProof/>
                <w:szCs w:val="20"/>
              </w:rPr>
            </w:pPr>
            <w:r>
              <w:rPr>
                <w:noProof/>
              </w:rPr>
              <w:t>Paziņots par līgumu noslēgšanu</w:t>
            </w:r>
          </w:p>
        </w:tc>
        <w:tc>
          <w:tcPr>
            <w:tcW w:w="1297" w:type="dxa"/>
            <w:shd w:val="clear" w:color="auto" w:fill="C6EFCE"/>
            <w:noWrap/>
            <w:vAlign w:val="center"/>
          </w:tcPr>
          <w:p w14:paraId="47660B3E" w14:textId="77777777" w:rsidR="00327FF1" w:rsidRDefault="00E406C7">
            <w:pPr>
              <w:pStyle w:val="P68B1DB1-Normal11"/>
              <w:jc w:val="center"/>
              <w:rPr>
                <w:noProof/>
                <w:szCs w:val="20"/>
              </w:rPr>
            </w:pPr>
            <w:r>
              <w:rPr>
                <w:noProof/>
              </w:rPr>
              <w:t>NEPIEMĒRO</w:t>
            </w:r>
          </w:p>
        </w:tc>
        <w:tc>
          <w:tcPr>
            <w:tcW w:w="1152" w:type="dxa"/>
            <w:shd w:val="clear" w:color="auto" w:fill="C6EFCE"/>
            <w:noWrap/>
            <w:vAlign w:val="center"/>
          </w:tcPr>
          <w:p w14:paraId="30CA320D" w14:textId="77777777" w:rsidR="00327FF1" w:rsidRDefault="00E406C7">
            <w:pPr>
              <w:pStyle w:val="P68B1DB1-Normal11"/>
              <w:jc w:val="center"/>
              <w:rPr>
                <w:noProof/>
                <w:szCs w:val="20"/>
              </w:rPr>
            </w:pPr>
            <w:r>
              <w:rPr>
                <w:noProof/>
              </w:rPr>
              <w:t>NEPIEMĒRO</w:t>
            </w:r>
          </w:p>
        </w:tc>
        <w:tc>
          <w:tcPr>
            <w:tcW w:w="1296" w:type="dxa"/>
            <w:shd w:val="clear" w:color="auto" w:fill="C6EFCE"/>
            <w:noWrap/>
            <w:vAlign w:val="center"/>
          </w:tcPr>
          <w:p w14:paraId="57EEDF1C" w14:textId="77777777" w:rsidR="00327FF1" w:rsidRDefault="00E406C7">
            <w:pPr>
              <w:pStyle w:val="P68B1DB1-Normal11"/>
              <w:jc w:val="center"/>
              <w:rPr>
                <w:noProof/>
                <w:szCs w:val="20"/>
              </w:rPr>
            </w:pPr>
            <w:r>
              <w:rPr>
                <w:noProof/>
              </w:rPr>
              <w:t>N</w:t>
            </w:r>
          </w:p>
        </w:tc>
        <w:tc>
          <w:tcPr>
            <w:tcW w:w="1009" w:type="dxa"/>
            <w:shd w:val="clear" w:color="auto" w:fill="C6EFCE"/>
            <w:noWrap/>
            <w:vAlign w:val="center"/>
          </w:tcPr>
          <w:p w14:paraId="01F20C78"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tcPr>
          <w:p w14:paraId="3DD4FC29" w14:textId="77777777" w:rsidR="00327FF1" w:rsidRDefault="00E406C7">
            <w:pPr>
              <w:pStyle w:val="P68B1DB1-Normal11"/>
              <w:jc w:val="center"/>
              <w:rPr>
                <w:noProof/>
                <w:szCs w:val="20"/>
              </w:rPr>
            </w:pPr>
            <w:r>
              <w:rPr>
                <w:noProof/>
              </w:rPr>
              <w:t>2022</w:t>
            </w:r>
          </w:p>
        </w:tc>
        <w:tc>
          <w:tcPr>
            <w:tcW w:w="2452" w:type="dxa"/>
            <w:shd w:val="clear" w:color="auto" w:fill="C6EFCE"/>
            <w:noWrap/>
            <w:vAlign w:val="center"/>
          </w:tcPr>
          <w:p w14:paraId="2EDA7CF3" w14:textId="77777777" w:rsidR="00327FF1" w:rsidRDefault="00E406C7">
            <w:pPr>
              <w:pStyle w:val="P68B1DB1-Normal12"/>
              <w:spacing w:after="120"/>
              <w:rPr>
                <w:noProof/>
              </w:rPr>
            </w:pPr>
            <w:r>
              <w:rPr>
                <w:noProof/>
              </w:rPr>
              <w:t xml:space="preserve">Paziņojums par līgumu slēgšanas tiesību piešķiršanu projektiem, kas atlasīti konkursa </w:t>
            </w:r>
            <w:r>
              <w:rPr>
                <w:noProof/>
              </w:rPr>
              <w:t>uzaicinājumos iesniegt priekšlikumus, saskaņā ar Tehniskajiem norādījumiem “nenodari būtisku kaitējumu” (2021/C58/01), izmantojot izslēgšanas sarakstu un prasību par atbilstību attiecīgajiem ES un valsts tiesību aktiem vides jomā.</w:t>
            </w:r>
          </w:p>
          <w:p w14:paraId="0EF84EC5" w14:textId="77777777" w:rsidR="00327FF1" w:rsidRDefault="00E406C7">
            <w:pPr>
              <w:pStyle w:val="P68B1DB1-Normal11"/>
              <w:spacing w:after="120"/>
              <w:rPr>
                <w:noProof/>
                <w:szCs w:val="20"/>
              </w:rPr>
            </w:pPr>
            <w:r>
              <w:rPr>
                <w:noProof/>
              </w:rPr>
              <w:t>Projektus atlasa 30 % res</w:t>
            </w:r>
            <w:r>
              <w:rPr>
                <w:noProof/>
              </w:rPr>
              <w:t>ursu kā intervences “Pētniecības un inovācijas procesi, tehnoloģiju nodošana un sadarbība starp uzņēmumiem, kas koncentrējas uz mazoglekļa ekonomiku, noturību un pielāgošanos klimata pārmaiņām” (IF022), un 15 % no resursiem — intervences “Pētniecības un in</w:t>
            </w:r>
            <w:r>
              <w:rPr>
                <w:noProof/>
              </w:rPr>
              <w:t>ovācijas procesi, tehnoloģiju nodošana un sadarbība starp uzņēmumiem, kas koncentrējas uz aprites ekonomiku” (IF023).</w:t>
            </w:r>
          </w:p>
          <w:p w14:paraId="66F2A2E5" w14:textId="77777777" w:rsidR="00327FF1" w:rsidRDefault="00E406C7">
            <w:pPr>
              <w:pStyle w:val="P68B1DB1-Normal12"/>
              <w:spacing w:after="120"/>
              <w:rPr>
                <w:noProof/>
              </w:rPr>
            </w:pPr>
            <w:r>
              <w:rPr>
                <w:noProof/>
              </w:rPr>
              <w:t>Projektus novērtē, ņemot vērā to īstenojamību, ilgtspēju, sadarbību no citiem avotiem (piemēram, reģionālajiem fondiem), ražošanas nozares</w:t>
            </w:r>
            <w:r>
              <w:rPr>
                <w:noProof/>
              </w:rPr>
              <w:t xml:space="preserve"> iesaisti, partneru kvalitāti un ietekmi uz sociālo un vides ilgtspēju. Uzaicinājums finansēt projektus kā inovācijas ekosistēmas. Atlases procedūrā ir jāveic NBK izvērtējums un attiecīgā gadījumā stratēģiskais vides novērtējums (SVN), ja paredzams, ka pro</w:t>
            </w:r>
            <w:r>
              <w:rPr>
                <w:noProof/>
              </w:rPr>
              <w:t>jektam būs konsekventa ietekme uz teritoriju.</w:t>
            </w:r>
          </w:p>
        </w:tc>
      </w:tr>
      <w:tr w:rsidR="00327FF1" w14:paraId="7B87238D" w14:textId="77777777">
        <w:trPr>
          <w:trHeight w:val="313"/>
        </w:trPr>
        <w:tc>
          <w:tcPr>
            <w:tcW w:w="1441" w:type="dxa"/>
            <w:shd w:val="clear" w:color="auto" w:fill="C6EFCE"/>
            <w:noWrap/>
            <w:vAlign w:val="center"/>
            <w:hideMark/>
          </w:tcPr>
          <w:p w14:paraId="54FA9889" w14:textId="77777777" w:rsidR="00327FF1" w:rsidRDefault="00E406C7">
            <w:pPr>
              <w:pStyle w:val="P68B1DB1-Normal11"/>
              <w:jc w:val="center"/>
              <w:rPr>
                <w:noProof/>
                <w:szCs w:val="20"/>
              </w:rPr>
            </w:pPr>
            <w:r>
              <w:rPr>
                <w:noProof/>
              </w:rPr>
              <w:t>M4C2–20</w:t>
            </w:r>
          </w:p>
        </w:tc>
        <w:tc>
          <w:tcPr>
            <w:tcW w:w="1395" w:type="dxa"/>
            <w:shd w:val="clear" w:color="auto" w:fill="C6EFCE"/>
            <w:noWrap/>
            <w:vAlign w:val="center"/>
            <w:hideMark/>
          </w:tcPr>
          <w:p w14:paraId="2CBAA48D" w14:textId="77777777" w:rsidR="00327FF1" w:rsidRDefault="00E406C7">
            <w:pPr>
              <w:pStyle w:val="P68B1DB1-Normal11"/>
              <w:jc w:val="center"/>
              <w:rPr>
                <w:noProof/>
                <w:szCs w:val="20"/>
              </w:rPr>
            </w:pPr>
            <w:r>
              <w:rPr>
                <w:noProof/>
              </w:rPr>
              <w:t>“Investīcija Nr. 3.2. Kapitāla iepludināšana Digitālās pārkārtošanās fondā (“DTF”)</w:t>
            </w:r>
          </w:p>
        </w:tc>
        <w:tc>
          <w:tcPr>
            <w:tcW w:w="1486" w:type="dxa"/>
            <w:shd w:val="clear" w:color="auto" w:fill="C6EFCE"/>
            <w:noWrap/>
            <w:vAlign w:val="center"/>
            <w:hideMark/>
          </w:tcPr>
          <w:p w14:paraId="0F477477" w14:textId="77777777" w:rsidR="00327FF1" w:rsidRDefault="00E406C7">
            <w:pPr>
              <w:pStyle w:val="P68B1DB1-Normal11"/>
              <w:jc w:val="center"/>
              <w:rPr>
                <w:noProof/>
                <w:szCs w:val="20"/>
              </w:rPr>
            </w:pPr>
            <w:r>
              <w:rPr>
                <w:noProof/>
              </w:rPr>
              <w:t>Atskaites punkts</w:t>
            </w:r>
          </w:p>
        </w:tc>
        <w:tc>
          <w:tcPr>
            <w:tcW w:w="1441" w:type="dxa"/>
            <w:shd w:val="clear" w:color="auto" w:fill="C6EFCE"/>
            <w:noWrap/>
            <w:vAlign w:val="center"/>
            <w:hideMark/>
          </w:tcPr>
          <w:p w14:paraId="434BB865" w14:textId="77777777" w:rsidR="00327FF1" w:rsidRDefault="00E406C7">
            <w:pPr>
              <w:pStyle w:val="P68B1DB1-Normal11"/>
              <w:jc w:val="center"/>
              <w:rPr>
                <w:noProof/>
                <w:szCs w:val="20"/>
              </w:rPr>
            </w:pPr>
            <w:r>
              <w:rPr>
                <w:noProof/>
              </w:rPr>
              <w:t xml:space="preserve">Parakstīts nolīgums starp IT valdību un īstenošanas partneri Cassa Depositi e Prestiti (CDP), ar ko </w:t>
            </w:r>
            <w:r>
              <w:rPr>
                <w:noProof/>
              </w:rPr>
              <w:t>izveido finanšu instrumentu</w:t>
            </w:r>
          </w:p>
        </w:tc>
        <w:tc>
          <w:tcPr>
            <w:tcW w:w="1584" w:type="dxa"/>
            <w:shd w:val="clear" w:color="auto" w:fill="C6EFCE"/>
            <w:noWrap/>
            <w:vAlign w:val="center"/>
            <w:hideMark/>
          </w:tcPr>
          <w:p w14:paraId="4AEDD940" w14:textId="77777777" w:rsidR="00327FF1" w:rsidRDefault="00E406C7">
            <w:pPr>
              <w:pStyle w:val="P68B1DB1-Normal11"/>
              <w:jc w:val="center"/>
              <w:rPr>
                <w:noProof/>
                <w:szCs w:val="20"/>
              </w:rPr>
            </w:pPr>
            <w:r>
              <w:rPr>
                <w:noProof/>
              </w:rPr>
              <w:t>Nolīgumu paraksta Itālijas valdība un Cassa Depositi e Prestiti.</w:t>
            </w:r>
          </w:p>
        </w:tc>
        <w:tc>
          <w:tcPr>
            <w:tcW w:w="1297" w:type="dxa"/>
            <w:shd w:val="clear" w:color="auto" w:fill="C6EFCE"/>
            <w:noWrap/>
            <w:vAlign w:val="center"/>
            <w:hideMark/>
          </w:tcPr>
          <w:p w14:paraId="21B44EEF" w14:textId="77777777" w:rsidR="00327FF1" w:rsidRDefault="00E406C7">
            <w:pPr>
              <w:pStyle w:val="P68B1DB1-Normal11"/>
              <w:jc w:val="center"/>
              <w:rPr>
                <w:noProof/>
                <w:szCs w:val="20"/>
              </w:rPr>
            </w:pPr>
            <w:r>
              <w:rPr>
                <w:noProof/>
              </w:rPr>
              <w:t>NEPIEMĒRO</w:t>
            </w:r>
          </w:p>
        </w:tc>
        <w:tc>
          <w:tcPr>
            <w:tcW w:w="1152" w:type="dxa"/>
            <w:shd w:val="clear" w:color="auto" w:fill="C6EFCE"/>
            <w:noWrap/>
            <w:vAlign w:val="center"/>
            <w:hideMark/>
          </w:tcPr>
          <w:p w14:paraId="1D44E2C5" w14:textId="77777777" w:rsidR="00327FF1" w:rsidRDefault="00E406C7">
            <w:pPr>
              <w:pStyle w:val="P68B1DB1-Normal11"/>
              <w:jc w:val="center"/>
              <w:rPr>
                <w:noProof/>
                <w:szCs w:val="20"/>
              </w:rPr>
            </w:pPr>
            <w:r>
              <w:rPr>
                <w:noProof/>
              </w:rPr>
              <w:t>NEPIEMĒRO</w:t>
            </w:r>
          </w:p>
        </w:tc>
        <w:tc>
          <w:tcPr>
            <w:tcW w:w="1296" w:type="dxa"/>
            <w:shd w:val="clear" w:color="auto" w:fill="C6EFCE"/>
            <w:noWrap/>
            <w:vAlign w:val="center"/>
            <w:hideMark/>
          </w:tcPr>
          <w:p w14:paraId="76BC5F07" w14:textId="77777777" w:rsidR="00327FF1" w:rsidRDefault="00E406C7">
            <w:pPr>
              <w:pStyle w:val="P68B1DB1-Normal11"/>
              <w:jc w:val="center"/>
              <w:rPr>
                <w:noProof/>
                <w:szCs w:val="20"/>
              </w:rPr>
            </w:pPr>
            <w:r>
              <w:rPr>
                <w:noProof/>
              </w:rPr>
              <w:t>NEPIEMĒRO</w:t>
            </w:r>
          </w:p>
        </w:tc>
        <w:tc>
          <w:tcPr>
            <w:tcW w:w="1009" w:type="dxa"/>
            <w:shd w:val="clear" w:color="auto" w:fill="C6EFCE"/>
            <w:noWrap/>
            <w:vAlign w:val="center"/>
            <w:hideMark/>
          </w:tcPr>
          <w:p w14:paraId="339689FA"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hideMark/>
          </w:tcPr>
          <w:p w14:paraId="31380E2B" w14:textId="77777777" w:rsidR="00327FF1" w:rsidRDefault="00E406C7">
            <w:pPr>
              <w:pStyle w:val="P68B1DB1-Normal11"/>
              <w:jc w:val="center"/>
              <w:rPr>
                <w:noProof/>
                <w:szCs w:val="20"/>
              </w:rPr>
            </w:pPr>
            <w:r>
              <w:rPr>
                <w:noProof/>
              </w:rPr>
              <w:t>2022</w:t>
            </w:r>
          </w:p>
        </w:tc>
        <w:tc>
          <w:tcPr>
            <w:tcW w:w="2452" w:type="dxa"/>
            <w:shd w:val="clear" w:color="auto" w:fill="C6EFCE"/>
            <w:noWrap/>
            <w:vAlign w:val="center"/>
            <w:hideMark/>
          </w:tcPr>
          <w:p w14:paraId="4E845300" w14:textId="77777777" w:rsidR="00327FF1" w:rsidRDefault="00E406C7">
            <w:pPr>
              <w:pStyle w:val="P68B1DB1-Normal11"/>
              <w:rPr>
                <w:noProof/>
                <w:szCs w:val="20"/>
              </w:rPr>
            </w:pPr>
            <w:r>
              <w:rPr>
                <w:noProof/>
              </w:rPr>
              <w:t>Finanšu instrumenta ieguldījumu politikā/stratēģijā iekļaujami šādi elementi:</w:t>
            </w:r>
          </w:p>
          <w:p w14:paraId="4570F680" w14:textId="77777777" w:rsidR="00327FF1" w:rsidRDefault="00E406C7">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 xml:space="preserve">Ieguldījumu mērķi (fonda lielums, </w:t>
            </w:r>
            <w:r>
              <w:rPr>
                <w:rFonts w:ascii="Arial Narrow" w:hAnsi="Arial Narrow"/>
                <w:noProof/>
                <w:color w:val="006100"/>
                <w:sz w:val="20"/>
              </w:rPr>
              <w:t>darbību skaits, laika gaitā atbalstāmās summas, kas diferencētas pēc saņēmējiem, piemēram, MVU un vidējas kapitalizācijas uzņēmumiem/lieliem uzņēmumiem)</w:t>
            </w:r>
          </w:p>
          <w:p w14:paraId="19AD5BA0" w14:textId="77777777" w:rsidR="00327FF1" w:rsidRDefault="00E406C7">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Darbības joma un atbalsttiesīgie saņēmēji</w:t>
            </w:r>
          </w:p>
          <w:p w14:paraId="2AA0DBC6" w14:textId="77777777" w:rsidR="00327FF1" w:rsidRDefault="00E406C7">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Atbilstīgie finanšu starpnieki un atlases process</w:t>
            </w:r>
          </w:p>
          <w:p w14:paraId="781BFBD1" w14:textId="77777777" w:rsidR="00327FF1" w:rsidRDefault="00E406C7">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Snieg</w:t>
            </w:r>
            <w:r>
              <w:rPr>
                <w:rFonts w:ascii="Arial Narrow" w:hAnsi="Arial Narrow"/>
                <w:noProof/>
                <w:color w:val="006100"/>
                <w:sz w:val="20"/>
              </w:rPr>
              <w:t>tā atbalsta veids (piemēram, garantijas, aizdevumi, pašu kapitāls un kvazikapitāls)</w:t>
            </w:r>
          </w:p>
          <w:p w14:paraId="6498664D" w14:textId="77777777" w:rsidR="00327FF1" w:rsidRDefault="00E406C7">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Mērķrisks/peļņa katram ieguldītāja veidam</w:t>
            </w:r>
          </w:p>
          <w:p w14:paraId="45998F09" w14:textId="77777777" w:rsidR="00327FF1" w:rsidRDefault="00E406C7">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Riska politika un nelikumīgi iegūtu līdzekļu legalizācijas novēršanas politika</w:t>
            </w:r>
          </w:p>
          <w:p w14:paraId="2F1117CC" w14:textId="77777777" w:rsidR="00327FF1" w:rsidRDefault="00E406C7">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 xml:space="preserve">Pārvaldība (partneri, fondu pārvaldnieki, </w:t>
            </w:r>
            <w:r>
              <w:rPr>
                <w:rFonts w:ascii="Arial Narrow" w:hAnsi="Arial Narrow"/>
                <w:noProof/>
                <w:color w:val="006100"/>
                <w:sz w:val="20"/>
              </w:rPr>
              <w:t>valde, Investīciju komiteja, loma un pienākumi)</w:t>
            </w:r>
          </w:p>
          <w:p w14:paraId="3DCACA8C" w14:textId="77777777" w:rsidR="00327FF1" w:rsidRDefault="00E406C7">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Diversifikācija un koncentrācijas ierobežojumi</w:t>
            </w:r>
          </w:p>
          <w:p w14:paraId="27C923BE" w14:textId="77777777" w:rsidR="00327FF1" w:rsidRDefault="00E406C7">
            <w:pPr>
              <w:ind w:left="176" w:hanging="176"/>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Kapitāla politika, tostarp izejas stratēģija kapitālieguldījumiem</w:t>
            </w:r>
          </w:p>
          <w:p w14:paraId="6A6D036B" w14:textId="77777777" w:rsidR="00327FF1" w:rsidRDefault="00E406C7">
            <w:pPr>
              <w:ind w:left="176" w:hanging="142"/>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Principa “nenodarīt būtisku kaitējumu” un ilgtspējas pārbaudes politika un izslēgšanas sa</w:t>
            </w:r>
            <w:r>
              <w:rPr>
                <w:rFonts w:ascii="Arial Narrow" w:hAnsi="Arial Narrow"/>
                <w:noProof/>
                <w:color w:val="006100"/>
                <w:sz w:val="20"/>
              </w:rPr>
              <w:t>raksts</w:t>
            </w:r>
          </w:p>
          <w:p w14:paraId="73290014" w14:textId="77777777" w:rsidR="00327FF1" w:rsidRDefault="00E406C7">
            <w:pPr>
              <w:ind w:left="176" w:hanging="142"/>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Aizdevumu politika attiecībā uz parāda ieguldījumiem, tostarp nepieciešamajām garantijām un nodrošinājumu</w:t>
            </w:r>
          </w:p>
          <w:p w14:paraId="06F4E1CD" w14:textId="77777777" w:rsidR="00327FF1" w:rsidRDefault="00E406C7">
            <w:pPr>
              <w:ind w:left="176" w:hanging="142"/>
              <w:rPr>
                <w:rFonts w:ascii="Arial Narrow" w:hAnsi="Arial Narrow"/>
                <w:noProof/>
                <w:color w:val="006100"/>
                <w:sz w:val="20"/>
                <w:szCs w:val="20"/>
              </w:rPr>
            </w:pPr>
            <w:r>
              <w:rPr>
                <w:rFonts w:ascii="Arial Narrow" w:hAnsi="Arial Narrow"/>
                <w:noProof/>
                <w:color w:val="006100"/>
                <w:sz w:val="20"/>
              </w:rPr>
              <w:t>-</w:t>
            </w:r>
            <w:r>
              <w:rPr>
                <w:noProof/>
              </w:rPr>
              <w:t xml:space="preserve"> </w:t>
            </w:r>
            <w:r>
              <w:rPr>
                <w:rFonts w:ascii="Arial Narrow" w:hAnsi="Arial Narrow"/>
                <w:noProof/>
                <w:color w:val="006100"/>
                <w:sz w:val="20"/>
              </w:rPr>
              <w:t>Līdzekļu piesaistes un īstenošanas grafiks</w:t>
            </w:r>
          </w:p>
        </w:tc>
      </w:tr>
      <w:tr w:rsidR="00327FF1" w14:paraId="6C967395" w14:textId="77777777">
        <w:trPr>
          <w:trHeight w:val="313"/>
        </w:trPr>
        <w:tc>
          <w:tcPr>
            <w:tcW w:w="1441" w:type="dxa"/>
            <w:shd w:val="clear" w:color="auto" w:fill="C6EFCE"/>
            <w:noWrap/>
            <w:hideMark/>
          </w:tcPr>
          <w:p w14:paraId="0A6BCD44" w14:textId="77777777" w:rsidR="00327FF1" w:rsidRDefault="00E406C7">
            <w:pPr>
              <w:pStyle w:val="P68B1DB1-Normal11"/>
              <w:jc w:val="center"/>
              <w:rPr>
                <w:noProof/>
                <w:szCs w:val="20"/>
              </w:rPr>
            </w:pPr>
            <w:r>
              <w:rPr>
                <w:noProof/>
              </w:rPr>
              <w:t>M4C2–21bis</w:t>
            </w:r>
          </w:p>
        </w:tc>
        <w:tc>
          <w:tcPr>
            <w:tcW w:w="1395" w:type="dxa"/>
            <w:shd w:val="clear" w:color="auto" w:fill="C6EFCE"/>
            <w:noWrap/>
            <w:hideMark/>
          </w:tcPr>
          <w:p w14:paraId="64AE52B0" w14:textId="77777777" w:rsidR="00327FF1" w:rsidRDefault="00E406C7">
            <w:pPr>
              <w:pStyle w:val="P68B1DB1-Normal11"/>
              <w:jc w:val="center"/>
              <w:rPr>
                <w:noProof/>
                <w:szCs w:val="20"/>
              </w:rPr>
            </w:pPr>
            <w:r>
              <w:rPr>
                <w:noProof/>
              </w:rPr>
              <w:t>Investīcija 3.2. Kapitāla iepludināšana Digitālās pārkārtošanās fondā (“DTF”)</w:t>
            </w:r>
          </w:p>
        </w:tc>
        <w:tc>
          <w:tcPr>
            <w:tcW w:w="1486" w:type="dxa"/>
            <w:shd w:val="clear" w:color="auto" w:fill="C6EFCE"/>
            <w:noWrap/>
            <w:hideMark/>
          </w:tcPr>
          <w:p w14:paraId="0EA7117E" w14:textId="77777777" w:rsidR="00327FF1" w:rsidRDefault="00E406C7">
            <w:pPr>
              <w:pStyle w:val="P68B1DB1-Normal11"/>
              <w:jc w:val="center"/>
              <w:rPr>
                <w:noProof/>
                <w:szCs w:val="20"/>
              </w:rPr>
            </w:pPr>
            <w:r>
              <w:rPr>
                <w:noProof/>
              </w:rPr>
              <w:t>Atskaites punkts</w:t>
            </w:r>
          </w:p>
        </w:tc>
        <w:tc>
          <w:tcPr>
            <w:tcW w:w="1441" w:type="dxa"/>
            <w:shd w:val="clear" w:color="auto" w:fill="C6EFCE"/>
            <w:noWrap/>
            <w:hideMark/>
          </w:tcPr>
          <w:p w14:paraId="3A56C34D" w14:textId="77777777" w:rsidR="00327FF1" w:rsidRDefault="00E406C7">
            <w:pPr>
              <w:pStyle w:val="P68B1DB1-Normal11"/>
              <w:jc w:val="center"/>
              <w:rPr>
                <w:noProof/>
                <w:szCs w:val="20"/>
              </w:rPr>
            </w:pPr>
            <w:r>
              <w:rPr>
                <w:noProof/>
              </w:rPr>
              <w:t xml:space="preserve">Kapitāla iepludināšana Digitālās pārkārtošanās fondā </w:t>
            </w:r>
          </w:p>
        </w:tc>
        <w:tc>
          <w:tcPr>
            <w:tcW w:w="1584" w:type="dxa"/>
            <w:shd w:val="clear" w:color="auto" w:fill="C6EFCE"/>
            <w:noWrap/>
            <w:hideMark/>
          </w:tcPr>
          <w:p w14:paraId="2D8F211D" w14:textId="77777777" w:rsidR="00327FF1" w:rsidRDefault="00E406C7">
            <w:pPr>
              <w:pStyle w:val="P68B1DB1-Normal11"/>
              <w:jc w:val="center"/>
              <w:rPr>
                <w:noProof/>
                <w:szCs w:val="20"/>
              </w:rPr>
            </w:pPr>
            <w:r>
              <w:rPr>
                <w:noProof/>
              </w:rPr>
              <w:t xml:space="preserve">Nodošanas sertifikāts </w:t>
            </w:r>
          </w:p>
        </w:tc>
        <w:tc>
          <w:tcPr>
            <w:tcW w:w="1297" w:type="dxa"/>
            <w:shd w:val="clear" w:color="auto" w:fill="C6EFCE"/>
            <w:noWrap/>
            <w:hideMark/>
          </w:tcPr>
          <w:p w14:paraId="66F61B97" w14:textId="77777777" w:rsidR="00327FF1" w:rsidRDefault="00E406C7">
            <w:pPr>
              <w:pStyle w:val="P68B1DB1-Normal12"/>
              <w:jc w:val="center"/>
              <w:rPr>
                <w:noProof/>
              </w:rPr>
            </w:pPr>
            <w:r>
              <w:rPr>
                <w:noProof/>
              </w:rPr>
              <w:t>NEPIEMĒRO</w:t>
            </w:r>
          </w:p>
        </w:tc>
        <w:tc>
          <w:tcPr>
            <w:tcW w:w="1152" w:type="dxa"/>
            <w:shd w:val="clear" w:color="auto" w:fill="C6EFCE"/>
            <w:noWrap/>
            <w:hideMark/>
          </w:tcPr>
          <w:p w14:paraId="0A8D69B1" w14:textId="77777777" w:rsidR="00327FF1" w:rsidRDefault="00E406C7">
            <w:pPr>
              <w:pStyle w:val="P68B1DB1-Normal12"/>
              <w:jc w:val="center"/>
              <w:rPr>
                <w:noProof/>
              </w:rPr>
            </w:pPr>
            <w:r>
              <w:rPr>
                <w:noProof/>
              </w:rPr>
              <w:t>NEPIEMĒRO</w:t>
            </w:r>
          </w:p>
        </w:tc>
        <w:tc>
          <w:tcPr>
            <w:tcW w:w="1296" w:type="dxa"/>
            <w:shd w:val="clear" w:color="auto" w:fill="C6EFCE"/>
            <w:noWrap/>
            <w:hideMark/>
          </w:tcPr>
          <w:p w14:paraId="6E1C6C1C" w14:textId="77777777" w:rsidR="00327FF1" w:rsidRDefault="00E406C7">
            <w:pPr>
              <w:pStyle w:val="P68B1DB1-Normal12"/>
              <w:jc w:val="center"/>
              <w:rPr>
                <w:noProof/>
              </w:rPr>
            </w:pPr>
            <w:r>
              <w:rPr>
                <w:noProof/>
              </w:rPr>
              <w:t>NEPIEMĒRO</w:t>
            </w:r>
          </w:p>
        </w:tc>
        <w:tc>
          <w:tcPr>
            <w:tcW w:w="1009" w:type="dxa"/>
            <w:shd w:val="clear" w:color="auto" w:fill="C6EFCE"/>
            <w:noWrap/>
            <w:hideMark/>
          </w:tcPr>
          <w:p w14:paraId="536C72F2" w14:textId="77777777" w:rsidR="00327FF1" w:rsidRDefault="00E406C7">
            <w:pPr>
              <w:pStyle w:val="P68B1DB1-Normal11"/>
              <w:jc w:val="center"/>
              <w:rPr>
                <w:noProof/>
                <w:szCs w:val="20"/>
              </w:rPr>
            </w:pPr>
            <w:r>
              <w:rPr>
                <w:noProof/>
              </w:rPr>
              <w:t>4. CET.</w:t>
            </w:r>
          </w:p>
        </w:tc>
        <w:tc>
          <w:tcPr>
            <w:tcW w:w="861" w:type="dxa"/>
            <w:shd w:val="clear" w:color="auto" w:fill="C6EFCE"/>
            <w:noWrap/>
            <w:hideMark/>
          </w:tcPr>
          <w:p w14:paraId="028282A9" w14:textId="77777777" w:rsidR="00327FF1" w:rsidRDefault="00E406C7">
            <w:pPr>
              <w:pStyle w:val="P68B1DB1-Normal11"/>
              <w:jc w:val="center"/>
              <w:rPr>
                <w:noProof/>
                <w:szCs w:val="20"/>
              </w:rPr>
            </w:pPr>
            <w:r>
              <w:rPr>
                <w:noProof/>
              </w:rPr>
              <w:t>2024</w:t>
            </w:r>
          </w:p>
        </w:tc>
        <w:tc>
          <w:tcPr>
            <w:tcW w:w="2452" w:type="dxa"/>
            <w:shd w:val="clear" w:color="auto" w:fill="C6EFCE"/>
            <w:noWrap/>
            <w:hideMark/>
          </w:tcPr>
          <w:p w14:paraId="63DB5194" w14:textId="77777777" w:rsidR="00327FF1" w:rsidRDefault="00E406C7">
            <w:pPr>
              <w:pStyle w:val="P68B1DB1-Normal11"/>
              <w:rPr>
                <w:noProof/>
                <w:szCs w:val="20"/>
              </w:rPr>
            </w:pPr>
            <w:r>
              <w:rPr>
                <w:noProof/>
                <w:szCs w:val="20"/>
              </w:rPr>
              <w:t>Itālija pārskaita DTF EUR 400000000.</w:t>
            </w:r>
            <w:r>
              <w:rPr>
                <w:noProof/>
              </w:rPr>
              <w:t xml:space="preserve"> </w:t>
            </w:r>
          </w:p>
          <w:p w14:paraId="6FD57FD8" w14:textId="77777777" w:rsidR="00327FF1" w:rsidRDefault="00E406C7">
            <w:pPr>
              <w:pStyle w:val="P68B1DB1-Normal12"/>
              <w:rPr>
                <w:noProof/>
              </w:rPr>
            </w:pPr>
            <w:r>
              <w:rPr>
                <w:noProof/>
              </w:rPr>
              <w:t>Turklāt ieguldījumu politika (“Accordo Finanziario”) atbilst pasākuma aprakstam.</w:t>
            </w:r>
          </w:p>
        </w:tc>
      </w:tr>
      <w:tr w:rsidR="00327FF1" w14:paraId="57134218" w14:textId="77777777">
        <w:trPr>
          <w:trHeight w:val="313"/>
        </w:trPr>
        <w:tc>
          <w:tcPr>
            <w:tcW w:w="1441" w:type="dxa"/>
            <w:shd w:val="clear" w:color="auto" w:fill="C6EFCE"/>
            <w:noWrap/>
          </w:tcPr>
          <w:p w14:paraId="62DD0D8B" w14:textId="77777777" w:rsidR="00327FF1" w:rsidRDefault="00E406C7">
            <w:pPr>
              <w:pStyle w:val="P68B1DB1-Normal11"/>
              <w:jc w:val="center"/>
              <w:rPr>
                <w:noProof/>
              </w:rPr>
            </w:pPr>
            <w:r>
              <w:rPr>
                <w:noProof/>
              </w:rPr>
              <w:t>M4C2–21</w:t>
            </w:r>
          </w:p>
        </w:tc>
        <w:tc>
          <w:tcPr>
            <w:tcW w:w="1395" w:type="dxa"/>
            <w:shd w:val="clear" w:color="auto" w:fill="C6EFCE"/>
            <w:noWrap/>
          </w:tcPr>
          <w:p w14:paraId="555D756C" w14:textId="77777777" w:rsidR="00327FF1" w:rsidRDefault="00E406C7">
            <w:pPr>
              <w:pStyle w:val="P68B1DB1-Normal11"/>
              <w:jc w:val="center"/>
              <w:rPr>
                <w:noProof/>
              </w:rPr>
            </w:pPr>
            <w:r>
              <w:rPr>
                <w:noProof/>
              </w:rPr>
              <w:t>Investīcija 3.2. Kapitāla iepludināšana Digitālās pārkārtošanās fondā (“DTF”)</w:t>
            </w:r>
          </w:p>
        </w:tc>
        <w:tc>
          <w:tcPr>
            <w:tcW w:w="1486" w:type="dxa"/>
            <w:shd w:val="clear" w:color="auto" w:fill="C6EFCE"/>
            <w:noWrap/>
          </w:tcPr>
          <w:p w14:paraId="7D6E8799" w14:textId="77777777" w:rsidR="00327FF1" w:rsidRDefault="00E406C7">
            <w:pPr>
              <w:pStyle w:val="P68B1DB1-Normal11"/>
              <w:jc w:val="center"/>
              <w:rPr>
                <w:noProof/>
              </w:rPr>
            </w:pPr>
            <w:r>
              <w:rPr>
                <w:noProof/>
              </w:rPr>
              <w:t>Atskaites punkts</w:t>
            </w:r>
          </w:p>
        </w:tc>
        <w:tc>
          <w:tcPr>
            <w:tcW w:w="1441" w:type="dxa"/>
            <w:shd w:val="clear" w:color="auto" w:fill="C6EFCE"/>
            <w:noWrap/>
          </w:tcPr>
          <w:p w14:paraId="1454F0D8" w14:textId="77777777" w:rsidR="00327FF1" w:rsidRDefault="00E406C7">
            <w:pPr>
              <w:pStyle w:val="P68B1DB1-Normal11"/>
              <w:jc w:val="center"/>
              <w:rPr>
                <w:noProof/>
              </w:rPr>
            </w:pPr>
            <w:r>
              <w:rPr>
                <w:noProof/>
              </w:rPr>
              <w:t>Ziņojuma pieņemšana</w:t>
            </w:r>
          </w:p>
        </w:tc>
        <w:tc>
          <w:tcPr>
            <w:tcW w:w="1584" w:type="dxa"/>
            <w:shd w:val="clear" w:color="auto" w:fill="C6EFCE"/>
            <w:noWrap/>
          </w:tcPr>
          <w:p w14:paraId="19A8567A" w14:textId="77777777" w:rsidR="00327FF1" w:rsidRDefault="00E406C7">
            <w:pPr>
              <w:pStyle w:val="P68B1DB1-Normal11"/>
              <w:jc w:val="center"/>
              <w:rPr>
                <w:noProof/>
              </w:rPr>
            </w:pPr>
            <w:r>
              <w:rPr>
                <w:noProof/>
              </w:rPr>
              <w:t>Ziņojuma pieņemšana</w:t>
            </w:r>
          </w:p>
        </w:tc>
        <w:tc>
          <w:tcPr>
            <w:tcW w:w="1297" w:type="dxa"/>
            <w:shd w:val="clear" w:color="auto" w:fill="C6EFCE"/>
            <w:noWrap/>
          </w:tcPr>
          <w:p w14:paraId="6A0A4F26" w14:textId="77777777" w:rsidR="00327FF1" w:rsidRDefault="00E406C7">
            <w:pPr>
              <w:pStyle w:val="P68B1DB1-Normal12"/>
              <w:jc w:val="center"/>
              <w:rPr>
                <w:noProof/>
              </w:rPr>
            </w:pPr>
            <w:r>
              <w:rPr>
                <w:noProof/>
              </w:rPr>
              <w:t>NEPIEMĒRO</w:t>
            </w:r>
          </w:p>
        </w:tc>
        <w:tc>
          <w:tcPr>
            <w:tcW w:w="1152" w:type="dxa"/>
            <w:shd w:val="clear" w:color="auto" w:fill="C6EFCE"/>
            <w:noWrap/>
          </w:tcPr>
          <w:p w14:paraId="288B53ED" w14:textId="77777777" w:rsidR="00327FF1" w:rsidRDefault="00E406C7">
            <w:pPr>
              <w:pStyle w:val="P68B1DB1-Normal12"/>
              <w:jc w:val="center"/>
              <w:rPr>
                <w:noProof/>
              </w:rPr>
            </w:pPr>
            <w:r>
              <w:rPr>
                <w:noProof/>
              </w:rPr>
              <w:t>NEPIEMĒRO</w:t>
            </w:r>
          </w:p>
        </w:tc>
        <w:tc>
          <w:tcPr>
            <w:tcW w:w="1296" w:type="dxa"/>
            <w:shd w:val="clear" w:color="auto" w:fill="C6EFCE"/>
            <w:noWrap/>
          </w:tcPr>
          <w:p w14:paraId="041F6CE4" w14:textId="77777777" w:rsidR="00327FF1" w:rsidRDefault="00E406C7">
            <w:pPr>
              <w:pStyle w:val="P68B1DB1-Normal12"/>
              <w:jc w:val="center"/>
              <w:rPr>
                <w:noProof/>
              </w:rPr>
            </w:pPr>
            <w:r>
              <w:rPr>
                <w:noProof/>
              </w:rPr>
              <w:t>NEPIEMĒRO</w:t>
            </w:r>
          </w:p>
        </w:tc>
        <w:tc>
          <w:tcPr>
            <w:tcW w:w="1009" w:type="dxa"/>
            <w:shd w:val="clear" w:color="auto" w:fill="C6EFCE"/>
            <w:noWrap/>
          </w:tcPr>
          <w:p w14:paraId="44A1065F" w14:textId="77777777" w:rsidR="00327FF1" w:rsidRDefault="00E406C7">
            <w:pPr>
              <w:pStyle w:val="P68B1DB1-Normal11"/>
              <w:jc w:val="center"/>
              <w:rPr>
                <w:noProof/>
              </w:rPr>
            </w:pPr>
            <w:r>
              <w:rPr>
                <w:noProof/>
              </w:rPr>
              <w:t>2. CET.</w:t>
            </w:r>
          </w:p>
        </w:tc>
        <w:tc>
          <w:tcPr>
            <w:tcW w:w="861" w:type="dxa"/>
            <w:shd w:val="clear" w:color="auto" w:fill="C6EFCE"/>
            <w:noWrap/>
          </w:tcPr>
          <w:p w14:paraId="707E5668" w14:textId="77777777" w:rsidR="00327FF1" w:rsidRDefault="00E406C7">
            <w:pPr>
              <w:pStyle w:val="P68B1DB1-Normal11"/>
              <w:jc w:val="center"/>
              <w:rPr>
                <w:noProof/>
              </w:rPr>
            </w:pPr>
            <w:r>
              <w:rPr>
                <w:noProof/>
              </w:rPr>
              <w:t>2026</w:t>
            </w:r>
          </w:p>
        </w:tc>
        <w:tc>
          <w:tcPr>
            <w:tcW w:w="2452" w:type="dxa"/>
            <w:shd w:val="clear" w:color="auto" w:fill="C6EFCE"/>
            <w:noWrap/>
            <w:vAlign w:val="center"/>
          </w:tcPr>
          <w:p w14:paraId="39C5C333" w14:textId="77777777" w:rsidR="00327FF1" w:rsidRDefault="00E406C7">
            <w:pPr>
              <w:pStyle w:val="P68B1DB1-Normal11"/>
              <w:rPr>
                <w:noProof/>
              </w:rPr>
            </w:pPr>
            <w:r>
              <w:rPr>
                <w:noProof/>
              </w:rPr>
              <w:t xml:space="preserve">Itālija nosūta ziņojumu, kurā izklāstītas darbības, ko DTF veikusi, </w:t>
            </w:r>
            <w:r>
              <w:rPr>
                <w:noProof/>
              </w:rPr>
              <w:t>lai īstenotu ieguldījumu politiku, tostarp pasākumi, kas veikti, lai īstenotu finanšu produktus, kurus paredzēts atbalstīt ar pašu kapitālu, kā arī paredzamie pasākumi, kas veicami šo produktu turpmākai īstenošanai.</w:t>
            </w:r>
          </w:p>
          <w:p w14:paraId="72DE5943" w14:textId="77777777" w:rsidR="00327FF1" w:rsidRDefault="00E406C7">
            <w:pPr>
              <w:pStyle w:val="P68B1DB1-Normal11"/>
              <w:rPr>
                <w:noProof/>
              </w:rPr>
            </w:pPr>
            <w:r>
              <w:rPr>
                <w:noProof/>
              </w:rPr>
              <w:t xml:space="preserve">Ziņojumā norāda arī summas, kas </w:t>
            </w:r>
            <w:r>
              <w:rPr>
                <w:noProof/>
              </w:rPr>
              <w:t>ieguldītas tiešā/netiešā veidā un katrā finanšu produktā.</w:t>
            </w:r>
          </w:p>
        </w:tc>
      </w:tr>
      <w:tr w:rsidR="00327FF1" w14:paraId="2EDCDA8C" w14:textId="77777777">
        <w:trPr>
          <w:trHeight w:val="313"/>
        </w:trPr>
        <w:tc>
          <w:tcPr>
            <w:tcW w:w="1441" w:type="dxa"/>
            <w:shd w:val="clear" w:color="auto" w:fill="C6EFCE"/>
            <w:noWrap/>
            <w:vAlign w:val="center"/>
            <w:hideMark/>
          </w:tcPr>
          <w:p w14:paraId="18DB7C25" w14:textId="77777777" w:rsidR="00327FF1" w:rsidRDefault="00E406C7">
            <w:pPr>
              <w:pStyle w:val="P68B1DB1-Normal11"/>
              <w:jc w:val="center"/>
              <w:rPr>
                <w:noProof/>
                <w:szCs w:val="20"/>
              </w:rPr>
            </w:pPr>
            <w:r>
              <w:rPr>
                <w:noProof/>
              </w:rPr>
              <w:t>M4C2–22</w:t>
            </w:r>
          </w:p>
        </w:tc>
        <w:tc>
          <w:tcPr>
            <w:tcW w:w="1395" w:type="dxa"/>
            <w:shd w:val="clear" w:color="auto" w:fill="C6EFCE"/>
            <w:noWrap/>
            <w:vAlign w:val="center"/>
            <w:hideMark/>
          </w:tcPr>
          <w:p w14:paraId="373660B9" w14:textId="77777777" w:rsidR="00327FF1" w:rsidRDefault="00E406C7">
            <w:pPr>
              <w:pStyle w:val="P68B1DB1-Normal11"/>
              <w:jc w:val="center"/>
              <w:rPr>
                <w:noProof/>
                <w:szCs w:val="20"/>
              </w:rPr>
            </w:pPr>
            <w:r>
              <w:rPr>
                <w:noProof/>
              </w:rPr>
              <w:t>Investīcija 2.1: IPCEI</w:t>
            </w:r>
          </w:p>
        </w:tc>
        <w:tc>
          <w:tcPr>
            <w:tcW w:w="1486" w:type="dxa"/>
            <w:shd w:val="clear" w:color="auto" w:fill="C6EFCE"/>
            <w:noWrap/>
            <w:vAlign w:val="center"/>
            <w:hideMark/>
          </w:tcPr>
          <w:p w14:paraId="3C296569" w14:textId="77777777" w:rsidR="00327FF1" w:rsidRDefault="00E406C7">
            <w:pPr>
              <w:pStyle w:val="P68B1DB1-Normal11"/>
              <w:jc w:val="center"/>
              <w:rPr>
                <w:noProof/>
                <w:szCs w:val="20"/>
              </w:rPr>
            </w:pPr>
            <w:r>
              <w:rPr>
                <w:noProof/>
              </w:rPr>
              <w:t>Mērķa</w:t>
            </w:r>
          </w:p>
        </w:tc>
        <w:tc>
          <w:tcPr>
            <w:tcW w:w="1441" w:type="dxa"/>
            <w:shd w:val="clear" w:color="auto" w:fill="C6EFCE"/>
            <w:noWrap/>
            <w:vAlign w:val="center"/>
            <w:hideMark/>
          </w:tcPr>
          <w:p w14:paraId="1B243C92" w14:textId="77777777" w:rsidR="00327FF1" w:rsidRDefault="00E406C7">
            <w:pPr>
              <w:pStyle w:val="P68B1DB1-Normal11"/>
              <w:jc w:val="center"/>
              <w:rPr>
                <w:noProof/>
                <w:szCs w:val="20"/>
              </w:rPr>
            </w:pPr>
            <w:r>
              <w:rPr>
                <w:noProof/>
              </w:rPr>
              <w:t>Atbalstīto projektu skaits</w:t>
            </w:r>
          </w:p>
        </w:tc>
        <w:tc>
          <w:tcPr>
            <w:tcW w:w="1584" w:type="dxa"/>
            <w:shd w:val="clear" w:color="auto" w:fill="C6EFCE"/>
            <w:noWrap/>
            <w:vAlign w:val="center"/>
            <w:hideMark/>
          </w:tcPr>
          <w:p w14:paraId="58347532" w14:textId="77777777" w:rsidR="00327FF1" w:rsidRDefault="00E406C7">
            <w:pPr>
              <w:pStyle w:val="P68B1DB1-Normal11"/>
              <w:jc w:val="center"/>
              <w:rPr>
                <w:noProof/>
                <w:szCs w:val="20"/>
              </w:rPr>
            </w:pPr>
            <w:r>
              <w:rPr>
                <w:noProof/>
              </w:rPr>
              <w:t>NEPIEMĒRO</w:t>
            </w:r>
          </w:p>
        </w:tc>
        <w:tc>
          <w:tcPr>
            <w:tcW w:w="1297" w:type="dxa"/>
            <w:shd w:val="clear" w:color="auto" w:fill="C6EFCE"/>
            <w:noWrap/>
            <w:vAlign w:val="center"/>
            <w:hideMark/>
          </w:tcPr>
          <w:p w14:paraId="6F80D5EE" w14:textId="77777777" w:rsidR="00327FF1" w:rsidRDefault="00E406C7">
            <w:pPr>
              <w:pStyle w:val="P68B1DB1-Normal11"/>
              <w:jc w:val="center"/>
              <w:rPr>
                <w:noProof/>
                <w:szCs w:val="20"/>
              </w:rPr>
            </w:pPr>
            <w:r>
              <w:rPr>
                <w:noProof/>
              </w:rPr>
              <w:t>Skaits</w:t>
            </w:r>
          </w:p>
        </w:tc>
        <w:tc>
          <w:tcPr>
            <w:tcW w:w="1152" w:type="dxa"/>
            <w:shd w:val="clear" w:color="auto" w:fill="C6EFCE"/>
            <w:noWrap/>
            <w:vAlign w:val="center"/>
            <w:hideMark/>
          </w:tcPr>
          <w:p w14:paraId="3C9BF257" w14:textId="77777777" w:rsidR="00327FF1" w:rsidRDefault="00E406C7">
            <w:pPr>
              <w:pStyle w:val="P68B1DB1-Normal11"/>
              <w:jc w:val="center"/>
              <w:rPr>
                <w:noProof/>
                <w:szCs w:val="20"/>
              </w:rPr>
            </w:pPr>
            <w:r>
              <w:rPr>
                <w:noProof/>
              </w:rPr>
              <w:t>0</w:t>
            </w:r>
          </w:p>
        </w:tc>
        <w:tc>
          <w:tcPr>
            <w:tcW w:w="1296" w:type="dxa"/>
            <w:shd w:val="clear" w:color="auto" w:fill="C6EFCE"/>
            <w:noWrap/>
            <w:vAlign w:val="center"/>
            <w:hideMark/>
          </w:tcPr>
          <w:p w14:paraId="45ACB637" w14:textId="711EE139" w:rsidR="00327FF1" w:rsidRDefault="00E406C7">
            <w:pPr>
              <w:pStyle w:val="P68B1DB1-Normal12"/>
              <w:jc w:val="center"/>
              <w:rPr>
                <w:noProof/>
              </w:rPr>
            </w:pPr>
            <w:r>
              <w:rPr>
                <w:noProof/>
              </w:rPr>
              <w:t>20</w:t>
            </w:r>
          </w:p>
        </w:tc>
        <w:tc>
          <w:tcPr>
            <w:tcW w:w="1009" w:type="dxa"/>
            <w:shd w:val="clear" w:color="auto" w:fill="C6EFCE"/>
            <w:noWrap/>
            <w:vAlign w:val="center"/>
            <w:hideMark/>
          </w:tcPr>
          <w:p w14:paraId="0DD7482E" w14:textId="77777777" w:rsidR="00327FF1" w:rsidRDefault="00E406C7">
            <w:pPr>
              <w:pStyle w:val="P68B1DB1-Normal11"/>
              <w:jc w:val="center"/>
              <w:rPr>
                <w:noProof/>
                <w:szCs w:val="20"/>
              </w:rPr>
            </w:pPr>
            <w:r>
              <w:rPr>
                <w:noProof/>
              </w:rPr>
              <w:t>2. CET.</w:t>
            </w:r>
          </w:p>
        </w:tc>
        <w:tc>
          <w:tcPr>
            <w:tcW w:w="861" w:type="dxa"/>
            <w:shd w:val="clear" w:color="auto" w:fill="C6EFCE"/>
            <w:noWrap/>
            <w:vAlign w:val="center"/>
            <w:hideMark/>
          </w:tcPr>
          <w:p w14:paraId="16F8CB47" w14:textId="77777777" w:rsidR="00327FF1" w:rsidRDefault="00E406C7">
            <w:pPr>
              <w:pStyle w:val="P68B1DB1-Normal11"/>
              <w:jc w:val="center"/>
              <w:rPr>
                <w:noProof/>
                <w:szCs w:val="20"/>
              </w:rPr>
            </w:pPr>
            <w:r>
              <w:rPr>
                <w:noProof/>
              </w:rPr>
              <w:t>2025</w:t>
            </w:r>
          </w:p>
        </w:tc>
        <w:tc>
          <w:tcPr>
            <w:tcW w:w="2452" w:type="dxa"/>
            <w:shd w:val="clear" w:color="auto" w:fill="C6EFCE"/>
            <w:noWrap/>
            <w:vAlign w:val="center"/>
            <w:hideMark/>
          </w:tcPr>
          <w:p w14:paraId="198C1A62" w14:textId="17E387C6" w:rsidR="00327FF1" w:rsidRDefault="00E406C7">
            <w:pPr>
              <w:pStyle w:val="P68B1DB1-Normal12"/>
              <w:rPr>
                <w:noProof/>
              </w:rPr>
            </w:pPr>
            <w:r>
              <w:rPr>
                <w:noProof/>
              </w:rPr>
              <w:t xml:space="preserve">Koncesijas piešķiršanas dekrētus izdod Uzņēmumu ministrija un “Ražots Itālijā”, lai atbalstītu </w:t>
            </w:r>
            <w:r>
              <w:rPr>
                <w:noProof/>
              </w:rPr>
              <w:t>vismaz 20 IPCEI projektus.</w:t>
            </w:r>
          </w:p>
        </w:tc>
      </w:tr>
    </w:tbl>
    <w:p w14:paraId="69B9087F" w14:textId="77777777" w:rsidR="00327FF1" w:rsidRDefault="00327FF1">
      <w:pPr>
        <w:rPr>
          <w:noProof/>
        </w:rPr>
        <w:sectPr w:rsidR="00327FF1" w:rsidSect="005F11B9">
          <w:headerReference w:type="default" r:id="rId210"/>
          <w:footerReference w:type="default" r:id="rId211"/>
          <w:pgSz w:w="16839" w:h="11907" w:orient="landscape"/>
          <w:pgMar w:top="1440" w:right="1440" w:bottom="1440" w:left="1440" w:header="567" w:footer="567" w:gutter="0"/>
          <w:cols w:space="720"/>
          <w:docGrid w:linePitch="360"/>
        </w:sectPr>
      </w:pPr>
    </w:p>
    <w:p w14:paraId="7DEB0A4A" w14:textId="77777777" w:rsidR="00327FF1" w:rsidRDefault="00E406C7">
      <w:pPr>
        <w:pStyle w:val="P68B1DB1-Heading23"/>
        <w:ind w:left="1080"/>
        <w:rPr>
          <w:noProof/>
          <w:u w:val="single"/>
        </w:rPr>
      </w:pPr>
      <w:r>
        <w:rPr>
          <w:noProof/>
        </w:rPr>
        <w:t>L. 5. MISIJAS 1. KOMPONENTS: Nodarbinātības politika</w:t>
      </w:r>
    </w:p>
    <w:p w14:paraId="3CF6C0BA" w14:textId="77777777" w:rsidR="00327FF1" w:rsidRDefault="00E406C7">
      <w:pPr>
        <w:pStyle w:val="P68B1DB1-Normal7"/>
        <w:spacing w:before="120" w:after="120"/>
        <w:jc w:val="both"/>
        <w:rPr>
          <w:rFonts w:eastAsia="Calibri"/>
          <w:noProof/>
        </w:rPr>
      </w:pPr>
      <w:r>
        <w:rPr>
          <w:noProof/>
        </w:rPr>
        <w:t xml:space="preserve">Pasākumi saskaņā ar šo </w:t>
      </w:r>
      <w:r>
        <w:rPr>
          <w:noProof/>
          <w:color w:val="000000" w:themeColor="text1"/>
        </w:rPr>
        <w:t xml:space="preserve">Itālijas atveseļošanas un noturības plāna </w:t>
      </w:r>
      <w:r>
        <w:rPr>
          <w:noProof/>
        </w:rPr>
        <w:t xml:space="preserve">komponentu ievieš visaptverošu un integrētu aktīvas darba </w:t>
      </w:r>
      <w:r>
        <w:rPr>
          <w:noProof/>
        </w:rPr>
        <w:t>tirgus politikas (ADTP) un profesionālās apmācības reformu. Paredzams, ka ADTP stiprināšana un valsts nodarbinātības dienestu (VND) spēju veidošanas uzlabošana, tostarp to integrācija ar izglītības un apmācības sniedzējiem un privātiem operatoriem, palieli</w:t>
      </w:r>
      <w:r>
        <w:rPr>
          <w:noProof/>
        </w:rPr>
        <w:t xml:space="preserve">nās pakalpojumu efektivitāti. Turklāt šā komponenta pasākumu mērķis ir samazināt sociālo neaizsargātību pret satricinājumiem, jo īpaši novēršot nedeklarētu darbu visos tā veidos un nozarēs, nosakot efektīvākas sankcijas, kā arī spēcīgākus stimulus strādāt </w:t>
      </w:r>
      <w:r>
        <w:rPr>
          <w:noProof/>
        </w:rPr>
        <w:t>likumīgi. Turklāt šis komponents veicina dzimumu līdztiesību (vienādu darba samaksu), izmantojot dzimumu līdztiesības sertifikācijas sistēmu. Tā arī iegulda jauniešos, palielinot mācību programmu kvantitāti un kvalitāti, piemēram, piedaloties Universālā ci</w:t>
      </w:r>
      <w:r>
        <w:rPr>
          <w:noProof/>
        </w:rPr>
        <w:t>vildienesta programmā.</w:t>
      </w:r>
    </w:p>
    <w:p w14:paraId="614C858C" w14:textId="77777777" w:rsidR="00327FF1" w:rsidRDefault="00E406C7">
      <w:pPr>
        <w:pStyle w:val="P68B1DB1-Normal7"/>
        <w:spacing w:before="120" w:after="120"/>
        <w:jc w:val="both"/>
        <w:rPr>
          <w:noProof/>
        </w:rPr>
      </w:pPr>
      <w:r>
        <w:rPr>
          <w:noProof/>
        </w:rPr>
        <w:t>Paredzams, ka šo pasākumu īstenošana palīdzēs risināt problēmas, uz kurām attiecas 2020. gada valstij adresētais ieteikums Nr. 2 par darba tirgu, kurā Itālija tiek mudināta “mazināt krīzes ietekmi uz nodarbinātību, tostarp ar [...] a</w:t>
      </w:r>
      <w:r>
        <w:rPr>
          <w:noProof/>
        </w:rPr>
        <w:t>ktīvu atbalstu nodarbinātībai”, 2020. gada konkrētai valstij adresētajā ieteikumā Nr. 2 “atbalstīt prasmes (..), tostarp digitālās prasmes”, 2019. gada konkrētai valstij adresētajā ieteikumā Nr. 2 “pastiprināt centienus novērst nedeklarētu darbu, nodrošinā</w:t>
      </w:r>
      <w:r>
        <w:rPr>
          <w:noProof/>
        </w:rPr>
        <w:t xml:space="preserve">t, ka aktīvs darba tirgus un sociālā politika (...) jo īpaši attiecas uz jauniešiem un neaizsargātām grupām. Atbalstīt sieviešu līdzdalību darba tirgū” un 2019. gada konkrētām valstīm adresēto ieteikumu Nr. 2 “veicināt prasmju pilnveidi, tostarp stiprinot </w:t>
      </w:r>
      <w:r>
        <w:rPr>
          <w:noProof/>
        </w:rPr>
        <w:t>digitālās prasmes”.</w:t>
      </w:r>
    </w:p>
    <w:p w14:paraId="4FAC2DDD" w14:textId="77777777" w:rsidR="00327FF1" w:rsidRDefault="00E406C7">
      <w:pPr>
        <w:pStyle w:val="P68B1DB1-Heading359"/>
        <w:ind w:left="850" w:hanging="850"/>
        <w:rPr>
          <w:b/>
          <w:bCs/>
          <w:i/>
          <w:iCs/>
          <w:noProof/>
          <w:color w:val="156082" w:themeColor="accent1"/>
          <w:u w:val="single"/>
        </w:rPr>
      </w:pPr>
      <w:r>
        <w:rPr>
          <w:b/>
          <w:noProof/>
          <w:u w:val="single"/>
        </w:rPr>
        <w:t xml:space="preserve">L.1. </w:t>
      </w:r>
      <w:r>
        <w:rPr>
          <w:noProof/>
        </w:rPr>
        <w:t xml:space="preserve"> </w:t>
      </w:r>
      <w:r>
        <w:rPr>
          <w:b/>
          <w:noProof/>
          <w:u w:val="single"/>
        </w:rPr>
        <w:t>Reformu un investīciju apraksts neatmaksājamam finansiālajam atbalstam</w:t>
      </w:r>
    </w:p>
    <w:p w14:paraId="1B68679B" w14:textId="77777777" w:rsidR="00327FF1" w:rsidRDefault="00E406C7">
      <w:pPr>
        <w:pStyle w:val="P68B1DB1-Normal5"/>
        <w:spacing w:before="120" w:after="120"/>
        <w:jc w:val="both"/>
        <w:rPr>
          <w:bCs/>
          <w:noProof/>
          <w:color w:val="006100"/>
        </w:rPr>
      </w:pPr>
      <w:r>
        <w:rPr>
          <w:noProof/>
        </w:rPr>
        <w:t xml:space="preserve">Reforma. Aktīva darba tirgus politika (ADTP) un profesionālā izglītība </w:t>
      </w:r>
    </w:p>
    <w:p w14:paraId="0F5B6381" w14:textId="48B3304F" w:rsidR="00327FF1" w:rsidRDefault="00E406C7">
      <w:pPr>
        <w:pStyle w:val="P68B1DB1-Normal7"/>
        <w:spacing w:before="120" w:after="120"/>
        <w:jc w:val="both"/>
        <w:rPr>
          <w:noProof/>
          <w:color w:val="000000" w:themeColor="text1"/>
        </w:rPr>
      </w:pPr>
      <w:r>
        <w:rPr>
          <w:noProof/>
        </w:rPr>
        <w:t xml:space="preserve">Šīs reformas mērķis ir atbalstīt aktīvu darba tirgus sistēmu, lai nodrošinātu personalizētus plānus, kas ietver nodarbinātību, apmācību un sociālos pakalpojumus. Šis pasākums ietver </w:t>
      </w:r>
      <w:r>
        <w:rPr>
          <w:noProof/>
          <w:color w:val="000000" w:themeColor="text1"/>
        </w:rPr>
        <w:t>valsts programmas “Darba ņēmēju nodarbinātības garantija” (GOL) izveidi, j</w:t>
      </w:r>
      <w:r>
        <w:rPr>
          <w:noProof/>
          <w:color w:val="000000" w:themeColor="text1"/>
        </w:rPr>
        <w:t xml:space="preserve">o īpaši atbalstot visneaizsargātākās kategorijas (sievietes, ilgtermiņa bezdarbniekus, gados jaunus un gados vecākus darba ņēmējus un cilvēkus ar invaliditāti) un īstenojot apmācības programmas pieaugušo izglītībai. </w:t>
      </w:r>
    </w:p>
    <w:p w14:paraId="4004F633" w14:textId="77777777" w:rsidR="00327FF1" w:rsidRDefault="00E406C7">
      <w:pPr>
        <w:pStyle w:val="P68B1DB1-Normal5"/>
        <w:spacing w:before="120" w:after="120"/>
        <w:jc w:val="both"/>
        <w:rPr>
          <w:bCs/>
          <w:noProof/>
        </w:rPr>
      </w:pPr>
      <w:r>
        <w:rPr>
          <w:noProof/>
          <w:color w:val="000000" w:themeColor="text1"/>
        </w:rPr>
        <w:t xml:space="preserve">Investīcija Nr. 1 “ </w:t>
      </w:r>
      <w:r>
        <w:rPr>
          <w:noProof/>
        </w:rPr>
        <w:t>Valstu nodarbinātīb</w:t>
      </w:r>
      <w:r>
        <w:rPr>
          <w:noProof/>
        </w:rPr>
        <w:t>as dienestu (VND) stiprināšana”</w:t>
      </w:r>
    </w:p>
    <w:p w14:paraId="1965CE0F" w14:textId="77777777" w:rsidR="00327FF1" w:rsidRDefault="00E406C7">
      <w:pPr>
        <w:pStyle w:val="P68B1DB1-Normal27"/>
        <w:spacing w:before="120" w:after="120"/>
        <w:jc w:val="both"/>
        <w:rPr>
          <w:noProof/>
        </w:rPr>
      </w:pPr>
      <w:r>
        <w:rPr>
          <w:noProof/>
        </w:rPr>
        <w:t>Šā ieguldījuma mērķis ir ļaut efektīvi sniegt nodarbinātības un apmācības pakalpojumus. Pasākumu veido valsts nodarbinātības dienesti, kas veic šādas darbības: investīcijas infrastruktūrā, vietējo darba tirgu reģionālo novēr</w:t>
      </w:r>
      <w:r>
        <w:rPr>
          <w:noProof/>
        </w:rPr>
        <w:t xml:space="preserve">ošanas centru izveide, IT sistēmas modernizācija, personāla profesionālā apmācība un iestāžu komunikācija un informēšana. </w:t>
      </w:r>
    </w:p>
    <w:p w14:paraId="719ECC85" w14:textId="77777777" w:rsidR="00327FF1" w:rsidRDefault="00E406C7">
      <w:pPr>
        <w:pStyle w:val="P68B1DB1-Normal99"/>
        <w:spacing w:before="120" w:after="120"/>
        <w:jc w:val="both"/>
        <w:rPr>
          <w:bCs/>
          <w:noProof/>
        </w:rPr>
      </w:pPr>
      <w:r>
        <w:rPr>
          <w:noProof/>
        </w:rPr>
        <w:t>Reforma Nr. 2 — Valsts plāns nedeklarēta darba novēršanai</w:t>
      </w:r>
    </w:p>
    <w:p w14:paraId="7418F78F" w14:textId="1D51100E" w:rsidR="00327FF1" w:rsidRDefault="00E406C7">
      <w:pPr>
        <w:pStyle w:val="P68B1DB1-Normal27"/>
        <w:spacing w:before="120" w:after="120"/>
        <w:jc w:val="both"/>
        <w:rPr>
          <w:noProof/>
        </w:rPr>
      </w:pPr>
      <w:r>
        <w:rPr>
          <w:noProof/>
        </w:rPr>
        <w:t>Šā pasākuma mērķis ir atbalstīt darbvietu kvalitāti un darba apstākļus, nov</w:t>
      </w:r>
      <w:r>
        <w:rPr>
          <w:noProof/>
        </w:rPr>
        <w:t>ēršot un apkarojot nedeklarētu darbu, darbaspēka ekspluatāciju (tā saukto Caporalato) un citus nelegāla darba veidus. Šis pasākums ietver leģislatīvus un neleģislatīvus pasākumus, tostarp: pastiprināt darba inspekcijas un sankcijas, nodrošināt stimulus reg</w:t>
      </w:r>
      <w:r>
        <w:rPr>
          <w:noProof/>
        </w:rPr>
        <w:t>ulāram darbam, apmācīt nodarbinātības centru operatorus, īstenot valsts informācijas kampaņu, uzlabot pārvaldību, lai apkarotu nedeklarētu darbu, kā arī īpašus pasākumus darbaspēka ekspluatācijas novēršanai lauksaimniecībā.</w:t>
      </w:r>
    </w:p>
    <w:p w14:paraId="7CDE22DB" w14:textId="77777777" w:rsidR="00327FF1" w:rsidRDefault="00E406C7">
      <w:pPr>
        <w:pStyle w:val="P68B1DB1-Normal99"/>
        <w:spacing w:before="120" w:after="120"/>
        <w:jc w:val="both"/>
        <w:rPr>
          <w:noProof/>
        </w:rPr>
      </w:pPr>
      <w:r>
        <w:rPr>
          <w:noProof/>
        </w:rPr>
        <w:t>Investīcija Nr. 2 — Dzimumu līdz</w:t>
      </w:r>
      <w:r>
        <w:rPr>
          <w:noProof/>
        </w:rPr>
        <w:t>tiesības sertifikācijas sistēma</w:t>
      </w:r>
    </w:p>
    <w:p w14:paraId="70EC19C7" w14:textId="77777777" w:rsidR="00327FF1" w:rsidRDefault="00E406C7">
      <w:pPr>
        <w:pStyle w:val="P68B1DB1-Normal7"/>
        <w:spacing w:before="120" w:after="120"/>
        <w:jc w:val="both"/>
        <w:rPr>
          <w:noProof/>
        </w:rPr>
      </w:pPr>
      <w:r>
        <w:rPr>
          <w:noProof/>
          <w:color w:val="000000" w:themeColor="text1"/>
        </w:rPr>
        <w:t xml:space="preserve">Šā pasākuma mērķis ir palielināt </w:t>
      </w:r>
      <w:r>
        <w:rPr>
          <w:noProof/>
        </w:rPr>
        <w:t>sieviešu līdzdalību darba tirgū</w:t>
      </w:r>
      <w:r>
        <w:rPr>
          <w:noProof/>
          <w:color w:val="000000" w:themeColor="text1"/>
        </w:rPr>
        <w:t xml:space="preserve"> un palīdzēt samazināt vīriešu un sieviešu darba samaksas atšķirības. Šīs investīcijas ietver valsts dzimumu līdztiesības sertifikācijas sistēmas </w:t>
      </w:r>
      <w:r>
        <w:rPr>
          <w:noProof/>
        </w:rPr>
        <w:t>izveidi, lai v</w:t>
      </w:r>
      <w:r>
        <w:rPr>
          <w:noProof/>
        </w:rPr>
        <w:t>eicinātu pārredzamību darba tirgū un uzlabotu sieviešu darba apstākļus kvalitātes, atalgojuma un iespēju nodrošināšanas ziņā.</w:t>
      </w:r>
    </w:p>
    <w:p w14:paraId="3A5F11B4" w14:textId="77777777" w:rsidR="00327FF1" w:rsidRDefault="00E406C7">
      <w:pPr>
        <w:pStyle w:val="P68B1DB1-Normal7"/>
        <w:rPr>
          <w:b/>
          <w:bCs/>
          <w:noProof/>
        </w:rPr>
      </w:pPr>
      <w:r>
        <w:rPr>
          <w:noProof/>
        </w:rPr>
        <w:br w:type="page"/>
      </w:r>
    </w:p>
    <w:p w14:paraId="2CA5C8A0" w14:textId="0EDC741C" w:rsidR="00327FF1" w:rsidRDefault="00E406C7">
      <w:pPr>
        <w:pStyle w:val="P68B1DB1-Normal5"/>
        <w:spacing w:before="120" w:after="120"/>
        <w:jc w:val="both"/>
        <w:rPr>
          <w:bCs/>
          <w:noProof/>
          <w:color w:val="000000" w:themeColor="text1"/>
        </w:rPr>
      </w:pPr>
      <w:r>
        <w:rPr>
          <w:noProof/>
        </w:rPr>
        <w:t>Investīcija Nr. 3 — Divējādās sistēmas stiprināšana</w:t>
      </w:r>
    </w:p>
    <w:p w14:paraId="6F0E7A2A" w14:textId="73FFFB47" w:rsidR="00327FF1" w:rsidRDefault="00E406C7">
      <w:pPr>
        <w:pStyle w:val="P68B1DB1-Normal7"/>
        <w:spacing w:before="120" w:after="120"/>
        <w:jc w:val="both"/>
        <w:rPr>
          <w:noProof/>
        </w:rPr>
      </w:pPr>
      <w:r>
        <w:rPr>
          <w:noProof/>
        </w:rPr>
        <w:t>Šā pasākuma mērķis ir atbalstīt jauniešus un pieaugušos bez vidējās izglītīb</w:t>
      </w:r>
      <w:r>
        <w:rPr>
          <w:noProof/>
        </w:rPr>
        <w:t xml:space="preserve">as piekļūt darba iespējām. Šis ieguldījums paredz paplašināt dalību “divējādā sistēmā” studentiem formālajā un profesionālajā izglītībā un apmācībā (PIA), tostarp izmantojot māceklību. </w:t>
      </w:r>
    </w:p>
    <w:p w14:paraId="19718782" w14:textId="77777777" w:rsidR="00327FF1" w:rsidRDefault="00E406C7">
      <w:pPr>
        <w:pStyle w:val="P68B1DB1-Normal5"/>
        <w:spacing w:before="120" w:after="120"/>
        <w:jc w:val="both"/>
        <w:rPr>
          <w:bCs/>
          <w:noProof/>
          <w:color w:val="000000" w:themeColor="text1"/>
        </w:rPr>
      </w:pPr>
      <w:r>
        <w:rPr>
          <w:noProof/>
        </w:rPr>
        <w:t>Investīcija Nr. 4</w:t>
      </w:r>
      <w:r>
        <w:rPr>
          <w:noProof/>
          <w:color w:val="000000" w:themeColor="text1"/>
        </w:rPr>
        <w:t>— Universālā civildienesta stiprināšana</w:t>
      </w:r>
    </w:p>
    <w:p w14:paraId="33684F95" w14:textId="3E57C1B0" w:rsidR="00327FF1" w:rsidRDefault="00E406C7">
      <w:pPr>
        <w:pStyle w:val="P68B1DB1-Normal7"/>
        <w:spacing w:before="120" w:after="120"/>
        <w:jc w:val="both"/>
        <w:rPr>
          <w:noProof/>
          <w:color w:val="000000" w:themeColor="text1"/>
        </w:rPr>
        <w:sectPr w:rsidR="00327FF1" w:rsidSect="00726CF9">
          <w:headerReference w:type="even" r:id="rId212"/>
          <w:headerReference w:type="default" r:id="rId213"/>
          <w:footerReference w:type="even" r:id="rId214"/>
          <w:footerReference w:type="default" r:id="rId215"/>
          <w:headerReference w:type="first" r:id="rId216"/>
          <w:footerReference w:type="first" r:id="rId217"/>
          <w:pgSz w:w="11906" w:h="16838"/>
          <w:pgMar w:top="1440" w:right="1440" w:bottom="1440" w:left="1440" w:header="708" w:footer="708" w:gutter="0"/>
          <w:cols w:space="708"/>
          <w:docGrid w:linePitch="360"/>
        </w:sectPr>
      </w:pPr>
      <w:r>
        <w:rPr>
          <w:noProof/>
        </w:rPr>
        <w:t xml:space="preserve">Šā pasākuma mērķis ir palielināt neformālajā izglītībā iesaistīto jauniešu skaitu un uzlabot viņu zināšanas un prasmes. Šis ieguldījums ietver universālā civildienesta programmas paplašināšanu un dalībnieku skaita palielināšanu. </w:t>
      </w:r>
    </w:p>
    <w:p w14:paraId="43C1DA4D" w14:textId="77777777" w:rsidR="00327FF1" w:rsidRDefault="00E406C7">
      <w:pPr>
        <w:pStyle w:val="P68B1DB1-Heading39"/>
        <w:ind w:left="850" w:hanging="850"/>
        <w:rPr>
          <w:b/>
          <w:bCs/>
          <w:i/>
          <w:iCs/>
          <w:noProof/>
          <w:u w:val="single"/>
        </w:rPr>
      </w:pPr>
      <w:r>
        <w:rPr>
          <w:b/>
          <w:noProof/>
          <w:u w:val="single"/>
        </w:rPr>
        <w:t xml:space="preserve">L.2. </w:t>
      </w:r>
      <w:r>
        <w:rPr>
          <w:noProof/>
        </w:rPr>
        <w:t xml:space="preserve"> </w:t>
      </w:r>
      <w:r>
        <w:rPr>
          <w:b/>
          <w:noProof/>
          <w:u w:val="single"/>
        </w:rPr>
        <w:t>Starpposma mērķi, mē</w:t>
      </w:r>
      <w:r>
        <w:rPr>
          <w:b/>
          <w:noProof/>
          <w:u w:val="single"/>
        </w:rPr>
        <w:t>rķrādītāji, rādītāji un neatmaksājama finansiālā atbalsta uzraudzības un īstenošanas grafiks</w:t>
      </w: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4"/>
        <w:gridCol w:w="1513"/>
        <w:gridCol w:w="1281"/>
        <w:gridCol w:w="1597"/>
        <w:gridCol w:w="1470"/>
        <w:gridCol w:w="1275"/>
        <w:gridCol w:w="1134"/>
        <w:gridCol w:w="1134"/>
        <w:gridCol w:w="851"/>
        <w:gridCol w:w="705"/>
        <w:gridCol w:w="2839"/>
      </w:tblGrid>
      <w:tr w:rsidR="00327FF1" w14:paraId="3B69C277" w14:textId="77777777">
        <w:trPr>
          <w:trHeight w:val="633"/>
          <w:tblHeader/>
          <w:jc w:val="center"/>
        </w:trPr>
        <w:tc>
          <w:tcPr>
            <w:tcW w:w="1364" w:type="dxa"/>
            <w:vMerge w:val="restart"/>
            <w:shd w:val="clear" w:color="auto" w:fill="BDD7EE"/>
            <w:vAlign w:val="center"/>
            <w:hideMark/>
          </w:tcPr>
          <w:p w14:paraId="7EE08746" w14:textId="77777777" w:rsidR="00327FF1" w:rsidRDefault="00E406C7">
            <w:pPr>
              <w:pStyle w:val="P68B1DB1-Normal10"/>
              <w:jc w:val="center"/>
              <w:rPr>
                <w:bCs/>
                <w:noProof/>
                <w:szCs w:val="20"/>
              </w:rPr>
            </w:pPr>
            <w:r>
              <w:rPr>
                <w:noProof/>
              </w:rPr>
              <w:t>Kārtas numurs</w:t>
            </w:r>
          </w:p>
        </w:tc>
        <w:tc>
          <w:tcPr>
            <w:tcW w:w="1513" w:type="dxa"/>
            <w:vMerge w:val="restart"/>
            <w:shd w:val="clear" w:color="auto" w:fill="BDD7EE"/>
            <w:vAlign w:val="center"/>
            <w:hideMark/>
          </w:tcPr>
          <w:p w14:paraId="06B27754" w14:textId="77777777" w:rsidR="00327FF1" w:rsidRDefault="00E406C7">
            <w:pPr>
              <w:pStyle w:val="P68B1DB1-Normal10"/>
              <w:jc w:val="center"/>
              <w:rPr>
                <w:bCs/>
                <w:noProof/>
                <w:szCs w:val="20"/>
              </w:rPr>
            </w:pPr>
            <w:r>
              <w:rPr>
                <w:noProof/>
              </w:rPr>
              <w:t>Saistītais pasākums (reforma vai ieguldījums)</w:t>
            </w:r>
          </w:p>
        </w:tc>
        <w:tc>
          <w:tcPr>
            <w:tcW w:w="1281" w:type="dxa"/>
            <w:vMerge w:val="restart"/>
            <w:shd w:val="clear" w:color="auto" w:fill="BDD7EE"/>
            <w:vAlign w:val="center"/>
            <w:hideMark/>
          </w:tcPr>
          <w:p w14:paraId="07987E67" w14:textId="77777777" w:rsidR="00327FF1" w:rsidRDefault="00E406C7">
            <w:pPr>
              <w:pStyle w:val="P68B1DB1-Normal10"/>
              <w:jc w:val="center"/>
              <w:rPr>
                <w:bCs/>
                <w:noProof/>
                <w:szCs w:val="20"/>
              </w:rPr>
            </w:pPr>
            <w:r>
              <w:rPr>
                <w:noProof/>
              </w:rPr>
              <w:t>Atskaites punkts/mērķrādītājs</w:t>
            </w:r>
          </w:p>
        </w:tc>
        <w:tc>
          <w:tcPr>
            <w:tcW w:w="1597" w:type="dxa"/>
            <w:vMerge w:val="restart"/>
            <w:shd w:val="clear" w:color="auto" w:fill="BDD7EE"/>
            <w:vAlign w:val="center"/>
            <w:hideMark/>
          </w:tcPr>
          <w:p w14:paraId="0035E155" w14:textId="77777777" w:rsidR="00327FF1" w:rsidRDefault="00E406C7">
            <w:pPr>
              <w:pStyle w:val="P68B1DB1-Normal10"/>
              <w:jc w:val="center"/>
              <w:rPr>
                <w:bCs/>
                <w:noProof/>
                <w:szCs w:val="20"/>
              </w:rPr>
            </w:pPr>
            <w:r>
              <w:rPr>
                <w:noProof/>
              </w:rPr>
              <w:t>Nosaukums</w:t>
            </w:r>
          </w:p>
        </w:tc>
        <w:tc>
          <w:tcPr>
            <w:tcW w:w="1470" w:type="dxa"/>
            <w:vMerge w:val="restart"/>
            <w:shd w:val="clear" w:color="auto" w:fill="BDD7EE"/>
            <w:vAlign w:val="center"/>
            <w:hideMark/>
          </w:tcPr>
          <w:p w14:paraId="2E1217ED" w14:textId="77777777" w:rsidR="00327FF1" w:rsidRDefault="00E406C7">
            <w:pPr>
              <w:jc w:val="center"/>
              <w:rPr>
                <w:rFonts w:ascii="Arial Narrow" w:hAnsi="Arial Narrow"/>
                <w:b/>
                <w:bCs/>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3543" w:type="dxa"/>
            <w:gridSpan w:val="3"/>
            <w:shd w:val="clear" w:color="auto" w:fill="BDD7EE"/>
            <w:vAlign w:val="center"/>
            <w:hideMark/>
          </w:tcPr>
          <w:p w14:paraId="072CB2B9" w14:textId="77777777" w:rsidR="00327FF1" w:rsidRDefault="00E406C7">
            <w:pPr>
              <w:jc w:val="center"/>
              <w:rPr>
                <w:rFonts w:ascii="Arial Narrow" w:hAnsi="Arial Narrow"/>
                <w:b/>
                <w:bCs/>
                <w:noProof/>
                <w:sz w:val="20"/>
                <w:szCs w:val="20"/>
              </w:rPr>
            </w:pPr>
            <w:r>
              <w:rPr>
                <w:rFonts w:ascii="Arial Narrow" w:hAnsi="Arial Narrow"/>
                <w:b/>
                <w:noProof/>
                <w:sz w:val="20"/>
              </w:rPr>
              <w:t>Kvantitat</w:t>
            </w:r>
            <w:r>
              <w:rPr>
                <w:rFonts w:ascii="Arial Narrow" w:hAnsi="Arial Narrow"/>
                <w:b/>
                <w:noProof/>
                <w:sz w:val="20"/>
              </w:rPr>
              <w:t>īvie rādītāji</w:t>
            </w:r>
            <w:r>
              <w:rPr>
                <w:noProof/>
              </w:rPr>
              <w:br/>
            </w:r>
            <w:r>
              <w:rPr>
                <w:rFonts w:ascii="Arial Narrow" w:hAnsi="Arial Narrow"/>
                <w:b/>
                <w:noProof/>
                <w:sz w:val="20"/>
              </w:rPr>
              <w:t>(mērķiem)</w:t>
            </w:r>
          </w:p>
        </w:tc>
        <w:tc>
          <w:tcPr>
            <w:tcW w:w="1556" w:type="dxa"/>
            <w:gridSpan w:val="2"/>
            <w:shd w:val="clear" w:color="auto" w:fill="BDD7EE"/>
            <w:vAlign w:val="center"/>
            <w:hideMark/>
          </w:tcPr>
          <w:p w14:paraId="58D119FA" w14:textId="77777777" w:rsidR="00327FF1" w:rsidRDefault="00E406C7">
            <w:pPr>
              <w:pStyle w:val="P68B1DB1-Normal10"/>
              <w:jc w:val="center"/>
              <w:rPr>
                <w:bCs/>
                <w:noProof/>
                <w:szCs w:val="20"/>
              </w:rPr>
            </w:pPr>
            <w:r>
              <w:rPr>
                <w:noProof/>
              </w:rPr>
              <w:t>Orientējošs pabeigšanas termiņš</w:t>
            </w:r>
          </w:p>
        </w:tc>
        <w:tc>
          <w:tcPr>
            <w:tcW w:w="2839" w:type="dxa"/>
            <w:vMerge w:val="restart"/>
            <w:shd w:val="clear" w:color="auto" w:fill="BDD7EE"/>
            <w:vAlign w:val="center"/>
            <w:hideMark/>
          </w:tcPr>
          <w:p w14:paraId="68DE838E" w14:textId="77777777" w:rsidR="00327FF1" w:rsidRDefault="00E406C7">
            <w:pPr>
              <w:pStyle w:val="P68B1DB1-Normal10"/>
              <w:jc w:val="center"/>
              <w:rPr>
                <w:bCs/>
                <w:noProof/>
                <w:szCs w:val="20"/>
              </w:rPr>
            </w:pPr>
            <w:r>
              <w:rPr>
                <w:noProof/>
              </w:rPr>
              <w:t>Apraksts par katru atskaites punktu un mērķrādītāju</w:t>
            </w:r>
          </w:p>
        </w:tc>
      </w:tr>
      <w:tr w:rsidR="00327FF1" w14:paraId="38C5DCE8" w14:textId="77777777">
        <w:trPr>
          <w:trHeight w:val="632"/>
          <w:tblHeader/>
          <w:jc w:val="center"/>
        </w:trPr>
        <w:tc>
          <w:tcPr>
            <w:tcW w:w="1364" w:type="dxa"/>
            <w:vMerge/>
            <w:vAlign w:val="center"/>
          </w:tcPr>
          <w:p w14:paraId="63562DF0" w14:textId="77777777" w:rsidR="00327FF1" w:rsidRDefault="00327FF1">
            <w:pPr>
              <w:jc w:val="center"/>
              <w:rPr>
                <w:rFonts w:ascii="Arial Narrow" w:hAnsi="Arial Narrow"/>
                <w:b/>
                <w:noProof/>
                <w:sz w:val="20"/>
                <w:szCs w:val="20"/>
              </w:rPr>
            </w:pPr>
          </w:p>
        </w:tc>
        <w:tc>
          <w:tcPr>
            <w:tcW w:w="1513" w:type="dxa"/>
            <w:vMerge/>
            <w:vAlign w:val="center"/>
          </w:tcPr>
          <w:p w14:paraId="7C2D40CD" w14:textId="77777777" w:rsidR="00327FF1" w:rsidRDefault="00327FF1">
            <w:pPr>
              <w:jc w:val="center"/>
              <w:rPr>
                <w:rFonts w:ascii="Arial Narrow" w:hAnsi="Arial Narrow"/>
                <w:b/>
                <w:noProof/>
                <w:sz w:val="20"/>
                <w:szCs w:val="20"/>
              </w:rPr>
            </w:pPr>
          </w:p>
        </w:tc>
        <w:tc>
          <w:tcPr>
            <w:tcW w:w="1281" w:type="dxa"/>
            <w:vMerge/>
            <w:vAlign w:val="center"/>
          </w:tcPr>
          <w:p w14:paraId="6F1BF8E6" w14:textId="77777777" w:rsidR="00327FF1" w:rsidRDefault="00327FF1">
            <w:pPr>
              <w:jc w:val="center"/>
              <w:rPr>
                <w:rFonts w:ascii="Arial Narrow" w:hAnsi="Arial Narrow"/>
                <w:b/>
                <w:noProof/>
                <w:sz w:val="20"/>
                <w:szCs w:val="20"/>
              </w:rPr>
            </w:pPr>
          </w:p>
        </w:tc>
        <w:tc>
          <w:tcPr>
            <w:tcW w:w="1597" w:type="dxa"/>
            <w:vMerge/>
            <w:vAlign w:val="center"/>
          </w:tcPr>
          <w:p w14:paraId="1F287649" w14:textId="77777777" w:rsidR="00327FF1" w:rsidRDefault="00327FF1">
            <w:pPr>
              <w:jc w:val="center"/>
              <w:rPr>
                <w:rFonts w:ascii="Arial Narrow" w:hAnsi="Arial Narrow"/>
                <w:b/>
                <w:noProof/>
                <w:sz w:val="20"/>
                <w:szCs w:val="20"/>
              </w:rPr>
            </w:pPr>
          </w:p>
        </w:tc>
        <w:tc>
          <w:tcPr>
            <w:tcW w:w="1470" w:type="dxa"/>
            <w:vMerge/>
            <w:vAlign w:val="center"/>
          </w:tcPr>
          <w:p w14:paraId="6E4E8331" w14:textId="77777777" w:rsidR="00327FF1" w:rsidRDefault="00327FF1">
            <w:pPr>
              <w:jc w:val="center"/>
              <w:rPr>
                <w:rFonts w:ascii="Arial Narrow" w:hAnsi="Arial Narrow"/>
                <w:b/>
                <w:noProof/>
                <w:sz w:val="20"/>
                <w:szCs w:val="20"/>
              </w:rPr>
            </w:pPr>
          </w:p>
        </w:tc>
        <w:tc>
          <w:tcPr>
            <w:tcW w:w="1275" w:type="dxa"/>
            <w:shd w:val="clear" w:color="auto" w:fill="BDD7EE"/>
            <w:vAlign w:val="center"/>
          </w:tcPr>
          <w:p w14:paraId="550BE33D" w14:textId="77777777" w:rsidR="00327FF1" w:rsidRDefault="00E406C7">
            <w:pPr>
              <w:pStyle w:val="P68B1DB1-Normal10"/>
              <w:jc w:val="center"/>
              <w:rPr>
                <w:noProof/>
                <w:szCs w:val="20"/>
              </w:rPr>
            </w:pPr>
            <w:r>
              <w:rPr>
                <w:noProof/>
              </w:rPr>
              <w:t>Mēra vienība</w:t>
            </w:r>
          </w:p>
        </w:tc>
        <w:tc>
          <w:tcPr>
            <w:tcW w:w="1134" w:type="dxa"/>
            <w:shd w:val="clear" w:color="auto" w:fill="BDD7EE"/>
            <w:vAlign w:val="center"/>
          </w:tcPr>
          <w:p w14:paraId="44197F7D" w14:textId="77777777" w:rsidR="00327FF1" w:rsidRDefault="00E406C7">
            <w:pPr>
              <w:pStyle w:val="P68B1DB1-Normal10"/>
              <w:jc w:val="center"/>
              <w:rPr>
                <w:noProof/>
                <w:szCs w:val="20"/>
              </w:rPr>
            </w:pPr>
            <w:r>
              <w:rPr>
                <w:noProof/>
              </w:rPr>
              <w:t>Pamatscenārijs</w:t>
            </w:r>
          </w:p>
        </w:tc>
        <w:tc>
          <w:tcPr>
            <w:tcW w:w="1134" w:type="dxa"/>
            <w:shd w:val="clear" w:color="auto" w:fill="BDD7EE"/>
            <w:vAlign w:val="center"/>
          </w:tcPr>
          <w:p w14:paraId="213CC092" w14:textId="77777777" w:rsidR="00327FF1" w:rsidRDefault="00E406C7">
            <w:pPr>
              <w:pStyle w:val="P68B1DB1-Normal10"/>
              <w:jc w:val="center"/>
              <w:rPr>
                <w:noProof/>
                <w:szCs w:val="20"/>
              </w:rPr>
            </w:pPr>
            <w:r>
              <w:rPr>
                <w:noProof/>
              </w:rPr>
              <w:t>Mērķis</w:t>
            </w:r>
          </w:p>
        </w:tc>
        <w:tc>
          <w:tcPr>
            <w:tcW w:w="851" w:type="dxa"/>
            <w:shd w:val="clear" w:color="auto" w:fill="BDD7EE"/>
            <w:vAlign w:val="center"/>
          </w:tcPr>
          <w:p w14:paraId="32B45291" w14:textId="77777777" w:rsidR="00327FF1" w:rsidRDefault="00E406C7">
            <w:pPr>
              <w:pStyle w:val="P68B1DB1-Normal10"/>
              <w:jc w:val="center"/>
              <w:rPr>
                <w:noProof/>
                <w:szCs w:val="20"/>
              </w:rPr>
            </w:pPr>
            <w:r>
              <w:rPr>
                <w:noProof/>
              </w:rPr>
              <w:t>Ceturkšņa laikā</w:t>
            </w:r>
          </w:p>
        </w:tc>
        <w:tc>
          <w:tcPr>
            <w:tcW w:w="705" w:type="dxa"/>
            <w:shd w:val="clear" w:color="auto" w:fill="BDD7EE"/>
            <w:vAlign w:val="center"/>
          </w:tcPr>
          <w:p w14:paraId="4AD060FD" w14:textId="77777777" w:rsidR="00327FF1" w:rsidRDefault="00E406C7">
            <w:pPr>
              <w:pStyle w:val="P68B1DB1-Normal10"/>
              <w:jc w:val="center"/>
              <w:rPr>
                <w:noProof/>
                <w:szCs w:val="20"/>
              </w:rPr>
            </w:pPr>
            <w:r>
              <w:rPr>
                <w:noProof/>
              </w:rPr>
              <w:t>Gadu</w:t>
            </w:r>
          </w:p>
        </w:tc>
        <w:tc>
          <w:tcPr>
            <w:tcW w:w="2839" w:type="dxa"/>
            <w:vMerge/>
            <w:vAlign w:val="center"/>
          </w:tcPr>
          <w:p w14:paraId="37259B5C" w14:textId="77777777" w:rsidR="00327FF1" w:rsidRDefault="00327FF1">
            <w:pPr>
              <w:jc w:val="center"/>
              <w:rPr>
                <w:rFonts w:ascii="Arial Narrow" w:hAnsi="Arial Narrow"/>
                <w:b/>
                <w:noProof/>
                <w:sz w:val="20"/>
                <w:szCs w:val="20"/>
              </w:rPr>
            </w:pPr>
          </w:p>
        </w:tc>
      </w:tr>
      <w:tr w:rsidR="00327FF1" w14:paraId="600F9428"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B88ADF" w14:textId="77777777" w:rsidR="00327FF1" w:rsidRDefault="00E406C7">
            <w:pPr>
              <w:pStyle w:val="P68B1DB1-Normal11"/>
              <w:jc w:val="center"/>
              <w:rPr>
                <w:noProof/>
                <w:szCs w:val="20"/>
              </w:rPr>
            </w:pPr>
            <w:r>
              <w:rPr>
                <w:noProof/>
              </w:rPr>
              <w:t xml:space="preserve">M5C1–1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7B457A4" w14:textId="77777777" w:rsidR="00327FF1" w:rsidRDefault="00E406C7">
            <w:pPr>
              <w:pStyle w:val="P68B1DB1-Normal11"/>
              <w:jc w:val="center"/>
              <w:rPr>
                <w:noProof/>
                <w:szCs w:val="20"/>
              </w:rPr>
            </w:pPr>
            <w:r>
              <w:rPr>
                <w:noProof/>
              </w:rPr>
              <w:t>Reforma. ADTP un profesionālā apmācība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93051F" w14:textId="77777777" w:rsidR="00327FF1" w:rsidRDefault="00E406C7">
            <w:pPr>
              <w:pStyle w:val="P68B1DB1-Normal11"/>
              <w:jc w:val="center"/>
              <w:rPr>
                <w:noProof/>
                <w:szCs w:val="20"/>
              </w:rPr>
            </w:pPr>
            <w:r>
              <w:rPr>
                <w:noProof/>
              </w:rPr>
              <w:t>Atskaites punkts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F38483B" w14:textId="77777777" w:rsidR="00327FF1" w:rsidRDefault="00E406C7">
            <w:pPr>
              <w:pStyle w:val="P68B1DB1-Normal11"/>
              <w:jc w:val="center"/>
              <w:rPr>
                <w:noProof/>
                <w:szCs w:val="20"/>
              </w:rPr>
            </w:pPr>
            <w:r>
              <w:rPr>
                <w:noProof/>
              </w:rPr>
              <w:t xml:space="preserve">Stājas spēkā </w:t>
            </w:r>
            <w:r>
              <w:rPr>
                <w:noProof/>
              </w:rPr>
              <w:t>starpministriju dekrēts, ar ko izveido valsts programmu darba ņēmēju garantētai nodarbināmībai (GOL), un starpministriju dekrēts, ar ko izveido valsts plānu jaunām prasmēm</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37F4B2" w14:textId="77777777" w:rsidR="00327FF1" w:rsidRDefault="00E406C7">
            <w:pPr>
              <w:pStyle w:val="P68B1DB1-Normal11"/>
              <w:jc w:val="center"/>
              <w:rPr>
                <w:noProof/>
                <w:szCs w:val="20"/>
              </w:rPr>
            </w:pPr>
            <w:r>
              <w:rPr>
                <w:noProof/>
              </w:rPr>
              <w:t xml:space="preserve">Noteikumi starpministriju dekrētos, kas norāda uz abu ministriju dekrētu stāšanos </w:t>
            </w:r>
            <w:r>
              <w:rPr>
                <w:noProof/>
              </w:rPr>
              <w:t>spēkā pēc vienošanās valsts un reģionu konferencē par programmu GOL un Valsts plānu jaunām prasmēm</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B334D8" w14:textId="77777777" w:rsidR="00327FF1" w:rsidRDefault="00E406C7">
            <w:pPr>
              <w:pStyle w:val="P68B1DB1-Normal11"/>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FF16B0" w14:textId="77777777" w:rsidR="00327FF1" w:rsidRDefault="00E406C7">
            <w:pPr>
              <w:pStyle w:val="P68B1DB1-Normal11"/>
              <w:jc w:val="center"/>
              <w:rPr>
                <w:rFonts w:eastAsia="Calibri"/>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163E12" w14:textId="77777777" w:rsidR="00327FF1" w:rsidRDefault="00E406C7">
            <w:pPr>
              <w:pStyle w:val="P68B1DB1-Normal11"/>
              <w:jc w:val="center"/>
              <w:rPr>
                <w:noProof/>
                <w:szCs w:val="20"/>
              </w:rPr>
            </w:pPr>
            <w:r>
              <w:rPr>
                <w:noProof/>
              </w:rPr>
              <w:t>NEPIEMĒRO</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58141B" w14:textId="77777777" w:rsidR="00327FF1" w:rsidRDefault="00E406C7">
            <w:pPr>
              <w:pStyle w:val="P68B1DB1-Normal11"/>
              <w:jc w:val="center"/>
              <w:rPr>
                <w:rFonts w:eastAsia="Calibri"/>
                <w:noProof/>
                <w:szCs w:val="20"/>
              </w:rPr>
            </w:pPr>
            <w:r>
              <w:rPr>
                <w:noProof/>
              </w:rPr>
              <w:t>4.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A0801F0" w14:textId="77777777" w:rsidR="00327FF1" w:rsidRDefault="00E406C7">
            <w:pPr>
              <w:pStyle w:val="P68B1DB1-Normal11"/>
              <w:jc w:val="center"/>
              <w:rPr>
                <w:noProof/>
                <w:szCs w:val="20"/>
              </w:rPr>
            </w:pPr>
            <w:r>
              <w:rPr>
                <w:noProof/>
              </w:rPr>
              <w:t>2021</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03F1B86" w14:textId="77777777" w:rsidR="00327FF1" w:rsidRDefault="00E406C7">
            <w:pPr>
              <w:pStyle w:val="P68B1DB1-Normal11"/>
              <w:rPr>
                <w:rFonts w:eastAsia="Calibri"/>
                <w:noProof/>
                <w:szCs w:val="20"/>
              </w:rPr>
            </w:pPr>
            <w:r>
              <w:rPr>
                <w:noProof/>
              </w:rPr>
              <w:t>GOL darbības ir vismaz šādas: I) definēt valsts nodarbinātības dienestu (VND) būtiskos elementus un to standartus,</w:t>
            </w:r>
            <w:r>
              <w:rPr>
                <w:noProof/>
              </w:rPr>
              <w:t xml:space="preserve"> tostarp prasmju prognozēšanu, personalizētus apmācības plānus, konsultācijas un darba apmācību, lai nodrošinātu individualizētu nodarbinātības pakalpojumu efektīvu sniegšanu saskaņā ar kopīgiem un vienotiem standartiem visā valsts teritorijā, ii) nodrošin</w:t>
            </w:r>
            <w:r>
              <w:rPr>
                <w:noProof/>
              </w:rPr>
              <w:t>ātu, ka valstu nodarbinātības dienestu (VND) nodrošinātie prasmju pilnveides un pārkvalifikācijas apmācības pasākumi pilnībā atbilst valsts jauno prasmju, tostarp digitālo prasmju, plānam, iii) nodrošinātu, ka valstu nodarbinātības dienesti (VND) ir vērsti</w:t>
            </w:r>
            <w:r>
              <w:rPr>
                <w:noProof/>
              </w:rPr>
              <w:t xml:space="preserve"> uz saņēmēju vajadzībām, iv) nodrošinātu, ka valstu nodarbinātības dienesti (VND) prioritāri ir vērsti uz visneaizsargātākajām personām; V) noteikt mērķi, ka vismaz 25 % no darba ņēmēju garantētas nodarbinātības programmu labuma guvējiem ir attiecīgās apmā</w:t>
            </w:r>
            <w:r>
              <w:rPr>
                <w:noProof/>
              </w:rPr>
              <w:t>cības saņēmēji, īpašu uzmanību pievēršot digitālajām prasmēm un piešķirot prioritāti visneaizsargātākajiem; VI) izveidot jaunus mehānismus, kas stiprina un strukturē sadarbību starp publiskajām un privātajām sistēmām, tostarp attiecībā uz vajadzīgo prasmju</w:t>
            </w:r>
            <w:r>
              <w:rPr>
                <w:noProof/>
              </w:rPr>
              <w:t xml:space="preserve"> apzināšanu un darba piedāvājumu nodrošināšanu. Dekrētā ir noteikts, ka sociālās drošības tīklu saņēmēji var piekļūt pakalpojumiem, ko sniedz saskaņā ar valsts programmu “Drošināta darba ņēmēju nodarbinātība”, četru mēnešu laikā no brīža, kad viņi ir sasni</w:t>
            </w:r>
            <w:r>
              <w:rPr>
                <w:noProof/>
              </w:rPr>
              <w:t>eguši tiesības uz sociālās drošības tīkliem. Valsts jauno prasmju plāna akti vismaz: nosaka kopējus standartus un būtiskus profesionālās apmācības līmeņus visā valsts teritorijā, ii) ir vērsti gan uz nodarbinātajiem, gan bezdarbniekiem un personām ar mērķi</w:t>
            </w:r>
            <w:r>
              <w:rPr>
                <w:noProof/>
              </w:rPr>
              <w:t xml:space="preserve"> uzlabot viņu digitālās prasmes un veicināt mūžizglītību. III) apzināt prasmes un attiecīgos standartus, pamatojoties uz sadarbību starp publiskajām un privātajām sistēmām, iv) ņemt vērā apsvērto mērķgrupu dažādās vajadzības, kas ietver vismaz visneaizsarg</w:t>
            </w:r>
            <w:r>
              <w:rPr>
                <w:noProof/>
              </w:rPr>
              <w:t>ātākās, v) aptvert visas attiecīgās nozaru stratēģijas, lai nodrošinātu visaptverošu pieeju, tostarp valsts stratēģisko plānu pieaugušo kompetencēm; vi) iekļaut noteikumu par tādu jaunu kompetenču prognozēšanas sistēmas izstrādi, kas vajadzīgas īsā un vidē</w:t>
            </w:r>
            <w:r>
              <w:rPr>
                <w:noProof/>
              </w:rPr>
              <w:t>jā termiņā darba tirgū.</w:t>
            </w:r>
          </w:p>
        </w:tc>
      </w:tr>
      <w:tr w:rsidR="00327FF1" w14:paraId="41F09158"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B3B060" w14:textId="77777777" w:rsidR="00327FF1" w:rsidRDefault="00E406C7">
            <w:pPr>
              <w:pStyle w:val="P68B1DB1-Normal11"/>
              <w:jc w:val="center"/>
              <w:rPr>
                <w:noProof/>
                <w:szCs w:val="20"/>
              </w:rPr>
            </w:pPr>
            <w:r>
              <w:rPr>
                <w:noProof/>
              </w:rPr>
              <w:t xml:space="preserve">M5C1–2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88237A8" w14:textId="77777777" w:rsidR="00327FF1" w:rsidRDefault="00E406C7">
            <w:pPr>
              <w:pStyle w:val="P68B1DB1-Normal11"/>
              <w:jc w:val="center"/>
              <w:rPr>
                <w:noProof/>
                <w:szCs w:val="20"/>
              </w:rPr>
            </w:pPr>
            <w:r>
              <w:rPr>
                <w:noProof/>
              </w:rPr>
              <w:t>Reforma Nr. 1 — ADTP un profesionālā apmācība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9DE745" w14:textId="77777777" w:rsidR="00327FF1" w:rsidRDefault="00E406C7">
            <w:pPr>
              <w:pStyle w:val="P68B1DB1-Normal11"/>
              <w:jc w:val="center"/>
              <w:rPr>
                <w:noProof/>
                <w:szCs w:val="20"/>
              </w:rPr>
            </w:pPr>
            <w:r>
              <w:rPr>
                <w:noProof/>
              </w:rPr>
              <w:t>Atskaites punkts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BE2799" w14:textId="47AE502F" w:rsidR="00327FF1" w:rsidRDefault="00E406C7">
            <w:pPr>
              <w:pStyle w:val="P68B1DB1-Normal11"/>
              <w:jc w:val="center"/>
              <w:rPr>
                <w:noProof/>
                <w:szCs w:val="20"/>
              </w:rPr>
            </w:pPr>
            <w:r>
              <w:rPr>
                <w:noProof/>
              </w:rPr>
              <w:t xml:space="preserve">Visu valsts nodarbinātības dienestu (VND) plānu stāšanās spēkā reģionālā līmenī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01D0C7" w14:textId="77777777" w:rsidR="00327FF1" w:rsidRDefault="00E406C7">
            <w:pPr>
              <w:pStyle w:val="P68B1DB1-Normal11"/>
              <w:jc w:val="center"/>
              <w:rPr>
                <w:noProof/>
                <w:szCs w:val="20"/>
              </w:rPr>
            </w:pPr>
            <w:r>
              <w:rPr>
                <w:noProof/>
              </w:rPr>
              <w:t>Noteikums par reģionu pieņemto plānu stāšanos spēkā un īstenotajiem pasākumiem</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B344F9" w14:textId="77777777" w:rsidR="00327FF1" w:rsidRDefault="00E406C7">
            <w:pPr>
              <w:pStyle w:val="P68B1DB1-Normal11"/>
              <w:jc w:val="center"/>
              <w:rPr>
                <w:rFonts w:eastAsia="Calibri"/>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69FDC4" w14:textId="77777777" w:rsidR="00327FF1" w:rsidRDefault="00E406C7">
            <w:pPr>
              <w:pStyle w:val="P68B1DB1-Normal11"/>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3924F8" w14:textId="77777777" w:rsidR="00327FF1" w:rsidRDefault="00E406C7">
            <w:pPr>
              <w:pStyle w:val="P68B1DB1-Normal11"/>
              <w:jc w:val="center"/>
              <w:rPr>
                <w:noProof/>
                <w:szCs w:val="20"/>
              </w:rPr>
            </w:pPr>
            <w:r>
              <w:rPr>
                <w:noProof/>
              </w:rPr>
              <w:t>NEPIEMĒRO</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04BECA0" w14:textId="77777777" w:rsidR="00327FF1" w:rsidRDefault="00E406C7">
            <w:pPr>
              <w:pStyle w:val="P68B1DB1-Normal11"/>
              <w:jc w:val="center"/>
              <w:rPr>
                <w:rFonts w:eastAsia="Calibri"/>
                <w:noProof/>
                <w:szCs w:val="20"/>
              </w:rPr>
            </w:pPr>
            <w:r>
              <w:rPr>
                <w:noProof/>
              </w:rPr>
              <w:t>4.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C1883F" w14:textId="77777777" w:rsidR="00327FF1" w:rsidRDefault="00E406C7">
            <w:pPr>
              <w:pStyle w:val="P68B1DB1-Normal11"/>
              <w:jc w:val="center"/>
              <w:rPr>
                <w:noProof/>
                <w:szCs w:val="20"/>
              </w:rPr>
            </w:pPr>
            <w:r>
              <w:rPr>
                <w:noProof/>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A94B5BA" w14:textId="77777777" w:rsidR="00327FF1" w:rsidRDefault="00E406C7">
            <w:pPr>
              <w:pStyle w:val="P68B1DB1-Normal11"/>
              <w:rPr>
                <w:rFonts w:eastAsia="Calibri"/>
                <w:noProof/>
                <w:szCs w:val="20"/>
              </w:rPr>
            </w:pPr>
            <w:r>
              <w:rPr>
                <w:noProof/>
              </w:rPr>
              <w:t>Valsts regulējumā par darba ņēmēju garantētu nodarbināmību (GOL) paredz programmas īstenošanai nepieciešamo operatīvo darbību noteikšanu reģionālā līmenī. Lai nodrošinātu saskaņotību starp valsts regulējumu un reģ</w:t>
            </w:r>
            <w:r>
              <w:rPr>
                <w:noProof/>
              </w:rPr>
              <w:t xml:space="preserve">ionālo īstenošanu, pieņem valstu nodarbinātības dienestu (VND) reģionālos plānus. </w:t>
            </w:r>
          </w:p>
          <w:p w14:paraId="060C5613" w14:textId="77777777" w:rsidR="00327FF1" w:rsidRDefault="00E406C7">
            <w:pPr>
              <w:pStyle w:val="P68B1DB1-Normal11"/>
              <w:rPr>
                <w:rFonts w:eastAsia="Calibri"/>
                <w:noProof/>
                <w:szCs w:val="20"/>
              </w:rPr>
            </w:pPr>
            <w:r>
              <w:rPr>
                <w:noProof/>
              </w:rPr>
              <w:t>Papildus plānu pieņemšanai reģioni veic darbības, kuru pamatā ir plāni, sasniedzot vismaz 10 % no paredzētajiem programmas atbalsta saņēmējiem (galīgais mērķis — 3000000 cil</w:t>
            </w:r>
            <w:r>
              <w:rPr>
                <w:noProof/>
              </w:rPr>
              <w:t>vēku).</w:t>
            </w:r>
          </w:p>
          <w:p w14:paraId="224EBE8B" w14:textId="77777777" w:rsidR="00327FF1" w:rsidRDefault="00E406C7">
            <w:pPr>
              <w:pStyle w:val="P68B1DB1-Normal11"/>
              <w:rPr>
                <w:rFonts w:eastAsia="Calibri"/>
                <w:noProof/>
                <w:szCs w:val="20"/>
              </w:rPr>
            </w:pPr>
            <w:r>
              <w:rPr>
                <w:noProof/>
              </w:rPr>
              <w:t>Valsts nodarbinātības dienestu (VND) plānu stāšanās spēkā ļaus pilnībā īstenot darba ņēmēju nodarbinātības garantiju (GOL) programmu.</w:t>
            </w:r>
          </w:p>
        </w:tc>
      </w:tr>
      <w:tr w:rsidR="00327FF1" w14:paraId="5F251F06"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504B54F" w14:textId="77777777" w:rsidR="00327FF1" w:rsidRDefault="00E406C7">
            <w:pPr>
              <w:pStyle w:val="P68B1DB1-Normal12"/>
              <w:jc w:val="center"/>
              <w:rPr>
                <w:noProof/>
                <w:highlight w:val="yellow"/>
              </w:rPr>
            </w:pPr>
            <w:r>
              <w:rPr>
                <w:noProof/>
              </w:rPr>
              <w:t xml:space="preserve">M5C1–3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AC7775" w14:textId="77777777" w:rsidR="00327FF1" w:rsidRDefault="00E406C7">
            <w:pPr>
              <w:pStyle w:val="P68B1DB1-Normal11"/>
              <w:jc w:val="center"/>
              <w:rPr>
                <w:noProof/>
                <w:szCs w:val="20"/>
              </w:rPr>
            </w:pPr>
            <w:r>
              <w:rPr>
                <w:noProof/>
              </w:rPr>
              <w:t>Reforma Nr. 1 — ADTP un profesionālā apmācība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36FA296" w14:textId="77777777" w:rsidR="00327FF1" w:rsidRDefault="00E406C7">
            <w:pPr>
              <w:pStyle w:val="P68B1DB1-Normal11"/>
              <w:jc w:val="center"/>
              <w:rPr>
                <w:noProof/>
                <w:szCs w:val="20"/>
              </w:rPr>
            </w:pPr>
            <w:r>
              <w:rPr>
                <w:noProof/>
              </w:rPr>
              <w:t>Mērķa</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CBD4196" w14:textId="77777777" w:rsidR="00327FF1" w:rsidRDefault="00E406C7">
            <w:pPr>
              <w:pStyle w:val="P68B1DB1-Normal11"/>
              <w:jc w:val="center"/>
              <w:rPr>
                <w:rFonts w:eastAsia="Calibri"/>
                <w:noProof/>
                <w:szCs w:val="20"/>
              </w:rPr>
            </w:pPr>
            <w:r>
              <w:rPr>
                <w:noProof/>
              </w:rPr>
              <w:t xml:space="preserve">Cilvēki, kas gūst labumu no darba ņēmēju </w:t>
            </w:r>
            <w:r>
              <w:rPr>
                <w:noProof/>
              </w:rPr>
              <w:t>nodarbinātības garantijas (GOL) programmas</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38A0351" w14:textId="77777777" w:rsidR="00327FF1" w:rsidRDefault="00E406C7">
            <w:pPr>
              <w:pStyle w:val="P68B1DB1-Normal11"/>
              <w:jc w:val="center"/>
              <w:rPr>
                <w:noProof/>
                <w:szCs w:val="20"/>
              </w:rPr>
            </w:pPr>
            <w:r>
              <w:rPr>
                <w:noProof/>
              </w:rPr>
              <w:t>NEPIEMĒRO</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ADFC96" w14:textId="77777777" w:rsidR="00327FF1" w:rsidRDefault="00E406C7">
            <w:pPr>
              <w:pStyle w:val="P68B1DB1-Normal11"/>
              <w:jc w:val="center"/>
              <w:rPr>
                <w:rFonts w:eastAsia="Calibri"/>
                <w:noProof/>
                <w:szCs w:val="20"/>
              </w:rPr>
            </w:pPr>
            <w:r>
              <w:rPr>
                <w:noProof/>
              </w:rPr>
              <w:t xml:space="preserve">Skaits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DBFEF3F" w14:textId="77777777" w:rsidR="00327FF1" w:rsidRDefault="00E406C7">
            <w:pPr>
              <w:pStyle w:val="P68B1DB1-Normal11"/>
              <w:jc w:val="center"/>
              <w:rPr>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49F4D1"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3</w:t>
            </w:r>
            <w:r>
              <w:rPr>
                <w:noProof/>
                <w:sz w:val="23"/>
                <w:szCs w:val="23"/>
              </w:rPr>
              <w:t xml:space="preserve"> </w:t>
            </w:r>
            <w:r>
              <w:rPr>
                <w:rFonts w:ascii="Arial Narrow" w:hAnsi="Arial Narrow"/>
                <w:noProof/>
                <w:color w:val="006100"/>
                <w:sz w:val="20"/>
              </w:rPr>
              <w:t>000</w:t>
            </w:r>
            <w:r>
              <w:rPr>
                <w:noProof/>
                <w:sz w:val="23"/>
                <w:szCs w:val="23"/>
              </w:rPr>
              <w:t xml:space="preserve"> </w:t>
            </w:r>
            <w:r>
              <w:rPr>
                <w:rFonts w:ascii="Arial Narrow" w:hAnsi="Arial Narrow"/>
                <w:noProof/>
                <w:color w:val="006100"/>
                <w:sz w:val="20"/>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B41C0DC" w14:textId="77777777" w:rsidR="00327FF1" w:rsidRDefault="00E406C7">
            <w:pPr>
              <w:pStyle w:val="P68B1DB1-Normal11"/>
              <w:jc w:val="center"/>
              <w:rPr>
                <w:noProof/>
                <w:szCs w:val="20"/>
              </w:rPr>
            </w:pPr>
            <w:r>
              <w:rPr>
                <w:noProof/>
              </w:rPr>
              <w:t>4.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905D9C" w14:textId="77777777" w:rsidR="00327FF1" w:rsidRDefault="00E406C7">
            <w:pPr>
              <w:pStyle w:val="P68B1DB1-Normal11"/>
              <w:jc w:val="center"/>
              <w:rPr>
                <w:rFonts w:eastAsia="Calibri"/>
                <w:noProof/>
                <w:szCs w:val="20"/>
              </w:rPr>
            </w:pPr>
            <w:r>
              <w:rPr>
                <w:noProof/>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641185" w14:textId="77777777" w:rsidR="00327FF1" w:rsidRDefault="00E406C7">
            <w:pPr>
              <w:rPr>
                <w:rFonts w:ascii="Arial Narrow" w:hAnsi="Arial Narrow"/>
                <w:noProof/>
                <w:color w:val="006100"/>
                <w:sz w:val="20"/>
              </w:rPr>
            </w:pPr>
            <w:r>
              <w:rPr>
                <w:rFonts w:ascii="Arial Narrow" w:hAnsi="Arial Narrow"/>
                <w:noProof/>
                <w:color w:val="006100"/>
                <w:sz w:val="20"/>
                <w:szCs w:val="20"/>
              </w:rPr>
              <w:t>Vismaz 3000000</w:t>
            </w:r>
            <w:r>
              <w:rPr>
                <w:noProof/>
                <w:sz w:val="23"/>
                <w:szCs w:val="23"/>
              </w:rPr>
              <w:t xml:space="preserve"> </w:t>
            </w:r>
            <w:r>
              <w:rPr>
                <w:rFonts w:ascii="Arial Narrow" w:hAnsi="Arial Narrow"/>
                <w:noProof/>
                <w:color w:val="006100"/>
                <w:sz w:val="20"/>
                <w:szCs w:val="20"/>
              </w:rPr>
              <w:t>cilvēku</w:t>
            </w:r>
            <w:r>
              <w:rPr>
                <w:noProof/>
                <w:sz w:val="23"/>
                <w:szCs w:val="23"/>
              </w:rPr>
              <w:t xml:space="preserve"> </w:t>
            </w:r>
            <w:r>
              <w:rPr>
                <w:rFonts w:ascii="Arial Narrow" w:hAnsi="Arial Narrow"/>
                <w:noProof/>
                <w:color w:val="006100"/>
                <w:sz w:val="20"/>
                <w:szCs w:val="20"/>
              </w:rPr>
              <w:t>gūst labumu no darba ņēmēju nodarbinātības garantijas (GOL) programmas.</w:t>
            </w:r>
          </w:p>
          <w:p w14:paraId="5701123A" w14:textId="67A92FB0" w:rsidR="00327FF1" w:rsidRDefault="00E406C7">
            <w:pPr>
              <w:pStyle w:val="P68B1DB1-Normal11"/>
              <w:rPr>
                <w:noProof/>
                <w:szCs w:val="20"/>
              </w:rPr>
            </w:pPr>
            <w:r>
              <w:rPr>
                <w:noProof/>
              </w:rPr>
              <w:t xml:space="preserve">Turklāt </w:t>
            </w:r>
            <w:r>
              <w:rPr>
                <w:noProof/>
                <w:szCs w:val="20"/>
              </w:rPr>
              <w:t xml:space="preserve">būtiskie pakalpojumu līmeņi </w:t>
            </w:r>
            <w:r>
              <w:rPr>
                <w:i/>
                <w:noProof/>
                <w:szCs w:val="20"/>
              </w:rPr>
              <w:t xml:space="preserve">(“Livelli essenziali delle </w:t>
            </w:r>
            <w:r>
              <w:rPr>
                <w:i/>
                <w:noProof/>
                <w:szCs w:val="20"/>
              </w:rPr>
              <w:t>prestazioni”),</w:t>
            </w:r>
            <w:r>
              <w:rPr>
                <w:noProof/>
                <w:szCs w:val="20"/>
              </w:rPr>
              <w:t xml:space="preserve"> kas definēti GOL programmā, ir pieejami vismaz 80 % valsts nodarbinātības dienestu (VND).</w:t>
            </w:r>
          </w:p>
        </w:tc>
      </w:tr>
      <w:tr w:rsidR="00327FF1" w14:paraId="328CFFD5"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E240EDC" w14:textId="77777777" w:rsidR="00327FF1" w:rsidRDefault="00E406C7">
            <w:pPr>
              <w:pStyle w:val="P68B1DB1-Normal12"/>
              <w:jc w:val="center"/>
              <w:rPr>
                <w:noProof/>
                <w:highlight w:val="yellow"/>
              </w:rPr>
            </w:pPr>
            <w:r>
              <w:rPr>
                <w:noProof/>
              </w:rPr>
              <w:t xml:space="preserve">M5C1–4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5AD40E" w14:textId="77777777" w:rsidR="00327FF1" w:rsidRDefault="00E406C7">
            <w:pPr>
              <w:pStyle w:val="P68B1DB1-Normal11"/>
              <w:jc w:val="center"/>
              <w:rPr>
                <w:rFonts w:eastAsia="Calibri"/>
                <w:noProof/>
                <w:szCs w:val="20"/>
              </w:rPr>
            </w:pPr>
            <w:r>
              <w:rPr>
                <w:noProof/>
              </w:rPr>
              <w:t>Reforma Nr. 1 — ADTP un profesionālā apmācība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85F787" w14:textId="77777777" w:rsidR="00327FF1" w:rsidRDefault="00E406C7">
            <w:pPr>
              <w:pStyle w:val="P68B1DB1-Normal11"/>
              <w:jc w:val="center"/>
              <w:rPr>
                <w:noProof/>
                <w:szCs w:val="20"/>
              </w:rPr>
            </w:pPr>
            <w:r>
              <w:rPr>
                <w:noProof/>
              </w:rPr>
              <w:t>Mērķa</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75B2BD" w14:textId="7CCDB143" w:rsidR="00327FF1" w:rsidRDefault="00E406C7">
            <w:pPr>
              <w:pStyle w:val="P68B1DB1-Normal11"/>
              <w:jc w:val="center"/>
              <w:rPr>
                <w:noProof/>
                <w:szCs w:val="20"/>
              </w:rPr>
            </w:pPr>
            <w:r>
              <w:rPr>
                <w:noProof/>
              </w:rPr>
              <w:t>Cilvēki, kas piedalās mācību programmās</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56B515" w14:textId="77777777" w:rsidR="00327FF1" w:rsidRDefault="00E406C7">
            <w:pPr>
              <w:pStyle w:val="P68B1DB1-Normal11"/>
              <w:jc w:val="center"/>
              <w:rPr>
                <w:noProof/>
                <w:szCs w:val="20"/>
              </w:rPr>
            </w:pPr>
            <w:r>
              <w:rPr>
                <w:noProof/>
              </w:rPr>
              <w:t>NEPIEMĒRO</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6DB7DB" w14:textId="77777777" w:rsidR="00327FF1" w:rsidRDefault="00E406C7">
            <w:pPr>
              <w:pStyle w:val="P68B1DB1-Normal11"/>
              <w:jc w:val="center"/>
              <w:rPr>
                <w:rFonts w:eastAsia="Calibri"/>
                <w:noProof/>
                <w:szCs w:val="20"/>
              </w:rPr>
            </w:pPr>
            <w:r>
              <w:rPr>
                <w:noProof/>
              </w:rPr>
              <w:t xml:space="preserve">Skaits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32FC23" w14:textId="77777777" w:rsidR="00327FF1" w:rsidRDefault="00E406C7">
            <w:pPr>
              <w:pStyle w:val="P68B1DB1-Normal11"/>
              <w:jc w:val="center"/>
              <w:rPr>
                <w:rFonts w:eastAsia="Calibri"/>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2FFB1AA" w14:textId="77777777" w:rsidR="00327FF1" w:rsidRDefault="00E406C7">
            <w:pPr>
              <w:jc w:val="center"/>
              <w:rPr>
                <w:rFonts w:ascii="Arial Narrow" w:eastAsia="Calibri" w:hAnsi="Arial Narrow"/>
                <w:noProof/>
                <w:color w:val="006100"/>
                <w:sz w:val="20"/>
                <w:szCs w:val="20"/>
              </w:rPr>
            </w:pPr>
            <w:r>
              <w:rPr>
                <w:rFonts w:ascii="Arial Narrow" w:hAnsi="Arial Narrow"/>
                <w:noProof/>
                <w:color w:val="006100"/>
                <w:sz w:val="20"/>
              </w:rPr>
              <w:t>600</w:t>
            </w:r>
            <w:r>
              <w:rPr>
                <w:noProof/>
                <w:sz w:val="23"/>
                <w:szCs w:val="23"/>
              </w:rPr>
              <w:t xml:space="preserve"> </w:t>
            </w:r>
            <w:r>
              <w:rPr>
                <w:rFonts w:ascii="Arial Narrow" w:hAnsi="Arial Narrow"/>
                <w:noProof/>
                <w:color w:val="006100"/>
                <w:sz w:val="20"/>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4FB6C8" w14:textId="77777777" w:rsidR="00327FF1" w:rsidRDefault="00E406C7">
            <w:pPr>
              <w:pStyle w:val="P68B1DB1-Normal11"/>
              <w:jc w:val="center"/>
              <w:rPr>
                <w:rFonts w:eastAsia="Calibri"/>
                <w:noProof/>
                <w:szCs w:val="20"/>
              </w:rPr>
            </w:pPr>
            <w:r>
              <w:rPr>
                <w:noProof/>
              </w:rPr>
              <w:t>4.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23B8F9" w14:textId="77777777" w:rsidR="00327FF1" w:rsidRDefault="00E406C7">
            <w:pPr>
              <w:pStyle w:val="P68B1DB1-Normal11"/>
              <w:jc w:val="center"/>
              <w:rPr>
                <w:rFonts w:eastAsia="Calibri"/>
                <w:noProof/>
                <w:szCs w:val="20"/>
              </w:rPr>
            </w:pPr>
            <w:r>
              <w:rPr>
                <w:noProof/>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7C09A3" w14:textId="2C9C2417" w:rsidR="00327FF1" w:rsidRDefault="00E406C7">
            <w:pPr>
              <w:rPr>
                <w:rFonts w:ascii="Arial Narrow" w:hAnsi="Arial Narrow"/>
                <w:noProof/>
                <w:color w:val="006100"/>
                <w:sz w:val="20"/>
                <w:szCs w:val="20"/>
              </w:rPr>
            </w:pPr>
            <w:r>
              <w:rPr>
                <w:rFonts w:ascii="Arial Narrow" w:hAnsi="Arial Narrow"/>
                <w:noProof/>
                <w:color w:val="006100"/>
                <w:sz w:val="20"/>
                <w:szCs w:val="20"/>
              </w:rPr>
              <w:t xml:space="preserve">Vismaz </w:t>
            </w:r>
            <w:r>
              <w:rPr>
                <w:rFonts w:ascii="Arial Narrow" w:hAnsi="Arial Narrow"/>
                <w:noProof/>
                <w:color w:val="006100"/>
                <w:sz w:val="20"/>
                <w:szCs w:val="20"/>
              </w:rPr>
              <w:t>600000</w:t>
            </w:r>
            <w:r>
              <w:rPr>
                <w:noProof/>
                <w:sz w:val="23"/>
                <w:szCs w:val="23"/>
              </w:rPr>
              <w:t xml:space="preserve"> </w:t>
            </w:r>
            <w:r>
              <w:rPr>
                <w:rFonts w:ascii="Arial Narrow" w:hAnsi="Arial Narrow"/>
                <w:noProof/>
                <w:color w:val="006100"/>
                <w:sz w:val="20"/>
                <w:szCs w:val="20"/>
              </w:rPr>
              <w:t>no programmas GOL atbalsta saņēmējiem piedalās apmācībā, no kuriem vismaz 300000</w:t>
            </w:r>
            <w:r>
              <w:rPr>
                <w:noProof/>
                <w:sz w:val="23"/>
                <w:szCs w:val="23"/>
              </w:rPr>
              <w:t xml:space="preserve">  </w:t>
            </w:r>
            <w:r>
              <w:rPr>
                <w:rFonts w:ascii="Arial Narrow" w:hAnsi="Arial Narrow"/>
                <w:noProof/>
                <w:color w:val="006100"/>
                <w:sz w:val="20"/>
                <w:szCs w:val="20"/>
              </w:rPr>
              <w:t>piedalās digitālo prasmju apmācībā.</w:t>
            </w:r>
          </w:p>
          <w:p w14:paraId="058AA29C" w14:textId="77777777" w:rsidR="00327FF1" w:rsidRDefault="00E406C7">
            <w:pPr>
              <w:pStyle w:val="P68B1DB1-Normal12"/>
              <w:rPr>
                <w:noProof/>
              </w:rPr>
            </w:pPr>
            <w:r>
              <w:rPr>
                <w:noProof/>
              </w:rPr>
              <w:t xml:space="preserve">Publicē atlasīto atbalsta saņēmēju sarakstus mācību programmās </w:t>
            </w:r>
            <w:r>
              <w:rPr>
                <w:i/>
                <w:noProof/>
              </w:rPr>
              <w:t>“Progetto per l’</w:t>
            </w:r>
            <w:r>
              <w:rPr>
                <w:noProof/>
              </w:rPr>
              <w:t>autoimpiego”, “</w:t>
            </w:r>
            <w:r>
              <w:rPr>
                <w:i/>
                <w:noProof/>
              </w:rPr>
              <w:t>Fondo nuove</w:t>
            </w:r>
            <w:r>
              <w:rPr>
                <w:noProof/>
              </w:rPr>
              <w:t>competenze” un “</w:t>
            </w:r>
            <w:r>
              <w:rPr>
                <w:i/>
                <w:noProof/>
              </w:rPr>
              <w:t>Prasmju pa</w:t>
            </w:r>
            <w:r>
              <w:rPr>
                <w:i/>
                <w:noProof/>
              </w:rPr>
              <w:t>rtnerība Ucraina-Italia”</w:t>
            </w:r>
            <w:r>
              <w:rPr>
                <w:noProof/>
              </w:rPr>
              <w:t>.</w:t>
            </w:r>
          </w:p>
        </w:tc>
      </w:tr>
      <w:tr w:rsidR="00327FF1" w14:paraId="4D48BF16" w14:textId="77777777">
        <w:trPr>
          <w:trHeight w:val="593"/>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63F5AF4" w14:textId="77777777" w:rsidR="00327FF1" w:rsidRDefault="00E406C7">
            <w:pPr>
              <w:pStyle w:val="P68B1DB1-Normal12"/>
              <w:jc w:val="center"/>
              <w:rPr>
                <w:noProof/>
                <w:highlight w:val="yellow"/>
              </w:rPr>
            </w:pPr>
            <w:r>
              <w:rPr>
                <w:noProof/>
              </w:rPr>
              <w:t xml:space="preserve">M5C1–4bis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79134E8" w14:textId="77777777" w:rsidR="00327FF1" w:rsidRDefault="00E406C7">
            <w:pPr>
              <w:pStyle w:val="P68B1DB1-Normal11"/>
              <w:jc w:val="center"/>
              <w:rPr>
                <w:noProof/>
                <w:szCs w:val="20"/>
              </w:rPr>
            </w:pPr>
            <w:r>
              <w:rPr>
                <w:noProof/>
              </w:rPr>
              <w:t>Reforma Nr. 1 — ADTP un profesionālā apmācība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A78233" w14:textId="77777777" w:rsidR="00327FF1" w:rsidRDefault="00E406C7">
            <w:pPr>
              <w:pStyle w:val="P68B1DB1-Normal11"/>
              <w:jc w:val="center"/>
              <w:rPr>
                <w:noProof/>
                <w:szCs w:val="20"/>
              </w:rPr>
            </w:pPr>
            <w:r>
              <w:rPr>
                <w:noProof/>
              </w:rPr>
              <w:t>Mērķa</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3A90CF" w14:textId="77777777" w:rsidR="00327FF1" w:rsidRDefault="00E406C7">
            <w:pPr>
              <w:pStyle w:val="P68B1DB1-Normal12"/>
              <w:jc w:val="center"/>
              <w:rPr>
                <w:rFonts w:eastAsia="Calibri"/>
                <w:noProof/>
              </w:rPr>
            </w:pPr>
            <w:r>
              <w:rPr>
                <w:noProof/>
              </w:rPr>
              <w:t xml:space="preserve">Cilvēki, kas piedalās mācību programmās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D2041A" w14:textId="77777777" w:rsidR="00327FF1" w:rsidRDefault="00E406C7">
            <w:pPr>
              <w:pStyle w:val="P68B1DB1-Normal11"/>
              <w:jc w:val="center"/>
              <w:rPr>
                <w:noProof/>
                <w:szCs w:val="20"/>
              </w:rPr>
            </w:pPr>
            <w:r>
              <w:rPr>
                <w:noProof/>
              </w:rPr>
              <w:t>NEPIEMĒRO</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F44E69" w14:textId="77777777" w:rsidR="00327FF1" w:rsidRDefault="00E406C7">
            <w:pPr>
              <w:pStyle w:val="P68B1DB1-Normal11"/>
              <w:jc w:val="center"/>
              <w:rPr>
                <w:noProof/>
                <w:szCs w:val="20"/>
              </w:rPr>
            </w:pPr>
            <w:r>
              <w:rPr>
                <w:noProof/>
              </w:rPr>
              <w:t>Skaits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70DA73" w14:textId="345B9566" w:rsidR="00327FF1" w:rsidRDefault="00E406C7">
            <w:pPr>
              <w:pStyle w:val="P68B1DB1-Normal11"/>
              <w:jc w:val="center"/>
              <w:rPr>
                <w:noProof/>
                <w:szCs w:val="20"/>
              </w:rPr>
            </w:pPr>
            <w:r>
              <w:rPr>
                <w:noProof/>
              </w:rPr>
              <w:t>600 000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79527A" w14:textId="2EC41DA2" w:rsidR="00327FF1" w:rsidRDefault="00E406C7">
            <w:pPr>
              <w:pStyle w:val="P68B1DB1-Normal11"/>
              <w:jc w:val="center"/>
              <w:rPr>
                <w:rFonts w:eastAsia="Calibri"/>
                <w:noProof/>
                <w:szCs w:val="20"/>
              </w:rPr>
            </w:pPr>
            <w:r>
              <w:rPr>
                <w:noProof/>
                <w:szCs w:val="20"/>
              </w:rPr>
              <w:t>800 000</w:t>
            </w:r>
            <w:r>
              <w:rPr>
                <w:noProof/>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55E1751" w14:textId="77777777" w:rsidR="00327FF1" w:rsidRDefault="00E406C7">
            <w:pPr>
              <w:pStyle w:val="P68B1DB1-Normal11"/>
              <w:jc w:val="center"/>
              <w:rPr>
                <w:rFonts w:eastAsia="Calibri"/>
                <w:noProof/>
                <w:szCs w:val="20"/>
              </w:rPr>
            </w:pPr>
            <w:r>
              <w:rPr>
                <w:noProof/>
              </w:rPr>
              <w:t>2.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5B16827" w14:textId="77777777" w:rsidR="00327FF1" w:rsidRDefault="00E406C7">
            <w:pPr>
              <w:pStyle w:val="P68B1DB1-Normal11"/>
              <w:jc w:val="center"/>
              <w:rPr>
                <w:rFonts w:eastAsia="Calibri"/>
                <w:noProof/>
                <w:szCs w:val="20"/>
              </w:rPr>
            </w:pPr>
            <w:r>
              <w:rPr>
                <w:noProof/>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1F55EF5" w14:textId="5510CA36" w:rsidR="00327FF1" w:rsidRDefault="00E406C7">
            <w:pPr>
              <w:pStyle w:val="P68B1DB1-Normal12"/>
              <w:rPr>
                <w:rFonts w:eastAsia="Calibri"/>
                <w:noProof/>
              </w:rPr>
            </w:pPr>
            <w:r>
              <w:rPr>
                <w:noProof/>
              </w:rPr>
              <w:t>Vismaz 200000 cilvēku piedalās apmācībā, izmantojot GOL programmu “Fondo</w:t>
            </w:r>
            <w:r>
              <w:rPr>
                <w:i/>
                <w:noProof/>
              </w:rPr>
              <w:t xml:space="preserve">nuove </w:t>
            </w:r>
            <w:r>
              <w:rPr>
                <w:i/>
                <w:noProof/>
              </w:rPr>
              <w:t>competenze” vai</w:t>
            </w:r>
            <w:r>
              <w:rPr>
                <w:noProof/>
              </w:rPr>
              <w:t xml:space="preserve">“ </w:t>
            </w:r>
            <w:r>
              <w:rPr>
                <w:i/>
                <w:noProof/>
              </w:rPr>
              <w:t>Progetto per l’autoimpiego”,</w:t>
            </w:r>
            <w:r>
              <w:rPr>
                <w:noProof/>
              </w:rPr>
              <w:t xml:space="preserve">no kuriem vismaz 75000 ir GOL atbalsta saņēmēji. </w:t>
            </w:r>
          </w:p>
        </w:tc>
      </w:tr>
      <w:tr w:rsidR="00327FF1" w14:paraId="4E47ECBE"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D77FE9" w14:textId="77777777" w:rsidR="00327FF1" w:rsidRDefault="00E406C7">
            <w:pPr>
              <w:pStyle w:val="P68B1DB1-Normal11"/>
              <w:spacing w:before="120" w:after="120"/>
              <w:jc w:val="center"/>
              <w:rPr>
                <w:noProof/>
                <w:szCs w:val="20"/>
              </w:rPr>
            </w:pPr>
            <w:r>
              <w:rPr>
                <w:noProof/>
              </w:rPr>
              <w:t>M5C1–6</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531471" w14:textId="77777777" w:rsidR="00327FF1" w:rsidRDefault="00E406C7">
            <w:pPr>
              <w:pStyle w:val="P68B1DB1-Normal11"/>
              <w:spacing w:before="120" w:after="120"/>
              <w:jc w:val="center"/>
              <w:rPr>
                <w:rFonts w:eastAsia="Calibri"/>
                <w:noProof/>
                <w:szCs w:val="20"/>
              </w:rPr>
            </w:pPr>
            <w:r>
              <w:rPr>
                <w:noProof/>
              </w:rPr>
              <w:t>Investīcija Nr. 1 “Valstu nodarbinātības dienestu (VND) stiprināšana”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6440432" w14:textId="77777777" w:rsidR="00327FF1" w:rsidRDefault="00E406C7">
            <w:pPr>
              <w:pStyle w:val="P68B1DB1-Normal11"/>
              <w:spacing w:before="120" w:after="120"/>
              <w:jc w:val="center"/>
              <w:rPr>
                <w:rFonts w:eastAsia="Calibri"/>
                <w:noProof/>
                <w:szCs w:val="20"/>
              </w:rPr>
            </w:pPr>
            <w:r>
              <w:rPr>
                <w:noProof/>
              </w:rPr>
              <w:t>Mērķa</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A61E780" w14:textId="77777777" w:rsidR="00327FF1" w:rsidRDefault="00E406C7">
            <w:pPr>
              <w:pStyle w:val="P68B1DB1-Normal11"/>
              <w:spacing w:before="120" w:after="120"/>
              <w:jc w:val="center"/>
              <w:rPr>
                <w:rFonts w:eastAsia="Calibri"/>
                <w:noProof/>
                <w:szCs w:val="20"/>
              </w:rPr>
            </w:pPr>
            <w:r>
              <w:rPr>
                <w:noProof/>
              </w:rPr>
              <w:t xml:space="preserve"> Valstu nodarbinātības dienesti (VND) trīs gadu laikposmā no 2021. līdz 2023.</w:t>
            </w:r>
            <w:r>
              <w:rPr>
                <w:noProof/>
              </w:rPr>
              <w:t xml:space="preserve"> gadam īsteno stiprināšanas plānā paredzētās darbības.</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FB0492" w14:textId="77777777" w:rsidR="00327FF1" w:rsidRDefault="00E406C7">
            <w:pPr>
              <w:pStyle w:val="P68B1DB1-Normal11"/>
              <w:spacing w:before="120" w:after="120"/>
              <w:jc w:val="center"/>
              <w:rPr>
                <w:rFonts w:eastAsia="Calibri"/>
                <w:noProof/>
                <w:szCs w:val="20"/>
              </w:rPr>
            </w:pPr>
            <w:r>
              <w:rPr>
                <w:noProof/>
              </w:rPr>
              <w:t>NEPIEMĒRO</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EB4488" w14:textId="77777777" w:rsidR="00327FF1" w:rsidRDefault="00E406C7">
            <w:pPr>
              <w:pStyle w:val="P68B1DB1-Normal11"/>
              <w:spacing w:before="120" w:after="120"/>
              <w:jc w:val="center"/>
              <w:rPr>
                <w:rFonts w:eastAsia="Calibri"/>
                <w:noProof/>
                <w:szCs w:val="20"/>
              </w:rPr>
            </w:pPr>
            <w:r>
              <w:rPr>
                <w:noProof/>
              </w:rPr>
              <w:t>Skaits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B0FA08" w14:textId="77777777" w:rsidR="00327FF1" w:rsidRDefault="00E406C7">
            <w:pPr>
              <w:pStyle w:val="P68B1DB1-Normal11"/>
              <w:spacing w:before="120" w:after="120"/>
              <w:jc w:val="center"/>
              <w:rPr>
                <w:rFonts w:eastAsia="Calibri"/>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7502EF" w14:textId="77777777" w:rsidR="00327FF1" w:rsidRDefault="00E406C7">
            <w:pPr>
              <w:pStyle w:val="P68B1DB1-Normal11"/>
              <w:spacing w:before="120" w:after="120"/>
              <w:jc w:val="center"/>
              <w:rPr>
                <w:rFonts w:eastAsia="Calibri"/>
                <w:noProof/>
                <w:szCs w:val="20"/>
              </w:rPr>
            </w:pPr>
            <w:r>
              <w:rPr>
                <w:noProof/>
              </w:rPr>
              <w:t>250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FE78BF" w14:textId="77777777" w:rsidR="00327FF1" w:rsidRDefault="00E406C7">
            <w:pPr>
              <w:pStyle w:val="P68B1DB1-Normal11"/>
              <w:spacing w:before="120" w:after="120"/>
              <w:jc w:val="center"/>
              <w:rPr>
                <w:rFonts w:eastAsia="Calibri"/>
                <w:noProof/>
                <w:szCs w:val="20"/>
              </w:rPr>
            </w:pPr>
            <w:r>
              <w:rPr>
                <w:noProof/>
              </w:rPr>
              <w:t>4.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06AFCC6" w14:textId="77777777" w:rsidR="00327FF1" w:rsidRDefault="00E406C7">
            <w:pPr>
              <w:pStyle w:val="P68B1DB1-Normal11"/>
              <w:spacing w:before="120" w:after="120"/>
              <w:jc w:val="center"/>
              <w:rPr>
                <w:rFonts w:eastAsia="Calibri"/>
                <w:noProof/>
                <w:szCs w:val="20"/>
              </w:rPr>
            </w:pPr>
            <w:r>
              <w:rPr>
                <w:noProof/>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36FF30D" w14:textId="77777777" w:rsidR="00327FF1" w:rsidRDefault="00E406C7">
            <w:pPr>
              <w:pStyle w:val="P68B1DB1-Normal11"/>
              <w:spacing w:before="120" w:after="120"/>
              <w:rPr>
                <w:rFonts w:eastAsia="Calibri"/>
                <w:noProof/>
                <w:szCs w:val="20"/>
              </w:rPr>
            </w:pPr>
            <w:r>
              <w:rPr>
                <w:noProof/>
              </w:rPr>
              <w:t>Vismaz 250 valstu nodarbinātības dienesti (VND) trīs gadu laikposmā no 2021. līdz 2023. gadam ir pabeiguši vismaz 50 % no “Stiprināšanas plānā” paredzētajām darbībām</w:t>
            </w:r>
            <w:r>
              <w:rPr>
                <w:noProof/>
              </w:rPr>
              <w:t>.</w:t>
            </w:r>
          </w:p>
          <w:p w14:paraId="48CBF943" w14:textId="77777777" w:rsidR="00327FF1" w:rsidRDefault="00E406C7">
            <w:pPr>
              <w:pStyle w:val="P68B1DB1-Normal11"/>
              <w:spacing w:before="120" w:after="120"/>
              <w:rPr>
                <w:rFonts w:eastAsia="Calibri"/>
                <w:noProof/>
                <w:szCs w:val="20"/>
              </w:rPr>
            </w:pPr>
            <w:r>
              <w:rPr>
                <w:noProof/>
              </w:rPr>
              <w:t>Šīs darbības atbilst centrālajam stiprināšanas plānam un sīkāk definētas reģionālā līmenī, pamatojoties uz vajadzību analīzi un piešķirtajiem resursiem.</w:t>
            </w:r>
          </w:p>
          <w:p w14:paraId="54265A60" w14:textId="77777777" w:rsidR="00327FF1" w:rsidRDefault="00E406C7">
            <w:pPr>
              <w:pStyle w:val="P68B1DB1-Normal11"/>
              <w:spacing w:before="120" w:after="120"/>
              <w:rPr>
                <w:rFonts w:eastAsia="Calibri"/>
                <w:noProof/>
                <w:szCs w:val="20"/>
              </w:rPr>
            </w:pPr>
            <w:r>
              <w:rPr>
                <w:noProof/>
              </w:rPr>
              <w:t>Šīs darbības ietver: Valsts nodarbinātības dienestu (VND) pašreizējo atrašanās vietu renovācija un at</w:t>
            </w:r>
            <w:r>
              <w:rPr>
                <w:noProof/>
              </w:rPr>
              <w:t xml:space="preserve">jaunošana un jaunu vietu iegāde; II) IT sistēmas turpmāka īstenošana, ņemot vērā valsts sadarbspēju; III) personāla profesionālā apmācība; Vietējo darba tirgu reģionālo novērošanas centru izveide; V) iestāžu komunikācija un informēšana. </w:t>
            </w:r>
          </w:p>
          <w:p w14:paraId="5E660950" w14:textId="77777777" w:rsidR="00327FF1" w:rsidRDefault="00E406C7">
            <w:pPr>
              <w:pStyle w:val="P68B1DB1-Normal11"/>
              <w:spacing w:before="120" w:after="120"/>
              <w:rPr>
                <w:rFonts w:eastAsia="Calibri"/>
                <w:noProof/>
                <w:szCs w:val="20"/>
              </w:rPr>
            </w:pPr>
            <w:r>
              <w:rPr>
                <w:noProof/>
              </w:rPr>
              <w:t>Infrastruktūras da</w:t>
            </w:r>
            <w:r>
              <w:rPr>
                <w:noProof/>
              </w:rPr>
              <w:t>rbības šajā mērķī nav iekļautas.</w:t>
            </w:r>
          </w:p>
          <w:p w14:paraId="0B80263F" w14:textId="77777777" w:rsidR="00327FF1" w:rsidRDefault="00E406C7">
            <w:pPr>
              <w:pStyle w:val="P68B1DB1-Normal11"/>
              <w:spacing w:before="120" w:after="120"/>
              <w:rPr>
                <w:rFonts w:eastAsia="Calibri"/>
                <w:noProof/>
                <w:szCs w:val="20"/>
              </w:rPr>
            </w:pPr>
            <w:r>
              <w:rPr>
                <w:noProof/>
              </w:rPr>
              <w:t>Tiek nodrošināts vienāds līdzsvars mērķa sasniegšanā attiecībā uz teritoriālo sadalījumu (ziemeļi, centrālie un dienvidu reģioni).</w:t>
            </w:r>
          </w:p>
        </w:tc>
      </w:tr>
      <w:tr w:rsidR="00327FF1" w14:paraId="60AB01AC"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521528" w14:textId="77777777" w:rsidR="00327FF1" w:rsidRDefault="00E406C7">
            <w:pPr>
              <w:pStyle w:val="P68B1DB1-Normal12"/>
              <w:spacing w:before="120" w:after="120"/>
              <w:jc w:val="center"/>
              <w:rPr>
                <w:rFonts w:eastAsia="Calibri"/>
                <w:noProof/>
                <w:highlight w:val="yellow"/>
              </w:rPr>
            </w:pPr>
            <w:r>
              <w:rPr>
                <w:noProof/>
              </w:rPr>
              <w:t>M5C1–7</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0027B18" w14:textId="77777777" w:rsidR="00327FF1" w:rsidRDefault="00E406C7">
            <w:pPr>
              <w:pStyle w:val="P68B1DB1-Normal11"/>
              <w:spacing w:before="120" w:after="120"/>
              <w:jc w:val="center"/>
              <w:rPr>
                <w:rFonts w:eastAsia="Calibri"/>
                <w:noProof/>
                <w:szCs w:val="20"/>
              </w:rPr>
            </w:pPr>
            <w:r>
              <w:rPr>
                <w:noProof/>
              </w:rPr>
              <w:t>Investīcija Nr. 1 “Valstu nodarbinātības dienestu (VND) stiprināšana”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A392036" w14:textId="77777777" w:rsidR="00327FF1" w:rsidRDefault="00E406C7">
            <w:pPr>
              <w:pStyle w:val="P68B1DB1-Normal12"/>
              <w:spacing w:before="120" w:after="120"/>
              <w:jc w:val="center"/>
              <w:rPr>
                <w:noProof/>
              </w:rPr>
            </w:pPr>
            <w:r>
              <w:rPr>
                <w:noProof/>
              </w:rPr>
              <w:t>Mērķa</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957EF3" w14:textId="77777777" w:rsidR="00327FF1" w:rsidRDefault="00E406C7">
            <w:pPr>
              <w:pStyle w:val="P68B1DB1-Normal12"/>
              <w:spacing w:before="120" w:after="120"/>
              <w:jc w:val="center"/>
              <w:rPr>
                <w:rFonts w:eastAsia="Calibri"/>
                <w:noProof/>
              </w:rPr>
            </w:pPr>
            <w:r>
              <w:rPr>
                <w:noProof/>
              </w:rPr>
              <w:t xml:space="preserve">Valstu </w:t>
            </w:r>
            <w:r>
              <w:rPr>
                <w:noProof/>
              </w:rPr>
              <w:t>nodarbinātības dienesti (VND) ir pabeiguši stiprināšanas plānā paredzētās darbības.</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34071E" w14:textId="77777777" w:rsidR="00327FF1" w:rsidRDefault="00E406C7">
            <w:pPr>
              <w:pStyle w:val="P68B1DB1-Normal12"/>
              <w:spacing w:before="120" w:after="120"/>
              <w:jc w:val="center"/>
              <w:rPr>
                <w:rFonts w:eastAsia="Calibri"/>
                <w:noProof/>
              </w:rPr>
            </w:pPr>
            <w:r>
              <w:rPr>
                <w:noProof/>
              </w:rPr>
              <w:t>NEPIEMĒRO</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D01F7BE" w14:textId="77777777" w:rsidR="00327FF1" w:rsidRDefault="00E406C7">
            <w:pPr>
              <w:pStyle w:val="P68B1DB1-Normal11"/>
              <w:spacing w:before="120" w:after="120"/>
              <w:jc w:val="center"/>
              <w:rPr>
                <w:rFonts w:eastAsia="Calibri"/>
                <w:noProof/>
                <w:szCs w:val="20"/>
              </w:rPr>
            </w:pPr>
            <w:r>
              <w:rPr>
                <w:noProof/>
              </w:rPr>
              <w:t xml:space="preserve">Skaits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8A18CE" w14:textId="77777777" w:rsidR="00327FF1" w:rsidRDefault="00E406C7">
            <w:pPr>
              <w:pStyle w:val="P68B1DB1-Normal11"/>
              <w:spacing w:before="120" w:after="120"/>
              <w:jc w:val="center"/>
              <w:rPr>
                <w:rFonts w:eastAsia="Calibri"/>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FE65613" w14:textId="77777777" w:rsidR="00327FF1" w:rsidRDefault="00E406C7">
            <w:pPr>
              <w:pStyle w:val="P68B1DB1-Normal12"/>
              <w:spacing w:before="120" w:after="120"/>
              <w:jc w:val="center"/>
              <w:rPr>
                <w:noProof/>
                <w:highlight w:val="yellow"/>
              </w:rPr>
            </w:pPr>
            <w:r>
              <w:rPr>
                <w:noProof/>
              </w:rPr>
              <w:t>326</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80FC6F" w14:textId="77777777" w:rsidR="00327FF1" w:rsidRDefault="00E406C7">
            <w:pPr>
              <w:pStyle w:val="P68B1DB1-Normal11"/>
              <w:spacing w:before="120" w:after="120"/>
              <w:jc w:val="center"/>
              <w:rPr>
                <w:rFonts w:eastAsia="Calibri"/>
                <w:noProof/>
                <w:szCs w:val="20"/>
              </w:rPr>
            </w:pPr>
            <w:r>
              <w:rPr>
                <w:noProof/>
              </w:rPr>
              <w:t>4.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960E686" w14:textId="77777777" w:rsidR="00327FF1" w:rsidRDefault="00E406C7">
            <w:pPr>
              <w:pStyle w:val="P68B1DB1-Normal11"/>
              <w:spacing w:before="120" w:after="120"/>
              <w:jc w:val="center"/>
              <w:rPr>
                <w:rFonts w:eastAsia="Calibri"/>
                <w:noProof/>
                <w:szCs w:val="20"/>
              </w:rPr>
            </w:pPr>
            <w:r>
              <w:rPr>
                <w:noProof/>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5E155F1" w14:textId="34B1928A" w:rsidR="00327FF1" w:rsidRDefault="00E406C7">
            <w:pPr>
              <w:pStyle w:val="P68B1DB1-Normal11"/>
              <w:spacing w:before="120" w:after="120"/>
              <w:rPr>
                <w:rFonts w:eastAsia="Calibri"/>
                <w:noProof/>
                <w:szCs w:val="20"/>
              </w:rPr>
            </w:pPr>
            <w:r>
              <w:rPr>
                <w:noProof/>
                <w:szCs w:val="20"/>
              </w:rPr>
              <w:t>Vismaz 326 valstu nodarbinātības dienesti (VND) un reģionālās aģentūras ir pabeigušas darbības, kas paredzētas reģionālajos plānos vals</w:t>
            </w:r>
            <w:r>
              <w:rPr>
                <w:noProof/>
                <w:szCs w:val="20"/>
              </w:rPr>
              <w:t>ts nodarbinātības centru stiprināšanai (</w:t>
            </w:r>
            <w:r>
              <w:rPr>
                <w:i/>
                <w:noProof/>
                <w:szCs w:val="20"/>
              </w:rPr>
              <w:t>Piani regionali di potenziamento dei centri per l’impiego</w:t>
            </w:r>
            <w:r>
              <w:rPr>
                <w:noProof/>
                <w:szCs w:val="20"/>
              </w:rPr>
              <w:t xml:space="preserve">), tostarp, </w:t>
            </w:r>
            <w:r>
              <w:rPr>
                <w:noProof/>
              </w:rPr>
              <w:t>piemēram: Tā uzlabo personāla apmācību, izveido reģionālos vietējo darba tirgu novērošanas centrus un īsteno komunikācijas kampaņas.</w:t>
            </w:r>
          </w:p>
        </w:tc>
      </w:tr>
      <w:tr w:rsidR="00327FF1" w14:paraId="6806E5BB"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6C1EE5" w14:textId="77777777" w:rsidR="00327FF1" w:rsidRDefault="00E406C7">
            <w:pPr>
              <w:pStyle w:val="P68B1DB1-Normal12"/>
              <w:jc w:val="center"/>
              <w:rPr>
                <w:noProof/>
                <w:highlight w:val="yellow"/>
              </w:rPr>
            </w:pPr>
            <w:r>
              <w:rPr>
                <w:noProof/>
              </w:rPr>
              <w:t>M5C1–7bis</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E9F0E3" w14:textId="77777777" w:rsidR="00327FF1" w:rsidRDefault="00E406C7">
            <w:pPr>
              <w:pStyle w:val="P68B1DB1-Normal12"/>
              <w:spacing w:before="120" w:after="120"/>
              <w:jc w:val="center"/>
              <w:rPr>
                <w:rFonts w:eastAsia="Calibri"/>
                <w:noProof/>
              </w:rPr>
            </w:pPr>
            <w:r>
              <w:rPr>
                <w:noProof/>
              </w:rPr>
              <w:t>Investīcija Nr. 1 “Valstu nodarbinātības dienestu (VND) stiprināšana”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B090F" w14:textId="77777777" w:rsidR="00327FF1" w:rsidRDefault="00E406C7">
            <w:pPr>
              <w:pStyle w:val="P68B1DB1-Normal11"/>
              <w:jc w:val="center"/>
              <w:rPr>
                <w:rFonts w:eastAsia="Calibri"/>
                <w:noProof/>
                <w:szCs w:val="20"/>
              </w:rPr>
            </w:pPr>
            <w:r>
              <w:rPr>
                <w:noProof/>
              </w:rPr>
              <w:t>Mērķa</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276110" w14:textId="0058D981" w:rsidR="00327FF1" w:rsidRDefault="00E406C7">
            <w:pPr>
              <w:pStyle w:val="P68B1DB1-Normal11"/>
              <w:jc w:val="center"/>
              <w:rPr>
                <w:noProof/>
                <w:szCs w:val="20"/>
              </w:rPr>
            </w:pPr>
            <w:r>
              <w:rPr>
                <w:noProof/>
              </w:rPr>
              <w:t xml:space="preserve">Infrastruktūras darbības valstu nodarbinātības dienestos (VND)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C369C5" w14:textId="77777777" w:rsidR="00327FF1" w:rsidRDefault="00E406C7">
            <w:pPr>
              <w:pStyle w:val="P68B1DB1-Normal12"/>
              <w:jc w:val="center"/>
              <w:rPr>
                <w:rFonts w:eastAsia="Calibri"/>
                <w:noProof/>
              </w:rPr>
            </w:pPr>
            <w:r>
              <w:rPr>
                <w:noProof/>
              </w:rPr>
              <w:t>NEPIEMĒRO</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BD84EF" w14:textId="77777777" w:rsidR="00327FF1" w:rsidRDefault="00E406C7">
            <w:pPr>
              <w:pStyle w:val="P68B1DB1-Normal11"/>
              <w:jc w:val="center"/>
              <w:rPr>
                <w:rFonts w:eastAsia="Calibri"/>
                <w:noProof/>
                <w:szCs w:val="20"/>
              </w:rPr>
            </w:pPr>
            <w:r>
              <w:rPr>
                <w:noProof/>
              </w:rPr>
              <w:t xml:space="preserve">Skaits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17A8C" w14:textId="77777777" w:rsidR="00327FF1" w:rsidRDefault="00E406C7">
            <w:pPr>
              <w:pStyle w:val="P68B1DB1-Normal11"/>
              <w:jc w:val="center"/>
              <w:rPr>
                <w:rFonts w:eastAsia="Calibri"/>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E72FC4" w14:textId="77777777" w:rsidR="00327FF1" w:rsidRDefault="00E406C7">
            <w:pPr>
              <w:pStyle w:val="P68B1DB1-Normal12"/>
              <w:jc w:val="center"/>
              <w:rPr>
                <w:rFonts w:eastAsia="Calibri"/>
                <w:noProof/>
              </w:rPr>
            </w:pPr>
            <w:r>
              <w:rPr>
                <w:noProof/>
              </w:rPr>
              <w:t>270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05A0F" w14:textId="77777777" w:rsidR="00327FF1" w:rsidRDefault="00E406C7">
            <w:pPr>
              <w:pStyle w:val="P68B1DB1-Normal11"/>
              <w:jc w:val="center"/>
              <w:rPr>
                <w:rFonts w:eastAsia="Calibri"/>
                <w:noProof/>
                <w:szCs w:val="20"/>
              </w:rPr>
            </w:pPr>
            <w:r>
              <w:rPr>
                <w:noProof/>
              </w:rPr>
              <w:t>2.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2B9B7C" w14:textId="77777777" w:rsidR="00327FF1" w:rsidRDefault="00E406C7">
            <w:pPr>
              <w:pStyle w:val="P68B1DB1-Normal11"/>
              <w:jc w:val="center"/>
              <w:rPr>
                <w:rFonts w:eastAsia="Calibri"/>
                <w:noProof/>
                <w:szCs w:val="20"/>
              </w:rPr>
            </w:pPr>
            <w:r>
              <w:rPr>
                <w:noProof/>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F8BA11" w14:textId="77777777" w:rsidR="00327FF1" w:rsidRDefault="00E406C7">
            <w:pPr>
              <w:pStyle w:val="P68B1DB1-Normal12"/>
              <w:spacing w:before="120" w:after="120"/>
              <w:rPr>
                <w:rFonts w:eastAsia="Calibri"/>
                <w:noProof/>
              </w:rPr>
            </w:pPr>
            <w:r>
              <w:rPr>
                <w:noProof/>
              </w:rPr>
              <w:t xml:space="preserve">Vismaz 270 valsts nodarbinātības dienestu (VND) un reģionālo aģentūru telpu atjaunošanas un/vai atjaunošanas darbi ir veikti vai ir iegādāti, kā paredzēts reģionālajos plānos valsts nodarbinātības centru stiprināšanai </w:t>
            </w:r>
            <w:r>
              <w:rPr>
                <w:i/>
                <w:noProof/>
              </w:rPr>
              <w:t xml:space="preserve">(Piani regionali di potenziamento dei </w:t>
            </w:r>
            <w:r>
              <w:rPr>
                <w:i/>
                <w:noProof/>
              </w:rPr>
              <w:t>centri per l’impiego)</w:t>
            </w:r>
            <w:r>
              <w:rPr>
                <w:noProof/>
              </w:rPr>
              <w:t>.</w:t>
            </w:r>
          </w:p>
        </w:tc>
      </w:tr>
      <w:tr w:rsidR="00327FF1" w14:paraId="31789569" w14:textId="77777777">
        <w:trPr>
          <w:trHeight w:val="5175"/>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BA822AE" w14:textId="77777777" w:rsidR="00327FF1" w:rsidRDefault="00E406C7">
            <w:pPr>
              <w:pStyle w:val="P68B1DB1-Normal11"/>
              <w:jc w:val="center"/>
              <w:rPr>
                <w:rFonts w:eastAsia="Calibri"/>
                <w:noProof/>
                <w:szCs w:val="20"/>
              </w:rPr>
            </w:pPr>
            <w:r>
              <w:rPr>
                <w:noProof/>
              </w:rPr>
              <w:t>M5C1–8</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C474EB2" w14:textId="77777777" w:rsidR="00327FF1" w:rsidRDefault="00E406C7">
            <w:pPr>
              <w:pStyle w:val="P68B1DB1-Normal11"/>
              <w:jc w:val="center"/>
              <w:rPr>
                <w:rFonts w:eastAsia="Calibri"/>
                <w:noProof/>
                <w:szCs w:val="20"/>
              </w:rPr>
            </w:pPr>
            <w:r>
              <w:rPr>
                <w:noProof/>
              </w:rPr>
              <w:t>Reforma. Nedeklarēts darbs</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A2C247" w14:textId="77777777" w:rsidR="00327FF1" w:rsidRDefault="00E406C7">
            <w:pPr>
              <w:pStyle w:val="P68B1DB1-Normal11"/>
              <w:jc w:val="center"/>
              <w:rPr>
                <w:rFonts w:eastAsia="Calibri"/>
                <w:noProof/>
                <w:szCs w:val="20"/>
              </w:rPr>
            </w:pPr>
            <w:r>
              <w:rPr>
                <w:noProof/>
              </w:rPr>
              <w:t>Atskaites punkts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D03FFCC" w14:textId="77777777" w:rsidR="00327FF1" w:rsidRDefault="00E406C7">
            <w:pPr>
              <w:pStyle w:val="P68B1DB1-Normal11"/>
              <w:jc w:val="center"/>
              <w:rPr>
                <w:noProof/>
                <w:szCs w:val="20"/>
              </w:rPr>
            </w:pPr>
            <w:r>
              <w:rPr>
                <w:noProof/>
              </w:rPr>
              <w:t>Valsts plāna stāšanās spēkā un ceļveža īstenošana cīņai pret nedeklarētu darbu visās ekonomikas nozarēs</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D79256D" w14:textId="77777777" w:rsidR="00327FF1" w:rsidRDefault="00E406C7">
            <w:pPr>
              <w:pStyle w:val="P68B1DB1-Normal11"/>
              <w:jc w:val="center"/>
              <w:rPr>
                <w:rFonts w:eastAsia="Calibri"/>
                <w:noProof/>
                <w:szCs w:val="20"/>
              </w:rPr>
            </w:pPr>
            <w:r>
              <w:rPr>
                <w:noProof/>
              </w:rPr>
              <w:t xml:space="preserve">Likuma noteikumi, kas norāda uz valsts plāna stāšanos spēkā un starpiestāžu </w:t>
            </w:r>
            <w:r>
              <w:rPr>
                <w:noProof/>
              </w:rPr>
              <w:t>darba grupas izveidi, kura būs atbildīga par valsts plāna un īstenošanas ceļveža izveidi</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9DAB3A" w14:textId="77777777" w:rsidR="00327FF1" w:rsidRDefault="00E406C7">
            <w:pPr>
              <w:pStyle w:val="P68B1DB1-Normal11"/>
              <w:jc w:val="center"/>
              <w:rPr>
                <w:rFonts w:eastAsia="Calibri"/>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ABEA7BD" w14:textId="77777777" w:rsidR="00327FF1" w:rsidRDefault="00E406C7">
            <w:pPr>
              <w:pStyle w:val="P68B1DB1-Normal11"/>
              <w:jc w:val="center"/>
              <w:rPr>
                <w:rFonts w:eastAsia="Calibri"/>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F35C510" w14:textId="77777777" w:rsidR="00327FF1" w:rsidRDefault="00E406C7">
            <w:pPr>
              <w:pStyle w:val="P68B1DB1-Normal11"/>
              <w:jc w:val="center"/>
              <w:rPr>
                <w:rFonts w:eastAsia="Calibri"/>
                <w:noProof/>
                <w:szCs w:val="20"/>
              </w:rPr>
            </w:pPr>
            <w:r>
              <w:rPr>
                <w:noProof/>
              </w:rPr>
              <w:t>NEPIEMĒRO</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CD5FAFC" w14:textId="77777777" w:rsidR="00327FF1" w:rsidRDefault="00E406C7">
            <w:pPr>
              <w:pStyle w:val="P68B1DB1-Normal11"/>
              <w:jc w:val="center"/>
              <w:rPr>
                <w:rFonts w:eastAsia="Calibri"/>
                <w:noProof/>
                <w:szCs w:val="20"/>
              </w:rPr>
            </w:pPr>
            <w:r>
              <w:rPr>
                <w:noProof/>
              </w:rPr>
              <w:t>4.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0A7F46" w14:textId="77777777" w:rsidR="00327FF1" w:rsidRDefault="00E406C7">
            <w:pPr>
              <w:pStyle w:val="P68B1DB1-Normal11"/>
              <w:jc w:val="center"/>
              <w:rPr>
                <w:rFonts w:eastAsia="Calibri"/>
                <w:noProof/>
                <w:szCs w:val="20"/>
              </w:rPr>
            </w:pPr>
            <w:r>
              <w:rPr>
                <w:noProof/>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5C15F4C" w14:textId="6996F8ED" w:rsidR="00327FF1" w:rsidRDefault="00E406C7">
            <w:pPr>
              <w:rPr>
                <w:rFonts w:ascii="Arial Narrow" w:eastAsia="Calibri" w:hAnsi="Arial Narrow"/>
                <w:noProof/>
                <w:color w:val="006100"/>
                <w:sz w:val="20"/>
                <w:szCs w:val="20"/>
              </w:rPr>
            </w:pPr>
            <w:r>
              <w:rPr>
                <w:noProof/>
              </w:rPr>
              <w:t xml:space="preserve">Valsts plāna </w:t>
            </w:r>
            <w:r>
              <w:rPr>
                <w:rFonts w:ascii="Arial Narrow" w:hAnsi="Arial Narrow"/>
                <w:noProof/>
                <w:color w:val="006100"/>
                <w:sz w:val="20"/>
                <w:szCs w:val="20"/>
              </w:rPr>
              <w:t>pieņemšana un īstenošanas ceļvedis ar noteiktu termiņu (viens gads), lai cīnītos pret nedeklarētu darbu visās e</w:t>
            </w:r>
            <w:r>
              <w:rPr>
                <w:rFonts w:ascii="Arial Narrow" w:hAnsi="Arial Narrow"/>
                <w:noProof/>
                <w:color w:val="006100"/>
                <w:sz w:val="20"/>
                <w:szCs w:val="20"/>
              </w:rPr>
              <w:t>konomikas nozarēs. Valsts plāna pamatā ir vispārējā stratēģija nedeklarēta darba apkarošanai un daudzaģentūru pieeja, ko izmanto, lai pieņemtu Valsts plānu pret darbaspēka izmantošanu lauksaimniecības nozarē — “Piano triennale di contrasto allo sfruttament</w:t>
            </w:r>
            <w:r>
              <w:rPr>
                <w:rFonts w:ascii="Arial Narrow" w:hAnsi="Arial Narrow"/>
                <w:noProof/>
                <w:color w:val="006100"/>
                <w:sz w:val="20"/>
                <w:szCs w:val="20"/>
              </w:rPr>
              <w:t xml:space="preserve">o lavorativo in agricoltura e al caporalato (2020–2022)”. Valsts plānā un īstenošanas ceļvedī iekļauj vismaz šādu informāciju: </w:t>
            </w:r>
            <w:r>
              <w:rPr>
                <w:noProof/>
              </w:rPr>
              <w:t xml:space="preserve"> </w:t>
            </w:r>
            <w:r>
              <w:rPr>
                <w:noProof/>
              </w:rPr>
              <w:br/>
            </w:r>
            <w:r>
              <w:rPr>
                <w:rFonts w:ascii="Arial Narrow" w:hAnsi="Arial Narrow"/>
                <w:noProof/>
                <w:color w:val="006100"/>
                <w:sz w:val="20"/>
                <w:szCs w:val="20"/>
              </w:rPr>
              <w:t xml:space="preserve">I) pasākumi, lai uzlabotu detalizētu datu par nedeklarētu darbu sagatavošanu, vākšanu un savlaicīgu izplatīšanu; </w:t>
            </w:r>
            <w:r>
              <w:rPr>
                <w:noProof/>
              </w:rPr>
              <w:t xml:space="preserve"> </w:t>
            </w:r>
            <w:r>
              <w:rPr>
                <w:noProof/>
              </w:rPr>
              <w:br/>
            </w:r>
            <w:r>
              <w:rPr>
                <w:rFonts w:ascii="Arial Narrow" w:hAnsi="Arial Narrow"/>
                <w:noProof/>
                <w:color w:val="006100"/>
                <w:sz w:val="20"/>
                <w:szCs w:val="20"/>
              </w:rPr>
              <w:t xml:space="preserve">II) ieviest </w:t>
            </w:r>
            <w:r>
              <w:rPr>
                <w:rFonts w:ascii="Arial Narrow" w:hAnsi="Arial Narrow"/>
                <w:noProof/>
                <w:color w:val="006100"/>
                <w:sz w:val="20"/>
                <w:szCs w:val="20"/>
              </w:rPr>
              <w:t>tiešus un netiešus pasākumus, lai nedeklarētu darbu pārveidotu par deklarētu darbu, nodrošinot, ka ieguvumi no darbības deklarētajā ekonomikā pārsniedz darba izmaksas nedeklarētā ekonomikā. Piemēram, a) preventīvi pasākumi, piemēram, pārbaužu un sankciju p</w:t>
            </w:r>
            <w:r>
              <w:rPr>
                <w:rFonts w:ascii="Arial Narrow" w:hAnsi="Arial Narrow"/>
                <w:noProof/>
                <w:color w:val="006100"/>
                <w:sz w:val="20"/>
                <w:szCs w:val="20"/>
              </w:rPr>
              <w:t xml:space="preserve">astiprināšana, un preventīvi pasākumi deklarētā darba veicināšanai, piemēram, mērķtiecīgi finanšu stimuli, arī pārskatot un racionalizējot esošos; stiprināt saikni ar nodarbinātību un sociālo politiku; </w:t>
            </w:r>
            <w:r>
              <w:rPr>
                <w:noProof/>
              </w:rPr>
              <w:t xml:space="preserve"> </w:t>
            </w:r>
            <w:r>
              <w:rPr>
                <w:noProof/>
              </w:rPr>
              <w:br/>
            </w:r>
            <w:r>
              <w:rPr>
                <w:rFonts w:ascii="Arial Narrow" w:hAnsi="Arial Narrow"/>
                <w:noProof/>
                <w:color w:val="006100"/>
                <w:sz w:val="20"/>
                <w:szCs w:val="20"/>
              </w:rPr>
              <w:t>III) darba devējiem un darba ņēmējiem paredzēta vals</w:t>
            </w:r>
            <w:r>
              <w:rPr>
                <w:rFonts w:ascii="Arial Narrow" w:hAnsi="Arial Narrow"/>
                <w:noProof/>
                <w:color w:val="006100"/>
                <w:sz w:val="20"/>
                <w:szCs w:val="20"/>
              </w:rPr>
              <w:t xml:space="preserve">ts informācijas kampaņa par nedeklarēta darba “nevērtību”, aktīvi iesaistot sociālos partnerus; </w:t>
            </w:r>
            <w:r>
              <w:rPr>
                <w:noProof/>
              </w:rPr>
              <w:t xml:space="preserve"> </w:t>
            </w:r>
            <w:r>
              <w:rPr>
                <w:noProof/>
              </w:rPr>
              <w:br/>
            </w:r>
            <w:r>
              <w:rPr>
                <w:rFonts w:ascii="Arial Narrow" w:hAnsi="Arial Narrow"/>
                <w:noProof/>
                <w:color w:val="006100"/>
                <w:sz w:val="20"/>
                <w:szCs w:val="20"/>
              </w:rPr>
              <w:t xml:space="preserve">IV) pārvaldības struktūra, lai nodrošinātu darbību efektīvu īstenošanu; </w:t>
            </w:r>
          </w:p>
          <w:p w14:paraId="6671A94B" w14:textId="77777777" w:rsidR="00327FF1" w:rsidRDefault="00E406C7">
            <w:pPr>
              <w:pStyle w:val="P68B1DB1-Normal11"/>
              <w:rPr>
                <w:rFonts w:eastAsia="Calibri"/>
                <w:noProof/>
                <w:szCs w:val="20"/>
              </w:rPr>
            </w:pPr>
            <w:r>
              <w:rPr>
                <w:noProof/>
              </w:rPr>
              <w:t>Pasākumi nelikumīgu apmetņu pārvarēšanai, lai cīnītos pret darbaspēka ekspluatāciju l</w:t>
            </w:r>
            <w:r>
              <w:rPr>
                <w:noProof/>
              </w:rPr>
              <w:t>auksaimniecībā.</w:t>
            </w:r>
          </w:p>
        </w:tc>
      </w:tr>
      <w:tr w:rsidR="00327FF1" w14:paraId="163C2CFD"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08BDF3" w14:textId="77777777" w:rsidR="00327FF1" w:rsidRDefault="00E406C7">
            <w:pPr>
              <w:pStyle w:val="P68B1DB1-Normal11"/>
              <w:jc w:val="center"/>
              <w:rPr>
                <w:rFonts w:eastAsia="Calibri"/>
                <w:noProof/>
                <w:szCs w:val="20"/>
              </w:rPr>
            </w:pPr>
            <w:r>
              <w:rPr>
                <w:noProof/>
              </w:rPr>
              <w:t>M5C1–9</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6C0731" w14:textId="77777777" w:rsidR="00327FF1" w:rsidRDefault="00E406C7">
            <w:pPr>
              <w:pStyle w:val="P68B1DB1-Normal11"/>
              <w:jc w:val="center"/>
              <w:rPr>
                <w:rFonts w:eastAsia="Calibri"/>
                <w:noProof/>
                <w:szCs w:val="20"/>
              </w:rPr>
            </w:pPr>
            <w:r>
              <w:rPr>
                <w:noProof/>
              </w:rPr>
              <w:t>Reforma. Nedeklarēts darbs</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5CBCA5" w14:textId="77777777" w:rsidR="00327FF1" w:rsidRDefault="00E406C7">
            <w:pPr>
              <w:pStyle w:val="P68B1DB1-Normal11"/>
              <w:jc w:val="center"/>
              <w:rPr>
                <w:rFonts w:eastAsia="Calibri"/>
                <w:noProof/>
                <w:szCs w:val="20"/>
              </w:rPr>
            </w:pPr>
            <w:r>
              <w:rPr>
                <w:noProof/>
              </w:rPr>
              <w:t>Atskaites punkts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BBDB140" w14:textId="77777777" w:rsidR="00327FF1" w:rsidRDefault="00E406C7">
            <w:pPr>
              <w:pStyle w:val="P68B1DB1-Normal11"/>
              <w:jc w:val="center"/>
              <w:rPr>
                <w:rFonts w:eastAsia="Arial Narrow" w:cs="Arial Narrow"/>
                <w:noProof/>
                <w:szCs w:val="20"/>
              </w:rPr>
            </w:pPr>
            <w:r>
              <w:rPr>
                <w:noProof/>
              </w:rPr>
              <w:t>Veikt pasākumus nedeklarēta darba apkarošanai</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45BDA4" w14:textId="77777777" w:rsidR="00327FF1" w:rsidRDefault="00E406C7">
            <w:pPr>
              <w:pStyle w:val="P68B1DB1-Normal11"/>
              <w:jc w:val="center"/>
              <w:rPr>
                <w:rFonts w:eastAsia="Arial Narrow" w:cs="Arial Narrow"/>
                <w:noProof/>
                <w:szCs w:val="20"/>
              </w:rPr>
            </w:pPr>
            <w:r>
              <w:rPr>
                <w:noProof/>
              </w:rPr>
              <w:t>Paveiktās darbības</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9890ACD" w14:textId="77777777" w:rsidR="00327FF1" w:rsidRDefault="00E406C7">
            <w:pPr>
              <w:pStyle w:val="P68B1DB1-Normal11"/>
              <w:jc w:val="center"/>
              <w:rPr>
                <w:rFonts w:eastAsia="Calibri"/>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9704C97" w14:textId="77777777" w:rsidR="00327FF1" w:rsidRDefault="00E406C7">
            <w:pPr>
              <w:pStyle w:val="P68B1DB1-Normal11"/>
              <w:jc w:val="center"/>
              <w:rPr>
                <w:rFonts w:eastAsia="Calibri"/>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3708D4" w14:textId="77777777" w:rsidR="00327FF1" w:rsidRDefault="00E406C7">
            <w:pPr>
              <w:pStyle w:val="P68B1DB1-Normal11"/>
              <w:jc w:val="center"/>
              <w:rPr>
                <w:rFonts w:eastAsia="Calibri"/>
                <w:noProof/>
                <w:szCs w:val="20"/>
              </w:rPr>
            </w:pPr>
            <w:r>
              <w:rPr>
                <w:noProof/>
              </w:rPr>
              <w:t>NEPIEMĒRO</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5AB442" w14:textId="77777777" w:rsidR="00327FF1" w:rsidRDefault="00E406C7">
            <w:pPr>
              <w:pStyle w:val="P68B1DB1-Normal11"/>
              <w:jc w:val="center"/>
              <w:rPr>
                <w:rFonts w:eastAsia="Calibri"/>
                <w:noProof/>
                <w:szCs w:val="20"/>
              </w:rPr>
            </w:pPr>
            <w:r>
              <w:rPr>
                <w:noProof/>
              </w:rPr>
              <w:t>Q1</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C242EE" w14:textId="77777777" w:rsidR="00327FF1" w:rsidRDefault="00E406C7">
            <w:pPr>
              <w:pStyle w:val="P68B1DB1-Normal11"/>
              <w:jc w:val="center"/>
              <w:rPr>
                <w:rFonts w:eastAsia="Calibri"/>
                <w:noProof/>
                <w:szCs w:val="20"/>
              </w:rPr>
            </w:pPr>
            <w:r>
              <w:rPr>
                <w:noProof/>
              </w:rPr>
              <w:t>2024</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8EA783" w14:textId="5FD898C7" w:rsidR="00327FF1" w:rsidRDefault="00E406C7">
            <w:pPr>
              <w:pStyle w:val="P68B1DB1-Normal11"/>
              <w:rPr>
                <w:noProof/>
                <w:szCs w:val="20"/>
              </w:rPr>
            </w:pPr>
            <w:r>
              <w:rPr>
                <w:noProof/>
              </w:rPr>
              <w:t xml:space="preserve">Veic šādas darbības:  </w:t>
            </w:r>
          </w:p>
          <w:p w14:paraId="2EBD1A97" w14:textId="1369EDBA" w:rsidR="00327FF1" w:rsidRDefault="00E406C7">
            <w:pPr>
              <w:pStyle w:val="P68B1DB1-Normal11"/>
              <w:rPr>
                <w:noProof/>
                <w:szCs w:val="20"/>
              </w:rPr>
            </w:pPr>
            <w:r>
              <w:rPr>
                <w:noProof/>
              </w:rPr>
              <w:t xml:space="preserve">I) Ieviest pasākumus, lai uzlabotu detalizētu datu vākšanu par nedeklarētu darbu; </w:t>
            </w:r>
          </w:p>
          <w:p w14:paraId="27B1F011" w14:textId="61D1AD78" w:rsidR="00327FF1" w:rsidRDefault="00E406C7">
            <w:pPr>
              <w:pStyle w:val="P68B1DB1-Normal11"/>
              <w:rPr>
                <w:noProof/>
                <w:szCs w:val="20"/>
              </w:rPr>
            </w:pPr>
            <w:r>
              <w:rPr>
                <w:noProof/>
              </w:rPr>
              <w:t xml:space="preserve">II) Ieviest pasākumus, lai nedeklarētu darbu pārveidotu par deklarētu darbu:  </w:t>
            </w:r>
          </w:p>
          <w:p w14:paraId="70539483" w14:textId="77777777" w:rsidR="00327FF1" w:rsidRDefault="00E406C7">
            <w:pPr>
              <w:pStyle w:val="P68B1DB1-Normal11"/>
              <w:rPr>
                <w:noProof/>
                <w:szCs w:val="20"/>
              </w:rPr>
            </w:pPr>
            <w:r>
              <w:rPr>
                <w:noProof/>
              </w:rPr>
              <w:t>atturošs(-i) pasākums(-i), kas cita starpā var ietvert pārbaužu un sankciju pastiprināšanu, kā</w:t>
            </w:r>
            <w:r>
              <w:rPr>
                <w:noProof/>
              </w:rPr>
              <w:t xml:space="preserve"> arī preventīvu(-s) pasākumu(-us) deklarētā darba veicināšanai, kas var ietvert (bet ne tikai) mērķtiecīgus finansiālus stimulus;</w:t>
            </w:r>
          </w:p>
          <w:p w14:paraId="51756BB6" w14:textId="77777777" w:rsidR="00327FF1" w:rsidRDefault="00E406C7">
            <w:pPr>
              <w:pStyle w:val="P68B1DB1-Normal11"/>
              <w:rPr>
                <w:noProof/>
                <w:szCs w:val="20"/>
              </w:rPr>
            </w:pPr>
            <w:r>
              <w:rPr>
                <w:noProof/>
              </w:rPr>
              <w:t>b) pasākums(-i), lai stiprinātu saikni ar aktīvu darba tirgus politiku, kas cita starpā var ietvert nodarbinātības centru oper</w:t>
            </w:r>
            <w:r>
              <w:rPr>
                <w:noProof/>
              </w:rPr>
              <w:t>atoru apmācību;</w:t>
            </w:r>
          </w:p>
          <w:p w14:paraId="20B2045A" w14:textId="77777777" w:rsidR="00327FF1" w:rsidRDefault="00E406C7">
            <w:pPr>
              <w:pStyle w:val="P68B1DB1-Normal11"/>
              <w:rPr>
                <w:noProof/>
                <w:szCs w:val="20"/>
              </w:rPr>
            </w:pPr>
            <w:r>
              <w:rPr>
                <w:noProof/>
              </w:rPr>
              <w:t xml:space="preserve">III) Īstenot valsts mēroga informācijas kampaņu par nedeklarēta darba “nevērtību”; </w:t>
            </w:r>
          </w:p>
          <w:p w14:paraId="685DC55D" w14:textId="77777777" w:rsidR="00327FF1" w:rsidRDefault="00E406C7">
            <w:pPr>
              <w:pStyle w:val="P68B1DB1-Normal11"/>
              <w:rPr>
                <w:noProof/>
                <w:szCs w:val="20"/>
              </w:rPr>
            </w:pPr>
            <w:r>
              <w:rPr>
                <w:noProof/>
              </w:rPr>
              <w:t>IV) Pārvaldības struktūras darba uzsākšana, lai apkarotu nedeklarētu darbu;</w:t>
            </w:r>
          </w:p>
          <w:p w14:paraId="7069645D" w14:textId="77777777" w:rsidR="00327FF1" w:rsidRDefault="00E406C7">
            <w:pPr>
              <w:pStyle w:val="P68B1DB1-Normal11"/>
              <w:spacing w:line="257" w:lineRule="auto"/>
              <w:rPr>
                <w:noProof/>
                <w:szCs w:val="20"/>
              </w:rPr>
            </w:pPr>
            <w:r>
              <w:rPr>
                <w:noProof/>
              </w:rPr>
              <w:t>V) Ieviest pasākumu(-us), lai risinātu darbaspēka ekspluatācijas problēmu lauksa</w:t>
            </w:r>
            <w:r>
              <w:rPr>
                <w:noProof/>
              </w:rPr>
              <w:t>imniecībā.</w:t>
            </w:r>
          </w:p>
        </w:tc>
      </w:tr>
      <w:tr w:rsidR="00327FF1" w14:paraId="7D43F777"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969A4A" w14:textId="77777777" w:rsidR="00327FF1" w:rsidRDefault="00E406C7">
            <w:pPr>
              <w:pStyle w:val="P68B1DB1-Normal12"/>
              <w:jc w:val="center"/>
              <w:rPr>
                <w:noProof/>
                <w:highlight w:val="yellow"/>
              </w:rPr>
            </w:pPr>
            <w:r>
              <w:rPr>
                <w:noProof/>
              </w:rPr>
              <w:t xml:space="preserve">M5C1–10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5A9BB16" w14:textId="77777777" w:rsidR="00327FF1" w:rsidRDefault="00E406C7">
            <w:pPr>
              <w:pStyle w:val="P68B1DB1-Normal12"/>
              <w:jc w:val="center"/>
              <w:rPr>
                <w:rFonts w:eastAsia="Calibri"/>
                <w:noProof/>
              </w:rPr>
            </w:pPr>
            <w:r>
              <w:rPr>
                <w:noProof/>
              </w:rPr>
              <w:t>Reforma. Nedeklarēts darbs</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B7B094B" w14:textId="77777777" w:rsidR="00327FF1" w:rsidRDefault="00E406C7">
            <w:pPr>
              <w:pStyle w:val="P68B1DB1-Normal11"/>
              <w:jc w:val="center"/>
              <w:rPr>
                <w:rFonts w:eastAsia="Calibri"/>
                <w:noProof/>
                <w:szCs w:val="20"/>
              </w:rPr>
            </w:pPr>
            <w:r>
              <w:rPr>
                <w:noProof/>
              </w:rPr>
              <w:t>Mērķa</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A2054F7" w14:textId="77777777" w:rsidR="00327FF1" w:rsidRDefault="00E406C7">
            <w:pPr>
              <w:pStyle w:val="P68B1DB1-Normal11"/>
              <w:jc w:val="center"/>
              <w:rPr>
                <w:rFonts w:eastAsia="Calibri"/>
                <w:noProof/>
                <w:szCs w:val="20"/>
              </w:rPr>
            </w:pPr>
            <w:r>
              <w:rPr>
                <w:noProof/>
              </w:rPr>
              <w:t>Lielāks darba inspekciju skaits un dalība lauksaimniecības tīklā</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56875F3" w14:textId="77777777" w:rsidR="00327FF1" w:rsidRDefault="00E406C7">
            <w:pPr>
              <w:pStyle w:val="P68B1DB1-Normal11"/>
              <w:jc w:val="center"/>
              <w:rPr>
                <w:rFonts w:eastAsia="Calibri"/>
                <w:noProof/>
                <w:szCs w:val="20"/>
              </w:rPr>
            </w:pPr>
            <w:r>
              <w:rPr>
                <w:noProof/>
              </w:rPr>
              <w:t>NEPIEMĒRO</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381CC89" w14:textId="77777777" w:rsidR="00327FF1" w:rsidRDefault="00E406C7">
            <w:pPr>
              <w:pStyle w:val="P68B1DB1-Normal11"/>
              <w:jc w:val="center"/>
              <w:rPr>
                <w:noProof/>
                <w:szCs w:val="20"/>
              </w:rPr>
            </w:pPr>
            <w:r>
              <w:rPr>
                <w:noProof/>
              </w:rPr>
              <w:t xml:space="preserve">Skaits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59074C4" w14:textId="77777777" w:rsidR="00327FF1" w:rsidRDefault="00E406C7">
            <w:pPr>
              <w:pStyle w:val="P68B1DB1-Normal11"/>
              <w:jc w:val="center"/>
              <w:rPr>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1DC6A9A" w14:textId="77777777" w:rsidR="00327FF1" w:rsidRDefault="00E406C7">
            <w:pPr>
              <w:pStyle w:val="P68B1DB1-Normal12"/>
              <w:jc w:val="center"/>
              <w:rPr>
                <w:noProof/>
              </w:rPr>
            </w:pPr>
            <w:r>
              <w:rPr>
                <w:noProof/>
              </w:rPr>
              <w:t>102 895</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F28943" w14:textId="77777777" w:rsidR="00327FF1" w:rsidRDefault="00E406C7">
            <w:pPr>
              <w:pStyle w:val="P68B1DB1-Normal11"/>
              <w:jc w:val="center"/>
              <w:rPr>
                <w:rFonts w:eastAsia="Calibri"/>
                <w:noProof/>
                <w:szCs w:val="20"/>
              </w:rPr>
            </w:pPr>
            <w:r>
              <w:rPr>
                <w:noProof/>
              </w:rPr>
              <w:t>4.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68897B8" w14:textId="77777777" w:rsidR="00327FF1" w:rsidRDefault="00E406C7">
            <w:pPr>
              <w:pStyle w:val="P68B1DB1-Normal11"/>
              <w:jc w:val="center"/>
              <w:rPr>
                <w:rFonts w:eastAsia="Calibri"/>
                <w:noProof/>
                <w:szCs w:val="20"/>
              </w:rPr>
            </w:pPr>
            <w:r>
              <w:rPr>
                <w:noProof/>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315985" w14:textId="5AF9CA02" w:rsidR="00327FF1" w:rsidRDefault="00E406C7">
            <w:pPr>
              <w:pStyle w:val="P68B1DB1-Normal12"/>
              <w:rPr>
                <w:noProof/>
              </w:rPr>
            </w:pPr>
            <w:r>
              <w:rPr>
                <w:noProof/>
              </w:rPr>
              <w:t xml:space="preserve">Vidējais ikgadējo inspekciju skaits laikposmā no 2023. gada 1. janvāra līdz 2025. gada 31. </w:t>
            </w:r>
            <w:r>
              <w:rPr>
                <w:noProof/>
              </w:rPr>
              <w:t>decembrim sasniedz vismaz 102895. Turklāt INPS tīmekļa vietnē publicētajā tīkla “rete</w:t>
            </w:r>
            <w:r>
              <w:rPr>
                <w:i/>
                <w:noProof/>
              </w:rPr>
              <w:t>del lavoro agricolo di qualità” dalībnieku sarakstā salīdzinājumā ar 2024. gada jūniju</w:t>
            </w:r>
            <w:r>
              <w:rPr>
                <w:noProof/>
              </w:rPr>
              <w:t>iekļauj vēl 2000 uzņēmumu.</w:t>
            </w:r>
          </w:p>
        </w:tc>
      </w:tr>
      <w:tr w:rsidR="00327FF1" w14:paraId="38D25A12"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3797A41" w14:textId="77777777" w:rsidR="00327FF1" w:rsidRDefault="00E406C7">
            <w:pPr>
              <w:pStyle w:val="P68B1DB1-Normal12"/>
              <w:jc w:val="center"/>
              <w:rPr>
                <w:rFonts w:eastAsia="Calibri"/>
                <w:noProof/>
                <w:highlight w:val="yellow"/>
              </w:rPr>
            </w:pPr>
            <w:r>
              <w:rPr>
                <w:noProof/>
              </w:rPr>
              <w:t xml:space="preserve">M5C1–11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53EA5A" w14:textId="77777777" w:rsidR="00327FF1" w:rsidRDefault="00E406C7">
            <w:pPr>
              <w:pStyle w:val="P68B1DB1-Normal11"/>
              <w:jc w:val="center"/>
              <w:rPr>
                <w:rFonts w:eastAsia="Calibri"/>
                <w:noProof/>
                <w:szCs w:val="20"/>
              </w:rPr>
            </w:pPr>
            <w:r>
              <w:rPr>
                <w:noProof/>
              </w:rPr>
              <w:t>Reforma. Nedeklarēts darbs</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525742" w14:textId="77777777" w:rsidR="00327FF1" w:rsidRDefault="00E406C7">
            <w:pPr>
              <w:pStyle w:val="P68B1DB1-Normal11"/>
              <w:jc w:val="center"/>
              <w:rPr>
                <w:rFonts w:eastAsia="Arial Narrow" w:cs="Arial Narrow"/>
                <w:noProof/>
                <w:szCs w:val="20"/>
              </w:rPr>
            </w:pPr>
            <w:r>
              <w:rPr>
                <w:noProof/>
              </w:rPr>
              <w:t>Atskaites punkts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EA73A4" w14:textId="77777777" w:rsidR="00327FF1" w:rsidRDefault="00E406C7">
            <w:pPr>
              <w:pStyle w:val="P68B1DB1-Normal11"/>
              <w:jc w:val="center"/>
              <w:rPr>
                <w:rFonts w:eastAsia="Arial Narrow" w:cs="Arial Narrow"/>
                <w:noProof/>
                <w:szCs w:val="20"/>
              </w:rPr>
            </w:pPr>
            <w:r>
              <w:rPr>
                <w:noProof/>
              </w:rPr>
              <w:t>Veikt pasākumus nedeklarēta darba apkarošanai</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632D60" w14:textId="77777777" w:rsidR="00327FF1" w:rsidRDefault="00E406C7">
            <w:pPr>
              <w:pStyle w:val="P68B1DB1-Normal11"/>
              <w:jc w:val="center"/>
              <w:rPr>
                <w:noProof/>
                <w:szCs w:val="20"/>
              </w:rPr>
            </w:pPr>
            <w:r>
              <w:rPr>
                <w:noProof/>
              </w:rPr>
              <w:t>Paveiktās darbības</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5D08AB2" w14:textId="77777777" w:rsidR="00327FF1" w:rsidRDefault="00E406C7">
            <w:pPr>
              <w:pStyle w:val="P68B1DB1-Normal11"/>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65D229" w14:textId="77777777" w:rsidR="00327FF1" w:rsidRDefault="00E406C7">
            <w:pPr>
              <w:pStyle w:val="P68B1DB1-Normal11"/>
              <w:jc w:val="center"/>
              <w:rPr>
                <w:rFonts w:eastAsia="Arial Narrow" w:cs="Arial Narrow"/>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93C66B4" w14:textId="77777777" w:rsidR="00327FF1" w:rsidRDefault="00E406C7">
            <w:pPr>
              <w:pStyle w:val="P68B1DB1-Normal11"/>
              <w:jc w:val="center"/>
              <w:rPr>
                <w:rFonts w:eastAsia="Arial Narrow" w:cs="Arial Narrow"/>
                <w:noProof/>
                <w:szCs w:val="20"/>
              </w:rPr>
            </w:pPr>
            <w:r>
              <w:rPr>
                <w:noProof/>
              </w:rPr>
              <w:t>NEPIEMĒRO</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3CF23D" w14:textId="77777777" w:rsidR="00327FF1" w:rsidRDefault="00E406C7">
            <w:pPr>
              <w:pStyle w:val="P68B1DB1-Normal11"/>
              <w:jc w:val="center"/>
              <w:rPr>
                <w:rFonts w:eastAsia="Calibri"/>
                <w:noProof/>
                <w:szCs w:val="20"/>
              </w:rPr>
            </w:pPr>
            <w:r>
              <w:rPr>
                <w:noProof/>
              </w:rPr>
              <w:t>Q1</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25E8C0" w14:textId="77777777" w:rsidR="00327FF1" w:rsidRDefault="00E406C7">
            <w:pPr>
              <w:pStyle w:val="P68B1DB1-Normal11"/>
              <w:jc w:val="center"/>
              <w:rPr>
                <w:rFonts w:eastAsia="Calibri"/>
                <w:noProof/>
                <w:szCs w:val="20"/>
              </w:rPr>
            </w:pPr>
            <w:r>
              <w:rPr>
                <w:noProof/>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75ED861" w14:textId="77777777" w:rsidR="00327FF1" w:rsidRDefault="00E406C7">
            <w:pPr>
              <w:pStyle w:val="P68B1DB1-Normal11"/>
              <w:rPr>
                <w:noProof/>
                <w:szCs w:val="20"/>
              </w:rPr>
            </w:pPr>
            <w:r>
              <w:rPr>
                <w:noProof/>
              </w:rPr>
              <w:t>Veic šādas darbības:</w:t>
            </w:r>
          </w:p>
          <w:p w14:paraId="1C9FD7C8" w14:textId="77777777" w:rsidR="00327FF1" w:rsidRDefault="00E406C7">
            <w:pPr>
              <w:pStyle w:val="P68B1DB1-Normal12"/>
              <w:rPr>
                <w:noProof/>
              </w:rPr>
            </w:pPr>
            <w:r>
              <w:rPr>
                <w:noProof/>
              </w:rPr>
              <w:t xml:space="preserve">pētījums par Indici Sintetici di Affidabilità Contributiva (ISAC rādītāji) vēl 8 ekonomikas nozarēs, kurās pastāv nedeklarēta darba </w:t>
            </w:r>
            <w:r>
              <w:rPr>
                <w:noProof/>
              </w:rPr>
              <w:t xml:space="preserve">risks; </w:t>
            </w:r>
          </w:p>
          <w:p w14:paraId="3B25E5A1" w14:textId="77777777" w:rsidR="00327FF1" w:rsidRDefault="00E406C7">
            <w:pPr>
              <w:rPr>
                <w:rFonts w:ascii="Arial Narrow" w:hAnsi="Arial Narrow"/>
                <w:noProof/>
                <w:color w:val="006100"/>
                <w:sz w:val="20"/>
                <w:szCs w:val="20"/>
              </w:rPr>
            </w:pPr>
            <w:r>
              <w:rPr>
                <w:rFonts w:ascii="Arial Narrow" w:hAnsi="Arial Narrow"/>
                <w:noProof/>
                <w:color w:val="006100"/>
                <w:sz w:val="20"/>
                <w:szCs w:val="20"/>
              </w:rPr>
              <w:t>- vismaz 12000 atbilstības vēstuļu, kas nosūtītas uzņēmumiem, kuri identificēti, izmantojot ISAC rādītājus;</w:t>
            </w:r>
          </w:p>
          <w:p w14:paraId="37E72063" w14:textId="77777777" w:rsidR="00327FF1" w:rsidRDefault="00E406C7">
            <w:pPr>
              <w:pStyle w:val="P68B1DB1-Normal12"/>
              <w:rPr>
                <w:noProof/>
              </w:rPr>
            </w:pPr>
            <w:r>
              <w:rPr>
                <w:noProof/>
              </w:rPr>
              <w:t xml:space="preserve">— publicēts ietekmes novērtējuma pētījums par “PrestO” un “Libretto Famiglia” kuponu izmantošanu nedeklarēta darba un darba ņēmēju apstākļu </w:t>
            </w:r>
            <w:r>
              <w:rPr>
                <w:noProof/>
              </w:rPr>
              <w:t>uzlabošanas nolūkā.</w:t>
            </w:r>
          </w:p>
        </w:tc>
      </w:tr>
      <w:tr w:rsidR="00327FF1" w14:paraId="2BFE5780"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D631C9" w14:textId="77777777" w:rsidR="00327FF1" w:rsidRDefault="00E406C7">
            <w:pPr>
              <w:pStyle w:val="P68B1DB1-Normal11"/>
              <w:spacing w:before="120" w:after="120"/>
              <w:jc w:val="center"/>
              <w:rPr>
                <w:rFonts w:eastAsia="Calibri"/>
                <w:noProof/>
                <w:szCs w:val="20"/>
              </w:rPr>
            </w:pPr>
            <w:r>
              <w:rPr>
                <w:noProof/>
              </w:rPr>
              <w:t>M5C1–12</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40F6A3" w14:textId="77777777" w:rsidR="00327FF1" w:rsidRDefault="00E406C7">
            <w:pPr>
              <w:pStyle w:val="P68B1DB1-Normal11"/>
              <w:spacing w:before="120" w:after="120"/>
              <w:jc w:val="center"/>
              <w:rPr>
                <w:noProof/>
                <w:szCs w:val="20"/>
              </w:rPr>
            </w:pPr>
            <w:r>
              <w:rPr>
                <w:noProof/>
              </w:rPr>
              <w:t>Investīcija Nr. 2 — Dzimumu līdztiesības sertifikācijas sistēma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342A68D" w14:textId="77777777" w:rsidR="00327FF1" w:rsidRDefault="00E406C7">
            <w:pPr>
              <w:pStyle w:val="P68B1DB1-Normal11"/>
              <w:spacing w:before="120" w:after="120"/>
              <w:jc w:val="center"/>
              <w:rPr>
                <w:rFonts w:eastAsia="Calibri"/>
                <w:noProof/>
                <w:szCs w:val="20"/>
              </w:rPr>
            </w:pPr>
            <w:r>
              <w:rPr>
                <w:noProof/>
              </w:rPr>
              <w:t>Atskaites punkts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EFC592B" w14:textId="77777777" w:rsidR="00327FF1" w:rsidRDefault="00E406C7">
            <w:pPr>
              <w:pStyle w:val="P68B1DB1-Normal11"/>
              <w:spacing w:before="120" w:after="120"/>
              <w:jc w:val="center"/>
              <w:rPr>
                <w:rFonts w:eastAsia="Calibri"/>
                <w:noProof/>
                <w:szCs w:val="20"/>
              </w:rPr>
            </w:pPr>
            <w:r>
              <w:rPr>
                <w:noProof/>
              </w:rPr>
              <w:t xml:space="preserve">Uzņēmumiem paredzētas dzimumu līdztiesības sertifikācijas sistēmas un ar to saistīto stimulu mehānismu stāšanās spēkā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F5C0D5" w14:textId="77777777" w:rsidR="00327FF1" w:rsidRDefault="00E406C7">
            <w:pPr>
              <w:pStyle w:val="P68B1DB1-Normal11"/>
              <w:spacing w:before="120" w:after="120"/>
              <w:jc w:val="center"/>
              <w:rPr>
                <w:rFonts w:eastAsia="Calibri"/>
                <w:noProof/>
                <w:szCs w:val="20"/>
              </w:rPr>
            </w:pPr>
            <w:r>
              <w:rPr>
                <w:noProof/>
              </w:rPr>
              <w:t xml:space="preserve">Likuma noteikumi, kas </w:t>
            </w:r>
            <w:r>
              <w:rPr>
                <w:noProof/>
              </w:rPr>
              <w:t>norāda uz to tiesību aktu un īstenošanas pasākumu stāšanos spēkā, kuri reglamentē sertifikācijas sistēmas definēšanu</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BF368AC" w14:textId="77777777" w:rsidR="00327FF1" w:rsidRDefault="00E406C7">
            <w:pPr>
              <w:pStyle w:val="P68B1DB1-Normal11"/>
              <w:spacing w:before="120" w:after="120"/>
              <w:jc w:val="center"/>
              <w:rPr>
                <w:rFonts w:eastAsia="Calibri"/>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035849" w14:textId="77777777" w:rsidR="00327FF1" w:rsidRDefault="00E406C7">
            <w:pPr>
              <w:pStyle w:val="P68B1DB1-Normal11"/>
              <w:spacing w:before="120" w:after="120"/>
              <w:jc w:val="center"/>
              <w:rPr>
                <w:rFonts w:eastAsia="Calibri"/>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F5EE57F" w14:textId="77777777" w:rsidR="00327FF1" w:rsidRDefault="00E406C7">
            <w:pPr>
              <w:pStyle w:val="P68B1DB1-Normal11"/>
              <w:spacing w:before="120" w:after="120"/>
              <w:jc w:val="center"/>
              <w:rPr>
                <w:rFonts w:eastAsia="Calibri"/>
                <w:noProof/>
                <w:szCs w:val="20"/>
              </w:rPr>
            </w:pPr>
            <w:r>
              <w:rPr>
                <w:noProof/>
              </w:rPr>
              <w:t>NEPIEMĒRO</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6973871" w14:textId="77777777" w:rsidR="00327FF1" w:rsidRDefault="00E406C7">
            <w:pPr>
              <w:pStyle w:val="P68B1DB1-Normal11"/>
              <w:spacing w:before="120" w:after="120"/>
              <w:jc w:val="center"/>
              <w:rPr>
                <w:rFonts w:eastAsia="Calibri"/>
                <w:noProof/>
                <w:szCs w:val="20"/>
              </w:rPr>
            </w:pPr>
            <w:r>
              <w:rPr>
                <w:noProof/>
              </w:rPr>
              <w:t>4.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25D11E8" w14:textId="77777777" w:rsidR="00327FF1" w:rsidRDefault="00E406C7">
            <w:pPr>
              <w:pStyle w:val="P68B1DB1-Normal11"/>
              <w:spacing w:before="120" w:after="120"/>
              <w:jc w:val="center"/>
              <w:rPr>
                <w:rFonts w:eastAsia="Calibri"/>
                <w:noProof/>
                <w:szCs w:val="20"/>
              </w:rPr>
            </w:pPr>
            <w:r>
              <w:rPr>
                <w:noProof/>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84B65E" w14:textId="77777777" w:rsidR="00327FF1" w:rsidRDefault="00E406C7">
            <w:pPr>
              <w:pStyle w:val="P68B1DB1-Normal11"/>
              <w:spacing w:before="120" w:after="120"/>
              <w:rPr>
                <w:rFonts w:eastAsia="Calibri"/>
                <w:noProof/>
                <w:szCs w:val="20"/>
              </w:rPr>
            </w:pPr>
            <w:r>
              <w:rPr>
                <w:noProof/>
              </w:rPr>
              <w:t>Uzņēmumiem paredzētā dzimumu līdztiesības sertifikācijas sistēma un papildu stimulu mehānismi ap</w:t>
            </w:r>
            <w:r>
              <w:rPr>
                <w:noProof/>
              </w:rPr>
              <w:t>tver vismaz šādas dimensijas: izaugsmes iespējas sievietēm, vienāds atalgojums par vienādu darbu, dzimumu daudzveidības vadības politika, maternitātes aizsardzība.</w:t>
            </w:r>
          </w:p>
          <w:p w14:paraId="5954F9C1" w14:textId="77777777" w:rsidR="00327FF1" w:rsidRDefault="00E406C7">
            <w:pPr>
              <w:pStyle w:val="P68B1DB1-Normal11"/>
              <w:spacing w:before="120" w:after="120"/>
              <w:rPr>
                <w:rFonts w:eastAsia="Calibri"/>
                <w:noProof/>
                <w:szCs w:val="20"/>
              </w:rPr>
            </w:pPr>
            <w:r>
              <w:rPr>
                <w:noProof/>
              </w:rPr>
              <w:t>Stimulu mehānismu noteikšana organizācijām, kas veic sertifikācijas procesu, un tehniskie no</w:t>
            </w:r>
            <w:r>
              <w:rPr>
                <w:noProof/>
              </w:rPr>
              <w:t>rādījumi. Tai skaitā: I) Dzimumu līdztiesības sertifikācijas sistēmas tehnisko standartu izstrāde uzņēmumiem; II) stimulu mehānisma noteikšana; III) pasākumu papildina ar IT sistēmas izveidi.</w:t>
            </w:r>
          </w:p>
        </w:tc>
      </w:tr>
      <w:tr w:rsidR="00327FF1" w14:paraId="52EC149A"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76FA30A" w14:textId="77777777" w:rsidR="00327FF1" w:rsidRDefault="00E406C7">
            <w:pPr>
              <w:pStyle w:val="P68B1DB1-Normal12"/>
              <w:spacing w:before="120" w:after="120"/>
              <w:jc w:val="center"/>
              <w:rPr>
                <w:noProof/>
                <w:highlight w:val="yellow"/>
              </w:rPr>
            </w:pPr>
            <w:r>
              <w:rPr>
                <w:noProof/>
              </w:rPr>
              <w:t>M5C1–14</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CE92CB" w14:textId="77777777" w:rsidR="00327FF1" w:rsidRDefault="00E406C7">
            <w:pPr>
              <w:pStyle w:val="P68B1DB1-Normal11"/>
              <w:spacing w:before="120" w:after="120"/>
              <w:jc w:val="center"/>
              <w:rPr>
                <w:rFonts w:eastAsia="Calibri"/>
                <w:noProof/>
                <w:szCs w:val="20"/>
              </w:rPr>
            </w:pPr>
            <w:r>
              <w:rPr>
                <w:noProof/>
              </w:rPr>
              <w:t>Investīcija Nr. 2 — Dzimumu līdztiesības sertifikācijas</w:t>
            </w:r>
            <w:r>
              <w:rPr>
                <w:noProof/>
              </w:rPr>
              <w:t xml:space="preserve"> sistēma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FE25F9F" w14:textId="77777777" w:rsidR="00327FF1" w:rsidRDefault="00E406C7">
            <w:pPr>
              <w:pStyle w:val="P68B1DB1-Normal11"/>
              <w:spacing w:before="120" w:after="120"/>
              <w:jc w:val="center"/>
              <w:rPr>
                <w:rFonts w:eastAsia="Calibri"/>
                <w:noProof/>
                <w:szCs w:val="20"/>
              </w:rPr>
            </w:pPr>
            <w:r>
              <w:rPr>
                <w:noProof/>
              </w:rPr>
              <w:t>Mērķa</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7B2390" w14:textId="77777777" w:rsidR="00327FF1" w:rsidRDefault="00E406C7">
            <w:pPr>
              <w:pStyle w:val="P68B1DB1-Normal12"/>
              <w:spacing w:before="120" w:after="120"/>
              <w:jc w:val="center"/>
              <w:rPr>
                <w:rFonts w:eastAsia="Calibri"/>
                <w:noProof/>
              </w:rPr>
            </w:pPr>
            <w:r>
              <w:rPr>
                <w:noProof/>
              </w:rPr>
              <w:t>Uzņēmumi ir ieguvuši dzimumu līdztiesības sertifikātu</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102C1F" w14:textId="77777777" w:rsidR="00327FF1" w:rsidRDefault="00E406C7">
            <w:pPr>
              <w:pStyle w:val="P68B1DB1-Normal11"/>
              <w:spacing w:before="120" w:after="120"/>
              <w:jc w:val="center"/>
              <w:rPr>
                <w:rFonts w:eastAsia="Calibri"/>
                <w:noProof/>
                <w:szCs w:val="20"/>
              </w:rPr>
            </w:pPr>
            <w:r>
              <w:rPr>
                <w:noProof/>
              </w:rPr>
              <w:t>NEPIEMĒRO</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4796ED0" w14:textId="77777777" w:rsidR="00327FF1" w:rsidRDefault="00E406C7">
            <w:pPr>
              <w:pStyle w:val="P68B1DB1-Normal11"/>
              <w:spacing w:before="120" w:after="120"/>
              <w:jc w:val="center"/>
              <w:rPr>
                <w:rFonts w:eastAsia="Calibri"/>
                <w:noProof/>
                <w:szCs w:val="20"/>
              </w:rPr>
            </w:pPr>
            <w:r>
              <w:rPr>
                <w:noProof/>
              </w:rPr>
              <w:t xml:space="preserve">Skaits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19CFB54" w14:textId="77777777" w:rsidR="00327FF1" w:rsidRDefault="00E406C7">
            <w:pPr>
              <w:pStyle w:val="P68B1DB1-Normal11"/>
              <w:spacing w:before="120" w:after="120"/>
              <w:jc w:val="center"/>
              <w:rPr>
                <w:rFonts w:eastAsia="Calibri"/>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E629037" w14:textId="77777777" w:rsidR="00327FF1" w:rsidRDefault="00E406C7">
            <w:pPr>
              <w:spacing w:before="120" w:after="120"/>
              <w:jc w:val="center"/>
              <w:rPr>
                <w:rFonts w:ascii="Arial Narrow" w:eastAsia="Calibri" w:hAnsi="Arial Narrow"/>
                <w:noProof/>
                <w:color w:val="006100"/>
                <w:sz w:val="20"/>
                <w:szCs w:val="20"/>
              </w:rPr>
            </w:pPr>
            <w:r>
              <w:rPr>
                <w:rFonts w:ascii="Arial Narrow" w:hAnsi="Arial Narrow"/>
                <w:noProof/>
                <w:color w:val="006100"/>
                <w:sz w:val="20"/>
              </w:rPr>
              <w:t>3</w:t>
            </w:r>
            <w:r>
              <w:rPr>
                <w:noProof/>
                <w:sz w:val="23"/>
                <w:szCs w:val="23"/>
              </w:rPr>
              <w:t xml:space="preserve"> </w:t>
            </w:r>
            <w:r>
              <w:rPr>
                <w:rFonts w:ascii="Arial Narrow" w:hAnsi="Arial Narrow"/>
                <w:noProof/>
                <w:color w:val="006100"/>
                <w:sz w:val="20"/>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4391DA" w14:textId="77777777" w:rsidR="00327FF1" w:rsidRDefault="00E406C7">
            <w:pPr>
              <w:pStyle w:val="P68B1DB1-Normal11"/>
              <w:spacing w:before="120" w:after="120"/>
              <w:jc w:val="center"/>
              <w:rPr>
                <w:rFonts w:eastAsia="Calibri"/>
                <w:noProof/>
                <w:szCs w:val="20"/>
              </w:rPr>
            </w:pPr>
            <w:r>
              <w:rPr>
                <w:noProof/>
              </w:rPr>
              <w:t>2.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93F4C68" w14:textId="77777777" w:rsidR="00327FF1" w:rsidRDefault="00E406C7">
            <w:pPr>
              <w:pStyle w:val="P68B1DB1-Normal11"/>
              <w:spacing w:before="120" w:after="120"/>
              <w:jc w:val="center"/>
              <w:rPr>
                <w:rFonts w:eastAsia="Calibri"/>
                <w:noProof/>
                <w:szCs w:val="20"/>
              </w:rPr>
            </w:pPr>
            <w:r>
              <w:rPr>
                <w:noProof/>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63276C" w14:textId="77777777" w:rsidR="00327FF1" w:rsidRDefault="00E406C7">
            <w:pPr>
              <w:spacing w:before="120" w:after="120"/>
              <w:rPr>
                <w:rFonts w:ascii="Arial Narrow" w:eastAsia="Calibri" w:hAnsi="Arial Narrow"/>
                <w:noProof/>
                <w:color w:val="006100"/>
                <w:sz w:val="20"/>
                <w:szCs w:val="20"/>
              </w:rPr>
            </w:pPr>
            <w:r>
              <w:rPr>
                <w:rFonts w:ascii="Arial Narrow" w:hAnsi="Arial Narrow"/>
                <w:noProof/>
                <w:color w:val="006100"/>
                <w:sz w:val="20"/>
              </w:rPr>
              <w:t>Vismaz 3000</w:t>
            </w:r>
            <w:r>
              <w:rPr>
                <w:noProof/>
                <w:sz w:val="23"/>
                <w:szCs w:val="23"/>
              </w:rPr>
              <w:t xml:space="preserve"> </w:t>
            </w:r>
            <w:r>
              <w:rPr>
                <w:rFonts w:ascii="Arial Narrow" w:hAnsi="Arial Narrow"/>
                <w:noProof/>
                <w:color w:val="006100"/>
                <w:sz w:val="20"/>
              </w:rPr>
              <w:t>uzņēmumu ir saņēmuši dzimumu līdztiesības sertifikātu. No tiem vismaz 1800 ir MVU, no kuriem 500 ir saņēmuši</w:t>
            </w:r>
            <w:r>
              <w:rPr>
                <w:rFonts w:ascii="Arial Narrow" w:hAnsi="Arial Narrow"/>
                <w:noProof/>
                <w:color w:val="006100"/>
                <w:sz w:val="20"/>
                <w:szCs w:val="20"/>
              </w:rPr>
              <w:t>tehnisko palīdzību, izmantoj</w:t>
            </w:r>
            <w:r>
              <w:rPr>
                <w:rFonts w:ascii="Arial Narrow" w:hAnsi="Arial Narrow"/>
                <w:noProof/>
                <w:color w:val="006100"/>
                <w:sz w:val="20"/>
                <w:szCs w:val="20"/>
              </w:rPr>
              <w:t xml:space="preserve">ot kuponu shēmu (piemēram, mentorēšanu, tehnisko un vadības atbalstu, pasākumus darba un privātās dzīves līdzsvaram vai uzņēmējdarbības izglītībai) vai tiešu finansiālu ieguldījumu sertifikācijas procesa atbalstam. </w:t>
            </w:r>
          </w:p>
        </w:tc>
      </w:tr>
      <w:tr w:rsidR="00327FF1" w14:paraId="6E147081"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5DF44E4" w14:textId="77777777" w:rsidR="00327FF1" w:rsidRDefault="00E406C7">
            <w:pPr>
              <w:pStyle w:val="P68B1DB1-Normal12"/>
              <w:spacing w:before="120" w:after="120"/>
              <w:jc w:val="center"/>
              <w:rPr>
                <w:rFonts w:eastAsia="Calibri"/>
                <w:noProof/>
                <w:highlight w:val="yellow"/>
              </w:rPr>
            </w:pPr>
            <w:r>
              <w:rPr>
                <w:noProof/>
              </w:rPr>
              <w:t>M5C1–15</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62BCB7" w14:textId="77777777" w:rsidR="00327FF1" w:rsidRDefault="00E406C7">
            <w:pPr>
              <w:pStyle w:val="P68B1DB1-Normal11"/>
              <w:spacing w:before="120" w:after="120"/>
              <w:jc w:val="center"/>
              <w:rPr>
                <w:rFonts w:eastAsia="Calibri"/>
                <w:noProof/>
                <w:szCs w:val="20"/>
              </w:rPr>
            </w:pPr>
            <w:r>
              <w:rPr>
                <w:noProof/>
              </w:rPr>
              <w:t xml:space="preserve">Investīcija 3 — Divējādās </w:t>
            </w:r>
            <w:r>
              <w:rPr>
                <w:noProof/>
              </w:rPr>
              <w:t>sistēmas stiprināšana</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EE82CF" w14:textId="77777777" w:rsidR="00327FF1" w:rsidRDefault="00E406C7">
            <w:pPr>
              <w:pStyle w:val="P68B1DB1-Normal11"/>
              <w:spacing w:before="120" w:after="120"/>
              <w:jc w:val="center"/>
              <w:rPr>
                <w:rFonts w:eastAsia="Calibri"/>
                <w:noProof/>
                <w:szCs w:val="20"/>
              </w:rPr>
            </w:pPr>
            <w:r>
              <w:rPr>
                <w:noProof/>
              </w:rPr>
              <w:t>Mērķa</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1D203B" w14:textId="77777777" w:rsidR="00327FF1" w:rsidRDefault="00E406C7">
            <w:pPr>
              <w:pStyle w:val="P68B1DB1-Normal12"/>
              <w:spacing w:before="120" w:after="120"/>
              <w:jc w:val="center"/>
              <w:rPr>
                <w:rFonts w:eastAsia="Calibri"/>
                <w:noProof/>
              </w:rPr>
            </w:pPr>
            <w:r>
              <w:rPr>
                <w:noProof/>
              </w:rPr>
              <w:t>Sertifikāti, kas izsniegti, izmantojot duālās izglītības sistēmu</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6A59E5" w14:textId="77777777" w:rsidR="00327FF1" w:rsidRDefault="00E406C7">
            <w:pPr>
              <w:pStyle w:val="P68B1DB1-Normal11"/>
              <w:spacing w:before="120" w:after="120"/>
              <w:jc w:val="center"/>
              <w:rPr>
                <w:rFonts w:eastAsia="Calibri"/>
                <w:noProof/>
                <w:szCs w:val="20"/>
              </w:rPr>
            </w:pPr>
            <w:r>
              <w:rPr>
                <w:noProof/>
              </w:rPr>
              <w:t>NEPIEMĒRO</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3074D3A" w14:textId="77777777" w:rsidR="00327FF1" w:rsidRDefault="00E406C7">
            <w:pPr>
              <w:pStyle w:val="P68B1DB1-Normal11"/>
              <w:spacing w:before="120" w:after="120"/>
              <w:jc w:val="center"/>
              <w:rPr>
                <w:rFonts w:eastAsia="Calibri"/>
                <w:noProof/>
                <w:szCs w:val="20"/>
              </w:rPr>
            </w:pPr>
            <w:r>
              <w:rPr>
                <w:noProof/>
              </w:rPr>
              <w:t xml:space="preserve">Skaits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2A9C42" w14:textId="77777777" w:rsidR="00327FF1" w:rsidRDefault="00E406C7">
            <w:pPr>
              <w:pStyle w:val="P68B1DB1-Normal12"/>
              <w:spacing w:before="120" w:after="120"/>
              <w:jc w:val="center"/>
              <w:rPr>
                <w:rFonts w:eastAsia="Calibri"/>
                <w:noProof/>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B98949" w14:textId="77777777" w:rsidR="00327FF1" w:rsidRDefault="00E406C7">
            <w:pPr>
              <w:spacing w:before="120" w:after="120"/>
              <w:jc w:val="center"/>
              <w:rPr>
                <w:rFonts w:ascii="Arial Narrow" w:eastAsia="Calibri" w:hAnsi="Arial Narrow"/>
                <w:noProof/>
                <w:color w:val="006100"/>
                <w:sz w:val="20"/>
                <w:szCs w:val="20"/>
              </w:rPr>
            </w:pPr>
            <w:r>
              <w:rPr>
                <w:rFonts w:ascii="Arial Narrow" w:hAnsi="Arial Narrow"/>
                <w:noProof/>
                <w:color w:val="006100"/>
                <w:sz w:val="20"/>
                <w:szCs w:val="20"/>
              </w:rPr>
              <w:t>90</w:t>
            </w:r>
            <w:r>
              <w:rPr>
                <w:noProof/>
                <w:sz w:val="23"/>
                <w:szCs w:val="23"/>
              </w:rPr>
              <w:t xml:space="preserve"> </w:t>
            </w:r>
            <w:r>
              <w:rPr>
                <w:rFonts w:ascii="Arial Narrow" w:hAnsi="Arial Narrow"/>
                <w:noProof/>
                <w:color w:val="006100"/>
                <w:sz w:val="20"/>
                <w:szCs w:val="20"/>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BD4925C" w14:textId="77777777" w:rsidR="00327FF1" w:rsidRDefault="00E406C7">
            <w:pPr>
              <w:pStyle w:val="P68B1DB1-Normal12"/>
              <w:spacing w:before="120" w:after="120"/>
              <w:jc w:val="center"/>
              <w:rPr>
                <w:rFonts w:eastAsia="Calibri"/>
                <w:noProof/>
              </w:rPr>
            </w:pPr>
            <w:r>
              <w:rPr>
                <w:noProof/>
              </w:rPr>
              <w:t>2.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4FF88EC" w14:textId="77777777" w:rsidR="00327FF1" w:rsidRDefault="00E406C7">
            <w:pPr>
              <w:pStyle w:val="P68B1DB1-Normal11"/>
              <w:spacing w:before="120" w:after="120"/>
              <w:jc w:val="center"/>
              <w:rPr>
                <w:rFonts w:eastAsia="Calibri"/>
                <w:noProof/>
                <w:szCs w:val="20"/>
              </w:rPr>
            </w:pPr>
            <w:r>
              <w:rPr>
                <w:noProof/>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A3493BD" w14:textId="76045961" w:rsidR="00327FF1" w:rsidRDefault="00E406C7">
            <w:pPr>
              <w:pStyle w:val="P68B1DB1-Normal12"/>
              <w:spacing w:before="120" w:after="120"/>
              <w:rPr>
                <w:rFonts w:eastAsia="Calibri"/>
                <w:noProof/>
              </w:rPr>
            </w:pPr>
            <w:r>
              <w:rPr>
                <w:noProof/>
              </w:rPr>
              <w:t>Vismaz 90000 dalības sertifikātu, kas 2020.–2021., 2021.–2022., 2022.–2023., 2023.–2024. vai 2024.–2025. gadam izdoti stude</w:t>
            </w:r>
            <w:r>
              <w:rPr>
                <w:noProof/>
              </w:rPr>
              <w:t>ntiem, kuri apvieno formālo izglītību un mācīšanās pieredzi darbavietā.</w:t>
            </w:r>
          </w:p>
        </w:tc>
      </w:tr>
      <w:tr w:rsidR="00327FF1" w14:paraId="7400CAFB"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2D0392" w14:textId="77777777" w:rsidR="00327FF1" w:rsidRDefault="00E406C7">
            <w:pPr>
              <w:pStyle w:val="P68B1DB1-Normal11"/>
              <w:spacing w:before="120" w:after="120"/>
              <w:jc w:val="center"/>
              <w:rPr>
                <w:rFonts w:eastAsia="Calibri"/>
                <w:noProof/>
                <w:szCs w:val="20"/>
              </w:rPr>
            </w:pPr>
            <w:r>
              <w:rPr>
                <w:noProof/>
              </w:rPr>
              <w:t>M5C1–15bis</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EEB182" w14:textId="77777777" w:rsidR="00327FF1" w:rsidRDefault="00E406C7">
            <w:pPr>
              <w:pStyle w:val="P68B1DB1-Normal11"/>
              <w:spacing w:before="120" w:after="120"/>
              <w:jc w:val="center"/>
              <w:rPr>
                <w:rFonts w:eastAsia="Calibri"/>
                <w:noProof/>
                <w:szCs w:val="20"/>
              </w:rPr>
            </w:pPr>
            <w:r>
              <w:rPr>
                <w:noProof/>
              </w:rPr>
              <w:t>Investīcija Nr. 4 — Vispārējais civildienests</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1CAE48" w14:textId="77777777" w:rsidR="00327FF1" w:rsidRDefault="00E406C7">
            <w:pPr>
              <w:pStyle w:val="P68B1DB1-Normal11"/>
              <w:spacing w:before="120" w:after="120"/>
              <w:jc w:val="center"/>
              <w:rPr>
                <w:rFonts w:eastAsia="Calibri"/>
                <w:noProof/>
                <w:szCs w:val="20"/>
              </w:rPr>
            </w:pPr>
            <w:r>
              <w:rPr>
                <w:noProof/>
              </w:rPr>
              <w:t>Atskaites punkts</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6C2C4" w14:textId="77777777" w:rsidR="00327FF1" w:rsidRDefault="00E406C7">
            <w:pPr>
              <w:pStyle w:val="P68B1DB1-Normal33"/>
              <w:spacing w:before="120" w:after="120"/>
              <w:jc w:val="center"/>
              <w:rPr>
                <w:rFonts w:eastAsia="Calibri"/>
                <w:noProof/>
              </w:rPr>
            </w:pPr>
            <w:r>
              <w:rPr>
                <w:noProof/>
              </w:rPr>
              <w:t xml:space="preserve">Veikt darbības, lai palielinātu jauniešu </w:t>
            </w:r>
            <w:r>
              <w:rPr>
                <w:noProof/>
              </w:rPr>
              <w:t xml:space="preserve">līdzdalību, vienkāršotu procedūras un uzlabotu universālā civildienesta (UCS) projektu kvalitāti;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7AC567" w14:textId="77777777" w:rsidR="00327FF1" w:rsidRDefault="00E406C7">
            <w:pPr>
              <w:pStyle w:val="P68B1DB1-Normal12"/>
              <w:spacing w:before="120" w:after="120"/>
              <w:jc w:val="center"/>
              <w:rPr>
                <w:noProof/>
              </w:rPr>
            </w:pPr>
            <w:r>
              <w:rPr>
                <w:noProof/>
              </w:rPr>
              <w:t>Paveiktās darbības</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F3BEFC" w14:textId="77777777" w:rsidR="00327FF1" w:rsidRDefault="00E406C7">
            <w:pPr>
              <w:pStyle w:val="P68B1DB1-Normal11"/>
              <w:spacing w:before="120" w:after="120"/>
              <w:jc w:val="center"/>
              <w:rPr>
                <w:rFonts w:eastAsia="Calibri"/>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F296B9" w14:textId="77777777" w:rsidR="00327FF1" w:rsidRDefault="00E406C7">
            <w:pPr>
              <w:pStyle w:val="P68B1DB1-Normal11"/>
              <w:spacing w:before="120" w:after="120"/>
              <w:jc w:val="center"/>
              <w:rPr>
                <w:rFonts w:eastAsia="Calibri"/>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8D147E" w14:textId="77777777" w:rsidR="00327FF1" w:rsidRDefault="00E406C7">
            <w:pPr>
              <w:pStyle w:val="P68B1DB1-Normal11"/>
              <w:spacing w:before="120" w:after="120"/>
              <w:jc w:val="center"/>
              <w:rPr>
                <w:rFonts w:eastAsia="Calibri"/>
                <w:noProof/>
                <w:szCs w:val="20"/>
              </w:rPr>
            </w:pPr>
            <w:r>
              <w:rPr>
                <w:noProof/>
              </w:rPr>
              <w:t>NEPIEMĒRO</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80514" w14:textId="77777777" w:rsidR="00327FF1" w:rsidRDefault="00E406C7">
            <w:pPr>
              <w:pStyle w:val="P68B1DB1-Normal11"/>
              <w:spacing w:before="120" w:after="120"/>
              <w:jc w:val="center"/>
              <w:rPr>
                <w:rFonts w:eastAsia="Calibri"/>
                <w:noProof/>
                <w:szCs w:val="20"/>
              </w:rPr>
            </w:pPr>
            <w:r>
              <w:rPr>
                <w:noProof/>
              </w:rPr>
              <w:t>4.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C7D244" w14:textId="77777777" w:rsidR="00327FF1" w:rsidRDefault="00E406C7">
            <w:pPr>
              <w:pStyle w:val="P68B1DB1-Normal11"/>
              <w:spacing w:before="120" w:after="120"/>
              <w:jc w:val="center"/>
              <w:rPr>
                <w:rFonts w:eastAsia="Calibri"/>
                <w:noProof/>
                <w:szCs w:val="20"/>
              </w:rPr>
            </w:pPr>
            <w:r>
              <w:rPr>
                <w:noProof/>
              </w:rPr>
              <w:t>2024</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DA5A3C" w14:textId="77777777" w:rsidR="00327FF1" w:rsidRDefault="00E406C7">
            <w:pPr>
              <w:pStyle w:val="P68B1DB1-Normal33"/>
              <w:spacing w:before="120" w:after="120"/>
              <w:rPr>
                <w:noProof/>
              </w:rPr>
            </w:pPr>
            <w:r>
              <w:rPr>
                <w:noProof/>
              </w:rPr>
              <w:t xml:space="preserve">Veic šādas darbības: </w:t>
            </w:r>
          </w:p>
          <w:p w14:paraId="03C4A058" w14:textId="77777777" w:rsidR="00327FF1" w:rsidRDefault="00E406C7">
            <w:pPr>
              <w:pStyle w:val="P68B1DB1-Normal33"/>
              <w:spacing w:before="120" w:after="120"/>
              <w:rPr>
                <w:noProof/>
              </w:rPr>
            </w:pPr>
            <w:r>
              <w:rPr>
                <w:noProof/>
              </w:rPr>
              <w:t>1. Ieviest pasākumus, lai palielinātu jauniešu līdzdalību Universālā civi</w:t>
            </w:r>
            <w:r>
              <w:rPr>
                <w:noProof/>
              </w:rPr>
              <w:t>ldienesta (UCS) programmā;</w:t>
            </w:r>
          </w:p>
          <w:p w14:paraId="2947FCDA" w14:textId="77777777" w:rsidR="00327FF1" w:rsidRDefault="00E406C7">
            <w:pPr>
              <w:pStyle w:val="P68B1DB1-Normal33"/>
              <w:spacing w:before="120" w:after="120"/>
              <w:rPr>
                <w:noProof/>
              </w:rPr>
            </w:pPr>
            <w:r>
              <w:rPr>
                <w:noProof/>
              </w:rPr>
              <w:t xml:space="preserve">2. Ieviest pasākumus procedūru vienkāršošanai, lai samazinātu administratīvo slogu saistībā ar Universālā civildienesta (UCS) programmas īstenošanu; </w:t>
            </w:r>
          </w:p>
          <w:p w14:paraId="49BC0977" w14:textId="77777777" w:rsidR="00327FF1" w:rsidRDefault="00E406C7">
            <w:pPr>
              <w:pStyle w:val="P68B1DB1-Normal33"/>
              <w:spacing w:before="120" w:after="120"/>
              <w:rPr>
                <w:noProof/>
              </w:rPr>
            </w:pPr>
            <w:r>
              <w:rPr>
                <w:noProof/>
              </w:rPr>
              <w:t>3. Ieviest pasākumus, lai uzlabotu universālā civildienesta (UCS) projektu kval</w:t>
            </w:r>
            <w:r>
              <w:rPr>
                <w:noProof/>
              </w:rPr>
              <w:t xml:space="preserve">itāti. </w:t>
            </w:r>
          </w:p>
          <w:p w14:paraId="4DC40501" w14:textId="77777777" w:rsidR="00327FF1" w:rsidRDefault="00E406C7">
            <w:pPr>
              <w:pStyle w:val="P68B1DB1-Normal12"/>
              <w:spacing w:before="120" w:after="120"/>
              <w:rPr>
                <w:rFonts w:eastAsia="Calibri"/>
                <w:noProof/>
              </w:rPr>
            </w:pPr>
            <w:r>
              <w:rPr>
                <w:noProof/>
              </w:rPr>
              <w:t xml:space="preserve">Veiktajās darbībās ņem vērā TAI projekta rezultātus (20IT06 — “Atbalsts universālā civildienesta (UCS) ANP projekta izstrādei un īstenošanai, lai pavērtu jauniešu nodarbinātības iespējas”). </w:t>
            </w:r>
          </w:p>
        </w:tc>
      </w:tr>
      <w:tr w:rsidR="00327FF1" w14:paraId="690E8BFC" w14:textId="77777777">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77F44C" w14:textId="77777777" w:rsidR="00327FF1" w:rsidRDefault="00E406C7">
            <w:pPr>
              <w:pStyle w:val="P68B1DB1-Normal12"/>
              <w:spacing w:before="120" w:after="120"/>
              <w:jc w:val="center"/>
              <w:rPr>
                <w:rFonts w:eastAsia="Calibri"/>
                <w:noProof/>
              </w:rPr>
            </w:pPr>
            <w:r>
              <w:rPr>
                <w:noProof/>
              </w:rPr>
              <w:t>M5C1–16</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E3DDDA" w14:textId="77777777" w:rsidR="00327FF1" w:rsidRDefault="00E406C7">
            <w:pPr>
              <w:pStyle w:val="P68B1DB1-Normal11"/>
              <w:spacing w:before="120" w:after="120"/>
              <w:jc w:val="center"/>
              <w:rPr>
                <w:rFonts w:eastAsia="Calibri"/>
                <w:noProof/>
                <w:szCs w:val="20"/>
              </w:rPr>
            </w:pPr>
            <w:r>
              <w:rPr>
                <w:noProof/>
              </w:rPr>
              <w:t>Investīcija Nr. 4 — Vispārējais civildienests</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9C2D0A9" w14:textId="77777777" w:rsidR="00327FF1" w:rsidRDefault="00E406C7">
            <w:pPr>
              <w:pStyle w:val="P68B1DB1-Normal11"/>
              <w:spacing w:before="120" w:after="120"/>
              <w:jc w:val="center"/>
              <w:rPr>
                <w:rFonts w:eastAsia="Calibri"/>
                <w:noProof/>
                <w:szCs w:val="20"/>
              </w:rPr>
            </w:pPr>
            <w:r>
              <w:rPr>
                <w:noProof/>
              </w:rPr>
              <w:t>Mērķa</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CB9C6B" w14:textId="77777777" w:rsidR="00327FF1" w:rsidRDefault="00E406C7">
            <w:pPr>
              <w:pStyle w:val="P68B1DB1-Normal12"/>
              <w:spacing w:before="120" w:after="120"/>
              <w:jc w:val="center"/>
              <w:rPr>
                <w:rFonts w:eastAsia="Calibri"/>
                <w:noProof/>
              </w:rPr>
            </w:pPr>
            <w:r>
              <w:rPr>
                <w:noProof/>
              </w:rPr>
              <w:t xml:space="preserve">Sertifikāti, kas izsniegti universālā civildienesta projektiem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B3C711D" w14:textId="77777777" w:rsidR="00327FF1" w:rsidRDefault="00E406C7">
            <w:pPr>
              <w:pStyle w:val="P68B1DB1-Normal11"/>
              <w:spacing w:before="120" w:after="120"/>
              <w:jc w:val="center"/>
              <w:rPr>
                <w:rFonts w:eastAsia="Calibri"/>
                <w:noProof/>
                <w:szCs w:val="20"/>
              </w:rPr>
            </w:pPr>
            <w:r>
              <w:rPr>
                <w:noProof/>
              </w:rPr>
              <w:t>NEPIEMĒRO</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8CC40DF" w14:textId="77777777" w:rsidR="00327FF1" w:rsidRDefault="00E406C7">
            <w:pPr>
              <w:pStyle w:val="P68B1DB1-Normal11"/>
              <w:spacing w:before="120" w:after="120"/>
              <w:jc w:val="center"/>
              <w:rPr>
                <w:rFonts w:eastAsia="Calibri"/>
                <w:noProof/>
                <w:szCs w:val="20"/>
              </w:rPr>
            </w:pPr>
            <w:r>
              <w:rPr>
                <w:noProof/>
              </w:rPr>
              <w:t xml:space="preserve">Skaits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E194F5" w14:textId="77777777" w:rsidR="00327FF1" w:rsidRDefault="00E406C7">
            <w:pPr>
              <w:pStyle w:val="P68B1DB1-Normal11"/>
              <w:spacing w:before="120" w:after="120"/>
              <w:jc w:val="center"/>
              <w:rPr>
                <w:noProof/>
                <w:szCs w:val="20"/>
              </w:rPr>
            </w:pPr>
            <w:r>
              <w:rPr>
                <w:noProof/>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F1C7510" w14:textId="5664E1C7" w:rsidR="00327FF1" w:rsidRDefault="00E406C7">
            <w:pPr>
              <w:pStyle w:val="P68B1DB1-Normal11"/>
              <w:spacing w:before="120" w:after="120"/>
              <w:jc w:val="center"/>
              <w:rPr>
                <w:rFonts w:eastAsia="Calibri"/>
                <w:noProof/>
                <w:szCs w:val="20"/>
              </w:rPr>
            </w:pPr>
            <w:r>
              <w:rPr>
                <w:noProof/>
              </w:rPr>
              <w:t>166 670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1C3BC9A" w14:textId="77777777" w:rsidR="00327FF1" w:rsidRDefault="00E406C7">
            <w:pPr>
              <w:pStyle w:val="P68B1DB1-Normal11"/>
              <w:spacing w:before="120" w:after="120"/>
              <w:jc w:val="center"/>
              <w:rPr>
                <w:rFonts w:eastAsia="Calibri"/>
                <w:noProof/>
                <w:szCs w:val="20"/>
              </w:rPr>
            </w:pPr>
            <w:r>
              <w:rPr>
                <w:noProof/>
              </w:rPr>
              <w:t>2. CET.</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275F52" w14:textId="77777777" w:rsidR="00327FF1" w:rsidRDefault="00E406C7">
            <w:pPr>
              <w:pStyle w:val="P68B1DB1-Normal11"/>
              <w:spacing w:before="120" w:after="120"/>
              <w:jc w:val="center"/>
              <w:rPr>
                <w:rFonts w:eastAsia="Calibri"/>
                <w:noProof/>
                <w:szCs w:val="20"/>
              </w:rPr>
            </w:pPr>
            <w:r>
              <w:rPr>
                <w:noProof/>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80C4E6" w14:textId="77777777" w:rsidR="00327FF1" w:rsidRDefault="00E406C7">
            <w:pPr>
              <w:pStyle w:val="P68B1DB1-Normal11"/>
              <w:spacing w:before="120" w:after="120"/>
              <w:rPr>
                <w:rFonts w:eastAsia="Calibri"/>
                <w:noProof/>
                <w:szCs w:val="20"/>
              </w:rPr>
            </w:pPr>
            <w:r>
              <w:rPr>
                <w:noProof/>
                <w:szCs w:val="20"/>
              </w:rPr>
              <w:t>Vismaz 166670 sertifikātu</w:t>
            </w:r>
            <w:r>
              <w:rPr>
                <w:noProof/>
              </w:rPr>
              <w:t xml:space="preserve"> </w:t>
            </w:r>
            <w:r>
              <w:rPr>
                <w:noProof/>
                <w:szCs w:val="20"/>
              </w:rPr>
              <w:t>par dalību Universālajā civildienestā, kas izsniegti projektiem, kuri uzsākti četru gadu periodā no 2021. līdz 2024. ga</w:t>
            </w:r>
            <w:r>
              <w:rPr>
                <w:noProof/>
                <w:szCs w:val="20"/>
              </w:rPr>
              <w:t>dam.</w:t>
            </w:r>
          </w:p>
        </w:tc>
      </w:tr>
    </w:tbl>
    <w:p w14:paraId="7246408D" w14:textId="77777777" w:rsidR="00327FF1" w:rsidRDefault="00327FF1">
      <w:pPr>
        <w:spacing w:before="120" w:after="120"/>
        <w:ind w:left="709"/>
        <w:jc w:val="both"/>
        <w:rPr>
          <w:noProof/>
        </w:rPr>
      </w:pPr>
    </w:p>
    <w:p w14:paraId="0C27507F" w14:textId="77777777" w:rsidR="00327FF1" w:rsidRDefault="00327FF1">
      <w:pPr>
        <w:spacing w:before="120" w:after="120"/>
        <w:ind w:left="709"/>
        <w:jc w:val="both"/>
        <w:rPr>
          <w:noProof/>
        </w:rPr>
        <w:sectPr w:rsidR="00327FF1" w:rsidSect="005F11B9">
          <w:headerReference w:type="even" r:id="rId218"/>
          <w:headerReference w:type="default" r:id="rId219"/>
          <w:footerReference w:type="even" r:id="rId220"/>
          <w:footerReference w:type="default" r:id="rId221"/>
          <w:headerReference w:type="first" r:id="rId222"/>
          <w:footerReference w:type="first" r:id="rId223"/>
          <w:pgSz w:w="16838" w:h="11906" w:orient="landscape" w:code="9"/>
          <w:pgMar w:top="1134" w:right="1134" w:bottom="1134" w:left="1134" w:header="567" w:footer="567" w:gutter="0"/>
          <w:cols w:space="720"/>
          <w:docGrid w:linePitch="360"/>
        </w:sectPr>
      </w:pPr>
    </w:p>
    <w:p w14:paraId="5B47C192" w14:textId="77777777" w:rsidR="00327FF1" w:rsidRDefault="00E406C7">
      <w:pPr>
        <w:pStyle w:val="P68B1DB1-Heading39"/>
        <w:ind w:left="850" w:hanging="850"/>
        <w:rPr>
          <w:b/>
          <w:bCs/>
          <w:i/>
          <w:iCs/>
          <w:noProof/>
          <w:color w:val="156082" w:themeColor="accent1"/>
          <w:u w:val="single"/>
        </w:rPr>
      </w:pPr>
      <w:r>
        <w:rPr>
          <w:b/>
          <w:noProof/>
          <w:u w:val="single"/>
        </w:rPr>
        <w:t xml:space="preserve">L.3. </w:t>
      </w:r>
      <w:r>
        <w:rPr>
          <w:noProof/>
        </w:rPr>
        <w:t xml:space="preserve"> </w:t>
      </w:r>
      <w:r>
        <w:rPr>
          <w:b/>
          <w:noProof/>
          <w:u w:val="single"/>
        </w:rPr>
        <w:t xml:space="preserve">Aizdevumam pieteikto reformu un investīciju apraksts </w:t>
      </w:r>
    </w:p>
    <w:p w14:paraId="6AD9E909" w14:textId="77777777" w:rsidR="00327FF1" w:rsidRDefault="00E406C7">
      <w:pPr>
        <w:pStyle w:val="P68B1DB1-Normal5"/>
        <w:spacing w:before="120" w:after="120"/>
        <w:jc w:val="both"/>
        <w:rPr>
          <w:noProof/>
        </w:rPr>
      </w:pPr>
      <w:r>
        <w:rPr>
          <w:noProof/>
        </w:rPr>
        <w:t>Investīcija Nr. 5. Sieviešu uzņēmumu izveide</w:t>
      </w:r>
    </w:p>
    <w:p w14:paraId="44CDE6CB" w14:textId="6036EE0E" w:rsidR="00327FF1" w:rsidRDefault="00E406C7">
      <w:pPr>
        <w:pStyle w:val="P68B1DB1-Normal7"/>
        <w:spacing w:before="120" w:after="120"/>
        <w:jc w:val="both"/>
        <w:rPr>
          <w:noProof/>
        </w:rPr>
      </w:pPr>
      <w:r>
        <w:rPr>
          <w:noProof/>
        </w:rPr>
        <w:t xml:space="preserve">Šis pasākums ietver publiskas investīcijas mehānismā, lai stimulētu privātās </w:t>
      </w:r>
      <w:r>
        <w:rPr>
          <w:noProof/>
        </w:rPr>
        <w:t>investīcijas un uzlabotu piekļuvi finansējumam Itālijā sieviešu uzņēmumu izveidei un izaugsmei Itālijā, izmantojot projektu finansējumu, mentorēšanu, komunikācijas pasākumus un uzņēmējdarbības izglītības pakalpojumus. Mehānisms darbojas, piešķirot subsīdij</w:t>
      </w:r>
      <w:r>
        <w:rPr>
          <w:noProof/>
        </w:rPr>
        <w:t>as un aizdevumus tieši privātajam sektoram.</w:t>
      </w:r>
    </w:p>
    <w:p w14:paraId="2A1BE293" w14:textId="77777777" w:rsidR="00327FF1" w:rsidRDefault="00E406C7">
      <w:pPr>
        <w:pStyle w:val="P68B1DB1-Normal7"/>
        <w:spacing w:before="120" w:after="120"/>
        <w:jc w:val="both"/>
        <w:rPr>
          <w:noProof/>
        </w:rPr>
      </w:pPr>
      <w:r>
        <w:rPr>
          <w:noProof/>
        </w:rPr>
        <w:t>Mehānismu pārvalda Invitalia kā īstenošanas partneris. Mehānisms ietver šādas produktu līnijas:</w:t>
      </w:r>
    </w:p>
    <w:p w14:paraId="0ACFD94D" w14:textId="36576E3F" w:rsidR="00327FF1" w:rsidRDefault="00E406C7">
      <w:pPr>
        <w:pStyle w:val="P68B1DB1-Normal7"/>
        <w:numPr>
          <w:ilvl w:val="0"/>
          <w:numId w:val="73"/>
        </w:numPr>
        <w:spacing w:before="120" w:after="120" w:line="279" w:lineRule="auto"/>
        <w:jc w:val="both"/>
        <w:rPr>
          <w:noProof/>
        </w:rPr>
      </w:pPr>
      <w:r>
        <w:rPr>
          <w:i/>
          <w:noProof/>
        </w:rPr>
        <w:t xml:space="preserve">Fondo a sostegno dell’impresa femminile, </w:t>
      </w:r>
      <w:r>
        <w:rPr>
          <w:noProof/>
        </w:rPr>
        <w:t>kas atbalsta sieviešu vadītas uzņēmējdarbības iniciatīvas, izmantojot dotāc</w:t>
      </w:r>
      <w:r>
        <w:rPr>
          <w:noProof/>
        </w:rPr>
        <w:t>ijas un bezprocentu aizdevumus; tā arī finansē komunikācijas un apmācības iniciatīvas, kas paredzētas studentēm un jaunām sievietēm, kā arī izglītības pakalpojumus, kuru mērķis ir izplatīt sieviešu uzņēmējdarbības kultūru;</w:t>
      </w:r>
    </w:p>
    <w:p w14:paraId="62D025C7" w14:textId="77777777" w:rsidR="00327FF1" w:rsidRDefault="00E406C7">
      <w:pPr>
        <w:pStyle w:val="P68B1DB1-Normal7"/>
        <w:numPr>
          <w:ilvl w:val="0"/>
          <w:numId w:val="73"/>
        </w:numPr>
        <w:spacing w:before="120" w:after="120" w:line="279" w:lineRule="auto"/>
        <w:jc w:val="both"/>
        <w:rPr>
          <w:noProof/>
        </w:rPr>
      </w:pPr>
      <w:r>
        <w:rPr>
          <w:i/>
          <w:noProof/>
        </w:rPr>
        <w:t>Nuove imprese a toso zero (NITO-O</w:t>
      </w:r>
      <w:r>
        <w:rPr>
          <w:i/>
          <w:noProof/>
        </w:rPr>
        <w:t>N)</w:t>
      </w:r>
      <w:r>
        <w:rPr>
          <w:noProof/>
        </w:rPr>
        <w:t xml:space="preserve"> ir veltīta tādu mikrouzņēmumu un mazo uzņēmumu izveidei un izaugsmei, kurus galvenokārt vai pilnībā vada jaunieši vai sievietes, ko finansē, izmantojot dotācijas un bezprocentu aizdevumus;</w:t>
      </w:r>
    </w:p>
    <w:p w14:paraId="66463615" w14:textId="77777777" w:rsidR="00327FF1" w:rsidRDefault="00E406C7">
      <w:pPr>
        <w:pStyle w:val="P68B1DB1-Normal7"/>
        <w:numPr>
          <w:ilvl w:val="0"/>
          <w:numId w:val="73"/>
        </w:numPr>
        <w:spacing w:before="120" w:after="120" w:line="279" w:lineRule="auto"/>
        <w:jc w:val="both"/>
        <w:rPr>
          <w:noProof/>
        </w:rPr>
      </w:pPr>
      <w:r>
        <w:rPr>
          <w:i/>
          <w:noProof/>
        </w:rPr>
        <w:t>Smart &amp; Start Italia</w:t>
      </w:r>
      <w:r>
        <w:rPr>
          <w:noProof/>
        </w:rPr>
        <w:t>, kuras mērķis ir veicināt inovatīvus, uz te</w:t>
      </w:r>
      <w:r>
        <w:rPr>
          <w:noProof/>
        </w:rPr>
        <w:t>hnoloģijām balstītus jaunuzņēmumus, jo īpaši tos, kuriem ir spēcīgi digitāli vai uz pētniecību balstīti elementi un kurus finansē, izmantojot aizdevumus; jaunuzņēmumiem, kas atrodas Itālijas centrālajā un dienvidu daļā, aizdevuma procentuālo daļu var pārvē</w:t>
      </w:r>
      <w:r>
        <w:rPr>
          <w:noProof/>
        </w:rPr>
        <w:t>rst neatmaksājamā dotācijā.</w:t>
      </w:r>
    </w:p>
    <w:p w14:paraId="2E95A7F6" w14:textId="77777777" w:rsidR="00327FF1" w:rsidRDefault="00E406C7">
      <w:pPr>
        <w:pStyle w:val="P68B1DB1-Normal7"/>
        <w:spacing w:before="120" w:after="120"/>
        <w:jc w:val="both"/>
        <w:rPr>
          <w:noProof/>
        </w:rPr>
      </w:pPr>
      <w:r>
        <w:rPr>
          <w:noProof/>
        </w:rPr>
        <w:t>Lai īstenotu ieguldījumu mehānismā, Itālija un Invitalia paraksta īstenošanas nolīgumu, kurā ietver šādu saturu:</w:t>
      </w:r>
    </w:p>
    <w:p w14:paraId="3E594429" w14:textId="77777777" w:rsidR="00327FF1" w:rsidRDefault="00E406C7">
      <w:pPr>
        <w:pStyle w:val="P68B1DB1-ListParagraph100"/>
        <w:numPr>
          <w:ilvl w:val="0"/>
          <w:numId w:val="92"/>
        </w:numPr>
        <w:spacing w:before="120" w:after="120" w:line="278" w:lineRule="auto"/>
        <w:ind w:left="714" w:hanging="357"/>
        <w:contextualSpacing w:val="0"/>
        <w:jc w:val="both"/>
        <w:rPr>
          <w:noProof/>
        </w:rPr>
      </w:pPr>
      <w:r>
        <w:rPr>
          <w:noProof/>
        </w:rPr>
        <w:t>Mehānisma lēmumu pieņemšanas procesa apraksts: Galīgo lēmumu par ieguldījumiem Mehānismā pieņem investīciju komitej</w:t>
      </w:r>
      <w:r>
        <w:rPr>
          <w:noProof/>
        </w:rPr>
        <w:t>a vai cita attiecīga līdzvērtīga pārvaldes struktūra, un to apstiprina ar no valdības neatkarīgu locekļu balsu vairākumu.</w:t>
      </w:r>
    </w:p>
    <w:p w14:paraId="0198B0CA" w14:textId="77777777" w:rsidR="00327FF1" w:rsidRDefault="00E406C7">
      <w:pPr>
        <w:pStyle w:val="P68B1DB1-ListParagraph100"/>
        <w:numPr>
          <w:ilvl w:val="0"/>
          <w:numId w:val="92"/>
        </w:numPr>
        <w:spacing w:before="120" w:after="120" w:line="278" w:lineRule="auto"/>
        <w:ind w:hanging="357"/>
        <w:contextualSpacing w:val="0"/>
        <w:jc w:val="both"/>
        <w:rPr>
          <w:noProof/>
        </w:rPr>
      </w:pPr>
      <w:r>
        <w:rPr>
          <w:noProof/>
        </w:rPr>
        <w:t>Saistītās ieguldījumu politikas galvenās prasības, kas ietver:</w:t>
      </w:r>
    </w:p>
    <w:p w14:paraId="59C2EB54" w14:textId="77777777" w:rsidR="00327FF1" w:rsidRDefault="00E406C7">
      <w:pPr>
        <w:pStyle w:val="P68B1DB1-ListParagraph100"/>
        <w:numPr>
          <w:ilvl w:val="0"/>
          <w:numId w:val="93"/>
        </w:numPr>
        <w:spacing w:before="120" w:after="120" w:line="278" w:lineRule="auto"/>
        <w:ind w:hanging="357"/>
        <w:contextualSpacing w:val="0"/>
        <w:jc w:val="both"/>
        <w:rPr>
          <w:noProof/>
        </w:rPr>
      </w:pPr>
      <w:r>
        <w:rPr>
          <w:noProof/>
        </w:rPr>
        <w:t>Finanšu produktu un atbalsttiesīgo galasaņēmēju apraksts.</w:t>
      </w:r>
    </w:p>
    <w:p w14:paraId="25CAED54" w14:textId="77777777" w:rsidR="00327FF1" w:rsidRDefault="00E406C7">
      <w:pPr>
        <w:pStyle w:val="P68B1DB1-ListParagraph100"/>
        <w:numPr>
          <w:ilvl w:val="0"/>
          <w:numId w:val="93"/>
        </w:numPr>
        <w:spacing w:before="120" w:after="120" w:line="278" w:lineRule="auto"/>
        <w:ind w:hanging="357"/>
        <w:contextualSpacing w:val="0"/>
        <w:jc w:val="both"/>
        <w:rPr>
          <w:noProof/>
        </w:rPr>
      </w:pPr>
      <w:r>
        <w:rPr>
          <w:noProof/>
        </w:rPr>
        <w:t xml:space="preserve">Prasība, lai </w:t>
      </w:r>
      <w:r>
        <w:rPr>
          <w:noProof/>
        </w:rPr>
        <w:t>visi atbalstītie ieguldījumi būtu ekonomiski dzīvotspējīgi.</w:t>
      </w:r>
    </w:p>
    <w:p w14:paraId="74FF7F76" w14:textId="77777777" w:rsidR="00327FF1" w:rsidRDefault="00E406C7">
      <w:pPr>
        <w:pStyle w:val="P68B1DB1-ListParagraph37"/>
        <w:numPr>
          <w:ilvl w:val="0"/>
          <w:numId w:val="93"/>
        </w:numPr>
        <w:spacing w:before="120" w:after="120" w:line="278" w:lineRule="auto"/>
        <w:ind w:hanging="357"/>
        <w:contextualSpacing w:val="0"/>
        <w:jc w:val="both"/>
        <w:rPr>
          <w:noProof/>
        </w:rPr>
      </w:pPr>
      <w:r>
        <w:rPr>
          <w:noProof/>
        </w:rPr>
        <w:t>Prasība ievērot principu “nenodari būtisku kaitējumu” (DNSH), kā noteikts NBK tehniskajos norādījumos (2021/C58/01). Ieguldījumu politika jo īpaši izslēdz no atbilstības šādu darbību un aktīvu sar</w:t>
      </w:r>
      <w:r>
        <w:rPr>
          <w:noProof/>
        </w:rPr>
        <w:t>akstu: I) darbības un aktīvi, kas saistīti ar fosilo kurināmo, tostarp lejupējais izmantojums;</w:t>
      </w:r>
      <w:r>
        <w:rPr>
          <w:noProof/>
        </w:rPr>
        <w:footnoteReference w:id="89"/>
      </w:r>
      <w:r>
        <w:rPr>
          <w:noProof/>
        </w:rPr>
        <w:t>ii) darbības un aktīvi saskaņā ar ES emisijas kvotu tirdzniecības sistēmu (ETS), kuru prognozētās siltumnīcefekta gāzu emisijas nav zemākas par attiecīgajām līme</w:t>
      </w:r>
      <w:r>
        <w:rPr>
          <w:noProof/>
        </w:rPr>
        <w:t>ņatzīmēm;</w:t>
      </w:r>
      <w:r>
        <w:rPr>
          <w:noProof/>
        </w:rPr>
        <w:footnoteReference w:id="90"/>
      </w:r>
      <w:r>
        <w:rPr>
          <w:noProof/>
        </w:rPr>
        <w:t>iii) darbības un aktīvi, kas saistīti ar atkritumu poligoniem, sadedzināšanas iekārtām</w:t>
      </w:r>
      <w:r>
        <w:rPr>
          <w:noProof/>
        </w:rPr>
        <w:footnoteReference w:id="91"/>
      </w:r>
      <w:r>
        <w:rPr>
          <w:noProof/>
        </w:rPr>
        <w:t xml:space="preserve"> un mehāniski bioloģiskās apstrādes iekārtām</w:t>
      </w:r>
      <w:r>
        <w:rPr>
          <w:noProof/>
        </w:rPr>
        <w:footnoteReference w:id="92"/>
      </w:r>
      <w:r>
        <w:rPr>
          <w:noProof/>
        </w:rPr>
        <w:t xml:space="preserve">. </w:t>
      </w:r>
    </w:p>
    <w:p w14:paraId="08C9CACE" w14:textId="77777777" w:rsidR="00327FF1" w:rsidRDefault="00E406C7">
      <w:pPr>
        <w:pStyle w:val="P68B1DB1-ListParagraph37"/>
        <w:numPr>
          <w:ilvl w:val="0"/>
          <w:numId w:val="93"/>
        </w:numPr>
        <w:spacing w:before="120" w:after="120" w:line="278" w:lineRule="auto"/>
        <w:ind w:hanging="357"/>
        <w:contextualSpacing w:val="0"/>
        <w:jc w:val="both"/>
        <w:rPr>
          <w:noProof/>
        </w:rPr>
      </w:pPr>
      <w:r>
        <w:rPr>
          <w:noProof/>
        </w:rPr>
        <w:t>Prasība, ka Mehānisma galasaņēmēji nesaņem atbalstu no citiem Savienības instrumentiem, lai segtu tās pašas izm</w:t>
      </w:r>
      <w:r>
        <w:rPr>
          <w:noProof/>
        </w:rPr>
        <w:t>aksas.</w:t>
      </w:r>
    </w:p>
    <w:p w14:paraId="4075FAE8" w14:textId="77777777" w:rsidR="00327FF1" w:rsidRDefault="00E406C7">
      <w:pPr>
        <w:pStyle w:val="P68B1DB1-ListParagraph37"/>
        <w:numPr>
          <w:ilvl w:val="0"/>
          <w:numId w:val="92"/>
        </w:numPr>
        <w:spacing w:before="120" w:after="120" w:line="278" w:lineRule="auto"/>
        <w:ind w:left="714" w:hanging="357"/>
        <w:contextualSpacing w:val="0"/>
        <w:jc w:val="both"/>
        <w:rPr>
          <w:noProof/>
        </w:rPr>
      </w:pPr>
      <w:r>
        <w:rPr>
          <w:noProof/>
        </w:rPr>
        <w:t>Summa, uz kuru attiecas īstenošanas nolīgums, īstenošanas partnera maksu struktūra un prasība atkārtoti ieguldīt visus atmaksājumus saskaņā ar Mehānisma ieguldījumu politiku.</w:t>
      </w:r>
    </w:p>
    <w:p w14:paraId="0927675B" w14:textId="77777777" w:rsidR="00327FF1" w:rsidRDefault="00E406C7">
      <w:pPr>
        <w:pStyle w:val="P68B1DB1-ListParagraph37"/>
        <w:numPr>
          <w:ilvl w:val="0"/>
          <w:numId w:val="92"/>
        </w:numPr>
        <w:spacing w:before="120" w:after="120" w:line="240" w:lineRule="auto"/>
        <w:jc w:val="both"/>
        <w:rPr>
          <w:noProof/>
        </w:rPr>
      </w:pPr>
      <w:r>
        <w:rPr>
          <w:noProof/>
        </w:rPr>
        <w:t>Uzraudzības, revīzijas un kontroles prasības, tostarp:</w:t>
      </w:r>
    </w:p>
    <w:p w14:paraId="47B4D611" w14:textId="77777777" w:rsidR="00327FF1" w:rsidRDefault="00E406C7">
      <w:pPr>
        <w:pStyle w:val="P68B1DB1-Normal7"/>
        <w:numPr>
          <w:ilvl w:val="0"/>
          <w:numId w:val="91"/>
        </w:numPr>
        <w:spacing w:before="120" w:after="120" w:line="240" w:lineRule="auto"/>
        <w:jc w:val="both"/>
        <w:rPr>
          <w:noProof/>
        </w:rPr>
      </w:pPr>
      <w:bookmarkStart w:id="21" w:name="_Hlk139218377"/>
      <w:r>
        <w:rPr>
          <w:noProof/>
        </w:rPr>
        <w:t>Apraksts par īsteno</w:t>
      </w:r>
      <w:r>
        <w:rPr>
          <w:noProof/>
        </w:rPr>
        <w:t>šanas partnera uzraudzības sistēmu ziņošanai par mobilizētajām investīcijām.</w:t>
      </w:r>
    </w:p>
    <w:p w14:paraId="7F851301" w14:textId="77777777" w:rsidR="00327FF1" w:rsidRDefault="00E406C7">
      <w:pPr>
        <w:pStyle w:val="P68B1DB1-Normal7"/>
        <w:numPr>
          <w:ilvl w:val="0"/>
          <w:numId w:val="91"/>
        </w:numPr>
        <w:spacing w:before="120" w:after="120" w:line="240" w:lineRule="auto"/>
        <w:jc w:val="both"/>
        <w:rPr>
          <w:noProof/>
        </w:rPr>
      </w:pPr>
      <w:r>
        <w:rPr>
          <w:noProof/>
        </w:rPr>
        <w:t xml:space="preserve">Apraksts par īstenošanas partnera procedūrām, kas nodrošinās krāpšanas, korupcijas un interešu konfliktu novēršanu, atklāšanu un labošanu. </w:t>
      </w:r>
    </w:p>
    <w:p w14:paraId="2F36FC7C" w14:textId="77777777" w:rsidR="00327FF1" w:rsidRDefault="00E406C7">
      <w:pPr>
        <w:pStyle w:val="P68B1DB1-Normal7"/>
        <w:numPr>
          <w:ilvl w:val="0"/>
          <w:numId w:val="91"/>
        </w:numPr>
        <w:spacing w:before="120" w:after="120" w:line="240" w:lineRule="auto"/>
        <w:jc w:val="both"/>
        <w:rPr>
          <w:noProof/>
        </w:rPr>
      </w:pPr>
      <w:r>
        <w:rPr>
          <w:noProof/>
        </w:rPr>
        <w:t>Pienākums pārbaudīt katras darbības att</w:t>
      </w:r>
      <w:r>
        <w:rPr>
          <w:noProof/>
        </w:rPr>
        <w:t>iecināmību saskaņā ar Īstenošanas nolīgumā noteiktajām prasībām pirms apņemšanās finansēt kādu darbību.</w:t>
      </w:r>
    </w:p>
    <w:bookmarkEnd w:id="21"/>
    <w:p w14:paraId="6B80E2E8" w14:textId="77777777" w:rsidR="00327FF1" w:rsidRDefault="00E406C7">
      <w:pPr>
        <w:pStyle w:val="P68B1DB1-Normal7"/>
        <w:numPr>
          <w:ilvl w:val="0"/>
          <w:numId w:val="91"/>
        </w:numPr>
        <w:spacing w:before="120" w:after="120" w:line="278" w:lineRule="auto"/>
        <w:ind w:left="1077" w:hanging="357"/>
        <w:jc w:val="both"/>
        <w:rPr>
          <w:noProof/>
        </w:rPr>
      </w:pPr>
      <w:r>
        <w:rPr>
          <w:noProof/>
        </w:rPr>
        <w:t>Pienākums veikt uz risku balstītas ex post revīzijas saskaņā ar Invitalia revīzijas plānu. Šajās revīzijās pārbauda i) kontroles sistēmu efektivitāti, t</w:t>
      </w:r>
      <w:r>
        <w:rPr>
          <w:noProof/>
        </w:rPr>
        <w:t>ostarp krāpšanas, korupcijas un interešu konflikta atklāšanu; atbilstība principam “nenodarīt būtisku kaitējumu”, valsts atbalsta noteikumiem, digitālā mērķrādītāja prasībai; un iii) ka ir ievērota prasība, ka Mehānisma galasaņēmēji nav saņēmuši atbalstu n</w:t>
      </w:r>
      <w:r>
        <w:rPr>
          <w:noProof/>
        </w:rPr>
        <w:t xml:space="preserve">o citiem Savienības instrumentiem, lai segtu tās pašas izmaksas. Revīzijās pārbauda arī darījumu likumību un to, vai tiek ievēroti piemērojamā īstenošanas nolīguma nosacījumi. </w:t>
      </w:r>
    </w:p>
    <w:p w14:paraId="4A8DD185" w14:textId="77777777" w:rsidR="00327FF1" w:rsidRDefault="00E406C7">
      <w:pPr>
        <w:pStyle w:val="P68B1DB1-Normal7"/>
        <w:spacing w:before="120" w:after="120" w:line="278" w:lineRule="auto"/>
        <w:jc w:val="both"/>
        <w:rPr>
          <w:noProof/>
        </w:rPr>
      </w:pPr>
      <w:r>
        <w:rPr>
          <w:noProof/>
        </w:rPr>
        <w:t xml:space="preserve">Prasības attiecībā uz digitālajām investīcijām, ko veic īstenošanas partneris: </w:t>
      </w:r>
      <w:r>
        <w:rPr>
          <w:noProof/>
        </w:rPr>
        <w:t xml:space="preserve">vismaz 150 000 000 EUR no ANM investīcijām mehānismā veicina digitālo pārkārtošanos saskaņā ar ANM regulas VII pielikumu. </w:t>
      </w:r>
    </w:p>
    <w:p w14:paraId="3DABC33E" w14:textId="77777777" w:rsidR="00327FF1" w:rsidRDefault="00327FF1">
      <w:pPr>
        <w:spacing w:before="120" w:after="120" w:line="240" w:lineRule="auto"/>
        <w:jc w:val="both"/>
        <w:rPr>
          <w:rFonts w:ascii="Times New Roman" w:hAnsi="Times New Roman" w:cs="Times New Roman"/>
          <w:noProof/>
        </w:rPr>
      </w:pPr>
    </w:p>
    <w:p w14:paraId="016DF8E5" w14:textId="77777777" w:rsidR="00327FF1" w:rsidRDefault="00E406C7">
      <w:pPr>
        <w:pStyle w:val="P68B1DB1-Normal101"/>
        <w:spacing w:before="120" w:after="120"/>
        <w:jc w:val="both"/>
        <w:rPr>
          <w:noProof/>
        </w:rPr>
        <w:sectPr w:rsidR="00327FF1" w:rsidSect="005F11B9">
          <w:headerReference w:type="even" r:id="rId224"/>
          <w:headerReference w:type="default" r:id="rId225"/>
          <w:footerReference w:type="even" r:id="rId226"/>
          <w:footerReference w:type="default" r:id="rId227"/>
          <w:headerReference w:type="first" r:id="rId228"/>
          <w:footerReference w:type="first" r:id="rId229"/>
          <w:pgSz w:w="11907" w:h="16839"/>
          <w:pgMar w:top="1134" w:right="1134" w:bottom="1134" w:left="1134" w:header="567" w:footer="567" w:gutter="0"/>
          <w:cols w:space="720"/>
          <w:docGrid w:linePitch="360"/>
        </w:sectPr>
      </w:pPr>
      <w:r>
        <w:rPr>
          <w:noProof/>
        </w:rPr>
        <w:br w:type="page"/>
      </w:r>
    </w:p>
    <w:p w14:paraId="72F214B9" w14:textId="77777777" w:rsidR="00327FF1" w:rsidRDefault="00E406C7">
      <w:pPr>
        <w:pStyle w:val="P68B1DB1-Heading39"/>
        <w:ind w:left="850" w:hanging="850"/>
        <w:rPr>
          <w:b/>
          <w:bCs/>
          <w:i/>
          <w:iCs/>
          <w:noProof/>
          <w:u w:val="single"/>
        </w:rPr>
      </w:pPr>
      <w:r>
        <w:rPr>
          <w:b/>
          <w:noProof/>
          <w:u w:val="single"/>
        </w:rPr>
        <w:t xml:space="preserve">L.4. </w:t>
      </w:r>
      <w:r>
        <w:rPr>
          <w:noProof/>
        </w:rPr>
        <w:t xml:space="preserve"> </w:t>
      </w:r>
      <w:r>
        <w:rPr>
          <w:b/>
          <w:noProof/>
          <w:u w:val="single"/>
        </w:rPr>
        <w:t xml:space="preserve">Atskaites punkti, mērķrādītāji, citi rādītāji un aizdevuma uzraudzības un īstenošanas grafiks </w:t>
      </w:r>
    </w:p>
    <w:tbl>
      <w:tblPr>
        <w:tblW w:w="15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4"/>
        <w:gridCol w:w="1530"/>
        <w:gridCol w:w="1179"/>
        <w:gridCol w:w="1802"/>
        <w:gridCol w:w="1670"/>
        <w:gridCol w:w="1065"/>
        <w:gridCol w:w="971"/>
        <w:gridCol w:w="1189"/>
        <w:gridCol w:w="979"/>
        <w:gridCol w:w="689"/>
        <w:gridCol w:w="2982"/>
      </w:tblGrid>
      <w:tr w:rsidR="00327FF1" w14:paraId="213F423C" w14:textId="77777777">
        <w:trPr>
          <w:trHeight w:val="701"/>
          <w:tblHeader/>
          <w:jc w:val="center"/>
        </w:trPr>
        <w:tc>
          <w:tcPr>
            <w:tcW w:w="1254" w:type="dxa"/>
            <w:vMerge w:val="restart"/>
            <w:shd w:val="clear" w:color="auto" w:fill="BDD7EE"/>
            <w:vAlign w:val="center"/>
            <w:hideMark/>
          </w:tcPr>
          <w:p w14:paraId="4C11EB81" w14:textId="77777777" w:rsidR="00327FF1" w:rsidRDefault="00E406C7">
            <w:pPr>
              <w:pStyle w:val="P68B1DB1-Normal102"/>
              <w:jc w:val="center"/>
              <w:rPr>
                <w:bCs/>
                <w:noProof/>
                <w:szCs w:val="20"/>
              </w:rPr>
            </w:pPr>
            <w:r>
              <w:rPr>
                <w:noProof/>
              </w:rPr>
              <w:t>Kārtas numurs</w:t>
            </w:r>
          </w:p>
        </w:tc>
        <w:tc>
          <w:tcPr>
            <w:tcW w:w="1530" w:type="dxa"/>
            <w:vMerge w:val="restart"/>
            <w:shd w:val="clear" w:color="auto" w:fill="BDD7EE"/>
            <w:vAlign w:val="center"/>
            <w:hideMark/>
          </w:tcPr>
          <w:p w14:paraId="66848143" w14:textId="77777777" w:rsidR="00327FF1" w:rsidRDefault="00E406C7">
            <w:pPr>
              <w:pStyle w:val="P68B1DB1-Normal102"/>
              <w:jc w:val="center"/>
              <w:rPr>
                <w:bCs/>
                <w:noProof/>
                <w:szCs w:val="20"/>
              </w:rPr>
            </w:pPr>
            <w:r>
              <w:rPr>
                <w:noProof/>
              </w:rPr>
              <w:t>Saistītais pasākums (reforma vai ieguldījums)</w:t>
            </w:r>
          </w:p>
        </w:tc>
        <w:tc>
          <w:tcPr>
            <w:tcW w:w="1179" w:type="dxa"/>
            <w:vMerge w:val="restart"/>
            <w:shd w:val="clear" w:color="auto" w:fill="BDD7EE"/>
            <w:vAlign w:val="center"/>
            <w:hideMark/>
          </w:tcPr>
          <w:p w14:paraId="045FD989" w14:textId="77777777" w:rsidR="00327FF1" w:rsidRDefault="00E406C7">
            <w:pPr>
              <w:pStyle w:val="P68B1DB1-Normal102"/>
              <w:jc w:val="center"/>
              <w:rPr>
                <w:bCs/>
                <w:noProof/>
                <w:szCs w:val="20"/>
              </w:rPr>
            </w:pPr>
            <w:r>
              <w:rPr>
                <w:noProof/>
              </w:rPr>
              <w:t>Atskaites punkts/mērķrādītājs</w:t>
            </w:r>
          </w:p>
        </w:tc>
        <w:tc>
          <w:tcPr>
            <w:tcW w:w="1802" w:type="dxa"/>
            <w:vMerge w:val="restart"/>
            <w:shd w:val="clear" w:color="auto" w:fill="BDD7EE"/>
            <w:vAlign w:val="center"/>
            <w:hideMark/>
          </w:tcPr>
          <w:p w14:paraId="6C290959" w14:textId="77777777" w:rsidR="00327FF1" w:rsidRDefault="00E406C7">
            <w:pPr>
              <w:pStyle w:val="P68B1DB1-Normal102"/>
              <w:jc w:val="center"/>
              <w:rPr>
                <w:bCs/>
                <w:noProof/>
                <w:szCs w:val="20"/>
              </w:rPr>
            </w:pPr>
            <w:r>
              <w:rPr>
                <w:noProof/>
              </w:rPr>
              <w:t>Nosaukums</w:t>
            </w:r>
          </w:p>
        </w:tc>
        <w:tc>
          <w:tcPr>
            <w:tcW w:w="1670" w:type="dxa"/>
            <w:vMerge w:val="restart"/>
            <w:shd w:val="clear" w:color="auto" w:fill="BDD7EE"/>
            <w:vAlign w:val="center"/>
            <w:hideMark/>
          </w:tcPr>
          <w:p w14:paraId="7D589E74" w14:textId="77777777" w:rsidR="00327FF1" w:rsidRDefault="00E406C7">
            <w:pPr>
              <w:jc w:val="center"/>
              <w:rPr>
                <w:rFonts w:ascii="Arial Narrow" w:hAnsi="Arial Narrow"/>
                <w:b/>
                <w:bCs/>
                <w:noProof/>
                <w:color w:val="000000"/>
                <w:sz w:val="20"/>
                <w:szCs w:val="20"/>
              </w:rPr>
            </w:pPr>
            <w:r>
              <w:rPr>
                <w:rFonts w:ascii="Arial Narrow" w:hAnsi="Arial Narrow"/>
                <w:b/>
                <w:noProof/>
                <w:color w:val="000000"/>
                <w:sz w:val="20"/>
              </w:rPr>
              <w:t>Kvalitātes rādītāji</w:t>
            </w:r>
            <w:r>
              <w:rPr>
                <w:noProof/>
              </w:rPr>
              <w:br/>
            </w:r>
            <w:r>
              <w:rPr>
                <w:rFonts w:ascii="Arial Narrow" w:hAnsi="Arial Narrow"/>
                <w:b/>
                <w:noProof/>
                <w:color w:val="000000"/>
                <w:sz w:val="20"/>
              </w:rPr>
              <w:t>(attiecībā uz starpposma mērķiem)</w:t>
            </w:r>
          </w:p>
        </w:tc>
        <w:tc>
          <w:tcPr>
            <w:tcW w:w="3225" w:type="dxa"/>
            <w:gridSpan w:val="3"/>
            <w:shd w:val="clear" w:color="auto" w:fill="BDD7EE"/>
            <w:vAlign w:val="center"/>
            <w:hideMark/>
          </w:tcPr>
          <w:p w14:paraId="4BC3C38C" w14:textId="77777777" w:rsidR="00327FF1" w:rsidRDefault="00E406C7">
            <w:pPr>
              <w:jc w:val="center"/>
              <w:rPr>
                <w:rFonts w:ascii="Arial Narrow" w:hAnsi="Arial Narrow"/>
                <w:b/>
                <w:bCs/>
                <w:noProof/>
                <w:color w:val="000000"/>
                <w:sz w:val="20"/>
                <w:szCs w:val="20"/>
              </w:rPr>
            </w:pPr>
            <w:r>
              <w:rPr>
                <w:rFonts w:ascii="Arial Narrow" w:hAnsi="Arial Narrow"/>
                <w:b/>
                <w:noProof/>
                <w:color w:val="000000"/>
                <w:sz w:val="20"/>
              </w:rPr>
              <w:t>Kvantit</w:t>
            </w:r>
            <w:r>
              <w:rPr>
                <w:rFonts w:ascii="Arial Narrow" w:hAnsi="Arial Narrow"/>
                <w:b/>
                <w:noProof/>
                <w:color w:val="000000"/>
                <w:sz w:val="20"/>
              </w:rPr>
              <w:t>atīvie rādītāji</w:t>
            </w:r>
            <w:r>
              <w:rPr>
                <w:noProof/>
              </w:rPr>
              <w:br/>
            </w:r>
            <w:r>
              <w:rPr>
                <w:rFonts w:ascii="Arial Narrow" w:hAnsi="Arial Narrow"/>
                <w:b/>
                <w:noProof/>
                <w:color w:val="000000"/>
                <w:sz w:val="20"/>
              </w:rPr>
              <w:t>(mērķiem)</w:t>
            </w:r>
          </w:p>
        </w:tc>
        <w:tc>
          <w:tcPr>
            <w:tcW w:w="1668" w:type="dxa"/>
            <w:gridSpan w:val="2"/>
            <w:shd w:val="clear" w:color="auto" w:fill="BDD7EE"/>
            <w:vAlign w:val="center"/>
            <w:hideMark/>
          </w:tcPr>
          <w:p w14:paraId="3031B1FE" w14:textId="77777777" w:rsidR="00327FF1" w:rsidRDefault="00E406C7">
            <w:pPr>
              <w:pStyle w:val="P68B1DB1-Normal102"/>
              <w:jc w:val="center"/>
              <w:rPr>
                <w:bCs/>
                <w:noProof/>
                <w:szCs w:val="20"/>
              </w:rPr>
            </w:pPr>
            <w:r>
              <w:rPr>
                <w:noProof/>
              </w:rPr>
              <w:t>Orientējošs pabeigšanas termiņš</w:t>
            </w:r>
          </w:p>
        </w:tc>
        <w:tc>
          <w:tcPr>
            <w:tcW w:w="2982" w:type="dxa"/>
            <w:vMerge w:val="restart"/>
            <w:shd w:val="clear" w:color="auto" w:fill="BDD7EE"/>
            <w:vAlign w:val="center"/>
            <w:hideMark/>
          </w:tcPr>
          <w:p w14:paraId="7D8638D5" w14:textId="77777777" w:rsidR="00327FF1" w:rsidRDefault="00E406C7">
            <w:pPr>
              <w:pStyle w:val="P68B1DB1-Normal102"/>
              <w:jc w:val="center"/>
              <w:rPr>
                <w:bCs/>
                <w:noProof/>
                <w:szCs w:val="20"/>
              </w:rPr>
            </w:pPr>
            <w:r>
              <w:rPr>
                <w:noProof/>
              </w:rPr>
              <w:t>Apraksts par katru atskaites punktu un mērķrādītāju</w:t>
            </w:r>
          </w:p>
        </w:tc>
      </w:tr>
      <w:tr w:rsidR="00327FF1" w14:paraId="46A77538" w14:textId="77777777">
        <w:trPr>
          <w:trHeight w:val="701"/>
          <w:tblHeader/>
          <w:jc w:val="center"/>
        </w:trPr>
        <w:tc>
          <w:tcPr>
            <w:tcW w:w="1254" w:type="dxa"/>
            <w:vMerge/>
            <w:vAlign w:val="center"/>
          </w:tcPr>
          <w:p w14:paraId="12DCBF35" w14:textId="77777777" w:rsidR="00327FF1" w:rsidRDefault="00327FF1">
            <w:pPr>
              <w:rPr>
                <w:rFonts w:ascii="Arial Narrow" w:hAnsi="Arial Narrow"/>
                <w:b/>
                <w:bCs/>
                <w:noProof/>
                <w:color w:val="000000"/>
                <w:sz w:val="20"/>
                <w:szCs w:val="20"/>
              </w:rPr>
            </w:pPr>
          </w:p>
        </w:tc>
        <w:tc>
          <w:tcPr>
            <w:tcW w:w="1530" w:type="dxa"/>
            <w:vMerge/>
            <w:vAlign w:val="center"/>
          </w:tcPr>
          <w:p w14:paraId="39A00BB4" w14:textId="77777777" w:rsidR="00327FF1" w:rsidRDefault="00327FF1">
            <w:pPr>
              <w:rPr>
                <w:rFonts w:ascii="Arial Narrow" w:hAnsi="Arial Narrow"/>
                <w:b/>
                <w:bCs/>
                <w:noProof/>
                <w:color w:val="000000"/>
                <w:sz w:val="20"/>
                <w:szCs w:val="20"/>
              </w:rPr>
            </w:pPr>
          </w:p>
        </w:tc>
        <w:tc>
          <w:tcPr>
            <w:tcW w:w="1179" w:type="dxa"/>
            <w:vMerge/>
            <w:vAlign w:val="center"/>
          </w:tcPr>
          <w:p w14:paraId="4BEDBBC0" w14:textId="77777777" w:rsidR="00327FF1" w:rsidRDefault="00327FF1">
            <w:pPr>
              <w:rPr>
                <w:rFonts w:ascii="Arial Narrow" w:hAnsi="Arial Narrow"/>
                <w:b/>
                <w:bCs/>
                <w:noProof/>
                <w:color w:val="000000"/>
                <w:sz w:val="20"/>
                <w:szCs w:val="20"/>
              </w:rPr>
            </w:pPr>
          </w:p>
        </w:tc>
        <w:tc>
          <w:tcPr>
            <w:tcW w:w="1802" w:type="dxa"/>
            <w:vMerge/>
            <w:vAlign w:val="center"/>
          </w:tcPr>
          <w:p w14:paraId="7A4899E6" w14:textId="77777777" w:rsidR="00327FF1" w:rsidRDefault="00327FF1">
            <w:pPr>
              <w:rPr>
                <w:rFonts w:ascii="Arial Narrow" w:hAnsi="Arial Narrow"/>
                <w:b/>
                <w:bCs/>
                <w:noProof/>
                <w:color w:val="000000"/>
                <w:sz w:val="20"/>
                <w:szCs w:val="20"/>
              </w:rPr>
            </w:pPr>
          </w:p>
        </w:tc>
        <w:tc>
          <w:tcPr>
            <w:tcW w:w="1670" w:type="dxa"/>
            <w:vMerge/>
            <w:vAlign w:val="center"/>
          </w:tcPr>
          <w:p w14:paraId="4E451500" w14:textId="77777777" w:rsidR="00327FF1" w:rsidRDefault="00327FF1">
            <w:pPr>
              <w:jc w:val="center"/>
              <w:rPr>
                <w:rFonts w:ascii="Arial Narrow" w:hAnsi="Arial Narrow"/>
                <w:b/>
                <w:bCs/>
                <w:noProof/>
                <w:color w:val="000000"/>
                <w:sz w:val="20"/>
                <w:szCs w:val="20"/>
              </w:rPr>
            </w:pPr>
          </w:p>
        </w:tc>
        <w:tc>
          <w:tcPr>
            <w:tcW w:w="1065" w:type="dxa"/>
            <w:shd w:val="clear" w:color="auto" w:fill="BDD7EE"/>
            <w:vAlign w:val="center"/>
          </w:tcPr>
          <w:p w14:paraId="4B4371FF" w14:textId="77777777" w:rsidR="00327FF1" w:rsidRDefault="00E406C7">
            <w:pPr>
              <w:pStyle w:val="P68B1DB1-Normal102"/>
              <w:jc w:val="center"/>
              <w:rPr>
                <w:bCs/>
                <w:noProof/>
                <w:szCs w:val="20"/>
              </w:rPr>
            </w:pPr>
            <w:r>
              <w:rPr>
                <w:noProof/>
              </w:rPr>
              <w:t>Mēra vienība</w:t>
            </w:r>
          </w:p>
        </w:tc>
        <w:tc>
          <w:tcPr>
            <w:tcW w:w="971" w:type="dxa"/>
            <w:shd w:val="clear" w:color="auto" w:fill="BDD7EE"/>
            <w:vAlign w:val="center"/>
          </w:tcPr>
          <w:p w14:paraId="75792B09" w14:textId="77777777" w:rsidR="00327FF1" w:rsidRDefault="00E406C7">
            <w:pPr>
              <w:pStyle w:val="P68B1DB1-Normal102"/>
              <w:jc w:val="center"/>
              <w:rPr>
                <w:bCs/>
                <w:noProof/>
                <w:szCs w:val="20"/>
              </w:rPr>
            </w:pPr>
            <w:r>
              <w:rPr>
                <w:noProof/>
              </w:rPr>
              <w:t>Pamatscenārijs</w:t>
            </w:r>
          </w:p>
        </w:tc>
        <w:tc>
          <w:tcPr>
            <w:tcW w:w="1189" w:type="dxa"/>
            <w:shd w:val="clear" w:color="auto" w:fill="BDD7EE"/>
            <w:vAlign w:val="center"/>
          </w:tcPr>
          <w:p w14:paraId="4474EB96" w14:textId="77777777" w:rsidR="00327FF1" w:rsidRDefault="00E406C7">
            <w:pPr>
              <w:pStyle w:val="P68B1DB1-Normal102"/>
              <w:jc w:val="center"/>
              <w:rPr>
                <w:bCs/>
                <w:noProof/>
                <w:szCs w:val="20"/>
              </w:rPr>
            </w:pPr>
            <w:r>
              <w:rPr>
                <w:noProof/>
              </w:rPr>
              <w:t>Mērķis</w:t>
            </w:r>
          </w:p>
        </w:tc>
        <w:tc>
          <w:tcPr>
            <w:tcW w:w="979" w:type="dxa"/>
            <w:shd w:val="clear" w:color="auto" w:fill="BDD7EE"/>
            <w:vAlign w:val="center"/>
          </w:tcPr>
          <w:p w14:paraId="547EA1F2" w14:textId="77777777" w:rsidR="00327FF1" w:rsidRDefault="00E406C7">
            <w:pPr>
              <w:pStyle w:val="P68B1DB1-Normal102"/>
              <w:jc w:val="center"/>
              <w:rPr>
                <w:bCs/>
                <w:noProof/>
                <w:szCs w:val="20"/>
              </w:rPr>
            </w:pPr>
            <w:r>
              <w:rPr>
                <w:noProof/>
              </w:rPr>
              <w:t>Ceturkšņa laikā</w:t>
            </w:r>
          </w:p>
        </w:tc>
        <w:tc>
          <w:tcPr>
            <w:tcW w:w="689" w:type="dxa"/>
            <w:shd w:val="clear" w:color="auto" w:fill="BDD7EE"/>
            <w:vAlign w:val="center"/>
          </w:tcPr>
          <w:p w14:paraId="1917B38F" w14:textId="77777777" w:rsidR="00327FF1" w:rsidRDefault="00E406C7">
            <w:pPr>
              <w:pStyle w:val="P68B1DB1-Normal102"/>
              <w:jc w:val="center"/>
              <w:rPr>
                <w:bCs/>
                <w:noProof/>
                <w:szCs w:val="20"/>
              </w:rPr>
            </w:pPr>
            <w:r>
              <w:rPr>
                <w:noProof/>
              </w:rPr>
              <w:t>Gadu</w:t>
            </w:r>
          </w:p>
        </w:tc>
        <w:tc>
          <w:tcPr>
            <w:tcW w:w="2982" w:type="dxa"/>
            <w:vMerge/>
            <w:vAlign w:val="center"/>
          </w:tcPr>
          <w:p w14:paraId="3D5024FB" w14:textId="77777777" w:rsidR="00327FF1" w:rsidRDefault="00327FF1">
            <w:pPr>
              <w:rPr>
                <w:rFonts w:ascii="Arial Narrow" w:hAnsi="Arial Narrow"/>
                <w:b/>
                <w:bCs/>
                <w:noProof/>
                <w:color w:val="000000"/>
                <w:sz w:val="20"/>
                <w:szCs w:val="20"/>
              </w:rPr>
            </w:pPr>
          </w:p>
        </w:tc>
      </w:tr>
      <w:tr w:rsidR="00327FF1" w14:paraId="0D3A634E" w14:textId="77777777">
        <w:trPr>
          <w:trHeight w:val="1965"/>
          <w:jc w:val="center"/>
        </w:trPr>
        <w:tc>
          <w:tcPr>
            <w:tcW w:w="1254" w:type="dxa"/>
            <w:shd w:val="clear" w:color="auto" w:fill="C6EFCE"/>
            <w:vAlign w:val="center"/>
            <w:hideMark/>
          </w:tcPr>
          <w:p w14:paraId="2148BC7D" w14:textId="77777777" w:rsidR="00327FF1" w:rsidRDefault="00E406C7">
            <w:pPr>
              <w:pStyle w:val="P68B1DB1-Normal11"/>
              <w:jc w:val="center"/>
              <w:rPr>
                <w:noProof/>
                <w:szCs w:val="20"/>
              </w:rPr>
            </w:pPr>
            <w:r>
              <w:rPr>
                <w:noProof/>
              </w:rPr>
              <w:t>M5C1–17</w:t>
            </w:r>
          </w:p>
        </w:tc>
        <w:tc>
          <w:tcPr>
            <w:tcW w:w="1530" w:type="dxa"/>
            <w:shd w:val="clear" w:color="auto" w:fill="C6EFCE"/>
            <w:vAlign w:val="center"/>
            <w:hideMark/>
          </w:tcPr>
          <w:p w14:paraId="7E73C466" w14:textId="77777777" w:rsidR="00327FF1" w:rsidRDefault="00E406C7">
            <w:pPr>
              <w:pStyle w:val="P68B1DB1-Normal11"/>
              <w:jc w:val="center"/>
              <w:rPr>
                <w:noProof/>
                <w:szCs w:val="20"/>
              </w:rPr>
            </w:pPr>
            <w:r>
              <w:rPr>
                <w:noProof/>
              </w:rPr>
              <w:t>Investīcija Nr. 5. Sieviešu uzņēmumu izveide</w:t>
            </w:r>
          </w:p>
        </w:tc>
        <w:tc>
          <w:tcPr>
            <w:tcW w:w="1179" w:type="dxa"/>
            <w:shd w:val="clear" w:color="auto" w:fill="C6EFCE"/>
            <w:vAlign w:val="center"/>
            <w:hideMark/>
          </w:tcPr>
          <w:p w14:paraId="3A4277B7" w14:textId="77777777" w:rsidR="00327FF1" w:rsidRDefault="00E406C7">
            <w:pPr>
              <w:pStyle w:val="P68B1DB1-Normal11"/>
              <w:jc w:val="center"/>
              <w:rPr>
                <w:noProof/>
                <w:szCs w:val="20"/>
              </w:rPr>
            </w:pPr>
            <w:r>
              <w:rPr>
                <w:noProof/>
              </w:rPr>
              <w:t>Atskaites punkts</w:t>
            </w:r>
          </w:p>
        </w:tc>
        <w:tc>
          <w:tcPr>
            <w:tcW w:w="1802" w:type="dxa"/>
            <w:shd w:val="clear" w:color="auto" w:fill="C6EFCE"/>
            <w:vAlign w:val="center"/>
            <w:hideMark/>
          </w:tcPr>
          <w:p w14:paraId="22F7684C" w14:textId="77777777" w:rsidR="00327FF1" w:rsidRDefault="00E406C7">
            <w:pPr>
              <w:pStyle w:val="P68B1DB1-Normal11"/>
              <w:jc w:val="center"/>
              <w:rPr>
                <w:noProof/>
                <w:szCs w:val="20"/>
              </w:rPr>
            </w:pPr>
            <w:r>
              <w:rPr>
                <w:noProof/>
              </w:rPr>
              <w:t xml:space="preserve">Ir pieņemts </w:t>
            </w:r>
            <w:r>
              <w:rPr>
                <w:noProof/>
              </w:rPr>
              <w:t>fonds sieviešu uzņēmējdarbības atbalstam</w:t>
            </w:r>
          </w:p>
        </w:tc>
        <w:tc>
          <w:tcPr>
            <w:tcW w:w="1670" w:type="dxa"/>
            <w:shd w:val="clear" w:color="auto" w:fill="C6EFCE"/>
            <w:vAlign w:val="center"/>
            <w:hideMark/>
          </w:tcPr>
          <w:p w14:paraId="0868E3A9" w14:textId="77777777" w:rsidR="00327FF1" w:rsidRDefault="00E406C7">
            <w:pPr>
              <w:pStyle w:val="P68B1DB1-Normal11"/>
              <w:jc w:val="center"/>
              <w:rPr>
                <w:noProof/>
                <w:szCs w:val="20"/>
              </w:rPr>
            </w:pPr>
            <w:r>
              <w:rPr>
                <w:noProof/>
              </w:rPr>
              <w:t>Tiek apstiprināts ministrijas dekrēts par “Fondo Impresa Donna” izveidi.</w:t>
            </w:r>
          </w:p>
        </w:tc>
        <w:tc>
          <w:tcPr>
            <w:tcW w:w="1065" w:type="dxa"/>
            <w:shd w:val="clear" w:color="auto" w:fill="C6EFCE"/>
            <w:vAlign w:val="center"/>
            <w:hideMark/>
          </w:tcPr>
          <w:p w14:paraId="3AF278C7" w14:textId="77777777" w:rsidR="00327FF1" w:rsidRDefault="00E406C7">
            <w:pPr>
              <w:pStyle w:val="P68B1DB1-Normal11"/>
              <w:jc w:val="center"/>
              <w:rPr>
                <w:noProof/>
                <w:szCs w:val="20"/>
              </w:rPr>
            </w:pPr>
            <w:r>
              <w:rPr>
                <w:noProof/>
              </w:rPr>
              <w:t>NEPIEMĒRO</w:t>
            </w:r>
          </w:p>
        </w:tc>
        <w:tc>
          <w:tcPr>
            <w:tcW w:w="971" w:type="dxa"/>
            <w:shd w:val="clear" w:color="auto" w:fill="C6EFCE"/>
            <w:vAlign w:val="center"/>
            <w:hideMark/>
          </w:tcPr>
          <w:p w14:paraId="03102E7B" w14:textId="77777777" w:rsidR="00327FF1" w:rsidRDefault="00E406C7">
            <w:pPr>
              <w:pStyle w:val="P68B1DB1-Normal11"/>
              <w:jc w:val="center"/>
              <w:rPr>
                <w:noProof/>
                <w:szCs w:val="20"/>
              </w:rPr>
            </w:pPr>
            <w:r>
              <w:rPr>
                <w:noProof/>
              </w:rPr>
              <w:t>NEPIEMĒRO</w:t>
            </w:r>
          </w:p>
        </w:tc>
        <w:tc>
          <w:tcPr>
            <w:tcW w:w="1189" w:type="dxa"/>
            <w:shd w:val="clear" w:color="auto" w:fill="C6EFCE"/>
            <w:vAlign w:val="center"/>
            <w:hideMark/>
          </w:tcPr>
          <w:p w14:paraId="1ED3E367" w14:textId="77777777" w:rsidR="00327FF1" w:rsidRDefault="00E406C7">
            <w:pPr>
              <w:pStyle w:val="P68B1DB1-Normal11"/>
              <w:jc w:val="center"/>
              <w:rPr>
                <w:noProof/>
                <w:szCs w:val="20"/>
              </w:rPr>
            </w:pPr>
            <w:r>
              <w:rPr>
                <w:noProof/>
              </w:rPr>
              <w:t>NEPIEMĒRO</w:t>
            </w:r>
          </w:p>
        </w:tc>
        <w:tc>
          <w:tcPr>
            <w:tcW w:w="979" w:type="dxa"/>
            <w:shd w:val="clear" w:color="auto" w:fill="C6EFCE"/>
            <w:vAlign w:val="center"/>
            <w:hideMark/>
          </w:tcPr>
          <w:p w14:paraId="41C79B2C" w14:textId="77777777" w:rsidR="00327FF1" w:rsidRDefault="00E406C7">
            <w:pPr>
              <w:pStyle w:val="P68B1DB1-Normal11"/>
              <w:jc w:val="center"/>
              <w:rPr>
                <w:noProof/>
                <w:szCs w:val="20"/>
              </w:rPr>
            </w:pPr>
            <w:r>
              <w:rPr>
                <w:noProof/>
              </w:rPr>
              <w:t>CET.</w:t>
            </w:r>
          </w:p>
        </w:tc>
        <w:tc>
          <w:tcPr>
            <w:tcW w:w="689" w:type="dxa"/>
            <w:shd w:val="clear" w:color="auto" w:fill="C6EFCE"/>
            <w:vAlign w:val="center"/>
            <w:hideMark/>
          </w:tcPr>
          <w:p w14:paraId="2198ACAB" w14:textId="77777777" w:rsidR="00327FF1" w:rsidRDefault="00E406C7">
            <w:pPr>
              <w:pStyle w:val="P68B1DB1-Normal11"/>
              <w:jc w:val="center"/>
              <w:rPr>
                <w:noProof/>
                <w:szCs w:val="20"/>
              </w:rPr>
            </w:pPr>
            <w:r>
              <w:rPr>
                <w:noProof/>
              </w:rPr>
              <w:t>2021</w:t>
            </w:r>
          </w:p>
        </w:tc>
        <w:tc>
          <w:tcPr>
            <w:tcW w:w="2982" w:type="dxa"/>
            <w:shd w:val="clear" w:color="auto" w:fill="C6EFCE"/>
            <w:vAlign w:val="center"/>
            <w:hideMark/>
          </w:tcPr>
          <w:p w14:paraId="7924F31C" w14:textId="77777777" w:rsidR="00327FF1" w:rsidRDefault="00E406C7">
            <w:pPr>
              <w:pStyle w:val="P68B1DB1-Normal11"/>
              <w:rPr>
                <w:noProof/>
                <w:sz w:val="16"/>
                <w:szCs w:val="16"/>
              </w:rPr>
            </w:pPr>
            <w:r>
              <w:rPr>
                <w:noProof/>
              </w:rPr>
              <w:t xml:space="preserve">Fonds sieviešu uzņēmējdarbības atbalstam tiek pieņemts ar ministrijas dekrētu, kas nosaka atbilstības </w:t>
            </w:r>
            <w:r>
              <w:rPr>
                <w:noProof/>
              </w:rPr>
              <w:t>kritēriju kopumu saskaņā ar ANM mērķiem, tostarp principu “nenodarīt būtisku kaitējumu” un finansēšanas nolīguma un darbības nolīgumu parakstīšanu ar finanšu starpnieku(-iem).</w:t>
            </w:r>
          </w:p>
          <w:p w14:paraId="198F74F5" w14:textId="77777777" w:rsidR="00327FF1" w:rsidRDefault="00E406C7">
            <w:pPr>
              <w:pStyle w:val="P68B1DB1-Normal11"/>
              <w:spacing w:after="0" w:line="240" w:lineRule="auto"/>
              <w:rPr>
                <w:noProof/>
              </w:rPr>
            </w:pPr>
            <w:r>
              <w:rPr>
                <w:noProof/>
              </w:rPr>
              <w:t>Šie fondi veido “Fondo Impresa Donna”, ar ko īsteno īpašo pasākumu sieviešu uzņē</w:t>
            </w:r>
            <w:r>
              <w:rPr>
                <w:noProof/>
              </w:rPr>
              <w:t>mējdarbības atbalstam. Par īstenošanas pasākumiem iepriekš vienojas Ekonomikas attīstības ministrija un PCM Vienlīdzīgu iespēju departaments, lai:</w:t>
            </w:r>
          </w:p>
          <w:p w14:paraId="21051094" w14:textId="77777777" w:rsidR="00327FF1" w:rsidRDefault="00327FF1">
            <w:pPr>
              <w:spacing w:after="0" w:line="240" w:lineRule="auto"/>
              <w:rPr>
                <w:rFonts w:ascii="Arial Narrow" w:hAnsi="Arial Narrow"/>
                <w:noProof/>
                <w:color w:val="006100"/>
                <w:sz w:val="16"/>
                <w:szCs w:val="16"/>
              </w:rPr>
            </w:pPr>
          </w:p>
          <w:p w14:paraId="2F86912E" w14:textId="77777777" w:rsidR="00327FF1" w:rsidRDefault="00E406C7">
            <w:pPr>
              <w:pStyle w:val="P68B1DB1-Normal11"/>
              <w:spacing w:after="0" w:line="240" w:lineRule="auto"/>
              <w:rPr>
                <w:noProof/>
              </w:rPr>
            </w:pPr>
            <w:r>
              <w:rPr>
                <w:noProof/>
              </w:rPr>
              <w:t>— stiprināt pašreizējos pasākumus, ko jau pārvalda Ekonomikas attīstības ministrijas iekšējās struktūras (pi</w:t>
            </w:r>
            <w:r>
              <w:rPr>
                <w:noProof/>
              </w:rPr>
              <w:t>emēram, NITO-ON, Smart &amp; Start), veicot kapitāla iepludināšanu, ko veic tikai sieviešu uzņēmumi;</w:t>
            </w:r>
          </w:p>
          <w:p w14:paraId="417DC054" w14:textId="77777777" w:rsidR="00327FF1" w:rsidRDefault="00327FF1">
            <w:pPr>
              <w:spacing w:after="0" w:line="240" w:lineRule="auto"/>
              <w:rPr>
                <w:rFonts w:ascii="Arial Narrow" w:hAnsi="Arial Narrow"/>
                <w:noProof/>
                <w:color w:val="006100"/>
                <w:sz w:val="16"/>
                <w:szCs w:val="16"/>
              </w:rPr>
            </w:pPr>
          </w:p>
          <w:p w14:paraId="587C51B3" w14:textId="2D4B061E" w:rsidR="00327FF1" w:rsidRDefault="00E406C7">
            <w:pPr>
              <w:pStyle w:val="P68B1DB1-Normal11"/>
              <w:spacing w:after="0"/>
              <w:rPr>
                <w:noProof/>
                <w:sz w:val="16"/>
                <w:szCs w:val="16"/>
              </w:rPr>
            </w:pPr>
            <w:r>
              <w:rPr>
                <w:noProof/>
              </w:rPr>
              <w:t>— paredzot papildinājumu Sieviešu uzņēmējdarbības fondam, kas izveidots ar 2021. gada budžeta likumu (no 2022. gada 3. ceturkšņa);</w:t>
            </w:r>
          </w:p>
          <w:p w14:paraId="34571E83" w14:textId="77777777" w:rsidR="00327FF1" w:rsidRDefault="00E406C7">
            <w:pPr>
              <w:pStyle w:val="P68B1DB1-Normal11"/>
              <w:rPr>
                <w:noProof/>
                <w:szCs w:val="20"/>
              </w:rPr>
            </w:pPr>
            <w:r>
              <w:rPr>
                <w:noProof/>
              </w:rPr>
              <w:t xml:space="preserve">— papildu pasākumu, </w:t>
            </w:r>
            <w:r>
              <w:rPr>
                <w:noProof/>
              </w:rPr>
              <w:t>uzraudzības un komunikācijas kampaņu izstrāde. PCM Vienlīdzīgu iespēju departaments īsteno daudzgadu informācijas kampaņu, lai veicinātu sieviešu uzņēmējdarbību, profesionālās orientācijas pasākumus katra vecuma sievietēm un studentēm universitātēs attiecī</w:t>
            </w:r>
            <w:r>
              <w:rPr>
                <w:noProof/>
              </w:rPr>
              <w:t>bā uz mācību priekšmetiem un profesijām, kurās sievietes ir nepietiekami pārstāvētas, un saziņas platformas izveidi.</w:t>
            </w:r>
          </w:p>
        </w:tc>
      </w:tr>
      <w:tr w:rsidR="00327FF1" w14:paraId="79E9B2E6" w14:textId="77777777">
        <w:trPr>
          <w:trHeight w:val="561"/>
          <w:jc w:val="center"/>
        </w:trPr>
        <w:tc>
          <w:tcPr>
            <w:tcW w:w="1254" w:type="dxa"/>
            <w:shd w:val="clear" w:color="auto" w:fill="C6EFCE"/>
            <w:vAlign w:val="center"/>
            <w:hideMark/>
          </w:tcPr>
          <w:p w14:paraId="14006767" w14:textId="77777777" w:rsidR="00327FF1" w:rsidRDefault="00E406C7">
            <w:pPr>
              <w:pStyle w:val="P68B1DB1-Normal11"/>
              <w:jc w:val="center"/>
              <w:rPr>
                <w:noProof/>
                <w:szCs w:val="20"/>
              </w:rPr>
            </w:pPr>
            <w:r>
              <w:rPr>
                <w:noProof/>
              </w:rPr>
              <w:t>M5C1–18</w:t>
            </w:r>
          </w:p>
        </w:tc>
        <w:tc>
          <w:tcPr>
            <w:tcW w:w="1530" w:type="dxa"/>
            <w:shd w:val="clear" w:color="auto" w:fill="C6EFCE"/>
            <w:vAlign w:val="center"/>
            <w:hideMark/>
          </w:tcPr>
          <w:p w14:paraId="6E8B9981" w14:textId="77777777" w:rsidR="00327FF1" w:rsidRDefault="00E406C7">
            <w:pPr>
              <w:pStyle w:val="P68B1DB1-Normal11"/>
              <w:jc w:val="center"/>
              <w:rPr>
                <w:noProof/>
                <w:szCs w:val="20"/>
              </w:rPr>
            </w:pPr>
            <w:r>
              <w:rPr>
                <w:noProof/>
              </w:rPr>
              <w:t>Investīcija Nr. 5. Sieviešu uzņēmumu izveide</w:t>
            </w:r>
          </w:p>
        </w:tc>
        <w:tc>
          <w:tcPr>
            <w:tcW w:w="1179" w:type="dxa"/>
            <w:shd w:val="clear" w:color="auto" w:fill="C6EFCE"/>
            <w:vAlign w:val="center"/>
            <w:hideMark/>
          </w:tcPr>
          <w:p w14:paraId="7C8CE7D0" w14:textId="77777777" w:rsidR="00327FF1" w:rsidRDefault="00E406C7">
            <w:pPr>
              <w:pStyle w:val="P68B1DB1-Normal11"/>
              <w:jc w:val="center"/>
              <w:rPr>
                <w:noProof/>
                <w:szCs w:val="20"/>
              </w:rPr>
            </w:pPr>
            <w:r>
              <w:rPr>
                <w:noProof/>
              </w:rPr>
              <w:t>Mērķa</w:t>
            </w:r>
          </w:p>
        </w:tc>
        <w:tc>
          <w:tcPr>
            <w:tcW w:w="1802" w:type="dxa"/>
            <w:shd w:val="clear" w:color="auto" w:fill="C6EFCE"/>
            <w:vAlign w:val="center"/>
            <w:hideMark/>
          </w:tcPr>
          <w:p w14:paraId="44A623CD" w14:textId="77777777" w:rsidR="00327FF1" w:rsidRDefault="00E406C7">
            <w:pPr>
              <w:pStyle w:val="P68B1DB1-Normal11"/>
              <w:jc w:val="center"/>
              <w:rPr>
                <w:noProof/>
                <w:szCs w:val="20"/>
              </w:rPr>
            </w:pPr>
            <w:r>
              <w:rPr>
                <w:noProof/>
              </w:rPr>
              <w:t xml:space="preserve"> Uzņēmumiem ir piešķirts finansiāls atbalsts </w:t>
            </w:r>
          </w:p>
        </w:tc>
        <w:tc>
          <w:tcPr>
            <w:tcW w:w="1670" w:type="dxa"/>
            <w:shd w:val="clear" w:color="auto" w:fill="C6EFCE"/>
            <w:vAlign w:val="center"/>
            <w:hideMark/>
          </w:tcPr>
          <w:p w14:paraId="34B85873" w14:textId="77777777" w:rsidR="00327FF1" w:rsidRDefault="00E406C7">
            <w:pPr>
              <w:pStyle w:val="P68B1DB1-Normal11"/>
              <w:jc w:val="center"/>
              <w:rPr>
                <w:noProof/>
                <w:szCs w:val="20"/>
              </w:rPr>
            </w:pPr>
            <w:r>
              <w:rPr>
                <w:noProof/>
              </w:rPr>
              <w:t>NEPIEMĒRO</w:t>
            </w:r>
          </w:p>
        </w:tc>
        <w:tc>
          <w:tcPr>
            <w:tcW w:w="1065" w:type="dxa"/>
            <w:shd w:val="clear" w:color="auto" w:fill="C6EFCE"/>
            <w:vAlign w:val="center"/>
            <w:hideMark/>
          </w:tcPr>
          <w:p w14:paraId="1F25F99D" w14:textId="77777777" w:rsidR="00327FF1" w:rsidRDefault="00E406C7">
            <w:pPr>
              <w:pStyle w:val="P68B1DB1-Normal11"/>
              <w:jc w:val="center"/>
              <w:rPr>
                <w:noProof/>
                <w:szCs w:val="20"/>
              </w:rPr>
            </w:pPr>
            <w:r>
              <w:rPr>
                <w:noProof/>
              </w:rPr>
              <w:t>Skaits</w:t>
            </w:r>
          </w:p>
        </w:tc>
        <w:tc>
          <w:tcPr>
            <w:tcW w:w="971" w:type="dxa"/>
            <w:shd w:val="clear" w:color="auto" w:fill="C6EFCE"/>
            <w:vAlign w:val="center"/>
            <w:hideMark/>
          </w:tcPr>
          <w:p w14:paraId="0EE5BA9B" w14:textId="77777777" w:rsidR="00327FF1" w:rsidRDefault="00E406C7">
            <w:pPr>
              <w:pStyle w:val="P68B1DB1-Normal11"/>
              <w:jc w:val="center"/>
              <w:rPr>
                <w:noProof/>
                <w:szCs w:val="20"/>
              </w:rPr>
            </w:pPr>
            <w:r>
              <w:rPr>
                <w:noProof/>
              </w:rPr>
              <w:t>0</w:t>
            </w:r>
          </w:p>
        </w:tc>
        <w:tc>
          <w:tcPr>
            <w:tcW w:w="1189" w:type="dxa"/>
            <w:shd w:val="clear" w:color="auto" w:fill="C6EFCE"/>
            <w:vAlign w:val="center"/>
            <w:hideMark/>
          </w:tcPr>
          <w:p w14:paraId="1E347320" w14:textId="77777777" w:rsidR="00327FF1" w:rsidRDefault="00E406C7">
            <w:pPr>
              <w:pStyle w:val="P68B1DB1-Normal11"/>
              <w:jc w:val="center"/>
              <w:rPr>
                <w:noProof/>
                <w:szCs w:val="20"/>
              </w:rPr>
            </w:pPr>
            <w:r>
              <w:rPr>
                <w:noProof/>
              </w:rPr>
              <w:t>700</w:t>
            </w:r>
          </w:p>
        </w:tc>
        <w:tc>
          <w:tcPr>
            <w:tcW w:w="979" w:type="dxa"/>
            <w:shd w:val="clear" w:color="auto" w:fill="C6EFCE"/>
            <w:vAlign w:val="center"/>
            <w:hideMark/>
          </w:tcPr>
          <w:p w14:paraId="5D31498C" w14:textId="77777777" w:rsidR="00327FF1" w:rsidRDefault="00E406C7">
            <w:pPr>
              <w:pStyle w:val="P68B1DB1-Normal11"/>
              <w:jc w:val="center"/>
              <w:rPr>
                <w:noProof/>
                <w:szCs w:val="20"/>
              </w:rPr>
            </w:pPr>
            <w:r>
              <w:rPr>
                <w:noProof/>
              </w:rPr>
              <w:t>2. CET.</w:t>
            </w:r>
          </w:p>
        </w:tc>
        <w:tc>
          <w:tcPr>
            <w:tcW w:w="689" w:type="dxa"/>
            <w:shd w:val="clear" w:color="auto" w:fill="C6EFCE"/>
            <w:vAlign w:val="center"/>
            <w:hideMark/>
          </w:tcPr>
          <w:p w14:paraId="46DF5F2B" w14:textId="77777777" w:rsidR="00327FF1" w:rsidRDefault="00E406C7">
            <w:pPr>
              <w:pStyle w:val="P68B1DB1-Normal11"/>
              <w:jc w:val="center"/>
              <w:rPr>
                <w:noProof/>
                <w:szCs w:val="20"/>
              </w:rPr>
            </w:pPr>
            <w:r>
              <w:rPr>
                <w:noProof/>
              </w:rPr>
              <w:t>2023</w:t>
            </w:r>
          </w:p>
        </w:tc>
        <w:tc>
          <w:tcPr>
            <w:tcW w:w="2982" w:type="dxa"/>
            <w:shd w:val="clear" w:color="auto" w:fill="C6EFCE"/>
            <w:vAlign w:val="center"/>
            <w:hideMark/>
          </w:tcPr>
          <w:p w14:paraId="0252D043" w14:textId="77777777" w:rsidR="00327FF1" w:rsidRDefault="00E406C7">
            <w:pPr>
              <w:pStyle w:val="P68B1DB1-Normal11"/>
              <w:rPr>
                <w:noProof/>
                <w:szCs w:val="20"/>
              </w:rPr>
            </w:pPr>
            <w:r>
              <w:rPr>
                <w:noProof/>
              </w:rPr>
              <w:t xml:space="preserve">Salīdzinājumā ar pamatscenāriju finansiāls atbalsts ir piešķirts vismaz 700 papildu uzņēmumiem. </w:t>
            </w:r>
          </w:p>
          <w:p w14:paraId="3E0C5370" w14:textId="77777777" w:rsidR="00327FF1" w:rsidRDefault="00E406C7">
            <w:pPr>
              <w:pStyle w:val="P68B1DB1-Normal11"/>
              <w:rPr>
                <w:noProof/>
                <w:szCs w:val="20"/>
              </w:rPr>
            </w:pPr>
            <w:r>
              <w:rPr>
                <w:noProof/>
              </w:rPr>
              <w:t xml:space="preserve">Atbalsts sieviešu uzņēmējdarbībai tiek īstenots, izmantojot jau aktīvus instrumentus (NITO-ON, Smart &amp; Start) un jauno fondu, kas izveidots ar 2021. gada </w:t>
            </w:r>
            <w:r>
              <w:rPr>
                <w:noProof/>
              </w:rPr>
              <w:t>Budžeta likumu (sieviešu uzņēmumi līdz 2020. gada novembrim tika atbalstīti ar esošajiem finanšu instrumentiem kā pamatscenāriju).</w:t>
            </w:r>
          </w:p>
        </w:tc>
      </w:tr>
      <w:tr w:rsidR="00327FF1" w14:paraId="6BFA605C" w14:textId="77777777">
        <w:trPr>
          <w:trHeight w:val="703"/>
          <w:jc w:val="center"/>
        </w:trPr>
        <w:tc>
          <w:tcPr>
            <w:tcW w:w="1254" w:type="dxa"/>
            <w:shd w:val="clear" w:color="auto" w:fill="C6EFCE"/>
            <w:vAlign w:val="center"/>
            <w:hideMark/>
          </w:tcPr>
          <w:p w14:paraId="15810FC7" w14:textId="77777777" w:rsidR="00327FF1" w:rsidRDefault="00E406C7">
            <w:pPr>
              <w:pStyle w:val="P68B1DB1-Normal12"/>
              <w:jc w:val="center"/>
              <w:rPr>
                <w:noProof/>
              </w:rPr>
            </w:pPr>
            <w:r>
              <w:rPr>
                <w:noProof/>
              </w:rPr>
              <w:t>M5C1–19bis</w:t>
            </w:r>
          </w:p>
        </w:tc>
        <w:tc>
          <w:tcPr>
            <w:tcW w:w="1530" w:type="dxa"/>
            <w:shd w:val="clear" w:color="auto" w:fill="C6EFCE"/>
            <w:vAlign w:val="center"/>
            <w:hideMark/>
          </w:tcPr>
          <w:p w14:paraId="13470044" w14:textId="77777777" w:rsidR="00327FF1" w:rsidRDefault="00E406C7">
            <w:pPr>
              <w:pStyle w:val="P68B1DB1-Normal11"/>
              <w:jc w:val="center"/>
              <w:rPr>
                <w:noProof/>
                <w:szCs w:val="20"/>
              </w:rPr>
            </w:pPr>
            <w:r>
              <w:rPr>
                <w:noProof/>
              </w:rPr>
              <w:t>Investīcija Nr. 5. Sieviešu uzņēmumu izveide</w:t>
            </w:r>
          </w:p>
        </w:tc>
        <w:tc>
          <w:tcPr>
            <w:tcW w:w="1179" w:type="dxa"/>
            <w:shd w:val="clear" w:color="auto" w:fill="C6EFCE"/>
            <w:vAlign w:val="center"/>
            <w:hideMark/>
          </w:tcPr>
          <w:p w14:paraId="25E1E24F" w14:textId="77777777" w:rsidR="00327FF1" w:rsidRDefault="00E406C7">
            <w:pPr>
              <w:pStyle w:val="P68B1DB1-Normal11"/>
              <w:jc w:val="center"/>
              <w:rPr>
                <w:noProof/>
                <w:szCs w:val="20"/>
              </w:rPr>
            </w:pPr>
            <w:r>
              <w:rPr>
                <w:noProof/>
              </w:rPr>
              <w:t>Atskaites punkts</w:t>
            </w:r>
          </w:p>
        </w:tc>
        <w:tc>
          <w:tcPr>
            <w:tcW w:w="1802" w:type="dxa"/>
            <w:shd w:val="clear" w:color="auto" w:fill="C6EFCE"/>
            <w:vAlign w:val="center"/>
            <w:hideMark/>
          </w:tcPr>
          <w:p w14:paraId="65B3AD9D" w14:textId="77777777" w:rsidR="00327FF1" w:rsidRDefault="00E406C7">
            <w:pPr>
              <w:pStyle w:val="P68B1DB1-Normal11"/>
              <w:jc w:val="center"/>
              <w:rPr>
                <w:noProof/>
                <w:szCs w:val="20"/>
              </w:rPr>
            </w:pPr>
            <w:r>
              <w:rPr>
                <w:noProof/>
              </w:rPr>
              <w:t>Īstenošanas nolīgums un nodošana Invitalia</w:t>
            </w:r>
          </w:p>
        </w:tc>
        <w:tc>
          <w:tcPr>
            <w:tcW w:w="1670" w:type="dxa"/>
            <w:shd w:val="clear" w:color="auto" w:fill="C6EFCE"/>
            <w:vAlign w:val="center"/>
            <w:hideMark/>
          </w:tcPr>
          <w:p w14:paraId="391853BA" w14:textId="77777777" w:rsidR="00327FF1" w:rsidRDefault="00E406C7">
            <w:pPr>
              <w:jc w:val="center"/>
              <w:rPr>
                <w:rFonts w:ascii="Arial Narrow" w:hAnsi="Arial Narrow"/>
                <w:noProof/>
                <w:color w:val="006100"/>
                <w:sz w:val="20"/>
                <w:szCs w:val="20"/>
              </w:rPr>
            </w:pPr>
            <w:r>
              <w:rPr>
                <w:rFonts w:ascii="Times New Roman" w:eastAsia="Times New Roman" w:hAnsi="Times New Roman" w:cs="Times New Roman"/>
                <w:noProof/>
                <w:sz w:val="18"/>
                <w:szCs w:val="18"/>
              </w:rPr>
              <w:t xml:space="preserve"> </w:t>
            </w:r>
            <w:r>
              <w:rPr>
                <w:rFonts w:ascii="Arial Narrow" w:hAnsi="Arial Narrow"/>
                <w:noProof/>
                <w:color w:val="006100"/>
                <w:sz w:val="20"/>
              </w:rPr>
              <w:t>Īstenošanas nolīguma stāšanās spēkā un nodošanas sertifikāts</w:t>
            </w:r>
          </w:p>
        </w:tc>
        <w:tc>
          <w:tcPr>
            <w:tcW w:w="1065" w:type="dxa"/>
            <w:shd w:val="clear" w:color="auto" w:fill="C6EFCE"/>
            <w:vAlign w:val="center"/>
            <w:hideMark/>
          </w:tcPr>
          <w:p w14:paraId="7550CB6D" w14:textId="77777777" w:rsidR="00327FF1" w:rsidRDefault="00E406C7">
            <w:pPr>
              <w:pStyle w:val="P68B1DB1-Normal11"/>
              <w:jc w:val="center"/>
              <w:rPr>
                <w:noProof/>
                <w:szCs w:val="20"/>
              </w:rPr>
            </w:pPr>
            <w:r>
              <w:rPr>
                <w:noProof/>
              </w:rPr>
              <w:t>NEPIEMĒRO</w:t>
            </w:r>
          </w:p>
        </w:tc>
        <w:tc>
          <w:tcPr>
            <w:tcW w:w="971" w:type="dxa"/>
            <w:shd w:val="clear" w:color="auto" w:fill="C6EFCE"/>
            <w:vAlign w:val="center"/>
            <w:hideMark/>
          </w:tcPr>
          <w:p w14:paraId="37991207" w14:textId="77777777" w:rsidR="00327FF1" w:rsidRDefault="00E406C7">
            <w:pPr>
              <w:pStyle w:val="P68B1DB1-Normal11"/>
              <w:jc w:val="center"/>
              <w:rPr>
                <w:noProof/>
                <w:szCs w:val="20"/>
              </w:rPr>
            </w:pPr>
            <w:r>
              <w:rPr>
                <w:noProof/>
              </w:rPr>
              <w:t>NEPIEMĒRO</w:t>
            </w:r>
          </w:p>
        </w:tc>
        <w:tc>
          <w:tcPr>
            <w:tcW w:w="1189" w:type="dxa"/>
            <w:shd w:val="clear" w:color="auto" w:fill="C6EFCE"/>
            <w:vAlign w:val="center"/>
            <w:hideMark/>
          </w:tcPr>
          <w:p w14:paraId="06557315" w14:textId="77777777" w:rsidR="00327FF1" w:rsidRDefault="00E406C7">
            <w:pPr>
              <w:pStyle w:val="P68B1DB1-Normal11"/>
              <w:jc w:val="center"/>
              <w:rPr>
                <w:noProof/>
                <w:szCs w:val="20"/>
              </w:rPr>
            </w:pPr>
            <w:r>
              <w:rPr>
                <w:noProof/>
              </w:rPr>
              <w:t>NEPIEMĒRO</w:t>
            </w:r>
          </w:p>
        </w:tc>
        <w:tc>
          <w:tcPr>
            <w:tcW w:w="979" w:type="dxa"/>
            <w:shd w:val="clear" w:color="auto" w:fill="C6EFCE"/>
            <w:vAlign w:val="center"/>
            <w:hideMark/>
          </w:tcPr>
          <w:p w14:paraId="172CAC9F" w14:textId="77777777" w:rsidR="00327FF1" w:rsidRDefault="00E406C7">
            <w:pPr>
              <w:pStyle w:val="P68B1DB1-Normal11"/>
              <w:jc w:val="center"/>
              <w:rPr>
                <w:noProof/>
                <w:szCs w:val="20"/>
              </w:rPr>
            </w:pPr>
            <w:r>
              <w:rPr>
                <w:noProof/>
              </w:rPr>
              <w:t>4. CET.</w:t>
            </w:r>
          </w:p>
        </w:tc>
        <w:tc>
          <w:tcPr>
            <w:tcW w:w="689" w:type="dxa"/>
            <w:shd w:val="clear" w:color="auto" w:fill="C6EFCE"/>
            <w:vAlign w:val="center"/>
            <w:hideMark/>
          </w:tcPr>
          <w:p w14:paraId="27E707E3" w14:textId="77777777" w:rsidR="00327FF1" w:rsidRDefault="00E406C7">
            <w:pPr>
              <w:pStyle w:val="P68B1DB1-Normal11"/>
              <w:jc w:val="center"/>
              <w:rPr>
                <w:noProof/>
                <w:szCs w:val="20"/>
              </w:rPr>
            </w:pPr>
            <w:r>
              <w:rPr>
                <w:noProof/>
              </w:rPr>
              <w:t>2025</w:t>
            </w:r>
          </w:p>
        </w:tc>
        <w:tc>
          <w:tcPr>
            <w:tcW w:w="2982" w:type="dxa"/>
            <w:shd w:val="clear" w:color="auto" w:fill="C6EFCE"/>
            <w:vAlign w:val="center"/>
            <w:hideMark/>
          </w:tcPr>
          <w:p w14:paraId="652644D0" w14:textId="77777777" w:rsidR="00327FF1" w:rsidRDefault="00E406C7">
            <w:pPr>
              <w:pStyle w:val="P68B1DB1-Normal12"/>
              <w:rPr>
                <w:noProof/>
              </w:rPr>
            </w:pPr>
            <w:r>
              <w:rPr>
                <w:noProof/>
              </w:rPr>
              <w:t>Īstenošanas nolīguma stāšanās spēkā.</w:t>
            </w:r>
          </w:p>
          <w:p w14:paraId="082AC5FE" w14:textId="7E9D6A91" w:rsidR="00327FF1" w:rsidRDefault="00E406C7">
            <w:pPr>
              <w:pStyle w:val="P68B1DB1-Normal12"/>
              <w:rPr>
                <w:noProof/>
              </w:rPr>
            </w:pPr>
            <w:r>
              <w:rPr>
                <w:noProof/>
              </w:rPr>
              <w:t xml:space="preserve">Itālija pārvieto EUR 400000000 uz Invitalia mehānisma vajadzībām. </w:t>
            </w:r>
          </w:p>
        </w:tc>
      </w:tr>
      <w:tr w:rsidR="00327FF1" w14:paraId="479147BD" w14:textId="77777777">
        <w:trPr>
          <w:trHeight w:val="703"/>
          <w:jc w:val="center"/>
        </w:trPr>
        <w:tc>
          <w:tcPr>
            <w:tcW w:w="1254" w:type="dxa"/>
            <w:shd w:val="clear" w:color="auto" w:fill="C6EFCE"/>
            <w:vAlign w:val="center"/>
          </w:tcPr>
          <w:p w14:paraId="7F4FA75F" w14:textId="77777777" w:rsidR="00327FF1" w:rsidRDefault="00E406C7">
            <w:pPr>
              <w:pStyle w:val="P68B1DB1-Normal12"/>
              <w:jc w:val="center"/>
              <w:rPr>
                <w:noProof/>
              </w:rPr>
            </w:pPr>
            <w:r>
              <w:rPr>
                <w:noProof/>
              </w:rPr>
              <w:t>M5C1–20</w:t>
            </w:r>
          </w:p>
        </w:tc>
        <w:tc>
          <w:tcPr>
            <w:tcW w:w="1530" w:type="dxa"/>
            <w:shd w:val="clear" w:color="auto" w:fill="C6EFCE"/>
            <w:vAlign w:val="center"/>
          </w:tcPr>
          <w:p w14:paraId="2DD4F4C1" w14:textId="77777777" w:rsidR="00327FF1" w:rsidRDefault="00E406C7">
            <w:pPr>
              <w:pStyle w:val="P68B1DB1-Normal11"/>
              <w:jc w:val="center"/>
              <w:rPr>
                <w:noProof/>
              </w:rPr>
            </w:pPr>
            <w:r>
              <w:rPr>
                <w:noProof/>
              </w:rPr>
              <w:t xml:space="preserve">Investīcija Nr. 5. Sieviešu uzņēmumu </w:t>
            </w:r>
            <w:r>
              <w:rPr>
                <w:noProof/>
              </w:rPr>
              <w:t>izveide</w:t>
            </w:r>
          </w:p>
        </w:tc>
        <w:tc>
          <w:tcPr>
            <w:tcW w:w="1179" w:type="dxa"/>
            <w:shd w:val="clear" w:color="auto" w:fill="C6EFCE"/>
            <w:vAlign w:val="center"/>
          </w:tcPr>
          <w:p w14:paraId="5DBE52B9" w14:textId="77777777" w:rsidR="00327FF1" w:rsidRDefault="00E406C7">
            <w:pPr>
              <w:pStyle w:val="P68B1DB1-Normal11"/>
              <w:jc w:val="center"/>
              <w:rPr>
                <w:noProof/>
              </w:rPr>
            </w:pPr>
            <w:r>
              <w:rPr>
                <w:noProof/>
              </w:rPr>
              <w:t>Mērķa</w:t>
            </w:r>
          </w:p>
        </w:tc>
        <w:tc>
          <w:tcPr>
            <w:tcW w:w="1802" w:type="dxa"/>
            <w:shd w:val="clear" w:color="auto" w:fill="C6EFCE"/>
            <w:vAlign w:val="center"/>
          </w:tcPr>
          <w:p w14:paraId="69786F67" w14:textId="77777777" w:rsidR="00327FF1" w:rsidRDefault="00E406C7">
            <w:pPr>
              <w:pStyle w:val="P68B1DB1-Normal11"/>
              <w:jc w:val="center"/>
              <w:rPr>
                <w:noProof/>
              </w:rPr>
            </w:pPr>
            <w:r>
              <w:rPr>
                <w:noProof/>
              </w:rPr>
              <w:t>Ar galīgajiem saņēmējiem parakstītie juridiskie nolīgumi</w:t>
            </w:r>
          </w:p>
        </w:tc>
        <w:tc>
          <w:tcPr>
            <w:tcW w:w="1670" w:type="dxa"/>
            <w:shd w:val="clear" w:color="auto" w:fill="C6EFCE"/>
            <w:vAlign w:val="center"/>
          </w:tcPr>
          <w:p w14:paraId="4C56A759" w14:textId="77777777" w:rsidR="00327FF1" w:rsidRDefault="00E406C7">
            <w:pPr>
              <w:pStyle w:val="P68B1DB1-Normal11"/>
              <w:jc w:val="center"/>
              <w:rPr>
                <w:noProof/>
              </w:rPr>
            </w:pPr>
            <w:r>
              <w:rPr>
                <w:noProof/>
              </w:rPr>
              <w:t>NEPIEMĒRO</w:t>
            </w:r>
          </w:p>
        </w:tc>
        <w:tc>
          <w:tcPr>
            <w:tcW w:w="1065" w:type="dxa"/>
            <w:tcBorders>
              <w:top w:val="single" w:sz="6" w:space="0" w:color="auto"/>
              <w:left w:val="single" w:sz="6" w:space="0" w:color="auto"/>
              <w:bottom w:val="single" w:sz="6" w:space="0" w:color="auto"/>
              <w:right w:val="single" w:sz="6" w:space="0" w:color="auto"/>
            </w:tcBorders>
            <w:shd w:val="clear" w:color="auto" w:fill="C6EFCE"/>
            <w:vAlign w:val="center"/>
          </w:tcPr>
          <w:p w14:paraId="335ECE82" w14:textId="77777777" w:rsidR="00327FF1" w:rsidRDefault="00E406C7">
            <w:pPr>
              <w:pStyle w:val="P68B1DB1-Normal11"/>
              <w:jc w:val="center"/>
              <w:rPr>
                <w:noProof/>
              </w:rPr>
            </w:pPr>
            <w:r>
              <w:rPr>
                <w:noProof/>
              </w:rPr>
              <w:t>Procentuālā daļa (%)</w:t>
            </w:r>
          </w:p>
        </w:tc>
        <w:tc>
          <w:tcPr>
            <w:tcW w:w="971" w:type="dxa"/>
            <w:tcBorders>
              <w:top w:val="single" w:sz="6" w:space="0" w:color="auto"/>
              <w:left w:val="single" w:sz="6" w:space="0" w:color="auto"/>
              <w:bottom w:val="single" w:sz="6" w:space="0" w:color="auto"/>
              <w:right w:val="single" w:sz="6" w:space="0" w:color="auto"/>
            </w:tcBorders>
            <w:shd w:val="clear" w:color="auto" w:fill="C6EFCE"/>
            <w:vAlign w:val="center"/>
          </w:tcPr>
          <w:p w14:paraId="57252E83" w14:textId="77777777" w:rsidR="00327FF1" w:rsidRDefault="00E406C7">
            <w:pPr>
              <w:pStyle w:val="P68B1DB1-Normal11"/>
              <w:jc w:val="center"/>
              <w:rPr>
                <w:noProof/>
              </w:rPr>
            </w:pPr>
            <w:r>
              <w:rPr>
                <w:noProof/>
              </w:rPr>
              <w:t>0</w:t>
            </w:r>
          </w:p>
        </w:tc>
        <w:tc>
          <w:tcPr>
            <w:tcW w:w="1189" w:type="dxa"/>
            <w:tcBorders>
              <w:top w:val="single" w:sz="6" w:space="0" w:color="auto"/>
              <w:left w:val="single" w:sz="6" w:space="0" w:color="auto"/>
              <w:bottom w:val="single" w:sz="6" w:space="0" w:color="auto"/>
              <w:right w:val="single" w:sz="6" w:space="0" w:color="auto"/>
            </w:tcBorders>
            <w:shd w:val="clear" w:color="auto" w:fill="C6EFCE"/>
            <w:vAlign w:val="center"/>
          </w:tcPr>
          <w:p w14:paraId="487636E6" w14:textId="77777777" w:rsidR="00327FF1" w:rsidRDefault="00E406C7">
            <w:pPr>
              <w:pStyle w:val="P68B1DB1-Normal11"/>
              <w:jc w:val="center"/>
              <w:rPr>
                <w:noProof/>
              </w:rPr>
            </w:pPr>
            <w:r>
              <w:rPr>
                <w:noProof/>
              </w:rPr>
              <w:t>100</w:t>
            </w:r>
          </w:p>
        </w:tc>
        <w:tc>
          <w:tcPr>
            <w:tcW w:w="979" w:type="dxa"/>
            <w:tcBorders>
              <w:top w:val="single" w:sz="6" w:space="0" w:color="auto"/>
              <w:left w:val="single" w:sz="6" w:space="0" w:color="auto"/>
              <w:bottom w:val="single" w:sz="6" w:space="0" w:color="auto"/>
              <w:right w:val="single" w:sz="6" w:space="0" w:color="auto"/>
            </w:tcBorders>
            <w:shd w:val="clear" w:color="auto" w:fill="C6EFCE"/>
            <w:vAlign w:val="center"/>
          </w:tcPr>
          <w:p w14:paraId="7A24F130" w14:textId="77777777" w:rsidR="00327FF1" w:rsidRDefault="00E406C7">
            <w:pPr>
              <w:pStyle w:val="P68B1DB1-Normal11"/>
              <w:jc w:val="center"/>
              <w:rPr>
                <w:noProof/>
              </w:rPr>
            </w:pPr>
            <w:r>
              <w:rPr>
                <w:noProof/>
              </w:rPr>
              <w:t>2. CET.</w:t>
            </w:r>
          </w:p>
        </w:tc>
        <w:tc>
          <w:tcPr>
            <w:tcW w:w="689" w:type="dxa"/>
            <w:tcBorders>
              <w:top w:val="single" w:sz="6" w:space="0" w:color="auto"/>
              <w:left w:val="single" w:sz="6" w:space="0" w:color="auto"/>
              <w:bottom w:val="single" w:sz="6" w:space="0" w:color="auto"/>
              <w:right w:val="single" w:sz="6" w:space="0" w:color="auto"/>
            </w:tcBorders>
            <w:shd w:val="clear" w:color="auto" w:fill="C6EFCE"/>
            <w:vAlign w:val="center"/>
          </w:tcPr>
          <w:p w14:paraId="7645C442" w14:textId="77777777" w:rsidR="00327FF1" w:rsidRDefault="00E406C7">
            <w:pPr>
              <w:pStyle w:val="P68B1DB1-Normal11"/>
              <w:jc w:val="center"/>
              <w:rPr>
                <w:noProof/>
              </w:rPr>
            </w:pPr>
            <w:r>
              <w:rPr>
                <w:noProof/>
              </w:rPr>
              <w:t>2026</w:t>
            </w:r>
          </w:p>
        </w:tc>
        <w:tc>
          <w:tcPr>
            <w:tcW w:w="2982" w:type="dxa"/>
            <w:shd w:val="clear" w:color="auto" w:fill="C6EFCE"/>
            <w:vAlign w:val="center"/>
          </w:tcPr>
          <w:p w14:paraId="6D8701B3" w14:textId="77777777" w:rsidR="00327FF1" w:rsidRDefault="00E406C7">
            <w:pPr>
              <w:pStyle w:val="P68B1DB1-Normal12"/>
              <w:rPr>
                <w:noProof/>
              </w:rPr>
            </w:pPr>
            <w:r>
              <w:rPr>
                <w:noProof/>
              </w:rPr>
              <w:t xml:space="preserve">Invitalia ir noslēdzis juridiskus finansēšanas nolīgumus ar galasaņēmējiem par summu, kas </w:t>
            </w:r>
            <w:r>
              <w:rPr>
                <w:noProof/>
              </w:rPr>
              <w:t xml:space="preserve">nepieciešama, lai izmantotu 100 % no ANM investīcijām mehānismā (ņemot vērā pārvaldību un maksas par komunikācijas un izglītības pakalpojumiem). </w:t>
            </w:r>
          </w:p>
          <w:p w14:paraId="6F591541" w14:textId="532D3496" w:rsidR="00327FF1" w:rsidRDefault="00E406C7">
            <w:pPr>
              <w:pStyle w:val="P68B1DB1-Normal11"/>
              <w:rPr>
                <w:noProof/>
              </w:rPr>
            </w:pPr>
            <w:r>
              <w:rPr>
                <w:noProof/>
              </w:rPr>
              <w:t>Vismaz 40 % no šā finansējuma veicina digitālo mērķu sasniegšanu, izmantojot ANM regulas VII pielikumā izklāst</w:t>
            </w:r>
            <w:r>
              <w:rPr>
                <w:noProof/>
              </w:rPr>
              <w:t xml:space="preserve">īto metodiku. </w:t>
            </w:r>
          </w:p>
        </w:tc>
      </w:tr>
    </w:tbl>
    <w:p w14:paraId="2B79F182" w14:textId="77777777" w:rsidR="00327FF1" w:rsidRDefault="00327FF1">
      <w:pPr>
        <w:rPr>
          <w:rFonts w:ascii="Arial Narrow" w:hAnsi="Arial Narrow"/>
          <w:noProof/>
        </w:rPr>
      </w:pPr>
    </w:p>
    <w:p w14:paraId="0032C586" w14:textId="77777777" w:rsidR="00327FF1" w:rsidRDefault="00327FF1">
      <w:pPr>
        <w:tabs>
          <w:tab w:val="left" w:pos="4252"/>
        </w:tabs>
        <w:rPr>
          <w:i/>
          <w:noProof/>
        </w:rPr>
        <w:sectPr w:rsidR="00327FF1" w:rsidSect="005F11B9">
          <w:headerReference w:type="even" r:id="rId230"/>
          <w:headerReference w:type="default" r:id="rId231"/>
          <w:footerReference w:type="even" r:id="rId232"/>
          <w:footerReference w:type="default" r:id="rId233"/>
          <w:headerReference w:type="first" r:id="rId234"/>
          <w:footerReference w:type="first" r:id="rId235"/>
          <w:pgSz w:w="16838" w:h="11906" w:orient="landscape" w:code="9"/>
          <w:pgMar w:top="1134" w:right="1134" w:bottom="1134" w:left="1134" w:header="567" w:footer="567" w:gutter="0"/>
          <w:cols w:space="720"/>
          <w:docGrid w:linePitch="360"/>
        </w:sectPr>
      </w:pPr>
    </w:p>
    <w:p w14:paraId="5B777C78" w14:textId="77777777" w:rsidR="00327FF1" w:rsidRDefault="00E406C7">
      <w:pPr>
        <w:pStyle w:val="P68B1DB1-Heading23"/>
        <w:ind w:left="1080"/>
        <w:rPr>
          <w:noProof/>
        </w:rPr>
      </w:pPr>
      <w:r>
        <w:rPr>
          <w:noProof/>
        </w:rPr>
        <w:t>M. 5. MISIJAS 2. KOMPONENTS: Sociālā infrastruktūra, ģimenes, kopienas un trešais sektors</w:t>
      </w:r>
    </w:p>
    <w:p w14:paraId="11EEF212" w14:textId="77777777" w:rsidR="00327FF1" w:rsidRDefault="00E406C7">
      <w:pPr>
        <w:pStyle w:val="P68B1DB1-Normal7"/>
        <w:spacing w:before="120" w:after="120"/>
        <w:jc w:val="both"/>
        <w:rPr>
          <w:noProof/>
        </w:rPr>
      </w:pPr>
      <w:r>
        <w:rPr>
          <w:noProof/>
        </w:rPr>
        <w:t xml:space="preserve">Šajā komponentā iekļauto plānoto reformu un investīciju mērķis ir stiprināt </w:t>
      </w:r>
      <w:r>
        <w:rPr>
          <w:noProof/>
        </w:rPr>
        <w:t>noturību, atbalstot visneaizsargātāko personu, ģimenes un sociālo dimensiju integrāciju un iekļaušanu. Šis komponents nodrošina valsts stratēģiju neaizsargātu iedzīvotāju grupu aktīvai iekļaušanai. Šā komponenta mērķi ir šādi: I) stiprināt integrētu sociāl</w:t>
      </w:r>
      <w:r>
        <w:rPr>
          <w:noProof/>
        </w:rPr>
        <w:t>o pakalpojumu nozīmi, lai atbalstītu ģimenes, nepilngadīgos un pusaudžus, atbalstītu vecāku prasmes un aizsargātu neaizsargātas ģimenes, kā arī personas ar invaliditāti, tostarp uzlabojot sociālo infrastruktūru, iesaistot trešo sektoru; II) uzlabot personu</w:t>
      </w:r>
      <w:r>
        <w:rPr>
          <w:noProof/>
        </w:rPr>
        <w:t xml:space="preserve"> ar invaliditāti autonomiju, sniedzot kopienās un mājās balstītus sociālos un veselības aprūpes pakalpojumus un likvidējot šķēršļus piekļuvei mājokļiem un darba iespējām; III) uzlabot cilvēku (piemēram, bezpajumtnieku) iekļaušanu galējā marginalizācijā un </w:t>
      </w:r>
      <w:r>
        <w:rPr>
          <w:noProof/>
        </w:rPr>
        <w:t>nelabvēlīgos sadzīves apstākļos, plašāk piedāvājot pagaidu izmitināšanas palīdzības iespējas un pakalpojumus, personalizētus ceļus uz autonomiju un personīgo noturību; IV) cenas ziņā pieejamāku publisko un privāto mājokļu pieejamības un pilsētu un teritori</w:t>
      </w:r>
      <w:r>
        <w:rPr>
          <w:noProof/>
        </w:rPr>
        <w:t>ālās atjaunošanas stiprināšana; V) visneaizsargātāko personu noturības spēju attīstīšana, izplatot sporta kultūru un izveidojot sporta infrastruktūru, izveidojot pilsētu parkus, kuros sporta aktivitātes var apvienot ar izklaides pasākumiem kopienu labā.</w:t>
      </w:r>
    </w:p>
    <w:p w14:paraId="16C9544A" w14:textId="77777777" w:rsidR="00327FF1" w:rsidRDefault="00E406C7">
      <w:pPr>
        <w:pStyle w:val="P68B1DB1-Normal7"/>
        <w:spacing w:before="120" w:after="120"/>
        <w:jc w:val="both"/>
        <w:rPr>
          <w:noProof/>
        </w:rPr>
      </w:pPr>
      <w:r>
        <w:rPr>
          <w:noProof/>
        </w:rPr>
        <w:t>Pa</w:t>
      </w:r>
      <w:r>
        <w:rPr>
          <w:noProof/>
        </w:rPr>
        <w:t>redzams, ka šo pasākumu īstenošana palīdzēs risināt problēmas, uz kurām attiecas 2019. gada valstij adresētais ieteikums Nr. 2 par sociālo politiku, kurā Itālija tiek mudināta “nodrošināt, ka [...] sociālā politika ir efektīvi integrēta un sasniedz jo īpaš</w:t>
      </w:r>
      <w:r>
        <w:rPr>
          <w:noProof/>
        </w:rPr>
        <w:t xml:space="preserve">i jauniešus un neaizsargātas grupas”, un 2020. gada valstij adresētajā ieteikumā Nr. 2 “nodrošināt pienācīgu (...) piekļuvi sociālajai aizsardzībai”. </w:t>
      </w:r>
    </w:p>
    <w:p w14:paraId="44B353C1" w14:textId="77777777" w:rsidR="00327FF1" w:rsidRDefault="00E406C7">
      <w:pPr>
        <w:pStyle w:val="P68B1DB1-Heading39"/>
        <w:ind w:left="850" w:hanging="850"/>
        <w:rPr>
          <w:b/>
          <w:bCs/>
          <w:i/>
          <w:iCs/>
          <w:noProof/>
          <w:color w:val="156082" w:themeColor="accent1"/>
          <w:u w:val="single"/>
        </w:rPr>
      </w:pPr>
      <w:r>
        <w:rPr>
          <w:b/>
          <w:noProof/>
          <w:u w:val="single"/>
        </w:rPr>
        <w:t xml:space="preserve">M.1. </w:t>
      </w:r>
      <w:r>
        <w:rPr>
          <w:noProof/>
        </w:rPr>
        <w:t xml:space="preserve"> </w:t>
      </w:r>
      <w:r>
        <w:rPr>
          <w:b/>
          <w:noProof/>
          <w:u w:val="single"/>
        </w:rPr>
        <w:t>Reformu un investīciju apraksts neatmaksājamam finansiālajam atbalstam</w:t>
      </w:r>
    </w:p>
    <w:p w14:paraId="2EA0E7C9" w14:textId="77777777" w:rsidR="00327FF1" w:rsidRDefault="00E406C7">
      <w:pPr>
        <w:pStyle w:val="P68B1DB1-Normal5"/>
        <w:spacing w:before="120" w:after="120"/>
        <w:jc w:val="both"/>
        <w:rPr>
          <w:rFonts w:eastAsia="Calibri"/>
          <w:noProof/>
        </w:rPr>
      </w:pPr>
      <w:r>
        <w:rPr>
          <w:noProof/>
        </w:rPr>
        <w:t>Reforma — Pamatlikums invali</w:t>
      </w:r>
      <w:r>
        <w:rPr>
          <w:noProof/>
        </w:rPr>
        <w:t>ditātes jomā</w:t>
      </w:r>
    </w:p>
    <w:p w14:paraId="16303200" w14:textId="54CF5AA8" w:rsidR="00327FF1" w:rsidRDefault="00E406C7">
      <w:pPr>
        <w:pStyle w:val="P68B1DB1-Normal7"/>
        <w:spacing w:before="120" w:after="120"/>
        <w:jc w:val="both"/>
        <w:rPr>
          <w:b/>
          <w:noProof/>
        </w:rPr>
      </w:pPr>
      <w:r>
        <w:rPr>
          <w:noProof/>
        </w:rPr>
        <w:t>Reformas galvenais mērķis ir grozīt tiesību aktus par invaliditāti un veicināt personu ar invaliditāti deinstitucionalizāciju (t. i., pāreju no publiskām vai privātām iestādēm uz ģimenēm vai kopienā balstītām mājām) un autonomiju. Tas ietver i</w:t>
      </w:r>
      <w:r>
        <w:rPr>
          <w:noProof/>
        </w:rPr>
        <w:t>) sociālo pakalpojumu piedāvājuma stiprināšanu, II) sociālo un veselības aprūpes pakalpojumu pieejamības vienkāršošanu, III) invaliditātes novērtējumu reformas, IV) neatkarīgas dzīves projektu veicināšanu, V) ekspertu grupu darba veicināšanu, kas var atbal</w:t>
      </w:r>
      <w:r>
        <w:rPr>
          <w:noProof/>
        </w:rPr>
        <w:t xml:space="preserve">stīt personas ar invaliditāti ar daudzdimensionālām vajadzībām. </w:t>
      </w:r>
    </w:p>
    <w:p w14:paraId="51FADE60" w14:textId="77777777" w:rsidR="00327FF1" w:rsidRDefault="00E406C7">
      <w:pPr>
        <w:pStyle w:val="P68B1DB1-Normal5"/>
        <w:spacing w:before="120" w:after="120"/>
        <w:jc w:val="both"/>
        <w:rPr>
          <w:rFonts w:eastAsia="Calibri"/>
          <w:noProof/>
        </w:rPr>
      </w:pPr>
      <w:r>
        <w:rPr>
          <w:noProof/>
        </w:rPr>
        <w:t>Reforma — reforma attiecībā uz pašpietiekamiem vecāka gadagājuma cilvēkiem</w:t>
      </w:r>
    </w:p>
    <w:p w14:paraId="2031E171" w14:textId="08474632" w:rsidR="00327FF1" w:rsidRDefault="00E406C7">
      <w:pPr>
        <w:pStyle w:val="P68B1DB1-Normal7"/>
        <w:spacing w:before="120" w:after="120"/>
        <w:jc w:val="both"/>
        <w:rPr>
          <w:rFonts w:eastAsia="Calibri"/>
          <w:noProof/>
        </w:rPr>
      </w:pPr>
      <w:r>
        <w:rPr>
          <w:noProof/>
        </w:rPr>
        <w:t>Šā pasākuma mērķis ir reformēt sociālos pakalpojumus un uzlabot dzīves apstākļus pašpietiekamiem vecāka gadagājuma c</w:t>
      </w:r>
      <w:r>
        <w:rPr>
          <w:noProof/>
        </w:rPr>
        <w:t>ilvēkiem. Šī reforma ietver: I) vienkāršojot vecāka gadagājuma cilvēku piekļuvi pakalpojumiem, izveidojot vienotus punktus piekļuvei sociālajai un veselības aprūpei, II) apzinot veidus, kā atzīt pašpietiekamību, pamatojoties uz palīdzības nepieciešamību, I</w:t>
      </w:r>
      <w:r>
        <w:rPr>
          <w:noProof/>
        </w:rPr>
        <w:t>II) nodrošinot daudzdimensionālu novērtējumu, IV) definējot individualizētus projektus, kas veicina deinstitucionalizāciju. Šī reforma ir gaidāma ar plānā paredzētajiem konkrētajiem intervences pasākumiem, kas iekļauti gan veselības misijā (M6), atsaucotie</w:t>
      </w:r>
      <w:r>
        <w:rPr>
          <w:noProof/>
        </w:rPr>
        <w:t xml:space="preserve">s uz projektiem, kas stiprina vietējos veselības aprūpes pakalpojumus un aprūpi mājās, gan šajā komponentā ar īpašu atsauci uz 1. investīciju, II intervence, kuras mērķis ir deinstitucionalizācija. </w:t>
      </w:r>
    </w:p>
    <w:p w14:paraId="34A27A5A" w14:textId="77777777" w:rsidR="00327FF1" w:rsidRDefault="00E406C7">
      <w:pPr>
        <w:pStyle w:val="P68B1DB1-Normal5"/>
        <w:spacing w:before="120" w:after="120"/>
        <w:jc w:val="both"/>
        <w:rPr>
          <w:rFonts w:eastAsia="Calibri"/>
          <w:noProof/>
        </w:rPr>
      </w:pPr>
      <w:r>
        <w:rPr>
          <w:noProof/>
        </w:rPr>
        <w:t>Investīcija Nr. 1 — Atbalsts neaizsargātām personām un in</w:t>
      </w:r>
      <w:r>
        <w:rPr>
          <w:noProof/>
        </w:rPr>
        <w:t>stitucionalizācijas novēršana</w:t>
      </w:r>
    </w:p>
    <w:p w14:paraId="583CA16A" w14:textId="77777777" w:rsidR="00327FF1" w:rsidRDefault="00E406C7">
      <w:pPr>
        <w:pStyle w:val="P68B1DB1-Normal7"/>
        <w:spacing w:before="120" w:after="120"/>
        <w:jc w:val="both"/>
        <w:rPr>
          <w:rFonts w:eastAsia="Calibri"/>
          <w:noProof/>
        </w:rPr>
      </w:pPr>
      <w:r>
        <w:rPr>
          <w:noProof/>
        </w:rPr>
        <w:t>Šā pasākuma mērķis ir atbalstīt neaizsargātas personas un novērst institucionalizāciju. Šis pasākums ietver intervences pasākumus neaizsargātām ģimenēm un bērniem, vecāka gadagājuma cilvēkiem un sociālajiem darbiniekiem vismaz</w:t>
      </w:r>
      <w:r>
        <w:rPr>
          <w:noProof/>
        </w:rPr>
        <w:t xml:space="preserve"> 85 % Itālijas sociālo rajonu. </w:t>
      </w:r>
    </w:p>
    <w:p w14:paraId="71D3F5A5" w14:textId="77777777" w:rsidR="00327FF1" w:rsidRDefault="00E406C7">
      <w:pPr>
        <w:pStyle w:val="P68B1DB1-Normal7"/>
        <w:rPr>
          <w:b/>
          <w:noProof/>
        </w:rPr>
      </w:pPr>
      <w:r>
        <w:rPr>
          <w:noProof/>
        </w:rPr>
        <w:br w:type="page"/>
      </w:r>
    </w:p>
    <w:p w14:paraId="29094DBB" w14:textId="31D5CADB" w:rsidR="00327FF1" w:rsidRDefault="00E406C7">
      <w:pPr>
        <w:pStyle w:val="P68B1DB1-Normal5"/>
        <w:spacing w:before="120" w:after="120"/>
        <w:jc w:val="both"/>
        <w:rPr>
          <w:rFonts w:eastAsia="Calibri"/>
          <w:noProof/>
        </w:rPr>
      </w:pPr>
      <w:r>
        <w:rPr>
          <w:noProof/>
        </w:rPr>
        <w:t>Investīcija Nr. 2 “Invalīdu autonomijas modeļi”</w:t>
      </w:r>
    </w:p>
    <w:p w14:paraId="64F7B9D3" w14:textId="77777777" w:rsidR="00327FF1" w:rsidRDefault="00E406C7">
      <w:pPr>
        <w:pStyle w:val="P68B1DB1-Normal7"/>
        <w:spacing w:before="120" w:after="120"/>
        <w:jc w:val="both"/>
        <w:rPr>
          <w:rFonts w:eastAsia="Calibri"/>
          <w:noProof/>
        </w:rPr>
      </w:pPr>
      <w:r>
        <w:rPr>
          <w:noProof/>
        </w:rPr>
        <w:t>Šā pasākuma mērķis ir palielināt personu ar invaliditāti autonomiju, paātrinot deinstitucionalizācijas procesu. Pasākums paredz nodrošināt piekļuvi mājokļiem vai mājās balstī</w:t>
      </w:r>
      <w:r>
        <w:rPr>
          <w:noProof/>
        </w:rPr>
        <w:t>tiem risinājumiem, kā arī digitālajām tehnoloģijām un apmācībai.</w:t>
      </w:r>
    </w:p>
    <w:p w14:paraId="0EA0CB04" w14:textId="77777777" w:rsidR="00327FF1" w:rsidRDefault="00E406C7">
      <w:pPr>
        <w:pStyle w:val="P68B1DB1-Normal5"/>
        <w:spacing w:before="120" w:after="120"/>
        <w:jc w:val="both"/>
        <w:rPr>
          <w:bCs/>
          <w:noProof/>
        </w:rPr>
      </w:pPr>
      <w:r>
        <w:rPr>
          <w:noProof/>
        </w:rPr>
        <w:t>Investīcija Nr. 3 “Mājokļi pirmajās un post stacijās”</w:t>
      </w:r>
    </w:p>
    <w:p w14:paraId="4999197E" w14:textId="77777777" w:rsidR="00327FF1" w:rsidRDefault="00E406C7">
      <w:pPr>
        <w:pStyle w:val="P68B1DB1-Normal7"/>
        <w:spacing w:before="120" w:after="120"/>
        <w:jc w:val="both"/>
        <w:rPr>
          <w:noProof/>
        </w:rPr>
        <w:sectPr w:rsidR="00327FF1" w:rsidSect="005F11B9">
          <w:headerReference w:type="even" r:id="rId236"/>
          <w:headerReference w:type="default" r:id="rId237"/>
          <w:footerReference w:type="even" r:id="rId238"/>
          <w:footerReference w:type="default" r:id="rId239"/>
          <w:headerReference w:type="first" r:id="rId240"/>
          <w:footerReference w:type="first" r:id="rId241"/>
          <w:pgSz w:w="11906" w:h="16838"/>
          <w:pgMar w:top="1440" w:right="1440" w:bottom="1440" w:left="1440" w:header="708" w:footer="708" w:gutter="0"/>
          <w:cols w:space="708"/>
          <w:docGrid w:linePitch="360"/>
        </w:sectPr>
      </w:pPr>
      <w:r>
        <w:rPr>
          <w:noProof/>
        </w:rPr>
        <w:t xml:space="preserve">Šā pasākuma mērķis ir aizsargāt un atbalstīt marginalizētu cilvēku iekļaušanu. </w:t>
      </w:r>
      <w:r>
        <w:rPr>
          <w:noProof/>
        </w:rPr>
        <w:t>Pasākums sastāv no divu veidu pasākumiem: risinājumi “mājoklis vispirms”, kas ietver pašvaldības, kuras nodrošina pielāgotus projektus un izmitināšanu personām, mazām grupām vai ģimenēm līdz 24 mēnešiem; un “posteņu” risinājumi, kas ietver bezpajumtnieku p</w:t>
      </w:r>
      <w:r>
        <w:rPr>
          <w:noProof/>
        </w:rPr>
        <w:t>akalpojumu un iekļaušanas centrus, kuri piedāvā pamatpakalpojumus, piemēram, pirmās nepieciešamības preču un pasta sūtījumu izplatīšanu, maltītes un veselības aprūpi.</w:t>
      </w:r>
    </w:p>
    <w:p w14:paraId="1173C3BA" w14:textId="77777777" w:rsidR="00327FF1" w:rsidRDefault="00E406C7">
      <w:pPr>
        <w:pStyle w:val="P68B1DB1-Heading39"/>
        <w:ind w:left="850" w:hanging="850"/>
        <w:rPr>
          <w:b/>
          <w:bCs/>
          <w:i/>
          <w:iCs/>
          <w:noProof/>
          <w:u w:val="single"/>
        </w:rPr>
      </w:pPr>
      <w:r>
        <w:rPr>
          <w:b/>
          <w:noProof/>
          <w:u w:val="single"/>
        </w:rPr>
        <w:t xml:space="preserve">M.2. </w:t>
      </w:r>
      <w:r>
        <w:rPr>
          <w:noProof/>
        </w:rPr>
        <w:t xml:space="preserve"> </w:t>
      </w:r>
      <w:r>
        <w:rPr>
          <w:b/>
          <w:noProof/>
          <w:u w:val="single"/>
        </w:rPr>
        <w:t>Starpposma mērķi, mērķrādītāji, rādītāji un neatmaksājama finansiālā atbalsta uzrau</w:t>
      </w:r>
      <w:r>
        <w:rPr>
          <w:b/>
          <w:noProof/>
          <w:u w:val="single"/>
        </w:rPr>
        <w:t>dzības un īstenošanas grafiks</w:t>
      </w:r>
    </w:p>
    <w:tbl>
      <w:tblPr>
        <w:tblW w:w="17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1576"/>
        <w:gridCol w:w="1735"/>
        <w:gridCol w:w="1605"/>
        <w:gridCol w:w="1421"/>
        <w:gridCol w:w="1310"/>
        <w:gridCol w:w="1389"/>
        <w:gridCol w:w="1347"/>
        <w:gridCol w:w="1040"/>
        <w:gridCol w:w="732"/>
        <w:gridCol w:w="4299"/>
      </w:tblGrid>
      <w:tr w:rsidR="00327FF1" w14:paraId="415A0791" w14:textId="77777777">
        <w:trPr>
          <w:trHeight w:val="927"/>
          <w:tblHeader/>
          <w:jc w:val="center"/>
        </w:trPr>
        <w:tc>
          <w:tcPr>
            <w:tcW w:w="1402" w:type="dxa"/>
            <w:vMerge w:val="restart"/>
            <w:shd w:val="clear" w:color="auto" w:fill="BDD7EE"/>
            <w:vAlign w:val="center"/>
            <w:hideMark/>
          </w:tcPr>
          <w:p w14:paraId="21287EF4" w14:textId="77777777" w:rsidR="00327FF1" w:rsidRDefault="00E406C7">
            <w:pPr>
              <w:pStyle w:val="P68B1DB1-Normal10"/>
              <w:jc w:val="center"/>
              <w:rPr>
                <w:noProof/>
                <w:szCs w:val="20"/>
              </w:rPr>
            </w:pPr>
            <w:r>
              <w:rPr>
                <w:noProof/>
              </w:rPr>
              <w:t>Kārtas numurs</w:t>
            </w:r>
          </w:p>
        </w:tc>
        <w:tc>
          <w:tcPr>
            <w:tcW w:w="1570" w:type="dxa"/>
            <w:vMerge w:val="restart"/>
            <w:shd w:val="clear" w:color="auto" w:fill="BDD7EE"/>
            <w:vAlign w:val="center"/>
            <w:hideMark/>
          </w:tcPr>
          <w:p w14:paraId="299B1BF3" w14:textId="77777777" w:rsidR="00327FF1" w:rsidRDefault="00E406C7">
            <w:pPr>
              <w:pStyle w:val="P68B1DB1-Normal10"/>
              <w:jc w:val="center"/>
              <w:rPr>
                <w:noProof/>
                <w:szCs w:val="20"/>
              </w:rPr>
            </w:pPr>
            <w:r>
              <w:rPr>
                <w:noProof/>
              </w:rPr>
              <w:t>Saistītais pasākums (reforma vai ieguldījums)</w:t>
            </w:r>
          </w:p>
        </w:tc>
        <w:tc>
          <w:tcPr>
            <w:tcW w:w="1237" w:type="dxa"/>
            <w:vMerge w:val="restart"/>
            <w:shd w:val="clear" w:color="auto" w:fill="BDD7EE"/>
            <w:vAlign w:val="center"/>
            <w:hideMark/>
          </w:tcPr>
          <w:p w14:paraId="3E8C13CB" w14:textId="77777777" w:rsidR="00327FF1" w:rsidRDefault="00E406C7">
            <w:pPr>
              <w:pStyle w:val="P68B1DB1-Normal10"/>
              <w:jc w:val="center"/>
              <w:rPr>
                <w:noProof/>
                <w:szCs w:val="20"/>
              </w:rPr>
            </w:pPr>
            <w:r>
              <w:rPr>
                <w:noProof/>
              </w:rPr>
              <w:t>Atskaites punkts/mērķrādītājs</w:t>
            </w:r>
          </w:p>
        </w:tc>
        <w:tc>
          <w:tcPr>
            <w:tcW w:w="1641" w:type="dxa"/>
            <w:vMerge w:val="restart"/>
            <w:shd w:val="clear" w:color="auto" w:fill="BDD7EE"/>
            <w:vAlign w:val="center"/>
            <w:hideMark/>
          </w:tcPr>
          <w:p w14:paraId="1EE01669" w14:textId="77777777" w:rsidR="00327FF1" w:rsidRDefault="00E406C7">
            <w:pPr>
              <w:pStyle w:val="P68B1DB1-Normal10"/>
              <w:jc w:val="center"/>
              <w:rPr>
                <w:noProof/>
                <w:szCs w:val="20"/>
              </w:rPr>
            </w:pPr>
            <w:r>
              <w:rPr>
                <w:noProof/>
              </w:rPr>
              <w:t>Nosaukums</w:t>
            </w:r>
          </w:p>
        </w:tc>
        <w:tc>
          <w:tcPr>
            <w:tcW w:w="1453" w:type="dxa"/>
            <w:vMerge w:val="restart"/>
            <w:shd w:val="clear" w:color="auto" w:fill="BDD7EE"/>
            <w:vAlign w:val="center"/>
            <w:hideMark/>
          </w:tcPr>
          <w:p w14:paraId="15C86E73" w14:textId="77777777"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4085" w:type="dxa"/>
            <w:gridSpan w:val="3"/>
            <w:shd w:val="clear" w:color="auto" w:fill="BDD7EE"/>
            <w:vAlign w:val="center"/>
            <w:hideMark/>
          </w:tcPr>
          <w:p w14:paraId="4541DD03" w14:textId="77777777" w:rsidR="00327FF1" w:rsidRDefault="00E406C7">
            <w:pPr>
              <w:jc w:val="center"/>
              <w:rPr>
                <w:rFonts w:ascii="Arial Narrow" w:hAnsi="Arial Narrow"/>
                <w:b/>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807" w:type="dxa"/>
            <w:gridSpan w:val="2"/>
            <w:shd w:val="clear" w:color="auto" w:fill="BDD7EE"/>
            <w:vAlign w:val="center"/>
            <w:hideMark/>
          </w:tcPr>
          <w:p w14:paraId="0AC88E84" w14:textId="77777777" w:rsidR="00327FF1" w:rsidRDefault="00E406C7">
            <w:pPr>
              <w:pStyle w:val="P68B1DB1-Normal10"/>
              <w:jc w:val="center"/>
              <w:rPr>
                <w:noProof/>
                <w:szCs w:val="20"/>
              </w:rPr>
            </w:pPr>
            <w:r>
              <w:rPr>
                <w:noProof/>
              </w:rPr>
              <w:t>Orientējošs pabeigšanas termiņš</w:t>
            </w:r>
          </w:p>
        </w:tc>
        <w:tc>
          <w:tcPr>
            <w:tcW w:w="4406" w:type="dxa"/>
            <w:vMerge w:val="restart"/>
            <w:shd w:val="clear" w:color="auto" w:fill="BDD7EE"/>
            <w:vAlign w:val="center"/>
            <w:hideMark/>
          </w:tcPr>
          <w:p w14:paraId="4B1009F0" w14:textId="77777777" w:rsidR="00327FF1" w:rsidRDefault="00E406C7">
            <w:pPr>
              <w:pStyle w:val="P68B1DB1-Normal10"/>
              <w:jc w:val="center"/>
              <w:rPr>
                <w:noProof/>
                <w:szCs w:val="20"/>
              </w:rPr>
            </w:pPr>
            <w:r>
              <w:rPr>
                <w:noProof/>
              </w:rPr>
              <w:t>Apraksts par katru atskaites punktu un mērķrādītāju</w:t>
            </w:r>
          </w:p>
        </w:tc>
      </w:tr>
      <w:tr w:rsidR="00327FF1" w14:paraId="7EC7190F" w14:textId="77777777">
        <w:trPr>
          <w:trHeight w:val="654"/>
          <w:tblHeader/>
          <w:jc w:val="center"/>
        </w:trPr>
        <w:tc>
          <w:tcPr>
            <w:tcW w:w="1402" w:type="dxa"/>
            <w:vMerge/>
            <w:vAlign w:val="center"/>
            <w:hideMark/>
          </w:tcPr>
          <w:p w14:paraId="35E1152D" w14:textId="77777777" w:rsidR="00327FF1" w:rsidRDefault="00327FF1">
            <w:pPr>
              <w:jc w:val="center"/>
              <w:rPr>
                <w:rFonts w:ascii="Arial Narrow" w:hAnsi="Arial Narrow"/>
                <w:b/>
                <w:noProof/>
                <w:sz w:val="20"/>
                <w:szCs w:val="20"/>
              </w:rPr>
            </w:pPr>
          </w:p>
        </w:tc>
        <w:tc>
          <w:tcPr>
            <w:tcW w:w="1570" w:type="dxa"/>
            <w:vMerge/>
            <w:vAlign w:val="center"/>
            <w:hideMark/>
          </w:tcPr>
          <w:p w14:paraId="16F62E7A" w14:textId="77777777" w:rsidR="00327FF1" w:rsidRDefault="00327FF1">
            <w:pPr>
              <w:jc w:val="center"/>
              <w:rPr>
                <w:rFonts w:ascii="Arial Narrow" w:hAnsi="Arial Narrow"/>
                <w:b/>
                <w:noProof/>
                <w:sz w:val="20"/>
                <w:szCs w:val="20"/>
              </w:rPr>
            </w:pPr>
          </w:p>
        </w:tc>
        <w:tc>
          <w:tcPr>
            <w:tcW w:w="1237" w:type="dxa"/>
            <w:vMerge/>
            <w:vAlign w:val="center"/>
            <w:hideMark/>
          </w:tcPr>
          <w:p w14:paraId="7D61AA99" w14:textId="77777777" w:rsidR="00327FF1" w:rsidRDefault="00327FF1">
            <w:pPr>
              <w:jc w:val="center"/>
              <w:rPr>
                <w:rFonts w:ascii="Arial Narrow" w:hAnsi="Arial Narrow"/>
                <w:b/>
                <w:noProof/>
                <w:sz w:val="20"/>
                <w:szCs w:val="20"/>
              </w:rPr>
            </w:pPr>
          </w:p>
        </w:tc>
        <w:tc>
          <w:tcPr>
            <w:tcW w:w="1641" w:type="dxa"/>
            <w:vMerge/>
            <w:vAlign w:val="center"/>
            <w:hideMark/>
          </w:tcPr>
          <w:p w14:paraId="26DABD33" w14:textId="77777777" w:rsidR="00327FF1" w:rsidRDefault="00327FF1">
            <w:pPr>
              <w:jc w:val="center"/>
              <w:rPr>
                <w:rFonts w:ascii="Arial Narrow" w:hAnsi="Arial Narrow"/>
                <w:b/>
                <w:noProof/>
                <w:sz w:val="20"/>
                <w:szCs w:val="20"/>
              </w:rPr>
            </w:pPr>
          </w:p>
        </w:tc>
        <w:tc>
          <w:tcPr>
            <w:tcW w:w="1453" w:type="dxa"/>
            <w:vMerge/>
            <w:vAlign w:val="center"/>
            <w:hideMark/>
          </w:tcPr>
          <w:p w14:paraId="30990CB1" w14:textId="77777777" w:rsidR="00327FF1" w:rsidRDefault="00327FF1">
            <w:pPr>
              <w:jc w:val="center"/>
              <w:rPr>
                <w:rFonts w:ascii="Arial Narrow" w:hAnsi="Arial Narrow"/>
                <w:b/>
                <w:noProof/>
                <w:sz w:val="20"/>
                <w:szCs w:val="20"/>
              </w:rPr>
            </w:pPr>
          </w:p>
        </w:tc>
        <w:tc>
          <w:tcPr>
            <w:tcW w:w="1339" w:type="dxa"/>
            <w:shd w:val="clear" w:color="auto" w:fill="BDD7EE"/>
            <w:vAlign w:val="center"/>
            <w:hideMark/>
          </w:tcPr>
          <w:p w14:paraId="7A88C0DB" w14:textId="77777777" w:rsidR="00327FF1" w:rsidRDefault="00E406C7">
            <w:pPr>
              <w:pStyle w:val="P68B1DB1-Normal10"/>
              <w:jc w:val="center"/>
              <w:rPr>
                <w:noProof/>
                <w:szCs w:val="20"/>
              </w:rPr>
            </w:pPr>
            <w:r>
              <w:rPr>
                <w:noProof/>
              </w:rPr>
              <w:t>Mēra vienība</w:t>
            </w:r>
          </w:p>
        </w:tc>
        <w:tc>
          <w:tcPr>
            <w:tcW w:w="1369" w:type="dxa"/>
            <w:shd w:val="clear" w:color="auto" w:fill="BDD7EE"/>
            <w:vAlign w:val="center"/>
            <w:hideMark/>
          </w:tcPr>
          <w:p w14:paraId="6B5B9A9A" w14:textId="77777777" w:rsidR="00327FF1" w:rsidRDefault="00E406C7">
            <w:pPr>
              <w:pStyle w:val="P68B1DB1-Normal10"/>
              <w:jc w:val="center"/>
              <w:rPr>
                <w:noProof/>
                <w:szCs w:val="20"/>
              </w:rPr>
            </w:pPr>
            <w:r>
              <w:rPr>
                <w:noProof/>
              </w:rPr>
              <w:t>Pamatscenārijs</w:t>
            </w:r>
          </w:p>
        </w:tc>
        <w:tc>
          <w:tcPr>
            <w:tcW w:w="1377" w:type="dxa"/>
            <w:shd w:val="clear" w:color="auto" w:fill="BDD7EE"/>
            <w:vAlign w:val="center"/>
            <w:hideMark/>
          </w:tcPr>
          <w:p w14:paraId="3446E854" w14:textId="77777777" w:rsidR="00327FF1" w:rsidRDefault="00E406C7">
            <w:pPr>
              <w:pStyle w:val="P68B1DB1-Normal10"/>
              <w:jc w:val="center"/>
              <w:rPr>
                <w:noProof/>
                <w:szCs w:val="20"/>
              </w:rPr>
            </w:pPr>
            <w:r>
              <w:rPr>
                <w:noProof/>
              </w:rPr>
              <w:t>Mērķis</w:t>
            </w:r>
          </w:p>
        </w:tc>
        <w:tc>
          <w:tcPr>
            <w:tcW w:w="1062" w:type="dxa"/>
            <w:shd w:val="clear" w:color="auto" w:fill="BDD7EE"/>
            <w:vAlign w:val="center"/>
            <w:hideMark/>
          </w:tcPr>
          <w:p w14:paraId="1F4BA507" w14:textId="77777777" w:rsidR="00327FF1" w:rsidRDefault="00E406C7">
            <w:pPr>
              <w:pStyle w:val="P68B1DB1-Normal10"/>
              <w:jc w:val="center"/>
              <w:rPr>
                <w:noProof/>
                <w:szCs w:val="20"/>
              </w:rPr>
            </w:pPr>
            <w:r>
              <w:rPr>
                <w:noProof/>
              </w:rPr>
              <w:t>Ceturkšņa laikā</w:t>
            </w:r>
          </w:p>
        </w:tc>
        <w:tc>
          <w:tcPr>
            <w:tcW w:w="745" w:type="dxa"/>
            <w:shd w:val="clear" w:color="auto" w:fill="BDD7EE"/>
            <w:vAlign w:val="center"/>
            <w:hideMark/>
          </w:tcPr>
          <w:p w14:paraId="3406AE19" w14:textId="77777777" w:rsidR="00327FF1" w:rsidRDefault="00E406C7">
            <w:pPr>
              <w:pStyle w:val="P68B1DB1-Normal10"/>
              <w:jc w:val="center"/>
              <w:rPr>
                <w:noProof/>
                <w:szCs w:val="20"/>
              </w:rPr>
            </w:pPr>
            <w:r>
              <w:rPr>
                <w:noProof/>
              </w:rPr>
              <w:t>Gadu</w:t>
            </w:r>
          </w:p>
        </w:tc>
        <w:tc>
          <w:tcPr>
            <w:tcW w:w="4406" w:type="dxa"/>
            <w:vMerge/>
            <w:vAlign w:val="center"/>
            <w:hideMark/>
          </w:tcPr>
          <w:p w14:paraId="7F51C387" w14:textId="77777777" w:rsidR="00327FF1" w:rsidRDefault="00327FF1">
            <w:pPr>
              <w:rPr>
                <w:rFonts w:ascii="Arial Narrow" w:hAnsi="Arial Narrow"/>
                <w:b/>
                <w:noProof/>
                <w:sz w:val="20"/>
                <w:szCs w:val="20"/>
              </w:rPr>
            </w:pPr>
          </w:p>
        </w:tc>
      </w:tr>
      <w:tr w:rsidR="00327FF1" w14:paraId="2E9284F8" w14:textId="77777777">
        <w:trPr>
          <w:trHeight w:val="309"/>
          <w:jc w:val="center"/>
        </w:trPr>
        <w:tc>
          <w:tcPr>
            <w:tcW w:w="1402" w:type="dxa"/>
            <w:shd w:val="clear" w:color="auto" w:fill="C6EFCE"/>
            <w:noWrap/>
            <w:vAlign w:val="center"/>
            <w:hideMark/>
          </w:tcPr>
          <w:p w14:paraId="371960F1" w14:textId="77777777" w:rsidR="00327FF1" w:rsidRDefault="00E406C7">
            <w:pPr>
              <w:pStyle w:val="P68B1DB1-Normal11"/>
              <w:spacing w:before="120" w:after="120"/>
              <w:jc w:val="center"/>
              <w:rPr>
                <w:noProof/>
                <w:szCs w:val="20"/>
              </w:rPr>
            </w:pPr>
            <w:r>
              <w:rPr>
                <w:noProof/>
              </w:rPr>
              <w:t>M5C2–1</w:t>
            </w:r>
          </w:p>
        </w:tc>
        <w:tc>
          <w:tcPr>
            <w:tcW w:w="1570" w:type="dxa"/>
            <w:shd w:val="clear" w:color="auto" w:fill="C6EFCE"/>
            <w:noWrap/>
            <w:vAlign w:val="center"/>
            <w:hideMark/>
          </w:tcPr>
          <w:p w14:paraId="63A8C734" w14:textId="77777777" w:rsidR="00327FF1" w:rsidRDefault="00E406C7">
            <w:pPr>
              <w:pStyle w:val="P68B1DB1-Normal11"/>
              <w:jc w:val="center"/>
              <w:rPr>
                <w:noProof/>
                <w:szCs w:val="20"/>
              </w:rPr>
            </w:pPr>
            <w:r>
              <w:rPr>
                <w:noProof/>
              </w:rPr>
              <w:t>Reforma — Pamatlikums par invaliditāti</w:t>
            </w:r>
          </w:p>
        </w:tc>
        <w:tc>
          <w:tcPr>
            <w:tcW w:w="1237" w:type="dxa"/>
            <w:shd w:val="clear" w:color="auto" w:fill="C6EFCE"/>
            <w:noWrap/>
            <w:vAlign w:val="center"/>
            <w:hideMark/>
          </w:tcPr>
          <w:p w14:paraId="5CEF04EF" w14:textId="77777777" w:rsidR="00327FF1" w:rsidRDefault="00E406C7">
            <w:pPr>
              <w:pStyle w:val="P68B1DB1-Normal11"/>
              <w:jc w:val="center"/>
              <w:rPr>
                <w:noProof/>
                <w:szCs w:val="20"/>
              </w:rPr>
            </w:pPr>
            <w:r>
              <w:rPr>
                <w:noProof/>
              </w:rPr>
              <w:t>Atskaites punkts</w:t>
            </w:r>
          </w:p>
        </w:tc>
        <w:tc>
          <w:tcPr>
            <w:tcW w:w="1641" w:type="dxa"/>
            <w:shd w:val="clear" w:color="auto" w:fill="C6EFCE"/>
            <w:noWrap/>
            <w:vAlign w:val="center"/>
            <w:hideMark/>
          </w:tcPr>
          <w:p w14:paraId="589D2601" w14:textId="77777777" w:rsidR="00327FF1" w:rsidRDefault="00E406C7">
            <w:pPr>
              <w:pStyle w:val="P68B1DB1-Normal11"/>
              <w:jc w:val="center"/>
              <w:rPr>
                <w:noProof/>
                <w:szCs w:val="20"/>
              </w:rPr>
            </w:pPr>
            <w:r>
              <w:rPr>
                <w:noProof/>
              </w:rPr>
              <w:t>Stājas spēkā Pamatlikums personu ar invaliditāti autonomijas stiprināšanai</w:t>
            </w:r>
          </w:p>
        </w:tc>
        <w:tc>
          <w:tcPr>
            <w:tcW w:w="1453" w:type="dxa"/>
            <w:shd w:val="clear" w:color="auto" w:fill="C6EFCE"/>
            <w:noWrap/>
            <w:vAlign w:val="center"/>
            <w:hideMark/>
          </w:tcPr>
          <w:p w14:paraId="1FC7E4C2" w14:textId="77777777" w:rsidR="00327FF1" w:rsidRDefault="00E406C7">
            <w:pPr>
              <w:pStyle w:val="P68B1DB1-Normal11"/>
              <w:jc w:val="center"/>
              <w:rPr>
                <w:rFonts w:eastAsia="Calibri"/>
                <w:noProof/>
                <w:szCs w:val="20"/>
              </w:rPr>
            </w:pPr>
            <w:r>
              <w:rPr>
                <w:noProof/>
              </w:rPr>
              <w:t>Likuma norma, kas norāda uz Pamatlikuma stāšanos spēkā</w:t>
            </w:r>
          </w:p>
        </w:tc>
        <w:tc>
          <w:tcPr>
            <w:tcW w:w="1339" w:type="dxa"/>
            <w:shd w:val="clear" w:color="auto" w:fill="C6EFCE"/>
            <w:noWrap/>
            <w:vAlign w:val="center"/>
            <w:hideMark/>
          </w:tcPr>
          <w:p w14:paraId="529FABA2" w14:textId="77777777" w:rsidR="00327FF1" w:rsidRDefault="00E406C7">
            <w:pPr>
              <w:pStyle w:val="P68B1DB1-Normal11"/>
              <w:jc w:val="center"/>
              <w:rPr>
                <w:rFonts w:eastAsia="Calibri"/>
                <w:noProof/>
                <w:szCs w:val="20"/>
              </w:rPr>
            </w:pPr>
            <w:r>
              <w:rPr>
                <w:noProof/>
              </w:rPr>
              <w:t>NEPIEMĒRO</w:t>
            </w:r>
          </w:p>
        </w:tc>
        <w:tc>
          <w:tcPr>
            <w:tcW w:w="1369" w:type="dxa"/>
            <w:shd w:val="clear" w:color="auto" w:fill="C6EFCE"/>
            <w:noWrap/>
            <w:vAlign w:val="center"/>
            <w:hideMark/>
          </w:tcPr>
          <w:p w14:paraId="528858CA" w14:textId="77777777" w:rsidR="00327FF1" w:rsidRDefault="00E406C7">
            <w:pPr>
              <w:pStyle w:val="P68B1DB1-Normal11"/>
              <w:jc w:val="center"/>
              <w:rPr>
                <w:noProof/>
                <w:szCs w:val="20"/>
              </w:rPr>
            </w:pPr>
            <w:r>
              <w:rPr>
                <w:noProof/>
              </w:rPr>
              <w:t>NEPIEMĒRO</w:t>
            </w:r>
          </w:p>
        </w:tc>
        <w:tc>
          <w:tcPr>
            <w:tcW w:w="1377" w:type="dxa"/>
            <w:shd w:val="clear" w:color="auto" w:fill="C6EFCE"/>
            <w:noWrap/>
            <w:vAlign w:val="center"/>
            <w:hideMark/>
          </w:tcPr>
          <w:p w14:paraId="53C32FA6" w14:textId="77777777" w:rsidR="00327FF1" w:rsidRDefault="00E406C7">
            <w:pPr>
              <w:pStyle w:val="P68B1DB1-Normal11"/>
              <w:jc w:val="center"/>
              <w:rPr>
                <w:rFonts w:eastAsia="Calibri"/>
                <w:noProof/>
                <w:szCs w:val="20"/>
              </w:rPr>
            </w:pPr>
            <w:r>
              <w:rPr>
                <w:noProof/>
              </w:rPr>
              <w:t>NEPIEMĒRO</w:t>
            </w:r>
          </w:p>
        </w:tc>
        <w:tc>
          <w:tcPr>
            <w:tcW w:w="1062" w:type="dxa"/>
            <w:shd w:val="clear" w:color="auto" w:fill="C6EFCE"/>
            <w:noWrap/>
            <w:vAlign w:val="center"/>
            <w:hideMark/>
          </w:tcPr>
          <w:p w14:paraId="0207CD39" w14:textId="77777777" w:rsidR="00327FF1" w:rsidRDefault="00E406C7">
            <w:pPr>
              <w:pStyle w:val="P68B1DB1-Normal11"/>
              <w:jc w:val="center"/>
              <w:rPr>
                <w:rFonts w:eastAsia="Calibri"/>
                <w:noProof/>
                <w:szCs w:val="20"/>
              </w:rPr>
            </w:pPr>
            <w:r>
              <w:rPr>
                <w:noProof/>
              </w:rPr>
              <w:t>4. CET.</w:t>
            </w:r>
          </w:p>
        </w:tc>
        <w:tc>
          <w:tcPr>
            <w:tcW w:w="745" w:type="dxa"/>
            <w:shd w:val="clear" w:color="auto" w:fill="C6EFCE"/>
            <w:noWrap/>
            <w:vAlign w:val="center"/>
            <w:hideMark/>
          </w:tcPr>
          <w:p w14:paraId="0058B5FD" w14:textId="77777777" w:rsidR="00327FF1" w:rsidRDefault="00E406C7">
            <w:pPr>
              <w:pStyle w:val="P68B1DB1-Normal11"/>
              <w:jc w:val="center"/>
              <w:rPr>
                <w:noProof/>
                <w:szCs w:val="20"/>
              </w:rPr>
            </w:pPr>
            <w:r>
              <w:rPr>
                <w:noProof/>
              </w:rPr>
              <w:t>2021</w:t>
            </w:r>
          </w:p>
        </w:tc>
        <w:tc>
          <w:tcPr>
            <w:tcW w:w="4406" w:type="dxa"/>
            <w:shd w:val="clear" w:color="auto" w:fill="C6EFCE"/>
            <w:noWrap/>
            <w:vAlign w:val="center"/>
            <w:hideMark/>
          </w:tcPr>
          <w:p w14:paraId="664A59D1" w14:textId="6FC8B2C5" w:rsidR="00327FF1" w:rsidRDefault="00E406C7">
            <w:pPr>
              <w:pStyle w:val="P68B1DB1-Normal11"/>
              <w:rPr>
                <w:noProof/>
                <w:szCs w:val="20"/>
              </w:rPr>
            </w:pPr>
            <w:r>
              <w:rPr>
                <w:noProof/>
              </w:rPr>
              <w:t>Pamatlikums, ko veido deleģēšanas likums, stiprina personu ar invaliditāti autonomiju saskaņā ar UNCRPD un Eiropas Personu ar invaliditāti tiesību stratēģijas</w:t>
            </w:r>
            <w:r>
              <w:rPr>
                <w:noProof/>
              </w:rPr>
              <w:t xml:space="preserve"> 2021.–2030. gadam principiem, kas ietver vismaz: visaptverošu definīciju un uzlabošanu sociālo pakalpojumu piedāvāšanai invalīdiem, kā arī deinstitucionalizācijas un neatkarīgas dzīves veicināšanu, ii) veselības aprūpes un sociālo pakalpojumu pieejamības </w:t>
            </w:r>
            <w:r>
              <w:rPr>
                <w:noProof/>
              </w:rPr>
              <w:t>procedūru vienkāršošanu un iii) invaliditātes stāvokļa novērtēšanas procedūru pārskatīšanu, virzoties uz ikvienas personas stāvokļa daudzdimensionālu novērtējumu.</w:t>
            </w:r>
          </w:p>
          <w:p w14:paraId="4D648C86" w14:textId="77777777" w:rsidR="00327FF1" w:rsidRDefault="00E406C7">
            <w:pPr>
              <w:pStyle w:val="P68B1DB1-Normal11"/>
              <w:rPr>
                <w:rFonts w:eastAsia="Calibri"/>
                <w:noProof/>
                <w:szCs w:val="20"/>
              </w:rPr>
            </w:pPr>
            <w:r>
              <w:rPr>
                <w:noProof/>
              </w:rPr>
              <w:t>Personas ar invaliditāti ir tās, kas definētas saskaņā ar UNCRPD principiem Likumā Nr. 104/19</w:t>
            </w:r>
            <w:r>
              <w:rPr>
                <w:noProof/>
              </w:rPr>
              <w:t>92. Itālijā novērtēšanas process ir reģionu kompetencē, un personu novērtē vietējie veselības dienesti vai Valsts sociālās labklājības institūts.</w:t>
            </w:r>
          </w:p>
          <w:p w14:paraId="256FC5F3" w14:textId="77777777" w:rsidR="00327FF1" w:rsidRDefault="00E406C7">
            <w:pPr>
              <w:pStyle w:val="P68B1DB1-Normal11"/>
              <w:rPr>
                <w:rFonts w:eastAsia="Calibri"/>
                <w:noProof/>
                <w:szCs w:val="20"/>
              </w:rPr>
            </w:pPr>
            <w:r>
              <w:rPr>
                <w:noProof/>
              </w:rPr>
              <w:t>Likumu ierosina Personu ar invaliditāti lietu ministrs apstiprināšanai Ministru padomē saskaņā ar noteikto ceļ</w:t>
            </w:r>
            <w:r>
              <w:rPr>
                <w:noProof/>
              </w:rPr>
              <w:t>vedi.</w:t>
            </w:r>
          </w:p>
          <w:p w14:paraId="4C09C9E0" w14:textId="77777777" w:rsidR="00327FF1" w:rsidRDefault="00E406C7">
            <w:pPr>
              <w:pStyle w:val="P68B1DB1-Normal11"/>
              <w:rPr>
                <w:rFonts w:eastAsia="Calibri"/>
                <w:noProof/>
                <w:szCs w:val="20"/>
              </w:rPr>
            </w:pPr>
            <w:r>
              <w:rPr>
                <w:noProof/>
              </w:rPr>
              <w:t>Pamatlikuma pieņemšanai seko vietējo sociālo pakalpojumu reorganizācija, kvalitātes standartu noteikšana un IKT platformas nodrošināšana, lai uzlabotu un padarītu efektīvākus pakalpojumus.</w:t>
            </w:r>
          </w:p>
        </w:tc>
      </w:tr>
      <w:tr w:rsidR="00327FF1" w14:paraId="210D399F" w14:textId="77777777">
        <w:trPr>
          <w:trHeight w:val="309"/>
          <w:jc w:val="center"/>
        </w:trPr>
        <w:tc>
          <w:tcPr>
            <w:tcW w:w="1402" w:type="dxa"/>
            <w:shd w:val="clear" w:color="auto" w:fill="C6EFCE"/>
            <w:noWrap/>
            <w:vAlign w:val="center"/>
            <w:hideMark/>
          </w:tcPr>
          <w:p w14:paraId="4603FBD4" w14:textId="77777777" w:rsidR="00327FF1" w:rsidRDefault="00E406C7">
            <w:pPr>
              <w:pStyle w:val="P68B1DB1-Normal11"/>
              <w:spacing w:before="120" w:after="120"/>
              <w:jc w:val="center"/>
              <w:rPr>
                <w:noProof/>
                <w:szCs w:val="20"/>
              </w:rPr>
            </w:pPr>
            <w:r>
              <w:rPr>
                <w:noProof/>
              </w:rPr>
              <w:t>M5C2–2</w:t>
            </w:r>
          </w:p>
        </w:tc>
        <w:tc>
          <w:tcPr>
            <w:tcW w:w="1570" w:type="dxa"/>
            <w:shd w:val="clear" w:color="auto" w:fill="C6EFCE"/>
            <w:noWrap/>
            <w:vAlign w:val="center"/>
            <w:hideMark/>
          </w:tcPr>
          <w:p w14:paraId="21E0D6C6" w14:textId="77777777" w:rsidR="00327FF1" w:rsidRDefault="00E406C7">
            <w:pPr>
              <w:pStyle w:val="P68B1DB1-Normal11"/>
              <w:jc w:val="center"/>
              <w:rPr>
                <w:noProof/>
                <w:szCs w:val="20"/>
              </w:rPr>
            </w:pPr>
            <w:r>
              <w:rPr>
                <w:noProof/>
              </w:rPr>
              <w:t>Reforma — Pamatlikums par invaliditāti</w:t>
            </w:r>
          </w:p>
        </w:tc>
        <w:tc>
          <w:tcPr>
            <w:tcW w:w="1237" w:type="dxa"/>
            <w:shd w:val="clear" w:color="auto" w:fill="C6EFCE"/>
            <w:noWrap/>
            <w:vAlign w:val="center"/>
            <w:hideMark/>
          </w:tcPr>
          <w:p w14:paraId="499C2CD7" w14:textId="77777777" w:rsidR="00327FF1" w:rsidRDefault="00E406C7">
            <w:pPr>
              <w:pStyle w:val="P68B1DB1-Normal11"/>
              <w:jc w:val="center"/>
              <w:rPr>
                <w:rFonts w:eastAsia="Calibri"/>
                <w:noProof/>
                <w:szCs w:val="20"/>
              </w:rPr>
            </w:pPr>
            <w:r>
              <w:rPr>
                <w:noProof/>
              </w:rPr>
              <w:t xml:space="preserve">Atskaites </w:t>
            </w:r>
            <w:r>
              <w:rPr>
                <w:noProof/>
              </w:rPr>
              <w:t>punkts</w:t>
            </w:r>
          </w:p>
        </w:tc>
        <w:tc>
          <w:tcPr>
            <w:tcW w:w="1641" w:type="dxa"/>
            <w:shd w:val="clear" w:color="auto" w:fill="C6EFCE"/>
            <w:noWrap/>
            <w:vAlign w:val="center"/>
            <w:hideMark/>
          </w:tcPr>
          <w:p w14:paraId="077115D1" w14:textId="77777777" w:rsidR="00327FF1" w:rsidRDefault="00E406C7">
            <w:pPr>
              <w:pStyle w:val="P68B1DB1-Normal11"/>
              <w:jc w:val="center"/>
              <w:rPr>
                <w:noProof/>
                <w:szCs w:val="20"/>
              </w:rPr>
            </w:pPr>
            <w:r>
              <w:rPr>
                <w:noProof/>
              </w:rPr>
              <w:t>Stājas spēkā leģislatīvie dekrēti, ar kuriem tiek izstrādāti pamatlikumā paredzētie noteikumi, lai stiprinātu personu ar invaliditāti autonomiju</w:t>
            </w:r>
          </w:p>
        </w:tc>
        <w:tc>
          <w:tcPr>
            <w:tcW w:w="1453" w:type="dxa"/>
            <w:shd w:val="clear" w:color="auto" w:fill="C6EFCE"/>
            <w:noWrap/>
            <w:vAlign w:val="center"/>
            <w:hideMark/>
          </w:tcPr>
          <w:p w14:paraId="185EA102" w14:textId="77777777" w:rsidR="00327FF1" w:rsidRDefault="00E406C7">
            <w:pPr>
              <w:pStyle w:val="P68B1DB1-Normal11"/>
              <w:jc w:val="center"/>
              <w:rPr>
                <w:rFonts w:eastAsia="Calibri"/>
                <w:noProof/>
                <w:szCs w:val="20"/>
              </w:rPr>
            </w:pPr>
            <w:r>
              <w:rPr>
                <w:noProof/>
              </w:rPr>
              <w:t>Likuma noteikumi, kas norāda uz likumdošanas dekrētu stāšanos spēkā</w:t>
            </w:r>
          </w:p>
        </w:tc>
        <w:tc>
          <w:tcPr>
            <w:tcW w:w="1339" w:type="dxa"/>
            <w:shd w:val="clear" w:color="auto" w:fill="C6EFCE"/>
            <w:noWrap/>
            <w:vAlign w:val="center"/>
            <w:hideMark/>
          </w:tcPr>
          <w:p w14:paraId="01539868" w14:textId="77777777" w:rsidR="00327FF1" w:rsidRDefault="00E406C7">
            <w:pPr>
              <w:pStyle w:val="P68B1DB1-Normal11"/>
              <w:jc w:val="center"/>
              <w:rPr>
                <w:noProof/>
                <w:szCs w:val="20"/>
              </w:rPr>
            </w:pPr>
            <w:r>
              <w:rPr>
                <w:noProof/>
              </w:rPr>
              <w:t>NEPIEMĒRO</w:t>
            </w:r>
          </w:p>
        </w:tc>
        <w:tc>
          <w:tcPr>
            <w:tcW w:w="1369" w:type="dxa"/>
            <w:shd w:val="clear" w:color="auto" w:fill="C6EFCE"/>
            <w:noWrap/>
            <w:vAlign w:val="center"/>
            <w:hideMark/>
          </w:tcPr>
          <w:p w14:paraId="7F0A769D" w14:textId="77777777" w:rsidR="00327FF1" w:rsidRDefault="00E406C7">
            <w:pPr>
              <w:pStyle w:val="P68B1DB1-Normal11"/>
              <w:jc w:val="center"/>
              <w:rPr>
                <w:rFonts w:eastAsia="Calibri"/>
                <w:noProof/>
                <w:szCs w:val="20"/>
              </w:rPr>
            </w:pPr>
            <w:r>
              <w:rPr>
                <w:noProof/>
              </w:rPr>
              <w:t>NEPIEMĒRO</w:t>
            </w:r>
          </w:p>
        </w:tc>
        <w:tc>
          <w:tcPr>
            <w:tcW w:w="1377" w:type="dxa"/>
            <w:shd w:val="clear" w:color="auto" w:fill="C6EFCE"/>
            <w:noWrap/>
            <w:vAlign w:val="center"/>
            <w:hideMark/>
          </w:tcPr>
          <w:p w14:paraId="4F756503" w14:textId="77777777" w:rsidR="00327FF1" w:rsidRDefault="00E406C7">
            <w:pPr>
              <w:pStyle w:val="P68B1DB1-Normal11"/>
              <w:jc w:val="center"/>
              <w:rPr>
                <w:rFonts w:eastAsia="Calibri"/>
                <w:noProof/>
                <w:szCs w:val="20"/>
              </w:rPr>
            </w:pPr>
            <w:r>
              <w:rPr>
                <w:noProof/>
              </w:rPr>
              <w:t>NEPIEMĒRO</w:t>
            </w:r>
          </w:p>
        </w:tc>
        <w:tc>
          <w:tcPr>
            <w:tcW w:w="1062" w:type="dxa"/>
            <w:shd w:val="clear" w:color="auto" w:fill="C6EFCE"/>
            <w:noWrap/>
            <w:vAlign w:val="center"/>
            <w:hideMark/>
          </w:tcPr>
          <w:p w14:paraId="65B112C2" w14:textId="77777777" w:rsidR="00327FF1" w:rsidRDefault="00E406C7">
            <w:pPr>
              <w:pStyle w:val="P68B1DB1-Normal11"/>
              <w:jc w:val="center"/>
              <w:rPr>
                <w:noProof/>
                <w:szCs w:val="20"/>
              </w:rPr>
            </w:pPr>
            <w:r>
              <w:rPr>
                <w:noProof/>
              </w:rPr>
              <w:t>2. CET</w:t>
            </w:r>
            <w:r>
              <w:rPr>
                <w:noProof/>
              </w:rPr>
              <w:t>.</w:t>
            </w:r>
          </w:p>
        </w:tc>
        <w:tc>
          <w:tcPr>
            <w:tcW w:w="745" w:type="dxa"/>
            <w:shd w:val="clear" w:color="auto" w:fill="C6EFCE"/>
            <w:noWrap/>
            <w:vAlign w:val="center"/>
            <w:hideMark/>
          </w:tcPr>
          <w:p w14:paraId="5529812E" w14:textId="77777777" w:rsidR="00327FF1" w:rsidRDefault="00E406C7">
            <w:pPr>
              <w:pStyle w:val="P68B1DB1-Normal11"/>
              <w:jc w:val="center"/>
              <w:rPr>
                <w:rFonts w:eastAsia="Calibri"/>
                <w:noProof/>
                <w:szCs w:val="20"/>
              </w:rPr>
            </w:pPr>
            <w:r>
              <w:rPr>
                <w:noProof/>
              </w:rPr>
              <w:t>2024</w:t>
            </w:r>
          </w:p>
        </w:tc>
        <w:tc>
          <w:tcPr>
            <w:tcW w:w="4406" w:type="dxa"/>
            <w:shd w:val="clear" w:color="auto" w:fill="C6EFCE"/>
            <w:noWrap/>
            <w:vAlign w:val="center"/>
            <w:hideMark/>
          </w:tcPr>
          <w:p w14:paraId="344DA059" w14:textId="77777777" w:rsidR="00327FF1" w:rsidRDefault="00E406C7">
            <w:pPr>
              <w:pStyle w:val="P68B1DB1-Normal11"/>
              <w:rPr>
                <w:rFonts w:eastAsia="Calibri"/>
                <w:noProof/>
                <w:szCs w:val="20"/>
              </w:rPr>
            </w:pPr>
            <w:r>
              <w:rPr>
                <w:noProof/>
              </w:rPr>
              <w:t>Likumdošanas dekrēti izstrādā pamatlikumā paredzētos noteikumus, lai stiprinātu personu ar invaliditāti autonomiju: Sociālo pakalpojumu piedāvājuma stiprināšana, II) sociālo un veselības aprūpes pakalpojumu pieejamības vienkāršošana, III) invaliditā</w:t>
            </w:r>
            <w:r>
              <w:rPr>
                <w:noProof/>
              </w:rPr>
              <w:t>tes novērtēšanas reformas, IV) neatkarīgas dzīves projektu veicināšana, V) ekspertu grupu darba veicināšana, kas var atbalstīt personas ar invaliditāti ar daudzdimensionālām vajadzībām.</w:t>
            </w:r>
          </w:p>
        </w:tc>
      </w:tr>
      <w:tr w:rsidR="00327FF1" w14:paraId="4297D7A7" w14:textId="77777777">
        <w:trPr>
          <w:trHeight w:val="309"/>
          <w:jc w:val="center"/>
        </w:trPr>
        <w:tc>
          <w:tcPr>
            <w:tcW w:w="1402" w:type="dxa"/>
            <w:shd w:val="clear" w:color="auto" w:fill="C6EFCE"/>
            <w:noWrap/>
            <w:vAlign w:val="center"/>
            <w:hideMark/>
          </w:tcPr>
          <w:p w14:paraId="13684096" w14:textId="77777777" w:rsidR="00327FF1" w:rsidRDefault="00E406C7">
            <w:pPr>
              <w:pStyle w:val="P68B1DB1-Normal11"/>
              <w:spacing w:before="120" w:after="120"/>
              <w:jc w:val="center"/>
              <w:rPr>
                <w:noProof/>
                <w:szCs w:val="20"/>
              </w:rPr>
            </w:pPr>
            <w:r>
              <w:rPr>
                <w:noProof/>
              </w:rPr>
              <w:t>M5C2–3</w:t>
            </w:r>
          </w:p>
        </w:tc>
        <w:tc>
          <w:tcPr>
            <w:tcW w:w="1570" w:type="dxa"/>
            <w:shd w:val="clear" w:color="auto" w:fill="C6EFCE"/>
            <w:noWrap/>
            <w:vAlign w:val="center"/>
            <w:hideMark/>
          </w:tcPr>
          <w:p w14:paraId="21827A55" w14:textId="77777777" w:rsidR="00327FF1" w:rsidRDefault="00E406C7">
            <w:pPr>
              <w:pStyle w:val="P68B1DB1-Normal11"/>
              <w:jc w:val="center"/>
              <w:rPr>
                <w:noProof/>
                <w:szCs w:val="20"/>
              </w:rPr>
            </w:pPr>
            <w:r>
              <w:rPr>
                <w:noProof/>
              </w:rPr>
              <w:t xml:space="preserve">Reforma — reforma attiecībā uz pašpietiekamiem vecāka </w:t>
            </w:r>
            <w:r>
              <w:rPr>
                <w:noProof/>
              </w:rPr>
              <w:t>gadagājuma cilvēkiem</w:t>
            </w:r>
          </w:p>
        </w:tc>
        <w:tc>
          <w:tcPr>
            <w:tcW w:w="1237" w:type="dxa"/>
            <w:shd w:val="clear" w:color="auto" w:fill="C6EFCE"/>
            <w:noWrap/>
            <w:vAlign w:val="center"/>
            <w:hideMark/>
          </w:tcPr>
          <w:p w14:paraId="259BDF6E" w14:textId="77777777" w:rsidR="00327FF1" w:rsidRDefault="00E406C7">
            <w:pPr>
              <w:pStyle w:val="P68B1DB1-Normal11"/>
              <w:jc w:val="center"/>
              <w:rPr>
                <w:noProof/>
                <w:szCs w:val="20"/>
              </w:rPr>
            </w:pPr>
            <w:r>
              <w:rPr>
                <w:noProof/>
              </w:rPr>
              <w:t>Atskaites punkts</w:t>
            </w:r>
          </w:p>
        </w:tc>
        <w:tc>
          <w:tcPr>
            <w:tcW w:w="1641" w:type="dxa"/>
            <w:shd w:val="clear" w:color="auto" w:fill="C6EFCE"/>
            <w:noWrap/>
            <w:vAlign w:val="center"/>
            <w:hideMark/>
          </w:tcPr>
          <w:p w14:paraId="67D73C8D" w14:textId="77777777" w:rsidR="00327FF1" w:rsidRDefault="00E406C7">
            <w:pPr>
              <w:pStyle w:val="P68B1DB1-Normal11"/>
              <w:jc w:val="center"/>
              <w:rPr>
                <w:noProof/>
                <w:szCs w:val="20"/>
              </w:rPr>
            </w:pPr>
            <w:r>
              <w:rPr>
                <w:noProof/>
              </w:rPr>
              <w:t>Stājas spēkā pamatlikums, kas nostiprina pasākumus par labu vecāka gadagājuma cilvēkiem, kuri nav pašpietiekami</w:t>
            </w:r>
          </w:p>
        </w:tc>
        <w:tc>
          <w:tcPr>
            <w:tcW w:w="1453" w:type="dxa"/>
            <w:shd w:val="clear" w:color="auto" w:fill="C6EFCE"/>
            <w:noWrap/>
            <w:vAlign w:val="center"/>
            <w:hideMark/>
          </w:tcPr>
          <w:p w14:paraId="473AD2E6" w14:textId="77777777" w:rsidR="00327FF1" w:rsidRDefault="00E406C7">
            <w:pPr>
              <w:pStyle w:val="P68B1DB1-Normal14"/>
              <w:jc w:val="center"/>
              <w:rPr>
                <w:noProof/>
                <w:color w:val="006100"/>
                <w:szCs w:val="20"/>
              </w:rPr>
            </w:pPr>
            <w:r>
              <w:rPr>
                <w:noProof/>
                <w:color w:val="006100"/>
              </w:rPr>
              <w:t>Likuma noteikumi, kas norāda uz Pamatlikuma stāšanos spēkā, kas pastiprina pasākumus par labu vecāka gadag</w:t>
            </w:r>
            <w:r>
              <w:rPr>
                <w:noProof/>
                <w:color w:val="006100"/>
              </w:rPr>
              <w:t>ājuma cilvēkiem, kuri nav pašpietiekami</w:t>
            </w:r>
          </w:p>
        </w:tc>
        <w:tc>
          <w:tcPr>
            <w:tcW w:w="1339" w:type="dxa"/>
            <w:shd w:val="clear" w:color="auto" w:fill="C6EFCE"/>
            <w:noWrap/>
            <w:vAlign w:val="center"/>
            <w:hideMark/>
          </w:tcPr>
          <w:p w14:paraId="36B9AE0D" w14:textId="77777777" w:rsidR="00327FF1" w:rsidRDefault="00E406C7">
            <w:pPr>
              <w:pStyle w:val="P68B1DB1-Normal11"/>
              <w:jc w:val="center"/>
              <w:rPr>
                <w:noProof/>
                <w:szCs w:val="20"/>
              </w:rPr>
            </w:pPr>
            <w:r>
              <w:rPr>
                <w:noProof/>
              </w:rPr>
              <w:t>NEPIEMĒRO</w:t>
            </w:r>
          </w:p>
        </w:tc>
        <w:tc>
          <w:tcPr>
            <w:tcW w:w="1369" w:type="dxa"/>
            <w:shd w:val="clear" w:color="auto" w:fill="C6EFCE"/>
            <w:noWrap/>
            <w:vAlign w:val="center"/>
            <w:hideMark/>
          </w:tcPr>
          <w:p w14:paraId="0C57032A" w14:textId="77777777" w:rsidR="00327FF1" w:rsidRDefault="00E406C7">
            <w:pPr>
              <w:pStyle w:val="P68B1DB1-Normal11"/>
              <w:jc w:val="center"/>
              <w:rPr>
                <w:rFonts w:eastAsia="Calibri"/>
                <w:noProof/>
                <w:szCs w:val="20"/>
              </w:rPr>
            </w:pPr>
            <w:r>
              <w:rPr>
                <w:noProof/>
              </w:rPr>
              <w:t>NEPIEMĒRO</w:t>
            </w:r>
          </w:p>
        </w:tc>
        <w:tc>
          <w:tcPr>
            <w:tcW w:w="1377" w:type="dxa"/>
            <w:shd w:val="clear" w:color="auto" w:fill="C6EFCE"/>
            <w:noWrap/>
            <w:vAlign w:val="center"/>
            <w:hideMark/>
          </w:tcPr>
          <w:p w14:paraId="01211EF4" w14:textId="77777777" w:rsidR="00327FF1" w:rsidRDefault="00E406C7">
            <w:pPr>
              <w:pStyle w:val="P68B1DB1-Normal11"/>
              <w:jc w:val="center"/>
              <w:rPr>
                <w:rFonts w:eastAsia="Calibri"/>
                <w:noProof/>
                <w:szCs w:val="20"/>
              </w:rPr>
            </w:pPr>
            <w:r>
              <w:rPr>
                <w:noProof/>
              </w:rPr>
              <w:t>NEPIEMĒRO</w:t>
            </w:r>
          </w:p>
        </w:tc>
        <w:tc>
          <w:tcPr>
            <w:tcW w:w="1062" w:type="dxa"/>
            <w:shd w:val="clear" w:color="auto" w:fill="C6EFCE"/>
            <w:noWrap/>
            <w:vAlign w:val="center"/>
            <w:hideMark/>
          </w:tcPr>
          <w:p w14:paraId="6EAD2F0F" w14:textId="77777777" w:rsidR="00327FF1" w:rsidRDefault="00E406C7">
            <w:pPr>
              <w:pStyle w:val="P68B1DB1-Normal11"/>
              <w:jc w:val="center"/>
              <w:rPr>
                <w:noProof/>
                <w:szCs w:val="20"/>
              </w:rPr>
            </w:pPr>
            <w:r>
              <w:rPr>
                <w:noProof/>
              </w:rPr>
              <w:t>Q1</w:t>
            </w:r>
          </w:p>
        </w:tc>
        <w:tc>
          <w:tcPr>
            <w:tcW w:w="745" w:type="dxa"/>
            <w:shd w:val="clear" w:color="auto" w:fill="C6EFCE"/>
            <w:noWrap/>
            <w:vAlign w:val="center"/>
            <w:hideMark/>
          </w:tcPr>
          <w:p w14:paraId="04F34A0A" w14:textId="77777777" w:rsidR="00327FF1" w:rsidRDefault="00E406C7">
            <w:pPr>
              <w:pStyle w:val="P68B1DB1-Normal11"/>
              <w:jc w:val="center"/>
              <w:rPr>
                <w:rFonts w:eastAsia="Calibri"/>
                <w:noProof/>
                <w:szCs w:val="20"/>
              </w:rPr>
            </w:pPr>
            <w:r>
              <w:rPr>
                <w:noProof/>
              </w:rPr>
              <w:t>2023</w:t>
            </w:r>
          </w:p>
        </w:tc>
        <w:tc>
          <w:tcPr>
            <w:tcW w:w="4406" w:type="dxa"/>
            <w:shd w:val="clear" w:color="auto" w:fill="C6EFCE"/>
            <w:noWrap/>
            <w:vAlign w:val="center"/>
            <w:hideMark/>
          </w:tcPr>
          <w:p w14:paraId="046C1CC1" w14:textId="77777777" w:rsidR="00327FF1" w:rsidRDefault="00E406C7">
            <w:pPr>
              <w:pStyle w:val="P68B1DB1-Normal11"/>
              <w:rPr>
                <w:noProof/>
                <w:szCs w:val="20"/>
              </w:rPr>
            </w:pPr>
            <w:r>
              <w:rPr>
                <w:noProof/>
              </w:rPr>
              <w:t>Valdības ierosinātais pamatlikums nostiprina pasākumus pašpietiekamu vecu cilvēku labā. Likums vienkāršo un nodrošina vienotus kontaktpunktus sociālo un veselības aprūpes pakalpo</w:t>
            </w:r>
            <w:r>
              <w:rPr>
                <w:noProof/>
              </w:rPr>
              <w:t>jumu jomā, pārskata procedūras, lai novērtētu pašpietiekamu vecāka gadagājuma cilvēku stāvokli, un palielina sociālo un veselības aprūpes pakalpojumu kopumu, ko var sniegt mājās. Likumā nosaka arī nepieciešamos finanšu resursus.</w:t>
            </w:r>
          </w:p>
        </w:tc>
      </w:tr>
      <w:tr w:rsidR="00327FF1" w14:paraId="1AEC87F6" w14:textId="77777777">
        <w:trPr>
          <w:trHeight w:val="309"/>
          <w:jc w:val="center"/>
        </w:trPr>
        <w:tc>
          <w:tcPr>
            <w:tcW w:w="1402" w:type="dxa"/>
            <w:shd w:val="clear" w:color="auto" w:fill="C6EFCE"/>
            <w:noWrap/>
            <w:vAlign w:val="center"/>
            <w:hideMark/>
          </w:tcPr>
          <w:p w14:paraId="5638FCB4" w14:textId="77777777" w:rsidR="00327FF1" w:rsidRDefault="00E406C7">
            <w:pPr>
              <w:pStyle w:val="P68B1DB1-Normal11"/>
              <w:jc w:val="center"/>
              <w:rPr>
                <w:rFonts w:eastAsia="Calibri"/>
                <w:noProof/>
                <w:szCs w:val="20"/>
              </w:rPr>
            </w:pPr>
            <w:r>
              <w:rPr>
                <w:noProof/>
              </w:rPr>
              <w:t>M5C2–4</w:t>
            </w:r>
          </w:p>
        </w:tc>
        <w:tc>
          <w:tcPr>
            <w:tcW w:w="1570" w:type="dxa"/>
            <w:shd w:val="clear" w:color="auto" w:fill="C6EFCE"/>
            <w:noWrap/>
            <w:vAlign w:val="center"/>
            <w:hideMark/>
          </w:tcPr>
          <w:p w14:paraId="634379D4" w14:textId="77777777" w:rsidR="00327FF1" w:rsidRDefault="00E406C7">
            <w:pPr>
              <w:pStyle w:val="P68B1DB1-Normal11"/>
              <w:jc w:val="center"/>
              <w:rPr>
                <w:noProof/>
                <w:szCs w:val="20"/>
              </w:rPr>
            </w:pPr>
            <w:r>
              <w:rPr>
                <w:noProof/>
              </w:rPr>
              <w:t xml:space="preserve">Reforma — reforma </w:t>
            </w:r>
            <w:r>
              <w:rPr>
                <w:noProof/>
              </w:rPr>
              <w:t>attiecībā uz vecāka gadagājuma cilvēkiem, kas nav pašpietiekami</w:t>
            </w:r>
          </w:p>
        </w:tc>
        <w:tc>
          <w:tcPr>
            <w:tcW w:w="1237" w:type="dxa"/>
            <w:shd w:val="clear" w:color="auto" w:fill="C6EFCE"/>
            <w:noWrap/>
            <w:vAlign w:val="center"/>
            <w:hideMark/>
          </w:tcPr>
          <w:p w14:paraId="2EA59E32" w14:textId="77777777" w:rsidR="00327FF1" w:rsidRDefault="00E406C7">
            <w:pPr>
              <w:pStyle w:val="P68B1DB1-Normal11"/>
              <w:jc w:val="center"/>
              <w:rPr>
                <w:rFonts w:eastAsia="Calibri"/>
                <w:noProof/>
                <w:szCs w:val="20"/>
              </w:rPr>
            </w:pPr>
            <w:r>
              <w:rPr>
                <w:noProof/>
              </w:rPr>
              <w:t>Atskaites punkts</w:t>
            </w:r>
          </w:p>
        </w:tc>
        <w:tc>
          <w:tcPr>
            <w:tcW w:w="1641" w:type="dxa"/>
            <w:shd w:val="clear" w:color="auto" w:fill="C6EFCE"/>
            <w:noWrap/>
            <w:vAlign w:val="center"/>
            <w:hideMark/>
          </w:tcPr>
          <w:p w14:paraId="22B2B863" w14:textId="77777777" w:rsidR="00327FF1" w:rsidRDefault="00E406C7">
            <w:pPr>
              <w:pStyle w:val="P68B1DB1-Normal11"/>
              <w:jc w:val="center"/>
              <w:rPr>
                <w:noProof/>
                <w:szCs w:val="20"/>
              </w:rPr>
            </w:pPr>
            <w:r>
              <w:rPr>
                <w:noProof/>
              </w:rPr>
              <w:t>Stājies spēkā leģislatīvais dekrēts, ar ko tiek izstrādāti Pamatlikumā paredzētie noteikumi, lai stiprinātu darbības par labu vecāka gadagājuma cilvēkiem, kuri nav pašpietieka</w:t>
            </w:r>
            <w:r>
              <w:rPr>
                <w:noProof/>
              </w:rPr>
              <w:t>mi</w:t>
            </w:r>
          </w:p>
        </w:tc>
        <w:tc>
          <w:tcPr>
            <w:tcW w:w="1453" w:type="dxa"/>
            <w:shd w:val="clear" w:color="auto" w:fill="C6EFCE"/>
            <w:noWrap/>
            <w:vAlign w:val="center"/>
            <w:hideMark/>
          </w:tcPr>
          <w:p w14:paraId="3D5867BC" w14:textId="77777777" w:rsidR="00327FF1" w:rsidRDefault="00E406C7">
            <w:pPr>
              <w:pStyle w:val="P68B1DB1-Normal11"/>
              <w:jc w:val="center"/>
              <w:rPr>
                <w:noProof/>
                <w:szCs w:val="20"/>
              </w:rPr>
            </w:pPr>
            <w:r>
              <w:rPr>
                <w:noProof/>
              </w:rPr>
              <w:t>Likuma normas, kas norāda uz Leģislatīvā dekrēta stāšanos spēkā</w:t>
            </w:r>
          </w:p>
        </w:tc>
        <w:tc>
          <w:tcPr>
            <w:tcW w:w="1339" w:type="dxa"/>
            <w:shd w:val="clear" w:color="auto" w:fill="C6EFCE"/>
            <w:noWrap/>
            <w:vAlign w:val="center"/>
            <w:hideMark/>
          </w:tcPr>
          <w:p w14:paraId="039072DD" w14:textId="77777777" w:rsidR="00327FF1" w:rsidRDefault="00E406C7">
            <w:pPr>
              <w:pStyle w:val="P68B1DB1-Normal11"/>
              <w:jc w:val="center"/>
              <w:rPr>
                <w:rFonts w:eastAsia="Calibri"/>
                <w:noProof/>
                <w:szCs w:val="20"/>
              </w:rPr>
            </w:pPr>
            <w:r>
              <w:rPr>
                <w:noProof/>
              </w:rPr>
              <w:t>NEPIEMĒRO</w:t>
            </w:r>
          </w:p>
        </w:tc>
        <w:tc>
          <w:tcPr>
            <w:tcW w:w="1369" w:type="dxa"/>
            <w:shd w:val="clear" w:color="auto" w:fill="C6EFCE"/>
            <w:noWrap/>
            <w:vAlign w:val="center"/>
            <w:hideMark/>
          </w:tcPr>
          <w:p w14:paraId="57933A69" w14:textId="77777777" w:rsidR="00327FF1" w:rsidRDefault="00E406C7">
            <w:pPr>
              <w:pStyle w:val="P68B1DB1-Normal11"/>
              <w:jc w:val="center"/>
              <w:rPr>
                <w:rFonts w:eastAsia="Calibri"/>
                <w:noProof/>
                <w:szCs w:val="20"/>
              </w:rPr>
            </w:pPr>
            <w:r>
              <w:rPr>
                <w:noProof/>
              </w:rPr>
              <w:t>NEPIEMĒRO</w:t>
            </w:r>
          </w:p>
        </w:tc>
        <w:tc>
          <w:tcPr>
            <w:tcW w:w="1377" w:type="dxa"/>
            <w:shd w:val="clear" w:color="auto" w:fill="C6EFCE"/>
            <w:noWrap/>
            <w:vAlign w:val="center"/>
            <w:hideMark/>
          </w:tcPr>
          <w:p w14:paraId="4634BBD7" w14:textId="77777777" w:rsidR="00327FF1" w:rsidRDefault="00E406C7">
            <w:pPr>
              <w:pStyle w:val="P68B1DB1-Normal11"/>
              <w:jc w:val="center"/>
              <w:rPr>
                <w:rFonts w:eastAsia="Calibri"/>
                <w:noProof/>
                <w:szCs w:val="20"/>
              </w:rPr>
            </w:pPr>
            <w:r>
              <w:rPr>
                <w:noProof/>
              </w:rPr>
              <w:t>NEPIEMĒRO</w:t>
            </w:r>
          </w:p>
        </w:tc>
        <w:tc>
          <w:tcPr>
            <w:tcW w:w="1062" w:type="dxa"/>
            <w:shd w:val="clear" w:color="auto" w:fill="C6EFCE"/>
            <w:noWrap/>
            <w:vAlign w:val="center"/>
            <w:hideMark/>
          </w:tcPr>
          <w:p w14:paraId="7016FDF2" w14:textId="77777777" w:rsidR="00327FF1" w:rsidRDefault="00E406C7">
            <w:pPr>
              <w:pStyle w:val="P68B1DB1-Normal11"/>
              <w:jc w:val="center"/>
              <w:rPr>
                <w:noProof/>
                <w:szCs w:val="20"/>
              </w:rPr>
            </w:pPr>
            <w:r>
              <w:rPr>
                <w:noProof/>
              </w:rPr>
              <w:t>Q1</w:t>
            </w:r>
          </w:p>
        </w:tc>
        <w:tc>
          <w:tcPr>
            <w:tcW w:w="745" w:type="dxa"/>
            <w:shd w:val="clear" w:color="auto" w:fill="C6EFCE"/>
            <w:noWrap/>
            <w:vAlign w:val="center"/>
            <w:hideMark/>
          </w:tcPr>
          <w:p w14:paraId="3D191AC2" w14:textId="77777777" w:rsidR="00327FF1" w:rsidRDefault="00E406C7">
            <w:pPr>
              <w:pStyle w:val="P68B1DB1-Normal11"/>
              <w:jc w:val="center"/>
              <w:rPr>
                <w:noProof/>
                <w:szCs w:val="20"/>
              </w:rPr>
            </w:pPr>
            <w:r>
              <w:rPr>
                <w:noProof/>
              </w:rPr>
              <w:t>2024</w:t>
            </w:r>
          </w:p>
        </w:tc>
        <w:tc>
          <w:tcPr>
            <w:tcW w:w="4406" w:type="dxa"/>
            <w:shd w:val="clear" w:color="auto" w:fill="C6EFCE"/>
            <w:noWrap/>
            <w:vAlign w:val="center"/>
            <w:hideMark/>
          </w:tcPr>
          <w:p w14:paraId="07246969" w14:textId="77777777" w:rsidR="00327FF1" w:rsidRDefault="00E406C7">
            <w:pPr>
              <w:pStyle w:val="P68B1DB1-Normal11"/>
              <w:rPr>
                <w:noProof/>
                <w:szCs w:val="20"/>
              </w:rPr>
            </w:pPr>
            <w:r>
              <w:rPr>
                <w:noProof/>
              </w:rPr>
              <w:t xml:space="preserve">Leģislatīvajā dekrētā precizē pamatlikumā paredzētos noteikumus, lai stiprinātu darbības par labu pašpietiekamiem vecāka gadagājuma cilvēkiem, </w:t>
            </w:r>
            <w:r>
              <w:rPr>
                <w:noProof/>
              </w:rPr>
              <w:t>īstenojot dažādus pasākumus.</w:t>
            </w:r>
          </w:p>
        </w:tc>
      </w:tr>
      <w:tr w:rsidR="00327FF1" w14:paraId="64EBB713" w14:textId="77777777">
        <w:trPr>
          <w:trHeight w:val="309"/>
          <w:jc w:val="center"/>
        </w:trPr>
        <w:tc>
          <w:tcPr>
            <w:tcW w:w="1402" w:type="dxa"/>
            <w:shd w:val="clear" w:color="auto" w:fill="C6EFCE"/>
            <w:noWrap/>
            <w:vAlign w:val="center"/>
            <w:hideMark/>
          </w:tcPr>
          <w:p w14:paraId="7F289F49" w14:textId="77777777" w:rsidR="00327FF1" w:rsidRDefault="00E406C7">
            <w:pPr>
              <w:pStyle w:val="P68B1DB1-Normal11"/>
              <w:jc w:val="center"/>
              <w:rPr>
                <w:noProof/>
                <w:szCs w:val="20"/>
              </w:rPr>
            </w:pPr>
            <w:r>
              <w:rPr>
                <w:noProof/>
              </w:rPr>
              <w:t>M5C2–5</w:t>
            </w:r>
          </w:p>
        </w:tc>
        <w:tc>
          <w:tcPr>
            <w:tcW w:w="1570" w:type="dxa"/>
            <w:shd w:val="clear" w:color="auto" w:fill="C6EFCE"/>
            <w:noWrap/>
            <w:vAlign w:val="center"/>
            <w:hideMark/>
          </w:tcPr>
          <w:p w14:paraId="5473B931" w14:textId="77777777" w:rsidR="00327FF1" w:rsidRDefault="00E406C7">
            <w:pPr>
              <w:pStyle w:val="P68B1DB1-Normal11"/>
              <w:jc w:val="center"/>
              <w:rPr>
                <w:noProof/>
                <w:szCs w:val="20"/>
              </w:rPr>
            </w:pPr>
            <w:r>
              <w:rPr>
                <w:noProof/>
              </w:rPr>
              <w:t>Investīcija Nr. 1 — Atbalsts neaizsargātām personām un institucionalizācijas novēršana</w:t>
            </w:r>
          </w:p>
        </w:tc>
        <w:tc>
          <w:tcPr>
            <w:tcW w:w="1237" w:type="dxa"/>
            <w:shd w:val="clear" w:color="auto" w:fill="C6EFCE"/>
            <w:noWrap/>
            <w:vAlign w:val="center"/>
            <w:hideMark/>
          </w:tcPr>
          <w:p w14:paraId="7694686F" w14:textId="77777777" w:rsidR="00327FF1" w:rsidRDefault="00E406C7">
            <w:pPr>
              <w:pStyle w:val="P68B1DB1-Normal11"/>
              <w:jc w:val="center"/>
              <w:rPr>
                <w:noProof/>
                <w:szCs w:val="20"/>
              </w:rPr>
            </w:pPr>
            <w:r>
              <w:rPr>
                <w:noProof/>
              </w:rPr>
              <w:t>Atskaites punkts</w:t>
            </w:r>
          </w:p>
        </w:tc>
        <w:tc>
          <w:tcPr>
            <w:tcW w:w="1641" w:type="dxa"/>
            <w:shd w:val="clear" w:color="auto" w:fill="C6EFCE"/>
            <w:noWrap/>
            <w:vAlign w:val="center"/>
            <w:hideMark/>
          </w:tcPr>
          <w:p w14:paraId="36777026" w14:textId="77777777" w:rsidR="00327FF1" w:rsidRDefault="00E406C7">
            <w:pPr>
              <w:pStyle w:val="P68B1DB1-Normal12"/>
              <w:jc w:val="center"/>
              <w:rPr>
                <w:noProof/>
              </w:rPr>
            </w:pPr>
            <w:r>
              <w:rPr>
                <w:noProof/>
              </w:rPr>
              <w:t>Darbības plāna stāšanās spēkā</w:t>
            </w:r>
          </w:p>
        </w:tc>
        <w:tc>
          <w:tcPr>
            <w:tcW w:w="1453" w:type="dxa"/>
            <w:shd w:val="clear" w:color="auto" w:fill="C6EFCE"/>
            <w:noWrap/>
            <w:vAlign w:val="center"/>
            <w:hideMark/>
          </w:tcPr>
          <w:p w14:paraId="1F16252B" w14:textId="77777777" w:rsidR="00327FF1" w:rsidRDefault="00E406C7">
            <w:pPr>
              <w:pStyle w:val="P68B1DB1-Normal11"/>
              <w:jc w:val="center"/>
              <w:rPr>
                <w:noProof/>
                <w:szCs w:val="20"/>
              </w:rPr>
            </w:pPr>
            <w:r>
              <w:rPr>
                <w:noProof/>
              </w:rPr>
              <w:t>Likuma noteikumi, kas norāda, ka ir stājies spēkā operatīvais intervences plāns</w:t>
            </w:r>
          </w:p>
        </w:tc>
        <w:tc>
          <w:tcPr>
            <w:tcW w:w="1339" w:type="dxa"/>
            <w:shd w:val="clear" w:color="auto" w:fill="C6EFCE"/>
            <w:noWrap/>
            <w:vAlign w:val="center"/>
            <w:hideMark/>
          </w:tcPr>
          <w:p w14:paraId="2F9CA16A" w14:textId="77777777" w:rsidR="00327FF1" w:rsidRDefault="00E406C7">
            <w:pPr>
              <w:pStyle w:val="P68B1DB1-Normal11"/>
              <w:jc w:val="center"/>
              <w:rPr>
                <w:rFonts w:eastAsia="Calibri"/>
                <w:noProof/>
                <w:szCs w:val="20"/>
              </w:rPr>
            </w:pPr>
            <w:r>
              <w:rPr>
                <w:noProof/>
              </w:rPr>
              <w:t>NEPIEMĒRO</w:t>
            </w:r>
          </w:p>
        </w:tc>
        <w:tc>
          <w:tcPr>
            <w:tcW w:w="1369" w:type="dxa"/>
            <w:shd w:val="clear" w:color="auto" w:fill="C6EFCE"/>
            <w:noWrap/>
            <w:vAlign w:val="center"/>
            <w:hideMark/>
          </w:tcPr>
          <w:p w14:paraId="26E91B3A" w14:textId="77777777" w:rsidR="00327FF1" w:rsidRDefault="00E406C7">
            <w:pPr>
              <w:pStyle w:val="P68B1DB1-Normal11"/>
              <w:jc w:val="center"/>
              <w:rPr>
                <w:rFonts w:eastAsia="Calibri"/>
                <w:noProof/>
                <w:szCs w:val="20"/>
              </w:rPr>
            </w:pPr>
            <w:r>
              <w:rPr>
                <w:noProof/>
              </w:rPr>
              <w:t>NEPIEMĒRO</w:t>
            </w:r>
          </w:p>
        </w:tc>
        <w:tc>
          <w:tcPr>
            <w:tcW w:w="1377" w:type="dxa"/>
            <w:shd w:val="clear" w:color="auto" w:fill="C6EFCE"/>
            <w:noWrap/>
            <w:vAlign w:val="center"/>
            <w:hideMark/>
          </w:tcPr>
          <w:p w14:paraId="57C650FE" w14:textId="77777777" w:rsidR="00327FF1" w:rsidRDefault="00E406C7">
            <w:pPr>
              <w:pStyle w:val="P68B1DB1-Normal11"/>
              <w:jc w:val="center"/>
              <w:rPr>
                <w:rFonts w:eastAsia="Calibri"/>
                <w:noProof/>
                <w:szCs w:val="20"/>
              </w:rPr>
            </w:pPr>
            <w:r>
              <w:rPr>
                <w:noProof/>
              </w:rPr>
              <w:t>NEPIEMĒRO</w:t>
            </w:r>
          </w:p>
        </w:tc>
        <w:tc>
          <w:tcPr>
            <w:tcW w:w="1062" w:type="dxa"/>
            <w:shd w:val="clear" w:color="auto" w:fill="C6EFCE"/>
            <w:noWrap/>
            <w:vAlign w:val="center"/>
            <w:hideMark/>
          </w:tcPr>
          <w:p w14:paraId="6E1E00B4" w14:textId="77777777" w:rsidR="00327FF1" w:rsidRDefault="00E406C7">
            <w:pPr>
              <w:pStyle w:val="P68B1DB1-Normal11"/>
              <w:jc w:val="center"/>
              <w:rPr>
                <w:rFonts w:eastAsia="Calibri"/>
                <w:noProof/>
                <w:szCs w:val="20"/>
              </w:rPr>
            </w:pPr>
            <w:r>
              <w:rPr>
                <w:noProof/>
              </w:rPr>
              <w:t>4. CET.</w:t>
            </w:r>
          </w:p>
        </w:tc>
        <w:tc>
          <w:tcPr>
            <w:tcW w:w="745" w:type="dxa"/>
            <w:shd w:val="clear" w:color="auto" w:fill="C6EFCE"/>
            <w:noWrap/>
            <w:vAlign w:val="center"/>
            <w:hideMark/>
          </w:tcPr>
          <w:p w14:paraId="100DF0D4" w14:textId="77777777" w:rsidR="00327FF1" w:rsidRDefault="00E406C7">
            <w:pPr>
              <w:pStyle w:val="P68B1DB1-Normal11"/>
              <w:jc w:val="center"/>
              <w:rPr>
                <w:rFonts w:eastAsia="Calibri"/>
                <w:noProof/>
                <w:szCs w:val="20"/>
              </w:rPr>
            </w:pPr>
            <w:r>
              <w:rPr>
                <w:noProof/>
              </w:rPr>
              <w:t>2021</w:t>
            </w:r>
          </w:p>
        </w:tc>
        <w:tc>
          <w:tcPr>
            <w:tcW w:w="4406" w:type="dxa"/>
            <w:shd w:val="clear" w:color="auto" w:fill="C6EFCE"/>
            <w:noWrap/>
            <w:vAlign w:val="center"/>
            <w:hideMark/>
          </w:tcPr>
          <w:p w14:paraId="01DCBD2D" w14:textId="77777777" w:rsidR="00327FF1" w:rsidRDefault="00E406C7">
            <w:pPr>
              <w:pStyle w:val="P68B1DB1-Normal11"/>
              <w:rPr>
                <w:noProof/>
                <w:szCs w:val="20"/>
              </w:rPr>
            </w:pPr>
            <w:r>
              <w:rPr>
                <w:noProof/>
              </w:rPr>
              <w:t xml:space="preserve">Darbības plānā nosaka prasības projektiem, kurus var iesniegt vietējās struktūras un kuri attiecas uz četrām dimensijām: atbalsts vecākiem, kuru bērni ir vecumā no 0 līdz 17 gadiem, ii) atbalsts vecāka gadagājuma </w:t>
            </w:r>
            <w:r>
              <w:rPr>
                <w:noProof/>
              </w:rPr>
              <w:t>cilvēku autonomijai, iii) mājas pakalpojumi vecāka gadagājuma cilvēkiem un iv) atbalsts sociālajiem darbiniekiem.</w:t>
            </w:r>
          </w:p>
          <w:p w14:paraId="0C5217C1" w14:textId="77777777" w:rsidR="00327FF1" w:rsidRDefault="00E406C7">
            <w:pPr>
              <w:pStyle w:val="P68B1DB1-Normal11"/>
              <w:rPr>
                <w:noProof/>
                <w:szCs w:val="20"/>
              </w:rPr>
            </w:pPr>
            <w:r>
              <w:rPr>
                <w:noProof/>
              </w:rPr>
              <w:t xml:space="preserve">Darbība “Atbalsts vecākiem” ietver vismaz atbalsta sniegšanu saņēmējām ģimenēm vismaz 18 mēnešus, i) veicot ģimenes vides un bērnu situācijas </w:t>
            </w:r>
            <w:r>
              <w:rPr>
                <w:noProof/>
              </w:rPr>
              <w:t>iepriekšēju novērtējumu, ii) veicot situācijas novērtējumu, izveidojot kvalificētu speciālistu daudzdisciplīnu komandu, un iii) sniedzot vismaz vienu no šādiem pakalpojumiem: mājas pakalpojumi, līdzdalība vecāku un bērnu atbalsta grupās; skolu, ģimeņu un s</w:t>
            </w:r>
            <w:r>
              <w:rPr>
                <w:noProof/>
              </w:rPr>
              <w:t>ociālo dienestu sadarbība un/vai kopīgi ģimenes aprūpes pakalpojumi.</w:t>
            </w:r>
          </w:p>
          <w:p w14:paraId="446607A1" w14:textId="77777777" w:rsidR="00327FF1" w:rsidRDefault="00E406C7">
            <w:pPr>
              <w:pStyle w:val="P68B1DB1-Normal11"/>
              <w:rPr>
                <w:rFonts w:eastAsia="Calibri"/>
                <w:noProof/>
                <w:szCs w:val="20"/>
              </w:rPr>
            </w:pPr>
            <w:r>
              <w:rPr>
                <w:noProof/>
              </w:rPr>
              <w:t>Darbība “vecāka gadagājuma cilvēku autonomija” ietver vismaz vecu cilvēku veco ļaužu pansionātu pārveidošanu autonomo dzīvokļu grupās, kuros ir visas nepieciešamās iekārtas un pakalpojumi</w:t>
            </w:r>
            <w:r>
              <w:rPr>
                <w:noProof/>
              </w:rPr>
              <w:t>, tostarp mājas automatizācija, telemedicīna un attālināta uzraudzība.</w:t>
            </w:r>
          </w:p>
          <w:p w14:paraId="193F8505" w14:textId="77777777" w:rsidR="00327FF1" w:rsidRDefault="00E406C7">
            <w:pPr>
              <w:pStyle w:val="P68B1DB1-Normal11"/>
              <w:rPr>
                <w:rFonts w:eastAsia="Calibri"/>
                <w:noProof/>
                <w:szCs w:val="20"/>
              </w:rPr>
            </w:pPr>
            <w:r>
              <w:rPr>
                <w:noProof/>
              </w:rPr>
              <w:t>Darbības “Mājokļa pakalpojumi vecāka gadagājuma cilvēkiem” mērķis ir nodrošināt īpašu apmācību profesionāļiem par mājas pakalpojumiem vecāka gadagājuma cilvēkiem.</w:t>
            </w:r>
          </w:p>
          <w:p w14:paraId="34DEDDB2" w14:textId="10483202" w:rsidR="00327FF1" w:rsidRDefault="00E406C7">
            <w:pPr>
              <w:pStyle w:val="P68B1DB1-Normal11"/>
              <w:rPr>
                <w:rFonts w:eastAsia="Calibri"/>
                <w:noProof/>
                <w:szCs w:val="20"/>
              </w:rPr>
            </w:pPr>
            <w:r>
              <w:rPr>
                <w:noProof/>
              </w:rPr>
              <w:t>Darbība “atbalsts soci</w:t>
            </w:r>
            <w:r>
              <w:rPr>
                <w:noProof/>
              </w:rPr>
              <w:t>ālajiem darbiniekiem” ietver atbalstu sociālajiem operatoriem un viņu profesionalitātes un kompetenču dalīšanas stiprināšanu, galvenokārt ieviešot instrumentus kompetenču sadalei un sniedzot uzraudzības pakalpojumus operatoriem, lai atbalstītu operatoru da</w:t>
            </w:r>
            <w:r>
              <w:rPr>
                <w:noProof/>
              </w:rPr>
              <w:t>rbu.</w:t>
            </w:r>
          </w:p>
        </w:tc>
      </w:tr>
      <w:tr w:rsidR="00327FF1" w14:paraId="06E340D1" w14:textId="77777777">
        <w:trPr>
          <w:trHeight w:val="309"/>
          <w:jc w:val="center"/>
        </w:trPr>
        <w:tc>
          <w:tcPr>
            <w:tcW w:w="1402" w:type="dxa"/>
            <w:shd w:val="clear" w:color="auto" w:fill="C6EFCE"/>
            <w:noWrap/>
            <w:vAlign w:val="center"/>
            <w:hideMark/>
          </w:tcPr>
          <w:p w14:paraId="41DB43B2" w14:textId="77777777" w:rsidR="00327FF1" w:rsidRDefault="00E406C7">
            <w:pPr>
              <w:pStyle w:val="P68B1DB1-Normal11"/>
              <w:spacing w:before="120"/>
              <w:jc w:val="center"/>
              <w:rPr>
                <w:rFonts w:eastAsia="Calibri"/>
                <w:noProof/>
                <w:szCs w:val="20"/>
              </w:rPr>
            </w:pPr>
            <w:r>
              <w:rPr>
                <w:noProof/>
              </w:rPr>
              <w:t>M5C2–7</w:t>
            </w:r>
          </w:p>
        </w:tc>
        <w:tc>
          <w:tcPr>
            <w:tcW w:w="1570" w:type="dxa"/>
            <w:shd w:val="clear" w:color="auto" w:fill="C6EFCE"/>
            <w:noWrap/>
            <w:vAlign w:val="center"/>
            <w:hideMark/>
          </w:tcPr>
          <w:p w14:paraId="13C0DDCE" w14:textId="77777777" w:rsidR="00327FF1" w:rsidRDefault="00E406C7">
            <w:pPr>
              <w:pStyle w:val="P68B1DB1-Normal11"/>
              <w:spacing w:before="120"/>
              <w:jc w:val="center"/>
              <w:rPr>
                <w:rFonts w:eastAsia="Calibri"/>
                <w:noProof/>
                <w:szCs w:val="20"/>
              </w:rPr>
            </w:pPr>
            <w:r>
              <w:rPr>
                <w:noProof/>
              </w:rPr>
              <w:t>Investīcija Nr. 2 “Invalīdu autonomijas modeļi”</w:t>
            </w:r>
          </w:p>
        </w:tc>
        <w:tc>
          <w:tcPr>
            <w:tcW w:w="1237" w:type="dxa"/>
            <w:shd w:val="clear" w:color="auto" w:fill="C6EFCE"/>
            <w:noWrap/>
            <w:vAlign w:val="center"/>
            <w:hideMark/>
          </w:tcPr>
          <w:p w14:paraId="6909EF04" w14:textId="77777777" w:rsidR="00327FF1" w:rsidRDefault="00E406C7">
            <w:pPr>
              <w:pStyle w:val="P68B1DB1-Normal11"/>
              <w:spacing w:before="120" w:after="120"/>
              <w:jc w:val="center"/>
              <w:rPr>
                <w:rFonts w:eastAsia="Calibri"/>
                <w:noProof/>
                <w:szCs w:val="20"/>
              </w:rPr>
            </w:pPr>
            <w:r>
              <w:rPr>
                <w:noProof/>
              </w:rPr>
              <w:t>Mērķa</w:t>
            </w:r>
          </w:p>
        </w:tc>
        <w:tc>
          <w:tcPr>
            <w:tcW w:w="1641" w:type="dxa"/>
            <w:shd w:val="clear" w:color="auto" w:fill="C6EFCE"/>
            <w:noWrap/>
            <w:vAlign w:val="center"/>
            <w:hideMark/>
          </w:tcPr>
          <w:p w14:paraId="3D235BB9" w14:textId="77777777" w:rsidR="00327FF1" w:rsidRDefault="00E406C7">
            <w:pPr>
              <w:pStyle w:val="P68B1DB1-Normal11"/>
              <w:spacing w:before="120" w:after="120"/>
              <w:jc w:val="center"/>
              <w:rPr>
                <w:rFonts w:eastAsia="Calibri"/>
                <w:noProof/>
                <w:szCs w:val="20"/>
              </w:rPr>
            </w:pPr>
            <w:r>
              <w:rPr>
                <w:noProof/>
              </w:rPr>
              <w:t>Sociālie rajoni ir īstenojuši vismaz vienu projektu saistībā ar mājas telpu renovāciju un/vai IKT ierīču nodrošināšanu invalīdiem, kā arī apmācību par digitālajām prasmēm.</w:t>
            </w:r>
          </w:p>
        </w:tc>
        <w:tc>
          <w:tcPr>
            <w:tcW w:w="1453" w:type="dxa"/>
            <w:shd w:val="clear" w:color="auto" w:fill="C6EFCE"/>
            <w:noWrap/>
            <w:vAlign w:val="center"/>
            <w:hideMark/>
          </w:tcPr>
          <w:p w14:paraId="108297EF" w14:textId="77777777" w:rsidR="00327FF1" w:rsidRDefault="00E406C7">
            <w:pPr>
              <w:pStyle w:val="P68B1DB1-Normal11"/>
              <w:spacing w:before="120" w:after="120"/>
              <w:jc w:val="center"/>
              <w:rPr>
                <w:rFonts w:eastAsia="Calibri"/>
                <w:noProof/>
                <w:szCs w:val="20"/>
              </w:rPr>
            </w:pPr>
            <w:r>
              <w:rPr>
                <w:noProof/>
              </w:rPr>
              <w:t>NEPIEMĒRO</w:t>
            </w:r>
          </w:p>
        </w:tc>
        <w:tc>
          <w:tcPr>
            <w:tcW w:w="1339" w:type="dxa"/>
            <w:shd w:val="clear" w:color="auto" w:fill="C6EFCE"/>
            <w:noWrap/>
            <w:vAlign w:val="center"/>
            <w:hideMark/>
          </w:tcPr>
          <w:p w14:paraId="7D0B697D" w14:textId="77777777" w:rsidR="00327FF1" w:rsidRDefault="00E406C7">
            <w:pPr>
              <w:pStyle w:val="P68B1DB1-Normal11"/>
              <w:spacing w:before="120" w:after="120"/>
              <w:jc w:val="center"/>
              <w:rPr>
                <w:rFonts w:eastAsia="Calibri"/>
                <w:noProof/>
                <w:szCs w:val="20"/>
              </w:rPr>
            </w:pPr>
            <w:r>
              <w:rPr>
                <w:noProof/>
              </w:rPr>
              <w:t>Skaits</w:t>
            </w:r>
          </w:p>
        </w:tc>
        <w:tc>
          <w:tcPr>
            <w:tcW w:w="1369" w:type="dxa"/>
            <w:shd w:val="clear" w:color="auto" w:fill="C6EFCE"/>
            <w:noWrap/>
            <w:vAlign w:val="center"/>
            <w:hideMark/>
          </w:tcPr>
          <w:p w14:paraId="39DACD0F" w14:textId="77777777" w:rsidR="00327FF1" w:rsidRDefault="00E406C7">
            <w:pPr>
              <w:pStyle w:val="P68B1DB1-Normal11"/>
              <w:spacing w:before="120" w:after="120"/>
              <w:jc w:val="center"/>
              <w:rPr>
                <w:rFonts w:eastAsia="Calibri"/>
                <w:noProof/>
                <w:szCs w:val="20"/>
              </w:rPr>
            </w:pPr>
            <w:r>
              <w:rPr>
                <w:noProof/>
              </w:rPr>
              <w:t>0</w:t>
            </w:r>
          </w:p>
        </w:tc>
        <w:tc>
          <w:tcPr>
            <w:tcW w:w="1377" w:type="dxa"/>
            <w:shd w:val="clear" w:color="auto" w:fill="C6EFCE"/>
            <w:noWrap/>
            <w:vAlign w:val="center"/>
            <w:hideMark/>
          </w:tcPr>
          <w:p w14:paraId="19F97A9D" w14:textId="77777777" w:rsidR="00327FF1" w:rsidRDefault="00E406C7">
            <w:pPr>
              <w:pStyle w:val="P68B1DB1-Normal11"/>
              <w:spacing w:before="120" w:after="120"/>
              <w:jc w:val="center"/>
              <w:rPr>
                <w:rFonts w:eastAsia="Calibri"/>
                <w:noProof/>
                <w:szCs w:val="20"/>
              </w:rPr>
            </w:pPr>
            <w:r>
              <w:rPr>
                <w:noProof/>
              </w:rPr>
              <w:t>500</w:t>
            </w:r>
          </w:p>
        </w:tc>
        <w:tc>
          <w:tcPr>
            <w:tcW w:w="1062" w:type="dxa"/>
            <w:shd w:val="clear" w:color="auto" w:fill="C6EFCE"/>
            <w:noWrap/>
            <w:vAlign w:val="center"/>
            <w:hideMark/>
          </w:tcPr>
          <w:p w14:paraId="12E19B6D" w14:textId="77777777" w:rsidR="00327FF1" w:rsidRDefault="00E406C7">
            <w:pPr>
              <w:pStyle w:val="P68B1DB1-Normal11"/>
              <w:spacing w:before="120" w:after="120"/>
              <w:jc w:val="center"/>
              <w:rPr>
                <w:rFonts w:eastAsia="Calibri"/>
                <w:noProof/>
                <w:szCs w:val="20"/>
              </w:rPr>
            </w:pPr>
            <w:r>
              <w:rPr>
                <w:noProof/>
              </w:rPr>
              <w:t>4. CET.</w:t>
            </w:r>
          </w:p>
        </w:tc>
        <w:tc>
          <w:tcPr>
            <w:tcW w:w="745" w:type="dxa"/>
            <w:shd w:val="clear" w:color="auto" w:fill="C6EFCE"/>
            <w:noWrap/>
            <w:vAlign w:val="center"/>
            <w:hideMark/>
          </w:tcPr>
          <w:p w14:paraId="74145586" w14:textId="77777777" w:rsidR="00327FF1" w:rsidRDefault="00E406C7">
            <w:pPr>
              <w:pStyle w:val="P68B1DB1-Normal11"/>
              <w:spacing w:before="120" w:after="120"/>
              <w:jc w:val="center"/>
              <w:rPr>
                <w:rFonts w:eastAsia="Calibri"/>
                <w:noProof/>
                <w:szCs w:val="20"/>
              </w:rPr>
            </w:pPr>
            <w:r>
              <w:rPr>
                <w:noProof/>
              </w:rPr>
              <w:t>2022</w:t>
            </w:r>
          </w:p>
        </w:tc>
        <w:tc>
          <w:tcPr>
            <w:tcW w:w="4406" w:type="dxa"/>
            <w:shd w:val="clear" w:color="auto" w:fill="C6EFCE"/>
            <w:noWrap/>
            <w:vAlign w:val="center"/>
            <w:hideMark/>
          </w:tcPr>
          <w:p w14:paraId="4B21E6F9" w14:textId="77777777" w:rsidR="00327FF1" w:rsidRDefault="00E406C7">
            <w:pPr>
              <w:pStyle w:val="P68B1DB1-Normal11"/>
              <w:spacing w:before="120" w:after="120"/>
              <w:rPr>
                <w:rFonts w:eastAsia="Calibri"/>
                <w:noProof/>
                <w:szCs w:val="20"/>
              </w:rPr>
            </w:pPr>
            <w:r>
              <w:rPr>
                <w:noProof/>
              </w:rPr>
              <w:t xml:space="preserve">Sociālie rajoni nodrošina vismaz 500 projektus saistībā ar mājas telpu renovāciju un/vai IKT ierīču nodrošināšanu invalīdiem, kā arī digitālo prasmju apmācību. </w:t>
            </w:r>
          </w:p>
          <w:p w14:paraId="6EA6AA82" w14:textId="77777777" w:rsidR="00327FF1" w:rsidRDefault="00E406C7">
            <w:pPr>
              <w:pStyle w:val="P68B1DB1-Normal11"/>
              <w:spacing w:before="120" w:after="120"/>
              <w:rPr>
                <w:rFonts w:eastAsia="Calibri"/>
                <w:noProof/>
                <w:szCs w:val="20"/>
              </w:rPr>
            </w:pPr>
            <w:r>
              <w:rPr>
                <w:noProof/>
              </w:rPr>
              <w:t>Mērķrādītāja apmierinoša sasniegšana ir atkarīga arī no sekundārā mērķrādītā</w:t>
            </w:r>
            <w:r>
              <w:rPr>
                <w:noProof/>
              </w:rPr>
              <w:t>ja apmierinošas izpildes: vismaz 500 sociālie rajoni ir īstenojuši vismaz vienu projektu saistībā ar mājas telpu renovāciju un/vai IKT ierīču nodrošināšanu invalīdiem, kā arī apmācību par digitālajām prasmēm.</w:t>
            </w:r>
          </w:p>
          <w:p w14:paraId="0AE82515" w14:textId="77777777" w:rsidR="00327FF1" w:rsidRDefault="00E406C7">
            <w:pPr>
              <w:pStyle w:val="P68B1DB1-Normal11"/>
              <w:spacing w:before="120" w:after="120"/>
              <w:rPr>
                <w:rFonts w:eastAsia="Calibri"/>
                <w:noProof/>
                <w:szCs w:val="20"/>
              </w:rPr>
            </w:pPr>
            <w:r>
              <w:rPr>
                <w:noProof/>
              </w:rPr>
              <w:t xml:space="preserve">Vismaz viena projekta īstenošana no vismaz 500 </w:t>
            </w:r>
            <w:r>
              <w:rPr>
                <w:noProof/>
              </w:rPr>
              <w:t>sociālajiem rajoniem, kas piedalījušies ar konkurenci nesaistītā procedūrā.</w:t>
            </w:r>
          </w:p>
        </w:tc>
      </w:tr>
      <w:tr w:rsidR="00327FF1" w14:paraId="2A92955D" w14:textId="77777777">
        <w:trPr>
          <w:trHeight w:val="309"/>
          <w:jc w:val="center"/>
        </w:trPr>
        <w:tc>
          <w:tcPr>
            <w:tcW w:w="1402" w:type="dxa"/>
            <w:shd w:val="clear" w:color="auto" w:fill="C6EFCE"/>
            <w:noWrap/>
            <w:vAlign w:val="center"/>
            <w:hideMark/>
          </w:tcPr>
          <w:p w14:paraId="573A4F84" w14:textId="77777777" w:rsidR="00327FF1" w:rsidRDefault="00E406C7">
            <w:pPr>
              <w:pStyle w:val="P68B1DB1-Normal11"/>
              <w:spacing w:before="120"/>
              <w:jc w:val="center"/>
              <w:rPr>
                <w:rFonts w:eastAsia="Calibri"/>
                <w:noProof/>
                <w:szCs w:val="20"/>
              </w:rPr>
            </w:pPr>
            <w:r>
              <w:rPr>
                <w:noProof/>
              </w:rPr>
              <w:t>M5C2–9</w:t>
            </w:r>
          </w:p>
        </w:tc>
        <w:tc>
          <w:tcPr>
            <w:tcW w:w="1570" w:type="dxa"/>
            <w:shd w:val="clear" w:color="auto" w:fill="C6EFCE"/>
            <w:noWrap/>
            <w:vAlign w:val="center"/>
            <w:hideMark/>
          </w:tcPr>
          <w:p w14:paraId="730960A1" w14:textId="77777777" w:rsidR="00327FF1" w:rsidRDefault="00E406C7">
            <w:pPr>
              <w:pStyle w:val="P68B1DB1-Normal11"/>
              <w:spacing w:before="120" w:after="120"/>
              <w:jc w:val="center"/>
              <w:rPr>
                <w:rFonts w:eastAsia="Calibri"/>
                <w:noProof/>
                <w:szCs w:val="20"/>
              </w:rPr>
            </w:pPr>
            <w:r>
              <w:rPr>
                <w:noProof/>
              </w:rPr>
              <w:t>Investīcija Nr. 3 “Mājokļi pirmajās un post stacijās”</w:t>
            </w:r>
          </w:p>
        </w:tc>
        <w:tc>
          <w:tcPr>
            <w:tcW w:w="1237" w:type="dxa"/>
            <w:shd w:val="clear" w:color="auto" w:fill="C6EFCE"/>
            <w:noWrap/>
            <w:vAlign w:val="center"/>
            <w:hideMark/>
          </w:tcPr>
          <w:p w14:paraId="49CCECFC" w14:textId="77777777" w:rsidR="00327FF1" w:rsidRDefault="00E406C7">
            <w:pPr>
              <w:pStyle w:val="P68B1DB1-Normal11"/>
              <w:spacing w:before="120" w:after="120"/>
              <w:jc w:val="center"/>
              <w:rPr>
                <w:rFonts w:eastAsia="Calibri"/>
                <w:noProof/>
                <w:szCs w:val="20"/>
              </w:rPr>
            </w:pPr>
            <w:r>
              <w:rPr>
                <w:noProof/>
              </w:rPr>
              <w:t>Atskaites punkts</w:t>
            </w:r>
          </w:p>
        </w:tc>
        <w:tc>
          <w:tcPr>
            <w:tcW w:w="1641" w:type="dxa"/>
            <w:shd w:val="clear" w:color="auto" w:fill="C6EFCE"/>
            <w:noWrap/>
            <w:vAlign w:val="center"/>
            <w:hideMark/>
          </w:tcPr>
          <w:p w14:paraId="55AC59FC" w14:textId="77777777" w:rsidR="00327FF1" w:rsidRDefault="00E406C7">
            <w:pPr>
              <w:pStyle w:val="P68B1DB1-Normal12"/>
              <w:spacing w:before="120" w:after="120"/>
              <w:jc w:val="center"/>
              <w:rPr>
                <w:rFonts w:eastAsia="Calibri"/>
                <w:noProof/>
              </w:rPr>
            </w:pPr>
            <w:r>
              <w:rPr>
                <w:noProof/>
              </w:rPr>
              <w:t xml:space="preserve">Darbības plāna stāšanās spēkā attiecībā uz projektiem “Mājoklis pirmajās un post stacijās”, prasību </w:t>
            </w:r>
            <w:r>
              <w:rPr>
                <w:noProof/>
              </w:rPr>
              <w:t>noteikšana projektiem, kurus var iesniegt vietējās struktūras, un uzaicinājuma iesniegt priekšlikumus izsludināšana</w:t>
            </w:r>
          </w:p>
        </w:tc>
        <w:tc>
          <w:tcPr>
            <w:tcW w:w="1453" w:type="dxa"/>
            <w:shd w:val="clear" w:color="auto" w:fill="C6EFCE"/>
            <w:noWrap/>
            <w:vAlign w:val="center"/>
            <w:hideMark/>
          </w:tcPr>
          <w:p w14:paraId="5004FB9A" w14:textId="77777777" w:rsidR="00327FF1" w:rsidRDefault="00E406C7">
            <w:pPr>
              <w:pStyle w:val="P68B1DB1-Normal11"/>
              <w:spacing w:before="120" w:after="120"/>
              <w:jc w:val="center"/>
              <w:rPr>
                <w:rFonts w:eastAsia="Calibri"/>
                <w:noProof/>
                <w:szCs w:val="20"/>
              </w:rPr>
            </w:pPr>
            <w:r>
              <w:rPr>
                <w:noProof/>
              </w:rPr>
              <w:t>Likuma noteikumi, kas norāda, ka ir stājies spēkā operatīvais intervences plāns</w:t>
            </w:r>
          </w:p>
        </w:tc>
        <w:tc>
          <w:tcPr>
            <w:tcW w:w="1339" w:type="dxa"/>
            <w:shd w:val="clear" w:color="auto" w:fill="C6EFCE"/>
            <w:noWrap/>
            <w:vAlign w:val="center"/>
            <w:hideMark/>
          </w:tcPr>
          <w:p w14:paraId="6A3521BA" w14:textId="77777777" w:rsidR="00327FF1" w:rsidRDefault="00E406C7">
            <w:pPr>
              <w:pStyle w:val="P68B1DB1-Normal11"/>
              <w:spacing w:before="120" w:after="120"/>
              <w:jc w:val="center"/>
              <w:rPr>
                <w:rFonts w:eastAsia="Calibri"/>
                <w:noProof/>
                <w:szCs w:val="20"/>
              </w:rPr>
            </w:pPr>
            <w:r>
              <w:rPr>
                <w:noProof/>
              </w:rPr>
              <w:t>NEPIEMĒRO</w:t>
            </w:r>
          </w:p>
        </w:tc>
        <w:tc>
          <w:tcPr>
            <w:tcW w:w="1369" w:type="dxa"/>
            <w:shd w:val="clear" w:color="auto" w:fill="C6EFCE"/>
            <w:noWrap/>
            <w:vAlign w:val="center"/>
            <w:hideMark/>
          </w:tcPr>
          <w:p w14:paraId="135BD429" w14:textId="77777777" w:rsidR="00327FF1" w:rsidRDefault="00E406C7">
            <w:pPr>
              <w:pStyle w:val="P68B1DB1-Normal11"/>
              <w:spacing w:before="120" w:after="120"/>
              <w:jc w:val="center"/>
              <w:rPr>
                <w:rFonts w:eastAsia="Calibri"/>
                <w:noProof/>
                <w:szCs w:val="20"/>
              </w:rPr>
            </w:pPr>
            <w:r>
              <w:rPr>
                <w:noProof/>
              </w:rPr>
              <w:t>NEPIEMĒRO</w:t>
            </w:r>
          </w:p>
        </w:tc>
        <w:tc>
          <w:tcPr>
            <w:tcW w:w="1377" w:type="dxa"/>
            <w:shd w:val="clear" w:color="auto" w:fill="C6EFCE"/>
            <w:noWrap/>
            <w:vAlign w:val="center"/>
            <w:hideMark/>
          </w:tcPr>
          <w:p w14:paraId="44E6D879" w14:textId="77777777" w:rsidR="00327FF1" w:rsidRDefault="00E406C7">
            <w:pPr>
              <w:pStyle w:val="P68B1DB1-Normal11"/>
              <w:spacing w:before="120" w:after="120"/>
              <w:jc w:val="center"/>
              <w:rPr>
                <w:rFonts w:eastAsia="Calibri"/>
                <w:noProof/>
                <w:szCs w:val="20"/>
              </w:rPr>
            </w:pPr>
            <w:r>
              <w:rPr>
                <w:noProof/>
              </w:rPr>
              <w:t>NEPIEMĒRO</w:t>
            </w:r>
          </w:p>
        </w:tc>
        <w:tc>
          <w:tcPr>
            <w:tcW w:w="1062" w:type="dxa"/>
            <w:shd w:val="clear" w:color="auto" w:fill="C6EFCE"/>
            <w:noWrap/>
            <w:vAlign w:val="center"/>
            <w:hideMark/>
          </w:tcPr>
          <w:p w14:paraId="670B80E8" w14:textId="77777777" w:rsidR="00327FF1" w:rsidRDefault="00E406C7">
            <w:pPr>
              <w:pStyle w:val="P68B1DB1-Normal11"/>
              <w:spacing w:before="120" w:after="120"/>
              <w:jc w:val="center"/>
              <w:rPr>
                <w:rFonts w:eastAsia="Calibri"/>
                <w:noProof/>
                <w:szCs w:val="20"/>
              </w:rPr>
            </w:pPr>
            <w:r>
              <w:rPr>
                <w:noProof/>
              </w:rPr>
              <w:t>Q1</w:t>
            </w:r>
          </w:p>
        </w:tc>
        <w:tc>
          <w:tcPr>
            <w:tcW w:w="745" w:type="dxa"/>
            <w:shd w:val="clear" w:color="auto" w:fill="C6EFCE"/>
            <w:noWrap/>
            <w:vAlign w:val="center"/>
            <w:hideMark/>
          </w:tcPr>
          <w:p w14:paraId="3F5D3426" w14:textId="77777777" w:rsidR="00327FF1" w:rsidRDefault="00E406C7">
            <w:pPr>
              <w:pStyle w:val="P68B1DB1-Normal11"/>
              <w:spacing w:before="120" w:after="120"/>
              <w:jc w:val="center"/>
              <w:rPr>
                <w:rFonts w:eastAsia="Calibri"/>
                <w:noProof/>
                <w:szCs w:val="20"/>
              </w:rPr>
            </w:pPr>
            <w:r>
              <w:rPr>
                <w:noProof/>
              </w:rPr>
              <w:t>2022</w:t>
            </w:r>
          </w:p>
        </w:tc>
        <w:tc>
          <w:tcPr>
            <w:tcW w:w="4406" w:type="dxa"/>
            <w:shd w:val="clear" w:color="auto" w:fill="C6EFCE"/>
            <w:noWrap/>
            <w:vAlign w:val="center"/>
            <w:hideMark/>
          </w:tcPr>
          <w:p w14:paraId="75A676E9" w14:textId="77777777" w:rsidR="00327FF1" w:rsidRDefault="00E406C7">
            <w:pPr>
              <w:pStyle w:val="P68B1DB1-Normal11"/>
              <w:spacing w:before="120" w:after="120"/>
              <w:rPr>
                <w:rFonts w:eastAsia="Calibri"/>
                <w:noProof/>
                <w:szCs w:val="20"/>
              </w:rPr>
            </w:pPr>
            <w:r>
              <w:rPr>
                <w:noProof/>
              </w:rPr>
              <w:t>Darbības plānā attiecī</w:t>
            </w:r>
            <w:r>
              <w:rPr>
                <w:noProof/>
              </w:rPr>
              <w:t>bā uz projektiem “Mājoklis pirmajās un post stacijās” nosaka prasības projektiem, kurus var iesniegt vietējās struktūras, un izsludina uzaicinājumu iesniegt priekšlikumus.</w:t>
            </w:r>
          </w:p>
          <w:p w14:paraId="0E2CB212" w14:textId="77777777" w:rsidR="00327FF1" w:rsidRDefault="00E406C7">
            <w:pPr>
              <w:pStyle w:val="P68B1DB1-Normal11"/>
              <w:spacing w:before="120" w:after="120"/>
              <w:rPr>
                <w:rFonts w:eastAsia="Calibri"/>
                <w:noProof/>
                <w:szCs w:val="20"/>
              </w:rPr>
            </w:pPr>
            <w:r>
              <w:rPr>
                <w:noProof/>
              </w:rPr>
              <w:t>Pirmkārt, mājokļu projekti paredz, ka vietējās struktūras nodrošina dzīvokļu pieejam</w:t>
            </w:r>
            <w:r>
              <w:rPr>
                <w:noProof/>
              </w:rPr>
              <w:t>ību atsevišķām personām, mazām grupām vai ģimenēm līdz 24 mēnešiem, vēlams, atjaunojot un atjaunojot valsts īpašumu. To papildina attīstības un autonomijas programmas.</w:t>
            </w:r>
          </w:p>
          <w:p w14:paraId="63B825E4" w14:textId="77777777" w:rsidR="00327FF1" w:rsidRDefault="00E406C7">
            <w:pPr>
              <w:pStyle w:val="P68B1DB1-Normal11"/>
              <w:spacing w:before="120" w:after="120"/>
              <w:rPr>
                <w:rFonts w:eastAsia="Calibri"/>
                <w:noProof/>
                <w:szCs w:val="20"/>
              </w:rPr>
            </w:pPr>
            <w:r>
              <w:rPr>
                <w:noProof/>
              </w:rPr>
              <w:t>Poststaciju projekti paredz bezpajumtniekiem paredzētu pakalpojumu un iekļaušanas centru</w:t>
            </w:r>
            <w:r>
              <w:rPr>
                <w:noProof/>
              </w:rPr>
              <w:t xml:space="preserve"> izveidi. To papildina darbā iekārtošanas programmas sadarbībā ar nodarbinātības centriem.</w:t>
            </w:r>
          </w:p>
        </w:tc>
      </w:tr>
    </w:tbl>
    <w:p w14:paraId="5478DC16" w14:textId="77777777" w:rsidR="00327FF1" w:rsidRDefault="00327FF1">
      <w:pPr>
        <w:spacing w:before="120" w:after="120"/>
        <w:ind w:left="709"/>
        <w:jc w:val="both"/>
        <w:rPr>
          <w:noProof/>
        </w:rPr>
      </w:pPr>
    </w:p>
    <w:p w14:paraId="3BA026E3" w14:textId="77777777" w:rsidR="00327FF1" w:rsidRDefault="00327FF1">
      <w:pPr>
        <w:spacing w:before="120" w:after="120"/>
        <w:ind w:left="709"/>
        <w:jc w:val="both"/>
        <w:rPr>
          <w:noProof/>
        </w:rPr>
      </w:pPr>
    </w:p>
    <w:p w14:paraId="55E20963" w14:textId="77777777" w:rsidR="00327FF1" w:rsidRDefault="00327FF1">
      <w:pPr>
        <w:framePr w:w="19845" w:wrap="auto" w:hAnchor="text"/>
        <w:spacing w:before="120" w:after="120"/>
        <w:ind w:left="709"/>
        <w:jc w:val="both"/>
        <w:rPr>
          <w:noProof/>
        </w:rPr>
        <w:sectPr w:rsidR="00327FF1" w:rsidSect="005F11B9">
          <w:headerReference w:type="even" r:id="rId242"/>
          <w:headerReference w:type="default" r:id="rId243"/>
          <w:footerReference w:type="even" r:id="rId244"/>
          <w:footerReference w:type="default" r:id="rId245"/>
          <w:headerReference w:type="first" r:id="rId246"/>
          <w:footerReference w:type="first" r:id="rId247"/>
          <w:pgSz w:w="19051" w:h="11907" w:orient="landscape" w:code="9"/>
          <w:pgMar w:top="720" w:right="720" w:bottom="426" w:left="720" w:header="709" w:footer="709" w:gutter="0"/>
          <w:cols w:space="720"/>
          <w:docGrid w:linePitch="360"/>
        </w:sectPr>
      </w:pPr>
    </w:p>
    <w:p w14:paraId="5B8F05BC" w14:textId="77777777" w:rsidR="00327FF1" w:rsidRDefault="00E406C7">
      <w:pPr>
        <w:pStyle w:val="P68B1DB1-Heading39"/>
        <w:numPr>
          <w:ilvl w:val="2"/>
          <w:numId w:val="0"/>
        </w:numPr>
        <w:ind w:left="850" w:hanging="850"/>
        <w:rPr>
          <w:b/>
          <w:i/>
          <w:noProof/>
          <w:color w:val="156082" w:themeColor="accent1"/>
          <w:u w:val="single"/>
        </w:rPr>
      </w:pPr>
      <w:r>
        <w:rPr>
          <w:b/>
          <w:noProof/>
          <w:u w:val="single"/>
        </w:rPr>
        <w:t xml:space="preserve">M.3. </w:t>
      </w:r>
      <w:r>
        <w:rPr>
          <w:noProof/>
        </w:rPr>
        <w:t xml:space="preserve"> </w:t>
      </w:r>
      <w:r>
        <w:rPr>
          <w:b/>
          <w:noProof/>
          <w:u w:val="single"/>
        </w:rPr>
        <w:t>Aizdevumam pieteikto reformu un investīciju apraksts</w:t>
      </w:r>
    </w:p>
    <w:p w14:paraId="18DBF748" w14:textId="77777777" w:rsidR="00327FF1" w:rsidRDefault="00E406C7">
      <w:pPr>
        <w:pStyle w:val="P68B1DB1-Normal5"/>
        <w:spacing w:before="120" w:after="120"/>
        <w:jc w:val="both"/>
        <w:rPr>
          <w:rFonts w:eastAsia="Calibri"/>
          <w:noProof/>
        </w:rPr>
      </w:pPr>
      <w:r>
        <w:rPr>
          <w:noProof/>
        </w:rPr>
        <w:t xml:space="preserve">Investīcija Nr. 1 — Atbalsts </w:t>
      </w:r>
      <w:r>
        <w:rPr>
          <w:noProof/>
        </w:rPr>
        <w:t>neaizsargātām personām un institucionalizācijas novēršana</w:t>
      </w:r>
    </w:p>
    <w:p w14:paraId="49AA53E8" w14:textId="0555E164" w:rsidR="00327FF1" w:rsidRDefault="00E406C7">
      <w:pPr>
        <w:pStyle w:val="P68B1DB1-Normal7"/>
        <w:spacing w:before="120" w:after="120"/>
        <w:jc w:val="both"/>
        <w:rPr>
          <w:rFonts w:ascii="Arial Narrow" w:hAnsi="Arial Narrow"/>
          <w:noProof/>
          <w:color w:val="006100"/>
          <w:sz w:val="20"/>
          <w:szCs w:val="20"/>
        </w:rPr>
      </w:pPr>
      <w:r>
        <w:rPr>
          <w:noProof/>
        </w:rPr>
        <w:t>Šā pasākuma mērķis ir atbalstīt neaizsargātas personas un novērst institucionalizāciju. Šis pasākums ietver intervences pasākumus neaizsargātām ģimenēm un bērniem, vecāka gadagājuma cilvēkiem un soc</w:t>
      </w:r>
      <w:r>
        <w:rPr>
          <w:noProof/>
        </w:rPr>
        <w:t xml:space="preserve">iālajiem darbiniekiem vismaz 498 Itālijas sociālo rajonu. </w:t>
      </w:r>
    </w:p>
    <w:p w14:paraId="2661C173" w14:textId="77777777" w:rsidR="00327FF1" w:rsidRDefault="00E406C7">
      <w:pPr>
        <w:pStyle w:val="P68B1DB1-Normal5"/>
        <w:spacing w:before="120" w:after="120"/>
        <w:jc w:val="both"/>
        <w:rPr>
          <w:rFonts w:eastAsia="Calibri"/>
          <w:noProof/>
        </w:rPr>
      </w:pPr>
      <w:r>
        <w:rPr>
          <w:noProof/>
        </w:rPr>
        <w:t>Investīcija Nr. 2 “Invalīdu autonomijas modeļi”</w:t>
      </w:r>
    </w:p>
    <w:p w14:paraId="0F472E46" w14:textId="77777777" w:rsidR="00327FF1" w:rsidRDefault="00E406C7">
      <w:pPr>
        <w:pStyle w:val="P68B1DB1-Normal7"/>
        <w:spacing w:before="120" w:after="120"/>
        <w:jc w:val="both"/>
        <w:rPr>
          <w:noProof/>
        </w:rPr>
      </w:pPr>
      <w:r>
        <w:rPr>
          <w:noProof/>
        </w:rPr>
        <w:t>Šā pasākuma mērķis ir palielināt personu ar invaliditāti autonomiju, paātrinot deinstitucionalizācijas procesu. Pasākums paredz nodrošināt piekļuvi m</w:t>
      </w:r>
      <w:r>
        <w:rPr>
          <w:noProof/>
        </w:rPr>
        <w:t>ājokļiem vai mājās balstītiem risinājumiem, kā arī digitālajām tehnoloģijām un apmācībai.</w:t>
      </w:r>
    </w:p>
    <w:p w14:paraId="38C6F092" w14:textId="77777777" w:rsidR="00327FF1" w:rsidRDefault="00E406C7">
      <w:pPr>
        <w:pStyle w:val="P68B1DB1-Normal5"/>
        <w:spacing w:before="120" w:after="120"/>
        <w:jc w:val="both"/>
        <w:rPr>
          <w:bCs/>
          <w:noProof/>
        </w:rPr>
      </w:pPr>
      <w:r>
        <w:rPr>
          <w:noProof/>
        </w:rPr>
        <w:t>Investīcija Nr. 3 “Mājokļi pirmajās un post stacijās”</w:t>
      </w:r>
    </w:p>
    <w:p w14:paraId="4307F345" w14:textId="4AB4751F" w:rsidR="00327FF1" w:rsidRDefault="00E406C7">
      <w:pPr>
        <w:pStyle w:val="P68B1DB1-Normal7"/>
        <w:spacing w:before="120" w:after="120"/>
        <w:jc w:val="both"/>
        <w:rPr>
          <w:noProof/>
        </w:rPr>
      </w:pPr>
      <w:r>
        <w:rPr>
          <w:noProof/>
        </w:rPr>
        <w:t>Šā pasākuma mērķis ir aizsargāt un atbalstīt marginalizētu cilvēku iekļaušanu. Pasākums sastāv no divu veidu pas</w:t>
      </w:r>
      <w:r>
        <w:rPr>
          <w:noProof/>
        </w:rPr>
        <w:t>ākumiem: risinājumi “mājoklis vispirms”, kas ietver pašvaldības, kuras nodrošina pielāgotus projektus un izmitināšanu personām, mazām grupām vai ģimenēm līdz 24 mēnešiem; un “posteņu” risinājumi, kas ietver bezpajumtnieku pakalpojumu un iekļaušanas centrus</w:t>
      </w:r>
      <w:r>
        <w:rPr>
          <w:noProof/>
        </w:rPr>
        <w:t xml:space="preserve">, kuri piedāvā pamatpakalpojumus, piemēram, pirmās nepieciešamības preču un pasta sūtījumu izplatīšanu, maltītes un veselības aprūpi. </w:t>
      </w:r>
    </w:p>
    <w:p w14:paraId="230C7CED" w14:textId="77777777" w:rsidR="00327FF1" w:rsidRDefault="00E406C7">
      <w:pPr>
        <w:pStyle w:val="P68B1DB1-Normal5"/>
        <w:spacing w:before="120" w:after="120"/>
        <w:jc w:val="both"/>
        <w:rPr>
          <w:bCs/>
          <w:noProof/>
          <w:u w:val="single"/>
        </w:rPr>
      </w:pPr>
      <w:r>
        <w:rPr>
          <w:noProof/>
        </w:rPr>
        <w:t>Investīcija Nr. 4 — Ieguldījumi pilsētvides atjaunošanas projektos, kuru mērķis ir mazināt marginalizācijas un sociālās d</w:t>
      </w:r>
      <w:r>
        <w:rPr>
          <w:noProof/>
        </w:rPr>
        <w:t>egradācijas situācijas</w:t>
      </w:r>
    </w:p>
    <w:p w14:paraId="3121684A" w14:textId="77777777" w:rsidR="00327FF1" w:rsidRDefault="00E406C7">
      <w:pPr>
        <w:pStyle w:val="P68B1DB1-Normal7"/>
        <w:spacing w:before="120" w:after="120"/>
        <w:jc w:val="both"/>
        <w:rPr>
          <w:rFonts w:eastAsia="Calibri"/>
          <w:noProof/>
        </w:rPr>
      </w:pPr>
      <w:r>
        <w:rPr>
          <w:noProof/>
        </w:rPr>
        <w:t>Šā pasākuma mērķis ir samazināt marginalizāciju un sociālo degradāciju, uzlabojot pašvaldību sociālo un vides kvalitāti, kā arī piekļuvi sociālajiem un kultūras pakalpojumiem. Pasākums ietver publisko teritoriju un sabiedrisko ēku re</w:t>
      </w:r>
      <w:r>
        <w:rPr>
          <w:noProof/>
        </w:rPr>
        <w:t>novāciju, atkalizmantošanu un pārprofilēšanu.</w:t>
      </w:r>
    </w:p>
    <w:p w14:paraId="69AAB0B4" w14:textId="77777777" w:rsidR="00327FF1" w:rsidRDefault="00E406C7">
      <w:pPr>
        <w:pStyle w:val="P68B1DB1-Normal5"/>
        <w:spacing w:before="120" w:after="120"/>
        <w:jc w:val="both"/>
        <w:rPr>
          <w:rFonts w:eastAsia="Calibri"/>
          <w:noProof/>
        </w:rPr>
      </w:pPr>
      <w:r>
        <w:rPr>
          <w:noProof/>
        </w:rPr>
        <w:t>Investīcija — Pilsētu integrācijas plāni (vispārēji projekti un nelikumīgu apmetņu pārvarēšana, lai cīnītos pret darbaspēka ekspluatāciju lauksaimniecībā)</w:t>
      </w:r>
    </w:p>
    <w:p w14:paraId="5449D0B7" w14:textId="77777777" w:rsidR="00327FF1" w:rsidRDefault="00E406C7">
      <w:pPr>
        <w:pStyle w:val="P68B1DB1-Normal7"/>
        <w:spacing w:before="120" w:after="120"/>
        <w:jc w:val="both"/>
        <w:rPr>
          <w:noProof/>
        </w:rPr>
      </w:pPr>
      <w:r>
        <w:rPr>
          <w:noProof/>
        </w:rPr>
        <w:t>Šā pasākuma mērķis ir atjaunot lielas degradētas pilsēt</w:t>
      </w:r>
      <w:r>
        <w:rPr>
          <w:noProof/>
        </w:rPr>
        <w:t>u teritorijas. Šī investīcija ietver trīs veidu intervences: I) pilsētu integrēto plānu vispārīgie projekti, kas vērsti uz sabiedrisko teritoriju un ēku uzturēšanu un atkārtotu izmantošanu un nepietiekami izmantotu vai neizmantotu urbāno teritoriju reģener</w:t>
      </w:r>
      <w:r>
        <w:rPr>
          <w:noProof/>
        </w:rPr>
        <w:t>āciju; II) mājokļu risinājumi lauksaimniecībā nodarbinātajiem, lai pārvarētu nelikumīgas apmetnes; III) tematisks fonds (fondu fonds) sadarbībā ar EIB, lai veicinātu privātās investīcijas pilsētu atjaunošanas iniciatīvās, kas atbalsta klimatisko un digitāl</w:t>
      </w:r>
      <w:r>
        <w:rPr>
          <w:noProof/>
        </w:rPr>
        <w:t>o pārkārtošanos.</w:t>
      </w:r>
    </w:p>
    <w:p w14:paraId="2ED8E8D4" w14:textId="77777777" w:rsidR="00327FF1" w:rsidRDefault="00E406C7">
      <w:pPr>
        <w:pStyle w:val="P68B1DB1-Normal5"/>
        <w:spacing w:before="120" w:after="120"/>
        <w:jc w:val="both"/>
        <w:rPr>
          <w:rFonts w:eastAsia="Calibri"/>
          <w:noProof/>
        </w:rPr>
      </w:pPr>
      <w:r>
        <w:rPr>
          <w:noProof/>
        </w:rPr>
        <w:t>Investīcija Nr. 6 “Inovatīvs mājokļu kvalitātes plāns”</w:t>
      </w:r>
    </w:p>
    <w:p w14:paraId="5268D984" w14:textId="0BEE28B7" w:rsidR="00327FF1" w:rsidRDefault="00E406C7">
      <w:pPr>
        <w:pStyle w:val="P68B1DB1-Normal7"/>
        <w:spacing w:before="120" w:after="120"/>
        <w:jc w:val="both"/>
        <w:rPr>
          <w:noProof/>
        </w:rPr>
      </w:pPr>
      <w:r>
        <w:rPr>
          <w:noProof/>
        </w:rPr>
        <w:t>Šā pasākuma mērķis ir uzlabot valsts mājokļu kvalitāti vai kvantitāti un atjaunot degradētās teritorijas. Ieguldījumu veido: I) sabiedrisko mājokļu renovācija (tostarp energoefektivitā</w:t>
      </w:r>
      <w:r>
        <w:rPr>
          <w:noProof/>
        </w:rPr>
        <w:t xml:space="preserve">tes intervences) un paplašināšana; II) pilsētu teritoriju un publisko un privāto īpašumu atjaunošana; III) veicināt pilsētu teritoriju pieejamību un drošību un pakalpojumu sniegšanu. </w:t>
      </w:r>
    </w:p>
    <w:p w14:paraId="1B6D8841" w14:textId="77777777" w:rsidR="00327FF1" w:rsidRDefault="00E406C7">
      <w:pPr>
        <w:pStyle w:val="P68B1DB1-Normal5"/>
        <w:spacing w:before="120" w:after="120"/>
        <w:jc w:val="both"/>
        <w:rPr>
          <w:rFonts w:eastAsia="Calibri"/>
          <w:noProof/>
        </w:rPr>
      </w:pPr>
      <w:r>
        <w:rPr>
          <w:noProof/>
        </w:rPr>
        <w:t>Investīcija Nr. 7 — Sports un sociālā integrācija</w:t>
      </w:r>
    </w:p>
    <w:p w14:paraId="5410DD49" w14:textId="7EB5E912" w:rsidR="00327FF1" w:rsidRDefault="00E406C7">
      <w:pPr>
        <w:pStyle w:val="P68B1DB1-Normal7"/>
        <w:spacing w:before="120" w:after="120"/>
        <w:jc w:val="both"/>
        <w:rPr>
          <w:noProof/>
        </w:rPr>
        <w:sectPr w:rsidR="00327FF1" w:rsidSect="005F11B9">
          <w:headerReference w:type="even" r:id="rId248"/>
          <w:headerReference w:type="default" r:id="rId249"/>
          <w:footerReference w:type="even" r:id="rId250"/>
          <w:footerReference w:type="default" r:id="rId251"/>
          <w:headerReference w:type="first" r:id="rId252"/>
          <w:footerReference w:type="first" r:id="rId253"/>
          <w:pgSz w:w="11907" w:h="16839"/>
          <w:pgMar w:top="1134" w:right="1417" w:bottom="1134" w:left="1417" w:header="709" w:footer="709" w:gutter="0"/>
          <w:cols w:space="720"/>
          <w:docGrid w:linePitch="360"/>
        </w:sectPr>
      </w:pPr>
      <w:r>
        <w:rPr>
          <w:noProof/>
        </w:rPr>
        <w:t xml:space="preserve">Šā pasākuma mērķis ir atjaunot sporta objektus un to nogurumu pilsētu teritorijās. Investīcija ietver atbalstu sporta objektu būvniecībai, atjaunošanai un renovācijai. </w:t>
      </w:r>
    </w:p>
    <w:p w14:paraId="260611C9" w14:textId="77777777" w:rsidR="00327FF1" w:rsidRDefault="00E406C7">
      <w:pPr>
        <w:pStyle w:val="P68B1DB1-Heading39"/>
        <w:numPr>
          <w:ilvl w:val="2"/>
          <w:numId w:val="0"/>
        </w:numPr>
        <w:ind w:left="850" w:hanging="850"/>
        <w:rPr>
          <w:b/>
          <w:i/>
          <w:noProof/>
          <w:u w:val="single"/>
        </w:rPr>
      </w:pPr>
      <w:r>
        <w:rPr>
          <w:b/>
          <w:noProof/>
          <w:u w:val="single"/>
        </w:rPr>
        <w:t xml:space="preserve">M.4. </w:t>
      </w:r>
      <w:r>
        <w:rPr>
          <w:noProof/>
        </w:rPr>
        <w:t xml:space="preserve"> </w:t>
      </w:r>
      <w:r>
        <w:rPr>
          <w:b/>
          <w:noProof/>
          <w:u w:val="single"/>
        </w:rPr>
        <w:t>Atskaites punkti, mērķrā</w:t>
      </w:r>
      <w:r>
        <w:rPr>
          <w:b/>
          <w:noProof/>
          <w:u w:val="single"/>
        </w:rPr>
        <w:t>dītāji, citi rādītāji un aizdevuma uzraudzības un īstenošanas grafiks</w:t>
      </w:r>
    </w:p>
    <w:tbl>
      <w:tblPr>
        <w:tblW w:w="17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1731"/>
        <w:gridCol w:w="1775"/>
        <w:gridCol w:w="1691"/>
        <w:gridCol w:w="1526"/>
        <w:gridCol w:w="2001"/>
        <w:gridCol w:w="1420"/>
        <w:gridCol w:w="1299"/>
        <w:gridCol w:w="1018"/>
        <w:gridCol w:w="830"/>
        <w:gridCol w:w="3247"/>
      </w:tblGrid>
      <w:tr w:rsidR="00327FF1" w14:paraId="3F80A29D" w14:textId="77777777">
        <w:trPr>
          <w:trHeight w:val="300"/>
          <w:tblHeader/>
          <w:jc w:val="center"/>
        </w:trPr>
        <w:tc>
          <w:tcPr>
            <w:tcW w:w="1315" w:type="dxa"/>
            <w:vMerge w:val="restart"/>
            <w:shd w:val="clear" w:color="auto" w:fill="BDD7EE"/>
            <w:vAlign w:val="center"/>
            <w:hideMark/>
          </w:tcPr>
          <w:p w14:paraId="51E524CF" w14:textId="77777777" w:rsidR="00327FF1" w:rsidRDefault="00E406C7">
            <w:pPr>
              <w:pStyle w:val="P68B1DB1-Normal102"/>
              <w:jc w:val="center"/>
              <w:rPr>
                <w:noProof/>
                <w:szCs w:val="20"/>
              </w:rPr>
            </w:pPr>
            <w:r>
              <w:rPr>
                <w:noProof/>
              </w:rPr>
              <w:t>Kārtas numurs</w:t>
            </w:r>
          </w:p>
        </w:tc>
        <w:tc>
          <w:tcPr>
            <w:tcW w:w="1759" w:type="dxa"/>
            <w:vMerge w:val="restart"/>
            <w:shd w:val="clear" w:color="auto" w:fill="BDD7EE"/>
            <w:vAlign w:val="center"/>
            <w:hideMark/>
          </w:tcPr>
          <w:p w14:paraId="5EC1FC67" w14:textId="77777777" w:rsidR="00327FF1" w:rsidRDefault="00E406C7">
            <w:pPr>
              <w:pStyle w:val="P68B1DB1-Normal102"/>
              <w:jc w:val="center"/>
              <w:rPr>
                <w:noProof/>
                <w:szCs w:val="20"/>
              </w:rPr>
            </w:pPr>
            <w:r>
              <w:rPr>
                <w:noProof/>
              </w:rPr>
              <w:t>Saistītais pasākums (reforma vai ieguldījums)</w:t>
            </w:r>
          </w:p>
        </w:tc>
        <w:tc>
          <w:tcPr>
            <w:tcW w:w="1388" w:type="dxa"/>
            <w:vMerge w:val="restart"/>
            <w:shd w:val="clear" w:color="auto" w:fill="BDD7EE"/>
            <w:vAlign w:val="center"/>
            <w:hideMark/>
          </w:tcPr>
          <w:p w14:paraId="52FCE823" w14:textId="5D0B59D9" w:rsidR="00327FF1" w:rsidRDefault="00E406C7">
            <w:pPr>
              <w:pStyle w:val="P68B1DB1-Normal102"/>
              <w:jc w:val="center"/>
              <w:rPr>
                <w:noProof/>
                <w:szCs w:val="20"/>
              </w:rPr>
            </w:pPr>
            <w:r>
              <w:rPr>
                <w:noProof/>
              </w:rPr>
              <w:t>Atskaites punkts/mērķrādītājs</w:t>
            </w:r>
          </w:p>
        </w:tc>
        <w:tc>
          <w:tcPr>
            <w:tcW w:w="1731" w:type="dxa"/>
            <w:vMerge w:val="restart"/>
            <w:shd w:val="clear" w:color="auto" w:fill="BDD7EE"/>
            <w:vAlign w:val="center"/>
            <w:hideMark/>
          </w:tcPr>
          <w:p w14:paraId="4B62760F" w14:textId="77777777" w:rsidR="00327FF1" w:rsidRDefault="00E406C7">
            <w:pPr>
              <w:pStyle w:val="P68B1DB1-Normal102"/>
              <w:jc w:val="center"/>
              <w:rPr>
                <w:noProof/>
                <w:szCs w:val="20"/>
              </w:rPr>
            </w:pPr>
            <w:r>
              <w:rPr>
                <w:noProof/>
              </w:rPr>
              <w:t>Nosaukums</w:t>
            </w:r>
          </w:p>
        </w:tc>
        <w:tc>
          <w:tcPr>
            <w:tcW w:w="1559" w:type="dxa"/>
            <w:vMerge w:val="restart"/>
            <w:shd w:val="clear" w:color="auto" w:fill="BDD7EE"/>
            <w:vAlign w:val="center"/>
            <w:hideMark/>
          </w:tcPr>
          <w:p w14:paraId="1B57F425" w14:textId="77777777" w:rsidR="00327FF1" w:rsidRDefault="00E406C7">
            <w:pPr>
              <w:pStyle w:val="P68B1DB1-Normal102"/>
              <w:jc w:val="center"/>
              <w:rPr>
                <w:noProof/>
                <w:szCs w:val="20"/>
              </w:rPr>
            </w:pPr>
            <w:r>
              <w:rPr>
                <w:noProof/>
              </w:rPr>
              <w:t>Kvalitatīvie rādītāji (atskaites punktiem)</w:t>
            </w:r>
          </w:p>
        </w:tc>
        <w:tc>
          <w:tcPr>
            <w:tcW w:w="4548" w:type="dxa"/>
            <w:gridSpan w:val="3"/>
            <w:shd w:val="clear" w:color="auto" w:fill="BDD7EE"/>
            <w:vAlign w:val="center"/>
            <w:hideMark/>
          </w:tcPr>
          <w:p w14:paraId="183DE8FD" w14:textId="77777777" w:rsidR="00327FF1" w:rsidRDefault="00E406C7">
            <w:pPr>
              <w:pStyle w:val="P68B1DB1-Normal102"/>
              <w:jc w:val="center"/>
              <w:rPr>
                <w:noProof/>
                <w:szCs w:val="20"/>
              </w:rPr>
            </w:pPr>
            <w:r>
              <w:rPr>
                <w:noProof/>
              </w:rPr>
              <w:t>Kvantitatīvie rādītāji (mērķrādītājiem)</w:t>
            </w:r>
          </w:p>
        </w:tc>
        <w:tc>
          <w:tcPr>
            <w:tcW w:w="1855" w:type="dxa"/>
            <w:gridSpan w:val="2"/>
            <w:shd w:val="clear" w:color="auto" w:fill="BDD7EE"/>
            <w:vAlign w:val="center"/>
            <w:hideMark/>
          </w:tcPr>
          <w:p w14:paraId="1A1FF892" w14:textId="77777777" w:rsidR="00327FF1" w:rsidRDefault="00E406C7">
            <w:pPr>
              <w:pStyle w:val="P68B1DB1-Normal102"/>
              <w:jc w:val="center"/>
              <w:rPr>
                <w:noProof/>
                <w:szCs w:val="20"/>
              </w:rPr>
            </w:pPr>
            <w:r>
              <w:rPr>
                <w:noProof/>
              </w:rPr>
              <w:t>Orientējošs pabeigšanas termiņš</w:t>
            </w:r>
          </w:p>
        </w:tc>
        <w:tc>
          <w:tcPr>
            <w:tcW w:w="3603" w:type="dxa"/>
            <w:vMerge w:val="restart"/>
            <w:shd w:val="clear" w:color="auto" w:fill="BDD7EE"/>
            <w:vAlign w:val="center"/>
            <w:hideMark/>
          </w:tcPr>
          <w:p w14:paraId="578FB787" w14:textId="77777777" w:rsidR="00327FF1" w:rsidRDefault="00E406C7">
            <w:pPr>
              <w:pStyle w:val="P68B1DB1-Normal102"/>
              <w:jc w:val="center"/>
              <w:rPr>
                <w:noProof/>
                <w:szCs w:val="20"/>
              </w:rPr>
            </w:pPr>
            <w:r>
              <w:rPr>
                <w:noProof/>
              </w:rPr>
              <w:t>Apraksts par katru atskaites punktu un mērķrādītāju</w:t>
            </w:r>
          </w:p>
        </w:tc>
      </w:tr>
      <w:tr w:rsidR="00327FF1" w14:paraId="5564F7C4" w14:textId="77777777">
        <w:trPr>
          <w:trHeight w:val="300"/>
          <w:tblHeader/>
          <w:jc w:val="center"/>
        </w:trPr>
        <w:tc>
          <w:tcPr>
            <w:tcW w:w="1315" w:type="dxa"/>
            <w:vMerge/>
            <w:vAlign w:val="center"/>
            <w:hideMark/>
          </w:tcPr>
          <w:p w14:paraId="44EB4271" w14:textId="77777777" w:rsidR="00327FF1" w:rsidRDefault="00327FF1">
            <w:pPr>
              <w:jc w:val="center"/>
              <w:rPr>
                <w:rFonts w:ascii="Arial Narrow" w:hAnsi="Arial Narrow"/>
                <w:b/>
                <w:noProof/>
                <w:color w:val="000000"/>
                <w:sz w:val="20"/>
                <w:szCs w:val="20"/>
              </w:rPr>
            </w:pPr>
          </w:p>
        </w:tc>
        <w:tc>
          <w:tcPr>
            <w:tcW w:w="1759" w:type="dxa"/>
            <w:vMerge/>
            <w:vAlign w:val="center"/>
            <w:hideMark/>
          </w:tcPr>
          <w:p w14:paraId="1060C7FD" w14:textId="77777777" w:rsidR="00327FF1" w:rsidRDefault="00327FF1">
            <w:pPr>
              <w:jc w:val="center"/>
              <w:rPr>
                <w:rFonts w:ascii="Arial Narrow" w:hAnsi="Arial Narrow"/>
                <w:b/>
                <w:noProof/>
                <w:color w:val="000000"/>
                <w:sz w:val="20"/>
                <w:szCs w:val="20"/>
              </w:rPr>
            </w:pPr>
          </w:p>
        </w:tc>
        <w:tc>
          <w:tcPr>
            <w:tcW w:w="1388" w:type="dxa"/>
            <w:vMerge/>
            <w:vAlign w:val="center"/>
            <w:hideMark/>
          </w:tcPr>
          <w:p w14:paraId="6BE4EDB4" w14:textId="77777777" w:rsidR="00327FF1" w:rsidRDefault="00327FF1">
            <w:pPr>
              <w:jc w:val="center"/>
              <w:rPr>
                <w:rFonts w:ascii="Arial Narrow" w:hAnsi="Arial Narrow"/>
                <w:b/>
                <w:noProof/>
                <w:color w:val="000000"/>
                <w:sz w:val="20"/>
                <w:szCs w:val="20"/>
              </w:rPr>
            </w:pPr>
          </w:p>
        </w:tc>
        <w:tc>
          <w:tcPr>
            <w:tcW w:w="1731" w:type="dxa"/>
            <w:vMerge/>
            <w:vAlign w:val="center"/>
            <w:hideMark/>
          </w:tcPr>
          <w:p w14:paraId="48800674" w14:textId="77777777" w:rsidR="00327FF1" w:rsidRDefault="00327FF1">
            <w:pPr>
              <w:jc w:val="center"/>
              <w:rPr>
                <w:rFonts w:ascii="Arial Narrow" w:hAnsi="Arial Narrow"/>
                <w:b/>
                <w:noProof/>
                <w:color w:val="000000"/>
                <w:sz w:val="20"/>
                <w:szCs w:val="20"/>
              </w:rPr>
            </w:pPr>
          </w:p>
        </w:tc>
        <w:tc>
          <w:tcPr>
            <w:tcW w:w="1559" w:type="dxa"/>
            <w:vMerge/>
            <w:vAlign w:val="center"/>
            <w:hideMark/>
          </w:tcPr>
          <w:p w14:paraId="728477EA" w14:textId="77777777" w:rsidR="00327FF1" w:rsidRDefault="00327FF1">
            <w:pPr>
              <w:jc w:val="center"/>
              <w:rPr>
                <w:rFonts w:ascii="Arial Narrow" w:hAnsi="Arial Narrow"/>
                <w:b/>
                <w:noProof/>
                <w:color w:val="000000"/>
                <w:sz w:val="20"/>
                <w:szCs w:val="20"/>
              </w:rPr>
            </w:pPr>
          </w:p>
        </w:tc>
        <w:tc>
          <w:tcPr>
            <w:tcW w:w="2187" w:type="dxa"/>
            <w:shd w:val="clear" w:color="auto" w:fill="BDD7EE"/>
            <w:vAlign w:val="center"/>
            <w:hideMark/>
          </w:tcPr>
          <w:p w14:paraId="5EF93BCD" w14:textId="77777777" w:rsidR="00327FF1" w:rsidRDefault="00E406C7">
            <w:pPr>
              <w:pStyle w:val="P68B1DB1-Normal102"/>
              <w:jc w:val="center"/>
              <w:rPr>
                <w:noProof/>
                <w:szCs w:val="20"/>
              </w:rPr>
            </w:pPr>
            <w:r>
              <w:rPr>
                <w:noProof/>
              </w:rPr>
              <w:t>Mēra vienība</w:t>
            </w:r>
          </w:p>
        </w:tc>
        <w:tc>
          <w:tcPr>
            <w:tcW w:w="1039" w:type="dxa"/>
            <w:shd w:val="clear" w:color="auto" w:fill="BDD7EE"/>
            <w:vAlign w:val="center"/>
            <w:hideMark/>
          </w:tcPr>
          <w:p w14:paraId="1A78019D" w14:textId="77777777" w:rsidR="00327FF1" w:rsidRDefault="00E406C7">
            <w:pPr>
              <w:pStyle w:val="P68B1DB1-Normal102"/>
              <w:jc w:val="center"/>
              <w:rPr>
                <w:noProof/>
                <w:szCs w:val="20"/>
              </w:rPr>
            </w:pPr>
            <w:r>
              <w:rPr>
                <w:noProof/>
              </w:rPr>
              <w:t>Pamatscenārijs</w:t>
            </w:r>
          </w:p>
        </w:tc>
        <w:tc>
          <w:tcPr>
            <w:tcW w:w="1322" w:type="dxa"/>
            <w:shd w:val="clear" w:color="auto" w:fill="BDD7EE"/>
            <w:vAlign w:val="center"/>
            <w:hideMark/>
          </w:tcPr>
          <w:p w14:paraId="08E2AB39" w14:textId="77777777" w:rsidR="00327FF1" w:rsidRDefault="00E406C7">
            <w:pPr>
              <w:pStyle w:val="P68B1DB1-Normal102"/>
              <w:jc w:val="center"/>
              <w:rPr>
                <w:noProof/>
                <w:szCs w:val="20"/>
              </w:rPr>
            </w:pPr>
            <w:r>
              <w:rPr>
                <w:noProof/>
              </w:rPr>
              <w:t>Mērķis</w:t>
            </w:r>
          </w:p>
        </w:tc>
        <w:tc>
          <w:tcPr>
            <w:tcW w:w="980" w:type="dxa"/>
            <w:shd w:val="clear" w:color="auto" w:fill="BDD7EE"/>
            <w:vAlign w:val="center"/>
            <w:hideMark/>
          </w:tcPr>
          <w:p w14:paraId="7ACF4C3F" w14:textId="77777777" w:rsidR="00327FF1" w:rsidRDefault="00E406C7">
            <w:pPr>
              <w:pStyle w:val="P68B1DB1-Normal102"/>
              <w:jc w:val="center"/>
              <w:rPr>
                <w:noProof/>
                <w:szCs w:val="20"/>
              </w:rPr>
            </w:pPr>
            <w:r>
              <w:rPr>
                <w:noProof/>
              </w:rPr>
              <w:t>Ceturkšņa laikā</w:t>
            </w:r>
          </w:p>
        </w:tc>
        <w:tc>
          <w:tcPr>
            <w:tcW w:w="875" w:type="dxa"/>
            <w:shd w:val="clear" w:color="auto" w:fill="BDD7EE"/>
            <w:vAlign w:val="center"/>
            <w:hideMark/>
          </w:tcPr>
          <w:p w14:paraId="7DAD02F8" w14:textId="77777777" w:rsidR="00327FF1" w:rsidRDefault="00E406C7">
            <w:pPr>
              <w:pStyle w:val="P68B1DB1-Normal102"/>
              <w:jc w:val="center"/>
              <w:rPr>
                <w:noProof/>
                <w:szCs w:val="20"/>
              </w:rPr>
            </w:pPr>
            <w:r>
              <w:rPr>
                <w:noProof/>
              </w:rPr>
              <w:t>Gadu</w:t>
            </w:r>
          </w:p>
        </w:tc>
        <w:tc>
          <w:tcPr>
            <w:tcW w:w="3603" w:type="dxa"/>
            <w:vMerge/>
            <w:vAlign w:val="center"/>
            <w:hideMark/>
          </w:tcPr>
          <w:p w14:paraId="7157EE7C" w14:textId="77777777" w:rsidR="00327FF1" w:rsidRDefault="00327FF1">
            <w:pPr>
              <w:rPr>
                <w:rFonts w:ascii="Arial Narrow" w:hAnsi="Arial Narrow"/>
                <w:b/>
                <w:noProof/>
                <w:color w:val="000000"/>
                <w:sz w:val="20"/>
                <w:szCs w:val="20"/>
              </w:rPr>
            </w:pPr>
          </w:p>
        </w:tc>
      </w:tr>
      <w:tr w:rsidR="00327FF1" w14:paraId="5408B550"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1D8209A0" w14:textId="77777777" w:rsidR="00327FF1" w:rsidRDefault="00E406C7">
            <w:pPr>
              <w:pStyle w:val="P68B1DB1-Normal12"/>
              <w:spacing w:before="120" w:after="120"/>
              <w:jc w:val="center"/>
              <w:rPr>
                <w:noProof/>
              </w:rPr>
            </w:pPr>
            <w:r>
              <w:rPr>
                <w:noProof/>
              </w:rPr>
              <w:t>M5C2–6</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20B7F66D" w14:textId="77777777" w:rsidR="00327FF1" w:rsidRDefault="00E406C7">
            <w:pPr>
              <w:pStyle w:val="P68B1DB1-Normal11"/>
              <w:spacing w:before="120" w:after="120"/>
              <w:jc w:val="center"/>
              <w:rPr>
                <w:noProof/>
              </w:rPr>
            </w:pPr>
            <w:r>
              <w:rPr>
                <w:noProof/>
              </w:rPr>
              <w:t>Investīcija Nr. 1 — Atbalsts neaizsargātām personām un institucionalizācijas novēršana</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4C756905" w14:textId="77777777" w:rsidR="00327FF1" w:rsidRDefault="00E406C7">
            <w:pPr>
              <w:pStyle w:val="P68B1DB1-Normal12"/>
              <w:spacing w:before="120" w:after="120"/>
              <w:jc w:val="center"/>
              <w:rPr>
                <w:noProof/>
              </w:rPr>
            </w:pPr>
            <w:r>
              <w:rPr>
                <w:noProof/>
              </w:rPr>
              <w:t>Mērķa</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4F4AD236" w14:textId="23BB56C5" w:rsidR="00327FF1" w:rsidRDefault="00E406C7">
            <w:pPr>
              <w:pStyle w:val="P68B1DB1-Normal11"/>
              <w:spacing w:before="120" w:after="120"/>
              <w:jc w:val="center"/>
              <w:rPr>
                <w:noProof/>
              </w:rPr>
            </w:pPr>
            <w:r>
              <w:rPr>
                <w:noProof/>
              </w:rPr>
              <w:t xml:space="preserve">Pasākumi neaizsargātu cilvēku atbalstam sociālajos rajonos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046F42F4" w14:textId="77777777" w:rsidR="00327FF1" w:rsidRDefault="00E406C7">
            <w:pPr>
              <w:pStyle w:val="P68B1DB1-Normal11"/>
              <w:spacing w:before="120" w:after="120"/>
              <w:jc w:val="center"/>
              <w:rPr>
                <w:noProof/>
              </w:rPr>
            </w:pPr>
            <w:r>
              <w:rPr>
                <w:noProof/>
              </w:rPr>
              <w:t>NEPIEMĒRO</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3B683C3E" w14:textId="77777777" w:rsidR="00327FF1" w:rsidRDefault="00E406C7">
            <w:pPr>
              <w:pStyle w:val="P68B1DB1-Normal12"/>
              <w:spacing w:before="120" w:after="120"/>
              <w:jc w:val="center"/>
              <w:rPr>
                <w:noProof/>
              </w:rPr>
            </w:pPr>
            <w:r>
              <w:rPr>
                <w:noProof/>
              </w:rPr>
              <w:t>Skaits</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28DBF9CE" w14:textId="77777777" w:rsidR="00327FF1" w:rsidRDefault="00E406C7">
            <w:pPr>
              <w:pStyle w:val="P68B1DB1-Normal11"/>
              <w:spacing w:before="120" w:after="120"/>
              <w:jc w:val="center"/>
              <w:rPr>
                <w:noProof/>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1A0B212A" w14:textId="77777777" w:rsidR="00327FF1" w:rsidRDefault="00E406C7">
            <w:pPr>
              <w:pStyle w:val="P68B1DB1-Normal12"/>
              <w:spacing w:before="120" w:after="120"/>
              <w:jc w:val="center"/>
              <w:rPr>
                <w:noProof/>
              </w:rPr>
            </w:pPr>
            <w:r>
              <w:rPr>
                <w:noProof/>
              </w:rPr>
              <w:t>498</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38040D1E" w14:textId="77777777" w:rsidR="00327FF1" w:rsidRDefault="00E406C7">
            <w:pPr>
              <w:pStyle w:val="P68B1DB1-Normal11"/>
              <w:spacing w:before="120" w:after="120"/>
              <w:jc w:val="center"/>
              <w:rPr>
                <w:noProof/>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0E780EF8" w14:textId="77777777" w:rsidR="00327FF1" w:rsidRDefault="00E406C7">
            <w:pPr>
              <w:pStyle w:val="P68B1DB1-Normal11"/>
              <w:spacing w:before="120" w:after="120"/>
              <w:jc w:val="center"/>
              <w:rPr>
                <w:noProof/>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2EE2F61E" w14:textId="50A92375" w:rsidR="00327FF1" w:rsidRDefault="00E406C7">
            <w:pPr>
              <w:pStyle w:val="P68B1DB1-Normal12"/>
              <w:spacing w:before="120" w:after="120"/>
              <w:rPr>
                <w:noProof/>
              </w:rPr>
            </w:pPr>
            <w:r>
              <w:rPr>
                <w:noProof/>
              </w:rPr>
              <w:t>Vismaz 498 sociālie rajoni pabeidz vismaz vienu no šādām darbībām: Atbalsts neaizsargātām ģimenēm un bērniem; II) atbalsts vecāka gadagājuma cilvēku autonomai dzīvei</w:t>
            </w:r>
            <w:r>
              <w:rPr>
                <w:noProof/>
              </w:rPr>
              <w:t>; III) mājas sociālo pakalpojumu sniegšana, lai garantētu priekšlaicīgu izgāšanu un novērstu hospitalizāciju; IV) atbalstīt sociālos darbiniekus.</w:t>
            </w:r>
          </w:p>
        </w:tc>
      </w:tr>
      <w:tr w:rsidR="00327FF1" w14:paraId="7C2BB841"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6D20A4C9" w14:textId="77777777" w:rsidR="00327FF1" w:rsidRDefault="00E406C7">
            <w:pPr>
              <w:pStyle w:val="P68B1DB1-Normal12"/>
              <w:spacing w:before="120" w:after="120"/>
              <w:jc w:val="center"/>
              <w:rPr>
                <w:noProof/>
              </w:rPr>
            </w:pPr>
            <w:r>
              <w:rPr>
                <w:noProof/>
              </w:rPr>
              <w:t>M5C2–8</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185EB459" w14:textId="77777777" w:rsidR="00327FF1" w:rsidRDefault="00E406C7">
            <w:pPr>
              <w:pStyle w:val="P68B1DB1-Normal11"/>
              <w:spacing w:before="120" w:after="120"/>
              <w:jc w:val="center"/>
              <w:rPr>
                <w:noProof/>
              </w:rPr>
            </w:pPr>
            <w:r>
              <w:rPr>
                <w:noProof/>
              </w:rPr>
              <w:t>Investīcija Nr. 2 “Invalīdu autonomijas modeļi”</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04398198" w14:textId="77777777" w:rsidR="00327FF1" w:rsidRDefault="00E406C7">
            <w:pPr>
              <w:pStyle w:val="P68B1DB1-Normal11"/>
              <w:spacing w:before="120" w:after="120"/>
              <w:jc w:val="center"/>
              <w:rPr>
                <w:noProof/>
              </w:rPr>
            </w:pPr>
            <w:r>
              <w:rPr>
                <w:noProof/>
              </w:rPr>
              <w:t>Mērķa</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2D2D4DBB" w14:textId="77777777" w:rsidR="00327FF1" w:rsidRDefault="00E406C7">
            <w:pPr>
              <w:pStyle w:val="P68B1DB1-Normal11"/>
              <w:spacing w:before="120" w:after="120"/>
              <w:jc w:val="center"/>
              <w:rPr>
                <w:noProof/>
              </w:rPr>
            </w:pPr>
            <w:r>
              <w:rPr>
                <w:noProof/>
              </w:rPr>
              <w:t xml:space="preserve">Saņēmēji ir atjaunojuši mājas telpu un/vai IKT </w:t>
            </w:r>
            <w:r>
              <w:rPr>
                <w:noProof/>
              </w:rPr>
              <w:t>ierīces, kā arī apmācījuši digitālās prasmes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3E0BCA89" w14:textId="77777777" w:rsidR="00327FF1" w:rsidRDefault="00E406C7">
            <w:pPr>
              <w:pStyle w:val="P68B1DB1-Normal11"/>
              <w:spacing w:before="120" w:after="120"/>
              <w:jc w:val="center"/>
              <w:rPr>
                <w:noProof/>
              </w:rPr>
            </w:pPr>
            <w:r>
              <w:rPr>
                <w:noProof/>
              </w:rPr>
              <w:t>NEPIEMĒRO</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6565CE2C" w14:textId="77777777" w:rsidR="00327FF1" w:rsidRDefault="00E406C7">
            <w:pPr>
              <w:pStyle w:val="P68B1DB1-Normal11"/>
              <w:spacing w:before="120" w:after="120"/>
              <w:jc w:val="center"/>
              <w:rPr>
                <w:noProof/>
              </w:rPr>
            </w:pPr>
            <w:r>
              <w:rPr>
                <w:noProof/>
              </w:rPr>
              <w:t>Skaits</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0DA3571D" w14:textId="77777777" w:rsidR="00327FF1" w:rsidRDefault="00E406C7">
            <w:pPr>
              <w:pStyle w:val="P68B1DB1-Normal11"/>
              <w:spacing w:before="120" w:after="120"/>
              <w:jc w:val="center"/>
              <w:rPr>
                <w:noProof/>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4E51A0F1" w14:textId="1FE5D36E" w:rsidR="00327FF1" w:rsidRDefault="00E406C7">
            <w:pPr>
              <w:pStyle w:val="P68B1DB1-Normal12"/>
              <w:spacing w:before="120" w:after="120"/>
              <w:jc w:val="center"/>
              <w:rPr>
                <w:noProof/>
              </w:rPr>
            </w:pPr>
            <w:r>
              <w:rPr>
                <w:noProof/>
              </w:rPr>
              <w:t>3 120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2C981A3D" w14:textId="77777777" w:rsidR="00327FF1" w:rsidRDefault="00E406C7">
            <w:pPr>
              <w:pStyle w:val="P68B1DB1-Normal11"/>
              <w:spacing w:before="120" w:after="120"/>
              <w:jc w:val="center"/>
              <w:rPr>
                <w:noProof/>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62336415" w14:textId="77777777" w:rsidR="00327FF1" w:rsidRDefault="00E406C7">
            <w:pPr>
              <w:pStyle w:val="P68B1DB1-Normal11"/>
              <w:spacing w:before="120" w:after="120"/>
              <w:jc w:val="center"/>
              <w:rPr>
                <w:noProof/>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6893763C" w14:textId="4EECD9BC" w:rsidR="00327FF1" w:rsidRDefault="00E406C7">
            <w:pPr>
              <w:pStyle w:val="P68B1DB1-Normal12"/>
              <w:spacing w:before="120" w:after="120"/>
              <w:rPr>
                <w:noProof/>
              </w:rPr>
            </w:pPr>
            <w:r>
              <w:rPr>
                <w:noProof/>
              </w:rPr>
              <w:t>Vismaz 3120 atbalsta saņēmēji ir saņēmuši mājas telpu renovāciju un/vai IKT ierīču nodrošināšanu. Saņēmēji, kas saņem IKT ierīces, piedalās arī digitālo prasmju apmācībā.</w:t>
            </w:r>
          </w:p>
        </w:tc>
      </w:tr>
      <w:tr w:rsidR="00327FF1" w14:paraId="61B872D7"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34489B5C" w14:textId="77777777" w:rsidR="00327FF1" w:rsidRDefault="00E406C7">
            <w:pPr>
              <w:pStyle w:val="P68B1DB1-Normal12"/>
              <w:spacing w:before="120" w:after="120"/>
              <w:jc w:val="center"/>
              <w:rPr>
                <w:noProof/>
              </w:rPr>
            </w:pPr>
            <w:r>
              <w:rPr>
                <w:noProof/>
              </w:rPr>
              <w:t>M5C2–10</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607CFB1A" w14:textId="77777777" w:rsidR="00327FF1" w:rsidRDefault="00E406C7">
            <w:pPr>
              <w:pStyle w:val="P68B1DB1-Normal11"/>
              <w:spacing w:before="120" w:after="120"/>
              <w:jc w:val="center"/>
              <w:rPr>
                <w:noProof/>
              </w:rPr>
            </w:pPr>
            <w:r>
              <w:rPr>
                <w:noProof/>
              </w:rPr>
              <w:t>Investīcija Nr. 3 “Mājokļi pirmajās un post stacijās”</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35B9F6C1" w14:textId="77777777" w:rsidR="00327FF1" w:rsidRDefault="00E406C7">
            <w:pPr>
              <w:pStyle w:val="P68B1DB1-Normal11"/>
              <w:spacing w:before="120" w:after="120"/>
              <w:jc w:val="center"/>
              <w:rPr>
                <w:noProof/>
              </w:rPr>
            </w:pPr>
            <w:r>
              <w:rPr>
                <w:noProof/>
              </w:rPr>
              <w:t>Mērķa</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3A3C0994" w14:textId="555AF164" w:rsidR="00327FF1" w:rsidRDefault="00E406C7">
            <w:pPr>
              <w:pStyle w:val="P68B1DB1-Normal12"/>
              <w:spacing w:before="120" w:after="120"/>
              <w:jc w:val="center"/>
              <w:rPr>
                <w:noProof/>
              </w:rPr>
            </w:pPr>
            <w:r>
              <w:rPr>
                <w:noProof/>
              </w:rPr>
              <w:t>Projekti mājokļu jomā “Pirmās un pēcstacijas”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2C4846D6" w14:textId="77777777" w:rsidR="00327FF1" w:rsidRDefault="00E406C7">
            <w:pPr>
              <w:pStyle w:val="P68B1DB1-Normal11"/>
              <w:spacing w:before="120" w:after="120"/>
              <w:jc w:val="center"/>
              <w:rPr>
                <w:noProof/>
              </w:rPr>
            </w:pPr>
            <w:r>
              <w:rPr>
                <w:noProof/>
              </w:rPr>
              <w:t>NEPIEMĒRO</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6BD251F0" w14:textId="77777777" w:rsidR="00327FF1" w:rsidRDefault="00E406C7">
            <w:pPr>
              <w:pStyle w:val="P68B1DB1-Normal11"/>
              <w:spacing w:before="120" w:after="120"/>
              <w:jc w:val="center"/>
              <w:rPr>
                <w:noProof/>
              </w:rPr>
            </w:pPr>
            <w:r>
              <w:rPr>
                <w:noProof/>
              </w:rPr>
              <w:t>Skaits</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7E9E47FD" w14:textId="77777777" w:rsidR="00327FF1" w:rsidRDefault="00E406C7">
            <w:pPr>
              <w:pStyle w:val="P68B1DB1-Normal11"/>
              <w:spacing w:before="120" w:after="120"/>
              <w:jc w:val="center"/>
              <w:rPr>
                <w:noProof/>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193CB304" w14:textId="77777777" w:rsidR="00327FF1" w:rsidRDefault="00E406C7">
            <w:pPr>
              <w:pStyle w:val="P68B1DB1-Normal12"/>
              <w:spacing w:before="120" w:after="120"/>
              <w:jc w:val="center"/>
              <w:rPr>
                <w:noProof/>
              </w:rPr>
            </w:pPr>
            <w:r>
              <w:rPr>
                <w:noProof/>
              </w:rPr>
              <w:t>12 364</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48AC6EE7" w14:textId="77777777" w:rsidR="00327FF1" w:rsidRDefault="00E406C7">
            <w:pPr>
              <w:pStyle w:val="P68B1DB1-Normal11"/>
              <w:spacing w:before="120" w:after="120"/>
              <w:jc w:val="center"/>
              <w:rPr>
                <w:noProof/>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1A277494" w14:textId="77777777" w:rsidR="00327FF1" w:rsidRDefault="00E406C7">
            <w:pPr>
              <w:pStyle w:val="P68B1DB1-Normal11"/>
              <w:spacing w:before="120" w:after="120"/>
              <w:jc w:val="center"/>
              <w:rPr>
                <w:noProof/>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76B01160" w14:textId="77777777" w:rsidR="00327FF1" w:rsidRDefault="00E406C7">
            <w:pPr>
              <w:pStyle w:val="P68B1DB1-Normal12"/>
              <w:spacing w:before="120" w:after="120"/>
              <w:rPr>
                <w:noProof/>
              </w:rPr>
            </w:pPr>
            <w:r>
              <w:rPr>
                <w:noProof/>
              </w:rPr>
              <w:t xml:space="preserve">Pirmkārt, attiecībā uz mājokļiem 1318 parakstīja individualizētus projektus ( </w:t>
            </w:r>
            <w:r>
              <w:rPr>
                <w:i/>
                <w:noProof/>
              </w:rPr>
              <w:t xml:space="preserve">“progetto personalizzato”), </w:t>
            </w:r>
            <w:r>
              <w:rPr>
                <w:i/>
                <w:noProof/>
              </w:rPr>
              <w:t>kas</w:t>
            </w:r>
            <w:r>
              <w:rPr>
                <w:noProof/>
              </w:rPr>
              <w:t xml:space="preserve"> apliecināja, ka pagaidu izmitināšana tika nodrošināta vismaz 6 un ne ilgāk kā 24 mēnešus. Turklāt par katru saņēmēju iesniedz arī sertifikātu par darbu pabeigšanu attiecīgā projekta infrastruktūrā.</w:t>
            </w:r>
          </w:p>
          <w:p w14:paraId="5B97983E" w14:textId="77777777" w:rsidR="00327FF1" w:rsidRDefault="00E406C7">
            <w:pPr>
              <w:pStyle w:val="P68B1DB1-Normal12"/>
              <w:spacing w:before="120" w:after="120"/>
              <w:rPr>
                <w:noProof/>
              </w:rPr>
            </w:pPr>
            <w:r>
              <w:rPr>
                <w:noProof/>
              </w:rPr>
              <w:t>Attiecībā uz pasta stacijām 11046 parakstīja individua</w:t>
            </w:r>
            <w:r>
              <w:rPr>
                <w:noProof/>
              </w:rPr>
              <w:t xml:space="preserve">lizētus projektus ( </w:t>
            </w:r>
            <w:r>
              <w:rPr>
                <w:i/>
                <w:noProof/>
              </w:rPr>
              <w:t>“progetto personalizzato”), kas</w:t>
            </w:r>
            <w:r>
              <w:rPr>
                <w:noProof/>
              </w:rPr>
              <w:t xml:space="preserve"> apliecināja, ka pakalpojums tika sniegts. Par katru saņēmēju iesniedz arī sertifikātu par darbu pabeigšanu attiecīgā projekta infrastruktūrā.</w:t>
            </w:r>
          </w:p>
        </w:tc>
      </w:tr>
      <w:tr w:rsidR="00327FF1" w14:paraId="4497645A"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C1A86A8" w14:textId="77777777" w:rsidR="00327FF1" w:rsidRDefault="00E406C7">
            <w:pPr>
              <w:pStyle w:val="P68B1DB1-Normal11"/>
              <w:spacing w:before="120" w:after="120"/>
              <w:jc w:val="center"/>
              <w:rPr>
                <w:rFonts w:eastAsia="Calibri"/>
                <w:noProof/>
                <w:szCs w:val="20"/>
              </w:rPr>
            </w:pPr>
            <w:r>
              <w:rPr>
                <w:noProof/>
              </w:rPr>
              <w:t>M5C2–11</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0ACD218" w14:textId="77777777" w:rsidR="00327FF1" w:rsidRDefault="00E406C7">
            <w:pPr>
              <w:pStyle w:val="P68B1DB1-Normal11"/>
              <w:spacing w:before="120" w:after="120"/>
              <w:jc w:val="center"/>
              <w:rPr>
                <w:rFonts w:eastAsia="Calibri"/>
                <w:noProof/>
                <w:szCs w:val="20"/>
              </w:rPr>
            </w:pPr>
            <w:r>
              <w:rPr>
                <w:noProof/>
              </w:rPr>
              <w:t>Investīcija Nr. 4 — Ieguldījumi pilsētvides atjaunošanas projektos, kuru mērķis ir mazināt marginalizācijas un sociālās degradācijas situācijas</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104AE53" w14:textId="77777777" w:rsidR="00327FF1" w:rsidRDefault="00E406C7">
            <w:pPr>
              <w:pStyle w:val="P68B1DB1-Normal11"/>
              <w:spacing w:before="120" w:after="120"/>
              <w:jc w:val="center"/>
              <w:rPr>
                <w:rFonts w:eastAsia="Calibri"/>
                <w:noProof/>
                <w:szCs w:val="20"/>
              </w:rPr>
            </w:pPr>
            <w:r>
              <w:rPr>
                <w:noProof/>
              </w:rPr>
              <w:t>Atskaites punkts</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BA06431" w14:textId="77777777" w:rsidR="00327FF1" w:rsidRDefault="00E406C7">
            <w:pPr>
              <w:pStyle w:val="P68B1DB1-Normal11"/>
              <w:spacing w:before="120" w:after="120"/>
              <w:jc w:val="center"/>
              <w:rPr>
                <w:rFonts w:eastAsia="Calibri"/>
                <w:noProof/>
                <w:szCs w:val="20"/>
              </w:rPr>
            </w:pPr>
            <w:r>
              <w:rPr>
                <w:noProof/>
              </w:rPr>
              <w:t>Visu publisko līgumu slēgšanas tiesību piešķiršana par investīcijām pilsētvides atjaunošanā, lai mazinātu marginalizācijas un sociālās degradācijas situācijas, un projekti atbilst ANM mērķiem, tostarp principam “nenodarīt būtisku kaitējumu”</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33094EC" w14:textId="77777777" w:rsidR="00327FF1" w:rsidRDefault="00E406C7">
            <w:pPr>
              <w:pStyle w:val="P68B1DB1-Normal11"/>
              <w:spacing w:before="120" w:after="120"/>
              <w:jc w:val="center"/>
              <w:rPr>
                <w:rFonts w:eastAsia="Calibri"/>
                <w:noProof/>
                <w:szCs w:val="20"/>
              </w:rPr>
            </w:pPr>
            <w:r>
              <w:rPr>
                <w:noProof/>
              </w:rPr>
              <w:t xml:space="preserve">Paziņošana par </w:t>
            </w:r>
            <w:r>
              <w:rPr>
                <w:noProof/>
              </w:rPr>
              <w:t>visiem publiskajiem līgumiem par investīcijām pilsētvides atjaunošanā, lai mazinātu marginalizācijas un sociālās degradācijas situācijas, un par projektiem, kas atbilst ANM mērķiem, tostarp principam “nenodarīt būtisku kaitējumu”</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9CE1BDE" w14:textId="77777777" w:rsidR="00327FF1" w:rsidRDefault="00E406C7">
            <w:pPr>
              <w:pStyle w:val="P68B1DB1-Normal11"/>
              <w:spacing w:before="120" w:after="120"/>
              <w:jc w:val="center"/>
              <w:rPr>
                <w:rFonts w:eastAsia="Calibri"/>
                <w:noProof/>
                <w:szCs w:val="20"/>
              </w:rPr>
            </w:pPr>
            <w:r>
              <w:rPr>
                <w:noProof/>
              </w:rPr>
              <w:t>NEPIEMĒRO</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30FF055" w14:textId="77777777" w:rsidR="00327FF1" w:rsidRDefault="00E406C7">
            <w:pPr>
              <w:pStyle w:val="P68B1DB1-Normal11"/>
              <w:spacing w:before="120" w:after="120"/>
              <w:jc w:val="center"/>
              <w:rPr>
                <w:rFonts w:eastAsia="Calibri"/>
                <w:noProof/>
                <w:szCs w:val="20"/>
              </w:rPr>
            </w:pPr>
            <w:r>
              <w:rPr>
                <w:noProof/>
              </w:rPr>
              <w:t>NEPIEMĒRO</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583E12B" w14:textId="77777777" w:rsidR="00327FF1" w:rsidRDefault="00E406C7">
            <w:pPr>
              <w:pStyle w:val="P68B1DB1-Normal11"/>
              <w:spacing w:before="120" w:after="120"/>
              <w:jc w:val="center"/>
              <w:rPr>
                <w:rFonts w:eastAsia="Calibri"/>
                <w:noProof/>
                <w:szCs w:val="20"/>
              </w:rPr>
            </w:pPr>
            <w:r>
              <w:rPr>
                <w:noProof/>
              </w:rPr>
              <w:t>NEPIEM</w:t>
            </w:r>
            <w:r>
              <w:rPr>
                <w:noProof/>
              </w:rPr>
              <w:t>ĒRO</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F6204DD" w14:textId="77777777" w:rsidR="00327FF1" w:rsidRDefault="00E406C7">
            <w:pPr>
              <w:pStyle w:val="P68B1DB1-Normal11"/>
              <w:spacing w:before="120" w:after="120"/>
              <w:jc w:val="center"/>
              <w:rPr>
                <w:rFonts w:eastAsia="Calibri"/>
                <w:noProof/>
                <w:szCs w:val="20"/>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E616EBE" w14:textId="77777777" w:rsidR="00327FF1" w:rsidRDefault="00E406C7">
            <w:pPr>
              <w:pStyle w:val="P68B1DB1-Normal11"/>
              <w:spacing w:before="120" w:after="120"/>
              <w:jc w:val="center"/>
              <w:rPr>
                <w:rFonts w:eastAsia="Calibri"/>
                <w:noProof/>
                <w:szCs w:val="20"/>
              </w:rPr>
            </w:pPr>
            <w:r>
              <w:rPr>
                <w:noProof/>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AE274C4" w14:textId="77777777" w:rsidR="00327FF1" w:rsidRDefault="00E406C7">
            <w:pPr>
              <w:spacing w:before="120" w:after="120"/>
              <w:rPr>
                <w:rFonts w:ascii="Arial Narrow" w:eastAsia="Calibri" w:hAnsi="Arial Narrow"/>
                <w:noProof/>
                <w:color w:val="006100"/>
                <w:sz w:val="20"/>
                <w:szCs w:val="20"/>
              </w:rPr>
            </w:pPr>
            <w:r>
              <w:rPr>
                <w:rFonts w:ascii="Arial Narrow" w:hAnsi="Arial Narrow"/>
                <w:noProof/>
                <w:color w:val="006100"/>
                <w:sz w:val="20"/>
              </w:rPr>
              <w:t>Paziņojums par visiem publiskajiem līgumiem, kas piešķirti vismaz 300 pašvaldībām, kurās ir vairāk nekā 15000</w:t>
            </w:r>
            <w:r>
              <w:rPr>
                <w:noProof/>
                <w:sz w:val="23"/>
                <w:szCs w:val="23"/>
              </w:rPr>
              <w:t xml:space="preserve"> </w:t>
            </w:r>
            <w:r>
              <w:rPr>
                <w:rFonts w:ascii="Arial Narrow" w:hAnsi="Arial Narrow"/>
                <w:noProof/>
                <w:color w:val="006100"/>
                <w:sz w:val="20"/>
              </w:rPr>
              <w:t xml:space="preserve">iedzīvotāju, par investīcijām pilsētvides atjaunošanā, lai mazinātu marginalizācijas un sociālās degradācijas situācijas, un projekti </w:t>
            </w:r>
            <w:r>
              <w:rPr>
                <w:rFonts w:ascii="Arial Narrow" w:hAnsi="Arial Narrow"/>
                <w:noProof/>
                <w:color w:val="006100"/>
                <w:sz w:val="20"/>
              </w:rPr>
              <w:t>atbilst ANM mērķiem, tostarp principam “nenodarīt būtisku kaitējumu”.</w:t>
            </w:r>
          </w:p>
          <w:p w14:paraId="5CA68C3F" w14:textId="77777777" w:rsidR="00327FF1" w:rsidRDefault="00E406C7">
            <w:pPr>
              <w:spacing w:before="120" w:after="120"/>
              <w:rPr>
                <w:rFonts w:ascii="Arial Narrow" w:eastAsia="Calibri" w:hAnsi="Arial Narrow"/>
                <w:noProof/>
                <w:color w:val="006100"/>
                <w:sz w:val="20"/>
                <w:szCs w:val="20"/>
              </w:rPr>
            </w:pPr>
            <w:r>
              <w:rPr>
                <w:rFonts w:ascii="Arial Narrow" w:hAnsi="Arial Narrow"/>
                <w:noProof/>
                <w:color w:val="006100"/>
                <w:sz w:val="20"/>
              </w:rPr>
              <w:t>Dotācijas piešķir pašvaldībām, kurās ir vairāk nekā 15000</w:t>
            </w:r>
            <w:r>
              <w:rPr>
                <w:noProof/>
                <w:sz w:val="23"/>
                <w:szCs w:val="23"/>
              </w:rPr>
              <w:t xml:space="preserve"> </w:t>
            </w:r>
            <w:r>
              <w:rPr>
                <w:rFonts w:ascii="Arial Narrow" w:hAnsi="Arial Narrow"/>
                <w:noProof/>
                <w:color w:val="006100"/>
                <w:sz w:val="20"/>
              </w:rPr>
              <w:t>iedzīvotāju un kuras nav provinces galvaspilsētas, provinces galvaspilsētas pašvaldības vai lielpilsētu galvenā mītne.</w:t>
            </w:r>
          </w:p>
          <w:p w14:paraId="7C5F2F44" w14:textId="77777777" w:rsidR="00327FF1" w:rsidRDefault="00E406C7">
            <w:pPr>
              <w:pStyle w:val="P68B1DB1-Normal11"/>
              <w:spacing w:before="120" w:after="120"/>
              <w:rPr>
                <w:rFonts w:eastAsia="Calibri"/>
                <w:noProof/>
                <w:szCs w:val="20"/>
              </w:rPr>
            </w:pPr>
            <w:r>
              <w:rPr>
                <w:noProof/>
              </w:rPr>
              <w:t xml:space="preserve">Pilsētas </w:t>
            </w:r>
            <w:r>
              <w:rPr>
                <w:noProof/>
              </w:rPr>
              <w:t>ražošanas projekti sastāv no vismaz vienas no šādām intervencēm:</w:t>
            </w:r>
          </w:p>
          <w:p w14:paraId="6AA5307F" w14:textId="77777777" w:rsidR="00327FF1" w:rsidRDefault="00E406C7">
            <w:pPr>
              <w:pStyle w:val="P68B1DB1-ListParagraph15"/>
              <w:numPr>
                <w:ilvl w:val="0"/>
                <w:numId w:val="95"/>
              </w:numPr>
              <w:spacing w:before="120" w:after="120" w:line="278" w:lineRule="auto"/>
              <w:ind w:left="357" w:hanging="357"/>
              <w:contextualSpacing w:val="0"/>
              <w:jc w:val="both"/>
              <w:rPr>
                <w:rFonts w:eastAsia="Calibri"/>
                <w:noProof/>
                <w:szCs w:val="20"/>
              </w:rPr>
            </w:pPr>
            <w:r>
              <w:rPr>
                <w:noProof/>
              </w:rPr>
              <w:t>Sabiedrisko teritoriju un esošo publisko ēku struktūru atkalizmantošana un pārfunkcionalizācija sabiedrības interesēs, tostarp tādu ļaunprātīgu darbu nojaukšana, ko veic privātpersonas, ja bū</w:t>
            </w:r>
            <w:r>
              <w:rPr>
                <w:noProof/>
              </w:rPr>
              <w:t>vatļaujas un attiecīgo teritoriju izvietojuma nav vai pastāv pilnīga neatbilstība no tās;</w:t>
            </w:r>
          </w:p>
          <w:p w14:paraId="5E426E72" w14:textId="77777777" w:rsidR="00327FF1" w:rsidRDefault="00E406C7">
            <w:pPr>
              <w:pStyle w:val="P68B1DB1-ListParagraph15"/>
              <w:numPr>
                <w:ilvl w:val="0"/>
                <w:numId w:val="95"/>
              </w:numPr>
              <w:spacing w:before="120" w:after="120" w:line="278" w:lineRule="auto"/>
              <w:ind w:left="357" w:hanging="357"/>
              <w:contextualSpacing w:val="0"/>
              <w:jc w:val="both"/>
              <w:rPr>
                <w:rFonts w:eastAsia="Calibri"/>
                <w:noProof/>
                <w:szCs w:val="20"/>
              </w:rPr>
            </w:pPr>
            <w:r>
              <w:rPr>
                <w:noProof/>
              </w:rPr>
              <w:t>Pilsētas ainavas un sociālās un vides struktūras kvalitātes uzlabošana, tostarp atjaunojot sabiedriskās ēkas, īpašu uzmanību pievēršot sociālo un kultūras, izglītības</w:t>
            </w:r>
            <w:r>
              <w:rPr>
                <w:noProof/>
              </w:rPr>
              <w:t xml:space="preserve"> un didaktisko pakalpojumu attīstībai;</w:t>
            </w:r>
          </w:p>
          <w:p w14:paraId="35940459" w14:textId="77777777" w:rsidR="00327FF1" w:rsidRDefault="00E406C7">
            <w:pPr>
              <w:pStyle w:val="P68B1DB1-ListParagraph15"/>
              <w:numPr>
                <w:ilvl w:val="0"/>
                <w:numId w:val="95"/>
              </w:numPr>
              <w:spacing w:before="120" w:after="120" w:line="278" w:lineRule="auto"/>
              <w:ind w:left="357" w:hanging="357"/>
              <w:contextualSpacing w:val="0"/>
              <w:jc w:val="both"/>
              <w:rPr>
                <w:rFonts w:eastAsia="Calibri"/>
                <w:noProof/>
                <w:szCs w:val="20"/>
              </w:rPr>
            </w:pPr>
            <w:r>
              <w:rPr>
                <w:noProof/>
              </w:rPr>
              <w:t>Zaļa, ilgtspējīga un vieda transporta projekti.</w:t>
            </w:r>
          </w:p>
          <w:p w14:paraId="0A77AA9E" w14:textId="77777777" w:rsidR="00327FF1" w:rsidRDefault="00E406C7">
            <w:pPr>
              <w:pStyle w:val="P68B1DB1-Normal11"/>
              <w:spacing w:before="120" w:after="120"/>
              <w:rPr>
                <w:rFonts w:eastAsia="Calibri"/>
                <w:noProof/>
                <w:szCs w:val="20"/>
              </w:rPr>
            </w:pPr>
            <w:r>
              <w:rPr>
                <w:noProof/>
              </w:rPr>
              <w:t>Maksimālās summas katrai pašvaldībai ir šādas:</w:t>
            </w:r>
          </w:p>
          <w:p w14:paraId="2BD93289" w14:textId="77777777" w:rsidR="00327FF1" w:rsidRDefault="00E406C7">
            <w:pPr>
              <w:spacing w:before="120" w:after="120"/>
              <w:rPr>
                <w:rFonts w:ascii="Arial Narrow" w:eastAsia="Calibri" w:hAnsi="Arial Narrow"/>
                <w:noProof/>
                <w:color w:val="006100"/>
                <w:sz w:val="20"/>
                <w:szCs w:val="20"/>
              </w:rPr>
            </w:pPr>
            <w:r>
              <w:rPr>
                <w:rFonts w:ascii="Arial Narrow" w:hAnsi="Arial Narrow"/>
                <w:noProof/>
                <w:color w:val="006100"/>
                <w:sz w:val="20"/>
              </w:rPr>
              <w:t>EUR 5000000</w:t>
            </w:r>
            <w:r>
              <w:rPr>
                <w:noProof/>
                <w:sz w:val="23"/>
                <w:szCs w:val="23"/>
              </w:rPr>
              <w:t xml:space="preserve"> </w:t>
            </w:r>
            <w:r>
              <w:rPr>
                <w:rFonts w:ascii="Arial Narrow" w:hAnsi="Arial Narrow"/>
                <w:noProof/>
                <w:color w:val="006100"/>
                <w:sz w:val="20"/>
              </w:rPr>
              <w:t>pašvaldībām, kurās iedzīvotāju skaits ir no 15000</w:t>
            </w:r>
            <w:r>
              <w:rPr>
                <w:noProof/>
                <w:sz w:val="23"/>
                <w:szCs w:val="23"/>
              </w:rPr>
              <w:t xml:space="preserve"> </w:t>
            </w:r>
            <w:r>
              <w:rPr>
                <w:rFonts w:ascii="Arial Narrow" w:hAnsi="Arial Narrow"/>
                <w:noProof/>
                <w:color w:val="006100"/>
                <w:sz w:val="20"/>
              </w:rPr>
              <w:t>līdz 49999</w:t>
            </w:r>
            <w:r>
              <w:rPr>
                <w:noProof/>
                <w:sz w:val="23"/>
                <w:szCs w:val="23"/>
              </w:rPr>
              <w:t xml:space="preserve"> </w:t>
            </w:r>
            <w:r>
              <w:rPr>
                <w:rFonts w:ascii="Arial Narrow" w:hAnsi="Arial Narrow"/>
                <w:noProof/>
                <w:color w:val="006100"/>
                <w:sz w:val="20"/>
              </w:rPr>
              <w:t>iedzīvotājiem;</w:t>
            </w:r>
          </w:p>
          <w:p w14:paraId="46748205" w14:textId="77777777" w:rsidR="00327FF1" w:rsidRDefault="00E406C7">
            <w:pPr>
              <w:spacing w:before="120" w:after="120"/>
              <w:rPr>
                <w:rFonts w:ascii="Arial Narrow" w:eastAsia="Calibri" w:hAnsi="Arial Narrow"/>
                <w:noProof/>
                <w:color w:val="006100"/>
                <w:sz w:val="20"/>
                <w:szCs w:val="20"/>
              </w:rPr>
            </w:pPr>
            <w:r>
              <w:rPr>
                <w:rFonts w:ascii="Arial Narrow" w:hAnsi="Arial Narrow"/>
                <w:noProof/>
                <w:color w:val="006100"/>
                <w:sz w:val="20"/>
              </w:rPr>
              <w:t>EUR</w:t>
            </w:r>
            <w:r>
              <w:rPr>
                <w:noProof/>
                <w:sz w:val="23"/>
                <w:szCs w:val="23"/>
              </w:rPr>
              <w:t xml:space="preserve"> </w:t>
            </w:r>
            <w:r>
              <w:rPr>
                <w:rFonts w:ascii="Arial Narrow" w:hAnsi="Arial Narrow"/>
                <w:noProof/>
                <w:color w:val="006100"/>
                <w:sz w:val="20"/>
              </w:rPr>
              <w:t>10000000</w:t>
            </w:r>
            <w:r>
              <w:rPr>
                <w:noProof/>
                <w:sz w:val="23"/>
                <w:szCs w:val="23"/>
              </w:rPr>
              <w:t xml:space="preserve"> </w:t>
            </w:r>
            <w:r>
              <w:rPr>
                <w:rFonts w:ascii="Arial Narrow" w:hAnsi="Arial Narrow"/>
                <w:noProof/>
                <w:color w:val="006100"/>
                <w:sz w:val="20"/>
              </w:rPr>
              <w:t xml:space="preserve">pašvaldībām, kurās </w:t>
            </w:r>
            <w:r>
              <w:rPr>
                <w:rFonts w:ascii="Arial Narrow" w:hAnsi="Arial Narrow"/>
                <w:noProof/>
                <w:color w:val="006100"/>
                <w:sz w:val="20"/>
              </w:rPr>
              <w:t>iedzīvotāju skaits ir no 50000</w:t>
            </w:r>
            <w:r>
              <w:rPr>
                <w:noProof/>
                <w:sz w:val="23"/>
                <w:szCs w:val="23"/>
              </w:rPr>
              <w:t xml:space="preserve"> </w:t>
            </w:r>
            <w:r>
              <w:rPr>
                <w:rFonts w:ascii="Arial Narrow" w:hAnsi="Arial Narrow"/>
                <w:noProof/>
                <w:color w:val="006100"/>
                <w:sz w:val="20"/>
              </w:rPr>
              <w:t>līdz</w:t>
            </w:r>
            <w:r>
              <w:rPr>
                <w:noProof/>
                <w:sz w:val="23"/>
                <w:szCs w:val="23"/>
              </w:rPr>
              <w:t xml:space="preserve"> </w:t>
            </w:r>
            <w:r>
              <w:rPr>
                <w:rFonts w:ascii="Arial Narrow" w:hAnsi="Arial Narrow"/>
                <w:noProof/>
                <w:color w:val="006100"/>
                <w:sz w:val="20"/>
              </w:rPr>
              <w:t>100000;</w:t>
            </w:r>
          </w:p>
          <w:p w14:paraId="7EACC1E5" w14:textId="77777777" w:rsidR="00327FF1" w:rsidRDefault="00E406C7">
            <w:pPr>
              <w:spacing w:before="120" w:after="120"/>
              <w:rPr>
                <w:rFonts w:ascii="Arial Narrow" w:eastAsia="Calibri" w:hAnsi="Arial Narrow"/>
                <w:noProof/>
                <w:color w:val="006100"/>
                <w:sz w:val="20"/>
                <w:szCs w:val="20"/>
              </w:rPr>
            </w:pPr>
            <w:r>
              <w:rPr>
                <w:rFonts w:ascii="Arial Narrow" w:hAnsi="Arial Narrow"/>
                <w:noProof/>
                <w:color w:val="006100"/>
                <w:sz w:val="20"/>
              </w:rPr>
              <w:t>EUR 20000000</w:t>
            </w:r>
            <w:r>
              <w:rPr>
                <w:noProof/>
                <w:sz w:val="23"/>
                <w:szCs w:val="23"/>
              </w:rPr>
              <w:t xml:space="preserve">  </w:t>
            </w:r>
            <w:r>
              <w:rPr>
                <w:rFonts w:ascii="Arial Narrow" w:hAnsi="Arial Narrow"/>
                <w:noProof/>
                <w:color w:val="006100"/>
                <w:sz w:val="20"/>
              </w:rPr>
              <w:t>pašvaldībām, kurās iedzīvotāju skaits pārsniedz 100000</w:t>
            </w:r>
            <w:r>
              <w:rPr>
                <w:noProof/>
                <w:sz w:val="23"/>
                <w:szCs w:val="23"/>
              </w:rPr>
              <w:t xml:space="preserve">, </w:t>
            </w:r>
            <w:r>
              <w:rPr>
                <w:rFonts w:ascii="Arial Narrow" w:hAnsi="Arial Narrow"/>
                <w:noProof/>
                <w:color w:val="006100"/>
                <w:sz w:val="20"/>
              </w:rPr>
              <w:t>un pašvaldībām, kas ir provinces galvaspilsētas vai lielpilsētu pilsētas.</w:t>
            </w:r>
          </w:p>
        </w:tc>
      </w:tr>
      <w:tr w:rsidR="00327FF1" w14:paraId="3403ECE3"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EF1BBC4" w14:textId="77777777" w:rsidR="00327FF1" w:rsidRDefault="00E406C7">
            <w:pPr>
              <w:pStyle w:val="P68B1DB1-Normal12"/>
              <w:jc w:val="center"/>
              <w:rPr>
                <w:noProof/>
                <w:highlight w:val="yellow"/>
              </w:rPr>
            </w:pPr>
            <w:r>
              <w:rPr>
                <w:noProof/>
              </w:rPr>
              <w:t>M5C2–12</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ABD3DB3" w14:textId="77777777" w:rsidR="00327FF1" w:rsidRDefault="00E406C7">
            <w:pPr>
              <w:pStyle w:val="P68B1DB1-Normal11"/>
              <w:jc w:val="center"/>
              <w:rPr>
                <w:noProof/>
                <w:szCs w:val="20"/>
              </w:rPr>
            </w:pPr>
            <w:r>
              <w:rPr>
                <w:noProof/>
              </w:rPr>
              <w:t xml:space="preserve">Investīcija Nr. 4 — Ieguldījumi pilsētvides atjaunošanas </w:t>
            </w:r>
            <w:r>
              <w:rPr>
                <w:noProof/>
              </w:rPr>
              <w:t>projektos, kuru mērķis ir mazināt marginalizācijas un sociālās degradācijas situācijas</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8F4BA4A" w14:textId="77777777" w:rsidR="00327FF1" w:rsidRDefault="00E406C7">
            <w:pPr>
              <w:pStyle w:val="P68B1DB1-Normal11"/>
              <w:jc w:val="center"/>
              <w:rPr>
                <w:noProof/>
                <w:szCs w:val="20"/>
              </w:rPr>
            </w:pPr>
            <w:r>
              <w:rPr>
                <w:noProof/>
              </w:rPr>
              <w:t>Mērķa</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F9BA6EA" w14:textId="77777777" w:rsidR="00327FF1" w:rsidRDefault="00E406C7">
            <w:pPr>
              <w:pStyle w:val="P68B1DB1-Normal12"/>
              <w:jc w:val="center"/>
              <w:rPr>
                <w:noProof/>
              </w:rPr>
            </w:pPr>
            <w:r>
              <w:rPr>
                <w:noProof/>
              </w:rPr>
              <w:t xml:space="preserve">Pilsētvides atjaunošanas pasākumu projektu pabeigšana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15F266A" w14:textId="77777777" w:rsidR="00327FF1" w:rsidRDefault="00E406C7">
            <w:pPr>
              <w:pStyle w:val="P68B1DB1-Normal11"/>
              <w:jc w:val="center"/>
              <w:rPr>
                <w:noProof/>
                <w:szCs w:val="20"/>
              </w:rPr>
            </w:pPr>
            <w:r>
              <w:rPr>
                <w:noProof/>
              </w:rPr>
              <w:t>NEPIEMĒRO</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A518E52" w14:textId="77777777" w:rsidR="00327FF1" w:rsidRDefault="00E406C7">
            <w:pPr>
              <w:pStyle w:val="P68B1DB1-Normal11"/>
              <w:jc w:val="center"/>
              <w:rPr>
                <w:noProof/>
                <w:szCs w:val="20"/>
              </w:rPr>
            </w:pPr>
            <w:r>
              <w:rPr>
                <w:noProof/>
              </w:rPr>
              <w:t>Skaits</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5CDA326" w14:textId="77777777" w:rsidR="00327FF1" w:rsidRDefault="00E406C7">
            <w:pPr>
              <w:pStyle w:val="P68B1DB1-Normal11"/>
              <w:jc w:val="center"/>
              <w:rPr>
                <w:noProof/>
                <w:szCs w:val="20"/>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CF8CDF4"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1</w:t>
            </w:r>
            <w:r>
              <w:rPr>
                <w:noProof/>
                <w:sz w:val="23"/>
                <w:szCs w:val="23"/>
              </w:rPr>
              <w:t xml:space="preserve"> </w:t>
            </w:r>
            <w:r>
              <w:rPr>
                <w:rFonts w:ascii="Arial Narrow" w:hAnsi="Arial Narrow"/>
                <w:noProof/>
                <w:color w:val="006100"/>
                <w:sz w:val="20"/>
              </w:rPr>
              <w:t>080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0021215" w14:textId="77777777" w:rsidR="00327FF1" w:rsidRDefault="00E406C7">
            <w:pPr>
              <w:pStyle w:val="P68B1DB1-Normal11"/>
              <w:jc w:val="center"/>
              <w:rPr>
                <w:noProof/>
                <w:szCs w:val="20"/>
              </w:rPr>
            </w:pPr>
            <w:r>
              <w:rPr>
                <w:noProof/>
              </w:rPr>
              <w:t>2. CET.</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A7CA6FE" w14:textId="77777777" w:rsidR="00327FF1" w:rsidRDefault="00E406C7">
            <w:pPr>
              <w:pStyle w:val="P68B1DB1-Normal11"/>
              <w:jc w:val="center"/>
              <w:rPr>
                <w:noProof/>
                <w:szCs w:val="20"/>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B1F1F63" w14:textId="77777777" w:rsidR="00327FF1" w:rsidRDefault="00E406C7">
            <w:pPr>
              <w:rPr>
                <w:rFonts w:ascii="Arial Narrow" w:hAnsi="Arial Narrow"/>
                <w:noProof/>
                <w:color w:val="006100"/>
                <w:sz w:val="20"/>
                <w:szCs w:val="20"/>
              </w:rPr>
            </w:pPr>
            <w:r>
              <w:rPr>
                <w:rFonts w:ascii="Arial Narrow" w:hAnsi="Arial Narrow"/>
                <w:noProof/>
                <w:color w:val="006100"/>
                <w:sz w:val="20"/>
                <w:szCs w:val="20"/>
              </w:rPr>
              <w:t>Sertifikāti par darbu pabeigšanu vismaz 1080</w:t>
            </w:r>
            <w:r>
              <w:rPr>
                <w:noProof/>
                <w:sz w:val="23"/>
                <w:szCs w:val="23"/>
              </w:rPr>
              <w:t xml:space="preserve"> </w:t>
            </w:r>
            <w:r>
              <w:rPr>
                <w:rFonts w:ascii="Arial Narrow" w:hAnsi="Arial Narrow"/>
                <w:noProof/>
                <w:color w:val="006100"/>
                <w:sz w:val="20"/>
                <w:szCs w:val="20"/>
              </w:rPr>
              <w:t>projektos, kas aptver vis</w:t>
            </w:r>
            <w:r>
              <w:rPr>
                <w:rFonts w:ascii="Arial Narrow" w:hAnsi="Arial Narrow"/>
                <w:noProof/>
                <w:color w:val="006100"/>
                <w:sz w:val="20"/>
                <w:szCs w:val="20"/>
              </w:rPr>
              <w:t>maz 1000000</w:t>
            </w:r>
            <w:r>
              <w:rPr>
                <w:noProof/>
                <w:sz w:val="23"/>
                <w:szCs w:val="23"/>
              </w:rPr>
              <w:t xml:space="preserve"> kvadrātmetrus. </w:t>
            </w:r>
          </w:p>
        </w:tc>
      </w:tr>
      <w:tr w:rsidR="00327FF1" w14:paraId="790FA9FE"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5A384BA" w14:textId="77777777" w:rsidR="00327FF1" w:rsidRDefault="00E406C7">
            <w:pPr>
              <w:pStyle w:val="P68B1DB1-Normal11"/>
              <w:jc w:val="center"/>
              <w:rPr>
                <w:noProof/>
                <w:szCs w:val="20"/>
              </w:rPr>
            </w:pPr>
            <w:r>
              <w:rPr>
                <w:noProof/>
              </w:rPr>
              <w:t>M5C2–13</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D279941" w14:textId="77777777" w:rsidR="00327FF1" w:rsidRDefault="00E406C7">
            <w:pPr>
              <w:pStyle w:val="P68B1DB1-Normal11"/>
              <w:jc w:val="center"/>
              <w:rPr>
                <w:noProof/>
                <w:szCs w:val="20"/>
              </w:rPr>
            </w:pPr>
            <w:r>
              <w:rPr>
                <w:noProof/>
              </w:rPr>
              <w:t>Investīcija Nr. 5 “Integrētie pilsētu plāni — vispārīgi projekti”</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32F299B" w14:textId="77777777" w:rsidR="00327FF1" w:rsidRDefault="00E406C7">
            <w:pPr>
              <w:pStyle w:val="P68B1DB1-Normal11"/>
              <w:jc w:val="center"/>
              <w:rPr>
                <w:noProof/>
                <w:szCs w:val="20"/>
              </w:rPr>
            </w:pPr>
            <w:r>
              <w:rPr>
                <w:noProof/>
              </w:rPr>
              <w:t>Atskaites punkts</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35BF4BA" w14:textId="77777777" w:rsidR="00327FF1" w:rsidRDefault="00E406C7">
            <w:pPr>
              <w:pStyle w:val="P68B1DB1-Normal11"/>
              <w:jc w:val="center"/>
              <w:rPr>
                <w:noProof/>
                <w:szCs w:val="20"/>
              </w:rPr>
            </w:pPr>
            <w:r>
              <w:rPr>
                <w:noProof/>
              </w:rPr>
              <w:t>Stājas spēkā investīciju plāns pilsētu atjaunošanas projektiem lielpilsētu teritorijās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9C8601B" w14:textId="77777777" w:rsidR="00327FF1" w:rsidRDefault="00E406C7">
            <w:pPr>
              <w:pStyle w:val="P68B1DB1-Normal11"/>
              <w:jc w:val="center"/>
              <w:rPr>
                <w:noProof/>
                <w:szCs w:val="20"/>
              </w:rPr>
            </w:pPr>
            <w:r>
              <w:rPr>
                <w:noProof/>
              </w:rPr>
              <w:t xml:space="preserve">Likuma norma, kas norāda uz Pilsētvides </w:t>
            </w:r>
            <w:r>
              <w:rPr>
                <w:noProof/>
              </w:rPr>
              <w:t>atjaunošanas projektu plāna stāšanos spēkā lielpilsētu teritorijās</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71BD229" w14:textId="77777777" w:rsidR="00327FF1" w:rsidRDefault="00E406C7">
            <w:pPr>
              <w:pStyle w:val="P68B1DB1-Normal11"/>
              <w:jc w:val="center"/>
              <w:rPr>
                <w:noProof/>
                <w:szCs w:val="20"/>
              </w:rPr>
            </w:pPr>
            <w:r>
              <w:rPr>
                <w:noProof/>
              </w:rPr>
              <w:t>NEPIEMĒRO</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15A4D62" w14:textId="77777777" w:rsidR="00327FF1" w:rsidRDefault="00E406C7">
            <w:pPr>
              <w:pStyle w:val="P68B1DB1-Normal11"/>
              <w:jc w:val="center"/>
              <w:rPr>
                <w:noProof/>
                <w:szCs w:val="20"/>
              </w:rPr>
            </w:pPr>
            <w:r>
              <w:rPr>
                <w:noProof/>
              </w:rPr>
              <w:t>NEPIEMĒRO</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0575DF3" w14:textId="77777777" w:rsidR="00327FF1" w:rsidRDefault="00E406C7">
            <w:pPr>
              <w:pStyle w:val="P68B1DB1-Normal11"/>
              <w:jc w:val="center"/>
              <w:rPr>
                <w:noProof/>
                <w:szCs w:val="20"/>
              </w:rPr>
            </w:pPr>
            <w:r>
              <w:rPr>
                <w:noProof/>
              </w:rPr>
              <w:t>NEPIEMĒRO</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2BC19B4" w14:textId="77777777" w:rsidR="00327FF1" w:rsidRDefault="00E406C7">
            <w:pPr>
              <w:pStyle w:val="P68B1DB1-Normal11"/>
              <w:jc w:val="center"/>
              <w:rPr>
                <w:noProof/>
                <w:szCs w:val="20"/>
              </w:rPr>
            </w:pPr>
            <w:r>
              <w:rPr>
                <w:noProof/>
              </w:rPr>
              <w:t>4. CET.</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532F3D8" w14:textId="77777777" w:rsidR="00327FF1" w:rsidRDefault="00E406C7">
            <w:pPr>
              <w:pStyle w:val="P68B1DB1-Normal11"/>
              <w:jc w:val="center"/>
              <w:rPr>
                <w:noProof/>
                <w:szCs w:val="20"/>
              </w:rPr>
            </w:pPr>
            <w:r>
              <w:rPr>
                <w:noProof/>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4EC17D0F" w14:textId="77777777" w:rsidR="00327FF1" w:rsidRDefault="00E406C7">
            <w:pPr>
              <w:pStyle w:val="P68B1DB1-Normal11"/>
              <w:rPr>
                <w:noProof/>
                <w:szCs w:val="20"/>
              </w:rPr>
            </w:pPr>
            <w:r>
              <w:rPr>
                <w:noProof/>
              </w:rPr>
              <w:t xml:space="preserve">Investīciju plānā nosaka kritēriju kopumu saskaņā ar ANM mērķiem, tostarp principu “nenodarīt būtisku kaitējumu”. Projekti attiecas uz šāda veida </w:t>
            </w:r>
            <w:r>
              <w:rPr>
                <w:noProof/>
              </w:rPr>
              <w:t>intervencēm:</w:t>
            </w:r>
          </w:p>
          <w:p w14:paraId="6FE78F40" w14:textId="77777777" w:rsidR="00327FF1" w:rsidRDefault="00E406C7">
            <w:pPr>
              <w:pStyle w:val="P68B1DB1-Normal11"/>
              <w:rPr>
                <w:noProof/>
                <w:szCs w:val="20"/>
              </w:rPr>
            </w:pPr>
            <w:r>
              <w:rPr>
                <w:noProof/>
              </w:rPr>
              <w:t>a) sabiedrisko teritoriju atkārtotas izmantošanas un atkārtotas izmantošanas uzturēšana.</w:t>
            </w:r>
          </w:p>
          <w:p w14:paraId="216F6C2F" w14:textId="77777777" w:rsidR="00327FF1" w:rsidRDefault="00E406C7">
            <w:pPr>
              <w:pStyle w:val="P68B1DB1-Normal11"/>
              <w:rPr>
                <w:noProof/>
                <w:szCs w:val="20"/>
              </w:rPr>
            </w:pPr>
            <w:r>
              <w:rPr>
                <w:noProof/>
              </w:rPr>
              <w:t>b) Pilsētvides kvalitātes un sociālās un vides struktūras uzlabošana.</w:t>
            </w:r>
          </w:p>
          <w:p w14:paraId="4A960A22" w14:textId="77777777" w:rsidR="00327FF1" w:rsidRDefault="00E406C7">
            <w:pPr>
              <w:pStyle w:val="P68B1DB1-Normal11"/>
              <w:rPr>
                <w:noProof/>
                <w:szCs w:val="20"/>
              </w:rPr>
            </w:pPr>
            <w:r>
              <w:rPr>
                <w:noProof/>
              </w:rPr>
              <w:t>C) urbāno teritoriju vides kvalitātes un digitālā profila uzlabošana.</w:t>
            </w:r>
          </w:p>
        </w:tc>
      </w:tr>
      <w:tr w:rsidR="00327FF1" w14:paraId="046B4540"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68F967D6" w14:textId="77777777" w:rsidR="00327FF1" w:rsidRDefault="00E406C7">
            <w:pPr>
              <w:pStyle w:val="P68B1DB1-Normal12"/>
              <w:jc w:val="center"/>
              <w:rPr>
                <w:noProof/>
                <w:highlight w:val="yellow"/>
              </w:rPr>
            </w:pPr>
            <w:r>
              <w:rPr>
                <w:noProof/>
              </w:rPr>
              <w:t>M5C2–14</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4311729B" w14:textId="77777777" w:rsidR="00327FF1" w:rsidRDefault="00E406C7">
            <w:pPr>
              <w:pStyle w:val="P68B1DB1-Normal11"/>
              <w:jc w:val="center"/>
              <w:rPr>
                <w:noProof/>
                <w:szCs w:val="20"/>
              </w:rPr>
            </w:pPr>
            <w:r>
              <w:rPr>
                <w:noProof/>
              </w:rPr>
              <w:t>Investīcija Nr. 5 “Integrētie pilsētu plāni — vispārīgi projekti”</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0F667370" w14:textId="77777777" w:rsidR="00327FF1" w:rsidRDefault="00E406C7">
            <w:pPr>
              <w:pStyle w:val="P68B1DB1-Normal11"/>
              <w:jc w:val="center"/>
              <w:rPr>
                <w:noProof/>
                <w:szCs w:val="20"/>
              </w:rPr>
            </w:pPr>
            <w:r>
              <w:rPr>
                <w:noProof/>
              </w:rPr>
              <w:t>Mērķa</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68673BF8" w14:textId="77777777" w:rsidR="00327FF1" w:rsidRDefault="00E406C7">
            <w:pPr>
              <w:pStyle w:val="P68B1DB1-Normal12"/>
              <w:jc w:val="center"/>
              <w:rPr>
                <w:noProof/>
              </w:rPr>
            </w:pPr>
            <w:r>
              <w:rPr>
                <w:noProof/>
              </w:rPr>
              <w:t>Integrētas plānošanas projektu pabeigšana lielpilsētās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5B748058" w14:textId="77777777" w:rsidR="00327FF1" w:rsidRDefault="00E406C7">
            <w:pPr>
              <w:pStyle w:val="P68B1DB1-Normal11"/>
              <w:jc w:val="center"/>
              <w:rPr>
                <w:noProof/>
                <w:szCs w:val="20"/>
              </w:rPr>
            </w:pPr>
            <w:r>
              <w:rPr>
                <w:noProof/>
              </w:rPr>
              <w:t>NEPIEMĒRO</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1F6C9559" w14:textId="77777777" w:rsidR="00327FF1" w:rsidRDefault="00E406C7">
            <w:pPr>
              <w:pStyle w:val="P68B1DB1-Normal11"/>
              <w:jc w:val="center"/>
              <w:rPr>
                <w:noProof/>
                <w:szCs w:val="20"/>
              </w:rPr>
            </w:pPr>
            <w:r>
              <w:rPr>
                <w:noProof/>
              </w:rPr>
              <w:t xml:space="preserve">Skaits </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23AA47F5" w14:textId="77777777" w:rsidR="00327FF1" w:rsidRDefault="00E406C7">
            <w:pPr>
              <w:pStyle w:val="P68B1DB1-Normal11"/>
              <w:jc w:val="center"/>
              <w:rPr>
                <w:noProof/>
                <w:szCs w:val="20"/>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56974690" w14:textId="77777777" w:rsidR="00327FF1" w:rsidRDefault="00E406C7">
            <w:pPr>
              <w:pStyle w:val="P68B1DB1-Normal11"/>
              <w:jc w:val="center"/>
              <w:rPr>
                <w:noProof/>
                <w:szCs w:val="20"/>
              </w:rPr>
            </w:pPr>
            <w:r>
              <w:rPr>
                <w:noProof/>
              </w:rPr>
              <w:t>300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047AE3E0" w14:textId="77777777" w:rsidR="00327FF1" w:rsidRDefault="00E406C7">
            <w:pPr>
              <w:pStyle w:val="P68B1DB1-Normal11"/>
              <w:jc w:val="center"/>
              <w:rPr>
                <w:noProof/>
                <w:szCs w:val="20"/>
              </w:rPr>
            </w:pPr>
            <w:r>
              <w:rPr>
                <w:noProof/>
              </w:rPr>
              <w:t>2. CET.</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7984A884" w14:textId="77777777" w:rsidR="00327FF1" w:rsidRDefault="00E406C7">
            <w:pPr>
              <w:pStyle w:val="P68B1DB1-Normal11"/>
              <w:jc w:val="center"/>
              <w:rPr>
                <w:noProof/>
                <w:szCs w:val="20"/>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7141CD3B" w14:textId="367A6167" w:rsidR="00327FF1" w:rsidRDefault="00E406C7">
            <w:pPr>
              <w:pStyle w:val="P68B1DB1-Normal12"/>
              <w:rPr>
                <w:noProof/>
              </w:rPr>
            </w:pPr>
            <w:r>
              <w:rPr>
                <w:noProof/>
              </w:rPr>
              <w:t xml:space="preserve">Sertifikāti par darbu pabeigšanu, kas izsniegti vismaz 300 integrētās plānošanas projektiem </w:t>
            </w:r>
            <w:r>
              <w:rPr>
                <w:noProof/>
              </w:rPr>
              <w:t>visās 14 lielpilsētās, kuru kopējā platība ir vismaz 3000000 kvadrātmetri.</w:t>
            </w:r>
          </w:p>
        </w:tc>
      </w:tr>
      <w:tr w:rsidR="00327FF1" w14:paraId="2D58023D"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24C629F" w14:textId="77777777" w:rsidR="00327FF1" w:rsidRDefault="00E406C7">
            <w:pPr>
              <w:pStyle w:val="P68B1DB1-Normal11"/>
              <w:jc w:val="center"/>
              <w:rPr>
                <w:noProof/>
                <w:szCs w:val="20"/>
              </w:rPr>
            </w:pPr>
            <w:r>
              <w:rPr>
                <w:noProof/>
              </w:rPr>
              <w:t>M5C2–15</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7703458" w14:textId="77777777" w:rsidR="00327FF1" w:rsidRDefault="00E406C7">
            <w:pPr>
              <w:pStyle w:val="P68B1DB1-Normal11"/>
              <w:jc w:val="center"/>
              <w:rPr>
                <w:noProof/>
                <w:szCs w:val="20"/>
              </w:rPr>
            </w:pPr>
            <w:r>
              <w:rPr>
                <w:noProof/>
              </w:rPr>
              <w:t>Investīcija Nr. 5 — integrētie pilsētu plāni — nelikumīgu apmetņu pārvarēšana, lai cīnītos pret darbaspēka ekspluatāciju lauksaimniecībā</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694F1DA" w14:textId="77777777" w:rsidR="00327FF1" w:rsidRDefault="00E406C7">
            <w:pPr>
              <w:pStyle w:val="P68B1DB1-Normal11"/>
              <w:jc w:val="center"/>
              <w:rPr>
                <w:noProof/>
                <w:szCs w:val="20"/>
              </w:rPr>
            </w:pPr>
            <w:r>
              <w:rPr>
                <w:noProof/>
              </w:rPr>
              <w:t>Atskaites punkts</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B0F28E4" w14:textId="77777777" w:rsidR="00327FF1" w:rsidRDefault="00E406C7">
            <w:pPr>
              <w:pStyle w:val="P68B1DB1-Normal11"/>
              <w:jc w:val="center"/>
              <w:rPr>
                <w:noProof/>
                <w:szCs w:val="20"/>
              </w:rPr>
            </w:pPr>
            <w:r>
              <w:rPr>
                <w:noProof/>
              </w:rPr>
              <w:t xml:space="preserve">Ar “Tavolo di </w:t>
            </w:r>
            <w:r>
              <w:rPr>
                <w:noProof/>
              </w:rPr>
              <w:t>contrasto allo sfruttamento lavorativo in agricoltura” ir stājies spēkā ministrijas dekrēts, ar ko nosaka nelikumīgo apmetņu kartēšanu, un ir pieņemts ministrijas dekrēts par resursu piešķiršanu.</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FA06D7E" w14:textId="77777777" w:rsidR="00327FF1" w:rsidRDefault="00E406C7">
            <w:pPr>
              <w:pStyle w:val="P68B1DB1-Normal11"/>
              <w:jc w:val="center"/>
              <w:rPr>
                <w:noProof/>
                <w:szCs w:val="20"/>
              </w:rPr>
            </w:pPr>
            <w:r>
              <w:rPr>
                <w:noProof/>
              </w:rPr>
              <w:t>Likuma norma, kas norāda uz ministrijas dekrēta stāšanos spē</w:t>
            </w:r>
            <w:r>
              <w:rPr>
                <w:noProof/>
              </w:rPr>
              <w:t>kā</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8958398" w14:textId="77777777" w:rsidR="00327FF1" w:rsidRDefault="00E406C7">
            <w:pPr>
              <w:pStyle w:val="P68B1DB1-Normal11"/>
              <w:jc w:val="center"/>
              <w:rPr>
                <w:noProof/>
                <w:szCs w:val="20"/>
              </w:rPr>
            </w:pPr>
            <w:r>
              <w:rPr>
                <w:noProof/>
              </w:rPr>
              <w:t>NEPIEMĒRO</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AE62BC5" w14:textId="77777777" w:rsidR="00327FF1" w:rsidRDefault="00E406C7">
            <w:pPr>
              <w:pStyle w:val="P68B1DB1-Normal11"/>
              <w:jc w:val="center"/>
              <w:rPr>
                <w:noProof/>
                <w:szCs w:val="20"/>
              </w:rPr>
            </w:pPr>
            <w:r>
              <w:rPr>
                <w:noProof/>
              </w:rPr>
              <w:t>NEPIEMĒRO</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B29FE54" w14:textId="77777777" w:rsidR="00327FF1" w:rsidRDefault="00E406C7">
            <w:pPr>
              <w:pStyle w:val="P68B1DB1-Normal11"/>
              <w:jc w:val="center"/>
              <w:rPr>
                <w:noProof/>
                <w:szCs w:val="20"/>
              </w:rPr>
            </w:pPr>
            <w:r>
              <w:rPr>
                <w:noProof/>
              </w:rPr>
              <w:t>NEPIEMĒRO</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50ECD94" w14:textId="77777777" w:rsidR="00327FF1" w:rsidRDefault="00E406C7">
            <w:pPr>
              <w:pStyle w:val="P68B1DB1-Normal11"/>
              <w:jc w:val="center"/>
              <w:rPr>
                <w:noProof/>
                <w:szCs w:val="20"/>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3F1AAA3" w14:textId="77777777" w:rsidR="00327FF1" w:rsidRDefault="00E406C7">
            <w:pPr>
              <w:pStyle w:val="P68B1DB1-Normal11"/>
              <w:jc w:val="center"/>
              <w:rPr>
                <w:noProof/>
                <w:szCs w:val="20"/>
              </w:rPr>
            </w:pPr>
            <w:r>
              <w:rPr>
                <w:noProof/>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92C236D" w14:textId="77777777" w:rsidR="00327FF1" w:rsidRDefault="00E406C7">
            <w:pPr>
              <w:pStyle w:val="P68B1DB1-Normal11"/>
              <w:rPr>
                <w:noProof/>
                <w:szCs w:val="20"/>
              </w:rPr>
            </w:pPr>
            <w:r>
              <w:rPr>
                <w:noProof/>
              </w:rPr>
              <w:t>Ar ministrijas dekrētu piešķir līdzekļus, pamatojoties uz “Tavolo di contrasto allo sfruttamento lavorativo in agricoltura” īstenoto nelikumīgo apmetņu kartēšanu. Nosaka pagaidu un ilgtermiņa mājokļu risinājumu stan</w:t>
            </w:r>
            <w:r>
              <w:rPr>
                <w:noProof/>
              </w:rPr>
              <w:t>dartu.</w:t>
            </w:r>
          </w:p>
        </w:tc>
      </w:tr>
      <w:tr w:rsidR="00327FF1" w14:paraId="2F161923"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45A9888" w14:textId="77777777" w:rsidR="00327FF1" w:rsidRDefault="00E406C7">
            <w:pPr>
              <w:pStyle w:val="P68B1DB1-Normal12"/>
              <w:jc w:val="center"/>
              <w:rPr>
                <w:noProof/>
                <w:highlight w:val="yellow"/>
              </w:rPr>
            </w:pPr>
            <w:r>
              <w:rPr>
                <w:noProof/>
              </w:rPr>
              <w:t>M5C2–16</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29A5FFD" w14:textId="77777777" w:rsidR="00327FF1" w:rsidRDefault="00E406C7">
            <w:pPr>
              <w:pStyle w:val="P68B1DB1-Normal11"/>
              <w:jc w:val="center"/>
              <w:rPr>
                <w:noProof/>
                <w:szCs w:val="20"/>
              </w:rPr>
            </w:pPr>
            <w:r>
              <w:rPr>
                <w:noProof/>
              </w:rPr>
              <w:t>Investīcija Nr. 5 — integrētie pilsētu plāni — nelikumīgu apmetņu pārvarēšana, lai cīnītos pret darbaspēka ekspluatāciju lauksaimniecībā</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7614ACC" w14:textId="77777777" w:rsidR="00327FF1" w:rsidRDefault="00E406C7">
            <w:pPr>
              <w:pStyle w:val="P68B1DB1-Normal11"/>
              <w:jc w:val="center"/>
              <w:rPr>
                <w:noProof/>
                <w:szCs w:val="20"/>
              </w:rPr>
            </w:pPr>
            <w:r>
              <w:rPr>
                <w:noProof/>
              </w:rPr>
              <w:t>Mērķa</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A7F3E71" w14:textId="77777777" w:rsidR="00327FF1" w:rsidRDefault="00E406C7">
            <w:pPr>
              <w:pStyle w:val="P68B1DB1-Normal12"/>
              <w:jc w:val="center"/>
              <w:rPr>
                <w:noProof/>
              </w:rPr>
            </w:pPr>
            <w:r>
              <w:rPr>
                <w:noProof/>
              </w:rPr>
              <w:t>Projekti par mājokļiem lauksaimniecībā nodarbinātajiem un platformas izveide</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E8B2FB8" w14:textId="77777777" w:rsidR="00327FF1" w:rsidRDefault="00E406C7">
            <w:pPr>
              <w:pStyle w:val="P68B1DB1-Normal11"/>
              <w:jc w:val="center"/>
              <w:rPr>
                <w:noProof/>
                <w:szCs w:val="20"/>
              </w:rPr>
            </w:pPr>
            <w:r>
              <w:rPr>
                <w:noProof/>
              </w:rPr>
              <w:t>NEPIEMĒRO</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CB2884C" w14:textId="77777777" w:rsidR="00327FF1" w:rsidRDefault="00327FF1">
            <w:pPr>
              <w:jc w:val="center"/>
              <w:rPr>
                <w:rFonts w:ascii="Arial Narrow" w:hAnsi="Arial Narrow"/>
                <w:noProof/>
                <w:color w:val="006100"/>
                <w:sz w:val="20"/>
                <w:szCs w:val="20"/>
              </w:rPr>
            </w:pP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823BF87" w14:textId="77777777" w:rsidR="00327FF1" w:rsidRDefault="00E406C7">
            <w:pPr>
              <w:pStyle w:val="P68B1DB1-Normal11"/>
              <w:jc w:val="center"/>
              <w:rPr>
                <w:noProof/>
                <w:szCs w:val="20"/>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E775185" w14:textId="77777777" w:rsidR="00327FF1" w:rsidRDefault="00E406C7">
            <w:pPr>
              <w:pStyle w:val="P68B1DB1-Normal12"/>
              <w:jc w:val="center"/>
              <w:rPr>
                <w:noProof/>
              </w:rPr>
            </w:pPr>
            <w:r>
              <w:rPr>
                <w:noProof/>
              </w:rPr>
              <w:t>11</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27F2CFD" w14:textId="77777777" w:rsidR="00327FF1" w:rsidRDefault="00E406C7">
            <w:pPr>
              <w:pStyle w:val="P68B1DB1-Normal12"/>
              <w:jc w:val="center"/>
              <w:rPr>
                <w:noProof/>
              </w:rPr>
            </w:pPr>
            <w:r>
              <w:rPr>
                <w:noProof/>
              </w:rPr>
              <w:t xml:space="preserve">2. </w:t>
            </w:r>
            <w:r>
              <w:rPr>
                <w:noProof/>
              </w:rPr>
              <w:t>CET.</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3EDBF4C" w14:textId="77777777" w:rsidR="00327FF1" w:rsidRDefault="00E406C7">
            <w:pPr>
              <w:pStyle w:val="P68B1DB1-Normal12"/>
              <w:jc w:val="center"/>
              <w:rPr>
                <w:noProof/>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2D0BB32" w14:textId="3A0292BE" w:rsidR="00327FF1" w:rsidRDefault="00E406C7">
            <w:pPr>
              <w:pStyle w:val="P68B1DB1-Normal12"/>
              <w:rPr>
                <w:noProof/>
              </w:rPr>
            </w:pPr>
            <w:r>
              <w:rPr>
                <w:noProof/>
              </w:rPr>
              <w:t>Sertifikāti par darbu pabeigšanu, kas izsniegti 11 projektiem, par vietu skaitu, kas prasīts īstenošanas iestāžu parakstītajos nolīgumos. Šie sertifikāti apliecina arī to, ka projekti atbilst līgumos noteiktajiem mājokļu standartiem. </w:t>
            </w:r>
          </w:p>
          <w:p w14:paraId="7CAA5F47" w14:textId="77777777" w:rsidR="00327FF1" w:rsidRDefault="00E406C7">
            <w:pPr>
              <w:pStyle w:val="P68B1DB1-Normal12"/>
              <w:rPr>
                <w:noProof/>
              </w:rPr>
            </w:pPr>
            <w:r>
              <w:rPr>
                <w:noProof/>
              </w:rPr>
              <w:t>Izveido dig</w:t>
            </w:r>
            <w:r>
              <w:rPr>
                <w:noProof/>
              </w:rPr>
              <w:t>itālo platformu darbaspēka ekspluatācijai lauksaimniecībā (“Sistema informativo per il contrasto al caporalato”) un ļauj izmantot interaktīvo infopaneli.</w:t>
            </w:r>
          </w:p>
        </w:tc>
      </w:tr>
      <w:tr w:rsidR="00327FF1" w14:paraId="0FE3D82F"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DCF0E61" w14:textId="77777777" w:rsidR="00327FF1" w:rsidRDefault="00E406C7">
            <w:pPr>
              <w:pStyle w:val="P68B1DB1-Normal11"/>
              <w:jc w:val="center"/>
              <w:rPr>
                <w:noProof/>
                <w:szCs w:val="20"/>
              </w:rPr>
            </w:pPr>
            <w:r>
              <w:rPr>
                <w:noProof/>
              </w:rPr>
              <w:t>M5C2–17</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B67A810" w14:textId="77777777" w:rsidR="00327FF1" w:rsidRDefault="00E406C7">
            <w:pPr>
              <w:pStyle w:val="P68B1DB1-Normal11"/>
              <w:jc w:val="center"/>
              <w:rPr>
                <w:noProof/>
                <w:szCs w:val="20"/>
              </w:rPr>
            </w:pPr>
            <w:r>
              <w:rPr>
                <w:noProof/>
              </w:rPr>
              <w:t>Investīcija Nr. 5 — integrētie pilsētu plāni — EIB fonds — no fonda</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2A71501" w14:textId="77777777" w:rsidR="00327FF1" w:rsidRDefault="00E406C7">
            <w:pPr>
              <w:pStyle w:val="P68B1DB1-Normal11"/>
              <w:jc w:val="center"/>
              <w:rPr>
                <w:noProof/>
                <w:szCs w:val="20"/>
              </w:rPr>
            </w:pPr>
            <w:r>
              <w:rPr>
                <w:noProof/>
              </w:rPr>
              <w:t>Atskaites punkts</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EDD7AC3" w14:textId="77777777" w:rsidR="00327FF1" w:rsidRDefault="00E406C7">
            <w:pPr>
              <w:pStyle w:val="P68B1DB1-Normal11"/>
              <w:jc w:val="center"/>
              <w:rPr>
                <w:noProof/>
                <w:szCs w:val="20"/>
              </w:rPr>
            </w:pPr>
            <w:r>
              <w:rPr>
                <w:noProof/>
              </w:rPr>
              <w:t xml:space="preserve">Fonda </w:t>
            </w:r>
            <w:r>
              <w:rPr>
                <w:noProof/>
              </w:rPr>
              <w:t>ieguldījumu stratēģiju apstiprina Finanšu ministrija (MEF).</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1BB7BE9" w14:textId="77777777" w:rsidR="00327FF1" w:rsidRDefault="00E406C7">
            <w:pPr>
              <w:pStyle w:val="P68B1DB1-Normal11"/>
              <w:jc w:val="center"/>
              <w:rPr>
                <w:noProof/>
                <w:szCs w:val="20"/>
              </w:rPr>
            </w:pPr>
            <w:r>
              <w:rPr>
                <w:noProof/>
              </w:rPr>
              <w:t>Fonda ieguldījumu stratēģiju apstiprina Finanšu ministrija (MEF).</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08D50DD" w14:textId="77777777" w:rsidR="00327FF1" w:rsidRDefault="00E406C7">
            <w:pPr>
              <w:pStyle w:val="P68B1DB1-Normal11"/>
              <w:jc w:val="center"/>
              <w:rPr>
                <w:noProof/>
                <w:szCs w:val="20"/>
              </w:rPr>
            </w:pPr>
            <w:r>
              <w:rPr>
                <w:noProof/>
              </w:rPr>
              <w:t>NEPIEMĒRO</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8642978" w14:textId="77777777" w:rsidR="00327FF1" w:rsidRDefault="00E406C7">
            <w:pPr>
              <w:pStyle w:val="P68B1DB1-Normal11"/>
              <w:jc w:val="center"/>
              <w:rPr>
                <w:noProof/>
                <w:szCs w:val="20"/>
              </w:rPr>
            </w:pPr>
            <w:r>
              <w:rPr>
                <w:noProof/>
              </w:rPr>
              <w:t>NEPIEMĒRO</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597ABC0" w14:textId="77777777" w:rsidR="00327FF1" w:rsidRDefault="00E406C7">
            <w:pPr>
              <w:pStyle w:val="P68B1DB1-Normal11"/>
              <w:jc w:val="center"/>
              <w:rPr>
                <w:noProof/>
                <w:szCs w:val="20"/>
              </w:rPr>
            </w:pPr>
            <w:r>
              <w:rPr>
                <w:noProof/>
              </w:rPr>
              <w:t>NEPIEMĒRO</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6A49F58" w14:textId="77777777" w:rsidR="00327FF1" w:rsidRDefault="00E406C7">
            <w:pPr>
              <w:pStyle w:val="P68B1DB1-Normal11"/>
              <w:jc w:val="center"/>
              <w:rPr>
                <w:noProof/>
                <w:szCs w:val="20"/>
              </w:rPr>
            </w:pPr>
            <w:r>
              <w:rPr>
                <w:noProof/>
              </w:rPr>
              <w:t>CET.</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481CE75" w14:textId="77777777" w:rsidR="00327FF1" w:rsidRDefault="00E406C7">
            <w:pPr>
              <w:pStyle w:val="P68B1DB1-Normal11"/>
              <w:jc w:val="center"/>
              <w:rPr>
                <w:noProof/>
                <w:szCs w:val="20"/>
              </w:rPr>
            </w:pPr>
            <w:r>
              <w:rPr>
                <w:noProof/>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2DA3006" w14:textId="77777777" w:rsidR="00327FF1" w:rsidRDefault="00E406C7">
            <w:pPr>
              <w:pStyle w:val="P68B1DB1-Normal11"/>
              <w:rPr>
                <w:rFonts w:eastAsia="Calibri"/>
                <w:noProof/>
                <w:szCs w:val="20"/>
              </w:rPr>
            </w:pPr>
            <w:r>
              <w:rPr>
                <w:noProof/>
              </w:rPr>
              <w:t>Fonda ieguldījumu stratēģijā nosaka vismaz: I) atbalstīto investīciju veids un tvērums, ka</w:t>
            </w:r>
            <w:r>
              <w:rPr>
                <w:noProof/>
              </w:rPr>
              <w:t>s veicina ilgtspējīgu pilsētvides atjaunošanu un attīstības projektus un atbilst ANM mērķiem, tostarp attiecībā uz atbilstību principam “nenodarīt būtisku kaitējumu”, kā sīkāk precizēts Komisijas 2021. gada 12. februāra norādījumos, ii) atbalstītajām darbī</w:t>
            </w:r>
            <w:r>
              <w:rPr>
                <w:noProof/>
              </w:rPr>
              <w:t>bām, iii) paredzētajiem atbalsta saņēmējiem, kas ir privāti virzītāji finansiāli pašpietiekamiem projektiem, kuriem publiskais atbalsts ir pamatots ar tirgus nepilnību vai riska profilu, un to atbilstības kritērijiem, iv) finanšu saņēmēju atbilstības kritē</w:t>
            </w:r>
            <w:r>
              <w:rPr>
                <w:noProof/>
              </w:rPr>
              <w:t>rijiem un to atlasei atklātā uzaicinājumā; V) īpašas pozīcijas iekļaušana pienācīgas kvalitātes mājokļu risinājumiem darba ņēmējiem lauksaimniecības un rūpniecības nozarē un vi) noteikumi par iespējamo atmaksājumu atkārtotu ieguldīšanu tiem pašiem politika</w:t>
            </w:r>
            <w:r>
              <w:rPr>
                <w:noProof/>
              </w:rPr>
              <w:t>s mērķiem, arī pēc 2026. gada.</w:t>
            </w:r>
          </w:p>
          <w:p w14:paraId="377147FF" w14:textId="77777777" w:rsidR="00327FF1" w:rsidRDefault="00E406C7">
            <w:pPr>
              <w:pStyle w:val="P68B1DB1-Normal11"/>
              <w:rPr>
                <w:noProof/>
                <w:szCs w:val="20"/>
              </w:rPr>
            </w:pPr>
            <w:r>
              <w:rPr>
                <w:noProof/>
              </w:rPr>
              <w:t>Saskaņā ar līgumisko vienošanos ar pilnvaroto vienību, kas prasa, lai tiktu izmantoti NBK norādījumi.</w:t>
            </w:r>
          </w:p>
        </w:tc>
      </w:tr>
      <w:tr w:rsidR="00327FF1" w14:paraId="4ABB4D59"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32E92EAF" w14:textId="77777777" w:rsidR="00327FF1" w:rsidRDefault="00E406C7">
            <w:pPr>
              <w:pStyle w:val="P68B1DB1-Normal12"/>
              <w:jc w:val="center"/>
              <w:rPr>
                <w:noProof/>
                <w:highlight w:val="yellow"/>
              </w:rPr>
            </w:pPr>
            <w:r>
              <w:rPr>
                <w:noProof/>
              </w:rPr>
              <w:t>M5C2–18</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36B0BE79" w14:textId="77777777" w:rsidR="00327FF1" w:rsidRDefault="00E406C7">
            <w:pPr>
              <w:pStyle w:val="P68B1DB1-Normal11"/>
              <w:jc w:val="center"/>
              <w:rPr>
                <w:rFonts w:eastAsia="Calibri"/>
                <w:noProof/>
                <w:szCs w:val="20"/>
              </w:rPr>
            </w:pPr>
            <w:r>
              <w:rPr>
                <w:noProof/>
              </w:rPr>
              <w:t>Investīcija Nr. 5 — integrētie pilsētu plāni — EIB fonds — no fonda</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35880C10" w14:textId="77777777" w:rsidR="00327FF1" w:rsidRDefault="00E406C7">
            <w:pPr>
              <w:pStyle w:val="P68B1DB1-Normal11"/>
              <w:jc w:val="center"/>
              <w:rPr>
                <w:rFonts w:eastAsia="Calibri"/>
                <w:noProof/>
                <w:szCs w:val="20"/>
              </w:rPr>
            </w:pPr>
            <w:r>
              <w:rPr>
                <w:noProof/>
              </w:rPr>
              <w:t>Mērķa</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3F438F10" w14:textId="77777777" w:rsidR="00327FF1" w:rsidRDefault="00E406C7">
            <w:pPr>
              <w:pStyle w:val="P68B1DB1-Normal12"/>
              <w:rPr>
                <w:rFonts w:ascii="Calibri" w:eastAsia="Calibri" w:hAnsi="Calibri" w:cs="Calibri"/>
                <w:noProof/>
                <w:color w:val="000000" w:themeColor="text1"/>
              </w:rPr>
            </w:pPr>
            <w:r>
              <w:rPr>
                <w:noProof/>
              </w:rPr>
              <w:t xml:space="preserve">Juridiski nolīgumi, kas parakstīti ar </w:t>
            </w:r>
            <w:r>
              <w:rPr>
                <w:noProof/>
              </w:rPr>
              <w:t>galīgajiem saņēmējiem par pamatā esošo projektu ieguldījumu vērtību vismaz 545 000 000 EUR apmērā</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DD43D12" w14:textId="77777777" w:rsidR="00327FF1" w:rsidRDefault="00E406C7">
            <w:pPr>
              <w:pStyle w:val="P68B1DB1-Normal11"/>
              <w:jc w:val="center"/>
              <w:rPr>
                <w:noProof/>
                <w:szCs w:val="20"/>
              </w:rPr>
            </w:pPr>
            <w:r>
              <w:rPr>
                <w:noProof/>
              </w:rPr>
              <w:t>NEPIEMĒRO</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7237905C" w14:textId="77777777" w:rsidR="00327FF1" w:rsidRDefault="00E406C7">
            <w:pPr>
              <w:pStyle w:val="P68B1DB1-Normal11"/>
              <w:jc w:val="center"/>
              <w:rPr>
                <w:noProof/>
                <w:szCs w:val="20"/>
              </w:rPr>
            </w:pPr>
            <w:r>
              <w:rPr>
                <w:noProof/>
              </w:rPr>
              <w:t>EUR</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58AA1BCC" w14:textId="77777777" w:rsidR="00327FF1" w:rsidRDefault="00E406C7">
            <w:pPr>
              <w:pStyle w:val="P68B1DB1-Normal11"/>
              <w:jc w:val="center"/>
              <w:rPr>
                <w:rFonts w:eastAsia="Calibri"/>
                <w:noProof/>
                <w:szCs w:val="20"/>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10F93D0D"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545</w:t>
            </w:r>
            <w:r>
              <w:rPr>
                <w:noProof/>
                <w:sz w:val="23"/>
                <w:szCs w:val="23"/>
              </w:rPr>
              <w:t xml:space="preserve"> </w:t>
            </w:r>
            <w:r>
              <w:rPr>
                <w:rFonts w:ascii="Arial Narrow" w:hAnsi="Arial Narrow"/>
                <w:noProof/>
                <w:color w:val="006100"/>
                <w:sz w:val="20"/>
              </w:rPr>
              <w:t>000</w:t>
            </w:r>
            <w:r>
              <w:rPr>
                <w:noProof/>
                <w:sz w:val="23"/>
                <w:szCs w:val="23"/>
              </w:rPr>
              <w:t xml:space="preserve"> </w:t>
            </w:r>
            <w:r>
              <w:rPr>
                <w:rFonts w:ascii="Arial Narrow" w:hAnsi="Arial Narrow"/>
                <w:noProof/>
                <w:color w:val="006100"/>
                <w:sz w:val="20"/>
              </w:rPr>
              <w:t>000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44A7CA54" w14:textId="77777777" w:rsidR="00327FF1" w:rsidRDefault="00E406C7">
            <w:pPr>
              <w:pStyle w:val="P68B1DB1-Normal11"/>
              <w:jc w:val="center"/>
              <w:rPr>
                <w:rFonts w:eastAsia="Calibri"/>
                <w:noProof/>
                <w:szCs w:val="20"/>
              </w:rPr>
            </w:pPr>
            <w:r>
              <w:rPr>
                <w:noProof/>
              </w:rPr>
              <w:t>4. CET.</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7409D19A" w14:textId="77777777" w:rsidR="00327FF1" w:rsidRDefault="00E406C7">
            <w:pPr>
              <w:pStyle w:val="P68B1DB1-Normal11"/>
              <w:jc w:val="center"/>
              <w:rPr>
                <w:rFonts w:eastAsia="Calibri"/>
                <w:noProof/>
                <w:szCs w:val="20"/>
              </w:rPr>
            </w:pPr>
            <w:r>
              <w:rPr>
                <w:noProof/>
              </w:rPr>
              <w:t>2025</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37BB0006" w14:textId="77777777" w:rsidR="00327FF1" w:rsidRDefault="00E406C7">
            <w:pPr>
              <w:pStyle w:val="P68B1DB1-Normal11"/>
              <w:rPr>
                <w:noProof/>
              </w:rPr>
            </w:pPr>
            <w:r>
              <w:rPr>
                <w:noProof/>
              </w:rPr>
              <w:t>Atlasītie finanšu starpnieki ir noslēguši juridiskus finansēšanas nolīgumus ar galīgajiem saņēmējiem par pamatā esošo</w:t>
            </w:r>
            <w:r>
              <w:rPr>
                <w:noProof/>
              </w:rPr>
              <w:t xml:space="preserve"> projektu ieguldījumu vērtību vismaz 545 000 000 EUR apmērā (ieskaitot ANM un privāto finansējumu).</w:t>
            </w:r>
          </w:p>
          <w:p w14:paraId="1BFCC26B" w14:textId="77777777" w:rsidR="00327FF1" w:rsidRDefault="00E406C7">
            <w:pPr>
              <w:pStyle w:val="P68B1DB1-Normal11"/>
              <w:rPr>
                <w:noProof/>
                <w:szCs w:val="20"/>
              </w:rPr>
            </w:pPr>
            <w:r>
              <w:rPr>
                <w:noProof/>
              </w:rPr>
              <w:t>Ekonomikas un finanšu ministrija ir pabeigusi EUR 272000000 pārskaitījumu Eiropas Investīciju bankai.</w:t>
            </w:r>
          </w:p>
        </w:tc>
      </w:tr>
      <w:tr w:rsidR="00327FF1" w14:paraId="011FBF99"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E933E4E" w14:textId="77777777" w:rsidR="00327FF1" w:rsidRDefault="00E406C7">
            <w:pPr>
              <w:pStyle w:val="P68B1DB1-Normal11"/>
              <w:jc w:val="center"/>
              <w:rPr>
                <w:noProof/>
                <w:szCs w:val="20"/>
              </w:rPr>
            </w:pPr>
            <w:r>
              <w:rPr>
                <w:noProof/>
              </w:rPr>
              <w:t>M5C2–19</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1C9EA30" w14:textId="77777777" w:rsidR="00327FF1" w:rsidRDefault="00E406C7">
            <w:pPr>
              <w:pStyle w:val="P68B1DB1-Normal11"/>
              <w:jc w:val="center"/>
              <w:rPr>
                <w:noProof/>
                <w:szCs w:val="20"/>
              </w:rPr>
            </w:pPr>
            <w:r>
              <w:rPr>
                <w:noProof/>
              </w:rPr>
              <w:t xml:space="preserve">Investīcija Nr. 6 — Mājokļu kvalitātes </w:t>
            </w:r>
            <w:r>
              <w:rPr>
                <w:noProof/>
              </w:rPr>
              <w:t>inovācijas programma</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A2A0196" w14:textId="77777777" w:rsidR="00327FF1" w:rsidRDefault="00E406C7">
            <w:pPr>
              <w:pStyle w:val="P68B1DB1-Normal11"/>
              <w:jc w:val="center"/>
              <w:rPr>
                <w:noProof/>
                <w:szCs w:val="20"/>
              </w:rPr>
            </w:pPr>
            <w:r>
              <w:rPr>
                <w:noProof/>
              </w:rPr>
              <w:t>Atskaites punkts</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88BC2A4" w14:textId="77777777" w:rsidR="00327FF1" w:rsidRDefault="00E406C7">
            <w:pPr>
              <w:pStyle w:val="P68B1DB1-Normal11"/>
              <w:jc w:val="center"/>
              <w:rPr>
                <w:noProof/>
                <w:szCs w:val="20"/>
              </w:rPr>
            </w:pPr>
            <w:r>
              <w:rPr>
                <w:noProof/>
              </w:rPr>
              <w:t>Reģioni un autonomās provinces (tostarp pašvaldības un/vai lielpilsētu pilsētas, kas atrodas šajās teritorijās) parakstīja līgumus par sociālo mājokļu atjaunošanu un palielināšanu.</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4B6DDD3" w14:textId="77777777" w:rsidR="00327FF1" w:rsidRDefault="00E406C7">
            <w:pPr>
              <w:pStyle w:val="P68B1DB1-Normal11"/>
              <w:jc w:val="center"/>
              <w:rPr>
                <w:noProof/>
                <w:szCs w:val="20"/>
              </w:rPr>
            </w:pPr>
            <w:r>
              <w:rPr>
                <w:noProof/>
              </w:rPr>
              <w:t xml:space="preserve">Tiek parakstīti nolīgumi ar vietējām </w:t>
            </w:r>
            <w:r>
              <w:rPr>
                <w:noProof/>
              </w:rPr>
              <w:t>pašvaldībām</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668D618" w14:textId="77777777" w:rsidR="00327FF1" w:rsidRDefault="00E406C7">
            <w:pPr>
              <w:pStyle w:val="P68B1DB1-Normal11"/>
              <w:jc w:val="center"/>
              <w:rPr>
                <w:noProof/>
                <w:szCs w:val="20"/>
              </w:rPr>
            </w:pPr>
            <w:r>
              <w:rPr>
                <w:noProof/>
              </w:rPr>
              <w:t>NEPIEMĒRO</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EEA4CE2" w14:textId="77777777" w:rsidR="00327FF1" w:rsidRDefault="00E406C7">
            <w:pPr>
              <w:pStyle w:val="P68B1DB1-Normal11"/>
              <w:jc w:val="center"/>
              <w:rPr>
                <w:noProof/>
                <w:szCs w:val="20"/>
              </w:rPr>
            </w:pPr>
            <w:r>
              <w:rPr>
                <w:noProof/>
              </w:rPr>
              <w:t>NEPIEMĒRO</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D943EBC" w14:textId="77777777" w:rsidR="00327FF1" w:rsidRDefault="00E406C7">
            <w:pPr>
              <w:pStyle w:val="P68B1DB1-Normal11"/>
              <w:jc w:val="center"/>
              <w:rPr>
                <w:noProof/>
                <w:szCs w:val="20"/>
              </w:rPr>
            </w:pPr>
            <w:r>
              <w:rPr>
                <w:noProof/>
              </w:rPr>
              <w:t>NEPIEMĒRO</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B379AD2" w14:textId="77777777" w:rsidR="00327FF1" w:rsidRDefault="00E406C7">
            <w:pPr>
              <w:pStyle w:val="P68B1DB1-Normal11"/>
              <w:jc w:val="center"/>
              <w:rPr>
                <w:noProof/>
                <w:szCs w:val="20"/>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F3B530A" w14:textId="77777777" w:rsidR="00327FF1" w:rsidRDefault="00E406C7">
            <w:pPr>
              <w:pStyle w:val="P68B1DB1-Normal11"/>
              <w:jc w:val="center"/>
              <w:rPr>
                <w:noProof/>
                <w:szCs w:val="20"/>
              </w:rPr>
            </w:pPr>
            <w:r>
              <w:rPr>
                <w:noProof/>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1ED7DED" w14:textId="77777777" w:rsidR="00327FF1" w:rsidRDefault="00E406C7">
            <w:pPr>
              <w:pStyle w:val="P68B1DB1-Normal11"/>
              <w:rPr>
                <w:noProof/>
                <w:szCs w:val="20"/>
              </w:rPr>
            </w:pPr>
            <w:r>
              <w:rPr>
                <w:noProof/>
              </w:rPr>
              <w:t>Vismaz 15 reģioni un autonomās provinces (tostarp pašvaldības un/vai lielpilsētu pilsētas, kas atrodas šajās teritorijās) parakstīja līgumus par sociālo mājokļu atjaunošanu un palielināšanu.</w:t>
            </w:r>
          </w:p>
          <w:p w14:paraId="5F04B806" w14:textId="77777777" w:rsidR="00327FF1" w:rsidRDefault="00E406C7">
            <w:pPr>
              <w:pStyle w:val="P68B1DB1-Normal11"/>
              <w:rPr>
                <w:rFonts w:eastAsia="Calibri"/>
                <w:noProof/>
                <w:szCs w:val="20"/>
              </w:rPr>
            </w:pPr>
            <w:r>
              <w:rPr>
                <w:noProof/>
              </w:rPr>
              <w:t>Nolīgumi, kas p</w:t>
            </w:r>
            <w:r>
              <w:rPr>
                <w:noProof/>
              </w:rPr>
              <w:t>arakstīti ar vismaz 15 projektos iesaistītiem reģioniem un autonomajām provincēm. </w:t>
            </w:r>
          </w:p>
          <w:p w14:paraId="5314B098" w14:textId="77777777" w:rsidR="00327FF1" w:rsidRDefault="00E406C7">
            <w:pPr>
              <w:pStyle w:val="P68B1DB1-Normal11"/>
              <w:rPr>
                <w:rFonts w:eastAsia="Calibri"/>
                <w:noProof/>
                <w:szCs w:val="20"/>
              </w:rPr>
            </w:pPr>
            <w:r>
              <w:rPr>
                <w:noProof/>
              </w:rPr>
              <w:t>Celtniecība: jauni valsts mājokļi, lai:</w:t>
            </w:r>
          </w:p>
          <w:p w14:paraId="5BC79F11" w14:textId="77777777" w:rsidR="00327FF1" w:rsidRDefault="00E406C7">
            <w:pPr>
              <w:pStyle w:val="P68B1DB1-Normal11"/>
              <w:rPr>
                <w:noProof/>
                <w:szCs w:val="20"/>
              </w:rPr>
            </w:pPr>
            <w:r>
              <w:rPr>
                <w:noProof/>
              </w:rPr>
              <w:t>— pārbūvēt, reorganizēt un palielināt valsts mājokļiem paredzētos aktīvus;</w:t>
            </w:r>
          </w:p>
          <w:p w14:paraId="142E45F1" w14:textId="77777777" w:rsidR="00327FF1" w:rsidRDefault="00E406C7">
            <w:pPr>
              <w:pStyle w:val="P68B1DB1-Normal11"/>
              <w:rPr>
                <w:noProof/>
                <w:szCs w:val="20"/>
              </w:rPr>
            </w:pPr>
            <w:r>
              <w:rPr>
                <w:noProof/>
              </w:rPr>
              <w:t>— pārfunkcionalizēt teritorijas, telpas un publiskos un pr</w:t>
            </w:r>
            <w:r>
              <w:rPr>
                <w:noProof/>
              </w:rPr>
              <w:t>ivātos īpašumus, arī atjaunojot pilsētu un sociālekonomisko struktūru;</w:t>
            </w:r>
          </w:p>
          <w:p w14:paraId="4E3DDE34" w14:textId="77777777" w:rsidR="00327FF1" w:rsidRDefault="00E406C7">
            <w:pPr>
              <w:pStyle w:val="P68B1DB1-Normal11"/>
              <w:rPr>
                <w:noProof/>
                <w:szCs w:val="20"/>
              </w:rPr>
            </w:pPr>
            <w:r>
              <w:rPr>
                <w:noProof/>
              </w:rPr>
              <w:t>uzlabot pilsētu teritoriju pieejamību un drošību, kā arī pakalpojumu sniegšanu un pilsētu-vietējo infrastruktūru;</w:t>
            </w:r>
          </w:p>
          <w:p w14:paraId="36825ED0" w14:textId="77777777" w:rsidR="00327FF1" w:rsidRDefault="00E406C7">
            <w:pPr>
              <w:pStyle w:val="P68B1DB1-Normal11"/>
              <w:rPr>
                <w:noProof/>
                <w:szCs w:val="20"/>
              </w:rPr>
            </w:pPr>
            <w:r>
              <w:rPr>
                <w:noProof/>
              </w:rPr>
              <w:t>— atjaunot jau uzbūvētās teritorijas un telpas, palielinot vides kvalit</w:t>
            </w:r>
            <w:r>
              <w:rPr>
                <w:noProof/>
              </w:rPr>
              <w:t>āti un uzlabojot klimatnoturību pret klimata pārmaiņām, arī veicot darbības, kas ietekmē pilsētu sablīvēšanos;</w:t>
            </w:r>
          </w:p>
          <w:p w14:paraId="427C16F2" w14:textId="77777777" w:rsidR="00327FF1" w:rsidRDefault="00E406C7">
            <w:pPr>
              <w:pStyle w:val="P68B1DB1-Normal11"/>
              <w:rPr>
                <w:rFonts w:eastAsia="Calibri"/>
                <w:noProof/>
                <w:szCs w:val="20"/>
              </w:rPr>
            </w:pPr>
            <w:r>
              <w:rPr>
                <w:noProof/>
              </w:rPr>
              <w:t>— apzināt un izmantot inovatīvus pārvaldības un iekļaušanas modeļus un rīkus, sociālo un pilsētu labklājību, kā arī līdzdalības procesus.</w:t>
            </w:r>
          </w:p>
          <w:p w14:paraId="2D892366" w14:textId="77777777" w:rsidR="00327FF1" w:rsidRDefault="00E406C7">
            <w:pPr>
              <w:pStyle w:val="P68B1DB1-Normal11"/>
              <w:rPr>
                <w:noProof/>
                <w:szCs w:val="20"/>
              </w:rPr>
            </w:pPr>
            <w:r>
              <w:rPr>
                <w:noProof/>
              </w:rPr>
              <w:t>Atbalst</w:t>
            </w:r>
            <w:r>
              <w:rPr>
                <w:noProof/>
              </w:rPr>
              <w:t>ītās dzīvojamās vienības un sabiedriskās vietas ir paredzētas kā tādas, kas gūst labumu no darbībām, kuras aprakstītas attiecīgajā atskaites punktā.</w:t>
            </w:r>
          </w:p>
        </w:tc>
      </w:tr>
      <w:tr w:rsidR="00327FF1" w14:paraId="0590D536"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A060542" w14:textId="3DF6C4A1" w:rsidR="00327FF1" w:rsidRDefault="00E406C7">
            <w:pPr>
              <w:pStyle w:val="P68B1DB1-Normal12"/>
              <w:jc w:val="center"/>
              <w:rPr>
                <w:noProof/>
              </w:rPr>
            </w:pPr>
            <w:r>
              <w:rPr>
                <w:noProof/>
              </w:rPr>
              <w:t>M5C2–20</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404830E" w14:textId="77777777" w:rsidR="00327FF1" w:rsidRDefault="00E406C7">
            <w:pPr>
              <w:pStyle w:val="P68B1DB1-Normal12"/>
              <w:jc w:val="center"/>
              <w:rPr>
                <w:noProof/>
              </w:rPr>
            </w:pPr>
            <w:r>
              <w:rPr>
                <w:noProof/>
              </w:rPr>
              <w:t xml:space="preserve">Investīcija Nr. 6 — Mājokļu kvalitātes inovācijas programma </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C24795F" w14:textId="77777777" w:rsidR="00327FF1" w:rsidRDefault="00E406C7">
            <w:pPr>
              <w:pStyle w:val="P68B1DB1-Normal11"/>
              <w:jc w:val="center"/>
              <w:rPr>
                <w:noProof/>
                <w:szCs w:val="20"/>
              </w:rPr>
            </w:pPr>
            <w:r>
              <w:rPr>
                <w:noProof/>
              </w:rPr>
              <w:t>Mērķa</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E50D759" w14:textId="77777777" w:rsidR="00327FF1" w:rsidRDefault="00E406C7">
            <w:pPr>
              <w:pStyle w:val="P68B1DB1-Normal12"/>
              <w:jc w:val="center"/>
              <w:rPr>
                <w:noProof/>
              </w:rPr>
            </w:pPr>
            <w:r>
              <w:rPr>
                <w:noProof/>
              </w:rPr>
              <w:t xml:space="preserve">Uzbūvēto, iegādāto vai renovēto dzīvojamo vienību skaits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E62671F" w14:textId="77777777" w:rsidR="00327FF1" w:rsidRDefault="00E406C7">
            <w:pPr>
              <w:pStyle w:val="P68B1DB1-Normal11"/>
              <w:jc w:val="center"/>
              <w:rPr>
                <w:noProof/>
                <w:szCs w:val="20"/>
              </w:rPr>
            </w:pPr>
            <w:r>
              <w:rPr>
                <w:noProof/>
              </w:rPr>
              <w:t>NEPIEMĒRO</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01AD86C" w14:textId="77777777" w:rsidR="00327FF1" w:rsidRDefault="00E406C7">
            <w:pPr>
              <w:pStyle w:val="P68B1DB1-Normal11"/>
              <w:jc w:val="center"/>
              <w:rPr>
                <w:noProof/>
                <w:szCs w:val="20"/>
              </w:rPr>
            </w:pPr>
            <w:r>
              <w:rPr>
                <w:noProof/>
              </w:rPr>
              <w:t>Skaits</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0ED57A3" w14:textId="77777777" w:rsidR="00327FF1" w:rsidRDefault="00E406C7">
            <w:pPr>
              <w:pStyle w:val="P68B1DB1-Normal11"/>
              <w:jc w:val="center"/>
              <w:rPr>
                <w:noProof/>
                <w:szCs w:val="20"/>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C47EF17"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szCs w:val="20"/>
              </w:rPr>
              <w:t>10</w:t>
            </w:r>
            <w:r>
              <w:rPr>
                <w:noProof/>
                <w:sz w:val="23"/>
                <w:szCs w:val="23"/>
              </w:rPr>
              <w:t xml:space="preserve"> </w:t>
            </w:r>
            <w:r>
              <w:rPr>
                <w:rFonts w:ascii="Arial Narrow" w:hAnsi="Arial Narrow"/>
                <w:noProof/>
                <w:color w:val="006100"/>
                <w:sz w:val="20"/>
                <w:szCs w:val="20"/>
              </w:rPr>
              <w:t>000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EAC2E54" w14:textId="77777777" w:rsidR="00327FF1" w:rsidRDefault="00E406C7">
            <w:pPr>
              <w:pStyle w:val="P68B1DB1-Normal11"/>
              <w:jc w:val="center"/>
              <w:rPr>
                <w:noProof/>
                <w:szCs w:val="20"/>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E7A38B6" w14:textId="77777777" w:rsidR="00327FF1" w:rsidRDefault="00E406C7">
            <w:pPr>
              <w:pStyle w:val="P68B1DB1-Normal11"/>
              <w:jc w:val="center"/>
              <w:rPr>
                <w:noProof/>
                <w:szCs w:val="20"/>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B29D6AA" w14:textId="28D80CB3" w:rsidR="00327FF1" w:rsidRDefault="00E406C7">
            <w:pPr>
              <w:pStyle w:val="P68B1DB1-Normal12"/>
              <w:spacing w:line="278" w:lineRule="auto"/>
              <w:rPr>
                <w:noProof/>
              </w:rPr>
            </w:pPr>
            <w:r>
              <w:rPr>
                <w:noProof/>
              </w:rPr>
              <w:t>Būvē, iegādājas vai renovē vismaz 10000 dzīvojamo vienību un atjauno vismaz 1800000 kvadrātmetru sabiedriskā ritma.</w:t>
            </w:r>
          </w:p>
          <w:p w14:paraId="4A751E07" w14:textId="531D0462" w:rsidR="00327FF1" w:rsidRDefault="00E406C7">
            <w:pPr>
              <w:pStyle w:val="P68B1DB1-Normal12"/>
              <w:spacing w:line="278" w:lineRule="auto"/>
              <w:rPr>
                <w:noProof/>
              </w:rPr>
            </w:pPr>
            <w:r>
              <w:rPr>
                <w:noProof/>
              </w:rPr>
              <w:t>Vismaz 497 miljonus EUR ANM atbalstu investīciju</w:t>
            </w:r>
            <w:r>
              <w:rPr>
                <w:noProof/>
              </w:rPr>
              <w:t xml:space="preserve"> izmaksām atvēl esošā dzīvojamā fonda vai publiskās infrastruktūras energoefektivitātes renovācijai, no kuriem vismaz 300 miljonus EUR atvēl esošā dzīvojamā fonda energoefektivitātes renovācijai, kā rezultātā primārās enerģijas ietaupījums ir vismaz 30 %.</w:t>
            </w:r>
          </w:p>
          <w:p w14:paraId="0056308A" w14:textId="10C80A4D" w:rsidR="00327FF1" w:rsidRDefault="00E406C7">
            <w:pPr>
              <w:pStyle w:val="P68B1DB1-Normal12"/>
              <w:spacing w:line="278" w:lineRule="auto"/>
              <w:rPr>
                <w:noProof/>
              </w:rPr>
            </w:pPr>
            <w:r>
              <w:rPr>
                <w:noProof/>
              </w:rPr>
              <w:t>Vismaz 84 miljonus EUR ANM atbalstu investīciju izmaksām atvēl velotransporta infrastruktūrai.</w:t>
            </w:r>
          </w:p>
        </w:tc>
      </w:tr>
      <w:tr w:rsidR="00327FF1" w14:paraId="55039567"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0501924" w14:textId="77777777" w:rsidR="00327FF1" w:rsidRDefault="00E406C7">
            <w:pPr>
              <w:pStyle w:val="P68B1DB1-Normal11"/>
              <w:jc w:val="center"/>
              <w:rPr>
                <w:noProof/>
                <w:szCs w:val="20"/>
              </w:rPr>
            </w:pPr>
            <w:r>
              <w:rPr>
                <w:noProof/>
              </w:rPr>
              <w:t>M5C2–21</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BE1357C" w14:textId="77777777" w:rsidR="00327FF1" w:rsidRDefault="00E406C7">
            <w:pPr>
              <w:pStyle w:val="P68B1DB1-Normal12"/>
              <w:jc w:val="center"/>
              <w:rPr>
                <w:noProof/>
              </w:rPr>
            </w:pPr>
            <w:r>
              <w:rPr>
                <w:noProof/>
              </w:rPr>
              <w:t>Investīcija Nr. 7 — Sporta un sociālās iekļaušanas projekts</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9CD9A92" w14:textId="77777777" w:rsidR="00327FF1" w:rsidRDefault="00E406C7">
            <w:pPr>
              <w:pStyle w:val="P68B1DB1-Normal11"/>
              <w:jc w:val="center"/>
              <w:rPr>
                <w:noProof/>
                <w:szCs w:val="20"/>
              </w:rPr>
            </w:pPr>
            <w:r>
              <w:rPr>
                <w:noProof/>
              </w:rPr>
              <w:t>Atskaites punkts</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FAF9DF7" w14:textId="77777777" w:rsidR="00327FF1" w:rsidRDefault="00E406C7">
            <w:pPr>
              <w:pStyle w:val="P68B1DB1-Normal11"/>
              <w:jc w:val="center"/>
              <w:rPr>
                <w:noProof/>
                <w:szCs w:val="20"/>
              </w:rPr>
            </w:pPr>
            <w:r>
              <w:rPr>
                <w:noProof/>
              </w:rPr>
              <w:t xml:space="preserve">Visu sporta un sociālās iekļaušanas projektu publiskā iepirkuma līgumu </w:t>
            </w:r>
            <w:r>
              <w:rPr>
                <w:noProof/>
              </w:rPr>
              <w:t>slēgšanas tiesību piešķiršana pēc publiska uzaicinājuma iesniegt priekšlikumus</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F4BFF25" w14:textId="77777777" w:rsidR="00327FF1" w:rsidRDefault="00E406C7">
            <w:pPr>
              <w:pStyle w:val="P68B1DB1-Normal11"/>
              <w:jc w:val="center"/>
              <w:rPr>
                <w:noProof/>
                <w:szCs w:val="20"/>
              </w:rPr>
            </w:pPr>
            <w:r>
              <w:rPr>
                <w:noProof/>
              </w:rPr>
              <w:t>Paziņojums par visu sporta un sociālās iekļaušanas projektu publiskā iepirkuma līgumu slēgšanas tiesību piešķiršanu</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188165D" w14:textId="77777777" w:rsidR="00327FF1" w:rsidRDefault="00E406C7">
            <w:pPr>
              <w:pStyle w:val="P68B1DB1-Normal11"/>
              <w:jc w:val="center"/>
              <w:rPr>
                <w:noProof/>
                <w:szCs w:val="20"/>
              </w:rPr>
            </w:pPr>
            <w:r>
              <w:rPr>
                <w:noProof/>
              </w:rPr>
              <w:t>NEPIEMĒRO</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CCEEB84" w14:textId="77777777" w:rsidR="00327FF1" w:rsidRDefault="00E406C7">
            <w:pPr>
              <w:pStyle w:val="P68B1DB1-Normal11"/>
              <w:jc w:val="center"/>
              <w:rPr>
                <w:noProof/>
                <w:szCs w:val="20"/>
              </w:rPr>
            </w:pPr>
            <w:r>
              <w:rPr>
                <w:noProof/>
              </w:rPr>
              <w:t>NEPIEMĒRO</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92DF8D9" w14:textId="77777777" w:rsidR="00327FF1" w:rsidRDefault="00E406C7">
            <w:pPr>
              <w:pStyle w:val="P68B1DB1-Normal11"/>
              <w:jc w:val="center"/>
              <w:rPr>
                <w:noProof/>
                <w:szCs w:val="20"/>
              </w:rPr>
            </w:pPr>
            <w:r>
              <w:rPr>
                <w:noProof/>
              </w:rPr>
              <w:t>NEPIEMĒRO</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3B08B21" w14:textId="77777777" w:rsidR="00327FF1" w:rsidRDefault="00E406C7">
            <w:pPr>
              <w:pStyle w:val="P68B1DB1-Normal11"/>
              <w:jc w:val="center"/>
              <w:rPr>
                <w:noProof/>
                <w:szCs w:val="20"/>
              </w:rPr>
            </w:pPr>
            <w:r>
              <w:rPr>
                <w:noProof/>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6D632DA" w14:textId="77777777" w:rsidR="00327FF1" w:rsidRDefault="00E406C7">
            <w:pPr>
              <w:pStyle w:val="P68B1DB1-Normal11"/>
              <w:jc w:val="center"/>
              <w:rPr>
                <w:noProof/>
                <w:szCs w:val="20"/>
              </w:rPr>
            </w:pPr>
            <w:r>
              <w:rPr>
                <w:noProof/>
              </w:rPr>
              <w:t>2023</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269A213" w14:textId="77777777" w:rsidR="00327FF1" w:rsidRDefault="00E406C7">
            <w:pPr>
              <w:pStyle w:val="P68B1DB1-Normal11"/>
              <w:rPr>
                <w:rFonts w:eastAsia="Calibri"/>
                <w:noProof/>
                <w:szCs w:val="20"/>
              </w:rPr>
            </w:pPr>
            <w:r>
              <w:rPr>
                <w:noProof/>
              </w:rPr>
              <w:t>Paziņojums par valsts l</w:t>
            </w:r>
            <w:r>
              <w:rPr>
                <w:noProof/>
              </w:rPr>
              <w:t>īgumu slēgšanas tiesību piešķiršanu, kas ietver vismaz vienu no šādiem elementiem:</w:t>
            </w:r>
          </w:p>
          <w:p w14:paraId="497B7451" w14:textId="77777777" w:rsidR="00327FF1" w:rsidRDefault="00E406C7">
            <w:pPr>
              <w:pStyle w:val="P68B1DB1-Normal11"/>
              <w:rPr>
                <w:noProof/>
                <w:szCs w:val="20"/>
              </w:rPr>
            </w:pPr>
            <w:r>
              <w:rPr>
                <w:noProof/>
              </w:rPr>
              <w:t>1) jaunu sporta objektu būvniecība valsts mazāk labvēlīgos apgabalos;</w:t>
            </w:r>
          </w:p>
          <w:p w14:paraId="202A10DC" w14:textId="77777777" w:rsidR="00327FF1" w:rsidRDefault="00E406C7">
            <w:pPr>
              <w:pStyle w:val="P68B1DB1-Normal11"/>
              <w:rPr>
                <w:noProof/>
                <w:szCs w:val="20"/>
              </w:rPr>
            </w:pPr>
            <w:r>
              <w:rPr>
                <w:noProof/>
              </w:rPr>
              <w:t>2) sporta aprīkojuma nodrošināšana, tostarp tehnoloģiju izmantošana sportā);</w:t>
            </w:r>
          </w:p>
          <w:p w14:paraId="08D57BB3" w14:textId="77777777" w:rsidR="00327FF1" w:rsidRDefault="00E406C7">
            <w:pPr>
              <w:pStyle w:val="P68B1DB1-Normal11"/>
              <w:rPr>
                <w:rFonts w:eastAsia="Calibri"/>
                <w:noProof/>
                <w:szCs w:val="20"/>
              </w:rPr>
            </w:pPr>
            <w:r>
              <w:rPr>
                <w:noProof/>
              </w:rPr>
              <w:t>3. esošo sporta objektu pā</w:t>
            </w:r>
            <w:r>
              <w:rPr>
                <w:noProof/>
              </w:rPr>
              <w:t>rkvalificēšana un pielāgošana (piemēram, arhitektonisko šķēršļu likvidēšana, energoefektivitāte utt.).</w:t>
            </w:r>
          </w:p>
          <w:p w14:paraId="00F74937" w14:textId="77777777" w:rsidR="00327FF1" w:rsidRDefault="00E406C7">
            <w:pPr>
              <w:pStyle w:val="P68B1DB1-Normal11"/>
              <w:rPr>
                <w:noProof/>
                <w:szCs w:val="20"/>
              </w:rPr>
            </w:pPr>
            <w:r>
              <w:rPr>
                <w:noProof/>
              </w:rPr>
              <w:t>Projekta mērķis ir nodrošināt pilsētu teritoriju atjaunošanu, koncentrējoties uz sporta objektiem, lai veicinātu sociālo iekļaušanu un integrāciju, jo īp</w:t>
            </w:r>
            <w:r>
              <w:rPr>
                <w:noProof/>
              </w:rPr>
              <w:t>aši vistrūcīgākajās Itālijas teritorijās.</w:t>
            </w:r>
          </w:p>
          <w:p w14:paraId="29C06586" w14:textId="77777777" w:rsidR="00327FF1" w:rsidRDefault="00E406C7">
            <w:pPr>
              <w:pStyle w:val="P68B1DB1-Normal11"/>
              <w:rPr>
                <w:noProof/>
                <w:szCs w:val="20"/>
              </w:rPr>
            </w:pPr>
            <w:r>
              <w:rPr>
                <w:noProof/>
              </w:rPr>
              <w:t>Atlases kritēriji garantē, ka vismaz 50 % no investīcijām tiek piešķirti jaunām būvēm, kas atbilst attiecīgajām Regulas (ES) 2021/241 VI pielikuma 5. zemsvītras piezīmes prasībām.</w:t>
            </w:r>
          </w:p>
        </w:tc>
      </w:tr>
      <w:tr w:rsidR="00327FF1" w14:paraId="4156AF60"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5877FF4" w14:textId="77777777" w:rsidR="00327FF1" w:rsidRDefault="00E406C7">
            <w:pPr>
              <w:pStyle w:val="P68B1DB1-Normal11"/>
              <w:jc w:val="center"/>
              <w:rPr>
                <w:noProof/>
                <w:szCs w:val="20"/>
                <w:highlight w:val="yellow"/>
              </w:rPr>
            </w:pPr>
            <w:r>
              <w:rPr>
                <w:noProof/>
              </w:rPr>
              <w:t>M5C2–22</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A44623F" w14:textId="77777777" w:rsidR="00327FF1" w:rsidRDefault="00E406C7">
            <w:pPr>
              <w:pStyle w:val="P68B1DB1-Normal12"/>
              <w:jc w:val="center"/>
              <w:rPr>
                <w:noProof/>
              </w:rPr>
            </w:pPr>
            <w:r>
              <w:rPr>
                <w:noProof/>
              </w:rPr>
              <w:t xml:space="preserve">Investīcija Nr. 7 — Sports un sociālā integrācija </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C79E3F9" w14:textId="77777777" w:rsidR="00327FF1" w:rsidRDefault="00E406C7">
            <w:pPr>
              <w:pStyle w:val="P68B1DB1-Normal11"/>
              <w:jc w:val="center"/>
              <w:rPr>
                <w:noProof/>
                <w:szCs w:val="20"/>
              </w:rPr>
            </w:pPr>
            <w:r>
              <w:rPr>
                <w:noProof/>
              </w:rPr>
              <w:t>Mērķa</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B2BC68A" w14:textId="77777777" w:rsidR="00327FF1" w:rsidRDefault="00E406C7">
            <w:pPr>
              <w:pStyle w:val="P68B1DB1-Normal12"/>
              <w:jc w:val="center"/>
              <w:rPr>
                <w:noProof/>
              </w:rPr>
            </w:pPr>
            <w:r>
              <w:rPr>
                <w:noProof/>
              </w:rPr>
              <w:t xml:space="preserve"> Izsniegtie sertifikāti par darbu pabeigšanu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96C5201" w14:textId="77777777" w:rsidR="00327FF1" w:rsidRDefault="00E406C7">
            <w:pPr>
              <w:pStyle w:val="P68B1DB1-Normal11"/>
              <w:jc w:val="center"/>
              <w:rPr>
                <w:noProof/>
                <w:szCs w:val="20"/>
              </w:rPr>
            </w:pPr>
            <w:r>
              <w:rPr>
                <w:noProof/>
              </w:rPr>
              <w:t>NEPIEMĒRO</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B92E134" w14:textId="77777777" w:rsidR="00327FF1" w:rsidRDefault="00E406C7">
            <w:pPr>
              <w:pStyle w:val="P68B1DB1-Normal11"/>
              <w:jc w:val="center"/>
              <w:rPr>
                <w:noProof/>
                <w:szCs w:val="20"/>
              </w:rPr>
            </w:pPr>
            <w:r>
              <w:rPr>
                <w:noProof/>
              </w:rPr>
              <w:t>Skaits</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CD67702" w14:textId="77777777" w:rsidR="00327FF1" w:rsidRDefault="00E406C7">
            <w:pPr>
              <w:pStyle w:val="P68B1DB1-Normal11"/>
              <w:jc w:val="center"/>
              <w:rPr>
                <w:noProof/>
                <w:szCs w:val="20"/>
              </w:rPr>
            </w:pPr>
            <w:r>
              <w:rPr>
                <w:noProof/>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AA06FE1" w14:textId="77777777" w:rsidR="00327FF1" w:rsidRDefault="00E406C7">
            <w:pPr>
              <w:pStyle w:val="P68B1DB1-Normal11"/>
              <w:jc w:val="center"/>
              <w:rPr>
                <w:noProof/>
                <w:szCs w:val="20"/>
              </w:rPr>
            </w:pPr>
            <w:r>
              <w:rPr>
                <w:noProof/>
              </w:rPr>
              <w:t>100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7F0D0A5" w14:textId="77777777" w:rsidR="00327FF1" w:rsidRDefault="00E406C7">
            <w:pPr>
              <w:pStyle w:val="P68B1DB1-Normal11"/>
              <w:jc w:val="center"/>
              <w:rPr>
                <w:noProof/>
                <w:szCs w:val="20"/>
              </w:rPr>
            </w:pPr>
            <w:r>
              <w:rPr>
                <w:noProof/>
              </w:rPr>
              <w:t>2. CET.</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C8135D7" w14:textId="77777777" w:rsidR="00327FF1" w:rsidRDefault="00E406C7">
            <w:pPr>
              <w:pStyle w:val="P68B1DB1-Normal11"/>
              <w:jc w:val="center"/>
              <w:rPr>
                <w:noProof/>
                <w:szCs w:val="20"/>
              </w:rPr>
            </w:pPr>
            <w:r>
              <w:rPr>
                <w:noProof/>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925FC8D" w14:textId="65179BBA" w:rsidR="00327FF1" w:rsidRDefault="00E406C7">
            <w:pPr>
              <w:pStyle w:val="P68B1DB1-Normal12"/>
              <w:rPr>
                <w:noProof/>
              </w:rPr>
            </w:pPr>
            <w:r>
              <w:rPr>
                <w:noProof/>
              </w:rPr>
              <w:t xml:space="preserve">Sertifikāti par darbu pabeigšanu, kas izsniegti par vismaz 100 intervencēm, kuras saistītas ar sporta objektu </w:t>
            </w:r>
            <w:r>
              <w:rPr>
                <w:noProof/>
              </w:rPr>
              <w:t>būvniecību vai renovāciju un kuru kopējā platība ir vismaz 200000 kvadrātmetri.</w:t>
            </w:r>
          </w:p>
        </w:tc>
      </w:tr>
    </w:tbl>
    <w:p w14:paraId="3592BCFC" w14:textId="77777777" w:rsidR="00327FF1" w:rsidRDefault="00327FF1">
      <w:pPr>
        <w:keepNext/>
        <w:tabs>
          <w:tab w:val="left" w:pos="4252"/>
        </w:tabs>
        <w:spacing w:before="720"/>
        <w:jc w:val="both"/>
        <w:rPr>
          <w:i/>
          <w:noProof/>
        </w:rPr>
        <w:sectPr w:rsidR="00327FF1" w:rsidSect="005F11B9">
          <w:headerReference w:type="even" r:id="rId254"/>
          <w:headerReference w:type="default" r:id="rId255"/>
          <w:footerReference w:type="even" r:id="rId256"/>
          <w:footerReference w:type="default" r:id="rId257"/>
          <w:headerReference w:type="first" r:id="rId258"/>
          <w:footerReference w:type="first" r:id="rId259"/>
          <w:pgSz w:w="20160" w:h="12240" w:orient="landscape"/>
          <w:pgMar w:top="1440" w:right="1440" w:bottom="1440" w:left="1440" w:header="709" w:footer="709" w:gutter="0"/>
          <w:cols w:space="720"/>
          <w:docGrid w:linePitch="360"/>
        </w:sectPr>
      </w:pPr>
    </w:p>
    <w:p w14:paraId="5968D17C" w14:textId="77777777" w:rsidR="00327FF1" w:rsidRDefault="00E406C7">
      <w:pPr>
        <w:pStyle w:val="P68B1DB1-Heading23"/>
        <w:ind w:left="1080"/>
        <w:rPr>
          <w:noProof/>
        </w:rPr>
      </w:pPr>
      <w:r>
        <w:rPr>
          <w:noProof/>
        </w:rPr>
        <w:t>N. 5. MISIJAS 3. KOMPONENTS: Īpaši pasākumi teritoriālajai kohēzijai</w:t>
      </w:r>
    </w:p>
    <w:p w14:paraId="253955E5" w14:textId="77777777" w:rsidR="00327FF1" w:rsidRDefault="00E406C7">
      <w:pPr>
        <w:pStyle w:val="P68B1DB1-Normal7"/>
        <w:tabs>
          <w:tab w:val="left" w:pos="1134"/>
        </w:tabs>
        <w:spacing w:before="120" w:after="120"/>
        <w:jc w:val="both"/>
        <w:rPr>
          <w:rFonts w:eastAsia="Calibri"/>
          <w:noProof/>
        </w:rPr>
      </w:pPr>
      <w:r>
        <w:rPr>
          <w:noProof/>
        </w:rPr>
        <w:t xml:space="preserve">Šis atveseļošanas un noturības plāna komponents </w:t>
      </w:r>
      <w:r>
        <w:rPr>
          <w:noProof/>
        </w:rPr>
        <w:t>ietver divas intervences jomas: I) iekšējo, perifēro un kalnu apgabalu noturības plāns; II) Dienvidu attīstības projekti, tostarp ieguldījumi izglītības nabadzības novēršanai, lauku aptieku kā vietējo veselības aprūpes pakalpojumu konsolidācijai, organizēt</w:t>
      </w:r>
      <w:r>
        <w:rPr>
          <w:noProof/>
        </w:rPr>
        <w:t xml:space="preserve">ās noziedzības rezultātā konfiscēto līdzekļu palielināšanai un infrastruktūras ieguldījumiem speciālajās ekonomiskajās zonās. Šo pasākumu mērķis ir novērst teritoriālo plaisu trīs jomās: demogrāfija un pakalpojumi; prasmju pilnveidošana; investīcijas. </w:t>
      </w:r>
    </w:p>
    <w:p w14:paraId="23A0EF7C" w14:textId="77777777" w:rsidR="00327FF1" w:rsidRDefault="00E406C7">
      <w:pPr>
        <w:tabs>
          <w:tab w:val="left" w:pos="1134"/>
        </w:tabs>
        <w:spacing w:before="120" w:after="120"/>
        <w:jc w:val="both"/>
        <w:rPr>
          <w:rFonts w:ascii="Times New Roman" w:eastAsia="Calibri" w:hAnsi="Times New Roman" w:cs="Times New Roman"/>
          <w:noProof/>
        </w:rPr>
      </w:pPr>
      <w:r>
        <w:rPr>
          <w:rFonts w:ascii="Times New Roman" w:hAnsi="Times New Roman" w:cs="Times New Roman"/>
          <w:noProof/>
        </w:rPr>
        <w:t>Inv</w:t>
      </w:r>
      <w:r>
        <w:rPr>
          <w:rFonts w:ascii="Times New Roman" w:hAnsi="Times New Roman" w:cs="Times New Roman"/>
          <w:noProof/>
        </w:rPr>
        <w:t>estīcijas un reformas saskaņā ar šo komponentu palīdz īstenot Itālijai 2019. un 2020. gadā adresētos konkrētai valstij adresētos ieteikumus par nepieciešamību “uz priekšu virzīt ar ieguldījumiem saistītu ekonomikas politiku pētniecības un inovācijas jomā u</w:t>
      </w:r>
      <w:r>
        <w:rPr>
          <w:rFonts w:ascii="Times New Roman" w:hAnsi="Times New Roman" w:cs="Times New Roman"/>
          <w:noProof/>
        </w:rPr>
        <w:t xml:space="preserve">n infrastruktūras kvalitāti, ņemot vērā reģionālās atšķirības” (konkrētai valstij adresētais ieteikums Nr. 2019.3); </w:t>
      </w:r>
      <w:r>
        <w:rPr>
          <w:rStyle w:val="normaltextrun"/>
          <w:rFonts w:ascii="Times New Roman" w:hAnsi="Times New Roman" w:cs="Times New Roman"/>
          <w:noProof/>
          <w:shd w:val="clear" w:color="auto" w:fill="FFFFFF"/>
        </w:rPr>
        <w:t>“uzlabot izglītības rezultātus” (konkrētai valstij adresēts ieteikums Nr. 2019.2); “Stiprināt veselības aprūpes sistēmas noturību un kapacit</w:t>
      </w:r>
      <w:r>
        <w:rPr>
          <w:rStyle w:val="normaltextrun"/>
          <w:rFonts w:ascii="Times New Roman" w:hAnsi="Times New Roman" w:cs="Times New Roman"/>
          <w:noProof/>
          <w:shd w:val="clear" w:color="auto" w:fill="FFFFFF"/>
        </w:rPr>
        <w:t xml:space="preserve">āti [...]” (konkrētai valstij adresēts ieteikums Nr. 2020.1); “nodrošināt pienācīgu [...] un piekļuvi sociālajai aizsardzībai” (konkrētai valstij adresēts ieteikums Nr. 2020.2). </w:t>
      </w:r>
    </w:p>
    <w:p w14:paraId="701031D9" w14:textId="77777777" w:rsidR="00327FF1" w:rsidRDefault="00327FF1">
      <w:pPr>
        <w:spacing w:before="120" w:after="120"/>
        <w:jc w:val="both"/>
        <w:rPr>
          <w:rFonts w:ascii="Times New Roman" w:hAnsi="Times New Roman" w:cs="Times New Roman"/>
          <w:noProof/>
        </w:rPr>
      </w:pPr>
    </w:p>
    <w:p w14:paraId="38554ED0" w14:textId="77777777" w:rsidR="00327FF1" w:rsidRDefault="00E406C7">
      <w:pPr>
        <w:pStyle w:val="P68B1DB1-Heading39"/>
        <w:ind w:left="850" w:hanging="850"/>
        <w:rPr>
          <w:b/>
          <w:bCs/>
          <w:i/>
          <w:iCs/>
          <w:noProof/>
          <w:color w:val="156082" w:themeColor="accent1"/>
          <w:u w:val="single"/>
        </w:rPr>
      </w:pPr>
      <w:r>
        <w:rPr>
          <w:b/>
          <w:noProof/>
          <w:u w:val="single"/>
        </w:rPr>
        <w:t xml:space="preserve">N.1. </w:t>
      </w:r>
      <w:r>
        <w:rPr>
          <w:noProof/>
        </w:rPr>
        <w:t xml:space="preserve"> </w:t>
      </w:r>
      <w:r>
        <w:rPr>
          <w:b/>
          <w:noProof/>
          <w:u w:val="single"/>
        </w:rPr>
        <w:t>Reformu un investīciju apraksts neatmaksājamam finansiālajam atbalstam</w:t>
      </w:r>
    </w:p>
    <w:p w14:paraId="3BBD5A81" w14:textId="77777777" w:rsidR="00327FF1" w:rsidRDefault="00E406C7">
      <w:pPr>
        <w:pStyle w:val="P68B1DB1-Normal5"/>
        <w:spacing w:before="120" w:after="120"/>
        <w:jc w:val="both"/>
        <w:rPr>
          <w:bCs/>
          <w:noProof/>
        </w:rPr>
      </w:pPr>
      <w:r>
        <w:rPr>
          <w:noProof/>
        </w:rPr>
        <w:t>Investīcijas Nr. 1.1. Iekšējās zonas — 1: Kopienas sociālo pakalpojumu un infrastruktūras uzlabošana</w:t>
      </w:r>
    </w:p>
    <w:p w14:paraId="1388650F" w14:textId="4AB17F5B" w:rsidR="00327FF1" w:rsidRDefault="00E406C7">
      <w:pPr>
        <w:pStyle w:val="P68B1DB1-Normal7"/>
        <w:spacing w:before="120" w:after="120"/>
        <w:jc w:val="both"/>
        <w:rPr>
          <w:noProof/>
        </w:rPr>
      </w:pPr>
      <w:r>
        <w:rPr>
          <w:noProof/>
        </w:rPr>
        <w:t>Intervences mērķis ir risināt sociālās atstumtības un marginalizācijas jautājumus, pastiprinot pakalpojumu</w:t>
      </w:r>
      <w:r>
        <w:rPr>
          <w:noProof/>
        </w:rPr>
        <w:t xml:space="preserve"> sniegšanu, palielinot finansējumu pašvaldību sniegtajiem sabiedriskajiem pakalpojumiem (piegādes mehānisms sastāv no dotāciju piešķiršanas pašvaldībām). Finansētie projekti var attiekties uz: veco ļaužu mājas aprūpes pakalpojumi; kopienas māsas un vecmāte</w:t>
      </w:r>
      <w:r>
        <w:rPr>
          <w:noProof/>
        </w:rPr>
        <w:t>s; mazu slimnīcu (bez pirmās palīdzības) vai dažu pamatpakalpojumu (t. i., radioloģijas, kardioloģijas, ginekoloģijas) un ambulatoro centru stiprināšana; helikopteru glābšanas infrastruktūras; stiprināt centrus invalīdiem; konsultāciju centri, kultūras pak</w:t>
      </w:r>
      <w:r>
        <w:rPr>
          <w:noProof/>
        </w:rPr>
        <w:t xml:space="preserve">alpojumi, sporta pakalpojumi un migrantu uzņemšana. Intervence paredz vai nu jaunu pakalpojumu un infrastruktūru izveidi, vai esošo pakalpojumu un infrastruktūru uzlabošanu, palielinot saņēmēju skaitu vai piegādes kvalitāti. </w:t>
      </w:r>
    </w:p>
    <w:p w14:paraId="7299BA2D" w14:textId="77777777" w:rsidR="00327FF1" w:rsidRDefault="00E406C7">
      <w:pPr>
        <w:spacing w:before="120" w:after="120"/>
        <w:jc w:val="both"/>
        <w:rPr>
          <w:rFonts w:ascii="Times New Roman" w:hAnsi="Times New Roman" w:cs="Times New Roman"/>
          <w:b/>
          <w:bCs/>
          <w:noProof/>
        </w:rPr>
      </w:pPr>
      <w:r>
        <w:rPr>
          <w:rFonts w:ascii="Times New Roman" w:hAnsi="Times New Roman" w:cs="Times New Roman"/>
          <w:noProof/>
        </w:rPr>
        <w:t>Lai nodrošinātu, ka pasākums a</w:t>
      </w:r>
      <w:r>
        <w:rPr>
          <w:rFonts w:ascii="Times New Roman" w:hAnsi="Times New Roman" w:cs="Times New Roman"/>
          <w:noProof/>
        </w:rPr>
        <w:t>tbilst Tehniskajiem norādījumiem “nenodari būtisku kaitējumu” (2021/C58/01), atbilstības kritērijos, kas iekļauti turpmāko uzaicinājumu iesniegt projektus uzdevumā, izslēdz šādu darbību sarakstu:</w:t>
      </w:r>
      <w:r>
        <w:rPr>
          <w:rFonts w:ascii="Times New Roman" w:hAnsi="Times New Roman" w:cs="Times New Roman"/>
          <w:noProof/>
          <w:color w:val="FF0000"/>
        </w:rPr>
        <w:t xml:space="preserve"> </w:t>
      </w:r>
      <w:r>
        <w:rPr>
          <w:rFonts w:ascii="Times New Roman" w:hAnsi="Times New Roman" w:cs="Times New Roman"/>
          <w:noProof/>
        </w:rPr>
        <w:t>I) darbības, kas saistītas ar fosilo kurināmo, tostarp pakār</w:t>
      </w:r>
      <w:r>
        <w:rPr>
          <w:rFonts w:ascii="Times New Roman" w:hAnsi="Times New Roman" w:cs="Times New Roman"/>
          <w:noProof/>
        </w:rPr>
        <w:t>totu izmantošanu</w:t>
      </w:r>
      <w:r>
        <w:rPr>
          <w:rStyle w:val="FootnoteReference"/>
          <w:rFonts w:ascii="Times New Roman" w:hAnsi="Times New Roman" w:cs="Times New Roman"/>
          <w:noProof/>
        </w:rPr>
        <w:footnoteReference w:id="93"/>
      </w:r>
      <w:r>
        <w:rPr>
          <w:rFonts w:ascii="Times New Roman" w:hAnsi="Times New Roman" w:cs="Times New Roman"/>
          <w:noProof/>
        </w:rPr>
        <w:t>; II) darbības saskaņā ar ES emisijas kvotu tirdzniecības sistēmu (ETS), kuru prognozētās siltumnīcefekta gāzu emisijas nav zemākas par attiecīgajām līmeņatzīmēm</w:t>
      </w:r>
      <w:r>
        <w:rPr>
          <w:rStyle w:val="FootnoteReference"/>
          <w:rFonts w:ascii="Times New Roman" w:hAnsi="Times New Roman" w:cs="Times New Roman"/>
          <w:noProof/>
        </w:rPr>
        <w:footnoteReference w:id="94"/>
      </w:r>
      <w:r>
        <w:rPr>
          <w:rFonts w:ascii="Times New Roman" w:hAnsi="Times New Roman" w:cs="Times New Roman"/>
          <w:noProof/>
        </w:rPr>
        <w:t>; III) darbības, kas saistītas ar atkritumu poligoniem, sadedzināšanas iekārt</w:t>
      </w:r>
      <w:r>
        <w:rPr>
          <w:rFonts w:ascii="Times New Roman" w:hAnsi="Times New Roman" w:cs="Times New Roman"/>
          <w:noProof/>
        </w:rPr>
        <w:t>ām</w:t>
      </w:r>
      <w:r>
        <w:rPr>
          <w:rStyle w:val="FootnoteReference"/>
          <w:rFonts w:ascii="Times New Roman" w:hAnsi="Times New Roman" w:cs="Times New Roman"/>
          <w:noProof/>
        </w:rPr>
        <w:footnoteReference w:id="95"/>
      </w:r>
      <w:r>
        <w:rPr>
          <w:rFonts w:ascii="Times New Roman" w:hAnsi="Times New Roman" w:cs="Times New Roman"/>
          <w:noProof/>
        </w:rPr>
        <w:t xml:space="preserve"> un mehāniski bioloģiskās apstrādes iekārtām</w:t>
      </w:r>
      <w:r>
        <w:rPr>
          <w:rStyle w:val="FootnoteReference"/>
          <w:rFonts w:ascii="Times New Roman" w:hAnsi="Times New Roman" w:cs="Times New Roman"/>
          <w:noProof/>
        </w:rPr>
        <w:footnoteReference w:id="96"/>
      </w:r>
      <w:r>
        <w:rPr>
          <w:rFonts w:ascii="Times New Roman" w:hAnsi="Times New Roman" w:cs="Times New Roman"/>
          <w:noProof/>
        </w:rPr>
        <w:t>; un iv) darbības, kurās atkritumu ilgtermiņa apglabāšana var radīt kaitējumu videi. Darba uzdevumā papildus nosaka, ka var atlasīt tikai tās darbības, kas atbilst attiecīgajiem ES un valsts tiesību aktiem vi</w:t>
      </w:r>
      <w:r>
        <w:rPr>
          <w:rFonts w:ascii="Times New Roman" w:hAnsi="Times New Roman" w:cs="Times New Roman"/>
          <w:noProof/>
        </w:rPr>
        <w:t>des jomā.</w:t>
      </w:r>
    </w:p>
    <w:p w14:paraId="0E88465D" w14:textId="77777777" w:rsidR="00327FF1" w:rsidRDefault="00E406C7">
      <w:pPr>
        <w:pStyle w:val="P68B1DB1-Normal5"/>
        <w:spacing w:before="120" w:after="120"/>
        <w:jc w:val="both"/>
        <w:rPr>
          <w:bCs/>
          <w:noProof/>
        </w:rPr>
      </w:pPr>
      <w:r>
        <w:rPr>
          <w:noProof/>
        </w:rPr>
        <w:t xml:space="preserve">Investīcija 1.1.2.: Teritoriālā tuvuma veselības aprūpes iestādes </w:t>
      </w:r>
    </w:p>
    <w:p w14:paraId="1D00148F" w14:textId="77777777" w:rsidR="00327FF1" w:rsidRDefault="00E406C7">
      <w:pPr>
        <w:pStyle w:val="P68B1DB1-Normal7"/>
        <w:spacing w:before="120" w:after="120"/>
        <w:jc w:val="both"/>
        <w:rPr>
          <w:b/>
          <w:noProof/>
        </w:rPr>
      </w:pPr>
      <w:r>
        <w:rPr>
          <w:noProof/>
        </w:rPr>
        <w:t>Pasākuma mērķis ir stiprināt lauku aptieku lomu veselības aprūpes pakalpojumu sniegšanā vietējiem iedzīvotājiem, piemēram, integrēta palīdzība mājās un pacientu uzraudzība, tādējā</w:t>
      </w:r>
      <w:r>
        <w:rPr>
          <w:noProof/>
        </w:rPr>
        <w:t>di veicinot mijiedarbību starp pacientu un valsts veselības aprūpes sistēmu. Ieguldījumu veido finansiāla atbalsta sniegšana lauku aptiekām.</w:t>
      </w:r>
    </w:p>
    <w:p w14:paraId="27218353" w14:textId="77777777" w:rsidR="00327FF1" w:rsidRDefault="00E406C7">
      <w:pPr>
        <w:pStyle w:val="P68B1DB1-Normal5"/>
        <w:jc w:val="both"/>
        <w:rPr>
          <w:bCs/>
          <w:noProof/>
        </w:rPr>
      </w:pPr>
      <w:r>
        <w:rPr>
          <w:noProof/>
        </w:rPr>
        <w:t>Investīcija Nr. 1.3. Strukturēti sociāli izglītojoši pasākumi, lai cīnītos pret izglītības trūkumu dienvidos, atbal</w:t>
      </w:r>
      <w:r>
        <w:rPr>
          <w:noProof/>
        </w:rPr>
        <w:t>stot trešo nozari</w:t>
      </w:r>
    </w:p>
    <w:p w14:paraId="700F0740" w14:textId="57A4AD01" w:rsidR="00327FF1" w:rsidRDefault="00E406C7">
      <w:pPr>
        <w:pStyle w:val="P68B1DB1-Normal7"/>
        <w:spacing w:before="120" w:after="120"/>
        <w:jc w:val="both"/>
        <w:rPr>
          <w:noProof/>
        </w:rPr>
      </w:pPr>
      <w:r>
        <w:rPr>
          <w:noProof/>
        </w:rPr>
        <w:t>Šā pasākuma mērķis ir sniegt nepilngadīgajiem sociāli izglītojošus pakalpojumus, palielināt piekļuvi bērnu aprūpei, izglītības iespējām un novērst mācību pārtraukšanu un priekšlaicīgu mācību pārtraukšanu. Ieguldījumu veido izglītības atba</w:t>
      </w:r>
      <w:r>
        <w:rPr>
          <w:noProof/>
        </w:rPr>
        <w:t>lsta darbības, ko vada trešā sektora organizācijas.</w:t>
      </w:r>
    </w:p>
    <w:p w14:paraId="4BB7C4AB" w14:textId="77777777" w:rsidR="00327FF1" w:rsidRDefault="00327FF1">
      <w:pPr>
        <w:spacing w:before="120" w:after="120"/>
        <w:jc w:val="both"/>
        <w:rPr>
          <w:rFonts w:ascii="Times New Roman" w:hAnsi="Times New Roman" w:cs="Times New Roman"/>
          <w:noProof/>
        </w:rPr>
        <w:sectPr w:rsidR="00327FF1" w:rsidSect="005F11B9">
          <w:headerReference w:type="even" r:id="rId260"/>
          <w:headerReference w:type="default" r:id="rId261"/>
          <w:footerReference w:type="even" r:id="rId262"/>
          <w:footerReference w:type="default" r:id="rId263"/>
          <w:headerReference w:type="first" r:id="rId264"/>
          <w:footerReference w:type="first" r:id="rId265"/>
          <w:pgSz w:w="11907" w:h="16839"/>
          <w:pgMar w:top="720" w:right="720" w:bottom="720" w:left="720" w:header="709" w:footer="709" w:gutter="0"/>
          <w:cols w:space="720"/>
          <w:docGrid w:linePitch="360"/>
        </w:sectPr>
      </w:pPr>
    </w:p>
    <w:p w14:paraId="7336A3EA" w14:textId="77777777" w:rsidR="00327FF1" w:rsidRDefault="00E406C7">
      <w:pPr>
        <w:pStyle w:val="P68B1DB1-Heading39"/>
        <w:ind w:left="850" w:hanging="850"/>
        <w:rPr>
          <w:b/>
          <w:bCs/>
          <w:i/>
          <w:iCs/>
          <w:noProof/>
        </w:rPr>
      </w:pPr>
      <w:r>
        <w:rPr>
          <w:b/>
          <w:noProof/>
        </w:rPr>
        <w:t xml:space="preserve">N.2. </w:t>
      </w:r>
      <w:r>
        <w:rPr>
          <w:noProof/>
        </w:rPr>
        <w:t xml:space="preserve"> </w:t>
      </w:r>
      <w:r>
        <w:rPr>
          <w:b/>
          <w:noProof/>
        </w:rPr>
        <w:t>Starpposma mērķi, mērķrādītāji, rādītāji un neatmaksājama finansiālā atbalsta uzraudzības un īstenošanas grafiks</w:t>
      </w:r>
    </w:p>
    <w:tbl>
      <w:tblPr>
        <w:tblW w:w="1576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7"/>
        <w:gridCol w:w="1772"/>
        <w:gridCol w:w="1775"/>
        <w:gridCol w:w="1559"/>
        <w:gridCol w:w="1560"/>
        <w:gridCol w:w="1201"/>
        <w:gridCol w:w="1420"/>
        <w:gridCol w:w="1201"/>
        <w:gridCol w:w="1018"/>
        <w:gridCol w:w="812"/>
        <w:gridCol w:w="3271"/>
      </w:tblGrid>
      <w:tr w:rsidR="00327FF1" w14:paraId="4DFB6C73" w14:textId="77777777">
        <w:trPr>
          <w:trHeight w:val="927"/>
          <w:tblHeader/>
        </w:trPr>
        <w:tc>
          <w:tcPr>
            <w:tcW w:w="1207" w:type="dxa"/>
            <w:vMerge w:val="restart"/>
            <w:shd w:val="clear" w:color="auto" w:fill="BDD7EE"/>
            <w:vAlign w:val="center"/>
            <w:hideMark/>
          </w:tcPr>
          <w:p w14:paraId="123B2E96" w14:textId="77777777" w:rsidR="00327FF1" w:rsidRDefault="00E406C7">
            <w:pPr>
              <w:pStyle w:val="P68B1DB1-Normal10"/>
              <w:jc w:val="center"/>
              <w:rPr>
                <w:noProof/>
                <w:szCs w:val="20"/>
              </w:rPr>
            </w:pPr>
            <w:r>
              <w:rPr>
                <w:noProof/>
              </w:rPr>
              <w:t>Kārtas numurs</w:t>
            </w:r>
          </w:p>
        </w:tc>
        <w:tc>
          <w:tcPr>
            <w:tcW w:w="1772" w:type="dxa"/>
            <w:vMerge w:val="restart"/>
            <w:shd w:val="clear" w:color="auto" w:fill="BDD7EE"/>
            <w:vAlign w:val="center"/>
            <w:hideMark/>
          </w:tcPr>
          <w:p w14:paraId="0376FD99" w14:textId="77777777" w:rsidR="00327FF1" w:rsidRDefault="00E406C7">
            <w:pPr>
              <w:pStyle w:val="P68B1DB1-Normal10"/>
              <w:jc w:val="center"/>
              <w:rPr>
                <w:noProof/>
                <w:szCs w:val="20"/>
              </w:rPr>
            </w:pPr>
            <w:r>
              <w:rPr>
                <w:noProof/>
              </w:rPr>
              <w:t>Saistītais</w:t>
            </w:r>
            <w:r>
              <w:rPr>
                <w:noProof/>
              </w:rPr>
              <w:t xml:space="preserve"> pasākums (reforma vai ieguldījums)</w:t>
            </w:r>
          </w:p>
        </w:tc>
        <w:tc>
          <w:tcPr>
            <w:tcW w:w="1412" w:type="dxa"/>
            <w:vMerge w:val="restart"/>
            <w:shd w:val="clear" w:color="auto" w:fill="BDD7EE"/>
            <w:vAlign w:val="center"/>
            <w:hideMark/>
          </w:tcPr>
          <w:p w14:paraId="06EB868A" w14:textId="77777777" w:rsidR="00327FF1" w:rsidRDefault="00E406C7">
            <w:pPr>
              <w:pStyle w:val="P68B1DB1-Normal10"/>
              <w:jc w:val="center"/>
              <w:rPr>
                <w:noProof/>
                <w:szCs w:val="20"/>
              </w:rPr>
            </w:pPr>
            <w:r>
              <w:rPr>
                <w:noProof/>
              </w:rPr>
              <w:t>Atskaites punkts/mērķrādītājs</w:t>
            </w:r>
          </w:p>
        </w:tc>
        <w:tc>
          <w:tcPr>
            <w:tcW w:w="1559" w:type="dxa"/>
            <w:vMerge w:val="restart"/>
            <w:shd w:val="clear" w:color="auto" w:fill="BDD7EE"/>
            <w:vAlign w:val="center"/>
            <w:hideMark/>
          </w:tcPr>
          <w:p w14:paraId="14951934" w14:textId="77777777" w:rsidR="00327FF1" w:rsidRDefault="00E406C7">
            <w:pPr>
              <w:pStyle w:val="P68B1DB1-Normal10"/>
              <w:jc w:val="center"/>
              <w:rPr>
                <w:noProof/>
                <w:szCs w:val="20"/>
              </w:rPr>
            </w:pPr>
            <w:r>
              <w:rPr>
                <w:noProof/>
              </w:rPr>
              <w:t>Nosaukums</w:t>
            </w:r>
          </w:p>
        </w:tc>
        <w:tc>
          <w:tcPr>
            <w:tcW w:w="1560" w:type="dxa"/>
            <w:vMerge w:val="restart"/>
            <w:shd w:val="clear" w:color="auto" w:fill="BDD7EE"/>
            <w:vAlign w:val="center"/>
            <w:hideMark/>
          </w:tcPr>
          <w:p w14:paraId="36F494CA" w14:textId="77777777"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3260" w:type="dxa"/>
            <w:gridSpan w:val="3"/>
            <w:shd w:val="clear" w:color="auto" w:fill="BDD7EE"/>
            <w:vAlign w:val="center"/>
            <w:hideMark/>
          </w:tcPr>
          <w:p w14:paraId="5FFCEC5D" w14:textId="77777777" w:rsidR="00327FF1" w:rsidRDefault="00E406C7">
            <w:pPr>
              <w:jc w:val="center"/>
              <w:rPr>
                <w:rFonts w:ascii="Arial Narrow" w:hAnsi="Arial Narrow"/>
                <w:b/>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728" w:type="dxa"/>
            <w:gridSpan w:val="2"/>
            <w:shd w:val="clear" w:color="auto" w:fill="BDD7EE"/>
            <w:vAlign w:val="center"/>
            <w:hideMark/>
          </w:tcPr>
          <w:p w14:paraId="0504839B" w14:textId="77777777" w:rsidR="00327FF1" w:rsidRDefault="00E406C7">
            <w:pPr>
              <w:pStyle w:val="P68B1DB1-Normal10"/>
              <w:jc w:val="center"/>
              <w:rPr>
                <w:noProof/>
                <w:szCs w:val="20"/>
              </w:rPr>
            </w:pPr>
            <w:r>
              <w:rPr>
                <w:noProof/>
              </w:rPr>
              <w:t>Orientējošs pabeigšanas termiņš</w:t>
            </w:r>
          </w:p>
        </w:tc>
        <w:tc>
          <w:tcPr>
            <w:tcW w:w="3271" w:type="dxa"/>
            <w:vMerge w:val="restart"/>
            <w:shd w:val="clear" w:color="auto" w:fill="BDD7EE"/>
            <w:vAlign w:val="center"/>
            <w:hideMark/>
          </w:tcPr>
          <w:p w14:paraId="1939804B" w14:textId="77777777" w:rsidR="00327FF1" w:rsidRDefault="00E406C7">
            <w:pPr>
              <w:pStyle w:val="P68B1DB1-Normal10"/>
              <w:jc w:val="center"/>
              <w:rPr>
                <w:noProof/>
                <w:szCs w:val="20"/>
              </w:rPr>
            </w:pPr>
            <w:r>
              <w:rPr>
                <w:noProof/>
              </w:rPr>
              <w:t>Apraksts par katru atskaites punktu un mērķrādītāju</w:t>
            </w:r>
          </w:p>
        </w:tc>
      </w:tr>
      <w:tr w:rsidR="00327FF1" w14:paraId="27677DB2" w14:textId="77777777">
        <w:trPr>
          <w:trHeight w:val="1013"/>
          <w:tblHeader/>
        </w:trPr>
        <w:tc>
          <w:tcPr>
            <w:tcW w:w="1207" w:type="dxa"/>
            <w:vMerge/>
            <w:vAlign w:val="center"/>
            <w:hideMark/>
          </w:tcPr>
          <w:p w14:paraId="417C6240" w14:textId="77777777" w:rsidR="00327FF1" w:rsidRDefault="00327FF1">
            <w:pPr>
              <w:jc w:val="center"/>
              <w:rPr>
                <w:rFonts w:ascii="Arial Narrow" w:hAnsi="Arial Narrow"/>
                <w:b/>
                <w:noProof/>
                <w:sz w:val="20"/>
                <w:szCs w:val="20"/>
              </w:rPr>
            </w:pPr>
          </w:p>
        </w:tc>
        <w:tc>
          <w:tcPr>
            <w:tcW w:w="1772" w:type="dxa"/>
            <w:vMerge/>
            <w:vAlign w:val="center"/>
            <w:hideMark/>
          </w:tcPr>
          <w:p w14:paraId="5BD20F5C" w14:textId="77777777" w:rsidR="00327FF1" w:rsidRDefault="00327FF1">
            <w:pPr>
              <w:jc w:val="center"/>
              <w:rPr>
                <w:rFonts w:ascii="Arial Narrow" w:hAnsi="Arial Narrow"/>
                <w:b/>
                <w:noProof/>
                <w:sz w:val="20"/>
                <w:szCs w:val="20"/>
              </w:rPr>
            </w:pPr>
          </w:p>
        </w:tc>
        <w:tc>
          <w:tcPr>
            <w:tcW w:w="1412" w:type="dxa"/>
            <w:vMerge/>
            <w:vAlign w:val="center"/>
            <w:hideMark/>
          </w:tcPr>
          <w:p w14:paraId="24A41BA8" w14:textId="77777777" w:rsidR="00327FF1" w:rsidRDefault="00327FF1">
            <w:pPr>
              <w:jc w:val="center"/>
              <w:rPr>
                <w:rFonts w:ascii="Arial Narrow" w:hAnsi="Arial Narrow"/>
                <w:b/>
                <w:noProof/>
                <w:sz w:val="20"/>
                <w:szCs w:val="20"/>
              </w:rPr>
            </w:pPr>
          </w:p>
        </w:tc>
        <w:tc>
          <w:tcPr>
            <w:tcW w:w="1559" w:type="dxa"/>
            <w:vMerge/>
            <w:vAlign w:val="center"/>
            <w:hideMark/>
          </w:tcPr>
          <w:p w14:paraId="46C5D0B3" w14:textId="77777777" w:rsidR="00327FF1" w:rsidRDefault="00327FF1">
            <w:pPr>
              <w:jc w:val="center"/>
              <w:rPr>
                <w:rFonts w:ascii="Arial Narrow" w:hAnsi="Arial Narrow"/>
                <w:b/>
                <w:noProof/>
                <w:sz w:val="20"/>
                <w:szCs w:val="20"/>
              </w:rPr>
            </w:pPr>
          </w:p>
        </w:tc>
        <w:tc>
          <w:tcPr>
            <w:tcW w:w="1560" w:type="dxa"/>
            <w:vMerge/>
            <w:vAlign w:val="center"/>
            <w:hideMark/>
          </w:tcPr>
          <w:p w14:paraId="2DE4469C" w14:textId="77777777" w:rsidR="00327FF1" w:rsidRDefault="00327FF1">
            <w:pPr>
              <w:jc w:val="center"/>
              <w:rPr>
                <w:rFonts w:ascii="Arial Narrow" w:hAnsi="Arial Narrow"/>
                <w:b/>
                <w:noProof/>
                <w:sz w:val="20"/>
                <w:szCs w:val="20"/>
              </w:rPr>
            </w:pPr>
          </w:p>
        </w:tc>
        <w:tc>
          <w:tcPr>
            <w:tcW w:w="1134" w:type="dxa"/>
            <w:shd w:val="clear" w:color="auto" w:fill="BDD7EE"/>
            <w:vAlign w:val="center"/>
            <w:hideMark/>
          </w:tcPr>
          <w:p w14:paraId="29759182" w14:textId="77777777" w:rsidR="00327FF1" w:rsidRDefault="00E406C7">
            <w:pPr>
              <w:pStyle w:val="P68B1DB1-Normal10"/>
              <w:jc w:val="center"/>
              <w:rPr>
                <w:noProof/>
                <w:szCs w:val="20"/>
              </w:rPr>
            </w:pPr>
            <w:r>
              <w:rPr>
                <w:noProof/>
              </w:rPr>
              <w:t>Mēra vienība</w:t>
            </w:r>
          </w:p>
        </w:tc>
        <w:tc>
          <w:tcPr>
            <w:tcW w:w="1134" w:type="dxa"/>
            <w:shd w:val="clear" w:color="auto" w:fill="BDD7EE"/>
            <w:vAlign w:val="center"/>
            <w:hideMark/>
          </w:tcPr>
          <w:p w14:paraId="1E5C02F8" w14:textId="77777777" w:rsidR="00327FF1" w:rsidRDefault="00E406C7">
            <w:pPr>
              <w:pStyle w:val="P68B1DB1-Normal10"/>
              <w:jc w:val="center"/>
              <w:rPr>
                <w:noProof/>
                <w:szCs w:val="20"/>
              </w:rPr>
            </w:pPr>
            <w:r>
              <w:rPr>
                <w:noProof/>
              </w:rPr>
              <w:t>Pamatscenārijs</w:t>
            </w:r>
          </w:p>
        </w:tc>
        <w:tc>
          <w:tcPr>
            <w:tcW w:w="992" w:type="dxa"/>
            <w:shd w:val="clear" w:color="auto" w:fill="BDD7EE"/>
            <w:vAlign w:val="center"/>
            <w:hideMark/>
          </w:tcPr>
          <w:p w14:paraId="4AEA964C" w14:textId="77777777" w:rsidR="00327FF1" w:rsidRDefault="00E406C7">
            <w:pPr>
              <w:pStyle w:val="P68B1DB1-Normal10"/>
              <w:jc w:val="center"/>
              <w:rPr>
                <w:noProof/>
                <w:szCs w:val="20"/>
              </w:rPr>
            </w:pPr>
            <w:r>
              <w:rPr>
                <w:noProof/>
              </w:rPr>
              <w:t>Mērķis</w:t>
            </w:r>
          </w:p>
        </w:tc>
        <w:tc>
          <w:tcPr>
            <w:tcW w:w="916" w:type="dxa"/>
            <w:shd w:val="clear" w:color="auto" w:fill="BDD7EE"/>
            <w:vAlign w:val="center"/>
            <w:hideMark/>
          </w:tcPr>
          <w:p w14:paraId="2494AFE9" w14:textId="77777777" w:rsidR="00327FF1" w:rsidRDefault="00E406C7">
            <w:pPr>
              <w:pStyle w:val="P68B1DB1-Normal10"/>
              <w:jc w:val="center"/>
              <w:rPr>
                <w:noProof/>
                <w:szCs w:val="20"/>
              </w:rPr>
            </w:pPr>
            <w:r>
              <w:rPr>
                <w:noProof/>
              </w:rPr>
              <w:t>Ceturkšņa laikā</w:t>
            </w:r>
          </w:p>
        </w:tc>
        <w:tc>
          <w:tcPr>
            <w:tcW w:w="812" w:type="dxa"/>
            <w:shd w:val="clear" w:color="auto" w:fill="BDD7EE"/>
            <w:vAlign w:val="center"/>
            <w:hideMark/>
          </w:tcPr>
          <w:p w14:paraId="772D505D" w14:textId="77777777" w:rsidR="00327FF1" w:rsidRDefault="00E406C7">
            <w:pPr>
              <w:pStyle w:val="P68B1DB1-Normal10"/>
              <w:jc w:val="center"/>
              <w:rPr>
                <w:noProof/>
                <w:szCs w:val="20"/>
              </w:rPr>
            </w:pPr>
            <w:r>
              <w:rPr>
                <w:noProof/>
              </w:rPr>
              <w:t>Gadu</w:t>
            </w:r>
          </w:p>
        </w:tc>
        <w:tc>
          <w:tcPr>
            <w:tcW w:w="3271" w:type="dxa"/>
            <w:vMerge/>
            <w:vAlign w:val="center"/>
            <w:hideMark/>
          </w:tcPr>
          <w:p w14:paraId="2070EE02" w14:textId="77777777" w:rsidR="00327FF1" w:rsidRDefault="00327FF1">
            <w:pPr>
              <w:jc w:val="center"/>
              <w:rPr>
                <w:rFonts w:ascii="Arial Narrow" w:hAnsi="Arial Narrow"/>
                <w:b/>
                <w:noProof/>
                <w:sz w:val="20"/>
                <w:szCs w:val="20"/>
              </w:rPr>
            </w:pPr>
          </w:p>
        </w:tc>
      </w:tr>
      <w:tr w:rsidR="00327FF1" w14:paraId="7567A1AC" w14:textId="77777777">
        <w:trPr>
          <w:trHeight w:val="309"/>
        </w:trPr>
        <w:tc>
          <w:tcPr>
            <w:tcW w:w="1207" w:type="dxa"/>
            <w:shd w:val="clear" w:color="auto" w:fill="C6EFCE"/>
            <w:noWrap/>
            <w:vAlign w:val="center"/>
            <w:hideMark/>
          </w:tcPr>
          <w:p w14:paraId="484DEDA1" w14:textId="77777777" w:rsidR="00327FF1" w:rsidRDefault="00E406C7">
            <w:pPr>
              <w:pStyle w:val="P68B1DB1-Normal11"/>
              <w:jc w:val="center"/>
              <w:rPr>
                <w:noProof/>
                <w:szCs w:val="20"/>
              </w:rPr>
            </w:pPr>
            <w:r>
              <w:rPr>
                <w:noProof/>
              </w:rPr>
              <w:t>M5C3–1</w:t>
            </w:r>
          </w:p>
        </w:tc>
        <w:tc>
          <w:tcPr>
            <w:tcW w:w="1772" w:type="dxa"/>
            <w:shd w:val="clear" w:color="auto" w:fill="C6EFCE"/>
            <w:noWrap/>
            <w:vAlign w:val="center"/>
            <w:hideMark/>
          </w:tcPr>
          <w:p w14:paraId="70A21CC4" w14:textId="77777777" w:rsidR="00327FF1" w:rsidRDefault="00E406C7">
            <w:pPr>
              <w:pStyle w:val="P68B1DB1-Normal11"/>
              <w:jc w:val="center"/>
              <w:rPr>
                <w:noProof/>
                <w:szCs w:val="20"/>
              </w:rPr>
            </w:pPr>
            <w:r>
              <w:rPr>
                <w:noProof/>
              </w:rPr>
              <w:t>Investīcija 1.1.1.: Iekšējās jomas — kopienas sociālo pakalpojumu un infrastruktūras uzlabošana</w:t>
            </w:r>
          </w:p>
        </w:tc>
        <w:tc>
          <w:tcPr>
            <w:tcW w:w="1412" w:type="dxa"/>
            <w:shd w:val="clear" w:color="auto" w:fill="C6EFCE"/>
            <w:noWrap/>
            <w:vAlign w:val="center"/>
            <w:hideMark/>
          </w:tcPr>
          <w:p w14:paraId="16367EE5" w14:textId="77777777" w:rsidR="00327FF1" w:rsidRDefault="00E406C7">
            <w:pPr>
              <w:pStyle w:val="P68B1DB1-Normal11"/>
              <w:jc w:val="center"/>
              <w:rPr>
                <w:noProof/>
                <w:szCs w:val="20"/>
              </w:rPr>
            </w:pPr>
            <w:r>
              <w:rPr>
                <w:noProof/>
              </w:rPr>
              <w:t>Atskaites punkts</w:t>
            </w:r>
          </w:p>
        </w:tc>
        <w:tc>
          <w:tcPr>
            <w:tcW w:w="1559" w:type="dxa"/>
            <w:shd w:val="clear" w:color="auto" w:fill="C6EFCE"/>
            <w:noWrap/>
            <w:vAlign w:val="center"/>
            <w:hideMark/>
          </w:tcPr>
          <w:p w14:paraId="43AEDC0D" w14:textId="77777777" w:rsidR="00327FF1" w:rsidRDefault="00E406C7">
            <w:pPr>
              <w:pStyle w:val="P68B1DB1-Normal11"/>
              <w:jc w:val="center"/>
              <w:rPr>
                <w:noProof/>
                <w:szCs w:val="20"/>
              </w:rPr>
            </w:pPr>
            <w:r>
              <w:rPr>
                <w:noProof/>
              </w:rPr>
              <w:t>Konkursa slēgšanas tiesību piešķiršana par intervencēm, kuru mērķis ir uzlabot</w:t>
            </w:r>
            <w:r>
              <w:rPr>
                <w:noProof/>
              </w:rPr>
              <w:t xml:space="preserve"> sociālos pakalpojumus un infrastruktūru iekšējās teritorijās, un par atbalstu aptiekām pašvaldībās, kurās ir mazāk nekā 3000 iedzīvotāju</w:t>
            </w:r>
          </w:p>
        </w:tc>
        <w:tc>
          <w:tcPr>
            <w:tcW w:w="1560" w:type="dxa"/>
            <w:shd w:val="clear" w:color="auto" w:fill="C6EFCE"/>
            <w:noWrap/>
            <w:vAlign w:val="center"/>
            <w:hideMark/>
          </w:tcPr>
          <w:p w14:paraId="263CB5CB" w14:textId="77777777" w:rsidR="00327FF1" w:rsidRDefault="00E406C7">
            <w:pPr>
              <w:pStyle w:val="P68B1DB1-Normal11"/>
              <w:jc w:val="center"/>
              <w:rPr>
                <w:noProof/>
                <w:szCs w:val="20"/>
              </w:rPr>
            </w:pPr>
            <w:r>
              <w:rPr>
                <w:noProof/>
              </w:rPr>
              <w:t>Paziņojums par visu intervences pasākumu publiskā iepirkuma līgumu slēgšanas tiesību piešķiršanu</w:t>
            </w:r>
          </w:p>
        </w:tc>
        <w:tc>
          <w:tcPr>
            <w:tcW w:w="1134" w:type="dxa"/>
            <w:shd w:val="clear" w:color="auto" w:fill="C6EFCE"/>
            <w:noWrap/>
            <w:vAlign w:val="center"/>
            <w:hideMark/>
          </w:tcPr>
          <w:p w14:paraId="0216E2C6"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hideMark/>
          </w:tcPr>
          <w:p w14:paraId="430677FB" w14:textId="77777777" w:rsidR="00327FF1" w:rsidRDefault="00E406C7">
            <w:pPr>
              <w:pStyle w:val="P68B1DB1-Normal11"/>
              <w:jc w:val="center"/>
              <w:rPr>
                <w:noProof/>
                <w:szCs w:val="20"/>
              </w:rPr>
            </w:pPr>
            <w:r>
              <w:rPr>
                <w:noProof/>
              </w:rPr>
              <w:t>NEPIEMĒRO</w:t>
            </w:r>
          </w:p>
        </w:tc>
        <w:tc>
          <w:tcPr>
            <w:tcW w:w="992" w:type="dxa"/>
            <w:shd w:val="clear" w:color="auto" w:fill="C6EFCE"/>
            <w:noWrap/>
            <w:vAlign w:val="center"/>
            <w:hideMark/>
          </w:tcPr>
          <w:p w14:paraId="6A35BEE9" w14:textId="77777777" w:rsidR="00327FF1" w:rsidRDefault="00E406C7">
            <w:pPr>
              <w:pStyle w:val="P68B1DB1-Normal11"/>
              <w:jc w:val="center"/>
              <w:rPr>
                <w:noProof/>
                <w:szCs w:val="20"/>
              </w:rPr>
            </w:pPr>
            <w:r>
              <w:rPr>
                <w:noProof/>
              </w:rPr>
              <w:t>N</w:t>
            </w:r>
            <w:r>
              <w:rPr>
                <w:noProof/>
              </w:rPr>
              <w:t>EPIEMĒRO</w:t>
            </w:r>
          </w:p>
        </w:tc>
        <w:tc>
          <w:tcPr>
            <w:tcW w:w="916" w:type="dxa"/>
            <w:shd w:val="clear" w:color="auto" w:fill="C6EFCE"/>
            <w:noWrap/>
            <w:vAlign w:val="center"/>
            <w:hideMark/>
          </w:tcPr>
          <w:p w14:paraId="2AE9E29D" w14:textId="77777777" w:rsidR="00327FF1" w:rsidRDefault="00E406C7">
            <w:pPr>
              <w:pStyle w:val="P68B1DB1-Normal11"/>
              <w:jc w:val="center"/>
              <w:rPr>
                <w:noProof/>
                <w:szCs w:val="20"/>
              </w:rPr>
            </w:pPr>
            <w:r>
              <w:rPr>
                <w:noProof/>
              </w:rPr>
              <w:t>4. CET.</w:t>
            </w:r>
          </w:p>
        </w:tc>
        <w:tc>
          <w:tcPr>
            <w:tcW w:w="812" w:type="dxa"/>
            <w:shd w:val="clear" w:color="auto" w:fill="C6EFCE"/>
            <w:noWrap/>
            <w:vAlign w:val="center"/>
            <w:hideMark/>
          </w:tcPr>
          <w:p w14:paraId="69A75F13" w14:textId="77777777" w:rsidR="00327FF1" w:rsidRDefault="00E406C7">
            <w:pPr>
              <w:pStyle w:val="P68B1DB1-Normal11"/>
              <w:jc w:val="center"/>
              <w:rPr>
                <w:noProof/>
                <w:szCs w:val="20"/>
              </w:rPr>
            </w:pPr>
            <w:r>
              <w:rPr>
                <w:noProof/>
              </w:rPr>
              <w:t>2022</w:t>
            </w:r>
          </w:p>
        </w:tc>
        <w:tc>
          <w:tcPr>
            <w:tcW w:w="3271" w:type="dxa"/>
            <w:shd w:val="clear" w:color="auto" w:fill="C6EFCE"/>
            <w:noWrap/>
            <w:vAlign w:val="center"/>
            <w:hideMark/>
          </w:tcPr>
          <w:p w14:paraId="54F74507" w14:textId="77777777" w:rsidR="00327FF1" w:rsidRDefault="00E406C7">
            <w:pPr>
              <w:pStyle w:val="P68B1DB1-Normal11"/>
              <w:rPr>
                <w:noProof/>
                <w:szCs w:val="20"/>
              </w:rPr>
            </w:pPr>
            <w:r>
              <w:rPr>
                <w:noProof/>
              </w:rPr>
              <w:t>Intervence rada jaunus pakalpojumus un infrastruktūru vai uzlabo esošās, palielinot saņēmēju skaitu vai piegādes kvalitāti.</w:t>
            </w:r>
          </w:p>
          <w:p w14:paraId="2D1FF150" w14:textId="77777777" w:rsidR="00327FF1" w:rsidRDefault="00E406C7">
            <w:pPr>
              <w:pStyle w:val="P68B1DB1-Normal11"/>
              <w:rPr>
                <w:noProof/>
                <w:szCs w:val="20"/>
              </w:rPr>
            </w:pPr>
            <w:r>
              <w:rPr>
                <w:noProof/>
              </w:rPr>
              <w:t>Visus konkursus izsludina ar darba uzdevumiem, tostarp atbilstības kritērijiem, kas nodrošina, ka atlasītie pr</w:t>
            </w:r>
            <w:r>
              <w:rPr>
                <w:noProof/>
              </w:rPr>
              <w:t>ojekti atbilst Tehniskajiem norādījumiem “nenodari būtisku kaitējumu” (2021/C58/01), izmantojot izslēgšanas sarakstu un prasību par atbilstību attiecīgajiem ES un valsts tiesību aktiem vides jomā.</w:t>
            </w:r>
          </w:p>
          <w:p w14:paraId="3D7966C0" w14:textId="77777777" w:rsidR="00327FF1" w:rsidRDefault="00E406C7">
            <w:pPr>
              <w:pStyle w:val="P68B1DB1-Normal11"/>
              <w:rPr>
                <w:noProof/>
                <w:szCs w:val="20"/>
              </w:rPr>
            </w:pPr>
            <w:r>
              <w:rPr>
                <w:noProof/>
              </w:rPr>
              <w:t xml:space="preserve">Iekšējie apgabali ir tie, kas noteikti Strategia Nazionale </w:t>
            </w:r>
            <w:r>
              <w:rPr>
                <w:noProof/>
              </w:rPr>
              <w:t>Aree Interne; Lauku aptiekas definē, pamatojoties uz likumu. 1968. gada 27. marts, Nr. 221.</w:t>
            </w:r>
          </w:p>
        </w:tc>
      </w:tr>
      <w:tr w:rsidR="00327FF1" w14:paraId="3A53744E" w14:textId="77777777">
        <w:trPr>
          <w:trHeight w:val="309"/>
        </w:trPr>
        <w:tc>
          <w:tcPr>
            <w:tcW w:w="1207" w:type="dxa"/>
            <w:shd w:val="clear" w:color="auto" w:fill="C6EFCE"/>
            <w:noWrap/>
            <w:vAlign w:val="center"/>
            <w:hideMark/>
          </w:tcPr>
          <w:p w14:paraId="23B24018" w14:textId="77777777" w:rsidR="00327FF1" w:rsidRDefault="00E406C7">
            <w:pPr>
              <w:pStyle w:val="P68B1DB1-Normal11"/>
              <w:jc w:val="center"/>
              <w:rPr>
                <w:noProof/>
                <w:szCs w:val="20"/>
              </w:rPr>
            </w:pPr>
            <w:r>
              <w:rPr>
                <w:noProof/>
              </w:rPr>
              <w:t>M5C3–3</w:t>
            </w:r>
          </w:p>
        </w:tc>
        <w:tc>
          <w:tcPr>
            <w:tcW w:w="1772" w:type="dxa"/>
            <w:shd w:val="clear" w:color="auto" w:fill="C6EFCE"/>
            <w:noWrap/>
            <w:vAlign w:val="center"/>
            <w:hideMark/>
          </w:tcPr>
          <w:p w14:paraId="08518EE5" w14:textId="77777777" w:rsidR="00327FF1" w:rsidRDefault="00E406C7">
            <w:pPr>
              <w:pStyle w:val="P68B1DB1-Normal11"/>
              <w:jc w:val="center"/>
              <w:rPr>
                <w:noProof/>
                <w:szCs w:val="20"/>
              </w:rPr>
            </w:pPr>
            <w:r>
              <w:rPr>
                <w:noProof/>
              </w:rPr>
              <w:t>Investīcija 1.1.2.: Teritoriālais tuvums veselības aprūpes iestādēm</w:t>
            </w:r>
          </w:p>
        </w:tc>
        <w:tc>
          <w:tcPr>
            <w:tcW w:w="1412" w:type="dxa"/>
            <w:shd w:val="clear" w:color="auto" w:fill="C6EFCE"/>
            <w:noWrap/>
            <w:vAlign w:val="center"/>
            <w:hideMark/>
          </w:tcPr>
          <w:p w14:paraId="3BE3A72E" w14:textId="77777777" w:rsidR="00327FF1" w:rsidRDefault="00E406C7">
            <w:pPr>
              <w:pStyle w:val="P68B1DB1-Normal11"/>
              <w:jc w:val="center"/>
              <w:rPr>
                <w:noProof/>
                <w:szCs w:val="20"/>
              </w:rPr>
            </w:pPr>
            <w:r>
              <w:rPr>
                <w:noProof/>
              </w:rPr>
              <w:t>Mērķa</w:t>
            </w:r>
          </w:p>
        </w:tc>
        <w:tc>
          <w:tcPr>
            <w:tcW w:w="1559" w:type="dxa"/>
            <w:shd w:val="clear" w:color="auto" w:fill="C6EFCE"/>
            <w:noWrap/>
            <w:vAlign w:val="center"/>
            <w:hideMark/>
          </w:tcPr>
          <w:p w14:paraId="27916E33" w14:textId="77777777" w:rsidR="00327FF1" w:rsidRDefault="00E406C7">
            <w:pPr>
              <w:pStyle w:val="P68B1DB1-Normal11"/>
              <w:jc w:val="center"/>
              <w:rPr>
                <w:noProof/>
                <w:szCs w:val="20"/>
              </w:rPr>
            </w:pPr>
            <w:r>
              <w:rPr>
                <w:noProof/>
              </w:rPr>
              <w:t xml:space="preserve">Atbalsts lauku aptiekām pašvaldībās, ciematos vai apdzīvotās vietās, kurās ir </w:t>
            </w:r>
            <w:r>
              <w:rPr>
                <w:noProof/>
              </w:rPr>
              <w:t>mazāk nekā 5000 iedzīvotāju (pirmā partija)</w:t>
            </w:r>
          </w:p>
        </w:tc>
        <w:tc>
          <w:tcPr>
            <w:tcW w:w="1560" w:type="dxa"/>
            <w:shd w:val="clear" w:color="auto" w:fill="C6EFCE"/>
            <w:noWrap/>
            <w:vAlign w:val="center"/>
            <w:hideMark/>
          </w:tcPr>
          <w:p w14:paraId="113D4FE1"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hideMark/>
          </w:tcPr>
          <w:p w14:paraId="782E2ACD" w14:textId="77777777" w:rsidR="00327FF1" w:rsidRDefault="00E406C7">
            <w:pPr>
              <w:pStyle w:val="P68B1DB1-Normal11"/>
              <w:jc w:val="center"/>
              <w:rPr>
                <w:noProof/>
                <w:szCs w:val="20"/>
              </w:rPr>
            </w:pPr>
            <w:r>
              <w:rPr>
                <w:noProof/>
              </w:rPr>
              <w:t>Skaits</w:t>
            </w:r>
          </w:p>
        </w:tc>
        <w:tc>
          <w:tcPr>
            <w:tcW w:w="1134" w:type="dxa"/>
            <w:shd w:val="clear" w:color="auto" w:fill="C6EFCE"/>
            <w:noWrap/>
            <w:vAlign w:val="center"/>
            <w:hideMark/>
          </w:tcPr>
          <w:p w14:paraId="1E2CDFEE" w14:textId="77777777" w:rsidR="00327FF1" w:rsidRDefault="00E406C7">
            <w:pPr>
              <w:pStyle w:val="P68B1DB1-Normal11"/>
              <w:jc w:val="center"/>
              <w:rPr>
                <w:noProof/>
                <w:szCs w:val="20"/>
              </w:rPr>
            </w:pPr>
            <w:r>
              <w:rPr>
                <w:noProof/>
              </w:rPr>
              <w:t>0</w:t>
            </w:r>
          </w:p>
        </w:tc>
        <w:tc>
          <w:tcPr>
            <w:tcW w:w="992" w:type="dxa"/>
            <w:shd w:val="clear" w:color="auto" w:fill="C6EFCE"/>
            <w:noWrap/>
            <w:vAlign w:val="center"/>
            <w:hideMark/>
          </w:tcPr>
          <w:p w14:paraId="3A975ED7" w14:textId="77777777" w:rsidR="00327FF1" w:rsidRDefault="00E406C7">
            <w:pPr>
              <w:pStyle w:val="P68B1DB1-Normal11"/>
              <w:jc w:val="center"/>
              <w:rPr>
                <w:noProof/>
                <w:szCs w:val="20"/>
              </w:rPr>
            </w:pPr>
            <w:r>
              <w:rPr>
                <w:noProof/>
              </w:rPr>
              <w:t>500</w:t>
            </w:r>
          </w:p>
        </w:tc>
        <w:tc>
          <w:tcPr>
            <w:tcW w:w="916" w:type="dxa"/>
            <w:shd w:val="clear" w:color="auto" w:fill="C6EFCE"/>
            <w:noWrap/>
            <w:vAlign w:val="center"/>
            <w:hideMark/>
          </w:tcPr>
          <w:p w14:paraId="5C1E2C7B" w14:textId="77777777" w:rsidR="00327FF1" w:rsidRDefault="00E406C7">
            <w:pPr>
              <w:pStyle w:val="P68B1DB1-Normal11"/>
              <w:jc w:val="center"/>
              <w:rPr>
                <w:noProof/>
                <w:szCs w:val="20"/>
              </w:rPr>
            </w:pPr>
            <w:r>
              <w:rPr>
                <w:noProof/>
              </w:rPr>
              <w:t>4. CET.</w:t>
            </w:r>
          </w:p>
        </w:tc>
        <w:tc>
          <w:tcPr>
            <w:tcW w:w="812" w:type="dxa"/>
            <w:shd w:val="clear" w:color="auto" w:fill="C6EFCE"/>
            <w:noWrap/>
            <w:vAlign w:val="center"/>
            <w:hideMark/>
          </w:tcPr>
          <w:p w14:paraId="0C9D4460" w14:textId="77777777" w:rsidR="00327FF1" w:rsidRDefault="00E406C7">
            <w:pPr>
              <w:pStyle w:val="P68B1DB1-Normal11"/>
              <w:jc w:val="center"/>
              <w:rPr>
                <w:noProof/>
                <w:szCs w:val="20"/>
              </w:rPr>
            </w:pPr>
            <w:r>
              <w:rPr>
                <w:noProof/>
              </w:rPr>
              <w:t>2023</w:t>
            </w:r>
          </w:p>
        </w:tc>
        <w:tc>
          <w:tcPr>
            <w:tcW w:w="3271" w:type="dxa"/>
            <w:shd w:val="clear" w:color="auto" w:fill="C6EFCE"/>
            <w:noWrap/>
            <w:vAlign w:val="center"/>
            <w:hideMark/>
          </w:tcPr>
          <w:p w14:paraId="0854DA9D" w14:textId="77777777" w:rsidR="00327FF1" w:rsidRDefault="00E406C7">
            <w:pPr>
              <w:rPr>
                <w:rFonts w:ascii="Arial Narrow" w:hAnsi="Arial Narrow"/>
                <w:noProof/>
                <w:color w:val="006100"/>
                <w:sz w:val="20"/>
                <w:szCs w:val="20"/>
              </w:rPr>
            </w:pPr>
            <w:r>
              <w:rPr>
                <w:rFonts w:ascii="Arial Narrow" w:hAnsi="Arial Narrow"/>
                <w:noProof/>
                <w:color w:val="006100"/>
                <w:sz w:val="20"/>
              </w:rPr>
              <w:t>No intervences gūst labumu vismaz 500 lauku aptiekas pašvaldībās, hameletos vai apdzīvotās vietās, kurās ir mazāk nekā 5000 iedzīvotāju.</w:t>
            </w:r>
          </w:p>
        </w:tc>
      </w:tr>
      <w:tr w:rsidR="00327FF1" w14:paraId="2CEE913C" w14:textId="77777777">
        <w:trPr>
          <w:trHeight w:val="309"/>
        </w:trPr>
        <w:tc>
          <w:tcPr>
            <w:tcW w:w="1207" w:type="dxa"/>
            <w:shd w:val="clear" w:color="auto" w:fill="C6EFCE"/>
            <w:noWrap/>
            <w:vAlign w:val="center"/>
            <w:hideMark/>
          </w:tcPr>
          <w:p w14:paraId="2EA1A1D0" w14:textId="77777777" w:rsidR="00327FF1" w:rsidRDefault="00E406C7">
            <w:pPr>
              <w:pStyle w:val="P68B1DB1-Normal11"/>
              <w:jc w:val="center"/>
              <w:rPr>
                <w:noProof/>
                <w:szCs w:val="20"/>
              </w:rPr>
            </w:pPr>
            <w:r>
              <w:rPr>
                <w:noProof/>
              </w:rPr>
              <w:t>M5C3–4</w:t>
            </w:r>
          </w:p>
        </w:tc>
        <w:tc>
          <w:tcPr>
            <w:tcW w:w="1772" w:type="dxa"/>
            <w:shd w:val="clear" w:color="auto" w:fill="C6EFCE"/>
            <w:noWrap/>
            <w:vAlign w:val="center"/>
            <w:hideMark/>
          </w:tcPr>
          <w:p w14:paraId="09C97B5D" w14:textId="77777777" w:rsidR="00327FF1" w:rsidRDefault="00E406C7">
            <w:pPr>
              <w:pStyle w:val="P68B1DB1-Normal11"/>
              <w:jc w:val="center"/>
              <w:rPr>
                <w:noProof/>
                <w:szCs w:val="20"/>
              </w:rPr>
            </w:pPr>
            <w:r>
              <w:rPr>
                <w:noProof/>
              </w:rPr>
              <w:t xml:space="preserve">Investīcija 1.1.2.: </w:t>
            </w:r>
            <w:r>
              <w:rPr>
                <w:noProof/>
              </w:rPr>
              <w:t>Teritoriālais tuvums veselības aprūpes iestādēm</w:t>
            </w:r>
          </w:p>
        </w:tc>
        <w:tc>
          <w:tcPr>
            <w:tcW w:w="1412" w:type="dxa"/>
            <w:shd w:val="clear" w:color="auto" w:fill="C6EFCE"/>
            <w:noWrap/>
            <w:vAlign w:val="center"/>
            <w:hideMark/>
          </w:tcPr>
          <w:p w14:paraId="118E4740" w14:textId="77777777" w:rsidR="00327FF1" w:rsidRDefault="00E406C7">
            <w:pPr>
              <w:pStyle w:val="P68B1DB1-Normal12"/>
              <w:jc w:val="center"/>
              <w:rPr>
                <w:noProof/>
              </w:rPr>
            </w:pPr>
            <w:r>
              <w:rPr>
                <w:noProof/>
              </w:rPr>
              <w:t>Atskaites punkts</w:t>
            </w:r>
          </w:p>
        </w:tc>
        <w:tc>
          <w:tcPr>
            <w:tcW w:w="1559" w:type="dxa"/>
            <w:shd w:val="clear" w:color="auto" w:fill="C6EFCE"/>
            <w:noWrap/>
            <w:vAlign w:val="center"/>
            <w:hideMark/>
          </w:tcPr>
          <w:p w14:paraId="1A501906" w14:textId="77777777" w:rsidR="00327FF1" w:rsidRDefault="00E406C7">
            <w:pPr>
              <w:pStyle w:val="P68B1DB1-Normal12"/>
              <w:jc w:val="center"/>
              <w:rPr>
                <w:noProof/>
              </w:rPr>
            </w:pPr>
            <w:r>
              <w:rPr>
                <w:noProof/>
              </w:rPr>
              <w:t>Atbalsts lauku aptiekām pašvaldībās, ciematos vai apdzīvotās vietās, kurās ir mazāk nekā 5000 iedzīvotāju (otrā partija)</w:t>
            </w:r>
          </w:p>
        </w:tc>
        <w:tc>
          <w:tcPr>
            <w:tcW w:w="1560" w:type="dxa"/>
            <w:shd w:val="clear" w:color="auto" w:fill="C6EFCE"/>
            <w:noWrap/>
            <w:vAlign w:val="center"/>
            <w:hideMark/>
          </w:tcPr>
          <w:p w14:paraId="0DDCCC8E" w14:textId="4BEB445E" w:rsidR="00327FF1" w:rsidRDefault="00E406C7">
            <w:pPr>
              <w:pStyle w:val="P68B1DB1-Normal11"/>
              <w:jc w:val="center"/>
              <w:rPr>
                <w:noProof/>
                <w:szCs w:val="20"/>
              </w:rPr>
            </w:pPr>
            <w:r>
              <w:rPr>
                <w:noProof/>
              </w:rPr>
              <w:t>Tādu dekrētu pieņemšana, ar kuriem atļauj galīgo izmaksu</w:t>
            </w:r>
          </w:p>
        </w:tc>
        <w:tc>
          <w:tcPr>
            <w:tcW w:w="1134" w:type="dxa"/>
            <w:shd w:val="clear" w:color="auto" w:fill="C6EFCE"/>
            <w:noWrap/>
            <w:vAlign w:val="center"/>
            <w:hideMark/>
          </w:tcPr>
          <w:p w14:paraId="6AA0211A" w14:textId="77777777" w:rsidR="00327FF1" w:rsidRDefault="00E406C7">
            <w:pPr>
              <w:pStyle w:val="P68B1DB1-Normal12"/>
              <w:jc w:val="center"/>
              <w:rPr>
                <w:noProof/>
              </w:rPr>
            </w:pPr>
            <w:r>
              <w:rPr>
                <w:noProof/>
              </w:rPr>
              <w:t>NEPIEMĒRO</w:t>
            </w:r>
          </w:p>
        </w:tc>
        <w:tc>
          <w:tcPr>
            <w:tcW w:w="1134" w:type="dxa"/>
            <w:shd w:val="clear" w:color="auto" w:fill="C6EFCE"/>
            <w:noWrap/>
            <w:vAlign w:val="center"/>
            <w:hideMark/>
          </w:tcPr>
          <w:p w14:paraId="1C22C128" w14:textId="77777777" w:rsidR="00327FF1" w:rsidRDefault="00E406C7">
            <w:pPr>
              <w:pStyle w:val="P68B1DB1-Normal12"/>
              <w:jc w:val="center"/>
              <w:rPr>
                <w:noProof/>
              </w:rPr>
            </w:pPr>
            <w:r>
              <w:rPr>
                <w:noProof/>
              </w:rPr>
              <w:t>NEPIEMĒRO</w:t>
            </w:r>
          </w:p>
        </w:tc>
        <w:tc>
          <w:tcPr>
            <w:tcW w:w="992" w:type="dxa"/>
            <w:shd w:val="clear" w:color="auto" w:fill="C6EFCE"/>
            <w:noWrap/>
            <w:vAlign w:val="center"/>
            <w:hideMark/>
          </w:tcPr>
          <w:p w14:paraId="7C58E5C8" w14:textId="77777777" w:rsidR="00327FF1" w:rsidRDefault="00E406C7">
            <w:pPr>
              <w:pStyle w:val="P68B1DB1-Normal12"/>
              <w:jc w:val="center"/>
              <w:rPr>
                <w:noProof/>
              </w:rPr>
            </w:pPr>
            <w:r>
              <w:rPr>
                <w:noProof/>
              </w:rPr>
              <w:t>NEPIEMĒRO</w:t>
            </w:r>
          </w:p>
        </w:tc>
        <w:tc>
          <w:tcPr>
            <w:tcW w:w="916" w:type="dxa"/>
            <w:shd w:val="clear" w:color="auto" w:fill="C6EFCE"/>
            <w:noWrap/>
            <w:vAlign w:val="center"/>
            <w:hideMark/>
          </w:tcPr>
          <w:p w14:paraId="79742A15" w14:textId="77777777" w:rsidR="00327FF1" w:rsidRDefault="00E406C7">
            <w:pPr>
              <w:pStyle w:val="P68B1DB1-Normal11"/>
              <w:jc w:val="center"/>
              <w:rPr>
                <w:noProof/>
                <w:szCs w:val="20"/>
              </w:rPr>
            </w:pPr>
            <w:r>
              <w:rPr>
                <w:noProof/>
              </w:rPr>
              <w:t>2. CET.</w:t>
            </w:r>
          </w:p>
        </w:tc>
        <w:tc>
          <w:tcPr>
            <w:tcW w:w="812" w:type="dxa"/>
            <w:shd w:val="clear" w:color="auto" w:fill="C6EFCE"/>
            <w:noWrap/>
            <w:vAlign w:val="center"/>
            <w:hideMark/>
          </w:tcPr>
          <w:p w14:paraId="787F4E5A" w14:textId="77777777" w:rsidR="00327FF1" w:rsidRDefault="00E406C7">
            <w:pPr>
              <w:pStyle w:val="P68B1DB1-Normal11"/>
              <w:jc w:val="center"/>
              <w:rPr>
                <w:noProof/>
                <w:szCs w:val="20"/>
              </w:rPr>
            </w:pPr>
            <w:r>
              <w:rPr>
                <w:noProof/>
              </w:rPr>
              <w:t>2026</w:t>
            </w:r>
          </w:p>
        </w:tc>
        <w:tc>
          <w:tcPr>
            <w:tcW w:w="3271" w:type="dxa"/>
            <w:shd w:val="clear" w:color="auto" w:fill="C6EFCE"/>
            <w:noWrap/>
            <w:vAlign w:val="center"/>
            <w:hideMark/>
          </w:tcPr>
          <w:p w14:paraId="46EDD419" w14:textId="21C88792" w:rsidR="00327FF1" w:rsidRDefault="00E406C7">
            <w:pPr>
              <w:rPr>
                <w:rFonts w:ascii="Arial Narrow" w:hAnsi="Arial Narrow"/>
                <w:noProof/>
                <w:color w:val="006100"/>
                <w:sz w:val="20"/>
                <w:szCs w:val="20"/>
              </w:rPr>
            </w:pPr>
            <w:r>
              <w:rPr>
                <w:rFonts w:ascii="Arial Narrow" w:hAnsi="Arial Narrow"/>
                <w:noProof/>
                <w:color w:val="006100"/>
                <w:sz w:val="20"/>
                <w:szCs w:val="20"/>
              </w:rPr>
              <w:t>Dekrēti, ar ko atļauj galīgo izmaksu vismaz 1500 lauku aptiekām pašvaldībās, ciematos vai apdzīvotās vietās, kurās ir mazāk nekā 5000</w:t>
            </w:r>
            <w:r>
              <w:rPr>
                <w:noProof/>
                <w:sz w:val="23"/>
                <w:szCs w:val="23"/>
              </w:rPr>
              <w:t xml:space="preserve"> iedzīvotāju. </w:t>
            </w:r>
          </w:p>
        </w:tc>
      </w:tr>
      <w:tr w:rsidR="00327FF1" w14:paraId="3E088823" w14:textId="77777777">
        <w:trPr>
          <w:trHeight w:val="309"/>
        </w:trPr>
        <w:tc>
          <w:tcPr>
            <w:tcW w:w="1207" w:type="dxa"/>
            <w:shd w:val="clear" w:color="auto" w:fill="C6EFCE"/>
            <w:noWrap/>
            <w:vAlign w:val="center"/>
          </w:tcPr>
          <w:p w14:paraId="57466F94" w14:textId="77777777" w:rsidR="00327FF1" w:rsidRDefault="00E406C7">
            <w:pPr>
              <w:pStyle w:val="P68B1DB1-Normal11"/>
              <w:jc w:val="center"/>
              <w:rPr>
                <w:noProof/>
                <w:szCs w:val="20"/>
              </w:rPr>
            </w:pPr>
            <w:r>
              <w:rPr>
                <w:noProof/>
              </w:rPr>
              <w:t>M5C3–8</w:t>
            </w:r>
          </w:p>
        </w:tc>
        <w:tc>
          <w:tcPr>
            <w:tcW w:w="1772" w:type="dxa"/>
            <w:shd w:val="clear" w:color="auto" w:fill="C6EFCE"/>
            <w:noWrap/>
            <w:vAlign w:val="center"/>
          </w:tcPr>
          <w:p w14:paraId="4433773A" w14:textId="77777777" w:rsidR="00327FF1" w:rsidRDefault="00E406C7">
            <w:pPr>
              <w:pStyle w:val="P68B1DB1-Normal11"/>
              <w:jc w:val="center"/>
              <w:rPr>
                <w:noProof/>
                <w:szCs w:val="20"/>
              </w:rPr>
            </w:pPr>
            <w:r>
              <w:rPr>
                <w:noProof/>
              </w:rPr>
              <w:t xml:space="preserve">Investīcija Nr. 1.3. Strukturēti sociāli izglītojoši pasākumi, lai </w:t>
            </w:r>
            <w:r>
              <w:rPr>
                <w:noProof/>
              </w:rPr>
              <w:t>cīnītos pret izglītības trūkumu dienvidos, atbalstot trešo nozari</w:t>
            </w:r>
          </w:p>
        </w:tc>
        <w:tc>
          <w:tcPr>
            <w:tcW w:w="1412" w:type="dxa"/>
            <w:shd w:val="clear" w:color="auto" w:fill="C6EFCE"/>
            <w:noWrap/>
            <w:vAlign w:val="center"/>
          </w:tcPr>
          <w:p w14:paraId="0571CC95" w14:textId="77777777" w:rsidR="00327FF1" w:rsidRDefault="00E406C7">
            <w:pPr>
              <w:pStyle w:val="P68B1DB1-Normal11"/>
              <w:jc w:val="center"/>
              <w:rPr>
                <w:noProof/>
                <w:szCs w:val="20"/>
              </w:rPr>
            </w:pPr>
            <w:r>
              <w:rPr>
                <w:noProof/>
              </w:rPr>
              <w:t>Mērķa</w:t>
            </w:r>
          </w:p>
        </w:tc>
        <w:tc>
          <w:tcPr>
            <w:tcW w:w="1559" w:type="dxa"/>
            <w:shd w:val="clear" w:color="auto" w:fill="C6EFCE"/>
            <w:noWrap/>
            <w:vAlign w:val="center"/>
          </w:tcPr>
          <w:p w14:paraId="79C221CE" w14:textId="77777777" w:rsidR="00327FF1" w:rsidRDefault="00E406C7">
            <w:pPr>
              <w:pStyle w:val="P68B1DB1-Normal11"/>
              <w:jc w:val="center"/>
              <w:rPr>
                <w:noProof/>
                <w:szCs w:val="20"/>
              </w:rPr>
            </w:pPr>
            <w:r>
              <w:rPr>
                <w:noProof/>
              </w:rPr>
              <w:t>Izglītības atbalsts nepilngadīgajiem (pirmā daļa)</w:t>
            </w:r>
          </w:p>
        </w:tc>
        <w:tc>
          <w:tcPr>
            <w:tcW w:w="1560" w:type="dxa"/>
            <w:shd w:val="clear" w:color="auto" w:fill="C6EFCE"/>
            <w:noWrap/>
            <w:vAlign w:val="center"/>
          </w:tcPr>
          <w:p w14:paraId="2797C616"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0497035A" w14:textId="77777777" w:rsidR="00327FF1" w:rsidRDefault="00E406C7">
            <w:pPr>
              <w:pStyle w:val="P68B1DB1-Normal11"/>
              <w:jc w:val="center"/>
              <w:rPr>
                <w:noProof/>
                <w:szCs w:val="20"/>
              </w:rPr>
            </w:pPr>
            <w:r>
              <w:rPr>
                <w:noProof/>
              </w:rPr>
              <w:t>Skaits</w:t>
            </w:r>
          </w:p>
        </w:tc>
        <w:tc>
          <w:tcPr>
            <w:tcW w:w="1134" w:type="dxa"/>
            <w:shd w:val="clear" w:color="auto" w:fill="C6EFCE"/>
            <w:noWrap/>
            <w:vAlign w:val="center"/>
          </w:tcPr>
          <w:p w14:paraId="30684081" w14:textId="77777777" w:rsidR="00327FF1" w:rsidRDefault="00E406C7">
            <w:pPr>
              <w:pStyle w:val="P68B1DB1-Normal11"/>
              <w:jc w:val="center"/>
              <w:rPr>
                <w:noProof/>
                <w:szCs w:val="20"/>
              </w:rPr>
            </w:pPr>
            <w:r>
              <w:rPr>
                <w:noProof/>
              </w:rPr>
              <w:t>0</w:t>
            </w:r>
          </w:p>
        </w:tc>
        <w:tc>
          <w:tcPr>
            <w:tcW w:w="992" w:type="dxa"/>
            <w:shd w:val="clear" w:color="auto" w:fill="C6EFCE"/>
            <w:noWrap/>
            <w:vAlign w:val="center"/>
          </w:tcPr>
          <w:p w14:paraId="2A7F602B"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20</w:t>
            </w:r>
            <w:r>
              <w:rPr>
                <w:noProof/>
                <w:sz w:val="23"/>
                <w:szCs w:val="23"/>
              </w:rPr>
              <w:t xml:space="preserve"> </w:t>
            </w:r>
            <w:r>
              <w:rPr>
                <w:rFonts w:ascii="Arial Narrow" w:hAnsi="Arial Narrow"/>
                <w:noProof/>
                <w:color w:val="006100"/>
                <w:sz w:val="20"/>
              </w:rPr>
              <w:t>000</w:t>
            </w:r>
          </w:p>
        </w:tc>
        <w:tc>
          <w:tcPr>
            <w:tcW w:w="916" w:type="dxa"/>
            <w:shd w:val="clear" w:color="auto" w:fill="C6EFCE"/>
            <w:noWrap/>
            <w:vAlign w:val="center"/>
          </w:tcPr>
          <w:p w14:paraId="73991A26" w14:textId="77777777" w:rsidR="00327FF1" w:rsidRDefault="00E406C7">
            <w:pPr>
              <w:pStyle w:val="P68B1DB1-Normal11"/>
              <w:jc w:val="center"/>
              <w:rPr>
                <w:noProof/>
                <w:szCs w:val="20"/>
              </w:rPr>
            </w:pPr>
            <w:r>
              <w:rPr>
                <w:noProof/>
              </w:rPr>
              <w:t>2. CET.</w:t>
            </w:r>
          </w:p>
        </w:tc>
        <w:tc>
          <w:tcPr>
            <w:tcW w:w="812" w:type="dxa"/>
            <w:shd w:val="clear" w:color="auto" w:fill="C6EFCE"/>
            <w:noWrap/>
            <w:vAlign w:val="center"/>
          </w:tcPr>
          <w:p w14:paraId="538D1D6A" w14:textId="77777777" w:rsidR="00327FF1" w:rsidRDefault="00E406C7">
            <w:pPr>
              <w:pStyle w:val="P68B1DB1-Normal11"/>
              <w:jc w:val="center"/>
              <w:rPr>
                <w:noProof/>
                <w:szCs w:val="20"/>
              </w:rPr>
            </w:pPr>
            <w:r>
              <w:rPr>
                <w:noProof/>
              </w:rPr>
              <w:t>2023</w:t>
            </w:r>
          </w:p>
        </w:tc>
        <w:tc>
          <w:tcPr>
            <w:tcW w:w="3271" w:type="dxa"/>
            <w:shd w:val="clear" w:color="auto" w:fill="C6EFCE"/>
            <w:noWrap/>
            <w:vAlign w:val="center"/>
          </w:tcPr>
          <w:p w14:paraId="67AE3DDA" w14:textId="77777777" w:rsidR="00327FF1" w:rsidRDefault="00E406C7">
            <w:pPr>
              <w:rPr>
                <w:rFonts w:ascii="Arial Narrow" w:hAnsi="Arial Narrow"/>
                <w:noProof/>
                <w:color w:val="006100"/>
                <w:sz w:val="20"/>
                <w:szCs w:val="20"/>
              </w:rPr>
            </w:pPr>
            <w:r>
              <w:rPr>
                <w:rFonts w:ascii="Arial Narrow" w:hAnsi="Arial Narrow"/>
                <w:noProof/>
                <w:color w:val="006100"/>
                <w:sz w:val="20"/>
              </w:rPr>
              <w:t>Izglītības atbalstu saņem vismaz 20000</w:t>
            </w:r>
            <w:r>
              <w:rPr>
                <w:noProof/>
                <w:sz w:val="23"/>
                <w:szCs w:val="23"/>
              </w:rPr>
              <w:t xml:space="preserve"> </w:t>
            </w:r>
            <w:r>
              <w:rPr>
                <w:rFonts w:ascii="Arial Narrow" w:hAnsi="Arial Narrow"/>
                <w:noProof/>
                <w:color w:val="006100"/>
                <w:sz w:val="20"/>
              </w:rPr>
              <w:t xml:space="preserve">nepilngadīgo vecumā līdz 17 gadiem. Izglītības atbalsta projekti ir vērsti uz kādu no šīm jomām: </w:t>
            </w:r>
          </w:p>
          <w:p w14:paraId="2287C5F0" w14:textId="77777777" w:rsidR="00327FF1" w:rsidRDefault="00E406C7">
            <w:pPr>
              <w:pStyle w:val="P68B1DB1-Normal11"/>
              <w:rPr>
                <w:noProof/>
                <w:szCs w:val="20"/>
              </w:rPr>
            </w:pPr>
            <w:r>
              <w:rPr>
                <w:noProof/>
              </w:rPr>
              <w:t>• Intervences pasākumi bērniem vecumā no nulles līdz sešiem gadiem, kuru mērķis ir uzlabot nosacījumus attiecībā uz piekļuvi bērnudārzu un bērnudārzu pakalpoj</w:t>
            </w:r>
            <w:r>
              <w:rPr>
                <w:noProof/>
              </w:rPr>
              <w:t xml:space="preserve">umiem un atbalstīt vecāku stāvokli; </w:t>
            </w:r>
          </w:p>
          <w:p w14:paraId="4DC157B0" w14:textId="77777777" w:rsidR="00327FF1" w:rsidRDefault="00E406C7">
            <w:pPr>
              <w:pStyle w:val="P68B1DB1-Normal11"/>
              <w:rPr>
                <w:noProof/>
                <w:szCs w:val="20"/>
              </w:rPr>
            </w:pPr>
            <w:r>
              <w:rPr>
                <w:noProof/>
              </w:rPr>
              <w:t xml:space="preserve">• Intervences pasākumi bērniem vecumā no pieciem līdz desmit gadiem, kuru mērķis ir garantēt efektīvas izglītības iespējas un laikus novērst mācību pārtraukšanu, iebiedēšanu un citas stresa parādības; </w:t>
            </w:r>
          </w:p>
          <w:p w14:paraId="0D4DCA11" w14:textId="77777777" w:rsidR="00327FF1" w:rsidRDefault="00E406C7">
            <w:pPr>
              <w:pStyle w:val="P68B1DB1-Normal11"/>
              <w:rPr>
                <w:noProof/>
                <w:szCs w:val="20"/>
              </w:rPr>
            </w:pPr>
            <w:r>
              <w:rPr>
                <w:noProof/>
              </w:rPr>
              <w:t>• Intervences pas</w:t>
            </w:r>
            <w:r>
              <w:rPr>
                <w:noProof/>
              </w:rPr>
              <w:t>ākumi bērniem vecumā no 11 līdz 17 gadiem, kuru mērķis ir uzlabot izglītības piedāvājumu un novērst priekšlaicīgu mācību pārtraukšanu.</w:t>
            </w:r>
          </w:p>
          <w:p w14:paraId="7C4D9A74" w14:textId="77777777" w:rsidR="00327FF1" w:rsidRDefault="00E406C7">
            <w:pPr>
              <w:pStyle w:val="P68B1DB1-Normal11"/>
              <w:rPr>
                <w:noProof/>
              </w:rPr>
            </w:pPr>
            <w:r>
              <w:rPr>
                <w:noProof/>
              </w:rPr>
              <w:t>Piedāvājuma galvenie elementi:</w:t>
            </w:r>
          </w:p>
          <w:p w14:paraId="482B61C1" w14:textId="52A8D600" w:rsidR="00327FF1" w:rsidRDefault="00E406C7">
            <w:pPr>
              <w:rPr>
                <w:rFonts w:ascii="Arial Narrow" w:hAnsi="Arial Narrow"/>
                <w:noProof/>
                <w:color w:val="006100"/>
                <w:sz w:val="20"/>
              </w:rPr>
            </w:pPr>
            <w:r>
              <w:rPr>
                <w:rFonts w:ascii="Arial Narrow" w:hAnsi="Arial Narrow"/>
                <w:noProof/>
                <w:color w:val="006100"/>
                <w:sz w:val="20"/>
              </w:rPr>
              <w:t xml:space="preserve"> Publisko paziņojumu summa ir vismaz EUR</w:t>
            </w:r>
            <w:r>
              <w:rPr>
                <w:noProof/>
                <w:sz w:val="23"/>
                <w:szCs w:val="23"/>
              </w:rPr>
              <w:t xml:space="preserve"> </w:t>
            </w:r>
            <w:r>
              <w:rPr>
                <w:rFonts w:ascii="Arial Narrow" w:hAnsi="Arial Narrow"/>
                <w:noProof/>
                <w:color w:val="006100"/>
                <w:sz w:val="20"/>
              </w:rPr>
              <w:t>50000000</w:t>
            </w:r>
            <w:r>
              <w:rPr>
                <w:noProof/>
                <w:sz w:val="23"/>
                <w:szCs w:val="23"/>
              </w:rPr>
              <w:t xml:space="preserve"> </w:t>
            </w:r>
            <w:r>
              <w:rPr>
                <w:rFonts w:ascii="Arial Narrow" w:hAnsi="Arial Narrow"/>
                <w:noProof/>
                <w:color w:val="006100"/>
                <w:sz w:val="20"/>
              </w:rPr>
              <w:t xml:space="preserve">katram </w:t>
            </w:r>
            <w:r>
              <w:rPr>
                <w:noProof/>
              </w:rPr>
              <w:t xml:space="preserve"> </w:t>
            </w:r>
            <w:r>
              <w:rPr>
                <w:noProof/>
              </w:rPr>
              <w:br/>
            </w:r>
            <w:r>
              <w:rPr>
                <w:rFonts w:ascii="Arial Narrow" w:hAnsi="Arial Narrow"/>
                <w:noProof/>
                <w:color w:val="006100"/>
                <w:sz w:val="20"/>
              </w:rPr>
              <w:t>— Trešā sektora struktūru proje</w:t>
            </w:r>
            <w:r>
              <w:rPr>
                <w:rFonts w:ascii="Arial Narrow" w:hAnsi="Arial Narrow"/>
                <w:noProof/>
                <w:color w:val="006100"/>
                <w:sz w:val="20"/>
              </w:rPr>
              <w:t>kti ilgst vismaz vienu gadu un ne vairāk kā divus gadus.</w:t>
            </w:r>
          </w:p>
          <w:p w14:paraId="43520EA4" w14:textId="77777777" w:rsidR="00327FF1" w:rsidRDefault="00E406C7">
            <w:pPr>
              <w:pStyle w:val="P68B1DB1-Normal11"/>
              <w:rPr>
                <w:noProof/>
                <w:szCs w:val="20"/>
              </w:rPr>
            </w:pPr>
            <w:r>
              <w:rPr>
                <w:noProof/>
              </w:rPr>
              <w:t>Darbības notiek Abruco, Bazilikatas, Kampānijas, Kalabrijas, Molīzes, Apūlijas, Sardīnijas un Sicīlijas reģionā.</w:t>
            </w:r>
          </w:p>
        </w:tc>
      </w:tr>
      <w:tr w:rsidR="00327FF1" w14:paraId="6727CD77" w14:textId="77777777">
        <w:trPr>
          <w:trHeight w:val="309"/>
        </w:trPr>
        <w:tc>
          <w:tcPr>
            <w:tcW w:w="1207" w:type="dxa"/>
            <w:shd w:val="clear" w:color="auto" w:fill="C6EFCE"/>
            <w:noWrap/>
            <w:vAlign w:val="center"/>
          </w:tcPr>
          <w:p w14:paraId="685B8965" w14:textId="77777777" w:rsidR="00327FF1" w:rsidRDefault="00E406C7">
            <w:pPr>
              <w:pStyle w:val="P68B1DB1-Normal11"/>
              <w:jc w:val="center"/>
              <w:rPr>
                <w:noProof/>
                <w:szCs w:val="20"/>
              </w:rPr>
            </w:pPr>
            <w:r>
              <w:rPr>
                <w:noProof/>
              </w:rPr>
              <w:t>M5C3–9</w:t>
            </w:r>
          </w:p>
        </w:tc>
        <w:tc>
          <w:tcPr>
            <w:tcW w:w="1772" w:type="dxa"/>
            <w:shd w:val="clear" w:color="auto" w:fill="C6EFCE"/>
            <w:noWrap/>
            <w:vAlign w:val="center"/>
          </w:tcPr>
          <w:p w14:paraId="1AB2CA00" w14:textId="77777777" w:rsidR="00327FF1" w:rsidRDefault="00E406C7">
            <w:pPr>
              <w:pStyle w:val="P68B1DB1-Normal11"/>
              <w:jc w:val="center"/>
              <w:rPr>
                <w:noProof/>
                <w:szCs w:val="20"/>
              </w:rPr>
            </w:pPr>
            <w:r>
              <w:rPr>
                <w:noProof/>
              </w:rPr>
              <w:t xml:space="preserve">Investīcija1.3: Strukturēti sociāli izglītojoši pasākumi, lai cīnītos pret </w:t>
            </w:r>
            <w:r>
              <w:rPr>
                <w:noProof/>
              </w:rPr>
              <w:t>izglītības trūkumu dienvidos, atbalstot trešo nozari</w:t>
            </w:r>
          </w:p>
        </w:tc>
        <w:tc>
          <w:tcPr>
            <w:tcW w:w="1412" w:type="dxa"/>
            <w:shd w:val="clear" w:color="auto" w:fill="C6EFCE"/>
            <w:noWrap/>
            <w:vAlign w:val="center"/>
          </w:tcPr>
          <w:p w14:paraId="57FC2177" w14:textId="77777777" w:rsidR="00327FF1" w:rsidRDefault="00E406C7">
            <w:pPr>
              <w:pStyle w:val="P68B1DB1-Normal11"/>
              <w:jc w:val="center"/>
              <w:rPr>
                <w:noProof/>
                <w:szCs w:val="20"/>
              </w:rPr>
            </w:pPr>
            <w:r>
              <w:rPr>
                <w:noProof/>
              </w:rPr>
              <w:t>Mērķa</w:t>
            </w:r>
          </w:p>
        </w:tc>
        <w:tc>
          <w:tcPr>
            <w:tcW w:w="1559" w:type="dxa"/>
            <w:shd w:val="clear" w:color="auto" w:fill="C6EFCE"/>
            <w:noWrap/>
            <w:vAlign w:val="center"/>
          </w:tcPr>
          <w:p w14:paraId="7E9CA64C" w14:textId="77777777" w:rsidR="00327FF1" w:rsidRDefault="00E406C7">
            <w:pPr>
              <w:pStyle w:val="P68B1DB1-Normal11"/>
              <w:jc w:val="center"/>
              <w:rPr>
                <w:noProof/>
                <w:szCs w:val="20"/>
              </w:rPr>
            </w:pPr>
            <w:r>
              <w:rPr>
                <w:noProof/>
              </w:rPr>
              <w:t>Izglītības atbalsts nepilngadīgajiem (otrā grupa)</w:t>
            </w:r>
          </w:p>
        </w:tc>
        <w:tc>
          <w:tcPr>
            <w:tcW w:w="1560" w:type="dxa"/>
            <w:shd w:val="clear" w:color="auto" w:fill="C6EFCE"/>
            <w:noWrap/>
            <w:vAlign w:val="center"/>
          </w:tcPr>
          <w:p w14:paraId="5AA4AA2B" w14:textId="77777777" w:rsidR="00327FF1" w:rsidRDefault="00E406C7">
            <w:pPr>
              <w:pStyle w:val="P68B1DB1-Normal11"/>
              <w:jc w:val="center"/>
              <w:rPr>
                <w:noProof/>
                <w:szCs w:val="20"/>
              </w:rPr>
            </w:pPr>
            <w:r>
              <w:rPr>
                <w:noProof/>
              </w:rPr>
              <w:t>NEPIEMĒRO</w:t>
            </w:r>
          </w:p>
        </w:tc>
        <w:tc>
          <w:tcPr>
            <w:tcW w:w="1134" w:type="dxa"/>
            <w:shd w:val="clear" w:color="auto" w:fill="C6EFCE"/>
            <w:noWrap/>
            <w:vAlign w:val="center"/>
          </w:tcPr>
          <w:p w14:paraId="7A21177F" w14:textId="77777777" w:rsidR="00327FF1" w:rsidRDefault="00E406C7">
            <w:pPr>
              <w:pStyle w:val="P68B1DB1-Normal11"/>
              <w:jc w:val="center"/>
              <w:rPr>
                <w:noProof/>
                <w:szCs w:val="20"/>
              </w:rPr>
            </w:pPr>
            <w:r>
              <w:rPr>
                <w:noProof/>
              </w:rPr>
              <w:t>Skaits</w:t>
            </w:r>
          </w:p>
        </w:tc>
        <w:tc>
          <w:tcPr>
            <w:tcW w:w="1134" w:type="dxa"/>
            <w:shd w:val="clear" w:color="auto" w:fill="C6EFCE"/>
            <w:noWrap/>
            <w:vAlign w:val="center"/>
          </w:tcPr>
          <w:p w14:paraId="628F6835"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20</w:t>
            </w:r>
            <w:r>
              <w:rPr>
                <w:noProof/>
                <w:sz w:val="23"/>
                <w:szCs w:val="23"/>
              </w:rPr>
              <w:t xml:space="preserve"> </w:t>
            </w:r>
            <w:r>
              <w:rPr>
                <w:rFonts w:ascii="Arial Narrow" w:hAnsi="Arial Narrow"/>
                <w:noProof/>
                <w:color w:val="006100"/>
                <w:sz w:val="20"/>
              </w:rPr>
              <w:t>000</w:t>
            </w:r>
          </w:p>
        </w:tc>
        <w:tc>
          <w:tcPr>
            <w:tcW w:w="992" w:type="dxa"/>
            <w:shd w:val="clear" w:color="auto" w:fill="C6EFCE"/>
            <w:noWrap/>
            <w:vAlign w:val="center"/>
          </w:tcPr>
          <w:p w14:paraId="329DA9DF" w14:textId="77777777" w:rsidR="00327FF1" w:rsidRDefault="00E406C7">
            <w:pPr>
              <w:jc w:val="center"/>
              <w:rPr>
                <w:rFonts w:ascii="Arial Narrow" w:hAnsi="Arial Narrow"/>
                <w:noProof/>
                <w:color w:val="006100"/>
                <w:sz w:val="20"/>
                <w:szCs w:val="20"/>
              </w:rPr>
            </w:pPr>
            <w:r>
              <w:rPr>
                <w:rFonts w:ascii="Arial Narrow" w:hAnsi="Arial Narrow"/>
                <w:noProof/>
                <w:color w:val="006100"/>
                <w:sz w:val="20"/>
              </w:rPr>
              <w:t>44</w:t>
            </w:r>
            <w:r>
              <w:rPr>
                <w:noProof/>
                <w:sz w:val="23"/>
                <w:szCs w:val="23"/>
              </w:rPr>
              <w:t xml:space="preserve"> </w:t>
            </w:r>
            <w:r>
              <w:rPr>
                <w:rFonts w:ascii="Arial Narrow" w:hAnsi="Arial Narrow"/>
                <w:noProof/>
                <w:color w:val="006100"/>
                <w:sz w:val="20"/>
              </w:rPr>
              <w:t>000</w:t>
            </w:r>
          </w:p>
        </w:tc>
        <w:tc>
          <w:tcPr>
            <w:tcW w:w="916" w:type="dxa"/>
            <w:shd w:val="clear" w:color="auto" w:fill="C6EFCE"/>
            <w:noWrap/>
            <w:vAlign w:val="center"/>
          </w:tcPr>
          <w:p w14:paraId="658AAA13" w14:textId="77777777" w:rsidR="00327FF1" w:rsidRDefault="00E406C7">
            <w:pPr>
              <w:pStyle w:val="P68B1DB1-Normal11"/>
              <w:jc w:val="center"/>
              <w:rPr>
                <w:noProof/>
                <w:szCs w:val="20"/>
              </w:rPr>
            </w:pPr>
            <w:r>
              <w:rPr>
                <w:noProof/>
              </w:rPr>
              <w:t>4. CET.</w:t>
            </w:r>
          </w:p>
        </w:tc>
        <w:tc>
          <w:tcPr>
            <w:tcW w:w="812" w:type="dxa"/>
            <w:shd w:val="clear" w:color="auto" w:fill="C6EFCE"/>
            <w:noWrap/>
            <w:vAlign w:val="center"/>
          </w:tcPr>
          <w:p w14:paraId="13AB817B" w14:textId="77777777" w:rsidR="00327FF1" w:rsidRDefault="00E406C7">
            <w:pPr>
              <w:pStyle w:val="P68B1DB1-Normal11"/>
              <w:jc w:val="center"/>
              <w:rPr>
                <w:noProof/>
                <w:szCs w:val="20"/>
              </w:rPr>
            </w:pPr>
            <w:r>
              <w:rPr>
                <w:noProof/>
              </w:rPr>
              <w:t>2025</w:t>
            </w:r>
          </w:p>
        </w:tc>
        <w:tc>
          <w:tcPr>
            <w:tcW w:w="3271" w:type="dxa"/>
            <w:shd w:val="clear" w:color="auto" w:fill="C6EFCE"/>
            <w:noWrap/>
            <w:vAlign w:val="center"/>
          </w:tcPr>
          <w:p w14:paraId="359318B6" w14:textId="77777777" w:rsidR="00327FF1" w:rsidRDefault="00E406C7">
            <w:pPr>
              <w:rPr>
                <w:rFonts w:ascii="Arial Narrow" w:hAnsi="Arial Narrow"/>
                <w:noProof/>
                <w:color w:val="006100"/>
                <w:sz w:val="20"/>
                <w:szCs w:val="20"/>
              </w:rPr>
            </w:pPr>
            <w:r>
              <w:rPr>
                <w:rFonts w:ascii="Arial Narrow" w:hAnsi="Arial Narrow"/>
                <w:noProof/>
                <w:color w:val="006100"/>
                <w:sz w:val="20"/>
                <w:szCs w:val="20"/>
              </w:rPr>
              <w:t>Reģistrācijas veidlapas un reģistrācijas apstiprinājumus vismaz 44000</w:t>
            </w:r>
            <w:r>
              <w:rPr>
                <w:noProof/>
                <w:sz w:val="23"/>
                <w:szCs w:val="23"/>
              </w:rPr>
              <w:t xml:space="preserve"> </w:t>
            </w:r>
            <w:r>
              <w:rPr>
                <w:rFonts w:ascii="Arial Narrow" w:hAnsi="Arial Narrow"/>
                <w:noProof/>
                <w:color w:val="006100"/>
                <w:sz w:val="20"/>
                <w:szCs w:val="20"/>
              </w:rPr>
              <w:t>nepilngadīgajiem vecumā no nulles</w:t>
            </w:r>
            <w:r>
              <w:rPr>
                <w:rFonts w:ascii="Arial Narrow" w:hAnsi="Arial Narrow"/>
                <w:noProof/>
                <w:color w:val="006100"/>
                <w:sz w:val="20"/>
                <w:szCs w:val="20"/>
              </w:rPr>
              <w:t xml:space="preserve"> līdz 17 gadiem, kuriem tiek sniegts izglītības atbalsts.</w:t>
            </w:r>
          </w:p>
        </w:tc>
      </w:tr>
    </w:tbl>
    <w:p w14:paraId="7D0235C7" w14:textId="77777777" w:rsidR="00327FF1" w:rsidRDefault="00327FF1">
      <w:pPr>
        <w:spacing w:before="120" w:after="120"/>
        <w:ind w:left="709"/>
        <w:jc w:val="both"/>
        <w:rPr>
          <w:noProof/>
        </w:rPr>
        <w:sectPr w:rsidR="00327FF1" w:rsidSect="005F11B9">
          <w:headerReference w:type="even" r:id="rId266"/>
          <w:headerReference w:type="default" r:id="rId267"/>
          <w:footerReference w:type="even" r:id="rId268"/>
          <w:footerReference w:type="default" r:id="rId269"/>
          <w:headerReference w:type="first" r:id="rId270"/>
          <w:footerReference w:type="first" r:id="rId271"/>
          <w:pgSz w:w="16839" w:h="11907" w:orient="landscape"/>
          <w:pgMar w:top="720" w:right="720" w:bottom="720" w:left="720" w:header="709" w:footer="709" w:gutter="0"/>
          <w:cols w:space="720"/>
          <w:docGrid w:linePitch="360"/>
        </w:sectPr>
      </w:pPr>
    </w:p>
    <w:p w14:paraId="58D6148B" w14:textId="77777777" w:rsidR="00327FF1" w:rsidRDefault="00E406C7">
      <w:pPr>
        <w:pStyle w:val="P68B1DB1-Heading39"/>
        <w:ind w:left="850" w:hanging="850"/>
        <w:rPr>
          <w:b/>
          <w:bCs/>
          <w:i/>
          <w:iCs/>
          <w:noProof/>
          <w:u w:val="single"/>
        </w:rPr>
      </w:pPr>
      <w:r>
        <w:rPr>
          <w:b/>
          <w:noProof/>
          <w:u w:val="single"/>
        </w:rPr>
        <w:t xml:space="preserve">N.3. </w:t>
      </w:r>
      <w:r>
        <w:rPr>
          <w:noProof/>
        </w:rPr>
        <w:t xml:space="preserve"> </w:t>
      </w:r>
      <w:r>
        <w:rPr>
          <w:b/>
          <w:noProof/>
          <w:u w:val="single"/>
        </w:rPr>
        <w:t xml:space="preserve">Aizdevumam pieteikto reformu un investīciju apraksts </w:t>
      </w:r>
    </w:p>
    <w:p w14:paraId="27DEFF13" w14:textId="77777777" w:rsidR="00327FF1" w:rsidRDefault="00E406C7">
      <w:pPr>
        <w:pStyle w:val="P68B1DB1-Normal5"/>
        <w:spacing w:before="120" w:after="120"/>
        <w:jc w:val="both"/>
        <w:rPr>
          <w:noProof/>
        </w:rPr>
      </w:pPr>
      <w:r>
        <w:rPr>
          <w:noProof/>
        </w:rPr>
        <w:t xml:space="preserve">Reforma: Procedūru vienkāršošana un komisāra amata nostiprināšana </w:t>
      </w:r>
      <w:r>
        <w:rPr>
          <w:noProof/>
        </w:rPr>
        <w:t>speciālajās ekonomiskajās zonās</w:t>
      </w:r>
    </w:p>
    <w:p w14:paraId="30EC48EE" w14:textId="77777777" w:rsidR="00327FF1" w:rsidRDefault="00E406C7">
      <w:pPr>
        <w:pStyle w:val="P68B1DB1-Normal7"/>
        <w:spacing w:before="120" w:after="120"/>
        <w:jc w:val="both"/>
        <w:rPr>
          <w:noProof/>
        </w:rPr>
      </w:pPr>
      <w:r>
        <w:rPr>
          <w:noProof/>
        </w:rPr>
        <w:t>Reforma veicina pārvaldības sistēmas vienkāršošanu un racionalizē intervenču īstenošanas laiku speciālajās ekonomiskajās zonās. Ar reformu izveido digitālo vienas pieturas aģentūru speciālajām ekonomiskajām zonām un stiprina</w:t>
      </w:r>
      <w:r>
        <w:rPr>
          <w:noProof/>
        </w:rPr>
        <w:t xml:space="preserve"> Komisijas lomu. </w:t>
      </w:r>
    </w:p>
    <w:p w14:paraId="73B6A1CF" w14:textId="77777777" w:rsidR="00327FF1" w:rsidRDefault="00E406C7">
      <w:pPr>
        <w:pStyle w:val="P68B1DB1-Normal5"/>
        <w:spacing w:before="120" w:after="120"/>
        <w:jc w:val="both"/>
        <w:rPr>
          <w:bCs/>
          <w:noProof/>
        </w:rPr>
      </w:pPr>
      <w:r>
        <w:rPr>
          <w:noProof/>
        </w:rPr>
        <w:t>Investīcija Nr. 1.4: Ieguldījumi speciālajās ekonomiskajās zonās (SEZ) infrastruktūrā</w:t>
      </w:r>
    </w:p>
    <w:p w14:paraId="406A69C0" w14:textId="77777777" w:rsidR="00327FF1" w:rsidRDefault="00E406C7">
      <w:pPr>
        <w:pStyle w:val="P68B1DB1-Normal7"/>
        <w:spacing w:before="120" w:after="120"/>
        <w:jc w:val="both"/>
        <w:rPr>
          <w:noProof/>
        </w:rPr>
      </w:pPr>
      <w:r>
        <w:rPr>
          <w:noProof/>
        </w:rPr>
        <w:t>Investīcijas mērķis ir nodrošināt īpašo ekonomisko zonu (SEZ) ieviešanas reformas ietekmi. Investīcija ietver atbalstu infrastruktūras pasākumiem ap ost</w:t>
      </w:r>
      <w:r>
        <w:rPr>
          <w:noProof/>
        </w:rPr>
        <w:t>u teritorijām (“pēdējās jūdzes” savienojumi; digitālā loģistika, urbanizācija vai energoefektivitāte un vides efektivitāte; ostu infrastruktūra).</w:t>
      </w:r>
    </w:p>
    <w:p w14:paraId="4D67C5CA" w14:textId="77777777" w:rsidR="00327FF1" w:rsidRDefault="00327FF1">
      <w:pPr>
        <w:spacing w:before="120" w:after="120"/>
        <w:jc w:val="both"/>
        <w:rPr>
          <w:rFonts w:ascii="Times New Roman" w:hAnsi="Times New Roman" w:cs="Times New Roman"/>
          <w:noProof/>
        </w:rPr>
      </w:pPr>
    </w:p>
    <w:p w14:paraId="211BA476" w14:textId="77777777" w:rsidR="00327FF1" w:rsidRDefault="00E406C7">
      <w:pPr>
        <w:pStyle w:val="P68B1DB1-Normal5"/>
        <w:spacing w:before="120" w:after="120"/>
        <w:jc w:val="both"/>
        <w:rPr>
          <w:noProof/>
        </w:rPr>
      </w:pPr>
      <w:r>
        <w:rPr>
          <w:noProof/>
        </w:rPr>
        <w:t>Investīcija Nr. 1.5: Nodokļu kredītu shēma ieguldījumiem Dienviditālijā un speciālajā ekonomiskajā zonā (SEZ)</w:t>
      </w:r>
    </w:p>
    <w:p w14:paraId="75EF864B" w14:textId="322695F8" w:rsidR="00327FF1" w:rsidRDefault="00E406C7">
      <w:pPr>
        <w:pStyle w:val="P68B1DB1-Normal7"/>
        <w:spacing w:before="120" w:after="120"/>
        <w:jc w:val="both"/>
        <w:rPr>
          <w:noProof/>
        </w:rPr>
      </w:pPr>
      <w:r>
        <w:rPr>
          <w:noProof/>
        </w:rPr>
        <w:t xml:space="preserve">Pasākuma mērķis ir atbalstīt uzņēmumu konkurētspēju un ilgtspējīgu izaugsmi dienvidu reģionos un/vai dienvidu speciālajā ekonomikas zonā (SEZ), vienlaikus stimulējot privātās investīcijas. </w:t>
      </w:r>
    </w:p>
    <w:p w14:paraId="00FFE9F4" w14:textId="78040004" w:rsidR="00327FF1" w:rsidRDefault="00E406C7">
      <w:pPr>
        <w:pStyle w:val="P68B1DB1-Normal7"/>
        <w:spacing w:before="120" w:after="120"/>
        <w:jc w:val="both"/>
        <w:rPr>
          <w:noProof/>
        </w:rPr>
      </w:pPr>
      <w:r>
        <w:rPr>
          <w:noProof/>
        </w:rPr>
        <w:t>Pasākums ietver nodokļu kredītu shēmu un ar to saistītās uzraudzī</w:t>
      </w:r>
      <w:r>
        <w:rPr>
          <w:noProof/>
        </w:rPr>
        <w:t xml:space="preserve">bas un kontroles darbības. </w:t>
      </w:r>
    </w:p>
    <w:p w14:paraId="029204E2" w14:textId="77777777" w:rsidR="00327FF1" w:rsidRDefault="00327FF1">
      <w:pPr>
        <w:spacing w:before="120" w:after="120"/>
        <w:jc w:val="both"/>
        <w:rPr>
          <w:rFonts w:ascii="Times New Roman" w:hAnsi="Times New Roman" w:cs="Times New Roman"/>
          <w:i/>
          <w:noProof/>
          <w:color w:val="156082" w:themeColor="accent1"/>
        </w:rPr>
        <w:sectPr w:rsidR="00327FF1" w:rsidSect="005F11B9">
          <w:headerReference w:type="even" r:id="rId272"/>
          <w:headerReference w:type="default" r:id="rId273"/>
          <w:footerReference w:type="even" r:id="rId274"/>
          <w:footerReference w:type="default" r:id="rId275"/>
          <w:headerReference w:type="first" r:id="rId276"/>
          <w:footerReference w:type="first" r:id="rId277"/>
          <w:pgSz w:w="11907" w:h="16839"/>
          <w:pgMar w:top="1440" w:right="1440" w:bottom="1440" w:left="1440" w:header="567" w:footer="567" w:gutter="0"/>
          <w:cols w:space="720"/>
          <w:docGrid w:linePitch="360"/>
        </w:sectPr>
      </w:pPr>
    </w:p>
    <w:p w14:paraId="36D2074D" w14:textId="77777777" w:rsidR="00327FF1" w:rsidRDefault="00E406C7">
      <w:pPr>
        <w:pStyle w:val="P68B1DB1-Heading39"/>
        <w:ind w:left="850" w:hanging="850"/>
        <w:rPr>
          <w:b/>
          <w:bCs/>
          <w:i/>
          <w:iCs/>
          <w:noProof/>
          <w:u w:val="single"/>
        </w:rPr>
      </w:pPr>
      <w:r>
        <w:rPr>
          <w:b/>
          <w:noProof/>
          <w:u w:val="single"/>
        </w:rPr>
        <w:t xml:space="preserve">N.4. </w:t>
      </w:r>
      <w:r>
        <w:rPr>
          <w:noProof/>
        </w:rPr>
        <w:t xml:space="preserve"> </w:t>
      </w:r>
      <w:r>
        <w:rPr>
          <w:b/>
          <w:noProof/>
          <w:u w:val="single"/>
        </w:rPr>
        <w:t xml:space="preserve">Atskaites punkti, mērķrādītāji, citi rādītāji un aizdevuma uzraudzības un īstenošanas grafiks </w:t>
      </w:r>
    </w:p>
    <w:tbl>
      <w:tblPr>
        <w:tblW w:w="1566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701"/>
        <w:gridCol w:w="1276"/>
        <w:gridCol w:w="1559"/>
        <w:gridCol w:w="1701"/>
        <w:gridCol w:w="1276"/>
        <w:gridCol w:w="1276"/>
        <w:gridCol w:w="709"/>
        <w:gridCol w:w="992"/>
        <w:gridCol w:w="709"/>
        <w:gridCol w:w="3049"/>
      </w:tblGrid>
      <w:tr w:rsidR="00327FF1" w14:paraId="42E2C346" w14:textId="77777777">
        <w:trPr>
          <w:trHeight w:val="939"/>
          <w:tblHeader/>
        </w:trPr>
        <w:tc>
          <w:tcPr>
            <w:tcW w:w="1418" w:type="dxa"/>
            <w:vMerge w:val="restart"/>
            <w:shd w:val="clear" w:color="auto" w:fill="BDD7EE"/>
            <w:vAlign w:val="center"/>
            <w:hideMark/>
          </w:tcPr>
          <w:p w14:paraId="326EED77" w14:textId="77777777" w:rsidR="00327FF1" w:rsidRDefault="00E406C7">
            <w:pPr>
              <w:pStyle w:val="P68B1DB1-Normal10"/>
              <w:jc w:val="center"/>
              <w:rPr>
                <w:noProof/>
                <w:szCs w:val="20"/>
              </w:rPr>
            </w:pPr>
            <w:r>
              <w:rPr>
                <w:noProof/>
              </w:rPr>
              <w:t>Kārtas numurs</w:t>
            </w:r>
          </w:p>
        </w:tc>
        <w:tc>
          <w:tcPr>
            <w:tcW w:w="1701" w:type="dxa"/>
            <w:vMerge w:val="restart"/>
            <w:shd w:val="clear" w:color="auto" w:fill="BDD7EE"/>
            <w:vAlign w:val="center"/>
            <w:hideMark/>
          </w:tcPr>
          <w:p w14:paraId="6498CC90" w14:textId="77777777" w:rsidR="00327FF1" w:rsidRDefault="00E406C7">
            <w:pPr>
              <w:pStyle w:val="P68B1DB1-Normal10"/>
              <w:jc w:val="center"/>
              <w:rPr>
                <w:noProof/>
                <w:szCs w:val="20"/>
              </w:rPr>
            </w:pPr>
            <w:r>
              <w:rPr>
                <w:noProof/>
              </w:rPr>
              <w:t>Saistītais pasākums (reforma vai ieguldījums)</w:t>
            </w:r>
          </w:p>
        </w:tc>
        <w:tc>
          <w:tcPr>
            <w:tcW w:w="1276" w:type="dxa"/>
            <w:vMerge w:val="restart"/>
            <w:shd w:val="clear" w:color="auto" w:fill="BDD7EE"/>
            <w:vAlign w:val="center"/>
            <w:hideMark/>
          </w:tcPr>
          <w:p w14:paraId="54ECA473" w14:textId="4356814A" w:rsidR="00327FF1" w:rsidRDefault="00E406C7">
            <w:pPr>
              <w:pStyle w:val="P68B1DB1-Normal10"/>
              <w:jc w:val="center"/>
              <w:rPr>
                <w:noProof/>
                <w:szCs w:val="20"/>
              </w:rPr>
            </w:pPr>
            <w:r>
              <w:rPr>
                <w:noProof/>
              </w:rPr>
              <w:t xml:space="preserve">Atskaites </w:t>
            </w:r>
            <w:r>
              <w:rPr>
                <w:noProof/>
              </w:rPr>
              <w:t>punkts/mērķrādītājs</w:t>
            </w:r>
          </w:p>
        </w:tc>
        <w:tc>
          <w:tcPr>
            <w:tcW w:w="1559" w:type="dxa"/>
            <w:vMerge w:val="restart"/>
            <w:shd w:val="clear" w:color="auto" w:fill="BDD7EE"/>
            <w:vAlign w:val="center"/>
            <w:hideMark/>
          </w:tcPr>
          <w:p w14:paraId="156DBE73" w14:textId="77777777" w:rsidR="00327FF1" w:rsidRDefault="00E406C7">
            <w:pPr>
              <w:pStyle w:val="P68B1DB1-Normal10"/>
              <w:jc w:val="center"/>
              <w:rPr>
                <w:noProof/>
                <w:szCs w:val="20"/>
              </w:rPr>
            </w:pPr>
            <w:r>
              <w:rPr>
                <w:noProof/>
              </w:rPr>
              <w:t>Nosaukums</w:t>
            </w:r>
          </w:p>
        </w:tc>
        <w:tc>
          <w:tcPr>
            <w:tcW w:w="1701" w:type="dxa"/>
            <w:vMerge w:val="restart"/>
            <w:shd w:val="clear" w:color="auto" w:fill="BDD7EE"/>
            <w:vAlign w:val="center"/>
            <w:hideMark/>
          </w:tcPr>
          <w:p w14:paraId="2E30001E" w14:textId="77777777"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3261" w:type="dxa"/>
            <w:gridSpan w:val="3"/>
            <w:shd w:val="clear" w:color="auto" w:fill="BDD7EE"/>
            <w:vAlign w:val="center"/>
            <w:hideMark/>
          </w:tcPr>
          <w:p w14:paraId="02815D89" w14:textId="77777777" w:rsidR="00327FF1" w:rsidRDefault="00E406C7">
            <w:pPr>
              <w:jc w:val="center"/>
              <w:rPr>
                <w:rFonts w:ascii="Arial Narrow" w:hAnsi="Arial Narrow"/>
                <w:b/>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701" w:type="dxa"/>
            <w:gridSpan w:val="2"/>
            <w:shd w:val="clear" w:color="auto" w:fill="BDD7EE"/>
            <w:vAlign w:val="center"/>
            <w:hideMark/>
          </w:tcPr>
          <w:p w14:paraId="37EE140E" w14:textId="77777777" w:rsidR="00327FF1" w:rsidRDefault="00E406C7">
            <w:pPr>
              <w:pStyle w:val="P68B1DB1-Normal10"/>
              <w:jc w:val="center"/>
              <w:rPr>
                <w:noProof/>
                <w:szCs w:val="20"/>
              </w:rPr>
            </w:pPr>
            <w:r>
              <w:rPr>
                <w:noProof/>
              </w:rPr>
              <w:t>Orientējošs pabeigšanas termiņš</w:t>
            </w:r>
          </w:p>
        </w:tc>
        <w:tc>
          <w:tcPr>
            <w:tcW w:w="3049" w:type="dxa"/>
            <w:vMerge w:val="restart"/>
            <w:shd w:val="clear" w:color="auto" w:fill="BDD7EE"/>
            <w:vAlign w:val="center"/>
            <w:hideMark/>
          </w:tcPr>
          <w:p w14:paraId="43843B46" w14:textId="77777777" w:rsidR="00327FF1" w:rsidRDefault="00E406C7">
            <w:pPr>
              <w:pStyle w:val="P68B1DB1-Normal10"/>
              <w:jc w:val="center"/>
              <w:rPr>
                <w:noProof/>
                <w:szCs w:val="20"/>
              </w:rPr>
            </w:pPr>
            <w:r>
              <w:rPr>
                <w:noProof/>
              </w:rPr>
              <w:t>Apraksts par katru atskaites punktu un mērķrādītāju</w:t>
            </w:r>
          </w:p>
        </w:tc>
      </w:tr>
      <w:tr w:rsidR="00327FF1" w14:paraId="3261AC42" w14:textId="77777777">
        <w:trPr>
          <w:trHeight w:val="741"/>
          <w:tblHeader/>
        </w:trPr>
        <w:tc>
          <w:tcPr>
            <w:tcW w:w="1418" w:type="dxa"/>
            <w:vMerge/>
            <w:vAlign w:val="center"/>
            <w:hideMark/>
          </w:tcPr>
          <w:p w14:paraId="106A1BEA" w14:textId="77777777" w:rsidR="00327FF1" w:rsidRDefault="00327FF1">
            <w:pPr>
              <w:jc w:val="center"/>
              <w:rPr>
                <w:rFonts w:ascii="Arial Narrow" w:hAnsi="Arial Narrow"/>
                <w:b/>
                <w:noProof/>
                <w:sz w:val="20"/>
                <w:szCs w:val="20"/>
              </w:rPr>
            </w:pPr>
          </w:p>
        </w:tc>
        <w:tc>
          <w:tcPr>
            <w:tcW w:w="1701" w:type="dxa"/>
            <w:vMerge/>
            <w:vAlign w:val="center"/>
            <w:hideMark/>
          </w:tcPr>
          <w:p w14:paraId="51BD9E6C" w14:textId="77777777" w:rsidR="00327FF1" w:rsidRDefault="00327FF1">
            <w:pPr>
              <w:jc w:val="center"/>
              <w:rPr>
                <w:rFonts w:ascii="Arial Narrow" w:hAnsi="Arial Narrow"/>
                <w:b/>
                <w:noProof/>
                <w:sz w:val="20"/>
                <w:szCs w:val="20"/>
              </w:rPr>
            </w:pPr>
          </w:p>
        </w:tc>
        <w:tc>
          <w:tcPr>
            <w:tcW w:w="1276" w:type="dxa"/>
            <w:vMerge/>
            <w:vAlign w:val="center"/>
            <w:hideMark/>
          </w:tcPr>
          <w:p w14:paraId="72737AD6" w14:textId="77777777" w:rsidR="00327FF1" w:rsidRDefault="00327FF1">
            <w:pPr>
              <w:jc w:val="center"/>
              <w:rPr>
                <w:rFonts w:ascii="Arial Narrow" w:hAnsi="Arial Narrow"/>
                <w:b/>
                <w:noProof/>
                <w:sz w:val="20"/>
                <w:szCs w:val="20"/>
              </w:rPr>
            </w:pPr>
          </w:p>
        </w:tc>
        <w:tc>
          <w:tcPr>
            <w:tcW w:w="1559" w:type="dxa"/>
            <w:vMerge/>
            <w:vAlign w:val="center"/>
            <w:hideMark/>
          </w:tcPr>
          <w:p w14:paraId="533C4945" w14:textId="77777777" w:rsidR="00327FF1" w:rsidRDefault="00327FF1">
            <w:pPr>
              <w:jc w:val="center"/>
              <w:rPr>
                <w:rFonts w:ascii="Arial Narrow" w:hAnsi="Arial Narrow"/>
                <w:b/>
                <w:noProof/>
                <w:sz w:val="20"/>
                <w:szCs w:val="20"/>
              </w:rPr>
            </w:pPr>
          </w:p>
        </w:tc>
        <w:tc>
          <w:tcPr>
            <w:tcW w:w="1701" w:type="dxa"/>
            <w:vMerge/>
            <w:vAlign w:val="center"/>
            <w:hideMark/>
          </w:tcPr>
          <w:p w14:paraId="4AD3BAB3" w14:textId="77777777" w:rsidR="00327FF1" w:rsidRDefault="00327FF1">
            <w:pPr>
              <w:jc w:val="center"/>
              <w:rPr>
                <w:rFonts w:ascii="Arial Narrow" w:hAnsi="Arial Narrow"/>
                <w:b/>
                <w:noProof/>
                <w:sz w:val="20"/>
                <w:szCs w:val="20"/>
              </w:rPr>
            </w:pPr>
          </w:p>
        </w:tc>
        <w:tc>
          <w:tcPr>
            <w:tcW w:w="1276" w:type="dxa"/>
            <w:shd w:val="clear" w:color="auto" w:fill="BDD7EE"/>
            <w:vAlign w:val="center"/>
            <w:hideMark/>
          </w:tcPr>
          <w:p w14:paraId="37AE4EAD" w14:textId="77777777" w:rsidR="00327FF1" w:rsidRDefault="00E406C7">
            <w:pPr>
              <w:pStyle w:val="P68B1DB1-Normal10"/>
              <w:jc w:val="center"/>
              <w:rPr>
                <w:noProof/>
                <w:szCs w:val="20"/>
              </w:rPr>
            </w:pPr>
            <w:r>
              <w:rPr>
                <w:noProof/>
              </w:rPr>
              <w:t>Mēra vienība</w:t>
            </w:r>
          </w:p>
        </w:tc>
        <w:tc>
          <w:tcPr>
            <w:tcW w:w="1276" w:type="dxa"/>
            <w:shd w:val="clear" w:color="auto" w:fill="BDD7EE"/>
            <w:vAlign w:val="center"/>
            <w:hideMark/>
          </w:tcPr>
          <w:p w14:paraId="350D2109" w14:textId="77777777" w:rsidR="00327FF1" w:rsidRDefault="00E406C7">
            <w:pPr>
              <w:pStyle w:val="P68B1DB1-Normal10"/>
              <w:jc w:val="center"/>
              <w:rPr>
                <w:noProof/>
                <w:szCs w:val="20"/>
              </w:rPr>
            </w:pPr>
            <w:r>
              <w:rPr>
                <w:noProof/>
              </w:rPr>
              <w:t>Pamatscenārijs</w:t>
            </w:r>
          </w:p>
        </w:tc>
        <w:tc>
          <w:tcPr>
            <w:tcW w:w="709" w:type="dxa"/>
            <w:shd w:val="clear" w:color="auto" w:fill="BDD7EE"/>
            <w:vAlign w:val="center"/>
            <w:hideMark/>
          </w:tcPr>
          <w:p w14:paraId="53B9161C" w14:textId="77777777" w:rsidR="00327FF1" w:rsidRDefault="00E406C7">
            <w:pPr>
              <w:pStyle w:val="P68B1DB1-Normal10"/>
              <w:jc w:val="center"/>
              <w:rPr>
                <w:noProof/>
                <w:szCs w:val="20"/>
              </w:rPr>
            </w:pPr>
            <w:r>
              <w:rPr>
                <w:noProof/>
              </w:rPr>
              <w:t>Mērķis</w:t>
            </w:r>
          </w:p>
        </w:tc>
        <w:tc>
          <w:tcPr>
            <w:tcW w:w="992" w:type="dxa"/>
            <w:shd w:val="clear" w:color="auto" w:fill="BDD7EE"/>
            <w:vAlign w:val="center"/>
            <w:hideMark/>
          </w:tcPr>
          <w:p w14:paraId="7E9200B7" w14:textId="77777777" w:rsidR="00327FF1" w:rsidRDefault="00E406C7">
            <w:pPr>
              <w:pStyle w:val="P68B1DB1-Normal10"/>
              <w:jc w:val="center"/>
              <w:rPr>
                <w:noProof/>
                <w:szCs w:val="20"/>
              </w:rPr>
            </w:pPr>
            <w:r>
              <w:rPr>
                <w:noProof/>
              </w:rPr>
              <w:t xml:space="preserve">Ceturkšņa </w:t>
            </w:r>
            <w:r>
              <w:rPr>
                <w:noProof/>
              </w:rPr>
              <w:t>laikā</w:t>
            </w:r>
          </w:p>
        </w:tc>
        <w:tc>
          <w:tcPr>
            <w:tcW w:w="709" w:type="dxa"/>
            <w:shd w:val="clear" w:color="auto" w:fill="BDD7EE"/>
            <w:vAlign w:val="center"/>
            <w:hideMark/>
          </w:tcPr>
          <w:p w14:paraId="423276CC" w14:textId="77777777" w:rsidR="00327FF1" w:rsidRDefault="00E406C7">
            <w:pPr>
              <w:pStyle w:val="P68B1DB1-Normal10"/>
              <w:jc w:val="center"/>
              <w:rPr>
                <w:noProof/>
                <w:szCs w:val="20"/>
              </w:rPr>
            </w:pPr>
            <w:r>
              <w:rPr>
                <w:noProof/>
              </w:rPr>
              <w:t>Gadu</w:t>
            </w:r>
          </w:p>
        </w:tc>
        <w:tc>
          <w:tcPr>
            <w:tcW w:w="3049" w:type="dxa"/>
            <w:vMerge/>
            <w:vAlign w:val="center"/>
            <w:hideMark/>
          </w:tcPr>
          <w:p w14:paraId="250455F0" w14:textId="77777777" w:rsidR="00327FF1" w:rsidRDefault="00327FF1">
            <w:pPr>
              <w:jc w:val="center"/>
              <w:rPr>
                <w:rFonts w:ascii="Arial Narrow" w:hAnsi="Arial Narrow"/>
                <w:b/>
                <w:noProof/>
                <w:sz w:val="20"/>
                <w:szCs w:val="20"/>
              </w:rPr>
            </w:pPr>
          </w:p>
        </w:tc>
      </w:tr>
      <w:tr w:rsidR="00327FF1" w14:paraId="53DCD781" w14:textId="77777777">
        <w:trPr>
          <w:trHeight w:val="313"/>
        </w:trPr>
        <w:tc>
          <w:tcPr>
            <w:tcW w:w="1418" w:type="dxa"/>
            <w:shd w:val="clear" w:color="auto" w:fill="C6EFCE"/>
            <w:noWrap/>
            <w:vAlign w:val="center"/>
          </w:tcPr>
          <w:p w14:paraId="681A322C" w14:textId="77777777" w:rsidR="00327FF1" w:rsidRDefault="00E406C7">
            <w:pPr>
              <w:pStyle w:val="P68B1DB1-Normal11"/>
              <w:jc w:val="center"/>
              <w:rPr>
                <w:noProof/>
                <w:szCs w:val="20"/>
              </w:rPr>
            </w:pPr>
            <w:r>
              <w:rPr>
                <w:noProof/>
              </w:rPr>
              <w:t>M5C3–10</w:t>
            </w:r>
          </w:p>
        </w:tc>
        <w:tc>
          <w:tcPr>
            <w:tcW w:w="1701" w:type="dxa"/>
            <w:shd w:val="clear" w:color="auto" w:fill="C6EFCE"/>
            <w:noWrap/>
            <w:vAlign w:val="center"/>
            <w:hideMark/>
          </w:tcPr>
          <w:p w14:paraId="5003A5CA" w14:textId="77777777" w:rsidR="00327FF1" w:rsidRDefault="00E406C7">
            <w:pPr>
              <w:pStyle w:val="P68B1DB1-Normal11"/>
              <w:jc w:val="center"/>
              <w:rPr>
                <w:noProof/>
                <w:szCs w:val="20"/>
              </w:rPr>
            </w:pPr>
            <w:r>
              <w:rPr>
                <w:noProof/>
              </w:rPr>
              <w:t>Reforma Nr. 1: Procedūru vienkāršošana un komisāra amata nostiprināšana speciālajās ekonomiskajās zonās</w:t>
            </w:r>
          </w:p>
        </w:tc>
        <w:tc>
          <w:tcPr>
            <w:tcW w:w="1276" w:type="dxa"/>
            <w:shd w:val="clear" w:color="auto" w:fill="C6EFCE"/>
            <w:noWrap/>
            <w:vAlign w:val="center"/>
            <w:hideMark/>
          </w:tcPr>
          <w:p w14:paraId="36FC0E20" w14:textId="77777777" w:rsidR="00327FF1" w:rsidRDefault="00E406C7">
            <w:pPr>
              <w:pStyle w:val="P68B1DB1-Normal11"/>
              <w:jc w:val="center"/>
              <w:rPr>
                <w:noProof/>
                <w:szCs w:val="20"/>
              </w:rPr>
            </w:pPr>
            <w:r>
              <w:rPr>
                <w:noProof/>
              </w:rPr>
              <w:t>Atskaites punkts</w:t>
            </w:r>
          </w:p>
        </w:tc>
        <w:tc>
          <w:tcPr>
            <w:tcW w:w="1559" w:type="dxa"/>
            <w:shd w:val="clear" w:color="auto" w:fill="C6EFCE"/>
            <w:noWrap/>
            <w:vAlign w:val="center"/>
            <w:hideMark/>
          </w:tcPr>
          <w:p w14:paraId="7EB6AFFF" w14:textId="77777777" w:rsidR="00327FF1" w:rsidRDefault="00E406C7">
            <w:pPr>
              <w:pStyle w:val="P68B1DB1-Normal11"/>
              <w:jc w:val="center"/>
              <w:rPr>
                <w:noProof/>
                <w:szCs w:val="20"/>
              </w:rPr>
            </w:pPr>
            <w:r>
              <w:rPr>
                <w:noProof/>
              </w:rPr>
              <w:t>Regulas stāšanās spēkā, lai vienkāršotu procedūras un stiprinātu komisāra lomu speciālajās ekonomiskajās zonās</w:t>
            </w:r>
          </w:p>
        </w:tc>
        <w:tc>
          <w:tcPr>
            <w:tcW w:w="1701" w:type="dxa"/>
            <w:shd w:val="clear" w:color="auto" w:fill="C6EFCE"/>
            <w:noWrap/>
            <w:vAlign w:val="center"/>
            <w:hideMark/>
          </w:tcPr>
          <w:p w14:paraId="418AC9B0" w14:textId="77777777" w:rsidR="00327FF1" w:rsidRDefault="00E406C7">
            <w:pPr>
              <w:pStyle w:val="P68B1DB1-Normal11"/>
              <w:jc w:val="center"/>
              <w:rPr>
                <w:noProof/>
                <w:szCs w:val="20"/>
              </w:rPr>
            </w:pPr>
            <w:r>
              <w:rPr>
                <w:noProof/>
              </w:rPr>
              <w:t>Regulas noteikums par regulas stāšanos spēkā, lai vienkārši noteiktu procedūras un stiprinātu komisāra lomu speciālajās ekonomiskajās zonās</w:t>
            </w:r>
          </w:p>
        </w:tc>
        <w:tc>
          <w:tcPr>
            <w:tcW w:w="1276" w:type="dxa"/>
            <w:shd w:val="clear" w:color="auto" w:fill="C6EFCE"/>
            <w:noWrap/>
            <w:vAlign w:val="center"/>
          </w:tcPr>
          <w:p w14:paraId="04684F1D" w14:textId="77777777" w:rsidR="00327FF1" w:rsidRDefault="00E406C7">
            <w:pPr>
              <w:pStyle w:val="P68B1DB1-Normal11"/>
              <w:jc w:val="center"/>
              <w:rPr>
                <w:noProof/>
                <w:szCs w:val="20"/>
              </w:rPr>
            </w:pPr>
            <w:r>
              <w:rPr>
                <w:noProof/>
              </w:rPr>
              <w:t>NEPIEMĒRO</w:t>
            </w:r>
          </w:p>
        </w:tc>
        <w:tc>
          <w:tcPr>
            <w:tcW w:w="1276" w:type="dxa"/>
            <w:shd w:val="clear" w:color="auto" w:fill="C6EFCE"/>
            <w:noWrap/>
            <w:vAlign w:val="center"/>
          </w:tcPr>
          <w:p w14:paraId="30AFCDC6" w14:textId="77777777" w:rsidR="00327FF1" w:rsidRDefault="00E406C7">
            <w:pPr>
              <w:pStyle w:val="P68B1DB1-Normal11"/>
              <w:jc w:val="center"/>
              <w:rPr>
                <w:noProof/>
                <w:szCs w:val="20"/>
              </w:rPr>
            </w:pPr>
            <w:r>
              <w:rPr>
                <w:noProof/>
              </w:rPr>
              <w:t>NEPIEMĒRO</w:t>
            </w:r>
          </w:p>
        </w:tc>
        <w:tc>
          <w:tcPr>
            <w:tcW w:w="709" w:type="dxa"/>
            <w:shd w:val="clear" w:color="auto" w:fill="C6EFCE"/>
            <w:noWrap/>
            <w:vAlign w:val="center"/>
          </w:tcPr>
          <w:p w14:paraId="6375EE48" w14:textId="77777777" w:rsidR="00327FF1" w:rsidRDefault="00E406C7">
            <w:pPr>
              <w:pStyle w:val="P68B1DB1-Normal11"/>
              <w:jc w:val="center"/>
              <w:rPr>
                <w:noProof/>
                <w:szCs w:val="20"/>
              </w:rPr>
            </w:pPr>
            <w:r>
              <w:rPr>
                <w:noProof/>
              </w:rPr>
              <w:t>NEPIEMĒRO</w:t>
            </w:r>
          </w:p>
        </w:tc>
        <w:tc>
          <w:tcPr>
            <w:tcW w:w="992" w:type="dxa"/>
            <w:shd w:val="clear" w:color="auto" w:fill="C6EFCE"/>
            <w:noWrap/>
            <w:vAlign w:val="center"/>
            <w:hideMark/>
          </w:tcPr>
          <w:p w14:paraId="3E4339B1" w14:textId="77777777" w:rsidR="00327FF1" w:rsidRDefault="00E406C7">
            <w:pPr>
              <w:pStyle w:val="P68B1DB1-Normal11"/>
              <w:jc w:val="center"/>
              <w:rPr>
                <w:noProof/>
                <w:szCs w:val="20"/>
              </w:rPr>
            </w:pPr>
            <w:r>
              <w:rPr>
                <w:noProof/>
              </w:rPr>
              <w:t>4. CET.</w:t>
            </w:r>
          </w:p>
        </w:tc>
        <w:tc>
          <w:tcPr>
            <w:tcW w:w="709" w:type="dxa"/>
            <w:shd w:val="clear" w:color="auto" w:fill="C6EFCE"/>
            <w:noWrap/>
            <w:vAlign w:val="center"/>
            <w:hideMark/>
          </w:tcPr>
          <w:p w14:paraId="3409069B" w14:textId="77777777" w:rsidR="00327FF1" w:rsidRDefault="00E406C7">
            <w:pPr>
              <w:pStyle w:val="P68B1DB1-Normal11"/>
              <w:rPr>
                <w:noProof/>
                <w:szCs w:val="20"/>
              </w:rPr>
            </w:pPr>
            <w:r>
              <w:rPr>
                <w:noProof/>
              </w:rPr>
              <w:t>2021</w:t>
            </w:r>
          </w:p>
        </w:tc>
        <w:tc>
          <w:tcPr>
            <w:tcW w:w="3049" w:type="dxa"/>
            <w:shd w:val="clear" w:color="auto" w:fill="C6EFCE"/>
            <w:noWrap/>
            <w:vAlign w:val="center"/>
            <w:hideMark/>
          </w:tcPr>
          <w:p w14:paraId="594F30D7" w14:textId="77777777" w:rsidR="00327FF1" w:rsidRDefault="00E406C7">
            <w:pPr>
              <w:pStyle w:val="P68B1DB1-Normal11"/>
              <w:rPr>
                <w:noProof/>
                <w:szCs w:val="20"/>
              </w:rPr>
            </w:pPr>
            <w:r>
              <w:rPr>
                <w:noProof/>
              </w:rPr>
              <w:t>Regulā iekļauj: Eiropas</w:t>
            </w:r>
          </w:p>
          <w:p w14:paraId="4E117B5A" w14:textId="77777777" w:rsidR="00327FF1" w:rsidRDefault="00E406C7">
            <w:pPr>
              <w:pStyle w:val="P68B1DB1-Normal11"/>
              <w:rPr>
                <w:noProof/>
                <w:szCs w:val="20"/>
              </w:rPr>
            </w:pPr>
            <w:r>
              <w:rPr>
                <w:noProof/>
              </w:rPr>
              <w:t>izveidot digitālo vienas pieturas aģentūru speciā</w:t>
            </w:r>
            <w:r>
              <w:rPr>
                <w:noProof/>
              </w:rPr>
              <w:t xml:space="preserve">lajām ekonomiskajām zonām procedūru vienkāršošanai; noteikumi, lai stiprinātu komisāra lomu ZES. </w:t>
            </w:r>
          </w:p>
          <w:p w14:paraId="0FB5FDF8" w14:textId="77777777" w:rsidR="00327FF1" w:rsidRDefault="00E406C7">
            <w:pPr>
              <w:pStyle w:val="P68B1DB1-Normal11"/>
              <w:rPr>
                <w:noProof/>
                <w:szCs w:val="20"/>
              </w:rPr>
            </w:pPr>
            <w:r>
              <w:rPr>
                <w:noProof/>
              </w:rPr>
              <w:t>Īpašās ekonomiskās zonas ir īpašas jomas, kas definētas Dekrētlikumā 91/2017 (publicēts Oficiālajā Vēstnesī Nr. 141/2017), kas pārveidots par likumu ar L. 123</w:t>
            </w:r>
            <w:r>
              <w:rPr>
                <w:noProof/>
              </w:rPr>
              <w:t>/2017 (publicēts Oficiālajā Vēstnesī Mezzogiorno 188/2017).</w:t>
            </w:r>
          </w:p>
        </w:tc>
      </w:tr>
      <w:tr w:rsidR="00327FF1" w14:paraId="15981348" w14:textId="77777777">
        <w:trPr>
          <w:trHeight w:val="313"/>
        </w:trPr>
        <w:tc>
          <w:tcPr>
            <w:tcW w:w="1418" w:type="dxa"/>
            <w:shd w:val="clear" w:color="auto" w:fill="C6EFCE"/>
            <w:noWrap/>
            <w:vAlign w:val="center"/>
            <w:hideMark/>
          </w:tcPr>
          <w:p w14:paraId="5A44437B" w14:textId="77777777" w:rsidR="00327FF1" w:rsidRDefault="00E406C7">
            <w:pPr>
              <w:pStyle w:val="P68B1DB1-Normal11"/>
              <w:jc w:val="center"/>
              <w:rPr>
                <w:noProof/>
                <w:szCs w:val="20"/>
              </w:rPr>
            </w:pPr>
            <w:r>
              <w:rPr>
                <w:noProof/>
              </w:rPr>
              <w:t>M5C3–11</w:t>
            </w:r>
          </w:p>
        </w:tc>
        <w:tc>
          <w:tcPr>
            <w:tcW w:w="1701" w:type="dxa"/>
            <w:shd w:val="clear" w:color="auto" w:fill="C6EFCE"/>
            <w:noWrap/>
            <w:vAlign w:val="center"/>
            <w:hideMark/>
          </w:tcPr>
          <w:p w14:paraId="07DDBACD" w14:textId="77777777" w:rsidR="00327FF1" w:rsidRDefault="00E406C7">
            <w:pPr>
              <w:pStyle w:val="P68B1DB1-Normal11"/>
              <w:jc w:val="center"/>
              <w:rPr>
                <w:noProof/>
                <w:szCs w:val="20"/>
              </w:rPr>
            </w:pPr>
            <w:r>
              <w:rPr>
                <w:noProof/>
              </w:rPr>
              <w:t>Investīcija Nr. 1.4: Ieguldījumi speciālajā ekonomiskajā zonā infrastruktūrā</w:t>
            </w:r>
            <w:r>
              <w:rPr>
                <w:noProof/>
                <w:shd w:val="clear" w:color="auto" w:fill="E6E6E6"/>
              </w:rPr>
              <w:t xml:space="preserve"> </w:t>
            </w:r>
          </w:p>
        </w:tc>
        <w:tc>
          <w:tcPr>
            <w:tcW w:w="1276" w:type="dxa"/>
            <w:shd w:val="clear" w:color="auto" w:fill="C6EFCE"/>
            <w:noWrap/>
            <w:vAlign w:val="center"/>
            <w:hideMark/>
          </w:tcPr>
          <w:p w14:paraId="6053FA46" w14:textId="77777777" w:rsidR="00327FF1" w:rsidRDefault="00E406C7">
            <w:pPr>
              <w:pStyle w:val="P68B1DB1-Normal11"/>
              <w:jc w:val="center"/>
              <w:rPr>
                <w:noProof/>
                <w:szCs w:val="20"/>
              </w:rPr>
            </w:pPr>
            <w:r>
              <w:rPr>
                <w:noProof/>
              </w:rPr>
              <w:t>Atskaites punkts</w:t>
            </w:r>
          </w:p>
        </w:tc>
        <w:tc>
          <w:tcPr>
            <w:tcW w:w="1559" w:type="dxa"/>
            <w:shd w:val="clear" w:color="auto" w:fill="C6EFCE"/>
            <w:noWrap/>
            <w:vAlign w:val="center"/>
            <w:hideMark/>
          </w:tcPr>
          <w:p w14:paraId="10B54B4A" w14:textId="77777777" w:rsidR="00327FF1" w:rsidRDefault="00E406C7">
            <w:pPr>
              <w:pStyle w:val="P68B1DB1-Normal11"/>
              <w:jc w:val="center"/>
              <w:rPr>
                <w:noProof/>
                <w:szCs w:val="20"/>
              </w:rPr>
            </w:pPr>
            <w:r>
              <w:rPr>
                <w:noProof/>
              </w:rPr>
              <w:t>Stājas spēkā ministrijas dekrēti, ar ko apstiprina darbības plānus visām astoņām speciālajām</w:t>
            </w:r>
            <w:r>
              <w:rPr>
                <w:noProof/>
              </w:rPr>
              <w:t xml:space="preserve"> ekonomiskajām zonām</w:t>
            </w:r>
          </w:p>
        </w:tc>
        <w:tc>
          <w:tcPr>
            <w:tcW w:w="1701" w:type="dxa"/>
            <w:shd w:val="clear" w:color="auto" w:fill="C6EFCE"/>
            <w:noWrap/>
            <w:vAlign w:val="center"/>
            <w:hideMark/>
          </w:tcPr>
          <w:p w14:paraId="16161307" w14:textId="77777777" w:rsidR="00327FF1" w:rsidRDefault="00E406C7">
            <w:pPr>
              <w:pStyle w:val="P68B1DB1-Normal11"/>
              <w:jc w:val="center"/>
              <w:rPr>
                <w:noProof/>
                <w:szCs w:val="20"/>
              </w:rPr>
            </w:pPr>
            <w:r>
              <w:rPr>
                <w:noProof/>
              </w:rPr>
              <w:t>Likuma noteikums par ministrijas dekrētu stāšanās spēkā norādīšanu.</w:t>
            </w:r>
          </w:p>
        </w:tc>
        <w:tc>
          <w:tcPr>
            <w:tcW w:w="1276" w:type="dxa"/>
            <w:shd w:val="clear" w:color="auto" w:fill="C6EFCE"/>
            <w:noWrap/>
            <w:vAlign w:val="center"/>
            <w:hideMark/>
          </w:tcPr>
          <w:p w14:paraId="67E4AF69" w14:textId="77777777" w:rsidR="00327FF1" w:rsidRDefault="00E406C7">
            <w:pPr>
              <w:pStyle w:val="P68B1DB1-Normal11"/>
              <w:jc w:val="center"/>
              <w:rPr>
                <w:noProof/>
                <w:szCs w:val="20"/>
              </w:rPr>
            </w:pPr>
            <w:r>
              <w:rPr>
                <w:noProof/>
              </w:rPr>
              <w:t>NEPIEMĒRO</w:t>
            </w:r>
          </w:p>
        </w:tc>
        <w:tc>
          <w:tcPr>
            <w:tcW w:w="1276" w:type="dxa"/>
            <w:shd w:val="clear" w:color="auto" w:fill="C6EFCE"/>
            <w:noWrap/>
            <w:vAlign w:val="center"/>
          </w:tcPr>
          <w:p w14:paraId="4B2A2E01" w14:textId="77777777" w:rsidR="00327FF1" w:rsidRDefault="00E406C7">
            <w:pPr>
              <w:pStyle w:val="P68B1DB1-Normal11"/>
              <w:jc w:val="center"/>
              <w:rPr>
                <w:noProof/>
                <w:szCs w:val="20"/>
              </w:rPr>
            </w:pPr>
            <w:r>
              <w:rPr>
                <w:noProof/>
              </w:rPr>
              <w:t>NEPIEMĒRO</w:t>
            </w:r>
          </w:p>
        </w:tc>
        <w:tc>
          <w:tcPr>
            <w:tcW w:w="709" w:type="dxa"/>
            <w:shd w:val="clear" w:color="auto" w:fill="C6EFCE"/>
            <w:noWrap/>
            <w:vAlign w:val="center"/>
          </w:tcPr>
          <w:p w14:paraId="2C33B48E" w14:textId="77777777" w:rsidR="00327FF1" w:rsidRDefault="00E406C7">
            <w:pPr>
              <w:pStyle w:val="P68B1DB1-Normal11"/>
              <w:jc w:val="center"/>
              <w:rPr>
                <w:noProof/>
                <w:szCs w:val="20"/>
              </w:rPr>
            </w:pPr>
            <w:r>
              <w:rPr>
                <w:noProof/>
              </w:rPr>
              <w:t>NEPIEMĒRO</w:t>
            </w:r>
          </w:p>
        </w:tc>
        <w:tc>
          <w:tcPr>
            <w:tcW w:w="992" w:type="dxa"/>
            <w:shd w:val="clear" w:color="auto" w:fill="C6EFCE"/>
            <w:noWrap/>
            <w:vAlign w:val="center"/>
            <w:hideMark/>
          </w:tcPr>
          <w:p w14:paraId="56A27D68" w14:textId="77777777" w:rsidR="00327FF1" w:rsidRDefault="00E406C7">
            <w:pPr>
              <w:pStyle w:val="P68B1DB1-Normal11"/>
              <w:jc w:val="center"/>
              <w:rPr>
                <w:noProof/>
                <w:szCs w:val="20"/>
              </w:rPr>
            </w:pPr>
            <w:r>
              <w:rPr>
                <w:noProof/>
              </w:rPr>
              <w:t>4. CET.</w:t>
            </w:r>
          </w:p>
        </w:tc>
        <w:tc>
          <w:tcPr>
            <w:tcW w:w="709" w:type="dxa"/>
            <w:shd w:val="clear" w:color="auto" w:fill="C6EFCE"/>
            <w:noWrap/>
            <w:vAlign w:val="center"/>
            <w:hideMark/>
          </w:tcPr>
          <w:p w14:paraId="32B1E61C" w14:textId="77777777" w:rsidR="00327FF1" w:rsidRDefault="00E406C7">
            <w:pPr>
              <w:pStyle w:val="P68B1DB1-Normal11"/>
              <w:jc w:val="center"/>
              <w:rPr>
                <w:noProof/>
                <w:szCs w:val="20"/>
              </w:rPr>
            </w:pPr>
            <w:r>
              <w:rPr>
                <w:noProof/>
              </w:rPr>
              <w:t>2021</w:t>
            </w:r>
          </w:p>
        </w:tc>
        <w:tc>
          <w:tcPr>
            <w:tcW w:w="3049" w:type="dxa"/>
            <w:shd w:val="clear" w:color="auto" w:fill="C6EFCE"/>
            <w:noWrap/>
            <w:vAlign w:val="center"/>
            <w:hideMark/>
          </w:tcPr>
          <w:p w14:paraId="6DD58627" w14:textId="77777777" w:rsidR="00327FF1" w:rsidRDefault="00E406C7">
            <w:pPr>
              <w:pStyle w:val="P68B1DB1-Normal11"/>
              <w:rPr>
                <w:noProof/>
              </w:rPr>
            </w:pPr>
            <w:r>
              <w:rPr>
                <w:noProof/>
              </w:rPr>
              <w:t xml:space="preserve">Ar dekrētu piešķir resursus par īstenošanu atbildīgajām personām un nosaka īpašus nosacījumus, lai izvairītos no jebkādas </w:t>
            </w:r>
            <w:r>
              <w:rPr>
                <w:noProof/>
              </w:rPr>
              <w:t>intervences ietekmes uz vidi.</w:t>
            </w:r>
          </w:p>
          <w:p w14:paraId="33887909" w14:textId="77777777" w:rsidR="00327FF1" w:rsidRDefault="00E406C7">
            <w:pPr>
              <w:pStyle w:val="P68B1DB1-Normal11"/>
              <w:rPr>
                <w:noProof/>
                <w:szCs w:val="20"/>
              </w:rPr>
            </w:pPr>
            <w:r>
              <w:rPr>
                <w:noProof/>
              </w:rPr>
              <w:t>Visus konkursus izsludina ar darba uzdevumiem, tostarp atbilstības kritērijiem, kas nodrošina, ka atlasītie projekti atbilst Tehniskajiem norādījumiem “nenodari būtisku kaitējumu” (2021/C58/01), izmantojot izslēgšanas sarakstu</w:t>
            </w:r>
            <w:r>
              <w:rPr>
                <w:noProof/>
              </w:rPr>
              <w:t xml:space="preserve"> un prasību par atbilstību attiecīgajiem ES un valsts tiesību aktiem vides jomā.</w:t>
            </w:r>
          </w:p>
        </w:tc>
      </w:tr>
      <w:tr w:rsidR="00327FF1" w14:paraId="2DB7B415" w14:textId="77777777">
        <w:trPr>
          <w:trHeight w:val="313"/>
        </w:trPr>
        <w:tc>
          <w:tcPr>
            <w:tcW w:w="1418" w:type="dxa"/>
            <w:shd w:val="clear" w:color="auto" w:fill="C6EFCE"/>
            <w:noWrap/>
            <w:vAlign w:val="center"/>
          </w:tcPr>
          <w:p w14:paraId="06286FCD" w14:textId="77777777" w:rsidR="00327FF1" w:rsidRDefault="00E406C7">
            <w:pPr>
              <w:pStyle w:val="P68B1DB1-Normal12"/>
              <w:jc w:val="center"/>
              <w:rPr>
                <w:noProof/>
              </w:rPr>
            </w:pPr>
            <w:r>
              <w:rPr>
                <w:noProof/>
              </w:rPr>
              <w:t>M5C3–12</w:t>
            </w:r>
          </w:p>
        </w:tc>
        <w:tc>
          <w:tcPr>
            <w:tcW w:w="1701" w:type="dxa"/>
            <w:shd w:val="clear" w:color="auto" w:fill="C6EFCE"/>
            <w:noWrap/>
            <w:vAlign w:val="center"/>
          </w:tcPr>
          <w:p w14:paraId="5855B941" w14:textId="77777777" w:rsidR="00327FF1" w:rsidRDefault="00E406C7">
            <w:pPr>
              <w:pStyle w:val="P68B1DB1-Normal11"/>
              <w:jc w:val="center"/>
              <w:rPr>
                <w:noProof/>
                <w:szCs w:val="20"/>
              </w:rPr>
            </w:pPr>
            <w:r>
              <w:rPr>
                <w:noProof/>
              </w:rPr>
              <w:t>Investīcija Nr. 1.4: Ieguldījumi speciālajā ekonomiskajā zonā infrastruktūrā</w:t>
            </w:r>
          </w:p>
        </w:tc>
        <w:tc>
          <w:tcPr>
            <w:tcW w:w="1276" w:type="dxa"/>
            <w:shd w:val="clear" w:color="auto" w:fill="C6EFCE"/>
            <w:noWrap/>
            <w:vAlign w:val="center"/>
          </w:tcPr>
          <w:p w14:paraId="6BB0CBC7" w14:textId="77777777" w:rsidR="00327FF1" w:rsidRDefault="00E406C7">
            <w:pPr>
              <w:pStyle w:val="P68B1DB1-Normal11"/>
              <w:jc w:val="center"/>
              <w:rPr>
                <w:noProof/>
                <w:szCs w:val="20"/>
              </w:rPr>
            </w:pPr>
            <w:r>
              <w:rPr>
                <w:noProof/>
              </w:rPr>
              <w:t>Mērķa</w:t>
            </w:r>
          </w:p>
        </w:tc>
        <w:tc>
          <w:tcPr>
            <w:tcW w:w="1559" w:type="dxa"/>
            <w:shd w:val="clear" w:color="auto" w:fill="C6EFCE"/>
            <w:noWrap/>
            <w:vAlign w:val="center"/>
          </w:tcPr>
          <w:p w14:paraId="788670F9" w14:textId="77777777" w:rsidR="00327FF1" w:rsidRDefault="00E406C7">
            <w:pPr>
              <w:pStyle w:val="P68B1DB1-Normal12"/>
              <w:jc w:val="center"/>
              <w:rPr>
                <w:noProof/>
              </w:rPr>
            </w:pPr>
            <w:r>
              <w:rPr>
                <w:noProof/>
              </w:rPr>
              <w:t>Infrastruktūras projektu darbu uzsākšana speciālajā ekonomiskajā zonā</w:t>
            </w:r>
          </w:p>
        </w:tc>
        <w:tc>
          <w:tcPr>
            <w:tcW w:w="1701" w:type="dxa"/>
            <w:shd w:val="clear" w:color="auto" w:fill="C6EFCE"/>
            <w:noWrap/>
            <w:vAlign w:val="center"/>
          </w:tcPr>
          <w:p w14:paraId="58A8FF02" w14:textId="77777777" w:rsidR="00327FF1" w:rsidRDefault="00E406C7">
            <w:pPr>
              <w:pStyle w:val="P68B1DB1-Normal11"/>
              <w:jc w:val="center"/>
              <w:rPr>
                <w:noProof/>
                <w:szCs w:val="20"/>
              </w:rPr>
            </w:pPr>
            <w:r>
              <w:rPr>
                <w:noProof/>
              </w:rPr>
              <w:t>NEPIEMĒRO</w:t>
            </w:r>
          </w:p>
        </w:tc>
        <w:tc>
          <w:tcPr>
            <w:tcW w:w="1276" w:type="dxa"/>
            <w:shd w:val="clear" w:color="auto" w:fill="C6EFCE"/>
            <w:noWrap/>
            <w:vAlign w:val="center"/>
          </w:tcPr>
          <w:p w14:paraId="664BE7FC"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090F9CD8" w14:textId="77777777" w:rsidR="00327FF1" w:rsidRDefault="00E406C7">
            <w:pPr>
              <w:pStyle w:val="P68B1DB1-Normal11"/>
              <w:jc w:val="center"/>
              <w:rPr>
                <w:noProof/>
                <w:szCs w:val="20"/>
              </w:rPr>
            </w:pPr>
            <w:r>
              <w:rPr>
                <w:noProof/>
              </w:rPr>
              <w:t>0</w:t>
            </w:r>
          </w:p>
        </w:tc>
        <w:tc>
          <w:tcPr>
            <w:tcW w:w="709" w:type="dxa"/>
            <w:shd w:val="clear" w:color="auto" w:fill="C6EFCE"/>
            <w:noWrap/>
            <w:vAlign w:val="center"/>
          </w:tcPr>
          <w:p w14:paraId="3700CC55" w14:textId="77777777" w:rsidR="00327FF1" w:rsidRDefault="00E406C7">
            <w:pPr>
              <w:pStyle w:val="P68B1DB1-Normal11"/>
              <w:jc w:val="center"/>
              <w:rPr>
                <w:noProof/>
                <w:szCs w:val="20"/>
              </w:rPr>
            </w:pPr>
            <w:r>
              <w:rPr>
                <w:noProof/>
              </w:rPr>
              <w:t>53</w:t>
            </w:r>
          </w:p>
        </w:tc>
        <w:tc>
          <w:tcPr>
            <w:tcW w:w="992" w:type="dxa"/>
            <w:shd w:val="clear" w:color="auto" w:fill="C6EFCE"/>
            <w:noWrap/>
            <w:vAlign w:val="center"/>
          </w:tcPr>
          <w:p w14:paraId="34ABA5C2" w14:textId="77777777" w:rsidR="00327FF1" w:rsidRDefault="00E406C7">
            <w:pPr>
              <w:pStyle w:val="P68B1DB1-Normal11"/>
              <w:jc w:val="center"/>
              <w:rPr>
                <w:noProof/>
                <w:szCs w:val="20"/>
              </w:rPr>
            </w:pPr>
            <w:r>
              <w:rPr>
                <w:noProof/>
              </w:rPr>
              <w:t>4. CET.</w:t>
            </w:r>
          </w:p>
        </w:tc>
        <w:tc>
          <w:tcPr>
            <w:tcW w:w="709" w:type="dxa"/>
            <w:shd w:val="clear" w:color="auto" w:fill="C6EFCE"/>
            <w:noWrap/>
            <w:vAlign w:val="center"/>
          </w:tcPr>
          <w:p w14:paraId="3802C4E4" w14:textId="77777777" w:rsidR="00327FF1" w:rsidRDefault="00E406C7">
            <w:pPr>
              <w:pStyle w:val="P68B1DB1-Normal11"/>
              <w:jc w:val="center"/>
              <w:rPr>
                <w:noProof/>
                <w:szCs w:val="20"/>
              </w:rPr>
            </w:pPr>
            <w:r>
              <w:rPr>
                <w:noProof/>
              </w:rPr>
              <w:t>2024</w:t>
            </w:r>
          </w:p>
        </w:tc>
        <w:tc>
          <w:tcPr>
            <w:tcW w:w="3049" w:type="dxa"/>
            <w:shd w:val="clear" w:color="auto" w:fill="C6EFCE"/>
            <w:noWrap/>
            <w:vAlign w:val="center"/>
          </w:tcPr>
          <w:p w14:paraId="5D482842" w14:textId="77777777" w:rsidR="00327FF1" w:rsidRDefault="00E406C7">
            <w:pPr>
              <w:pStyle w:val="P68B1DB1-Normal12"/>
              <w:rPr>
                <w:noProof/>
              </w:rPr>
            </w:pPr>
            <w:r>
              <w:rPr>
                <w:noProof/>
              </w:rPr>
              <w:t>Infrastruktūras projektus unikāli identificē Codice Locale di Progetto (CLP).</w:t>
            </w:r>
          </w:p>
          <w:p w14:paraId="343D461E" w14:textId="77777777" w:rsidR="00327FF1" w:rsidRDefault="00E406C7">
            <w:pPr>
              <w:pStyle w:val="P68B1DB1-Normal12"/>
              <w:rPr>
                <w:noProof/>
              </w:rPr>
            </w:pPr>
            <w:r>
              <w:rPr>
                <w:noProof/>
              </w:rPr>
              <w:t>Ir uzsākti darbi vismaz 53 projektiem, kas noteikti Dekrētā par resursu piešķiršanu.</w:t>
            </w:r>
          </w:p>
        </w:tc>
      </w:tr>
      <w:tr w:rsidR="00327FF1" w14:paraId="48DFB072" w14:textId="77777777">
        <w:trPr>
          <w:trHeight w:val="313"/>
        </w:trPr>
        <w:tc>
          <w:tcPr>
            <w:tcW w:w="1418" w:type="dxa"/>
            <w:shd w:val="clear" w:color="auto" w:fill="C6EFCE"/>
            <w:noWrap/>
            <w:vAlign w:val="center"/>
          </w:tcPr>
          <w:p w14:paraId="7B845288" w14:textId="77777777" w:rsidR="00327FF1" w:rsidRDefault="00E406C7">
            <w:pPr>
              <w:pStyle w:val="P68B1DB1-Normal11"/>
              <w:jc w:val="center"/>
              <w:rPr>
                <w:noProof/>
                <w:szCs w:val="20"/>
              </w:rPr>
            </w:pPr>
            <w:r>
              <w:rPr>
                <w:noProof/>
              </w:rPr>
              <w:t>M5C3–13</w:t>
            </w:r>
          </w:p>
        </w:tc>
        <w:tc>
          <w:tcPr>
            <w:tcW w:w="1701" w:type="dxa"/>
            <w:shd w:val="clear" w:color="auto" w:fill="C6EFCE"/>
            <w:noWrap/>
            <w:vAlign w:val="center"/>
          </w:tcPr>
          <w:p w14:paraId="1E5F217F" w14:textId="77777777" w:rsidR="00327FF1" w:rsidRDefault="00E406C7">
            <w:pPr>
              <w:pStyle w:val="P68B1DB1-Normal11"/>
              <w:jc w:val="center"/>
              <w:rPr>
                <w:noProof/>
                <w:szCs w:val="20"/>
              </w:rPr>
            </w:pPr>
            <w:r>
              <w:rPr>
                <w:noProof/>
              </w:rPr>
              <w:t xml:space="preserve">Investīcija Nr. 1.4: Ieguldījumi speciālajā ekonomiskajā </w:t>
            </w:r>
            <w:r>
              <w:rPr>
                <w:noProof/>
              </w:rPr>
              <w:t>zonā infrastruktūrā</w:t>
            </w:r>
          </w:p>
        </w:tc>
        <w:tc>
          <w:tcPr>
            <w:tcW w:w="1276" w:type="dxa"/>
            <w:shd w:val="clear" w:color="auto" w:fill="C6EFCE"/>
            <w:noWrap/>
            <w:vAlign w:val="center"/>
          </w:tcPr>
          <w:p w14:paraId="4294C2CE" w14:textId="77777777" w:rsidR="00327FF1" w:rsidRDefault="00E406C7">
            <w:pPr>
              <w:pStyle w:val="P68B1DB1-Normal11"/>
              <w:jc w:val="center"/>
              <w:rPr>
                <w:noProof/>
                <w:szCs w:val="20"/>
              </w:rPr>
            </w:pPr>
            <w:r>
              <w:rPr>
                <w:noProof/>
              </w:rPr>
              <w:t>Mērķa</w:t>
            </w:r>
          </w:p>
        </w:tc>
        <w:tc>
          <w:tcPr>
            <w:tcW w:w="1559" w:type="dxa"/>
            <w:shd w:val="clear" w:color="auto" w:fill="C6EFCE"/>
            <w:noWrap/>
            <w:vAlign w:val="center"/>
          </w:tcPr>
          <w:p w14:paraId="60021F1E" w14:textId="77777777" w:rsidR="00327FF1" w:rsidRDefault="00E406C7">
            <w:pPr>
              <w:pStyle w:val="P68B1DB1-Normal12"/>
              <w:jc w:val="center"/>
              <w:rPr>
                <w:rFonts w:eastAsia="Calibri"/>
                <w:noProof/>
              </w:rPr>
            </w:pPr>
            <w:r>
              <w:rPr>
                <w:noProof/>
              </w:rPr>
              <w:t>Infrastruktūras projektu pabeigšana speciālajā ekonomiskajā zonā</w:t>
            </w:r>
          </w:p>
        </w:tc>
        <w:tc>
          <w:tcPr>
            <w:tcW w:w="1701" w:type="dxa"/>
            <w:shd w:val="clear" w:color="auto" w:fill="C6EFCE"/>
            <w:noWrap/>
            <w:vAlign w:val="center"/>
          </w:tcPr>
          <w:p w14:paraId="4C70AA46" w14:textId="77777777" w:rsidR="00327FF1" w:rsidRDefault="00E406C7">
            <w:pPr>
              <w:pStyle w:val="P68B1DB1-Normal11"/>
              <w:jc w:val="center"/>
              <w:rPr>
                <w:noProof/>
                <w:szCs w:val="20"/>
              </w:rPr>
            </w:pPr>
            <w:r>
              <w:rPr>
                <w:noProof/>
              </w:rPr>
              <w:t>NEPIEMĒRO</w:t>
            </w:r>
          </w:p>
        </w:tc>
        <w:tc>
          <w:tcPr>
            <w:tcW w:w="1276" w:type="dxa"/>
            <w:shd w:val="clear" w:color="auto" w:fill="C6EFCE"/>
            <w:noWrap/>
            <w:vAlign w:val="center"/>
          </w:tcPr>
          <w:p w14:paraId="19411A3F" w14:textId="77777777" w:rsidR="00327FF1" w:rsidRDefault="00E406C7">
            <w:pPr>
              <w:pStyle w:val="P68B1DB1-Normal11"/>
              <w:jc w:val="center"/>
              <w:rPr>
                <w:noProof/>
                <w:szCs w:val="20"/>
              </w:rPr>
            </w:pPr>
            <w:r>
              <w:rPr>
                <w:noProof/>
              </w:rPr>
              <w:t>Skaits</w:t>
            </w:r>
          </w:p>
        </w:tc>
        <w:tc>
          <w:tcPr>
            <w:tcW w:w="1276" w:type="dxa"/>
            <w:shd w:val="clear" w:color="auto" w:fill="C6EFCE"/>
            <w:noWrap/>
            <w:vAlign w:val="center"/>
          </w:tcPr>
          <w:p w14:paraId="71989C0E" w14:textId="77777777" w:rsidR="00327FF1" w:rsidRDefault="00E406C7">
            <w:pPr>
              <w:pStyle w:val="P68B1DB1-Normal11"/>
              <w:jc w:val="center"/>
              <w:rPr>
                <w:noProof/>
                <w:szCs w:val="20"/>
              </w:rPr>
            </w:pPr>
            <w:r>
              <w:rPr>
                <w:noProof/>
              </w:rPr>
              <w:t>0</w:t>
            </w:r>
          </w:p>
        </w:tc>
        <w:tc>
          <w:tcPr>
            <w:tcW w:w="709" w:type="dxa"/>
            <w:shd w:val="clear" w:color="auto" w:fill="C6EFCE"/>
            <w:noWrap/>
            <w:vAlign w:val="center"/>
          </w:tcPr>
          <w:p w14:paraId="06A7B5A2" w14:textId="77777777" w:rsidR="00327FF1" w:rsidRDefault="00E406C7">
            <w:pPr>
              <w:pStyle w:val="P68B1DB1-Normal11"/>
              <w:jc w:val="center"/>
              <w:rPr>
                <w:noProof/>
                <w:szCs w:val="20"/>
              </w:rPr>
            </w:pPr>
            <w:r>
              <w:rPr>
                <w:noProof/>
              </w:rPr>
              <w:t>46</w:t>
            </w:r>
          </w:p>
        </w:tc>
        <w:tc>
          <w:tcPr>
            <w:tcW w:w="992" w:type="dxa"/>
            <w:shd w:val="clear" w:color="auto" w:fill="C6EFCE"/>
            <w:noWrap/>
            <w:vAlign w:val="center"/>
          </w:tcPr>
          <w:p w14:paraId="6AEFB4BB" w14:textId="77777777" w:rsidR="00327FF1" w:rsidRDefault="00E406C7">
            <w:pPr>
              <w:pStyle w:val="P68B1DB1-Normal11"/>
              <w:jc w:val="center"/>
              <w:rPr>
                <w:noProof/>
                <w:szCs w:val="20"/>
              </w:rPr>
            </w:pPr>
            <w:r>
              <w:rPr>
                <w:noProof/>
              </w:rPr>
              <w:t>2. CET.</w:t>
            </w:r>
          </w:p>
        </w:tc>
        <w:tc>
          <w:tcPr>
            <w:tcW w:w="709" w:type="dxa"/>
            <w:shd w:val="clear" w:color="auto" w:fill="C6EFCE"/>
            <w:noWrap/>
            <w:vAlign w:val="center"/>
          </w:tcPr>
          <w:p w14:paraId="08F56292" w14:textId="77777777" w:rsidR="00327FF1" w:rsidRDefault="00E406C7">
            <w:pPr>
              <w:pStyle w:val="P68B1DB1-Normal11"/>
              <w:jc w:val="center"/>
              <w:rPr>
                <w:noProof/>
                <w:szCs w:val="20"/>
              </w:rPr>
            </w:pPr>
            <w:r>
              <w:rPr>
                <w:noProof/>
              </w:rPr>
              <w:t>2026</w:t>
            </w:r>
          </w:p>
        </w:tc>
        <w:tc>
          <w:tcPr>
            <w:tcW w:w="3049" w:type="dxa"/>
            <w:shd w:val="clear" w:color="auto" w:fill="C6EFCE"/>
            <w:noWrap/>
            <w:vAlign w:val="center"/>
          </w:tcPr>
          <w:p w14:paraId="48D33F99" w14:textId="77777777" w:rsidR="00327FF1" w:rsidRDefault="00E406C7">
            <w:pPr>
              <w:pStyle w:val="P68B1DB1-Normal12"/>
              <w:rPr>
                <w:noProof/>
              </w:rPr>
            </w:pPr>
            <w:r>
              <w:rPr>
                <w:noProof/>
              </w:rPr>
              <w:t xml:space="preserve">Sertifikātus par darbu pabeigšanu izsniedz vismaz 46 projektiem, kas izveidoti ar Dekrētu par resursu piešķiršanu un ko ir īpaši </w:t>
            </w:r>
            <w:r>
              <w:rPr>
                <w:noProof/>
              </w:rPr>
              <w:t>identificējusi Codice Locale di Progetto (CLP). Pabeigto projektu sarakstā iekļauj:</w:t>
            </w:r>
          </w:p>
          <w:p w14:paraId="6B3BB223" w14:textId="77777777" w:rsidR="00327FF1" w:rsidRDefault="00E406C7">
            <w:pPr>
              <w:pStyle w:val="P68B1DB1-ListParagraph15"/>
              <w:numPr>
                <w:ilvl w:val="0"/>
                <w:numId w:val="36"/>
              </w:numPr>
              <w:spacing w:before="120" w:after="120" w:line="240" w:lineRule="auto"/>
              <w:jc w:val="both"/>
              <w:rPr>
                <w:noProof/>
              </w:rPr>
            </w:pPr>
            <w:r>
              <w:rPr>
                <w:noProof/>
              </w:rPr>
              <w:t>Porto di Salerno. Apgabala portuale. Consolidamento ed adeguamento funzionale di alcuni moli e banchine (CLP: G51B21003170006)</w:t>
            </w:r>
          </w:p>
          <w:p w14:paraId="6C2DD595" w14:textId="77777777" w:rsidR="00327FF1" w:rsidRDefault="00E406C7">
            <w:pPr>
              <w:pStyle w:val="P68B1DB1-ListParagraph15"/>
              <w:numPr>
                <w:ilvl w:val="0"/>
                <w:numId w:val="36"/>
              </w:numPr>
              <w:spacing w:before="120" w:after="120" w:line="240" w:lineRule="auto"/>
              <w:jc w:val="both"/>
              <w:rPr>
                <w:noProof/>
              </w:rPr>
            </w:pPr>
            <w:r>
              <w:rPr>
                <w:noProof/>
              </w:rPr>
              <w:t>Porto di Napoli. Apgabala portuale. Prolungam</w:t>
            </w:r>
            <w:r>
              <w:rPr>
                <w:noProof/>
              </w:rPr>
              <w:t>ento e rafforzamento della diga Duca D’Aosta (CLP: G65F20001560006)</w:t>
            </w:r>
          </w:p>
          <w:p w14:paraId="3567B27C" w14:textId="0D540804" w:rsidR="00327FF1" w:rsidRDefault="00E406C7">
            <w:pPr>
              <w:pStyle w:val="P68B1DB1-ListParagraph15"/>
              <w:numPr>
                <w:ilvl w:val="0"/>
                <w:numId w:val="36"/>
              </w:numPr>
              <w:spacing w:before="120" w:after="120" w:line="240" w:lineRule="auto"/>
              <w:jc w:val="both"/>
              <w:rPr>
                <w:noProof/>
              </w:rPr>
            </w:pPr>
            <w:r>
              <w:rPr>
                <w:noProof/>
              </w:rPr>
              <w:t>Porto di Salerno. Dragaggio del porto commerciale di Salerno e del canale di ingresso — fase 2 — Molo di ponente (CLP: G51B21003160006)</w:t>
            </w:r>
          </w:p>
          <w:p w14:paraId="6A1BD5A3" w14:textId="2505C3A2" w:rsidR="00327FF1" w:rsidRDefault="00E406C7">
            <w:pPr>
              <w:pStyle w:val="P68B1DB1-ListParagraph15"/>
              <w:numPr>
                <w:ilvl w:val="0"/>
                <w:numId w:val="36"/>
              </w:numPr>
              <w:spacing w:before="120" w:after="120" w:line="240" w:lineRule="auto"/>
              <w:jc w:val="both"/>
              <w:rPr>
                <w:noProof/>
                <w:szCs w:val="20"/>
              </w:rPr>
            </w:pPr>
            <w:r>
              <w:rPr>
                <w:noProof/>
              </w:rPr>
              <w:t>Porto Canale Di Kaljāri. Apgabala portuale. Avamport</w:t>
            </w:r>
            <w:r>
              <w:rPr>
                <w:noProof/>
              </w:rPr>
              <w:t>i: realizzazione di nuovi banchinamenti per l’ormeggio di navi Traghetto ro-ro ro-ro (CLP: D21G06000020003)</w:t>
            </w:r>
          </w:p>
        </w:tc>
      </w:tr>
      <w:tr w:rsidR="00327FF1" w14:paraId="6EE55BF5" w14:textId="77777777">
        <w:trPr>
          <w:trHeight w:val="313"/>
        </w:trPr>
        <w:tc>
          <w:tcPr>
            <w:tcW w:w="1418" w:type="dxa"/>
            <w:shd w:val="clear" w:color="auto" w:fill="C6EFCE"/>
            <w:noWrap/>
            <w:vAlign w:val="center"/>
          </w:tcPr>
          <w:p w14:paraId="4880E446" w14:textId="014CB753" w:rsidR="00327FF1" w:rsidRDefault="00E406C7">
            <w:pPr>
              <w:pStyle w:val="P68B1DB1-Normal11"/>
              <w:jc w:val="center"/>
              <w:rPr>
                <w:noProof/>
                <w:highlight w:val="yellow"/>
              </w:rPr>
            </w:pPr>
            <w:r>
              <w:rPr>
                <w:noProof/>
              </w:rPr>
              <w:t>M5C3–14</w:t>
            </w:r>
          </w:p>
        </w:tc>
        <w:tc>
          <w:tcPr>
            <w:tcW w:w="1701" w:type="dxa"/>
            <w:shd w:val="clear" w:color="auto" w:fill="C6EFCE"/>
            <w:noWrap/>
            <w:vAlign w:val="center"/>
          </w:tcPr>
          <w:p w14:paraId="13C229A0" w14:textId="5CD59A6E" w:rsidR="00327FF1" w:rsidRDefault="00E406C7">
            <w:pPr>
              <w:pStyle w:val="P68B1DB1-Normal11"/>
              <w:jc w:val="center"/>
              <w:rPr>
                <w:noProof/>
                <w:highlight w:val="yellow"/>
              </w:rPr>
            </w:pPr>
            <w:r>
              <w:rPr>
                <w:noProof/>
              </w:rPr>
              <w:t>Investīcija Nr. 1.5: Nodokļu kredītu shēma ieguldījumiem Dienviditālijā un speciālajā ekonomiskajā zonā (SEZ)</w:t>
            </w:r>
          </w:p>
        </w:tc>
        <w:tc>
          <w:tcPr>
            <w:tcW w:w="1276" w:type="dxa"/>
            <w:shd w:val="clear" w:color="auto" w:fill="C6EFCE"/>
            <w:noWrap/>
            <w:vAlign w:val="center"/>
          </w:tcPr>
          <w:p w14:paraId="1AC38A96" w14:textId="5034A2F7" w:rsidR="00327FF1" w:rsidRDefault="00E406C7">
            <w:pPr>
              <w:pStyle w:val="P68B1DB1-Normal11"/>
              <w:jc w:val="center"/>
              <w:rPr>
                <w:noProof/>
                <w:highlight w:val="yellow"/>
              </w:rPr>
            </w:pPr>
            <w:r>
              <w:rPr>
                <w:noProof/>
              </w:rPr>
              <w:t>Mērķa</w:t>
            </w:r>
          </w:p>
        </w:tc>
        <w:tc>
          <w:tcPr>
            <w:tcW w:w="1559" w:type="dxa"/>
            <w:shd w:val="clear" w:color="auto" w:fill="C6EFCE"/>
            <w:noWrap/>
            <w:vAlign w:val="center"/>
          </w:tcPr>
          <w:p w14:paraId="5AA85D74" w14:textId="5F4F55BB" w:rsidR="00327FF1" w:rsidRDefault="00E406C7">
            <w:pPr>
              <w:pStyle w:val="P68B1DB1-Normal12"/>
              <w:jc w:val="center"/>
              <w:rPr>
                <w:noProof/>
                <w:highlight w:val="yellow"/>
              </w:rPr>
            </w:pPr>
            <w:r>
              <w:rPr>
                <w:noProof/>
              </w:rPr>
              <w:t xml:space="preserve">Nodokļu atlaides Dienviditālijā un speciālajā ekonomiskajā zonā (SEZ) </w:t>
            </w:r>
          </w:p>
        </w:tc>
        <w:tc>
          <w:tcPr>
            <w:tcW w:w="1701" w:type="dxa"/>
            <w:shd w:val="clear" w:color="auto" w:fill="C6EFCE"/>
            <w:noWrap/>
            <w:vAlign w:val="center"/>
          </w:tcPr>
          <w:p w14:paraId="0816177E" w14:textId="3BD6617D" w:rsidR="00327FF1" w:rsidRDefault="00E406C7">
            <w:pPr>
              <w:pStyle w:val="P68B1DB1-Normal11"/>
              <w:jc w:val="center"/>
              <w:rPr>
                <w:noProof/>
                <w:highlight w:val="yellow"/>
              </w:rPr>
            </w:pPr>
            <w:r>
              <w:rPr>
                <w:noProof/>
              </w:rPr>
              <w:t>NEPIEMĒRO</w:t>
            </w:r>
          </w:p>
        </w:tc>
        <w:tc>
          <w:tcPr>
            <w:tcW w:w="1276" w:type="dxa"/>
            <w:shd w:val="clear" w:color="auto" w:fill="C6EFCE"/>
            <w:noWrap/>
            <w:vAlign w:val="center"/>
          </w:tcPr>
          <w:p w14:paraId="528FE2E9" w14:textId="0198BE14" w:rsidR="00327FF1" w:rsidRDefault="00E406C7">
            <w:pPr>
              <w:pStyle w:val="P68B1DB1-Normal11"/>
              <w:jc w:val="center"/>
              <w:rPr>
                <w:noProof/>
                <w:highlight w:val="yellow"/>
              </w:rPr>
            </w:pPr>
            <w:r>
              <w:rPr>
                <w:noProof/>
              </w:rPr>
              <w:t>Piešķirto līdzekļu summa (EUR)</w:t>
            </w:r>
          </w:p>
        </w:tc>
        <w:tc>
          <w:tcPr>
            <w:tcW w:w="1276" w:type="dxa"/>
            <w:shd w:val="clear" w:color="auto" w:fill="C6EFCE"/>
            <w:noWrap/>
            <w:vAlign w:val="center"/>
          </w:tcPr>
          <w:p w14:paraId="7500EFF0" w14:textId="2976A4A4" w:rsidR="00327FF1" w:rsidRDefault="00E406C7">
            <w:pPr>
              <w:pStyle w:val="P68B1DB1-Normal11"/>
              <w:jc w:val="center"/>
              <w:rPr>
                <w:noProof/>
                <w:highlight w:val="yellow"/>
              </w:rPr>
            </w:pPr>
            <w:r>
              <w:rPr>
                <w:noProof/>
              </w:rPr>
              <w:t>0</w:t>
            </w:r>
          </w:p>
        </w:tc>
        <w:tc>
          <w:tcPr>
            <w:tcW w:w="709" w:type="dxa"/>
            <w:shd w:val="clear" w:color="auto" w:fill="C6EFCE"/>
            <w:noWrap/>
            <w:vAlign w:val="center"/>
          </w:tcPr>
          <w:p w14:paraId="4001CE96" w14:textId="039D5FE6" w:rsidR="00327FF1" w:rsidRDefault="00E406C7">
            <w:pPr>
              <w:pStyle w:val="P68B1DB1-Normal12"/>
              <w:jc w:val="center"/>
              <w:rPr>
                <w:noProof/>
                <w:highlight w:val="yellow"/>
              </w:rPr>
            </w:pPr>
            <w:r>
              <w:rPr>
                <w:noProof/>
              </w:rPr>
              <w:t>500 000 000</w:t>
            </w:r>
          </w:p>
        </w:tc>
        <w:tc>
          <w:tcPr>
            <w:tcW w:w="992" w:type="dxa"/>
            <w:shd w:val="clear" w:color="auto" w:fill="C6EFCE"/>
            <w:noWrap/>
            <w:vAlign w:val="center"/>
          </w:tcPr>
          <w:p w14:paraId="205F28D6" w14:textId="5F6B1B6D" w:rsidR="00327FF1" w:rsidRDefault="00E406C7">
            <w:pPr>
              <w:pStyle w:val="P68B1DB1-Normal11"/>
              <w:jc w:val="center"/>
              <w:rPr>
                <w:noProof/>
                <w:highlight w:val="yellow"/>
              </w:rPr>
            </w:pPr>
            <w:r>
              <w:rPr>
                <w:noProof/>
              </w:rPr>
              <w:t>2. CET.</w:t>
            </w:r>
          </w:p>
        </w:tc>
        <w:tc>
          <w:tcPr>
            <w:tcW w:w="709" w:type="dxa"/>
            <w:shd w:val="clear" w:color="auto" w:fill="C6EFCE"/>
            <w:noWrap/>
            <w:vAlign w:val="center"/>
          </w:tcPr>
          <w:p w14:paraId="7DAE5322" w14:textId="6E4B4E40" w:rsidR="00327FF1" w:rsidRDefault="00E406C7">
            <w:pPr>
              <w:pStyle w:val="P68B1DB1-Normal11"/>
              <w:jc w:val="center"/>
              <w:rPr>
                <w:noProof/>
                <w:highlight w:val="yellow"/>
              </w:rPr>
            </w:pPr>
            <w:r>
              <w:rPr>
                <w:noProof/>
              </w:rPr>
              <w:t>2026</w:t>
            </w:r>
          </w:p>
        </w:tc>
        <w:tc>
          <w:tcPr>
            <w:tcW w:w="3049" w:type="dxa"/>
            <w:shd w:val="clear" w:color="auto" w:fill="C6EFCE"/>
            <w:noWrap/>
            <w:vAlign w:val="center"/>
          </w:tcPr>
          <w:p w14:paraId="30289040" w14:textId="2A6F2552" w:rsidR="00327FF1" w:rsidRDefault="00E406C7">
            <w:pPr>
              <w:pStyle w:val="P68B1DB1-Normal11"/>
              <w:rPr>
                <w:noProof/>
                <w:szCs w:val="20"/>
              </w:rPr>
            </w:pPr>
            <w:r>
              <w:rPr>
                <w:noProof/>
              </w:rPr>
              <w:t xml:space="preserve">Vismaz 500 000 000 EUR nodokļu kredītu piešķiršana uzņēmumiem par investīcijām vismaz 150000 </w:t>
            </w:r>
            <w:r>
              <w:rPr>
                <w:noProof/>
                <w:szCs w:val="20"/>
              </w:rPr>
              <w:t>EUR apmērā, kas laikposm</w:t>
            </w:r>
            <w:r>
              <w:rPr>
                <w:noProof/>
                <w:szCs w:val="20"/>
              </w:rPr>
              <w:t>ā no 2022. līdz 2025. gadam veiktas</w:t>
            </w:r>
            <w:r>
              <w:rPr>
                <w:noProof/>
              </w:rPr>
              <w:t xml:space="preserve"> dienvidu reģionos un dienvidu speciālajā ekonomiskajā zonā (SEZ).</w:t>
            </w:r>
          </w:p>
          <w:p w14:paraId="78EFC37B" w14:textId="77777777" w:rsidR="00327FF1" w:rsidRDefault="00E406C7">
            <w:pPr>
              <w:pStyle w:val="P68B1DB1-Normal12"/>
              <w:rPr>
                <w:noProof/>
              </w:rPr>
            </w:pPr>
            <w:r>
              <w:rPr>
                <w:noProof/>
              </w:rPr>
              <w:t>Pasākums ir vērsts uz šādām investīciju pozīcijām:</w:t>
            </w:r>
          </w:p>
          <w:p w14:paraId="212B4703" w14:textId="77777777" w:rsidR="00327FF1" w:rsidRDefault="00E406C7">
            <w:pPr>
              <w:pStyle w:val="P68B1DB1-Normal12"/>
              <w:numPr>
                <w:ilvl w:val="0"/>
                <w:numId w:val="94"/>
              </w:numPr>
              <w:spacing w:line="279" w:lineRule="auto"/>
              <w:rPr>
                <w:noProof/>
              </w:rPr>
            </w:pPr>
            <w:r>
              <w:rPr>
                <w:noProof/>
              </w:rPr>
              <w:t>Ražošanas sistēmas (tostarp visas iekārtas, kas ir cieši savienotas ar iekārtām/mašīnām, kas veido sist</w:t>
            </w:r>
            <w:r>
              <w:rPr>
                <w:noProof/>
              </w:rPr>
              <w:t>ēmu), kuras pārvalda ar digitālām ierīcēm, kas spēj veikt vienu vai vairākus produkta cikla posmus.</w:t>
            </w:r>
          </w:p>
          <w:p w14:paraId="1450055A" w14:textId="77777777" w:rsidR="00327FF1" w:rsidRDefault="00E406C7">
            <w:pPr>
              <w:pStyle w:val="P68B1DB1-Normal12"/>
              <w:numPr>
                <w:ilvl w:val="0"/>
                <w:numId w:val="94"/>
              </w:numPr>
              <w:spacing w:line="279" w:lineRule="auto"/>
              <w:rPr>
                <w:noProof/>
              </w:rPr>
            </w:pPr>
            <w:r>
              <w:rPr>
                <w:noProof/>
              </w:rPr>
              <w:t>Ražošanas automatizācijas sistēmas, kas ietver robotu, sensoru un komponentu izmantošanu, lai palielinātu ražošanas līniju elastību un efektivitāti.</w:t>
            </w:r>
          </w:p>
          <w:p w14:paraId="5CE9F734" w14:textId="77777777" w:rsidR="00327FF1" w:rsidRDefault="00E406C7">
            <w:pPr>
              <w:pStyle w:val="P68B1DB1-Normal12"/>
              <w:numPr>
                <w:ilvl w:val="0"/>
                <w:numId w:val="94"/>
              </w:numPr>
              <w:spacing w:line="279" w:lineRule="auto"/>
              <w:rPr>
                <w:noProof/>
              </w:rPr>
            </w:pPr>
            <w:r>
              <w:rPr>
                <w:noProof/>
              </w:rPr>
              <w:t>Aparatū</w:t>
            </w:r>
            <w:r>
              <w:rPr>
                <w:noProof/>
              </w:rPr>
              <w:t>ra un programmatūra, tostarp uz mākoņdatošanas platformām balstīta aparatūra un programmatūra, kas paredzēta: liela apjoma datu organizēšana un apstrāde; pārvaldīt saskarnes, tostarp multivides saskarnes; modernu sensoru izmantošana sarežģītas informācijas</w:t>
            </w:r>
            <w:r>
              <w:rPr>
                <w:noProof/>
              </w:rPr>
              <w:t xml:space="preserve"> apstrādei; optimizēt apstrādi no enerģijas un privātuma viedokļa; attālinātas palīdzības sniegšana specializētam aprīkojumam.</w:t>
            </w:r>
          </w:p>
          <w:p w14:paraId="16BD77DC" w14:textId="0CE93247" w:rsidR="00327FF1" w:rsidRDefault="00E406C7">
            <w:pPr>
              <w:pStyle w:val="P68B1DB1-Normal12"/>
              <w:numPr>
                <w:ilvl w:val="0"/>
                <w:numId w:val="94"/>
              </w:numPr>
              <w:spacing w:line="279" w:lineRule="auto"/>
              <w:rPr>
                <w:noProof/>
              </w:rPr>
            </w:pPr>
            <w:r>
              <w:rPr>
                <w:noProof/>
              </w:rPr>
              <w:t>Elektroniski prototipu veidošanas rīki un/vai progresīva ražošana, kuras mērķis ir veikt digitālus procesus, piemēram: 3D drukāša</w:t>
            </w:r>
            <w:r>
              <w:rPr>
                <w:noProof/>
              </w:rPr>
              <w:t>na, lāzergriešana un CNC malšana.</w:t>
            </w:r>
          </w:p>
          <w:p w14:paraId="7DABF0F6" w14:textId="77777777" w:rsidR="00327FF1" w:rsidRDefault="00E406C7">
            <w:pPr>
              <w:pStyle w:val="P68B1DB1-Normal12"/>
              <w:numPr>
                <w:ilvl w:val="0"/>
                <w:numId w:val="94"/>
              </w:numPr>
              <w:spacing w:line="279" w:lineRule="auto"/>
              <w:rPr>
                <w:noProof/>
              </w:rPr>
            </w:pPr>
            <w:r>
              <w:rPr>
                <w:noProof/>
              </w:rPr>
              <w:t>Specializētas preces un aprīkojums progresīvu pakalpojumu sniegšanai vai pētniecības un izstrādes darbību veikšanai.</w:t>
            </w:r>
          </w:p>
          <w:p w14:paraId="195F0F94" w14:textId="21FDA360" w:rsidR="00327FF1" w:rsidRDefault="00E406C7">
            <w:pPr>
              <w:pStyle w:val="P68B1DB1-Normal12"/>
              <w:rPr>
                <w:noProof/>
                <w:highlight w:val="yellow"/>
              </w:rPr>
            </w:pPr>
            <w:r>
              <w:rPr>
                <w:noProof/>
              </w:rPr>
              <w:t xml:space="preserve">Attiecībā uz mērķi neņem vērā uzņēmumus, kas darbojas ar NACE kodiem 01, 08, 17, 19, 20, 22, 23, 24, 29, </w:t>
            </w:r>
            <w:r>
              <w:rPr>
                <w:noProof/>
              </w:rPr>
              <w:t xml:space="preserve">30, 35, 38, 41, 42, 43, 49, 50 un 51. </w:t>
            </w:r>
          </w:p>
        </w:tc>
      </w:tr>
    </w:tbl>
    <w:p w14:paraId="7005B2DF" w14:textId="77777777" w:rsidR="00327FF1" w:rsidRDefault="00327FF1">
      <w:pPr>
        <w:spacing w:before="120" w:after="120"/>
        <w:rPr>
          <w:noProof/>
        </w:rPr>
        <w:sectPr w:rsidR="00327FF1" w:rsidSect="005F11B9">
          <w:headerReference w:type="default" r:id="rId278"/>
          <w:footerReference w:type="default" r:id="rId279"/>
          <w:pgSz w:w="16839" w:h="11907" w:orient="landscape"/>
          <w:pgMar w:top="1440" w:right="1440" w:bottom="1440" w:left="1440" w:header="567" w:footer="567" w:gutter="0"/>
          <w:cols w:space="720"/>
          <w:docGrid w:linePitch="360"/>
        </w:sectPr>
      </w:pPr>
    </w:p>
    <w:p w14:paraId="5478DC90" w14:textId="77777777" w:rsidR="00327FF1" w:rsidRDefault="00E406C7">
      <w:pPr>
        <w:pStyle w:val="P68B1DB1-Heading23"/>
        <w:ind w:left="1080"/>
        <w:rPr>
          <w:noProof/>
        </w:rPr>
      </w:pPr>
      <w:r>
        <w:rPr>
          <w:noProof/>
        </w:rPr>
        <w:t>O. 6. MISIJAS 1. KOMPONENTS: Vietējie tīkli, iekārtas un telemedicīna teritoriālajai palīdzībai veselības aprūpes jomā</w:t>
      </w:r>
    </w:p>
    <w:p w14:paraId="3BB2507D" w14:textId="77777777" w:rsidR="00327FF1" w:rsidRDefault="00E406C7">
      <w:pPr>
        <w:pStyle w:val="P68B1DB1-Normal7"/>
        <w:spacing w:before="120"/>
        <w:jc w:val="both"/>
        <w:rPr>
          <w:iCs/>
          <w:noProof/>
        </w:rPr>
      </w:pPr>
      <w:r>
        <w:rPr>
          <w:noProof/>
        </w:rPr>
        <w:t xml:space="preserve">Šā komponenta mērķis ir stiprināt Itālijas </w:t>
      </w:r>
      <w:r>
        <w:rPr>
          <w:noProof/>
        </w:rPr>
        <w:t>Valsts veselības dienestu (NHS), cita starpā uzlabojot aizsardzību pret veselības apdraudējumiem, kas saistīti ar vidi un klimata pārmaiņām, un labāk reaģējot uz kopienu vajadzībām attiecībā uz vietējo aprūpi un palīdzību. Vietējā veselības aprūpes palīdzī</w:t>
      </w:r>
      <w:r>
        <w:rPr>
          <w:noProof/>
        </w:rPr>
        <w:t>ba ir sadrumstalota, un to ietekmē reģionālās atšķirības, kā rezultātā veselības aprūpes noteikumi un rezultāti dažādos reģionos atšķiras. Tiek uzskatīts, ka integrētu mājas aprūpes pakalpojumu sniegšana ir zema, un dažādie veselības aprūpes un sociālo pak</w:t>
      </w:r>
      <w:r>
        <w:rPr>
          <w:noProof/>
        </w:rPr>
        <w:t>alpojumu sniedzēji tiek uzskatīti tikai par vāji integrētiem. Turklāt Itālijas Valsts veselības dienesta (NHS) spēju novērst veselības riskus, kas saistīti ar eksponētību videi un klimata pārmaiņām, ir pārbaudījušas vairākas vides krīzes un ārkārtas situāc</w:t>
      </w:r>
      <w:r>
        <w:rPr>
          <w:noProof/>
        </w:rPr>
        <w:t>ijas, kas izgaismoja problēmas, kuras rada pietiekamu profilakses pasākumu trūkums. Šā Itālijas atveseļošanas un noturības plāna komponenta mērķis ir stiprināt Itālijas Valsts veselības dienestu (NHS), cita starpā uzlabojot aizsardzību pret veselības apdra</w:t>
      </w:r>
      <w:r>
        <w:rPr>
          <w:noProof/>
        </w:rPr>
        <w:t xml:space="preserve">udējumiem, kas saistīti ar vidi un klimata pārmaiņām, un labāk reaģējot uz kopienu vajadzībām attiecībā uz vietējo aprūpi un palīdzību. </w:t>
      </w:r>
    </w:p>
    <w:p w14:paraId="42C68C86" w14:textId="77777777" w:rsidR="00327FF1" w:rsidRDefault="00E406C7">
      <w:pPr>
        <w:pStyle w:val="P68B1DB1-Normal7"/>
        <w:spacing w:before="120"/>
        <w:jc w:val="both"/>
        <w:rPr>
          <w:noProof/>
        </w:rPr>
      </w:pPr>
      <w:r>
        <w:rPr>
          <w:noProof/>
        </w:rPr>
        <w:t>Šā komponenta investīcijas un reformas palīdz īstenot Itālijai 2019. un 2020. gadā adresētos ieteikumus par nepieciešam</w:t>
      </w:r>
      <w:r>
        <w:rPr>
          <w:noProof/>
        </w:rPr>
        <w:t>ību</w:t>
      </w:r>
      <w:r>
        <w:rPr>
          <w:noProof/>
          <w:color w:val="333333"/>
        </w:rPr>
        <w:t xml:space="preserve"> “ar investīcijām saistīto ekonomikas politiku koncentrēt uz pētniecību un inovāciju un infrastruktūras kvalitāti, ņemot vērā reģionālās atšķirības (2019. gada</w:t>
      </w:r>
      <w:r>
        <w:rPr>
          <w:noProof/>
        </w:rPr>
        <w:t xml:space="preserve"> konkrētai valstij adresētais ieteikums Nr. 3), “stiprināt veselības aprūpes sistēmas noturību</w:t>
      </w:r>
      <w:r>
        <w:rPr>
          <w:noProof/>
        </w:rPr>
        <w:t xml:space="preserve"> un spēju tādās jomās kā veselības aprūpes darbinieki, kritiski svarīgi medicīniskie produkti un infrastruktūra” (2020. gada konkrētai valstij adresētais ieteikums Nr. 1) un “koncentrēt investīcijas uz zaļo un digitālo pārkārtošanos, jo īpaši uz [...] past</w:t>
      </w:r>
      <w:r>
        <w:rPr>
          <w:noProof/>
        </w:rPr>
        <w:t>iprinātu digitālo infrastruktūru, lai nodrošinātu pamatpakalpojumu sniegšanu” (2020. gada konkrētai valstij adresētais ieteikums Nr. 3).</w:t>
      </w:r>
    </w:p>
    <w:p w14:paraId="5609C499" w14:textId="77777777" w:rsidR="00327FF1" w:rsidRDefault="00327FF1">
      <w:pPr>
        <w:spacing w:before="120"/>
        <w:jc w:val="both"/>
        <w:rPr>
          <w:rFonts w:ascii="Times New Roman" w:hAnsi="Times New Roman" w:cs="Times New Roman"/>
          <w:noProof/>
        </w:rPr>
      </w:pPr>
    </w:p>
    <w:p w14:paraId="4FC80C34" w14:textId="77777777" w:rsidR="00327FF1" w:rsidRDefault="00E406C7">
      <w:pPr>
        <w:pStyle w:val="P68B1DB1-Heading39"/>
        <w:ind w:left="850" w:hanging="850"/>
        <w:rPr>
          <w:b/>
          <w:bCs/>
          <w:i/>
          <w:iCs/>
          <w:noProof/>
          <w:color w:val="156082" w:themeColor="accent1"/>
          <w:u w:val="single"/>
        </w:rPr>
      </w:pPr>
      <w:r>
        <w:rPr>
          <w:b/>
          <w:noProof/>
          <w:u w:val="single"/>
        </w:rPr>
        <w:t xml:space="preserve">O.1. </w:t>
      </w:r>
      <w:r>
        <w:rPr>
          <w:noProof/>
        </w:rPr>
        <w:t xml:space="preserve"> </w:t>
      </w:r>
      <w:r>
        <w:rPr>
          <w:b/>
          <w:noProof/>
          <w:u w:val="single"/>
        </w:rPr>
        <w:t>Reformu un investīciju apraksts neatmaksājamam finansiālajam atbalstam</w:t>
      </w:r>
    </w:p>
    <w:p w14:paraId="488912F0" w14:textId="77777777" w:rsidR="00327FF1" w:rsidRDefault="00E406C7">
      <w:pPr>
        <w:pStyle w:val="P68B1DB1-Normal26"/>
        <w:spacing w:before="120" w:after="120"/>
        <w:jc w:val="both"/>
        <w:rPr>
          <w:noProof/>
        </w:rPr>
      </w:pPr>
      <w:r>
        <w:rPr>
          <w:noProof/>
        </w:rPr>
        <w:t>NEPIEMĒRO</w:t>
      </w:r>
    </w:p>
    <w:p w14:paraId="4DA8582E" w14:textId="77777777" w:rsidR="00327FF1" w:rsidRDefault="00E406C7">
      <w:pPr>
        <w:pStyle w:val="P68B1DB1-Heading39"/>
        <w:ind w:left="850" w:hanging="850"/>
        <w:rPr>
          <w:b/>
          <w:bCs/>
          <w:i/>
          <w:iCs/>
          <w:noProof/>
          <w:u w:val="single"/>
        </w:rPr>
      </w:pPr>
      <w:r>
        <w:rPr>
          <w:b/>
          <w:noProof/>
          <w:u w:val="single"/>
        </w:rPr>
        <w:t xml:space="preserve">O.2. </w:t>
      </w:r>
      <w:r>
        <w:rPr>
          <w:noProof/>
        </w:rPr>
        <w:t xml:space="preserve"> </w:t>
      </w:r>
      <w:r>
        <w:rPr>
          <w:b/>
          <w:noProof/>
          <w:u w:val="single"/>
        </w:rPr>
        <w:t xml:space="preserve">Starpposma mērķi, </w:t>
      </w:r>
      <w:r>
        <w:rPr>
          <w:b/>
          <w:noProof/>
          <w:u w:val="single"/>
        </w:rPr>
        <w:t>mērķrādītāji, rādītāji un neatmaksājama finansiālā atbalsta uzraudzības un īstenošanas grafiks</w:t>
      </w:r>
    </w:p>
    <w:p w14:paraId="4E4BB221" w14:textId="77777777" w:rsidR="00327FF1" w:rsidRDefault="00E406C7">
      <w:pPr>
        <w:pStyle w:val="P68B1DB1-Normal26"/>
        <w:spacing w:before="120" w:after="120"/>
        <w:jc w:val="both"/>
        <w:rPr>
          <w:noProof/>
        </w:rPr>
      </w:pPr>
      <w:r>
        <w:rPr>
          <w:noProof/>
        </w:rPr>
        <w:t>NEPIEMĒRO</w:t>
      </w:r>
    </w:p>
    <w:p w14:paraId="48FD7886" w14:textId="77777777" w:rsidR="00327FF1" w:rsidRDefault="00E406C7">
      <w:pPr>
        <w:pStyle w:val="P68B1DB1-Normal7"/>
        <w:spacing w:after="200" w:line="276" w:lineRule="auto"/>
        <w:rPr>
          <w:noProof/>
        </w:rPr>
      </w:pPr>
      <w:r>
        <w:rPr>
          <w:noProof/>
        </w:rPr>
        <w:br w:type="page"/>
      </w:r>
    </w:p>
    <w:p w14:paraId="3F059308" w14:textId="77777777" w:rsidR="00327FF1" w:rsidRDefault="00E406C7">
      <w:pPr>
        <w:pStyle w:val="P68B1DB1-Heading39"/>
        <w:numPr>
          <w:ilvl w:val="2"/>
          <w:numId w:val="0"/>
        </w:numPr>
        <w:ind w:left="850" w:hanging="850"/>
        <w:rPr>
          <w:b/>
          <w:i/>
          <w:noProof/>
          <w:color w:val="156082" w:themeColor="accent1"/>
          <w:u w:val="single"/>
        </w:rPr>
      </w:pPr>
      <w:r>
        <w:rPr>
          <w:b/>
          <w:noProof/>
          <w:u w:val="single"/>
        </w:rPr>
        <w:t xml:space="preserve">O.3. </w:t>
      </w:r>
      <w:r>
        <w:rPr>
          <w:noProof/>
        </w:rPr>
        <w:t xml:space="preserve"> </w:t>
      </w:r>
      <w:r>
        <w:rPr>
          <w:b/>
          <w:noProof/>
          <w:u w:val="single"/>
        </w:rPr>
        <w:t xml:space="preserve">Aizdevumam pieteikto reformu un investīciju apraksts </w:t>
      </w:r>
    </w:p>
    <w:p w14:paraId="53E67864" w14:textId="693A73A1" w:rsidR="00327FF1" w:rsidRDefault="00E406C7">
      <w:pPr>
        <w:pStyle w:val="P68B1DB1-Normal5"/>
        <w:spacing w:before="120" w:after="120"/>
        <w:jc w:val="both"/>
        <w:rPr>
          <w:rFonts w:eastAsia="Calibri"/>
          <w:noProof/>
        </w:rPr>
      </w:pPr>
      <w:r>
        <w:rPr>
          <w:noProof/>
        </w:rPr>
        <w:t>Reforma: Jauna organizatoriskā modeļa noteikšana teritoriālajam veselības aprūpes palīdzī</w:t>
      </w:r>
      <w:r>
        <w:rPr>
          <w:noProof/>
        </w:rPr>
        <w:t>bas tīklam.</w:t>
      </w:r>
    </w:p>
    <w:p w14:paraId="4BA5700A" w14:textId="77777777" w:rsidR="00327FF1" w:rsidRDefault="00E406C7">
      <w:pPr>
        <w:pStyle w:val="P68B1DB1-Normal7"/>
        <w:spacing w:before="120" w:after="120"/>
        <w:jc w:val="both"/>
        <w:rPr>
          <w:rFonts w:eastAsia="Calibri"/>
          <w:noProof/>
        </w:rPr>
      </w:pPr>
      <w:r>
        <w:rPr>
          <w:noProof/>
        </w:rPr>
        <w:t>Reforma ir sagatavošanās elements komponenta investīcijām. Tā izveido jaunu teritoriālās veselības aprūpes palīdzības modeli un izveido jaunu institucionālo struktūru veselības, vides un klimata profilakses jomā. To panāk, izmantojot:</w:t>
      </w:r>
    </w:p>
    <w:p w14:paraId="24C81610" w14:textId="77777777" w:rsidR="00327FF1" w:rsidRDefault="00E406C7">
      <w:pPr>
        <w:pStyle w:val="P68B1DB1-Normal7"/>
        <w:numPr>
          <w:ilvl w:val="0"/>
          <w:numId w:val="48"/>
        </w:numPr>
        <w:spacing w:before="120" w:after="120" w:line="240" w:lineRule="auto"/>
        <w:ind w:left="360"/>
        <w:jc w:val="both"/>
        <w:rPr>
          <w:noProof/>
        </w:rPr>
      </w:pPr>
      <w:r>
        <w:rPr>
          <w:noProof/>
        </w:rPr>
        <w:t>Jauna org</w:t>
      </w:r>
      <w:r>
        <w:rPr>
          <w:noProof/>
        </w:rPr>
        <w:t>anizatoriskā modeļa izveide teritoriālajam veselības aprūpes palīdzības tīklam, nosakot tiesisko regulējumu, kurā noteikti strukturālie, tehnoloģiskie un organizatoriskie standarti.</w:t>
      </w:r>
    </w:p>
    <w:p w14:paraId="2B0322E7" w14:textId="77777777" w:rsidR="00327FF1" w:rsidRDefault="00E406C7">
      <w:pPr>
        <w:pStyle w:val="P68B1DB1-Normal7"/>
        <w:numPr>
          <w:ilvl w:val="0"/>
          <w:numId w:val="48"/>
        </w:numPr>
        <w:spacing w:before="120" w:after="120" w:line="240" w:lineRule="auto"/>
        <w:ind w:left="360"/>
        <w:jc w:val="both"/>
        <w:rPr>
          <w:noProof/>
        </w:rPr>
      </w:pPr>
      <w:r>
        <w:rPr>
          <w:noProof/>
        </w:rPr>
        <w:t>Jaunas institucionālās struktūras noteikšana veselības, vides un klimata p</w:t>
      </w:r>
      <w:r>
        <w:rPr>
          <w:noProof/>
        </w:rPr>
        <w:t>rofilaksei, ievērojot integrētu pieeju (“Viena veselība”) un holistisku redzējumu (“Planetārā veselība”).</w:t>
      </w:r>
    </w:p>
    <w:p w14:paraId="325ECF83" w14:textId="77777777" w:rsidR="00327FF1" w:rsidRDefault="00E406C7">
      <w:pPr>
        <w:pStyle w:val="P68B1DB1-Normal5"/>
        <w:spacing w:before="120" w:after="120"/>
        <w:jc w:val="both"/>
        <w:rPr>
          <w:rFonts w:eastAsia="Calibri"/>
          <w:noProof/>
        </w:rPr>
      </w:pPr>
      <w:r>
        <w:rPr>
          <w:noProof/>
        </w:rPr>
        <w:t>Investīcija 1.1: Kopienu veselības aprūpes nami, lai uzlabotu teritoriālo palīdzību veselības jomā.</w:t>
      </w:r>
    </w:p>
    <w:p w14:paraId="7A4B9506" w14:textId="77777777" w:rsidR="00327FF1" w:rsidRDefault="00E406C7">
      <w:pPr>
        <w:pStyle w:val="P68B1DB1-Normal7"/>
        <w:spacing w:before="120" w:after="120"/>
        <w:jc w:val="both"/>
        <w:rPr>
          <w:noProof/>
        </w:rPr>
      </w:pPr>
      <w:r>
        <w:rPr>
          <w:noProof/>
        </w:rPr>
        <w:t>Pasākuma mērķis ir izveidot Kopienas veselības apr</w:t>
      </w:r>
      <w:r>
        <w:rPr>
          <w:noProof/>
        </w:rPr>
        <w:t xml:space="preserve">ūpes iestādes. </w:t>
      </w:r>
    </w:p>
    <w:p w14:paraId="40A10F79" w14:textId="0B9FB4F4" w:rsidR="00327FF1" w:rsidRDefault="00E406C7">
      <w:pPr>
        <w:pStyle w:val="P68B1DB1-Normal7"/>
        <w:spacing w:before="120" w:after="120"/>
        <w:jc w:val="both"/>
        <w:rPr>
          <w:rFonts w:eastAsia="Calibri"/>
          <w:noProof/>
        </w:rPr>
      </w:pPr>
      <w:r>
        <w:rPr>
          <w:noProof/>
        </w:rPr>
        <w:t>Investīcija ietver primārās aprūpes pakalpojumu aktivizēšanu un apkopošanu, kā arī (energoefektīvu) palīdzības sniegšanas centru izveidi, lai integrēti reaģētu uz aprūpes vajadzībām.</w:t>
      </w:r>
    </w:p>
    <w:p w14:paraId="7DDB7E61" w14:textId="77777777" w:rsidR="00327FF1" w:rsidRDefault="00E406C7">
      <w:pPr>
        <w:pStyle w:val="P68B1DB1-Normal5"/>
        <w:spacing w:before="120" w:after="120"/>
        <w:jc w:val="both"/>
        <w:rPr>
          <w:rFonts w:eastAsia="Calibri"/>
          <w:bCs/>
          <w:noProof/>
        </w:rPr>
      </w:pPr>
      <w:r>
        <w:rPr>
          <w:noProof/>
        </w:rPr>
        <w:t xml:space="preserve">Ieguldījums 1.2. Mājas kā pirmā aprūpes un telemedicīnas </w:t>
      </w:r>
      <w:r>
        <w:rPr>
          <w:noProof/>
        </w:rPr>
        <w:t>vieta</w:t>
      </w:r>
    </w:p>
    <w:p w14:paraId="688C3EE1" w14:textId="77777777" w:rsidR="00327FF1" w:rsidRDefault="00E406C7">
      <w:pPr>
        <w:pStyle w:val="P68B1DB1-Normal7"/>
        <w:spacing w:before="120" w:after="120"/>
        <w:jc w:val="both"/>
        <w:rPr>
          <w:noProof/>
        </w:rPr>
      </w:pPr>
      <w:r>
        <w:rPr>
          <w:noProof/>
        </w:rPr>
        <w:t xml:space="preserve">Pasākuma mērķis ir veicināt aprūpi mājās un telemedicīnas risinājumu plaša mēroga ieviešanu un atbalstīt inovāciju veselības aprūpes jomā. </w:t>
      </w:r>
    </w:p>
    <w:p w14:paraId="67553074" w14:textId="77777777" w:rsidR="00327FF1" w:rsidRDefault="00E406C7">
      <w:pPr>
        <w:pStyle w:val="P68B1DB1-Normal7"/>
        <w:spacing w:before="120" w:after="120"/>
        <w:jc w:val="both"/>
        <w:rPr>
          <w:noProof/>
        </w:rPr>
      </w:pPr>
      <w:r>
        <w:rPr>
          <w:noProof/>
        </w:rPr>
        <w:t xml:space="preserve">Investīcija ietver aparatūru un plašāku pakalpojumu sniegšanu, teritoriālo koordinācijas centru (“Centrali </w:t>
      </w:r>
      <w:r>
        <w:rPr>
          <w:noProof/>
        </w:rPr>
        <w:t>operative Territoriali”) izveidi, diagnostikas un uzraudzības projektu finansēšanu, valsts platformas izveidi telemedicīnas projektu skrīningam un ad hoc pētniecības iniciatīvas digitālo veselības un aprūpes tehnoloģiju jomā.</w:t>
      </w:r>
    </w:p>
    <w:p w14:paraId="4A30AF80" w14:textId="77777777" w:rsidR="00327FF1" w:rsidRDefault="00E406C7">
      <w:pPr>
        <w:pStyle w:val="P68B1DB1-Normal5"/>
        <w:spacing w:before="120" w:after="120"/>
        <w:jc w:val="both"/>
        <w:rPr>
          <w:rFonts w:eastAsia="Calibri"/>
          <w:noProof/>
        </w:rPr>
      </w:pPr>
      <w:r>
        <w:rPr>
          <w:noProof/>
        </w:rPr>
        <w:t>Investīcija Nr. 1.3. Starpniec</w:t>
      </w:r>
      <w:r>
        <w:rPr>
          <w:noProof/>
        </w:rPr>
        <w:t>ības veselības aprūpes un tās telpu stiprināšana (Kopienas slimnīcas)</w:t>
      </w:r>
    </w:p>
    <w:p w14:paraId="48C9A7C7" w14:textId="77777777" w:rsidR="00327FF1" w:rsidRDefault="00E406C7">
      <w:pPr>
        <w:pStyle w:val="P68B1DB1-Normal7"/>
        <w:spacing w:before="120" w:after="120"/>
        <w:jc w:val="both"/>
        <w:rPr>
          <w:noProof/>
        </w:rPr>
      </w:pPr>
      <w:r>
        <w:rPr>
          <w:noProof/>
        </w:rPr>
        <w:t>Pasākuma mērķis ir palielināt starpposma veselības aprūpes iestāžu skaitu.</w:t>
      </w:r>
    </w:p>
    <w:p w14:paraId="7B3654CE" w14:textId="08EDA50D" w:rsidR="00327FF1" w:rsidRDefault="00E406C7">
      <w:pPr>
        <w:pStyle w:val="P68B1DB1-Normal7"/>
        <w:spacing w:before="120" w:after="120"/>
        <w:jc w:val="both"/>
        <w:rPr>
          <w:noProof/>
        </w:rPr>
        <w:sectPr w:rsidR="00327FF1" w:rsidSect="00726CF9">
          <w:headerReference w:type="even" r:id="rId280"/>
          <w:headerReference w:type="default" r:id="rId281"/>
          <w:footerReference w:type="even" r:id="rId282"/>
          <w:footerReference w:type="default" r:id="rId283"/>
          <w:headerReference w:type="first" r:id="rId284"/>
          <w:footerReference w:type="first" r:id="rId285"/>
          <w:pgSz w:w="11906" w:h="16838"/>
          <w:pgMar w:top="1440" w:right="1440" w:bottom="1440" w:left="1440" w:header="708" w:footer="708" w:gutter="0"/>
          <w:cols w:space="708"/>
          <w:docGrid w:linePitch="360"/>
        </w:sectPr>
      </w:pPr>
      <w:r>
        <w:rPr>
          <w:noProof/>
        </w:rPr>
        <w:t>Investīcija ietver kopienas slimnīcu un veselības aprūpes</w:t>
      </w:r>
      <w:r>
        <w:rPr>
          <w:noProof/>
        </w:rPr>
        <w:t xml:space="preserve"> iestāžu izveidi pacientiem, kuriem pēc neliela asuma epizodes vai hronisku patoloģiju recidīva ir nepieciešamas zemas intensitātes un īstermiņa klīniskās iejaukšanās.</w:t>
      </w:r>
    </w:p>
    <w:p w14:paraId="6E606908" w14:textId="77777777" w:rsidR="00327FF1" w:rsidRDefault="00E406C7">
      <w:pPr>
        <w:pStyle w:val="P68B1DB1-Heading39"/>
        <w:ind w:left="850" w:hanging="850"/>
        <w:rPr>
          <w:b/>
          <w:bCs/>
          <w:i/>
          <w:iCs/>
          <w:noProof/>
          <w:u w:val="single"/>
        </w:rPr>
      </w:pPr>
      <w:r>
        <w:rPr>
          <w:b/>
          <w:noProof/>
          <w:u w:val="single"/>
        </w:rPr>
        <w:t xml:space="preserve">O.4. </w:t>
      </w:r>
      <w:r>
        <w:rPr>
          <w:noProof/>
        </w:rPr>
        <w:t xml:space="preserve"> </w:t>
      </w:r>
      <w:r>
        <w:rPr>
          <w:b/>
          <w:noProof/>
          <w:u w:val="single"/>
        </w:rPr>
        <w:t>Atskaites punkti, mērķrādītāji, citi rādītāji un aizdevuma uzraudzības un īstenoša</w:t>
      </w:r>
      <w:r>
        <w:rPr>
          <w:b/>
          <w:noProof/>
          <w:u w:val="single"/>
        </w:rPr>
        <w:t xml:space="preserve">nas grafiks </w:t>
      </w:r>
    </w:p>
    <w:tbl>
      <w:tblPr>
        <w:tblW w:w="1511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701"/>
        <w:gridCol w:w="1134"/>
        <w:gridCol w:w="1417"/>
        <w:gridCol w:w="1363"/>
        <w:gridCol w:w="948"/>
        <w:gridCol w:w="950"/>
        <w:gridCol w:w="992"/>
        <w:gridCol w:w="992"/>
        <w:gridCol w:w="709"/>
        <w:gridCol w:w="3634"/>
      </w:tblGrid>
      <w:tr w:rsidR="00327FF1" w14:paraId="290CD921" w14:textId="77777777">
        <w:trPr>
          <w:trHeight w:val="945"/>
          <w:tblHeader/>
        </w:trPr>
        <w:tc>
          <w:tcPr>
            <w:tcW w:w="1277" w:type="dxa"/>
            <w:vMerge w:val="restart"/>
            <w:shd w:val="clear" w:color="auto" w:fill="BDD7EE"/>
            <w:vAlign w:val="center"/>
          </w:tcPr>
          <w:p w14:paraId="03AA3E0A" w14:textId="77777777" w:rsidR="00327FF1" w:rsidRDefault="00E406C7">
            <w:pPr>
              <w:pStyle w:val="P68B1DB1-Normal10"/>
              <w:jc w:val="center"/>
              <w:rPr>
                <w:noProof/>
                <w:szCs w:val="20"/>
              </w:rPr>
            </w:pPr>
            <w:r>
              <w:rPr>
                <w:noProof/>
              </w:rPr>
              <w:t>Kārtas numurs</w:t>
            </w:r>
          </w:p>
        </w:tc>
        <w:tc>
          <w:tcPr>
            <w:tcW w:w="1701" w:type="dxa"/>
            <w:vMerge w:val="restart"/>
            <w:shd w:val="clear" w:color="auto" w:fill="BDD7EE"/>
            <w:vAlign w:val="center"/>
          </w:tcPr>
          <w:p w14:paraId="351AA8ED" w14:textId="77777777" w:rsidR="00327FF1" w:rsidRDefault="00E406C7">
            <w:pPr>
              <w:pStyle w:val="P68B1DB1-Normal10"/>
              <w:jc w:val="center"/>
              <w:rPr>
                <w:noProof/>
                <w:szCs w:val="20"/>
              </w:rPr>
            </w:pPr>
            <w:r>
              <w:rPr>
                <w:noProof/>
              </w:rPr>
              <w:t>Saistītais pasākums (reforma vai ieguldījums)</w:t>
            </w:r>
          </w:p>
        </w:tc>
        <w:tc>
          <w:tcPr>
            <w:tcW w:w="1134" w:type="dxa"/>
            <w:vMerge w:val="restart"/>
            <w:shd w:val="clear" w:color="auto" w:fill="BDD7EE"/>
            <w:vAlign w:val="center"/>
          </w:tcPr>
          <w:p w14:paraId="5ACF54C7" w14:textId="77777777" w:rsidR="00327FF1" w:rsidRDefault="00E406C7">
            <w:pPr>
              <w:pStyle w:val="P68B1DB1-Normal10"/>
              <w:jc w:val="center"/>
              <w:rPr>
                <w:noProof/>
                <w:szCs w:val="20"/>
              </w:rPr>
            </w:pPr>
            <w:r>
              <w:rPr>
                <w:noProof/>
              </w:rPr>
              <w:t>Atskaites punkts/mērķrādītājs</w:t>
            </w:r>
          </w:p>
        </w:tc>
        <w:tc>
          <w:tcPr>
            <w:tcW w:w="1417" w:type="dxa"/>
            <w:vMerge w:val="restart"/>
            <w:shd w:val="clear" w:color="auto" w:fill="BDD7EE"/>
            <w:vAlign w:val="center"/>
          </w:tcPr>
          <w:p w14:paraId="5EF43779" w14:textId="77777777" w:rsidR="00327FF1" w:rsidRDefault="00E406C7">
            <w:pPr>
              <w:pStyle w:val="P68B1DB1-Normal10"/>
              <w:jc w:val="center"/>
              <w:rPr>
                <w:noProof/>
                <w:szCs w:val="20"/>
              </w:rPr>
            </w:pPr>
            <w:r>
              <w:rPr>
                <w:noProof/>
              </w:rPr>
              <w:t>Nosaukums</w:t>
            </w:r>
          </w:p>
        </w:tc>
        <w:tc>
          <w:tcPr>
            <w:tcW w:w="1363" w:type="dxa"/>
            <w:vMerge w:val="restart"/>
            <w:shd w:val="clear" w:color="auto" w:fill="BDD7EE"/>
            <w:vAlign w:val="center"/>
          </w:tcPr>
          <w:p w14:paraId="5A010D59" w14:textId="2C18D93A" w:rsidR="00327FF1" w:rsidRDefault="00E406C7">
            <w:pPr>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2890" w:type="dxa"/>
            <w:gridSpan w:val="3"/>
            <w:shd w:val="clear" w:color="auto" w:fill="BDD7EE"/>
            <w:vAlign w:val="center"/>
          </w:tcPr>
          <w:p w14:paraId="7569FADA" w14:textId="77777777" w:rsidR="00327FF1" w:rsidRDefault="00E406C7">
            <w:pPr>
              <w:jc w:val="center"/>
              <w:rPr>
                <w:rFonts w:ascii="Arial Narrow" w:hAnsi="Arial Narrow"/>
                <w:b/>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701" w:type="dxa"/>
            <w:gridSpan w:val="2"/>
            <w:shd w:val="clear" w:color="auto" w:fill="BDD7EE"/>
            <w:vAlign w:val="center"/>
          </w:tcPr>
          <w:p w14:paraId="7DC97022" w14:textId="77777777" w:rsidR="00327FF1" w:rsidRDefault="00E406C7">
            <w:pPr>
              <w:pStyle w:val="P68B1DB1-Normal10"/>
              <w:jc w:val="center"/>
              <w:rPr>
                <w:noProof/>
                <w:szCs w:val="20"/>
              </w:rPr>
            </w:pPr>
            <w:r>
              <w:rPr>
                <w:noProof/>
              </w:rPr>
              <w:t>Orientējošs pabeigšanas termiņš</w:t>
            </w:r>
          </w:p>
        </w:tc>
        <w:tc>
          <w:tcPr>
            <w:tcW w:w="3634" w:type="dxa"/>
            <w:vMerge w:val="restart"/>
            <w:shd w:val="clear" w:color="auto" w:fill="BDD7EE"/>
            <w:vAlign w:val="center"/>
          </w:tcPr>
          <w:p w14:paraId="33DFBAC5" w14:textId="77777777" w:rsidR="00327FF1" w:rsidRDefault="00E406C7">
            <w:pPr>
              <w:pStyle w:val="P68B1DB1-Normal10"/>
              <w:jc w:val="center"/>
              <w:rPr>
                <w:noProof/>
                <w:szCs w:val="20"/>
              </w:rPr>
            </w:pPr>
            <w:r>
              <w:rPr>
                <w:noProof/>
              </w:rPr>
              <w:t xml:space="preserve">Apraksts par katru </w:t>
            </w:r>
            <w:r>
              <w:rPr>
                <w:noProof/>
              </w:rPr>
              <w:t>atskaites punktu un mērķrādītāju</w:t>
            </w:r>
          </w:p>
        </w:tc>
      </w:tr>
      <w:tr w:rsidR="00327FF1" w14:paraId="0D229F00" w14:textId="77777777">
        <w:trPr>
          <w:trHeight w:val="737"/>
          <w:tblHeader/>
        </w:trPr>
        <w:tc>
          <w:tcPr>
            <w:tcW w:w="1277" w:type="dxa"/>
            <w:vMerge/>
            <w:vAlign w:val="center"/>
          </w:tcPr>
          <w:p w14:paraId="6CF29E5A" w14:textId="77777777" w:rsidR="00327FF1" w:rsidRDefault="00327FF1">
            <w:pPr>
              <w:jc w:val="center"/>
              <w:rPr>
                <w:rFonts w:ascii="Arial Narrow" w:hAnsi="Arial Narrow"/>
                <w:noProof/>
                <w:sz w:val="20"/>
                <w:szCs w:val="20"/>
              </w:rPr>
            </w:pPr>
          </w:p>
        </w:tc>
        <w:tc>
          <w:tcPr>
            <w:tcW w:w="1701" w:type="dxa"/>
            <w:vMerge/>
            <w:vAlign w:val="center"/>
          </w:tcPr>
          <w:p w14:paraId="32B1DAF5" w14:textId="77777777" w:rsidR="00327FF1" w:rsidRDefault="00327FF1">
            <w:pPr>
              <w:jc w:val="center"/>
              <w:rPr>
                <w:rFonts w:ascii="Arial Narrow" w:hAnsi="Arial Narrow"/>
                <w:noProof/>
                <w:sz w:val="20"/>
                <w:szCs w:val="20"/>
              </w:rPr>
            </w:pPr>
          </w:p>
        </w:tc>
        <w:tc>
          <w:tcPr>
            <w:tcW w:w="1134" w:type="dxa"/>
            <w:vMerge/>
            <w:vAlign w:val="center"/>
          </w:tcPr>
          <w:p w14:paraId="6C29B102" w14:textId="77777777" w:rsidR="00327FF1" w:rsidRDefault="00327FF1">
            <w:pPr>
              <w:jc w:val="center"/>
              <w:rPr>
                <w:rFonts w:ascii="Arial Narrow" w:hAnsi="Arial Narrow"/>
                <w:noProof/>
                <w:sz w:val="20"/>
                <w:szCs w:val="20"/>
              </w:rPr>
            </w:pPr>
          </w:p>
        </w:tc>
        <w:tc>
          <w:tcPr>
            <w:tcW w:w="1417" w:type="dxa"/>
            <w:vMerge/>
            <w:vAlign w:val="center"/>
          </w:tcPr>
          <w:p w14:paraId="167888EC" w14:textId="77777777" w:rsidR="00327FF1" w:rsidRDefault="00327FF1">
            <w:pPr>
              <w:jc w:val="center"/>
              <w:rPr>
                <w:rFonts w:ascii="Arial Narrow" w:hAnsi="Arial Narrow"/>
                <w:noProof/>
                <w:sz w:val="20"/>
                <w:szCs w:val="20"/>
              </w:rPr>
            </w:pPr>
          </w:p>
        </w:tc>
        <w:tc>
          <w:tcPr>
            <w:tcW w:w="1363" w:type="dxa"/>
            <w:vMerge/>
            <w:vAlign w:val="center"/>
          </w:tcPr>
          <w:p w14:paraId="29298E7E" w14:textId="77777777" w:rsidR="00327FF1" w:rsidRDefault="00327FF1">
            <w:pPr>
              <w:jc w:val="center"/>
              <w:rPr>
                <w:rFonts w:ascii="Arial Narrow" w:hAnsi="Arial Narrow"/>
                <w:noProof/>
                <w:sz w:val="20"/>
                <w:szCs w:val="20"/>
              </w:rPr>
            </w:pPr>
          </w:p>
        </w:tc>
        <w:tc>
          <w:tcPr>
            <w:tcW w:w="948" w:type="dxa"/>
            <w:shd w:val="clear" w:color="auto" w:fill="BDD7EE"/>
            <w:vAlign w:val="center"/>
          </w:tcPr>
          <w:p w14:paraId="3A4C3990" w14:textId="77777777" w:rsidR="00327FF1" w:rsidRDefault="00E406C7">
            <w:pPr>
              <w:pStyle w:val="P68B1DB1-Normal10"/>
              <w:jc w:val="center"/>
              <w:rPr>
                <w:bCs/>
                <w:noProof/>
                <w:szCs w:val="20"/>
              </w:rPr>
            </w:pPr>
            <w:r>
              <w:rPr>
                <w:noProof/>
              </w:rPr>
              <w:t>Mēra vienība</w:t>
            </w:r>
          </w:p>
        </w:tc>
        <w:tc>
          <w:tcPr>
            <w:tcW w:w="950" w:type="dxa"/>
            <w:shd w:val="clear" w:color="auto" w:fill="BDD7EE"/>
            <w:vAlign w:val="center"/>
          </w:tcPr>
          <w:p w14:paraId="19490F39" w14:textId="77777777" w:rsidR="00327FF1" w:rsidRDefault="00E406C7">
            <w:pPr>
              <w:pStyle w:val="P68B1DB1-Normal10"/>
              <w:jc w:val="center"/>
              <w:rPr>
                <w:bCs/>
                <w:noProof/>
                <w:szCs w:val="20"/>
              </w:rPr>
            </w:pPr>
            <w:r>
              <w:rPr>
                <w:noProof/>
              </w:rPr>
              <w:t>Pamatscenārijs</w:t>
            </w:r>
          </w:p>
        </w:tc>
        <w:tc>
          <w:tcPr>
            <w:tcW w:w="992" w:type="dxa"/>
            <w:shd w:val="clear" w:color="auto" w:fill="BDD7EE"/>
            <w:vAlign w:val="center"/>
          </w:tcPr>
          <w:p w14:paraId="22D9C33E" w14:textId="77777777" w:rsidR="00327FF1" w:rsidRDefault="00E406C7">
            <w:pPr>
              <w:pStyle w:val="P68B1DB1-Normal10"/>
              <w:jc w:val="center"/>
              <w:rPr>
                <w:bCs/>
                <w:noProof/>
                <w:szCs w:val="20"/>
              </w:rPr>
            </w:pPr>
            <w:r>
              <w:rPr>
                <w:noProof/>
              </w:rPr>
              <w:t>Mērķis</w:t>
            </w:r>
          </w:p>
        </w:tc>
        <w:tc>
          <w:tcPr>
            <w:tcW w:w="992" w:type="dxa"/>
            <w:shd w:val="clear" w:color="auto" w:fill="BDD7EE"/>
            <w:vAlign w:val="center"/>
          </w:tcPr>
          <w:p w14:paraId="1723EA95" w14:textId="77777777" w:rsidR="00327FF1" w:rsidRDefault="00E406C7">
            <w:pPr>
              <w:pStyle w:val="P68B1DB1-Normal10"/>
              <w:jc w:val="center"/>
              <w:rPr>
                <w:bCs/>
                <w:noProof/>
                <w:szCs w:val="20"/>
              </w:rPr>
            </w:pPr>
            <w:r>
              <w:rPr>
                <w:noProof/>
              </w:rPr>
              <w:t>Ceturkšņa laikā</w:t>
            </w:r>
          </w:p>
        </w:tc>
        <w:tc>
          <w:tcPr>
            <w:tcW w:w="709" w:type="dxa"/>
            <w:shd w:val="clear" w:color="auto" w:fill="BDD7EE"/>
            <w:vAlign w:val="center"/>
          </w:tcPr>
          <w:p w14:paraId="57EB0D6D" w14:textId="77777777" w:rsidR="00327FF1" w:rsidRDefault="00E406C7">
            <w:pPr>
              <w:pStyle w:val="P68B1DB1-Normal10"/>
              <w:jc w:val="center"/>
              <w:rPr>
                <w:bCs/>
                <w:noProof/>
                <w:szCs w:val="20"/>
              </w:rPr>
            </w:pPr>
            <w:r>
              <w:rPr>
                <w:noProof/>
              </w:rPr>
              <w:t>Gadu</w:t>
            </w:r>
          </w:p>
        </w:tc>
        <w:tc>
          <w:tcPr>
            <w:tcW w:w="3634" w:type="dxa"/>
            <w:vMerge/>
            <w:vAlign w:val="center"/>
          </w:tcPr>
          <w:p w14:paraId="6F6EEA62" w14:textId="77777777" w:rsidR="00327FF1" w:rsidRDefault="00327FF1">
            <w:pPr>
              <w:rPr>
                <w:rFonts w:ascii="Arial Narrow" w:hAnsi="Arial Narrow"/>
                <w:noProof/>
                <w:sz w:val="20"/>
                <w:szCs w:val="20"/>
              </w:rPr>
            </w:pPr>
          </w:p>
        </w:tc>
      </w:tr>
      <w:tr w:rsidR="00327FF1" w14:paraId="323E5F3E" w14:textId="77777777">
        <w:trPr>
          <w:trHeight w:val="315"/>
        </w:trPr>
        <w:tc>
          <w:tcPr>
            <w:tcW w:w="1277" w:type="dxa"/>
            <w:shd w:val="clear" w:color="auto" w:fill="C6EFCE"/>
            <w:vAlign w:val="center"/>
          </w:tcPr>
          <w:p w14:paraId="043A7DF9" w14:textId="77777777" w:rsidR="00327FF1" w:rsidRDefault="00E406C7">
            <w:pPr>
              <w:pStyle w:val="P68B1DB1-Normal12"/>
              <w:jc w:val="center"/>
              <w:rPr>
                <w:noProof/>
              </w:rPr>
            </w:pPr>
            <w:r>
              <w:rPr>
                <w:noProof/>
              </w:rPr>
              <w:t>M6C1–1</w:t>
            </w:r>
          </w:p>
        </w:tc>
        <w:tc>
          <w:tcPr>
            <w:tcW w:w="1701" w:type="dxa"/>
            <w:shd w:val="clear" w:color="auto" w:fill="C6EFCE"/>
            <w:vAlign w:val="center"/>
          </w:tcPr>
          <w:p w14:paraId="52FF6B0F" w14:textId="50524B14" w:rsidR="00327FF1" w:rsidRDefault="00E406C7">
            <w:pPr>
              <w:pStyle w:val="P68B1DB1-Normal11"/>
              <w:jc w:val="center"/>
              <w:rPr>
                <w:noProof/>
                <w:szCs w:val="20"/>
              </w:rPr>
            </w:pPr>
            <w:r>
              <w:rPr>
                <w:noProof/>
              </w:rPr>
              <w:t>Reforma: Jauna organizatoriskā modeļa noteikšana teritoriālajam veselības aprūpes palīdzības tīklam</w:t>
            </w:r>
          </w:p>
        </w:tc>
        <w:tc>
          <w:tcPr>
            <w:tcW w:w="1134" w:type="dxa"/>
            <w:shd w:val="clear" w:color="auto" w:fill="C6EFCE"/>
            <w:vAlign w:val="center"/>
          </w:tcPr>
          <w:p w14:paraId="2BBB01BB" w14:textId="77777777" w:rsidR="00327FF1" w:rsidRDefault="00E406C7">
            <w:pPr>
              <w:pStyle w:val="P68B1DB1-Normal11"/>
              <w:jc w:val="center"/>
              <w:rPr>
                <w:noProof/>
                <w:szCs w:val="20"/>
              </w:rPr>
            </w:pPr>
            <w:r>
              <w:rPr>
                <w:noProof/>
              </w:rPr>
              <w:t>Atskaites punkts</w:t>
            </w:r>
          </w:p>
        </w:tc>
        <w:tc>
          <w:tcPr>
            <w:tcW w:w="1417" w:type="dxa"/>
            <w:shd w:val="clear" w:color="auto" w:fill="C6EFCE"/>
            <w:vAlign w:val="center"/>
          </w:tcPr>
          <w:p w14:paraId="403E3043" w14:textId="77777777" w:rsidR="00327FF1" w:rsidRDefault="00E406C7">
            <w:pPr>
              <w:pStyle w:val="P68B1DB1-Normal11"/>
              <w:jc w:val="center"/>
              <w:rPr>
                <w:noProof/>
                <w:szCs w:val="20"/>
              </w:rPr>
            </w:pPr>
            <w:r>
              <w:rPr>
                <w:noProof/>
              </w:rPr>
              <w:t xml:space="preserve">Stājas spēkā sekundārie tiesību </w:t>
            </w:r>
            <w:r>
              <w:rPr>
                <w:noProof/>
              </w:rPr>
              <w:t>akti (ministra dekrēts), kas paredz veselības aprūpes organizācijas reformu.</w:t>
            </w:r>
          </w:p>
        </w:tc>
        <w:tc>
          <w:tcPr>
            <w:tcW w:w="1363" w:type="dxa"/>
            <w:shd w:val="clear" w:color="auto" w:fill="C6EFCE"/>
            <w:vAlign w:val="center"/>
          </w:tcPr>
          <w:p w14:paraId="2CCE3F33" w14:textId="77777777" w:rsidR="00327FF1" w:rsidRDefault="00E406C7">
            <w:pPr>
              <w:pStyle w:val="P68B1DB1-Normal11"/>
              <w:jc w:val="center"/>
              <w:rPr>
                <w:noProof/>
                <w:szCs w:val="20"/>
              </w:rPr>
            </w:pPr>
            <w:r>
              <w:rPr>
                <w:noProof/>
              </w:rPr>
              <w:t xml:space="preserve">Likuma norma, kas norāda uz tiesību akta stāšanos spēkā </w:t>
            </w:r>
          </w:p>
        </w:tc>
        <w:tc>
          <w:tcPr>
            <w:tcW w:w="948" w:type="dxa"/>
            <w:shd w:val="clear" w:color="auto" w:fill="C6EFCE"/>
            <w:vAlign w:val="center"/>
          </w:tcPr>
          <w:p w14:paraId="7F5B5E97" w14:textId="77777777" w:rsidR="00327FF1" w:rsidRDefault="00E406C7">
            <w:pPr>
              <w:pStyle w:val="P68B1DB1-Normal11"/>
              <w:jc w:val="center"/>
              <w:rPr>
                <w:noProof/>
                <w:szCs w:val="20"/>
              </w:rPr>
            </w:pPr>
            <w:r>
              <w:rPr>
                <w:noProof/>
              </w:rPr>
              <w:t>NEPIEMĒRO</w:t>
            </w:r>
          </w:p>
        </w:tc>
        <w:tc>
          <w:tcPr>
            <w:tcW w:w="950" w:type="dxa"/>
            <w:shd w:val="clear" w:color="auto" w:fill="C6EFCE"/>
            <w:vAlign w:val="center"/>
          </w:tcPr>
          <w:p w14:paraId="6F48C99A" w14:textId="77777777" w:rsidR="00327FF1" w:rsidRDefault="00E406C7">
            <w:pPr>
              <w:pStyle w:val="P68B1DB1-Normal11"/>
              <w:jc w:val="center"/>
              <w:rPr>
                <w:noProof/>
                <w:szCs w:val="20"/>
              </w:rPr>
            </w:pPr>
            <w:r>
              <w:rPr>
                <w:noProof/>
              </w:rPr>
              <w:t>NEPIEMĒRO</w:t>
            </w:r>
          </w:p>
        </w:tc>
        <w:tc>
          <w:tcPr>
            <w:tcW w:w="992" w:type="dxa"/>
            <w:shd w:val="clear" w:color="auto" w:fill="C6EFCE"/>
            <w:vAlign w:val="center"/>
          </w:tcPr>
          <w:p w14:paraId="566B17CC" w14:textId="77777777" w:rsidR="00327FF1" w:rsidRDefault="00E406C7">
            <w:pPr>
              <w:pStyle w:val="P68B1DB1-Normal11"/>
              <w:jc w:val="center"/>
              <w:rPr>
                <w:noProof/>
                <w:szCs w:val="20"/>
              </w:rPr>
            </w:pPr>
            <w:r>
              <w:rPr>
                <w:noProof/>
              </w:rPr>
              <w:t>NEPIEMĒRO</w:t>
            </w:r>
          </w:p>
        </w:tc>
        <w:tc>
          <w:tcPr>
            <w:tcW w:w="992" w:type="dxa"/>
            <w:shd w:val="clear" w:color="auto" w:fill="C6EFCE"/>
            <w:vAlign w:val="center"/>
          </w:tcPr>
          <w:p w14:paraId="657CDAE1" w14:textId="77777777" w:rsidR="00327FF1" w:rsidRDefault="00E406C7">
            <w:pPr>
              <w:pStyle w:val="P68B1DB1-Normal11"/>
              <w:jc w:val="center"/>
              <w:rPr>
                <w:noProof/>
                <w:szCs w:val="20"/>
              </w:rPr>
            </w:pPr>
            <w:r>
              <w:rPr>
                <w:noProof/>
              </w:rPr>
              <w:t>2. CET.</w:t>
            </w:r>
          </w:p>
        </w:tc>
        <w:tc>
          <w:tcPr>
            <w:tcW w:w="709" w:type="dxa"/>
            <w:shd w:val="clear" w:color="auto" w:fill="C6EFCE"/>
            <w:vAlign w:val="center"/>
          </w:tcPr>
          <w:p w14:paraId="01E5C78D" w14:textId="77777777" w:rsidR="00327FF1" w:rsidRDefault="00E406C7">
            <w:pPr>
              <w:pStyle w:val="P68B1DB1-Normal11"/>
              <w:jc w:val="center"/>
              <w:rPr>
                <w:noProof/>
                <w:szCs w:val="20"/>
              </w:rPr>
            </w:pPr>
            <w:r>
              <w:rPr>
                <w:noProof/>
              </w:rPr>
              <w:t>2022</w:t>
            </w:r>
          </w:p>
        </w:tc>
        <w:tc>
          <w:tcPr>
            <w:tcW w:w="3634" w:type="dxa"/>
            <w:shd w:val="clear" w:color="auto" w:fill="C6EFCE"/>
            <w:vAlign w:val="center"/>
          </w:tcPr>
          <w:p w14:paraId="67252F95" w14:textId="77777777" w:rsidR="00327FF1" w:rsidRDefault="00E406C7">
            <w:pPr>
              <w:pStyle w:val="P68B1DB1-Normal11"/>
              <w:rPr>
                <w:noProof/>
                <w:szCs w:val="20"/>
              </w:rPr>
            </w:pPr>
            <w:r>
              <w:rPr>
                <w:noProof/>
              </w:rPr>
              <w:t>Stājas spēkā sekundārie tiesību akti (ministra dekrēts), kas paredz:</w:t>
            </w:r>
          </w:p>
          <w:p w14:paraId="189F4C4A" w14:textId="77777777" w:rsidR="00327FF1" w:rsidRDefault="00E406C7">
            <w:pPr>
              <w:pStyle w:val="P68B1DB1-Normal11"/>
              <w:rPr>
                <w:noProof/>
                <w:szCs w:val="20"/>
              </w:rPr>
            </w:pPr>
            <w:r>
              <w:rPr>
                <w:noProof/>
              </w:rPr>
              <w:t xml:space="preserve">— Definēt </w:t>
            </w:r>
            <w:r>
              <w:rPr>
                <w:noProof/>
              </w:rPr>
              <w:t>jaunu teritoriālo veselības aprūpes palīdzības tīkla organizatorisko modeli, nosakot tiesisko regulējumu, kas nosaka strukturālos, tehnoloģiskos un organizatoriskos standartus visos reģionos; jaunas institucionālās struktūras noteikšana veselības, vides un</w:t>
            </w:r>
            <w:r>
              <w:rPr>
                <w:noProof/>
              </w:rPr>
              <w:t xml:space="preserve"> klimata profilaksei saskaņā ar pieeju “Viena veselība”.</w:t>
            </w:r>
          </w:p>
        </w:tc>
      </w:tr>
      <w:tr w:rsidR="00327FF1" w14:paraId="3299CA0C" w14:textId="77777777">
        <w:trPr>
          <w:trHeight w:val="315"/>
        </w:trPr>
        <w:tc>
          <w:tcPr>
            <w:tcW w:w="1277" w:type="dxa"/>
            <w:shd w:val="clear" w:color="auto" w:fill="C6EFCE"/>
            <w:vAlign w:val="center"/>
          </w:tcPr>
          <w:p w14:paraId="1DD89562" w14:textId="77777777" w:rsidR="00327FF1" w:rsidRDefault="00E406C7">
            <w:pPr>
              <w:pStyle w:val="P68B1DB1-Normal11"/>
              <w:jc w:val="center"/>
              <w:rPr>
                <w:noProof/>
                <w:szCs w:val="20"/>
              </w:rPr>
            </w:pPr>
            <w:r>
              <w:rPr>
                <w:noProof/>
              </w:rPr>
              <w:t>M6C1–2</w:t>
            </w:r>
          </w:p>
        </w:tc>
        <w:tc>
          <w:tcPr>
            <w:tcW w:w="1701" w:type="dxa"/>
            <w:shd w:val="clear" w:color="auto" w:fill="C6EFCE"/>
            <w:vAlign w:val="center"/>
          </w:tcPr>
          <w:p w14:paraId="18E78B7F" w14:textId="77777777" w:rsidR="00327FF1" w:rsidRDefault="00E406C7">
            <w:pPr>
              <w:pStyle w:val="P68B1DB1-Normal11"/>
              <w:jc w:val="center"/>
              <w:rPr>
                <w:noProof/>
                <w:szCs w:val="20"/>
              </w:rPr>
            </w:pPr>
            <w:r>
              <w:rPr>
                <w:noProof/>
              </w:rPr>
              <w:t>Investīcija 1.1: Kopienu veselības aprūpes nami, lai uzlabotu teritoriālo palīdzību veselības jomā</w:t>
            </w:r>
          </w:p>
        </w:tc>
        <w:tc>
          <w:tcPr>
            <w:tcW w:w="1134" w:type="dxa"/>
            <w:shd w:val="clear" w:color="auto" w:fill="C6EFCE"/>
            <w:vAlign w:val="center"/>
          </w:tcPr>
          <w:p w14:paraId="05DF5823" w14:textId="77777777" w:rsidR="00327FF1" w:rsidRDefault="00E406C7">
            <w:pPr>
              <w:pStyle w:val="P68B1DB1-Normal11"/>
              <w:jc w:val="center"/>
              <w:rPr>
                <w:noProof/>
                <w:szCs w:val="20"/>
              </w:rPr>
            </w:pPr>
            <w:r>
              <w:rPr>
                <w:noProof/>
              </w:rPr>
              <w:t>Atskaites punkts</w:t>
            </w:r>
          </w:p>
        </w:tc>
        <w:tc>
          <w:tcPr>
            <w:tcW w:w="1417" w:type="dxa"/>
            <w:shd w:val="clear" w:color="auto" w:fill="C6EFCE"/>
            <w:vAlign w:val="center"/>
          </w:tcPr>
          <w:p w14:paraId="6444F7C0" w14:textId="77777777" w:rsidR="00327FF1" w:rsidRDefault="00E406C7">
            <w:pPr>
              <w:pStyle w:val="P68B1DB1-Normal11"/>
              <w:jc w:val="center"/>
              <w:rPr>
                <w:noProof/>
                <w:szCs w:val="20"/>
              </w:rPr>
            </w:pPr>
            <w:r>
              <w:rPr>
                <w:noProof/>
              </w:rPr>
              <w:t xml:space="preserve">Institucionālās attīstības līguma apstiprināšana </w:t>
            </w:r>
          </w:p>
        </w:tc>
        <w:tc>
          <w:tcPr>
            <w:tcW w:w="1363" w:type="dxa"/>
            <w:shd w:val="clear" w:color="auto" w:fill="C6EFCE"/>
            <w:vAlign w:val="center"/>
          </w:tcPr>
          <w:p w14:paraId="44E17411" w14:textId="77777777" w:rsidR="00327FF1" w:rsidRDefault="00E406C7">
            <w:pPr>
              <w:pStyle w:val="P68B1DB1-Normal11"/>
              <w:jc w:val="center"/>
              <w:rPr>
                <w:noProof/>
                <w:szCs w:val="20"/>
              </w:rPr>
            </w:pPr>
            <w:r>
              <w:rPr>
                <w:noProof/>
              </w:rPr>
              <w:t xml:space="preserve">Veselības un reģionu </w:t>
            </w:r>
            <w:r>
              <w:rPr>
                <w:noProof/>
              </w:rPr>
              <w:t>ministrijas paziņojums par apstiprinājumu</w:t>
            </w:r>
          </w:p>
        </w:tc>
        <w:tc>
          <w:tcPr>
            <w:tcW w:w="948" w:type="dxa"/>
            <w:shd w:val="clear" w:color="auto" w:fill="C6EFCE"/>
            <w:vAlign w:val="center"/>
          </w:tcPr>
          <w:p w14:paraId="182E788F" w14:textId="77777777" w:rsidR="00327FF1" w:rsidRDefault="00E406C7">
            <w:pPr>
              <w:pStyle w:val="P68B1DB1-Normal11"/>
              <w:jc w:val="center"/>
              <w:rPr>
                <w:noProof/>
                <w:szCs w:val="20"/>
              </w:rPr>
            </w:pPr>
            <w:r>
              <w:rPr>
                <w:noProof/>
              </w:rPr>
              <w:t>NEPIEMĒRO</w:t>
            </w:r>
          </w:p>
        </w:tc>
        <w:tc>
          <w:tcPr>
            <w:tcW w:w="950" w:type="dxa"/>
            <w:shd w:val="clear" w:color="auto" w:fill="C6EFCE"/>
            <w:vAlign w:val="center"/>
          </w:tcPr>
          <w:p w14:paraId="49D3CB42" w14:textId="77777777" w:rsidR="00327FF1" w:rsidRDefault="00E406C7">
            <w:pPr>
              <w:pStyle w:val="P68B1DB1-Normal11"/>
              <w:jc w:val="center"/>
              <w:rPr>
                <w:noProof/>
                <w:szCs w:val="20"/>
              </w:rPr>
            </w:pPr>
            <w:r>
              <w:rPr>
                <w:noProof/>
              </w:rPr>
              <w:t>NEPIEMĒRO</w:t>
            </w:r>
          </w:p>
        </w:tc>
        <w:tc>
          <w:tcPr>
            <w:tcW w:w="992" w:type="dxa"/>
            <w:shd w:val="clear" w:color="auto" w:fill="C6EFCE"/>
            <w:vAlign w:val="center"/>
          </w:tcPr>
          <w:p w14:paraId="5D297D7D" w14:textId="77777777" w:rsidR="00327FF1" w:rsidRDefault="00E406C7">
            <w:pPr>
              <w:pStyle w:val="P68B1DB1-Normal11"/>
              <w:jc w:val="center"/>
              <w:rPr>
                <w:noProof/>
                <w:szCs w:val="20"/>
              </w:rPr>
            </w:pPr>
            <w:r>
              <w:rPr>
                <w:noProof/>
              </w:rPr>
              <w:t>NEPIEMĒRO</w:t>
            </w:r>
          </w:p>
        </w:tc>
        <w:tc>
          <w:tcPr>
            <w:tcW w:w="992" w:type="dxa"/>
            <w:shd w:val="clear" w:color="auto" w:fill="C6EFCE"/>
            <w:vAlign w:val="center"/>
          </w:tcPr>
          <w:p w14:paraId="1BC00E70" w14:textId="77777777" w:rsidR="00327FF1" w:rsidRDefault="00E406C7">
            <w:pPr>
              <w:pStyle w:val="P68B1DB1-Normal11"/>
              <w:jc w:val="center"/>
              <w:rPr>
                <w:noProof/>
                <w:szCs w:val="20"/>
              </w:rPr>
            </w:pPr>
            <w:r>
              <w:rPr>
                <w:noProof/>
              </w:rPr>
              <w:t>2. CET.</w:t>
            </w:r>
          </w:p>
        </w:tc>
        <w:tc>
          <w:tcPr>
            <w:tcW w:w="709" w:type="dxa"/>
            <w:shd w:val="clear" w:color="auto" w:fill="C6EFCE"/>
            <w:vAlign w:val="center"/>
          </w:tcPr>
          <w:p w14:paraId="31F692FD" w14:textId="77777777" w:rsidR="00327FF1" w:rsidRDefault="00E406C7">
            <w:pPr>
              <w:pStyle w:val="P68B1DB1-Normal11"/>
              <w:jc w:val="center"/>
              <w:rPr>
                <w:noProof/>
                <w:szCs w:val="20"/>
              </w:rPr>
            </w:pPr>
            <w:r>
              <w:rPr>
                <w:noProof/>
              </w:rPr>
              <w:t>2022</w:t>
            </w:r>
          </w:p>
        </w:tc>
        <w:tc>
          <w:tcPr>
            <w:tcW w:w="3634" w:type="dxa"/>
            <w:shd w:val="clear" w:color="auto" w:fill="C6EFCE"/>
            <w:vAlign w:val="center"/>
          </w:tcPr>
          <w:p w14:paraId="5B71C581" w14:textId="77777777" w:rsidR="00327FF1" w:rsidRDefault="00E406C7">
            <w:pPr>
              <w:pStyle w:val="P68B1DB1-Normal11"/>
              <w:rPr>
                <w:noProof/>
                <w:szCs w:val="20"/>
              </w:rPr>
            </w:pPr>
            <w:r>
              <w:rPr>
                <w:noProof/>
              </w:rPr>
              <w:t xml:space="preserve">Institucionālās attīstības līguma (Contratto Istituzionale di Sviluppo) apstiprināšana ar Itālijas Veselības ministriju par atbildīgo un īstenošanas iestādi un reģionālo </w:t>
            </w:r>
            <w:r>
              <w:rPr>
                <w:noProof/>
              </w:rPr>
              <w:t>administrāciju līdzdalība kopā ar citām struktūrām, kas saistītas ar Kopienas veselības aprūpes iestādēm:</w:t>
            </w:r>
          </w:p>
          <w:p w14:paraId="36B2DEA6" w14:textId="77777777" w:rsidR="00327FF1" w:rsidRDefault="00E406C7">
            <w:pPr>
              <w:pStyle w:val="P68B1DB1-Normal11"/>
              <w:rPr>
                <w:noProof/>
                <w:szCs w:val="20"/>
              </w:rPr>
            </w:pPr>
            <w:r>
              <w:rPr>
                <w:noProof/>
              </w:rPr>
              <w:t>Institucionālās attīstības līgums ir pārvaldības instruments, kurā uzskaita visas piemērotās puses, kas noteiktas Kopienas veselības aprūpes nama īste</w:t>
            </w:r>
            <w:r>
              <w:rPr>
                <w:noProof/>
              </w:rPr>
              <w:t xml:space="preserve">nošanai, lai uzlabotu teritoriālo palīdzību veselības jomā. Līgumā norāda arī saistības, ko katrs Itālijas reģions uzņemsies, lai garantētu gaidāmo rezultātu sasniegšanu attiecībā uz Kopienas veselības aprūpes namu. </w:t>
            </w:r>
          </w:p>
          <w:p w14:paraId="071458A8" w14:textId="77777777" w:rsidR="00327FF1" w:rsidRDefault="00E406C7">
            <w:pPr>
              <w:pStyle w:val="P68B1DB1-Normal11"/>
              <w:rPr>
                <w:noProof/>
                <w:szCs w:val="20"/>
              </w:rPr>
            </w:pPr>
            <w:r>
              <w:rPr>
                <w:noProof/>
              </w:rPr>
              <w:t xml:space="preserve"> Līguma mērķis bija atbalstīt teritoriā</w:t>
            </w:r>
            <w:r>
              <w:rPr>
                <w:noProof/>
              </w:rPr>
              <w:t>lo kohēziju, attīstību un ekonomikas izaugsmi un paātrināt sarežģītu intervences pasākumu īstenošanu. Iestāžu attīstības līgums ir īpaši noderīgs lieliem projektiem vai investīcijām, kas formulētas atsevišķos pasākumos, kuri ir savstarpēji funkcionāli sais</w:t>
            </w:r>
            <w:r>
              <w:rPr>
                <w:noProof/>
              </w:rPr>
              <w:t>tīti un kuriem nepieciešama integrēta pieeja un Eiropas investīciju struktūrfondu un valstu fondu izmantošana, kas iekļauti arī plānos un darbības programmās, kuras finansē no valsts un Eiropas resursiem.</w:t>
            </w:r>
          </w:p>
        </w:tc>
      </w:tr>
      <w:tr w:rsidR="00327FF1" w14:paraId="70949CE6" w14:textId="77777777">
        <w:trPr>
          <w:trHeight w:val="315"/>
        </w:trPr>
        <w:tc>
          <w:tcPr>
            <w:tcW w:w="1277" w:type="dxa"/>
            <w:shd w:val="clear" w:color="auto" w:fill="C6EFCE"/>
            <w:vAlign w:val="center"/>
          </w:tcPr>
          <w:p w14:paraId="50E8FDDC" w14:textId="77777777" w:rsidR="00327FF1" w:rsidRDefault="00E406C7">
            <w:pPr>
              <w:pStyle w:val="P68B1DB1-Normal12"/>
              <w:jc w:val="center"/>
              <w:rPr>
                <w:noProof/>
              </w:rPr>
            </w:pPr>
            <w:r>
              <w:rPr>
                <w:noProof/>
              </w:rPr>
              <w:t>M6C1–3</w:t>
            </w:r>
          </w:p>
        </w:tc>
        <w:tc>
          <w:tcPr>
            <w:tcW w:w="1701" w:type="dxa"/>
            <w:shd w:val="clear" w:color="auto" w:fill="C6EFCE"/>
            <w:vAlign w:val="center"/>
          </w:tcPr>
          <w:p w14:paraId="155FB00D" w14:textId="77777777" w:rsidR="00327FF1" w:rsidRDefault="00E406C7">
            <w:pPr>
              <w:pStyle w:val="P68B1DB1-Normal11"/>
              <w:jc w:val="center"/>
              <w:rPr>
                <w:noProof/>
                <w:szCs w:val="20"/>
              </w:rPr>
            </w:pPr>
            <w:bookmarkStart w:id="22" w:name="_Hlk160472482"/>
            <w:r>
              <w:rPr>
                <w:noProof/>
              </w:rPr>
              <w:t xml:space="preserve">Investīcija 1.1: Kopienu veselības aprūpes </w:t>
            </w:r>
            <w:r>
              <w:rPr>
                <w:noProof/>
              </w:rPr>
              <w:t>nami, lai uzlabotu teritoriālo palīdzību veselības jomā</w:t>
            </w:r>
            <w:bookmarkEnd w:id="22"/>
          </w:p>
        </w:tc>
        <w:tc>
          <w:tcPr>
            <w:tcW w:w="1134" w:type="dxa"/>
            <w:shd w:val="clear" w:color="auto" w:fill="C6EFCE"/>
            <w:vAlign w:val="center"/>
          </w:tcPr>
          <w:p w14:paraId="12F18F02" w14:textId="77777777" w:rsidR="00327FF1" w:rsidRDefault="00E406C7">
            <w:pPr>
              <w:pStyle w:val="P68B1DB1-Normal11"/>
              <w:jc w:val="center"/>
              <w:rPr>
                <w:noProof/>
                <w:szCs w:val="20"/>
              </w:rPr>
            </w:pPr>
            <w:r>
              <w:rPr>
                <w:noProof/>
              </w:rPr>
              <w:t>Mērķa</w:t>
            </w:r>
          </w:p>
        </w:tc>
        <w:tc>
          <w:tcPr>
            <w:tcW w:w="1417" w:type="dxa"/>
            <w:shd w:val="clear" w:color="auto" w:fill="C6EFCE"/>
            <w:vAlign w:val="center"/>
          </w:tcPr>
          <w:p w14:paraId="5808009D" w14:textId="77777777" w:rsidR="00327FF1" w:rsidRDefault="00E406C7">
            <w:pPr>
              <w:pStyle w:val="P68B1DB1-Normal12"/>
              <w:jc w:val="center"/>
              <w:rPr>
                <w:noProof/>
              </w:rPr>
            </w:pPr>
            <w:r>
              <w:rPr>
                <w:noProof/>
              </w:rPr>
              <w:t xml:space="preserve">Ir aktivizēti Kopienas veselības aprūpes iestāžu pakalpojumi </w:t>
            </w:r>
          </w:p>
        </w:tc>
        <w:tc>
          <w:tcPr>
            <w:tcW w:w="1363" w:type="dxa"/>
            <w:shd w:val="clear" w:color="auto" w:fill="C6EFCE"/>
            <w:vAlign w:val="center"/>
          </w:tcPr>
          <w:p w14:paraId="460C6C6A" w14:textId="77777777" w:rsidR="00327FF1" w:rsidRDefault="00E406C7">
            <w:pPr>
              <w:pStyle w:val="P68B1DB1-Normal11"/>
              <w:jc w:val="center"/>
              <w:rPr>
                <w:noProof/>
                <w:szCs w:val="20"/>
              </w:rPr>
            </w:pPr>
            <w:r>
              <w:rPr>
                <w:noProof/>
              </w:rPr>
              <w:t>NEPIEMĒRO</w:t>
            </w:r>
          </w:p>
        </w:tc>
        <w:tc>
          <w:tcPr>
            <w:tcW w:w="948" w:type="dxa"/>
            <w:shd w:val="clear" w:color="auto" w:fill="C6EFCE"/>
            <w:vAlign w:val="center"/>
          </w:tcPr>
          <w:p w14:paraId="65A7EF21" w14:textId="77777777" w:rsidR="00327FF1" w:rsidRDefault="00E406C7">
            <w:pPr>
              <w:pStyle w:val="P68B1DB1-Normal11"/>
              <w:jc w:val="center"/>
              <w:rPr>
                <w:noProof/>
                <w:szCs w:val="20"/>
              </w:rPr>
            </w:pPr>
            <w:r>
              <w:rPr>
                <w:noProof/>
              </w:rPr>
              <w:t>Skaits</w:t>
            </w:r>
          </w:p>
        </w:tc>
        <w:tc>
          <w:tcPr>
            <w:tcW w:w="950" w:type="dxa"/>
            <w:shd w:val="clear" w:color="auto" w:fill="C6EFCE"/>
            <w:vAlign w:val="center"/>
          </w:tcPr>
          <w:p w14:paraId="768DAFE8" w14:textId="77777777" w:rsidR="00327FF1" w:rsidRDefault="00E406C7">
            <w:pPr>
              <w:pStyle w:val="P68B1DB1-Normal11"/>
              <w:jc w:val="center"/>
              <w:rPr>
                <w:noProof/>
                <w:szCs w:val="20"/>
              </w:rPr>
            </w:pPr>
            <w:r>
              <w:rPr>
                <w:noProof/>
              </w:rPr>
              <w:t>0</w:t>
            </w:r>
          </w:p>
        </w:tc>
        <w:tc>
          <w:tcPr>
            <w:tcW w:w="992" w:type="dxa"/>
            <w:shd w:val="clear" w:color="auto" w:fill="C6EFCE"/>
            <w:vAlign w:val="center"/>
          </w:tcPr>
          <w:p w14:paraId="34A25F34" w14:textId="77777777" w:rsidR="00327FF1" w:rsidRDefault="00E406C7">
            <w:pPr>
              <w:pStyle w:val="P68B1DB1-Normal11"/>
              <w:jc w:val="center"/>
              <w:rPr>
                <w:noProof/>
                <w:szCs w:val="20"/>
              </w:rPr>
            </w:pPr>
            <w:r>
              <w:rPr>
                <w:noProof/>
              </w:rPr>
              <w:t>1 038</w:t>
            </w:r>
          </w:p>
        </w:tc>
        <w:tc>
          <w:tcPr>
            <w:tcW w:w="992" w:type="dxa"/>
            <w:shd w:val="clear" w:color="auto" w:fill="C6EFCE"/>
            <w:vAlign w:val="center"/>
          </w:tcPr>
          <w:p w14:paraId="542B148C" w14:textId="77777777" w:rsidR="00327FF1" w:rsidRDefault="00E406C7">
            <w:pPr>
              <w:pStyle w:val="P68B1DB1-Normal11"/>
              <w:jc w:val="center"/>
              <w:rPr>
                <w:noProof/>
                <w:szCs w:val="20"/>
              </w:rPr>
            </w:pPr>
            <w:r>
              <w:rPr>
                <w:noProof/>
              </w:rPr>
              <w:t>2. CET.</w:t>
            </w:r>
          </w:p>
        </w:tc>
        <w:tc>
          <w:tcPr>
            <w:tcW w:w="709" w:type="dxa"/>
            <w:shd w:val="clear" w:color="auto" w:fill="C6EFCE"/>
            <w:vAlign w:val="center"/>
          </w:tcPr>
          <w:p w14:paraId="13C023B7" w14:textId="77777777" w:rsidR="00327FF1" w:rsidRDefault="00E406C7">
            <w:pPr>
              <w:pStyle w:val="P68B1DB1-Normal11"/>
              <w:jc w:val="center"/>
              <w:rPr>
                <w:noProof/>
                <w:szCs w:val="20"/>
              </w:rPr>
            </w:pPr>
            <w:r>
              <w:rPr>
                <w:noProof/>
              </w:rPr>
              <w:t>2026</w:t>
            </w:r>
          </w:p>
        </w:tc>
        <w:tc>
          <w:tcPr>
            <w:tcW w:w="3634" w:type="dxa"/>
            <w:shd w:val="clear" w:color="auto" w:fill="C6EFCE"/>
            <w:vAlign w:val="center"/>
          </w:tcPr>
          <w:p w14:paraId="4D26E9B0" w14:textId="77777777" w:rsidR="00327FF1" w:rsidRDefault="00E406C7">
            <w:pPr>
              <w:pStyle w:val="P68B1DB1-Normal12"/>
              <w:rPr>
                <w:noProof/>
              </w:rPr>
            </w:pPr>
            <w:r>
              <w:rPr>
                <w:noProof/>
              </w:rPr>
              <w:t xml:space="preserve">Neatkarīgu ekspertu ziņojumi, kas apstiprina pakalpojumu aktivizēšanu saskaņā ar standartiem, </w:t>
            </w:r>
            <w:r>
              <w:rPr>
                <w:noProof/>
              </w:rPr>
              <w:t>kuri noteikti DM 2022. gada 23. maija dokumenta Nr. 77 1. pielikuma 5. iedaļas obligātajos punktos vismaz 1038 Kopienas veselības aprūpes iestādēs.</w:t>
            </w:r>
          </w:p>
          <w:p w14:paraId="68DFE658" w14:textId="77777777" w:rsidR="00327FF1" w:rsidRDefault="00E406C7">
            <w:pPr>
              <w:pStyle w:val="P68B1DB1-Normal12"/>
              <w:rPr>
                <w:noProof/>
              </w:rPr>
            </w:pPr>
            <w:r>
              <w:rPr>
                <w:noProof/>
              </w:rPr>
              <w:t>Vismaz 50 % no ANM atbalsta investīciju izmaksām atvēl jaunu ēku būvniecībai (intervences lauks 025 ter), ka</w:t>
            </w:r>
            <w:r>
              <w:rPr>
                <w:noProof/>
              </w:rPr>
              <w:t>s atbilst Regulas (ES) 2021/241 VI pielikuma 5. zemsvītras piezīmes prasībām, vai ēku energoefektivitātes renovācijai (intervences lauks 026), ko apstiprinājis neatkarīgais eksperts.</w:t>
            </w:r>
          </w:p>
        </w:tc>
      </w:tr>
      <w:tr w:rsidR="00327FF1" w14:paraId="0629FBAF" w14:textId="77777777">
        <w:trPr>
          <w:trHeight w:val="315"/>
        </w:trPr>
        <w:tc>
          <w:tcPr>
            <w:tcW w:w="1277" w:type="dxa"/>
            <w:shd w:val="clear" w:color="auto" w:fill="C6EFCE"/>
            <w:vAlign w:val="center"/>
          </w:tcPr>
          <w:p w14:paraId="10542915" w14:textId="77777777" w:rsidR="00327FF1" w:rsidRDefault="00E406C7">
            <w:pPr>
              <w:pStyle w:val="P68B1DB1-Normal11"/>
              <w:jc w:val="center"/>
              <w:rPr>
                <w:noProof/>
                <w:szCs w:val="20"/>
              </w:rPr>
            </w:pPr>
            <w:r>
              <w:rPr>
                <w:noProof/>
              </w:rPr>
              <w:t>M6C1–4</w:t>
            </w:r>
          </w:p>
        </w:tc>
        <w:tc>
          <w:tcPr>
            <w:tcW w:w="1701" w:type="dxa"/>
            <w:shd w:val="clear" w:color="auto" w:fill="C6EFCE"/>
            <w:vAlign w:val="center"/>
          </w:tcPr>
          <w:p w14:paraId="07B8B21F" w14:textId="77777777" w:rsidR="00327FF1" w:rsidRDefault="00E406C7">
            <w:pPr>
              <w:pStyle w:val="P68B1DB1-Normal11"/>
              <w:jc w:val="center"/>
              <w:rPr>
                <w:noProof/>
                <w:szCs w:val="20"/>
              </w:rPr>
            </w:pPr>
            <w:r>
              <w:rPr>
                <w:noProof/>
              </w:rPr>
              <w:t>Ieguldījums 1.2. Mājas kā pirmā aprūpes un telemedicīnas vieta</w:t>
            </w:r>
          </w:p>
        </w:tc>
        <w:tc>
          <w:tcPr>
            <w:tcW w:w="1134" w:type="dxa"/>
            <w:shd w:val="clear" w:color="auto" w:fill="C6EFCE"/>
            <w:vAlign w:val="center"/>
          </w:tcPr>
          <w:p w14:paraId="5395F82C" w14:textId="77777777" w:rsidR="00327FF1" w:rsidRDefault="00E406C7">
            <w:pPr>
              <w:pStyle w:val="P68B1DB1-Normal11"/>
              <w:jc w:val="center"/>
              <w:rPr>
                <w:noProof/>
                <w:szCs w:val="20"/>
              </w:rPr>
            </w:pPr>
            <w:r>
              <w:rPr>
                <w:noProof/>
              </w:rPr>
              <w:t>Atskaites punkts</w:t>
            </w:r>
          </w:p>
        </w:tc>
        <w:tc>
          <w:tcPr>
            <w:tcW w:w="1417" w:type="dxa"/>
            <w:shd w:val="clear" w:color="auto" w:fill="C6EFCE"/>
            <w:vAlign w:val="center"/>
          </w:tcPr>
          <w:p w14:paraId="3B5E9091" w14:textId="77777777" w:rsidR="00327FF1" w:rsidRDefault="00E406C7">
            <w:pPr>
              <w:pStyle w:val="P68B1DB1-Normal11"/>
              <w:jc w:val="center"/>
              <w:rPr>
                <w:noProof/>
                <w:szCs w:val="20"/>
              </w:rPr>
            </w:pPr>
            <w:r>
              <w:rPr>
                <w:noProof/>
              </w:rPr>
              <w:t>Pamatnostādņu, kurās ietverts digitālais modelis mājas aprūpes īstenošanai, apstiprināšana</w:t>
            </w:r>
          </w:p>
        </w:tc>
        <w:tc>
          <w:tcPr>
            <w:tcW w:w="1363" w:type="dxa"/>
            <w:shd w:val="clear" w:color="auto" w:fill="C6EFCE"/>
            <w:vAlign w:val="center"/>
          </w:tcPr>
          <w:p w14:paraId="35DCE9B0" w14:textId="77777777" w:rsidR="00327FF1" w:rsidRDefault="00E406C7">
            <w:pPr>
              <w:pStyle w:val="P68B1DB1-Normal11"/>
              <w:jc w:val="center"/>
              <w:rPr>
                <w:noProof/>
                <w:szCs w:val="20"/>
              </w:rPr>
            </w:pPr>
            <w:r>
              <w:rPr>
                <w:noProof/>
              </w:rPr>
              <w:t>Veselības ministrijas apstiprinātās pamatnostādnes</w:t>
            </w:r>
          </w:p>
        </w:tc>
        <w:tc>
          <w:tcPr>
            <w:tcW w:w="948" w:type="dxa"/>
            <w:shd w:val="clear" w:color="auto" w:fill="C6EFCE"/>
            <w:vAlign w:val="center"/>
          </w:tcPr>
          <w:p w14:paraId="76FDC4B3" w14:textId="77777777" w:rsidR="00327FF1" w:rsidRDefault="00E406C7">
            <w:pPr>
              <w:pStyle w:val="P68B1DB1-Normal11"/>
              <w:jc w:val="center"/>
              <w:rPr>
                <w:noProof/>
                <w:szCs w:val="20"/>
              </w:rPr>
            </w:pPr>
            <w:r>
              <w:rPr>
                <w:noProof/>
              </w:rPr>
              <w:t>NEPIEMĒRO</w:t>
            </w:r>
          </w:p>
        </w:tc>
        <w:tc>
          <w:tcPr>
            <w:tcW w:w="950" w:type="dxa"/>
            <w:shd w:val="clear" w:color="auto" w:fill="C6EFCE"/>
            <w:vAlign w:val="center"/>
          </w:tcPr>
          <w:p w14:paraId="006FF6F9" w14:textId="77777777" w:rsidR="00327FF1" w:rsidRDefault="00E406C7">
            <w:pPr>
              <w:pStyle w:val="P68B1DB1-Normal11"/>
              <w:jc w:val="center"/>
              <w:rPr>
                <w:noProof/>
                <w:szCs w:val="20"/>
              </w:rPr>
            </w:pPr>
            <w:r>
              <w:rPr>
                <w:noProof/>
              </w:rPr>
              <w:t>NEPIEMĒRO</w:t>
            </w:r>
          </w:p>
        </w:tc>
        <w:tc>
          <w:tcPr>
            <w:tcW w:w="992" w:type="dxa"/>
            <w:shd w:val="clear" w:color="auto" w:fill="C6EFCE"/>
            <w:vAlign w:val="center"/>
          </w:tcPr>
          <w:p w14:paraId="62627051" w14:textId="77777777" w:rsidR="00327FF1" w:rsidRDefault="00E406C7">
            <w:pPr>
              <w:pStyle w:val="P68B1DB1-Normal11"/>
              <w:jc w:val="center"/>
              <w:rPr>
                <w:noProof/>
                <w:szCs w:val="20"/>
              </w:rPr>
            </w:pPr>
            <w:r>
              <w:rPr>
                <w:noProof/>
              </w:rPr>
              <w:t>NEPIEMĒRO</w:t>
            </w:r>
          </w:p>
        </w:tc>
        <w:tc>
          <w:tcPr>
            <w:tcW w:w="992" w:type="dxa"/>
            <w:shd w:val="clear" w:color="auto" w:fill="C6EFCE"/>
            <w:vAlign w:val="center"/>
          </w:tcPr>
          <w:p w14:paraId="757BC6AA" w14:textId="77777777" w:rsidR="00327FF1" w:rsidRDefault="00E406C7">
            <w:pPr>
              <w:pStyle w:val="P68B1DB1-Normal11"/>
              <w:jc w:val="center"/>
              <w:rPr>
                <w:noProof/>
                <w:szCs w:val="20"/>
              </w:rPr>
            </w:pPr>
            <w:r>
              <w:rPr>
                <w:noProof/>
              </w:rPr>
              <w:t>2. CET.</w:t>
            </w:r>
          </w:p>
        </w:tc>
        <w:tc>
          <w:tcPr>
            <w:tcW w:w="709" w:type="dxa"/>
            <w:shd w:val="clear" w:color="auto" w:fill="C6EFCE"/>
            <w:vAlign w:val="center"/>
          </w:tcPr>
          <w:p w14:paraId="28815B00" w14:textId="77777777" w:rsidR="00327FF1" w:rsidRDefault="00E406C7">
            <w:pPr>
              <w:pStyle w:val="P68B1DB1-Normal11"/>
              <w:jc w:val="center"/>
              <w:rPr>
                <w:noProof/>
                <w:szCs w:val="20"/>
              </w:rPr>
            </w:pPr>
            <w:r>
              <w:rPr>
                <w:noProof/>
              </w:rPr>
              <w:t>2022</w:t>
            </w:r>
          </w:p>
        </w:tc>
        <w:tc>
          <w:tcPr>
            <w:tcW w:w="3634" w:type="dxa"/>
            <w:shd w:val="clear" w:color="auto" w:fill="C6EFCE"/>
            <w:vAlign w:val="center"/>
          </w:tcPr>
          <w:p w14:paraId="058CD091" w14:textId="77777777" w:rsidR="00327FF1" w:rsidRDefault="00E406C7">
            <w:pPr>
              <w:pStyle w:val="P68B1DB1-Normal11"/>
              <w:rPr>
                <w:noProof/>
                <w:szCs w:val="20"/>
              </w:rPr>
            </w:pPr>
            <w:r>
              <w:rPr>
                <w:noProof/>
              </w:rPr>
              <w:t xml:space="preserve">Pamatnostādnes racionalizē procesus, kas vajadzīgi, </w:t>
            </w:r>
            <w:r>
              <w:rPr>
                <w:noProof/>
              </w:rPr>
              <w:t>lai uzlabotu aprūpi mājās, izstrādājot attālinātās uzraudzības metodes un mājas automatizāciju.</w:t>
            </w:r>
          </w:p>
        </w:tc>
      </w:tr>
      <w:tr w:rsidR="00327FF1" w14:paraId="56DF5091" w14:textId="77777777">
        <w:trPr>
          <w:trHeight w:val="315"/>
        </w:trPr>
        <w:tc>
          <w:tcPr>
            <w:tcW w:w="1277" w:type="dxa"/>
            <w:shd w:val="clear" w:color="auto" w:fill="C6EFCE"/>
            <w:vAlign w:val="center"/>
          </w:tcPr>
          <w:p w14:paraId="13A9141C" w14:textId="77777777" w:rsidR="00327FF1" w:rsidRDefault="00E406C7">
            <w:pPr>
              <w:pStyle w:val="P68B1DB1-Normal11"/>
              <w:jc w:val="center"/>
              <w:rPr>
                <w:noProof/>
                <w:szCs w:val="20"/>
              </w:rPr>
            </w:pPr>
            <w:r>
              <w:rPr>
                <w:noProof/>
              </w:rPr>
              <w:t>M6C1–5</w:t>
            </w:r>
          </w:p>
        </w:tc>
        <w:tc>
          <w:tcPr>
            <w:tcW w:w="1701" w:type="dxa"/>
            <w:shd w:val="clear" w:color="auto" w:fill="C6EFCE"/>
            <w:vAlign w:val="center"/>
          </w:tcPr>
          <w:p w14:paraId="58753E1A" w14:textId="77777777" w:rsidR="00327FF1" w:rsidRDefault="00E406C7">
            <w:pPr>
              <w:pStyle w:val="P68B1DB1-Normal11"/>
              <w:jc w:val="center"/>
              <w:rPr>
                <w:noProof/>
                <w:szCs w:val="20"/>
              </w:rPr>
            </w:pPr>
            <w:r>
              <w:rPr>
                <w:noProof/>
              </w:rPr>
              <w:t>Ieguldījums 1.2. Mājas kā pirmā aprūpes un telemedicīnas vieta</w:t>
            </w:r>
          </w:p>
        </w:tc>
        <w:tc>
          <w:tcPr>
            <w:tcW w:w="1134" w:type="dxa"/>
            <w:shd w:val="clear" w:color="auto" w:fill="C6EFCE"/>
            <w:vAlign w:val="center"/>
          </w:tcPr>
          <w:p w14:paraId="24DC53AC" w14:textId="77777777" w:rsidR="00327FF1" w:rsidRDefault="00E406C7">
            <w:pPr>
              <w:pStyle w:val="P68B1DB1-Normal11"/>
              <w:jc w:val="center"/>
              <w:rPr>
                <w:noProof/>
                <w:szCs w:val="20"/>
              </w:rPr>
            </w:pPr>
            <w:r>
              <w:rPr>
                <w:noProof/>
              </w:rPr>
              <w:t>Atskaites punkts</w:t>
            </w:r>
          </w:p>
        </w:tc>
        <w:tc>
          <w:tcPr>
            <w:tcW w:w="1417" w:type="dxa"/>
            <w:shd w:val="clear" w:color="auto" w:fill="C6EFCE"/>
            <w:vAlign w:val="center"/>
          </w:tcPr>
          <w:p w14:paraId="3382BA5D" w14:textId="77777777" w:rsidR="00327FF1" w:rsidRDefault="00E406C7">
            <w:pPr>
              <w:pStyle w:val="P68B1DB1-Normal11"/>
              <w:jc w:val="center"/>
              <w:rPr>
                <w:noProof/>
                <w:szCs w:val="20"/>
              </w:rPr>
            </w:pPr>
            <w:r>
              <w:rPr>
                <w:noProof/>
              </w:rPr>
              <w:t xml:space="preserve">Veselības un reģionu ministrijas apstiprināts institucionālās attīstības līgums </w:t>
            </w:r>
          </w:p>
        </w:tc>
        <w:tc>
          <w:tcPr>
            <w:tcW w:w="1363" w:type="dxa"/>
            <w:shd w:val="clear" w:color="auto" w:fill="C6EFCE"/>
            <w:vAlign w:val="center"/>
          </w:tcPr>
          <w:p w14:paraId="39344333" w14:textId="77777777" w:rsidR="00327FF1" w:rsidRDefault="00E406C7">
            <w:pPr>
              <w:pStyle w:val="P68B1DB1-Normal11"/>
              <w:jc w:val="center"/>
              <w:rPr>
                <w:noProof/>
                <w:szCs w:val="20"/>
              </w:rPr>
            </w:pPr>
            <w:r>
              <w:rPr>
                <w:noProof/>
              </w:rPr>
              <w:t>Paziņojums par apstiprināto līgumu</w:t>
            </w:r>
          </w:p>
        </w:tc>
        <w:tc>
          <w:tcPr>
            <w:tcW w:w="948" w:type="dxa"/>
            <w:shd w:val="clear" w:color="auto" w:fill="C6EFCE"/>
            <w:vAlign w:val="center"/>
          </w:tcPr>
          <w:p w14:paraId="2502C4F6" w14:textId="77777777" w:rsidR="00327FF1" w:rsidRDefault="00E406C7">
            <w:pPr>
              <w:pStyle w:val="P68B1DB1-Normal11"/>
              <w:jc w:val="center"/>
              <w:rPr>
                <w:noProof/>
                <w:szCs w:val="20"/>
              </w:rPr>
            </w:pPr>
            <w:r>
              <w:rPr>
                <w:noProof/>
              </w:rPr>
              <w:t>NEPIEMĒRO</w:t>
            </w:r>
          </w:p>
        </w:tc>
        <w:tc>
          <w:tcPr>
            <w:tcW w:w="950" w:type="dxa"/>
            <w:shd w:val="clear" w:color="auto" w:fill="C6EFCE"/>
            <w:vAlign w:val="center"/>
          </w:tcPr>
          <w:p w14:paraId="764AC524" w14:textId="77777777" w:rsidR="00327FF1" w:rsidRDefault="00E406C7">
            <w:pPr>
              <w:pStyle w:val="P68B1DB1-Normal11"/>
              <w:jc w:val="center"/>
              <w:rPr>
                <w:noProof/>
                <w:szCs w:val="20"/>
              </w:rPr>
            </w:pPr>
            <w:r>
              <w:rPr>
                <w:noProof/>
              </w:rPr>
              <w:t>NEPIEMĒRO</w:t>
            </w:r>
          </w:p>
        </w:tc>
        <w:tc>
          <w:tcPr>
            <w:tcW w:w="992" w:type="dxa"/>
            <w:shd w:val="clear" w:color="auto" w:fill="C6EFCE"/>
            <w:vAlign w:val="center"/>
          </w:tcPr>
          <w:p w14:paraId="2D79E3A0" w14:textId="77777777" w:rsidR="00327FF1" w:rsidRDefault="00E406C7">
            <w:pPr>
              <w:pStyle w:val="P68B1DB1-Normal11"/>
              <w:jc w:val="center"/>
              <w:rPr>
                <w:noProof/>
                <w:szCs w:val="20"/>
              </w:rPr>
            </w:pPr>
            <w:r>
              <w:rPr>
                <w:noProof/>
              </w:rPr>
              <w:t>NEPIEMĒRO</w:t>
            </w:r>
          </w:p>
        </w:tc>
        <w:tc>
          <w:tcPr>
            <w:tcW w:w="992" w:type="dxa"/>
            <w:shd w:val="clear" w:color="auto" w:fill="C6EFCE"/>
            <w:vAlign w:val="center"/>
          </w:tcPr>
          <w:p w14:paraId="381E3A2E" w14:textId="77777777" w:rsidR="00327FF1" w:rsidRDefault="00E406C7">
            <w:pPr>
              <w:pStyle w:val="P68B1DB1-Normal11"/>
              <w:jc w:val="center"/>
              <w:rPr>
                <w:noProof/>
                <w:szCs w:val="20"/>
              </w:rPr>
            </w:pPr>
            <w:r>
              <w:rPr>
                <w:noProof/>
              </w:rPr>
              <w:t>2. CET.</w:t>
            </w:r>
          </w:p>
        </w:tc>
        <w:tc>
          <w:tcPr>
            <w:tcW w:w="709" w:type="dxa"/>
            <w:shd w:val="clear" w:color="auto" w:fill="C6EFCE"/>
            <w:vAlign w:val="center"/>
          </w:tcPr>
          <w:p w14:paraId="7AAAD45E" w14:textId="77777777" w:rsidR="00327FF1" w:rsidRDefault="00E406C7">
            <w:pPr>
              <w:pStyle w:val="P68B1DB1-Normal11"/>
              <w:jc w:val="center"/>
              <w:rPr>
                <w:noProof/>
                <w:szCs w:val="20"/>
              </w:rPr>
            </w:pPr>
            <w:r>
              <w:rPr>
                <w:noProof/>
              </w:rPr>
              <w:t>2022</w:t>
            </w:r>
          </w:p>
        </w:tc>
        <w:tc>
          <w:tcPr>
            <w:tcW w:w="3634" w:type="dxa"/>
            <w:shd w:val="clear" w:color="auto" w:fill="C6EFCE"/>
            <w:vAlign w:val="center"/>
          </w:tcPr>
          <w:p w14:paraId="06A21C4D" w14:textId="77777777" w:rsidR="00327FF1" w:rsidRDefault="00E406C7">
            <w:pPr>
              <w:pStyle w:val="P68B1DB1-Normal11"/>
              <w:rPr>
                <w:noProof/>
                <w:szCs w:val="20"/>
              </w:rPr>
            </w:pPr>
            <w:r>
              <w:rPr>
                <w:noProof/>
              </w:rPr>
              <w:t xml:space="preserve">Institucionālās attīstības līguma (Contratto Istituzionale di Sviluppo) apstiprināšana ar </w:t>
            </w:r>
            <w:r>
              <w:rPr>
                <w:noProof/>
              </w:rPr>
              <w:t>Itālijas Veselības ministriju par atbildīgo un īstenošanas iestādi un reģionālo administrāciju līdzdalība kopā ar citām struktūrām, kas ir saistītas ar mājas aprūpi.</w:t>
            </w:r>
          </w:p>
          <w:p w14:paraId="14247D15" w14:textId="77777777" w:rsidR="00327FF1" w:rsidRDefault="00E406C7">
            <w:pPr>
              <w:pStyle w:val="P68B1DB1-Normal11"/>
              <w:rPr>
                <w:noProof/>
                <w:szCs w:val="20"/>
              </w:rPr>
            </w:pPr>
            <w:r>
              <w:rPr>
                <w:noProof/>
              </w:rPr>
              <w:t>Institucionālās attīstības līgumā katrai intervencei vai intervenču kategorijai nosaka gra</w:t>
            </w:r>
            <w:r>
              <w:rPr>
                <w:noProof/>
              </w:rPr>
              <w:t>fiku, līgumslēdzēju pienākumus, novērtēšanas un uzraudzības kritērijus un sankcijas par jebkādu neatbilstību. Tā arī nosaka nosacījumus iespējamai daļējai intervences līdzekļu definansēšanai vai attiecīgo resursu piešķiršanai citam valdības līmenim saskaņā</w:t>
            </w:r>
            <w:r>
              <w:rPr>
                <w:noProof/>
              </w:rPr>
              <w:t xml:space="preserve"> ar subsidiaritātes principu.</w:t>
            </w:r>
          </w:p>
        </w:tc>
      </w:tr>
      <w:tr w:rsidR="00327FF1" w14:paraId="72F4BD0B" w14:textId="77777777">
        <w:trPr>
          <w:trHeight w:val="315"/>
        </w:trPr>
        <w:tc>
          <w:tcPr>
            <w:tcW w:w="1277" w:type="dxa"/>
            <w:shd w:val="clear" w:color="auto" w:fill="C6EFCE"/>
            <w:vAlign w:val="center"/>
          </w:tcPr>
          <w:p w14:paraId="50229E85" w14:textId="77777777" w:rsidR="00327FF1" w:rsidRDefault="00E406C7">
            <w:pPr>
              <w:pStyle w:val="P68B1DB1-Normal12"/>
              <w:jc w:val="center"/>
              <w:rPr>
                <w:noProof/>
              </w:rPr>
            </w:pPr>
            <w:r>
              <w:rPr>
                <w:noProof/>
              </w:rPr>
              <w:t>M6C1–6</w:t>
            </w:r>
          </w:p>
        </w:tc>
        <w:tc>
          <w:tcPr>
            <w:tcW w:w="1701" w:type="dxa"/>
            <w:shd w:val="clear" w:color="auto" w:fill="C6EFCE"/>
            <w:vAlign w:val="center"/>
          </w:tcPr>
          <w:p w14:paraId="5B2837F8" w14:textId="77777777" w:rsidR="00327FF1" w:rsidRDefault="00E406C7">
            <w:pPr>
              <w:pStyle w:val="P68B1DB1-Normal11"/>
              <w:jc w:val="center"/>
              <w:rPr>
                <w:noProof/>
                <w:szCs w:val="20"/>
              </w:rPr>
            </w:pPr>
            <w:r>
              <w:rPr>
                <w:noProof/>
              </w:rPr>
              <w:t>Ieguldījums 1.2. Mājas kā pirmā aprūpes un telemedicīnas vieta</w:t>
            </w:r>
          </w:p>
        </w:tc>
        <w:tc>
          <w:tcPr>
            <w:tcW w:w="1134" w:type="dxa"/>
            <w:shd w:val="clear" w:color="auto" w:fill="C6EFCE"/>
            <w:vAlign w:val="center"/>
          </w:tcPr>
          <w:p w14:paraId="30F81543" w14:textId="77777777" w:rsidR="00327FF1" w:rsidRDefault="00E406C7">
            <w:pPr>
              <w:pStyle w:val="P68B1DB1-Normal12"/>
              <w:jc w:val="center"/>
              <w:rPr>
                <w:noProof/>
              </w:rPr>
            </w:pPr>
            <w:r>
              <w:rPr>
                <w:noProof/>
              </w:rPr>
              <w:t>Mērķa</w:t>
            </w:r>
          </w:p>
        </w:tc>
        <w:tc>
          <w:tcPr>
            <w:tcW w:w="1417" w:type="dxa"/>
            <w:shd w:val="clear" w:color="auto" w:fill="C6EFCE"/>
            <w:vAlign w:val="center"/>
          </w:tcPr>
          <w:p w14:paraId="385481F5" w14:textId="77777777" w:rsidR="00327FF1" w:rsidRDefault="00E406C7">
            <w:pPr>
              <w:pStyle w:val="P68B1DB1-Normal12"/>
              <w:jc w:val="center"/>
              <w:rPr>
                <w:noProof/>
              </w:rPr>
            </w:pPr>
            <w:r>
              <w:rPr>
                <w:noProof/>
              </w:rPr>
              <w:t xml:space="preserve">Aprūpe mājās </w:t>
            </w:r>
          </w:p>
        </w:tc>
        <w:tc>
          <w:tcPr>
            <w:tcW w:w="1363" w:type="dxa"/>
            <w:shd w:val="clear" w:color="auto" w:fill="C6EFCE"/>
            <w:vAlign w:val="center"/>
          </w:tcPr>
          <w:p w14:paraId="1D0A6CF2" w14:textId="77777777" w:rsidR="00327FF1" w:rsidRDefault="00E406C7">
            <w:pPr>
              <w:pStyle w:val="P68B1DB1-Normal11"/>
              <w:jc w:val="center"/>
              <w:rPr>
                <w:noProof/>
                <w:szCs w:val="20"/>
              </w:rPr>
            </w:pPr>
            <w:r>
              <w:rPr>
                <w:noProof/>
              </w:rPr>
              <w:t>NEPIEMĒRO</w:t>
            </w:r>
          </w:p>
        </w:tc>
        <w:tc>
          <w:tcPr>
            <w:tcW w:w="948" w:type="dxa"/>
            <w:shd w:val="clear" w:color="auto" w:fill="C6EFCE"/>
            <w:vAlign w:val="center"/>
          </w:tcPr>
          <w:p w14:paraId="34024AB2" w14:textId="77777777" w:rsidR="00327FF1" w:rsidRDefault="00E406C7">
            <w:pPr>
              <w:pStyle w:val="P68B1DB1-Normal11"/>
              <w:jc w:val="center"/>
              <w:rPr>
                <w:noProof/>
                <w:szCs w:val="20"/>
              </w:rPr>
            </w:pPr>
            <w:r>
              <w:rPr>
                <w:noProof/>
              </w:rPr>
              <w:t>Skaits</w:t>
            </w:r>
          </w:p>
        </w:tc>
        <w:tc>
          <w:tcPr>
            <w:tcW w:w="950" w:type="dxa"/>
            <w:shd w:val="clear" w:color="auto" w:fill="C6EFCE"/>
            <w:vAlign w:val="center"/>
          </w:tcPr>
          <w:p w14:paraId="56F84CC7" w14:textId="0B2D2554" w:rsidR="00327FF1" w:rsidRDefault="00E406C7">
            <w:pPr>
              <w:pStyle w:val="P68B1DB1-Normal11"/>
              <w:jc w:val="center"/>
              <w:rPr>
                <w:noProof/>
                <w:szCs w:val="20"/>
              </w:rPr>
            </w:pPr>
            <w:r>
              <w:rPr>
                <w:noProof/>
              </w:rPr>
              <w:t>645</w:t>
            </w:r>
            <w:r>
              <w:rPr>
                <w:noProof/>
                <w:szCs w:val="20"/>
              </w:rPr>
              <w:t xml:space="preserve"> </w:t>
            </w:r>
            <w:r>
              <w:rPr>
                <w:noProof/>
              </w:rPr>
              <w:t>590</w:t>
            </w:r>
          </w:p>
        </w:tc>
        <w:tc>
          <w:tcPr>
            <w:tcW w:w="992" w:type="dxa"/>
            <w:shd w:val="clear" w:color="auto" w:fill="C6EFCE"/>
            <w:vAlign w:val="center"/>
          </w:tcPr>
          <w:p w14:paraId="0EA65E64" w14:textId="5A3D7096" w:rsidR="00327FF1" w:rsidRDefault="00E406C7">
            <w:pPr>
              <w:pStyle w:val="P68B1DB1-Normal11"/>
              <w:jc w:val="center"/>
              <w:rPr>
                <w:noProof/>
                <w:szCs w:val="20"/>
              </w:rPr>
            </w:pPr>
            <w:r>
              <w:rPr>
                <w:noProof/>
              </w:rPr>
              <w:t>1</w:t>
            </w:r>
            <w:r>
              <w:rPr>
                <w:noProof/>
                <w:szCs w:val="20"/>
              </w:rPr>
              <w:t xml:space="preserve"> </w:t>
            </w:r>
            <w:r>
              <w:rPr>
                <w:noProof/>
              </w:rPr>
              <w:t>487</w:t>
            </w:r>
            <w:r>
              <w:rPr>
                <w:noProof/>
                <w:szCs w:val="20"/>
              </w:rPr>
              <w:t xml:space="preserve"> </w:t>
            </w:r>
            <w:r>
              <w:rPr>
                <w:noProof/>
              </w:rPr>
              <w:t>590</w:t>
            </w:r>
          </w:p>
        </w:tc>
        <w:tc>
          <w:tcPr>
            <w:tcW w:w="992" w:type="dxa"/>
            <w:shd w:val="clear" w:color="auto" w:fill="C6EFCE"/>
            <w:vAlign w:val="center"/>
          </w:tcPr>
          <w:p w14:paraId="1F7FCB9E" w14:textId="77777777" w:rsidR="00327FF1" w:rsidRDefault="00E406C7">
            <w:pPr>
              <w:pStyle w:val="P68B1DB1-Normal11"/>
              <w:jc w:val="center"/>
              <w:rPr>
                <w:noProof/>
                <w:szCs w:val="20"/>
              </w:rPr>
            </w:pPr>
            <w:r>
              <w:rPr>
                <w:noProof/>
              </w:rPr>
              <w:t>2. CET.</w:t>
            </w:r>
          </w:p>
        </w:tc>
        <w:tc>
          <w:tcPr>
            <w:tcW w:w="709" w:type="dxa"/>
            <w:shd w:val="clear" w:color="auto" w:fill="C6EFCE"/>
            <w:vAlign w:val="center"/>
          </w:tcPr>
          <w:p w14:paraId="04B3231A" w14:textId="77777777" w:rsidR="00327FF1" w:rsidRDefault="00E406C7">
            <w:pPr>
              <w:pStyle w:val="P68B1DB1-Normal12"/>
              <w:jc w:val="center"/>
              <w:rPr>
                <w:noProof/>
              </w:rPr>
            </w:pPr>
            <w:r>
              <w:rPr>
                <w:noProof/>
              </w:rPr>
              <w:t>2025</w:t>
            </w:r>
          </w:p>
        </w:tc>
        <w:tc>
          <w:tcPr>
            <w:tcW w:w="3634" w:type="dxa"/>
            <w:shd w:val="clear" w:color="auto" w:fill="C6EFCE"/>
            <w:vAlign w:val="center"/>
          </w:tcPr>
          <w:p w14:paraId="6756407C" w14:textId="00A064E7" w:rsidR="00327FF1" w:rsidRDefault="00E406C7">
            <w:pPr>
              <w:pStyle w:val="P68B1DB1-Normal12"/>
              <w:rPr>
                <w:noProof/>
              </w:rPr>
            </w:pPr>
            <w:r>
              <w:rPr>
                <w:noProof/>
              </w:rPr>
              <w:t xml:space="preserve">Mājas aprūpes nodrošināšana personām, kas vecākas par 65 gadiem, sasniedz vismaz </w:t>
            </w:r>
            <w:r>
              <w:rPr>
                <w:noProof/>
              </w:rPr>
              <w:t>1487590 gada vērtību, ko mēra pēc SIAD05bis rādītāja “Vairāk nekā 65 gadi izēdināti SIAD (Sistema informativo Assistenza domiciliare) saistībā ar vecāka gadagājuma iedzīvotājiem” Agenas infopanelī.</w:t>
            </w:r>
          </w:p>
        </w:tc>
      </w:tr>
      <w:tr w:rsidR="00327FF1" w14:paraId="521A5D94" w14:textId="77777777">
        <w:trPr>
          <w:trHeight w:val="315"/>
        </w:trPr>
        <w:tc>
          <w:tcPr>
            <w:tcW w:w="1277" w:type="dxa"/>
            <w:shd w:val="clear" w:color="auto" w:fill="C6EFCE"/>
            <w:vAlign w:val="center"/>
          </w:tcPr>
          <w:p w14:paraId="320553B2" w14:textId="77777777" w:rsidR="00327FF1" w:rsidRDefault="00E406C7">
            <w:pPr>
              <w:pStyle w:val="P68B1DB1-Normal11"/>
              <w:jc w:val="center"/>
              <w:rPr>
                <w:noProof/>
                <w:szCs w:val="20"/>
              </w:rPr>
            </w:pPr>
            <w:r>
              <w:rPr>
                <w:noProof/>
              </w:rPr>
              <w:t>M6C1–7</w:t>
            </w:r>
          </w:p>
        </w:tc>
        <w:tc>
          <w:tcPr>
            <w:tcW w:w="1701" w:type="dxa"/>
            <w:shd w:val="clear" w:color="auto" w:fill="C6EFCE"/>
            <w:vAlign w:val="center"/>
          </w:tcPr>
          <w:p w14:paraId="1168A185" w14:textId="77777777" w:rsidR="00327FF1" w:rsidRDefault="00E406C7">
            <w:pPr>
              <w:pStyle w:val="P68B1DB1-Normal11"/>
              <w:jc w:val="center"/>
              <w:rPr>
                <w:noProof/>
                <w:szCs w:val="20"/>
              </w:rPr>
            </w:pPr>
            <w:r>
              <w:rPr>
                <w:noProof/>
              </w:rPr>
              <w:t xml:space="preserve">Ieguldījums 1.2. Mājas kā pirmā aprūpes un </w:t>
            </w:r>
            <w:r>
              <w:rPr>
                <w:noProof/>
              </w:rPr>
              <w:t>telemedicīnas vieta</w:t>
            </w:r>
          </w:p>
        </w:tc>
        <w:tc>
          <w:tcPr>
            <w:tcW w:w="1134" w:type="dxa"/>
            <w:shd w:val="clear" w:color="auto" w:fill="C6EFCE"/>
            <w:vAlign w:val="center"/>
          </w:tcPr>
          <w:p w14:paraId="76091439" w14:textId="77777777" w:rsidR="00327FF1" w:rsidRDefault="00E406C7">
            <w:pPr>
              <w:pStyle w:val="P68B1DB1-Normal11"/>
              <w:jc w:val="center"/>
              <w:rPr>
                <w:noProof/>
                <w:szCs w:val="20"/>
              </w:rPr>
            </w:pPr>
            <w:r>
              <w:rPr>
                <w:noProof/>
              </w:rPr>
              <w:t>Mērķa</w:t>
            </w:r>
          </w:p>
        </w:tc>
        <w:tc>
          <w:tcPr>
            <w:tcW w:w="1417" w:type="dxa"/>
            <w:shd w:val="clear" w:color="auto" w:fill="C6EFCE"/>
            <w:vAlign w:val="center"/>
          </w:tcPr>
          <w:p w14:paraId="5559D5A7" w14:textId="77777777" w:rsidR="00327FF1" w:rsidRDefault="00E406C7">
            <w:pPr>
              <w:pStyle w:val="P68B1DB1-Normal11"/>
              <w:jc w:val="center"/>
              <w:rPr>
                <w:noProof/>
                <w:szCs w:val="20"/>
              </w:rPr>
            </w:pPr>
            <w:r>
              <w:rPr>
                <w:noProof/>
              </w:rPr>
              <w:t>Pilnībā darboties spējīgi koordinācijas centri (otrā grupa)</w:t>
            </w:r>
          </w:p>
        </w:tc>
        <w:tc>
          <w:tcPr>
            <w:tcW w:w="1363" w:type="dxa"/>
            <w:shd w:val="clear" w:color="auto" w:fill="C6EFCE"/>
            <w:vAlign w:val="center"/>
          </w:tcPr>
          <w:p w14:paraId="726646C0" w14:textId="77777777" w:rsidR="00327FF1" w:rsidRDefault="00E406C7">
            <w:pPr>
              <w:pStyle w:val="P68B1DB1-Normal11"/>
              <w:jc w:val="center"/>
              <w:rPr>
                <w:noProof/>
                <w:szCs w:val="20"/>
              </w:rPr>
            </w:pPr>
            <w:r>
              <w:rPr>
                <w:noProof/>
              </w:rPr>
              <w:t>NEPIEMĒRO</w:t>
            </w:r>
          </w:p>
        </w:tc>
        <w:tc>
          <w:tcPr>
            <w:tcW w:w="948" w:type="dxa"/>
            <w:shd w:val="clear" w:color="auto" w:fill="C6EFCE"/>
            <w:vAlign w:val="center"/>
          </w:tcPr>
          <w:p w14:paraId="58B520D8" w14:textId="77777777" w:rsidR="00327FF1" w:rsidRDefault="00E406C7">
            <w:pPr>
              <w:pStyle w:val="P68B1DB1-Normal11"/>
              <w:jc w:val="center"/>
              <w:rPr>
                <w:noProof/>
                <w:szCs w:val="20"/>
              </w:rPr>
            </w:pPr>
            <w:r>
              <w:rPr>
                <w:noProof/>
              </w:rPr>
              <w:t>Skaits</w:t>
            </w:r>
          </w:p>
        </w:tc>
        <w:tc>
          <w:tcPr>
            <w:tcW w:w="950" w:type="dxa"/>
            <w:shd w:val="clear" w:color="auto" w:fill="C6EFCE"/>
            <w:vAlign w:val="center"/>
          </w:tcPr>
          <w:p w14:paraId="37B9EA4B" w14:textId="77777777" w:rsidR="00327FF1" w:rsidRDefault="00E406C7">
            <w:pPr>
              <w:pStyle w:val="P68B1DB1-Normal11"/>
              <w:jc w:val="center"/>
              <w:rPr>
                <w:noProof/>
                <w:szCs w:val="20"/>
              </w:rPr>
            </w:pPr>
            <w:r>
              <w:rPr>
                <w:noProof/>
              </w:rPr>
              <w:t>0</w:t>
            </w:r>
          </w:p>
        </w:tc>
        <w:tc>
          <w:tcPr>
            <w:tcW w:w="992" w:type="dxa"/>
            <w:shd w:val="clear" w:color="auto" w:fill="C6EFCE"/>
            <w:vAlign w:val="center"/>
          </w:tcPr>
          <w:p w14:paraId="725E0155" w14:textId="77777777" w:rsidR="00327FF1" w:rsidRDefault="00E406C7">
            <w:pPr>
              <w:pStyle w:val="P68B1DB1-Normal11"/>
              <w:jc w:val="center"/>
              <w:rPr>
                <w:noProof/>
                <w:szCs w:val="20"/>
              </w:rPr>
            </w:pPr>
            <w:r>
              <w:rPr>
                <w:noProof/>
              </w:rPr>
              <w:t>480</w:t>
            </w:r>
          </w:p>
        </w:tc>
        <w:tc>
          <w:tcPr>
            <w:tcW w:w="992" w:type="dxa"/>
            <w:shd w:val="clear" w:color="auto" w:fill="C6EFCE"/>
            <w:vAlign w:val="center"/>
          </w:tcPr>
          <w:p w14:paraId="1B65FBAA" w14:textId="77777777" w:rsidR="00327FF1" w:rsidRDefault="00E406C7">
            <w:pPr>
              <w:pStyle w:val="P68B1DB1-Normal11"/>
              <w:jc w:val="center"/>
              <w:rPr>
                <w:noProof/>
                <w:szCs w:val="20"/>
              </w:rPr>
            </w:pPr>
            <w:r>
              <w:rPr>
                <w:noProof/>
              </w:rPr>
              <w:t>4. CET.</w:t>
            </w:r>
          </w:p>
        </w:tc>
        <w:tc>
          <w:tcPr>
            <w:tcW w:w="709" w:type="dxa"/>
            <w:shd w:val="clear" w:color="auto" w:fill="C6EFCE"/>
            <w:vAlign w:val="center"/>
          </w:tcPr>
          <w:p w14:paraId="32745DE2" w14:textId="77777777" w:rsidR="00327FF1" w:rsidRDefault="00E406C7">
            <w:pPr>
              <w:pStyle w:val="P68B1DB1-Normal11"/>
              <w:jc w:val="center"/>
              <w:rPr>
                <w:noProof/>
                <w:szCs w:val="20"/>
              </w:rPr>
            </w:pPr>
            <w:r>
              <w:rPr>
                <w:noProof/>
              </w:rPr>
              <w:t>2024</w:t>
            </w:r>
          </w:p>
        </w:tc>
        <w:tc>
          <w:tcPr>
            <w:tcW w:w="3634" w:type="dxa"/>
            <w:shd w:val="clear" w:color="auto" w:fill="C6EFCE"/>
            <w:vAlign w:val="center"/>
          </w:tcPr>
          <w:p w14:paraId="354278A0" w14:textId="77777777" w:rsidR="00327FF1" w:rsidRDefault="00E406C7">
            <w:pPr>
              <w:pStyle w:val="P68B1DB1-Normal11"/>
              <w:rPr>
                <w:noProof/>
                <w:szCs w:val="20"/>
              </w:rPr>
            </w:pPr>
            <w:r>
              <w:rPr>
                <w:noProof/>
              </w:rPr>
              <w:t xml:space="preserve">Šīs iejaukšanās galvenais aspekts ir vismaz 480 teritoriālo koordinācijas centru (“Centrali operatīvs teritoriālais centrs”) darbības </w:t>
            </w:r>
            <w:r>
              <w:rPr>
                <w:noProof/>
              </w:rPr>
              <w:t>uzsākšana, kuru uzdevums ir koordinēt un sasaistīt dažādus teritoriālos, sociālās veselības un slimnīcu veselības aprūpes pakalpojumus, kā arī neatliekamās palīdzības tīklu, lai nodrošinātu aprūpes nepārtrauktību, pieejamību un integrāciju.</w:t>
            </w:r>
          </w:p>
        </w:tc>
      </w:tr>
      <w:tr w:rsidR="00327FF1" w14:paraId="4D681010" w14:textId="77777777">
        <w:trPr>
          <w:trHeight w:val="315"/>
        </w:trPr>
        <w:tc>
          <w:tcPr>
            <w:tcW w:w="1277" w:type="dxa"/>
            <w:shd w:val="clear" w:color="auto" w:fill="C6EFCE"/>
            <w:vAlign w:val="center"/>
          </w:tcPr>
          <w:p w14:paraId="5884CD3B" w14:textId="77777777" w:rsidR="00327FF1" w:rsidRDefault="00E406C7">
            <w:pPr>
              <w:pStyle w:val="P68B1DB1-Normal11"/>
              <w:jc w:val="center"/>
              <w:rPr>
                <w:noProof/>
                <w:szCs w:val="20"/>
              </w:rPr>
            </w:pPr>
            <w:r>
              <w:rPr>
                <w:noProof/>
              </w:rPr>
              <w:t>M6C1–8</w:t>
            </w:r>
          </w:p>
        </w:tc>
        <w:tc>
          <w:tcPr>
            <w:tcW w:w="1701" w:type="dxa"/>
            <w:shd w:val="clear" w:color="auto" w:fill="C6EFCE"/>
            <w:vAlign w:val="center"/>
          </w:tcPr>
          <w:p w14:paraId="79C241CC" w14:textId="77777777" w:rsidR="00327FF1" w:rsidRDefault="00E406C7">
            <w:pPr>
              <w:pStyle w:val="P68B1DB1-Normal11"/>
              <w:jc w:val="center"/>
              <w:rPr>
                <w:noProof/>
                <w:szCs w:val="20"/>
              </w:rPr>
            </w:pPr>
            <w:r>
              <w:rPr>
                <w:noProof/>
              </w:rPr>
              <w:t>Ieguldījums 1.2. Mājas kā pirmā aprūpes un telemedicīnas vieta</w:t>
            </w:r>
          </w:p>
        </w:tc>
        <w:tc>
          <w:tcPr>
            <w:tcW w:w="1134" w:type="dxa"/>
            <w:shd w:val="clear" w:color="auto" w:fill="C6EFCE"/>
            <w:vAlign w:val="center"/>
          </w:tcPr>
          <w:p w14:paraId="2C63287F" w14:textId="77777777" w:rsidR="00327FF1" w:rsidRDefault="00E406C7">
            <w:pPr>
              <w:pStyle w:val="P68B1DB1-Normal11"/>
              <w:jc w:val="center"/>
              <w:rPr>
                <w:noProof/>
                <w:szCs w:val="20"/>
              </w:rPr>
            </w:pPr>
            <w:r>
              <w:rPr>
                <w:noProof/>
              </w:rPr>
              <w:t>Mērķa</w:t>
            </w:r>
          </w:p>
        </w:tc>
        <w:tc>
          <w:tcPr>
            <w:tcW w:w="1417" w:type="dxa"/>
            <w:shd w:val="clear" w:color="auto" w:fill="C6EFCE"/>
            <w:vAlign w:val="center"/>
          </w:tcPr>
          <w:p w14:paraId="73154D80" w14:textId="77777777" w:rsidR="00327FF1" w:rsidRDefault="00E406C7">
            <w:pPr>
              <w:pStyle w:val="P68B1DB1-Normal11"/>
              <w:jc w:val="center"/>
              <w:rPr>
                <w:noProof/>
                <w:szCs w:val="20"/>
              </w:rPr>
            </w:pPr>
            <w:r>
              <w:rPr>
                <w:noProof/>
              </w:rPr>
              <w:t>Katram reģionam piešķirts vismaz viens telemedicīnas projekts (ņemot vērā gan projektus, kas tiks īstenoti konkrētajā reģionā, gan projektus, kurus var izstrādāt kā daļu no konsorcijiem s</w:t>
            </w:r>
            <w:r>
              <w:rPr>
                <w:noProof/>
              </w:rPr>
              <w:t>tarp reģioniem)</w:t>
            </w:r>
          </w:p>
        </w:tc>
        <w:tc>
          <w:tcPr>
            <w:tcW w:w="1363" w:type="dxa"/>
            <w:shd w:val="clear" w:color="auto" w:fill="C6EFCE"/>
            <w:vAlign w:val="center"/>
          </w:tcPr>
          <w:p w14:paraId="134B1EA4" w14:textId="77777777" w:rsidR="00327FF1" w:rsidRDefault="00E406C7">
            <w:pPr>
              <w:pStyle w:val="P68B1DB1-Normal11"/>
              <w:jc w:val="center"/>
              <w:rPr>
                <w:noProof/>
                <w:szCs w:val="20"/>
              </w:rPr>
            </w:pPr>
            <w:r>
              <w:rPr>
                <w:noProof/>
              </w:rPr>
              <w:t>NEPIEMĒRO</w:t>
            </w:r>
          </w:p>
        </w:tc>
        <w:tc>
          <w:tcPr>
            <w:tcW w:w="948" w:type="dxa"/>
            <w:shd w:val="clear" w:color="auto" w:fill="C6EFCE"/>
            <w:vAlign w:val="center"/>
          </w:tcPr>
          <w:p w14:paraId="43E325DC" w14:textId="77777777" w:rsidR="00327FF1" w:rsidRDefault="00E406C7">
            <w:pPr>
              <w:pStyle w:val="P68B1DB1-Normal11"/>
              <w:jc w:val="center"/>
              <w:rPr>
                <w:noProof/>
                <w:szCs w:val="20"/>
              </w:rPr>
            </w:pPr>
            <w:r>
              <w:rPr>
                <w:noProof/>
              </w:rPr>
              <w:t>Skaits</w:t>
            </w:r>
          </w:p>
        </w:tc>
        <w:tc>
          <w:tcPr>
            <w:tcW w:w="950" w:type="dxa"/>
            <w:shd w:val="clear" w:color="auto" w:fill="C6EFCE"/>
            <w:vAlign w:val="center"/>
          </w:tcPr>
          <w:p w14:paraId="7C30502B" w14:textId="77777777" w:rsidR="00327FF1" w:rsidRDefault="00E406C7">
            <w:pPr>
              <w:pStyle w:val="P68B1DB1-Normal11"/>
              <w:jc w:val="center"/>
              <w:rPr>
                <w:noProof/>
                <w:szCs w:val="20"/>
              </w:rPr>
            </w:pPr>
            <w:r>
              <w:rPr>
                <w:noProof/>
              </w:rPr>
              <w:t>0</w:t>
            </w:r>
          </w:p>
        </w:tc>
        <w:tc>
          <w:tcPr>
            <w:tcW w:w="992" w:type="dxa"/>
            <w:shd w:val="clear" w:color="auto" w:fill="C6EFCE"/>
            <w:vAlign w:val="center"/>
          </w:tcPr>
          <w:p w14:paraId="64808D5C" w14:textId="77777777" w:rsidR="00327FF1" w:rsidRDefault="00E406C7">
            <w:pPr>
              <w:pStyle w:val="P68B1DB1-Normal11"/>
              <w:jc w:val="center"/>
              <w:rPr>
                <w:noProof/>
                <w:szCs w:val="20"/>
              </w:rPr>
            </w:pPr>
            <w:r>
              <w:rPr>
                <w:noProof/>
              </w:rPr>
              <w:t>20</w:t>
            </w:r>
          </w:p>
        </w:tc>
        <w:tc>
          <w:tcPr>
            <w:tcW w:w="992" w:type="dxa"/>
            <w:shd w:val="clear" w:color="auto" w:fill="C6EFCE"/>
            <w:vAlign w:val="center"/>
          </w:tcPr>
          <w:p w14:paraId="32BBF97C" w14:textId="77777777" w:rsidR="00327FF1" w:rsidRDefault="00E406C7">
            <w:pPr>
              <w:pStyle w:val="P68B1DB1-Normal11"/>
              <w:jc w:val="center"/>
              <w:rPr>
                <w:noProof/>
                <w:szCs w:val="20"/>
              </w:rPr>
            </w:pPr>
            <w:r>
              <w:rPr>
                <w:noProof/>
              </w:rPr>
              <w:t>4. CET.</w:t>
            </w:r>
          </w:p>
        </w:tc>
        <w:tc>
          <w:tcPr>
            <w:tcW w:w="709" w:type="dxa"/>
            <w:shd w:val="clear" w:color="auto" w:fill="C6EFCE"/>
            <w:vAlign w:val="center"/>
          </w:tcPr>
          <w:p w14:paraId="705ED592" w14:textId="77777777" w:rsidR="00327FF1" w:rsidRDefault="00E406C7">
            <w:pPr>
              <w:pStyle w:val="P68B1DB1-Normal11"/>
              <w:jc w:val="center"/>
              <w:rPr>
                <w:noProof/>
                <w:szCs w:val="20"/>
              </w:rPr>
            </w:pPr>
            <w:r>
              <w:rPr>
                <w:noProof/>
              </w:rPr>
              <w:t>2023</w:t>
            </w:r>
          </w:p>
        </w:tc>
        <w:tc>
          <w:tcPr>
            <w:tcW w:w="3634" w:type="dxa"/>
            <w:shd w:val="clear" w:color="auto" w:fill="C6EFCE"/>
            <w:vAlign w:val="center"/>
          </w:tcPr>
          <w:p w14:paraId="013445D8" w14:textId="77777777" w:rsidR="00327FF1" w:rsidRDefault="00E406C7">
            <w:pPr>
              <w:pStyle w:val="P68B1DB1-Normal11"/>
              <w:rPr>
                <w:noProof/>
                <w:szCs w:val="20"/>
              </w:rPr>
            </w:pPr>
            <w:r>
              <w:rPr>
                <w:noProof/>
              </w:rPr>
              <w:t xml:space="preserve">Valsts telemedicīnas stratēģija veicina un finansē jaunu telemedicīnas projektu un risinājumu izstrādi un izvēršanu reģionālajās veselības aprūpes sistēmās, un tādējādi tā ir galvenais (tehnoloģiskais) </w:t>
            </w:r>
            <w:r>
              <w:rPr>
                <w:noProof/>
              </w:rPr>
              <w:t>veicinātājs uzlabotas attālinātas aprūpes pieejas īstenošanai veselības jomā, īpašu uzmanību pievēršot hroniskiem pacientiem.</w:t>
            </w:r>
          </w:p>
        </w:tc>
      </w:tr>
      <w:tr w:rsidR="00327FF1" w14:paraId="02CF8ED2" w14:textId="77777777">
        <w:trPr>
          <w:trHeight w:val="315"/>
        </w:trPr>
        <w:tc>
          <w:tcPr>
            <w:tcW w:w="1277" w:type="dxa"/>
            <w:shd w:val="clear" w:color="auto" w:fill="C6EFCE"/>
            <w:vAlign w:val="center"/>
          </w:tcPr>
          <w:p w14:paraId="2C3D102E" w14:textId="77777777" w:rsidR="00327FF1" w:rsidRDefault="00E406C7">
            <w:pPr>
              <w:pStyle w:val="P68B1DB1-Normal12"/>
              <w:jc w:val="center"/>
              <w:rPr>
                <w:noProof/>
              </w:rPr>
            </w:pPr>
            <w:r>
              <w:rPr>
                <w:noProof/>
              </w:rPr>
              <w:t>M6C1–9</w:t>
            </w:r>
          </w:p>
        </w:tc>
        <w:tc>
          <w:tcPr>
            <w:tcW w:w="1701" w:type="dxa"/>
            <w:shd w:val="clear" w:color="auto" w:fill="C6EFCE"/>
            <w:vAlign w:val="center"/>
          </w:tcPr>
          <w:p w14:paraId="3DA275E6" w14:textId="77777777" w:rsidR="00327FF1" w:rsidRDefault="00E406C7">
            <w:pPr>
              <w:pStyle w:val="P68B1DB1-Normal11"/>
              <w:jc w:val="center"/>
              <w:rPr>
                <w:noProof/>
                <w:szCs w:val="20"/>
              </w:rPr>
            </w:pPr>
            <w:r>
              <w:rPr>
                <w:noProof/>
              </w:rPr>
              <w:t>Ieguldījums 1.2. Mājas kā pirmā aprūpes un telemedicīnas vieta</w:t>
            </w:r>
          </w:p>
        </w:tc>
        <w:tc>
          <w:tcPr>
            <w:tcW w:w="1134" w:type="dxa"/>
            <w:shd w:val="clear" w:color="auto" w:fill="C6EFCE"/>
            <w:vAlign w:val="center"/>
          </w:tcPr>
          <w:p w14:paraId="1C91D372" w14:textId="77777777" w:rsidR="00327FF1" w:rsidRDefault="00E406C7">
            <w:pPr>
              <w:pStyle w:val="P68B1DB1-Normal12"/>
              <w:jc w:val="center"/>
              <w:rPr>
                <w:noProof/>
              </w:rPr>
            </w:pPr>
            <w:r>
              <w:rPr>
                <w:noProof/>
              </w:rPr>
              <w:t xml:space="preserve">Mērķa </w:t>
            </w:r>
          </w:p>
        </w:tc>
        <w:tc>
          <w:tcPr>
            <w:tcW w:w="1417" w:type="dxa"/>
            <w:shd w:val="clear" w:color="auto" w:fill="C6EFCE"/>
            <w:vAlign w:val="center"/>
          </w:tcPr>
          <w:p w14:paraId="21697C8E" w14:textId="00172346" w:rsidR="00327FF1" w:rsidRDefault="00E406C7">
            <w:pPr>
              <w:pStyle w:val="P68B1DB1-Normal12"/>
              <w:jc w:val="center"/>
              <w:rPr>
                <w:noProof/>
              </w:rPr>
            </w:pPr>
            <w:r>
              <w:rPr>
                <w:noProof/>
              </w:rPr>
              <w:t>Palīdzība, izmantojot telemedicīnas rīkus</w:t>
            </w:r>
          </w:p>
        </w:tc>
        <w:tc>
          <w:tcPr>
            <w:tcW w:w="1363" w:type="dxa"/>
            <w:shd w:val="clear" w:color="auto" w:fill="C6EFCE"/>
            <w:vAlign w:val="center"/>
          </w:tcPr>
          <w:p w14:paraId="66DC19A4" w14:textId="77777777" w:rsidR="00327FF1" w:rsidRDefault="00E406C7">
            <w:pPr>
              <w:pStyle w:val="P68B1DB1-Normal11"/>
              <w:jc w:val="center"/>
              <w:rPr>
                <w:noProof/>
                <w:szCs w:val="20"/>
              </w:rPr>
            </w:pPr>
            <w:r>
              <w:rPr>
                <w:noProof/>
              </w:rPr>
              <w:t>NEPIEMĒRO</w:t>
            </w:r>
          </w:p>
        </w:tc>
        <w:tc>
          <w:tcPr>
            <w:tcW w:w="948" w:type="dxa"/>
            <w:shd w:val="clear" w:color="auto" w:fill="C6EFCE"/>
            <w:vAlign w:val="center"/>
          </w:tcPr>
          <w:p w14:paraId="24D0A26A" w14:textId="77777777" w:rsidR="00327FF1" w:rsidRDefault="00E406C7">
            <w:pPr>
              <w:pStyle w:val="P68B1DB1-Normal11"/>
              <w:jc w:val="center"/>
              <w:rPr>
                <w:noProof/>
                <w:szCs w:val="20"/>
              </w:rPr>
            </w:pPr>
            <w:r>
              <w:rPr>
                <w:noProof/>
              </w:rPr>
              <w:t>Skaits</w:t>
            </w:r>
          </w:p>
        </w:tc>
        <w:tc>
          <w:tcPr>
            <w:tcW w:w="950" w:type="dxa"/>
            <w:shd w:val="clear" w:color="auto" w:fill="C6EFCE"/>
            <w:vAlign w:val="center"/>
          </w:tcPr>
          <w:p w14:paraId="72F37D51" w14:textId="77777777" w:rsidR="00327FF1" w:rsidRDefault="00E406C7">
            <w:pPr>
              <w:pStyle w:val="P68B1DB1-Normal11"/>
              <w:jc w:val="center"/>
              <w:rPr>
                <w:noProof/>
                <w:szCs w:val="20"/>
              </w:rPr>
            </w:pPr>
            <w:r>
              <w:rPr>
                <w:noProof/>
              </w:rPr>
              <w:t>0</w:t>
            </w:r>
          </w:p>
        </w:tc>
        <w:tc>
          <w:tcPr>
            <w:tcW w:w="992" w:type="dxa"/>
            <w:shd w:val="clear" w:color="auto" w:fill="C6EFCE"/>
            <w:vAlign w:val="center"/>
          </w:tcPr>
          <w:p w14:paraId="021B9134" w14:textId="77777777" w:rsidR="00327FF1" w:rsidRDefault="00E406C7">
            <w:pPr>
              <w:pStyle w:val="P68B1DB1-Normal11"/>
              <w:jc w:val="center"/>
              <w:rPr>
                <w:noProof/>
                <w:szCs w:val="20"/>
              </w:rPr>
            </w:pPr>
            <w:r>
              <w:rPr>
                <w:noProof/>
              </w:rPr>
              <w:t>300 000</w:t>
            </w:r>
          </w:p>
        </w:tc>
        <w:tc>
          <w:tcPr>
            <w:tcW w:w="992" w:type="dxa"/>
            <w:shd w:val="clear" w:color="auto" w:fill="C6EFCE"/>
            <w:vAlign w:val="center"/>
          </w:tcPr>
          <w:p w14:paraId="769E2645" w14:textId="77777777" w:rsidR="00327FF1" w:rsidRDefault="00E406C7">
            <w:pPr>
              <w:pStyle w:val="P68B1DB1-Normal11"/>
              <w:jc w:val="center"/>
              <w:rPr>
                <w:noProof/>
                <w:szCs w:val="20"/>
              </w:rPr>
            </w:pPr>
            <w:r>
              <w:rPr>
                <w:noProof/>
              </w:rPr>
              <w:t>4. CET.</w:t>
            </w:r>
          </w:p>
        </w:tc>
        <w:tc>
          <w:tcPr>
            <w:tcW w:w="709" w:type="dxa"/>
            <w:shd w:val="clear" w:color="auto" w:fill="C6EFCE"/>
            <w:vAlign w:val="center"/>
          </w:tcPr>
          <w:p w14:paraId="2C2F0F9E" w14:textId="77777777" w:rsidR="00327FF1" w:rsidRDefault="00E406C7">
            <w:pPr>
              <w:pStyle w:val="P68B1DB1-Normal12"/>
              <w:jc w:val="center"/>
              <w:rPr>
                <w:noProof/>
              </w:rPr>
            </w:pPr>
            <w:r>
              <w:rPr>
                <w:noProof/>
              </w:rPr>
              <w:t>2025</w:t>
            </w:r>
          </w:p>
        </w:tc>
        <w:tc>
          <w:tcPr>
            <w:tcW w:w="3634" w:type="dxa"/>
            <w:shd w:val="clear" w:color="auto" w:fill="C6EFCE"/>
            <w:vAlign w:val="center"/>
          </w:tcPr>
          <w:p w14:paraId="2476F631" w14:textId="77777777" w:rsidR="00327FF1" w:rsidRDefault="00E406C7">
            <w:pPr>
              <w:pStyle w:val="P68B1DB1-Normal12"/>
              <w:rPr>
                <w:noProof/>
              </w:rPr>
            </w:pPr>
            <w:r>
              <w:rPr>
                <w:noProof/>
              </w:rPr>
              <w:t>Telemedicīnas rīku palīdzības rādītājs, kura pamatā ir Valsts telemedicīnas platformas (PNT) rādītāji un kuru uzrauga, izmantojot Agenas infopaneli, sasniedz vismaz 300000 cilvēku.</w:t>
            </w:r>
          </w:p>
        </w:tc>
      </w:tr>
      <w:tr w:rsidR="00327FF1" w14:paraId="006419D8" w14:textId="77777777">
        <w:trPr>
          <w:trHeight w:val="315"/>
        </w:trPr>
        <w:tc>
          <w:tcPr>
            <w:tcW w:w="1277" w:type="dxa"/>
            <w:shd w:val="clear" w:color="auto" w:fill="C6EFCE"/>
            <w:vAlign w:val="center"/>
          </w:tcPr>
          <w:p w14:paraId="6FA6B9AC" w14:textId="77777777" w:rsidR="00327FF1" w:rsidRDefault="00E406C7">
            <w:pPr>
              <w:pStyle w:val="P68B1DB1-Normal11"/>
              <w:jc w:val="center"/>
              <w:rPr>
                <w:noProof/>
                <w:szCs w:val="20"/>
              </w:rPr>
            </w:pPr>
            <w:r>
              <w:rPr>
                <w:noProof/>
              </w:rPr>
              <w:t>M6C1–10</w:t>
            </w:r>
          </w:p>
        </w:tc>
        <w:tc>
          <w:tcPr>
            <w:tcW w:w="1701" w:type="dxa"/>
            <w:shd w:val="clear" w:color="auto" w:fill="C6EFCE"/>
            <w:vAlign w:val="center"/>
          </w:tcPr>
          <w:p w14:paraId="6A2DDBD8" w14:textId="77777777" w:rsidR="00327FF1" w:rsidRDefault="00E406C7">
            <w:pPr>
              <w:pStyle w:val="P68B1DB1-Normal11"/>
              <w:jc w:val="center"/>
              <w:rPr>
                <w:noProof/>
                <w:szCs w:val="20"/>
              </w:rPr>
            </w:pPr>
            <w:r>
              <w:rPr>
                <w:noProof/>
              </w:rPr>
              <w:t xml:space="preserve">Investīcija Nr. 1.3. Starpniecības </w:t>
            </w:r>
            <w:r>
              <w:rPr>
                <w:noProof/>
              </w:rPr>
              <w:t>veselības aprūpes un tās telpu stiprināšana (Kopienas slimnīcas)</w:t>
            </w:r>
          </w:p>
        </w:tc>
        <w:tc>
          <w:tcPr>
            <w:tcW w:w="1134" w:type="dxa"/>
            <w:shd w:val="clear" w:color="auto" w:fill="C6EFCE"/>
            <w:vAlign w:val="center"/>
          </w:tcPr>
          <w:p w14:paraId="7C57CEA6" w14:textId="77777777" w:rsidR="00327FF1" w:rsidRDefault="00E406C7">
            <w:pPr>
              <w:pStyle w:val="P68B1DB1-Normal11"/>
              <w:jc w:val="center"/>
              <w:rPr>
                <w:noProof/>
                <w:szCs w:val="20"/>
              </w:rPr>
            </w:pPr>
            <w:r>
              <w:rPr>
                <w:noProof/>
              </w:rPr>
              <w:t>Atskaites punkts</w:t>
            </w:r>
          </w:p>
        </w:tc>
        <w:tc>
          <w:tcPr>
            <w:tcW w:w="1417" w:type="dxa"/>
            <w:shd w:val="clear" w:color="auto" w:fill="C6EFCE"/>
            <w:vAlign w:val="center"/>
          </w:tcPr>
          <w:p w14:paraId="4F9FA6B2" w14:textId="12B0E237" w:rsidR="00327FF1" w:rsidRDefault="00E406C7">
            <w:pPr>
              <w:pStyle w:val="P68B1DB1-Normal11"/>
              <w:jc w:val="center"/>
              <w:rPr>
                <w:noProof/>
                <w:szCs w:val="20"/>
              </w:rPr>
            </w:pPr>
            <w:r>
              <w:rPr>
                <w:noProof/>
              </w:rPr>
              <w:t>Institucionālās attīstības līguma apstiprināšana (Contratto Istituzionale di Sviluppo)</w:t>
            </w:r>
          </w:p>
        </w:tc>
        <w:tc>
          <w:tcPr>
            <w:tcW w:w="1363" w:type="dxa"/>
            <w:shd w:val="clear" w:color="auto" w:fill="C6EFCE"/>
            <w:vAlign w:val="center"/>
          </w:tcPr>
          <w:p w14:paraId="3ACAE630" w14:textId="77777777" w:rsidR="00327FF1" w:rsidRDefault="00E406C7">
            <w:pPr>
              <w:pStyle w:val="P68B1DB1-Normal11"/>
              <w:jc w:val="center"/>
              <w:rPr>
                <w:noProof/>
                <w:szCs w:val="20"/>
              </w:rPr>
            </w:pPr>
            <w:r>
              <w:rPr>
                <w:noProof/>
              </w:rPr>
              <w:t>Paziņojums par institucionālās attīstības līguma apstiprināšanu</w:t>
            </w:r>
          </w:p>
        </w:tc>
        <w:tc>
          <w:tcPr>
            <w:tcW w:w="948" w:type="dxa"/>
            <w:shd w:val="clear" w:color="auto" w:fill="C6EFCE"/>
            <w:vAlign w:val="center"/>
          </w:tcPr>
          <w:p w14:paraId="14ED8C04" w14:textId="77777777" w:rsidR="00327FF1" w:rsidRDefault="00E406C7">
            <w:pPr>
              <w:pStyle w:val="P68B1DB1-Normal11"/>
              <w:jc w:val="center"/>
              <w:rPr>
                <w:noProof/>
                <w:szCs w:val="20"/>
              </w:rPr>
            </w:pPr>
            <w:r>
              <w:rPr>
                <w:noProof/>
              </w:rPr>
              <w:t>NEPIEMĒRO</w:t>
            </w:r>
          </w:p>
        </w:tc>
        <w:tc>
          <w:tcPr>
            <w:tcW w:w="950" w:type="dxa"/>
            <w:shd w:val="clear" w:color="auto" w:fill="C6EFCE"/>
            <w:vAlign w:val="center"/>
          </w:tcPr>
          <w:p w14:paraId="7821415A" w14:textId="77777777" w:rsidR="00327FF1" w:rsidRDefault="00E406C7">
            <w:pPr>
              <w:pStyle w:val="P68B1DB1-Normal11"/>
              <w:jc w:val="center"/>
              <w:rPr>
                <w:noProof/>
                <w:szCs w:val="20"/>
              </w:rPr>
            </w:pPr>
            <w:r>
              <w:rPr>
                <w:noProof/>
              </w:rPr>
              <w:t>NEPIEMĒRO</w:t>
            </w:r>
          </w:p>
        </w:tc>
        <w:tc>
          <w:tcPr>
            <w:tcW w:w="992" w:type="dxa"/>
            <w:shd w:val="clear" w:color="auto" w:fill="C6EFCE"/>
            <w:vAlign w:val="center"/>
          </w:tcPr>
          <w:p w14:paraId="2ED519F9" w14:textId="77777777" w:rsidR="00327FF1" w:rsidRDefault="00E406C7">
            <w:pPr>
              <w:pStyle w:val="P68B1DB1-Normal11"/>
              <w:jc w:val="center"/>
              <w:rPr>
                <w:noProof/>
                <w:szCs w:val="20"/>
              </w:rPr>
            </w:pPr>
            <w:r>
              <w:rPr>
                <w:noProof/>
              </w:rPr>
              <w:t>NEPIEMĒRO</w:t>
            </w:r>
          </w:p>
        </w:tc>
        <w:tc>
          <w:tcPr>
            <w:tcW w:w="992" w:type="dxa"/>
            <w:shd w:val="clear" w:color="auto" w:fill="C6EFCE"/>
            <w:vAlign w:val="center"/>
          </w:tcPr>
          <w:p w14:paraId="40523E19" w14:textId="77777777" w:rsidR="00327FF1" w:rsidRDefault="00E406C7">
            <w:pPr>
              <w:pStyle w:val="P68B1DB1-Normal11"/>
              <w:jc w:val="center"/>
              <w:rPr>
                <w:noProof/>
                <w:szCs w:val="20"/>
              </w:rPr>
            </w:pPr>
            <w:r>
              <w:rPr>
                <w:noProof/>
              </w:rPr>
              <w:t>2. CET.</w:t>
            </w:r>
          </w:p>
        </w:tc>
        <w:tc>
          <w:tcPr>
            <w:tcW w:w="709" w:type="dxa"/>
            <w:shd w:val="clear" w:color="auto" w:fill="C6EFCE"/>
            <w:vAlign w:val="center"/>
          </w:tcPr>
          <w:p w14:paraId="2E251A5A" w14:textId="77777777" w:rsidR="00327FF1" w:rsidRDefault="00E406C7">
            <w:pPr>
              <w:pStyle w:val="P68B1DB1-Normal11"/>
              <w:jc w:val="center"/>
              <w:rPr>
                <w:noProof/>
                <w:szCs w:val="20"/>
              </w:rPr>
            </w:pPr>
            <w:r>
              <w:rPr>
                <w:noProof/>
              </w:rPr>
              <w:t>2022</w:t>
            </w:r>
          </w:p>
        </w:tc>
        <w:tc>
          <w:tcPr>
            <w:tcW w:w="3634" w:type="dxa"/>
            <w:shd w:val="clear" w:color="auto" w:fill="C6EFCE"/>
            <w:vAlign w:val="center"/>
          </w:tcPr>
          <w:p w14:paraId="6070BD4B" w14:textId="26E30AC9" w:rsidR="00327FF1" w:rsidRDefault="00E406C7">
            <w:pPr>
              <w:pStyle w:val="P68B1DB1-Normal11"/>
              <w:rPr>
                <w:noProof/>
                <w:szCs w:val="20"/>
              </w:rPr>
            </w:pPr>
            <w:r>
              <w:rPr>
                <w:noProof/>
              </w:rPr>
              <w:t>Institucionālās attīstības līguma (Contratto Istituzionale di Sviluppo) apstiprināšana ar Itālijas Veselības ministriju kā atbildīgo un īstenošanas iestādi un reģionālo administrāciju līdzdalība kopā ar citām struktūrām, kas saistīta</w:t>
            </w:r>
            <w:r>
              <w:rPr>
                <w:noProof/>
              </w:rPr>
              <w:t>s ar Kopienas slimnīcām.</w:t>
            </w:r>
          </w:p>
          <w:p w14:paraId="601AD4D7" w14:textId="77777777" w:rsidR="00327FF1" w:rsidRDefault="00E406C7">
            <w:pPr>
              <w:pStyle w:val="P68B1DB1-Normal11"/>
              <w:rPr>
                <w:noProof/>
                <w:szCs w:val="20"/>
              </w:rPr>
            </w:pPr>
            <w:r>
              <w:rPr>
                <w:noProof/>
              </w:rPr>
              <w:t>Institucionālās attīstības līgumā uzskaita visas investīcijām noteiktās piemērotās vietas, kā arī pienākumus, ko katrs reģions uzņemas, lai garantētu paredzētā rezultāta sasniegšanu. Ja kāds reģions pārkāpj noteikumus, Veselības mi</w:t>
            </w:r>
            <w:r>
              <w:rPr>
                <w:noProof/>
              </w:rPr>
              <w:t>nistrija vēršas pie komisāra ad acta. Attiecībā uz iekārtu tehnoloģiju parku, t. i., visiem rīkiem, licencēm un starpsavienojumiem, priekšroku dod apvienotajām iepirkuma metodēm.</w:t>
            </w:r>
          </w:p>
        </w:tc>
      </w:tr>
      <w:tr w:rsidR="00327FF1" w14:paraId="2F1C3985" w14:textId="77777777">
        <w:trPr>
          <w:trHeight w:val="315"/>
        </w:trPr>
        <w:tc>
          <w:tcPr>
            <w:tcW w:w="1277" w:type="dxa"/>
            <w:shd w:val="clear" w:color="auto" w:fill="C6EFCE"/>
            <w:vAlign w:val="center"/>
          </w:tcPr>
          <w:p w14:paraId="1B402FDD" w14:textId="77777777" w:rsidR="00327FF1" w:rsidRDefault="00E406C7">
            <w:pPr>
              <w:pStyle w:val="P68B1DB1-Normal12"/>
              <w:jc w:val="center"/>
              <w:rPr>
                <w:noProof/>
              </w:rPr>
            </w:pPr>
            <w:r>
              <w:rPr>
                <w:noProof/>
              </w:rPr>
              <w:t>M6C1–11</w:t>
            </w:r>
          </w:p>
        </w:tc>
        <w:tc>
          <w:tcPr>
            <w:tcW w:w="1701" w:type="dxa"/>
            <w:shd w:val="clear" w:color="auto" w:fill="C6EFCE"/>
            <w:vAlign w:val="center"/>
          </w:tcPr>
          <w:p w14:paraId="0878F434" w14:textId="77777777" w:rsidR="00327FF1" w:rsidRDefault="00E406C7">
            <w:pPr>
              <w:pStyle w:val="P68B1DB1-Normal11"/>
              <w:jc w:val="center"/>
              <w:rPr>
                <w:noProof/>
                <w:szCs w:val="20"/>
              </w:rPr>
            </w:pPr>
            <w:r>
              <w:rPr>
                <w:noProof/>
              </w:rPr>
              <w:t xml:space="preserve">Investīcija Nr. 1.3. Starpniecības veselības aprūpes un tās telpu </w:t>
            </w:r>
            <w:r>
              <w:rPr>
                <w:noProof/>
              </w:rPr>
              <w:t>stiprināšana (Kopienas slimnīcas)</w:t>
            </w:r>
          </w:p>
        </w:tc>
        <w:tc>
          <w:tcPr>
            <w:tcW w:w="1134" w:type="dxa"/>
            <w:shd w:val="clear" w:color="auto" w:fill="C6EFCE"/>
            <w:vAlign w:val="center"/>
          </w:tcPr>
          <w:p w14:paraId="233D1242" w14:textId="77777777" w:rsidR="00327FF1" w:rsidRDefault="00E406C7">
            <w:pPr>
              <w:pStyle w:val="P68B1DB1-Normal11"/>
              <w:jc w:val="center"/>
              <w:rPr>
                <w:noProof/>
                <w:szCs w:val="20"/>
              </w:rPr>
            </w:pPr>
            <w:r>
              <w:rPr>
                <w:noProof/>
              </w:rPr>
              <w:t>Mērķa</w:t>
            </w:r>
          </w:p>
        </w:tc>
        <w:tc>
          <w:tcPr>
            <w:tcW w:w="1417" w:type="dxa"/>
            <w:shd w:val="clear" w:color="auto" w:fill="C6EFCE"/>
            <w:vAlign w:val="center"/>
          </w:tcPr>
          <w:p w14:paraId="78F23D9F" w14:textId="6F2187FE" w:rsidR="00327FF1" w:rsidRDefault="00E406C7">
            <w:pPr>
              <w:pStyle w:val="P68B1DB1-Normal12"/>
              <w:jc w:val="center"/>
              <w:rPr>
                <w:noProof/>
              </w:rPr>
            </w:pPr>
            <w:r>
              <w:rPr>
                <w:noProof/>
              </w:rPr>
              <w:t xml:space="preserve">Atjaunotas, savstarpēji savienotas un tehnoloģiski aprīkotas kopienas slimnīcas </w:t>
            </w:r>
          </w:p>
        </w:tc>
        <w:tc>
          <w:tcPr>
            <w:tcW w:w="1363" w:type="dxa"/>
            <w:shd w:val="clear" w:color="auto" w:fill="C6EFCE"/>
            <w:vAlign w:val="center"/>
          </w:tcPr>
          <w:p w14:paraId="00330031" w14:textId="77777777" w:rsidR="00327FF1" w:rsidRDefault="00E406C7">
            <w:pPr>
              <w:pStyle w:val="P68B1DB1-Normal11"/>
              <w:jc w:val="center"/>
              <w:rPr>
                <w:noProof/>
                <w:szCs w:val="20"/>
              </w:rPr>
            </w:pPr>
            <w:r>
              <w:rPr>
                <w:noProof/>
              </w:rPr>
              <w:t>NEPIEMĒRO</w:t>
            </w:r>
          </w:p>
        </w:tc>
        <w:tc>
          <w:tcPr>
            <w:tcW w:w="948" w:type="dxa"/>
            <w:shd w:val="clear" w:color="auto" w:fill="C6EFCE"/>
            <w:vAlign w:val="center"/>
          </w:tcPr>
          <w:p w14:paraId="3F9AFBFE" w14:textId="77777777" w:rsidR="00327FF1" w:rsidRDefault="00E406C7">
            <w:pPr>
              <w:pStyle w:val="P68B1DB1-Normal11"/>
              <w:jc w:val="center"/>
              <w:rPr>
                <w:noProof/>
                <w:szCs w:val="20"/>
              </w:rPr>
            </w:pPr>
            <w:r>
              <w:rPr>
                <w:noProof/>
              </w:rPr>
              <w:t>Skaits</w:t>
            </w:r>
          </w:p>
        </w:tc>
        <w:tc>
          <w:tcPr>
            <w:tcW w:w="950" w:type="dxa"/>
            <w:shd w:val="clear" w:color="auto" w:fill="C6EFCE"/>
            <w:vAlign w:val="center"/>
          </w:tcPr>
          <w:p w14:paraId="37C20ED9" w14:textId="77777777" w:rsidR="00327FF1" w:rsidRDefault="00E406C7">
            <w:pPr>
              <w:pStyle w:val="P68B1DB1-Normal11"/>
              <w:jc w:val="center"/>
              <w:rPr>
                <w:noProof/>
                <w:szCs w:val="20"/>
              </w:rPr>
            </w:pPr>
            <w:r>
              <w:rPr>
                <w:noProof/>
              </w:rPr>
              <w:t>0</w:t>
            </w:r>
          </w:p>
        </w:tc>
        <w:tc>
          <w:tcPr>
            <w:tcW w:w="992" w:type="dxa"/>
            <w:shd w:val="clear" w:color="auto" w:fill="C6EFCE"/>
            <w:vAlign w:val="center"/>
          </w:tcPr>
          <w:p w14:paraId="2AC07F50" w14:textId="77777777" w:rsidR="00327FF1" w:rsidRDefault="00E406C7">
            <w:pPr>
              <w:pStyle w:val="P68B1DB1-Normal11"/>
              <w:jc w:val="center"/>
              <w:rPr>
                <w:noProof/>
                <w:szCs w:val="20"/>
              </w:rPr>
            </w:pPr>
            <w:r>
              <w:rPr>
                <w:noProof/>
              </w:rPr>
              <w:t>307</w:t>
            </w:r>
          </w:p>
        </w:tc>
        <w:tc>
          <w:tcPr>
            <w:tcW w:w="992" w:type="dxa"/>
            <w:shd w:val="clear" w:color="auto" w:fill="C6EFCE"/>
            <w:vAlign w:val="center"/>
          </w:tcPr>
          <w:p w14:paraId="35E0E9CB" w14:textId="77777777" w:rsidR="00327FF1" w:rsidRDefault="00E406C7">
            <w:pPr>
              <w:pStyle w:val="P68B1DB1-Normal11"/>
              <w:jc w:val="center"/>
              <w:rPr>
                <w:noProof/>
                <w:szCs w:val="20"/>
              </w:rPr>
            </w:pPr>
            <w:r>
              <w:rPr>
                <w:noProof/>
              </w:rPr>
              <w:t>2. CET.</w:t>
            </w:r>
          </w:p>
        </w:tc>
        <w:tc>
          <w:tcPr>
            <w:tcW w:w="709" w:type="dxa"/>
            <w:shd w:val="clear" w:color="auto" w:fill="C6EFCE"/>
            <w:vAlign w:val="center"/>
          </w:tcPr>
          <w:p w14:paraId="1075E066" w14:textId="77777777" w:rsidR="00327FF1" w:rsidRDefault="00E406C7">
            <w:pPr>
              <w:pStyle w:val="P68B1DB1-Normal11"/>
              <w:jc w:val="center"/>
              <w:rPr>
                <w:noProof/>
                <w:szCs w:val="20"/>
              </w:rPr>
            </w:pPr>
            <w:r>
              <w:rPr>
                <w:noProof/>
              </w:rPr>
              <w:t>2026</w:t>
            </w:r>
          </w:p>
        </w:tc>
        <w:tc>
          <w:tcPr>
            <w:tcW w:w="3634" w:type="dxa"/>
            <w:shd w:val="clear" w:color="auto" w:fill="C6EFCE"/>
            <w:vAlign w:val="center"/>
          </w:tcPr>
          <w:p w14:paraId="152E5FC1" w14:textId="77777777" w:rsidR="00327FF1" w:rsidRDefault="00E406C7">
            <w:pPr>
              <w:pStyle w:val="P68B1DB1-Normal12"/>
              <w:rPr>
                <w:noProof/>
              </w:rPr>
            </w:pPr>
            <w:r>
              <w:rPr>
                <w:noProof/>
              </w:rPr>
              <w:t xml:space="preserve">Neatkarīgu ekspertu ziņojumi, kas apstiprina pakalpojumu aktivizēšanu saskaņā ar standartiem, kuri </w:t>
            </w:r>
            <w:r>
              <w:rPr>
                <w:noProof/>
              </w:rPr>
              <w:t>noteikti 2022. gada 23. maija DM Nr. 77 1. pielikuma 11. iedaļā, vismaz 307 Kopienas slimnīcās.</w:t>
            </w:r>
          </w:p>
        </w:tc>
      </w:tr>
    </w:tbl>
    <w:p w14:paraId="68D764F4" w14:textId="77777777" w:rsidR="00327FF1" w:rsidRDefault="00327FF1">
      <w:pPr>
        <w:keepNext/>
        <w:tabs>
          <w:tab w:val="left" w:pos="4252"/>
        </w:tabs>
        <w:spacing w:before="720"/>
        <w:jc w:val="both"/>
        <w:rPr>
          <w:i/>
          <w:noProof/>
        </w:rPr>
        <w:sectPr w:rsidR="00327FF1" w:rsidSect="005F11B9">
          <w:headerReference w:type="even" r:id="rId286"/>
          <w:headerReference w:type="default" r:id="rId287"/>
          <w:footerReference w:type="even" r:id="rId288"/>
          <w:footerReference w:type="default" r:id="rId289"/>
          <w:headerReference w:type="first" r:id="rId290"/>
          <w:footerReference w:type="first" r:id="rId291"/>
          <w:pgSz w:w="16839" w:h="11907" w:orient="landscape"/>
          <w:pgMar w:top="1417" w:right="1134" w:bottom="1417" w:left="1134" w:header="709" w:footer="709" w:gutter="0"/>
          <w:cols w:space="720"/>
          <w:docGrid w:linePitch="360"/>
        </w:sectPr>
      </w:pPr>
    </w:p>
    <w:p w14:paraId="2A48C2FA" w14:textId="77777777" w:rsidR="00327FF1" w:rsidRDefault="00E406C7">
      <w:pPr>
        <w:pStyle w:val="P68B1DB1-Heading23"/>
        <w:ind w:left="1080"/>
        <w:rPr>
          <w:noProof/>
        </w:rPr>
      </w:pPr>
      <w:r>
        <w:rPr>
          <w:noProof/>
        </w:rPr>
        <w:t xml:space="preserve">P. 6. MISIJA, 2. KOMPONENTS: Inovācija, pētniecība un valsts veselības aprūpes pakalpojumu </w:t>
      </w:r>
      <w:r>
        <w:rPr>
          <w:noProof/>
        </w:rPr>
        <w:t>digitalizācija</w:t>
      </w:r>
    </w:p>
    <w:p w14:paraId="446CBE99" w14:textId="77777777" w:rsidR="00327FF1" w:rsidRDefault="00E406C7">
      <w:pPr>
        <w:pStyle w:val="P68B1DB1-Normal7"/>
        <w:spacing w:before="120" w:after="120"/>
        <w:jc w:val="both"/>
        <w:rPr>
          <w:noProof/>
        </w:rPr>
      </w:pPr>
      <w:r>
        <w:rPr>
          <w:noProof/>
        </w:rPr>
        <w:t xml:space="preserve">Šā Itālijas atveseļošanas un noturības plāna komponenta mērķis ir nodrošināt nepieciešamos veicinošos apstākļus valsts veselības aprūpes dienesta lielākai noturībai, izmantojot: novecojušu veselības aprūpes tehnoloģiju aizstāšana slimnīcās; </w:t>
      </w:r>
      <w:r>
        <w:rPr>
          <w:noProof/>
        </w:rPr>
        <w:t>II) būtiski strukturāli uzlabojumi slimnīcu ēku drošībā; III) veselības informācijas sistēmu un digitālo rīku uzlabošana; IV) zinātniskās pētniecības nozares veicināšana un stiprināšana; V) cilvēkresursu uzlabošana.</w:t>
      </w:r>
    </w:p>
    <w:p w14:paraId="1AD8BBE4" w14:textId="77777777" w:rsidR="00327FF1" w:rsidRDefault="00E406C7">
      <w:pPr>
        <w:pStyle w:val="P68B1DB1-Normal7"/>
        <w:spacing w:before="120" w:after="120"/>
        <w:jc w:val="both"/>
        <w:rPr>
          <w:noProof/>
        </w:rPr>
      </w:pPr>
      <w:r>
        <w:rPr>
          <w:noProof/>
        </w:rPr>
        <w:t>Investīcijas un reformas saskaņā ar šo k</w:t>
      </w:r>
      <w:r>
        <w:rPr>
          <w:noProof/>
        </w:rPr>
        <w:t>omponentu palīdz īstenot Itālijai 2020. un 2019. gadā adresētos ieteikumus par nepieciešamību “stiprināt veselības aprūpes sistēmas noturību un spēju tādās jomās kā veselības aprūpes darbinieki, kritiski svarīgi medicīniskie produkti un infrastruktūra” (20</w:t>
      </w:r>
      <w:r>
        <w:rPr>
          <w:noProof/>
        </w:rPr>
        <w:t>20. gada konkrētai valstij adresētais ieteikums Nr. 1), “koncentrēt investīcijas uz zaļo un digitālo pārkārtošanos, jo īpaši uz [...] pastiprinātu digitālo infrastruktūru, lai nodrošinātu pamatpakalpojumu sniegšanu” (2020. gada konkrētai valstij adresētais</w:t>
      </w:r>
      <w:r>
        <w:rPr>
          <w:noProof/>
        </w:rPr>
        <w:t xml:space="preserve"> ieteikums Nr. 3) un “ar investīcijām saistīto ekonomikas politiku koncentrēt uz pētniecību un inovāciju un infrastruktūras kvalitāti, ņemot vērā arī reģionālās atšķirības” (2019. gada konkrētai valstij adresētais ieteikums Nr. 3). </w:t>
      </w:r>
    </w:p>
    <w:p w14:paraId="07ACD82C" w14:textId="77777777" w:rsidR="00327FF1" w:rsidRDefault="00327FF1">
      <w:pPr>
        <w:spacing w:before="120" w:after="120"/>
        <w:jc w:val="both"/>
        <w:rPr>
          <w:rFonts w:ascii="Times New Roman" w:hAnsi="Times New Roman" w:cs="Times New Roman"/>
          <w:noProof/>
        </w:rPr>
      </w:pPr>
    </w:p>
    <w:p w14:paraId="0CEDC842" w14:textId="77777777" w:rsidR="00327FF1" w:rsidRDefault="00E406C7">
      <w:pPr>
        <w:pStyle w:val="P68B1DB1-Heading39"/>
        <w:ind w:left="850" w:hanging="850"/>
        <w:rPr>
          <w:b/>
          <w:bCs/>
          <w:i/>
          <w:iCs/>
          <w:noProof/>
          <w:u w:val="single"/>
        </w:rPr>
      </w:pPr>
      <w:r>
        <w:rPr>
          <w:b/>
          <w:noProof/>
          <w:u w:val="single"/>
        </w:rPr>
        <w:t xml:space="preserve">P.1. </w:t>
      </w:r>
      <w:r>
        <w:rPr>
          <w:noProof/>
        </w:rPr>
        <w:t xml:space="preserve"> </w:t>
      </w:r>
      <w:r>
        <w:rPr>
          <w:b/>
          <w:noProof/>
          <w:u w:val="single"/>
        </w:rPr>
        <w:t>Reformu un inves</w:t>
      </w:r>
      <w:r>
        <w:rPr>
          <w:b/>
          <w:noProof/>
          <w:u w:val="single"/>
        </w:rPr>
        <w:t>tīciju apraksts neatmaksājamam finansiālajam atbalstam</w:t>
      </w:r>
    </w:p>
    <w:p w14:paraId="19284F44" w14:textId="77777777" w:rsidR="00327FF1" w:rsidRDefault="00E406C7">
      <w:pPr>
        <w:pStyle w:val="P68B1DB1-Normal5"/>
        <w:spacing w:before="120" w:after="120"/>
        <w:jc w:val="both"/>
        <w:rPr>
          <w:noProof/>
        </w:rPr>
      </w:pPr>
      <w:r>
        <w:rPr>
          <w:noProof/>
        </w:rPr>
        <w:t>Reforma: Pārskatīt un atjaunināt slimnīcas un aprūpes zinātnisko institūtu (IRCCS) pašreizējo tiesisko regulējumu</w:t>
      </w:r>
    </w:p>
    <w:p w14:paraId="3A759B86" w14:textId="77777777" w:rsidR="00327FF1" w:rsidRDefault="00E406C7">
      <w:pPr>
        <w:pStyle w:val="P68B1DB1-Normal7"/>
        <w:spacing w:before="120"/>
        <w:jc w:val="both"/>
        <w:rPr>
          <w:bCs/>
          <w:iCs/>
          <w:noProof/>
        </w:rPr>
      </w:pPr>
      <w:r>
        <w:rPr>
          <w:noProof/>
        </w:rPr>
        <w:t xml:space="preserve">Reformas mērķis ir reorganizēt slimnīcu un aprūpes zinātnisko institūtu (IRCCS) tīklu, </w:t>
      </w:r>
      <w:r>
        <w:rPr>
          <w:noProof/>
        </w:rPr>
        <w:t xml:space="preserve">lai i) uzlabotu valsts veselības aprūpes sistēmas (NHS) kvalitāti, ii) uzlabotu saikni starp veselību un pētniecību un iii) pārskatītu IRCCS tiesisko režīmu un pētniecības politiku, kas ir Itālijas Veselības ministrijas kompetencē. </w:t>
      </w:r>
    </w:p>
    <w:p w14:paraId="4CDC49E2" w14:textId="77777777" w:rsidR="00327FF1" w:rsidRDefault="00E406C7">
      <w:pPr>
        <w:pStyle w:val="P68B1DB1-Normal7"/>
        <w:spacing w:before="120"/>
        <w:jc w:val="both"/>
        <w:rPr>
          <w:bCs/>
          <w:iCs/>
          <w:noProof/>
        </w:rPr>
      </w:pPr>
      <w:r>
        <w:rPr>
          <w:noProof/>
        </w:rPr>
        <w:t>Reforma uzlabo publisko</w:t>
      </w:r>
      <w:r>
        <w:rPr>
          <w:noProof/>
        </w:rPr>
        <w:t xml:space="preserve"> IRCCS pārvaldību, i) uzlabojot stratēģisko pārvaldību, ii) labāk definējot pilnvaras un kompetences jomas un iii) visaptveroši definējot noteikumus par publisko IRCCS zinātniskā direktora un pētniecības personāla statusu. </w:t>
      </w:r>
    </w:p>
    <w:p w14:paraId="3A0B33A6" w14:textId="77777777" w:rsidR="00327FF1" w:rsidRDefault="00E406C7">
      <w:pPr>
        <w:pStyle w:val="P68B1DB1-Normal7"/>
        <w:spacing w:before="120"/>
        <w:jc w:val="both"/>
        <w:rPr>
          <w:bCs/>
          <w:iCs/>
          <w:noProof/>
        </w:rPr>
      </w:pPr>
      <w:r>
        <w:rPr>
          <w:noProof/>
        </w:rPr>
        <w:t>Visbeidzot, īpašs apakšpasākums,</w:t>
      </w:r>
      <w:r>
        <w:rPr>
          <w:noProof/>
        </w:rPr>
        <w:t xml:space="preserve"> kas diferencē IRCCS atkarībā no to darbības (viena speciālista vai vispārēja speciālista), izveidojot integrētu IRCCS tīklu un veicinot speciālo zināšanu apmaiņu starp pašām IRCCS un citām Itālijas NHS struktūrām.</w:t>
      </w:r>
    </w:p>
    <w:p w14:paraId="5AC94B42" w14:textId="77777777" w:rsidR="00327FF1" w:rsidRDefault="00E406C7">
      <w:pPr>
        <w:pStyle w:val="P68B1DB1-Normal5"/>
        <w:spacing w:before="120" w:after="120"/>
        <w:jc w:val="both"/>
        <w:rPr>
          <w:bCs/>
          <w:iCs/>
          <w:noProof/>
        </w:rPr>
      </w:pPr>
      <w:r>
        <w:rPr>
          <w:noProof/>
        </w:rPr>
        <w:t>Investīcija 2.1: NHS biomedicīnas pētījum</w:t>
      </w:r>
      <w:r>
        <w:rPr>
          <w:noProof/>
        </w:rPr>
        <w:t>u stiprināšana un uzlabošana</w:t>
      </w:r>
    </w:p>
    <w:p w14:paraId="775908A7" w14:textId="77777777" w:rsidR="00327FF1" w:rsidRDefault="00E406C7">
      <w:pPr>
        <w:pStyle w:val="P68B1DB1-Normal7"/>
        <w:spacing w:before="120" w:after="120"/>
        <w:jc w:val="both"/>
        <w:rPr>
          <w:noProof/>
        </w:rPr>
      </w:pPr>
      <w:r>
        <w:rPr>
          <w:noProof/>
        </w:rPr>
        <w:t xml:space="preserve">Pasākuma mērķis ir palielināt biomedicīniskās pētniecības sistēmas finansējumu. </w:t>
      </w:r>
    </w:p>
    <w:p w14:paraId="2DADDB2A" w14:textId="0FC45632" w:rsidR="00327FF1" w:rsidRDefault="00E406C7">
      <w:pPr>
        <w:pStyle w:val="P68B1DB1-Normal7"/>
        <w:spacing w:before="120" w:after="120"/>
        <w:jc w:val="both"/>
        <w:rPr>
          <w:noProof/>
        </w:rPr>
      </w:pPr>
      <w:r>
        <w:rPr>
          <w:noProof/>
        </w:rPr>
        <w:t>Investīcija ietver</w:t>
      </w:r>
      <w:r>
        <w:rPr>
          <w:noProof/>
          <w:color w:val="000000" w:themeColor="text1"/>
        </w:rPr>
        <w:t>koncepcijas pamatojuma projektu izstrādi, kā arī pētniecības iniciatīvu finansēšanu retu slimību, retu vēža veidu un citu slimīb</w:t>
      </w:r>
      <w:r>
        <w:rPr>
          <w:noProof/>
          <w:color w:val="000000" w:themeColor="text1"/>
        </w:rPr>
        <w:t>u, kurām ir liela ietekme uz veselību, jomā</w:t>
      </w:r>
      <w:r>
        <w:rPr>
          <w:noProof/>
        </w:rPr>
        <w:t>.</w:t>
      </w:r>
    </w:p>
    <w:p w14:paraId="3E6A265D" w14:textId="77777777" w:rsidR="00327FF1" w:rsidRDefault="00327FF1">
      <w:pPr>
        <w:spacing w:before="120" w:after="120"/>
        <w:ind w:left="709"/>
        <w:jc w:val="both"/>
        <w:rPr>
          <w:noProof/>
        </w:rPr>
      </w:pPr>
    </w:p>
    <w:p w14:paraId="27272648" w14:textId="77777777" w:rsidR="00327FF1" w:rsidRDefault="00E406C7">
      <w:pPr>
        <w:pStyle w:val="P68B1DB1-Normal5"/>
        <w:spacing w:before="120" w:after="120"/>
        <w:jc w:val="both"/>
        <w:rPr>
          <w:iCs/>
          <w:noProof/>
        </w:rPr>
      </w:pPr>
      <w:r>
        <w:rPr>
          <w:noProof/>
        </w:rPr>
        <w:t>Ieguldījums 2.2.: Veselības aprūpes sistēmas speciālistu tehnisko, profesionālo, digitālo un vadības prasmju attīstīšana</w:t>
      </w:r>
    </w:p>
    <w:p w14:paraId="72F8CF1F" w14:textId="77777777" w:rsidR="00327FF1" w:rsidRDefault="00E406C7">
      <w:pPr>
        <w:pStyle w:val="P68B1DB1-Normal7"/>
        <w:spacing w:before="120" w:after="120"/>
        <w:jc w:val="both"/>
        <w:rPr>
          <w:noProof/>
        </w:rPr>
      </w:pPr>
      <w:r>
        <w:rPr>
          <w:noProof/>
        </w:rPr>
        <w:t xml:space="preserve">Šis ieguldījums ietver stipendiju palielināšanu konkrētiem vispārējās medicīnas kursiem; </w:t>
      </w:r>
      <w:r>
        <w:rPr>
          <w:noProof/>
        </w:rPr>
        <w:t>visam NHS personālam izstrādāt apmācības plānu par drošību slimnīcu infekciju jomā; aktivizēt apmācības ceļu darbiniekiem, kuriem VHS struktūrās ir vadošās lomas vadības un digitālajās prasmēs, un finansēt specializētas medicīniskās apmācības līgumus.</w:t>
      </w:r>
    </w:p>
    <w:p w14:paraId="01BDB4B3" w14:textId="47843A78" w:rsidR="00327FF1" w:rsidRDefault="00327FF1">
      <w:pPr>
        <w:spacing w:before="120" w:after="120"/>
        <w:jc w:val="both"/>
        <w:rPr>
          <w:noProof/>
        </w:rPr>
        <w:sectPr w:rsidR="00327FF1" w:rsidSect="005F11B9">
          <w:headerReference w:type="even" r:id="rId292"/>
          <w:headerReference w:type="default" r:id="rId293"/>
          <w:footerReference w:type="even" r:id="rId294"/>
          <w:footerReference w:type="default" r:id="rId295"/>
          <w:headerReference w:type="first" r:id="rId296"/>
          <w:footerReference w:type="first" r:id="rId297"/>
          <w:pgSz w:w="11907" w:h="16839"/>
          <w:pgMar w:top="1134" w:right="1417" w:bottom="1134" w:left="1417" w:header="709" w:footer="709" w:gutter="0"/>
          <w:cols w:space="720"/>
          <w:docGrid w:linePitch="360"/>
        </w:sectPr>
      </w:pPr>
    </w:p>
    <w:p w14:paraId="65C9F3B8" w14:textId="77777777" w:rsidR="00327FF1" w:rsidRDefault="00E406C7">
      <w:pPr>
        <w:pStyle w:val="P68B1DB1-Heading368"/>
        <w:ind w:left="850" w:hanging="850"/>
        <w:rPr>
          <w:noProof/>
        </w:rPr>
      </w:pPr>
      <w:r>
        <w:rPr>
          <w:noProof/>
        </w:rPr>
        <w:t xml:space="preserve">P.2. </w:t>
      </w:r>
      <w:r>
        <w:rPr>
          <w:noProof/>
        </w:rPr>
        <w:tab/>
        <w:t>Starpposma mērķi, mērķrādītāji, rādītāji un neatmaksājama finansiālā atbalsta uzraudzības un īstenošanas grafiks</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6"/>
        <w:gridCol w:w="2014"/>
        <w:gridCol w:w="1294"/>
        <w:gridCol w:w="1870"/>
        <w:gridCol w:w="1726"/>
        <w:gridCol w:w="1007"/>
        <w:gridCol w:w="1151"/>
        <w:gridCol w:w="863"/>
        <w:gridCol w:w="862"/>
        <w:gridCol w:w="719"/>
        <w:gridCol w:w="2933"/>
      </w:tblGrid>
      <w:tr w:rsidR="00327FF1" w14:paraId="3745E2E7" w14:textId="77777777">
        <w:trPr>
          <w:trHeight w:val="927"/>
          <w:tblHeader/>
        </w:trPr>
        <w:tc>
          <w:tcPr>
            <w:tcW w:w="1176" w:type="dxa"/>
            <w:vMerge w:val="restart"/>
            <w:shd w:val="clear" w:color="auto" w:fill="BDD7EE"/>
            <w:vAlign w:val="center"/>
            <w:hideMark/>
          </w:tcPr>
          <w:p w14:paraId="0F97B8A2" w14:textId="77777777" w:rsidR="00327FF1" w:rsidRDefault="00E406C7">
            <w:pPr>
              <w:pStyle w:val="P68B1DB1-Normal10"/>
              <w:spacing w:before="120" w:after="120"/>
              <w:jc w:val="center"/>
              <w:rPr>
                <w:noProof/>
                <w:szCs w:val="20"/>
              </w:rPr>
            </w:pPr>
            <w:r>
              <w:rPr>
                <w:noProof/>
              </w:rPr>
              <w:t>Kārtas numurs</w:t>
            </w:r>
          </w:p>
        </w:tc>
        <w:tc>
          <w:tcPr>
            <w:tcW w:w="2014" w:type="dxa"/>
            <w:vMerge w:val="restart"/>
            <w:shd w:val="clear" w:color="auto" w:fill="BDD7EE"/>
            <w:vAlign w:val="center"/>
            <w:hideMark/>
          </w:tcPr>
          <w:p w14:paraId="4A92E0B7" w14:textId="77777777" w:rsidR="00327FF1" w:rsidRDefault="00E406C7">
            <w:pPr>
              <w:pStyle w:val="P68B1DB1-Normal10"/>
              <w:spacing w:before="120" w:after="120"/>
              <w:jc w:val="center"/>
              <w:rPr>
                <w:noProof/>
                <w:szCs w:val="20"/>
              </w:rPr>
            </w:pPr>
            <w:r>
              <w:rPr>
                <w:noProof/>
              </w:rPr>
              <w:t>Saistītais pasākums (reforma vai ieguldījums)</w:t>
            </w:r>
          </w:p>
        </w:tc>
        <w:tc>
          <w:tcPr>
            <w:tcW w:w="1294" w:type="dxa"/>
            <w:vMerge w:val="restart"/>
            <w:shd w:val="clear" w:color="auto" w:fill="BDD7EE"/>
            <w:vAlign w:val="center"/>
            <w:hideMark/>
          </w:tcPr>
          <w:p w14:paraId="7FC3995A" w14:textId="77777777" w:rsidR="00327FF1" w:rsidRDefault="00E406C7">
            <w:pPr>
              <w:pStyle w:val="P68B1DB1-Normal10"/>
              <w:spacing w:before="120" w:after="120"/>
              <w:jc w:val="center"/>
              <w:rPr>
                <w:noProof/>
                <w:szCs w:val="20"/>
              </w:rPr>
            </w:pPr>
            <w:r>
              <w:rPr>
                <w:noProof/>
              </w:rPr>
              <w:t>Atskaites punkts/mē</w:t>
            </w:r>
            <w:r>
              <w:rPr>
                <w:noProof/>
              </w:rPr>
              <w:t>rķrādītājs</w:t>
            </w:r>
          </w:p>
        </w:tc>
        <w:tc>
          <w:tcPr>
            <w:tcW w:w="1870" w:type="dxa"/>
            <w:vMerge w:val="restart"/>
            <w:shd w:val="clear" w:color="auto" w:fill="BDD7EE"/>
            <w:vAlign w:val="center"/>
            <w:hideMark/>
          </w:tcPr>
          <w:p w14:paraId="0DDF1FD6" w14:textId="77777777" w:rsidR="00327FF1" w:rsidRDefault="00E406C7">
            <w:pPr>
              <w:pStyle w:val="P68B1DB1-Normal10"/>
              <w:spacing w:before="120" w:after="120"/>
              <w:jc w:val="center"/>
              <w:rPr>
                <w:noProof/>
                <w:szCs w:val="20"/>
              </w:rPr>
            </w:pPr>
            <w:r>
              <w:rPr>
                <w:noProof/>
              </w:rPr>
              <w:t>Nosaukums</w:t>
            </w:r>
          </w:p>
        </w:tc>
        <w:tc>
          <w:tcPr>
            <w:tcW w:w="1726" w:type="dxa"/>
            <w:vMerge w:val="restart"/>
            <w:shd w:val="clear" w:color="auto" w:fill="BDD7EE"/>
            <w:vAlign w:val="center"/>
            <w:hideMark/>
          </w:tcPr>
          <w:p w14:paraId="43D51E3F" w14:textId="77777777" w:rsidR="00327FF1" w:rsidRDefault="00E406C7">
            <w:pPr>
              <w:spacing w:before="120" w:after="120"/>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3021" w:type="dxa"/>
            <w:gridSpan w:val="3"/>
            <w:shd w:val="clear" w:color="auto" w:fill="BDD7EE"/>
            <w:vAlign w:val="center"/>
            <w:hideMark/>
          </w:tcPr>
          <w:p w14:paraId="61F637FE" w14:textId="77777777" w:rsidR="00327FF1" w:rsidRDefault="00E406C7">
            <w:pPr>
              <w:spacing w:before="120" w:after="120"/>
              <w:jc w:val="center"/>
              <w:rPr>
                <w:rFonts w:ascii="Arial Narrow" w:hAnsi="Arial Narrow"/>
                <w:b/>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581" w:type="dxa"/>
            <w:gridSpan w:val="2"/>
            <w:shd w:val="clear" w:color="auto" w:fill="BDD7EE"/>
            <w:vAlign w:val="center"/>
            <w:hideMark/>
          </w:tcPr>
          <w:p w14:paraId="3DCEF4B3" w14:textId="77777777" w:rsidR="00327FF1" w:rsidRDefault="00E406C7">
            <w:pPr>
              <w:pStyle w:val="P68B1DB1-Normal10"/>
              <w:spacing w:before="120" w:after="120"/>
              <w:jc w:val="center"/>
              <w:rPr>
                <w:noProof/>
                <w:szCs w:val="20"/>
              </w:rPr>
            </w:pPr>
            <w:r>
              <w:rPr>
                <w:noProof/>
              </w:rPr>
              <w:t>Orientējošs pabeigšanas termiņš</w:t>
            </w:r>
          </w:p>
        </w:tc>
        <w:tc>
          <w:tcPr>
            <w:tcW w:w="2933" w:type="dxa"/>
            <w:vMerge w:val="restart"/>
            <w:shd w:val="clear" w:color="auto" w:fill="BDD7EE"/>
            <w:vAlign w:val="center"/>
            <w:hideMark/>
          </w:tcPr>
          <w:p w14:paraId="478E404F" w14:textId="77777777" w:rsidR="00327FF1" w:rsidRDefault="00E406C7">
            <w:pPr>
              <w:pStyle w:val="P68B1DB1-Normal10"/>
              <w:spacing w:before="120" w:after="120"/>
              <w:jc w:val="center"/>
              <w:rPr>
                <w:noProof/>
                <w:szCs w:val="20"/>
              </w:rPr>
            </w:pPr>
            <w:r>
              <w:rPr>
                <w:noProof/>
              </w:rPr>
              <w:t>Apraksts par katru atskaites punktu un mērķrādītāju</w:t>
            </w:r>
          </w:p>
        </w:tc>
      </w:tr>
      <w:tr w:rsidR="00327FF1" w14:paraId="51BBF346" w14:textId="77777777">
        <w:trPr>
          <w:trHeight w:val="703"/>
          <w:tblHeader/>
        </w:trPr>
        <w:tc>
          <w:tcPr>
            <w:tcW w:w="1176" w:type="dxa"/>
            <w:vMerge/>
            <w:vAlign w:val="center"/>
            <w:hideMark/>
          </w:tcPr>
          <w:p w14:paraId="0F1E8758" w14:textId="77777777" w:rsidR="00327FF1" w:rsidRDefault="00327FF1">
            <w:pPr>
              <w:spacing w:before="120" w:after="120"/>
              <w:jc w:val="center"/>
              <w:rPr>
                <w:rFonts w:ascii="Arial Narrow" w:hAnsi="Arial Narrow"/>
                <w:b/>
                <w:bCs/>
                <w:noProof/>
                <w:sz w:val="20"/>
                <w:szCs w:val="20"/>
              </w:rPr>
            </w:pPr>
          </w:p>
        </w:tc>
        <w:tc>
          <w:tcPr>
            <w:tcW w:w="2014" w:type="dxa"/>
            <w:vMerge/>
            <w:vAlign w:val="center"/>
            <w:hideMark/>
          </w:tcPr>
          <w:p w14:paraId="213B0320" w14:textId="77777777" w:rsidR="00327FF1" w:rsidRDefault="00327FF1">
            <w:pPr>
              <w:spacing w:before="120" w:after="120"/>
              <w:jc w:val="center"/>
              <w:rPr>
                <w:rFonts w:ascii="Arial Narrow" w:hAnsi="Arial Narrow"/>
                <w:b/>
                <w:bCs/>
                <w:noProof/>
                <w:sz w:val="20"/>
                <w:szCs w:val="20"/>
              </w:rPr>
            </w:pPr>
          </w:p>
        </w:tc>
        <w:tc>
          <w:tcPr>
            <w:tcW w:w="1294" w:type="dxa"/>
            <w:vMerge/>
            <w:vAlign w:val="center"/>
            <w:hideMark/>
          </w:tcPr>
          <w:p w14:paraId="6FF3B964" w14:textId="77777777" w:rsidR="00327FF1" w:rsidRDefault="00327FF1">
            <w:pPr>
              <w:spacing w:before="120" w:after="120"/>
              <w:jc w:val="center"/>
              <w:rPr>
                <w:rFonts w:ascii="Arial Narrow" w:hAnsi="Arial Narrow"/>
                <w:b/>
                <w:bCs/>
                <w:noProof/>
                <w:sz w:val="20"/>
                <w:szCs w:val="20"/>
              </w:rPr>
            </w:pPr>
          </w:p>
        </w:tc>
        <w:tc>
          <w:tcPr>
            <w:tcW w:w="1870" w:type="dxa"/>
            <w:vMerge/>
            <w:vAlign w:val="center"/>
            <w:hideMark/>
          </w:tcPr>
          <w:p w14:paraId="741C1834" w14:textId="77777777" w:rsidR="00327FF1" w:rsidRDefault="00327FF1">
            <w:pPr>
              <w:spacing w:before="120" w:after="120"/>
              <w:jc w:val="center"/>
              <w:rPr>
                <w:rFonts w:ascii="Arial Narrow" w:hAnsi="Arial Narrow"/>
                <w:b/>
                <w:bCs/>
                <w:noProof/>
                <w:sz w:val="20"/>
                <w:szCs w:val="20"/>
              </w:rPr>
            </w:pPr>
          </w:p>
        </w:tc>
        <w:tc>
          <w:tcPr>
            <w:tcW w:w="1726" w:type="dxa"/>
            <w:vMerge/>
            <w:vAlign w:val="center"/>
            <w:hideMark/>
          </w:tcPr>
          <w:p w14:paraId="74D96BDD" w14:textId="77777777" w:rsidR="00327FF1" w:rsidRDefault="00327FF1">
            <w:pPr>
              <w:spacing w:before="120" w:after="120"/>
              <w:jc w:val="center"/>
              <w:rPr>
                <w:rFonts w:ascii="Arial Narrow" w:hAnsi="Arial Narrow"/>
                <w:b/>
                <w:bCs/>
                <w:noProof/>
                <w:sz w:val="20"/>
                <w:szCs w:val="20"/>
              </w:rPr>
            </w:pPr>
          </w:p>
        </w:tc>
        <w:tc>
          <w:tcPr>
            <w:tcW w:w="1007" w:type="dxa"/>
            <w:shd w:val="clear" w:color="auto" w:fill="BDD7EE"/>
            <w:vAlign w:val="center"/>
            <w:hideMark/>
          </w:tcPr>
          <w:p w14:paraId="540BE98E" w14:textId="77777777" w:rsidR="00327FF1" w:rsidRDefault="00E406C7">
            <w:pPr>
              <w:pStyle w:val="P68B1DB1-Normal10"/>
              <w:spacing w:before="120" w:after="120"/>
              <w:jc w:val="center"/>
              <w:rPr>
                <w:noProof/>
                <w:szCs w:val="20"/>
              </w:rPr>
            </w:pPr>
            <w:r>
              <w:rPr>
                <w:noProof/>
              </w:rPr>
              <w:t>Mēra vienība</w:t>
            </w:r>
          </w:p>
        </w:tc>
        <w:tc>
          <w:tcPr>
            <w:tcW w:w="1151" w:type="dxa"/>
            <w:shd w:val="clear" w:color="auto" w:fill="BDD7EE"/>
            <w:vAlign w:val="center"/>
            <w:hideMark/>
          </w:tcPr>
          <w:p w14:paraId="680BD88E" w14:textId="77777777" w:rsidR="00327FF1" w:rsidRDefault="00E406C7">
            <w:pPr>
              <w:pStyle w:val="P68B1DB1-Normal10"/>
              <w:spacing w:before="120" w:after="120"/>
              <w:jc w:val="center"/>
              <w:rPr>
                <w:noProof/>
                <w:szCs w:val="20"/>
              </w:rPr>
            </w:pPr>
            <w:r>
              <w:rPr>
                <w:noProof/>
              </w:rPr>
              <w:t>Pamatscenārijs</w:t>
            </w:r>
          </w:p>
        </w:tc>
        <w:tc>
          <w:tcPr>
            <w:tcW w:w="863" w:type="dxa"/>
            <w:shd w:val="clear" w:color="auto" w:fill="BDD7EE"/>
            <w:vAlign w:val="center"/>
            <w:hideMark/>
          </w:tcPr>
          <w:p w14:paraId="297FB5F9" w14:textId="77777777" w:rsidR="00327FF1" w:rsidRDefault="00E406C7">
            <w:pPr>
              <w:pStyle w:val="P68B1DB1-Normal10"/>
              <w:spacing w:before="120" w:after="120"/>
              <w:jc w:val="center"/>
              <w:rPr>
                <w:noProof/>
                <w:szCs w:val="20"/>
              </w:rPr>
            </w:pPr>
            <w:r>
              <w:rPr>
                <w:noProof/>
              </w:rPr>
              <w:t>Mērķis</w:t>
            </w:r>
          </w:p>
        </w:tc>
        <w:tc>
          <w:tcPr>
            <w:tcW w:w="862" w:type="dxa"/>
            <w:shd w:val="clear" w:color="auto" w:fill="BDD7EE"/>
            <w:vAlign w:val="center"/>
            <w:hideMark/>
          </w:tcPr>
          <w:p w14:paraId="2374EB00" w14:textId="77777777" w:rsidR="00327FF1" w:rsidRDefault="00E406C7">
            <w:pPr>
              <w:pStyle w:val="P68B1DB1-Normal10"/>
              <w:spacing w:before="120" w:after="120"/>
              <w:jc w:val="center"/>
              <w:rPr>
                <w:noProof/>
                <w:szCs w:val="20"/>
              </w:rPr>
            </w:pPr>
            <w:r>
              <w:rPr>
                <w:noProof/>
              </w:rPr>
              <w:t>Ceturkšņa laikā</w:t>
            </w:r>
          </w:p>
        </w:tc>
        <w:tc>
          <w:tcPr>
            <w:tcW w:w="719" w:type="dxa"/>
            <w:shd w:val="clear" w:color="auto" w:fill="BDD7EE"/>
            <w:vAlign w:val="center"/>
            <w:hideMark/>
          </w:tcPr>
          <w:p w14:paraId="576814CC" w14:textId="77777777" w:rsidR="00327FF1" w:rsidRDefault="00E406C7">
            <w:pPr>
              <w:pStyle w:val="P68B1DB1-Normal10"/>
              <w:spacing w:before="120" w:after="120"/>
              <w:jc w:val="center"/>
              <w:rPr>
                <w:noProof/>
                <w:szCs w:val="20"/>
              </w:rPr>
            </w:pPr>
            <w:r>
              <w:rPr>
                <w:noProof/>
              </w:rPr>
              <w:t>Gadu</w:t>
            </w:r>
          </w:p>
        </w:tc>
        <w:tc>
          <w:tcPr>
            <w:tcW w:w="2933" w:type="dxa"/>
            <w:vMerge/>
            <w:vAlign w:val="center"/>
            <w:hideMark/>
          </w:tcPr>
          <w:p w14:paraId="4EF2BFFC" w14:textId="77777777" w:rsidR="00327FF1" w:rsidRDefault="00327FF1">
            <w:pPr>
              <w:spacing w:before="120" w:after="120"/>
              <w:rPr>
                <w:rFonts w:ascii="Arial Narrow" w:hAnsi="Arial Narrow"/>
                <w:b/>
                <w:bCs/>
                <w:noProof/>
                <w:sz w:val="20"/>
                <w:szCs w:val="20"/>
              </w:rPr>
            </w:pPr>
          </w:p>
        </w:tc>
      </w:tr>
      <w:tr w:rsidR="00327FF1" w14:paraId="2A4304C8" w14:textId="77777777">
        <w:trPr>
          <w:trHeight w:val="309"/>
        </w:trPr>
        <w:tc>
          <w:tcPr>
            <w:tcW w:w="1176" w:type="dxa"/>
            <w:shd w:val="clear" w:color="auto" w:fill="C6EFCE"/>
            <w:noWrap/>
            <w:vAlign w:val="center"/>
          </w:tcPr>
          <w:p w14:paraId="32709E45" w14:textId="77777777" w:rsidR="00327FF1" w:rsidRDefault="00E406C7">
            <w:pPr>
              <w:pStyle w:val="P68B1DB1-Normal11"/>
              <w:jc w:val="center"/>
              <w:rPr>
                <w:noProof/>
                <w:szCs w:val="20"/>
              </w:rPr>
            </w:pPr>
            <w:r>
              <w:rPr>
                <w:noProof/>
              </w:rPr>
              <w:t>M6C2–1</w:t>
            </w:r>
          </w:p>
        </w:tc>
        <w:tc>
          <w:tcPr>
            <w:tcW w:w="2014" w:type="dxa"/>
            <w:shd w:val="clear" w:color="auto" w:fill="C6EFCE"/>
            <w:noWrap/>
            <w:vAlign w:val="center"/>
          </w:tcPr>
          <w:p w14:paraId="25748EBD" w14:textId="77777777" w:rsidR="00327FF1" w:rsidRDefault="00E406C7">
            <w:pPr>
              <w:pStyle w:val="P68B1DB1-Normal11"/>
              <w:jc w:val="center"/>
              <w:rPr>
                <w:noProof/>
                <w:szCs w:val="20"/>
              </w:rPr>
            </w:pPr>
            <w:r>
              <w:rPr>
                <w:noProof/>
              </w:rPr>
              <w:t>Reforma: Pārskatīt un atjaunināt pašreizējo tiesisko regulējumu attiecībā uz slimnīcu un aprūpes zinātniskajiem institūtiem (IRCCS) un Veselības ministrijas pētniecības politiku, lai stiprinātu saikni starp pētniecību, inovāciju un veselības aprūpi</w:t>
            </w:r>
          </w:p>
        </w:tc>
        <w:tc>
          <w:tcPr>
            <w:tcW w:w="1294" w:type="dxa"/>
            <w:shd w:val="clear" w:color="auto" w:fill="C6EFCE"/>
            <w:noWrap/>
            <w:vAlign w:val="center"/>
          </w:tcPr>
          <w:p w14:paraId="0394C20E" w14:textId="77777777" w:rsidR="00327FF1" w:rsidRDefault="00E406C7">
            <w:pPr>
              <w:pStyle w:val="P68B1DB1-Normal11"/>
              <w:jc w:val="center"/>
              <w:rPr>
                <w:noProof/>
                <w:szCs w:val="20"/>
              </w:rPr>
            </w:pPr>
            <w:r>
              <w:rPr>
                <w:noProof/>
              </w:rPr>
              <w:t>Atskaites punkts</w:t>
            </w:r>
          </w:p>
        </w:tc>
        <w:tc>
          <w:tcPr>
            <w:tcW w:w="1870" w:type="dxa"/>
            <w:shd w:val="clear" w:color="auto" w:fill="C6EFCE"/>
            <w:noWrap/>
            <w:vAlign w:val="center"/>
          </w:tcPr>
          <w:p w14:paraId="7CE53AF2" w14:textId="77777777" w:rsidR="00327FF1" w:rsidRDefault="00E406C7">
            <w:pPr>
              <w:pStyle w:val="P68B1DB1-Normal11"/>
              <w:jc w:val="center"/>
              <w:rPr>
                <w:noProof/>
                <w:szCs w:val="20"/>
              </w:rPr>
            </w:pPr>
            <w:r>
              <w:rPr>
                <w:noProof/>
              </w:rPr>
              <w:t>Stājas spēkā leģislatīvais dekrēts, ar ko paredz reorganizēt noteikumus, kas reglamentē hospitalizācijas un aprūpes zinātniskos institūtus (IRCSS)</w:t>
            </w:r>
          </w:p>
        </w:tc>
        <w:tc>
          <w:tcPr>
            <w:tcW w:w="1726" w:type="dxa"/>
            <w:shd w:val="clear" w:color="auto" w:fill="C6EFCE"/>
            <w:noWrap/>
            <w:vAlign w:val="center"/>
          </w:tcPr>
          <w:p w14:paraId="01134809" w14:textId="77777777" w:rsidR="00327FF1" w:rsidRDefault="00E406C7">
            <w:pPr>
              <w:pStyle w:val="P68B1DB1-Normal11"/>
              <w:jc w:val="center"/>
              <w:rPr>
                <w:noProof/>
                <w:szCs w:val="20"/>
              </w:rPr>
            </w:pPr>
            <w:r>
              <w:rPr>
                <w:noProof/>
              </w:rPr>
              <w:t>Dekrēta noteikums par stāšanos spēkā</w:t>
            </w:r>
          </w:p>
        </w:tc>
        <w:tc>
          <w:tcPr>
            <w:tcW w:w="1007" w:type="dxa"/>
            <w:shd w:val="clear" w:color="auto" w:fill="C6EFCE"/>
            <w:noWrap/>
            <w:vAlign w:val="center"/>
          </w:tcPr>
          <w:p w14:paraId="5BBF26F5" w14:textId="77777777" w:rsidR="00327FF1" w:rsidRDefault="00E406C7">
            <w:pPr>
              <w:pStyle w:val="P68B1DB1-Normal11"/>
              <w:jc w:val="center"/>
              <w:rPr>
                <w:noProof/>
                <w:szCs w:val="20"/>
              </w:rPr>
            </w:pPr>
            <w:r>
              <w:rPr>
                <w:noProof/>
              </w:rPr>
              <w:t>NEPIEMĒRO</w:t>
            </w:r>
          </w:p>
        </w:tc>
        <w:tc>
          <w:tcPr>
            <w:tcW w:w="1151" w:type="dxa"/>
            <w:shd w:val="clear" w:color="auto" w:fill="C6EFCE"/>
            <w:noWrap/>
            <w:vAlign w:val="center"/>
          </w:tcPr>
          <w:p w14:paraId="4F466CDB" w14:textId="77777777" w:rsidR="00327FF1" w:rsidRDefault="00E406C7">
            <w:pPr>
              <w:pStyle w:val="P68B1DB1-Normal11"/>
              <w:jc w:val="center"/>
              <w:rPr>
                <w:noProof/>
                <w:szCs w:val="20"/>
              </w:rPr>
            </w:pPr>
            <w:r>
              <w:rPr>
                <w:noProof/>
              </w:rPr>
              <w:t>NEPIEMĒRO</w:t>
            </w:r>
          </w:p>
        </w:tc>
        <w:tc>
          <w:tcPr>
            <w:tcW w:w="863" w:type="dxa"/>
            <w:shd w:val="clear" w:color="auto" w:fill="C6EFCE"/>
            <w:noWrap/>
            <w:vAlign w:val="center"/>
          </w:tcPr>
          <w:p w14:paraId="5BCAE96B" w14:textId="77777777" w:rsidR="00327FF1" w:rsidRDefault="00E406C7">
            <w:pPr>
              <w:pStyle w:val="P68B1DB1-Normal11"/>
              <w:jc w:val="center"/>
              <w:rPr>
                <w:noProof/>
                <w:szCs w:val="20"/>
              </w:rPr>
            </w:pPr>
            <w:r>
              <w:rPr>
                <w:noProof/>
              </w:rPr>
              <w:t>NEPIEMĒRO</w:t>
            </w:r>
          </w:p>
        </w:tc>
        <w:tc>
          <w:tcPr>
            <w:tcW w:w="862" w:type="dxa"/>
            <w:shd w:val="clear" w:color="auto" w:fill="C6EFCE"/>
            <w:noWrap/>
            <w:vAlign w:val="center"/>
          </w:tcPr>
          <w:p w14:paraId="1269A23D" w14:textId="77777777" w:rsidR="00327FF1" w:rsidRDefault="00E406C7">
            <w:pPr>
              <w:pStyle w:val="P68B1DB1-Normal11"/>
              <w:jc w:val="center"/>
              <w:rPr>
                <w:noProof/>
                <w:szCs w:val="20"/>
              </w:rPr>
            </w:pPr>
            <w:r>
              <w:rPr>
                <w:noProof/>
              </w:rPr>
              <w:t>4. CET.</w:t>
            </w:r>
          </w:p>
        </w:tc>
        <w:tc>
          <w:tcPr>
            <w:tcW w:w="719" w:type="dxa"/>
            <w:shd w:val="clear" w:color="auto" w:fill="C6EFCE"/>
            <w:noWrap/>
            <w:vAlign w:val="center"/>
          </w:tcPr>
          <w:p w14:paraId="7981B501" w14:textId="77777777" w:rsidR="00327FF1" w:rsidRDefault="00E406C7">
            <w:pPr>
              <w:pStyle w:val="P68B1DB1-Normal11"/>
              <w:jc w:val="center"/>
              <w:rPr>
                <w:noProof/>
                <w:szCs w:val="20"/>
              </w:rPr>
            </w:pPr>
            <w:r>
              <w:rPr>
                <w:noProof/>
              </w:rPr>
              <w:t>2022</w:t>
            </w:r>
          </w:p>
        </w:tc>
        <w:tc>
          <w:tcPr>
            <w:tcW w:w="2933" w:type="dxa"/>
            <w:shd w:val="clear" w:color="auto" w:fill="C6EFCE"/>
            <w:noWrap/>
            <w:vAlign w:val="center"/>
          </w:tcPr>
          <w:p w14:paraId="0009E612" w14:textId="77777777" w:rsidR="00327FF1" w:rsidRDefault="00E406C7">
            <w:pPr>
              <w:pStyle w:val="P68B1DB1-Normal11"/>
              <w:rPr>
                <w:noProof/>
                <w:szCs w:val="20"/>
              </w:rPr>
            </w:pPr>
            <w:r>
              <w:rPr>
                <w:noProof/>
              </w:rPr>
              <w:t>Reforma reorganizē IRCCS tīklu, lai uzlabotu NHS kvalitāti un izcilību, uzlabotu saikni starp veselību un pētniecību, pārskatītu IRCCS tiesisko režīmu un pētniecības politiku, kas ir Itālijas Veselības ministrijas kompetencē.</w:t>
            </w:r>
          </w:p>
          <w:p w14:paraId="16CBFA03" w14:textId="77777777" w:rsidR="00327FF1" w:rsidRDefault="00E406C7">
            <w:pPr>
              <w:pStyle w:val="P68B1DB1-Normal11"/>
              <w:rPr>
                <w:noProof/>
                <w:szCs w:val="20"/>
              </w:rPr>
            </w:pPr>
            <w:r>
              <w:rPr>
                <w:noProof/>
              </w:rPr>
              <w:t>Reforma ietver pasākumus, lai:</w:t>
            </w:r>
            <w:r>
              <w:rPr>
                <w:noProof/>
              </w:rPr>
              <w:t xml:space="preserve"> stiprināt saikni starp pētniecību, inovāciju un veselības aprūpi; II) uzlabot publisko IRCCS pārvaldību, uzlabojot stratēģisko pārvaldību un labāk definējot pilnvaras un kompetences jomas.</w:t>
            </w:r>
          </w:p>
        </w:tc>
      </w:tr>
      <w:tr w:rsidR="00327FF1" w14:paraId="75B5FA6C" w14:textId="77777777">
        <w:trPr>
          <w:trHeight w:val="309"/>
        </w:trPr>
        <w:tc>
          <w:tcPr>
            <w:tcW w:w="1176" w:type="dxa"/>
            <w:shd w:val="clear" w:color="auto" w:fill="C6EFCE"/>
            <w:noWrap/>
            <w:vAlign w:val="center"/>
            <w:hideMark/>
          </w:tcPr>
          <w:p w14:paraId="681B3CEC" w14:textId="77777777" w:rsidR="00327FF1" w:rsidRDefault="00E406C7">
            <w:pPr>
              <w:pStyle w:val="P68B1DB1-Normal12"/>
              <w:jc w:val="center"/>
              <w:rPr>
                <w:noProof/>
              </w:rPr>
            </w:pPr>
            <w:r>
              <w:rPr>
                <w:noProof/>
              </w:rPr>
              <w:t>M6C2–2</w:t>
            </w:r>
          </w:p>
        </w:tc>
        <w:tc>
          <w:tcPr>
            <w:tcW w:w="2014" w:type="dxa"/>
            <w:shd w:val="clear" w:color="auto" w:fill="C6EFCE"/>
            <w:noWrap/>
            <w:vAlign w:val="center"/>
            <w:hideMark/>
          </w:tcPr>
          <w:p w14:paraId="77FD104F" w14:textId="77777777" w:rsidR="00327FF1" w:rsidRDefault="00E406C7">
            <w:pPr>
              <w:pStyle w:val="P68B1DB1-Normal11"/>
              <w:jc w:val="center"/>
              <w:rPr>
                <w:noProof/>
                <w:szCs w:val="20"/>
              </w:rPr>
            </w:pPr>
            <w:r>
              <w:rPr>
                <w:noProof/>
              </w:rPr>
              <w:t>Investīcija 2.1: NHS biomedicīnas pētījumu stiprināšana un</w:t>
            </w:r>
            <w:r>
              <w:rPr>
                <w:noProof/>
              </w:rPr>
              <w:t xml:space="preserve"> uzlabošana</w:t>
            </w:r>
          </w:p>
        </w:tc>
        <w:tc>
          <w:tcPr>
            <w:tcW w:w="1294" w:type="dxa"/>
            <w:shd w:val="clear" w:color="auto" w:fill="C6EFCE"/>
            <w:noWrap/>
            <w:vAlign w:val="center"/>
            <w:hideMark/>
          </w:tcPr>
          <w:p w14:paraId="42679A17" w14:textId="77777777" w:rsidR="00327FF1" w:rsidRDefault="00E406C7">
            <w:pPr>
              <w:pStyle w:val="P68B1DB1-Normal11"/>
              <w:jc w:val="center"/>
              <w:rPr>
                <w:noProof/>
                <w:szCs w:val="20"/>
              </w:rPr>
            </w:pPr>
            <w:r>
              <w:rPr>
                <w:noProof/>
              </w:rPr>
              <w:t>Mērķa</w:t>
            </w:r>
          </w:p>
        </w:tc>
        <w:tc>
          <w:tcPr>
            <w:tcW w:w="1870" w:type="dxa"/>
            <w:shd w:val="clear" w:color="auto" w:fill="C6EFCE"/>
            <w:noWrap/>
            <w:vAlign w:val="center"/>
            <w:hideMark/>
          </w:tcPr>
          <w:p w14:paraId="1B8F33B5" w14:textId="77777777" w:rsidR="00327FF1" w:rsidRDefault="00E406C7">
            <w:pPr>
              <w:pStyle w:val="P68B1DB1-Normal11"/>
              <w:jc w:val="center"/>
              <w:rPr>
                <w:noProof/>
                <w:szCs w:val="20"/>
              </w:rPr>
            </w:pPr>
            <w:r>
              <w:rPr>
                <w:noProof/>
              </w:rPr>
              <w:t>Pētniecības projekti, kas finansēti saistībā ar koncepcijas pierādīšanu un retiem vēža veidiem un slimībām</w:t>
            </w:r>
          </w:p>
        </w:tc>
        <w:tc>
          <w:tcPr>
            <w:tcW w:w="1726" w:type="dxa"/>
            <w:shd w:val="clear" w:color="auto" w:fill="C6EFCE"/>
            <w:noWrap/>
            <w:vAlign w:val="center"/>
          </w:tcPr>
          <w:p w14:paraId="5FBF67F1" w14:textId="77777777" w:rsidR="00327FF1" w:rsidRDefault="00E406C7">
            <w:pPr>
              <w:pStyle w:val="P68B1DB1-Normal11"/>
              <w:jc w:val="center"/>
              <w:rPr>
                <w:noProof/>
                <w:szCs w:val="20"/>
              </w:rPr>
            </w:pPr>
            <w:r>
              <w:rPr>
                <w:noProof/>
              </w:rPr>
              <w:t>NEPIEMĒRO</w:t>
            </w:r>
          </w:p>
        </w:tc>
        <w:tc>
          <w:tcPr>
            <w:tcW w:w="1007" w:type="dxa"/>
            <w:shd w:val="clear" w:color="auto" w:fill="C6EFCE"/>
            <w:noWrap/>
            <w:vAlign w:val="center"/>
            <w:hideMark/>
          </w:tcPr>
          <w:p w14:paraId="4D036370" w14:textId="77777777" w:rsidR="00327FF1" w:rsidRDefault="00E406C7">
            <w:pPr>
              <w:pStyle w:val="P68B1DB1-Normal11"/>
              <w:jc w:val="center"/>
              <w:rPr>
                <w:noProof/>
                <w:szCs w:val="20"/>
              </w:rPr>
            </w:pPr>
            <w:r>
              <w:rPr>
                <w:noProof/>
              </w:rPr>
              <w:t>Skaits</w:t>
            </w:r>
          </w:p>
        </w:tc>
        <w:tc>
          <w:tcPr>
            <w:tcW w:w="1151" w:type="dxa"/>
            <w:shd w:val="clear" w:color="auto" w:fill="C6EFCE"/>
            <w:noWrap/>
            <w:vAlign w:val="center"/>
            <w:hideMark/>
          </w:tcPr>
          <w:p w14:paraId="160AA631" w14:textId="77777777" w:rsidR="00327FF1" w:rsidRDefault="00E406C7">
            <w:pPr>
              <w:pStyle w:val="P68B1DB1-Normal11"/>
              <w:jc w:val="center"/>
              <w:rPr>
                <w:noProof/>
                <w:szCs w:val="20"/>
              </w:rPr>
            </w:pPr>
            <w:r>
              <w:rPr>
                <w:noProof/>
              </w:rPr>
              <w:t>0</w:t>
            </w:r>
          </w:p>
        </w:tc>
        <w:tc>
          <w:tcPr>
            <w:tcW w:w="863" w:type="dxa"/>
            <w:shd w:val="clear" w:color="auto" w:fill="C6EFCE"/>
            <w:noWrap/>
            <w:vAlign w:val="center"/>
            <w:hideMark/>
          </w:tcPr>
          <w:p w14:paraId="31966BDC" w14:textId="77777777" w:rsidR="00327FF1" w:rsidRDefault="00E406C7">
            <w:pPr>
              <w:pStyle w:val="P68B1DB1-Normal12"/>
              <w:jc w:val="center"/>
              <w:rPr>
                <w:noProof/>
              </w:rPr>
            </w:pPr>
            <w:r>
              <w:rPr>
                <w:noProof/>
              </w:rPr>
              <w:t>200</w:t>
            </w:r>
          </w:p>
        </w:tc>
        <w:tc>
          <w:tcPr>
            <w:tcW w:w="862" w:type="dxa"/>
            <w:shd w:val="clear" w:color="auto" w:fill="C6EFCE"/>
            <w:noWrap/>
            <w:vAlign w:val="center"/>
            <w:hideMark/>
          </w:tcPr>
          <w:p w14:paraId="72B4AA64" w14:textId="77777777" w:rsidR="00327FF1" w:rsidRDefault="00E406C7">
            <w:pPr>
              <w:pStyle w:val="P68B1DB1-Normal12"/>
              <w:jc w:val="center"/>
              <w:rPr>
                <w:noProof/>
              </w:rPr>
            </w:pPr>
            <w:r>
              <w:rPr>
                <w:noProof/>
              </w:rPr>
              <w:t>2. CET.</w:t>
            </w:r>
          </w:p>
        </w:tc>
        <w:tc>
          <w:tcPr>
            <w:tcW w:w="719" w:type="dxa"/>
            <w:shd w:val="clear" w:color="auto" w:fill="C6EFCE"/>
            <w:noWrap/>
            <w:vAlign w:val="center"/>
            <w:hideMark/>
          </w:tcPr>
          <w:p w14:paraId="17F9A582" w14:textId="77777777" w:rsidR="00327FF1" w:rsidRDefault="00E406C7">
            <w:pPr>
              <w:pStyle w:val="P68B1DB1-Normal11"/>
              <w:jc w:val="center"/>
              <w:rPr>
                <w:noProof/>
                <w:szCs w:val="20"/>
              </w:rPr>
            </w:pPr>
            <w:r>
              <w:rPr>
                <w:noProof/>
              </w:rPr>
              <w:t>2025</w:t>
            </w:r>
          </w:p>
        </w:tc>
        <w:tc>
          <w:tcPr>
            <w:tcW w:w="2933" w:type="dxa"/>
            <w:shd w:val="clear" w:color="auto" w:fill="C6EFCE"/>
            <w:noWrap/>
            <w:vAlign w:val="center"/>
            <w:hideMark/>
          </w:tcPr>
          <w:p w14:paraId="5F4F2459" w14:textId="7C4A8852" w:rsidR="00327FF1" w:rsidRDefault="00E406C7">
            <w:pPr>
              <w:rPr>
                <w:rFonts w:ascii="Arial Narrow" w:hAnsi="Arial Narrow"/>
                <w:noProof/>
                <w:color w:val="006100"/>
                <w:sz w:val="20"/>
                <w:szCs w:val="20"/>
              </w:rPr>
            </w:pPr>
            <w:r>
              <w:rPr>
                <w:noProof/>
              </w:rPr>
              <w:t xml:space="preserve">Finansējuma </w:t>
            </w:r>
            <w:r>
              <w:rPr>
                <w:rFonts w:ascii="Arial Narrow" w:hAnsi="Arial Narrow"/>
                <w:noProof/>
                <w:color w:val="006100"/>
                <w:sz w:val="20"/>
                <w:szCs w:val="20"/>
              </w:rPr>
              <w:t xml:space="preserve">piešķiršana pētniecības projektiem reto slimību un reto vēža veidu un koncepcijas pamatojuma jomā. </w:t>
            </w:r>
            <w:r>
              <w:rPr>
                <w:noProof/>
              </w:rPr>
              <w:t xml:space="preserve"> </w:t>
            </w:r>
            <w:r>
              <w:rPr>
                <w:noProof/>
              </w:rPr>
              <w:br/>
            </w:r>
            <w:r>
              <w:rPr>
                <w:rFonts w:ascii="Arial Narrow" w:hAnsi="Arial Narrow"/>
                <w:noProof/>
                <w:color w:val="006100"/>
                <w:sz w:val="20"/>
                <w:szCs w:val="20"/>
              </w:rPr>
              <w:t>Finansējumu pētniecības projektiem PoC un retām slimībām un retiem vēža veidiem piešķir, izmantojot atklāta konkursa procedūru.</w:t>
            </w:r>
          </w:p>
          <w:p w14:paraId="7A32460B" w14:textId="77777777" w:rsidR="00327FF1" w:rsidRDefault="00E406C7">
            <w:pPr>
              <w:pStyle w:val="P68B1DB1-Normal12"/>
              <w:rPr>
                <w:noProof/>
              </w:rPr>
            </w:pPr>
            <w:r>
              <w:rPr>
                <w:noProof/>
              </w:rPr>
              <w:t>Vismaz 200 pētniecības proj</w:t>
            </w:r>
            <w:r>
              <w:rPr>
                <w:noProof/>
              </w:rPr>
              <w:t>ektiem ir piešķirta pirmā finansējuma daļa.</w:t>
            </w:r>
          </w:p>
        </w:tc>
      </w:tr>
      <w:tr w:rsidR="00327FF1" w14:paraId="0DAEBDAF" w14:textId="77777777">
        <w:trPr>
          <w:trHeight w:val="309"/>
        </w:trPr>
        <w:tc>
          <w:tcPr>
            <w:tcW w:w="1176" w:type="dxa"/>
            <w:shd w:val="clear" w:color="auto" w:fill="C6EFCE"/>
            <w:noWrap/>
            <w:vAlign w:val="center"/>
          </w:tcPr>
          <w:p w14:paraId="6154E6C3" w14:textId="77777777" w:rsidR="00327FF1" w:rsidRDefault="00E406C7">
            <w:pPr>
              <w:pStyle w:val="P68B1DB1-Normal12"/>
              <w:jc w:val="center"/>
              <w:rPr>
                <w:noProof/>
              </w:rPr>
            </w:pPr>
            <w:r>
              <w:rPr>
                <w:noProof/>
              </w:rPr>
              <w:t>M6C2–3</w:t>
            </w:r>
          </w:p>
        </w:tc>
        <w:tc>
          <w:tcPr>
            <w:tcW w:w="2014" w:type="dxa"/>
            <w:shd w:val="clear" w:color="auto" w:fill="C6EFCE"/>
            <w:noWrap/>
            <w:vAlign w:val="center"/>
          </w:tcPr>
          <w:p w14:paraId="1125A57A" w14:textId="77777777" w:rsidR="00327FF1" w:rsidRDefault="00E406C7">
            <w:pPr>
              <w:pStyle w:val="P68B1DB1-Normal11"/>
              <w:jc w:val="center"/>
              <w:rPr>
                <w:noProof/>
                <w:szCs w:val="20"/>
              </w:rPr>
            </w:pPr>
            <w:r>
              <w:rPr>
                <w:noProof/>
              </w:rPr>
              <w:t>Investīcija 2.1: NHS biomedicīnas pētījumu stiprināšana un uzlabošana</w:t>
            </w:r>
          </w:p>
        </w:tc>
        <w:tc>
          <w:tcPr>
            <w:tcW w:w="1294" w:type="dxa"/>
            <w:shd w:val="clear" w:color="auto" w:fill="C6EFCE"/>
            <w:noWrap/>
            <w:vAlign w:val="center"/>
          </w:tcPr>
          <w:p w14:paraId="6C49FC9B" w14:textId="77777777" w:rsidR="00327FF1" w:rsidRDefault="00E406C7">
            <w:pPr>
              <w:pStyle w:val="P68B1DB1-Normal11"/>
              <w:jc w:val="center"/>
              <w:rPr>
                <w:noProof/>
                <w:szCs w:val="20"/>
              </w:rPr>
            </w:pPr>
            <w:r>
              <w:rPr>
                <w:noProof/>
              </w:rPr>
              <w:t>Mērķa</w:t>
            </w:r>
          </w:p>
        </w:tc>
        <w:tc>
          <w:tcPr>
            <w:tcW w:w="1870" w:type="dxa"/>
            <w:shd w:val="clear" w:color="auto" w:fill="C6EFCE"/>
            <w:noWrap/>
            <w:vAlign w:val="center"/>
          </w:tcPr>
          <w:p w14:paraId="6D6CA47E" w14:textId="77777777" w:rsidR="00327FF1" w:rsidRDefault="00E406C7">
            <w:pPr>
              <w:pStyle w:val="P68B1DB1-Normal11"/>
              <w:jc w:val="center"/>
              <w:rPr>
                <w:noProof/>
                <w:szCs w:val="20"/>
              </w:rPr>
            </w:pPr>
            <w:r>
              <w:rPr>
                <w:noProof/>
              </w:rPr>
              <w:t>Pētniecības projekti, kas finansēti par slimībām, kurām ir liela ietekme uz veselību</w:t>
            </w:r>
          </w:p>
        </w:tc>
        <w:tc>
          <w:tcPr>
            <w:tcW w:w="1726" w:type="dxa"/>
            <w:shd w:val="clear" w:color="auto" w:fill="C6EFCE"/>
            <w:noWrap/>
            <w:vAlign w:val="center"/>
          </w:tcPr>
          <w:p w14:paraId="7BEF5C0C" w14:textId="77777777" w:rsidR="00327FF1" w:rsidRDefault="00E406C7">
            <w:pPr>
              <w:pStyle w:val="P68B1DB1-Normal11"/>
              <w:jc w:val="center"/>
              <w:rPr>
                <w:noProof/>
                <w:szCs w:val="20"/>
              </w:rPr>
            </w:pPr>
            <w:r>
              <w:rPr>
                <w:noProof/>
              </w:rPr>
              <w:t>NEPIEMĒRO</w:t>
            </w:r>
          </w:p>
        </w:tc>
        <w:tc>
          <w:tcPr>
            <w:tcW w:w="1007" w:type="dxa"/>
            <w:shd w:val="clear" w:color="auto" w:fill="C6EFCE"/>
            <w:noWrap/>
            <w:vAlign w:val="center"/>
          </w:tcPr>
          <w:p w14:paraId="28AB3651" w14:textId="77777777" w:rsidR="00327FF1" w:rsidRDefault="00E406C7">
            <w:pPr>
              <w:pStyle w:val="P68B1DB1-Normal11"/>
              <w:jc w:val="center"/>
              <w:rPr>
                <w:noProof/>
                <w:szCs w:val="20"/>
              </w:rPr>
            </w:pPr>
            <w:r>
              <w:rPr>
                <w:noProof/>
              </w:rPr>
              <w:t>Skaits</w:t>
            </w:r>
          </w:p>
        </w:tc>
        <w:tc>
          <w:tcPr>
            <w:tcW w:w="1151" w:type="dxa"/>
            <w:shd w:val="clear" w:color="auto" w:fill="C6EFCE"/>
            <w:noWrap/>
            <w:vAlign w:val="center"/>
          </w:tcPr>
          <w:p w14:paraId="4B4F81F0" w14:textId="77777777" w:rsidR="00327FF1" w:rsidRDefault="00E406C7">
            <w:pPr>
              <w:pStyle w:val="P68B1DB1-Normal11"/>
              <w:jc w:val="center"/>
              <w:rPr>
                <w:noProof/>
                <w:szCs w:val="20"/>
              </w:rPr>
            </w:pPr>
            <w:r>
              <w:rPr>
                <w:noProof/>
              </w:rPr>
              <w:t>0</w:t>
            </w:r>
          </w:p>
        </w:tc>
        <w:tc>
          <w:tcPr>
            <w:tcW w:w="863" w:type="dxa"/>
            <w:shd w:val="clear" w:color="auto" w:fill="C6EFCE"/>
            <w:noWrap/>
            <w:vAlign w:val="center"/>
          </w:tcPr>
          <w:p w14:paraId="4438BD16" w14:textId="77777777" w:rsidR="00327FF1" w:rsidRDefault="00E406C7">
            <w:pPr>
              <w:pStyle w:val="P68B1DB1-Normal11"/>
              <w:jc w:val="center"/>
              <w:rPr>
                <w:noProof/>
                <w:szCs w:val="20"/>
              </w:rPr>
            </w:pPr>
            <w:r>
              <w:rPr>
                <w:noProof/>
              </w:rPr>
              <w:t>324</w:t>
            </w:r>
          </w:p>
        </w:tc>
        <w:tc>
          <w:tcPr>
            <w:tcW w:w="862" w:type="dxa"/>
            <w:shd w:val="clear" w:color="auto" w:fill="C6EFCE"/>
            <w:noWrap/>
            <w:vAlign w:val="center"/>
          </w:tcPr>
          <w:p w14:paraId="4FBADA38" w14:textId="77777777" w:rsidR="00327FF1" w:rsidRDefault="00E406C7">
            <w:pPr>
              <w:pStyle w:val="P68B1DB1-Normal12"/>
              <w:jc w:val="center"/>
              <w:rPr>
                <w:noProof/>
              </w:rPr>
            </w:pPr>
            <w:r>
              <w:rPr>
                <w:noProof/>
              </w:rPr>
              <w:t>2. CET.</w:t>
            </w:r>
          </w:p>
        </w:tc>
        <w:tc>
          <w:tcPr>
            <w:tcW w:w="719" w:type="dxa"/>
            <w:shd w:val="clear" w:color="auto" w:fill="C6EFCE"/>
            <w:noWrap/>
            <w:vAlign w:val="center"/>
          </w:tcPr>
          <w:p w14:paraId="4E527F65" w14:textId="77777777" w:rsidR="00327FF1" w:rsidRDefault="00E406C7">
            <w:pPr>
              <w:pStyle w:val="P68B1DB1-Normal11"/>
              <w:jc w:val="center"/>
              <w:rPr>
                <w:noProof/>
                <w:szCs w:val="20"/>
              </w:rPr>
            </w:pPr>
            <w:r>
              <w:rPr>
                <w:noProof/>
              </w:rPr>
              <w:t>2025</w:t>
            </w:r>
          </w:p>
        </w:tc>
        <w:tc>
          <w:tcPr>
            <w:tcW w:w="2933" w:type="dxa"/>
            <w:shd w:val="clear" w:color="auto" w:fill="C6EFCE"/>
            <w:noWrap/>
            <w:vAlign w:val="center"/>
          </w:tcPr>
          <w:p w14:paraId="4DEE127E" w14:textId="466587B1" w:rsidR="00327FF1" w:rsidRDefault="00E406C7">
            <w:pPr>
              <w:rPr>
                <w:rFonts w:ascii="Arial Narrow" w:hAnsi="Arial Narrow"/>
                <w:noProof/>
                <w:color w:val="006100"/>
                <w:sz w:val="20"/>
                <w:szCs w:val="20"/>
              </w:rPr>
            </w:pPr>
            <w:r>
              <w:rPr>
                <w:rFonts w:ascii="Arial Narrow" w:hAnsi="Arial Narrow"/>
                <w:noProof/>
                <w:color w:val="006100"/>
                <w:sz w:val="20"/>
                <w:szCs w:val="20"/>
              </w:rPr>
              <w:t>Finansējuma piešķiršana pētniecības projektiem tādu slimību jomā, kurām ir liela ietekme uz veselību.</w:t>
            </w:r>
            <w:r>
              <w:rPr>
                <w:rFonts w:ascii="Arial Narrow" w:hAnsi="Arial Narrow"/>
                <w:noProof/>
              </w:rPr>
              <w:t xml:space="preserve"> </w:t>
            </w:r>
            <w:r>
              <w:rPr>
                <w:noProof/>
              </w:rPr>
              <w:t xml:space="preserve"> </w:t>
            </w:r>
            <w:r>
              <w:rPr>
                <w:noProof/>
              </w:rPr>
              <w:br/>
            </w:r>
            <w:r>
              <w:rPr>
                <w:rFonts w:ascii="Arial Narrow" w:hAnsi="Arial Narrow"/>
                <w:noProof/>
                <w:color w:val="006100"/>
                <w:sz w:val="20"/>
                <w:szCs w:val="20"/>
              </w:rPr>
              <w:t>Finansējumu pētniecības projektiem par slimībām, kurām ir liela ietekme uz veselību, piešķir, izmantojot atklāta konkursa procedūru.</w:t>
            </w:r>
          </w:p>
          <w:p w14:paraId="41484C95" w14:textId="77777777" w:rsidR="00327FF1" w:rsidRDefault="00E406C7">
            <w:pPr>
              <w:pStyle w:val="P68B1DB1-Normal12"/>
              <w:rPr>
                <w:noProof/>
              </w:rPr>
            </w:pPr>
            <w:r>
              <w:rPr>
                <w:noProof/>
              </w:rPr>
              <w:t>Vismaz 324 pētniecī</w:t>
            </w:r>
            <w:r>
              <w:rPr>
                <w:noProof/>
              </w:rPr>
              <w:t>bas projektiem ir piešķirta pirmā finansējuma daļa.</w:t>
            </w:r>
          </w:p>
        </w:tc>
      </w:tr>
      <w:tr w:rsidR="00327FF1" w14:paraId="1B55A8A7" w14:textId="77777777">
        <w:trPr>
          <w:trHeight w:val="309"/>
        </w:trPr>
        <w:tc>
          <w:tcPr>
            <w:tcW w:w="11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A092C1" w14:textId="77777777" w:rsidR="00327FF1" w:rsidRDefault="00E406C7">
            <w:pPr>
              <w:pStyle w:val="P68B1DB1-Normal12"/>
              <w:jc w:val="center"/>
              <w:rPr>
                <w:noProof/>
              </w:rPr>
            </w:pPr>
            <w:r>
              <w:rPr>
                <w:noProof/>
              </w:rPr>
              <w:t>M6C2–16</w:t>
            </w:r>
          </w:p>
        </w:tc>
        <w:tc>
          <w:tcPr>
            <w:tcW w:w="20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AD8DF" w14:textId="77777777" w:rsidR="00327FF1" w:rsidRDefault="00E406C7">
            <w:pPr>
              <w:pStyle w:val="P68B1DB1-Normal11"/>
              <w:jc w:val="center"/>
              <w:rPr>
                <w:noProof/>
              </w:rPr>
            </w:pPr>
            <w:r>
              <w:rPr>
                <w:noProof/>
              </w:rPr>
              <w:t>Ieguldījums 2.2.: Veselības aprūpes sistēmas speciālistu tehnisko, profesionālo, digitālo un vadības prasmju attīstīšana</w:t>
            </w:r>
          </w:p>
        </w:tc>
        <w:tc>
          <w:tcPr>
            <w:tcW w:w="129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EA5EC" w14:textId="77777777" w:rsidR="00327FF1" w:rsidRDefault="00E406C7">
            <w:pPr>
              <w:pStyle w:val="P68B1DB1-Normal11"/>
              <w:jc w:val="center"/>
              <w:rPr>
                <w:noProof/>
              </w:rPr>
            </w:pPr>
            <w:r>
              <w:rPr>
                <w:noProof/>
              </w:rPr>
              <w:t>Mērķa</w:t>
            </w:r>
          </w:p>
        </w:tc>
        <w:tc>
          <w:tcPr>
            <w:tcW w:w="18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C03071" w14:textId="77777777" w:rsidR="00327FF1" w:rsidRDefault="00E406C7">
            <w:pPr>
              <w:pStyle w:val="P68B1DB1-Normal11"/>
              <w:jc w:val="center"/>
              <w:rPr>
                <w:noProof/>
              </w:rPr>
            </w:pPr>
            <w:r>
              <w:rPr>
                <w:noProof/>
              </w:rPr>
              <w:t xml:space="preserve">Veselības aprūpes darbinieku apmācība par vadības un digitālajām prasmēm </w:t>
            </w:r>
          </w:p>
        </w:tc>
        <w:tc>
          <w:tcPr>
            <w:tcW w:w="17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0F337E" w14:textId="77777777" w:rsidR="00327FF1" w:rsidRDefault="00E406C7">
            <w:pPr>
              <w:pStyle w:val="P68B1DB1-Normal11"/>
              <w:jc w:val="center"/>
              <w:rPr>
                <w:noProof/>
              </w:rPr>
            </w:pPr>
            <w:r>
              <w:rPr>
                <w:noProof/>
              </w:rPr>
              <w:t>NEPIEMĒRO</w:t>
            </w:r>
          </w:p>
        </w:tc>
        <w:tc>
          <w:tcPr>
            <w:tcW w:w="100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375DD0" w14:textId="77777777" w:rsidR="00327FF1" w:rsidRDefault="00E406C7">
            <w:pPr>
              <w:pStyle w:val="P68B1DB1-Normal11"/>
              <w:jc w:val="center"/>
              <w:rPr>
                <w:noProof/>
              </w:rPr>
            </w:pPr>
            <w:r>
              <w:rPr>
                <w:noProof/>
              </w:rPr>
              <w:t>Skaits</w:t>
            </w:r>
          </w:p>
        </w:tc>
        <w:tc>
          <w:tcPr>
            <w:tcW w:w="11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16C3C4" w14:textId="77777777" w:rsidR="00327FF1" w:rsidRDefault="00E406C7">
            <w:pPr>
              <w:pStyle w:val="P68B1DB1-Normal11"/>
              <w:jc w:val="center"/>
              <w:rPr>
                <w:noProof/>
              </w:rPr>
            </w:pPr>
            <w:r>
              <w:rPr>
                <w:noProof/>
              </w:rPr>
              <w:t>0</w:t>
            </w:r>
          </w:p>
        </w:tc>
        <w:tc>
          <w:tcPr>
            <w:tcW w:w="8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60E974" w14:textId="77777777" w:rsidR="00327FF1" w:rsidRDefault="00E406C7">
            <w:pPr>
              <w:pStyle w:val="P68B1DB1-Normal11"/>
              <w:jc w:val="center"/>
              <w:rPr>
                <w:noProof/>
              </w:rPr>
            </w:pPr>
            <w:r>
              <w:rPr>
                <w:noProof/>
              </w:rPr>
              <w:t>4 500</w:t>
            </w:r>
          </w:p>
        </w:tc>
        <w:tc>
          <w:tcPr>
            <w:tcW w:w="86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E8EA46" w14:textId="77777777" w:rsidR="00327FF1" w:rsidRDefault="00E406C7">
            <w:pPr>
              <w:pStyle w:val="P68B1DB1-Normal12"/>
              <w:jc w:val="center"/>
              <w:rPr>
                <w:noProof/>
              </w:rPr>
            </w:pPr>
            <w:r>
              <w:rPr>
                <w:noProof/>
              </w:rPr>
              <w:t>2. CET.</w:t>
            </w:r>
          </w:p>
        </w:tc>
        <w:tc>
          <w:tcPr>
            <w:tcW w:w="71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703ED1" w14:textId="77777777" w:rsidR="00327FF1" w:rsidRDefault="00E406C7">
            <w:pPr>
              <w:pStyle w:val="P68B1DB1-Normal11"/>
              <w:jc w:val="center"/>
              <w:rPr>
                <w:noProof/>
              </w:rPr>
            </w:pPr>
            <w:r>
              <w:rPr>
                <w:noProof/>
              </w:rPr>
              <w:t>2026</w:t>
            </w:r>
          </w:p>
        </w:tc>
        <w:tc>
          <w:tcPr>
            <w:tcW w:w="29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26CB64" w14:textId="77777777" w:rsidR="00327FF1" w:rsidRDefault="00E406C7">
            <w:pPr>
              <w:pStyle w:val="P68B1DB1-Normal12"/>
              <w:rPr>
                <w:noProof/>
              </w:rPr>
            </w:pPr>
            <w:r>
              <w:rPr>
                <w:noProof/>
              </w:rPr>
              <w:t xml:space="preserve">Sertifikāti par dalību mācību kursos par vadības vai digitālajām prasmēm 4500 Valsts veselības dienesta darbiniekiem. </w:t>
            </w:r>
          </w:p>
        </w:tc>
      </w:tr>
      <w:tr w:rsidR="00327FF1" w14:paraId="0B83B39C" w14:textId="77777777">
        <w:trPr>
          <w:trHeight w:val="309"/>
        </w:trPr>
        <w:tc>
          <w:tcPr>
            <w:tcW w:w="11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33C2BE" w14:textId="77777777" w:rsidR="00327FF1" w:rsidRDefault="00E406C7">
            <w:pPr>
              <w:pStyle w:val="P68B1DB1-Normal12"/>
              <w:jc w:val="center"/>
              <w:rPr>
                <w:noProof/>
              </w:rPr>
            </w:pPr>
            <w:r>
              <w:rPr>
                <w:noProof/>
              </w:rPr>
              <w:t>M6C2–17</w:t>
            </w:r>
          </w:p>
        </w:tc>
        <w:tc>
          <w:tcPr>
            <w:tcW w:w="20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C2D615" w14:textId="77777777" w:rsidR="00327FF1" w:rsidRDefault="00E406C7">
            <w:pPr>
              <w:pStyle w:val="P68B1DB1-Normal11"/>
              <w:jc w:val="center"/>
              <w:rPr>
                <w:noProof/>
              </w:rPr>
            </w:pPr>
            <w:r>
              <w:rPr>
                <w:noProof/>
              </w:rPr>
              <w:t xml:space="preserve">Ieguldījums </w:t>
            </w:r>
            <w:r>
              <w:rPr>
                <w:noProof/>
              </w:rPr>
              <w:t>2.2.: Veselības aprūpes sistēmas speciālistu tehnisko, profesionālo, digitālo un vadības prasmju attīstīšana</w:t>
            </w:r>
          </w:p>
        </w:tc>
        <w:tc>
          <w:tcPr>
            <w:tcW w:w="129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9B9C0C" w14:textId="77777777" w:rsidR="00327FF1" w:rsidRDefault="00E406C7">
            <w:pPr>
              <w:pStyle w:val="P68B1DB1-Normal11"/>
              <w:jc w:val="center"/>
              <w:rPr>
                <w:noProof/>
              </w:rPr>
            </w:pPr>
            <w:r>
              <w:rPr>
                <w:noProof/>
              </w:rPr>
              <w:t>Mērķa</w:t>
            </w:r>
          </w:p>
        </w:tc>
        <w:tc>
          <w:tcPr>
            <w:tcW w:w="18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BE6FF1" w14:textId="4013624C" w:rsidR="00327FF1" w:rsidRDefault="00E406C7">
            <w:pPr>
              <w:pStyle w:val="P68B1DB1-Normal11"/>
              <w:jc w:val="center"/>
              <w:rPr>
                <w:noProof/>
              </w:rPr>
            </w:pPr>
            <w:r>
              <w:rPr>
                <w:noProof/>
              </w:rPr>
              <w:t xml:space="preserve"> Medicīnas speciālistu apmācības līgumu piešķiršana</w:t>
            </w:r>
          </w:p>
        </w:tc>
        <w:tc>
          <w:tcPr>
            <w:tcW w:w="17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96CDB" w14:textId="77777777" w:rsidR="00327FF1" w:rsidRDefault="00E406C7">
            <w:pPr>
              <w:pStyle w:val="P68B1DB1-Normal11"/>
              <w:jc w:val="center"/>
              <w:rPr>
                <w:noProof/>
              </w:rPr>
            </w:pPr>
            <w:r>
              <w:rPr>
                <w:noProof/>
              </w:rPr>
              <w:t>NEPIEMĒRO</w:t>
            </w:r>
          </w:p>
        </w:tc>
        <w:tc>
          <w:tcPr>
            <w:tcW w:w="100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31F482" w14:textId="77777777" w:rsidR="00327FF1" w:rsidRDefault="00E406C7">
            <w:pPr>
              <w:pStyle w:val="P68B1DB1-Normal11"/>
              <w:jc w:val="center"/>
              <w:rPr>
                <w:noProof/>
              </w:rPr>
            </w:pPr>
            <w:r>
              <w:rPr>
                <w:noProof/>
              </w:rPr>
              <w:t>Skaits</w:t>
            </w:r>
          </w:p>
        </w:tc>
        <w:tc>
          <w:tcPr>
            <w:tcW w:w="11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7E0F19" w14:textId="77777777" w:rsidR="00327FF1" w:rsidRDefault="00E406C7">
            <w:pPr>
              <w:pStyle w:val="P68B1DB1-Normal11"/>
              <w:jc w:val="center"/>
              <w:rPr>
                <w:noProof/>
              </w:rPr>
            </w:pPr>
            <w:r>
              <w:rPr>
                <w:noProof/>
              </w:rPr>
              <w:t>0</w:t>
            </w:r>
          </w:p>
        </w:tc>
        <w:tc>
          <w:tcPr>
            <w:tcW w:w="8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15ECE6" w14:textId="77777777" w:rsidR="00327FF1" w:rsidRDefault="00E406C7">
            <w:pPr>
              <w:pStyle w:val="P68B1DB1-Normal11"/>
              <w:jc w:val="center"/>
              <w:rPr>
                <w:noProof/>
              </w:rPr>
            </w:pPr>
            <w:r>
              <w:rPr>
                <w:noProof/>
              </w:rPr>
              <w:t>4 200</w:t>
            </w:r>
          </w:p>
        </w:tc>
        <w:tc>
          <w:tcPr>
            <w:tcW w:w="86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2E23F3" w14:textId="77777777" w:rsidR="00327FF1" w:rsidRDefault="00E406C7">
            <w:pPr>
              <w:pStyle w:val="P68B1DB1-Normal12"/>
              <w:jc w:val="center"/>
              <w:rPr>
                <w:noProof/>
              </w:rPr>
            </w:pPr>
            <w:r>
              <w:rPr>
                <w:noProof/>
              </w:rPr>
              <w:t>2. CET.</w:t>
            </w:r>
          </w:p>
        </w:tc>
        <w:tc>
          <w:tcPr>
            <w:tcW w:w="71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25E671" w14:textId="77777777" w:rsidR="00327FF1" w:rsidRDefault="00E406C7">
            <w:pPr>
              <w:pStyle w:val="P68B1DB1-Normal11"/>
              <w:jc w:val="center"/>
              <w:rPr>
                <w:noProof/>
              </w:rPr>
            </w:pPr>
            <w:r>
              <w:rPr>
                <w:noProof/>
              </w:rPr>
              <w:t>2026</w:t>
            </w:r>
          </w:p>
        </w:tc>
        <w:tc>
          <w:tcPr>
            <w:tcW w:w="29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062344" w14:textId="42AEE503" w:rsidR="00327FF1" w:rsidRDefault="00E406C7">
            <w:pPr>
              <w:pStyle w:val="P68B1DB1-Normal12"/>
              <w:rPr>
                <w:noProof/>
              </w:rPr>
            </w:pPr>
            <w:r>
              <w:rPr>
                <w:noProof/>
              </w:rPr>
              <w:t>4200 ārsta speciālista apmācības līgumu piešķiršana</w:t>
            </w:r>
            <w:r>
              <w:rPr>
                <w:noProof/>
              </w:rPr>
              <w:t xml:space="preserve"> uz pieciem gadiem</w:t>
            </w:r>
          </w:p>
        </w:tc>
      </w:tr>
    </w:tbl>
    <w:p w14:paraId="03AF95FB" w14:textId="77777777" w:rsidR="00327FF1" w:rsidRDefault="00327FF1">
      <w:pPr>
        <w:spacing w:before="120" w:after="120"/>
        <w:ind w:left="709"/>
        <w:jc w:val="both"/>
        <w:rPr>
          <w:noProof/>
        </w:rPr>
      </w:pPr>
    </w:p>
    <w:p w14:paraId="02196287" w14:textId="77777777" w:rsidR="00327FF1" w:rsidRDefault="00327FF1">
      <w:pPr>
        <w:spacing w:before="120" w:after="120"/>
        <w:ind w:left="709"/>
        <w:jc w:val="both"/>
        <w:rPr>
          <w:noProof/>
        </w:rPr>
        <w:sectPr w:rsidR="00327FF1" w:rsidSect="005F11B9">
          <w:headerReference w:type="even" r:id="rId298"/>
          <w:headerReference w:type="default" r:id="rId299"/>
          <w:footerReference w:type="even" r:id="rId300"/>
          <w:footerReference w:type="default" r:id="rId301"/>
          <w:headerReference w:type="first" r:id="rId302"/>
          <w:footerReference w:type="first" r:id="rId303"/>
          <w:pgSz w:w="16839" w:h="11907" w:orient="landscape"/>
          <w:pgMar w:top="720" w:right="720" w:bottom="720" w:left="720" w:header="709" w:footer="709" w:gutter="0"/>
          <w:cols w:space="720"/>
          <w:docGrid w:linePitch="360"/>
        </w:sectPr>
      </w:pPr>
    </w:p>
    <w:p w14:paraId="22E58C31" w14:textId="77777777" w:rsidR="00327FF1" w:rsidRDefault="00E406C7">
      <w:pPr>
        <w:pStyle w:val="P68B1DB1-Heading39"/>
        <w:ind w:left="850" w:hanging="850"/>
        <w:rPr>
          <w:b/>
          <w:bCs/>
          <w:i/>
          <w:iCs/>
          <w:noProof/>
          <w:color w:val="156082" w:themeColor="accent1"/>
          <w:u w:val="single"/>
        </w:rPr>
      </w:pPr>
      <w:r>
        <w:rPr>
          <w:b/>
          <w:noProof/>
          <w:u w:val="single"/>
        </w:rPr>
        <w:t xml:space="preserve">P.3. </w:t>
      </w:r>
      <w:r>
        <w:rPr>
          <w:noProof/>
        </w:rPr>
        <w:t xml:space="preserve"> </w:t>
      </w:r>
      <w:r>
        <w:rPr>
          <w:b/>
          <w:noProof/>
          <w:u w:val="single"/>
        </w:rPr>
        <w:t xml:space="preserve">Aizdevumam pieteikto reformu un investīciju apraksts </w:t>
      </w:r>
    </w:p>
    <w:p w14:paraId="5B4001A7" w14:textId="77777777" w:rsidR="00327FF1" w:rsidRDefault="00E406C7">
      <w:pPr>
        <w:pStyle w:val="P68B1DB1-Normal5"/>
        <w:spacing w:before="120" w:after="120"/>
        <w:jc w:val="both"/>
        <w:rPr>
          <w:noProof/>
        </w:rPr>
      </w:pPr>
      <w:r>
        <w:rPr>
          <w:noProof/>
        </w:rPr>
        <w:t>Investīcija 1.1: Slimnīcu tehnoloģiskā aprīkojuma digitālā atjaunināšana</w:t>
      </w:r>
    </w:p>
    <w:p w14:paraId="418C49F2" w14:textId="77777777" w:rsidR="00327FF1" w:rsidRDefault="00E406C7">
      <w:pPr>
        <w:pStyle w:val="P68B1DB1-Normal7"/>
        <w:spacing w:before="120" w:after="120"/>
        <w:jc w:val="both"/>
        <w:rPr>
          <w:noProof/>
        </w:rPr>
      </w:pPr>
      <w:r>
        <w:rPr>
          <w:noProof/>
        </w:rPr>
        <w:t xml:space="preserve">Pasākuma mērķis ir uzlabot veselības aprūpes darbinieku produktivitāti, uzlabot procesu kvalitāti, nodrošināt pacientu drošību un kvalitatīvu pakalpojumu sniegšanu. </w:t>
      </w:r>
    </w:p>
    <w:p w14:paraId="3DFDA06E" w14:textId="77777777" w:rsidR="00327FF1" w:rsidRDefault="00E406C7">
      <w:pPr>
        <w:pStyle w:val="P68B1DB1-Normal7"/>
        <w:spacing w:before="120" w:after="120"/>
        <w:jc w:val="both"/>
        <w:rPr>
          <w:bCs/>
          <w:iCs/>
          <w:noProof/>
        </w:rPr>
      </w:pPr>
      <w:r>
        <w:rPr>
          <w:noProof/>
        </w:rPr>
        <w:t>Investīcija ietver liela veselības aprūpes aprīkojuma modernizāciju, slimnīcu procesu info</w:t>
      </w:r>
      <w:r>
        <w:rPr>
          <w:noProof/>
        </w:rPr>
        <w:t>rmēšanu ar pirmā un otrā līmeņa neatliekamās palīdzības departamentu (“Dipartimenti Emergenza e Accettazione”, DEA) un gultu skaita pieaugumu intensīvās un daļēji intensīvās aprūpes nodaļās Valsts veselības dienesta slimnīcās.</w:t>
      </w:r>
    </w:p>
    <w:p w14:paraId="46007BCB" w14:textId="77777777" w:rsidR="00327FF1" w:rsidRDefault="00E406C7">
      <w:pPr>
        <w:pStyle w:val="P68B1DB1-Normal5"/>
        <w:spacing w:before="120" w:after="120"/>
        <w:jc w:val="both"/>
        <w:rPr>
          <w:noProof/>
        </w:rPr>
      </w:pPr>
      <w:r>
        <w:rPr>
          <w:noProof/>
        </w:rPr>
        <w:t>Ieguldījums 1.2. Ceļā uz droš</w:t>
      </w:r>
      <w:r>
        <w:rPr>
          <w:noProof/>
        </w:rPr>
        <w:t>u un ilgtspējīgu slimnīcu</w:t>
      </w:r>
    </w:p>
    <w:p w14:paraId="1B9A00CD" w14:textId="4A94710A" w:rsidR="00327FF1" w:rsidRDefault="00E406C7">
      <w:pPr>
        <w:pStyle w:val="P68B1DB1-Normal7"/>
        <w:spacing w:before="120" w:after="120"/>
        <w:jc w:val="both"/>
        <w:rPr>
          <w:noProof/>
        </w:rPr>
      </w:pPr>
      <w:r>
        <w:rPr>
          <w:noProof/>
        </w:rPr>
        <w:t>Šā pasākuma mērķis ir palielināt slimnīcu drošību, veicot seismiskās modernizācijas pasākumus slimnīcās un vairāku gadu intervenci, lai atjaunotu un modernizētu sabiedrības veselības nekustamā īpašuma fizisko un tehnoloģisko satva</w:t>
      </w:r>
      <w:r>
        <w:rPr>
          <w:noProof/>
        </w:rPr>
        <w:t>ru.</w:t>
      </w:r>
    </w:p>
    <w:p w14:paraId="7E1D7B15" w14:textId="77777777" w:rsidR="00327FF1" w:rsidRDefault="00E406C7">
      <w:pPr>
        <w:pStyle w:val="P68B1DB1-Normal5"/>
        <w:spacing w:before="120" w:after="120" w:line="278" w:lineRule="auto"/>
        <w:jc w:val="both"/>
        <w:rPr>
          <w:noProof/>
        </w:rPr>
      </w:pPr>
      <w:r>
        <w:rPr>
          <w:noProof/>
        </w:rPr>
        <w:t>Investīcija Nr. 1.3. Tehnoloģiskās infrastruktūras un datu vākšanas, datu apstrādes, datu analīzes un simulācijas rīku stiprināšana</w:t>
      </w:r>
    </w:p>
    <w:p w14:paraId="4C07C0D3" w14:textId="3BC17B61" w:rsidR="00327FF1" w:rsidRDefault="00E406C7">
      <w:pPr>
        <w:pStyle w:val="P68B1DB1-Normal7"/>
        <w:spacing w:before="120" w:after="120"/>
        <w:jc w:val="both"/>
        <w:rPr>
          <w:noProof/>
          <w:u w:val="single"/>
        </w:rPr>
      </w:pPr>
      <w:r>
        <w:rPr>
          <w:noProof/>
        </w:rPr>
        <w:t>Šā pasākuma mērķis ir uzlabot Itālijas VHS aprūpes sniegšanu, veselības aprūpes analītiku un prognozēšanas spējas. Inves</w:t>
      </w:r>
      <w:r>
        <w:rPr>
          <w:noProof/>
        </w:rPr>
        <w:t>tīcija ietver infrastruktūras nodrošināšanu un esošo e-veselības pacienta karšu (EVPK) izmantošanu, kā arī Veselības ministrijas infrastruktūras un tehnoloģisko un analītisko instrumentu stiprināšanu.</w:t>
      </w:r>
    </w:p>
    <w:p w14:paraId="607D4394" w14:textId="77777777" w:rsidR="00327FF1" w:rsidRDefault="00E406C7">
      <w:pPr>
        <w:pStyle w:val="P68B1DB1-Normal5"/>
        <w:spacing w:before="120" w:after="120"/>
        <w:jc w:val="both"/>
        <w:rPr>
          <w:iCs/>
          <w:noProof/>
        </w:rPr>
      </w:pPr>
      <w:r>
        <w:rPr>
          <w:noProof/>
        </w:rPr>
        <w:t>Ieguldījums 2.2.: Veselības aprūpes sistēmas speciālist</w:t>
      </w:r>
      <w:r>
        <w:rPr>
          <w:noProof/>
        </w:rPr>
        <w:t>u tehnisko, profesionālo, digitālo un vadības prasmju attīstīšana</w:t>
      </w:r>
    </w:p>
    <w:p w14:paraId="694154A4" w14:textId="77777777" w:rsidR="00327FF1" w:rsidRDefault="00E406C7">
      <w:pPr>
        <w:pStyle w:val="P68B1DB1-Normal7"/>
        <w:spacing w:before="120" w:after="120"/>
        <w:jc w:val="both"/>
        <w:rPr>
          <w:noProof/>
        </w:rPr>
      </w:pPr>
      <w:r>
        <w:rPr>
          <w:noProof/>
        </w:rPr>
        <w:t>Šis ieguldījums ietver stipendiju palielināšanu konkrētiem vispārējās medicīnas kursiem; visam NHS personālam izstrādāt apmācības plānu par drošību slimnīcu infekciju jomā; aktivizēt apmācīb</w:t>
      </w:r>
      <w:r>
        <w:rPr>
          <w:noProof/>
        </w:rPr>
        <w:t>as ceļu darbiniekiem, kuriem VHS struktūrās ir vadošās lomas vadības un digitālajās prasmēs, un finansēt specializētas medicīniskās apmācības līgumus.</w:t>
      </w:r>
    </w:p>
    <w:p w14:paraId="4096784E" w14:textId="77777777" w:rsidR="00327FF1" w:rsidRDefault="00327FF1">
      <w:pPr>
        <w:spacing w:before="120" w:after="120"/>
        <w:jc w:val="both"/>
        <w:rPr>
          <w:rFonts w:ascii="Times New Roman" w:hAnsi="Times New Roman" w:cs="Times New Roman"/>
          <w:noProof/>
        </w:rPr>
        <w:sectPr w:rsidR="00327FF1" w:rsidSect="005F11B9">
          <w:headerReference w:type="even" r:id="rId304"/>
          <w:headerReference w:type="default" r:id="rId305"/>
          <w:footerReference w:type="even" r:id="rId306"/>
          <w:footerReference w:type="default" r:id="rId307"/>
          <w:headerReference w:type="first" r:id="rId308"/>
          <w:footerReference w:type="first" r:id="rId309"/>
          <w:pgSz w:w="11907" w:h="16839"/>
          <w:pgMar w:top="1134" w:right="1417" w:bottom="1134" w:left="1417" w:header="709" w:footer="709" w:gutter="0"/>
          <w:cols w:space="720"/>
          <w:docGrid w:linePitch="360"/>
        </w:sectPr>
      </w:pPr>
    </w:p>
    <w:p w14:paraId="6792259F" w14:textId="77777777" w:rsidR="00327FF1" w:rsidRDefault="00E406C7">
      <w:pPr>
        <w:pStyle w:val="P68B1DB1-Heading39"/>
        <w:ind w:left="850" w:hanging="850"/>
        <w:rPr>
          <w:b/>
          <w:bCs/>
          <w:i/>
          <w:iCs/>
          <w:noProof/>
          <w:u w:val="single"/>
        </w:rPr>
      </w:pPr>
      <w:r>
        <w:rPr>
          <w:b/>
          <w:noProof/>
          <w:u w:val="single"/>
        </w:rPr>
        <w:t xml:space="preserve">P.4. </w:t>
      </w:r>
      <w:r>
        <w:rPr>
          <w:noProof/>
        </w:rPr>
        <w:t xml:space="preserve"> </w:t>
      </w:r>
      <w:r>
        <w:rPr>
          <w:b/>
          <w:noProof/>
          <w:u w:val="single"/>
        </w:rPr>
        <w:t xml:space="preserve">Atskaites punkti, mērķrādītāji, citi rādītāji un aizdevuma uzraudzības un īstenošanas grafiks </w:t>
      </w:r>
    </w:p>
    <w:tbl>
      <w:tblPr>
        <w:tblW w:w="53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1418"/>
        <w:gridCol w:w="1134"/>
        <w:gridCol w:w="1559"/>
        <w:gridCol w:w="1701"/>
        <w:gridCol w:w="1276"/>
        <w:gridCol w:w="1134"/>
        <w:gridCol w:w="1276"/>
        <w:gridCol w:w="865"/>
        <w:gridCol w:w="721"/>
        <w:gridCol w:w="2881"/>
      </w:tblGrid>
      <w:tr w:rsidR="00327FF1" w14:paraId="10063AAD" w14:textId="77777777">
        <w:trPr>
          <w:trHeight w:val="939"/>
          <w:tblHeader/>
          <w:jc w:val="center"/>
        </w:trPr>
        <w:tc>
          <w:tcPr>
            <w:tcW w:w="1140" w:type="dxa"/>
            <w:vMerge w:val="restart"/>
            <w:shd w:val="clear" w:color="auto" w:fill="BDD7EE"/>
            <w:vAlign w:val="center"/>
            <w:hideMark/>
          </w:tcPr>
          <w:p w14:paraId="6CBA2411" w14:textId="77777777" w:rsidR="00327FF1" w:rsidRDefault="00E406C7">
            <w:pPr>
              <w:pStyle w:val="P68B1DB1-Normal10"/>
              <w:spacing w:before="120" w:after="120"/>
              <w:jc w:val="center"/>
              <w:rPr>
                <w:noProof/>
                <w:szCs w:val="20"/>
              </w:rPr>
            </w:pPr>
            <w:r>
              <w:rPr>
                <w:noProof/>
              </w:rPr>
              <w:t>Kārtas numurs</w:t>
            </w:r>
          </w:p>
        </w:tc>
        <w:tc>
          <w:tcPr>
            <w:tcW w:w="1418" w:type="dxa"/>
            <w:vMerge w:val="restart"/>
            <w:shd w:val="clear" w:color="auto" w:fill="BDD7EE"/>
            <w:vAlign w:val="center"/>
            <w:hideMark/>
          </w:tcPr>
          <w:p w14:paraId="3C06A22D" w14:textId="77777777" w:rsidR="00327FF1" w:rsidRDefault="00E406C7">
            <w:pPr>
              <w:pStyle w:val="P68B1DB1-Normal10"/>
              <w:spacing w:before="120" w:after="120"/>
              <w:jc w:val="center"/>
              <w:rPr>
                <w:noProof/>
                <w:szCs w:val="20"/>
              </w:rPr>
            </w:pPr>
            <w:r>
              <w:rPr>
                <w:noProof/>
              </w:rPr>
              <w:t>Saistītais pasākums (reforma vai ieguldījums)</w:t>
            </w:r>
          </w:p>
        </w:tc>
        <w:tc>
          <w:tcPr>
            <w:tcW w:w="1134" w:type="dxa"/>
            <w:vMerge w:val="restart"/>
            <w:shd w:val="clear" w:color="auto" w:fill="BDD7EE"/>
            <w:vAlign w:val="center"/>
            <w:hideMark/>
          </w:tcPr>
          <w:p w14:paraId="658877E1" w14:textId="77777777" w:rsidR="00327FF1" w:rsidRDefault="00E406C7">
            <w:pPr>
              <w:pStyle w:val="P68B1DB1-Normal10"/>
              <w:spacing w:before="120" w:after="120"/>
              <w:jc w:val="center"/>
              <w:rPr>
                <w:noProof/>
                <w:szCs w:val="20"/>
              </w:rPr>
            </w:pPr>
            <w:r>
              <w:rPr>
                <w:noProof/>
              </w:rPr>
              <w:t>Atskaites punkts/mērķrādītājs</w:t>
            </w:r>
          </w:p>
        </w:tc>
        <w:tc>
          <w:tcPr>
            <w:tcW w:w="1559" w:type="dxa"/>
            <w:vMerge w:val="restart"/>
            <w:shd w:val="clear" w:color="auto" w:fill="BDD7EE"/>
            <w:vAlign w:val="center"/>
            <w:hideMark/>
          </w:tcPr>
          <w:p w14:paraId="3F6BE348" w14:textId="77777777" w:rsidR="00327FF1" w:rsidRDefault="00E406C7">
            <w:pPr>
              <w:pStyle w:val="P68B1DB1-Normal10"/>
              <w:spacing w:before="120" w:after="120"/>
              <w:jc w:val="center"/>
              <w:rPr>
                <w:noProof/>
                <w:szCs w:val="20"/>
              </w:rPr>
            </w:pPr>
            <w:r>
              <w:rPr>
                <w:noProof/>
              </w:rPr>
              <w:t>Nosaukums</w:t>
            </w:r>
          </w:p>
        </w:tc>
        <w:tc>
          <w:tcPr>
            <w:tcW w:w="1701" w:type="dxa"/>
            <w:vMerge w:val="restart"/>
            <w:shd w:val="clear" w:color="auto" w:fill="BDD7EE"/>
            <w:vAlign w:val="center"/>
            <w:hideMark/>
          </w:tcPr>
          <w:p w14:paraId="28FB1441" w14:textId="77777777" w:rsidR="00327FF1" w:rsidRDefault="00E406C7">
            <w:pPr>
              <w:spacing w:before="120" w:after="120"/>
              <w:jc w:val="center"/>
              <w:rPr>
                <w:rFonts w:ascii="Arial Narrow" w:hAnsi="Arial Narrow"/>
                <w:b/>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3686" w:type="dxa"/>
            <w:gridSpan w:val="3"/>
            <w:shd w:val="clear" w:color="auto" w:fill="BDD7EE"/>
            <w:vAlign w:val="center"/>
            <w:hideMark/>
          </w:tcPr>
          <w:p w14:paraId="4344C5F3" w14:textId="77777777" w:rsidR="00327FF1" w:rsidRDefault="00E406C7">
            <w:pPr>
              <w:spacing w:before="120" w:after="120"/>
              <w:jc w:val="center"/>
              <w:rPr>
                <w:rFonts w:ascii="Arial Narrow" w:hAnsi="Arial Narrow"/>
                <w:b/>
                <w:noProof/>
                <w:sz w:val="20"/>
                <w:szCs w:val="20"/>
              </w:rPr>
            </w:pPr>
            <w:r>
              <w:rPr>
                <w:rFonts w:ascii="Arial Narrow" w:hAnsi="Arial Narrow"/>
                <w:b/>
                <w:noProof/>
                <w:sz w:val="20"/>
              </w:rPr>
              <w:t>Kvantit</w:t>
            </w:r>
            <w:r>
              <w:rPr>
                <w:rFonts w:ascii="Arial Narrow" w:hAnsi="Arial Narrow"/>
                <w:b/>
                <w:noProof/>
                <w:sz w:val="20"/>
              </w:rPr>
              <w:t>atīvie rādītāji</w:t>
            </w:r>
            <w:r>
              <w:rPr>
                <w:noProof/>
              </w:rPr>
              <w:br/>
            </w:r>
            <w:r>
              <w:rPr>
                <w:rFonts w:ascii="Arial Narrow" w:hAnsi="Arial Narrow"/>
                <w:b/>
                <w:noProof/>
                <w:sz w:val="20"/>
              </w:rPr>
              <w:t>(mērķiem)</w:t>
            </w:r>
          </w:p>
        </w:tc>
        <w:tc>
          <w:tcPr>
            <w:tcW w:w="1586" w:type="dxa"/>
            <w:gridSpan w:val="2"/>
            <w:shd w:val="clear" w:color="auto" w:fill="BDD7EE"/>
            <w:vAlign w:val="center"/>
            <w:hideMark/>
          </w:tcPr>
          <w:p w14:paraId="406AC7EE" w14:textId="77777777" w:rsidR="00327FF1" w:rsidRDefault="00E406C7">
            <w:pPr>
              <w:pStyle w:val="P68B1DB1-Normal10"/>
              <w:spacing w:before="120" w:after="120"/>
              <w:jc w:val="center"/>
              <w:rPr>
                <w:noProof/>
                <w:szCs w:val="20"/>
              </w:rPr>
            </w:pPr>
            <w:r>
              <w:rPr>
                <w:noProof/>
              </w:rPr>
              <w:t>Orientējošs pabeigšanas termiņš</w:t>
            </w:r>
          </w:p>
        </w:tc>
        <w:tc>
          <w:tcPr>
            <w:tcW w:w="2881" w:type="dxa"/>
            <w:vMerge w:val="restart"/>
            <w:shd w:val="clear" w:color="auto" w:fill="BDD7EE"/>
            <w:vAlign w:val="center"/>
            <w:hideMark/>
          </w:tcPr>
          <w:p w14:paraId="5B84C855" w14:textId="77777777" w:rsidR="00327FF1" w:rsidRDefault="00E406C7">
            <w:pPr>
              <w:pStyle w:val="P68B1DB1-Normal10"/>
              <w:spacing w:before="120" w:after="120"/>
              <w:jc w:val="center"/>
              <w:rPr>
                <w:noProof/>
                <w:szCs w:val="20"/>
              </w:rPr>
            </w:pPr>
            <w:r>
              <w:rPr>
                <w:noProof/>
              </w:rPr>
              <w:t>Apraksts par katru atskaites punktu un mērķrādītāju</w:t>
            </w:r>
          </w:p>
        </w:tc>
      </w:tr>
      <w:tr w:rsidR="00327FF1" w14:paraId="259553DC" w14:textId="77777777">
        <w:trPr>
          <w:trHeight w:val="883"/>
          <w:tblHeader/>
          <w:jc w:val="center"/>
        </w:trPr>
        <w:tc>
          <w:tcPr>
            <w:tcW w:w="1140" w:type="dxa"/>
            <w:vMerge/>
            <w:vAlign w:val="center"/>
            <w:hideMark/>
          </w:tcPr>
          <w:p w14:paraId="5A05B17F" w14:textId="77777777" w:rsidR="00327FF1" w:rsidRDefault="00327FF1">
            <w:pPr>
              <w:spacing w:before="120" w:after="120"/>
              <w:jc w:val="center"/>
              <w:rPr>
                <w:rFonts w:ascii="Arial Narrow" w:hAnsi="Arial Narrow"/>
                <w:b/>
                <w:noProof/>
                <w:sz w:val="20"/>
                <w:szCs w:val="20"/>
              </w:rPr>
            </w:pPr>
          </w:p>
        </w:tc>
        <w:tc>
          <w:tcPr>
            <w:tcW w:w="1418" w:type="dxa"/>
            <w:vMerge/>
            <w:vAlign w:val="center"/>
            <w:hideMark/>
          </w:tcPr>
          <w:p w14:paraId="27774D40" w14:textId="77777777" w:rsidR="00327FF1" w:rsidRDefault="00327FF1">
            <w:pPr>
              <w:spacing w:before="120" w:after="120"/>
              <w:jc w:val="center"/>
              <w:rPr>
                <w:rFonts w:ascii="Arial Narrow" w:hAnsi="Arial Narrow"/>
                <w:b/>
                <w:noProof/>
                <w:sz w:val="20"/>
                <w:szCs w:val="20"/>
              </w:rPr>
            </w:pPr>
          </w:p>
        </w:tc>
        <w:tc>
          <w:tcPr>
            <w:tcW w:w="1134" w:type="dxa"/>
            <w:vMerge/>
            <w:vAlign w:val="center"/>
            <w:hideMark/>
          </w:tcPr>
          <w:p w14:paraId="26DB4A3F" w14:textId="77777777" w:rsidR="00327FF1" w:rsidRDefault="00327FF1">
            <w:pPr>
              <w:spacing w:before="120" w:after="120"/>
              <w:jc w:val="center"/>
              <w:rPr>
                <w:rFonts w:ascii="Arial Narrow" w:hAnsi="Arial Narrow"/>
                <w:b/>
                <w:noProof/>
                <w:sz w:val="20"/>
                <w:szCs w:val="20"/>
              </w:rPr>
            </w:pPr>
          </w:p>
        </w:tc>
        <w:tc>
          <w:tcPr>
            <w:tcW w:w="1559" w:type="dxa"/>
            <w:vMerge/>
            <w:vAlign w:val="center"/>
            <w:hideMark/>
          </w:tcPr>
          <w:p w14:paraId="45BC1CFE" w14:textId="77777777" w:rsidR="00327FF1" w:rsidRDefault="00327FF1">
            <w:pPr>
              <w:spacing w:before="120" w:after="120"/>
              <w:jc w:val="center"/>
              <w:rPr>
                <w:rFonts w:ascii="Arial Narrow" w:hAnsi="Arial Narrow"/>
                <w:b/>
                <w:noProof/>
                <w:sz w:val="20"/>
                <w:szCs w:val="20"/>
              </w:rPr>
            </w:pPr>
          </w:p>
        </w:tc>
        <w:tc>
          <w:tcPr>
            <w:tcW w:w="1701" w:type="dxa"/>
            <w:vMerge/>
            <w:vAlign w:val="center"/>
            <w:hideMark/>
          </w:tcPr>
          <w:p w14:paraId="5CB10866" w14:textId="77777777" w:rsidR="00327FF1" w:rsidRDefault="00327FF1">
            <w:pPr>
              <w:spacing w:before="120" w:after="120"/>
              <w:jc w:val="center"/>
              <w:rPr>
                <w:rFonts w:ascii="Arial Narrow" w:hAnsi="Arial Narrow"/>
                <w:b/>
                <w:noProof/>
                <w:sz w:val="20"/>
                <w:szCs w:val="20"/>
              </w:rPr>
            </w:pPr>
          </w:p>
        </w:tc>
        <w:tc>
          <w:tcPr>
            <w:tcW w:w="1276" w:type="dxa"/>
            <w:shd w:val="clear" w:color="auto" w:fill="BDD7EE"/>
            <w:vAlign w:val="center"/>
            <w:hideMark/>
          </w:tcPr>
          <w:p w14:paraId="0E9C1FE1" w14:textId="77777777" w:rsidR="00327FF1" w:rsidRDefault="00E406C7">
            <w:pPr>
              <w:pStyle w:val="P68B1DB1-Normal10"/>
              <w:spacing w:before="120" w:after="120"/>
              <w:jc w:val="center"/>
              <w:rPr>
                <w:noProof/>
                <w:szCs w:val="20"/>
              </w:rPr>
            </w:pPr>
            <w:r>
              <w:rPr>
                <w:noProof/>
              </w:rPr>
              <w:t>Mēra vienība</w:t>
            </w:r>
          </w:p>
        </w:tc>
        <w:tc>
          <w:tcPr>
            <w:tcW w:w="1134" w:type="dxa"/>
            <w:shd w:val="clear" w:color="auto" w:fill="BDD7EE"/>
            <w:vAlign w:val="center"/>
            <w:hideMark/>
          </w:tcPr>
          <w:p w14:paraId="167FA0A8" w14:textId="77777777" w:rsidR="00327FF1" w:rsidRDefault="00E406C7">
            <w:pPr>
              <w:pStyle w:val="P68B1DB1-Normal10"/>
              <w:spacing w:before="120" w:after="120"/>
              <w:jc w:val="center"/>
              <w:rPr>
                <w:noProof/>
                <w:szCs w:val="20"/>
              </w:rPr>
            </w:pPr>
            <w:r>
              <w:rPr>
                <w:noProof/>
              </w:rPr>
              <w:t>Pamatscenārijs</w:t>
            </w:r>
          </w:p>
        </w:tc>
        <w:tc>
          <w:tcPr>
            <w:tcW w:w="1276" w:type="dxa"/>
            <w:shd w:val="clear" w:color="auto" w:fill="BDD7EE"/>
            <w:vAlign w:val="center"/>
            <w:hideMark/>
          </w:tcPr>
          <w:p w14:paraId="3942FD10" w14:textId="77777777" w:rsidR="00327FF1" w:rsidRDefault="00E406C7">
            <w:pPr>
              <w:pStyle w:val="P68B1DB1-Normal10"/>
              <w:spacing w:before="120" w:after="120"/>
              <w:jc w:val="center"/>
              <w:rPr>
                <w:noProof/>
                <w:szCs w:val="20"/>
              </w:rPr>
            </w:pPr>
            <w:r>
              <w:rPr>
                <w:noProof/>
              </w:rPr>
              <w:t>Mērķis</w:t>
            </w:r>
          </w:p>
        </w:tc>
        <w:tc>
          <w:tcPr>
            <w:tcW w:w="865" w:type="dxa"/>
            <w:shd w:val="clear" w:color="auto" w:fill="BDD7EE"/>
            <w:vAlign w:val="center"/>
            <w:hideMark/>
          </w:tcPr>
          <w:p w14:paraId="59F312D9" w14:textId="77777777" w:rsidR="00327FF1" w:rsidRDefault="00E406C7">
            <w:pPr>
              <w:pStyle w:val="P68B1DB1-Normal10"/>
              <w:spacing w:before="120" w:after="120"/>
              <w:jc w:val="center"/>
              <w:rPr>
                <w:noProof/>
                <w:szCs w:val="20"/>
              </w:rPr>
            </w:pPr>
            <w:r>
              <w:rPr>
                <w:noProof/>
              </w:rPr>
              <w:t>Ceturkšņa laikā</w:t>
            </w:r>
          </w:p>
        </w:tc>
        <w:tc>
          <w:tcPr>
            <w:tcW w:w="721" w:type="dxa"/>
            <w:shd w:val="clear" w:color="auto" w:fill="BDD7EE"/>
            <w:vAlign w:val="center"/>
            <w:hideMark/>
          </w:tcPr>
          <w:p w14:paraId="5D26E5F9" w14:textId="77777777" w:rsidR="00327FF1" w:rsidRDefault="00E406C7">
            <w:pPr>
              <w:pStyle w:val="P68B1DB1-Normal10"/>
              <w:spacing w:before="120" w:after="120"/>
              <w:jc w:val="center"/>
              <w:rPr>
                <w:noProof/>
                <w:szCs w:val="20"/>
              </w:rPr>
            </w:pPr>
            <w:r>
              <w:rPr>
                <w:noProof/>
              </w:rPr>
              <w:t>Gadu</w:t>
            </w:r>
          </w:p>
        </w:tc>
        <w:tc>
          <w:tcPr>
            <w:tcW w:w="2881" w:type="dxa"/>
            <w:vMerge/>
            <w:vAlign w:val="center"/>
            <w:hideMark/>
          </w:tcPr>
          <w:p w14:paraId="385164D0" w14:textId="77777777" w:rsidR="00327FF1" w:rsidRDefault="00327FF1">
            <w:pPr>
              <w:spacing w:before="120" w:after="120"/>
              <w:rPr>
                <w:rFonts w:ascii="Arial Narrow" w:hAnsi="Arial Narrow"/>
                <w:b/>
                <w:noProof/>
                <w:sz w:val="20"/>
                <w:szCs w:val="20"/>
              </w:rPr>
            </w:pPr>
          </w:p>
        </w:tc>
      </w:tr>
      <w:tr w:rsidR="00327FF1" w14:paraId="3F40E53E" w14:textId="77777777">
        <w:trPr>
          <w:trHeight w:val="313"/>
          <w:jc w:val="center"/>
        </w:trPr>
        <w:tc>
          <w:tcPr>
            <w:tcW w:w="1140" w:type="dxa"/>
            <w:shd w:val="clear" w:color="auto" w:fill="C6EFCE"/>
            <w:noWrap/>
            <w:vAlign w:val="center"/>
          </w:tcPr>
          <w:p w14:paraId="6CBEDFA8" w14:textId="77777777" w:rsidR="00327FF1" w:rsidRDefault="00E406C7">
            <w:pPr>
              <w:pStyle w:val="P68B1DB1-Normal11"/>
              <w:spacing w:before="120" w:after="120"/>
              <w:jc w:val="center"/>
              <w:rPr>
                <w:noProof/>
                <w:szCs w:val="20"/>
              </w:rPr>
            </w:pPr>
            <w:r>
              <w:rPr>
                <w:noProof/>
              </w:rPr>
              <w:t>M6C2–4</w:t>
            </w:r>
          </w:p>
        </w:tc>
        <w:tc>
          <w:tcPr>
            <w:tcW w:w="1418" w:type="dxa"/>
            <w:shd w:val="clear" w:color="auto" w:fill="C6EFCE"/>
            <w:noWrap/>
            <w:vAlign w:val="center"/>
          </w:tcPr>
          <w:p w14:paraId="71972DD5" w14:textId="77777777" w:rsidR="00327FF1" w:rsidRDefault="00E406C7">
            <w:pPr>
              <w:pStyle w:val="P68B1DB1-Normal103"/>
              <w:spacing w:before="120" w:after="120"/>
              <w:jc w:val="center"/>
              <w:rPr>
                <w:noProof/>
                <w:color w:val="006100"/>
                <w:szCs w:val="20"/>
              </w:rPr>
            </w:pPr>
            <w:r>
              <w:rPr>
                <w:noProof/>
              </w:rPr>
              <w:t>Investīcija 1.1: Slimnīcu tehnoloģiskā aprīkojuma digitālā atjaunināšana</w:t>
            </w:r>
          </w:p>
        </w:tc>
        <w:tc>
          <w:tcPr>
            <w:tcW w:w="1134" w:type="dxa"/>
            <w:shd w:val="clear" w:color="auto" w:fill="C6EFCE"/>
            <w:noWrap/>
            <w:vAlign w:val="center"/>
          </w:tcPr>
          <w:p w14:paraId="4FC643AE" w14:textId="77777777" w:rsidR="00327FF1" w:rsidRDefault="00E406C7">
            <w:pPr>
              <w:pStyle w:val="P68B1DB1-Normal103"/>
              <w:spacing w:before="120" w:after="120"/>
              <w:jc w:val="center"/>
              <w:rPr>
                <w:noProof/>
                <w:color w:val="006100"/>
                <w:szCs w:val="20"/>
              </w:rPr>
            </w:pPr>
            <w:r>
              <w:rPr>
                <w:noProof/>
              </w:rPr>
              <w:t>Atskaites punkts</w:t>
            </w:r>
          </w:p>
        </w:tc>
        <w:tc>
          <w:tcPr>
            <w:tcW w:w="1559" w:type="dxa"/>
            <w:shd w:val="clear" w:color="auto" w:fill="C6EFCE"/>
            <w:noWrap/>
            <w:vAlign w:val="center"/>
          </w:tcPr>
          <w:p w14:paraId="041F5B6E" w14:textId="77777777" w:rsidR="00327FF1" w:rsidRDefault="00E406C7">
            <w:pPr>
              <w:pStyle w:val="P68B1DB1-Normal103"/>
              <w:spacing w:before="120" w:after="120"/>
              <w:jc w:val="center"/>
              <w:rPr>
                <w:rFonts w:eastAsia="Calibri"/>
                <w:noProof/>
                <w:szCs w:val="20"/>
              </w:rPr>
            </w:pPr>
            <w:r>
              <w:rPr>
                <w:noProof/>
              </w:rPr>
              <w:t xml:space="preserve">Reorganizācijas plāns, ko apstiprinājusi Veselības ministrija/Itālijas reģioni </w:t>
            </w:r>
          </w:p>
        </w:tc>
        <w:tc>
          <w:tcPr>
            <w:tcW w:w="1701" w:type="dxa"/>
            <w:shd w:val="clear" w:color="auto" w:fill="C6EFCE"/>
            <w:noWrap/>
            <w:vAlign w:val="center"/>
          </w:tcPr>
          <w:p w14:paraId="4203500C" w14:textId="77777777" w:rsidR="00327FF1" w:rsidRDefault="00E406C7">
            <w:pPr>
              <w:pStyle w:val="P68B1DB1-Normal103"/>
              <w:spacing w:before="120" w:after="120"/>
              <w:jc w:val="center"/>
              <w:rPr>
                <w:rFonts w:eastAsia="Calibri"/>
                <w:noProof/>
                <w:szCs w:val="20"/>
              </w:rPr>
            </w:pPr>
            <w:r>
              <w:rPr>
                <w:noProof/>
              </w:rPr>
              <w:t>Apstiprinājuma paziņošana</w:t>
            </w:r>
          </w:p>
        </w:tc>
        <w:tc>
          <w:tcPr>
            <w:tcW w:w="1276" w:type="dxa"/>
            <w:shd w:val="clear" w:color="auto" w:fill="C6EFCE"/>
            <w:noWrap/>
            <w:vAlign w:val="center"/>
          </w:tcPr>
          <w:p w14:paraId="1422A1F9" w14:textId="77777777" w:rsidR="00327FF1" w:rsidRDefault="00E406C7">
            <w:pPr>
              <w:pStyle w:val="P68B1DB1-Normal103"/>
              <w:spacing w:before="120" w:after="120"/>
              <w:jc w:val="center"/>
              <w:rPr>
                <w:noProof/>
                <w:color w:val="006100"/>
                <w:szCs w:val="20"/>
              </w:rPr>
            </w:pPr>
            <w:r>
              <w:rPr>
                <w:noProof/>
              </w:rPr>
              <w:t>NEPIEMĒRO</w:t>
            </w:r>
          </w:p>
        </w:tc>
        <w:tc>
          <w:tcPr>
            <w:tcW w:w="1134" w:type="dxa"/>
            <w:shd w:val="clear" w:color="auto" w:fill="C6EFCE"/>
            <w:noWrap/>
            <w:vAlign w:val="center"/>
          </w:tcPr>
          <w:p w14:paraId="0FAC771F" w14:textId="77777777" w:rsidR="00327FF1" w:rsidRDefault="00E406C7">
            <w:pPr>
              <w:pStyle w:val="P68B1DB1-Normal103"/>
              <w:spacing w:before="120" w:after="120"/>
              <w:jc w:val="center"/>
              <w:rPr>
                <w:noProof/>
                <w:color w:val="006100"/>
                <w:szCs w:val="20"/>
              </w:rPr>
            </w:pPr>
            <w:r>
              <w:rPr>
                <w:noProof/>
              </w:rPr>
              <w:t>NEPIEMĒRO</w:t>
            </w:r>
          </w:p>
        </w:tc>
        <w:tc>
          <w:tcPr>
            <w:tcW w:w="1276" w:type="dxa"/>
            <w:shd w:val="clear" w:color="auto" w:fill="C6EFCE"/>
            <w:noWrap/>
            <w:vAlign w:val="center"/>
          </w:tcPr>
          <w:p w14:paraId="66629370" w14:textId="77777777" w:rsidR="00327FF1" w:rsidRDefault="00E406C7">
            <w:pPr>
              <w:pStyle w:val="P68B1DB1-Normal103"/>
              <w:spacing w:before="120" w:after="120"/>
              <w:jc w:val="center"/>
              <w:rPr>
                <w:noProof/>
                <w:color w:val="006100"/>
                <w:szCs w:val="20"/>
              </w:rPr>
            </w:pPr>
            <w:r>
              <w:rPr>
                <w:noProof/>
              </w:rPr>
              <w:t>NEPIEMĒRO</w:t>
            </w:r>
          </w:p>
        </w:tc>
        <w:tc>
          <w:tcPr>
            <w:tcW w:w="865" w:type="dxa"/>
            <w:shd w:val="clear" w:color="auto" w:fill="C6EFCE"/>
            <w:noWrap/>
            <w:vAlign w:val="center"/>
          </w:tcPr>
          <w:p w14:paraId="6EBF0BD9" w14:textId="77777777" w:rsidR="00327FF1" w:rsidRDefault="00E406C7">
            <w:pPr>
              <w:pStyle w:val="P68B1DB1-Normal103"/>
              <w:spacing w:before="120" w:after="120"/>
              <w:jc w:val="center"/>
              <w:rPr>
                <w:noProof/>
                <w:color w:val="006100"/>
                <w:szCs w:val="20"/>
              </w:rPr>
            </w:pPr>
            <w:r>
              <w:rPr>
                <w:noProof/>
              </w:rPr>
              <w:t>4. CET.</w:t>
            </w:r>
          </w:p>
        </w:tc>
        <w:tc>
          <w:tcPr>
            <w:tcW w:w="721" w:type="dxa"/>
            <w:shd w:val="clear" w:color="auto" w:fill="C6EFCE"/>
            <w:noWrap/>
            <w:vAlign w:val="center"/>
          </w:tcPr>
          <w:p w14:paraId="32366DB5" w14:textId="77777777" w:rsidR="00327FF1" w:rsidRDefault="00E406C7">
            <w:pPr>
              <w:pStyle w:val="P68B1DB1-Normal103"/>
              <w:spacing w:before="120" w:after="120"/>
              <w:jc w:val="center"/>
              <w:rPr>
                <w:noProof/>
                <w:color w:val="006100"/>
                <w:szCs w:val="20"/>
              </w:rPr>
            </w:pPr>
            <w:r>
              <w:rPr>
                <w:noProof/>
              </w:rPr>
              <w:t>2021</w:t>
            </w:r>
          </w:p>
        </w:tc>
        <w:tc>
          <w:tcPr>
            <w:tcW w:w="2881" w:type="dxa"/>
            <w:shd w:val="clear" w:color="auto" w:fill="C6EFCE"/>
            <w:noWrap/>
            <w:vAlign w:val="center"/>
          </w:tcPr>
          <w:p w14:paraId="6D1B858E" w14:textId="77777777" w:rsidR="00327FF1" w:rsidRDefault="00E406C7">
            <w:pPr>
              <w:pStyle w:val="P68B1DB1-Normal103"/>
              <w:spacing w:before="120" w:after="120"/>
              <w:rPr>
                <w:noProof/>
                <w:szCs w:val="20"/>
              </w:rPr>
            </w:pPr>
            <w:r>
              <w:rPr>
                <w:noProof/>
              </w:rPr>
              <w:t>Apstiprināt reorganizācijas plānu, lai stiprinātu NHS slimnīcu spēju pienācīgi risināt pan</w:t>
            </w:r>
            <w:r>
              <w:rPr>
                <w:noProof/>
              </w:rPr>
              <w:t>dēmijas ārkārtas situācijas, palielinot gultu skaitu intensīvās un apakšintensīvās aprūpes nodaļās.</w:t>
            </w:r>
          </w:p>
          <w:p w14:paraId="53DF7964" w14:textId="77777777" w:rsidR="00327FF1" w:rsidRDefault="00E406C7">
            <w:pPr>
              <w:pStyle w:val="P68B1DB1-Normal103"/>
              <w:spacing w:before="120" w:after="120"/>
              <w:rPr>
                <w:noProof/>
                <w:szCs w:val="20"/>
              </w:rPr>
            </w:pPr>
            <w:r>
              <w:rPr>
                <w:noProof/>
              </w:rPr>
              <w:t>Slimnīcu reorganizācijas plāns palielina gultu skaitu, kas pieejams intensīvās un daļēji intensīvās aprūpes nodaļās NHS slimnīcās.</w:t>
            </w:r>
          </w:p>
        </w:tc>
      </w:tr>
      <w:tr w:rsidR="00327FF1" w14:paraId="3B4E4407" w14:textId="77777777">
        <w:trPr>
          <w:trHeight w:val="313"/>
          <w:jc w:val="center"/>
        </w:trPr>
        <w:tc>
          <w:tcPr>
            <w:tcW w:w="1140" w:type="dxa"/>
            <w:shd w:val="clear" w:color="auto" w:fill="C6EFCE"/>
            <w:noWrap/>
            <w:vAlign w:val="center"/>
          </w:tcPr>
          <w:p w14:paraId="37A7554A" w14:textId="77777777" w:rsidR="00327FF1" w:rsidRDefault="00E406C7">
            <w:pPr>
              <w:pStyle w:val="P68B1DB1-Normal11"/>
              <w:spacing w:before="120" w:after="120"/>
              <w:jc w:val="center"/>
              <w:rPr>
                <w:noProof/>
                <w:szCs w:val="20"/>
              </w:rPr>
            </w:pPr>
            <w:r>
              <w:rPr>
                <w:noProof/>
              </w:rPr>
              <w:t>M6C2–5</w:t>
            </w:r>
          </w:p>
        </w:tc>
        <w:tc>
          <w:tcPr>
            <w:tcW w:w="1418" w:type="dxa"/>
            <w:shd w:val="clear" w:color="auto" w:fill="C6EFCE"/>
            <w:noWrap/>
            <w:vAlign w:val="center"/>
          </w:tcPr>
          <w:p w14:paraId="297FC297" w14:textId="77777777" w:rsidR="00327FF1" w:rsidRDefault="00E406C7">
            <w:pPr>
              <w:pStyle w:val="P68B1DB1-Normal103"/>
              <w:spacing w:before="120" w:after="120"/>
              <w:jc w:val="center"/>
              <w:rPr>
                <w:noProof/>
                <w:color w:val="006100"/>
                <w:szCs w:val="20"/>
              </w:rPr>
            </w:pPr>
            <w:r>
              <w:rPr>
                <w:noProof/>
              </w:rPr>
              <w:t xml:space="preserve">Investīcija 1.1: </w:t>
            </w:r>
            <w:r>
              <w:rPr>
                <w:noProof/>
              </w:rPr>
              <w:t>Slimnīcu tehnoloģiskā aprīkojuma digitālā atjaunināšana</w:t>
            </w:r>
          </w:p>
        </w:tc>
        <w:tc>
          <w:tcPr>
            <w:tcW w:w="1134" w:type="dxa"/>
            <w:shd w:val="clear" w:color="auto" w:fill="C6EFCE"/>
            <w:noWrap/>
            <w:vAlign w:val="center"/>
          </w:tcPr>
          <w:p w14:paraId="2558D201" w14:textId="77777777" w:rsidR="00327FF1" w:rsidRDefault="00E406C7">
            <w:pPr>
              <w:pStyle w:val="P68B1DB1-Normal103"/>
              <w:spacing w:before="120" w:after="120"/>
              <w:jc w:val="center"/>
              <w:rPr>
                <w:noProof/>
                <w:color w:val="006100"/>
                <w:szCs w:val="20"/>
              </w:rPr>
            </w:pPr>
            <w:r>
              <w:rPr>
                <w:noProof/>
              </w:rPr>
              <w:t>Atskaites punkts</w:t>
            </w:r>
          </w:p>
        </w:tc>
        <w:tc>
          <w:tcPr>
            <w:tcW w:w="1559" w:type="dxa"/>
            <w:shd w:val="clear" w:color="auto" w:fill="C6EFCE"/>
            <w:noWrap/>
            <w:vAlign w:val="center"/>
          </w:tcPr>
          <w:p w14:paraId="5B7D3E36" w14:textId="77777777" w:rsidR="00327FF1" w:rsidRDefault="00E406C7">
            <w:pPr>
              <w:pStyle w:val="P68B1DB1-Normal103"/>
              <w:spacing w:before="120" w:after="120"/>
              <w:jc w:val="center"/>
              <w:rPr>
                <w:rFonts w:eastAsia="Calibri"/>
                <w:noProof/>
                <w:szCs w:val="20"/>
              </w:rPr>
            </w:pPr>
            <w:r>
              <w:rPr>
                <w:noProof/>
              </w:rPr>
              <w:t xml:space="preserve"> Institucionālās attīstības līguma apstiprināšana </w:t>
            </w:r>
          </w:p>
        </w:tc>
        <w:tc>
          <w:tcPr>
            <w:tcW w:w="1701" w:type="dxa"/>
            <w:shd w:val="clear" w:color="auto" w:fill="C6EFCE"/>
            <w:noWrap/>
            <w:vAlign w:val="center"/>
          </w:tcPr>
          <w:p w14:paraId="6EC89341" w14:textId="77777777" w:rsidR="00327FF1" w:rsidRDefault="00E406C7">
            <w:pPr>
              <w:pStyle w:val="P68B1DB1-Normal103"/>
              <w:spacing w:before="120" w:after="120"/>
              <w:jc w:val="center"/>
              <w:rPr>
                <w:noProof/>
                <w:szCs w:val="20"/>
              </w:rPr>
            </w:pPr>
            <w:r>
              <w:rPr>
                <w:noProof/>
              </w:rPr>
              <w:t>Paziņojums par to, ka Veselības ministrija un Itālijas reģionu ministrija paraksta institucionālās attīstības līgumu</w:t>
            </w:r>
          </w:p>
        </w:tc>
        <w:tc>
          <w:tcPr>
            <w:tcW w:w="1276" w:type="dxa"/>
            <w:shd w:val="clear" w:color="auto" w:fill="C6EFCE"/>
            <w:noWrap/>
            <w:vAlign w:val="center"/>
          </w:tcPr>
          <w:p w14:paraId="1FC60533" w14:textId="77777777" w:rsidR="00327FF1" w:rsidRDefault="00E406C7">
            <w:pPr>
              <w:pStyle w:val="P68B1DB1-Normal103"/>
              <w:spacing w:before="120" w:after="120"/>
              <w:jc w:val="center"/>
              <w:rPr>
                <w:noProof/>
                <w:color w:val="006100"/>
                <w:szCs w:val="20"/>
              </w:rPr>
            </w:pPr>
            <w:r>
              <w:rPr>
                <w:noProof/>
              </w:rPr>
              <w:t>NEPIEMĒRO</w:t>
            </w:r>
          </w:p>
        </w:tc>
        <w:tc>
          <w:tcPr>
            <w:tcW w:w="1134" w:type="dxa"/>
            <w:shd w:val="clear" w:color="auto" w:fill="C6EFCE"/>
            <w:noWrap/>
            <w:vAlign w:val="center"/>
          </w:tcPr>
          <w:p w14:paraId="0AC22E40" w14:textId="77777777" w:rsidR="00327FF1" w:rsidRDefault="00E406C7">
            <w:pPr>
              <w:pStyle w:val="P68B1DB1-Normal103"/>
              <w:spacing w:before="120" w:after="120"/>
              <w:jc w:val="center"/>
              <w:rPr>
                <w:noProof/>
                <w:color w:val="006100"/>
                <w:szCs w:val="20"/>
              </w:rPr>
            </w:pPr>
            <w:r>
              <w:rPr>
                <w:noProof/>
              </w:rPr>
              <w:t>NEPIEMĒRO</w:t>
            </w:r>
          </w:p>
        </w:tc>
        <w:tc>
          <w:tcPr>
            <w:tcW w:w="1276" w:type="dxa"/>
            <w:shd w:val="clear" w:color="auto" w:fill="C6EFCE"/>
            <w:noWrap/>
            <w:vAlign w:val="center"/>
          </w:tcPr>
          <w:p w14:paraId="567513FB" w14:textId="77777777" w:rsidR="00327FF1" w:rsidRDefault="00E406C7">
            <w:pPr>
              <w:pStyle w:val="P68B1DB1-Normal103"/>
              <w:spacing w:before="120" w:after="120"/>
              <w:jc w:val="center"/>
              <w:rPr>
                <w:noProof/>
                <w:color w:val="006100"/>
                <w:szCs w:val="20"/>
              </w:rPr>
            </w:pPr>
            <w:r>
              <w:rPr>
                <w:noProof/>
              </w:rPr>
              <w:t>NEPIEMĒRO</w:t>
            </w:r>
          </w:p>
        </w:tc>
        <w:tc>
          <w:tcPr>
            <w:tcW w:w="865" w:type="dxa"/>
            <w:shd w:val="clear" w:color="auto" w:fill="C6EFCE"/>
            <w:noWrap/>
            <w:vAlign w:val="center"/>
          </w:tcPr>
          <w:p w14:paraId="648C7001" w14:textId="77777777" w:rsidR="00327FF1" w:rsidRDefault="00E406C7">
            <w:pPr>
              <w:pStyle w:val="P68B1DB1-Normal103"/>
              <w:spacing w:before="120" w:after="120"/>
              <w:jc w:val="center"/>
              <w:rPr>
                <w:noProof/>
                <w:color w:val="006100"/>
                <w:szCs w:val="20"/>
              </w:rPr>
            </w:pPr>
            <w:r>
              <w:rPr>
                <w:noProof/>
              </w:rPr>
              <w:t>2. CET.</w:t>
            </w:r>
          </w:p>
        </w:tc>
        <w:tc>
          <w:tcPr>
            <w:tcW w:w="721" w:type="dxa"/>
            <w:shd w:val="clear" w:color="auto" w:fill="C6EFCE"/>
            <w:noWrap/>
            <w:vAlign w:val="center"/>
          </w:tcPr>
          <w:p w14:paraId="7AB1BECF" w14:textId="77777777" w:rsidR="00327FF1" w:rsidRDefault="00E406C7">
            <w:pPr>
              <w:pStyle w:val="P68B1DB1-Normal103"/>
              <w:spacing w:before="120" w:after="120"/>
              <w:jc w:val="center"/>
              <w:rPr>
                <w:noProof/>
                <w:color w:val="006100"/>
                <w:szCs w:val="20"/>
              </w:rPr>
            </w:pPr>
            <w:r>
              <w:rPr>
                <w:noProof/>
              </w:rPr>
              <w:t>2022</w:t>
            </w:r>
          </w:p>
        </w:tc>
        <w:tc>
          <w:tcPr>
            <w:tcW w:w="2881" w:type="dxa"/>
            <w:shd w:val="clear" w:color="auto" w:fill="C6EFCE"/>
            <w:noWrap/>
            <w:vAlign w:val="center"/>
          </w:tcPr>
          <w:p w14:paraId="0FF21359" w14:textId="77777777" w:rsidR="00327FF1" w:rsidRDefault="00E406C7">
            <w:pPr>
              <w:pStyle w:val="P68B1DB1-Normal103"/>
              <w:spacing w:before="120" w:after="120"/>
              <w:rPr>
                <w:rFonts w:eastAsia="Calibri"/>
                <w:noProof/>
                <w:szCs w:val="20"/>
              </w:rPr>
            </w:pPr>
            <w:r>
              <w:rPr>
                <w:noProof/>
              </w:rPr>
              <w:t>Institucionālās attīstības līguma (Contratto Istituzionale di Sviluppo) apstiprināšana ar Itālijas Veselības ministriju kā atbildīgo un īstenošanas iestādi un reģionālo administrāciju un citu galveno ieinteresēto personu lī</w:t>
            </w:r>
            <w:r>
              <w:rPr>
                <w:noProof/>
              </w:rPr>
              <w:t>dzdalību.</w:t>
            </w:r>
          </w:p>
          <w:p w14:paraId="54DCF275" w14:textId="77777777" w:rsidR="00327FF1" w:rsidRDefault="00E406C7">
            <w:pPr>
              <w:pStyle w:val="P68B1DB1-Normal103"/>
              <w:spacing w:before="120" w:after="120"/>
              <w:rPr>
                <w:rFonts w:eastAsia="Calibri"/>
                <w:noProof/>
                <w:szCs w:val="20"/>
              </w:rPr>
            </w:pPr>
            <w:r>
              <w:rPr>
                <w:noProof/>
              </w:rPr>
              <w:t>Institucionālās attīstības līgums ir instruments, kas noteikts spēkā esošajos valsts tiesību aktos (2011. gada 31. maija Likumdošanas dekrēta Nr. 88 1. un 6. panta apvienotajos noteikumos un 2017. gada 20. jūnija Likumdošanas dekrēta Nr. 91 7. pa</w:t>
            </w:r>
            <w:r>
              <w:rPr>
                <w:noProof/>
              </w:rPr>
              <w:t>ntā ar 2017. gada 3. augusta Likumu Nr. 123), lai paātrinātu savstarpēji funkcionāli saistītu stratēģisku projektu īstenošanu. Institucionālās attīstības līgumā uzskaita visus piemērotos objektus, kas noteikti ieguldījumiem, kā arī pienākumus, ko katrs reģ</w:t>
            </w:r>
            <w:r>
              <w:rPr>
                <w:noProof/>
              </w:rPr>
              <w:t>ions uzņemas, lai garantētu paredzētā rezultāta sasniegšanu. Ja kāds reģions pārkāpj noteikumus, Veselības ministrija vēršas pie komisāra ad acta.</w:t>
            </w:r>
          </w:p>
        </w:tc>
      </w:tr>
      <w:tr w:rsidR="00327FF1" w14:paraId="58B5F9F4" w14:textId="77777777">
        <w:trPr>
          <w:trHeight w:val="313"/>
          <w:jc w:val="center"/>
        </w:trPr>
        <w:tc>
          <w:tcPr>
            <w:tcW w:w="1140" w:type="dxa"/>
            <w:shd w:val="clear" w:color="auto" w:fill="C6EFCE"/>
            <w:noWrap/>
            <w:vAlign w:val="center"/>
          </w:tcPr>
          <w:p w14:paraId="44948BFF" w14:textId="77777777" w:rsidR="00327FF1" w:rsidRDefault="00E406C7">
            <w:pPr>
              <w:pStyle w:val="P68B1DB1-Normal12"/>
              <w:spacing w:before="120" w:after="120"/>
              <w:jc w:val="center"/>
              <w:rPr>
                <w:noProof/>
              </w:rPr>
            </w:pPr>
            <w:r>
              <w:rPr>
                <w:noProof/>
              </w:rPr>
              <w:t>M6C2–6</w:t>
            </w:r>
          </w:p>
        </w:tc>
        <w:tc>
          <w:tcPr>
            <w:tcW w:w="1418" w:type="dxa"/>
            <w:shd w:val="clear" w:color="auto" w:fill="C6EFCE"/>
            <w:noWrap/>
            <w:vAlign w:val="center"/>
          </w:tcPr>
          <w:p w14:paraId="11CB8C1B" w14:textId="77777777" w:rsidR="00327FF1" w:rsidRDefault="00E406C7">
            <w:pPr>
              <w:pStyle w:val="P68B1DB1-Normal103"/>
              <w:spacing w:before="120" w:after="120"/>
              <w:jc w:val="center"/>
              <w:rPr>
                <w:noProof/>
                <w:color w:val="006100"/>
                <w:szCs w:val="20"/>
              </w:rPr>
            </w:pPr>
            <w:r>
              <w:rPr>
                <w:noProof/>
              </w:rPr>
              <w:t>Investīcija 1.1: Slimnīcu tehnoloģiskā aprīkojuma digitālā atjaunināšana</w:t>
            </w:r>
          </w:p>
        </w:tc>
        <w:tc>
          <w:tcPr>
            <w:tcW w:w="1134" w:type="dxa"/>
            <w:shd w:val="clear" w:color="auto" w:fill="C6EFCE"/>
            <w:noWrap/>
            <w:vAlign w:val="center"/>
          </w:tcPr>
          <w:p w14:paraId="48CAB2D0" w14:textId="77777777" w:rsidR="00327FF1" w:rsidRDefault="00E406C7">
            <w:pPr>
              <w:pStyle w:val="P68B1DB1-Normal104"/>
              <w:spacing w:before="120" w:after="120"/>
              <w:jc w:val="center"/>
              <w:rPr>
                <w:noProof/>
                <w:color w:val="006100"/>
              </w:rPr>
            </w:pPr>
            <w:r>
              <w:rPr>
                <w:noProof/>
              </w:rPr>
              <w:t>Mērķa</w:t>
            </w:r>
          </w:p>
        </w:tc>
        <w:tc>
          <w:tcPr>
            <w:tcW w:w="1559" w:type="dxa"/>
            <w:shd w:val="clear" w:color="auto" w:fill="C6EFCE"/>
            <w:noWrap/>
            <w:vAlign w:val="center"/>
          </w:tcPr>
          <w:p w14:paraId="233AA896" w14:textId="08A6FD8D" w:rsidR="00327FF1" w:rsidRDefault="00E406C7">
            <w:pPr>
              <w:pStyle w:val="P68B1DB1-Normal104"/>
              <w:spacing w:before="120" w:after="120"/>
              <w:jc w:val="center"/>
              <w:rPr>
                <w:noProof/>
                <w:color w:val="006100"/>
              </w:rPr>
            </w:pPr>
            <w:r>
              <w:rPr>
                <w:noProof/>
              </w:rPr>
              <w:t xml:space="preserve">Lielu diagnostikas iekārtu piegāde </w:t>
            </w:r>
          </w:p>
        </w:tc>
        <w:tc>
          <w:tcPr>
            <w:tcW w:w="1701" w:type="dxa"/>
            <w:shd w:val="clear" w:color="auto" w:fill="C6EFCE"/>
            <w:noWrap/>
            <w:vAlign w:val="center"/>
          </w:tcPr>
          <w:p w14:paraId="1C623FDC" w14:textId="77777777" w:rsidR="00327FF1" w:rsidRDefault="00E406C7">
            <w:pPr>
              <w:pStyle w:val="P68B1DB1-Normal103"/>
              <w:spacing w:before="120" w:after="120"/>
              <w:jc w:val="center"/>
              <w:rPr>
                <w:noProof/>
                <w:color w:val="006100"/>
                <w:szCs w:val="20"/>
              </w:rPr>
            </w:pPr>
            <w:r>
              <w:rPr>
                <w:noProof/>
              </w:rPr>
              <w:t>NEPIEMĒRO</w:t>
            </w:r>
          </w:p>
        </w:tc>
        <w:tc>
          <w:tcPr>
            <w:tcW w:w="1276" w:type="dxa"/>
            <w:shd w:val="clear" w:color="auto" w:fill="C6EFCE"/>
            <w:noWrap/>
            <w:vAlign w:val="center"/>
          </w:tcPr>
          <w:p w14:paraId="0038ABB3" w14:textId="77777777" w:rsidR="00327FF1" w:rsidRDefault="00E406C7">
            <w:pPr>
              <w:pStyle w:val="P68B1DB1-Normal104"/>
              <w:spacing w:before="120" w:after="120"/>
              <w:jc w:val="center"/>
              <w:rPr>
                <w:noProof/>
                <w:color w:val="006100"/>
              </w:rPr>
            </w:pPr>
            <w:r>
              <w:rPr>
                <w:noProof/>
              </w:rPr>
              <w:t>Skaits</w:t>
            </w:r>
          </w:p>
        </w:tc>
        <w:tc>
          <w:tcPr>
            <w:tcW w:w="1134" w:type="dxa"/>
            <w:shd w:val="clear" w:color="auto" w:fill="C6EFCE"/>
            <w:noWrap/>
            <w:vAlign w:val="center"/>
          </w:tcPr>
          <w:p w14:paraId="191F9E2A" w14:textId="77777777" w:rsidR="00327FF1" w:rsidRDefault="00E406C7">
            <w:pPr>
              <w:pStyle w:val="P68B1DB1-Normal104"/>
              <w:spacing w:before="120" w:after="120"/>
              <w:jc w:val="center"/>
              <w:rPr>
                <w:noProof/>
                <w:color w:val="006100"/>
              </w:rPr>
            </w:pPr>
            <w:r>
              <w:rPr>
                <w:noProof/>
              </w:rPr>
              <w:t>0</w:t>
            </w:r>
          </w:p>
        </w:tc>
        <w:tc>
          <w:tcPr>
            <w:tcW w:w="1276" w:type="dxa"/>
            <w:shd w:val="clear" w:color="auto" w:fill="C6EFCE"/>
            <w:noWrap/>
            <w:vAlign w:val="center"/>
          </w:tcPr>
          <w:p w14:paraId="6D036435" w14:textId="211AF9F9" w:rsidR="00327FF1" w:rsidRDefault="00E406C7">
            <w:pPr>
              <w:pStyle w:val="P68B1DB1-Normal104"/>
              <w:spacing w:before="120" w:after="120"/>
              <w:jc w:val="center"/>
              <w:rPr>
                <w:noProof/>
                <w:color w:val="006100"/>
              </w:rPr>
            </w:pPr>
            <w:r>
              <w:rPr>
                <w:noProof/>
              </w:rPr>
              <w:t>3 100</w:t>
            </w:r>
          </w:p>
        </w:tc>
        <w:tc>
          <w:tcPr>
            <w:tcW w:w="865" w:type="dxa"/>
            <w:shd w:val="clear" w:color="auto" w:fill="C6EFCE"/>
            <w:noWrap/>
            <w:vAlign w:val="center"/>
          </w:tcPr>
          <w:p w14:paraId="3628413E" w14:textId="77777777" w:rsidR="00327FF1" w:rsidRDefault="00E406C7">
            <w:pPr>
              <w:pStyle w:val="P68B1DB1-Normal103"/>
              <w:spacing w:before="120" w:after="120"/>
              <w:jc w:val="center"/>
              <w:rPr>
                <w:noProof/>
                <w:szCs w:val="20"/>
              </w:rPr>
            </w:pPr>
            <w:r>
              <w:rPr>
                <w:noProof/>
              </w:rPr>
              <w:t>2. CET.</w:t>
            </w:r>
          </w:p>
        </w:tc>
        <w:tc>
          <w:tcPr>
            <w:tcW w:w="721" w:type="dxa"/>
            <w:shd w:val="clear" w:color="auto" w:fill="C6EFCE"/>
            <w:noWrap/>
            <w:vAlign w:val="center"/>
          </w:tcPr>
          <w:p w14:paraId="415BBA78" w14:textId="77777777" w:rsidR="00327FF1" w:rsidRDefault="00E406C7">
            <w:pPr>
              <w:pStyle w:val="P68B1DB1-Normal103"/>
              <w:spacing w:before="120" w:after="120"/>
              <w:jc w:val="center"/>
              <w:rPr>
                <w:noProof/>
                <w:szCs w:val="20"/>
              </w:rPr>
            </w:pPr>
            <w:r>
              <w:rPr>
                <w:noProof/>
              </w:rPr>
              <w:t>2026</w:t>
            </w:r>
          </w:p>
        </w:tc>
        <w:tc>
          <w:tcPr>
            <w:tcW w:w="2881" w:type="dxa"/>
            <w:shd w:val="clear" w:color="auto" w:fill="C6EFCE"/>
            <w:noWrap/>
            <w:vAlign w:val="center"/>
          </w:tcPr>
          <w:p w14:paraId="770D6A5A" w14:textId="22F476C3" w:rsidR="00327FF1" w:rsidRDefault="00E406C7">
            <w:pPr>
              <w:pStyle w:val="P68B1DB1-Normal104"/>
              <w:spacing w:before="120" w:after="120"/>
              <w:rPr>
                <w:noProof/>
                <w:color w:val="006100"/>
              </w:rPr>
            </w:pPr>
            <w:r>
              <w:rPr>
                <w:noProof/>
              </w:rPr>
              <w:t xml:space="preserve">Testa sertifikāti vai lietošanas atļauja 3100 lielām diagnostikas iekārtām. Piegādājamo iekārtu skaits un tipoloģijas ir šādas: 290 iekārtas (KMR — kodolmagnētiskā rezonanse — 1,5 T </w:t>
            </w:r>
            <w:r>
              <w:rPr>
                <w:noProof/>
              </w:rPr>
              <w:t>vai vairāk; Lineārie paātrinātāji; Pet/CT — positronu emisijas tomogrāfija/datortomogrāfija); 655 iekārtas (Angiogrāfija; Gamma kameras, gamma kameras/CT — datortomogrāfija; Datortomogrāfija); 2155 iekārtas (fiksētas rentgena sistēmas; Mamogrāfija; Ultrask</w:t>
            </w:r>
            <w:r>
              <w:rPr>
                <w:noProof/>
              </w:rPr>
              <w:t>aņa).</w:t>
            </w:r>
          </w:p>
        </w:tc>
      </w:tr>
      <w:tr w:rsidR="00327FF1" w14:paraId="7910B201" w14:textId="77777777">
        <w:trPr>
          <w:trHeight w:val="313"/>
          <w:jc w:val="center"/>
        </w:trPr>
        <w:tc>
          <w:tcPr>
            <w:tcW w:w="1140" w:type="dxa"/>
            <w:shd w:val="clear" w:color="auto" w:fill="C6EFCE"/>
            <w:noWrap/>
            <w:vAlign w:val="center"/>
          </w:tcPr>
          <w:p w14:paraId="5842D7D6" w14:textId="77777777" w:rsidR="00327FF1" w:rsidRDefault="00E406C7">
            <w:pPr>
              <w:pStyle w:val="P68B1DB1-Normal11"/>
              <w:spacing w:before="120" w:after="120"/>
              <w:jc w:val="center"/>
              <w:rPr>
                <w:noProof/>
                <w:szCs w:val="20"/>
              </w:rPr>
            </w:pPr>
            <w:r>
              <w:rPr>
                <w:noProof/>
              </w:rPr>
              <w:t>M6C2–7</w:t>
            </w:r>
          </w:p>
        </w:tc>
        <w:tc>
          <w:tcPr>
            <w:tcW w:w="1418" w:type="dxa"/>
            <w:shd w:val="clear" w:color="auto" w:fill="C6EFCE"/>
            <w:noWrap/>
            <w:vAlign w:val="center"/>
          </w:tcPr>
          <w:p w14:paraId="175F108D" w14:textId="77777777" w:rsidR="00327FF1" w:rsidRDefault="00E406C7">
            <w:pPr>
              <w:pStyle w:val="P68B1DB1-Normal103"/>
              <w:spacing w:before="120" w:after="120"/>
              <w:jc w:val="center"/>
              <w:rPr>
                <w:noProof/>
                <w:color w:val="006100"/>
                <w:szCs w:val="20"/>
              </w:rPr>
            </w:pPr>
            <w:r>
              <w:rPr>
                <w:noProof/>
              </w:rPr>
              <w:t>Investīcija 1.1: Slimnīcu tehnoloģiskā aprīkojuma digitālā atjaunināšana</w:t>
            </w:r>
          </w:p>
        </w:tc>
        <w:tc>
          <w:tcPr>
            <w:tcW w:w="1134" w:type="dxa"/>
            <w:shd w:val="clear" w:color="auto" w:fill="C6EFCE"/>
            <w:noWrap/>
            <w:vAlign w:val="center"/>
          </w:tcPr>
          <w:p w14:paraId="350AA29A" w14:textId="77777777" w:rsidR="00327FF1" w:rsidRDefault="00E406C7">
            <w:pPr>
              <w:pStyle w:val="P68B1DB1-Normal103"/>
              <w:spacing w:before="120" w:after="120"/>
              <w:jc w:val="center"/>
              <w:rPr>
                <w:noProof/>
                <w:color w:val="006100"/>
                <w:szCs w:val="20"/>
              </w:rPr>
            </w:pPr>
            <w:r>
              <w:rPr>
                <w:noProof/>
              </w:rPr>
              <w:t>Atskaites punkts</w:t>
            </w:r>
          </w:p>
        </w:tc>
        <w:tc>
          <w:tcPr>
            <w:tcW w:w="1559" w:type="dxa"/>
            <w:shd w:val="clear" w:color="auto" w:fill="C6EFCE"/>
            <w:noWrap/>
            <w:vAlign w:val="center"/>
          </w:tcPr>
          <w:p w14:paraId="740CBC51" w14:textId="77777777" w:rsidR="00327FF1" w:rsidRDefault="00E406C7">
            <w:pPr>
              <w:pStyle w:val="P68B1DB1-Normal103"/>
              <w:spacing w:before="120" w:after="120"/>
              <w:jc w:val="center"/>
              <w:rPr>
                <w:noProof/>
                <w:color w:val="006100"/>
                <w:szCs w:val="20"/>
              </w:rPr>
            </w:pPr>
            <w:r>
              <w:rPr>
                <w:noProof/>
              </w:rPr>
              <w:t>Visu publiskā iepirkuma līgumu slēgšanas tiesību piešķiršana</w:t>
            </w:r>
          </w:p>
        </w:tc>
        <w:tc>
          <w:tcPr>
            <w:tcW w:w="1701" w:type="dxa"/>
            <w:shd w:val="clear" w:color="auto" w:fill="C6EFCE"/>
            <w:noWrap/>
            <w:vAlign w:val="center"/>
          </w:tcPr>
          <w:p w14:paraId="27A16F7B" w14:textId="77777777" w:rsidR="00327FF1" w:rsidRDefault="00E406C7">
            <w:pPr>
              <w:pStyle w:val="P68B1DB1-Normal103"/>
              <w:spacing w:before="120" w:after="120"/>
              <w:jc w:val="center"/>
              <w:rPr>
                <w:noProof/>
                <w:color w:val="006100"/>
                <w:szCs w:val="20"/>
              </w:rPr>
            </w:pPr>
            <w:r>
              <w:rPr>
                <w:noProof/>
              </w:rPr>
              <w:t>Paziņojums par visiem piešķirtajiem publiskajiem līgumiem.</w:t>
            </w:r>
          </w:p>
        </w:tc>
        <w:tc>
          <w:tcPr>
            <w:tcW w:w="1276" w:type="dxa"/>
            <w:shd w:val="clear" w:color="auto" w:fill="C6EFCE"/>
            <w:noWrap/>
            <w:vAlign w:val="center"/>
          </w:tcPr>
          <w:p w14:paraId="773E857E" w14:textId="77777777" w:rsidR="00327FF1" w:rsidRDefault="00E406C7">
            <w:pPr>
              <w:pStyle w:val="P68B1DB1-Normal103"/>
              <w:spacing w:before="120" w:after="120"/>
              <w:jc w:val="center"/>
              <w:rPr>
                <w:noProof/>
                <w:color w:val="006100"/>
                <w:szCs w:val="20"/>
              </w:rPr>
            </w:pPr>
            <w:r>
              <w:rPr>
                <w:noProof/>
              </w:rPr>
              <w:t>NEPIEMĒRO</w:t>
            </w:r>
          </w:p>
        </w:tc>
        <w:tc>
          <w:tcPr>
            <w:tcW w:w="1134" w:type="dxa"/>
            <w:shd w:val="clear" w:color="auto" w:fill="C6EFCE"/>
            <w:noWrap/>
            <w:vAlign w:val="center"/>
          </w:tcPr>
          <w:p w14:paraId="34941B60" w14:textId="77777777" w:rsidR="00327FF1" w:rsidRDefault="00E406C7">
            <w:pPr>
              <w:pStyle w:val="P68B1DB1-Normal103"/>
              <w:spacing w:before="120" w:after="120"/>
              <w:jc w:val="center"/>
              <w:rPr>
                <w:noProof/>
                <w:color w:val="006100"/>
                <w:szCs w:val="20"/>
              </w:rPr>
            </w:pPr>
            <w:r>
              <w:rPr>
                <w:noProof/>
              </w:rPr>
              <w:t>NEPIEMĒRO</w:t>
            </w:r>
          </w:p>
        </w:tc>
        <w:tc>
          <w:tcPr>
            <w:tcW w:w="1276" w:type="dxa"/>
            <w:shd w:val="clear" w:color="auto" w:fill="C6EFCE"/>
            <w:noWrap/>
            <w:vAlign w:val="center"/>
          </w:tcPr>
          <w:p w14:paraId="30EAFB3B" w14:textId="77777777" w:rsidR="00327FF1" w:rsidRDefault="00E406C7">
            <w:pPr>
              <w:pStyle w:val="P68B1DB1-Normal103"/>
              <w:spacing w:before="120" w:after="120"/>
              <w:jc w:val="center"/>
              <w:rPr>
                <w:noProof/>
                <w:color w:val="006100"/>
                <w:szCs w:val="20"/>
              </w:rPr>
            </w:pPr>
            <w:r>
              <w:rPr>
                <w:noProof/>
              </w:rPr>
              <w:t>NEPIEMĒRO</w:t>
            </w:r>
          </w:p>
        </w:tc>
        <w:tc>
          <w:tcPr>
            <w:tcW w:w="865" w:type="dxa"/>
            <w:shd w:val="clear" w:color="auto" w:fill="C6EFCE"/>
            <w:noWrap/>
            <w:vAlign w:val="center"/>
          </w:tcPr>
          <w:p w14:paraId="41B4D99B" w14:textId="77777777" w:rsidR="00327FF1" w:rsidRDefault="00E406C7">
            <w:pPr>
              <w:pStyle w:val="P68B1DB1-Normal103"/>
              <w:spacing w:before="120" w:after="120"/>
              <w:jc w:val="center"/>
              <w:rPr>
                <w:noProof/>
                <w:color w:val="006100"/>
                <w:szCs w:val="20"/>
              </w:rPr>
            </w:pPr>
            <w:r>
              <w:rPr>
                <w:noProof/>
              </w:rPr>
              <w:t>4.</w:t>
            </w:r>
            <w:r>
              <w:rPr>
                <w:noProof/>
              </w:rPr>
              <w:t xml:space="preserve"> CET.</w:t>
            </w:r>
          </w:p>
        </w:tc>
        <w:tc>
          <w:tcPr>
            <w:tcW w:w="721" w:type="dxa"/>
            <w:shd w:val="clear" w:color="auto" w:fill="C6EFCE"/>
            <w:noWrap/>
            <w:vAlign w:val="center"/>
          </w:tcPr>
          <w:p w14:paraId="520CDA9C" w14:textId="77777777" w:rsidR="00327FF1" w:rsidRDefault="00E406C7">
            <w:pPr>
              <w:pStyle w:val="P68B1DB1-Normal103"/>
              <w:spacing w:before="120" w:after="120"/>
              <w:jc w:val="center"/>
              <w:rPr>
                <w:noProof/>
                <w:color w:val="006100"/>
                <w:szCs w:val="20"/>
              </w:rPr>
            </w:pPr>
            <w:r>
              <w:rPr>
                <w:noProof/>
              </w:rPr>
              <w:t>2022</w:t>
            </w:r>
          </w:p>
        </w:tc>
        <w:tc>
          <w:tcPr>
            <w:tcW w:w="2881" w:type="dxa"/>
            <w:shd w:val="clear" w:color="auto" w:fill="C6EFCE"/>
            <w:noWrap/>
            <w:vAlign w:val="center"/>
          </w:tcPr>
          <w:p w14:paraId="522B8191" w14:textId="77777777" w:rsidR="00327FF1" w:rsidRDefault="00E406C7">
            <w:pPr>
              <w:pStyle w:val="P68B1DB1-Normal103"/>
              <w:spacing w:before="120" w:after="120"/>
              <w:rPr>
                <w:noProof/>
                <w:szCs w:val="20"/>
              </w:rPr>
            </w:pPr>
            <w:r>
              <w:rPr>
                <w:noProof/>
              </w:rPr>
              <w:t>Konkursa procedūru publicēšana (Consip pamatnolīgums) un līgumu slēgšana ar pakalpojumu sniedzējiem un tādu slimnīcu digitalizācija, kas klasificētas DEA I un II līmenī)</w:t>
            </w:r>
          </w:p>
          <w:p w14:paraId="6A166AEB" w14:textId="77777777" w:rsidR="00327FF1" w:rsidRDefault="00E406C7">
            <w:pPr>
              <w:pStyle w:val="P68B1DB1-Normal103"/>
              <w:spacing w:before="120" w:after="120"/>
              <w:rPr>
                <w:noProof/>
                <w:color w:val="006100"/>
                <w:szCs w:val="20"/>
              </w:rPr>
            </w:pPr>
            <w:r>
              <w:rPr>
                <w:noProof/>
              </w:rPr>
              <w:t>Līgumos ietver: a) Datu apstrādes centrs (DPC), tostarp IKT un jebkādi palī</w:t>
            </w:r>
            <w:r>
              <w:rPr>
                <w:noProof/>
              </w:rPr>
              <w:t>gdarbi, kas vajadzīgi, lai panāktu visas slimnīcas struktūras datorizāciju, b) aparatūras un/vai programmatūras informācijas tehnoloģiju, elektromedicīnas tehnoloģiju, kā arī papildu tehnoloģiju un jebkādu palīgdarbu iegāde, kas vajadzīgi, lai panāktu slim</w:t>
            </w:r>
            <w:r>
              <w:rPr>
                <w:noProof/>
              </w:rPr>
              <w:t>nīcu departamentu datorizāciju. Pašreizējā digitalizācijas līmeņa novērtējums pirms intervences īstenošanas ļauj precizēt šo novērtējumu atbilstoši katra reģiona/slimnīcas reālajām vajadzībām.</w:t>
            </w:r>
          </w:p>
        </w:tc>
      </w:tr>
      <w:tr w:rsidR="00327FF1" w14:paraId="58E7E03A" w14:textId="77777777">
        <w:trPr>
          <w:trHeight w:val="313"/>
          <w:jc w:val="center"/>
        </w:trPr>
        <w:tc>
          <w:tcPr>
            <w:tcW w:w="1140" w:type="dxa"/>
            <w:shd w:val="clear" w:color="auto" w:fill="C6EFCE"/>
            <w:noWrap/>
            <w:vAlign w:val="center"/>
          </w:tcPr>
          <w:p w14:paraId="1089BB24" w14:textId="77777777" w:rsidR="00327FF1" w:rsidRDefault="00E406C7">
            <w:pPr>
              <w:pStyle w:val="P68B1DB1-Normal12"/>
              <w:spacing w:before="120" w:after="120"/>
              <w:jc w:val="center"/>
              <w:rPr>
                <w:noProof/>
              </w:rPr>
            </w:pPr>
            <w:r>
              <w:rPr>
                <w:noProof/>
              </w:rPr>
              <w:t>M6C2–8</w:t>
            </w:r>
          </w:p>
        </w:tc>
        <w:tc>
          <w:tcPr>
            <w:tcW w:w="1418" w:type="dxa"/>
            <w:shd w:val="clear" w:color="auto" w:fill="C6EFCE"/>
            <w:noWrap/>
            <w:vAlign w:val="center"/>
          </w:tcPr>
          <w:p w14:paraId="0EDD016A" w14:textId="77777777" w:rsidR="00327FF1" w:rsidRDefault="00E406C7">
            <w:pPr>
              <w:pStyle w:val="P68B1DB1-Normal103"/>
              <w:spacing w:before="120" w:after="120"/>
              <w:jc w:val="center"/>
              <w:rPr>
                <w:noProof/>
                <w:color w:val="006100"/>
                <w:szCs w:val="20"/>
              </w:rPr>
            </w:pPr>
            <w:r>
              <w:rPr>
                <w:noProof/>
              </w:rPr>
              <w:t xml:space="preserve">Investīcija 1.1: Slimnīcu tehnoloģiskā aprīkojuma </w:t>
            </w:r>
            <w:r>
              <w:rPr>
                <w:noProof/>
              </w:rPr>
              <w:t>digitālā atjaunināšana</w:t>
            </w:r>
          </w:p>
        </w:tc>
        <w:tc>
          <w:tcPr>
            <w:tcW w:w="1134" w:type="dxa"/>
            <w:shd w:val="clear" w:color="auto" w:fill="C6EFCE"/>
            <w:noWrap/>
            <w:vAlign w:val="center"/>
          </w:tcPr>
          <w:p w14:paraId="4F8BEEDD" w14:textId="77777777" w:rsidR="00327FF1" w:rsidRDefault="00E406C7">
            <w:pPr>
              <w:pStyle w:val="P68B1DB1-Normal103"/>
              <w:spacing w:before="120" w:after="120"/>
              <w:jc w:val="center"/>
              <w:rPr>
                <w:noProof/>
                <w:color w:val="006100"/>
                <w:szCs w:val="20"/>
              </w:rPr>
            </w:pPr>
            <w:r>
              <w:rPr>
                <w:noProof/>
              </w:rPr>
              <w:t>Mērķa</w:t>
            </w:r>
          </w:p>
        </w:tc>
        <w:tc>
          <w:tcPr>
            <w:tcW w:w="1559" w:type="dxa"/>
            <w:shd w:val="clear" w:color="auto" w:fill="C6EFCE"/>
            <w:noWrap/>
            <w:vAlign w:val="center"/>
          </w:tcPr>
          <w:p w14:paraId="46576655" w14:textId="18169467" w:rsidR="00327FF1" w:rsidRDefault="00E406C7">
            <w:pPr>
              <w:pStyle w:val="P68B1DB1-Normal103"/>
              <w:spacing w:before="120" w:after="120"/>
              <w:jc w:val="center"/>
              <w:rPr>
                <w:rFonts w:eastAsia="Calibri"/>
                <w:noProof/>
                <w:szCs w:val="20"/>
              </w:rPr>
            </w:pPr>
            <w:r>
              <w:rPr>
                <w:noProof/>
              </w:rPr>
              <w:t>Slimnīcu digitalizācija (DEA — Ārkārtas situāciju un uzņemšanas departamenti — I un II līmenis)</w:t>
            </w:r>
          </w:p>
        </w:tc>
        <w:tc>
          <w:tcPr>
            <w:tcW w:w="1701" w:type="dxa"/>
            <w:shd w:val="clear" w:color="auto" w:fill="C6EFCE"/>
            <w:noWrap/>
            <w:vAlign w:val="center"/>
          </w:tcPr>
          <w:p w14:paraId="21FDA0C0" w14:textId="77777777" w:rsidR="00327FF1" w:rsidRDefault="00E406C7">
            <w:pPr>
              <w:pStyle w:val="P68B1DB1-Normal103"/>
              <w:spacing w:before="120" w:after="120"/>
              <w:jc w:val="center"/>
              <w:rPr>
                <w:noProof/>
                <w:color w:val="006100"/>
                <w:szCs w:val="20"/>
              </w:rPr>
            </w:pPr>
            <w:r>
              <w:rPr>
                <w:noProof/>
              </w:rPr>
              <w:t>NEPIEMĒRO</w:t>
            </w:r>
          </w:p>
        </w:tc>
        <w:tc>
          <w:tcPr>
            <w:tcW w:w="1276" w:type="dxa"/>
            <w:shd w:val="clear" w:color="auto" w:fill="C6EFCE"/>
            <w:noWrap/>
            <w:vAlign w:val="center"/>
          </w:tcPr>
          <w:p w14:paraId="1A0C9F5F" w14:textId="77777777" w:rsidR="00327FF1" w:rsidRDefault="00E406C7">
            <w:pPr>
              <w:pStyle w:val="P68B1DB1-Normal103"/>
              <w:spacing w:before="120" w:after="120"/>
              <w:jc w:val="center"/>
              <w:rPr>
                <w:rFonts w:eastAsia="Calibri"/>
                <w:noProof/>
                <w:szCs w:val="20"/>
              </w:rPr>
            </w:pPr>
            <w:r>
              <w:rPr>
                <w:noProof/>
              </w:rPr>
              <w:t xml:space="preserve">Skaits </w:t>
            </w:r>
          </w:p>
        </w:tc>
        <w:tc>
          <w:tcPr>
            <w:tcW w:w="1134" w:type="dxa"/>
            <w:shd w:val="clear" w:color="auto" w:fill="C6EFCE"/>
            <w:noWrap/>
            <w:vAlign w:val="center"/>
          </w:tcPr>
          <w:p w14:paraId="714ACD22" w14:textId="77777777" w:rsidR="00327FF1" w:rsidRDefault="00E406C7">
            <w:pPr>
              <w:pStyle w:val="P68B1DB1-Normal103"/>
              <w:spacing w:before="120" w:after="120"/>
              <w:jc w:val="center"/>
              <w:rPr>
                <w:noProof/>
                <w:color w:val="006100"/>
                <w:szCs w:val="20"/>
              </w:rPr>
            </w:pPr>
            <w:r>
              <w:rPr>
                <w:noProof/>
              </w:rPr>
              <w:t>0</w:t>
            </w:r>
          </w:p>
        </w:tc>
        <w:tc>
          <w:tcPr>
            <w:tcW w:w="1276" w:type="dxa"/>
            <w:shd w:val="clear" w:color="auto" w:fill="C6EFCE"/>
            <w:noWrap/>
            <w:vAlign w:val="center"/>
          </w:tcPr>
          <w:p w14:paraId="5DAC9872" w14:textId="77777777" w:rsidR="00327FF1" w:rsidRDefault="00E406C7">
            <w:pPr>
              <w:pStyle w:val="P68B1DB1-Normal103"/>
              <w:spacing w:before="120" w:after="120"/>
              <w:jc w:val="center"/>
              <w:rPr>
                <w:noProof/>
                <w:color w:val="006100"/>
                <w:szCs w:val="20"/>
              </w:rPr>
            </w:pPr>
            <w:r>
              <w:rPr>
                <w:noProof/>
              </w:rPr>
              <w:t>280</w:t>
            </w:r>
          </w:p>
        </w:tc>
        <w:tc>
          <w:tcPr>
            <w:tcW w:w="865" w:type="dxa"/>
            <w:shd w:val="clear" w:color="auto" w:fill="C6EFCE"/>
            <w:noWrap/>
            <w:vAlign w:val="center"/>
          </w:tcPr>
          <w:p w14:paraId="41613A6F" w14:textId="77777777" w:rsidR="00327FF1" w:rsidRDefault="00E406C7">
            <w:pPr>
              <w:pStyle w:val="P68B1DB1-Normal103"/>
              <w:spacing w:before="120" w:after="120"/>
              <w:jc w:val="center"/>
              <w:rPr>
                <w:noProof/>
                <w:color w:val="006100"/>
                <w:szCs w:val="20"/>
              </w:rPr>
            </w:pPr>
            <w:r>
              <w:rPr>
                <w:noProof/>
              </w:rPr>
              <w:t>4. CET.</w:t>
            </w:r>
          </w:p>
        </w:tc>
        <w:tc>
          <w:tcPr>
            <w:tcW w:w="721" w:type="dxa"/>
            <w:shd w:val="clear" w:color="auto" w:fill="C6EFCE"/>
            <w:noWrap/>
            <w:vAlign w:val="center"/>
          </w:tcPr>
          <w:p w14:paraId="4A0B992D" w14:textId="77777777" w:rsidR="00327FF1" w:rsidRDefault="00E406C7">
            <w:pPr>
              <w:pStyle w:val="P68B1DB1-Normal103"/>
              <w:spacing w:before="120" w:after="120"/>
              <w:jc w:val="center"/>
              <w:rPr>
                <w:noProof/>
                <w:color w:val="006100"/>
                <w:szCs w:val="20"/>
              </w:rPr>
            </w:pPr>
            <w:r>
              <w:rPr>
                <w:noProof/>
              </w:rPr>
              <w:t>2025</w:t>
            </w:r>
          </w:p>
        </w:tc>
        <w:tc>
          <w:tcPr>
            <w:tcW w:w="2881" w:type="dxa"/>
            <w:shd w:val="clear" w:color="auto" w:fill="C6EFCE"/>
            <w:noWrap/>
            <w:vAlign w:val="center"/>
          </w:tcPr>
          <w:p w14:paraId="3A003FEB" w14:textId="0959BE60" w:rsidR="00327FF1" w:rsidRDefault="00E406C7">
            <w:pPr>
              <w:pStyle w:val="P68B1DB1-Normal104"/>
              <w:spacing w:before="120" w:after="120"/>
              <w:rPr>
                <w:noProof/>
              </w:rPr>
            </w:pPr>
            <w:r>
              <w:rPr>
                <w:noProof/>
              </w:rPr>
              <w:t xml:space="preserve">Mērķrādītāju sasniedz, kad katra pirmā un otrā līmeņa Ārkārtas situāciju un pieņemšanas </w:t>
            </w:r>
            <w:r>
              <w:rPr>
                <w:noProof/>
              </w:rPr>
              <w:t>departamenta (DEA) digitalizācija ir palielināta vismaz par vienu posmu saskaņā ar Elektronisko medicīnisko karšu pieņemšanas modeli (Emram), ko apliecina Veselības aprūpes informācijas un pārvaldības sistēmu biedrības (HIMMS) ziņojums, sasniedzot vismaz 5</w:t>
            </w:r>
            <w:r>
              <w:rPr>
                <w:noProof/>
              </w:rPr>
              <w:t>0 DEA brieduma skalas otro vai vairākus posmus.</w:t>
            </w:r>
          </w:p>
          <w:p w14:paraId="36A0FBC7" w14:textId="77777777" w:rsidR="00327FF1" w:rsidRDefault="00E406C7">
            <w:pPr>
              <w:pStyle w:val="P68B1DB1-Normal104"/>
              <w:spacing w:before="120" w:after="120"/>
              <w:rPr>
                <w:noProof/>
                <w:color w:val="006100"/>
              </w:rPr>
            </w:pPr>
            <w:bookmarkStart w:id="23" w:name="_Hlk149126432"/>
            <w:r>
              <w:rPr>
                <w:noProof/>
              </w:rPr>
              <w:t>Ir atļauti iepirkuma instrumenti, ko dara pieejamus Consip (“Concessionaria Servizi Informativi Pubblici”), papildus tiem, kas slēgti līdz 2022. gada 31. decembrim, kā arī valsts pārvaldes elektroniskais tirg</w:t>
            </w:r>
            <w:r>
              <w:rPr>
                <w:noProof/>
              </w:rPr>
              <w:t>us (Mepa) vai publiskās pārvaldes dinamiskās iegādes sistēma (SDAPA) papildu pirkumiem.</w:t>
            </w:r>
            <w:bookmarkEnd w:id="23"/>
          </w:p>
        </w:tc>
      </w:tr>
      <w:tr w:rsidR="00327FF1" w14:paraId="11C7CF8E" w14:textId="77777777">
        <w:trPr>
          <w:trHeight w:val="313"/>
          <w:jc w:val="center"/>
        </w:trPr>
        <w:tc>
          <w:tcPr>
            <w:tcW w:w="1140" w:type="dxa"/>
            <w:shd w:val="clear" w:color="auto" w:fill="C6EFCE"/>
            <w:noWrap/>
            <w:vAlign w:val="center"/>
          </w:tcPr>
          <w:p w14:paraId="5291F03A" w14:textId="77777777" w:rsidR="00327FF1" w:rsidRDefault="00E406C7">
            <w:pPr>
              <w:pStyle w:val="P68B1DB1-Normal12"/>
              <w:spacing w:before="120" w:after="120"/>
              <w:jc w:val="center"/>
              <w:rPr>
                <w:noProof/>
              </w:rPr>
            </w:pPr>
            <w:r>
              <w:rPr>
                <w:noProof/>
              </w:rPr>
              <w:t>M6C2–9</w:t>
            </w:r>
          </w:p>
        </w:tc>
        <w:tc>
          <w:tcPr>
            <w:tcW w:w="1418" w:type="dxa"/>
            <w:shd w:val="clear" w:color="auto" w:fill="C6EFCE"/>
            <w:noWrap/>
            <w:vAlign w:val="center"/>
          </w:tcPr>
          <w:p w14:paraId="43B9D522" w14:textId="77777777" w:rsidR="00327FF1" w:rsidRDefault="00E406C7">
            <w:pPr>
              <w:pStyle w:val="P68B1DB1-Normal103"/>
              <w:spacing w:before="120" w:after="120"/>
              <w:jc w:val="center"/>
              <w:rPr>
                <w:noProof/>
                <w:color w:val="006100"/>
                <w:szCs w:val="20"/>
              </w:rPr>
            </w:pPr>
            <w:r>
              <w:rPr>
                <w:noProof/>
              </w:rPr>
              <w:t>Investīcija 1.1: Slimnīcu tehnoloģiskā aprīkojuma digitālā atjaunināšana</w:t>
            </w:r>
          </w:p>
        </w:tc>
        <w:tc>
          <w:tcPr>
            <w:tcW w:w="1134" w:type="dxa"/>
            <w:shd w:val="clear" w:color="auto" w:fill="C6EFCE"/>
            <w:noWrap/>
            <w:vAlign w:val="center"/>
          </w:tcPr>
          <w:p w14:paraId="4B32610D" w14:textId="77777777" w:rsidR="00327FF1" w:rsidRDefault="00E406C7">
            <w:pPr>
              <w:pStyle w:val="P68B1DB1-Normal104"/>
              <w:spacing w:before="120" w:after="120"/>
              <w:jc w:val="center"/>
              <w:rPr>
                <w:noProof/>
                <w:color w:val="006100"/>
              </w:rPr>
            </w:pPr>
            <w:r>
              <w:rPr>
                <w:noProof/>
              </w:rPr>
              <w:t>Mērķa</w:t>
            </w:r>
          </w:p>
        </w:tc>
        <w:tc>
          <w:tcPr>
            <w:tcW w:w="1559" w:type="dxa"/>
            <w:shd w:val="clear" w:color="auto" w:fill="C6EFCE"/>
            <w:noWrap/>
            <w:vAlign w:val="center"/>
          </w:tcPr>
          <w:p w14:paraId="66C2188C" w14:textId="77777777" w:rsidR="00327FF1" w:rsidRDefault="00E406C7">
            <w:pPr>
              <w:pStyle w:val="P68B1DB1-Normal104"/>
              <w:spacing w:before="120" w:after="120"/>
              <w:jc w:val="center"/>
              <w:rPr>
                <w:noProof/>
              </w:rPr>
            </w:pPr>
            <w:r>
              <w:rPr>
                <w:noProof/>
              </w:rPr>
              <w:t>Papildu gultasvietas, ko nodrošina ICU un apakšintensīvā aprūpe</w:t>
            </w:r>
          </w:p>
        </w:tc>
        <w:tc>
          <w:tcPr>
            <w:tcW w:w="1701" w:type="dxa"/>
            <w:shd w:val="clear" w:color="auto" w:fill="C6EFCE"/>
            <w:noWrap/>
            <w:vAlign w:val="center"/>
          </w:tcPr>
          <w:p w14:paraId="3F34911F" w14:textId="77777777" w:rsidR="00327FF1" w:rsidRDefault="00E406C7">
            <w:pPr>
              <w:pStyle w:val="P68B1DB1-Normal103"/>
              <w:spacing w:before="120" w:after="120"/>
              <w:jc w:val="center"/>
              <w:rPr>
                <w:noProof/>
                <w:color w:val="006100"/>
                <w:szCs w:val="20"/>
              </w:rPr>
            </w:pPr>
            <w:r>
              <w:rPr>
                <w:noProof/>
              </w:rPr>
              <w:t>NEPIEMĒRO</w:t>
            </w:r>
          </w:p>
        </w:tc>
        <w:tc>
          <w:tcPr>
            <w:tcW w:w="1276" w:type="dxa"/>
            <w:shd w:val="clear" w:color="auto" w:fill="C6EFCE"/>
            <w:noWrap/>
            <w:vAlign w:val="center"/>
          </w:tcPr>
          <w:p w14:paraId="5EB01911" w14:textId="77777777" w:rsidR="00327FF1" w:rsidRDefault="00E406C7">
            <w:pPr>
              <w:pStyle w:val="P68B1DB1-Normal104"/>
              <w:spacing w:before="120" w:after="120"/>
              <w:jc w:val="center"/>
              <w:rPr>
                <w:rFonts w:eastAsia="Calibri"/>
                <w:noProof/>
              </w:rPr>
            </w:pPr>
            <w:r>
              <w:rPr>
                <w:noProof/>
              </w:rPr>
              <w:t xml:space="preserve">Skaits </w:t>
            </w:r>
          </w:p>
        </w:tc>
        <w:tc>
          <w:tcPr>
            <w:tcW w:w="1134" w:type="dxa"/>
            <w:shd w:val="clear" w:color="auto" w:fill="C6EFCE"/>
            <w:noWrap/>
            <w:vAlign w:val="center"/>
          </w:tcPr>
          <w:p w14:paraId="24BE93F8" w14:textId="77777777" w:rsidR="00327FF1" w:rsidRDefault="00327FF1">
            <w:pPr>
              <w:spacing w:before="120" w:after="120"/>
              <w:jc w:val="center"/>
              <w:rPr>
                <w:rFonts w:ascii="Arial Narrow" w:hAnsi="Arial Narrow"/>
                <w:noProof/>
                <w:color w:val="006100"/>
                <w:sz w:val="20"/>
                <w:szCs w:val="20"/>
              </w:rPr>
            </w:pPr>
          </w:p>
        </w:tc>
        <w:tc>
          <w:tcPr>
            <w:tcW w:w="1276" w:type="dxa"/>
            <w:shd w:val="clear" w:color="auto" w:fill="C6EFCE"/>
            <w:noWrap/>
            <w:vAlign w:val="center"/>
          </w:tcPr>
          <w:p w14:paraId="3E3F4F0F" w14:textId="77777777" w:rsidR="00327FF1" w:rsidRDefault="00E406C7">
            <w:pPr>
              <w:pStyle w:val="P68B1DB1-Normal104"/>
              <w:spacing w:before="120" w:after="120"/>
              <w:jc w:val="center"/>
              <w:rPr>
                <w:noProof/>
                <w:color w:val="006100"/>
              </w:rPr>
            </w:pPr>
            <w:r>
              <w:rPr>
                <w:noProof/>
              </w:rPr>
              <w:t>5 922</w:t>
            </w:r>
          </w:p>
        </w:tc>
        <w:tc>
          <w:tcPr>
            <w:tcW w:w="865" w:type="dxa"/>
            <w:shd w:val="clear" w:color="auto" w:fill="C6EFCE"/>
            <w:noWrap/>
            <w:vAlign w:val="center"/>
          </w:tcPr>
          <w:p w14:paraId="1DC8D49C" w14:textId="77777777" w:rsidR="00327FF1" w:rsidRDefault="00E406C7">
            <w:pPr>
              <w:pStyle w:val="P68B1DB1-Normal104"/>
              <w:spacing w:before="120" w:after="120"/>
              <w:jc w:val="center"/>
              <w:rPr>
                <w:noProof/>
                <w:color w:val="006100"/>
              </w:rPr>
            </w:pPr>
            <w:r>
              <w:rPr>
                <w:noProof/>
              </w:rPr>
              <w:t>2. CET.</w:t>
            </w:r>
          </w:p>
        </w:tc>
        <w:tc>
          <w:tcPr>
            <w:tcW w:w="721" w:type="dxa"/>
            <w:shd w:val="clear" w:color="auto" w:fill="C6EFCE"/>
            <w:noWrap/>
            <w:vAlign w:val="center"/>
          </w:tcPr>
          <w:p w14:paraId="3C911633" w14:textId="77777777" w:rsidR="00327FF1" w:rsidRDefault="00E406C7">
            <w:pPr>
              <w:pStyle w:val="P68B1DB1-Normal104"/>
              <w:spacing w:before="120" w:after="120"/>
              <w:jc w:val="center"/>
              <w:rPr>
                <w:noProof/>
                <w:color w:val="006100"/>
              </w:rPr>
            </w:pPr>
            <w:r>
              <w:rPr>
                <w:noProof/>
              </w:rPr>
              <w:t>2026</w:t>
            </w:r>
          </w:p>
        </w:tc>
        <w:tc>
          <w:tcPr>
            <w:tcW w:w="2881" w:type="dxa"/>
            <w:shd w:val="clear" w:color="auto" w:fill="C6EFCE"/>
            <w:noWrap/>
            <w:vAlign w:val="center"/>
          </w:tcPr>
          <w:p w14:paraId="250D7ED7" w14:textId="5995DBD8" w:rsidR="00327FF1" w:rsidRDefault="00E406C7">
            <w:pPr>
              <w:pStyle w:val="P68B1DB1-Normal104"/>
              <w:spacing w:before="120" w:after="120"/>
              <w:rPr>
                <w:rFonts w:eastAsia="Calibri"/>
                <w:noProof/>
              </w:rPr>
            </w:pPr>
            <w:r>
              <w:rPr>
                <w:noProof/>
              </w:rPr>
              <w:t>Pierādījums par to, ka ir pabeigtas intervences, lai nodrošinātu vai pārveidotu vismaz 5922 intensīvās terapijas gultas un gultas daļēji intensīvās teritorijās ar saistītām ventilācijas iekārtām saskaņā ar attiecīgo regulu (DL 34/2020 </w:t>
            </w:r>
            <w:r>
              <w:rPr>
                <w:noProof/>
              </w:rPr>
              <w:t>2. pants). Intensīvās terapijas gultu nodrošināšana ir vismaz 40 % no kopējā gultu skaita, ko nodrošina šis pasākums.</w:t>
            </w:r>
          </w:p>
        </w:tc>
      </w:tr>
      <w:tr w:rsidR="00327FF1" w14:paraId="3FAD3A56" w14:textId="77777777">
        <w:trPr>
          <w:trHeight w:val="313"/>
          <w:jc w:val="center"/>
        </w:trPr>
        <w:tc>
          <w:tcPr>
            <w:tcW w:w="1140" w:type="dxa"/>
            <w:shd w:val="clear" w:color="auto" w:fill="C6EFCE"/>
            <w:noWrap/>
            <w:vAlign w:val="center"/>
          </w:tcPr>
          <w:p w14:paraId="39723F12" w14:textId="77777777" w:rsidR="00327FF1" w:rsidRDefault="00E406C7">
            <w:pPr>
              <w:pStyle w:val="P68B1DB1-Normal12"/>
              <w:spacing w:before="120" w:after="120"/>
              <w:jc w:val="center"/>
              <w:rPr>
                <w:noProof/>
              </w:rPr>
            </w:pPr>
            <w:r>
              <w:rPr>
                <w:noProof/>
              </w:rPr>
              <w:t>M6C2–10</w:t>
            </w:r>
          </w:p>
        </w:tc>
        <w:tc>
          <w:tcPr>
            <w:tcW w:w="1418" w:type="dxa"/>
            <w:shd w:val="clear" w:color="auto" w:fill="C6EFCE"/>
            <w:noWrap/>
            <w:vAlign w:val="center"/>
          </w:tcPr>
          <w:p w14:paraId="6EEA7020" w14:textId="77777777" w:rsidR="00327FF1" w:rsidRDefault="00E406C7">
            <w:pPr>
              <w:pStyle w:val="P68B1DB1-Normal103"/>
              <w:spacing w:before="120" w:after="120"/>
              <w:jc w:val="center"/>
              <w:rPr>
                <w:noProof/>
                <w:color w:val="006100"/>
                <w:szCs w:val="20"/>
              </w:rPr>
            </w:pPr>
            <w:r>
              <w:rPr>
                <w:noProof/>
              </w:rPr>
              <w:t>Ieguldījums 1.2. Ceļā uz drošu un ilgtspējīgu slimnīcu</w:t>
            </w:r>
          </w:p>
        </w:tc>
        <w:tc>
          <w:tcPr>
            <w:tcW w:w="1134" w:type="dxa"/>
            <w:shd w:val="clear" w:color="auto" w:fill="C6EFCE"/>
            <w:noWrap/>
            <w:vAlign w:val="center"/>
          </w:tcPr>
          <w:p w14:paraId="32DC6C9E" w14:textId="77777777" w:rsidR="00327FF1" w:rsidRDefault="00E406C7">
            <w:pPr>
              <w:pStyle w:val="P68B1DB1-Normal103"/>
              <w:spacing w:before="120" w:after="120"/>
              <w:jc w:val="center"/>
              <w:rPr>
                <w:noProof/>
                <w:color w:val="006100"/>
                <w:szCs w:val="20"/>
              </w:rPr>
            </w:pPr>
            <w:r>
              <w:rPr>
                <w:noProof/>
              </w:rPr>
              <w:t>Mērķa</w:t>
            </w:r>
          </w:p>
        </w:tc>
        <w:tc>
          <w:tcPr>
            <w:tcW w:w="1559" w:type="dxa"/>
            <w:shd w:val="clear" w:color="auto" w:fill="C6EFCE"/>
            <w:noWrap/>
            <w:vAlign w:val="center"/>
          </w:tcPr>
          <w:p w14:paraId="4D3FBFF1" w14:textId="77777777" w:rsidR="00327FF1" w:rsidRDefault="00E406C7">
            <w:pPr>
              <w:pStyle w:val="P68B1DB1-Normal103"/>
              <w:spacing w:before="120" w:after="120"/>
              <w:jc w:val="center"/>
              <w:rPr>
                <w:rFonts w:eastAsia="Calibri"/>
                <w:noProof/>
                <w:szCs w:val="20"/>
              </w:rPr>
            </w:pPr>
            <w:r>
              <w:rPr>
                <w:noProof/>
              </w:rPr>
              <w:t>Ir pabeigta seismiskā iejaukšanās slimnīcās</w:t>
            </w:r>
          </w:p>
        </w:tc>
        <w:tc>
          <w:tcPr>
            <w:tcW w:w="1701" w:type="dxa"/>
            <w:shd w:val="clear" w:color="auto" w:fill="C6EFCE"/>
            <w:noWrap/>
            <w:vAlign w:val="center"/>
          </w:tcPr>
          <w:p w14:paraId="21B35286" w14:textId="77777777" w:rsidR="00327FF1" w:rsidRDefault="00E406C7">
            <w:pPr>
              <w:pStyle w:val="P68B1DB1-Normal103"/>
              <w:spacing w:before="120" w:after="120"/>
              <w:jc w:val="center"/>
              <w:rPr>
                <w:noProof/>
                <w:color w:val="006100"/>
                <w:szCs w:val="20"/>
              </w:rPr>
            </w:pPr>
            <w:r>
              <w:rPr>
                <w:noProof/>
              </w:rPr>
              <w:t>NEPIEMĒRO</w:t>
            </w:r>
          </w:p>
        </w:tc>
        <w:tc>
          <w:tcPr>
            <w:tcW w:w="1276" w:type="dxa"/>
            <w:shd w:val="clear" w:color="auto" w:fill="C6EFCE"/>
            <w:noWrap/>
            <w:vAlign w:val="center"/>
          </w:tcPr>
          <w:p w14:paraId="7771AD93" w14:textId="77777777" w:rsidR="00327FF1" w:rsidRDefault="00E406C7">
            <w:pPr>
              <w:pStyle w:val="P68B1DB1-Normal103"/>
              <w:spacing w:before="120" w:after="120"/>
              <w:jc w:val="center"/>
              <w:rPr>
                <w:rFonts w:eastAsia="Calibri"/>
                <w:noProof/>
                <w:szCs w:val="20"/>
              </w:rPr>
            </w:pPr>
            <w:r>
              <w:rPr>
                <w:noProof/>
              </w:rPr>
              <w:t xml:space="preserve">Skaits </w:t>
            </w:r>
          </w:p>
        </w:tc>
        <w:tc>
          <w:tcPr>
            <w:tcW w:w="1134" w:type="dxa"/>
            <w:shd w:val="clear" w:color="auto" w:fill="C6EFCE"/>
            <w:noWrap/>
            <w:vAlign w:val="center"/>
          </w:tcPr>
          <w:p w14:paraId="5F1CEADE" w14:textId="77777777" w:rsidR="00327FF1" w:rsidRDefault="00E406C7">
            <w:pPr>
              <w:pStyle w:val="P68B1DB1-Normal103"/>
              <w:spacing w:before="120" w:after="120"/>
              <w:jc w:val="center"/>
              <w:rPr>
                <w:noProof/>
                <w:color w:val="006100"/>
                <w:szCs w:val="20"/>
              </w:rPr>
            </w:pPr>
            <w:r>
              <w:rPr>
                <w:noProof/>
              </w:rPr>
              <w:t>0</w:t>
            </w:r>
          </w:p>
        </w:tc>
        <w:tc>
          <w:tcPr>
            <w:tcW w:w="1276" w:type="dxa"/>
            <w:shd w:val="clear" w:color="auto" w:fill="C6EFCE"/>
            <w:noWrap/>
            <w:vAlign w:val="center"/>
          </w:tcPr>
          <w:p w14:paraId="736B3A43" w14:textId="77777777" w:rsidR="00327FF1" w:rsidRDefault="00E406C7">
            <w:pPr>
              <w:pStyle w:val="P68B1DB1-Normal103"/>
              <w:spacing w:before="120" w:after="120"/>
              <w:jc w:val="center"/>
              <w:rPr>
                <w:noProof/>
                <w:szCs w:val="20"/>
              </w:rPr>
            </w:pPr>
            <w:r>
              <w:rPr>
                <w:noProof/>
              </w:rPr>
              <w:t>84</w:t>
            </w:r>
          </w:p>
        </w:tc>
        <w:tc>
          <w:tcPr>
            <w:tcW w:w="865" w:type="dxa"/>
            <w:shd w:val="clear" w:color="auto" w:fill="C6EFCE"/>
            <w:noWrap/>
            <w:vAlign w:val="center"/>
          </w:tcPr>
          <w:p w14:paraId="73A70097" w14:textId="77777777" w:rsidR="00327FF1" w:rsidRDefault="00E406C7">
            <w:pPr>
              <w:pStyle w:val="P68B1DB1-Normal103"/>
              <w:spacing w:before="120" w:after="120"/>
              <w:jc w:val="center"/>
              <w:rPr>
                <w:noProof/>
                <w:color w:val="006100"/>
                <w:szCs w:val="20"/>
              </w:rPr>
            </w:pPr>
            <w:r>
              <w:rPr>
                <w:noProof/>
              </w:rPr>
              <w:t>2. CET.</w:t>
            </w:r>
          </w:p>
        </w:tc>
        <w:tc>
          <w:tcPr>
            <w:tcW w:w="721" w:type="dxa"/>
            <w:shd w:val="clear" w:color="auto" w:fill="C6EFCE"/>
            <w:noWrap/>
            <w:vAlign w:val="center"/>
          </w:tcPr>
          <w:p w14:paraId="68CEA28E" w14:textId="77777777" w:rsidR="00327FF1" w:rsidRDefault="00E406C7">
            <w:pPr>
              <w:pStyle w:val="P68B1DB1-Normal103"/>
              <w:spacing w:before="120" w:after="120"/>
              <w:jc w:val="center"/>
              <w:rPr>
                <w:noProof/>
                <w:color w:val="006100"/>
                <w:szCs w:val="20"/>
              </w:rPr>
            </w:pPr>
            <w:r>
              <w:rPr>
                <w:noProof/>
              </w:rPr>
              <w:t>2026</w:t>
            </w:r>
          </w:p>
        </w:tc>
        <w:tc>
          <w:tcPr>
            <w:tcW w:w="2881" w:type="dxa"/>
            <w:shd w:val="clear" w:color="auto" w:fill="C6EFCE"/>
            <w:noWrap/>
            <w:vAlign w:val="center"/>
          </w:tcPr>
          <w:p w14:paraId="5A3F0B9C" w14:textId="77777777" w:rsidR="00327FF1" w:rsidRDefault="00E406C7">
            <w:pPr>
              <w:pStyle w:val="P68B1DB1-Normal104"/>
              <w:spacing w:before="120" w:after="120"/>
              <w:rPr>
                <w:noProof/>
              </w:rPr>
            </w:pPr>
            <w:r>
              <w:rPr>
                <w:noProof/>
              </w:rPr>
              <w:t>Ziņojums par pabeigtu struktūru vai statisks testa sertifikāts, kas izsniegts vismaz 84 pretseismiskiem pasākumiem slimnīcu iestādēs.</w:t>
            </w:r>
          </w:p>
        </w:tc>
      </w:tr>
      <w:tr w:rsidR="00327FF1" w14:paraId="14F63673" w14:textId="77777777">
        <w:trPr>
          <w:trHeight w:val="313"/>
          <w:jc w:val="center"/>
        </w:trPr>
        <w:tc>
          <w:tcPr>
            <w:tcW w:w="1140" w:type="dxa"/>
            <w:shd w:val="clear" w:color="auto" w:fill="C6EFCE"/>
            <w:noWrap/>
            <w:vAlign w:val="center"/>
          </w:tcPr>
          <w:p w14:paraId="73A3C6D6" w14:textId="77777777" w:rsidR="00327FF1" w:rsidRDefault="00E406C7">
            <w:pPr>
              <w:pStyle w:val="P68B1DB1-Normal12"/>
              <w:jc w:val="center"/>
              <w:rPr>
                <w:noProof/>
              </w:rPr>
            </w:pPr>
            <w:r>
              <w:rPr>
                <w:noProof/>
              </w:rPr>
              <w:t>M6C2–10 8</w:t>
            </w:r>
          </w:p>
        </w:tc>
        <w:tc>
          <w:tcPr>
            <w:tcW w:w="1418" w:type="dxa"/>
            <w:shd w:val="clear" w:color="auto" w:fill="C6EFCE"/>
            <w:noWrap/>
            <w:vAlign w:val="center"/>
          </w:tcPr>
          <w:p w14:paraId="6D0FF886" w14:textId="77777777" w:rsidR="00327FF1" w:rsidRDefault="00E406C7">
            <w:pPr>
              <w:pStyle w:val="P68B1DB1-Normal103"/>
              <w:spacing w:before="120" w:after="120" w:line="276" w:lineRule="auto"/>
              <w:jc w:val="center"/>
              <w:rPr>
                <w:noProof/>
                <w:szCs w:val="20"/>
              </w:rPr>
            </w:pPr>
            <w:bookmarkStart w:id="24" w:name="_Hlk160472567"/>
            <w:r>
              <w:rPr>
                <w:noProof/>
              </w:rPr>
              <w:t>Ieguldījums 1.2. Ceļā uz drošu un ilgtspējīgu slimnīcu</w:t>
            </w:r>
            <w:bookmarkEnd w:id="24"/>
          </w:p>
        </w:tc>
        <w:tc>
          <w:tcPr>
            <w:tcW w:w="1134" w:type="dxa"/>
            <w:shd w:val="clear" w:color="auto" w:fill="C6EFCE"/>
            <w:noWrap/>
            <w:vAlign w:val="center"/>
          </w:tcPr>
          <w:p w14:paraId="18BE2564" w14:textId="77777777" w:rsidR="00327FF1" w:rsidRDefault="00E406C7">
            <w:pPr>
              <w:pStyle w:val="P68B1DB1-Normal104"/>
              <w:jc w:val="center"/>
              <w:rPr>
                <w:noProof/>
              </w:rPr>
            </w:pPr>
            <w:r>
              <w:rPr>
                <w:noProof/>
              </w:rPr>
              <w:t xml:space="preserve">Mērķa </w:t>
            </w:r>
          </w:p>
        </w:tc>
        <w:tc>
          <w:tcPr>
            <w:tcW w:w="1559" w:type="dxa"/>
            <w:shd w:val="clear" w:color="auto" w:fill="C6EFCE"/>
            <w:noWrap/>
            <w:vAlign w:val="center"/>
          </w:tcPr>
          <w:p w14:paraId="51AD38C8" w14:textId="7172C527" w:rsidR="00327FF1" w:rsidRDefault="00E406C7">
            <w:pPr>
              <w:pStyle w:val="P68B1DB1-Normal104"/>
              <w:spacing w:before="120" w:after="120"/>
              <w:jc w:val="center"/>
              <w:rPr>
                <w:rFonts w:eastAsia="Calibri"/>
                <w:noProof/>
              </w:rPr>
            </w:pPr>
            <w:r>
              <w:rPr>
                <w:noProof/>
              </w:rPr>
              <w:t xml:space="preserve">ANM resursu izmaksa projektiem </w:t>
            </w:r>
            <w:r>
              <w:rPr>
                <w:noProof/>
              </w:rPr>
              <w:t>saskaņā ar Finanšu likuma Nr. 67/88 20. pantu “Veselības aprūpes ēka”</w:t>
            </w:r>
          </w:p>
        </w:tc>
        <w:tc>
          <w:tcPr>
            <w:tcW w:w="1701" w:type="dxa"/>
            <w:shd w:val="clear" w:color="auto" w:fill="C6EFCE"/>
            <w:noWrap/>
            <w:vAlign w:val="center"/>
          </w:tcPr>
          <w:p w14:paraId="7D68271F" w14:textId="77777777" w:rsidR="00327FF1" w:rsidRDefault="00E406C7">
            <w:pPr>
              <w:pStyle w:val="P68B1DB1-Normal104"/>
              <w:jc w:val="center"/>
              <w:rPr>
                <w:noProof/>
              </w:rPr>
            </w:pPr>
            <w:r>
              <w:rPr>
                <w:noProof/>
              </w:rPr>
              <w:t>NEPIEMĒRO</w:t>
            </w:r>
          </w:p>
        </w:tc>
        <w:tc>
          <w:tcPr>
            <w:tcW w:w="1276" w:type="dxa"/>
            <w:shd w:val="clear" w:color="auto" w:fill="C6EFCE"/>
            <w:noWrap/>
            <w:vAlign w:val="center"/>
          </w:tcPr>
          <w:p w14:paraId="1FB1C1A1" w14:textId="77777777" w:rsidR="00327FF1" w:rsidRDefault="00E406C7">
            <w:pPr>
              <w:pStyle w:val="P68B1DB1-Normal104"/>
              <w:jc w:val="center"/>
              <w:rPr>
                <w:rFonts w:eastAsia="Calibri"/>
                <w:noProof/>
              </w:rPr>
            </w:pPr>
            <w:r>
              <w:rPr>
                <w:noProof/>
              </w:rPr>
              <w:t>Skaits</w:t>
            </w:r>
          </w:p>
        </w:tc>
        <w:tc>
          <w:tcPr>
            <w:tcW w:w="1134" w:type="dxa"/>
            <w:shd w:val="clear" w:color="auto" w:fill="C6EFCE"/>
            <w:noWrap/>
            <w:vAlign w:val="center"/>
          </w:tcPr>
          <w:p w14:paraId="015E1097" w14:textId="77777777" w:rsidR="00327FF1" w:rsidRDefault="00E406C7">
            <w:pPr>
              <w:pStyle w:val="P68B1DB1-Normal104"/>
              <w:jc w:val="center"/>
              <w:rPr>
                <w:noProof/>
              </w:rPr>
            </w:pPr>
            <w:r>
              <w:rPr>
                <w:noProof/>
              </w:rPr>
              <w:t>0</w:t>
            </w:r>
          </w:p>
        </w:tc>
        <w:tc>
          <w:tcPr>
            <w:tcW w:w="1276" w:type="dxa"/>
            <w:shd w:val="clear" w:color="auto" w:fill="C6EFCE"/>
            <w:noWrap/>
            <w:vAlign w:val="center"/>
          </w:tcPr>
          <w:p w14:paraId="10AF0ED4" w14:textId="560E5B77" w:rsidR="00327FF1" w:rsidRDefault="00E406C7">
            <w:pPr>
              <w:pStyle w:val="P68B1DB1-Normal16"/>
              <w:jc w:val="center"/>
              <w:rPr>
                <w:noProof/>
                <w:color w:val="006600"/>
              </w:rPr>
            </w:pPr>
            <w:r>
              <w:rPr>
                <w:noProof/>
                <w:color w:val="006600"/>
              </w:rPr>
              <w:t>225</w:t>
            </w:r>
            <w:r>
              <w:rPr>
                <w:noProof/>
                <w:color w:val="006100"/>
              </w:rPr>
              <w:t xml:space="preserve"> </w:t>
            </w:r>
            <w:r>
              <w:rPr>
                <w:noProof/>
                <w:color w:val="006600"/>
              </w:rPr>
              <w:t>000</w:t>
            </w:r>
            <w:r>
              <w:rPr>
                <w:noProof/>
                <w:color w:val="006100"/>
              </w:rPr>
              <w:t xml:space="preserve"> </w:t>
            </w:r>
            <w:r>
              <w:rPr>
                <w:noProof/>
                <w:color w:val="006600"/>
              </w:rPr>
              <w:t>000</w:t>
            </w:r>
          </w:p>
        </w:tc>
        <w:tc>
          <w:tcPr>
            <w:tcW w:w="865" w:type="dxa"/>
            <w:shd w:val="clear" w:color="auto" w:fill="C6EFCE"/>
            <w:noWrap/>
            <w:vAlign w:val="center"/>
          </w:tcPr>
          <w:p w14:paraId="26D8A7AC" w14:textId="77777777" w:rsidR="00327FF1" w:rsidRDefault="00E406C7">
            <w:pPr>
              <w:pStyle w:val="P68B1DB1-Normal103"/>
              <w:jc w:val="center"/>
              <w:rPr>
                <w:noProof/>
                <w:szCs w:val="20"/>
              </w:rPr>
            </w:pPr>
            <w:r>
              <w:rPr>
                <w:noProof/>
              </w:rPr>
              <w:t>2. CET.</w:t>
            </w:r>
          </w:p>
        </w:tc>
        <w:tc>
          <w:tcPr>
            <w:tcW w:w="721" w:type="dxa"/>
            <w:shd w:val="clear" w:color="auto" w:fill="C6EFCE"/>
            <w:noWrap/>
            <w:vAlign w:val="center"/>
          </w:tcPr>
          <w:p w14:paraId="60A5297E" w14:textId="77777777" w:rsidR="00327FF1" w:rsidRDefault="00E406C7">
            <w:pPr>
              <w:pStyle w:val="P68B1DB1-Normal103"/>
              <w:jc w:val="center"/>
              <w:rPr>
                <w:noProof/>
                <w:szCs w:val="20"/>
              </w:rPr>
            </w:pPr>
            <w:r>
              <w:rPr>
                <w:noProof/>
              </w:rPr>
              <w:t>2026</w:t>
            </w:r>
          </w:p>
        </w:tc>
        <w:tc>
          <w:tcPr>
            <w:tcW w:w="2881" w:type="dxa"/>
            <w:shd w:val="clear" w:color="auto" w:fill="C6EFCE"/>
            <w:noWrap/>
            <w:vAlign w:val="center"/>
          </w:tcPr>
          <w:p w14:paraId="3B35AB37" w14:textId="77777777" w:rsidR="00327FF1" w:rsidRDefault="00E406C7">
            <w:pPr>
              <w:pStyle w:val="P68B1DB1-Normal104"/>
              <w:rPr>
                <w:rFonts w:eastAsia="Calibri"/>
                <w:noProof/>
              </w:rPr>
            </w:pPr>
            <w:r>
              <w:rPr>
                <w:noProof/>
              </w:rPr>
              <w:t>Pierādījums par maksājumu EUR 225000000 apmērā par tādu intervences pasākumu veikšanu ēku renovācijas un/vai veselības aprūpes iestāžu tehnolo</w:t>
            </w:r>
            <w:r>
              <w:rPr>
                <w:noProof/>
              </w:rPr>
              <w:t>ģiskās modernizācijas jomā, kas saistīti ar programmas nolīgumiem saskaņā ar L. 67/88 20. pantu un ko veic Veselības ministrija ar attiecīgo reģionu vai autonomo provinci.</w:t>
            </w:r>
          </w:p>
        </w:tc>
      </w:tr>
      <w:tr w:rsidR="00327FF1" w14:paraId="5B5BB4DF" w14:textId="77777777">
        <w:trPr>
          <w:trHeight w:val="313"/>
          <w:jc w:val="center"/>
        </w:trPr>
        <w:tc>
          <w:tcPr>
            <w:tcW w:w="1140" w:type="dxa"/>
            <w:shd w:val="clear" w:color="auto" w:fill="C6EFCE"/>
            <w:noWrap/>
            <w:vAlign w:val="center"/>
          </w:tcPr>
          <w:p w14:paraId="4493889C" w14:textId="77777777" w:rsidR="00327FF1" w:rsidRDefault="00E406C7">
            <w:pPr>
              <w:pStyle w:val="P68B1DB1-Normal12"/>
              <w:spacing w:before="120" w:after="120"/>
              <w:jc w:val="center"/>
              <w:rPr>
                <w:noProof/>
              </w:rPr>
            </w:pPr>
            <w:r>
              <w:rPr>
                <w:noProof/>
              </w:rPr>
              <w:t>M6C2–11</w:t>
            </w:r>
          </w:p>
        </w:tc>
        <w:tc>
          <w:tcPr>
            <w:tcW w:w="1418" w:type="dxa"/>
            <w:shd w:val="clear" w:color="auto" w:fill="C6EFCE"/>
            <w:noWrap/>
            <w:vAlign w:val="center"/>
          </w:tcPr>
          <w:p w14:paraId="6AEC904D" w14:textId="77777777" w:rsidR="00327FF1" w:rsidRDefault="00E406C7">
            <w:pPr>
              <w:pStyle w:val="P68B1DB1-Normal103"/>
              <w:spacing w:before="120" w:after="120"/>
              <w:jc w:val="center"/>
              <w:rPr>
                <w:noProof/>
                <w:color w:val="006100"/>
                <w:szCs w:val="20"/>
              </w:rPr>
            </w:pPr>
            <w:r>
              <w:rPr>
                <w:noProof/>
              </w:rPr>
              <w:t xml:space="preserve">Investīcija Nr. 1.3. Tehnoloģiskās infrastruktūras un datu vākšanas, datu </w:t>
            </w:r>
            <w:r>
              <w:rPr>
                <w:noProof/>
              </w:rPr>
              <w:t>apstrādes, datu analīzes un simulācijas rīku stiprināšana</w:t>
            </w:r>
          </w:p>
        </w:tc>
        <w:tc>
          <w:tcPr>
            <w:tcW w:w="1134" w:type="dxa"/>
            <w:shd w:val="clear" w:color="auto" w:fill="C6EFCE"/>
            <w:noWrap/>
            <w:vAlign w:val="center"/>
          </w:tcPr>
          <w:p w14:paraId="1068CCB1" w14:textId="77777777" w:rsidR="00327FF1" w:rsidRDefault="00E406C7">
            <w:pPr>
              <w:pStyle w:val="P68B1DB1-Normal103"/>
              <w:spacing w:before="120" w:after="120"/>
              <w:jc w:val="center"/>
              <w:rPr>
                <w:noProof/>
                <w:color w:val="006100"/>
                <w:szCs w:val="20"/>
              </w:rPr>
            </w:pPr>
            <w:r>
              <w:rPr>
                <w:noProof/>
              </w:rPr>
              <w:t>Mērķa</w:t>
            </w:r>
          </w:p>
        </w:tc>
        <w:tc>
          <w:tcPr>
            <w:tcW w:w="1559" w:type="dxa"/>
            <w:shd w:val="clear" w:color="auto" w:fill="C6EFCE"/>
            <w:noWrap/>
            <w:vAlign w:val="center"/>
          </w:tcPr>
          <w:p w14:paraId="1F815960" w14:textId="77777777" w:rsidR="00327FF1" w:rsidRDefault="00E406C7">
            <w:pPr>
              <w:pStyle w:val="P68B1DB1-Normal103"/>
              <w:spacing w:before="120" w:after="120"/>
              <w:jc w:val="center"/>
              <w:rPr>
                <w:noProof/>
                <w:szCs w:val="20"/>
              </w:rPr>
            </w:pPr>
            <w:r>
              <w:rPr>
                <w:noProof/>
              </w:rPr>
              <w:t>Ģimenes ārsti, kas ievada e-veselības pacienta kartē.</w:t>
            </w:r>
          </w:p>
        </w:tc>
        <w:tc>
          <w:tcPr>
            <w:tcW w:w="1701" w:type="dxa"/>
            <w:shd w:val="clear" w:color="auto" w:fill="C6EFCE"/>
            <w:noWrap/>
            <w:vAlign w:val="center"/>
          </w:tcPr>
          <w:p w14:paraId="404E7EC2" w14:textId="77777777" w:rsidR="00327FF1" w:rsidRDefault="00E406C7">
            <w:pPr>
              <w:pStyle w:val="P68B1DB1-Normal103"/>
              <w:spacing w:before="120" w:after="120"/>
              <w:jc w:val="center"/>
              <w:rPr>
                <w:noProof/>
                <w:color w:val="006100"/>
                <w:szCs w:val="20"/>
              </w:rPr>
            </w:pPr>
            <w:r>
              <w:rPr>
                <w:noProof/>
              </w:rPr>
              <w:t>NEPIEMĒRO</w:t>
            </w:r>
          </w:p>
        </w:tc>
        <w:tc>
          <w:tcPr>
            <w:tcW w:w="1276" w:type="dxa"/>
            <w:shd w:val="clear" w:color="auto" w:fill="C6EFCE"/>
            <w:noWrap/>
            <w:vAlign w:val="center"/>
          </w:tcPr>
          <w:p w14:paraId="1E61ABE0" w14:textId="77777777" w:rsidR="00327FF1" w:rsidRDefault="00E406C7">
            <w:pPr>
              <w:pStyle w:val="P68B1DB1-Normal103"/>
              <w:spacing w:before="120" w:after="120"/>
              <w:jc w:val="center"/>
              <w:rPr>
                <w:rFonts w:eastAsia="Calibri"/>
                <w:noProof/>
                <w:szCs w:val="20"/>
              </w:rPr>
            </w:pPr>
            <w:r>
              <w:rPr>
                <w:noProof/>
              </w:rPr>
              <w:t xml:space="preserve">Procentuālais daudzums </w:t>
            </w:r>
          </w:p>
        </w:tc>
        <w:tc>
          <w:tcPr>
            <w:tcW w:w="1134" w:type="dxa"/>
            <w:shd w:val="clear" w:color="auto" w:fill="C6EFCE"/>
            <w:noWrap/>
            <w:vAlign w:val="center"/>
          </w:tcPr>
          <w:p w14:paraId="240B6A39" w14:textId="77777777" w:rsidR="00327FF1" w:rsidRDefault="00E406C7">
            <w:pPr>
              <w:pStyle w:val="P68B1DB1-Normal103"/>
              <w:spacing w:before="120" w:after="120"/>
              <w:jc w:val="center"/>
              <w:rPr>
                <w:noProof/>
                <w:color w:val="006100"/>
                <w:szCs w:val="20"/>
              </w:rPr>
            </w:pPr>
            <w:r>
              <w:rPr>
                <w:noProof/>
              </w:rPr>
              <w:t>0</w:t>
            </w:r>
          </w:p>
        </w:tc>
        <w:tc>
          <w:tcPr>
            <w:tcW w:w="1276" w:type="dxa"/>
            <w:shd w:val="clear" w:color="auto" w:fill="C6EFCE"/>
            <w:noWrap/>
            <w:vAlign w:val="center"/>
          </w:tcPr>
          <w:p w14:paraId="64F6C8DF" w14:textId="77777777" w:rsidR="00327FF1" w:rsidRDefault="00E406C7">
            <w:pPr>
              <w:pStyle w:val="P68B1DB1-Normal103"/>
              <w:spacing w:before="120" w:after="120"/>
              <w:jc w:val="center"/>
              <w:rPr>
                <w:noProof/>
                <w:color w:val="006100"/>
                <w:szCs w:val="20"/>
              </w:rPr>
            </w:pPr>
            <w:r>
              <w:rPr>
                <w:noProof/>
              </w:rPr>
              <w:t>85</w:t>
            </w:r>
          </w:p>
        </w:tc>
        <w:tc>
          <w:tcPr>
            <w:tcW w:w="865" w:type="dxa"/>
            <w:shd w:val="clear" w:color="auto" w:fill="C6EFCE"/>
            <w:noWrap/>
            <w:vAlign w:val="center"/>
          </w:tcPr>
          <w:p w14:paraId="6A850DBE" w14:textId="77777777" w:rsidR="00327FF1" w:rsidRDefault="00E406C7">
            <w:pPr>
              <w:pStyle w:val="P68B1DB1-Normal103"/>
              <w:spacing w:before="120" w:after="120"/>
              <w:jc w:val="center"/>
              <w:rPr>
                <w:noProof/>
                <w:color w:val="006100"/>
                <w:szCs w:val="20"/>
              </w:rPr>
            </w:pPr>
            <w:r>
              <w:rPr>
                <w:noProof/>
              </w:rPr>
              <w:t>4. CET.</w:t>
            </w:r>
          </w:p>
        </w:tc>
        <w:tc>
          <w:tcPr>
            <w:tcW w:w="721" w:type="dxa"/>
            <w:shd w:val="clear" w:color="auto" w:fill="C6EFCE"/>
            <w:noWrap/>
            <w:vAlign w:val="center"/>
          </w:tcPr>
          <w:p w14:paraId="0D6D2019" w14:textId="77777777" w:rsidR="00327FF1" w:rsidRDefault="00E406C7">
            <w:pPr>
              <w:pStyle w:val="P68B1DB1-Normal104"/>
              <w:spacing w:before="120" w:after="120"/>
              <w:jc w:val="center"/>
              <w:rPr>
                <w:noProof/>
                <w:color w:val="006100"/>
              </w:rPr>
            </w:pPr>
            <w:r>
              <w:rPr>
                <w:noProof/>
              </w:rPr>
              <w:t>2025</w:t>
            </w:r>
          </w:p>
        </w:tc>
        <w:tc>
          <w:tcPr>
            <w:tcW w:w="2881" w:type="dxa"/>
            <w:shd w:val="clear" w:color="auto" w:fill="C6EFCE"/>
            <w:noWrap/>
            <w:vAlign w:val="center"/>
          </w:tcPr>
          <w:p w14:paraId="2E750C0A" w14:textId="77777777" w:rsidR="00327FF1" w:rsidRDefault="00E406C7">
            <w:pPr>
              <w:pStyle w:val="P68B1DB1-Normal104"/>
              <w:spacing w:before="120" w:after="120"/>
              <w:rPr>
                <w:noProof/>
              </w:rPr>
            </w:pPr>
            <w:r>
              <w:rPr>
                <w:noProof/>
              </w:rPr>
              <w:t>Vispārējās prakses ārsti (MMG/PLS), kas izmanto e-veselības pacienta karti (EHR), sasniedz vismaz 85 % no kopējā skaita. Mērķrādītājs tiek sasniegts, EVPK uzraudzības infopanelī pārbaudot 2022. gada 8. augusta dekrēta 2. pielikumā minētā 2. rādītāja un gro</w:t>
            </w:r>
            <w:r>
              <w:rPr>
                <w:noProof/>
              </w:rPr>
              <w:t xml:space="preserve">zījumu vērtību valsts līmenī. </w:t>
            </w:r>
          </w:p>
        </w:tc>
      </w:tr>
      <w:tr w:rsidR="00327FF1" w14:paraId="7EF2B9FB" w14:textId="77777777">
        <w:trPr>
          <w:trHeight w:val="313"/>
          <w:jc w:val="center"/>
        </w:trPr>
        <w:tc>
          <w:tcPr>
            <w:tcW w:w="1140" w:type="dxa"/>
            <w:shd w:val="clear" w:color="auto" w:fill="C6EFCE"/>
            <w:noWrap/>
            <w:vAlign w:val="center"/>
          </w:tcPr>
          <w:p w14:paraId="6836B5A9" w14:textId="77777777" w:rsidR="00327FF1" w:rsidRDefault="00E406C7">
            <w:pPr>
              <w:pStyle w:val="P68B1DB1-Normal12"/>
              <w:spacing w:before="120" w:after="120"/>
              <w:jc w:val="center"/>
              <w:rPr>
                <w:noProof/>
              </w:rPr>
            </w:pPr>
            <w:r>
              <w:rPr>
                <w:noProof/>
              </w:rPr>
              <w:t>M6C2–12</w:t>
            </w:r>
          </w:p>
        </w:tc>
        <w:tc>
          <w:tcPr>
            <w:tcW w:w="1418" w:type="dxa"/>
            <w:shd w:val="clear" w:color="auto" w:fill="C6EFCE"/>
            <w:noWrap/>
            <w:vAlign w:val="center"/>
          </w:tcPr>
          <w:p w14:paraId="15E40EC1" w14:textId="77777777" w:rsidR="00327FF1" w:rsidRDefault="00E406C7">
            <w:pPr>
              <w:pStyle w:val="P68B1DB1-Normal103"/>
              <w:spacing w:before="120" w:after="120"/>
              <w:jc w:val="center"/>
              <w:rPr>
                <w:noProof/>
                <w:color w:val="006100"/>
                <w:szCs w:val="20"/>
              </w:rPr>
            </w:pPr>
            <w:r>
              <w:rPr>
                <w:noProof/>
              </w:rPr>
              <w:t>Investīcija Nr. 1.3. Tehnoloģiskās infrastruktūras un datu vākšanas, datu apstrādes, datu analīzes un simulācijas rīku stiprināšana</w:t>
            </w:r>
          </w:p>
        </w:tc>
        <w:tc>
          <w:tcPr>
            <w:tcW w:w="1134" w:type="dxa"/>
            <w:shd w:val="clear" w:color="auto" w:fill="C6EFCE"/>
            <w:noWrap/>
            <w:vAlign w:val="center"/>
          </w:tcPr>
          <w:p w14:paraId="6916CD57" w14:textId="77777777" w:rsidR="00327FF1" w:rsidRDefault="00E406C7">
            <w:pPr>
              <w:pStyle w:val="P68B1DB1-Normal103"/>
              <w:spacing w:before="120" w:after="120"/>
              <w:jc w:val="center"/>
              <w:rPr>
                <w:noProof/>
                <w:color w:val="006100"/>
                <w:szCs w:val="20"/>
              </w:rPr>
            </w:pPr>
            <w:r>
              <w:rPr>
                <w:noProof/>
              </w:rPr>
              <w:t>Atskaites punkts</w:t>
            </w:r>
          </w:p>
        </w:tc>
        <w:tc>
          <w:tcPr>
            <w:tcW w:w="1559" w:type="dxa"/>
            <w:shd w:val="clear" w:color="auto" w:fill="C6EFCE"/>
            <w:noWrap/>
            <w:vAlign w:val="center"/>
          </w:tcPr>
          <w:p w14:paraId="2AD06A88" w14:textId="5B0261E0" w:rsidR="00327FF1" w:rsidRDefault="00E406C7">
            <w:pPr>
              <w:pStyle w:val="P68B1DB1-Normal104"/>
              <w:spacing w:before="120" w:after="120"/>
              <w:jc w:val="center"/>
              <w:rPr>
                <w:noProof/>
              </w:rPr>
            </w:pPr>
            <w:r>
              <w:rPr>
                <w:noProof/>
              </w:rPr>
              <w:t xml:space="preserve">Darbojas veselības apdrošināšanas karšu sistēma un infrastruktūra </w:t>
            </w:r>
            <w:r>
              <w:rPr>
                <w:noProof/>
              </w:rPr>
              <w:t>e-veselības pacienta karšu sadarbspējai.</w:t>
            </w:r>
          </w:p>
        </w:tc>
        <w:tc>
          <w:tcPr>
            <w:tcW w:w="1701" w:type="dxa"/>
            <w:shd w:val="clear" w:color="auto" w:fill="C6EFCE"/>
            <w:noWrap/>
            <w:vAlign w:val="center"/>
          </w:tcPr>
          <w:p w14:paraId="1893BAC6" w14:textId="714F9811" w:rsidR="00327FF1" w:rsidRDefault="00E406C7">
            <w:pPr>
              <w:spacing w:before="120" w:after="120"/>
              <w:jc w:val="center"/>
              <w:rPr>
                <w:rFonts w:ascii="Arial Narrow" w:hAnsi="Arial Narrow"/>
                <w:noProof/>
                <w:sz w:val="20"/>
                <w:szCs w:val="20"/>
              </w:rPr>
            </w:pPr>
            <w:r>
              <w:rPr>
                <w:rFonts w:ascii="Arial Narrow" w:hAnsi="Arial Narrow"/>
                <w:noProof/>
                <w:color w:val="006600"/>
                <w:sz w:val="20"/>
                <w:szCs w:val="20"/>
              </w:rPr>
              <w:t>Veselības apdrošināšanas karšu sistēmas darbības uzsākšana</w:t>
            </w:r>
            <w:r>
              <w:rPr>
                <w:rFonts w:ascii="Arial Narrow" w:hAnsi="Arial Narrow"/>
                <w:noProof/>
              </w:rPr>
              <w:t xml:space="preserve"> </w:t>
            </w:r>
            <w:r>
              <w:rPr>
                <w:noProof/>
              </w:rPr>
              <w:t xml:space="preserve"> </w:t>
            </w:r>
            <w:r>
              <w:rPr>
                <w:noProof/>
              </w:rPr>
              <w:br/>
            </w:r>
            <w:r>
              <w:rPr>
                <w:rFonts w:ascii="Arial Narrow" w:hAnsi="Arial Narrow"/>
                <w:noProof/>
                <w:color w:val="006600"/>
                <w:sz w:val="20"/>
                <w:szCs w:val="20"/>
              </w:rPr>
              <w:t>un infrastruktūru EVPK savstarpējai izmantojamībai.</w:t>
            </w:r>
          </w:p>
        </w:tc>
        <w:tc>
          <w:tcPr>
            <w:tcW w:w="1276" w:type="dxa"/>
            <w:shd w:val="clear" w:color="auto" w:fill="C6EFCE"/>
            <w:noWrap/>
            <w:vAlign w:val="center"/>
          </w:tcPr>
          <w:p w14:paraId="76710FD3" w14:textId="77777777" w:rsidR="00327FF1" w:rsidRDefault="00E406C7">
            <w:pPr>
              <w:pStyle w:val="P68B1DB1-Normal103"/>
              <w:spacing w:before="120" w:after="120"/>
              <w:jc w:val="center"/>
              <w:rPr>
                <w:noProof/>
                <w:color w:val="006100"/>
                <w:szCs w:val="20"/>
              </w:rPr>
            </w:pPr>
            <w:r>
              <w:rPr>
                <w:noProof/>
              </w:rPr>
              <w:t>NEPIEMĒRO</w:t>
            </w:r>
          </w:p>
        </w:tc>
        <w:tc>
          <w:tcPr>
            <w:tcW w:w="1134" w:type="dxa"/>
            <w:shd w:val="clear" w:color="auto" w:fill="C6EFCE"/>
            <w:noWrap/>
            <w:vAlign w:val="center"/>
          </w:tcPr>
          <w:p w14:paraId="6A78FFF2" w14:textId="77777777" w:rsidR="00327FF1" w:rsidRDefault="00E406C7">
            <w:pPr>
              <w:pStyle w:val="P68B1DB1-Normal103"/>
              <w:spacing w:before="120" w:after="120"/>
              <w:jc w:val="center"/>
              <w:rPr>
                <w:noProof/>
                <w:color w:val="006100"/>
                <w:szCs w:val="20"/>
              </w:rPr>
            </w:pPr>
            <w:r>
              <w:rPr>
                <w:noProof/>
              </w:rPr>
              <w:t>NEPIEMĒRO</w:t>
            </w:r>
          </w:p>
        </w:tc>
        <w:tc>
          <w:tcPr>
            <w:tcW w:w="1276" w:type="dxa"/>
            <w:shd w:val="clear" w:color="auto" w:fill="C6EFCE"/>
            <w:noWrap/>
            <w:vAlign w:val="center"/>
          </w:tcPr>
          <w:p w14:paraId="3EFFCF24" w14:textId="77777777" w:rsidR="00327FF1" w:rsidRDefault="00E406C7">
            <w:pPr>
              <w:pStyle w:val="P68B1DB1-Normal103"/>
              <w:spacing w:before="120" w:after="120"/>
              <w:jc w:val="center"/>
              <w:rPr>
                <w:noProof/>
                <w:color w:val="006100"/>
                <w:szCs w:val="20"/>
              </w:rPr>
            </w:pPr>
            <w:r>
              <w:rPr>
                <w:noProof/>
              </w:rPr>
              <w:t>NEPIEMĒRO</w:t>
            </w:r>
          </w:p>
        </w:tc>
        <w:tc>
          <w:tcPr>
            <w:tcW w:w="865" w:type="dxa"/>
            <w:shd w:val="clear" w:color="auto" w:fill="C6EFCE"/>
            <w:noWrap/>
            <w:vAlign w:val="center"/>
          </w:tcPr>
          <w:p w14:paraId="76BA64F4" w14:textId="77777777" w:rsidR="00327FF1" w:rsidRDefault="00E406C7">
            <w:pPr>
              <w:pStyle w:val="P68B1DB1-Normal103"/>
              <w:spacing w:before="120" w:after="120"/>
              <w:jc w:val="center"/>
              <w:rPr>
                <w:noProof/>
                <w:color w:val="006100"/>
                <w:szCs w:val="20"/>
              </w:rPr>
            </w:pPr>
            <w:r>
              <w:rPr>
                <w:noProof/>
              </w:rPr>
              <w:t>2. CET.</w:t>
            </w:r>
          </w:p>
        </w:tc>
        <w:tc>
          <w:tcPr>
            <w:tcW w:w="721" w:type="dxa"/>
            <w:shd w:val="clear" w:color="auto" w:fill="C6EFCE"/>
            <w:noWrap/>
            <w:vAlign w:val="center"/>
          </w:tcPr>
          <w:p w14:paraId="67BFCC6A" w14:textId="77777777" w:rsidR="00327FF1" w:rsidRDefault="00E406C7">
            <w:pPr>
              <w:pStyle w:val="P68B1DB1-Normal103"/>
              <w:spacing w:before="120" w:after="120"/>
              <w:jc w:val="center"/>
              <w:rPr>
                <w:noProof/>
                <w:color w:val="006100"/>
                <w:szCs w:val="20"/>
              </w:rPr>
            </w:pPr>
            <w:r>
              <w:rPr>
                <w:noProof/>
              </w:rPr>
              <w:t>2026</w:t>
            </w:r>
          </w:p>
        </w:tc>
        <w:tc>
          <w:tcPr>
            <w:tcW w:w="2881" w:type="dxa"/>
            <w:shd w:val="clear" w:color="auto" w:fill="C6EFCE"/>
            <w:noWrap/>
            <w:vAlign w:val="center"/>
          </w:tcPr>
          <w:p w14:paraId="4411EE60" w14:textId="77777777" w:rsidR="00327FF1" w:rsidRDefault="00E406C7">
            <w:pPr>
              <w:spacing w:before="120" w:after="120"/>
              <w:rPr>
                <w:rFonts w:ascii="Arial Narrow" w:eastAsia="Calibri" w:hAnsi="Arial Narrow"/>
                <w:noProof/>
                <w:color w:val="006600"/>
                <w:sz w:val="20"/>
                <w:szCs w:val="20"/>
              </w:rPr>
            </w:pPr>
            <w:r>
              <w:rPr>
                <w:rFonts w:ascii="Arial Narrow" w:hAnsi="Arial Narrow"/>
                <w:noProof/>
                <w:color w:val="006600"/>
                <w:sz w:val="20"/>
                <w:szCs w:val="20"/>
              </w:rPr>
              <w:t xml:space="preserve">Testa sertifikāti, kas apstiprina veselības apdrošināšanas </w:t>
            </w:r>
            <w:r>
              <w:rPr>
                <w:rFonts w:ascii="Arial Narrow" w:hAnsi="Arial Narrow"/>
                <w:noProof/>
                <w:color w:val="006600"/>
                <w:sz w:val="20"/>
                <w:szCs w:val="20"/>
              </w:rPr>
              <w:t>karšu sistēmas un e-veselības pacienta karšu savietojamības infrastruktūras darbības uzsākšanu un “ecosistema Dati Sanitari” (EDS) ieviešanu.</w:t>
            </w:r>
          </w:p>
        </w:tc>
      </w:tr>
      <w:tr w:rsidR="00327FF1" w14:paraId="091128D8" w14:textId="77777777">
        <w:trPr>
          <w:trHeight w:val="313"/>
          <w:jc w:val="center"/>
        </w:trPr>
        <w:tc>
          <w:tcPr>
            <w:tcW w:w="114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D5BB9C" w14:textId="77777777" w:rsidR="00327FF1" w:rsidRDefault="00E406C7">
            <w:pPr>
              <w:pStyle w:val="P68B1DB1-Normal11"/>
              <w:spacing w:before="120" w:after="120"/>
              <w:jc w:val="center"/>
              <w:rPr>
                <w:noProof/>
                <w:szCs w:val="20"/>
              </w:rPr>
            </w:pPr>
            <w:r>
              <w:rPr>
                <w:noProof/>
              </w:rPr>
              <w:t>M6C2–13</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8B1906" w14:textId="77777777" w:rsidR="00327FF1" w:rsidRDefault="00E406C7">
            <w:pPr>
              <w:pStyle w:val="P68B1DB1-Normal103"/>
              <w:spacing w:before="120" w:after="120"/>
              <w:jc w:val="center"/>
              <w:rPr>
                <w:noProof/>
                <w:color w:val="006100"/>
                <w:szCs w:val="20"/>
              </w:rPr>
            </w:pPr>
            <w:r>
              <w:rPr>
                <w:noProof/>
              </w:rPr>
              <w:t xml:space="preserve">Investīcija Nr. 1.3. Tehnoloģiskās infrastruktūras un datu vākšanas, datu apstrādes, datu analīzes un </w:t>
            </w:r>
            <w:r>
              <w:rPr>
                <w:noProof/>
              </w:rPr>
              <w:t>simulācijas rīku stiprināšana</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BF4B7" w14:textId="77777777" w:rsidR="00327FF1" w:rsidRDefault="00E406C7">
            <w:pPr>
              <w:pStyle w:val="P68B1DB1-Normal104"/>
              <w:spacing w:before="120" w:after="120"/>
              <w:jc w:val="center"/>
              <w:rPr>
                <w:noProof/>
                <w:color w:val="006100"/>
              </w:rPr>
            </w:pPr>
            <w:r>
              <w:rPr>
                <w:noProof/>
              </w:rPr>
              <w:t>Mērķa</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F7DBC9" w14:textId="1589BDA3" w:rsidR="00327FF1" w:rsidRDefault="00E406C7">
            <w:pPr>
              <w:pStyle w:val="P68B1DB1-Normal104"/>
              <w:spacing w:before="120" w:after="120"/>
              <w:jc w:val="center"/>
              <w:rPr>
                <w:rFonts w:eastAsia="Calibri"/>
                <w:noProof/>
              </w:rPr>
            </w:pPr>
            <w:r>
              <w:rPr>
                <w:noProof/>
              </w:rPr>
              <w:t xml:space="preserve">Lielākajai daļai veselības karšu tiek izmantota e-veselības pacienta karte </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B7768E" w14:textId="77777777" w:rsidR="00327FF1" w:rsidRDefault="00E406C7">
            <w:pPr>
              <w:pStyle w:val="P68B1DB1-Normal103"/>
              <w:spacing w:before="120" w:after="120"/>
              <w:jc w:val="center"/>
              <w:rPr>
                <w:noProof/>
                <w:color w:val="006100"/>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4BD278" w14:textId="77777777" w:rsidR="00327FF1" w:rsidRDefault="00E406C7">
            <w:pPr>
              <w:pStyle w:val="P68B1DB1-Normal103"/>
              <w:spacing w:before="120" w:after="120"/>
              <w:jc w:val="center"/>
              <w:rPr>
                <w:rFonts w:eastAsia="Arial"/>
                <w:noProof/>
                <w:szCs w:val="20"/>
              </w:rPr>
            </w:pPr>
            <w:r>
              <w:rPr>
                <w:noProof/>
              </w:rPr>
              <w:t>Procentuālais daudzums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D617DF" w14:textId="77777777" w:rsidR="00327FF1" w:rsidRDefault="00E406C7">
            <w:pPr>
              <w:pStyle w:val="P68B1DB1-Normal103"/>
              <w:spacing w:before="120" w:after="120"/>
              <w:jc w:val="center"/>
              <w:rPr>
                <w:noProof/>
                <w:color w:val="006100"/>
                <w:szCs w:val="20"/>
              </w:rPr>
            </w:pPr>
            <w:r>
              <w:rPr>
                <w:noProof/>
              </w:rPr>
              <w:t>0</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5E6F90" w14:textId="77777777" w:rsidR="00327FF1" w:rsidRDefault="00E406C7">
            <w:pPr>
              <w:pStyle w:val="P68B1DB1-Normal103"/>
              <w:spacing w:before="120" w:after="120"/>
              <w:jc w:val="center"/>
              <w:rPr>
                <w:noProof/>
                <w:color w:val="006100"/>
                <w:szCs w:val="20"/>
              </w:rPr>
            </w:pPr>
            <w:r>
              <w:rPr>
                <w:noProof/>
              </w:rPr>
              <w:t>90</w:t>
            </w:r>
          </w:p>
        </w:tc>
        <w:tc>
          <w:tcPr>
            <w:tcW w:w="8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EAA338" w14:textId="77777777" w:rsidR="00327FF1" w:rsidRDefault="00E406C7">
            <w:pPr>
              <w:pStyle w:val="P68B1DB1-Normal103"/>
              <w:spacing w:before="120" w:after="120"/>
              <w:jc w:val="center"/>
              <w:rPr>
                <w:noProof/>
                <w:color w:val="006100"/>
                <w:szCs w:val="20"/>
              </w:rPr>
            </w:pPr>
            <w:r>
              <w:rPr>
                <w:noProof/>
              </w:rPr>
              <w:t>2. CET.</w:t>
            </w:r>
          </w:p>
        </w:tc>
        <w:tc>
          <w:tcPr>
            <w:tcW w:w="7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846A81" w14:textId="77777777" w:rsidR="00327FF1" w:rsidRDefault="00E406C7">
            <w:pPr>
              <w:pStyle w:val="P68B1DB1-Normal103"/>
              <w:spacing w:before="120" w:after="120"/>
              <w:jc w:val="center"/>
              <w:rPr>
                <w:noProof/>
                <w:color w:val="006100"/>
                <w:szCs w:val="20"/>
              </w:rPr>
            </w:pPr>
            <w:r>
              <w:rPr>
                <w:noProof/>
              </w:rPr>
              <w:t>2026</w:t>
            </w:r>
          </w:p>
        </w:tc>
        <w:tc>
          <w:tcPr>
            <w:tcW w:w="288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375051" w14:textId="7FD7B9DF" w:rsidR="00327FF1" w:rsidRDefault="00E406C7">
            <w:pPr>
              <w:pStyle w:val="P68B1DB1-Normal104"/>
              <w:spacing w:before="120" w:after="120"/>
              <w:rPr>
                <w:rFonts w:eastAsia="Calibri"/>
                <w:noProof/>
              </w:rPr>
            </w:pPr>
            <w:r>
              <w:rPr>
                <w:noProof/>
              </w:rPr>
              <w:t xml:space="preserve">Vietējo EVPK dokumentu sagatavošana no dokumentu kopskaita sasniedz 90 %. Mērķrādītājs tiek </w:t>
            </w:r>
            <w:r>
              <w:rPr>
                <w:noProof/>
              </w:rPr>
              <w:t>sasniegts, EVPK uzraudzības infopanelī pārbaudot 2022. gada 8. augusta dekrēta 2. pielikumā minētā 1. rādītāja vērtību valsts līmenī un grozījumus, vismaz attiecībā uz šādiem dokumentiem: Vēstule par atbrīvošanu no slimnīcas; ziņojums par avārijas telpu; l</w:t>
            </w:r>
            <w:r>
              <w:rPr>
                <w:noProof/>
              </w:rPr>
              <w:t>aboratorijas ziņojums; radioloģijas ziņojums; patoloģiskās anatomijas ziņojums.</w:t>
            </w:r>
          </w:p>
        </w:tc>
      </w:tr>
      <w:tr w:rsidR="00327FF1" w14:paraId="1B5BCAA2" w14:textId="77777777">
        <w:trPr>
          <w:trHeight w:val="313"/>
          <w:jc w:val="center"/>
        </w:trPr>
        <w:tc>
          <w:tcPr>
            <w:tcW w:w="1140" w:type="dxa"/>
            <w:shd w:val="clear" w:color="auto" w:fill="C6EFCE"/>
            <w:noWrap/>
            <w:vAlign w:val="center"/>
          </w:tcPr>
          <w:p w14:paraId="72588BDB" w14:textId="77777777" w:rsidR="00327FF1" w:rsidRDefault="00E406C7">
            <w:pPr>
              <w:pStyle w:val="P68B1DB1-Normal11"/>
              <w:spacing w:before="120" w:after="120"/>
              <w:jc w:val="center"/>
              <w:rPr>
                <w:noProof/>
                <w:szCs w:val="20"/>
              </w:rPr>
            </w:pPr>
            <w:r>
              <w:rPr>
                <w:noProof/>
              </w:rPr>
              <w:t>M6C2–14</w:t>
            </w:r>
          </w:p>
        </w:tc>
        <w:tc>
          <w:tcPr>
            <w:tcW w:w="1418" w:type="dxa"/>
            <w:shd w:val="clear" w:color="auto" w:fill="C6EFCE"/>
            <w:noWrap/>
            <w:vAlign w:val="center"/>
          </w:tcPr>
          <w:p w14:paraId="49FA42E6" w14:textId="77777777" w:rsidR="00327FF1" w:rsidRDefault="00E406C7">
            <w:pPr>
              <w:pStyle w:val="P68B1DB1-Normal103"/>
              <w:spacing w:before="120" w:after="120"/>
              <w:jc w:val="center"/>
              <w:rPr>
                <w:noProof/>
                <w:color w:val="006100"/>
                <w:szCs w:val="20"/>
              </w:rPr>
            </w:pPr>
            <w:r>
              <w:rPr>
                <w:noProof/>
              </w:rPr>
              <w:t>Ieguldījums 2.2.: Veselības aprūpes sistēmas speciālistu tehnisko, profesionālo, digitālo un vadības prasmju attīstīšana</w:t>
            </w:r>
          </w:p>
        </w:tc>
        <w:tc>
          <w:tcPr>
            <w:tcW w:w="1134" w:type="dxa"/>
            <w:shd w:val="clear" w:color="auto" w:fill="C6EFCE"/>
            <w:noWrap/>
            <w:vAlign w:val="center"/>
          </w:tcPr>
          <w:p w14:paraId="20E55297" w14:textId="77777777" w:rsidR="00327FF1" w:rsidRDefault="00E406C7">
            <w:pPr>
              <w:pStyle w:val="P68B1DB1-Normal103"/>
              <w:spacing w:before="120" w:after="120"/>
              <w:jc w:val="center"/>
              <w:rPr>
                <w:noProof/>
                <w:color w:val="006100"/>
                <w:szCs w:val="20"/>
              </w:rPr>
            </w:pPr>
            <w:r>
              <w:rPr>
                <w:noProof/>
              </w:rPr>
              <w:t>Mērķa</w:t>
            </w:r>
          </w:p>
        </w:tc>
        <w:tc>
          <w:tcPr>
            <w:tcW w:w="1559" w:type="dxa"/>
            <w:shd w:val="clear" w:color="auto" w:fill="C6EFCE"/>
            <w:noWrap/>
            <w:vAlign w:val="center"/>
          </w:tcPr>
          <w:p w14:paraId="189E26F3" w14:textId="77777777" w:rsidR="00327FF1" w:rsidRDefault="00E406C7">
            <w:pPr>
              <w:pStyle w:val="P68B1DB1-Normal103"/>
              <w:spacing w:before="120" w:after="120"/>
              <w:jc w:val="center"/>
              <w:rPr>
                <w:noProof/>
                <w:szCs w:val="20"/>
              </w:rPr>
            </w:pPr>
            <w:r>
              <w:rPr>
                <w:noProof/>
              </w:rPr>
              <w:t xml:space="preserve">Tiek piešķirtas stipendijas īpašai </w:t>
            </w:r>
            <w:r>
              <w:rPr>
                <w:noProof/>
              </w:rPr>
              <w:t>apmācībai vispārējā medicīnas praksē.</w:t>
            </w:r>
          </w:p>
        </w:tc>
        <w:tc>
          <w:tcPr>
            <w:tcW w:w="1701" w:type="dxa"/>
            <w:shd w:val="clear" w:color="auto" w:fill="C6EFCE"/>
            <w:noWrap/>
            <w:vAlign w:val="center"/>
          </w:tcPr>
          <w:p w14:paraId="064905AF" w14:textId="77777777" w:rsidR="00327FF1" w:rsidRDefault="00E406C7">
            <w:pPr>
              <w:pStyle w:val="P68B1DB1-Normal103"/>
              <w:spacing w:before="120" w:after="120"/>
              <w:jc w:val="center"/>
              <w:rPr>
                <w:noProof/>
                <w:color w:val="006100"/>
                <w:szCs w:val="20"/>
              </w:rPr>
            </w:pPr>
            <w:r>
              <w:rPr>
                <w:noProof/>
              </w:rPr>
              <w:t>NEPIEMĒRO</w:t>
            </w:r>
          </w:p>
        </w:tc>
        <w:tc>
          <w:tcPr>
            <w:tcW w:w="1276" w:type="dxa"/>
            <w:shd w:val="clear" w:color="auto" w:fill="C6EFCE"/>
            <w:noWrap/>
            <w:vAlign w:val="center"/>
          </w:tcPr>
          <w:p w14:paraId="3A6BB00A" w14:textId="77777777" w:rsidR="00327FF1" w:rsidRDefault="00E406C7">
            <w:pPr>
              <w:pStyle w:val="P68B1DB1-Normal103"/>
              <w:spacing w:before="120" w:after="120"/>
              <w:jc w:val="center"/>
              <w:rPr>
                <w:rFonts w:eastAsia="Calibri"/>
                <w:noProof/>
                <w:szCs w:val="20"/>
              </w:rPr>
            </w:pPr>
            <w:r>
              <w:rPr>
                <w:noProof/>
              </w:rPr>
              <w:t xml:space="preserve">Skaits </w:t>
            </w:r>
          </w:p>
        </w:tc>
        <w:tc>
          <w:tcPr>
            <w:tcW w:w="1134" w:type="dxa"/>
            <w:shd w:val="clear" w:color="auto" w:fill="C6EFCE"/>
            <w:noWrap/>
            <w:vAlign w:val="center"/>
          </w:tcPr>
          <w:p w14:paraId="504D4294" w14:textId="77777777" w:rsidR="00327FF1" w:rsidRDefault="00E406C7">
            <w:pPr>
              <w:pStyle w:val="P68B1DB1-Normal103"/>
              <w:spacing w:before="120" w:after="120"/>
              <w:jc w:val="center"/>
              <w:rPr>
                <w:noProof/>
                <w:color w:val="006100"/>
                <w:szCs w:val="20"/>
              </w:rPr>
            </w:pPr>
            <w:r>
              <w:rPr>
                <w:noProof/>
              </w:rPr>
              <w:t>0</w:t>
            </w:r>
          </w:p>
        </w:tc>
        <w:tc>
          <w:tcPr>
            <w:tcW w:w="1276" w:type="dxa"/>
            <w:shd w:val="clear" w:color="auto" w:fill="C6EFCE"/>
            <w:noWrap/>
            <w:vAlign w:val="center"/>
          </w:tcPr>
          <w:p w14:paraId="3F000487" w14:textId="77777777" w:rsidR="00327FF1" w:rsidRDefault="00E406C7">
            <w:pPr>
              <w:spacing w:before="120" w:after="120"/>
              <w:jc w:val="center"/>
              <w:rPr>
                <w:rFonts w:ascii="Arial Narrow" w:hAnsi="Arial Narrow"/>
                <w:noProof/>
                <w:color w:val="006100"/>
                <w:sz w:val="20"/>
                <w:szCs w:val="20"/>
              </w:rPr>
            </w:pPr>
            <w:r>
              <w:rPr>
                <w:rFonts w:ascii="Arial Narrow" w:hAnsi="Arial Narrow"/>
                <w:noProof/>
                <w:color w:val="006600"/>
                <w:sz w:val="20"/>
              </w:rPr>
              <w:t>1</w:t>
            </w:r>
            <w:r>
              <w:rPr>
                <w:noProof/>
                <w:sz w:val="23"/>
                <w:szCs w:val="23"/>
              </w:rPr>
              <w:t xml:space="preserve"> </w:t>
            </w:r>
            <w:r>
              <w:rPr>
                <w:rFonts w:ascii="Arial Narrow" w:hAnsi="Arial Narrow"/>
                <w:noProof/>
                <w:color w:val="006600"/>
                <w:sz w:val="20"/>
              </w:rPr>
              <w:t>800</w:t>
            </w:r>
          </w:p>
        </w:tc>
        <w:tc>
          <w:tcPr>
            <w:tcW w:w="865" w:type="dxa"/>
            <w:shd w:val="clear" w:color="auto" w:fill="C6EFCE"/>
            <w:noWrap/>
            <w:vAlign w:val="center"/>
          </w:tcPr>
          <w:p w14:paraId="7EBA83EF" w14:textId="77777777" w:rsidR="00327FF1" w:rsidRDefault="00E406C7">
            <w:pPr>
              <w:pStyle w:val="P68B1DB1-Normal103"/>
              <w:spacing w:before="120" w:after="120"/>
              <w:jc w:val="center"/>
              <w:rPr>
                <w:noProof/>
                <w:color w:val="006100"/>
                <w:szCs w:val="20"/>
              </w:rPr>
            </w:pPr>
            <w:r>
              <w:rPr>
                <w:noProof/>
              </w:rPr>
              <w:t>2. CET.</w:t>
            </w:r>
          </w:p>
        </w:tc>
        <w:tc>
          <w:tcPr>
            <w:tcW w:w="721" w:type="dxa"/>
            <w:shd w:val="clear" w:color="auto" w:fill="C6EFCE"/>
            <w:noWrap/>
            <w:vAlign w:val="center"/>
          </w:tcPr>
          <w:p w14:paraId="5464604F" w14:textId="77777777" w:rsidR="00327FF1" w:rsidRDefault="00E406C7">
            <w:pPr>
              <w:pStyle w:val="P68B1DB1-Normal103"/>
              <w:spacing w:before="120" w:after="120"/>
              <w:jc w:val="center"/>
              <w:rPr>
                <w:noProof/>
                <w:color w:val="006100"/>
                <w:szCs w:val="20"/>
              </w:rPr>
            </w:pPr>
            <w:r>
              <w:rPr>
                <w:noProof/>
              </w:rPr>
              <w:t>2023</w:t>
            </w:r>
          </w:p>
        </w:tc>
        <w:tc>
          <w:tcPr>
            <w:tcW w:w="2881" w:type="dxa"/>
            <w:shd w:val="clear" w:color="auto" w:fill="C6EFCE"/>
            <w:noWrap/>
            <w:vAlign w:val="center"/>
          </w:tcPr>
          <w:p w14:paraId="29CF9389" w14:textId="4054461F" w:rsidR="00327FF1" w:rsidRDefault="00E406C7">
            <w:pPr>
              <w:pStyle w:val="P68B1DB1-Normal103"/>
              <w:spacing w:before="120" w:after="120"/>
              <w:rPr>
                <w:rFonts w:eastAsia="Calibri"/>
                <w:noProof/>
                <w:szCs w:val="20"/>
              </w:rPr>
            </w:pPr>
            <w:r>
              <w:rPr>
                <w:noProof/>
              </w:rPr>
              <w:t>Šis ieguldījums palielina stipendijas īpašajam vispārējās medicīnas kursam, garantējot trīs trīs gadu mācību ciklu pabeigšanu.</w:t>
            </w:r>
          </w:p>
        </w:tc>
      </w:tr>
      <w:tr w:rsidR="00327FF1" w14:paraId="6141FF9A" w14:textId="77777777">
        <w:trPr>
          <w:trHeight w:val="313"/>
          <w:jc w:val="center"/>
        </w:trPr>
        <w:tc>
          <w:tcPr>
            <w:tcW w:w="1140" w:type="dxa"/>
            <w:shd w:val="clear" w:color="auto" w:fill="C6EFCE"/>
            <w:noWrap/>
            <w:vAlign w:val="center"/>
          </w:tcPr>
          <w:p w14:paraId="2B7976DA" w14:textId="77777777" w:rsidR="00327FF1" w:rsidRDefault="00E406C7">
            <w:pPr>
              <w:pStyle w:val="P68B1DB1-Normal11"/>
              <w:spacing w:before="120" w:after="120"/>
              <w:jc w:val="center"/>
              <w:rPr>
                <w:noProof/>
                <w:szCs w:val="20"/>
              </w:rPr>
            </w:pPr>
            <w:r>
              <w:rPr>
                <w:noProof/>
              </w:rPr>
              <w:t>M6C2–15</w:t>
            </w:r>
          </w:p>
        </w:tc>
        <w:tc>
          <w:tcPr>
            <w:tcW w:w="1418" w:type="dxa"/>
            <w:shd w:val="clear" w:color="auto" w:fill="C6EFCE"/>
            <w:noWrap/>
            <w:vAlign w:val="center"/>
          </w:tcPr>
          <w:p w14:paraId="6DD16667" w14:textId="77777777" w:rsidR="00327FF1" w:rsidRDefault="00E406C7">
            <w:pPr>
              <w:pStyle w:val="P68B1DB1-Normal103"/>
              <w:spacing w:before="120" w:after="120"/>
              <w:jc w:val="center"/>
              <w:rPr>
                <w:noProof/>
                <w:color w:val="006100"/>
                <w:szCs w:val="20"/>
              </w:rPr>
            </w:pPr>
            <w:r>
              <w:rPr>
                <w:noProof/>
              </w:rPr>
              <w:t xml:space="preserve">Ieguldījums 2.2.: Veselības aprūpes </w:t>
            </w:r>
            <w:r>
              <w:rPr>
                <w:noProof/>
              </w:rPr>
              <w:t>sistēmas speciālistu tehnisko, profesionālo, digitālo un vadības prasmju attīstīšana</w:t>
            </w:r>
          </w:p>
        </w:tc>
        <w:tc>
          <w:tcPr>
            <w:tcW w:w="1134" w:type="dxa"/>
            <w:shd w:val="clear" w:color="auto" w:fill="C6EFCE"/>
            <w:noWrap/>
            <w:vAlign w:val="center"/>
          </w:tcPr>
          <w:p w14:paraId="15527C20" w14:textId="77777777" w:rsidR="00327FF1" w:rsidRDefault="00E406C7">
            <w:pPr>
              <w:pStyle w:val="P68B1DB1-Normal103"/>
              <w:spacing w:before="120" w:after="120"/>
              <w:jc w:val="center"/>
              <w:rPr>
                <w:noProof/>
                <w:color w:val="006100"/>
                <w:szCs w:val="20"/>
              </w:rPr>
            </w:pPr>
            <w:r>
              <w:rPr>
                <w:noProof/>
              </w:rPr>
              <w:t>Mērķa</w:t>
            </w:r>
          </w:p>
        </w:tc>
        <w:tc>
          <w:tcPr>
            <w:tcW w:w="1559" w:type="dxa"/>
            <w:shd w:val="clear" w:color="auto" w:fill="C6EFCE"/>
            <w:noWrap/>
            <w:vAlign w:val="center"/>
          </w:tcPr>
          <w:p w14:paraId="18709119" w14:textId="77777777" w:rsidR="00327FF1" w:rsidRDefault="00E406C7">
            <w:pPr>
              <w:pStyle w:val="P68B1DB1-Normal103"/>
              <w:spacing w:before="120" w:after="120"/>
              <w:jc w:val="center"/>
              <w:rPr>
                <w:noProof/>
                <w:szCs w:val="20"/>
              </w:rPr>
            </w:pPr>
            <w:r>
              <w:rPr>
                <w:noProof/>
              </w:rPr>
              <w:t>Tiek piešķirtas papildu stipendijas par īpašu apmācību vispārējās medicīnas praksē.</w:t>
            </w:r>
          </w:p>
        </w:tc>
        <w:tc>
          <w:tcPr>
            <w:tcW w:w="1701" w:type="dxa"/>
            <w:shd w:val="clear" w:color="auto" w:fill="C6EFCE"/>
            <w:noWrap/>
            <w:vAlign w:val="center"/>
          </w:tcPr>
          <w:p w14:paraId="317B2BC6" w14:textId="77777777" w:rsidR="00327FF1" w:rsidRDefault="00E406C7">
            <w:pPr>
              <w:pStyle w:val="P68B1DB1-Normal103"/>
              <w:spacing w:before="120" w:after="120"/>
              <w:jc w:val="center"/>
              <w:rPr>
                <w:noProof/>
                <w:color w:val="006100"/>
                <w:szCs w:val="20"/>
              </w:rPr>
            </w:pPr>
            <w:r>
              <w:rPr>
                <w:noProof/>
              </w:rPr>
              <w:t>NEPIEMĒRO</w:t>
            </w:r>
          </w:p>
        </w:tc>
        <w:tc>
          <w:tcPr>
            <w:tcW w:w="1276" w:type="dxa"/>
            <w:shd w:val="clear" w:color="auto" w:fill="C6EFCE"/>
            <w:noWrap/>
            <w:vAlign w:val="center"/>
          </w:tcPr>
          <w:p w14:paraId="5D4B0D8A" w14:textId="77777777" w:rsidR="00327FF1" w:rsidRDefault="00E406C7">
            <w:pPr>
              <w:pStyle w:val="P68B1DB1-Normal103"/>
              <w:spacing w:before="120" w:after="120"/>
              <w:jc w:val="center"/>
              <w:rPr>
                <w:rFonts w:eastAsia="Calibri"/>
                <w:noProof/>
                <w:szCs w:val="20"/>
              </w:rPr>
            </w:pPr>
            <w:r>
              <w:rPr>
                <w:noProof/>
              </w:rPr>
              <w:t xml:space="preserve">Skaits </w:t>
            </w:r>
          </w:p>
        </w:tc>
        <w:tc>
          <w:tcPr>
            <w:tcW w:w="1134" w:type="dxa"/>
            <w:shd w:val="clear" w:color="auto" w:fill="C6EFCE"/>
            <w:noWrap/>
            <w:vAlign w:val="center"/>
          </w:tcPr>
          <w:p w14:paraId="23535355" w14:textId="77777777" w:rsidR="00327FF1" w:rsidRDefault="00E406C7">
            <w:pPr>
              <w:spacing w:before="120" w:after="120"/>
              <w:jc w:val="center"/>
              <w:rPr>
                <w:rFonts w:ascii="Arial Narrow" w:hAnsi="Arial Narrow"/>
                <w:noProof/>
                <w:color w:val="006100"/>
                <w:sz w:val="20"/>
                <w:szCs w:val="20"/>
              </w:rPr>
            </w:pPr>
            <w:r>
              <w:rPr>
                <w:rFonts w:ascii="Arial Narrow" w:hAnsi="Arial Narrow"/>
                <w:noProof/>
                <w:color w:val="006600"/>
                <w:sz w:val="20"/>
              </w:rPr>
              <w:t>1</w:t>
            </w:r>
            <w:r>
              <w:rPr>
                <w:noProof/>
                <w:sz w:val="23"/>
                <w:szCs w:val="23"/>
              </w:rPr>
              <w:t xml:space="preserve"> </w:t>
            </w:r>
            <w:r>
              <w:rPr>
                <w:rFonts w:ascii="Arial Narrow" w:hAnsi="Arial Narrow"/>
                <w:noProof/>
                <w:color w:val="006600"/>
                <w:sz w:val="20"/>
              </w:rPr>
              <w:t>800</w:t>
            </w:r>
          </w:p>
        </w:tc>
        <w:tc>
          <w:tcPr>
            <w:tcW w:w="1276" w:type="dxa"/>
            <w:shd w:val="clear" w:color="auto" w:fill="C6EFCE"/>
            <w:noWrap/>
            <w:vAlign w:val="center"/>
          </w:tcPr>
          <w:p w14:paraId="4EB0A272" w14:textId="77777777" w:rsidR="00327FF1" w:rsidRDefault="00E406C7">
            <w:pPr>
              <w:spacing w:before="120" w:after="120"/>
              <w:jc w:val="center"/>
              <w:rPr>
                <w:rFonts w:ascii="Arial Narrow" w:hAnsi="Arial Narrow"/>
                <w:noProof/>
                <w:color w:val="006100"/>
                <w:sz w:val="20"/>
                <w:szCs w:val="20"/>
              </w:rPr>
            </w:pPr>
            <w:r>
              <w:rPr>
                <w:rFonts w:ascii="Arial Narrow" w:hAnsi="Arial Narrow"/>
                <w:noProof/>
                <w:color w:val="006600"/>
                <w:sz w:val="20"/>
              </w:rPr>
              <w:t>2</w:t>
            </w:r>
            <w:r>
              <w:rPr>
                <w:noProof/>
                <w:sz w:val="23"/>
                <w:szCs w:val="23"/>
              </w:rPr>
              <w:t xml:space="preserve"> </w:t>
            </w:r>
            <w:r>
              <w:rPr>
                <w:rFonts w:ascii="Arial Narrow" w:hAnsi="Arial Narrow"/>
                <w:noProof/>
                <w:color w:val="006600"/>
                <w:sz w:val="20"/>
              </w:rPr>
              <w:t>700</w:t>
            </w:r>
          </w:p>
        </w:tc>
        <w:tc>
          <w:tcPr>
            <w:tcW w:w="865" w:type="dxa"/>
            <w:shd w:val="clear" w:color="auto" w:fill="C6EFCE"/>
            <w:noWrap/>
            <w:vAlign w:val="center"/>
          </w:tcPr>
          <w:p w14:paraId="6954BC97" w14:textId="77777777" w:rsidR="00327FF1" w:rsidRDefault="00E406C7">
            <w:pPr>
              <w:pStyle w:val="P68B1DB1-Normal103"/>
              <w:spacing w:before="120" w:after="120"/>
              <w:jc w:val="center"/>
              <w:rPr>
                <w:noProof/>
                <w:color w:val="006100"/>
                <w:szCs w:val="20"/>
              </w:rPr>
            </w:pPr>
            <w:r>
              <w:rPr>
                <w:noProof/>
              </w:rPr>
              <w:t>2. CET.</w:t>
            </w:r>
          </w:p>
        </w:tc>
        <w:tc>
          <w:tcPr>
            <w:tcW w:w="721" w:type="dxa"/>
            <w:shd w:val="clear" w:color="auto" w:fill="C6EFCE"/>
            <w:noWrap/>
            <w:vAlign w:val="center"/>
          </w:tcPr>
          <w:p w14:paraId="72D3CA23" w14:textId="77777777" w:rsidR="00327FF1" w:rsidRDefault="00E406C7">
            <w:pPr>
              <w:pStyle w:val="P68B1DB1-Normal103"/>
              <w:spacing w:before="120" w:after="120"/>
              <w:jc w:val="center"/>
              <w:rPr>
                <w:noProof/>
                <w:color w:val="006100"/>
                <w:szCs w:val="20"/>
              </w:rPr>
            </w:pPr>
            <w:r>
              <w:rPr>
                <w:noProof/>
              </w:rPr>
              <w:t>2024</w:t>
            </w:r>
          </w:p>
        </w:tc>
        <w:tc>
          <w:tcPr>
            <w:tcW w:w="2881" w:type="dxa"/>
            <w:shd w:val="clear" w:color="auto" w:fill="C6EFCE"/>
            <w:noWrap/>
            <w:vAlign w:val="center"/>
          </w:tcPr>
          <w:p w14:paraId="41FEA663" w14:textId="77777777" w:rsidR="00327FF1" w:rsidRDefault="00E406C7">
            <w:pPr>
              <w:pStyle w:val="P68B1DB1-Normal103"/>
              <w:spacing w:before="120" w:after="120"/>
              <w:rPr>
                <w:rFonts w:eastAsia="Calibri"/>
                <w:noProof/>
                <w:szCs w:val="20"/>
              </w:rPr>
            </w:pPr>
            <w:r>
              <w:rPr>
                <w:noProof/>
              </w:rPr>
              <w:t xml:space="preserve">Šis ieguldījums palielina stipendijas </w:t>
            </w:r>
            <w:r>
              <w:rPr>
                <w:noProof/>
              </w:rPr>
              <w:t>īpašajam vispārējās medicīnas kursam, garantējot trīs trīs gadu mācību ciklu pabeigšanu.</w:t>
            </w:r>
          </w:p>
        </w:tc>
      </w:tr>
    </w:tbl>
    <w:p w14:paraId="7C05B642" w14:textId="77777777" w:rsidR="00327FF1" w:rsidRDefault="00327FF1">
      <w:pPr>
        <w:pStyle w:val="Text1"/>
        <w:ind w:left="0"/>
        <w:rPr>
          <w:rFonts w:eastAsiaTheme="majorEastAsia"/>
          <w:b/>
          <w:bCs/>
          <w:smallCaps/>
          <w:noProof/>
          <w:szCs w:val="28"/>
        </w:rPr>
        <w:sectPr w:rsidR="00327FF1" w:rsidSect="005F11B9">
          <w:headerReference w:type="even" r:id="rId310"/>
          <w:headerReference w:type="default" r:id="rId311"/>
          <w:footerReference w:type="even" r:id="rId312"/>
          <w:footerReference w:type="default" r:id="rId313"/>
          <w:headerReference w:type="first" r:id="rId314"/>
          <w:footerReference w:type="first" r:id="rId315"/>
          <w:pgSz w:w="16839" w:h="11907" w:orient="landscape"/>
          <w:pgMar w:top="1440" w:right="1440" w:bottom="1440" w:left="1440" w:header="567" w:footer="567" w:gutter="0"/>
          <w:cols w:space="720"/>
          <w:docGrid w:linePitch="360"/>
        </w:sectPr>
      </w:pPr>
    </w:p>
    <w:p w14:paraId="2912CA9F" w14:textId="1E8DDE12" w:rsidR="00327FF1" w:rsidRDefault="00E406C7">
      <w:pPr>
        <w:pStyle w:val="P68B1DB1-Heading23"/>
        <w:ind w:left="1080"/>
        <w:rPr>
          <w:bCs/>
          <w:noProof/>
        </w:rPr>
      </w:pPr>
      <w:r>
        <w:rPr>
          <w:noProof/>
        </w:rPr>
        <w:t>Q.MISSION 7: REPowerEU</w:t>
      </w:r>
    </w:p>
    <w:p w14:paraId="50F407CF" w14:textId="77777777" w:rsidR="00327FF1" w:rsidRDefault="00E406C7">
      <w:pPr>
        <w:pStyle w:val="P68B1DB1-paragraph105"/>
        <w:spacing w:before="0" w:beforeAutospacing="0" w:after="120" w:afterAutospacing="0"/>
        <w:jc w:val="both"/>
        <w:textAlignment w:val="baseline"/>
        <w:rPr>
          <w:noProof/>
        </w:rPr>
      </w:pPr>
      <w:r>
        <w:rPr>
          <w:noProof/>
        </w:rPr>
        <w:t xml:space="preserve">REPowerEU nodaļas mērķis ir stiprināt sadales pārvades un sadales tīklus, tostarp tos, </w:t>
      </w:r>
      <w:r>
        <w:rPr>
          <w:noProof/>
        </w:rPr>
        <w:t>kas saistīti ar gāzi; paātrināt atjaunīgās enerģijas ražošanu, samazināt enerģijas pieprasījumu, palielināt energoefektivitāti un radīt prasmes publiskajā un privātajā sektorā zaļās pārkārtošanās vajadzībām; veicināt atjaunīgās enerģijas un ūdeņraža vērtīb</w:t>
      </w:r>
      <w:r>
        <w:rPr>
          <w:noProof/>
        </w:rPr>
        <w:t>as ķēdes, izmantojot pasākumus, kas atvieglo piekļuvi kredītiem un nodokļu kredītiem.</w:t>
      </w:r>
    </w:p>
    <w:p w14:paraId="3CDC6611" w14:textId="77777777" w:rsidR="00327FF1" w:rsidRDefault="00E406C7">
      <w:pPr>
        <w:pStyle w:val="P68B1DB1-paragraph105"/>
        <w:spacing w:before="0" w:beforeAutospacing="0" w:after="120" w:afterAutospacing="0"/>
        <w:jc w:val="both"/>
        <w:textAlignment w:val="baseline"/>
        <w:rPr>
          <w:noProof/>
        </w:rPr>
      </w:pPr>
      <w:r>
        <w:rPr>
          <w:noProof/>
        </w:rPr>
        <w:t>Komponents ir vērsts uz Itālijai 2022. un 2023. gadā adresētajiem ieteikumiem. Proti, tās mērķis ir paātrināt papildu atjaunīgās enerģijas jaudas izvēršanu, ieguldot liel</w:t>
      </w:r>
      <w:r>
        <w:rPr>
          <w:noProof/>
        </w:rPr>
        <w:t>os elektroenerģijas starpsavienojumu projektos (proti, divos starpsavienojumos, kas savieno Sardīniju un Sicīliju ar kontinentālo daļu), modernizējot valsts pārvades tīklu un racionalizējot atļauju piešķiršanas procedūras. Tas palīdz palielināt gāzes iekšē</w:t>
      </w:r>
      <w:r>
        <w:rPr>
          <w:noProof/>
        </w:rPr>
        <w:t>jās pārvades jaudu, lai pārvarētu sastrēgumus, dažādotu enerģijas importu un stiprinātu piegādes drošību. Tā veicina ilgtspējīgu mobilitāti, samazinot videi kaitīgas subsīdijas un stiprinot dzelzceļa parku. Tas palīdz samazināt atkarību no fosilajām degvie</w:t>
      </w:r>
      <w:r>
        <w:rPr>
          <w:noProof/>
        </w:rPr>
        <w:t>lām, elektrificējot mājsaimniecību patēriņu un palielinot tīkla noturību. Tā palīdz palielināt energoefektivitāti mājokļu un uzņēmumu sektorā, tostarp izmantojot mērķtiecīgas stimulu shēmas un finanšu instrumentus. Visbeidzot, tas ietver reformas un invest</w:t>
      </w:r>
      <w:r>
        <w:rPr>
          <w:noProof/>
        </w:rPr>
        <w:t>īcijas, kuru mērķis ir uzlabot zaļās pārkārtošanās īstenošanai nepieciešamo prasmju nodrošināšanu un apguvi gan privātajā, gan publiskajā sektorā.</w:t>
      </w:r>
    </w:p>
    <w:p w14:paraId="6E447A28" w14:textId="77777777" w:rsidR="00327FF1" w:rsidRDefault="00E406C7">
      <w:pPr>
        <w:pStyle w:val="P68B1DB1-paragraph105"/>
        <w:spacing w:before="0" w:beforeAutospacing="0" w:after="120" w:afterAutospacing="0"/>
        <w:jc w:val="both"/>
        <w:textAlignment w:val="baseline"/>
        <w:rPr>
          <w:rFonts w:eastAsia="Calibri"/>
          <w:noProof/>
        </w:rPr>
      </w:pPr>
      <w:r>
        <w:rPr>
          <w:noProof/>
        </w:rPr>
        <w:t>Deviņiem projektiem ir pārrobežu dimensija. Trim no tām ir tieša pārrobežu ietekme: 1) ieguldījums elektrotīk</w:t>
      </w:r>
      <w:r>
        <w:rPr>
          <w:noProof/>
        </w:rPr>
        <w:t>lu starpsavienojuma izbūvē starp Sardīniju, Korsiku un Toskānu; 3) investīcijas kompresoru stacijā, kas palielina gāzes eksportu uz Centrāleiropu. Citi projekti netieši nāk par labu pārrobežu dalībvalstīm, novēršot iekšējās enerģijas pārvades un sadales vā</w:t>
      </w:r>
      <w:r>
        <w:rPr>
          <w:noProof/>
        </w:rPr>
        <w:t>jās vietas un palielinot tīkla efektivitāti un noturību.</w:t>
      </w:r>
    </w:p>
    <w:p w14:paraId="540F4485" w14:textId="77777777" w:rsidR="00327FF1" w:rsidRDefault="00E406C7">
      <w:pPr>
        <w:pStyle w:val="P68B1DB1-Normal7"/>
        <w:spacing w:after="120"/>
        <w:jc w:val="both"/>
        <w:rPr>
          <w:noProof/>
        </w:rPr>
      </w:pPr>
      <w:r>
        <w:rPr>
          <w:noProof/>
        </w:rPr>
        <w:t>Paredzams, ka neviens pasākums šajā komponentā nenodarīs būtisku kaitējumu vides mērķiem Regulas (ES) 2020/852 17. panta nozīmē, ņemot vērā atveseļošanas un noturības plānā izklāstīto pasākumu un maz</w:t>
      </w:r>
      <w:r>
        <w:rPr>
          <w:noProof/>
        </w:rPr>
        <w:t xml:space="preserve">ināšanas pasākumu aprakstu saskaņā ar Tehniskajiem norādījumiem “nenodari būtisku kaitējumu” ( </w:t>
      </w:r>
      <w:r>
        <w:rPr>
          <w:noProof/>
          <w:color w:val="000000" w:themeColor="text1"/>
        </w:rPr>
        <w:t>C</w:t>
      </w:r>
      <w:r>
        <w:rPr>
          <w:noProof/>
        </w:rPr>
        <w:t>(2023) 6454 final),</w:t>
      </w:r>
      <w:r>
        <w:rPr>
          <w:noProof/>
          <w:color w:val="000000" w:themeColor="text1"/>
        </w:rPr>
        <w:t>savukārt</w:t>
      </w:r>
      <w:r>
        <w:rPr>
          <w:noProof/>
        </w:rPr>
        <w:t xml:space="preserve"> princips “nenodari būtisku kaitējumu” saskaņā ar Regulas (ES) 2021/241 21.c panta 6. punktu neattiecas uz 13. investīciju Adrijas </w:t>
      </w:r>
      <w:r>
        <w:rPr>
          <w:noProof/>
        </w:rPr>
        <w:t>jūras līnijas 1. posms (Sulmonas kompresoru stacija un Sestino-Minerbio gāzes cauruļvads) un 14. investīciju “Pārrobežu gāzes eksporta infrastruktūra”.</w:t>
      </w:r>
    </w:p>
    <w:p w14:paraId="68C4830C" w14:textId="77777777" w:rsidR="00327FF1" w:rsidRDefault="00E406C7">
      <w:pPr>
        <w:pStyle w:val="P68B1DB1-Heading368"/>
        <w:ind w:left="850" w:hanging="850"/>
        <w:rPr>
          <w:noProof/>
        </w:rPr>
      </w:pPr>
      <w:r>
        <w:rPr>
          <w:noProof/>
        </w:rPr>
        <w:t xml:space="preserve">JAUTĀJUMS. </w:t>
      </w:r>
      <w:r>
        <w:rPr>
          <w:noProof/>
        </w:rPr>
        <w:tab/>
        <w:t>Reformu un investīciju apraksts neatmaksājamam finansiālajam atbalstam</w:t>
      </w:r>
    </w:p>
    <w:p w14:paraId="55E4504E" w14:textId="77777777" w:rsidR="00327FF1" w:rsidRDefault="00E406C7">
      <w:pPr>
        <w:pStyle w:val="Heading4"/>
        <w:rPr>
          <w:rStyle w:val="normaltextrun"/>
          <w:rFonts w:ascii="Times New Roman" w:hAnsi="Times New Roman" w:cs="Times New Roman"/>
          <w:b/>
          <w:i w:val="0"/>
          <w:noProof/>
          <w:color w:val="000000" w:themeColor="text1"/>
        </w:rPr>
      </w:pPr>
      <w:r>
        <w:rPr>
          <w:rStyle w:val="normaltextrun"/>
          <w:rFonts w:ascii="Times New Roman" w:hAnsi="Times New Roman" w:cs="Times New Roman"/>
          <w:b/>
          <w:i w:val="0"/>
          <w:noProof/>
          <w:color w:val="000000" w:themeColor="text1"/>
        </w:rPr>
        <w:t>Reforma. Atjaunīgās e</w:t>
      </w:r>
      <w:r>
        <w:rPr>
          <w:rStyle w:val="normaltextrun"/>
          <w:rFonts w:ascii="Times New Roman" w:hAnsi="Times New Roman" w:cs="Times New Roman"/>
          <w:b/>
          <w:i w:val="0"/>
          <w:noProof/>
          <w:color w:val="000000" w:themeColor="text1"/>
        </w:rPr>
        <w:t xml:space="preserve">nerģijas atļauju piešķiršanas procedūru racionalizēšana centrālā un vietējā līmenī </w:t>
      </w:r>
    </w:p>
    <w:p w14:paraId="32E99E39" w14:textId="10AF1124" w:rsidR="00327FF1" w:rsidRDefault="00E406C7">
      <w:pPr>
        <w:pStyle w:val="P68B1DB1-Text143"/>
        <w:spacing w:before="0"/>
        <w:ind w:left="0"/>
        <w:rPr>
          <w:noProof/>
        </w:rPr>
      </w:pPr>
      <w:r>
        <w:rPr>
          <w:rFonts w:eastAsiaTheme="minorHAnsi"/>
          <w:noProof/>
          <w:kern w:val="2"/>
        </w:rPr>
        <w:t xml:space="preserve">Šīs reformas mērķis ir konsolidēt un racionalizēt spēkā esošos tiesību aktus un noteikumus, kas reglamentē atjaunojamo energoresursu atļaušanu. Reforma ietver tāda tiesību </w:t>
      </w:r>
      <w:r>
        <w:rPr>
          <w:rFonts w:eastAsiaTheme="minorHAnsi"/>
          <w:noProof/>
          <w:kern w:val="2"/>
        </w:rPr>
        <w:t xml:space="preserve">akta (pazīstams arī kā </w:t>
      </w:r>
      <w:r>
        <w:rPr>
          <w:i/>
          <w:noProof/>
        </w:rPr>
        <w:t>Testo Unico</w:t>
      </w:r>
      <w:r>
        <w:rPr>
          <w:rFonts w:eastAsiaTheme="minorHAnsi"/>
          <w:noProof/>
          <w:kern w:val="2"/>
        </w:rPr>
        <w:t>) pieņemšanu un stāšanos spēkā, ar kuru</w:t>
      </w:r>
      <w:r>
        <w:rPr>
          <w:noProof/>
        </w:rPr>
        <w:t xml:space="preserve"> tiek </w:t>
      </w:r>
      <w:r>
        <w:rPr>
          <w:rFonts w:eastAsiaTheme="minorHAnsi"/>
          <w:noProof/>
          <w:kern w:val="2"/>
        </w:rPr>
        <w:t>vāktas, apkopotas un konsolidētas normas, kas reglamentē atjaunojamo energoresursu atļaušanu, un aizstāj iepriekšējos tiesību aktus šajā jomā. Reformas mērķis ir arī noteikt tie</w:t>
      </w:r>
      <w:r>
        <w:rPr>
          <w:rFonts w:eastAsiaTheme="minorHAnsi"/>
          <w:noProof/>
          <w:kern w:val="2"/>
        </w:rPr>
        <w:t>sisko regulējumu “atjaunojamo energoresursu paātrinātas apguves teritoriju” noteikšanai un izveidot vienotu digitālo platformu, lai pieprasītu atļaujas atjaunojamo energoresursu ierīkošanai valsts un vietējā līmenī.</w:t>
      </w:r>
    </w:p>
    <w:p w14:paraId="4767BB09" w14:textId="77777777" w:rsidR="00327FF1" w:rsidRDefault="00E406C7">
      <w:pPr>
        <w:pStyle w:val="Heading4"/>
        <w:numPr>
          <w:ilvl w:val="3"/>
          <w:numId w:val="0"/>
        </w:numPr>
        <w:spacing w:line="240" w:lineRule="auto"/>
        <w:rPr>
          <w:rStyle w:val="normaltextrun"/>
          <w:rFonts w:ascii="Times New Roman" w:eastAsiaTheme="minorEastAsia" w:hAnsi="Times New Roman" w:cs="Times New Roman"/>
          <w:b/>
          <w:i w:val="0"/>
          <w:iCs w:val="0"/>
          <w:noProof/>
          <w:snapToGrid w:val="0"/>
          <w:color w:val="000000" w:themeColor="text1"/>
          <w:sz w:val="0"/>
          <w:szCs w:val="0"/>
          <w:u w:color="000000"/>
          <w:bdr w:val="none" w:sz="0" w:space="0" w:color="000000"/>
          <w:shd w:val="clear" w:color="000000" w:fill="000000"/>
        </w:rPr>
      </w:pPr>
      <w:r>
        <w:rPr>
          <w:noProof/>
        </w:rPr>
        <w:br w:type="page"/>
      </w:r>
      <w:r>
        <w:rPr>
          <w:rStyle w:val="normaltextrun"/>
          <w:rFonts w:ascii="Times New Roman" w:hAnsi="Times New Roman" w:cs="Times New Roman"/>
          <w:b/>
          <w:i w:val="0"/>
          <w:noProof/>
          <w:color w:val="000000" w:themeColor="text1"/>
        </w:rPr>
        <w:t>Reforma. Videi kaitīgu subsīdiju samazi</w:t>
      </w:r>
      <w:r>
        <w:rPr>
          <w:rStyle w:val="normaltextrun"/>
          <w:rFonts w:ascii="Times New Roman" w:hAnsi="Times New Roman" w:cs="Times New Roman"/>
          <w:b/>
          <w:i w:val="0"/>
          <w:noProof/>
          <w:color w:val="000000" w:themeColor="text1"/>
        </w:rPr>
        <w:t>nāšana</w:t>
      </w:r>
    </w:p>
    <w:p w14:paraId="717F294D" w14:textId="5C045CB0" w:rsidR="00327FF1" w:rsidRDefault="00E406C7">
      <w:pPr>
        <w:pStyle w:val="P68B1DB1-Normal27"/>
        <w:spacing w:after="120" w:line="240" w:lineRule="auto"/>
        <w:jc w:val="both"/>
        <w:rPr>
          <w:noProof/>
        </w:rPr>
      </w:pPr>
      <w:r>
        <w:rPr>
          <w:noProof/>
        </w:rPr>
        <w:t>Šīs reformas mērķis ir samazināt videi kaitīgas subsīdijas, pamatojoties uz MASE publicēto 2022. gada videi kaitīgu subsīdiju katalogu. Reforma ietver apspriešanās ar ieinteresētajām personām ziņojuma un tiesību aktu pieņemšanu.</w:t>
      </w:r>
    </w:p>
    <w:p w14:paraId="3660516E" w14:textId="77777777" w:rsidR="00327FF1" w:rsidRDefault="00E406C7">
      <w:pPr>
        <w:pStyle w:val="Heading4"/>
        <w:spacing w:line="240" w:lineRule="auto"/>
        <w:ind w:left="850" w:hanging="850"/>
        <w:rPr>
          <w:rStyle w:val="normaltextrun"/>
          <w:rFonts w:ascii="Times New Roman" w:eastAsiaTheme="minorEastAsia" w:hAnsi="Times New Roman" w:cs="Times New Roman"/>
          <w:b/>
          <w:i w:val="0"/>
          <w:iCs w:val="0"/>
          <w:noProof/>
          <w:color w:val="000000" w:themeColor="text1"/>
        </w:rPr>
      </w:pPr>
      <w:r>
        <w:rPr>
          <w:rStyle w:val="normaltextrun"/>
          <w:rFonts w:ascii="Times New Roman" w:hAnsi="Times New Roman" w:cs="Times New Roman"/>
          <w:b/>
          <w:i w:val="0"/>
          <w:noProof/>
          <w:color w:val="000000" w:themeColor="text1"/>
        </w:rPr>
        <w:t>Reforma. Biometāna p</w:t>
      </w:r>
      <w:r>
        <w:rPr>
          <w:rStyle w:val="normaltextrun"/>
          <w:rFonts w:ascii="Times New Roman" w:hAnsi="Times New Roman" w:cs="Times New Roman"/>
          <w:b/>
          <w:i w:val="0"/>
          <w:noProof/>
          <w:color w:val="000000" w:themeColor="text1"/>
        </w:rPr>
        <w:t>ieslēguma gāzes tīklam izmaksu samazināšana</w:t>
      </w:r>
    </w:p>
    <w:p w14:paraId="2820B683" w14:textId="4DFED333" w:rsidR="00327FF1" w:rsidRDefault="00E406C7">
      <w:pPr>
        <w:pStyle w:val="P68B1DB1-Text1106"/>
        <w:spacing w:before="0"/>
        <w:ind w:left="0"/>
        <w:rPr>
          <w:noProof/>
        </w:rPr>
      </w:pPr>
      <w:r>
        <w:rPr>
          <w:noProof/>
        </w:rPr>
        <w:t xml:space="preserve">Reformas mērķis ir veicināt biometāna iekļaušanu energosistēmā un enerģijas tirgū un radīt jaunu ilgtspējīgu biometāna ražošanas jaudu saskaņā ar Direktīvu (ES) 2018/2001 (Atjaunojamo energoresursu direktīva) un </w:t>
      </w:r>
      <w:r>
        <w:rPr>
          <w:noProof/>
        </w:rPr>
        <w:t>tās deleģētajiem aktiem, un jo īpaši veicināt dabasgāzes tīkla elastību un efektivitāti, atvieglojot pāreju uz biometānu. Reforma ietver tādu tiesību aktu stāšanos spēkā, kuru mērķis ir samazināt ilgtspējīgu biometāna ražotņu pieslēguma izmaksas un veicinā</w:t>
      </w:r>
      <w:r>
        <w:rPr>
          <w:noProof/>
        </w:rPr>
        <w:t>t investīcijas, kuru mērķis ir ilgtspējīga biometāna ieviešana dabasgāzes tīklos.</w:t>
      </w:r>
    </w:p>
    <w:p w14:paraId="0A06995C" w14:textId="77777777" w:rsidR="00327FF1" w:rsidRDefault="00E406C7">
      <w:pPr>
        <w:pStyle w:val="P68B1DB1-Heading4107"/>
        <w:rPr>
          <w:noProof/>
        </w:rPr>
      </w:pPr>
      <w:r>
        <w:rPr>
          <w:noProof/>
        </w:rPr>
        <w:t>Reforma. Tāda finanšu riska mazināšana, kas saistīts ar atjaunojamo energoresursu EPL (jaudas pirkuma līgumi)</w:t>
      </w:r>
    </w:p>
    <w:p w14:paraId="3A3602C3" w14:textId="77777777" w:rsidR="00327FF1" w:rsidRDefault="00E406C7">
      <w:pPr>
        <w:pStyle w:val="P68B1DB1-Text143"/>
        <w:spacing w:before="0"/>
        <w:ind w:left="0"/>
        <w:rPr>
          <w:noProof/>
        </w:rPr>
      </w:pPr>
      <w:r>
        <w:rPr>
          <w:noProof/>
        </w:rPr>
        <w:t>Reformas mērķis ir izveidot garantiju sistēmu, lai mazinātu fina</w:t>
      </w:r>
      <w:r>
        <w:rPr>
          <w:noProof/>
        </w:rPr>
        <w:t xml:space="preserve">nsiālo risku, kas saistīts ar atjaunojamo energoresursu elektroenerģijas pirkuma līgumiem, kuru termiņš ir vismaz trīs gadi. </w:t>
      </w:r>
    </w:p>
    <w:p w14:paraId="4514D05A" w14:textId="77777777" w:rsidR="00327FF1" w:rsidRDefault="00E406C7">
      <w:pPr>
        <w:pStyle w:val="P68B1DB1-Text143"/>
        <w:spacing w:before="0"/>
        <w:ind w:left="0"/>
        <w:rPr>
          <w:noProof/>
        </w:rPr>
      </w:pPr>
      <w:r>
        <w:rPr>
          <w:noProof/>
        </w:rPr>
        <w:t xml:space="preserve">Reforma: </w:t>
      </w:r>
    </w:p>
    <w:p w14:paraId="4A89DA8C" w14:textId="77777777" w:rsidR="00327FF1" w:rsidRDefault="00E406C7">
      <w:pPr>
        <w:pStyle w:val="P68B1DB1-Text143"/>
        <w:numPr>
          <w:ilvl w:val="0"/>
          <w:numId w:val="45"/>
        </w:numPr>
        <w:spacing w:before="0"/>
        <w:rPr>
          <w:noProof/>
        </w:rPr>
      </w:pPr>
      <w:r>
        <w:rPr>
          <w:noProof/>
        </w:rPr>
        <w:t xml:space="preserve">pieprasīt, lai katrs operators garantē elektroenerģijas pirkuma līgumu pretvērtības daļēju segumu, izmantojot garantijas instrumentus, kas nodrošināti elektroenerģijas tirgū; </w:t>
      </w:r>
    </w:p>
    <w:p w14:paraId="2591FC23" w14:textId="77777777" w:rsidR="00327FF1" w:rsidRDefault="00E406C7">
      <w:pPr>
        <w:pStyle w:val="P68B1DB1-Text143"/>
        <w:numPr>
          <w:ilvl w:val="0"/>
          <w:numId w:val="45"/>
        </w:numPr>
        <w:spacing w:before="0"/>
        <w:rPr>
          <w:noProof/>
        </w:rPr>
      </w:pPr>
      <w:r>
        <w:rPr>
          <w:noProof/>
        </w:rPr>
        <w:t>ieviest pasākumus, lai mazinātu saistību neizpildes risku, tostarp prasības un i</w:t>
      </w:r>
      <w:r>
        <w:rPr>
          <w:noProof/>
        </w:rPr>
        <w:t>erobežojumus pretendentam un regulatīvās sankcijas ražotāja saistību neizpildes gadījumā;</w:t>
      </w:r>
    </w:p>
    <w:p w14:paraId="6C8284EF" w14:textId="43F92B5C" w:rsidR="00327FF1" w:rsidRDefault="00E406C7">
      <w:pPr>
        <w:pStyle w:val="P68B1DB1-Text143"/>
        <w:numPr>
          <w:ilvl w:val="0"/>
          <w:numId w:val="45"/>
        </w:numPr>
        <w:spacing w:before="0"/>
        <w:rPr>
          <w:noProof/>
        </w:rPr>
      </w:pPr>
      <w:r>
        <w:rPr>
          <w:noProof/>
        </w:rPr>
        <w:t xml:space="preserve">noteikt institucionālu vienību, kas uzņemas pēdējā garantētā pārdevēja/pircēja lomu, kurš pārņemtu no darījuma partnera, kas kļūst maksātnespējīgs, un nodrošinātu to </w:t>
      </w:r>
      <w:r>
        <w:rPr>
          <w:noProof/>
        </w:rPr>
        <w:t xml:space="preserve">saistību izpildi, kuras uzņemas attiecībā pret izpildītāju. </w:t>
      </w:r>
    </w:p>
    <w:p w14:paraId="3FC40882" w14:textId="77777777" w:rsidR="00327FF1" w:rsidRDefault="00E406C7">
      <w:pPr>
        <w:pStyle w:val="P68B1DB1-Heading4107"/>
        <w:spacing w:line="240" w:lineRule="auto"/>
        <w:ind w:left="850" w:hanging="850"/>
        <w:rPr>
          <w:noProof/>
        </w:rPr>
      </w:pPr>
      <w:bookmarkStart w:id="25" w:name="_Hlk160472416"/>
      <w:r>
        <w:rPr>
          <w:noProof/>
        </w:rPr>
        <w:t>Reforma. Jaunu prasmju plāns — Pārejas</w:t>
      </w:r>
    </w:p>
    <w:bookmarkEnd w:id="25"/>
    <w:p w14:paraId="5E872CCE" w14:textId="49014E79" w:rsidR="00327FF1" w:rsidRDefault="00E406C7">
      <w:pPr>
        <w:pStyle w:val="P68B1DB1-Normal7"/>
        <w:spacing w:after="120" w:line="240" w:lineRule="auto"/>
        <w:jc w:val="both"/>
        <w:rPr>
          <w:rFonts w:eastAsia="Times New Roman"/>
          <w:noProof/>
        </w:rPr>
      </w:pPr>
      <w:r>
        <w:rPr>
          <w:noProof/>
        </w:rPr>
        <w:t xml:space="preserve">Reformas mērķis ir labāk saskaņot apmācības programmas ar darba tirgus vajadzībām, lai apkarotu prasmju neatbilstību, īpašu uzmanību pievēršot zaļajām un </w:t>
      </w:r>
      <w:r>
        <w:rPr>
          <w:noProof/>
        </w:rPr>
        <w:t>digitālajām prasmēm. Šī reforma ietver to tiesību aktu pieņemšanu un stāšanos spēkā valsts līmenī, ar kuriem atjaunina jauno prasmju plānu (“Piano Nuove Competenze — Transizioni”) un reģionālos tiesību aktus.</w:t>
      </w:r>
    </w:p>
    <w:p w14:paraId="02CEC2EA" w14:textId="77777777" w:rsidR="00327FF1" w:rsidRDefault="00E406C7">
      <w:pPr>
        <w:pStyle w:val="Heading4"/>
        <w:spacing w:line="240" w:lineRule="auto"/>
        <w:ind w:left="850" w:hanging="850"/>
        <w:rPr>
          <w:rStyle w:val="normaltextrun"/>
          <w:rFonts w:ascii="Times New Roman" w:eastAsiaTheme="minorEastAsia" w:hAnsi="Times New Roman" w:cs="Times New Roman"/>
          <w:b/>
          <w:i w:val="0"/>
          <w:iCs w:val="0"/>
          <w:noProof/>
          <w:color w:val="000000" w:themeColor="text1"/>
        </w:rPr>
      </w:pPr>
      <w:r>
        <w:rPr>
          <w:rStyle w:val="normaltextrun"/>
          <w:rFonts w:ascii="Times New Roman" w:hAnsi="Times New Roman" w:cs="Times New Roman"/>
          <w:b/>
          <w:i w:val="0"/>
          <w:noProof/>
          <w:color w:val="000000" w:themeColor="text1"/>
        </w:rPr>
        <w:t>Ieguldījums 1. Palielinātais pasākums: Viedtīkl</w:t>
      </w:r>
      <w:r>
        <w:rPr>
          <w:rStyle w:val="normaltextrun"/>
          <w:rFonts w:ascii="Times New Roman" w:hAnsi="Times New Roman" w:cs="Times New Roman"/>
          <w:b/>
          <w:i w:val="0"/>
          <w:noProof/>
          <w:color w:val="000000" w:themeColor="text1"/>
        </w:rPr>
        <w:t>i</w:t>
      </w:r>
    </w:p>
    <w:p w14:paraId="511849F2" w14:textId="77777777" w:rsidR="00327FF1" w:rsidRDefault="00E406C7">
      <w:pPr>
        <w:pStyle w:val="Text1"/>
        <w:spacing w:before="0"/>
        <w:ind w:left="0"/>
        <w:rPr>
          <w:noProof/>
        </w:rPr>
      </w:pPr>
      <w:r>
        <w:rPr>
          <w:noProof/>
        </w:rPr>
        <w:t>Šīs investīcijas mērķis ir digitalizēt elektroenerģijas sadales tīklu kā 2. misijas 2. komponenta investīcijas Nr. 2.1. (Viedtīklu stiprināšana) izvēršanu. Investīcija sastāv no intervences vidēja un zema sprieguma tīkla daļās, tādējādi elektrificējot vi</w:t>
      </w:r>
      <w:r>
        <w:rPr>
          <w:noProof/>
        </w:rPr>
        <w:t>smaz par 230000 iedzīvotāju patērēto enerģiju, nekā paredzēts M2C2 pasākumā.</w:t>
      </w:r>
    </w:p>
    <w:p w14:paraId="2BD9B8F0" w14:textId="77777777" w:rsidR="00327FF1" w:rsidRDefault="00E406C7">
      <w:pPr>
        <w:pStyle w:val="Heading4"/>
        <w:spacing w:line="240" w:lineRule="auto"/>
        <w:ind w:left="850" w:hanging="850"/>
        <w:jc w:val="both"/>
        <w:rPr>
          <w:rStyle w:val="normaltextrun"/>
          <w:rFonts w:ascii="Times New Roman" w:hAnsi="Times New Roman" w:cs="Times New Roman"/>
          <w:b/>
          <w:i w:val="0"/>
          <w:iCs w:val="0"/>
          <w:noProof/>
          <w:color w:val="000000" w:themeColor="text1"/>
        </w:rPr>
      </w:pPr>
      <w:r>
        <w:rPr>
          <w:rStyle w:val="normaltextrun"/>
          <w:rFonts w:ascii="Times New Roman" w:hAnsi="Times New Roman" w:cs="Times New Roman"/>
          <w:b/>
          <w:i w:val="0"/>
          <w:noProof/>
          <w:color w:val="000000" w:themeColor="text1"/>
        </w:rPr>
        <w:t>Ieguldījums 2. Palielinātais pasākums: Intervences, kuru mērķis ir palielināt elektrotīkla noturību</w:t>
      </w:r>
    </w:p>
    <w:p w14:paraId="5A988882" w14:textId="522C60EE" w:rsidR="00327FF1" w:rsidRDefault="00E406C7">
      <w:pPr>
        <w:pStyle w:val="P68B1DB1-Text143"/>
        <w:spacing w:before="0"/>
        <w:ind w:left="0"/>
        <w:rPr>
          <w:noProof/>
        </w:rPr>
      </w:pPr>
      <w:r>
        <w:rPr>
          <w:noProof/>
        </w:rPr>
        <w:t>Šīs investīcijas mērķis ir palielināt elektrotīkla noturību pret ekstremāliem l</w:t>
      </w:r>
      <w:r>
        <w:rPr>
          <w:noProof/>
        </w:rPr>
        <w:t xml:space="preserve">aikapstākļiem, palielinot 2. misijas 2. komponenta investīciju 2.2.. Investīcija ietver dotāciju piešķiršanu pārvades un sadales sistēmu operatoriem elektroenerģijas infrastruktūras darbiem, kas atbilst lielākai noturībai vismaz 648 km elektrotīkla garumā </w:t>
      </w:r>
      <w:r>
        <w:rPr>
          <w:noProof/>
        </w:rPr>
        <w:t>papildus tam, kas jau ir paredzēts M2C2 pasākumā.</w:t>
      </w:r>
    </w:p>
    <w:p w14:paraId="28B9BB58" w14:textId="77777777" w:rsidR="00327FF1" w:rsidRDefault="00E406C7">
      <w:pPr>
        <w:pStyle w:val="P68B1DB1-Heading4107"/>
        <w:spacing w:line="240" w:lineRule="auto"/>
        <w:jc w:val="both"/>
        <w:rPr>
          <w:noProof/>
        </w:rPr>
      </w:pPr>
      <w:r>
        <w:rPr>
          <w:noProof/>
        </w:rPr>
        <w:t>Investīcija Nr. 3. Palielinātais pasākums: Ūdeņraža ražošana degradētās teritorijās (Ūdeņraža ielejās)</w:t>
      </w:r>
    </w:p>
    <w:p w14:paraId="7854E9D2" w14:textId="77777777" w:rsidR="00327FF1" w:rsidRDefault="00E406C7">
      <w:pPr>
        <w:pStyle w:val="P68B1DB1-Text143"/>
        <w:spacing w:before="0"/>
        <w:ind w:left="0"/>
        <w:rPr>
          <w:noProof/>
        </w:rPr>
      </w:pPr>
      <w:r>
        <w:rPr>
          <w:noProof/>
        </w:rPr>
        <w:t>Šīs investīcijas mērķis ir izveidot jaunas ūdeņraža ielejas, t. i., atjaunīgā ūdeņraža vietējo ražošanu</w:t>
      </w:r>
      <w:r>
        <w:rPr>
          <w:noProof/>
        </w:rPr>
        <w:t xml:space="preserve"> un izmantošanu rūpniecībā, MVU un vietējā transportā, paplašinot investīcijas Nr. 3.1 2. misijas 2. komponentā. Izvērses investīcijas ietver divu papildu projektu īstenošanu ūdeņraža ražošanai pamestās rūpniecības teritorijās salīdzinājumā ar tiem, kas pa</w:t>
      </w:r>
      <w:r>
        <w:rPr>
          <w:noProof/>
        </w:rPr>
        <w:t>redzēti 2. misijas 2. komponenta investīcijā 3.1.</w:t>
      </w:r>
    </w:p>
    <w:p w14:paraId="6C9B08BC" w14:textId="77777777" w:rsidR="00327FF1" w:rsidRDefault="00E406C7">
      <w:pPr>
        <w:pStyle w:val="P68B1DB1-Heading4107"/>
        <w:ind w:left="850" w:hanging="850"/>
        <w:rPr>
          <w:noProof/>
        </w:rPr>
      </w:pPr>
      <w:r>
        <w:rPr>
          <w:noProof/>
        </w:rPr>
        <w:t>Ieguldījums 4. Tirēnu saite</w:t>
      </w:r>
    </w:p>
    <w:p w14:paraId="12AB006C" w14:textId="77777777" w:rsidR="00327FF1" w:rsidRDefault="00E406C7">
      <w:pPr>
        <w:pStyle w:val="P68B1DB1-Text143"/>
        <w:spacing w:before="0"/>
        <w:ind w:left="0"/>
        <w:rPr>
          <w:noProof/>
        </w:rPr>
      </w:pPr>
      <w:r>
        <w:rPr>
          <w:noProof/>
        </w:rPr>
        <w:t>Šīs investīcijas mērķis ir palielināt Itālijas dienvidu integrāciju valsts pārvades tīklā. Šis ieguldījums ietver Tirēnu savienojuma starp Sicīliju un Kampāniju “austrumu starpsa</w:t>
      </w:r>
      <w:r>
        <w:rPr>
          <w:noProof/>
        </w:rPr>
        <w:t>vienojuma līnijas” izbūvi, jo īpaši līdzstrāvas kabeļu “no punkta uz punktu” (HVDC) uzstādīšanu starp Eboli un Caracoli.</w:t>
      </w:r>
    </w:p>
    <w:p w14:paraId="453BE6E8" w14:textId="77777777" w:rsidR="00327FF1" w:rsidRDefault="00E406C7">
      <w:pPr>
        <w:pStyle w:val="P68B1DB1-Normal5"/>
        <w:rPr>
          <w:noProof/>
        </w:rPr>
      </w:pPr>
      <w:r>
        <w:rPr>
          <w:noProof/>
        </w:rPr>
        <w:t>Ieguldījums 5. SA.CO.I.3</w:t>
      </w:r>
    </w:p>
    <w:p w14:paraId="26162A8C" w14:textId="77777777" w:rsidR="00327FF1" w:rsidRDefault="00E406C7">
      <w:pPr>
        <w:pStyle w:val="P68B1DB1-Text143"/>
        <w:spacing w:before="0"/>
        <w:ind w:left="0"/>
        <w:rPr>
          <w:noProof/>
        </w:rPr>
      </w:pPr>
      <w:r>
        <w:rPr>
          <w:noProof/>
        </w:rPr>
        <w:t>Šā ieguldījuma mērķis ir modernizēt elektroenerģijas pārvades infrastruktūru, kas caur Korsiku savieno Sardīni</w:t>
      </w:r>
      <w:r>
        <w:rPr>
          <w:noProof/>
        </w:rPr>
        <w:t>ju ar pārējo Itālijas daļu, un palielināt tās integrāciju valsts pārvades tīklā. Šis ieguldījums ietver Codrongianos un Suvereto pārbūves staciju korpusu (ārējās infrastruktūras) būvniecību starpsavienojuma projektam “Sardinian-Korsica-Itālija 3”.</w:t>
      </w:r>
    </w:p>
    <w:p w14:paraId="3B6B15A6" w14:textId="77777777" w:rsidR="00327FF1" w:rsidRDefault="00E406C7">
      <w:pPr>
        <w:pStyle w:val="P68B1DB1-Heading4108"/>
        <w:rPr>
          <w:noProof/>
        </w:rPr>
      </w:pPr>
      <w:r>
        <w:rPr>
          <w:noProof/>
        </w:rPr>
        <w:t>Ieguldīj</w:t>
      </w:r>
      <w:r>
        <w:rPr>
          <w:noProof/>
        </w:rPr>
        <w:t xml:space="preserve">ums Nr. 7. Viedais valsts pārvades tīkls </w:t>
      </w:r>
    </w:p>
    <w:p w14:paraId="162A6483" w14:textId="77777777" w:rsidR="00327FF1" w:rsidRDefault="00E406C7">
      <w:pPr>
        <w:pStyle w:val="P68B1DB1-Text143"/>
        <w:spacing w:before="0"/>
        <w:ind w:left="0"/>
        <w:rPr>
          <w:noProof/>
        </w:rPr>
      </w:pPr>
      <w:r>
        <w:rPr>
          <w:noProof/>
        </w:rPr>
        <w:t>Šīs investīcijas mērķis ir digitalizēt valsts pārvades tīklu un uzlabot pārvaldības un kontroles sistēmu, ko pārvalda pārvades sistēmas operators. Investīcija ietver droša 104. un 5G protokola aprīkojuma vai IKT ar</w:t>
      </w:r>
      <w:r>
        <w:rPr>
          <w:noProof/>
        </w:rPr>
        <w:t>hitektūras uzstādīšanu elektrostacijās, kā arī rūpniecisko lietu interneta uzraudzības sistēmu uzstādīšanu elektrostacijām.</w:t>
      </w:r>
    </w:p>
    <w:p w14:paraId="735EBBF2" w14:textId="77777777" w:rsidR="00327FF1" w:rsidRDefault="00E406C7">
      <w:pPr>
        <w:pStyle w:val="P68B1DB1-Heading4109"/>
        <w:ind w:left="850" w:hanging="850"/>
        <w:rPr>
          <w:b/>
          <w:bCs/>
          <w:i w:val="0"/>
          <w:iCs w:val="0"/>
          <w:noProof/>
          <w:color w:val="000000" w:themeColor="text1"/>
        </w:rPr>
      </w:pPr>
      <w:r>
        <w:rPr>
          <w:noProof/>
        </w:rPr>
        <w:t xml:space="preserve"> </w:t>
      </w:r>
      <w:r>
        <w:rPr>
          <w:b/>
          <w:i w:val="0"/>
          <w:iCs w:val="0"/>
          <w:noProof/>
          <w:color w:val="000000" w:themeColor="text1"/>
        </w:rPr>
        <w:t>Ieguldījums Nr. 8. Kritiski svarīgo izejvielu ilgtspējīga, apritīga un droša piegāde</w:t>
      </w:r>
    </w:p>
    <w:p w14:paraId="145D2243" w14:textId="19C7EFF6" w:rsidR="00327FF1" w:rsidRDefault="00E406C7">
      <w:pPr>
        <w:pStyle w:val="P68B1DB1-Text143"/>
        <w:spacing w:before="0"/>
        <w:ind w:left="0"/>
        <w:rPr>
          <w:noProof/>
        </w:rPr>
      </w:pPr>
      <w:r>
        <w:rPr>
          <w:noProof/>
        </w:rPr>
        <w:t xml:space="preserve">Šīs investīcijas mērķis ir atbalstīt kritiski </w:t>
      </w:r>
      <w:r>
        <w:rPr>
          <w:noProof/>
        </w:rPr>
        <w:t>svarīgo izejvielu (KSI) atgūšanu un reciklēšanu un tādējādi KSI vērtības ķēdes un tehnoloģijas, kas saistītas ar zaļo pārkārtošanos. Investīcija ietver nākotnes KSI vajadzību un ekodizaina potenciāla analīzi, lai samazinātu to pieprasījumu, kā arī atbalstu</w:t>
      </w:r>
      <w:r>
        <w:rPr>
          <w:noProof/>
        </w:rPr>
        <w:t xml:space="preserve"> publiskas datubāzes izveidei “pilsētu raktuvju” un atkritumu lokalizācijai pamestās raktuvēs. To veido arī pētniecības un izstrādes projektu finansēšana par elektrisko un elektronisko iekārtu atkritumu ekodizainu un pārstrādi, kā arī laboratoriju aprīkoša</w:t>
      </w:r>
      <w:r>
        <w:rPr>
          <w:noProof/>
        </w:rPr>
        <w:t>na, lai izveidotu vienotu pilsētu ieguves un ekodizaina centru.</w:t>
      </w:r>
      <w:r>
        <w:rPr>
          <w:rFonts w:eastAsiaTheme="minorEastAsia"/>
          <w:noProof/>
        </w:rPr>
        <w:t xml:space="preserve"> </w:t>
      </w:r>
    </w:p>
    <w:p w14:paraId="53F814D1" w14:textId="77777777" w:rsidR="00327FF1" w:rsidRDefault="00E406C7">
      <w:pPr>
        <w:pStyle w:val="P68B1DB1-Normal5"/>
        <w:spacing w:after="120"/>
        <w:ind w:right="-45"/>
        <w:jc w:val="both"/>
        <w:rPr>
          <w:bCs/>
          <w:noProof/>
          <w:color w:val="000000" w:themeColor="text1"/>
        </w:rPr>
      </w:pPr>
      <w:r>
        <w:rPr>
          <w:noProof/>
        </w:rPr>
        <w:t>Ieguldījums Nr. 10. Izmēģinājuma projekts par prasmēm “Crescere Green”</w:t>
      </w:r>
    </w:p>
    <w:p w14:paraId="6F4383C5" w14:textId="11F8EF0B" w:rsidR="00327FF1" w:rsidRDefault="00E406C7">
      <w:pPr>
        <w:pStyle w:val="P68B1DB1-Normal7"/>
        <w:spacing w:after="120"/>
        <w:jc w:val="both"/>
        <w:rPr>
          <w:noProof/>
          <w:color w:val="000000" w:themeColor="text1"/>
        </w:rPr>
      </w:pPr>
      <w:r>
        <w:rPr>
          <w:noProof/>
        </w:rPr>
        <w:t xml:space="preserve">Šīs investīcijas mērķis ir veicināt zaļās prasmes, iesaistot privāto sektoru. </w:t>
      </w:r>
      <w:r>
        <w:rPr>
          <w:noProof/>
          <w:color w:val="000000" w:themeColor="text1"/>
        </w:rPr>
        <w:t xml:space="preserve">Pasākums ietver īstermiņa apmācības </w:t>
      </w:r>
      <w:r>
        <w:rPr>
          <w:noProof/>
          <w:color w:val="000000" w:themeColor="text1"/>
        </w:rPr>
        <w:t>pasākumus, kas vērsti uz zaļajām prasmēm.</w:t>
      </w:r>
    </w:p>
    <w:p w14:paraId="0C230159" w14:textId="77777777" w:rsidR="00327FF1" w:rsidRDefault="00E406C7">
      <w:pPr>
        <w:pStyle w:val="P68B1DB1-Heading4110"/>
        <w:rPr>
          <w:bCs/>
          <w:noProof/>
        </w:rPr>
      </w:pPr>
      <w:r>
        <w:rPr>
          <w:noProof/>
        </w:rPr>
        <w:t>Investīciju 11: Reģionālā sabiedriskā transporta dzelzceļa parka stiprināšana ar bezemisiju vilcieniem un universālo pakalpojumu</w:t>
      </w:r>
    </w:p>
    <w:p w14:paraId="35F772A6" w14:textId="77777777" w:rsidR="00327FF1" w:rsidRDefault="00E406C7">
      <w:pPr>
        <w:pStyle w:val="P68B1DB1-Normal7"/>
        <w:spacing w:before="120" w:after="120"/>
        <w:jc w:val="both"/>
        <w:rPr>
          <w:noProof/>
        </w:rPr>
      </w:pPr>
      <w:bookmarkStart w:id="26" w:name="_Hlk180665112"/>
      <w:r>
        <w:rPr>
          <w:noProof/>
        </w:rPr>
        <w:t>Investīcijas mērķis ir samazināt siltumnīcefekta gāzu emisijas dzelzceļa transportā u</w:t>
      </w:r>
      <w:r>
        <w:rPr>
          <w:noProof/>
        </w:rPr>
        <w:t xml:space="preserve">n modernizēt dzelzceļa parku. Šis ieguldījums ietver vismaz 75 bezemisiju pasažieru vilcienu reģistrāciju. </w:t>
      </w:r>
    </w:p>
    <w:bookmarkEnd w:id="26"/>
    <w:p w14:paraId="70F6106F" w14:textId="264D7D8C" w:rsidR="00327FF1" w:rsidRDefault="00E406C7">
      <w:pPr>
        <w:pStyle w:val="P68B1DB1-Normal5"/>
        <w:rPr>
          <w:bCs/>
          <w:noProof/>
        </w:rPr>
      </w:pPr>
      <w:r>
        <w:rPr>
          <w:noProof/>
        </w:rPr>
        <w:t>Investīcija Nr. 18 — Paplašināšanas pasākums: Privāto un vieglo komerciālo transportlīdzekļu autoparka atjaunošanas programma ar elektrotransportlīd</w:t>
      </w:r>
      <w:r>
        <w:rPr>
          <w:noProof/>
        </w:rPr>
        <w:t>zekļiem</w:t>
      </w:r>
    </w:p>
    <w:p w14:paraId="2AE17321" w14:textId="77777777" w:rsidR="00327FF1" w:rsidRDefault="00E406C7">
      <w:pPr>
        <w:pStyle w:val="P68B1DB1-Normal7"/>
        <w:jc w:val="both"/>
        <w:rPr>
          <w:noProof/>
        </w:rPr>
      </w:pPr>
      <w:r>
        <w:rPr>
          <w:noProof/>
        </w:rPr>
        <w:t>Šīs investīcijas mērķis ir samazināt autotransporta radīto siltumnīcefekta gāzu un gaisa piesārņojumu pilsētu teritorijās. Šo ieguldījumu veido automašīnu sadalīšanas shēma, saskaņā ar kuru siltumenerģijas transportlīdzeklis tiek atdots un aizstāts</w:t>
      </w:r>
      <w:r>
        <w:rPr>
          <w:noProof/>
        </w:rPr>
        <w:t xml:space="preserve"> ar no jauna iegādāto bezemisiju transportlīdzekli.</w:t>
      </w:r>
    </w:p>
    <w:p w14:paraId="260A75C2" w14:textId="77777777" w:rsidR="00327FF1" w:rsidRDefault="00327FF1">
      <w:pPr>
        <w:rPr>
          <w:noProof/>
        </w:rPr>
        <w:sectPr w:rsidR="00327FF1" w:rsidSect="005F11B9">
          <w:headerReference w:type="even" r:id="rId316"/>
          <w:headerReference w:type="default" r:id="rId317"/>
          <w:footerReference w:type="even" r:id="rId318"/>
          <w:footerReference w:type="default" r:id="rId319"/>
          <w:headerReference w:type="first" r:id="rId320"/>
          <w:footerReference w:type="first" r:id="rId321"/>
          <w:pgSz w:w="11906" w:h="16838"/>
          <w:pgMar w:top="1440" w:right="1440" w:bottom="1440" w:left="1440" w:header="708" w:footer="708" w:gutter="0"/>
          <w:cols w:space="708"/>
          <w:docGrid w:linePitch="360"/>
        </w:sectPr>
      </w:pPr>
    </w:p>
    <w:p w14:paraId="7A5452DD" w14:textId="77777777" w:rsidR="00327FF1" w:rsidRDefault="00E406C7">
      <w:pPr>
        <w:pStyle w:val="P68B1DB1-Heading368"/>
        <w:ind w:left="850" w:hanging="850"/>
        <w:rPr>
          <w:noProof/>
        </w:rPr>
      </w:pPr>
      <w:r>
        <w:rPr>
          <w:noProof/>
        </w:rPr>
        <w:t xml:space="preserve">JAUTĀJUMS. </w:t>
      </w:r>
      <w:r>
        <w:rPr>
          <w:noProof/>
        </w:rPr>
        <w:tab/>
        <w:t>Starpposma mērķi, mērķrādītāji, rādītāji un neatmaksājama finansiālā atbalsta uzraudzības un īstenošanas grafiks</w:t>
      </w:r>
    </w:p>
    <w:tbl>
      <w:tblPr>
        <w:tblW w:w="14884"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134"/>
        <w:gridCol w:w="1560"/>
        <w:gridCol w:w="992"/>
        <w:gridCol w:w="1417"/>
        <w:gridCol w:w="1560"/>
        <w:gridCol w:w="1134"/>
        <w:gridCol w:w="992"/>
        <w:gridCol w:w="992"/>
        <w:gridCol w:w="851"/>
        <w:gridCol w:w="708"/>
        <w:gridCol w:w="3544"/>
      </w:tblGrid>
      <w:tr w:rsidR="00327FF1" w14:paraId="06AF2EB1" w14:textId="77777777">
        <w:trPr>
          <w:trHeight w:val="300"/>
          <w:tblHeader/>
        </w:trPr>
        <w:tc>
          <w:tcPr>
            <w:tcW w:w="1134" w:type="dxa"/>
            <w:vMerge w:val="restart"/>
            <w:shd w:val="clear" w:color="auto" w:fill="BDD7EE"/>
            <w:vAlign w:val="center"/>
            <w:hideMark/>
          </w:tcPr>
          <w:p w14:paraId="0FFBDBC1" w14:textId="77777777" w:rsidR="00327FF1" w:rsidRDefault="00E406C7">
            <w:pPr>
              <w:pStyle w:val="P68B1DB1-Normal10"/>
              <w:spacing w:after="120"/>
              <w:jc w:val="center"/>
              <w:rPr>
                <w:bCs/>
                <w:noProof/>
                <w:szCs w:val="20"/>
              </w:rPr>
            </w:pPr>
            <w:r>
              <w:rPr>
                <w:noProof/>
              </w:rPr>
              <w:t>Kārtas numurs</w:t>
            </w:r>
          </w:p>
        </w:tc>
        <w:tc>
          <w:tcPr>
            <w:tcW w:w="1560" w:type="dxa"/>
            <w:vMerge w:val="restart"/>
            <w:shd w:val="clear" w:color="auto" w:fill="BDD7EE"/>
            <w:vAlign w:val="center"/>
            <w:hideMark/>
          </w:tcPr>
          <w:p w14:paraId="4C2A2B24" w14:textId="77777777" w:rsidR="00327FF1" w:rsidRDefault="00E406C7">
            <w:pPr>
              <w:pStyle w:val="P68B1DB1-Normal10"/>
              <w:spacing w:after="120"/>
              <w:jc w:val="center"/>
              <w:rPr>
                <w:bCs/>
                <w:noProof/>
                <w:szCs w:val="20"/>
              </w:rPr>
            </w:pPr>
            <w:r>
              <w:rPr>
                <w:noProof/>
              </w:rPr>
              <w:t>Saistītais</w:t>
            </w:r>
            <w:r>
              <w:rPr>
                <w:noProof/>
              </w:rPr>
              <w:t xml:space="preserve"> pasākums (reforma vai ieguldījums)</w:t>
            </w:r>
          </w:p>
        </w:tc>
        <w:tc>
          <w:tcPr>
            <w:tcW w:w="992" w:type="dxa"/>
            <w:vMerge w:val="restart"/>
            <w:shd w:val="clear" w:color="auto" w:fill="BDD7EE"/>
            <w:vAlign w:val="center"/>
            <w:hideMark/>
          </w:tcPr>
          <w:p w14:paraId="08C5EE7B" w14:textId="77777777" w:rsidR="00327FF1" w:rsidRDefault="00E406C7">
            <w:pPr>
              <w:pStyle w:val="P68B1DB1-Normal10"/>
              <w:spacing w:after="120"/>
              <w:jc w:val="center"/>
              <w:rPr>
                <w:bCs/>
                <w:noProof/>
                <w:szCs w:val="20"/>
              </w:rPr>
            </w:pPr>
            <w:r>
              <w:rPr>
                <w:noProof/>
              </w:rPr>
              <w:t>Atskaites punkts</w:t>
            </w:r>
          </w:p>
          <w:p w14:paraId="2C5A9577" w14:textId="77777777" w:rsidR="00327FF1" w:rsidRDefault="00E406C7">
            <w:pPr>
              <w:pStyle w:val="P68B1DB1-Normal10"/>
              <w:spacing w:after="120"/>
              <w:jc w:val="center"/>
              <w:rPr>
                <w:bCs/>
                <w:noProof/>
                <w:szCs w:val="20"/>
              </w:rPr>
            </w:pPr>
            <w:r>
              <w:rPr>
                <w:noProof/>
              </w:rPr>
              <w:t>/Mērķrādītājs</w:t>
            </w:r>
          </w:p>
        </w:tc>
        <w:tc>
          <w:tcPr>
            <w:tcW w:w="1417" w:type="dxa"/>
            <w:vMerge w:val="restart"/>
            <w:shd w:val="clear" w:color="auto" w:fill="BDD7EE"/>
            <w:vAlign w:val="center"/>
            <w:hideMark/>
          </w:tcPr>
          <w:p w14:paraId="2A24B339" w14:textId="77777777" w:rsidR="00327FF1" w:rsidRDefault="00E406C7">
            <w:pPr>
              <w:pStyle w:val="P68B1DB1-Normal10"/>
              <w:spacing w:after="120"/>
              <w:jc w:val="center"/>
              <w:rPr>
                <w:bCs/>
                <w:noProof/>
                <w:szCs w:val="20"/>
              </w:rPr>
            </w:pPr>
            <w:r>
              <w:rPr>
                <w:noProof/>
              </w:rPr>
              <w:t>Nosaukums</w:t>
            </w:r>
          </w:p>
        </w:tc>
        <w:tc>
          <w:tcPr>
            <w:tcW w:w="1560" w:type="dxa"/>
            <w:vMerge w:val="restart"/>
            <w:shd w:val="clear" w:color="auto" w:fill="BDD7EE"/>
            <w:vAlign w:val="center"/>
            <w:hideMark/>
          </w:tcPr>
          <w:p w14:paraId="5CFC6600" w14:textId="77777777" w:rsidR="00327FF1" w:rsidRDefault="00E406C7">
            <w:pPr>
              <w:spacing w:after="120"/>
              <w:jc w:val="center"/>
              <w:rPr>
                <w:rFonts w:ascii="Arial Narrow" w:hAnsi="Arial Narrow"/>
                <w:b/>
                <w:bCs/>
                <w:noProof/>
                <w:sz w:val="20"/>
                <w:szCs w:val="20"/>
              </w:rPr>
            </w:pPr>
            <w:r>
              <w:rPr>
                <w:rFonts w:ascii="Arial Narrow" w:hAnsi="Arial Narrow"/>
                <w:b/>
                <w:noProof/>
                <w:sz w:val="20"/>
              </w:rPr>
              <w:t>Kvalitātes rādītāji</w:t>
            </w:r>
            <w:r>
              <w:rPr>
                <w:noProof/>
              </w:rPr>
              <w:t xml:space="preserve"> </w:t>
            </w:r>
            <w:r>
              <w:rPr>
                <w:noProof/>
              </w:rPr>
              <w:br/>
            </w:r>
            <w:r>
              <w:rPr>
                <w:rFonts w:ascii="Arial Narrow" w:hAnsi="Arial Narrow"/>
                <w:b/>
                <w:noProof/>
                <w:sz w:val="20"/>
              </w:rPr>
              <w:t>(attiecībā uz starpposma mērķiem)</w:t>
            </w:r>
          </w:p>
        </w:tc>
        <w:tc>
          <w:tcPr>
            <w:tcW w:w="3118" w:type="dxa"/>
            <w:gridSpan w:val="3"/>
            <w:shd w:val="clear" w:color="auto" w:fill="BDD7EE"/>
            <w:vAlign w:val="center"/>
            <w:hideMark/>
          </w:tcPr>
          <w:p w14:paraId="59E1F51A" w14:textId="77777777" w:rsidR="00327FF1" w:rsidRDefault="00E406C7">
            <w:pPr>
              <w:spacing w:after="120"/>
              <w:jc w:val="center"/>
              <w:rPr>
                <w:rFonts w:ascii="Arial Narrow" w:hAnsi="Arial Narrow"/>
                <w:b/>
                <w:bCs/>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559" w:type="dxa"/>
            <w:gridSpan w:val="2"/>
            <w:shd w:val="clear" w:color="auto" w:fill="BDD7EE"/>
            <w:vAlign w:val="center"/>
            <w:hideMark/>
          </w:tcPr>
          <w:p w14:paraId="4C84BDE3" w14:textId="77777777" w:rsidR="00327FF1" w:rsidRDefault="00E406C7">
            <w:pPr>
              <w:pStyle w:val="P68B1DB1-Normal10"/>
              <w:spacing w:after="120"/>
              <w:jc w:val="center"/>
              <w:rPr>
                <w:bCs/>
                <w:noProof/>
                <w:szCs w:val="20"/>
              </w:rPr>
            </w:pPr>
            <w:r>
              <w:rPr>
                <w:noProof/>
              </w:rPr>
              <w:t>Orientējošs pabeigšanas termiņš</w:t>
            </w:r>
          </w:p>
        </w:tc>
        <w:tc>
          <w:tcPr>
            <w:tcW w:w="3544" w:type="dxa"/>
            <w:vMerge w:val="restart"/>
            <w:shd w:val="clear" w:color="auto" w:fill="BDD7EE"/>
            <w:vAlign w:val="center"/>
            <w:hideMark/>
          </w:tcPr>
          <w:p w14:paraId="1B758655" w14:textId="77777777" w:rsidR="00327FF1" w:rsidRDefault="00E406C7">
            <w:pPr>
              <w:pStyle w:val="P68B1DB1-Normal10"/>
              <w:spacing w:after="120"/>
              <w:jc w:val="center"/>
              <w:rPr>
                <w:bCs/>
                <w:noProof/>
                <w:szCs w:val="20"/>
              </w:rPr>
            </w:pPr>
            <w:r>
              <w:rPr>
                <w:noProof/>
              </w:rPr>
              <w:t>Apraksts par katru atskaites punktu un mērķrādītāju</w:t>
            </w:r>
          </w:p>
        </w:tc>
      </w:tr>
      <w:tr w:rsidR="00327FF1" w14:paraId="3921A39D" w14:textId="77777777">
        <w:trPr>
          <w:trHeight w:val="300"/>
          <w:tblHeader/>
        </w:trPr>
        <w:tc>
          <w:tcPr>
            <w:tcW w:w="1134" w:type="dxa"/>
            <w:vMerge/>
            <w:vAlign w:val="center"/>
            <w:hideMark/>
          </w:tcPr>
          <w:p w14:paraId="099EFE8B" w14:textId="77777777" w:rsidR="00327FF1" w:rsidRDefault="00327FF1">
            <w:pPr>
              <w:spacing w:after="120"/>
              <w:jc w:val="center"/>
              <w:rPr>
                <w:rFonts w:ascii="Arial Narrow" w:hAnsi="Arial Narrow"/>
                <w:b/>
                <w:bCs/>
                <w:noProof/>
                <w:sz w:val="20"/>
                <w:szCs w:val="20"/>
              </w:rPr>
            </w:pPr>
          </w:p>
        </w:tc>
        <w:tc>
          <w:tcPr>
            <w:tcW w:w="1560" w:type="dxa"/>
            <w:vMerge/>
            <w:vAlign w:val="center"/>
            <w:hideMark/>
          </w:tcPr>
          <w:p w14:paraId="3397BD7D" w14:textId="77777777" w:rsidR="00327FF1" w:rsidRDefault="00327FF1">
            <w:pPr>
              <w:spacing w:after="120"/>
              <w:jc w:val="center"/>
              <w:rPr>
                <w:rFonts w:ascii="Arial Narrow" w:hAnsi="Arial Narrow"/>
                <w:b/>
                <w:bCs/>
                <w:noProof/>
                <w:sz w:val="20"/>
                <w:szCs w:val="20"/>
              </w:rPr>
            </w:pPr>
          </w:p>
        </w:tc>
        <w:tc>
          <w:tcPr>
            <w:tcW w:w="992" w:type="dxa"/>
            <w:vMerge/>
            <w:vAlign w:val="center"/>
            <w:hideMark/>
          </w:tcPr>
          <w:p w14:paraId="5F4D3794" w14:textId="77777777" w:rsidR="00327FF1" w:rsidRDefault="00327FF1">
            <w:pPr>
              <w:spacing w:after="120"/>
              <w:jc w:val="center"/>
              <w:rPr>
                <w:rFonts w:ascii="Arial Narrow" w:hAnsi="Arial Narrow"/>
                <w:b/>
                <w:bCs/>
                <w:noProof/>
                <w:sz w:val="20"/>
                <w:szCs w:val="20"/>
              </w:rPr>
            </w:pPr>
          </w:p>
        </w:tc>
        <w:tc>
          <w:tcPr>
            <w:tcW w:w="1417" w:type="dxa"/>
            <w:vMerge/>
            <w:vAlign w:val="center"/>
            <w:hideMark/>
          </w:tcPr>
          <w:p w14:paraId="305A1A6F" w14:textId="77777777" w:rsidR="00327FF1" w:rsidRDefault="00327FF1">
            <w:pPr>
              <w:spacing w:after="120"/>
              <w:jc w:val="center"/>
              <w:rPr>
                <w:rFonts w:ascii="Arial Narrow" w:hAnsi="Arial Narrow"/>
                <w:b/>
                <w:bCs/>
                <w:noProof/>
                <w:sz w:val="20"/>
                <w:szCs w:val="20"/>
              </w:rPr>
            </w:pPr>
          </w:p>
        </w:tc>
        <w:tc>
          <w:tcPr>
            <w:tcW w:w="1560" w:type="dxa"/>
            <w:vMerge/>
            <w:vAlign w:val="center"/>
            <w:hideMark/>
          </w:tcPr>
          <w:p w14:paraId="0BB4DCDC" w14:textId="77777777" w:rsidR="00327FF1" w:rsidRDefault="00327FF1">
            <w:pPr>
              <w:spacing w:after="120"/>
              <w:jc w:val="center"/>
              <w:rPr>
                <w:rFonts w:ascii="Arial Narrow" w:hAnsi="Arial Narrow"/>
                <w:b/>
                <w:bCs/>
                <w:noProof/>
                <w:sz w:val="20"/>
                <w:szCs w:val="20"/>
              </w:rPr>
            </w:pPr>
          </w:p>
        </w:tc>
        <w:tc>
          <w:tcPr>
            <w:tcW w:w="1134" w:type="dxa"/>
            <w:shd w:val="clear" w:color="auto" w:fill="BDD7EE"/>
            <w:vAlign w:val="center"/>
            <w:hideMark/>
          </w:tcPr>
          <w:p w14:paraId="348990CE" w14:textId="77777777" w:rsidR="00327FF1" w:rsidRDefault="00E406C7">
            <w:pPr>
              <w:pStyle w:val="P68B1DB1-Normal10"/>
              <w:spacing w:after="120"/>
              <w:jc w:val="center"/>
              <w:rPr>
                <w:bCs/>
                <w:noProof/>
                <w:szCs w:val="20"/>
              </w:rPr>
            </w:pPr>
            <w:r>
              <w:rPr>
                <w:noProof/>
              </w:rPr>
              <w:t>Mēra vienība</w:t>
            </w:r>
          </w:p>
        </w:tc>
        <w:tc>
          <w:tcPr>
            <w:tcW w:w="992" w:type="dxa"/>
            <w:shd w:val="clear" w:color="auto" w:fill="BDD7EE"/>
            <w:vAlign w:val="center"/>
            <w:hideMark/>
          </w:tcPr>
          <w:p w14:paraId="1C85011C" w14:textId="77777777" w:rsidR="00327FF1" w:rsidRDefault="00E406C7">
            <w:pPr>
              <w:pStyle w:val="P68B1DB1-Normal10"/>
              <w:spacing w:after="120"/>
              <w:jc w:val="center"/>
              <w:rPr>
                <w:bCs/>
                <w:noProof/>
                <w:szCs w:val="20"/>
              </w:rPr>
            </w:pPr>
            <w:r>
              <w:rPr>
                <w:noProof/>
              </w:rPr>
              <w:t>Pamatscenārijs</w:t>
            </w:r>
          </w:p>
        </w:tc>
        <w:tc>
          <w:tcPr>
            <w:tcW w:w="992" w:type="dxa"/>
            <w:shd w:val="clear" w:color="auto" w:fill="BDD7EE"/>
            <w:vAlign w:val="center"/>
            <w:hideMark/>
          </w:tcPr>
          <w:p w14:paraId="35885395" w14:textId="77777777" w:rsidR="00327FF1" w:rsidRDefault="00E406C7">
            <w:pPr>
              <w:pStyle w:val="P68B1DB1-Normal10"/>
              <w:spacing w:after="120"/>
              <w:jc w:val="center"/>
              <w:rPr>
                <w:bCs/>
                <w:noProof/>
                <w:szCs w:val="20"/>
              </w:rPr>
            </w:pPr>
            <w:r>
              <w:rPr>
                <w:noProof/>
              </w:rPr>
              <w:t>Mērķis</w:t>
            </w:r>
          </w:p>
        </w:tc>
        <w:tc>
          <w:tcPr>
            <w:tcW w:w="851" w:type="dxa"/>
            <w:shd w:val="clear" w:color="auto" w:fill="BDD7EE"/>
            <w:vAlign w:val="center"/>
            <w:hideMark/>
          </w:tcPr>
          <w:p w14:paraId="49FB4EC0" w14:textId="77777777" w:rsidR="00327FF1" w:rsidRDefault="00E406C7">
            <w:pPr>
              <w:pStyle w:val="P68B1DB1-Normal10"/>
              <w:spacing w:after="120"/>
              <w:jc w:val="center"/>
              <w:rPr>
                <w:bCs/>
                <w:noProof/>
                <w:szCs w:val="20"/>
              </w:rPr>
            </w:pPr>
            <w:r>
              <w:rPr>
                <w:noProof/>
              </w:rPr>
              <w:t>Ceturkšņa laikā</w:t>
            </w:r>
          </w:p>
        </w:tc>
        <w:tc>
          <w:tcPr>
            <w:tcW w:w="708" w:type="dxa"/>
            <w:shd w:val="clear" w:color="auto" w:fill="BDD7EE"/>
            <w:vAlign w:val="center"/>
            <w:hideMark/>
          </w:tcPr>
          <w:p w14:paraId="4908EA80" w14:textId="77777777" w:rsidR="00327FF1" w:rsidRDefault="00E406C7">
            <w:pPr>
              <w:pStyle w:val="P68B1DB1-Normal10"/>
              <w:spacing w:after="120"/>
              <w:jc w:val="center"/>
              <w:rPr>
                <w:bCs/>
                <w:noProof/>
                <w:szCs w:val="20"/>
              </w:rPr>
            </w:pPr>
            <w:r>
              <w:rPr>
                <w:noProof/>
              </w:rPr>
              <w:t>Gadu</w:t>
            </w:r>
          </w:p>
        </w:tc>
        <w:tc>
          <w:tcPr>
            <w:tcW w:w="3544" w:type="dxa"/>
            <w:vMerge/>
            <w:vAlign w:val="center"/>
            <w:hideMark/>
          </w:tcPr>
          <w:p w14:paraId="761906AA" w14:textId="77777777" w:rsidR="00327FF1" w:rsidRDefault="00327FF1">
            <w:pPr>
              <w:spacing w:after="120"/>
              <w:jc w:val="center"/>
              <w:rPr>
                <w:rFonts w:ascii="Arial Narrow" w:hAnsi="Arial Narrow"/>
                <w:b/>
                <w:bCs/>
                <w:noProof/>
                <w:sz w:val="20"/>
                <w:szCs w:val="20"/>
              </w:rPr>
            </w:pPr>
          </w:p>
        </w:tc>
      </w:tr>
      <w:tr w:rsidR="00327FF1" w14:paraId="54381A13"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EA19D" w14:textId="77777777" w:rsidR="00327FF1" w:rsidRDefault="00E406C7">
            <w:pPr>
              <w:pStyle w:val="P68B1DB1-Normal11"/>
              <w:spacing w:after="120"/>
              <w:jc w:val="center"/>
              <w:rPr>
                <w:noProof/>
                <w:szCs w:val="20"/>
              </w:rPr>
            </w:pPr>
            <w:r>
              <w:rPr>
                <w:noProof/>
              </w:rPr>
              <w:t>M7–1</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DAED3C" w14:textId="77777777" w:rsidR="00327FF1" w:rsidRDefault="00E406C7">
            <w:pPr>
              <w:pStyle w:val="P68B1DB1-Normal11"/>
              <w:spacing w:after="120"/>
              <w:jc w:val="center"/>
              <w:rPr>
                <w:noProof/>
                <w:szCs w:val="20"/>
              </w:rPr>
            </w:pPr>
            <w:r>
              <w:rPr>
                <w:noProof/>
              </w:rPr>
              <w:t>Reforma: Atļauju piešķiršanas procedūru racionalizēšana attiecībā uz atjaunīgo enerģiju</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CBF188"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FDED55" w14:textId="77777777" w:rsidR="00327FF1" w:rsidRDefault="00E406C7">
            <w:pPr>
              <w:pStyle w:val="P68B1DB1-Normal11"/>
              <w:spacing w:after="120"/>
              <w:jc w:val="center"/>
              <w:rPr>
                <w:noProof/>
              </w:rPr>
            </w:pPr>
            <w:r>
              <w:rPr>
                <w:noProof/>
              </w:rPr>
              <w:t>Tiesiskais regulējums paātrinātas atjaunīgo energoresursu apguves teritoriju noteikšanai</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86CA8B" w14:textId="415029DF" w:rsidR="00327FF1" w:rsidRDefault="00E406C7">
            <w:pPr>
              <w:pStyle w:val="P68B1DB1-Normal11"/>
              <w:spacing w:after="120"/>
              <w:jc w:val="center"/>
              <w:rPr>
                <w:noProof/>
              </w:rPr>
            </w:pPr>
            <w:r>
              <w:rPr>
                <w:noProof/>
              </w:rPr>
              <w:t>Likuma noteikums, kas norāda uz tiesiskā regulējuma stāšanos spēkā paātrinātas atjaunīgo energoresursu apguves teritoriju apzināšanai</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150937"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0F7133"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692C9" w14:textId="77777777" w:rsidR="00327FF1" w:rsidRDefault="00327FF1">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E9FA03" w14:textId="77777777" w:rsidR="00327FF1" w:rsidRDefault="00E406C7">
            <w:pPr>
              <w:pStyle w:val="P68B1DB1-Normal11"/>
              <w:spacing w:after="120"/>
              <w:jc w:val="center"/>
              <w:rPr>
                <w:noProof/>
                <w:szCs w:val="20"/>
              </w:rPr>
            </w:pPr>
            <w:r>
              <w:rPr>
                <w:noProof/>
              </w:rPr>
              <w:t>4.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2952DB" w14:textId="77777777" w:rsidR="00327FF1" w:rsidRDefault="00E406C7">
            <w:pPr>
              <w:pStyle w:val="P68B1DB1-Normal11"/>
              <w:spacing w:after="120"/>
              <w:jc w:val="center"/>
              <w:rPr>
                <w:noProof/>
                <w:szCs w:val="20"/>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105C6883" w14:textId="77777777" w:rsidR="00327FF1" w:rsidRDefault="00E406C7">
            <w:pPr>
              <w:pStyle w:val="P68B1DB1-Normal12"/>
              <w:spacing w:after="120"/>
              <w:rPr>
                <w:noProof/>
              </w:rPr>
            </w:pPr>
            <w:r>
              <w:rPr>
                <w:noProof/>
              </w:rPr>
              <w:t xml:space="preserve">Stājas spēkā primārie tiesību akti, ar ko nosaka tiesisko regulējumu paātrinātas atjaunīgo energoresursu </w:t>
            </w:r>
            <w:r>
              <w:rPr>
                <w:noProof/>
              </w:rPr>
              <w:t>apguves teritoriju noteikšanai.</w:t>
            </w:r>
          </w:p>
          <w:p w14:paraId="442231F8" w14:textId="77777777" w:rsidR="00327FF1" w:rsidRDefault="00E406C7">
            <w:pPr>
              <w:pStyle w:val="P68B1DB1-Normal12"/>
              <w:spacing w:after="120"/>
              <w:rPr>
                <w:noProof/>
              </w:rPr>
            </w:pPr>
            <w:r>
              <w:rPr>
                <w:noProof/>
              </w:rPr>
              <w:t>Tiesiskais regulējums:</w:t>
            </w:r>
          </w:p>
          <w:p w14:paraId="6EE3E2C3" w14:textId="77777777" w:rsidR="00327FF1" w:rsidRDefault="00E406C7">
            <w:pPr>
              <w:pStyle w:val="P68B1DB1-Normal12"/>
              <w:spacing w:after="120"/>
              <w:rPr>
                <w:noProof/>
              </w:rPr>
            </w:pPr>
            <w:r>
              <w:rPr>
                <w:noProof/>
              </w:rPr>
              <w:t>1)</w:t>
            </w:r>
            <w:r>
              <w:rPr>
                <w:noProof/>
              </w:rPr>
              <w:tab/>
              <w:t>pieprasīt atjaunīgās enerģijas potenciāla kartēšanu visā valstī;</w:t>
            </w:r>
          </w:p>
          <w:p w14:paraId="377F53B8" w14:textId="77777777" w:rsidR="00327FF1" w:rsidRDefault="00E406C7">
            <w:pPr>
              <w:pStyle w:val="P68B1DB1-Normal12"/>
              <w:spacing w:after="120"/>
              <w:rPr>
                <w:noProof/>
              </w:rPr>
            </w:pPr>
            <w:r>
              <w:rPr>
                <w:noProof/>
              </w:rPr>
              <w:t>2)</w:t>
            </w:r>
            <w:r>
              <w:rPr>
                <w:noProof/>
              </w:rPr>
              <w:tab/>
              <w:t>pamatojoties uz kartēšanu, izveidot pirmo teritoriju kopumu, nosakot minimālo kopumu atjaunīgo energoresursu paātrinātas apguves t</w:t>
            </w:r>
            <w:r>
              <w:rPr>
                <w:noProof/>
              </w:rPr>
              <w:t>eritoriju turpmākai apzināšanai;</w:t>
            </w:r>
          </w:p>
          <w:p w14:paraId="2ABB7D81" w14:textId="77777777" w:rsidR="00327FF1" w:rsidRDefault="00E406C7">
            <w:pPr>
              <w:pStyle w:val="P68B1DB1-Normal12"/>
              <w:spacing w:after="120"/>
              <w:rPr>
                <w:noProof/>
              </w:rPr>
            </w:pPr>
            <w:r>
              <w:rPr>
                <w:noProof/>
              </w:rPr>
              <w:t>3)</w:t>
            </w:r>
            <w:r>
              <w:rPr>
                <w:noProof/>
              </w:rPr>
              <w:tab/>
              <w:t>pamatojoties uz minimālo teritoriju kopumu, prasa reģioniem un autonomām provincēm līdz 2026. gada 21. februārim apzināt paātrinātas atjaunīgo energoresursu apguves teritorijas;</w:t>
            </w:r>
          </w:p>
          <w:p w14:paraId="75CA9886" w14:textId="77777777" w:rsidR="00327FF1" w:rsidRDefault="00E406C7">
            <w:pPr>
              <w:pStyle w:val="P68B1DB1-Normal12"/>
              <w:spacing w:after="120"/>
              <w:rPr>
                <w:noProof/>
              </w:rPr>
            </w:pPr>
            <w:r>
              <w:rPr>
                <w:noProof/>
              </w:rPr>
              <w:t>4)</w:t>
            </w:r>
            <w:r>
              <w:rPr>
                <w:noProof/>
              </w:rPr>
              <w:tab/>
              <w:t>dod centrālajai valdībai tiesības īsten</w:t>
            </w:r>
            <w:r>
              <w:rPr>
                <w:noProof/>
              </w:rPr>
              <w:t>ot aizstājošas pilnvaras gadījumā, ja reģioni vai autonomas provinces līdz 2026. gada 21. februārim neapzina paātrinātas atjaunīgo energoresursu apguves teritorijas;</w:t>
            </w:r>
          </w:p>
          <w:p w14:paraId="784A44A3" w14:textId="77777777" w:rsidR="00327FF1" w:rsidRDefault="00E406C7">
            <w:pPr>
              <w:pStyle w:val="P68B1DB1-Normal12"/>
              <w:spacing w:after="120"/>
              <w:rPr>
                <w:noProof/>
              </w:rPr>
            </w:pPr>
            <w:r>
              <w:rPr>
                <w:noProof/>
              </w:rPr>
              <w:t>5)</w:t>
            </w:r>
            <w:r>
              <w:rPr>
                <w:noProof/>
              </w:rPr>
              <w:tab/>
              <w:t>pieprasīt noteikt atkrastes teritorijas atjaunīgo energoresursu izvēršanai saskaņā ar j</w:t>
            </w:r>
            <w:r>
              <w:rPr>
                <w:noProof/>
              </w:rPr>
              <w:t>ūras telpiskajiem plāniem.</w:t>
            </w:r>
          </w:p>
        </w:tc>
      </w:tr>
      <w:tr w:rsidR="00327FF1" w14:paraId="1B35535B"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4D244C" w14:textId="77777777" w:rsidR="00327FF1" w:rsidRDefault="00E406C7">
            <w:pPr>
              <w:pStyle w:val="P68B1DB1-Normal12"/>
              <w:spacing w:after="120"/>
              <w:jc w:val="center"/>
              <w:rPr>
                <w:noProof/>
              </w:rPr>
            </w:pPr>
            <w:r>
              <w:rPr>
                <w:noProof/>
              </w:rPr>
              <w:t>M7–2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761F79" w14:textId="77777777" w:rsidR="00327FF1" w:rsidRDefault="00E406C7">
            <w:pPr>
              <w:pStyle w:val="P68B1DB1-Normal11"/>
              <w:spacing w:after="120"/>
              <w:jc w:val="center"/>
              <w:rPr>
                <w:noProof/>
                <w:szCs w:val="20"/>
              </w:rPr>
            </w:pPr>
            <w:r>
              <w:rPr>
                <w:noProof/>
              </w:rPr>
              <w:t>Reforma: Atļauju piešķiršanas procedūru racionalizēšana attiecībā uz atjaunīgo enerģiju</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A230B6"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338218" w14:textId="28B3D431" w:rsidR="00327FF1" w:rsidRDefault="00E406C7">
            <w:pPr>
              <w:pStyle w:val="P68B1DB1-Normal12"/>
              <w:spacing w:after="120"/>
              <w:jc w:val="center"/>
              <w:rPr>
                <w:noProof/>
              </w:rPr>
            </w:pPr>
            <w:r>
              <w:rPr>
                <w:noProof/>
              </w:rPr>
              <w:t>Tiesību akta (Testo Unico) stāšanās spēkā</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12B39A" w14:textId="77777777" w:rsidR="00327FF1" w:rsidRDefault="00E406C7">
            <w:pPr>
              <w:pStyle w:val="P68B1DB1-Normal12"/>
              <w:spacing w:after="120"/>
              <w:jc w:val="center"/>
              <w:rPr>
                <w:noProof/>
              </w:rPr>
            </w:pPr>
            <w:r>
              <w:rPr>
                <w:noProof/>
              </w:rPr>
              <w:t>Likuma norma, kas norāda uz tiesību akta stāšanos spēkā</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0EF77"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6F7DE0"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3CC574" w14:textId="77777777" w:rsidR="00327FF1" w:rsidRDefault="00327FF1">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6FCD21" w14:textId="77777777" w:rsidR="00327FF1" w:rsidRDefault="00E406C7">
            <w:pPr>
              <w:pStyle w:val="P68B1DB1-Normal11"/>
              <w:spacing w:after="120"/>
              <w:jc w:val="center"/>
              <w:rPr>
                <w:noProof/>
                <w:szCs w:val="20"/>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1D4A99" w14:textId="77777777" w:rsidR="00327FF1" w:rsidRDefault="00E406C7">
            <w:pPr>
              <w:pStyle w:val="P68B1DB1-Normal11"/>
              <w:spacing w:after="120"/>
              <w:jc w:val="center"/>
              <w:rPr>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4CC3A0BB" w14:textId="01CE49F8" w:rsidR="00327FF1" w:rsidRDefault="00E406C7">
            <w:pPr>
              <w:pStyle w:val="P68B1DB1-Normal12"/>
              <w:spacing w:after="120"/>
              <w:rPr>
                <w:noProof/>
              </w:rPr>
            </w:pPr>
            <w:r>
              <w:rPr>
                <w:noProof/>
              </w:rPr>
              <w:t>Stājas spēkā tiesību akts (Testo Unico), ar kuru tiek vāktas, apkopotas un konsolidētas normas, kas reglamentē atļauju piešķiršanu atjaunīgajiem energoresursiem, un aizstāti iepriekšējie tiesību akti šajā jomā.</w:t>
            </w:r>
          </w:p>
          <w:p w14:paraId="07F9F4E9" w14:textId="77777777" w:rsidR="00327FF1" w:rsidRDefault="00E406C7">
            <w:pPr>
              <w:pStyle w:val="P68B1DB1-Normal12"/>
              <w:spacing w:after="120"/>
              <w:rPr>
                <w:noProof/>
              </w:rPr>
            </w:pPr>
            <w:r>
              <w:rPr>
                <w:noProof/>
              </w:rPr>
              <w:t>Testo Unico nosaka arī “maksimālos noteikumus</w:t>
            </w:r>
            <w:r>
              <w:rPr>
                <w:noProof/>
              </w:rPr>
              <w:t xml:space="preserve">” par atļauju piešķiršanu tā, lai reģioni nevarētu īstenot stingrākus noteikumus nekā tie, kas paredzēti valsts tiesību aktos. </w:t>
            </w:r>
          </w:p>
        </w:tc>
      </w:tr>
      <w:tr w:rsidR="00327FF1" w14:paraId="358697A3"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B9330" w14:textId="77777777" w:rsidR="00327FF1" w:rsidRDefault="00E406C7">
            <w:pPr>
              <w:pStyle w:val="P68B1DB1-Normal11"/>
              <w:spacing w:after="120"/>
              <w:jc w:val="center"/>
              <w:rPr>
                <w:noProof/>
                <w:szCs w:val="20"/>
              </w:rPr>
            </w:pPr>
            <w:r>
              <w:rPr>
                <w:noProof/>
              </w:rPr>
              <w:t>M7–3</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DA7D12" w14:textId="77777777" w:rsidR="00327FF1" w:rsidRDefault="00E406C7">
            <w:pPr>
              <w:pStyle w:val="P68B1DB1-Normal11"/>
              <w:spacing w:after="120"/>
              <w:jc w:val="center"/>
              <w:rPr>
                <w:noProof/>
                <w:szCs w:val="20"/>
              </w:rPr>
            </w:pPr>
            <w:r>
              <w:rPr>
                <w:noProof/>
              </w:rPr>
              <w:t>Reforma: Atļauju piešķiršanas procedūru racionalizēšana attiecībā uz atjaunīgo enerģiju</w:t>
            </w:r>
          </w:p>
          <w:p w14:paraId="63FCCCD7"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B41DF"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B0C30" w14:textId="77777777" w:rsidR="00327FF1" w:rsidRDefault="00E406C7">
            <w:pPr>
              <w:pStyle w:val="P68B1DB1-Normal11"/>
              <w:spacing w:after="120"/>
              <w:jc w:val="center"/>
              <w:rPr>
                <w:noProof/>
                <w:szCs w:val="20"/>
              </w:rPr>
            </w:pPr>
            <w:r>
              <w:rPr>
                <w:noProof/>
              </w:rPr>
              <w:t xml:space="preserve">Vienotas </w:t>
            </w:r>
            <w:r>
              <w:rPr>
                <w:noProof/>
              </w:rPr>
              <w:t>piekļuves digitālās platformas izveide atļaujām, kas saistītas ar atjaunīgajiem energoresursiem</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7F50CC" w14:textId="61F8645E" w:rsidR="00327FF1" w:rsidRDefault="00E406C7">
            <w:pPr>
              <w:pStyle w:val="P68B1DB1-Normal12"/>
              <w:spacing w:after="120"/>
              <w:jc w:val="center"/>
              <w:rPr>
                <w:noProof/>
              </w:rPr>
            </w:pPr>
            <w:r>
              <w:rPr>
                <w:noProof/>
              </w:rPr>
              <w:t>Vienotas piekļuves digitālās platformas izveide atļauju piešķiršanai saistībā ar atjaunīgajiem energoresursiem</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B8742"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90F76C"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70BB3C" w14:textId="77777777" w:rsidR="00327FF1" w:rsidRDefault="00327FF1">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CBADD6" w14:textId="77777777" w:rsidR="00327FF1" w:rsidRDefault="00E406C7">
            <w:pPr>
              <w:pStyle w:val="P68B1DB1-Normal11"/>
              <w:spacing w:after="120"/>
              <w:jc w:val="center"/>
              <w:rPr>
                <w:noProof/>
                <w:szCs w:val="20"/>
              </w:rPr>
            </w:pPr>
            <w:r>
              <w:rPr>
                <w:noProof/>
              </w:rPr>
              <w:t>4.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D8B7B2" w14:textId="77777777" w:rsidR="00327FF1" w:rsidRDefault="00E406C7">
            <w:pPr>
              <w:pStyle w:val="P68B1DB1-Normal11"/>
              <w:spacing w:after="120"/>
              <w:jc w:val="center"/>
              <w:rPr>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1B0BF00C" w14:textId="112F499D" w:rsidR="00327FF1" w:rsidRDefault="00E406C7">
            <w:pPr>
              <w:pStyle w:val="P68B1DB1-Normal12"/>
              <w:spacing w:after="120"/>
              <w:rPr>
                <w:noProof/>
              </w:rPr>
            </w:pPr>
            <w:r>
              <w:rPr>
                <w:noProof/>
              </w:rPr>
              <w:t xml:space="preserve">Vienreiz lietojamā digitālā </w:t>
            </w:r>
            <w:r>
              <w:rPr>
                <w:noProof/>
              </w:rPr>
              <w:t>platforma ir tiešsaistē, un tā ļauj operatoriem pieprasīt atļaujas (Autorizzazione Unica, Procedura Autorizzativa semplificata) saistībā ar atjaunīgo energoresursu uzstādīšanu valsts un vietējā līmenī un augšupielādēt informāciju par Edilizia Libera iekārt</w:t>
            </w:r>
            <w:r>
              <w:rPr>
                <w:noProof/>
              </w:rPr>
              <w:t>ām.</w:t>
            </w:r>
          </w:p>
          <w:p w14:paraId="3404C1AB" w14:textId="77777777" w:rsidR="00327FF1" w:rsidRDefault="00E406C7">
            <w:pPr>
              <w:pStyle w:val="P68B1DB1-Normal12"/>
              <w:spacing w:after="120"/>
              <w:rPr>
                <w:noProof/>
              </w:rPr>
            </w:pPr>
            <w:r>
              <w:rPr>
                <w:noProof/>
              </w:rPr>
              <w:t xml:space="preserve">Plakātu veido, pamatojoties uz vienreizējas iesniegšanas principu, saskaņā ar kuru pieteikuma iesniedzējiem viena un tā pati informācija vai dokumenti valsts iestādēm ir jāsniedz tikai vienu reizi. </w:t>
            </w:r>
          </w:p>
        </w:tc>
      </w:tr>
      <w:tr w:rsidR="00327FF1" w14:paraId="513BA347"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740BE1" w14:textId="77777777" w:rsidR="00327FF1" w:rsidRDefault="00E406C7">
            <w:pPr>
              <w:pStyle w:val="P68B1DB1-Normal11"/>
              <w:spacing w:after="120"/>
              <w:jc w:val="center"/>
              <w:rPr>
                <w:noProof/>
                <w:szCs w:val="20"/>
              </w:rPr>
            </w:pPr>
            <w:r>
              <w:rPr>
                <w:noProof/>
              </w:rPr>
              <w:t>M7–4</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F86B0B" w14:textId="77777777" w:rsidR="00327FF1" w:rsidRDefault="00E406C7">
            <w:pPr>
              <w:pStyle w:val="P68B1DB1-Normal11"/>
              <w:spacing w:after="120"/>
              <w:jc w:val="center"/>
              <w:rPr>
                <w:noProof/>
                <w:szCs w:val="20"/>
              </w:rPr>
            </w:pPr>
            <w:r>
              <w:rPr>
                <w:noProof/>
              </w:rPr>
              <w:t>Reforma. Videi kaitīgu subsīdiju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2F303B"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5A19DB" w14:textId="77777777" w:rsidR="00327FF1" w:rsidRDefault="00E406C7">
            <w:pPr>
              <w:pStyle w:val="P68B1DB1-Normal11"/>
              <w:spacing w:after="120"/>
              <w:jc w:val="center"/>
              <w:rPr>
                <w:noProof/>
                <w:szCs w:val="20"/>
              </w:rPr>
            </w:pPr>
            <w:r>
              <w:rPr>
                <w:noProof/>
              </w:rPr>
              <w:t xml:space="preserve">Valdības ziņojuma pieņemšana, </w:t>
            </w:r>
            <w:r>
              <w:rPr>
                <w:noProof/>
                <w:szCs w:val="20"/>
              </w:rPr>
              <w:t>kurā izklāstīti rezultāti</w:t>
            </w:r>
            <w:r>
              <w:rPr>
                <w:noProof/>
              </w:rPr>
              <w:t xml:space="preserve">, kas gūti </w:t>
            </w:r>
            <w:r>
              <w:rPr>
                <w:noProof/>
                <w:szCs w:val="20"/>
              </w:rPr>
              <w:t xml:space="preserve">valdības </w:t>
            </w:r>
            <w:r>
              <w:rPr>
                <w:noProof/>
              </w:rPr>
              <w:t>apspriedēs ar ieinteresētajām personām, lai samazinātu videi kaitīgas subsīdijas.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9EB8E7" w14:textId="77777777" w:rsidR="00327FF1" w:rsidRDefault="00E406C7">
            <w:pPr>
              <w:pStyle w:val="P68B1DB1-Normal11"/>
              <w:spacing w:after="120"/>
              <w:jc w:val="center"/>
              <w:rPr>
                <w:noProof/>
                <w:szCs w:val="20"/>
              </w:rPr>
            </w:pPr>
            <w:r>
              <w:rPr>
                <w:noProof/>
              </w:rPr>
              <w:t>Valdības ziņojuma pieņemšana</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2867AA"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1D8DE5"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D95951" w14:textId="77777777" w:rsidR="00327FF1" w:rsidRDefault="00327FF1">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444B12" w14:textId="77777777" w:rsidR="00327FF1" w:rsidRDefault="00E406C7">
            <w:pPr>
              <w:pStyle w:val="P68B1DB1-Normal11"/>
              <w:spacing w:after="120"/>
              <w:jc w:val="center"/>
              <w:rPr>
                <w:noProof/>
                <w:szCs w:val="20"/>
              </w:rPr>
            </w:pPr>
            <w:r>
              <w:rPr>
                <w:noProof/>
              </w:rPr>
              <w:t>4.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00D8CA" w14:textId="77777777" w:rsidR="00327FF1" w:rsidRDefault="00E406C7">
            <w:pPr>
              <w:pStyle w:val="P68B1DB1-Normal11"/>
              <w:spacing w:after="120"/>
              <w:jc w:val="center"/>
              <w:rPr>
                <w:noProof/>
                <w:szCs w:val="20"/>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0E89A2EA" w14:textId="77777777" w:rsidR="00327FF1" w:rsidRDefault="00E406C7">
            <w:pPr>
              <w:pStyle w:val="P68B1DB1-Normal11"/>
              <w:spacing w:after="120"/>
              <w:rPr>
                <w:noProof/>
                <w:szCs w:val="20"/>
              </w:rPr>
            </w:pPr>
            <w:r>
              <w:rPr>
                <w:noProof/>
              </w:rPr>
              <w:t xml:space="preserve">Ziņojumā </w:t>
            </w:r>
            <w:r>
              <w:rPr>
                <w:noProof/>
                <w:szCs w:val="20"/>
              </w:rPr>
              <w:t>izklāsta</w:t>
            </w:r>
            <w:r>
              <w:rPr>
                <w:noProof/>
              </w:rPr>
              <w:t xml:space="preserve"> pasākumus, kas veikti, lai apspriestos ar attiecīgajām ieinteresētajām personām par videi kaitīgu subsīdiju reformu, tostarp ieinteresēto personu saņemto ieguldījumu. Ieinteresētās personas, ar kurām apspriežas, ir attiecīgās publiskās struktūras un privā</w:t>
            </w:r>
            <w:r>
              <w:rPr>
                <w:noProof/>
              </w:rPr>
              <w:t>tās ieinteresētās personas.</w:t>
            </w:r>
          </w:p>
        </w:tc>
      </w:tr>
      <w:tr w:rsidR="00327FF1" w14:paraId="6F5FFE82"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F3C470" w14:textId="77777777" w:rsidR="00327FF1" w:rsidRDefault="00E406C7">
            <w:pPr>
              <w:pStyle w:val="P68B1DB1-Normal11"/>
              <w:spacing w:after="120"/>
              <w:jc w:val="center"/>
              <w:rPr>
                <w:noProof/>
                <w:szCs w:val="20"/>
              </w:rPr>
            </w:pPr>
            <w:r>
              <w:rPr>
                <w:noProof/>
              </w:rPr>
              <w:t>M7–5</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C4013C" w14:textId="77777777" w:rsidR="00327FF1" w:rsidRDefault="00E406C7">
            <w:pPr>
              <w:pStyle w:val="P68B1DB1-Normal11"/>
              <w:spacing w:after="120"/>
              <w:jc w:val="center"/>
              <w:rPr>
                <w:noProof/>
                <w:szCs w:val="20"/>
              </w:rPr>
            </w:pPr>
            <w:r>
              <w:rPr>
                <w:noProof/>
              </w:rPr>
              <w:t>Reforma. Videi kaitīgu subsīdiju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704113"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7D4D6B" w14:textId="5E27BFE2" w:rsidR="00327FF1" w:rsidRDefault="00E406C7">
            <w:pPr>
              <w:pStyle w:val="P68B1DB1-Normal11"/>
              <w:spacing w:after="120"/>
              <w:jc w:val="center"/>
              <w:rPr>
                <w:noProof/>
                <w:szCs w:val="20"/>
              </w:rPr>
            </w:pPr>
            <w:r>
              <w:rPr>
                <w:noProof/>
              </w:rPr>
              <w:t>Tiesību akta(-u) stāšanās spēkā</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FE1B5" w14:textId="35F9359E" w:rsidR="00327FF1" w:rsidRDefault="00E406C7">
            <w:pPr>
              <w:pStyle w:val="P68B1DB1-Normal11"/>
              <w:spacing w:after="120"/>
              <w:jc w:val="center"/>
              <w:rPr>
                <w:noProof/>
                <w:szCs w:val="20"/>
              </w:rPr>
            </w:pPr>
            <w:r>
              <w:rPr>
                <w:noProof/>
              </w:rPr>
              <w:t>Tiesību akta noteikums, kas norāda uz tiesību akta(-u) stāšanos spēkā</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529C71"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488406"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FDC673" w14:textId="77777777" w:rsidR="00327FF1" w:rsidRDefault="00327FF1">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B315AC" w14:textId="77777777" w:rsidR="00327FF1" w:rsidRDefault="00E406C7">
            <w:pPr>
              <w:pStyle w:val="P68B1DB1-Normal11"/>
              <w:spacing w:after="120"/>
              <w:jc w:val="center"/>
              <w:rPr>
                <w:noProof/>
                <w:szCs w:val="20"/>
              </w:rPr>
            </w:pPr>
            <w:r>
              <w:rPr>
                <w:noProof/>
              </w:rPr>
              <w:t>4.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5356E8" w14:textId="77777777" w:rsidR="00327FF1" w:rsidRDefault="00E406C7">
            <w:pPr>
              <w:pStyle w:val="P68B1DB1-Normal11"/>
              <w:spacing w:after="120"/>
              <w:jc w:val="center"/>
              <w:rPr>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39B9A7" w14:textId="4808E22C" w:rsidR="00327FF1" w:rsidRDefault="00E406C7">
            <w:pPr>
              <w:pStyle w:val="P68B1DB1-Normal12"/>
              <w:spacing w:after="120"/>
              <w:rPr>
                <w:noProof/>
              </w:rPr>
            </w:pPr>
            <w:r>
              <w:rPr>
                <w:noProof/>
              </w:rPr>
              <w:t xml:space="preserve">Tiesību aktu pieņemšana, lai 2026. gadā samazinātu videi kaitīgas subsīdijas vismaz 2 miljardu EUR apmērā. </w:t>
            </w:r>
          </w:p>
          <w:p w14:paraId="0A941E6D" w14:textId="17D9927F" w:rsidR="00327FF1" w:rsidRDefault="00E406C7">
            <w:pPr>
              <w:pStyle w:val="P68B1DB1-Normal11"/>
              <w:spacing w:after="120"/>
              <w:rPr>
                <w:noProof/>
                <w:szCs w:val="20"/>
              </w:rPr>
            </w:pPr>
            <w:r>
              <w:rPr>
                <w:noProof/>
              </w:rPr>
              <w:t>Turklāt tiesību aktos nosaka grafiku videi kaitīgu subsīdiju turpmākai samazināšanai vismaz par 3,5 miljardiem EUR līdz 2030. gadam.</w:t>
            </w:r>
          </w:p>
        </w:tc>
      </w:tr>
      <w:tr w:rsidR="00327FF1" w14:paraId="7FB92D61"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B3A2EF" w14:textId="77777777" w:rsidR="00327FF1" w:rsidRDefault="00E406C7">
            <w:pPr>
              <w:pStyle w:val="P68B1DB1-Normal12"/>
              <w:spacing w:after="120"/>
              <w:jc w:val="center"/>
              <w:rPr>
                <w:noProof/>
              </w:rPr>
            </w:pPr>
            <w:r>
              <w:rPr>
                <w:noProof/>
              </w:rPr>
              <w:t>M7–6</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7E7F45" w14:textId="77777777" w:rsidR="00327FF1" w:rsidRDefault="00E406C7">
            <w:pPr>
              <w:pStyle w:val="P68B1DB1-Normal11"/>
              <w:spacing w:after="120"/>
              <w:jc w:val="center"/>
              <w:rPr>
                <w:noProof/>
                <w:szCs w:val="20"/>
              </w:rPr>
            </w:pPr>
            <w:r>
              <w:rPr>
                <w:noProof/>
              </w:rPr>
              <w:t xml:space="preserve">Reforma. </w:t>
            </w:r>
            <w:r>
              <w:rPr>
                <w:noProof/>
              </w:rPr>
              <w:t>Biometāna pieslēguma gāzes tīklam izmaksu samazināšana</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E548BF"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247039" w14:textId="15E02EE6" w:rsidR="00327FF1" w:rsidRDefault="00E406C7">
            <w:pPr>
              <w:pStyle w:val="P68B1DB1-Normal12"/>
              <w:spacing w:after="120"/>
              <w:jc w:val="center"/>
              <w:rPr>
                <w:noProof/>
              </w:rPr>
            </w:pPr>
            <w:r>
              <w:rPr>
                <w:noProof/>
              </w:rPr>
              <w:t>Tādu tiesību aktu stāšanās spēkā, kuru mērķis ir samazināt izmaksas par pieslēgumu biometāna ražotņu gāzes tīklam</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F21453" w14:textId="78F141D1" w:rsidR="00327FF1" w:rsidRDefault="00E406C7">
            <w:pPr>
              <w:pStyle w:val="P68B1DB1-Normal12"/>
              <w:spacing w:after="120"/>
              <w:jc w:val="center"/>
              <w:rPr>
                <w:noProof/>
              </w:rPr>
            </w:pPr>
            <w:r>
              <w:rPr>
                <w:noProof/>
              </w:rPr>
              <w:t>Likuma noteikums, kas norāda uz tiesību aktu stāšanos spēkā</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0270EB"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B2CD21"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741D30" w14:textId="77777777" w:rsidR="00327FF1" w:rsidRDefault="00327FF1">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90AF1A" w14:textId="77777777" w:rsidR="00327FF1" w:rsidRDefault="00E406C7">
            <w:pPr>
              <w:pStyle w:val="P68B1DB1-Normal11"/>
              <w:spacing w:after="120"/>
              <w:jc w:val="center"/>
              <w:rPr>
                <w:noProof/>
                <w:szCs w:val="20"/>
              </w:rPr>
            </w:pPr>
            <w:r>
              <w:rPr>
                <w:noProof/>
              </w:rPr>
              <w:t>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A4B3E" w14:textId="77777777" w:rsidR="00327FF1" w:rsidRDefault="00E406C7">
            <w:pPr>
              <w:pStyle w:val="P68B1DB1-Normal11"/>
              <w:spacing w:after="120"/>
              <w:jc w:val="center"/>
              <w:rPr>
                <w:noProof/>
                <w:szCs w:val="20"/>
              </w:rPr>
            </w:pPr>
            <w:r>
              <w:rPr>
                <w:noProof/>
              </w:rPr>
              <w:t>20</w:t>
            </w:r>
            <w:r>
              <w:rPr>
                <w:noProof/>
              </w:rPr>
              <w:t>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38455859" w14:textId="77777777" w:rsidR="00327FF1" w:rsidRDefault="00E406C7">
            <w:pPr>
              <w:pStyle w:val="P68B1DB1-Normal12"/>
              <w:spacing w:after="120"/>
              <w:rPr>
                <w:noProof/>
              </w:rPr>
            </w:pPr>
            <w:r>
              <w:rPr>
                <w:noProof/>
              </w:rPr>
              <w:t>Tiesību akti:</w:t>
            </w:r>
          </w:p>
          <w:p w14:paraId="575B2B78" w14:textId="77777777" w:rsidR="00327FF1" w:rsidRDefault="00E406C7">
            <w:pPr>
              <w:pStyle w:val="P68B1DB1-ListParagraph15"/>
              <w:numPr>
                <w:ilvl w:val="3"/>
                <w:numId w:val="37"/>
              </w:numPr>
              <w:spacing w:after="120" w:line="240" w:lineRule="auto"/>
              <w:ind w:left="382"/>
              <w:contextualSpacing w:val="0"/>
              <w:jc w:val="both"/>
              <w:rPr>
                <w:noProof/>
                <w:szCs w:val="20"/>
              </w:rPr>
            </w:pPr>
            <w:r>
              <w:rPr>
                <w:noProof/>
              </w:rPr>
              <w:t>Samazināt ražotāja izmaksas par pieslēgumu biometāna ražotņu gāzes tīklam.</w:t>
            </w:r>
          </w:p>
          <w:p w14:paraId="5F9F6BF7" w14:textId="77777777" w:rsidR="00327FF1" w:rsidRDefault="00E406C7">
            <w:pPr>
              <w:pStyle w:val="P68B1DB1-ListParagraph13"/>
              <w:numPr>
                <w:ilvl w:val="3"/>
                <w:numId w:val="37"/>
              </w:numPr>
              <w:spacing w:after="120" w:line="240" w:lineRule="auto"/>
              <w:ind w:left="382"/>
              <w:jc w:val="both"/>
              <w:rPr>
                <w:noProof/>
              </w:rPr>
            </w:pPr>
            <w:r>
              <w:rPr>
                <w:noProof/>
              </w:rPr>
              <w:t xml:space="preserve">Nodrošināt regulatīvus stimulus investēt gāzes tīklā, lai palielinātu atjaunīgo gāzu integrāciju. </w:t>
            </w:r>
          </w:p>
          <w:p w14:paraId="01FDC69D" w14:textId="77777777" w:rsidR="00327FF1" w:rsidRDefault="00E406C7">
            <w:pPr>
              <w:pStyle w:val="P68B1DB1-ListParagraph13"/>
              <w:numPr>
                <w:ilvl w:val="3"/>
                <w:numId w:val="37"/>
              </w:numPr>
              <w:spacing w:after="120" w:line="240" w:lineRule="auto"/>
              <w:ind w:left="382"/>
              <w:jc w:val="both"/>
              <w:rPr>
                <w:noProof/>
              </w:rPr>
            </w:pPr>
            <w:r>
              <w:rPr>
                <w:noProof/>
              </w:rPr>
              <w:t>Veicināt integrāciju starp pārvades un sadales tīkliem, arī izman</w:t>
            </w:r>
            <w:r>
              <w:rPr>
                <w:noProof/>
              </w:rPr>
              <w:t xml:space="preserve">tojot mehānismus, lai dalītu izmaksas, kas saistītas ar investīcijām tīkla pieslēgumā. </w:t>
            </w:r>
          </w:p>
        </w:tc>
      </w:tr>
      <w:tr w:rsidR="00327FF1" w14:paraId="770A2DA7"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0ED2DB" w14:textId="77777777" w:rsidR="00327FF1" w:rsidRDefault="00E406C7">
            <w:pPr>
              <w:pStyle w:val="P68B1DB1-Normal11"/>
              <w:spacing w:after="120"/>
              <w:jc w:val="center"/>
              <w:rPr>
                <w:noProof/>
                <w:szCs w:val="20"/>
              </w:rPr>
            </w:pPr>
            <w:r>
              <w:rPr>
                <w:noProof/>
              </w:rPr>
              <w:t>M7–7</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BC0CA1" w14:textId="77777777" w:rsidR="00327FF1" w:rsidRDefault="00E406C7">
            <w:pPr>
              <w:pStyle w:val="P68B1DB1-Normal11"/>
              <w:spacing w:after="120"/>
              <w:jc w:val="center"/>
              <w:rPr>
                <w:noProof/>
                <w:szCs w:val="20"/>
              </w:rPr>
            </w:pPr>
            <w:r>
              <w:rPr>
                <w:noProof/>
              </w:rPr>
              <w:t>Reforma. Tāda finanšu riska mazināšana, kas saistīts ar atjaunojamo energoresursu EPL (jaudas pirkuma līgumi)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D33B5"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F5A1EF" w14:textId="77777777" w:rsidR="00327FF1" w:rsidRDefault="00E406C7">
            <w:pPr>
              <w:pStyle w:val="P68B1DB1-Normal12"/>
              <w:spacing w:after="120"/>
              <w:jc w:val="center"/>
              <w:rPr>
                <w:noProof/>
              </w:rPr>
            </w:pPr>
            <w:r>
              <w:rPr>
                <w:noProof/>
              </w:rPr>
              <w:t xml:space="preserve">Primāro un sekundāro tiesību aktu </w:t>
            </w:r>
            <w:r>
              <w:rPr>
                <w:noProof/>
              </w:rPr>
              <w:t>stāšanās spēkā</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523F58" w14:textId="77777777" w:rsidR="00327FF1" w:rsidRDefault="00E406C7">
            <w:pPr>
              <w:pStyle w:val="P68B1DB1-Normal11"/>
              <w:spacing w:after="120"/>
              <w:jc w:val="center"/>
              <w:rPr>
                <w:noProof/>
                <w:szCs w:val="20"/>
              </w:rPr>
            </w:pPr>
            <w:r>
              <w:rPr>
                <w:noProof/>
              </w:rPr>
              <w:t>Likuma norma, kas norāda uz likuma stāšanos spēkā</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54CDA3"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61C8AC"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C3BE2" w14:textId="77777777" w:rsidR="00327FF1" w:rsidRDefault="00327FF1">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723F4A" w14:textId="77777777" w:rsidR="00327FF1" w:rsidRDefault="00E406C7">
            <w:pPr>
              <w:pStyle w:val="P68B1DB1-Normal12"/>
              <w:spacing w:after="120"/>
              <w:jc w:val="center"/>
              <w:rPr>
                <w:noProof/>
              </w:rPr>
            </w:pPr>
            <w:r>
              <w:rPr>
                <w:noProof/>
              </w:rPr>
              <w:t>4.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F2F331" w14:textId="77777777" w:rsidR="00327FF1" w:rsidRDefault="00E406C7">
            <w:pPr>
              <w:pStyle w:val="P68B1DB1-Normal11"/>
              <w:spacing w:after="120"/>
              <w:jc w:val="center"/>
              <w:rPr>
                <w:noProof/>
                <w:szCs w:val="20"/>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687B8F" w14:textId="77777777" w:rsidR="00327FF1" w:rsidRDefault="00E406C7">
            <w:pPr>
              <w:pStyle w:val="P68B1DB1-Normal12"/>
              <w:spacing w:after="120"/>
              <w:rPr>
                <w:noProof/>
              </w:rPr>
            </w:pPr>
            <w:r>
              <w:rPr>
                <w:noProof/>
              </w:rPr>
              <w:t>Primāro un sekundāro tiesību aktu stāšanās spēkā.</w:t>
            </w:r>
          </w:p>
          <w:p w14:paraId="0A591836" w14:textId="77777777" w:rsidR="00327FF1" w:rsidRDefault="00E406C7">
            <w:pPr>
              <w:pStyle w:val="P68B1DB1-Normal12"/>
              <w:spacing w:after="120"/>
              <w:rPr>
                <w:noProof/>
              </w:rPr>
            </w:pPr>
            <w:r>
              <w:rPr>
                <w:noProof/>
              </w:rPr>
              <w:t>Primārajos tiesību aktos paredz pieņemt sekundāros tiesību aktus, ar kuriem īsteno turpmāk i), ii) un iii) punktā minētās pra</w:t>
            </w:r>
            <w:r>
              <w:rPr>
                <w:noProof/>
              </w:rPr>
              <w:t>sības.</w:t>
            </w:r>
          </w:p>
          <w:p w14:paraId="17027B74" w14:textId="77777777" w:rsidR="00327FF1" w:rsidRDefault="00E406C7">
            <w:pPr>
              <w:pStyle w:val="P68B1DB1-Normal12"/>
              <w:spacing w:after="120"/>
              <w:rPr>
                <w:noProof/>
              </w:rPr>
            </w:pPr>
            <w:r>
              <w:rPr>
                <w:noProof/>
              </w:rPr>
              <w:t>Sekundārie tiesību akti:</w:t>
            </w:r>
          </w:p>
          <w:p w14:paraId="5546CE95" w14:textId="77777777" w:rsidR="00327FF1" w:rsidRDefault="00E406C7">
            <w:pPr>
              <w:pStyle w:val="P68B1DB1-ListParagraph13"/>
              <w:numPr>
                <w:ilvl w:val="0"/>
                <w:numId w:val="65"/>
              </w:numPr>
              <w:spacing w:before="120" w:after="120" w:line="240" w:lineRule="auto"/>
              <w:jc w:val="both"/>
              <w:rPr>
                <w:noProof/>
              </w:rPr>
            </w:pPr>
            <w:r>
              <w:rPr>
                <w:noProof/>
              </w:rPr>
              <w:t xml:space="preserve">pieprasīt, lai katrs operators garantē elektroenerģijas pirkuma līgumu pretvērtības daļēju segumu, izmantojot garantijas instrumentus, kas nodrošināti elektroenerģijas tirgū; </w:t>
            </w:r>
          </w:p>
          <w:p w14:paraId="187001DF" w14:textId="77777777" w:rsidR="00327FF1" w:rsidRDefault="00E406C7">
            <w:pPr>
              <w:pStyle w:val="P68B1DB1-ListParagraph13"/>
              <w:numPr>
                <w:ilvl w:val="0"/>
                <w:numId w:val="65"/>
              </w:numPr>
              <w:spacing w:before="120" w:after="120" w:line="240" w:lineRule="auto"/>
              <w:jc w:val="both"/>
              <w:rPr>
                <w:noProof/>
              </w:rPr>
            </w:pPr>
            <w:r>
              <w:rPr>
                <w:noProof/>
              </w:rPr>
              <w:t>ieviest pasākumus, lai mazinātu saistību neizpil</w:t>
            </w:r>
            <w:r>
              <w:rPr>
                <w:noProof/>
              </w:rPr>
              <w:t>des risku, tostarp prasības un ierobežojumus pretendentam un regulatīvās sankcijas ražotāja saistību neizpildes gadījumā;</w:t>
            </w:r>
          </w:p>
          <w:p w14:paraId="1C049664" w14:textId="77777777" w:rsidR="00327FF1" w:rsidRDefault="00E406C7">
            <w:pPr>
              <w:pStyle w:val="P68B1DB1-ListParagraph13"/>
              <w:numPr>
                <w:ilvl w:val="0"/>
                <w:numId w:val="65"/>
              </w:numPr>
              <w:spacing w:before="120" w:after="120" w:line="240" w:lineRule="auto"/>
              <w:jc w:val="both"/>
              <w:rPr>
                <w:noProof/>
              </w:rPr>
            </w:pPr>
            <w:r>
              <w:rPr>
                <w:noProof/>
              </w:rPr>
              <w:t>noteikt institucionālu vienību, kas uzņemas pēdējā garantētā pārdevēja/pircēja lomu, kurš pārņemtu no darījuma partnera, kas kļūst mak</w:t>
            </w:r>
            <w:r>
              <w:rPr>
                <w:noProof/>
              </w:rPr>
              <w:t>sātnespējīgs, un nodrošinātu to saistību izpildi, kuras uzņemas attiecībā pret izpildītāju.</w:t>
            </w:r>
          </w:p>
        </w:tc>
      </w:tr>
      <w:tr w:rsidR="00327FF1" w14:paraId="39B61CD7"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8649C4" w14:textId="77777777" w:rsidR="00327FF1" w:rsidRDefault="00E406C7">
            <w:pPr>
              <w:pStyle w:val="P68B1DB1-Normal11"/>
              <w:spacing w:after="120"/>
              <w:jc w:val="center"/>
              <w:rPr>
                <w:noProof/>
                <w:szCs w:val="20"/>
              </w:rPr>
            </w:pPr>
            <w:r>
              <w:rPr>
                <w:noProof/>
              </w:rPr>
              <w:t>M7–9</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C8C5D6" w14:textId="77777777" w:rsidR="00327FF1" w:rsidRDefault="00E406C7">
            <w:pPr>
              <w:pStyle w:val="P68B1DB1-Normal11"/>
              <w:spacing w:after="120"/>
              <w:jc w:val="center"/>
              <w:rPr>
                <w:noProof/>
                <w:szCs w:val="20"/>
              </w:rPr>
            </w:pPr>
            <w:r>
              <w:rPr>
                <w:noProof/>
              </w:rPr>
              <w:t>Reforma. Jaunu prasmju plāns — Pārejas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5A7037"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FE724" w14:textId="77777777" w:rsidR="00327FF1" w:rsidRDefault="00E406C7">
            <w:pPr>
              <w:pStyle w:val="P68B1DB1-Normal11"/>
              <w:spacing w:after="120"/>
              <w:jc w:val="center"/>
              <w:rPr>
                <w:noProof/>
                <w:szCs w:val="20"/>
              </w:rPr>
            </w:pPr>
            <w:r>
              <w:rPr>
                <w:noProof/>
              </w:rPr>
              <w:t>Jaunā prasmju plāna un īstenošanas ceļveža pieņemšana un publicēšana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A31EFA" w14:textId="77777777" w:rsidR="00327FF1" w:rsidRDefault="00E406C7">
            <w:pPr>
              <w:pStyle w:val="P68B1DB1-Normal11"/>
              <w:spacing w:after="120"/>
              <w:jc w:val="center"/>
              <w:rPr>
                <w:noProof/>
                <w:szCs w:val="20"/>
              </w:rPr>
            </w:pPr>
            <w:r>
              <w:rPr>
                <w:noProof/>
              </w:rPr>
              <w:t>Plāna un ceļveža pieņemšana</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840EE"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0F9158"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47E797" w14:textId="77777777" w:rsidR="00327FF1" w:rsidRDefault="00327FF1">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8C40D4" w14:textId="77777777" w:rsidR="00327FF1" w:rsidRDefault="00E406C7">
            <w:pPr>
              <w:pStyle w:val="P68B1DB1-Normal11"/>
              <w:spacing w:after="120"/>
              <w:jc w:val="center"/>
              <w:rPr>
                <w:noProof/>
                <w:szCs w:val="20"/>
              </w:rPr>
            </w:pPr>
            <w:r>
              <w:rPr>
                <w:noProof/>
              </w:rPr>
              <w:t>Q1</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9FEEF7" w14:textId="77777777" w:rsidR="00327FF1" w:rsidRDefault="00E406C7">
            <w:pPr>
              <w:pStyle w:val="P68B1DB1-Normal11"/>
              <w:spacing w:after="120"/>
              <w:jc w:val="center"/>
              <w:rPr>
                <w:noProof/>
                <w:szCs w:val="20"/>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9F4D6D" w14:textId="77777777" w:rsidR="00327FF1" w:rsidRDefault="00E406C7">
            <w:pPr>
              <w:pStyle w:val="P68B1DB1-Normal11"/>
              <w:spacing w:after="120"/>
              <w:rPr>
                <w:noProof/>
                <w:szCs w:val="20"/>
              </w:rPr>
            </w:pPr>
            <w:r>
              <w:rPr>
                <w:noProof/>
              </w:rPr>
              <w:t>“Piano Nuove Competenze”, kas pieņemts ar 2021. gada 14. decembra dekrētu un publicēts 2021. gada 28. decembra Gazzetta ufficiale n.307, tiek grozīts, un stājas spēkā jaunais pārkārtošanās prasmju plāns. Plānā ir ietverti vispārējie principi, kas sīk</w:t>
            </w:r>
            <w:r>
              <w:rPr>
                <w:noProof/>
              </w:rPr>
              <w:t>āk jāprecizē reģionālajos tiesību aktos, tostarp:</w:t>
            </w:r>
          </w:p>
          <w:p w14:paraId="436A2451" w14:textId="77777777" w:rsidR="00327FF1" w:rsidRDefault="00E406C7">
            <w:pPr>
              <w:pStyle w:val="P68B1DB1-ListParagraph15"/>
              <w:numPr>
                <w:ilvl w:val="0"/>
                <w:numId w:val="44"/>
              </w:numPr>
              <w:spacing w:after="120" w:line="240" w:lineRule="auto"/>
              <w:ind w:left="382" w:hanging="142"/>
              <w:jc w:val="both"/>
              <w:rPr>
                <w:noProof/>
                <w:szCs w:val="20"/>
              </w:rPr>
            </w:pPr>
            <w:r>
              <w:rPr>
                <w:noProof/>
              </w:rPr>
              <w:t xml:space="preserve">lielāka privātā sektora iesaiste apmācības nodrošināšanā, </w:t>
            </w:r>
          </w:p>
          <w:p w14:paraId="5A000979" w14:textId="77777777" w:rsidR="00327FF1" w:rsidRDefault="00E406C7">
            <w:pPr>
              <w:pStyle w:val="P68B1DB1-ListParagraph15"/>
              <w:numPr>
                <w:ilvl w:val="0"/>
                <w:numId w:val="44"/>
              </w:numPr>
              <w:spacing w:after="120" w:line="240" w:lineRule="auto"/>
              <w:ind w:left="382" w:hanging="142"/>
              <w:contextualSpacing w:val="0"/>
              <w:jc w:val="both"/>
              <w:rPr>
                <w:noProof/>
                <w:szCs w:val="20"/>
              </w:rPr>
            </w:pPr>
            <w:r>
              <w:rPr>
                <w:noProof/>
              </w:rPr>
              <w:t xml:space="preserve">uzlabota apmācības darbavietā un mikroapliecinājumu atzīšana, </w:t>
            </w:r>
          </w:p>
          <w:p w14:paraId="4E783CD3" w14:textId="77777777" w:rsidR="00327FF1" w:rsidRDefault="00E406C7">
            <w:pPr>
              <w:pStyle w:val="P68B1DB1-ListParagraph15"/>
              <w:numPr>
                <w:ilvl w:val="0"/>
                <w:numId w:val="44"/>
              </w:numPr>
              <w:spacing w:after="120" w:line="240" w:lineRule="auto"/>
              <w:ind w:left="382" w:hanging="142"/>
              <w:contextualSpacing w:val="0"/>
              <w:jc w:val="both"/>
              <w:rPr>
                <w:noProof/>
                <w:szCs w:val="20"/>
              </w:rPr>
            </w:pPr>
            <w:r>
              <w:rPr>
                <w:noProof/>
              </w:rPr>
              <w:t xml:space="preserve">plašāka ex ante darba tirgus analīze un apmācības arodietekmes uzraudzība. </w:t>
            </w:r>
          </w:p>
          <w:p w14:paraId="75C24AA2" w14:textId="77777777" w:rsidR="00327FF1" w:rsidRDefault="00E406C7">
            <w:pPr>
              <w:pStyle w:val="P68B1DB1-Normal11"/>
              <w:spacing w:after="120"/>
              <w:rPr>
                <w:noProof/>
                <w:szCs w:val="20"/>
              </w:rPr>
            </w:pPr>
            <w:r>
              <w:rPr>
                <w:noProof/>
              </w:rPr>
              <w:t>Tiek pie</w:t>
            </w:r>
            <w:r>
              <w:rPr>
                <w:noProof/>
              </w:rPr>
              <w:t>ņemts arī īstenošanas ceļvedis.</w:t>
            </w:r>
          </w:p>
        </w:tc>
      </w:tr>
      <w:tr w:rsidR="00327FF1" w14:paraId="768D55AC"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7D44D7" w14:textId="77777777" w:rsidR="00327FF1" w:rsidRDefault="00E406C7">
            <w:pPr>
              <w:pStyle w:val="P68B1DB1-Normal12"/>
              <w:spacing w:after="120"/>
              <w:jc w:val="center"/>
              <w:rPr>
                <w:rFonts w:eastAsia="Arial Narrow" w:cs="Arial Narrow"/>
                <w:noProof/>
              </w:rPr>
            </w:pPr>
            <w:r>
              <w:rPr>
                <w:noProof/>
              </w:rPr>
              <w:t>M7–10</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C6B2B0" w14:textId="77777777" w:rsidR="00327FF1" w:rsidRDefault="00E406C7">
            <w:pPr>
              <w:pStyle w:val="P68B1DB1-Normal12"/>
              <w:spacing w:after="120"/>
              <w:jc w:val="center"/>
              <w:rPr>
                <w:rFonts w:eastAsia="Arial Narrow" w:cs="Arial Narrow"/>
                <w:noProof/>
              </w:rPr>
            </w:pPr>
            <w:r>
              <w:rPr>
                <w:noProof/>
              </w:rPr>
              <w:t>Reforma. Jaunu prasmju plāns — Pārejas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C1E7D3" w14:textId="77777777" w:rsidR="00327FF1" w:rsidRDefault="00E406C7">
            <w:pPr>
              <w:pStyle w:val="P68B1DB1-Normal11"/>
              <w:spacing w:after="120"/>
              <w:jc w:val="center"/>
              <w:rPr>
                <w:rFonts w:eastAsia="Arial Narrow" w:cs="Arial Narrow"/>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E753FB" w14:textId="2ACE358E" w:rsidR="00327FF1" w:rsidRDefault="00E406C7">
            <w:pPr>
              <w:pStyle w:val="P68B1DB1-Normal12"/>
              <w:spacing w:after="120"/>
              <w:rPr>
                <w:noProof/>
              </w:rPr>
            </w:pPr>
            <w:r>
              <w:rPr>
                <w:noProof/>
              </w:rPr>
              <w:t xml:space="preserve">Tiesību akta(-u) stāšanās spēkā attiecībā uz reģioniem un autonomo(-ajām) provinci(-ēm)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8DA537" w14:textId="19FC3AE1" w:rsidR="00327FF1" w:rsidRDefault="00E406C7">
            <w:pPr>
              <w:pStyle w:val="P68B1DB1-Normal12"/>
              <w:spacing w:after="120"/>
              <w:jc w:val="center"/>
              <w:rPr>
                <w:noProof/>
              </w:rPr>
            </w:pPr>
            <w:r>
              <w:rPr>
                <w:noProof/>
              </w:rPr>
              <w:t xml:space="preserve"> Tiesību aktu noteikums(-i)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08116F" w14:textId="77777777" w:rsidR="00327FF1" w:rsidRDefault="00327FF1">
            <w:pPr>
              <w:spacing w:after="120"/>
              <w:jc w:val="center"/>
              <w:rPr>
                <w:rFonts w:ascii="Arial Narrow" w:eastAsia="Arial Narrow" w:hAnsi="Arial Narrow" w:cs="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91C33D" w14:textId="77777777" w:rsidR="00327FF1" w:rsidRDefault="00327FF1">
            <w:pPr>
              <w:spacing w:after="120"/>
              <w:jc w:val="center"/>
              <w:rPr>
                <w:rFonts w:ascii="Arial Narrow" w:eastAsia="Arial Narrow" w:hAnsi="Arial Narrow" w:cs="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FBD4FF" w14:textId="77777777" w:rsidR="00327FF1" w:rsidRDefault="00327FF1">
            <w:pPr>
              <w:spacing w:after="120"/>
              <w:jc w:val="center"/>
              <w:rPr>
                <w:rFonts w:ascii="Arial Narrow" w:eastAsia="Arial Narrow" w:hAnsi="Arial Narrow" w:cs="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2732AC" w14:textId="77777777" w:rsidR="00327FF1" w:rsidRDefault="00E406C7">
            <w:pPr>
              <w:pStyle w:val="P68B1DB1-Normal11"/>
              <w:spacing w:after="120"/>
              <w:jc w:val="center"/>
              <w:rPr>
                <w:rFonts w:eastAsia="Arial Narrow" w:cs="Arial Narrow"/>
                <w:noProof/>
                <w:szCs w:val="20"/>
              </w:rPr>
            </w:pPr>
            <w:r>
              <w:rPr>
                <w:noProof/>
              </w:rPr>
              <w:t>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CFC9DF" w14:textId="77777777" w:rsidR="00327FF1" w:rsidRDefault="00E406C7">
            <w:pPr>
              <w:pStyle w:val="P68B1DB1-Normal11"/>
              <w:spacing w:after="120"/>
              <w:jc w:val="center"/>
              <w:rPr>
                <w:rFonts w:eastAsia="Arial Narrow" w:cs="Arial Narrow"/>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80649B" w14:textId="77777777" w:rsidR="00327FF1" w:rsidRDefault="00E406C7">
            <w:pPr>
              <w:pStyle w:val="P68B1DB1-Normal11"/>
              <w:rPr>
                <w:noProof/>
              </w:rPr>
            </w:pPr>
            <w:r>
              <w:rPr>
                <w:noProof/>
              </w:rPr>
              <w:t>Stājas spēkā tiesību akts(-i),</w:t>
            </w:r>
            <w:r>
              <w:rPr>
                <w:noProof/>
              </w:rPr>
              <w:t xml:space="preserve"> tostarp noteikumi par:</w:t>
            </w:r>
          </w:p>
          <w:p w14:paraId="40A033B3" w14:textId="77777777" w:rsidR="00327FF1" w:rsidRDefault="00E406C7">
            <w:pPr>
              <w:pStyle w:val="P68B1DB1-ListParagraph111"/>
              <w:numPr>
                <w:ilvl w:val="0"/>
                <w:numId w:val="97"/>
              </w:numPr>
              <w:spacing w:before="120" w:after="120" w:line="240" w:lineRule="auto"/>
              <w:jc w:val="both"/>
              <w:rPr>
                <w:noProof/>
              </w:rPr>
            </w:pPr>
            <w:r>
              <w:rPr>
                <w:noProof/>
              </w:rPr>
              <w:t>nodrošināt, ka apmācības pasākumu plānošanā tiek iesaistītas privātā sektora ieinteresētās personas un tiek izmantoti prasmju apzināšanas rīki, lai reaģētu uz vidēja termiņa un ilgtermiņa prasmju vajadzībām, galveno uzmanību pievērš</w:t>
            </w:r>
            <w:r>
              <w:rPr>
                <w:noProof/>
              </w:rPr>
              <w:t xml:space="preserve">ot prasmēm, kas vajadzīgas zaļās un digitālās pārkārtošanās īstenošanai; </w:t>
            </w:r>
          </w:p>
          <w:p w14:paraId="5CEC2601" w14:textId="77777777" w:rsidR="00327FF1" w:rsidRDefault="00E406C7">
            <w:pPr>
              <w:pStyle w:val="P68B1DB1-Normal12"/>
              <w:rPr>
                <w:noProof/>
              </w:rPr>
            </w:pPr>
            <w:r>
              <w:rPr>
                <w:noProof/>
              </w:rPr>
              <w:t>un/vai</w:t>
            </w:r>
          </w:p>
          <w:p w14:paraId="6A7AD53E" w14:textId="77777777" w:rsidR="00327FF1" w:rsidRDefault="00E406C7">
            <w:pPr>
              <w:pStyle w:val="P68B1DB1-ListParagraph111"/>
              <w:numPr>
                <w:ilvl w:val="0"/>
                <w:numId w:val="96"/>
              </w:numPr>
              <w:spacing w:before="120" w:after="120" w:line="240" w:lineRule="auto"/>
              <w:jc w:val="both"/>
              <w:rPr>
                <w:noProof/>
              </w:rPr>
            </w:pPr>
            <w:r>
              <w:rPr>
                <w:noProof/>
              </w:rPr>
              <w:t>validēt apmācību uzņēmumā (tostarp mikroapliecinājumus) un to rezultātus, izlaižot sertifikātus, pamatojoties uz kopējiem minimālajiem standartiem.</w:t>
            </w:r>
          </w:p>
          <w:p w14:paraId="7523B96C" w14:textId="7F13847A" w:rsidR="00327FF1" w:rsidRDefault="00E406C7">
            <w:pPr>
              <w:pStyle w:val="P68B1DB1-Normal11"/>
              <w:rPr>
                <w:rFonts w:cs="Times New Roman"/>
                <w:noProof/>
              </w:rPr>
            </w:pPr>
            <w:r>
              <w:rPr>
                <w:noProof/>
              </w:rPr>
              <w:t>Tiesību akti stājas spēkā a</w:t>
            </w:r>
            <w:r>
              <w:rPr>
                <w:noProof/>
              </w:rPr>
              <w:t>ttiecībā uz visiem Itālijas reģioniem un autonomo(-ajām) provinci(-ēm), izņemot Bolcāno un Valle d’Aosta.</w:t>
            </w:r>
          </w:p>
        </w:tc>
      </w:tr>
      <w:tr w:rsidR="00327FF1" w14:paraId="3CC06066"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1CA7FD" w14:textId="77777777" w:rsidR="00327FF1" w:rsidRDefault="00E406C7">
            <w:pPr>
              <w:pStyle w:val="P68B1DB1-Normal11"/>
              <w:spacing w:after="120"/>
              <w:jc w:val="center"/>
              <w:rPr>
                <w:noProof/>
                <w:szCs w:val="20"/>
              </w:rPr>
            </w:pPr>
            <w:r>
              <w:rPr>
                <w:noProof/>
              </w:rPr>
              <w:t>M7–11</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655C2C" w14:textId="77777777" w:rsidR="00327FF1" w:rsidRDefault="00E406C7">
            <w:pPr>
              <w:pStyle w:val="P68B1DB1-Normal11"/>
              <w:spacing w:after="120"/>
              <w:jc w:val="center"/>
              <w:rPr>
                <w:noProof/>
                <w:szCs w:val="20"/>
              </w:rPr>
            </w:pPr>
            <w:r>
              <w:rPr>
                <w:noProof/>
              </w:rPr>
              <w:t>Ieguldījums: Palielinātais pasākums: Viedtīkli</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8DAD7E" w14:textId="77777777" w:rsidR="00327FF1" w:rsidRDefault="00E406C7">
            <w:pPr>
              <w:pStyle w:val="P68B1DB1-Normal11"/>
              <w:spacing w:after="120"/>
              <w:jc w:val="center"/>
              <w:rPr>
                <w:noProof/>
                <w:szCs w:val="20"/>
              </w:rPr>
            </w:pPr>
            <w:r>
              <w:rPr>
                <w:noProof/>
              </w:rPr>
              <w:t>Mērķa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45ACBD" w14:textId="77777777" w:rsidR="00327FF1" w:rsidRDefault="00E406C7">
            <w:pPr>
              <w:pStyle w:val="P68B1DB1-Normal11"/>
              <w:spacing w:after="120"/>
              <w:jc w:val="center"/>
              <w:rPr>
                <w:noProof/>
                <w:szCs w:val="20"/>
              </w:rPr>
            </w:pPr>
            <w:r>
              <w:rPr>
                <w:noProof/>
              </w:rPr>
              <w:t>Viedie tīkli — enerģijas patēriņa elektrifikācija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00B325" w14:textId="77777777" w:rsidR="00327FF1" w:rsidRDefault="00327FF1">
            <w:pPr>
              <w:spacing w:after="120"/>
              <w:jc w:val="center"/>
              <w:rPr>
                <w:rFonts w:ascii="Arial Narrow" w:hAnsi="Arial Narrow"/>
                <w:noProof/>
                <w:color w:val="0061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E535E1" w14:textId="77777777" w:rsidR="00327FF1" w:rsidRDefault="00E406C7">
            <w:pPr>
              <w:pStyle w:val="P68B1DB1-Normal11"/>
              <w:spacing w:after="120"/>
              <w:jc w:val="center"/>
              <w:rPr>
                <w:noProof/>
                <w:szCs w:val="20"/>
              </w:rPr>
            </w:pPr>
            <w:r>
              <w:rPr>
                <w:noProof/>
              </w:rPr>
              <w:t>Skaits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50F5B9" w14:textId="77777777" w:rsidR="00327FF1" w:rsidRDefault="00E406C7">
            <w:pPr>
              <w:pStyle w:val="P68B1DB1-Normal11"/>
              <w:spacing w:after="120"/>
              <w:jc w:val="center"/>
              <w:rPr>
                <w:noProof/>
                <w:szCs w:val="20"/>
              </w:rPr>
            </w:pPr>
            <w:r>
              <w:rPr>
                <w:noProof/>
              </w:rPr>
              <w:t>1 500 000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F83DE" w14:textId="77777777" w:rsidR="00327FF1" w:rsidRDefault="00E406C7">
            <w:pPr>
              <w:pStyle w:val="P68B1DB1-Normal11"/>
              <w:spacing w:after="120"/>
              <w:jc w:val="center"/>
              <w:rPr>
                <w:noProof/>
                <w:szCs w:val="20"/>
              </w:rPr>
            </w:pPr>
            <w:r>
              <w:rPr>
                <w:noProof/>
              </w:rPr>
              <w:t>1 730 000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A27DF8" w14:textId="77777777" w:rsidR="00327FF1" w:rsidRDefault="00E406C7">
            <w:pPr>
              <w:pStyle w:val="P68B1DB1-Normal11"/>
              <w:spacing w:after="120"/>
              <w:jc w:val="center"/>
              <w:rPr>
                <w:noProof/>
                <w:szCs w:val="20"/>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C74DEA" w14:textId="77777777" w:rsidR="00327FF1" w:rsidRDefault="00E406C7">
            <w:pPr>
              <w:pStyle w:val="P68B1DB1-Normal11"/>
              <w:spacing w:after="120"/>
              <w:jc w:val="center"/>
              <w:rPr>
                <w:noProof/>
                <w:szCs w:val="20"/>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4748CC" w14:textId="6ADC47FE" w:rsidR="00327FF1" w:rsidRDefault="00E406C7">
            <w:pPr>
              <w:pStyle w:val="P68B1DB1-Normal11"/>
              <w:spacing w:after="120"/>
              <w:rPr>
                <w:noProof/>
                <w:color w:val="FF0000"/>
                <w:szCs w:val="20"/>
              </w:rPr>
            </w:pPr>
            <w:r>
              <w:rPr>
                <w:noProof/>
                <w:szCs w:val="20"/>
              </w:rPr>
              <w:t xml:space="preserve">Uzstādīšanas sertifikāti vai pieņemšanas testa ziņojumi, kas izdoti par intervencēm, kuru rezultātā palielinās tīkla patēriņam piegādātā maksimālā jauda vairākos piegādes punktos, kas atbilst vismaz 1730000 iedzīvotāju, kā to apstiprina viens vai vairāki </w:t>
            </w:r>
            <w:r>
              <w:rPr>
                <w:noProof/>
                <w:szCs w:val="20"/>
              </w:rPr>
              <w:t>neatkarīga inženiera ziņojumi.</w:t>
            </w:r>
            <w:r>
              <w:rPr>
                <w:noProof/>
              </w:rPr>
              <w:t xml:space="preserve"> </w:t>
            </w:r>
          </w:p>
        </w:tc>
      </w:tr>
      <w:tr w:rsidR="00327FF1" w14:paraId="48B540B4"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3EFBED" w14:textId="77777777" w:rsidR="00327FF1" w:rsidRDefault="00E406C7">
            <w:pPr>
              <w:pStyle w:val="P68B1DB1-Normal11"/>
              <w:spacing w:after="120"/>
              <w:jc w:val="center"/>
              <w:rPr>
                <w:noProof/>
                <w:szCs w:val="20"/>
              </w:rPr>
            </w:pPr>
            <w:r>
              <w:rPr>
                <w:noProof/>
              </w:rPr>
              <w:t>M7–12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5388E3" w14:textId="77777777" w:rsidR="00327FF1" w:rsidRDefault="00E406C7">
            <w:pPr>
              <w:pStyle w:val="P68B1DB1-Normal11"/>
              <w:spacing w:after="120"/>
              <w:jc w:val="center"/>
              <w:rPr>
                <w:noProof/>
                <w:szCs w:val="20"/>
              </w:rPr>
            </w:pPr>
            <w:r>
              <w:rPr>
                <w:noProof/>
              </w:rPr>
              <w:t>Ieguldījums Nr. 2: Palielinātais pasākums: Intervences, kuru mērķis ir palielināt elektrotīkla noturību</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B76BD7" w14:textId="77777777" w:rsidR="00327FF1" w:rsidRDefault="00E406C7">
            <w:pPr>
              <w:pStyle w:val="P68B1DB1-Normal11"/>
              <w:spacing w:after="120"/>
              <w:jc w:val="center"/>
              <w:rPr>
                <w:noProof/>
                <w:szCs w:val="20"/>
              </w:rPr>
            </w:pPr>
            <w:r>
              <w:rPr>
                <w:noProof/>
              </w:rPr>
              <w:t>Mērķa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B10F38" w14:textId="77777777" w:rsidR="00327FF1" w:rsidRDefault="00E406C7">
            <w:pPr>
              <w:pStyle w:val="P68B1DB1-Normal11"/>
              <w:spacing w:after="120"/>
              <w:jc w:val="center"/>
              <w:rPr>
                <w:noProof/>
                <w:szCs w:val="20"/>
              </w:rPr>
            </w:pPr>
            <w:r>
              <w:rPr>
                <w:noProof/>
              </w:rPr>
              <w:t>Palielināt elektroenerģijas sistēmas tīkla noturību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1916A" w14:textId="77777777" w:rsidR="00327FF1" w:rsidRDefault="00327FF1">
            <w:pPr>
              <w:spacing w:after="120"/>
              <w:jc w:val="center"/>
              <w:rPr>
                <w:rFonts w:ascii="Arial Narrow" w:hAnsi="Arial Narrow"/>
                <w:noProof/>
                <w:color w:val="0061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546094" w14:textId="77777777" w:rsidR="00327FF1" w:rsidRDefault="00E406C7">
            <w:pPr>
              <w:pStyle w:val="P68B1DB1-Normal11"/>
              <w:spacing w:after="120"/>
              <w:jc w:val="center"/>
              <w:rPr>
                <w:noProof/>
                <w:szCs w:val="20"/>
              </w:rPr>
            </w:pPr>
            <w:r>
              <w:rPr>
                <w:noProof/>
              </w:rPr>
              <w:t>Skaits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09FC22" w14:textId="77777777" w:rsidR="00327FF1" w:rsidRDefault="00E406C7">
            <w:pPr>
              <w:pStyle w:val="P68B1DB1-Normal11"/>
              <w:spacing w:after="120"/>
              <w:jc w:val="center"/>
              <w:rPr>
                <w:noProof/>
                <w:szCs w:val="20"/>
              </w:rPr>
            </w:pPr>
            <w:r>
              <w:rPr>
                <w:noProof/>
              </w:rPr>
              <w:t>4 000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1A938D" w14:textId="77777777" w:rsidR="00327FF1" w:rsidRDefault="00E406C7">
            <w:pPr>
              <w:pStyle w:val="P68B1DB1-Normal11"/>
              <w:spacing w:after="120"/>
              <w:jc w:val="center"/>
              <w:rPr>
                <w:noProof/>
                <w:szCs w:val="20"/>
              </w:rPr>
            </w:pPr>
            <w:r>
              <w:rPr>
                <w:noProof/>
              </w:rPr>
              <w:t>4 648</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9B2A9D" w14:textId="77777777" w:rsidR="00327FF1" w:rsidRDefault="00E406C7">
            <w:pPr>
              <w:pStyle w:val="P68B1DB1-Normal11"/>
              <w:spacing w:after="120"/>
              <w:jc w:val="center"/>
              <w:rPr>
                <w:noProof/>
                <w:szCs w:val="20"/>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BEB130" w14:textId="77777777" w:rsidR="00327FF1" w:rsidRDefault="00E406C7">
            <w:pPr>
              <w:pStyle w:val="P68B1DB1-Normal11"/>
              <w:spacing w:after="120"/>
              <w:jc w:val="center"/>
              <w:rPr>
                <w:noProof/>
                <w:szCs w:val="20"/>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A04459" w14:textId="77777777" w:rsidR="00327FF1" w:rsidRDefault="00E406C7">
            <w:pPr>
              <w:pStyle w:val="P68B1DB1-Normal11"/>
              <w:spacing w:after="120"/>
              <w:rPr>
                <w:noProof/>
              </w:rPr>
            </w:pPr>
            <w:r>
              <w:rPr>
                <w:noProof/>
              </w:rPr>
              <w:t xml:space="preserve">Sertifikāti par darbu pabeigšanu, kas izdoti intervencēm, kuras atbilst vismaz 4 648 km elektrotīkla noturības palielināšanai, ko apstiprina viens vai vairāki neatkarīgi inženiera ziņojumi. </w:t>
            </w:r>
          </w:p>
          <w:p w14:paraId="1C6ACFDE" w14:textId="77777777" w:rsidR="00327FF1" w:rsidRDefault="00327FF1">
            <w:pPr>
              <w:spacing w:after="120"/>
              <w:rPr>
                <w:rFonts w:ascii="Arial Narrow" w:hAnsi="Arial Narrow"/>
                <w:noProof/>
                <w:color w:val="FF0000"/>
                <w:sz w:val="20"/>
                <w:szCs w:val="20"/>
              </w:rPr>
            </w:pPr>
          </w:p>
        </w:tc>
      </w:tr>
      <w:tr w:rsidR="00327FF1" w14:paraId="47F0566B"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80170C" w14:textId="77777777" w:rsidR="00327FF1" w:rsidRDefault="00E406C7">
            <w:pPr>
              <w:pStyle w:val="P68B1DB1-Normal11"/>
              <w:spacing w:after="120"/>
              <w:jc w:val="center"/>
              <w:rPr>
                <w:noProof/>
                <w:szCs w:val="20"/>
              </w:rPr>
            </w:pPr>
            <w:r>
              <w:rPr>
                <w:noProof/>
              </w:rPr>
              <w:t>M7–13</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012983" w14:textId="77777777" w:rsidR="00327FF1" w:rsidRDefault="00E406C7">
            <w:pPr>
              <w:pStyle w:val="P68B1DB1-Normal11"/>
              <w:spacing w:after="120"/>
              <w:jc w:val="center"/>
              <w:rPr>
                <w:noProof/>
                <w:szCs w:val="20"/>
              </w:rPr>
            </w:pPr>
            <w:r>
              <w:rPr>
                <w:noProof/>
              </w:rPr>
              <w:t xml:space="preserve">Ieguldījums Nr. 3: Palielinātais pasākums: Ūdeņraža </w:t>
            </w:r>
            <w:r>
              <w:rPr>
                <w:noProof/>
              </w:rPr>
              <w:t>ražošana degradētās teritorijās (Ūdeņraža ielejās)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A24DB3" w14:textId="77777777" w:rsidR="00327FF1" w:rsidRDefault="00E406C7">
            <w:pPr>
              <w:pStyle w:val="P68B1DB1-Normal11"/>
              <w:spacing w:after="120"/>
              <w:jc w:val="center"/>
              <w:rPr>
                <w:noProof/>
                <w:szCs w:val="20"/>
              </w:rPr>
            </w:pPr>
            <w:r>
              <w:rPr>
                <w:noProof/>
              </w:rPr>
              <w:t>Mērķa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8B8DF7" w14:textId="7C6B7DE3" w:rsidR="00327FF1" w:rsidRDefault="00E406C7">
            <w:pPr>
              <w:pStyle w:val="P68B1DB1-Normal12"/>
              <w:spacing w:after="120"/>
              <w:jc w:val="center"/>
              <w:rPr>
                <w:noProof/>
              </w:rPr>
            </w:pPr>
            <w:r>
              <w:rPr>
                <w:noProof/>
              </w:rPr>
              <w:t xml:space="preserve">Īstenotie projekti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21094" w14:textId="77777777" w:rsidR="00327FF1" w:rsidRDefault="00327FF1">
            <w:pPr>
              <w:spacing w:after="120"/>
              <w:jc w:val="center"/>
              <w:rPr>
                <w:rFonts w:ascii="Arial Narrow" w:hAnsi="Arial Narrow"/>
                <w:noProof/>
                <w:color w:val="0061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D2BB0E" w14:textId="77777777" w:rsidR="00327FF1" w:rsidRDefault="00E406C7">
            <w:pPr>
              <w:pStyle w:val="P68B1DB1-Normal11"/>
              <w:spacing w:after="120"/>
              <w:jc w:val="center"/>
              <w:rPr>
                <w:noProof/>
                <w:szCs w:val="20"/>
              </w:rPr>
            </w:pPr>
            <w:r>
              <w:rPr>
                <w:noProof/>
              </w:rPr>
              <w:t>Skaits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5EF840" w14:textId="77777777" w:rsidR="00327FF1" w:rsidRDefault="00E406C7">
            <w:pPr>
              <w:pStyle w:val="P68B1DB1-Normal11"/>
              <w:spacing w:after="120"/>
              <w:jc w:val="center"/>
              <w:rPr>
                <w:noProof/>
                <w:szCs w:val="20"/>
              </w:rPr>
            </w:pPr>
            <w:r>
              <w:rPr>
                <w:noProof/>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6AC3C" w14:textId="77777777" w:rsidR="00327FF1" w:rsidRDefault="00E406C7">
            <w:pPr>
              <w:pStyle w:val="P68B1DB1-Normal11"/>
              <w:spacing w:after="120"/>
              <w:jc w:val="center"/>
              <w:rPr>
                <w:noProof/>
                <w:szCs w:val="20"/>
              </w:rPr>
            </w:pPr>
            <w:r>
              <w:rPr>
                <w:noProof/>
              </w:rPr>
              <w:t>12</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EA2C5F" w14:textId="77777777" w:rsidR="00327FF1" w:rsidRDefault="00E406C7">
            <w:pPr>
              <w:pStyle w:val="P68B1DB1-Normal11"/>
              <w:spacing w:after="120"/>
              <w:jc w:val="center"/>
              <w:rPr>
                <w:noProof/>
                <w:szCs w:val="20"/>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529A8" w14:textId="77777777" w:rsidR="00327FF1" w:rsidRDefault="00E406C7">
            <w:pPr>
              <w:pStyle w:val="P68B1DB1-Normal11"/>
              <w:spacing w:after="120"/>
              <w:jc w:val="center"/>
              <w:rPr>
                <w:noProof/>
                <w:szCs w:val="20"/>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0BD025" w14:textId="77777777" w:rsidR="00327FF1" w:rsidRDefault="00E406C7">
            <w:pPr>
              <w:pStyle w:val="P68B1DB1-Normal12"/>
              <w:spacing w:after="120"/>
              <w:jc w:val="both"/>
              <w:rPr>
                <w:noProof/>
              </w:rPr>
            </w:pPr>
            <w:r>
              <w:rPr>
                <w:noProof/>
              </w:rPr>
              <w:t xml:space="preserve">Sertifikāti, kas izsniegti 12 ūdeņraža ieleju projektiem, tostarp 12 elektrolīzeru uzstādīšanai ar vismaz 1 MW jaudu. </w:t>
            </w:r>
          </w:p>
          <w:p w14:paraId="333D0B89" w14:textId="77777777" w:rsidR="00327FF1" w:rsidRDefault="00E406C7">
            <w:pPr>
              <w:pStyle w:val="P68B1DB1-Normal11"/>
              <w:spacing w:after="120"/>
              <w:rPr>
                <w:noProof/>
                <w:szCs w:val="20"/>
              </w:rPr>
            </w:pPr>
            <w:r>
              <w:rPr>
                <w:noProof/>
              </w:rPr>
              <w:t xml:space="preserve">Attīstītāja pieņemtās pieslēguma </w:t>
            </w:r>
            <w:r>
              <w:rPr>
                <w:noProof/>
              </w:rPr>
              <w:t>izmaksu aplēses tiek izdotas elektrolīzeriem, kuriem nepieciešams tīkla pieslēgums.</w:t>
            </w:r>
          </w:p>
        </w:tc>
      </w:tr>
      <w:tr w:rsidR="00327FF1" w14:paraId="4495184C"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3023EE" w14:textId="77777777" w:rsidR="00327FF1" w:rsidRDefault="00E406C7">
            <w:pPr>
              <w:pStyle w:val="P68B1DB1-Normal11"/>
              <w:spacing w:after="120"/>
              <w:jc w:val="center"/>
              <w:rPr>
                <w:noProof/>
                <w:szCs w:val="20"/>
              </w:rPr>
            </w:pPr>
            <w:r>
              <w:rPr>
                <w:noProof/>
              </w:rPr>
              <w:t>M7–14</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DF523A" w14:textId="77777777" w:rsidR="00327FF1" w:rsidRDefault="00E406C7">
            <w:pPr>
              <w:pStyle w:val="P68B1DB1-Normal11"/>
              <w:spacing w:after="120"/>
              <w:jc w:val="center"/>
              <w:rPr>
                <w:noProof/>
                <w:szCs w:val="20"/>
              </w:rPr>
            </w:pPr>
            <w:r>
              <w:rPr>
                <w:noProof/>
              </w:rPr>
              <w:t>Ieguldījums Nr. 4: Tirēnu saite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626312"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7F87E1" w14:textId="77777777" w:rsidR="00327FF1" w:rsidRDefault="00E406C7">
            <w:pPr>
              <w:pStyle w:val="P68B1DB1-Normal11"/>
              <w:spacing w:after="120"/>
              <w:jc w:val="center"/>
              <w:rPr>
                <w:noProof/>
                <w:szCs w:val="20"/>
              </w:rPr>
            </w:pPr>
            <w:r>
              <w:rPr>
                <w:noProof/>
              </w:rPr>
              <w:t>Līgumu piešķiršana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8C6A26" w14:textId="77777777" w:rsidR="00327FF1" w:rsidRDefault="00E406C7">
            <w:pPr>
              <w:pStyle w:val="P68B1DB1-Normal11"/>
              <w:spacing w:after="120"/>
              <w:jc w:val="center"/>
              <w:rPr>
                <w:noProof/>
                <w:szCs w:val="20"/>
              </w:rPr>
            </w:pPr>
            <w:r>
              <w:rPr>
                <w:noProof/>
              </w:rPr>
              <w:t>Paziņots par līgumu noslēgšanu</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D1227A"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2460A9"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9D1208" w14:textId="77777777" w:rsidR="00327FF1" w:rsidRDefault="00327FF1">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C98031" w14:textId="77777777" w:rsidR="00327FF1" w:rsidRDefault="00E406C7">
            <w:pPr>
              <w:pStyle w:val="P68B1DB1-Normal11"/>
              <w:spacing w:after="120"/>
              <w:jc w:val="center"/>
              <w:rPr>
                <w:noProof/>
                <w:szCs w:val="20"/>
              </w:rPr>
            </w:pPr>
            <w:r>
              <w:rPr>
                <w:noProof/>
              </w:rPr>
              <w:t>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47B5FD" w14:textId="77777777" w:rsidR="00327FF1" w:rsidRDefault="00E406C7">
            <w:pPr>
              <w:pStyle w:val="P68B1DB1-Normal11"/>
              <w:spacing w:after="120"/>
              <w:jc w:val="center"/>
              <w:rPr>
                <w:noProof/>
                <w:szCs w:val="20"/>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1D6AC0" w14:textId="77777777" w:rsidR="00327FF1" w:rsidRDefault="00E406C7">
            <w:pPr>
              <w:pStyle w:val="P68B1DB1-Normal12"/>
              <w:spacing w:after="120"/>
              <w:rPr>
                <w:noProof/>
              </w:rPr>
            </w:pPr>
            <w:r>
              <w:rPr>
                <w:noProof/>
              </w:rPr>
              <w:t xml:space="preserve">Paziņojums par visu līgumu slēgšanas tiesību </w:t>
            </w:r>
            <w:r>
              <w:rPr>
                <w:noProof/>
              </w:rPr>
              <w:t>piešķiršanu par būvdarbiem, kas vajadzīgi, lai ierīkotu 511 km kabeļu, kuri savieno Caracoli ar Eboli.</w:t>
            </w:r>
          </w:p>
        </w:tc>
      </w:tr>
      <w:tr w:rsidR="00327FF1" w14:paraId="4EE78AC9"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D1FF91" w14:textId="77777777" w:rsidR="00327FF1" w:rsidRDefault="00E406C7">
            <w:pPr>
              <w:pStyle w:val="P68B1DB1-Normal11"/>
              <w:spacing w:after="120"/>
              <w:jc w:val="center"/>
              <w:rPr>
                <w:noProof/>
                <w:szCs w:val="20"/>
              </w:rPr>
            </w:pPr>
            <w:r>
              <w:rPr>
                <w:noProof/>
              </w:rPr>
              <w:t>M7–15</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461CFD" w14:textId="77777777" w:rsidR="00327FF1" w:rsidRDefault="00E406C7">
            <w:pPr>
              <w:pStyle w:val="P68B1DB1-Normal11"/>
              <w:spacing w:after="120"/>
              <w:jc w:val="center"/>
              <w:rPr>
                <w:noProof/>
                <w:szCs w:val="20"/>
              </w:rPr>
            </w:pPr>
            <w:r>
              <w:rPr>
                <w:noProof/>
              </w:rPr>
              <w:t>Ieguldījums Nr. 4: Tirēnu saite</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D30268" w14:textId="77777777" w:rsidR="00327FF1" w:rsidRDefault="00E406C7">
            <w:pPr>
              <w:pStyle w:val="P68B1DB1-Normal12"/>
              <w:spacing w:after="120"/>
              <w:jc w:val="center"/>
              <w:rPr>
                <w:noProof/>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102A39" w14:textId="77777777" w:rsidR="00327FF1" w:rsidRDefault="00E406C7">
            <w:pPr>
              <w:pStyle w:val="P68B1DB1-Normal11"/>
              <w:spacing w:after="120"/>
              <w:jc w:val="center"/>
              <w:rPr>
                <w:noProof/>
                <w:szCs w:val="20"/>
              </w:rPr>
            </w:pPr>
            <w:r>
              <w:rPr>
                <w:noProof/>
                <w:szCs w:val="20"/>
              </w:rPr>
              <w:t>C</w:t>
            </w:r>
            <w:r>
              <w:rPr>
                <w:noProof/>
              </w:rPr>
              <w:t>spēj fiksēt</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308965" w14:textId="33C0041C" w:rsidR="00327FF1" w:rsidRDefault="00E406C7">
            <w:pPr>
              <w:pStyle w:val="P68B1DB1-Normal12"/>
              <w:spacing w:after="120"/>
              <w:jc w:val="center"/>
              <w:rPr>
                <w:noProof/>
              </w:rPr>
            </w:pPr>
            <w:r>
              <w:rPr>
                <w:noProof/>
              </w:rPr>
              <w:t>Būvdarbu pabeigšanas sertifikāts(-i)</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13ECD7"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71C568"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AEDD55" w14:textId="77777777" w:rsidR="00327FF1" w:rsidRDefault="00327FF1">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DC25A" w14:textId="77777777" w:rsidR="00327FF1" w:rsidRDefault="00E406C7">
            <w:pPr>
              <w:pStyle w:val="P68B1DB1-Normal11"/>
              <w:spacing w:after="120"/>
              <w:jc w:val="center"/>
              <w:rPr>
                <w:noProof/>
                <w:szCs w:val="20"/>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C59A35" w14:textId="77777777" w:rsidR="00327FF1" w:rsidRDefault="00E406C7">
            <w:pPr>
              <w:pStyle w:val="P68B1DB1-Normal12"/>
              <w:spacing w:after="120"/>
              <w:jc w:val="center"/>
              <w:rPr>
                <w:noProof/>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9E734" w14:textId="77777777" w:rsidR="00327FF1" w:rsidRDefault="00E406C7">
            <w:pPr>
              <w:pStyle w:val="P68B1DB1-Normal12"/>
              <w:spacing w:after="120"/>
              <w:rPr>
                <w:noProof/>
              </w:rPr>
            </w:pPr>
            <w:r>
              <w:rPr>
                <w:noProof/>
              </w:rPr>
              <w:t xml:space="preserve">Sertifikāts(-i) par to darbu </w:t>
            </w:r>
            <w:r>
              <w:rPr>
                <w:noProof/>
              </w:rPr>
              <w:t>pabeigšanu, kas izsniegti, lai ierīkotu East link Pole 1 kabeli, kas savieno Caracoli (Palermo) ar Eboli (Salerno) un nodrošina 500 MW nominālo jaudu.</w:t>
            </w:r>
          </w:p>
        </w:tc>
      </w:tr>
      <w:tr w:rsidR="00327FF1" w14:paraId="3DFFCB9E"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C41325" w14:textId="77777777" w:rsidR="00327FF1" w:rsidRDefault="00E406C7">
            <w:pPr>
              <w:pStyle w:val="P68B1DB1-Normal11"/>
              <w:spacing w:after="120"/>
              <w:jc w:val="center"/>
              <w:rPr>
                <w:noProof/>
                <w:szCs w:val="20"/>
              </w:rPr>
            </w:pPr>
            <w:r>
              <w:rPr>
                <w:noProof/>
              </w:rPr>
              <w:t>M7–16</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1F28EA" w14:textId="77777777" w:rsidR="00327FF1" w:rsidRDefault="00E406C7">
            <w:pPr>
              <w:pStyle w:val="P68B1DB1-Normal11"/>
              <w:spacing w:after="120"/>
              <w:jc w:val="center"/>
              <w:rPr>
                <w:noProof/>
                <w:szCs w:val="20"/>
              </w:rPr>
            </w:pPr>
            <w:r>
              <w:rPr>
                <w:noProof/>
              </w:rPr>
              <w:t>Ieguldījums Nr. 5: SA.CO.I.3</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7174DF"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9D5D03" w14:textId="77777777" w:rsidR="00327FF1" w:rsidRDefault="00E406C7">
            <w:pPr>
              <w:pStyle w:val="P68B1DB1-Normal11"/>
              <w:spacing w:after="120"/>
              <w:jc w:val="center"/>
              <w:rPr>
                <w:noProof/>
                <w:szCs w:val="20"/>
              </w:rPr>
            </w:pPr>
            <w:r>
              <w:rPr>
                <w:noProof/>
              </w:rPr>
              <w:t>Līgumu piešķiršana</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6194C" w14:textId="77777777" w:rsidR="00327FF1" w:rsidRDefault="00E406C7">
            <w:pPr>
              <w:pStyle w:val="P68B1DB1-Normal12"/>
              <w:spacing w:after="120"/>
              <w:jc w:val="center"/>
              <w:rPr>
                <w:noProof/>
              </w:rPr>
            </w:pPr>
            <w:r>
              <w:rPr>
                <w:noProof/>
              </w:rPr>
              <w:t>Līgumu piešķiršana</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05774F" w14:textId="77777777" w:rsidR="00327FF1" w:rsidRDefault="00327FF1">
            <w:pPr>
              <w:spacing w:after="120"/>
              <w:jc w:val="center"/>
              <w:rPr>
                <w:rFonts w:ascii="Arial Narrow" w:hAnsi="Arial Narrow"/>
                <w:noProof/>
                <w:color w:val="FF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F17E5"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049252" w14:textId="77777777" w:rsidR="00327FF1" w:rsidRDefault="00327FF1">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6E1D5D" w14:textId="77777777" w:rsidR="00327FF1" w:rsidRDefault="00E406C7">
            <w:pPr>
              <w:pStyle w:val="P68B1DB1-Normal11"/>
              <w:spacing w:after="120"/>
              <w:jc w:val="center"/>
              <w:rPr>
                <w:noProof/>
                <w:szCs w:val="20"/>
              </w:rPr>
            </w:pPr>
            <w:r>
              <w:rPr>
                <w:noProof/>
              </w:rPr>
              <w:t>4.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698739" w14:textId="77777777" w:rsidR="00327FF1" w:rsidRDefault="00E406C7">
            <w:pPr>
              <w:pStyle w:val="P68B1DB1-Normal11"/>
              <w:spacing w:after="120"/>
              <w:jc w:val="center"/>
              <w:rPr>
                <w:noProof/>
                <w:szCs w:val="20"/>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757B16" w14:textId="77777777" w:rsidR="00327FF1" w:rsidRDefault="00E406C7">
            <w:pPr>
              <w:pStyle w:val="P68B1DB1-Normal12"/>
              <w:spacing w:after="120"/>
              <w:rPr>
                <w:noProof/>
              </w:rPr>
            </w:pPr>
            <w:r>
              <w:rPr>
                <w:noProof/>
              </w:rPr>
              <w:t>Visu līgumu slēgšanas tiesību piešķiršana par darbiem, kas nepieciešami Sardīnijas un Toskānas pārveides staciju čaulu pabeigšanai.</w:t>
            </w:r>
          </w:p>
        </w:tc>
      </w:tr>
      <w:tr w:rsidR="00327FF1" w14:paraId="57683B5E"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3330F6" w14:textId="77777777" w:rsidR="00327FF1" w:rsidRDefault="00E406C7">
            <w:pPr>
              <w:pStyle w:val="P68B1DB1-Normal11"/>
              <w:spacing w:after="120"/>
              <w:jc w:val="center"/>
              <w:rPr>
                <w:noProof/>
                <w:szCs w:val="20"/>
              </w:rPr>
            </w:pPr>
            <w:r>
              <w:rPr>
                <w:noProof/>
              </w:rPr>
              <w:t>M7–17</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EA088F" w14:textId="77777777" w:rsidR="00327FF1" w:rsidRDefault="00E406C7">
            <w:pPr>
              <w:pStyle w:val="P68B1DB1-Normal11"/>
              <w:spacing w:after="120"/>
              <w:jc w:val="center"/>
              <w:rPr>
                <w:noProof/>
                <w:szCs w:val="20"/>
              </w:rPr>
            </w:pPr>
            <w:r>
              <w:rPr>
                <w:noProof/>
              </w:rPr>
              <w:t>Ieguldījums Nr. 5: SA.CO.I.3</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5742D2"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AB4934" w14:textId="77777777" w:rsidR="00327FF1" w:rsidRDefault="00E406C7">
            <w:pPr>
              <w:pStyle w:val="P68B1DB1-Normal11"/>
              <w:spacing w:after="120"/>
              <w:jc w:val="center"/>
              <w:rPr>
                <w:noProof/>
                <w:szCs w:val="20"/>
              </w:rPr>
            </w:pPr>
            <w:r>
              <w:rPr>
                <w:noProof/>
              </w:rPr>
              <w:t xml:space="preserve">Pārveidošanas staciju čaulas pabeigšana Sardīnijā (Codrongianos) </w:t>
            </w:r>
            <w:r>
              <w:rPr>
                <w:noProof/>
              </w:rPr>
              <w:t>un Toskānā (Suvereto)</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2444B5" w14:textId="42C9577D" w:rsidR="00327FF1" w:rsidRDefault="00E406C7">
            <w:pPr>
              <w:pStyle w:val="P68B1DB1-Normal12"/>
              <w:spacing w:after="120"/>
              <w:jc w:val="center"/>
              <w:rPr>
                <w:noProof/>
              </w:rPr>
            </w:pPr>
            <w:r>
              <w:rPr>
                <w:noProof/>
              </w:rPr>
              <w:t>Būvdarbu pabeigšanas sertifikāts(-i)</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C8E20"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952835"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345724" w14:textId="77777777" w:rsidR="00327FF1" w:rsidRDefault="00327FF1">
            <w:pPr>
              <w:spacing w:after="120"/>
              <w:jc w:val="center"/>
              <w:rPr>
                <w:rFonts w:ascii="Arial Narrow" w:hAnsi="Arial Narrow"/>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FFCA68" w14:textId="77777777" w:rsidR="00327FF1" w:rsidRDefault="00E406C7">
            <w:pPr>
              <w:pStyle w:val="P68B1DB1-Normal11"/>
              <w:spacing w:after="120"/>
              <w:jc w:val="center"/>
              <w:rPr>
                <w:noProof/>
                <w:szCs w:val="20"/>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04D8CF" w14:textId="77777777" w:rsidR="00327FF1" w:rsidRDefault="00E406C7">
            <w:pPr>
              <w:pStyle w:val="P68B1DB1-Normal11"/>
              <w:spacing w:after="120"/>
              <w:jc w:val="center"/>
              <w:rPr>
                <w:noProof/>
                <w:szCs w:val="20"/>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FE8604" w14:textId="4E960FEF" w:rsidR="00327FF1" w:rsidRDefault="00E406C7">
            <w:pPr>
              <w:pStyle w:val="P68B1DB1-Normal12"/>
              <w:spacing w:after="120"/>
              <w:rPr>
                <w:noProof/>
              </w:rPr>
            </w:pPr>
            <w:r>
              <w:rPr>
                <w:noProof/>
              </w:rPr>
              <w:t>Sertifikāts(-i) par darbu pabeigšanu, kas izsniegts(-i) Sardīnijas un Toskānas konversijas staciju korpusu būvniecībai.</w:t>
            </w:r>
          </w:p>
        </w:tc>
      </w:tr>
      <w:tr w:rsidR="00327FF1" w14:paraId="57463F32"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BA5EFD" w14:textId="77777777" w:rsidR="00327FF1" w:rsidRDefault="00E406C7">
            <w:pPr>
              <w:pStyle w:val="P68B1DB1-Normal11"/>
              <w:spacing w:after="120"/>
              <w:jc w:val="center"/>
              <w:rPr>
                <w:noProof/>
                <w:szCs w:val="20"/>
              </w:rPr>
            </w:pPr>
            <w:r>
              <w:rPr>
                <w:noProof/>
              </w:rPr>
              <w:t>M7–22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DAE196" w14:textId="77777777" w:rsidR="00327FF1" w:rsidRDefault="00E406C7">
            <w:pPr>
              <w:pStyle w:val="P68B1DB1-Normal11"/>
              <w:spacing w:after="120"/>
              <w:jc w:val="center"/>
              <w:rPr>
                <w:noProof/>
                <w:szCs w:val="20"/>
              </w:rPr>
            </w:pPr>
            <w:r>
              <w:rPr>
                <w:noProof/>
              </w:rPr>
              <w:t>Investīcija 7: Viedais valsts pārvades tīkls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0CEA85" w14:textId="77777777" w:rsidR="00327FF1" w:rsidRDefault="00E406C7">
            <w:pPr>
              <w:pStyle w:val="P68B1DB1-Normal11"/>
              <w:spacing w:after="120"/>
              <w:jc w:val="center"/>
              <w:rPr>
                <w:noProof/>
                <w:szCs w:val="20"/>
              </w:rPr>
            </w:pPr>
            <w:r>
              <w:rPr>
                <w:noProof/>
              </w:rPr>
              <w:t>Atskaites</w:t>
            </w:r>
            <w:r>
              <w:rPr>
                <w:noProof/>
              </w:rPr>
              <w:t xml:space="preserve">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8DBE8B" w14:textId="07C4A5D1" w:rsidR="00327FF1" w:rsidRDefault="00E406C7">
            <w:pPr>
              <w:pStyle w:val="P68B1DB1-Normal11"/>
              <w:spacing w:after="120"/>
              <w:jc w:val="center"/>
              <w:rPr>
                <w:noProof/>
                <w:szCs w:val="20"/>
              </w:rPr>
            </w:pPr>
            <w:r>
              <w:rPr>
                <w:noProof/>
              </w:rPr>
              <w:t>5G iekārtu uzstādīšana, informācijas un komunikācijas tehnoloģiju arhitektūra, drošs 104. protokols elektrostacijās un rūpnieciskais lietu internets elektrokontos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D3A63F" w14:textId="77777777" w:rsidR="00327FF1" w:rsidRDefault="00E406C7">
            <w:pPr>
              <w:pStyle w:val="P68B1DB1-Normal12"/>
              <w:spacing w:after="120"/>
              <w:jc w:val="center"/>
              <w:rPr>
                <w:noProof/>
              </w:rPr>
            </w:pPr>
            <w:r>
              <w:rPr>
                <w:noProof/>
              </w:rPr>
              <w:t>Uzstādīšanas sertifikāti un pieņemšanas testa ziņojumi</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9DB139"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A4DEF4" w14:textId="77777777" w:rsidR="00327FF1" w:rsidRDefault="00327FF1">
            <w:pPr>
              <w:spacing w:after="120"/>
              <w:jc w:val="center"/>
              <w:rPr>
                <w:rFonts w:ascii="Arial Narrow" w:hAnsi="Arial Narrow"/>
                <w:noProof/>
                <w:color w:val="0061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0A0B3C" w14:textId="77777777" w:rsidR="00327FF1" w:rsidRDefault="00327FF1">
            <w:pPr>
              <w:spacing w:after="120"/>
              <w:jc w:val="center"/>
              <w:rPr>
                <w:rFonts w:ascii="Arial Narrow" w:hAnsi="Arial Narrow"/>
                <w:strike/>
                <w:noProof/>
                <w:color w:val="0061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5DD969" w14:textId="77777777" w:rsidR="00327FF1" w:rsidRDefault="00E406C7">
            <w:pPr>
              <w:pStyle w:val="P68B1DB1-Normal11"/>
              <w:spacing w:after="120"/>
              <w:jc w:val="center"/>
              <w:rPr>
                <w:noProof/>
                <w:szCs w:val="20"/>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6A581A" w14:textId="77777777" w:rsidR="00327FF1" w:rsidRDefault="00E406C7">
            <w:pPr>
              <w:pStyle w:val="P68B1DB1-Normal11"/>
              <w:spacing w:after="120"/>
              <w:jc w:val="center"/>
              <w:rPr>
                <w:noProof/>
                <w:szCs w:val="20"/>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2B7CF" w14:textId="63FD8B60" w:rsidR="00327FF1" w:rsidRDefault="00E406C7">
            <w:pPr>
              <w:pStyle w:val="P68B1DB1-Normal12"/>
              <w:spacing w:after="120"/>
              <w:jc w:val="both"/>
              <w:rPr>
                <w:noProof/>
              </w:rPr>
            </w:pPr>
            <w:r>
              <w:rPr>
                <w:noProof/>
              </w:rPr>
              <w:t xml:space="preserve">Pieņemšanas </w:t>
            </w:r>
            <w:r>
              <w:rPr>
                <w:noProof/>
              </w:rPr>
              <w:t>testa protokolus, kas izdoti jaunam 5G aprīkojumam vai informācijas komunikācijas tehnoloģiju arhitektūrai, kas uzstādīta vismaz 40 stacijās.</w:t>
            </w:r>
          </w:p>
          <w:p w14:paraId="4E125C49" w14:textId="77777777" w:rsidR="00327FF1" w:rsidRDefault="00E406C7">
            <w:pPr>
              <w:pStyle w:val="P68B1DB1-Normal12"/>
              <w:spacing w:after="120"/>
              <w:jc w:val="both"/>
              <w:rPr>
                <w:noProof/>
              </w:rPr>
            </w:pPr>
            <w:r>
              <w:rPr>
                <w:noProof/>
              </w:rPr>
              <w:t>Uzstādīšanas sertifikāti, kas izsniegti:</w:t>
            </w:r>
          </w:p>
          <w:p w14:paraId="316B3F6D" w14:textId="77777777" w:rsidR="00327FF1" w:rsidRDefault="00E406C7">
            <w:pPr>
              <w:pStyle w:val="P68B1DB1-Normal12"/>
              <w:spacing w:after="120"/>
              <w:jc w:val="both"/>
              <w:rPr>
                <w:noProof/>
              </w:rPr>
            </w:pPr>
            <w:r>
              <w:rPr>
                <w:noProof/>
              </w:rPr>
              <w:t>—Drošs 104. protokols (Starptautiskās Elektrotehnikas komisijas 62351 pro</w:t>
            </w:r>
            <w:r>
              <w:rPr>
                <w:noProof/>
              </w:rPr>
              <w:t xml:space="preserve">tokols) vismaz 250 elektrostacijās. </w:t>
            </w:r>
          </w:p>
          <w:p w14:paraId="7A6D0971" w14:textId="77777777" w:rsidR="00327FF1" w:rsidRDefault="00E406C7">
            <w:pPr>
              <w:spacing w:after="120"/>
              <w:jc w:val="both"/>
              <w:rPr>
                <w:rFonts w:ascii="Arial Narrow" w:hAnsi="Arial Narrow"/>
                <w:noProof/>
                <w:color w:val="006100"/>
                <w:sz w:val="20"/>
              </w:rPr>
            </w:pPr>
            <w:r>
              <w:rPr>
                <w:rFonts w:ascii="Arial Narrow" w:hAnsi="Arial Narrow"/>
                <w:noProof/>
                <w:color w:val="006100"/>
                <w:sz w:val="20"/>
                <w:szCs w:val="20"/>
              </w:rPr>
              <w:t>Rūpnieciskā</w:t>
            </w:r>
            <w:r>
              <w:rPr>
                <w:rFonts w:ascii="Arial Narrow" w:hAnsi="Arial Narrow"/>
                <w:noProof/>
                <w:color w:val="006100"/>
                <w:sz w:val="20"/>
              </w:rPr>
              <w:t>lietu interneta uzraudzības sistēmas vismaz 1500</w:t>
            </w:r>
            <w:r>
              <w:rPr>
                <w:noProof/>
                <w:sz w:val="23"/>
                <w:szCs w:val="23"/>
              </w:rPr>
              <w:t xml:space="preserve"> </w:t>
            </w:r>
            <w:r>
              <w:rPr>
                <w:rFonts w:ascii="Arial Narrow" w:hAnsi="Arial Narrow"/>
                <w:noProof/>
                <w:color w:val="006100"/>
                <w:sz w:val="20"/>
              </w:rPr>
              <w:t>elektroiekārtās.</w:t>
            </w:r>
          </w:p>
          <w:p w14:paraId="3CA31415" w14:textId="1FC2CB25" w:rsidR="00327FF1" w:rsidRDefault="00E406C7">
            <w:pPr>
              <w:pStyle w:val="P68B1DB1-Normal11"/>
              <w:spacing w:after="120"/>
              <w:jc w:val="both"/>
              <w:rPr>
                <w:noProof/>
                <w:szCs w:val="20"/>
              </w:rPr>
            </w:pPr>
            <w:r>
              <w:rPr>
                <w:noProof/>
              </w:rPr>
              <w:t>Iesniedz neatkarīga inženiera ziņojumu, lai pārliecinātos, ka ir izpildītas iepriekš minētās tehniskās prasības.</w:t>
            </w:r>
          </w:p>
        </w:tc>
      </w:tr>
      <w:tr w:rsidR="00327FF1" w14:paraId="7E820482"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F34BA3" w14:textId="77777777" w:rsidR="00327FF1" w:rsidRDefault="00E406C7">
            <w:pPr>
              <w:pStyle w:val="P68B1DB1-Normal11"/>
              <w:spacing w:after="120"/>
              <w:jc w:val="center"/>
              <w:rPr>
                <w:noProof/>
                <w:szCs w:val="20"/>
              </w:rPr>
            </w:pPr>
            <w:r>
              <w:rPr>
                <w:noProof/>
              </w:rPr>
              <w:t>M7–25</w:t>
            </w:r>
          </w:p>
        </w:tc>
        <w:tc>
          <w:tcPr>
            <w:tcW w:w="1560" w:type="dxa"/>
            <w:tcBorders>
              <w:top w:val="single" w:sz="4" w:space="0" w:color="auto"/>
              <w:left w:val="single" w:sz="4" w:space="0" w:color="auto"/>
              <w:bottom w:val="single" w:sz="4" w:space="0" w:color="auto"/>
              <w:right w:val="single" w:sz="4" w:space="0" w:color="auto"/>
            </w:tcBorders>
            <w:shd w:val="clear" w:color="auto" w:fill="C6EFCE"/>
            <w:noWrap/>
          </w:tcPr>
          <w:p w14:paraId="5CA98A53" w14:textId="77777777" w:rsidR="00327FF1" w:rsidRDefault="00E406C7">
            <w:pPr>
              <w:pStyle w:val="P68B1DB1-Normal11"/>
              <w:spacing w:after="120"/>
              <w:jc w:val="center"/>
              <w:rPr>
                <w:noProof/>
                <w:szCs w:val="20"/>
              </w:rPr>
            </w:pPr>
            <w:r>
              <w:rPr>
                <w:noProof/>
              </w:rPr>
              <w:t xml:space="preserve">Ieguldījums Nr. 8: </w:t>
            </w:r>
            <w:r>
              <w:rPr>
                <w:noProof/>
              </w:rPr>
              <w:t>Kritiski svarīgo izejvielu ilgtspējīga, apritīga un droša piegāde</w:t>
            </w:r>
          </w:p>
        </w:tc>
        <w:tc>
          <w:tcPr>
            <w:tcW w:w="992" w:type="dxa"/>
            <w:tcBorders>
              <w:top w:val="single" w:sz="4" w:space="0" w:color="auto"/>
              <w:left w:val="single" w:sz="4" w:space="0" w:color="auto"/>
              <w:bottom w:val="single" w:sz="4" w:space="0" w:color="auto"/>
              <w:right w:val="single" w:sz="4" w:space="0" w:color="auto"/>
            </w:tcBorders>
            <w:shd w:val="clear" w:color="auto" w:fill="C6EFCE"/>
            <w:noWrap/>
          </w:tcPr>
          <w:p w14:paraId="6F2C7162"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tcPr>
          <w:p w14:paraId="1706B7A3" w14:textId="10D8C323" w:rsidR="00327FF1" w:rsidRDefault="00E406C7">
            <w:pPr>
              <w:pStyle w:val="P68B1DB1-Normal12"/>
              <w:spacing w:after="120"/>
              <w:jc w:val="center"/>
              <w:rPr>
                <w:noProof/>
              </w:rPr>
            </w:pPr>
            <w:r>
              <w:rPr>
                <w:noProof/>
              </w:rPr>
              <w:t xml:space="preserve">Ziņojuma publicēšana par KSI nākotnes vajadzībām un ekodizaina potenciālu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BFA594" w14:textId="77777777" w:rsidR="00327FF1" w:rsidRDefault="00E406C7">
            <w:pPr>
              <w:pStyle w:val="P68B1DB1-Normal12"/>
              <w:spacing w:after="120"/>
              <w:jc w:val="center"/>
              <w:rPr>
                <w:noProof/>
              </w:rPr>
            </w:pPr>
            <w:r>
              <w:rPr>
                <w:noProof/>
              </w:rPr>
              <w:t xml:space="preserve">Ziņojuma publicēšana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4015E8" w14:textId="77777777" w:rsidR="00327FF1" w:rsidRDefault="00E406C7">
            <w:pPr>
              <w:pStyle w:val="P68B1DB1-Normal11"/>
              <w:spacing w:after="120"/>
              <w:jc w:val="center"/>
              <w:rPr>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951190" w14:textId="77777777" w:rsidR="00327FF1" w:rsidRDefault="00E406C7">
            <w:pPr>
              <w:pStyle w:val="P68B1DB1-Normal11"/>
              <w:spacing w:after="120"/>
              <w:jc w:val="center"/>
              <w:rPr>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CFA891" w14:textId="77777777" w:rsidR="00327FF1" w:rsidRDefault="00E406C7">
            <w:pPr>
              <w:pStyle w:val="P68B1DB1-Normal11"/>
              <w:spacing w:after="120"/>
              <w:jc w:val="center"/>
              <w:rPr>
                <w:noProof/>
                <w:szCs w:val="20"/>
              </w:rPr>
            </w:pPr>
            <w:r>
              <w:rPr>
                <w:noProof/>
              </w:rPr>
              <w:t>NEPIEMĒRO</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8281B1" w14:textId="77777777" w:rsidR="00327FF1" w:rsidRDefault="00E406C7">
            <w:pPr>
              <w:pStyle w:val="P68B1DB1-Normal11"/>
              <w:spacing w:after="120"/>
              <w:jc w:val="center"/>
              <w:rPr>
                <w:noProof/>
                <w:szCs w:val="20"/>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B633ED" w14:textId="77777777" w:rsidR="00327FF1" w:rsidRDefault="00E406C7">
            <w:pPr>
              <w:pStyle w:val="P68B1DB1-Normal11"/>
              <w:spacing w:after="120"/>
              <w:jc w:val="center"/>
              <w:rPr>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44154197" w14:textId="0EF80543" w:rsidR="00327FF1" w:rsidRDefault="00E406C7">
            <w:pPr>
              <w:pStyle w:val="P68B1DB1-Normal12"/>
              <w:spacing w:after="120"/>
              <w:rPr>
                <w:noProof/>
              </w:rPr>
            </w:pPr>
            <w:r>
              <w:rPr>
                <w:noProof/>
              </w:rPr>
              <w:t xml:space="preserve">Publicēts ziņojums, kurā </w:t>
            </w:r>
            <w:r>
              <w:rPr>
                <w:noProof/>
              </w:rPr>
              <w:t>analizētas kritiski svarīgo izejvielu turpmākās vajadzības un ekodizaina potenciāls, lai samazinātu pieprasījumu pēc kritiski svarīgām izejvielām.</w:t>
            </w:r>
          </w:p>
        </w:tc>
      </w:tr>
      <w:tr w:rsidR="00327FF1" w14:paraId="4FC0AE69"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F3FA71" w14:textId="77777777" w:rsidR="00327FF1" w:rsidRDefault="00E406C7">
            <w:pPr>
              <w:pStyle w:val="P68B1DB1-Normal11"/>
              <w:spacing w:after="120"/>
              <w:jc w:val="center"/>
              <w:rPr>
                <w:noProof/>
                <w:szCs w:val="20"/>
              </w:rPr>
            </w:pPr>
            <w:r>
              <w:rPr>
                <w:noProof/>
              </w:rPr>
              <w:t>M7–26</w:t>
            </w:r>
          </w:p>
        </w:tc>
        <w:tc>
          <w:tcPr>
            <w:tcW w:w="1560" w:type="dxa"/>
            <w:tcBorders>
              <w:top w:val="single" w:sz="4" w:space="0" w:color="auto"/>
              <w:left w:val="single" w:sz="4" w:space="0" w:color="auto"/>
              <w:bottom w:val="single" w:sz="4" w:space="0" w:color="auto"/>
              <w:right w:val="single" w:sz="4" w:space="0" w:color="auto"/>
            </w:tcBorders>
            <w:shd w:val="clear" w:color="auto" w:fill="C6EFCE"/>
            <w:noWrap/>
          </w:tcPr>
          <w:p w14:paraId="16DBADC6" w14:textId="77777777" w:rsidR="00327FF1" w:rsidRDefault="00E406C7">
            <w:pPr>
              <w:pStyle w:val="P68B1DB1-Normal11"/>
              <w:spacing w:after="120"/>
              <w:jc w:val="center"/>
              <w:rPr>
                <w:noProof/>
                <w:szCs w:val="20"/>
              </w:rPr>
            </w:pPr>
            <w:r>
              <w:rPr>
                <w:noProof/>
              </w:rPr>
              <w:t>Ieguldījums Nr. 8: Kritiski svarīgo izejvielu ilgtspējīga, apritīga un droša piegāde</w:t>
            </w:r>
          </w:p>
        </w:tc>
        <w:tc>
          <w:tcPr>
            <w:tcW w:w="992" w:type="dxa"/>
            <w:tcBorders>
              <w:top w:val="single" w:sz="4" w:space="0" w:color="auto"/>
              <w:left w:val="single" w:sz="4" w:space="0" w:color="auto"/>
              <w:bottom w:val="single" w:sz="4" w:space="0" w:color="auto"/>
              <w:right w:val="single" w:sz="4" w:space="0" w:color="auto"/>
            </w:tcBorders>
            <w:shd w:val="clear" w:color="auto" w:fill="C6EFCE"/>
            <w:noWrap/>
          </w:tcPr>
          <w:p w14:paraId="04A64DEA" w14:textId="77777777" w:rsidR="00327FF1" w:rsidRDefault="00E406C7">
            <w:pPr>
              <w:pStyle w:val="P68B1DB1-Normal11"/>
              <w:spacing w:after="120"/>
              <w:jc w:val="center"/>
              <w:rPr>
                <w:noProof/>
                <w:szCs w:val="20"/>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tcPr>
          <w:p w14:paraId="7B07BA55" w14:textId="77777777" w:rsidR="00327FF1" w:rsidRDefault="00E406C7">
            <w:pPr>
              <w:pStyle w:val="P68B1DB1-Normal11"/>
              <w:spacing w:after="120"/>
              <w:jc w:val="center"/>
              <w:rPr>
                <w:noProof/>
                <w:szCs w:val="20"/>
              </w:rPr>
            </w:pPr>
            <w:r>
              <w:rPr>
                <w:noProof/>
              </w:rPr>
              <w:t>Ģeogrāfiskās informācijas sistēma (ĢIS) par ieguves rūpniecības atkritumiem, lai nodrošinātu ilgtspējīgu, apritīgu un drošu apgādi ar kritiski svarīgām izejvielām</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845526" w14:textId="77777777" w:rsidR="00327FF1" w:rsidRDefault="00E406C7">
            <w:pPr>
              <w:pStyle w:val="P68B1DB1-Normal11"/>
              <w:spacing w:after="120"/>
              <w:jc w:val="center"/>
              <w:rPr>
                <w:noProof/>
                <w:szCs w:val="20"/>
              </w:rPr>
            </w:pPr>
            <w:r>
              <w:rPr>
                <w:noProof/>
              </w:rPr>
              <w:t>Datubāzes publicēšana</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C37FD3" w14:textId="77777777" w:rsidR="00327FF1" w:rsidRDefault="00E406C7">
            <w:pPr>
              <w:pStyle w:val="P68B1DB1-Normal11"/>
              <w:spacing w:after="120"/>
              <w:jc w:val="center"/>
              <w:rPr>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0BA695" w14:textId="77777777" w:rsidR="00327FF1" w:rsidRDefault="00E406C7">
            <w:pPr>
              <w:pStyle w:val="P68B1DB1-Normal11"/>
              <w:spacing w:after="120"/>
              <w:jc w:val="center"/>
              <w:rPr>
                <w:noProof/>
                <w:szCs w:val="20"/>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026F4F" w14:textId="77777777" w:rsidR="00327FF1" w:rsidRDefault="00E406C7">
            <w:pPr>
              <w:pStyle w:val="P68B1DB1-Normal11"/>
              <w:spacing w:after="120"/>
              <w:jc w:val="center"/>
              <w:rPr>
                <w:noProof/>
                <w:szCs w:val="20"/>
              </w:rPr>
            </w:pPr>
            <w:r>
              <w:rPr>
                <w:noProof/>
              </w:rPr>
              <w:t>NEPIEMĒRO</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74E09F" w14:textId="77777777" w:rsidR="00327FF1" w:rsidRDefault="00E406C7">
            <w:pPr>
              <w:pStyle w:val="P68B1DB1-Normal11"/>
              <w:spacing w:after="120"/>
              <w:jc w:val="center"/>
              <w:rPr>
                <w:noProof/>
                <w:szCs w:val="20"/>
              </w:rPr>
            </w:pPr>
            <w:r>
              <w:rPr>
                <w:noProof/>
              </w:rPr>
              <w:t>4.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DA1313" w14:textId="77777777" w:rsidR="00327FF1" w:rsidRDefault="00E406C7">
            <w:pPr>
              <w:pStyle w:val="P68B1DB1-Normal12"/>
              <w:spacing w:after="120"/>
              <w:jc w:val="center"/>
              <w:rPr>
                <w:noProof/>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0E1ECF" w14:textId="5BEEA55E" w:rsidR="00327FF1" w:rsidRDefault="00E406C7">
            <w:pPr>
              <w:pStyle w:val="P68B1DB1-Normal12"/>
              <w:rPr>
                <w:noProof/>
              </w:rPr>
            </w:pPr>
            <w:r>
              <w:rPr>
                <w:noProof/>
              </w:rPr>
              <w:t>Tiešsaistē ir pieejama ģeogr</w:t>
            </w:r>
            <w:r>
              <w:rPr>
                <w:noProof/>
              </w:rPr>
              <w:t>āfiskās informācijas sistēmas platforma, kas identificē pārstrādājamus materiālus pilsētvidē un esošos atkritumus pamestās raktuvēs.</w:t>
            </w:r>
          </w:p>
        </w:tc>
      </w:tr>
      <w:tr w:rsidR="00327FF1" w14:paraId="52FC143C"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EFC95D" w14:textId="77777777" w:rsidR="00327FF1" w:rsidRDefault="00E406C7">
            <w:pPr>
              <w:pStyle w:val="P68B1DB1-Normal11"/>
              <w:spacing w:after="120"/>
              <w:jc w:val="center"/>
              <w:rPr>
                <w:noProof/>
              </w:rPr>
            </w:pPr>
            <w:r>
              <w:rPr>
                <w:noProof/>
              </w:rPr>
              <w:t>M7–27</w:t>
            </w:r>
          </w:p>
        </w:tc>
        <w:tc>
          <w:tcPr>
            <w:tcW w:w="1560" w:type="dxa"/>
            <w:tcBorders>
              <w:top w:val="single" w:sz="4" w:space="0" w:color="auto"/>
              <w:left w:val="single" w:sz="4" w:space="0" w:color="auto"/>
              <w:bottom w:val="single" w:sz="4" w:space="0" w:color="auto"/>
              <w:right w:val="single" w:sz="4" w:space="0" w:color="auto"/>
            </w:tcBorders>
            <w:shd w:val="clear" w:color="auto" w:fill="C6EFCE"/>
            <w:noWrap/>
          </w:tcPr>
          <w:p w14:paraId="630CCFBF" w14:textId="77777777" w:rsidR="00327FF1" w:rsidRDefault="00E406C7">
            <w:pPr>
              <w:pStyle w:val="P68B1DB1-Normal11"/>
              <w:spacing w:after="120"/>
              <w:jc w:val="center"/>
              <w:rPr>
                <w:noProof/>
              </w:rPr>
            </w:pPr>
            <w:r>
              <w:rPr>
                <w:noProof/>
              </w:rPr>
              <w:t>Ieguldījums Nr. 8: Kritiski svarīgo izejvielu ilgtspējīga, apritīga un droša piegāde</w:t>
            </w:r>
          </w:p>
        </w:tc>
        <w:tc>
          <w:tcPr>
            <w:tcW w:w="992" w:type="dxa"/>
            <w:tcBorders>
              <w:top w:val="single" w:sz="4" w:space="0" w:color="auto"/>
              <w:left w:val="single" w:sz="4" w:space="0" w:color="auto"/>
              <w:bottom w:val="single" w:sz="4" w:space="0" w:color="auto"/>
              <w:right w:val="single" w:sz="4" w:space="0" w:color="auto"/>
            </w:tcBorders>
            <w:shd w:val="clear" w:color="auto" w:fill="C6EFCE"/>
            <w:noWrap/>
          </w:tcPr>
          <w:p w14:paraId="7D8ABFDB" w14:textId="77777777" w:rsidR="00327FF1" w:rsidRDefault="00E406C7">
            <w:pPr>
              <w:pStyle w:val="P68B1DB1-Normal11"/>
              <w:spacing w:after="120"/>
              <w:jc w:val="center"/>
              <w:rPr>
                <w:noProof/>
              </w:rPr>
            </w:pPr>
            <w:r>
              <w:rPr>
                <w:noProof/>
              </w:rPr>
              <w:t xml:space="preserve">Atskaites punkts </w:t>
            </w:r>
          </w:p>
        </w:tc>
        <w:tc>
          <w:tcPr>
            <w:tcW w:w="1417" w:type="dxa"/>
            <w:tcBorders>
              <w:top w:val="single" w:sz="4" w:space="0" w:color="auto"/>
              <w:left w:val="single" w:sz="4" w:space="0" w:color="auto"/>
              <w:bottom w:val="single" w:sz="4" w:space="0" w:color="auto"/>
              <w:right w:val="single" w:sz="4" w:space="0" w:color="auto"/>
            </w:tcBorders>
            <w:shd w:val="clear" w:color="auto" w:fill="C6EFCE"/>
            <w:noWrap/>
          </w:tcPr>
          <w:p w14:paraId="4EEF1CDC" w14:textId="6016098D" w:rsidR="00327FF1" w:rsidRDefault="00E406C7">
            <w:pPr>
              <w:pStyle w:val="P68B1DB1-Normal12"/>
              <w:spacing w:after="120"/>
              <w:jc w:val="center"/>
              <w:rPr>
                <w:noProof/>
              </w:rPr>
            </w:pPr>
            <w:r>
              <w:rPr>
                <w:noProof/>
              </w:rPr>
              <w:t xml:space="preserve">Pētniecības </w:t>
            </w:r>
            <w:r>
              <w:rPr>
                <w:noProof/>
              </w:rPr>
              <w:t>un izstrādes projekti un laboratoriju aprīkojums saistībā ar kalnrūpniecību pilsētās un ekodizainu</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32F7C4" w14:textId="77777777" w:rsidR="00327FF1" w:rsidRDefault="00E406C7">
            <w:pPr>
              <w:pStyle w:val="P68B1DB1-Normal12"/>
              <w:spacing w:after="120"/>
              <w:jc w:val="center"/>
              <w:rPr>
                <w:noProof/>
              </w:rPr>
            </w:pPr>
            <w:r>
              <w:rPr>
                <w:noProof/>
              </w:rPr>
              <w:t>Vismaz 6 pilsētu ieguves un ekodizaina tehnoloģiju centra laboratoriju īstenotie pētniecības un izstrādes projekti un aprīkojums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57FDDC" w14:textId="77777777" w:rsidR="00327FF1" w:rsidRDefault="00E406C7">
            <w:pPr>
              <w:pStyle w:val="P68B1DB1-Normal11"/>
              <w:spacing w:after="120"/>
              <w:jc w:val="center"/>
              <w:rPr>
                <w:noProof/>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2AABA" w14:textId="77777777" w:rsidR="00327FF1" w:rsidRDefault="00E406C7">
            <w:pPr>
              <w:pStyle w:val="P68B1DB1-Normal11"/>
              <w:spacing w:after="120"/>
              <w:jc w:val="center"/>
              <w:rPr>
                <w:noProof/>
              </w:rPr>
            </w:pPr>
            <w:r>
              <w:rPr>
                <w:noProof/>
              </w:rPr>
              <w:t>NEPIEMĒRO</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C7830" w14:textId="77777777" w:rsidR="00327FF1" w:rsidRDefault="00E406C7">
            <w:pPr>
              <w:pStyle w:val="P68B1DB1-Normal11"/>
              <w:spacing w:after="120"/>
              <w:jc w:val="center"/>
              <w:rPr>
                <w:noProof/>
              </w:rPr>
            </w:pPr>
            <w:r>
              <w:rPr>
                <w:noProof/>
              </w:rPr>
              <w:t>NEPIEMĒRO</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ABA261" w14:textId="77777777" w:rsidR="00327FF1" w:rsidRDefault="00E406C7">
            <w:pPr>
              <w:pStyle w:val="P68B1DB1-Normal12"/>
              <w:spacing w:after="120"/>
              <w:jc w:val="center"/>
              <w:rPr>
                <w:noProof/>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812E05" w14:textId="77777777" w:rsidR="00327FF1" w:rsidRDefault="00E406C7">
            <w:pPr>
              <w:pStyle w:val="P68B1DB1-Normal12"/>
              <w:spacing w:after="120"/>
              <w:jc w:val="center"/>
              <w:rPr>
                <w:noProof/>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tcPr>
          <w:p w14:paraId="38CF33EF" w14:textId="0E83B81A" w:rsidR="00327FF1" w:rsidRDefault="00E406C7">
            <w:pPr>
              <w:pStyle w:val="P68B1DB1-Normal12"/>
              <w:spacing w:after="120"/>
              <w:jc w:val="both"/>
              <w:rPr>
                <w:noProof/>
              </w:rPr>
            </w:pPr>
            <w:r>
              <w:rPr>
                <w:noProof/>
              </w:rPr>
              <w:t>Nobeiguma ziņojumi, kas izdoti par vismaz 10 pētniecības un izstrādes projektiem saistībā ar ekodizainu un elektrisko un elektronisko iekārtu atkritumu pārstrādi.</w:t>
            </w:r>
          </w:p>
          <w:p w14:paraId="0008218F" w14:textId="77777777" w:rsidR="00327FF1" w:rsidRDefault="00E406C7">
            <w:pPr>
              <w:pStyle w:val="P68B1DB1-Normal12"/>
              <w:rPr>
                <w:noProof/>
              </w:rPr>
            </w:pPr>
            <w:r>
              <w:rPr>
                <w:noProof/>
              </w:rPr>
              <w:t>Piegādes un pieņemšanas ziņojumi par vismaz sešu Pilsētvides ieguves u</w:t>
            </w:r>
            <w:r>
              <w:rPr>
                <w:noProof/>
              </w:rPr>
              <w:t>n ekodizaina tehnoloģiju centra laboratoriju iekārtām.</w:t>
            </w:r>
          </w:p>
        </w:tc>
      </w:tr>
      <w:tr w:rsidR="00327FF1" w14:paraId="007A0BED"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A11EDC" w14:textId="77777777" w:rsidR="00327FF1" w:rsidRDefault="00E406C7">
            <w:pPr>
              <w:pStyle w:val="P68B1DB1-Normal12"/>
              <w:spacing w:after="120"/>
              <w:jc w:val="center"/>
              <w:rPr>
                <w:noProof/>
              </w:rPr>
            </w:pPr>
            <w:r>
              <w:rPr>
                <w:noProof/>
              </w:rPr>
              <w:t>M7–30</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29B5F6" w14:textId="77777777" w:rsidR="00327FF1" w:rsidRDefault="00E406C7">
            <w:pPr>
              <w:pStyle w:val="P68B1DB1-Normal11"/>
              <w:spacing w:after="120"/>
              <w:jc w:val="center"/>
              <w:rPr>
                <w:noProof/>
                <w:szCs w:val="20"/>
              </w:rPr>
            </w:pPr>
            <w:r>
              <w:rPr>
                <w:noProof/>
              </w:rPr>
              <w:t>Investīcija Nr. 10: Izmēģinājuma projekts par prasmēm “Crescere Green”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6889D" w14:textId="77777777" w:rsidR="00327FF1" w:rsidRDefault="00E406C7">
            <w:pPr>
              <w:pStyle w:val="P68B1DB1-Normal11"/>
              <w:spacing w:after="120"/>
              <w:jc w:val="center"/>
              <w:rPr>
                <w:noProof/>
                <w:szCs w:val="20"/>
              </w:rPr>
            </w:pPr>
            <w:r>
              <w:rPr>
                <w:noProof/>
              </w:rPr>
              <w:t>Mērķa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23DE9A" w14:textId="3DEE7F12" w:rsidR="00327FF1" w:rsidRDefault="00E406C7">
            <w:pPr>
              <w:pStyle w:val="P68B1DB1-Normal12"/>
              <w:spacing w:after="120"/>
              <w:jc w:val="center"/>
              <w:rPr>
                <w:noProof/>
              </w:rPr>
            </w:pPr>
            <w:r>
              <w:rPr>
                <w:noProof/>
              </w:rPr>
              <w:t>Apmācības sertifikāti</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1FA58C" w14:textId="77777777" w:rsidR="00327FF1" w:rsidRDefault="00327FF1">
            <w:pPr>
              <w:spacing w:after="120"/>
              <w:jc w:val="center"/>
              <w:rPr>
                <w:rFonts w:ascii="Arial Narrow" w:hAnsi="Arial Narrow"/>
                <w:noProof/>
                <w:color w:val="0061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E990B" w14:textId="77777777" w:rsidR="00327FF1" w:rsidRDefault="00E406C7">
            <w:pPr>
              <w:pStyle w:val="P68B1DB1-Normal11"/>
              <w:spacing w:after="120"/>
              <w:jc w:val="center"/>
              <w:rPr>
                <w:noProof/>
                <w:szCs w:val="20"/>
              </w:rPr>
            </w:pPr>
            <w:r>
              <w:rPr>
                <w:noProof/>
              </w:rPr>
              <w:t>Skaits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E202C7" w14:textId="77777777" w:rsidR="00327FF1" w:rsidRDefault="00E406C7">
            <w:pPr>
              <w:pStyle w:val="P68B1DB1-Normal11"/>
              <w:spacing w:after="120"/>
              <w:jc w:val="center"/>
              <w:rPr>
                <w:noProof/>
                <w:szCs w:val="20"/>
              </w:rPr>
            </w:pPr>
            <w:r>
              <w:rPr>
                <w:noProof/>
              </w:rPr>
              <w:t>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916695" w14:textId="77777777" w:rsidR="00327FF1" w:rsidRDefault="00E406C7">
            <w:pPr>
              <w:pStyle w:val="P68B1DB1-Normal11"/>
              <w:spacing w:after="120"/>
              <w:jc w:val="center"/>
              <w:rPr>
                <w:noProof/>
                <w:szCs w:val="20"/>
              </w:rPr>
            </w:pPr>
            <w:r>
              <w:rPr>
                <w:noProof/>
              </w:rPr>
              <w:t>20 000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193740" w14:textId="77777777" w:rsidR="00327FF1" w:rsidRDefault="00E406C7">
            <w:pPr>
              <w:pStyle w:val="P68B1DB1-Normal12"/>
              <w:spacing w:after="120"/>
              <w:jc w:val="center"/>
              <w:rPr>
                <w:noProof/>
              </w:rPr>
            </w:pPr>
            <w:r>
              <w:rPr>
                <w:noProof/>
              </w:rPr>
              <w:t>4.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6952EA" w14:textId="77777777" w:rsidR="00327FF1" w:rsidRDefault="00E406C7">
            <w:pPr>
              <w:pStyle w:val="P68B1DB1-Normal11"/>
              <w:spacing w:after="120"/>
              <w:jc w:val="center"/>
              <w:rPr>
                <w:noProof/>
                <w:szCs w:val="20"/>
              </w:rPr>
            </w:pPr>
            <w:r>
              <w:rPr>
                <w:noProof/>
              </w:rPr>
              <w:t>2025</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256AAB" w14:textId="6F4C7D0F" w:rsidR="00327FF1" w:rsidRDefault="00E406C7">
            <w:pPr>
              <w:pStyle w:val="P68B1DB1-Normal12"/>
              <w:spacing w:after="120"/>
              <w:rPr>
                <w:noProof/>
              </w:rPr>
            </w:pPr>
            <w:r>
              <w:rPr>
                <w:noProof/>
              </w:rPr>
              <w:t xml:space="preserve">Mācību sertifikāti, kas izsniegti vismaz 20000 izmēģinājuma </w:t>
            </w:r>
            <w:r>
              <w:rPr>
                <w:noProof/>
              </w:rPr>
              <w:t>projekta atbalsta saņēmēju. Izmēģinājuma projekts aptver vismaz divus reģionus, un tas attiecas uz zaļajām prasmēm, kā noteikts ESCO datubāzē.</w:t>
            </w:r>
          </w:p>
        </w:tc>
      </w:tr>
      <w:tr w:rsidR="00327FF1" w14:paraId="3CF3346F"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28227E" w14:textId="77777777" w:rsidR="00327FF1" w:rsidRDefault="00E406C7">
            <w:pPr>
              <w:pStyle w:val="P68B1DB1-Normal11"/>
              <w:spacing w:after="120"/>
              <w:jc w:val="center"/>
              <w:rPr>
                <w:noProof/>
                <w:szCs w:val="20"/>
              </w:rPr>
            </w:pPr>
            <w:r>
              <w:rPr>
                <w:noProof/>
              </w:rPr>
              <w:t>M7–31</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C019BC" w14:textId="34E28CC5" w:rsidR="00327FF1" w:rsidRDefault="00E406C7">
            <w:pPr>
              <w:pStyle w:val="P68B1DB1-Normal11"/>
              <w:spacing w:after="120"/>
              <w:jc w:val="center"/>
              <w:rPr>
                <w:noProof/>
              </w:rPr>
            </w:pPr>
            <w:bookmarkStart w:id="27" w:name="_Hlk160472344"/>
            <w:r>
              <w:rPr>
                <w:noProof/>
              </w:rPr>
              <w:t>Ieguldījums Nr. 11: Reģionālā sabiedriskā transporta dzelzceļa parka stiprināšana ar bezemisiju vilcieniem</w:t>
            </w:r>
            <w:r>
              <w:rPr>
                <w:noProof/>
              </w:rPr>
              <w:t xml:space="preserve"> un universālo pakalpojumu</w:t>
            </w:r>
            <w:bookmarkEnd w:id="27"/>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A81E10" w14:textId="77777777" w:rsidR="00327FF1" w:rsidRDefault="00E406C7">
            <w:pPr>
              <w:pStyle w:val="P68B1DB1-Normal11"/>
              <w:spacing w:after="120"/>
              <w:jc w:val="center"/>
              <w:rPr>
                <w:noProof/>
              </w:rPr>
            </w:pPr>
            <w:r>
              <w:rPr>
                <w:noProof/>
              </w:rPr>
              <w:t>Mērķa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95FA58" w14:textId="3E9B35CD" w:rsidR="00327FF1" w:rsidRDefault="00E406C7">
            <w:pPr>
              <w:pStyle w:val="P68B1DB1-Normal12"/>
              <w:spacing w:after="120"/>
              <w:jc w:val="center"/>
              <w:rPr>
                <w:noProof/>
              </w:rPr>
            </w:pPr>
            <w:r>
              <w:rPr>
                <w:noProof/>
              </w:rPr>
              <w:t>Reģistrēto vilcienu skaits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B1D417" w14:textId="77777777" w:rsidR="00327FF1" w:rsidRDefault="00E406C7">
            <w:pPr>
              <w:pStyle w:val="P68B1DB1-Normal11"/>
              <w:spacing w:after="120"/>
              <w:jc w:val="center"/>
              <w:rPr>
                <w:noProof/>
                <w:szCs w:val="20"/>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225332" w14:textId="77777777" w:rsidR="00327FF1" w:rsidRDefault="00E406C7">
            <w:pPr>
              <w:pStyle w:val="P68B1DB1-Normal11"/>
              <w:spacing w:after="120"/>
              <w:jc w:val="center"/>
              <w:rPr>
                <w:noProof/>
              </w:rPr>
            </w:pPr>
            <w:r>
              <w:rPr>
                <w:noProof/>
              </w:rPr>
              <w:t>Skaits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DE5AA9" w14:textId="77777777" w:rsidR="00327FF1" w:rsidRDefault="00E406C7">
            <w:pPr>
              <w:pStyle w:val="P68B1DB1-Normal11"/>
              <w:spacing w:after="120"/>
              <w:jc w:val="center"/>
              <w:rPr>
                <w:noProof/>
              </w:rPr>
            </w:pPr>
            <w:r>
              <w:rPr>
                <w:noProof/>
              </w:rPr>
              <w:t>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48F9C3" w14:textId="77777777" w:rsidR="00327FF1" w:rsidRDefault="00E406C7">
            <w:pPr>
              <w:pStyle w:val="P68B1DB1-Normal12"/>
              <w:spacing w:after="120"/>
              <w:jc w:val="center"/>
              <w:rPr>
                <w:noProof/>
              </w:rPr>
            </w:pPr>
            <w:r>
              <w:rPr>
                <w:noProof/>
              </w:rPr>
              <w:t>75</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A264B0" w14:textId="77777777" w:rsidR="00327FF1" w:rsidRDefault="00E406C7">
            <w:pPr>
              <w:pStyle w:val="P68B1DB1-Normal11"/>
              <w:spacing w:after="120"/>
              <w:jc w:val="center"/>
              <w:rPr>
                <w:noProof/>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FD8C47" w14:textId="77777777" w:rsidR="00327FF1" w:rsidRDefault="00E406C7">
            <w:pPr>
              <w:pStyle w:val="P68B1DB1-Normal11"/>
              <w:spacing w:after="120"/>
              <w:jc w:val="center"/>
              <w:rPr>
                <w:noProof/>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8D834E" w14:textId="4C34A364" w:rsidR="00327FF1" w:rsidRDefault="00E406C7">
            <w:pPr>
              <w:pStyle w:val="P68B1DB1-Normal12"/>
              <w:spacing w:after="120"/>
              <w:rPr>
                <w:noProof/>
                <w:highlight w:val="yellow"/>
              </w:rPr>
            </w:pPr>
            <w:r>
              <w:rPr>
                <w:noProof/>
              </w:rPr>
              <w:t xml:space="preserve">Vismaz 75 bezemisiju (elektrisko vai ūdeņraža kurināmā elementu) vilcienu reģistrācija papildus ritošajam sastāvam, kas minēts 2. misijas 2. komponenta </w:t>
            </w:r>
            <w:r>
              <w:rPr>
                <w:noProof/>
              </w:rPr>
              <w:t>investīcijā 4.4.2.</w:t>
            </w:r>
          </w:p>
        </w:tc>
      </w:tr>
      <w:tr w:rsidR="00327FF1" w14:paraId="700A56EF"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2F4BC8" w14:textId="77777777" w:rsidR="00327FF1" w:rsidRDefault="00E406C7">
            <w:pPr>
              <w:pStyle w:val="P68B1DB1-Normal11"/>
              <w:spacing w:after="120"/>
              <w:jc w:val="center"/>
              <w:rPr>
                <w:noProof/>
                <w:szCs w:val="20"/>
              </w:rPr>
            </w:pPr>
            <w:r>
              <w:rPr>
                <w:noProof/>
              </w:rPr>
              <w:t>M7–32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7B201C" w14:textId="77777777" w:rsidR="00327FF1" w:rsidRDefault="00E406C7">
            <w:pPr>
              <w:pStyle w:val="P68B1DB1-Normal11"/>
              <w:spacing w:after="120"/>
              <w:jc w:val="center"/>
              <w:rPr>
                <w:noProof/>
                <w:szCs w:val="20"/>
              </w:rPr>
            </w:pPr>
            <w:r>
              <w:rPr>
                <w:noProof/>
              </w:rPr>
              <w:t>Investīcija Nr. 12 Finanšu instruments starptautiskas, rūpnieciskas un pētniecības un izstrādes līderības attīstīšanai bezemisiju autobusu jomā</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8B8D97" w14:textId="77777777" w:rsidR="00327FF1" w:rsidRDefault="00E406C7">
            <w:pPr>
              <w:pStyle w:val="P68B1DB1-Normal11"/>
              <w:spacing w:after="120"/>
              <w:jc w:val="center"/>
              <w:rPr>
                <w:noProof/>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C3B544" w14:textId="77777777" w:rsidR="00327FF1" w:rsidRDefault="00E406C7">
            <w:pPr>
              <w:pStyle w:val="P68B1DB1-Normal11"/>
              <w:spacing w:after="120"/>
              <w:jc w:val="center"/>
              <w:rPr>
                <w:noProof/>
              </w:rPr>
            </w:pPr>
            <w:r>
              <w:rPr>
                <w:noProof/>
              </w:rPr>
              <w:t>Īstenošanas nolīgums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0DE29E" w14:textId="77777777" w:rsidR="00327FF1" w:rsidRDefault="00E406C7">
            <w:pPr>
              <w:pStyle w:val="P68B1DB1-Normal11"/>
              <w:spacing w:after="120"/>
              <w:jc w:val="center"/>
              <w:rPr>
                <w:noProof/>
                <w:szCs w:val="20"/>
              </w:rPr>
            </w:pPr>
            <w:r>
              <w:rPr>
                <w:noProof/>
              </w:rPr>
              <w:t>Īstenošanas nolīguma stāšanās spēkā</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BBBD56" w14:textId="77777777" w:rsidR="00327FF1" w:rsidRDefault="00E406C7">
            <w:pPr>
              <w:pStyle w:val="P68B1DB1-Normal11"/>
              <w:spacing w:after="120"/>
              <w:jc w:val="center"/>
              <w:rPr>
                <w:noProof/>
              </w:rPr>
            </w:pPr>
            <w:r>
              <w:rPr>
                <w:noProof/>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5B627D" w14:textId="77777777" w:rsidR="00327FF1" w:rsidRDefault="00327FF1">
            <w:pPr>
              <w:spacing w:after="120"/>
              <w:jc w:val="center"/>
              <w:rPr>
                <w:rFonts w:ascii="Arial Narrow" w:hAnsi="Arial Narrow"/>
                <w:noProof/>
                <w:color w:val="0061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DE0B82" w14:textId="77777777" w:rsidR="00327FF1" w:rsidRDefault="00E406C7">
            <w:pPr>
              <w:pStyle w:val="P68B1DB1-Normal11"/>
              <w:spacing w:after="120"/>
              <w:jc w:val="center"/>
              <w:rPr>
                <w:noProof/>
              </w:rPr>
            </w:pPr>
            <w:r>
              <w:rPr>
                <w:noProof/>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6C599B" w14:textId="77777777" w:rsidR="00327FF1" w:rsidRDefault="00E406C7">
            <w:pPr>
              <w:pStyle w:val="P68B1DB1-Normal11"/>
              <w:spacing w:after="120"/>
              <w:jc w:val="center"/>
              <w:rPr>
                <w:noProof/>
              </w:rPr>
            </w:pPr>
            <w:r>
              <w:rPr>
                <w:noProof/>
              </w:rPr>
              <w:t>Q1</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B69847" w14:textId="77777777" w:rsidR="00327FF1" w:rsidRDefault="00E406C7">
            <w:pPr>
              <w:pStyle w:val="P68B1DB1-Normal11"/>
              <w:spacing w:after="120"/>
              <w:jc w:val="center"/>
              <w:rPr>
                <w:noProof/>
              </w:rPr>
            </w:pPr>
            <w:r>
              <w:rPr>
                <w:noProof/>
              </w:rPr>
              <w:t>2024</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FCB721" w14:textId="77777777" w:rsidR="00327FF1" w:rsidRDefault="00E406C7">
            <w:pPr>
              <w:pStyle w:val="P68B1DB1-Normal11"/>
              <w:jc w:val="both"/>
              <w:rPr>
                <w:noProof/>
              </w:rPr>
            </w:pPr>
            <w:r>
              <w:rPr>
                <w:noProof/>
              </w:rPr>
              <w:t>Īstenošanas nolīguma stāšanās spēkā.</w:t>
            </w:r>
          </w:p>
        </w:tc>
      </w:tr>
      <w:tr w:rsidR="00327FF1" w14:paraId="6BFC66F1" w14:textId="77777777">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B60908" w14:textId="77777777" w:rsidR="00327FF1" w:rsidRDefault="00E406C7">
            <w:pPr>
              <w:pStyle w:val="P68B1DB1-Normal11"/>
              <w:spacing w:after="120"/>
              <w:jc w:val="center"/>
              <w:rPr>
                <w:noProof/>
              </w:rPr>
            </w:pPr>
            <w:r>
              <w:rPr>
                <w:noProof/>
              </w:rPr>
              <w:t>M7–50</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855BA2" w14:textId="532D7DF6" w:rsidR="00327FF1" w:rsidRDefault="00E406C7">
            <w:pPr>
              <w:pStyle w:val="P68B1DB1-Normal12"/>
              <w:spacing w:after="120"/>
              <w:jc w:val="center"/>
              <w:rPr>
                <w:noProof/>
              </w:rPr>
            </w:pPr>
            <w:r>
              <w:rPr>
                <w:noProof/>
              </w:rPr>
              <w:t>Investīcija Nr. 18 — Paplašināšanas pasākums: Privāto un vieglo komerciālo transportlīdzekļu autoparka atjaunošanas programma ar elektrotransportlīdzekļiem</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194CFE" w14:textId="77777777" w:rsidR="00327FF1" w:rsidRDefault="00E406C7">
            <w:pPr>
              <w:pStyle w:val="P68B1DB1-Normal11"/>
              <w:spacing w:after="120"/>
              <w:jc w:val="center"/>
              <w:rPr>
                <w:noProof/>
              </w:rPr>
            </w:pPr>
            <w:r>
              <w:rPr>
                <w:noProof/>
              </w:rPr>
              <w:t>Mērķa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AB588E" w14:textId="77777777" w:rsidR="00327FF1" w:rsidRDefault="00E406C7">
            <w:pPr>
              <w:pStyle w:val="P68B1DB1-Normal12"/>
              <w:spacing w:after="120"/>
              <w:jc w:val="center"/>
              <w:rPr>
                <w:noProof/>
              </w:rPr>
            </w:pPr>
            <w:r>
              <w:rPr>
                <w:noProof/>
              </w:rPr>
              <w:t>Iegādāto transportlīdzekļu skaits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7126D6" w14:textId="77777777" w:rsidR="00327FF1" w:rsidRDefault="00E406C7">
            <w:pPr>
              <w:pStyle w:val="P68B1DB1-Normal11"/>
              <w:spacing w:after="120"/>
              <w:jc w:val="center"/>
              <w:rPr>
                <w:noProof/>
              </w:rPr>
            </w:pPr>
            <w:r>
              <w:rPr>
                <w:noProof/>
              </w:rPr>
              <w:t>NEPIEMĒRO</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EBD2C3" w14:textId="77777777" w:rsidR="00327FF1" w:rsidRDefault="00E406C7">
            <w:pPr>
              <w:pStyle w:val="P68B1DB1-Normal11"/>
              <w:spacing w:after="120"/>
              <w:jc w:val="center"/>
              <w:rPr>
                <w:noProof/>
              </w:rPr>
            </w:pPr>
            <w:r>
              <w:rPr>
                <w:noProof/>
              </w:rPr>
              <w:t>Skaits</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012F6C" w14:textId="25FE5254" w:rsidR="00327FF1" w:rsidRDefault="00E406C7">
            <w:pPr>
              <w:pStyle w:val="P68B1DB1-Normal12"/>
              <w:spacing w:after="120"/>
              <w:jc w:val="center"/>
              <w:rPr>
                <w:noProof/>
              </w:rPr>
            </w:pPr>
            <w:r>
              <w:rPr>
                <w:noProof/>
              </w:rPr>
              <w:t>30 830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851EFF" w14:textId="79E98383" w:rsidR="00327FF1" w:rsidRDefault="00E406C7">
            <w:pPr>
              <w:pStyle w:val="P68B1DB1-Normal11"/>
              <w:spacing w:after="120"/>
              <w:jc w:val="center"/>
              <w:rPr>
                <w:noProof/>
              </w:rPr>
            </w:pPr>
            <w:r>
              <w:rPr>
                <w:noProof/>
              </w:rPr>
              <w:t>46 500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02F188" w14:textId="77777777" w:rsidR="00327FF1" w:rsidRDefault="00E406C7">
            <w:pPr>
              <w:pStyle w:val="P68B1DB1-Normal11"/>
              <w:spacing w:after="120"/>
              <w:jc w:val="center"/>
              <w:rPr>
                <w:noProof/>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F8C088" w14:textId="77777777" w:rsidR="00327FF1" w:rsidRDefault="00E406C7">
            <w:pPr>
              <w:pStyle w:val="P68B1DB1-Normal11"/>
              <w:spacing w:after="120"/>
              <w:jc w:val="center"/>
              <w:rPr>
                <w:noProof/>
              </w:rPr>
            </w:pPr>
            <w:r>
              <w:rPr>
                <w:noProof/>
              </w:rPr>
              <w:t>2026</w:t>
            </w:r>
          </w:p>
        </w:tc>
        <w:tc>
          <w:tcPr>
            <w:tcW w:w="354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FED7E2" w14:textId="62BDE14E" w:rsidR="00327FF1" w:rsidRDefault="00E406C7">
            <w:pPr>
              <w:pStyle w:val="P68B1DB1-Normal11"/>
              <w:spacing w:after="120"/>
              <w:rPr>
                <w:noProof/>
                <w:szCs w:val="20"/>
              </w:rPr>
            </w:pPr>
            <w:r>
              <w:rPr>
                <w:noProof/>
                <w:szCs w:val="20"/>
              </w:rPr>
              <w:t xml:space="preserve">Līgumi par vismaz 46500  bezemisiju transportlīdzekļu iegādi. </w:t>
            </w:r>
          </w:p>
          <w:p w14:paraId="27ACAE9A" w14:textId="77777777" w:rsidR="00327FF1" w:rsidRDefault="00E406C7">
            <w:pPr>
              <w:pStyle w:val="P68B1DB1-Normal12"/>
              <w:spacing w:after="120"/>
              <w:jc w:val="both"/>
              <w:rPr>
                <w:noProof/>
              </w:rPr>
            </w:pPr>
            <w:r>
              <w:rPr>
                <w:noProof/>
              </w:rPr>
              <w:t>Par katru transportlīdzekli iesniedz arī sertifikātu par transportlīdzekļa nodošanu metāllūžņos, kas apliecina termiskā transportlīdzekļa nodošanu metāllūžņos.</w:t>
            </w:r>
          </w:p>
          <w:p w14:paraId="26B317F3" w14:textId="77777777" w:rsidR="00327FF1" w:rsidRDefault="00E406C7">
            <w:pPr>
              <w:pStyle w:val="P68B1DB1-Normal12"/>
              <w:spacing w:after="120"/>
              <w:rPr>
                <w:noProof/>
              </w:rPr>
            </w:pPr>
            <w:r>
              <w:rPr>
                <w:noProof/>
              </w:rPr>
              <w:t>Shēmas mērķis ir:</w:t>
            </w:r>
          </w:p>
          <w:p w14:paraId="3FAA7C20" w14:textId="5D5C6260" w:rsidR="00327FF1" w:rsidRDefault="00E406C7">
            <w:pPr>
              <w:pStyle w:val="P68B1DB1-Normal12"/>
              <w:spacing w:after="120"/>
              <w:rPr>
                <w:noProof/>
              </w:rPr>
            </w:pPr>
            <w:r>
              <w:rPr>
                <w:noProof/>
              </w:rPr>
              <w:t>• Personas, kas dzīvo funkcionālās pilsētu teritorijās. Attiecībā uz privātpersonām atbalsttiesīgi ir tikai M1 kategorijas transportlīdzekļi.</w:t>
            </w:r>
          </w:p>
          <w:p w14:paraId="0A68AFF8" w14:textId="21983616" w:rsidR="00327FF1" w:rsidRDefault="00E406C7">
            <w:pPr>
              <w:pStyle w:val="P68B1DB1-Normal12"/>
              <w:spacing w:after="120"/>
              <w:rPr>
                <w:noProof/>
              </w:rPr>
            </w:pPr>
            <w:r>
              <w:rPr>
                <w:noProof/>
              </w:rPr>
              <w:t>• Mikrouzņēmumi, kas definēti Regulas (ES) 2023/955 2. panta 9. punktā un kuru juridiskā adrese</w:t>
            </w:r>
            <w:r>
              <w:rPr>
                <w:noProof/>
              </w:rPr>
              <w:t xml:space="preserve"> ir funkcionālās pilsētu teritorijās. Attiecībā uz mikrouzņēmumiem atbalsttiesīgi ir tikai N1 un N2 kategorijas transportlīdzekļi.</w:t>
            </w:r>
          </w:p>
          <w:p w14:paraId="6D33767D" w14:textId="1875A1AC" w:rsidR="00327FF1" w:rsidRDefault="00E406C7">
            <w:pPr>
              <w:pStyle w:val="P68B1DB1-Normal12"/>
              <w:spacing w:after="120"/>
              <w:rPr>
                <w:noProof/>
              </w:rPr>
            </w:pPr>
            <w:r>
              <w:rPr>
                <w:noProof/>
              </w:rPr>
              <w:t>Attiecībā uz privātiem transportlīdzekļiem (M1) stimuls nepārsniedz EUR 11000 par jaunu transportlīdzekli personām, kuru ekon</w:t>
            </w:r>
            <w:r>
              <w:rPr>
                <w:noProof/>
              </w:rPr>
              <w:t>omiskās situācijas rādītājs (ISEE — Indicatore della Situazione Economica Equivalente) ir mazāks vai vienāds ar EUR 30000, un ne vairāk kā EUR 9000 par jaunu transportlīdzekli personām, kuru ISEE ir lielāka par EUR 30000, bet mazāka par vai vienāda ar 40 0</w:t>
            </w:r>
            <w:r>
              <w:rPr>
                <w:noProof/>
              </w:rPr>
              <w:t xml:space="preserve">00 EUR. Attiecībā uz komerciālajiem transportlīdzekļiem (N1 un N2) stimuls sedz līdz 30 % no pirkuma cenas, nepārsniedzot EUR 20000 par jaunu transportlīdzekli. </w:t>
            </w:r>
          </w:p>
          <w:p w14:paraId="6A55787E" w14:textId="77777777" w:rsidR="00327FF1" w:rsidRDefault="00E406C7">
            <w:pPr>
              <w:pStyle w:val="P68B1DB1-Normal12"/>
              <w:jc w:val="both"/>
              <w:rPr>
                <w:noProof/>
              </w:rPr>
            </w:pPr>
            <w:r>
              <w:rPr>
                <w:noProof/>
              </w:rPr>
              <w:t>Shēma ir vērsta tikai uz bezemisiju transportlīdzekļu iegādi.</w:t>
            </w:r>
          </w:p>
        </w:tc>
      </w:tr>
    </w:tbl>
    <w:p w14:paraId="4D061E57" w14:textId="77777777" w:rsidR="00327FF1" w:rsidRDefault="00327FF1">
      <w:pPr>
        <w:tabs>
          <w:tab w:val="left" w:pos="4252"/>
        </w:tabs>
        <w:spacing w:after="120"/>
        <w:rPr>
          <w:i/>
          <w:noProof/>
        </w:rPr>
        <w:sectPr w:rsidR="00327FF1" w:rsidSect="005F11B9">
          <w:headerReference w:type="default" r:id="rId322"/>
          <w:footerReference w:type="default" r:id="rId323"/>
          <w:pgSz w:w="16838" w:h="11906" w:orient="landscape" w:code="9"/>
          <w:pgMar w:top="1134" w:right="1134" w:bottom="1134" w:left="1134" w:header="567" w:footer="567" w:gutter="0"/>
          <w:cols w:space="720"/>
          <w:docGrid w:linePitch="360"/>
        </w:sectPr>
      </w:pPr>
    </w:p>
    <w:p w14:paraId="7EC6D3EE" w14:textId="0D4AA0C6" w:rsidR="00327FF1" w:rsidRDefault="00E406C7">
      <w:pPr>
        <w:pStyle w:val="P68B1DB1-Heading368"/>
        <w:ind w:left="850" w:hanging="850"/>
        <w:rPr>
          <w:bCs/>
          <w:noProof/>
        </w:rPr>
      </w:pPr>
      <w:bookmarkStart w:id="28" w:name="_Hlk180665465"/>
      <w:r>
        <w:rPr>
          <w:noProof/>
        </w:rPr>
        <w:t xml:space="preserve">JAUTĀJUMS. </w:t>
      </w:r>
      <w:r>
        <w:rPr>
          <w:noProof/>
        </w:rPr>
        <w:tab/>
        <w:t xml:space="preserve">Aizdevumam pieteikto reformu un investīciju apraksts </w:t>
      </w:r>
    </w:p>
    <w:p w14:paraId="2CBD59FB" w14:textId="77777777" w:rsidR="00327FF1" w:rsidRDefault="00E406C7">
      <w:pPr>
        <w:pStyle w:val="P68B1DB1-Heading4107"/>
        <w:spacing w:before="0"/>
        <w:rPr>
          <w:noProof/>
        </w:rPr>
      </w:pPr>
      <w:bookmarkStart w:id="29" w:name="_Hlk140650645"/>
      <w:bookmarkEnd w:id="28"/>
      <w:r>
        <w:rPr>
          <w:noProof/>
        </w:rPr>
        <w:t>Ieguldījums 13. Adrijas jūras līnijas 1. posms (Sulmonas kompresoru stacija un Sestino-Minerbio gāzes cauruļvads)</w:t>
      </w:r>
    </w:p>
    <w:p w14:paraId="7731CA39" w14:textId="77777777" w:rsidR="00327FF1" w:rsidRDefault="00E406C7">
      <w:pPr>
        <w:pStyle w:val="P68B1DB1-Text143"/>
        <w:spacing w:before="0"/>
        <w:ind w:left="0"/>
        <w:rPr>
          <w:noProof/>
        </w:rPr>
      </w:pPr>
      <w:r>
        <w:rPr>
          <w:noProof/>
        </w:rPr>
        <w:t xml:space="preserve">Šīs investīcijas mērķis ir palielināt un </w:t>
      </w:r>
      <w:r>
        <w:rPr>
          <w:noProof/>
        </w:rPr>
        <w:t>dažādot gāzes, tostarp sašķidrinātas dabasgāzes, piegādes drošību. Pasākums ietver kompresoru stacijas būvniecību Sulmonā un gāzes cauruļvadu, kas savieno Sestino un Minerbio mezglus Adrijas jūras līnijas ietvaros.</w:t>
      </w:r>
    </w:p>
    <w:p w14:paraId="4C27D6F4" w14:textId="77777777" w:rsidR="00327FF1" w:rsidRDefault="00E406C7">
      <w:pPr>
        <w:pStyle w:val="P68B1DB1-Heading4107"/>
        <w:numPr>
          <w:ilvl w:val="3"/>
          <w:numId w:val="0"/>
        </w:numPr>
        <w:ind w:left="850" w:hanging="850"/>
        <w:rPr>
          <w:noProof/>
        </w:rPr>
      </w:pPr>
      <w:r>
        <w:rPr>
          <w:noProof/>
        </w:rPr>
        <w:t xml:space="preserve">Ieguldījums 14. Pārrobežu gāzes eksporta </w:t>
      </w:r>
      <w:r>
        <w:rPr>
          <w:noProof/>
        </w:rPr>
        <w:t>infrastruktūra</w:t>
      </w:r>
    </w:p>
    <w:p w14:paraId="2F6E3E5C" w14:textId="77777777" w:rsidR="00327FF1" w:rsidRDefault="00E406C7">
      <w:pPr>
        <w:pStyle w:val="P68B1DB1-Text143"/>
        <w:spacing w:before="0"/>
        <w:ind w:left="0"/>
        <w:rPr>
          <w:noProof/>
        </w:rPr>
      </w:pPr>
      <w:r>
        <w:rPr>
          <w:noProof/>
        </w:rPr>
        <w:t xml:space="preserve">Šīs investīcijas mērķis ir palielināt un dažādot gāzes, tostarp sašķidrinātas dabasgāzes, piegādes drošību. Šī investīcija ietver esošās gāzes infrastruktūras modernizāciju, kas ļauj eksportēt dabasgāzi caur Tarvisio izejas punktu, jo īpaši </w:t>
      </w:r>
      <w:r>
        <w:rPr>
          <w:noProof/>
        </w:rPr>
        <w:t>izbūvējot jaunu elektrisko kompresijas iekārtu Poggio Renatico kompresoru stacijā.</w:t>
      </w:r>
    </w:p>
    <w:p w14:paraId="335B2298" w14:textId="77777777" w:rsidR="00327FF1" w:rsidRDefault="00E406C7">
      <w:pPr>
        <w:pStyle w:val="P68B1DB1-Heading4107"/>
        <w:numPr>
          <w:ilvl w:val="3"/>
          <w:numId w:val="0"/>
        </w:numPr>
        <w:ind w:left="850" w:hanging="850"/>
        <w:rPr>
          <w:noProof/>
        </w:rPr>
      </w:pPr>
      <w:r>
        <w:rPr>
          <w:noProof/>
        </w:rPr>
        <w:t xml:space="preserve">Ieguldījums 15. Transizione 5.0 </w:t>
      </w:r>
    </w:p>
    <w:bookmarkEnd w:id="29"/>
    <w:p w14:paraId="4A4AEC85" w14:textId="63AF0E84" w:rsidR="00327FF1" w:rsidRDefault="00E406C7">
      <w:pPr>
        <w:pStyle w:val="P68B1DB1-Normal7"/>
        <w:spacing w:after="120"/>
        <w:jc w:val="both"/>
        <w:rPr>
          <w:noProof/>
        </w:rPr>
      </w:pPr>
      <w:r>
        <w:rPr>
          <w:noProof/>
        </w:rPr>
        <w:t>Šīs investīcijas mērķis ir atbalstīt pāreju uz energoefektīviem, ilgtspējīgiem un uz atjaunojamiem energoresursiem balstītiem ražošanas mode</w:t>
      </w:r>
      <w:r>
        <w:rPr>
          <w:noProof/>
        </w:rPr>
        <w:t>ļiem uzņēmumiem. Investīcija ietver nodokļu kredīta piešķiršanu uzņēmumiem proporcionāli attiecināmajiem izdevumiem, kas radušies laikposmā no 2024. gada 1. janvāra līdz 2025. gada 31. decembrim, proti, digitālajiem aktīviem (4,0 materiāli ražošanas līdzek</w:t>
      </w:r>
      <w:r>
        <w:rPr>
          <w:noProof/>
        </w:rPr>
        <w:t>ļi</w:t>
      </w:r>
      <w:r>
        <w:rPr>
          <w:noProof/>
        </w:rPr>
        <w:footnoteReference w:id="97"/>
      </w:r>
      <w:r>
        <w:rPr>
          <w:noProof/>
        </w:rPr>
        <w:t>, 4,0 nemateriāli ražošanas līdzekļi), aktīviem, kas nepieciešami pašražošanai un pašpatēriņam no atjaunīgajiem energoresursiem (izņemot biomasu), un darbinieku apmācībai zaļās pārkārtošanās prasmju apguvei. Investīcija ietver arī IT atbalsta platformas</w:t>
      </w:r>
      <w:r>
        <w:rPr>
          <w:noProof/>
        </w:rPr>
        <w:t xml:space="preserve"> izveidi un saistītas darbības pārvaldības, uzraudzības un kontroles nolūkos, ko nodrošina GSE — Gestore Servizi Energetici.</w:t>
      </w:r>
    </w:p>
    <w:p w14:paraId="42FBCC12" w14:textId="77777777" w:rsidR="00327FF1" w:rsidRDefault="00327FF1">
      <w:pPr>
        <w:spacing w:after="120"/>
        <w:jc w:val="both"/>
        <w:rPr>
          <w:rFonts w:ascii="Times New Roman" w:hAnsi="Times New Roman" w:cs="Times New Roman"/>
          <w:noProof/>
        </w:rPr>
      </w:pPr>
    </w:p>
    <w:p w14:paraId="37609936" w14:textId="77777777" w:rsidR="00327FF1" w:rsidRDefault="00E406C7">
      <w:pPr>
        <w:pStyle w:val="P68B1DB1-Heading4107"/>
        <w:numPr>
          <w:ilvl w:val="3"/>
          <w:numId w:val="0"/>
        </w:numPr>
        <w:rPr>
          <w:noProof/>
        </w:rPr>
      </w:pPr>
      <w:r>
        <w:rPr>
          <w:noProof/>
        </w:rPr>
        <w:t>Ieguldījums 16. Atbalsts MVU pašražošanai no atjaunojamiem enerģijas avotiem</w:t>
      </w:r>
    </w:p>
    <w:p w14:paraId="0FE27FDE" w14:textId="77777777" w:rsidR="00327FF1" w:rsidRDefault="00E406C7">
      <w:pPr>
        <w:pStyle w:val="P68B1DB1-Normal7"/>
        <w:spacing w:after="120"/>
        <w:jc w:val="both"/>
        <w:rPr>
          <w:noProof/>
        </w:rPr>
      </w:pPr>
      <w:r>
        <w:rPr>
          <w:noProof/>
        </w:rPr>
        <w:t>Šis pasākums ietver publiskus ieguldījumus dotāciju s</w:t>
      </w:r>
      <w:r>
        <w:rPr>
          <w:noProof/>
        </w:rPr>
        <w:t xml:space="preserve">hēmā </w:t>
      </w:r>
      <w:r>
        <w:rPr>
          <w:i/>
          <w:noProof/>
        </w:rPr>
        <w:t>“Atbalsts MVU pašražošanai no atjaunojamiem enerģijas avotiem”</w:t>
      </w:r>
      <w:r>
        <w:rPr>
          <w:noProof/>
        </w:rPr>
        <w:t>, lai stimulētu privātos ieguldījumus un uzlabotu piekļuvi finansējumam Itālijas enerģijas pašražošanā no atjaunojamajiem energoresursiem (AER).</w:t>
      </w:r>
    </w:p>
    <w:p w14:paraId="7F50138E" w14:textId="27358390" w:rsidR="00327FF1" w:rsidRDefault="00E406C7">
      <w:pPr>
        <w:spacing w:after="120"/>
        <w:jc w:val="both"/>
        <w:rPr>
          <w:rFonts w:ascii="Times New Roman" w:hAnsi="Times New Roman" w:cs="Times New Roman"/>
          <w:noProof/>
        </w:rPr>
      </w:pPr>
      <w:r>
        <w:rPr>
          <w:rFonts w:ascii="Times New Roman" w:hAnsi="Times New Roman" w:cs="Times New Roman"/>
          <w:noProof/>
        </w:rPr>
        <w:t>Shēmas mērķis ir atbalstīt mikrouzņēmumus, m</w:t>
      </w:r>
      <w:r>
        <w:rPr>
          <w:rFonts w:ascii="Times New Roman" w:hAnsi="Times New Roman" w:cs="Times New Roman"/>
          <w:noProof/>
        </w:rPr>
        <w:t>azos un vidējos uzņēmumus (MVU) tādu ieguldījumu programmu īstenošanā, kuru mērķis ir enerģijas pašražošana no atjaunojamiem energoresursiem</w:t>
      </w:r>
      <w:r>
        <w:rPr>
          <w:rStyle w:val="FootnoteReference"/>
          <w:rFonts w:ascii="Times New Roman" w:hAnsi="Times New Roman" w:cs="Times New Roman"/>
          <w:noProof/>
        </w:rPr>
        <w:footnoteReference w:id="98"/>
      </w:r>
      <w:r>
        <w:rPr>
          <w:rFonts w:ascii="Times New Roman" w:hAnsi="Times New Roman" w:cs="Times New Roman"/>
          <w:noProof/>
        </w:rPr>
        <w:t xml:space="preserve">. </w:t>
      </w:r>
    </w:p>
    <w:p w14:paraId="3E0B195C" w14:textId="1A2AA8D3" w:rsidR="00327FF1" w:rsidRDefault="00E406C7">
      <w:pPr>
        <w:pStyle w:val="P68B1DB1-Normal7"/>
        <w:spacing w:after="120"/>
        <w:rPr>
          <w:noProof/>
        </w:rPr>
      </w:pPr>
      <w:r>
        <w:rPr>
          <w:noProof/>
        </w:rPr>
        <w:t>Shēma darbojas, piešķirot dotācijas tieši privātajam sektoram.</w:t>
      </w:r>
    </w:p>
    <w:p w14:paraId="4AD8B21E" w14:textId="77777777" w:rsidR="00327FF1" w:rsidRDefault="00E406C7">
      <w:pPr>
        <w:pStyle w:val="P68B1DB1-Normal7"/>
        <w:spacing w:after="120"/>
        <w:jc w:val="both"/>
        <w:rPr>
          <w:noProof/>
        </w:rPr>
      </w:pPr>
      <w:r>
        <w:rPr>
          <w:noProof/>
        </w:rPr>
        <w:t>Shēmu pārvalda Invitalia SpA kā īstenošanas partn</w:t>
      </w:r>
      <w:r>
        <w:rPr>
          <w:noProof/>
        </w:rPr>
        <w:t>eris. Shēma ietver šādas produktu līnijas:</w:t>
      </w:r>
    </w:p>
    <w:p w14:paraId="7635FE9D" w14:textId="680AA7D8" w:rsidR="00327FF1" w:rsidRDefault="00E406C7">
      <w:pPr>
        <w:pStyle w:val="P68B1DB1-ListParagraph37"/>
        <w:numPr>
          <w:ilvl w:val="0"/>
          <w:numId w:val="38"/>
        </w:numPr>
        <w:spacing w:after="120" w:line="240" w:lineRule="auto"/>
        <w:jc w:val="both"/>
        <w:rPr>
          <w:noProof/>
        </w:rPr>
      </w:pPr>
      <w:r>
        <w:rPr>
          <w:noProof/>
        </w:rPr>
        <w:t>neatmaksājamas iemaksas vismaz 30 % apmērā no kopējām investīcijām — sistēmu un saistīto digitālo tehnoloģiju iegādei, kas ļauj tieši ražot enerģiju no atjaunojamiem energoresursiem tūlītējam pašpatēriņam vai izma</w:t>
      </w:r>
      <w:r>
        <w:rPr>
          <w:noProof/>
        </w:rPr>
        <w:t>ntojot uzkrāšanas/uzkrāšanas sistēmas.</w:t>
      </w:r>
    </w:p>
    <w:p w14:paraId="1075C573" w14:textId="77777777" w:rsidR="00327FF1" w:rsidRDefault="00E406C7">
      <w:pPr>
        <w:pStyle w:val="P68B1DB1-Normal7"/>
        <w:spacing w:after="120"/>
        <w:jc w:val="both"/>
        <w:rPr>
          <w:noProof/>
        </w:rPr>
      </w:pPr>
      <w:r>
        <w:rPr>
          <w:noProof/>
        </w:rPr>
        <w:t>Lai īstenotu ieguldījumu shēmā, Itālija un Invitalia SpA paraksta īstenošanas nolīgumu, kurā ietver šādu saturu:</w:t>
      </w:r>
    </w:p>
    <w:p w14:paraId="11247C5C" w14:textId="77777777" w:rsidR="00327FF1" w:rsidRDefault="00E406C7">
      <w:pPr>
        <w:pStyle w:val="P68B1DB1-LegalNumPar79"/>
        <w:numPr>
          <w:ilvl w:val="0"/>
          <w:numId w:val="177"/>
        </w:numPr>
        <w:spacing w:after="120" w:line="240" w:lineRule="auto"/>
        <w:rPr>
          <w:rFonts w:eastAsia="Times New Roman"/>
          <w:noProof/>
        </w:rPr>
      </w:pPr>
      <w:r>
        <w:rPr>
          <w:noProof/>
        </w:rPr>
        <w:t>Shēmas lēmumu pieņemšanas procesa apraksts: Galīgo lēmumu par ieguldījumiem Shēmā pieņem ieguldījumu kom</w:t>
      </w:r>
      <w:r>
        <w:rPr>
          <w:noProof/>
        </w:rPr>
        <w:t>iteja vai cita attiecīga līdzvērtīga pārvaldes struktūra, un to apstiprina ar no valdības neatkarīgu locekļu balsu vairākumu.</w:t>
      </w:r>
    </w:p>
    <w:p w14:paraId="3FC39603" w14:textId="77777777" w:rsidR="00327FF1" w:rsidRDefault="00E406C7">
      <w:pPr>
        <w:pStyle w:val="P68B1DB1-LegalNumPar79"/>
        <w:spacing w:after="120" w:line="240" w:lineRule="auto"/>
        <w:jc w:val="both"/>
        <w:rPr>
          <w:noProof/>
        </w:rPr>
      </w:pPr>
      <w:r>
        <w:rPr>
          <w:noProof/>
        </w:rPr>
        <w:t>Saistītās ieguldījumu politikas galvenās prasības,</w:t>
      </w:r>
      <w:r>
        <w:rPr>
          <w:b/>
          <w:noProof/>
        </w:rPr>
        <w:t xml:space="preserve"> </w:t>
      </w:r>
      <w:r>
        <w:rPr>
          <w:noProof/>
        </w:rPr>
        <w:t>kas ietver:</w:t>
      </w:r>
    </w:p>
    <w:p w14:paraId="4D5EBA98" w14:textId="77777777" w:rsidR="00327FF1" w:rsidRDefault="00E406C7">
      <w:pPr>
        <w:pStyle w:val="P68B1DB1-LegalNumPar280"/>
        <w:numPr>
          <w:ilvl w:val="1"/>
          <w:numId w:val="47"/>
        </w:numPr>
        <w:spacing w:after="120" w:line="240" w:lineRule="auto"/>
        <w:ind w:left="1418"/>
        <w:jc w:val="both"/>
        <w:rPr>
          <w:noProof/>
        </w:rPr>
      </w:pPr>
      <w:r>
        <w:rPr>
          <w:noProof/>
        </w:rPr>
        <w:t xml:space="preserve">Sniegtā atbalsta veida un atbalsttiesīgo galasaņēmēju apraksts. </w:t>
      </w:r>
    </w:p>
    <w:p w14:paraId="46293A53" w14:textId="77777777" w:rsidR="00327FF1" w:rsidRDefault="00E406C7">
      <w:pPr>
        <w:pStyle w:val="P68B1DB1-LegalNumPar280"/>
        <w:numPr>
          <w:ilvl w:val="1"/>
          <w:numId w:val="47"/>
        </w:numPr>
        <w:spacing w:after="120" w:line="240" w:lineRule="auto"/>
        <w:ind w:left="1418"/>
        <w:jc w:val="both"/>
        <w:rPr>
          <w:noProof/>
        </w:rPr>
      </w:pPr>
      <w:r>
        <w:rPr>
          <w:noProof/>
        </w:rPr>
        <w:t>Prasība, ka visiem atbalstītajiem ieguldījumiem jābūt ekonomiski dzīvotspējīgiem</w:t>
      </w:r>
      <w:r>
        <w:rPr>
          <w:b/>
          <w:noProof/>
        </w:rPr>
        <w:t>.</w:t>
      </w:r>
    </w:p>
    <w:p w14:paraId="36AF6B94" w14:textId="719B75A0" w:rsidR="00327FF1" w:rsidRDefault="00E406C7">
      <w:pPr>
        <w:pStyle w:val="P68B1DB1-LegalNumPar280"/>
        <w:spacing w:after="120" w:line="240" w:lineRule="auto"/>
        <w:ind w:left="1418"/>
        <w:jc w:val="both"/>
        <w:rPr>
          <w:noProof/>
        </w:rPr>
      </w:pPr>
      <w:r>
        <w:rPr>
          <w:noProof/>
        </w:rPr>
        <w:t>Prasība ievērot principu “nenodari būtisku kaitējumu” (DNSH), kā noteikts NBK tehniskajos norādījumos (2021/C58/01). Jo īpaši, ja tiek sniegts vispārējs atbalsts korporācijām</w:t>
      </w:r>
      <w:r>
        <w:rPr>
          <w:noProof/>
        </w:rPr>
        <w:t>, ieguldījumu politikā neiekļauj uzņēmumus, kas būtiski koncentrējas</w:t>
      </w:r>
      <w:r>
        <w:rPr>
          <w:noProof/>
        </w:rPr>
        <w:footnoteReference w:id="99"/>
      </w:r>
      <w:r>
        <w:rPr>
          <w:noProof/>
        </w:rPr>
        <w:t xml:space="preserve"> uz šādām nozarēm: I) enerģijas ražošana, izmantojot fosilo kurināmo, un ar to saistītās darbības</w:t>
      </w:r>
      <w:r>
        <w:rPr>
          <w:noProof/>
        </w:rPr>
        <w:footnoteReference w:id="100"/>
      </w:r>
      <w:r>
        <w:rPr>
          <w:noProof/>
        </w:rPr>
        <w:t>; II) energoietilpīgas nozares un/vai nozares ar augstu CO2 emisiju līmeni</w:t>
      </w:r>
      <w:r>
        <w:rPr>
          <w:noProof/>
        </w:rPr>
        <w:footnoteReference w:id="101"/>
      </w:r>
      <w:r>
        <w:rPr>
          <w:noProof/>
        </w:rPr>
        <w:t>; III) piesārņ</w:t>
      </w:r>
      <w:r>
        <w:rPr>
          <w:noProof/>
        </w:rPr>
        <w:t>ojošu transportlīdzekļu ražošana, noma vai pārdošana</w:t>
      </w:r>
      <w:r>
        <w:rPr>
          <w:noProof/>
        </w:rPr>
        <w:footnoteReference w:id="102"/>
      </w:r>
      <w:r>
        <w:rPr>
          <w:noProof/>
        </w:rPr>
        <w:t>; IV) atkritumu savākšana, atkritumu apstrāde</w:t>
      </w:r>
      <w:r>
        <w:rPr>
          <w:noProof/>
        </w:rPr>
        <w:footnoteReference w:id="103"/>
      </w:r>
      <w:r>
        <w:rPr>
          <w:noProof/>
        </w:rPr>
        <w:t>un apglabāšana; v) kodoldegvielas pārstrāde, kodolenerģijas ražošana. Turklāt ieguldījumu politika paredz, ka shēmas galīgajiem saņēmējiem</w:t>
      </w:r>
      <w:r>
        <w:rPr>
          <w:b/>
          <w:noProof/>
        </w:rPr>
        <w:t xml:space="preserve"> </w:t>
      </w:r>
      <w:r>
        <w:rPr>
          <w:noProof/>
        </w:rPr>
        <w:t>ir jāievēro attiec</w:t>
      </w:r>
      <w:r>
        <w:rPr>
          <w:noProof/>
        </w:rPr>
        <w:t xml:space="preserve">īgie ES un valsts tiesību akti vides jomā. </w:t>
      </w:r>
    </w:p>
    <w:p w14:paraId="02BED60D" w14:textId="77777777" w:rsidR="00327FF1" w:rsidRDefault="00E406C7">
      <w:pPr>
        <w:pStyle w:val="P68B1DB1-LegalNumPar280"/>
        <w:numPr>
          <w:ilvl w:val="1"/>
          <w:numId w:val="47"/>
        </w:numPr>
        <w:spacing w:after="120" w:line="240" w:lineRule="auto"/>
        <w:ind w:left="1418"/>
        <w:jc w:val="both"/>
        <w:rPr>
          <w:bCs/>
          <w:noProof/>
        </w:rPr>
      </w:pPr>
      <w:r>
        <w:rPr>
          <w:noProof/>
        </w:rPr>
        <w:t>Prasību, ka shēmas galasaņēmēji nesaņem atbalstu no citiem Savienības instrumentiem, lai segtu tās pašas izmaksas.</w:t>
      </w:r>
    </w:p>
    <w:p w14:paraId="6E26568F" w14:textId="77777777" w:rsidR="00327FF1" w:rsidRDefault="00E406C7">
      <w:pPr>
        <w:pStyle w:val="P68B1DB1-LegalNumPar112"/>
        <w:spacing w:after="120" w:line="240" w:lineRule="auto"/>
        <w:jc w:val="both"/>
        <w:rPr>
          <w:rFonts w:cs="Times New Roman"/>
          <w:noProof/>
        </w:rPr>
      </w:pPr>
      <w:r>
        <w:rPr>
          <w:noProof/>
        </w:rPr>
        <w:t>Summa, uz kuru attiecas īstenošanas nolīgums, īstenošanas partnera maksu struktūra un prasība ieg</w:t>
      </w:r>
      <w:r>
        <w:rPr>
          <w:noProof/>
        </w:rPr>
        <w:t>uldīt visus neizmantotos ieņēmumus no shēmas, tostarp pēc 2026. gada, tiem pašiem politikas mērķiem.</w:t>
      </w:r>
    </w:p>
    <w:p w14:paraId="4FD3A1BD" w14:textId="77777777" w:rsidR="00327FF1" w:rsidRDefault="00E406C7">
      <w:pPr>
        <w:pStyle w:val="P68B1DB1-LegalNumPar112"/>
        <w:spacing w:after="120" w:line="240" w:lineRule="auto"/>
        <w:jc w:val="both"/>
        <w:rPr>
          <w:rFonts w:cs="Times New Roman"/>
          <w:noProof/>
        </w:rPr>
      </w:pPr>
      <w:r>
        <w:rPr>
          <w:noProof/>
        </w:rPr>
        <w:t>Uzraudzības, revīzijas un kontroles prasības, tostarp:</w:t>
      </w:r>
    </w:p>
    <w:p w14:paraId="04F0AEE6" w14:textId="77777777" w:rsidR="00327FF1" w:rsidRDefault="00E406C7">
      <w:pPr>
        <w:pStyle w:val="P68B1DB1-Normal96"/>
        <w:numPr>
          <w:ilvl w:val="0"/>
          <w:numId w:val="46"/>
        </w:numPr>
        <w:spacing w:after="120" w:line="240" w:lineRule="auto"/>
        <w:jc w:val="both"/>
        <w:rPr>
          <w:rFonts w:hint="default"/>
          <w:noProof/>
        </w:rPr>
      </w:pPr>
      <w:r>
        <w:rPr>
          <w:noProof/>
        </w:rPr>
        <w:t>Apraksts par īstenošanas partnera uzraudzības sistēmu ziņošanai par mobilizētajām investīcijām.</w:t>
      </w:r>
    </w:p>
    <w:p w14:paraId="20725BDD" w14:textId="77777777" w:rsidR="00327FF1" w:rsidRDefault="00E406C7">
      <w:pPr>
        <w:pStyle w:val="P68B1DB1-Normal96"/>
        <w:numPr>
          <w:ilvl w:val="0"/>
          <w:numId w:val="46"/>
        </w:numPr>
        <w:spacing w:after="120" w:line="240" w:lineRule="auto"/>
        <w:jc w:val="both"/>
        <w:rPr>
          <w:rFonts w:hint="default"/>
          <w:noProof/>
        </w:rPr>
      </w:pPr>
      <w:r>
        <w:rPr>
          <w:noProof/>
        </w:rPr>
        <w:t xml:space="preserve">Apraksts par īstenošanas partnera procedūrām, kas nodrošina krāpšanas, korupcijas un interešu konfliktu novēršanu, atklāšanu un labošanu. </w:t>
      </w:r>
    </w:p>
    <w:p w14:paraId="5E3AEA80" w14:textId="77777777" w:rsidR="00327FF1" w:rsidRDefault="00E406C7">
      <w:pPr>
        <w:pStyle w:val="P68B1DB1-Normal7"/>
        <w:numPr>
          <w:ilvl w:val="0"/>
          <w:numId w:val="46"/>
        </w:numPr>
        <w:spacing w:after="120" w:line="240" w:lineRule="auto"/>
        <w:jc w:val="both"/>
        <w:rPr>
          <w:noProof/>
        </w:rPr>
      </w:pPr>
      <w:r>
        <w:rPr>
          <w:noProof/>
        </w:rPr>
        <w:t>Pienākums pārbaudīt katras darbības attiecināmību saskaņā ar Īstenošanas nolīgumā noteiktajām prasībām pirms apņemšan</w:t>
      </w:r>
      <w:r>
        <w:rPr>
          <w:noProof/>
        </w:rPr>
        <w:t>ās finansēt kādu darbību.</w:t>
      </w:r>
    </w:p>
    <w:p w14:paraId="154319B4" w14:textId="77777777" w:rsidR="00327FF1" w:rsidRDefault="00E406C7">
      <w:pPr>
        <w:pStyle w:val="P68B1DB1-Normal96"/>
        <w:numPr>
          <w:ilvl w:val="0"/>
          <w:numId w:val="46"/>
        </w:numPr>
        <w:spacing w:after="120" w:line="240" w:lineRule="auto"/>
        <w:jc w:val="both"/>
        <w:rPr>
          <w:rFonts w:hint="default"/>
          <w:noProof/>
        </w:rPr>
      </w:pPr>
      <w:r>
        <w:rPr>
          <w:noProof/>
        </w:rPr>
        <w:t>Pienākums veikt uz risku balstītas ex post revīzijas saskaņā ar Invitalia SpA revīzijas plānu. Šajās revīzijās pārbauda i) kontroles sistēmu efektivitāti, tostarp krāpšanas, korupcijas un interešu konflikta atklāšanu; II) principa</w:t>
      </w:r>
      <w:r>
        <w:rPr>
          <w:noProof/>
        </w:rPr>
        <w:t xml:space="preserve"> </w:t>
      </w:r>
      <w:r>
        <w:rPr>
          <w:noProof/>
        </w:rPr>
        <w:t>“</w:t>
      </w:r>
      <w:r>
        <w:rPr>
          <w:noProof/>
        </w:rPr>
        <w:t>nenodarīt būtisku kaitējumu</w:t>
      </w:r>
      <w:r>
        <w:rPr>
          <w:noProof/>
        </w:rPr>
        <w:t>”</w:t>
      </w:r>
      <w:r>
        <w:rPr>
          <w:noProof/>
        </w:rPr>
        <w:t xml:space="preserve"> ievērošana, valsts atbalsta noteikumi, klimata mērķrādītāju prasības; un iii) ka ir ievērota prasība, ka shēmas galasaņēmēji nav saņēmuši atbalstu no citiem Savienības instrumentiem, lai segtu tās pašas izmaksas. Revīzijās pā</w:t>
      </w:r>
      <w:r>
        <w:rPr>
          <w:noProof/>
        </w:rPr>
        <w:t xml:space="preserve">rbauda arī darījumu likumību un to, vai tiek ievēroti piemērojamā īstenošanas nolīguma nosacījumi. </w:t>
      </w:r>
    </w:p>
    <w:p w14:paraId="5E61A0DD" w14:textId="77777777" w:rsidR="00327FF1" w:rsidRDefault="00E406C7">
      <w:pPr>
        <w:pStyle w:val="P68B1DB1-Heading4107"/>
        <w:spacing w:before="0"/>
        <w:rPr>
          <w:noProof/>
        </w:rPr>
      </w:pPr>
      <w:r>
        <w:rPr>
          <w:noProof/>
        </w:rPr>
        <w:t>Ieguldījums 17. Finanšu instruments publisko dzīvojamo māju energorenovācijai</w:t>
      </w:r>
    </w:p>
    <w:p w14:paraId="6265375E" w14:textId="5E043A51" w:rsidR="00327FF1" w:rsidRDefault="00E406C7">
      <w:pPr>
        <w:spacing w:after="120"/>
        <w:jc w:val="both"/>
        <w:rPr>
          <w:rFonts w:ascii="Times New Roman" w:hAnsi="Times New Roman" w:cs="Times New Roman"/>
          <w:noProof/>
        </w:rPr>
      </w:pPr>
      <w:r>
        <w:rPr>
          <w:rFonts w:ascii="Times New Roman" w:hAnsi="Times New Roman" w:cs="Times New Roman"/>
          <w:noProof/>
        </w:rPr>
        <w:t xml:space="preserve">Pasākuma mērķis ir atbalstīt publisko dzīvojamo māju renovāciju. Šis pasākums </w:t>
      </w:r>
      <w:r>
        <w:rPr>
          <w:rFonts w:ascii="Times New Roman" w:hAnsi="Times New Roman" w:cs="Times New Roman"/>
          <w:noProof/>
        </w:rPr>
        <w:t>sastāv no publiskām investīcijām mehānismā — “Finanšu instrumentā enerģētiskās nabadzības mazināšanai”, lai stimulētu privātās investīcijas un uzlabotu piekļuvi finansējumam. Instruments ir vērsts uz publisko dzīvojamo māju energorenovāciju, panākot vidēji</w:t>
      </w:r>
      <w:r>
        <w:rPr>
          <w:rFonts w:ascii="Times New Roman" w:hAnsi="Times New Roman" w:cs="Times New Roman"/>
          <w:noProof/>
        </w:rPr>
        <w:t xml:space="preserve"> vismaz 30 % primārās enerģijas pieprasījuma samazinājumu</w:t>
      </w:r>
      <w:r>
        <w:rPr>
          <w:rStyle w:val="FootnoteReference"/>
          <w:rFonts w:ascii="Times New Roman" w:hAnsi="Times New Roman" w:cs="Times New Roman"/>
          <w:noProof/>
        </w:rPr>
        <w:footnoteReference w:id="104"/>
      </w:r>
      <w:r>
        <w:rPr>
          <w:rFonts w:ascii="Times New Roman" w:hAnsi="Times New Roman" w:cs="Times New Roman"/>
          <w:noProof/>
        </w:rPr>
        <w:t xml:space="preserve">. </w:t>
      </w:r>
    </w:p>
    <w:p w14:paraId="6009FF5E" w14:textId="77777777" w:rsidR="00327FF1" w:rsidRDefault="00E406C7">
      <w:pPr>
        <w:pStyle w:val="P68B1DB1-Normal7"/>
        <w:rPr>
          <w:noProof/>
        </w:rPr>
      </w:pPr>
      <w:r>
        <w:rPr>
          <w:noProof/>
        </w:rPr>
        <w:t xml:space="preserve">Mehānismu pārvalda divi īstenošanas partneri. </w:t>
      </w:r>
    </w:p>
    <w:p w14:paraId="7A969A67" w14:textId="77777777" w:rsidR="00327FF1" w:rsidRDefault="00E406C7">
      <w:pPr>
        <w:pStyle w:val="P68B1DB1-ListParagraph37"/>
        <w:numPr>
          <w:ilvl w:val="0"/>
          <w:numId w:val="67"/>
        </w:numPr>
        <w:rPr>
          <w:noProof/>
        </w:rPr>
      </w:pPr>
      <w:r>
        <w:rPr>
          <w:noProof/>
        </w:rPr>
        <w:t>Gestore Servizi Energetici (GSE Spa) kā tehniskais partneris, kas atbild par dotācijas komponentu;</w:t>
      </w:r>
    </w:p>
    <w:p w14:paraId="7EAE58C6" w14:textId="7C3CA09A" w:rsidR="00327FF1" w:rsidRDefault="00E406C7">
      <w:pPr>
        <w:pStyle w:val="P68B1DB1-ListParagraph37"/>
        <w:numPr>
          <w:ilvl w:val="0"/>
          <w:numId w:val="67"/>
        </w:numPr>
        <w:rPr>
          <w:noProof/>
        </w:rPr>
      </w:pPr>
      <w:r>
        <w:rPr>
          <w:noProof/>
        </w:rPr>
        <w:t>Cassa Depositi e Prestiti (CDP Spa) kā finanšu pa</w:t>
      </w:r>
      <w:r>
        <w:rPr>
          <w:noProof/>
        </w:rPr>
        <w:t>rtneris un atbildīgs par (fakultatīvo) aizdevuma komponentu.</w:t>
      </w:r>
    </w:p>
    <w:p w14:paraId="2700A690" w14:textId="77777777" w:rsidR="00327FF1" w:rsidRDefault="00E406C7">
      <w:pPr>
        <w:pStyle w:val="P68B1DB1-Normal7"/>
        <w:shd w:val="clear" w:color="auto" w:fill="FFFFFF" w:themeFill="background1"/>
        <w:spacing w:after="120"/>
        <w:jc w:val="both"/>
        <w:rPr>
          <w:noProof/>
        </w:rPr>
      </w:pPr>
      <w:r>
        <w:rPr>
          <w:noProof/>
        </w:rPr>
        <w:t>Mehānisms sniedz finansiālu atbalstu energopakalpojumu uzņēmumiem (ESCO) dotāciju un/vai aizdevumu veidā publisko dzīvojamo māju energorenovācijai, panākot vidēji vismaz 30 % primārās enerģijas p</w:t>
      </w:r>
      <w:r>
        <w:rPr>
          <w:noProof/>
        </w:rPr>
        <w:t xml:space="preserve">ieprasījuma samazinājumu. </w:t>
      </w:r>
    </w:p>
    <w:p w14:paraId="5F02AD8A" w14:textId="790FD170" w:rsidR="00327FF1" w:rsidRDefault="00E406C7">
      <w:pPr>
        <w:pStyle w:val="P68B1DB1-Normal7"/>
        <w:spacing w:line="257" w:lineRule="auto"/>
        <w:jc w:val="both"/>
        <w:rPr>
          <w:noProof/>
        </w:rPr>
      </w:pPr>
      <w:r>
        <w:rPr>
          <w:noProof/>
        </w:rPr>
        <w:t xml:space="preserve">Mehānisms ietver šādas produktu līnijas publisko dzīvojamo mājokļu atbalstam:  </w:t>
      </w:r>
    </w:p>
    <w:p w14:paraId="04C87A90" w14:textId="77777777" w:rsidR="00327FF1" w:rsidRDefault="00E406C7">
      <w:pPr>
        <w:pStyle w:val="P68B1DB1-ListParagraph100"/>
        <w:numPr>
          <w:ilvl w:val="0"/>
          <w:numId w:val="66"/>
        </w:numPr>
        <w:spacing w:after="0" w:line="257" w:lineRule="auto"/>
        <w:jc w:val="both"/>
        <w:rPr>
          <w:noProof/>
        </w:rPr>
      </w:pPr>
      <w:r>
        <w:rPr>
          <w:noProof/>
        </w:rPr>
        <w:t>Dotācijas komponents, ko nodrošina tehniskais partneris Gestore Servizi Energetici Spa un kas sedz ne vairāk kā 65 % no kopējām izmaksām;</w:t>
      </w:r>
    </w:p>
    <w:p w14:paraId="1A12A601" w14:textId="77777777" w:rsidR="00327FF1" w:rsidRDefault="00E406C7">
      <w:pPr>
        <w:pStyle w:val="P68B1DB1-ListParagraph100"/>
        <w:numPr>
          <w:ilvl w:val="0"/>
          <w:numId w:val="66"/>
        </w:numPr>
        <w:spacing w:after="0" w:line="257" w:lineRule="auto"/>
        <w:jc w:val="both"/>
        <w:rPr>
          <w:noProof/>
        </w:rPr>
      </w:pPr>
      <w:r>
        <w:rPr>
          <w:noProof/>
        </w:rPr>
        <w:t>Fakultatīvs</w:t>
      </w:r>
      <w:r>
        <w:rPr>
          <w:noProof/>
        </w:rPr>
        <w:t xml:space="preserve"> aizdevuma komponents, kas sedz 35 % no kopējām izmaksām. Aizdevuma komponentu var nodrošināt finanšu partneris Cassa Depositi e Prestiti</w:t>
      </w:r>
    </w:p>
    <w:p w14:paraId="587736F9" w14:textId="77777777" w:rsidR="00327FF1" w:rsidRDefault="00327FF1">
      <w:pPr>
        <w:pStyle w:val="ListParagraph"/>
        <w:spacing w:after="0" w:line="257" w:lineRule="auto"/>
        <w:rPr>
          <w:rFonts w:ascii="Times New Roman" w:hAnsi="Times New Roman" w:cs="Times New Roman"/>
          <w:noProof/>
        </w:rPr>
      </w:pPr>
    </w:p>
    <w:p w14:paraId="7084DAA7" w14:textId="77777777" w:rsidR="00327FF1" w:rsidRDefault="00E406C7">
      <w:pPr>
        <w:pStyle w:val="P68B1DB1-Normal7"/>
        <w:spacing w:after="120"/>
        <w:jc w:val="both"/>
        <w:rPr>
          <w:noProof/>
        </w:rPr>
      </w:pPr>
      <w:r>
        <w:rPr>
          <w:noProof/>
        </w:rPr>
        <w:t>Lai īstenotu ieguldījumu mehānismā, Itālija un īstenošanas partneris(-i) paraksta īstenošanas nolīgumu(-us), kurā(-os</w:t>
      </w:r>
      <w:r>
        <w:rPr>
          <w:noProof/>
        </w:rPr>
        <w:t>) ietver šādu saturu:</w:t>
      </w:r>
    </w:p>
    <w:p w14:paraId="33C51D99" w14:textId="77777777" w:rsidR="00327FF1" w:rsidRDefault="00E406C7">
      <w:pPr>
        <w:pStyle w:val="P68B1DB1-ListParagraph37"/>
        <w:numPr>
          <w:ilvl w:val="0"/>
          <w:numId w:val="43"/>
        </w:numPr>
        <w:spacing w:after="120" w:line="240" w:lineRule="auto"/>
        <w:ind w:left="709" w:hanging="425"/>
        <w:contextualSpacing w:val="0"/>
        <w:jc w:val="both"/>
        <w:rPr>
          <w:noProof/>
        </w:rPr>
      </w:pPr>
      <w:r>
        <w:rPr>
          <w:noProof/>
        </w:rPr>
        <w:t>Mehānisma lēmumu pieņemšanas procesa apraksts: Galīgo lēmumu par ieguldījumiem Mehānismā pieņem investīciju komiteja vai cita attiecīga līdzvērtīga pārvaldes struktūra, un to apstiprina ar no valdības neatkarīgu locekļu balsu vairākum</w:t>
      </w:r>
      <w:r>
        <w:rPr>
          <w:noProof/>
        </w:rPr>
        <w:t>u.</w:t>
      </w:r>
    </w:p>
    <w:p w14:paraId="2C0D43D6" w14:textId="77777777" w:rsidR="00327FF1" w:rsidRDefault="00E406C7">
      <w:pPr>
        <w:pStyle w:val="P68B1DB1-ListParagraph37"/>
        <w:numPr>
          <w:ilvl w:val="0"/>
          <w:numId w:val="43"/>
        </w:numPr>
        <w:spacing w:after="120" w:line="240" w:lineRule="auto"/>
        <w:ind w:left="709" w:hanging="425"/>
        <w:contextualSpacing w:val="0"/>
        <w:jc w:val="both"/>
        <w:rPr>
          <w:noProof/>
        </w:rPr>
      </w:pPr>
      <w:r>
        <w:rPr>
          <w:noProof/>
        </w:rPr>
        <w:t>Saistītās ieguldījumu politikas galvenās prasības,</w:t>
      </w:r>
      <w:r>
        <w:rPr>
          <w:b/>
          <w:noProof/>
        </w:rPr>
        <w:t xml:space="preserve"> </w:t>
      </w:r>
      <w:r>
        <w:rPr>
          <w:noProof/>
        </w:rPr>
        <w:t>kas ietver:</w:t>
      </w:r>
    </w:p>
    <w:p w14:paraId="13F026A3" w14:textId="64A9190D" w:rsidR="00327FF1" w:rsidRDefault="00E406C7">
      <w:pPr>
        <w:pStyle w:val="P68B1DB1-ListParagraph37"/>
        <w:numPr>
          <w:ilvl w:val="1"/>
          <w:numId w:val="43"/>
        </w:numPr>
        <w:spacing w:after="120" w:line="240" w:lineRule="auto"/>
        <w:ind w:left="1418"/>
        <w:contextualSpacing w:val="0"/>
        <w:jc w:val="both"/>
        <w:rPr>
          <w:noProof/>
        </w:rPr>
      </w:pPr>
      <w:r>
        <w:rPr>
          <w:noProof/>
        </w:rPr>
        <w:t>Finanšu produkta(-u) un atbalsttiesīgo galasaņēmēju apraksts.</w:t>
      </w:r>
    </w:p>
    <w:p w14:paraId="7F06F009" w14:textId="77777777" w:rsidR="00327FF1" w:rsidRDefault="00E406C7">
      <w:pPr>
        <w:pStyle w:val="P68B1DB1-ListParagraph37"/>
        <w:numPr>
          <w:ilvl w:val="1"/>
          <w:numId w:val="43"/>
        </w:numPr>
        <w:spacing w:after="120" w:line="240" w:lineRule="auto"/>
        <w:ind w:left="1418"/>
        <w:contextualSpacing w:val="0"/>
        <w:jc w:val="both"/>
        <w:rPr>
          <w:noProof/>
        </w:rPr>
      </w:pPr>
      <w:r>
        <w:rPr>
          <w:noProof/>
        </w:rPr>
        <w:t>Prasība, ka visiem atbalstītajiem ieguldījumiem jābūt ekonomiski dzīvotspējīgiem</w:t>
      </w:r>
      <w:r>
        <w:rPr>
          <w:b/>
          <w:noProof/>
        </w:rPr>
        <w:t>.</w:t>
      </w:r>
    </w:p>
    <w:p w14:paraId="48338BA5" w14:textId="77777777" w:rsidR="00327FF1" w:rsidRDefault="00E406C7">
      <w:pPr>
        <w:pStyle w:val="ListParagraph"/>
        <w:numPr>
          <w:ilvl w:val="1"/>
          <w:numId w:val="43"/>
        </w:numPr>
        <w:spacing w:after="120" w:line="240" w:lineRule="auto"/>
        <w:ind w:left="1418"/>
        <w:contextualSpacing w:val="0"/>
        <w:jc w:val="both"/>
        <w:rPr>
          <w:rFonts w:ascii="Times New Roman" w:hAnsi="Times New Roman" w:cs="Times New Roman"/>
          <w:noProof/>
        </w:rPr>
      </w:pPr>
      <w:r>
        <w:rPr>
          <w:rFonts w:ascii="Times New Roman" w:hAnsi="Times New Roman" w:cs="Times New Roman"/>
          <w:noProof/>
        </w:rPr>
        <w:t>Prasība ievērot principu “nenodari būtisku kai</w:t>
      </w:r>
      <w:r>
        <w:rPr>
          <w:rFonts w:ascii="Times New Roman" w:hAnsi="Times New Roman" w:cs="Times New Roman"/>
          <w:noProof/>
        </w:rPr>
        <w:t>tējumu” (DNSH), kā noteikts NBK tehniskajos norādījumos (2021/C58/01). Ieguldījumu politika jo īpaši izslēdz no atbilstības šādu darbību un aktīvu sarakstu: I) darbības un aktīvi, kas saistīti ar fosilo kurināmo, tostarp lejupējais izmantojums;</w:t>
      </w:r>
      <w:r>
        <w:rPr>
          <w:rStyle w:val="FootnoteReference"/>
          <w:rFonts w:ascii="Times New Roman" w:hAnsi="Times New Roman" w:cs="Times New Roman"/>
          <w:noProof/>
        </w:rPr>
        <w:footnoteReference w:id="105"/>
      </w:r>
      <w:r>
        <w:rPr>
          <w:rFonts w:ascii="Times New Roman" w:hAnsi="Times New Roman" w:cs="Times New Roman"/>
          <w:noProof/>
        </w:rPr>
        <w:t>ii) darbība</w:t>
      </w:r>
      <w:r>
        <w:rPr>
          <w:rFonts w:ascii="Times New Roman" w:hAnsi="Times New Roman" w:cs="Times New Roman"/>
          <w:noProof/>
        </w:rPr>
        <w:t>s un aktīvi saskaņā ar ES emisijas kvotu tirdzniecības sistēmu (ETS), kuru prognozētās siltumnīcefekta gāzu emisijas nav zemākas par attiecīgajām līmeņatzīmēm;</w:t>
      </w:r>
      <w:r>
        <w:rPr>
          <w:rFonts w:ascii="Times New Roman" w:hAnsi="Times New Roman" w:cs="Times New Roman"/>
          <w:noProof/>
        </w:rPr>
        <w:footnoteReference w:id="106"/>
      </w:r>
      <w:r>
        <w:rPr>
          <w:rFonts w:ascii="Times New Roman" w:hAnsi="Times New Roman" w:cs="Times New Roman"/>
          <w:noProof/>
        </w:rPr>
        <w:t>iii) darbības un aktīvi, kas saistīti ar atkritumu poligoniem, sadedzināšanas iekārtām</w:t>
      </w:r>
      <w:r>
        <w:rPr>
          <w:rStyle w:val="FootnoteReference"/>
          <w:rFonts w:ascii="Times New Roman" w:hAnsi="Times New Roman" w:cs="Times New Roman"/>
          <w:noProof/>
        </w:rPr>
        <w:footnoteReference w:id="107"/>
      </w:r>
      <w:r>
        <w:rPr>
          <w:rFonts w:ascii="Times New Roman" w:hAnsi="Times New Roman" w:cs="Times New Roman"/>
          <w:noProof/>
        </w:rPr>
        <w:t xml:space="preserve"> un mehān</w:t>
      </w:r>
      <w:r>
        <w:rPr>
          <w:rFonts w:ascii="Times New Roman" w:hAnsi="Times New Roman" w:cs="Times New Roman"/>
          <w:noProof/>
        </w:rPr>
        <w:t>iski bioloģiskās apstrādes iekārtām</w:t>
      </w:r>
      <w:r>
        <w:rPr>
          <w:rStyle w:val="FootnoteReference"/>
          <w:rFonts w:ascii="Times New Roman" w:hAnsi="Times New Roman" w:cs="Times New Roman"/>
          <w:noProof/>
        </w:rPr>
        <w:footnoteReference w:id="108"/>
      </w:r>
      <w:r>
        <w:rPr>
          <w:rFonts w:ascii="Times New Roman" w:hAnsi="Times New Roman" w:cs="Times New Roman"/>
          <w:noProof/>
        </w:rPr>
        <w:t xml:space="preserve">. </w:t>
      </w:r>
    </w:p>
    <w:p w14:paraId="7C8114E0" w14:textId="77777777" w:rsidR="00327FF1" w:rsidRDefault="00E406C7">
      <w:pPr>
        <w:pStyle w:val="P68B1DB1-ListParagraph37"/>
        <w:numPr>
          <w:ilvl w:val="1"/>
          <w:numId w:val="43"/>
        </w:numPr>
        <w:spacing w:after="120" w:line="240" w:lineRule="auto"/>
        <w:ind w:left="1418"/>
        <w:jc w:val="both"/>
        <w:rPr>
          <w:noProof/>
        </w:rPr>
      </w:pPr>
      <w:r>
        <w:rPr>
          <w:noProof/>
        </w:rPr>
        <w:t xml:space="preserve">Prasība, ka Mehānisma galasaņēmēji nesaņem atbalstu no citiem Savienības instrumentiem, lai segtu tās pašas izmaksas. </w:t>
      </w:r>
      <w:r>
        <w:rPr>
          <w:noProof/>
          <w:color w:val="000000" w:themeColor="text1"/>
        </w:rPr>
        <w:t>Finansiālais atbalsts, ko sniedz, izmantojot instrumenta aizdevuma komponentu, nesedz tās pašas izm</w:t>
      </w:r>
      <w:r>
        <w:rPr>
          <w:noProof/>
          <w:color w:val="000000" w:themeColor="text1"/>
        </w:rPr>
        <w:t>aksas, ko sedz šā instrumenta dotācijas komponents.</w:t>
      </w:r>
    </w:p>
    <w:p w14:paraId="7F0AD0B4" w14:textId="77777777" w:rsidR="00327FF1" w:rsidRDefault="00327FF1">
      <w:pPr>
        <w:pStyle w:val="ListParagraph"/>
        <w:ind w:left="1418"/>
        <w:rPr>
          <w:rFonts w:ascii="Times New Roman" w:hAnsi="Times New Roman" w:cs="Times New Roman"/>
          <w:noProof/>
        </w:rPr>
      </w:pPr>
    </w:p>
    <w:p w14:paraId="5CF588FE" w14:textId="77777777" w:rsidR="00327FF1" w:rsidRDefault="00E406C7">
      <w:pPr>
        <w:pStyle w:val="P68B1DB1-ListParagraph37"/>
        <w:numPr>
          <w:ilvl w:val="0"/>
          <w:numId w:val="43"/>
        </w:numPr>
        <w:spacing w:after="120" w:line="240" w:lineRule="auto"/>
        <w:ind w:left="709"/>
        <w:contextualSpacing w:val="0"/>
        <w:jc w:val="both"/>
        <w:rPr>
          <w:noProof/>
        </w:rPr>
      </w:pPr>
      <w:r>
        <w:rPr>
          <w:noProof/>
        </w:rPr>
        <w:t xml:space="preserve">Summa, uz kuru attiecas īstenošanas nolīgums, maksu struktūra īstenošanas partnerim un prasība atkārtoti ieguldīt visas atmaksājamās summas saskaņā ar Mehānisma ieguldījumu politiku, ja vien tās netiek </w:t>
      </w:r>
      <w:r>
        <w:rPr>
          <w:noProof/>
        </w:rPr>
        <w:t>izmantotas Atveseļošanas un noturības mehānisma aizdevumu atmaksas apkalpošanai.</w:t>
      </w:r>
    </w:p>
    <w:p w14:paraId="52955F00" w14:textId="77777777" w:rsidR="00327FF1" w:rsidRDefault="00E406C7">
      <w:pPr>
        <w:pStyle w:val="P68B1DB1-ListParagraph37"/>
        <w:numPr>
          <w:ilvl w:val="0"/>
          <w:numId w:val="43"/>
        </w:numPr>
        <w:spacing w:after="120" w:line="240" w:lineRule="auto"/>
        <w:ind w:left="709"/>
        <w:contextualSpacing w:val="0"/>
        <w:jc w:val="both"/>
        <w:rPr>
          <w:noProof/>
        </w:rPr>
      </w:pPr>
      <w:r>
        <w:rPr>
          <w:noProof/>
        </w:rPr>
        <w:t>Uzraudzības, revīzijas un kontroles prasības, tostarp:</w:t>
      </w:r>
    </w:p>
    <w:p w14:paraId="476A5DF6" w14:textId="77777777" w:rsidR="00327FF1" w:rsidRDefault="00E406C7">
      <w:pPr>
        <w:pStyle w:val="P68B1DB1-ListParagraph37"/>
        <w:numPr>
          <w:ilvl w:val="1"/>
          <w:numId w:val="43"/>
        </w:numPr>
        <w:spacing w:after="120" w:line="240" w:lineRule="auto"/>
        <w:contextualSpacing w:val="0"/>
        <w:jc w:val="both"/>
        <w:rPr>
          <w:noProof/>
        </w:rPr>
      </w:pPr>
      <w:r>
        <w:rPr>
          <w:noProof/>
        </w:rPr>
        <w:t>Apraksts par īstenošanas partnera uzraudzības sistēmu ziņošanai par mobilizētajām investīcijām.</w:t>
      </w:r>
    </w:p>
    <w:p w14:paraId="56A393D6" w14:textId="77777777" w:rsidR="00327FF1" w:rsidRDefault="00E406C7">
      <w:pPr>
        <w:pStyle w:val="P68B1DB1-ListParagraph37"/>
        <w:numPr>
          <w:ilvl w:val="1"/>
          <w:numId w:val="43"/>
        </w:numPr>
        <w:spacing w:after="120" w:line="240" w:lineRule="auto"/>
        <w:contextualSpacing w:val="0"/>
        <w:jc w:val="both"/>
        <w:rPr>
          <w:noProof/>
        </w:rPr>
      </w:pPr>
      <w:r>
        <w:rPr>
          <w:noProof/>
        </w:rPr>
        <w:t xml:space="preserve">Apraksts par īstenošanas partnera procedūrām, kas nodrošina krāpšanas, korupcijas un interešu konfliktu novēršanu, atklāšanu un labošanu. </w:t>
      </w:r>
    </w:p>
    <w:p w14:paraId="5C6B610A" w14:textId="77777777" w:rsidR="00327FF1" w:rsidRDefault="00E406C7">
      <w:pPr>
        <w:pStyle w:val="P68B1DB1-ListParagraph37"/>
        <w:numPr>
          <w:ilvl w:val="1"/>
          <w:numId w:val="43"/>
        </w:numPr>
        <w:spacing w:after="120" w:line="240" w:lineRule="auto"/>
        <w:contextualSpacing w:val="0"/>
        <w:jc w:val="both"/>
        <w:rPr>
          <w:noProof/>
        </w:rPr>
      </w:pPr>
      <w:r>
        <w:rPr>
          <w:noProof/>
        </w:rPr>
        <w:t>Pienākums pārbaudīt katras darbības attiecināmību saskaņā ar Īstenošanas nolīgumā noteiktajām prasībām pirms apņemšan</w:t>
      </w:r>
      <w:r>
        <w:rPr>
          <w:noProof/>
        </w:rPr>
        <w:t>ās finansēt kādu darbību.</w:t>
      </w:r>
    </w:p>
    <w:p w14:paraId="1E76B6D8" w14:textId="4653F2A3" w:rsidR="00327FF1" w:rsidRDefault="00E406C7">
      <w:pPr>
        <w:pStyle w:val="P68B1DB1-ListParagraph37"/>
        <w:numPr>
          <w:ilvl w:val="1"/>
          <w:numId w:val="43"/>
        </w:numPr>
        <w:spacing w:after="120" w:line="240" w:lineRule="auto"/>
        <w:jc w:val="both"/>
        <w:rPr>
          <w:noProof/>
        </w:rPr>
      </w:pPr>
      <w:r>
        <w:rPr>
          <w:noProof/>
        </w:rPr>
        <w:t>Pienākums veikt uz risku balstītas ex post revīzijas saskaņā ar Gestore dei Servizi Energetici (GSE) un Cassa Depositi e Prestiti (CDP) revīzijas plānu. Šajās revīzijās pārbauda i) kontroles sistēmu efektivitāti, tostarp krāpšanas</w:t>
      </w:r>
      <w:r>
        <w:rPr>
          <w:noProof/>
        </w:rPr>
        <w:t>, korupcijas un interešu konflikta atklāšanu; II) principa “nenodarīt būtisku kaitējumu” ievērošana, valsts atbalsta noteikumi, klimata mērķrādītāju prasības; un iii) ka ir ievērota prasība, ka Mehānisma galasaņēmēji nav saņēmuši atbalstu no citiem Savienī</w:t>
      </w:r>
      <w:r>
        <w:rPr>
          <w:noProof/>
        </w:rPr>
        <w:t xml:space="preserve">bas instrumentiem, lai segtu tās pašas izmaksas. Revīzijās pārbauda arī darījumu likumību un to, vai tiek ievēroti piemērojamā īstenošanas nolīguma nosacījumi. </w:t>
      </w:r>
    </w:p>
    <w:p w14:paraId="65601374" w14:textId="77777777" w:rsidR="00327FF1" w:rsidRDefault="00327FF1">
      <w:pPr>
        <w:pStyle w:val="ListParagraph"/>
        <w:ind w:left="1440"/>
        <w:rPr>
          <w:rFonts w:ascii="Times New Roman" w:hAnsi="Times New Roman" w:cs="Times New Roman"/>
          <w:noProof/>
        </w:rPr>
        <w:sectPr w:rsidR="00327FF1" w:rsidSect="00854F34">
          <w:headerReference w:type="even" r:id="rId324"/>
          <w:headerReference w:type="default" r:id="rId325"/>
          <w:footerReference w:type="even" r:id="rId326"/>
          <w:footerReference w:type="default" r:id="rId327"/>
          <w:headerReference w:type="first" r:id="rId328"/>
          <w:footerReference w:type="first" r:id="rId329"/>
          <w:pgSz w:w="11906" w:h="16838" w:code="12"/>
          <w:pgMar w:top="1440" w:right="1440" w:bottom="1440" w:left="1440" w:header="567" w:footer="567" w:gutter="0"/>
          <w:cols w:space="720"/>
          <w:docGrid w:linePitch="360"/>
        </w:sectPr>
      </w:pPr>
    </w:p>
    <w:p w14:paraId="4B5139C2" w14:textId="77777777" w:rsidR="00327FF1" w:rsidRDefault="00327FF1">
      <w:pPr>
        <w:pStyle w:val="ListParagraph"/>
        <w:ind w:left="1440"/>
        <w:rPr>
          <w:rFonts w:ascii="Times New Roman" w:hAnsi="Times New Roman" w:cs="Times New Roman"/>
          <w:noProof/>
        </w:rPr>
      </w:pPr>
    </w:p>
    <w:p w14:paraId="568F0B8F" w14:textId="4265B8D9" w:rsidR="00327FF1" w:rsidRDefault="00E406C7">
      <w:pPr>
        <w:pStyle w:val="P68B1DB1-Heading368"/>
        <w:ind w:left="850" w:hanging="850"/>
        <w:rPr>
          <w:bCs/>
          <w:noProof/>
        </w:rPr>
      </w:pPr>
      <w:r>
        <w:rPr>
          <w:noProof/>
        </w:rPr>
        <w:t xml:space="preserve">JAUTĀJUMS. </w:t>
      </w:r>
      <w:r>
        <w:rPr>
          <w:noProof/>
        </w:rPr>
        <w:tab/>
        <w:t>Atskaites punkti, mērķrādīt</w:t>
      </w:r>
      <w:r>
        <w:rPr>
          <w:noProof/>
        </w:rPr>
        <w:t xml:space="preserve">āji, citi rādītāji un aizdevuma uzraudzības un īstenošanas grafiks </w:t>
      </w:r>
    </w:p>
    <w:tbl>
      <w:tblPr>
        <w:tblpPr w:leftFromText="141" w:rightFromText="141" w:vertAnchor="text" w:tblpX="-766" w:tblpY="1"/>
        <w:tblOverlap w:val="never"/>
        <w:tblW w:w="55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202"/>
        <w:gridCol w:w="1579"/>
        <w:gridCol w:w="1149"/>
        <w:gridCol w:w="1435"/>
        <w:gridCol w:w="1723"/>
        <w:gridCol w:w="1293"/>
        <w:gridCol w:w="1005"/>
        <w:gridCol w:w="1293"/>
        <w:gridCol w:w="862"/>
        <w:gridCol w:w="717"/>
        <w:gridCol w:w="3303"/>
      </w:tblGrid>
      <w:tr w:rsidR="00327FF1" w14:paraId="51783F9A" w14:textId="77777777">
        <w:trPr>
          <w:trHeight w:val="765"/>
          <w:tblHeader/>
        </w:trPr>
        <w:tc>
          <w:tcPr>
            <w:tcW w:w="1187" w:type="dxa"/>
            <w:vMerge w:val="restart"/>
            <w:shd w:val="clear" w:color="auto" w:fill="BDD7EE"/>
            <w:vAlign w:val="center"/>
            <w:hideMark/>
          </w:tcPr>
          <w:p w14:paraId="48BB45E4" w14:textId="77777777" w:rsidR="00327FF1" w:rsidRDefault="00E406C7">
            <w:pPr>
              <w:pStyle w:val="P68B1DB1-Normal10"/>
              <w:spacing w:after="120"/>
              <w:jc w:val="center"/>
              <w:rPr>
                <w:bCs/>
                <w:noProof/>
                <w:szCs w:val="20"/>
              </w:rPr>
            </w:pPr>
            <w:r>
              <w:rPr>
                <w:noProof/>
              </w:rPr>
              <w:t>Kārtas numurs</w:t>
            </w:r>
          </w:p>
        </w:tc>
        <w:tc>
          <w:tcPr>
            <w:tcW w:w="1559" w:type="dxa"/>
            <w:vMerge w:val="restart"/>
            <w:shd w:val="clear" w:color="auto" w:fill="BDD7EE"/>
            <w:vAlign w:val="center"/>
            <w:hideMark/>
          </w:tcPr>
          <w:p w14:paraId="5375069B" w14:textId="77777777" w:rsidR="00327FF1" w:rsidRDefault="00E406C7">
            <w:pPr>
              <w:pStyle w:val="P68B1DB1-Normal10"/>
              <w:spacing w:after="120"/>
              <w:jc w:val="center"/>
              <w:rPr>
                <w:bCs/>
                <w:noProof/>
                <w:szCs w:val="20"/>
              </w:rPr>
            </w:pPr>
            <w:r>
              <w:rPr>
                <w:noProof/>
              </w:rPr>
              <w:t>Saistītais pasākums (reforma vai ieguldījums)</w:t>
            </w:r>
          </w:p>
        </w:tc>
        <w:tc>
          <w:tcPr>
            <w:tcW w:w="1134" w:type="dxa"/>
            <w:vMerge w:val="restart"/>
            <w:shd w:val="clear" w:color="auto" w:fill="BDD7EE"/>
            <w:vAlign w:val="center"/>
            <w:hideMark/>
          </w:tcPr>
          <w:p w14:paraId="4B8B4CC9" w14:textId="77777777" w:rsidR="00327FF1" w:rsidRDefault="00E406C7">
            <w:pPr>
              <w:pStyle w:val="P68B1DB1-Normal10"/>
              <w:spacing w:after="120"/>
              <w:jc w:val="center"/>
              <w:rPr>
                <w:bCs/>
                <w:noProof/>
                <w:szCs w:val="20"/>
              </w:rPr>
            </w:pPr>
            <w:r>
              <w:rPr>
                <w:noProof/>
              </w:rPr>
              <w:t>Atskaites punkts</w:t>
            </w:r>
          </w:p>
          <w:p w14:paraId="3A0DAB1D" w14:textId="77777777" w:rsidR="00327FF1" w:rsidRDefault="00E406C7">
            <w:pPr>
              <w:pStyle w:val="P68B1DB1-Normal10"/>
              <w:spacing w:after="120"/>
              <w:jc w:val="center"/>
              <w:rPr>
                <w:bCs/>
                <w:noProof/>
                <w:szCs w:val="20"/>
              </w:rPr>
            </w:pPr>
            <w:r>
              <w:rPr>
                <w:noProof/>
              </w:rPr>
              <w:t>/Mērķrādītājs</w:t>
            </w:r>
          </w:p>
        </w:tc>
        <w:tc>
          <w:tcPr>
            <w:tcW w:w="1417" w:type="dxa"/>
            <w:vMerge w:val="restart"/>
            <w:shd w:val="clear" w:color="auto" w:fill="BDD7EE"/>
            <w:vAlign w:val="center"/>
            <w:hideMark/>
          </w:tcPr>
          <w:p w14:paraId="396A472F" w14:textId="77777777" w:rsidR="00327FF1" w:rsidRDefault="00E406C7">
            <w:pPr>
              <w:pStyle w:val="P68B1DB1-Normal10"/>
              <w:spacing w:after="120"/>
              <w:jc w:val="center"/>
              <w:rPr>
                <w:bCs/>
                <w:noProof/>
                <w:szCs w:val="20"/>
              </w:rPr>
            </w:pPr>
            <w:r>
              <w:rPr>
                <w:noProof/>
              </w:rPr>
              <w:t>Nosaukums</w:t>
            </w:r>
          </w:p>
        </w:tc>
        <w:tc>
          <w:tcPr>
            <w:tcW w:w="1701" w:type="dxa"/>
            <w:vMerge w:val="restart"/>
            <w:shd w:val="clear" w:color="auto" w:fill="BDD7EE"/>
            <w:vAlign w:val="center"/>
            <w:hideMark/>
          </w:tcPr>
          <w:p w14:paraId="3D39B323" w14:textId="77777777" w:rsidR="00327FF1" w:rsidRDefault="00E406C7">
            <w:pPr>
              <w:spacing w:after="120"/>
              <w:jc w:val="center"/>
              <w:rPr>
                <w:rFonts w:ascii="Arial Narrow" w:hAnsi="Arial Narrow"/>
                <w:b/>
                <w:bCs/>
                <w:noProof/>
                <w:sz w:val="20"/>
                <w:szCs w:val="20"/>
              </w:rPr>
            </w:pPr>
            <w:r>
              <w:rPr>
                <w:rFonts w:ascii="Arial Narrow" w:hAnsi="Arial Narrow"/>
                <w:b/>
                <w:noProof/>
                <w:sz w:val="20"/>
              </w:rPr>
              <w:t>Kvalitātes rādītāji</w:t>
            </w:r>
            <w:r>
              <w:rPr>
                <w:noProof/>
              </w:rPr>
              <w:br/>
            </w:r>
            <w:r>
              <w:rPr>
                <w:rFonts w:ascii="Arial Narrow" w:hAnsi="Arial Narrow"/>
                <w:b/>
                <w:noProof/>
                <w:sz w:val="20"/>
              </w:rPr>
              <w:t>(attiecībā uz starpposma mērķiem)</w:t>
            </w:r>
          </w:p>
        </w:tc>
        <w:tc>
          <w:tcPr>
            <w:tcW w:w="3544" w:type="dxa"/>
            <w:gridSpan w:val="3"/>
            <w:shd w:val="clear" w:color="auto" w:fill="BDD7EE"/>
            <w:vAlign w:val="center"/>
            <w:hideMark/>
          </w:tcPr>
          <w:p w14:paraId="699A101E" w14:textId="77777777" w:rsidR="00327FF1" w:rsidRDefault="00E406C7">
            <w:pPr>
              <w:spacing w:after="120"/>
              <w:jc w:val="center"/>
              <w:rPr>
                <w:rFonts w:ascii="Arial Narrow" w:hAnsi="Arial Narrow"/>
                <w:b/>
                <w:bCs/>
                <w:noProof/>
                <w:sz w:val="20"/>
                <w:szCs w:val="20"/>
              </w:rPr>
            </w:pPr>
            <w:r>
              <w:rPr>
                <w:rFonts w:ascii="Arial Narrow" w:hAnsi="Arial Narrow"/>
                <w:b/>
                <w:noProof/>
                <w:sz w:val="20"/>
              </w:rPr>
              <w:t>Kvantitatīvie rādītāji</w:t>
            </w:r>
            <w:r>
              <w:rPr>
                <w:noProof/>
              </w:rPr>
              <w:br/>
            </w:r>
            <w:r>
              <w:rPr>
                <w:rFonts w:ascii="Arial Narrow" w:hAnsi="Arial Narrow"/>
                <w:b/>
                <w:noProof/>
                <w:sz w:val="20"/>
              </w:rPr>
              <w:t>(mērķiem)</w:t>
            </w:r>
          </w:p>
        </w:tc>
        <w:tc>
          <w:tcPr>
            <w:tcW w:w="1559" w:type="dxa"/>
            <w:gridSpan w:val="2"/>
            <w:shd w:val="clear" w:color="auto" w:fill="BDD7EE"/>
            <w:vAlign w:val="center"/>
            <w:hideMark/>
          </w:tcPr>
          <w:p w14:paraId="566936E6" w14:textId="77777777" w:rsidR="00327FF1" w:rsidRDefault="00E406C7">
            <w:pPr>
              <w:pStyle w:val="P68B1DB1-Normal10"/>
              <w:spacing w:after="120"/>
              <w:jc w:val="center"/>
              <w:rPr>
                <w:bCs/>
                <w:noProof/>
                <w:szCs w:val="20"/>
              </w:rPr>
            </w:pPr>
            <w:r>
              <w:rPr>
                <w:noProof/>
              </w:rPr>
              <w:t>Orientējošs pabeigšanas termiņš</w:t>
            </w:r>
          </w:p>
        </w:tc>
        <w:tc>
          <w:tcPr>
            <w:tcW w:w="3261" w:type="dxa"/>
            <w:vMerge w:val="restart"/>
            <w:shd w:val="clear" w:color="auto" w:fill="BDD7EE"/>
            <w:vAlign w:val="center"/>
            <w:hideMark/>
          </w:tcPr>
          <w:p w14:paraId="1D6BF3E4" w14:textId="77777777" w:rsidR="00327FF1" w:rsidRDefault="00E406C7">
            <w:pPr>
              <w:pStyle w:val="P68B1DB1-Normal10"/>
              <w:spacing w:after="120"/>
              <w:jc w:val="center"/>
              <w:rPr>
                <w:bCs/>
                <w:noProof/>
                <w:szCs w:val="20"/>
              </w:rPr>
            </w:pPr>
            <w:r>
              <w:rPr>
                <w:noProof/>
              </w:rPr>
              <w:t>Apraksts par katru atskaites punktu un mērķrādītāju</w:t>
            </w:r>
          </w:p>
        </w:tc>
      </w:tr>
      <w:tr w:rsidR="00327FF1" w14:paraId="07C529AE" w14:textId="77777777">
        <w:trPr>
          <w:trHeight w:val="691"/>
          <w:tblHeader/>
        </w:trPr>
        <w:tc>
          <w:tcPr>
            <w:tcW w:w="1187" w:type="dxa"/>
            <w:vMerge/>
            <w:vAlign w:val="center"/>
            <w:hideMark/>
          </w:tcPr>
          <w:p w14:paraId="0D2CE59E" w14:textId="77777777" w:rsidR="00327FF1" w:rsidRDefault="00327FF1">
            <w:pPr>
              <w:spacing w:after="120"/>
              <w:jc w:val="center"/>
              <w:rPr>
                <w:rFonts w:ascii="Arial Narrow" w:hAnsi="Arial Narrow"/>
                <w:b/>
                <w:bCs/>
                <w:noProof/>
                <w:sz w:val="20"/>
                <w:szCs w:val="20"/>
              </w:rPr>
            </w:pPr>
          </w:p>
        </w:tc>
        <w:tc>
          <w:tcPr>
            <w:tcW w:w="1559" w:type="dxa"/>
            <w:vMerge/>
            <w:vAlign w:val="center"/>
            <w:hideMark/>
          </w:tcPr>
          <w:p w14:paraId="0E719CBE" w14:textId="77777777" w:rsidR="00327FF1" w:rsidRDefault="00327FF1">
            <w:pPr>
              <w:spacing w:after="120"/>
              <w:jc w:val="center"/>
              <w:rPr>
                <w:rFonts w:ascii="Arial Narrow" w:hAnsi="Arial Narrow"/>
                <w:b/>
                <w:bCs/>
                <w:noProof/>
                <w:sz w:val="20"/>
                <w:szCs w:val="20"/>
              </w:rPr>
            </w:pPr>
          </w:p>
        </w:tc>
        <w:tc>
          <w:tcPr>
            <w:tcW w:w="1134" w:type="dxa"/>
            <w:vMerge/>
            <w:vAlign w:val="center"/>
            <w:hideMark/>
          </w:tcPr>
          <w:p w14:paraId="3796DD4C" w14:textId="77777777" w:rsidR="00327FF1" w:rsidRDefault="00327FF1">
            <w:pPr>
              <w:spacing w:after="120"/>
              <w:jc w:val="center"/>
              <w:rPr>
                <w:rFonts w:ascii="Arial Narrow" w:hAnsi="Arial Narrow"/>
                <w:b/>
                <w:bCs/>
                <w:noProof/>
                <w:sz w:val="20"/>
                <w:szCs w:val="20"/>
              </w:rPr>
            </w:pPr>
          </w:p>
        </w:tc>
        <w:tc>
          <w:tcPr>
            <w:tcW w:w="1417" w:type="dxa"/>
            <w:vMerge/>
            <w:vAlign w:val="center"/>
            <w:hideMark/>
          </w:tcPr>
          <w:p w14:paraId="31B46FE5" w14:textId="77777777" w:rsidR="00327FF1" w:rsidRDefault="00327FF1">
            <w:pPr>
              <w:spacing w:after="120"/>
              <w:jc w:val="center"/>
              <w:rPr>
                <w:rFonts w:ascii="Arial Narrow" w:hAnsi="Arial Narrow"/>
                <w:b/>
                <w:bCs/>
                <w:noProof/>
                <w:sz w:val="20"/>
                <w:szCs w:val="20"/>
              </w:rPr>
            </w:pPr>
          </w:p>
        </w:tc>
        <w:tc>
          <w:tcPr>
            <w:tcW w:w="1701" w:type="dxa"/>
            <w:vMerge/>
            <w:vAlign w:val="center"/>
            <w:hideMark/>
          </w:tcPr>
          <w:p w14:paraId="72358260" w14:textId="77777777" w:rsidR="00327FF1" w:rsidRDefault="00327FF1">
            <w:pPr>
              <w:spacing w:after="120"/>
              <w:jc w:val="center"/>
              <w:rPr>
                <w:rFonts w:ascii="Arial Narrow" w:hAnsi="Arial Narrow"/>
                <w:b/>
                <w:bCs/>
                <w:noProof/>
                <w:sz w:val="20"/>
                <w:szCs w:val="20"/>
              </w:rPr>
            </w:pPr>
          </w:p>
        </w:tc>
        <w:tc>
          <w:tcPr>
            <w:tcW w:w="1276" w:type="dxa"/>
            <w:shd w:val="clear" w:color="auto" w:fill="BDD7EE"/>
            <w:vAlign w:val="center"/>
            <w:hideMark/>
          </w:tcPr>
          <w:p w14:paraId="09D78315" w14:textId="77777777" w:rsidR="00327FF1" w:rsidRDefault="00E406C7">
            <w:pPr>
              <w:pStyle w:val="P68B1DB1-Normal10"/>
              <w:spacing w:after="120"/>
              <w:jc w:val="center"/>
              <w:rPr>
                <w:bCs/>
                <w:noProof/>
                <w:szCs w:val="20"/>
              </w:rPr>
            </w:pPr>
            <w:r>
              <w:rPr>
                <w:noProof/>
              </w:rPr>
              <w:t>Mēra vienība</w:t>
            </w:r>
          </w:p>
        </w:tc>
        <w:tc>
          <w:tcPr>
            <w:tcW w:w="992" w:type="dxa"/>
            <w:shd w:val="clear" w:color="auto" w:fill="BDD7EE"/>
            <w:vAlign w:val="center"/>
            <w:hideMark/>
          </w:tcPr>
          <w:p w14:paraId="2BCC66D1" w14:textId="77777777" w:rsidR="00327FF1" w:rsidRDefault="00E406C7">
            <w:pPr>
              <w:pStyle w:val="P68B1DB1-Normal10"/>
              <w:spacing w:after="120"/>
              <w:jc w:val="center"/>
              <w:rPr>
                <w:bCs/>
                <w:noProof/>
                <w:szCs w:val="20"/>
              </w:rPr>
            </w:pPr>
            <w:r>
              <w:rPr>
                <w:noProof/>
              </w:rPr>
              <w:t>Pamatscenārijs</w:t>
            </w:r>
          </w:p>
        </w:tc>
        <w:tc>
          <w:tcPr>
            <w:tcW w:w="1276" w:type="dxa"/>
            <w:shd w:val="clear" w:color="auto" w:fill="BDD7EE"/>
            <w:vAlign w:val="center"/>
            <w:hideMark/>
          </w:tcPr>
          <w:p w14:paraId="5B911D84" w14:textId="77777777" w:rsidR="00327FF1" w:rsidRDefault="00E406C7">
            <w:pPr>
              <w:pStyle w:val="P68B1DB1-Normal10"/>
              <w:spacing w:after="120"/>
              <w:jc w:val="center"/>
              <w:rPr>
                <w:bCs/>
                <w:noProof/>
                <w:szCs w:val="20"/>
              </w:rPr>
            </w:pPr>
            <w:r>
              <w:rPr>
                <w:noProof/>
              </w:rPr>
              <w:t>Mērķis</w:t>
            </w:r>
          </w:p>
        </w:tc>
        <w:tc>
          <w:tcPr>
            <w:tcW w:w="851" w:type="dxa"/>
            <w:shd w:val="clear" w:color="auto" w:fill="BDD7EE"/>
            <w:vAlign w:val="center"/>
            <w:hideMark/>
          </w:tcPr>
          <w:p w14:paraId="692636A1" w14:textId="77777777" w:rsidR="00327FF1" w:rsidRDefault="00E406C7">
            <w:pPr>
              <w:pStyle w:val="P68B1DB1-Normal10"/>
              <w:spacing w:after="120"/>
              <w:jc w:val="center"/>
              <w:rPr>
                <w:bCs/>
                <w:noProof/>
                <w:szCs w:val="20"/>
              </w:rPr>
            </w:pPr>
            <w:r>
              <w:rPr>
                <w:noProof/>
              </w:rPr>
              <w:t>Ceturkšņa laikā</w:t>
            </w:r>
          </w:p>
        </w:tc>
        <w:tc>
          <w:tcPr>
            <w:tcW w:w="708" w:type="dxa"/>
            <w:shd w:val="clear" w:color="auto" w:fill="BDD7EE"/>
            <w:vAlign w:val="center"/>
            <w:hideMark/>
          </w:tcPr>
          <w:p w14:paraId="7A0AAAFB" w14:textId="77777777" w:rsidR="00327FF1" w:rsidRDefault="00E406C7">
            <w:pPr>
              <w:pStyle w:val="P68B1DB1-Normal10"/>
              <w:spacing w:after="120"/>
              <w:jc w:val="center"/>
              <w:rPr>
                <w:bCs/>
                <w:noProof/>
                <w:szCs w:val="20"/>
              </w:rPr>
            </w:pPr>
            <w:r>
              <w:rPr>
                <w:noProof/>
              </w:rPr>
              <w:t>Gadu</w:t>
            </w:r>
          </w:p>
        </w:tc>
        <w:tc>
          <w:tcPr>
            <w:tcW w:w="3261" w:type="dxa"/>
            <w:vMerge/>
            <w:vAlign w:val="center"/>
            <w:hideMark/>
          </w:tcPr>
          <w:p w14:paraId="064E5FFD" w14:textId="77777777" w:rsidR="00327FF1" w:rsidRDefault="00327FF1">
            <w:pPr>
              <w:spacing w:after="120"/>
              <w:jc w:val="center"/>
              <w:rPr>
                <w:rFonts w:ascii="Arial Narrow" w:hAnsi="Arial Narrow"/>
                <w:b/>
                <w:bCs/>
                <w:noProof/>
                <w:sz w:val="20"/>
                <w:szCs w:val="20"/>
              </w:rPr>
            </w:pPr>
          </w:p>
        </w:tc>
      </w:tr>
      <w:tr w:rsidR="00327FF1" w14:paraId="455B7767" w14:textId="77777777">
        <w:trPr>
          <w:trHeight w:val="309"/>
        </w:trPr>
        <w:tc>
          <w:tcPr>
            <w:tcW w:w="1187" w:type="dxa"/>
            <w:shd w:val="clear" w:color="auto" w:fill="C6EFCE"/>
            <w:noWrap/>
            <w:vAlign w:val="center"/>
          </w:tcPr>
          <w:p w14:paraId="31DCB79A" w14:textId="77777777" w:rsidR="00327FF1" w:rsidRDefault="00E406C7">
            <w:pPr>
              <w:pStyle w:val="P68B1DB1-Normal11"/>
              <w:spacing w:after="120"/>
              <w:jc w:val="center"/>
              <w:rPr>
                <w:noProof/>
                <w:szCs w:val="20"/>
              </w:rPr>
            </w:pPr>
            <w:r>
              <w:rPr>
                <w:noProof/>
              </w:rPr>
              <w:t>M7–35</w:t>
            </w:r>
          </w:p>
        </w:tc>
        <w:tc>
          <w:tcPr>
            <w:tcW w:w="1559" w:type="dxa"/>
            <w:shd w:val="clear" w:color="auto" w:fill="C6EFCE"/>
            <w:noWrap/>
            <w:vAlign w:val="center"/>
          </w:tcPr>
          <w:p w14:paraId="7B7C5C0B" w14:textId="77777777" w:rsidR="00327FF1" w:rsidRDefault="00E406C7">
            <w:pPr>
              <w:pStyle w:val="P68B1DB1-Normal11"/>
              <w:spacing w:after="120"/>
              <w:jc w:val="center"/>
              <w:rPr>
                <w:noProof/>
                <w:szCs w:val="20"/>
              </w:rPr>
            </w:pPr>
            <w:r>
              <w:rPr>
                <w:noProof/>
              </w:rPr>
              <w:t>Investīcija Nr. 13: Adrijas jūras līnijas 1. posms (Sulmonas</w:t>
            </w:r>
            <w:r>
              <w:rPr>
                <w:noProof/>
              </w:rPr>
              <w:t xml:space="preserve"> kompresoru stacija un Sestino-Minerbio gāzes cauruļvads)</w:t>
            </w:r>
          </w:p>
        </w:tc>
        <w:tc>
          <w:tcPr>
            <w:tcW w:w="1134" w:type="dxa"/>
            <w:shd w:val="clear" w:color="auto" w:fill="C6EFCE"/>
            <w:noWrap/>
            <w:vAlign w:val="center"/>
          </w:tcPr>
          <w:p w14:paraId="6CE40EAD" w14:textId="77777777" w:rsidR="00327FF1" w:rsidRDefault="00E406C7">
            <w:pPr>
              <w:pStyle w:val="P68B1DB1-Normal11"/>
              <w:spacing w:after="120"/>
              <w:jc w:val="center"/>
              <w:rPr>
                <w:noProof/>
                <w:szCs w:val="20"/>
              </w:rPr>
            </w:pPr>
            <w:r>
              <w:rPr>
                <w:noProof/>
              </w:rPr>
              <w:t>Atskaites punkts</w:t>
            </w:r>
          </w:p>
        </w:tc>
        <w:tc>
          <w:tcPr>
            <w:tcW w:w="1417" w:type="dxa"/>
            <w:shd w:val="clear" w:color="auto" w:fill="C6EFCE"/>
            <w:noWrap/>
            <w:vAlign w:val="center"/>
          </w:tcPr>
          <w:p w14:paraId="0413E648" w14:textId="77777777" w:rsidR="00327FF1" w:rsidRDefault="00E406C7">
            <w:pPr>
              <w:pStyle w:val="P68B1DB1-Normal11"/>
              <w:spacing w:after="120"/>
              <w:jc w:val="center"/>
              <w:rPr>
                <w:noProof/>
                <w:szCs w:val="20"/>
              </w:rPr>
            </w:pPr>
            <w:r>
              <w:rPr>
                <w:noProof/>
              </w:rPr>
              <w:t>Attiecīgo ietekmes uz vidi novērtējumu pieņemšana un atjaunināšana (VIncA)</w:t>
            </w:r>
          </w:p>
        </w:tc>
        <w:tc>
          <w:tcPr>
            <w:tcW w:w="1701" w:type="dxa"/>
            <w:shd w:val="clear" w:color="auto" w:fill="C6EFCE"/>
            <w:noWrap/>
            <w:vAlign w:val="center"/>
          </w:tcPr>
          <w:p w14:paraId="0A760D22" w14:textId="77777777" w:rsidR="00327FF1" w:rsidRDefault="00E406C7">
            <w:pPr>
              <w:pStyle w:val="P68B1DB1-Normal11"/>
              <w:spacing w:after="120"/>
              <w:jc w:val="center"/>
              <w:rPr>
                <w:noProof/>
                <w:szCs w:val="20"/>
              </w:rPr>
            </w:pPr>
            <w:r>
              <w:rPr>
                <w:noProof/>
              </w:rPr>
              <w:t>Apzinātās SSCO un VincA attiecīgi pārskatītas un pieņemtas</w:t>
            </w:r>
          </w:p>
        </w:tc>
        <w:tc>
          <w:tcPr>
            <w:tcW w:w="1276" w:type="dxa"/>
            <w:shd w:val="clear" w:color="auto" w:fill="C6EFCE"/>
            <w:noWrap/>
            <w:vAlign w:val="center"/>
          </w:tcPr>
          <w:p w14:paraId="6DE294EF" w14:textId="77777777" w:rsidR="00327FF1" w:rsidRDefault="00327FF1">
            <w:pPr>
              <w:spacing w:after="120"/>
              <w:jc w:val="center"/>
              <w:rPr>
                <w:rFonts w:ascii="Arial Narrow" w:hAnsi="Arial Narrow"/>
                <w:noProof/>
                <w:color w:val="006100"/>
                <w:sz w:val="20"/>
                <w:szCs w:val="20"/>
              </w:rPr>
            </w:pPr>
          </w:p>
        </w:tc>
        <w:tc>
          <w:tcPr>
            <w:tcW w:w="992" w:type="dxa"/>
            <w:shd w:val="clear" w:color="auto" w:fill="C6EFCE"/>
            <w:noWrap/>
            <w:vAlign w:val="center"/>
          </w:tcPr>
          <w:p w14:paraId="28788EE2" w14:textId="77777777" w:rsidR="00327FF1" w:rsidRDefault="00327FF1">
            <w:pPr>
              <w:spacing w:after="120"/>
              <w:jc w:val="center"/>
              <w:rPr>
                <w:rFonts w:ascii="Arial Narrow" w:hAnsi="Arial Narrow"/>
                <w:noProof/>
                <w:color w:val="006100"/>
                <w:sz w:val="20"/>
                <w:szCs w:val="20"/>
              </w:rPr>
            </w:pPr>
          </w:p>
        </w:tc>
        <w:tc>
          <w:tcPr>
            <w:tcW w:w="1276" w:type="dxa"/>
            <w:shd w:val="clear" w:color="auto" w:fill="C6EFCE"/>
            <w:noWrap/>
            <w:vAlign w:val="center"/>
          </w:tcPr>
          <w:p w14:paraId="340E49E5" w14:textId="77777777" w:rsidR="00327FF1" w:rsidRDefault="00327FF1">
            <w:pPr>
              <w:spacing w:after="120"/>
              <w:jc w:val="center"/>
              <w:rPr>
                <w:rFonts w:ascii="Arial Narrow" w:hAnsi="Arial Narrow"/>
                <w:noProof/>
                <w:color w:val="006100"/>
                <w:sz w:val="20"/>
                <w:szCs w:val="20"/>
              </w:rPr>
            </w:pPr>
          </w:p>
        </w:tc>
        <w:tc>
          <w:tcPr>
            <w:tcW w:w="851" w:type="dxa"/>
            <w:shd w:val="clear" w:color="auto" w:fill="C6EFCE"/>
            <w:noWrap/>
            <w:vAlign w:val="center"/>
          </w:tcPr>
          <w:p w14:paraId="2335AF35" w14:textId="77777777" w:rsidR="00327FF1" w:rsidRDefault="00E406C7">
            <w:pPr>
              <w:pStyle w:val="P68B1DB1-Normal11"/>
              <w:spacing w:after="120"/>
              <w:jc w:val="center"/>
              <w:rPr>
                <w:noProof/>
                <w:szCs w:val="20"/>
              </w:rPr>
            </w:pPr>
            <w:r>
              <w:rPr>
                <w:noProof/>
              </w:rPr>
              <w:t>Q1</w:t>
            </w:r>
          </w:p>
        </w:tc>
        <w:tc>
          <w:tcPr>
            <w:tcW w:w="708" w:type="dxa"/>
            <w:shd w:val="clear" w:color="auto" w:fill="C6EFCE"/>
            <w:noWrap/>
            <w:vAlign w:val="center"/>
          </w:tcPr>
          <w:p w14:paraId="5D8F5600" w14:textId="77777777" w:rsidR="00327FF1" w:rsidRDefault="00E406C7">
            <w:pPr>
              <w:pStyle w:val="P68B1DB1-Normal11"/>
              <w:spacing w:after="120"/>
              <w:jc w:val="center"/>
              <w:rPr>
                <w:noProof/>
                <w:szCs w:val="20"/>
              </w:rPr>
            </w:pPr>
            <w:r>
              <w:rPr>
                <w:noProof/>
              </w:rPr>
              <w:t>2024</w:t>
            </w:r>
          </w:p>
        </w:tc>
        <w:tc>
          <w:tcPr>
            <w:tcW w:w="3261" w:type="dxa"/>
            <w:shd w:val="clear" w:color="auto" w:fill="C6EFCE"/>
            <w:noWrap/>
            <w:vAlign w:val="center"/>
          </w:tcPr>
          <w:p w14:paraId="5EE31E5B" w14:textId="77777777" w:rsidR="00327FF1" w:rsidRDefault="00E406C7">
            <w:pPr>
              <w:pStyle w:val="P68B1DB1-Normal11"/>
              <w:spacing w:after="120"/>
              <w:rPr>
                <w:noProof/>
                <w:szCs w:val="20"/>
              </w:rPr>
            </w:pPr>
            <w:bookmarkStart w:id="30" w:name="_Hlk147330404"/>
            <w:r>
              <w:rPr>
                <w:noProof/>
              </w:rPr>
              <w:t>Itālijas iestādes:</w:t>
            </w:r>
          </w:p>
          <w:p w14:paraId="4A107987" w14:textId="6D4E3B5A" w:rsidR="00327FF1" w:rsidRDefault="00E406C7">
            <w:pPr>
              <w:pStyle w:val="P68B1DB1-ListParagraph15"/>
              <w:numPr>
                <w:ilvl w:val="0"/>
                <w:numId w:val="39"/>
              </w:numPr>
              <w:spacing w:after="120" w:line="240" w:lineRule="auto"/>
              <w:rPr>
                <w:noProof/>
                <w:szCs w:val="20"/>
              </w:rPr>
            </w:pPr>
            <w:r>
              <w:rPr>
                <w:noProof/>
              </w:rPr>
              <w:t xml:space="preserve">Saskaņā ar Vides </w:t>
            </w:r>
            <w:r>
              <w:rPr>
                <w:noProof/>
              </w:rPr>
              <w:t>un enerģētiskās drošības ministrijas 2021. un 2023. gadā pieņemto metodiku noteikt teritorijai specifiskus saglabāšanas mērķus (SSCO) projekta skartajām Natura 2000 teritorijām.</w:t>
            </w:r>
          </w:p>
          <w:p w14:paraId="7512FC2B" w14:textId="77777777" w:rsidR="00327FF1" w:rsidRDefault="00E406C7">
            <w:pPr>
              <w:pStyle w:val="P68B1DB1-ListParagraph15"/>
              <w:numPr>
                <w:ilvl w:val="0"/>
                <w:numId w:val="39"/>
              </w:numPr>
              <w:spacing w:after="120" w:line="240" w:lineRule="auto"/>
              <w:contextualSpacing w:val="0"/>
              <w:rPr>
                <w:noProof/>
                <w:szCs w:val="20"/>
              </w:rPr>
            </w:pPr>
            <w:r>
              <w:rPr>
                <w:noProof/>
              </w:rPr>
              <w:t>Pārbaudīt attiecīgos novērtējumus, kas jau veikti saskaņā ar Dzīvotņu direktīv</w:t>
            </w:r>
            <w:r>
              <w:rPr>
                <w:noProof/>
              </w:rPr>
              <w:t>u (VINCA), ņemot vērā jaunizveidotās SSCO.</w:t>
            </w:r>
            <w:bookmarkEnd w:id="30"/>
          </w:p>
          <w:p w14:paraId="7460EC70" w14:textId="77777777" w:rsidR="00327FF1" w:rsidRDefault="00E406C7">
            <w:pPr>
              <w:pStyle w:val="P68B1DB1-ListParagraph15"/>
              <w:numPr>
                <w:ilvl w:val="0"/>
                <w:numId w:val="39"/>
              </w:numPr>
              <w:spacing w:after="120" w:line="240" w:lineRule="auto"/>
              <w:contextualSpacing w:val="0"/>
              <w:rPr>
                <w:noProof/>
                <w:szCs w:val="20"/>
              </w:rPr>
            </w:pPr>
            <w:r>
              <w:rPr>
                <w:noProof/>
              </w:rPr>
              <w:t>Atjaunināt (vajadzības gadījumā) attiecīgos novērtējumus (VINCA), kas jau veikti saskaņā ar Dzīvotņu direktīvu saskaņā ar 2019. gada 28. decembra valsts pamatnostādnēm, un nodrošināt to integrēšanu vispārējā ietek</w:t>
            </w:r>
            <w:r>
              <w:rPr>
                <w:noProof/>
              </w:rPr>
              <w:t>mes uz vidi novērtējuma procedūrā.</w:t>
            </w:r>
          </w:p>
        </w:tc>
      </w:tr>
      <w:tr w:rsidR="00327FF1" w14:paraId="4D332C1E" w14:textId="77777777">
        <w:trPr>
          <w:trHeight w:val="309"/>
        </w:trPr>
        <w:tc>
          <w:tcPr>
            <w:tcW w:w="1187" w:type="dxa"/>
            <w:shd w:val="clear" w:color="auto" w:fill="C6EFCE"/>
            <w:noWrap/>
            <w:vAlign w:val="center"/>
          </w:tcPr>
          <w:p w14:paraId="610087DA" w14:textId="77777777" w:rsidR="00327FF1" w:rsidRDefault="00E406C7">
            <w:pPr>
              <w:pStyle w:val="P68B1DB1-Normal11"/>
              <w:spacing w:after="120"/>
              <w:jc w:val="center"/>
              <w:rPr>
                <w:noProof/>
                <w:szCs w:val="20"/>
              </w:rPr>
            </w:pPr>
            <w:r>
              <w:rPr>
                <w:noProof/>
              </w:rPr>
              <w:t>M7–36</w:t>
            </w:r>
          </w:p>
        </w:tc>
        <w:tc>
          <w:tcPr>
            <w:tcW w:w="1559" w:type="dxa"/>
            <w:shd w:val="clear" w:color="auto" w:fill="C6EFCE"/>
            <w:noWrap/>
            <w:vAlign w:val="center"/>
          </w:tcPr>
          <w:p w14:paraId="6C68A370" w14:textId="77777777" w:rsidR="00327FF1" w:rsidRDefault="00E406C7">
            <w:pPr>
              <w:pStyle w:val="P68B1DB1-Normal11"/>
              <w:spacing w:after="120"/>
              <w:jc w:val="center"/>
              <w:rPr>
                <w:noProof/>
                <w:szCs w:val="20"/>
              </w:rPr>
            </w:pPr>
            <w:r>
              <w:rPr>
                <w:noProof/>
              </w:rPr>
              <w:t>Investīcija Nr. 13: Adrijas jūras līnijas 1. posms (Sulmonas kompresoru stacija un Sestino-Minerbio gāzes cauruļvads)</w:t>
            </w:r>
          </w:p>
        </w:tc>
        <w:tc>
          <w:tcPr>
            <w:tcW w:w="1134" w:type="dxa"/>
            <w:shd w:val="clear" w:color="auto" w:fill="C6EFCE"/>
            <w:noWrap/>
            <w:vAlign w:val="center"/>
          </w:tcPr>
          <w:p w14:paraId="0552F973" w14:textId="77777777" w:rsidR="00327FF1" w:rsidRDefault="00E406C7">
            <w:pPr>
              <w:pStyle w:val="P68B1DB1-Normal11"/>
              <w:spacing w:after="120"/>
              <w:jc w:val="center"/>
              <w:rPr>
                <w:noProof/>
                <w:szCs w:val="20"/>
              </w:rPr>
            </w:pPr>
            <w:r>
              <w:rPr>
                <w:noProof/>
              </w:rPr>
              <w:t>Atskaites punkts</w:t>
            </w:r>
          </w:p>
        </w:tc>
        <w:tc>
          <w:tcPr>
            <w:tcW w:w="1417" w:type="dxa"/>
            <w:shd w:val="clear" w:color="auto" w:fill="C6EFCE"/>
            <w:noWrap/>
            <w:vAlign w:val="center"/>
          </w:tcPr>
          <w:p w14:paraId="5B386AB2" w14:textId="77777777" w:rsidR="00327FF1" w:rsidRDefault="00E406C7">
            <w:pPr>
              <w:pStyle w:val="P68B1DB1-Normal11"/>
              <w:spacing w:after="120"/>
              <w:jc w:val="center"/>
              <w:rPr>
                <w:noProof/>
                <w:szCs w:val="20"/>
              </w:rPr>
            </w:pPr>
            <w:r>
              <w:rPr>
                <w:noProof/>
              </w:rPr>
              <w:t>Līgumu piešķiršana</w:t>
            </w:r>
          </w:p>
        </w:tc>
        <w:tc>
          <w:tcPr>
            <w:tcW w:w="1701" w:type="dxa"/>
            <w:shd w:val="clear" w:color="auto" w:fill="C6EFCE"/>
            <w:noWrap/>
            <w:vAlign w:val="center"/>
          </w:tcPr>
          <w:p w14:paraId="1E62182A" w14:textId="77777777" w:rsidR="00327FF1" w:rsidRDefault="00E406C7">
            <w:pPr>
              <w:pStyle w:val="P68B1DB1-Normal11"/>
              <w:spacing w:after="120"/>
              <w:jc w:val="center"/>
              <w:rPr>
                <w:noProof/>
                <w:szCs w:val="20"/>
              </w:rPr>
            </w:pPr>
            <w:r>
              <w:rPr>
                <w:noProof/>
              </w:rPr>
              <w:t>Paziņots par līgumu noslēgšanu</w:t>
            </w:r>
          </w:p>
        </w:tc>
        <w:tc>
          <w:tcPr>
            <w:tcW w:w="1276" w:type="dxa"/>
            <w:shd w:val="clear" w:color="auto" w:fill="C6EFCE"/>
            <w:noWrap/>
            <w:vAlign w:val="center"/>
          </w:tcPr>
          <w:p w14:paraId="3445D382" w14:textId="77777777" w:rsidR="00327FF1" w:rsidRDefault="00327FF1">
            <w:pPr>
              <w:spacing w:after="120"/>
              <w:jc w:val="center"/>
              <w:rPr>
                <w:rFonts w:ascii="Arial Narrow" w:hAnsi="Arial Narrow"/>
                <w:noProof/>
                <w:color w:val="006100"/>
                <w:sz w:val="20"/>
                <w:szCs w:val="20"/>
              </w:rPr>
            </w:pPr>
          </w:p>
        </w:tc>
        <w:tc>
          <w:tcPr>
            <w:tcW w:w="992" w:type="dxa"/>
            <w:shd w:val="clear" w:color="auto" w:fill="C6EFCE"/>
            <w:noWrap/>
            <w:vAlign w:val="center"/>
          </w:tcPr>
          <w:p w14:paraId="75CFEA4E" w14:textId="77777777" w:rsidR="00327FF1" w:rsidRDefault="00327FF1">
            <w:pPr>
              <w:spacing w:after="120"/>
              <w:jc w:val="center"/>
              <w:rPr>
                <w:rFonts w:ascii="Arial Narrow" w:hAnsi="Arial Narrow"/>
                <w:noProof/>
                <w:color w:val="006100"/>
                <w:sz w:val="20"/>
                <w:szCs w:val="20"/>
              </w:rPr>
            </w:pPr>
          </w:p>
        </w:tc>
        <w:tc>
          <w:tcPr>
            <w:tcW w:w="1276" w:type="dxa"/>
            <w:shd w:val="clear" w:color="auto" w:fill="C6EFCE"/>
            <w:noWrap/>
            <w:vAlign w:val="center"/>
          </w:tcPr>
          <w:p w14:paraId="445CA87F" w14:textId="77777777" w:rsidR="00327FF1" w:rsidRDefault="00327FF1">
            <w:pPr>
              <w:spacing w:after="120"/>
              <w:jc w:val="center"/>
              <w:rPr>
                <w:rFonts w:ascii="Arial Narrow" w:hAnsi="Arial Narrow"/>
                <w:noProof/>
                <w:color w:val="006100"/>
                <w:sz w:val="20"/>
                <w:szCs w:val="20"/>
              </w:rPr>
            </w:pPr>
          </w:p>
        </w:tc>
        <w:tc>
          <w:tcPr>
            <w:tcW w:w="851" w:type="dxa"/>
            <w:shd w:val="clear" w:color="auto" w:fill="C6EFCE"/>
            <w:noWrap/>
            <w:vAlign w:val="center"/>
          </w:tcPr>
          <w:p w14:paraId="31B8FB36" w14:textId="77777777" w:rsidR="00327FF1" w:rsidRDefault="00E406C7">
            <w:pPr>
              <w:pStyle w:val="P68B1DB1-Normal11"/>
              <w:spacing w:after="120"/>
              <w:jc w:val="center"/>
              <w:rPr>
                <w:noProof/>
                <w:szCs w:val="20"/>
              </w:rPr>
            </w:pPr>
            <w:r>
              <w:rPr>
                <w:noProof/>
              </w:rPr>
              <w:t>2. CET.</w:t>
            </w:r>
          </w:p>
        </w:tc>
        <w:tc>
          <w:tcPr>
            <w:tcW w:w="708" w:type="dxa"/>
            <w:shd w:val="clear" w:color="auto" w:fill="C6EFCE"/>
            <w:noWrap/>
            <w:vAlign w:val="center"/>
          </w:tcPr>
          <w:p w14:paraId="208A0FC0" w14:textId="77777777" w:rsidR="00327FF1" w:rsidRDefault="00E406C7">
            <w:pPr>
              <w:pStyle w:val="P68B1DB1-Normal11"/>
              <w:spacing w:after="120"/>
              <w:jc w:val="center"/>
              <w:rPr>
                <w:noProof/>
                <w:szCs w:val="20"/>
              </w:rPr>
            </w:pPr>
            <w:r>
              <w:rPr>
                <w:noProof/>
              </w:rPr>
              <w:t>2024</w:t>
            </w:r>
          </w:p>
        </w:tc>
        <w:tc>
          <w:tcPr>
            <w:tcW w:w="3261" w:type="dxa"/>
            <w:shd w:val="clear" w:color="auto" w:fill="C6EFCE"/>
            <w:noWrap/>
            <w:vAlign w:val="center"/>
          </w:tcPr>
          <w:p w14:paraId="6B8AF703" w14:textId="77777777" w:rsidR="00327FF1" w:rsidRDefault="00E406C7">
            <w:pPr>
              <w:pStyle w:val="P68B1DB1-ListParagraph15"/>
              <w:ind w:left="0"/>
              <w:contextualSpacing w:val="0"/>
              <w:rPr>
                <w:noProof/>
                <w:szCs w:val="20"/>
              </w:rPr>
            </w:pPr>
            <w:r>
              <w:rPr>
                <w:noProof/>
              </w:rPr>
              <w:t xml:space="preserve">Paziņojums </w:t>
            </w:r>
            <w:r>
              <w:rPr>
                <w:noProof/>
              </w:rPr>
              <w:t>par visu līgumu slēgšanas tiesību piešķiršanu par būvdarbiem, kas nepieciešami Sulmona kompresoru stacijas un Sestino-Minerbio gāzes vada būvniecībai.</w:t>
            </w:r>
          </w:p>
        </w:tc>
      </w:tr>
      <w:tr w:rsidR="00327FF1" w14:paraId="1EE82ADA" w14:textId="77777777">
        <w:trPr>
          <w:trHeight w:val="309"/>
        </w:trPr>
        <w:tc>
          <w:tcPr>
            <w:tcW w:w="1187" w:type="dxa"/>
            <w:shd w:val="clear" w:color="auto" w:fill="C6EFCE"/>
            <w:noWrap/>
            <w:vAlign w:val="center"/>
          </w:tcPr>
          <w:p w14:paraId="3F3068D2" w14:textId="77777777" w:rsidR="00327FF1" w:rsidRDefault="00E406C7">
            <w:pPr>
              <w:pStyle w:val="P68B1DB1-Normal11"/>
              <w:jc w:val="center"/>
              <w:rPr>
                <w:noProof/>
                <w:szCs w:val="20"/>
              </w:rPr>
            </w:pPr>
            <w:r>
              <w:rPr>
                <w:noProof/>
              </w:rPr>
              <w:t>M7–37</w:t>
            </w:r>
          </w:p>
        </w:tc>
        <w:tc>
          <w:tcPr>
            <w:tcW w:w="1559" w:type="dxa"/>
            <w:shd w:val="clear" w:color="auto" w:fill="C6EFCE"/>
            <w:noWrap/>
            <w:vAlign w:val="center"/>
          </w:tcPr>
          <w:p w14:paraId="3F3205AC" w14:textId="77777777" w:rsidR="00327FF1" w:rsidRDefault="00E406C7">
            <w:pPr>
              <w:pStyle w:val="P68B1DB1-Normal11"/>
              <w:jc w:val="center"/>
              <w:rPr>
                <w:noProof/>
                <w:szCs w:val="20"/>
              </w:rPr>
            </w:pPr>
            <w:r>
              <w:rPr>
                <w:noProof/>
              </w:rPr>
              <w:t xml:space="preserve">Investīcija Nr. 13: Adrijas jūras līnijas 1. posms (Sulmonas kompresoru stacija un </w:t>
            </w:r>
            <w:r>
              <w:rPr>
                <w:noProof/>
              </w:rPr>
              <w:t>Sestino-Minerbio gāzes cauruļvads)</w:t>
            </w:r>
          </w:p>
        </w:tc>
        <w:tc>
          <w:tcPr>
            <w:tcW w:w="1134" w:type="dxa"/>
            <w:shd w:val="clear" w:color="auto" w:fill="C6EFCE"/>
            <w:noWrap/>
            <w:vAlign w:val="center"/>
          </w:tcPr>
          <w:p w14:paraId="7D1078F6" w14:textId="77777777" w:rsidR="00327FF1" w:rsidRDefault="00E406C7">
            <w:pPr>
              <w:pStyle w:val="P68B1DB1-Normal11"/>
              <w:jc w:val="center"/>
              <w:rPr>
                <w:noProof/>
                <w:szCs w:val="20"/>
              </w:rPr>
            </w:pPr>
            <w:r>
              <w:rPr>
                <w:noProof/>
              </w:rPr>
              <w:t>Atskaites punkts</w:t>
            </w:r>
          </w:p>
        </w:tc>
        <w:tc>
          <w:tcPr>
            <w:tcW w:w="1417" w:type="dxa"/>
            <w:shd w:val="clear" w:color="auto" w:fill="C6EFCE"/>
            <w:noWrap/>
            <w:vAlign w:val="center"/>
          </w:tcPr>
          <w:p w14:paraId="7BFD81A1" w14:textId="77777777" w:rsidR="00327FF1" w:rsidRDefault="00E406C7">
            <w:pPr>
              <w:pStyle w:val="P68B1DB1-Normal11"/>
              <w:jc w:val="center"/>
              <w:rPr>
                <w:rFonts w:eastAsia="Calibri" w:cstheme="minorHAnsi"/>
                <w:noProof/>
                <w:szCs w:val="20"/>
              </w:rPr>
            </w:pPr>
            <w:r>
              <w:rPr>
                <w:noProof/>
              </w:rPr>
              <w:t>Darbu pabeigšana</w:t>
            </w:r>
          </w:p>
        </w:tc>
        <w:tc>
          <w:tcPr>
            <w:tcW w:w="1701" w:type="dxa"/>
            <w:shd w:val="clear" w:color="auto" w:fill="C6EFCE"/>
            <w:noWrap/>
            <w:vAlign w:val="center"/>
          </w:tcPr>
          <w:p w14:paraId="4762FEE4" w14:textId="77777777" w:rsidR="00327FF1" w:rsidRDefault="00E406C7">
            <w:pPr>
              <w:pStyle w:val="P68B1DB1-Normal11"/>
              <w:jc w:val="center"/>
              <w:rPr>
                <w:noProof/>
                <w:szCs w:val="20"/>
              </w:rPr>
            </w:pPr>
            <w:r>
              <w:rPr>
                <w:noProof/>
                <w:szCs w:val="20"/>
              </w:rPr>
              <w:t>Izsniegtie sertifikāti</w:t>
            </w:r>
            <w:r>
              <w:rPr>
                <w:noProof/>
              </w:rPr>
              <w:t xml:space="preserve"> par darbu pabeigšanu</w:t>
            </w:r>
            <w:r>
              <w:rPr>
                <w:noProof/>
                <w:szCs w:val="20"/>
              </w:rPr>
              <w:t xml:space="preserve"> </w:t>
            </w:r>
          </w:p>
        </w:tc>
        <w:tc>
          <w:tcPr>
            <w:tcW w:w="1276" w:type="dxa"/>
            <w:shd w:val="clear" w:color="auto" w:fill="C6EFCE"/>
            <w:noWrap/>
            <w:vAlign w:val="center"/>
          </w:tcPr>
          <w:p w14:paraId="3BD93EFB" w14:textId="77777777" w:rsidR="00327FF1" w:rsidRDefault="00327FF1">
            <w:pPr>
              <w:jc w:val="center"/>
              <w:rPr>
                <w:rFonts w:ascii="Arial Narrow" w:hAnsi="Arial Narrow"/>
                <w:noProof/>
                <w:color w:val="006100"/>
                <w:sz w:val="20"/>
                <w:szCs w:val="20"/>
              </w:rPr>
            </w:pPr>
          </w:p>
        </w:tc>
        <w:tc>
          <w:tcPr>
            <w:tcW w:w="992" w:type="dxa"/>
            <w:shd w:val="clear" w:color="auto" w:fill="C6EFCE"/>
            <w:noWrap/>
            <w:vAlign w:val="center"/>
          </w:tcPr>
          <w:p w14:paraId="1851E7F8" w14:textId="77777777" w:rsidR="00327FF1" w:rsidRDefault="00327FF1">
            <w:pPr>
              <w:jc w:val="center"/>
              <w:rPr>
                <w:rFonts w:ascii="Arial Narrow" w:hAnsi="Arial Narrow"/>
                <w:noProof/>
                <w:color w:val="006100"/>
                <w:sz w:val="20"/>
                <w:szCs w:val="20"/>
              </w:rPr>
            </w:pPr>
          </w:p>
        </w:tc>
        <w:tc>
          <w:tcPr>
            <w:tcW w:w="1276" w:type="dxa"/>
            <w:shd w:val="clear" w:color="auto" w:fill="C6EFCE"/>
            <w:noWrap/>
            <w:vAlign w:val="center"/>
          </w:tcPr>
          <w:p w14:paraId="193CE532" w14:textId="77777777" w:rsidR="00327FF1" w:rsidRDefault="00327FF1">
            <w:pPr>
              <w:jc w:val="center"/>
              <w:rPr>
                <w:rFonts w:ascii="Arial Narrow" w:hAnsi="Arial Narrow"/>
                <w:noProof/>
                <w:color w:val="006100"/>
                <w:sz w:val="20"/>
                <w:szCs w:val="20"/>
              </w:rPr>
            </w:pPr>
          </w:p>
        </w:tc>
        <w:tc>
          <w:tcPr>
            <w:tcW w:w="851" w:type="dxa"/>
            <w:shd w:val="clear" w:color="auto" w:fill="C6EFCE"/>
            <w:noWrap/>
            <w:vAlign w:val="center"/>
          </w:tcPr>
          <w:p w14:paraId="5031694F" w14:textId="77777777" w:rsidR="00327FF1" w:rsidRDefault="00E406C7">
            <w:pPr>
              <w:pStyle w:val="P68B1DB1-Normal11"/>
              <w:jc w:val="center"/>
              <w:rPr>
                <w:noProof/>
                <w:szCs w:val="20"/>
              </w:rPr>
            </w:pPr>
            <w:r>
              <w:rPr>
                <w:noProof/>
              </w:rPr>
              <w:t>2. CET.</w:t>
            </w:r>
          </w:p>
        </w:tc>
        <w:tc>
          <w:tcPr>
            <w:tcW w:w="708" w:type="dxa"/>
            <w:shd w:val="clear" w:color="auto" w:fill="C6EFCE"/>
            <w:noWrap/>
            <w:vAlign w:val="center"/>
          </w:tcPr>
          <w:p w14:paraId="12A1D3BE" w14:textId="77777777" w:rsidR="00327FF1" w:rsidRDefault="00E406C7">
            <w:pPr>
              <w:pStyle w:val="P68B1DB1-Normal11"/>
              <w:jc w:val="center"/>
              <w:rPr>
                <w:noProof/>
                <w:szCs w:val="20"/>
              </w:rPr>
            </w:pPr>
            <w:r>
              <w:rPr>
                <w:noProof/>
              </w:rPr>
              <w:t>2026</w:t>
            </w:r>
          </w:p>
        </w:tc>
        <w:tc>
          <w:tcPr>
            <w:tcW w:w="3261" w:type="dxa"/>
            <w:shd w:val="clear" w:color="auto" w:fill="C6EFCE"/>
            <w:noWrap/>
            <w:vAlign w:val="center"/>
          </w:tcPr>
          <w:p w14:paraId="6544E3E8" w14:textId="77777777" w:rsidR="00327FF1" w:rsidRDefault="00E406C7">
            <w:pPr>
              <w:pStyle w:val="P68B1DB1-Normal12"/>
              <w:rPr>
                <w:noProof/>
              </w:rPr>
            </w:pPr>
            <w:r>
              <w:rPr>
                <w:noProof/>
              </w:rPr>
              <w:t>Sulmona kompresoru stacijas un Sestino-Minerbio gāzes cauruļvada darbu pabeigšanas sertifikāts tiek izsniegts, lai palielinātu</w:t>
            </w:r>
            <w:r>
              <w:rPr>
                <w:noProof/>
              </w:rPr>
              <w:t xml:space="preserve"> gāzes transportēšanas tehnisko jaudu par 14 m³ dienā.</w:t>
            </w:r>
          </w:p>
        </w:tc>
      </w:tr>
      <w:tr w:rsidR="00327FF1" w14:paraId="6CEB988D" w14:textId="77777777">
        <w:trPr>
          <w:trHeight w:val="309"/>
        </w:trPr>
        <w:tc>
          <w:tcPr>
            <w:tcW w:w="1187" w:type="dxa"/>
            <w:shd w:val="clear" w:color="auto" w:fill="C6EFCE"/>
            <w:noWrap/>
            <w:vAlign w:val="center"/>
          </w:tcPr>
          <w:p w14:paraId="4BC0B26E" w14:textId="77777777" w:rsidR="00327FF1" w:rsidRDefault="00E406C7">
            <w:pPr>
              <w:pStyle w:val="P68B1DB1-Normal11"/>
              <w:jc w:val="center"/>
              <w:rPr>
                <w:noProof/>
                <w:szCs w:val="20"/>
              </w:rPr>
            </w:pPr>
            <w:r>
              <w:rPr>
                <w:noProof/>
              </w:rPr>
              <w:t>M7–38</w:t>
            </w:r>
          </w:p>
        </w:tc>
        <w:tc>
          <w:tcPr>
            <w:tcW w:w="1559" w:type="dxa"/>
            <w:shd w:val="clear" w:color="auto" w:fill="C6EFCE"/>
            <w:noWrap/>
            <w:vAlign w:val="center"/>
          </w:tcPr>
          <w:p w14:paraId="3A89F982" w14:textId="77777777" w:rsidR="00327FF1" w:rsidRDefault="00E406C7">
            <w:pPr>
              <w:pStyle w:val="P68B1DB1-Normal11"/>
              <w:jc w:val="center"/>
              <w:rPr>
                <w:noProof/>
                <w:szCs w:val="20"/>
              </w:rPr>
            </w:pPr>
            <w:r>
              <w:rPr>
                <w:noProof/>
              </w:rPr>
              <w:t>Investīcija Nr. 14: Pārrobežu gāzes eksporta infrastruktūra</w:t>
            </w:r>
          </w:p>
        </w:tc>
        <w:tc>
          <w:tcPr>
            <w:tcW w:w="1134" w:type="dxa"/>
            <w:shd w:val="clear" w:color="auto" w:fill="C6EFCE"/>
            <w:noWrap/>
            <w:vAlign w:val="center"/>
          </w:tcPr>
          <w:p w14:paraId="5A35B802" w14:textId="77777777" w:rsidR="00327FF1" w:rsidRDefault="00E406C7">
            <w:pPr>
              <w:pStyle w:val="P68B1DB1-Normal11"/>
              <w:jc w:val="center"/>
              <w:rPr>
                <w:noProof/>
                <w:szCs w:val="20"/>
              </w:rPr>
            </w:pPr>
            <w:r>
              <w:rPr>
                <w:noProof/>
              </w:rPr>
              <w:t>Atskaites punkts</w:t>
            </w:r>
          </w:p>
        </w:tc>
        <w:tc>
          <w:tcPr>
            <w:tcW w:w="1417" w:type="dxa"/>
            <w:shd w:val="clear" w:color="auto" w:fill="C6EFCE"/>
            <w:noWrap/>
            <w:vAlign w:val="center"/>
          </w:tcPr>
          <w:p w14:paraId="59E0FF04" w14:textId="77777777" w:rsidR="00327FF1" w:rsidRDefault="00E406C7">
            <w:pPr>
              <w:pStyle w:val="P68B1DB1-Normal11"/>
              <w:jc w:val="center"/>
              <w:rPr>
                <w:noProof/>
                <w:szCs w:val="20"/>
              </w:rPr>
            </w:pPr>
            <w:r>
              <w:rPr>
                <w:noProof/>
              </w:rPr>
              <w:t>Līgumu piešķiršana</w:t>
            </w:r>
          </w:p>
        </w:tc>
        <w:tc>
          <w:tcPr>
            <w:tcW w:w="1701" w:type="dxa"/>
            <w:shd w:val="clear" w:color="auto" w:fill="C6EFCE"/>
            <w:noWrap/>
            <w:vAlign w:val="center"/>
          </w:tcPr>
          <w:p w14:paraId="27A41193" w14:textId="77777777" w:rsidR="00327FF1" w:rsidRDefault="00E406C7">
            <w:pPr>
              <w:pStyle w:val="P68B1DB1-Normal11"/>
              <w:jc w:val="center"/>
              <w:rPr>
                <w:noProof/>
                <w:szCs w:val="20"/>
              </w:rPr>
            </w:pPr>
            <w:r>
              <w:rPr>
                <w:noProof/>
              </w:rPr>
              <w:t>Paziņots par līgumu noslēgšanu</w:t>
            </w:r>
          </w:p>
        </w:tc>
        <w:tc>
          <w:tcPr>
            <w:tcW w:w="1276" w:type="dxa"/>
            <w:shd w:val="clear" w:color="auto" w:fill="C6EFCE"/>
            <w:noWrap/>
            <w:vAlign w:val="center"/>
          </w:tcPr>
          <w:p w14:paraId="5C42F510" w14:textId="77777777" w:rsidR="00327FF1" w:rsidRDefault="00327FF1">
            <w:pPr>
              <w:jc w:val="center"/>
              <w:rPr>
                <w:rFonts w:ascii="Arial Narrow" w:hAnsi="Arial Narrow"/>
                <w:noProof/>
                <w:color w:val="FF0000"/>
                <w:sz w:val="20"/>
                <w:szCs w:val="20"/>
              </w:rPr>
            </w:pPr>
          </w:p>
        </w:tc>
        <w:tc>
          <w:tcPr>
            <w:tcW w:w="992" w:type="dxa"/>
            <w:shd w:val="clear" w:color="auto" w:fill="C6EFCE"/>
            <w:noWrap/>
            <w:vAlign w:val="center"/>
          </w:tcPr>
          <w:p w14:paraId="0FC05DA7" w14:textId="77777777" w:rsidR="00327FF1" w:rsidRDefault="00327FF1">
            <w:pPr>
              <w:jc w:val="center"/>
              <w:rPr>
                <w:rFonts w:ascii="Arial Narrow" w:hAnsi="Arial Narrow"/>
                <w:noProof/>
                <w:color w:val="006100"/>
                <w:sz w:val="20"/>
                <w:szCs w:val="20"/>
              </w:rPr>
            </w:pPr>
          </w:p>
        </w:tc>
        <w:tc>
          <w:tcPr>
            <w:tcW w:w="1276" w:type="dxa"/>
            <w:shd w:val="clear" w:color="auto" w:fill="C6EFCE"/>
            <w:noWrap/>
            <w:vAlign w:val="center"/>
          </w:tcPr>
          <w:p w14:paraId="61D5864A" w14:textId="77777777" w:rsidR="00327FF1" w:rsidRDefault="00327FF1">
            <w:pPr>
              <w:jc w:val="center"/>
              <w:rPr>
                <w:rFonts w:ascii="Arial Narrow" w:hAnsi="Arial Narrow"/>
                <w:noProof/>
                <w:color w:val="006100"/>
                <w:sz w:val="20"/>
                <w:szCs w:val="20"/>
              </w:rPr>
            </w:pPr>
          </w:p>
        </w:tc>
        <w:tc>
          <w:tcPr>
            <w:tcW w:w="851" w:type="dxa"/>
            <w:shd w:val="clear" w:color="auto" w:fill="C6EFCE"/>
            <w:noWrap/>
            <w:vAlign w:val="center"/>
          </w:tcPr>
          <w:p w14:paraId="578DAEAE" w14:textId="77777777" w:rsidR="00327FF1" w:rsidRDefault="00E406C7">
            <w:pPr>
              <w:pStyle w:val="P68B1DB1-Normal11"/>
              <w:jc w:val="center"/>
              <w:rPr>
                <w:noProof/>
                <w:szCs w:val="20"/>
              </w:rPr>
            </w:pPr>
            <w:r>
              <w:rPr>
                <w:noProof/>
              </w:rPr>
              <w:t>2. CET.</w:t>
            </w:r>
          </w:p>
        </w:tc>
        <w:tc>
          <w:tcPr>
            <w:tcW w:w="708" w:type="dxa"/>
            <w:shd w:val="clear" w:color="auto" w:fill="C6EFCE"/>
            <w:noWrap/>
            <w:vAlign w:val="center"/>
          </w:tcPr>
          <w:p w14:paraId="71733554" w14:textId="77777777" w:rsidR="00327FF1" w:rsidRDefault="00E406C7">
            <w:pPr>
              <w:pStyle w:val="P68B1DB1-Normal11"/>
              <w:jc w:val="center"/>
              <w:rPr>
                <w:noProof/>
                <w:szCs w:val="20"/>
              </w:rPr>
            </w:pPr>
            <w:r>
              <w:rPr>
                <w:noProof/>
              </w:rPr>
              <w:t>2024</w:t>
            </w:r>
          </w:p>
        </w:tc>
        <w:tc>
          <w:tcPr>
            <w:tcW w:w="3261" w:type="dxa"/>
            <w:shd w:val="clear" w:color="auto" w:fill="C6EFCE"/>
            <w:noWrap/>
            <w:vAlign w:val="center"/>
          </w:tcPr>
          <w:p w14:paraId="6BD1DBD6" w14:textId="77777777" w:rsidR="00327FF1" w:rsidRDefault="00E406C7">
            <w:pPr>
              <w:pStyle w:val="P68B1DB1-Normal11"/>
              <w:rPr>
                <w:noProof/>
                <w:szCs w:val="20"/>
              </w:rPr>
            </w:pPr>
            <w:r>
              <w:rPr>
                <w:noProof/>
              </w:rPr>
              <w:t xml:space="preserve">Paziņojums par visu līgumu slēgšanas tiesību </w:t>
            </w:r>
            <w:r>
              <w:rPr>
                <w:noProof/>
              </w:rPr>
              <w:t>piešķiršanu par darbiem, kas nepieciešami Poggio Renatico kompresoru stacijas pabeigšanai</w:t>
            </w:r>
          </w:p>
        </w:tc>
      </w:tr>
      <w:tr w:rsidR="00327FF1" w14:paraId="41926CEA" w14:textId="77777777">
        <w:trPr>
          <w:trHeight w:val="309"/>
        </w:trPr>
        <w:tc>
          <w:tcPr>
            <w:tcW w:w="1187" w:type="dxa"/>
            <w:shd w:val="clear" w:color="auto" w:fill="C6EFCE"/>
            <w:noWrap/>
            <w:vAlign w:val="center"/>
          </w:tcPr>
          <w:p w14:paraId="25484426" w14:textId="77777777" w:rsidR="00327FF1" w:rsidRDefault="00E406C7">
            <w:pPr>
              <w:pStyle w:val="P68B1DB1-Normal11"/>
              <w:jc w:val="center"/>
              <w:rPr>
                <w:noProof/>
                <w:szCs w:val="20"/>
              </w:rPr>
            </w:pPr>
            <w:r>
              <w:rPr>
                <w:noProof/>
              </w:rPr>
              <w:t>M7–39</w:t>
            </w:r>
          </w:p>
        </w:tc>
        <w:tc>
          <w:tcPr>
            <w:tcW w:w="1559" w:type="dxa"/>
            <w:shd w:val="clear" w:color="auto" w:fill="C6EFCE"/>
            <w:noWrap/>
            <w:vAlign w:val="center"/>
          </w:tcPr>
          <w:p w14:paraId="606B2112" w14:textId="77777777" w:rsidR="00327FF1" w:rsidRDefault="00E406C7">
            <w:pPr>
              <w:pStyle w:val="P68B1DB1-Normal11"/>
              <w:jc w:val="center"/>
              <w:rPr>
                <w:noProof/>
                <w:szCs w:val="20"/>
              </w:rPr>
            </w:pPr>
            <w:r>
              <w:rPr>
                <w:noProof/>
              </w:rPr>
              <w:t>Investīcija Nr. 14: Pārrobežu gāzes eksporta infrastruktūra</w:t>
            </w:r>
          </w:p>
        </w:tc>
        <w:tc>
          <w:tcPr>
            <w:tcW w:w="1134" w:type="dxa"/>
            <w:shd w:val="clear" w:color="auto" w:fill="C6EFCE"/>
            <w:noWrap/>
            <w:vAlign w:val="center"/>
          </w:tcPr>
          <w:p w14:paraId="08E0A362" w14:textId="77777777" w:rsidR="00327FF1" w:rsidRDefault="00E406C7">
            <w:pPr>
              <w:pStyle w:val="P68B1DB1-Normal11"/>
              <w:jc w:val="center"/>
              <w:rPr>
                <w:noProof/>
                <w:szCs w:val="20"/>
              </w:rPr>
            </w:pPr>
            <w:r>
              <w:rPr>
                <w:noProof/>
              </w:rPr>
              <w:t>Atskaites punkts</w:t>
            </w:r>
          </w:p>
        </w:tc>
        <w:tc>
          <w:tcPr>
            <w:tcW w:w="1417" w:type="dxa"/>
            <w:shd w:val="clear" w:color="auto" w:fill="C6EFCE"/>
            <w:noWrap/>
            <w:vAlign w:val="center"/>
          </w:tcPr>
          <w:p w14:paraId="2CE89309" w14:textId="77777777" w:rsidR="00327FF1" w:rsidRDefault="00E406C7">
            <w:pPr>
              <w:pStyle w:val="P68B1DB1-Normal11"/>
              <w:jc w:val="center"/>
              <w:rPr>
                <w:noProof/>
                <w:szCs w:val="20"/>
              </w:rPr>
            </w:pPr>
            <w:r>
              <w:rPr>
                <w:noProof/>
              </w:rPr>
              <w:t>Darbu pabeigšana</w:t>
            </w:r>
          </w:p>
        </w:tc>
        <w:tc>
          <w:tcPr>
            <w:tcW w:w="1701" w:type="dxa"/>
            <w:shd w:val="clear" w:color="auto" w:fill="C6EFCE"/>
            <w:noWrap/>
            <w:vAlign w:val="center"/>
          </w:tcPr>
          <w:p w14:paraId="715D8F17" w14:textId="77777777" w:rsidR="00327FF1" w:rsidRDefault="00E406C7">
            <w:pPr>
              <w:pStyle w:val="P68B1DB1-Normal11"/>
              <w:jc w:val="center"/>
              <w:rPr>
                <w:noProof/>
                <w:szCs w:val="20"/>
              </w:rPr>
            </w:pPr>
            <w:r>
              <w:rPr>
                <w:noProof/>
                <w:szCs w:val="20"/>
              </w:rPr>
              <w:t>Izdots sertifikāts</w:t>
            </w:r>
            <w:r>
              <w:rPr>
                <w:noProof/>
              </w:rPr>
              <w:t xml:space="preserve"> par darbu</w:t>
            </w:r>
            <w:r>
              <w:rPr>
                <w:noProof/>
                <w:szCs w:val="20"/>
              </w:rPr>
              <w:t xml:space="preserve"> pabeigšanu</w:t>
            </w:r>
          </w:p>
        </w:tc>
        <w:tc>
          <w:tcPr>
            <w:tcW w:w="1276" w:type="dxa"/>
            <w:shd w:val="clear" w:color="auto" w:fill="C6EFCE"/>
            <w:noWrap/>
            <w:vAlign w:val="center"/>
          </w:tcPr>
          <w:p w14:paraId="2D4768DB" w14:textId="77777777" w:rsidR="00327FF1" w:rsidRDefault="00327FF1">
            <w:pPr>
              <w:jc w:val="center"/>
              <w:rPr>
                <w:rFonts w:ascii="Arial Narrow" w:hAnsi="Arial Narrow"/>
                <w:noProof/>
                <w:color w:val="006100"/>
                <w:sz w:val="20"/>
                <w:szCs w:val="20"/>
              </w:rPr>
            </w:pPr>
          </w:p>
        </w:tc>
        <w:tc>
          <w:tcPr>
            <w:tcW w:w="992" w:type="dxa"/>
            <w:shd w:val="clear" w:color="auto" w:fill="C6EFCE"/>
            <w:noWrap/>
            <w:vAlign w:val="center"/>
          </w:tcPr>
          <w:p w14:paraId="278E6B02" w14:textId="77777777" w:rsidR="00327FF1" w:rsidRDefault="00327FF1">
            <w:pPr>
              <w:jc w:val="center"/>
              <w:rPr>
                <w:rFonts w:ascii="Arial Narrow" w:hAnsi="Arial Narrow"/>
                <w:noProof/>
                <w:color w:val="006100"/>
                <w:sz w:val="20"/>
                <w:szCs w:val="20"/>
              </w:rPr>
            </w:pPr>
          </w:p>
        </w:tc>
        <w:tc>
          <w:tcPr>
            <w:tcW w:w="1276" w:type="dxa"/>
            <w:shd w:val="clear" w:color="auto" w:fill="C6EFCE"/>
            <w:noWrap/>
            <w:vAlign w:val="center"/>
          </w:tcPr>
          <w:p w14:paraId="1DABF037" w14:textId="77777777" w:rsidR="00327FF1" w:rsidRDefault="00327FF1">
            <w:pPr>
              <w:jc w:val="center"/>
              <w:rPr>
                <w:rFonts w:ascii="Arial Narrow" w:hAnsi="Arial Narrow"/>
                <w:noProof/>
                <w:color w:val="006100"/>
                <w:sz w:val="20"/>
                <w:szCs w:val="20"/>
              </w:rPr>
            </w:pPr>
          </w:p>
        </w:tc>
        <w:tc>
          <w:tcPr>
            <w:tcW w:w="851" w:type="dxa"/>
            <w:shd w:val="clear" w:color="auto" w:fill="C6EFCE"/>
            <w:noWrap/>
            <w:vAlign w:val="center"/>
          </w:tcPr>
          <w:p w14:paraId="682B2234" w14:textId="77777777" w:rsidR="00327FF1" w:rsidRDefault="00E406C7">
            <w:pPr>
              <w:pStyle w:val="P68B1DB1-Normal11"/>
              <w:jc w:val="center"/>
              <w:rPr>
                <w:noProof/>
                <w:szCs w:val="20"/>
              </w:rPr>
            </w:pPr>
            <w:r>
              <w:rPr>
                <w:noProof/>
              </w:rPr>
              <w:t>2. CET.</w:t>
            </w:r>
          </w:p>
        </w:tc>
        <w:tc>
          <w:tcPr>
            <w:tcW w:w="708" w:type="dxa"/>
            <w:shd w:val="clear" w:color="auto" w:fill="C6EFCE"/>
            <w:noWrap/>
            <w:vAlign w:val="center"/>
          </w:tcPr>
          <w:p w14:paraId="59CC15E2" w14:textId="77777777" w:rsidR="00327FF1" w:rsidRDefault="00E406C7">
            <w:pPr>
              <w:pStyle w:val="P68B1DB1-Normal11"/>
              <w:jc w:val="center"/>
              <w:rPr>
                <w:noProof/>
                <w:szCs w:val="20"/>
              </w:rPr>
            </w:pPr>
            <w:r>
              <w:rPr>
                <w:noProof/>
              </w:rPr>
              <w:t>2026</w:t>
            </w:r>
          </w:p>
        </w:tc>
        <w:tc>
          <w:tcPr>
            <w:tcW w:w="3261" w:type="dxa"/>
            <w:shd w:val="clear" w:color="auto" w:fill="C6EFCE"/>
            <w:noWrap/>
            <w:vAlign w:val="center"/>
          </w:tcPr>
          <w:p w14:paraId="057055A6" w14:textId="77777777" w:rsidR="00327FF1" w:rsidRDefault="00E406C7">
            <w:pPr>
              <w:pStyle w:val="P68B1DB1-Normal11"/>
              <w:rPr>
                <w:noProof/>
                <w:szCs w:val="20"/>
              </w:rPr>
            </w:pPr>
            <w:r>
              <w:rPr>
                <w:noProof/>
                <w:szCs w:val="20"/>
              </w:rPr>
              <w:t>Kompresijas iekārtas darbu pabeigšanas sertifikātu</w:t>
            </w:r>
            <w:r>
              <w:rPr>
                <w:noProof/>
              </w:rPr>
              <w:t xml:space="preserve"> Poggio Renatico kompresoru stacijā </w:t>
            </w:r>
            <w:r>
              <w:rPr>
                <w:noProof/>
                <w:szCs w:val="20"/>
              </w:rPr>
              <w:t>izsniedz par 8 mljrd. m³ gadā gāzes eksporta tehniskās jaudas palielināšanai caur Tarvisio izejas punktu.</w:t>
            </w:r>
          </w:p>
        </w:tc>
      </w:tr>
      <w:tr w:rsidR="00327FF1" w14:paraId="39A71B65" w14:textId="77777777">
        <w:trPr>
          <w:trHeight w:val="309"/>
        </w:trPr>
        <w:tc>
          <w:tcPr>
            <w:tcW w:w="1187" w:type="dxa"/>
            <w:shd w:val="clear" w:color="auto" w:fill="C6EFCE"/>
            <w:noWrap/>
            <w:vAlign w:val="center"/>
          </w:tcPr>
          <w:p w14:paraId="29691BE9" w14:textId="77777777" w:rsidR="00327FF1" w:rsidRDefault="00E406C7">
            <w:pPr>
              <w:pStyle w:val="P68B1DB1-Normal11"/>
              <w:jc w:val="center"/>
              <w:rPr>
                <w:noProof/>
                <w:szCs w:val="20"/>
              </w:rPr>
            </w:pPr>
            <w:r>
              <w:rPr>
                <w:noProof/>
              </w:rPr>
              <w:t>M7–40</w:t>
            </w:r>
          </w:p>
        </w:tc>
        <w:tc>
          <w:tcPr>
            <w:tcW w:w="1559" w:type="dxa"/>
            <w:shd w:val="clear" w:color="auto" w:fill="C6EFCE"/>
            <w:noWrap/>
            <w:vAlign w:val="center"/>
          </w:tcPr>
          <w:p w14:paraId="40607763" w14:textId="633E23DE" w:rsidR="00327FF1" w:rsidRDefault="00E406C7">
            <w:pPr>
              <w:pStyle w:val="P68B1DB1-Normal11"/>
              <w:jc w:val="center"/>
              <w:rPr>
                <w:noProof/>
                <w:szCs w:val="20"/>
              </w:rPr>
            </w:pPr>
            <w:r>
              <w:rPr>
                <w:noProof/>
              </w:rPr>
              <w:t>Investīcija Nr. 15: Transizione 5.0</w:t>
            </w:r>
          </w:p>
        </w:tc>
        <w:tc>
          <w:tcPr>
            <w:tcW w:w="1134" w:type="dxa"/>
            <w:shd w:val="clear" w:color="auto" w:fill="C6EFCE"/>
            <w:noWrap/>
            <w:vAlign w:val="center"/>
          </w:tcPr>
          <w:p w14:paraId="4FD0DE37" w14:textId="77777777" w:rsidR="00327FF1" w:rsidRDefault="00E406C7">
            <w:pPr>
              <w:pStyle w:val="P68B1DB1-Normal11"/>
              <w:jc w:val="center"/>
              <w:rPr>
                <w:noProof/>
                <w:szCs w:val="20"/>
              </w:rPr>
            </w:pPr>
            <w:r>
              <w:rPr>
                <w:noProof/>
              </w:rPr>
              <w:t>Atskaites punkts</w:t>
            </w:r>
          </w:p>
        </w:tc>
        <w:tc>
          <w:tcPr>
            <w:tcW w:w="1417" w:type="dxa"/>
            <w:shd w:val="clear" w:color="auto" w:fill="C6EFCE"/>
            <w:noWrap/>
            <w:vAlign w:val="center"/>
          </w:tcPr>
          <w:p w14:paraId="1AE9C83D" w14:textId="77777777" w:rsidR="00327FF1" w:rsidRDefault="00E406C7">
            <w:pPr>
              <w:pStyle w:val="P68B1DB1-Normal11"/>
              <w:jc w:val="center"/>
              <w:rPr>
                <w:noProof/>
                <w:szCs w:val="20"/>
              </w:rPr>
            </w:pPr>
            <w:r>
              <w:rPr>
                <w:noProof/>
              </w:rPr>
              <w:t>Tiesību akta, ar ko nosaka atbalsttiesīgo intervenču kritērijus, stāšanās spēkā</w:t>
            </w:r>
          </w:p>
        </w:tc>
        <w:tc>
          <w:tcPr>
            <w:tcW w:w="1701" w:type="dxa"/>
            <w:shd w:val="clear" w:color="auto" w:fill="C6EFCE"/>
            <w:noWrap/>
            <w:vAlign w:val="center"/>
          </w:tcPr>
          <w:p w14:paraId="15B380FD" w14:textId="77777777" w:rsidR="00327FF1" w:rsidRDefault="00E406C7">
            <w:pPr>
              <w:pStyle w:val="P68B1DB1-Normal11"/>
              <w:jc w:val="center"/>
              <w:rPr>
                <w:noProof/>
                <w:color w:val="FF0000"/>
                <w:szCs w:val="20"/>
              </w:rPr>
            </w:pPr>
            <w:r>
              <w:rPr>
                <w:noProof/>
              </w:rPr>
              <w:t>Likuma norma, kas norāda uz likuma stāšanos spēkā</w:t>
            </w:r>
          </w:p>
        </w:tc>
        <w:tc>
          <w:tcPr>
            <w:tcW w:w="1276" w:type="dxa"/>
            <w:shd w:val="clear" w:color="auto" w:fill="C6EFCE"/>
            <w:noWrap/>
            <w:vAlign w:val="center"/>
          </w:tcPr>
          <w:p w14:paraId="22681F90" w14:textId="77777777" w:rsidR="00327FF1" w:rsidRDefault="00327FF1">
            <w:pPr>
              <w:jc w:val="center"/>
              <w:rPr>
                <w:rFonts w:ascii="Arial Narrow" w:hAnsi="Arial Narrow"/>
                <w:noProof/>
                <w:color w:val="006100"/>
                <w:sz w:val="20"/>
                <w:szCs w:val="20"/>
              </w:rPr>
            </w:pPr>
          </w:p>
        </w:tc>
        <w:tc>
          <w:tcPr>
            <w:tcW w:w="992" w:type="dxa"/>
            <w:shd w:val="clear" w:color="auto" w:fill="C6EFCE"/>
            <w:noWrap/>
            <w:vAlign w:val="center"/>
          </w:tcPr>
          <w:p w14:paraId="0F8F8CE4" w14:textId="77777777" w:rsidR="00327FF1" w:rsidRDefault="00327FF1">
            <w:pPr>
              <w:jc w:val="center"/>
              <w:rPr>
                <w:rFonts w:ascii="Arial Narrow" w:hAnsi="Arial Narrow"/>
                <w:noProof/>
                <w:color w:val="006100"/>
                <w:sz w:val="20"/>
                <w:szCs w:val="20"/>
              </w:rPr>
            </w:pPr>
          </w:p>
        </w:tc>
        <w:tc>
          <w:tcPr>
            <w:tcW w:w="1276" w:type="dxa"/>
            <w:shd w:val="clear" w:color="auto" w:fill="C6EFCE"/>
            <w:noWrap/>
            <w:vAlign w:val="center"/>
          </w:tcPr>
          <w:p w14:paraId="111CB570" w14:textId="77777777" w:rsidR="00327FF1" w:rsidRDefault="00327FF1">
            <w:pPr>
              <w:jc w:val="center"/>
              <w:rPr>
                <w:rFonts w:ascii="Arial Narrow" w:hAnsi="Arial Narrow"/>
                <w:noProof/>
                <w:color w:val="006100"/>
                <w:sz w:val="20"/>
                <w:szCs w:val="20"/>
              </w:rPr>
            </w:pPr>
          </w:p>
        </w:tc>
        <w:tc>
          <w:tcPr>
            <w:tcW w:w="851" w:type="dxa"/>
            <w:shd w:val="clear" w:color="auto" w:fill="C6EFCE"/>
            <w:noWrap/>
            <w:vAlign w:val="center"/>
          </w:tcPr>
          <w:p w14:paraId="15693C6B" w14:textId="77777777" w:rsidR="00327FF1" w:rsidRDefault="00E406C7">
            <w:pPr>
              <w:pStyle w:val="P68B1DB1-Normal11"/>
              <w:jc w:val="center"/>
              <w:rPr>
                <w:noProof/>
                <w:szCs w:val="20"/>
              </w:rPr>
            </w:pPr>
            <w:r>
              <w:rPr>
                <w:noProof/>
              </w:rPr>
              <w:t>Q1</w:t>
            </w:r>
          </w:p>
        </w:tc>
        <w:tc>
          <w:tcPr>
            <w:tcW w:w="708" w:type="dxa"/>
            <w:shd w:val="clear" w:color="auto" w:fill="C6EFCE"/>
            <w:noWrap/>
            <w:vAlign w:val="center"/>
          </w:tcPr>
          <w:p w14:paraId="013F873A" w14:textId="77777777" w:rsidR="00327FF1" w:rsidRDefault="00E406C7">
            <w:pPr>
              <w:pStyle w:val="P68B1DB1-Normal11"/>
              <w:jc w:val="center"/>
              <w:rPr>
                <w:noProof/>
                <w:szCs w:val="20"/>
              </w:rPr>
            </w:pPr>
            <w:r>
              <w:rPr>
                <w:noProof/>
              </w:rPr>
              <w:t>2024</w:t>
            </w:r>
          </w:p>
        </w:tc>
        <w:tc>
          <w:tcPr>
            <w:tcW w:w="3261" w:type="dxa"/>
            <w:shd w:val="clear" w:color="auto" w:fill="C6EFCE"/>
            <w:noWrap/>
            <w:vAlign w:val="center"/>
          </w:tcPr>
          <w:p w14:paraId="7D3371F1" w14:textId="77777777" w:rsidR="00327FF1" w:rsidRDefault="00E406C7">
            <w:pPr>
              <w:pStyle w:val="P68B1DB1-Normal11"/>
              <w:rPr>
                <w:noProof/>
                <w:szCs w:val="20"/>
              </w:rPr>
            </w:pPr>
            <w:r>
              <w:rPr>
                <w:noProof/>
              </w:rPr>
              <w:t>Ar tiesību aktu potenciālajiem saņēmējiem tiek darīti pieejami 5.0 pārejas nodokļu kredīti, nosakot atbilstības kri</w:t>
            </w:r>
            <w:r>
              <w:rPr>
                <w:noProof/>
              </w:rPr>
              <w:t>tērijus, arī attiecībā uz minimālajiem enerģijas ietaupījumiem un pasākuma maksimālo izdevumu maksimālo apjomu.</w:t>
            </w:r>
          </w:p>
        </w:tc>
      </w:tr>
      <w:tr w:rsidR="00327FF1" w14:paraId="3632720D" w14:textId="77777777">
        <w:trPr>
          <w:trHeight w:val="64"/>
        </w:trPr>
        <w:tc>
          <w:tcPr>
            <w:tcW w:w="1187" w:type="dxa"/>
            <w:shd w:val="clear" w:color="auto" w:fill="C6EFCE"/>
            <w:noWrap/>
            <w:vAlign w:val="center"/>
          </w:tcPr>
          <w:p w14:paraId="5AD2C5D6" w14:textId="77777777" w:rsidR="00327FF1" w:rsidRDefault="00E406C7">
            <w:pPr>
              <w:pStyle w:val="P68B1DB1-Normal12"/>
              <w:jc w:val="center"/>
              <w:rPr>
                <w:noProof/>
              </w:rPr>
            </w:pPr>
            <w:r>
              <w:rPr>
                <w:noProof/>
              </w:rPr>
              <w:t>M7–41</w:t>
            </w:r>
          </w:p>
        </w:tc>
        <w:tc>
          <w:tcPr>
            <w:tcW w:w="1559" w:type="dxa"/>
            <w:shd w:val="clear" w:color="auto" w:fill="C6EFCE"/>
            <w:noWrap/>
            <w:vAlign w:val="center"/>
          </w:tcPr>
          <w:p w14:paraId="62FC7BE8" w14:textId="61F2F1CF" w:rsidR="00327FF1" w:rsidRDefault="00E406C7">
            <w:pPr>
              <w:pStyle w:val="P68B1DB1-Normal12"/>
              <w:jc w:val="center"/>
              <w:rPr>
                <w:noProof/>
              </w:rPr>
            </w:pPr>
            <w:r>
              <w:rPr>
                <w:noProof/>
              </w:rPr>
              <w:t>Investīcija Nr. 15: Transizione 5.0</w:t>
            </w:r>
          </w:p>
        </w:tc>
        <w:tc>
          <w:tcPr>
            <w:tcW w:w="1134" w:type="dxa"/>
            <w:shd w:val="clear" w:color="auto" w:fill="C6EFCE"/>
            <w:noWrap/>
            <w:vAlign w:val="center"/>
          </w:tcPr>
          <w:p w14:paraId="0B2A52F8" w14:textId="77777777" w:rsidR="00327FF1" w:rsidRDefault="00E406C7">
            <w:pPr>
              <w:pStyle w:val="P68B1DB1-Normal12"/>
              <w:jc w:val="center"/>
              <w:rPr>
                <w:noProof/>
              </w:rPr>
            </w:pPr>
            <w:r>
              <w:rPr>
                <w:noProof/>
              </w:rPr>
              <w:t>Mērķa</w:t>
            </w:r>
          </w:p>
        </w:tc>
        <w:tc>
          <w:tcPr>
            <w:tcW w:w="1417" w:type="dxa"/>
            <w:shd w:val="clear" w:color="auto" w:fill="C6EFCE"/>
            <w:noWrap/>
            <w:vAlign w:val="center"/>
          </w:tcPr>
          <w:p w14:paraId="71BDA5D8" w14:textId="77777777" w:rsidR="00327FF1" w:rsidRDefault="00E406C7">
            <w:pPr>
              <w:pStyle w:val="P68B1DB1-Normal12"/>
              <w:jc w:val="center"/>
              <w:rPr>
                <w:noProof/>
              </w:rPr>
            </w:pPr>
            <w:r>
              <w:rPr>
                <w:noProof/>
              </w:rPr>
              <w:t>ANM resursu piešķiršana</w:t>
            </w:r>
          </w:p>
        </w:tc>
        <w:tc>
          <w:tcPr>
            <w:tcW w:w="1701" w:type="dxa"/>
            <w:shd w:val="clear" w:color="auto" w:fill="C6EFCE"/>
            <w:noWrap/>
            <w:vAlign w:val="center"/>
          </w:tcPr>
          <w:p w14:paraId="139040B0" w14:textId="4C3321E6" w:rsidR="00327FF1" w:rsidRDefault="00E406C7">
            <w:pPr>
              <w:pStyle w:val="P68B1DB1-Normal12"/>
              <w:jc w:val="center"/>
              <w:rPr>
                <w:noProof/>
              </w:rPr>
            </w:pPr>
            <w:r>
              <w:rPr>
                <w:noProof/>
              </w:rPr>
              <w:t>NEPIEMĒRO</w:t>
            </w:r>
          </w:p>
        </w:tc>
        <w:tc>
          <w:tcPr>
            <w:tcW w:w="1276" w:type="dxa"/>
            <w:shd w:val="clear" w:color="auto" w:fill="C6EFCE"/>
            <w:noWrap/>
            <w:vAlign w:val="center"/>
          </w:tcPr>
          <w:p w14:paraId="200E6519" w14:textId="77777777" w:rsidR="00327FF1" w:rsidRDefault="00E406C7">
            <w:pPr>
              <w:pStyle w:val="P68B1DB1-Normal12"/>
              <w:jc w:val="center"/>
              <w:rPr>
                <w:noProof/>
              </w:rPr>
            </w:pPr>
            <w:r>
              <w:rPr>
                <w:noProof/>
              </w:rPr>
              <w:t>Piešķirto līdzekļu summa (EUR)</w:t>
            </w:r>
          </w:p>
        </w:tc>
        <w:tc>
          <w:tcPr>
            <w:tcW w:w="992" w:type="dxa"/>
            <w:shd w:val="clear" w:color="auto" w:fill="C6EFCE"/>
            <w:noWrap/>
            <w:vAlign w:val="center"/>
          </w:tcPr>
          <w:p w14:paraId="63493CA8" w14:textId="77777777" w:rsidR="00327FF1" w:rsidRDefault="00E406C7">
            <w:pPr>
              <w:pStyle w:val="P68B1DB1-Normal12"/>
              <w:jc w:val="center"/>
              <w:rPr>
                <w:noProof/>
              </w:rPr>
            </w:pPr>
            <w:r>
              <w:rPr>
                <w:noProof/>
              </w:rPr>
              <w:t>0</w:t>
            </w:r>
          </w:p>
        </w:tc>
        <w:tc>
          <w:tcPr>
            <w:tcW w:w="1276" w:type="dxa"/>
            <w:shd w:val="clear" w:color="auto" w:fill="C6EFCE"/>
            <w:noWrap/>
            <w:vAlign w:val="center"/>
          </w:tcPr>
          <w:p w14:paraId="0BA8EB4D" w14:textId="77777777" w:rsidR="00327FF1" w:rsidRDefault="00E406C7">
            <w:pPr>
              <w:pStyle w:val="P68B1DB1-Normal12"/>
              <w:jc w:val="center"/>
              <w:rPr>
                <w:noProof/>
              </w:rPr>
            </w:pPr>
            <w:r>
              <w:rPr>
                <w:noProof/>
              </w:rPr>
              <w:t>2 500 000 000</w:t>
            </w:r>
          </w:p>
        </w:tc>
        <w:tc>
          <w:tcPr>
            <w:tcW w:w="851" w:type="dxa"/>
            <w:shd w:val="clear" w:color="auto" w:fill="C6EFCE"/>
            <w:noWrap/>
            <w:vAlign w:val="center"/>
          </w:tcPr>
          <w:p w14:paraId="6A579C85" w14:textId="77777777" w:rsidR="00327FF1" w:rsidRDefault="00E406C7">
            <w:pPr>
              <w:pStyle w:val="P68B1DB1-Normal12"/>
              <w:jc w:val="center"/>
              <w:rPr>
                <w:noProof/>
              </w:rPr>
            </w:pPr>
            <w:r>
              <w:rPr>
                <w:noProof/>
              </w:rPr>
              <w:t>2. CET.</w:t>
            </w:r>
          </w:p>
        </w:tc>
        <w:tc>
          <w:tcPr>
            <w:tcW w:w="708" w:type="dxa"/>
            <w:shd w:val="clear" w:color="auto" w:fill="C6EFCE"/>
            <w:noWrap/>
            <w:vAlign w:val="center"/>
          </w:tcPr>
          <w:p w14:paraId="3E1C9952" w14:textId="77777777" w:rsidR="00327FF1" w:rsidRDefault="00E406C7">
            <w:pPr>
              <w:pStyle w:val="P68B1DB1-Normal12"/>
              <w:jc w:val="center"/>
              <w:rPr>
                <w:noProof/>
              </w:rPr>
            </w:pPr>
            <w:r>
              <w:rPr>
                <w:noProof/>
              </w:rPr>
              <w:t>2026</w:t>
            </w:r>
          </w:p>
        </w:tc>
        <w:tc>
          <w:tcPr>
            <w:tcW w:w="3261" w:type="dxa"/>
            <w:shd w:val="clear" w:color="auto" w:fill="C6EFCE"/>
            <w:noWrap/>
            <w:vAlign w:val="center"/>
          </w:tcPr>
          <w:p w14:paraId="1F468384" w14:textId="77777777" w:rsidR="00327FF1" w:rsidRDefault="00E406C7">
            <w:pPr>
              <w:pStyle w:val="P68B1DB1-Normal12"/>
              <w:rPr>
                <w:noProof/>
              </w:rPr>
            </w:pPr>
            <w:r>
              <w:rPr>
                <w:noProof/>
              </w:rPr>
              <w:t>Paziņojums par visu šai investīcijai paredzēto ANM resursu piešķiršanu.</w:t>
            </w:r>
          </w:p>
          <w:p w14:paraId="6A32B40E" w14:textId="3B17E63B" w:rsidR="00327FF1" w:rsidRDefault="00E406C7">
            <w:pPr>
              <w:pStyle w:val="P68B1DB1-Normal12"/>
              <w:rPr>
                <w:noProof/>
              </w:rPr>
            </w:pPr>
            <w:r>
              <w:rPr>
                <w:noProof/>
              </w:rPr>
              <w:t>Vismaz 1 135 000 000 EUR no investīcijas veicina klimata pārmaiņu mērķu sasniegšanu saskaņā ar ANM regulas VI pielikumu.</w:t>
            </w:r>
          </w:p>
        </w:tc>
      </w:tr>
      <w:tr w:rsidR="00327FF1" w14:paraId="222E27DF" w14:textId="77777777">
        <w:trPr>
          <w:trHeight w:val="309"/>
        </w:trPr>
        <w:tc>
          <w:tcPr>
            <w:tcW w:w="1187" w:type="dxa"/>
            <w:shd w:val="clear" w:color="auto" w:fill="C6EFCE"/>
            <w:noWrap/>
            <w:vAlign w:val="center"/>
          </w:tcPr>
          <w:p w14:paraId="484E24F4" w14:textId="77777777" w:rsidR="00327FF1" w:rsidRDefault="00E406C7">
            <w:pPr>
              <w:pStyle w:val="P68B1DB1-Normal12"/>
              <w:spacing w:after="120"/>
              <w:jc w:val="center"/>
              <w:rPr>
                <w:noProof/>
              </w:rPr>
            </w:pPr>
            <w:r>
              <w:rPr>
                <w:noProof/>
              </w:rPr>
              <w:t>M7–42</w:t>
            </w:r>
          </w:p>
        </w:tc>
        <w:tc>
          <w:tcPr>
            <w:tcW w:w="1559" w:type="dxa"/>
            <w:shd w:val="clear" w:color="auto" w:fill="C6EFCE"/>
            <w:noWrap/>
            <w:vAlign w:val="center"/>
          </w:tcPr>
          <w:p w14:paraId="78EC825F" w14:textId="40337D32" w:rsidR="00327FF1" w:rsidRDefault="00E406C7">
            <w:pPr>
              <w:pStyle w:val="P68B1DB1-Normal12"/>
              <w:spacing w:after="120"/>
              <w:jc w:val="center"/>
              <w:rPr>
                <w:noProof/>
              </w:rPr>
            </w:pPr>
            <w:r>
              <w:rPr>
                <w:noProof/>
              </w:rPr>
              <w:t>Investīcija Nr. 15: Transizione 5.0</w:t>
            </w:r>
          </w:p>
        </w:tc>
        <w:tc>
          <w:tcPr>
            <w:tcW w:w="1134" w:type="dxa"/>
            <w:shd w:val="clear" w:color="auto" w:fill="C6EFCE"/>
            <w:noWrap/>
            <w:vAlign w:val="center"/>
          </w:tcPr>
          <w:p w14:paraId="24527FA2" w14:textId="77777777" w:rsidR="00327FF1" w:rsidRDefault="00E406C7">
            <w:pPr>
              <w:pStyle w:val="P68B1DB1-Normal12"/>
              <w:spacing w:after="120"/>
              <w:jc w:val="center"/>
              <w:rPr>
                <w:noProof/>
              </w:rPr>
            </w:pPr>
            <w:r>
              <w:rPr>
                <w:noProof/>
              </w:rPr>
              <w:t>Mērķa</w:t>
            </w:r>
          </w:p>
        </w:tc>
        <w:tc>
          <w:tcPr>
            <w:tcW w:w="1417" w:type="dxa"/>
            <w:shd w:val="clear" w:color="auto" w:fill="C6EFCE"/>
            <w:noWrap/>
            <w:vAlign w:val="center"/>
          </w:tcPr>
          <w:p w14:paraId="0BF72CEA" w14:textId="77777777" w:rsidR="00327FF1" w:rsidRDefault="00E406C7">
            <w:pPr>
              <w:pStyle w:val="P68B1DB1-Normal12"/>
              <w:spacing w:after="120"/>
              <w:jc w:val="center"/>
              <w:rPr>
                <w:noProof/>
              </w:rPr>
            </w:pPr>
            <w:r>
              <w:rPr>
                <w:noProof/>
              </w:rPr>
              <w:t xml:space="preserve">0,16 Mtoe </w:t>
            </w:r>
            <w:r>
              <w:rPr>
                <w:noProof/>
              </w:rPr>
              <w:t>enerģijas ietaupījums enerģijas galapatēriņā 2024.–2026. gada periodā</w:t>
            </w:r>
          </w:p>
        </w:tc>
        <w:tc>
          <w:tcPr>
            <w:tcW w:w="1701" w:type="dxa"/>
            <w:shd w:val="clear" w:color="auto" w:fill="C6EFCE"/>
            <w:noWrap/>
            <w:vAlign w:val="center"/>
          </w:tcPr>
          <w:p w14:paraId="2482D64A" w14:textId="41A556A3" w:rsidR="00327FF1" w:rsidRDefault="00E406C7">
            <w:pPr>
              <w:pStyle w:val="P68B1DB1-Normal12"/>
              <w:spacing w:after="120"/>
              <w:jc w:val="center"/>
              <w:rPr>
                <w:noProof/>
              </w:rPr>
            </w:pPr>
            <w:r>
              <w:rPr>
                <w:noProof/>
              </w:rPr>
              <w:t>NEPIEMĒRO</w:t>
            </w:r>
          </w:p>
        </w:tc>
        <w:tc>
          <w:tcPr>
            <w:tcW w:w="1276" w:type="dxa"/>
            <w:shd w:val="clear" w:color="auto" w:fill="C6EFCE"/>
            <w:noWrap/>
            <w:vAlign w:val="center"/>
          </w:tcPr>
          <w:p w14:paraId="4A63A116" w14:textId="537142BC" w:rsidR="00327FF1" w:rsidRDefault="00E406C7">
            <w:pPr>
              <w:pStyle w:val="P68B1DB1-Normal12"/>
              <w:spacing w:after="120"/>
              <w:jc w:val="center"/>
              <w:rPr>
                <w:noProof/>
              </w:rPr>
            </w:pPr>
            <w:r>
              <w:rPr>
                <w:noProof/>
              </w:rPr>
              <w:t>MTOE</w:t>
            </w:r>
          </w:p>
        </w:tc>
        <w:tc>
          <w:tcPr>
            <w:tcW w:w="992" w:type="dxa"/>
            <w:shd w:val="clear" w:color="auto" w:fill="C6EFCE"/>
            <w:noWrap/>
            <w:vAlign w:val="center"/>
          </w:tcPr>
          <w:p w14:paraId="6B27986A" w14:textId="77777777" w:rsidR="00327FF1" w:rsidRDefault="00E406C7">
            <w:pPr>
              <w:pStyle w:val="P68B1DB1-Normal12"/>
              <w:spacing w:after="120"/>
              <w:jc w:val="center"/>
              <w:rPr>
                <w:noProof/>
              </w:rPr>
            </w:pPr>
            <w:r>
              <w:rPr>
                <w:noProof/>
              </w:rPr>
              <w:t>0</w:t>
            </w:r>
          </w:p>
        </w:tc>
        <w:tc>
          <w:tcPr>
            <w:tcW w:w="1276" w:type="dxa"/>
            <w:shd w:val="clear" w:color="auto" w:fill="C6EFCE"/>
            <w:noWrap/>
            <w:vAlign w:val="center"/>
          </w:tcPr>
          <w:p w14:paraId="690F0906" w14:textId="77777777" w:rsidR="00327FF1" w:rsidRDefault="00E406C7">
            <w:pPr>
              <w:pStyle w:val="P68B1DB1-Normal12"/>
              <w:spacing w:after="120"/>
              <w:jc w:val="center"/>
              <w:rPr>
                <w:noProof/>
              </w:rPr>
            </w:pPr>
            <w:r>
              <w:rPr>
                <w:noProof/>
              </w:rPr>
              <w:t>0.16</w:t>
            </w:r>
          </w:p>
        </w:tc>
        <w:tc>
          <w:tcPr>
            <w:tcW w:w="851" w:type="dxa"/>
            <w:shd w:val="clear" w:color="auto" w:fill="C6EFCE"/>
            <w:noWrap/>
            <w:vAlign w:val="center"/>
          </w:tcPr>
          <w:p w14:paraId="00DA2864" w14:textId="77777777" w:rsidR="00327FF1" w:rsidRDefault="00E406C7">
            <w:pPr>
              <w:pStyle w:val="P68B1DB1-Normal12"/>
              <w:spacing w:after="120"/>
              <w:jc w:val="center"/>
              <w:rPr>
                <w:noProof/>
              </w:rPr>
            </w:pPr>
            <w:r>
              <w:rPr>
                <w:noProof/>
              </w:rPr>
              <w:t>2. CET.</w:t>
            </w:r>
          </w:p>
        </w:tc>
        <w:tc>
          <w:tcPr>
            <w:tcW w:w="708" w:type="dxa"/>
            <w:shd w:val="clear" w:color="auto" w:fill="C6EFCE"/>
            <w:noWrap/>
            <w:vAlign w:val="center"/>
          </w:tcPr>
          <w:p w14:paraId="4C4C2572" w14:textId="77777777" w:rsidR="00327FF1" w:rsidRDefault="00E406C7">
            <w:pPr>
              <w:pStyle w:val="P68B1DB1-Normal12"/>
              <w:spacing w:after="120"/>
              <w:jc w:val="center"/>
              <w:rPr>
                <w:noProof/>
              </w:rPr>
            </w:pPr>
            <w:r>
              <w:rPr>
                <w:noProof/>
              </w:rPr>
              <w:t>2026</w:t>
            </w:r>
          </w:p>
        </w:tc>
        <w:tc>
          <w:tcPr>
            <w:tcW w:w="3261" w:type="dxa"/>
            <w:shd w:val="clear" w:color="auto" w:fill="C6EFCE"/>
            <w:noWrap/>
            <w:vAlign w:val="center"/>
          </w:tcPr>
          <w:p w14:paraId="2EF787EA" w14:textId="49A1ADB1" w:rsidR="00327FF1" w:rsidRDefault="00E406C7">
            <w:pPr>
              <w:pStyle w:val="P68B1DB1-Normal12"/>
              <w:spacing w:after="120"/>
              <w:rPr>
                <w:noProof/>
              </w:rPr>
            </w:pPr>
            <w:r>
              <w:rPr>
                <w:noProof/>
              </w:rPr>
              <w:t>Investīcija 2024.–2026. gada periodā rada enerģijas ietaupījumu 0,16 MTOE enerģijas galapatēriņā.</w:t>
            </w:r>
          </w:p>
          <w:p w14:paraId="20456B32" w14:textId="7CE15F74" w:rsidR="00327FF1" w:rsidRDefault="00327FF1">
            <w:pPr>
              <w:spacing w:after="120"/>
              <w:rPr>
                <w:rFonts w:ascii="Arial Narrow" w:hAnsi="Arial Narrow"/>
                <w:noProof/>
                <w:color w:val="006100"/>
                <w:sz w:val="20"/>
                <w:szCs w:val="20"/>
              </w:rPr>
            </w:pPr>
          </w:p>
        </w:tc>
      </w:tr>
      <w:tr w:rsidR="00327FF1" w14:paraId="6E8D66C2" w14:textId="77777777">
        <w:trPr>
          <w:trHeight w:val="309"/>
        </w:trPr>
        <w:tc>
          <w:tcPr>
            <w:tcW w:w="1187" w:type="dxa"/>
            <w:shd w:val="clear" w:color="auto" w:fill="C6EFCE"/>
            <w:noWrap/>
            <w:vAlign w:val="center"/>
          </w:tcPr>
          <w:p w14:paraId="5FBC4D28" w14:textId="77777777" w:rsidR="00327FF1" w:rsidRDefault="00E406C7">
            <w:pPr>
              <w:pStyle w:val="P68B1DB1-Normal11"/>
              <w:spacing w:after="120"/>
              <w:jc w:val="center"/>
              <w:rPr>
                <w:noProof/>
                <w:szCs w:val="20"/>
              </w:rPr>
            </w:pPr>
            <w:r>
              <w:rPr>
                <w:noProof/>
              </w:rPr>
              <w:t>M7–43</w:t>
            </w:r>
          </w:p>
        </w:tc>
        <w:tc>
          <w:tcPr>
            <w:tcW w:w="1559" w:type="dxa"/>
            <w:shd w:val="clear" w:color="auto" w:fill="C6EFCE"/>
            <w:noWrap/>
            <w:vAlign w:val="center"/>
          </w:tcPr>
          <w:p w14:paraId="55E8EBBE" w14:textId="77777777" w:rsidR="00327FF1" w:rsidRDefault="00E406C7">
            <w:pPr>
              <w:pStyle w:val="P68B1DB1-Normal11"/>
              <w:spacing w:after="120"/>
              <w:jc w:val="center"/>
              <w:rPr>
                <w:noProof/>
                <w:szCs w:val="20"/>
              </w:rPr>
            </w:pPr>
            <w:r>
              <w:rPr>
                <w:noProof/>
              </w:rPr>
              <w:t>Ieguldījums Nr. 16: Atbalsts MVU pašražošanai</w:t>
            </w:r>
            <w:r>
              <w:rPr>
                <w:noProof/>
              </w:rPr>
              <w:t xml:space="preserve"> no atjaunojamiem enerģijas avotiem</w:t>
            </w:r>
          </w:p>
        </w:tc>
        <w:tc>
          <w:tcPr>
            <w:tcW w:w="1134" w:type="dxa"/>
            <w:shd w:val="clear" w:color="auto" w:fill="C6EFCE"/>
            <w:noWrap/>
            <w:vAlign w:val="center"/>
          </w:tcPr>
          <w:p w14:paraId="63A8CDA9" w14:textId="77777777" w:rsidR="00327FF1" w:rsidRDefault="00E406C7">
            <w:pPr>
              <w:pStyle w:val="P68B1DB1-Normal11"/>
              <w:spacing w:after="120"/>
              <w:jc w:val="center"/>
              <w:rPr>
                <w:noProof/>
                <w:szCs w:val="20"/>
              </w:rPr>
            </w:pPr>
            <w:r>
              <w:rPr>
                <w:noProof/>
              </w:rPr>
              <w:t>Atskaites punkts</w:t>
            </w:r>
          </w:p>
        </w:tc>
        <w:tc>
          <w:tcPr>
            <w:tcW w:w="1417" w:type="dxa"/>
            <w:shd w:val="clear" w:color="auto" w:fill="C6EFCE"/>
            <w:noWrap/>
            <w:vAlign w:val="center"/>
          </w:tcPr>
          <w:p w14:paraId="5DE6ACFA" w14:textId="77777777" w:rsidR="00327FF1" w:rsidRDefault="00E406C7">
            <w:pPr>
              <w:pStyle w:val="P68B1DB1-Normal11"/>
              <w:spacing w:after="120"/>
              <w:jc w:val="center"/>
              <w:rPr>
                <w:noProof/>
                <w:szCs w:val="20"/>
              </w:rPr>
            </w:pPr>
            <w:r>
              <w:rPr>
                <w:noProof/>
              </w:rPr>
              <w:t>Īstenošanas nolīgums</w:t>
            </w:r>
          </w:p>
        </w:tc>
        <w:tc>
          <w:tcPr>
            <w:tcW w:w="1701" w:type="dxa"/>
            <w:shd w:val="clear" w:color="auto" w:fill="C6EFCE"/>
            <w:noWrap/>
            <w:vAlign w:val="center"/>
          </w:tcPr>
          <w:p w14:paraId="7586D1D4" w14:textId="77777777" w:rsidR="00327FF1" w:rsidRDefault="00E406C7">
            <w:pPr>
              <w:pStyle w:val="P68B1DB1-Normal11"/>
              <w:spacing w:after="120"/>
              <w:jc w:val="center"/>
              <w:rPr>
                <w:noProof/>
                <w:szCs w:val="20"/>
              </w:rPr>
            </w:pPr>
            <w:r>
              <w:rPr>
                <w:noProof/>
              </w:rPr>
              <w:t>Īstenošanas nolīguma stāšanās spēkā</w:t>
            </w:r>
          </w:p>
        </w:tc>
        <w:tc>
          <w:tcPr>
            <w:tcW w:w="1276" w:type="dxa"/>
            <w:shd w:val="clear" w:color="auto" w:fill="C6EFCE"/>
            <w:noWrap/>
            <w:vAlign w:val="center"/>
          </w:tcPr>
          <w:p w14:paraId="502C9824" w14:textId="77777777" w:rsidR="00327FF1" w:rsidRDefault="00327FF1">
            <w:pPr>
              <w:spacing w:after="120"/>
              <w:jc w:val="center"/>
              <w:rPr>
                <w:rFonts w:ascii="Arial Narrow" w:hAnsi="Arial Narrow"/>
                <w:noProof/>
                <w:color w:val="006100"/>
                <w:sz w:val="20"/>
                <w:szCs w:val="20"/>
              </w:rPr>
            </w:pPr>
          </w:p>
        </w:tc>
        <w:tc>
          <w:tcPr>
            <w:tcW w:w="992" w:type="dxa"/>
            <w:shd w:val="clear" w:color="auto" w:fill="C6EFCE"/>
            <w:noWrap/>
            <w:vAlign w:val="center"/>
          </w:tcPr>
          <w:p w14:paraId="59D58D18" w14:textId="77777777" w:rsidR="00327FF1" w:rsidRDefault="00327FF1">
            <w:pPr>
              <w:spacing w:after="120"/>
              <w:jc w:val="center"/>
              <w:rPr>
                <w:rFonts w:ascii="Arial Narrow" w:hAnsi="Arial Narrow"/>
                <w:noProof/>
                <w:color w:val="006100"/>
                <w:sz w:val="20"/>
                <w:szCs w:val="20"/>
              </w:rPr>
            </w:pPr>
          </w:p>
        </w:tc>
        <w:tc>
          <w:tcPr>
            <w:tcW w:w="1276" w:type="dxa"/>
            <w:shd w:val="clear" w:color="auto" w:fill="C6EFCE"/>
            <w:noWrap/>
            <w:vAlign w:val="center"/>
          </w:tcPr>
          <w:p w14:paraId="7092C0C3" w14:textId="77777777" w:rsidR="00327FF1" w:rsidRDefault="00327FF1">
            <w:pPr>
              <w:spacing w:after="120"/>
              <w:jc w:val="center"/>
              <w:rPr>
                <w:rFonts w:ascii="Arial Narrow" w:hAnsi="Arial Narrow"/>
                <w:noProof/>
                <w:color w:val="006100"/>
                <w:sz w:val="20"/>
                <w:szCs w:val="20"/>
              </w:rPr>
            </w:pPr>
          </w:p>
        </w:tc>
        <w:tc>
          <w:tcPr>
            <w:tcW w:w="851" w:type="dxa"/>
            <w:shd w:val="clear" w:color="auto" w:fill="C6EFCE"/>
            <w:noWrap/>
            <w:vAlign w:val="center"/>
          </w:tcPr>
          <w:p w14:paraId="48F9DA06" w14:textId="77777777" w:rsidR="00327FF1" w:rsidRDefault="00E406C7">
            <w:pPr>
              <w:pStyle w:val="P68B1DB1-Normal11"/>
              <w:spacing w:after="120"/>
              <w:jc w:val="center"/>
              <w:rPr>
                <w:noProof/>
                <w:szCs w:val="20"/>
              </w:rPr>
            </w:pPr>
            <w:r>
              <w:rPr>
                <w:noProof/>
              </w:rPr>
              <w:t>4. CET.</w:t>
            </w:r>
          </w:p>
        </w:tc>
        <w:tc>
          <w:tcPr>
            <w:tcW w:w="708" w:type="dxa"/>
            <w:shd w:val="clear" w:color="auto" w:fill="C6EFCE"/>
            <w:noWrap/>
            <w:vAlign w:val="center"/>
          </w:tcPr>
          <w:p w14:paraId="342DE249" w14:textId="77777777" w:rsidR="00327FF1" w:rsidRDefault="00E406C7">
            <w:pPr>
              <w:pStyle w:val="P68B1DB1-Normal11"/>
              <w:spacing w:after="120"/>
              <w:jc w:val="center"/>
              <w:rPr>
                <w:noProof/>
                <w:szCs w:val="20"/>
              </w:rPr>
            </w:pPr>
            <w:r>
              <w:rPr>
                <w:noProof/>
              </w:rPr>
              <w:t>2024</w:t>
            </w:r>
          </w:p>
        </w:tc>
        <w:tc>
          <w:tcPr>
            <w:tcW w:w="3261" w:type="dxa"/>
            <w:shd w:val="clear" w:color="auto" w:fill="C6EFCE"/>
            <w:noWrap/>
            <w:vAlign w:val="center"/>
          </w:tcPr>
          <w:p w14:paraId="5F4ED6A5" w14:textId="77777777" w:rsidR="00327FF1" w:rsidRDefault="00E406C7">
            <w:pPr>
              <w:pStyle w:val="P68B1DB1-Normal11"/>
              <w:spacing w:after="120"/>
              <w:rPr>
                <w:noProof/>
                <w:szCs w:val="20"/>
              </w:rPr>
            </w:pPr>
            <w:r>
              <w:rPr>
                <w:noProof/>
              </w:rPr>
              <w:t>Īstenošanas nolīguma stāšanās spēkā.</w:t>
            </w:r>
          </w:p>
        </w:tc>
      </w:tr>
      <w:tr w:rsidR="00327FF1" w14:paraId="7F1D4D35" w14:textId="77777777">
        <w:trPr>
          <w:trHeight w:val="309"/>
        </w:trPr>
        <w:tc>
          <w:tcPr>
            <w:tcW w:w="1187" w:type="dxa"/>
            <w:shd w:val="clear" w:color="auto" w:fill="C6EFCE"/>
            <w:noWrap/>
            <w:vAlign w:val="center"/>
          </w:tcPr>
          <w:p w14:paraId="41AC131E" w14:textId="77777777" w:rsidR="00327FF1" w:rsidRDefault="00E406C7">
            <w:pPr>
              <w:pStyle w:val="P68B1DB1-Normal11"/>
              <w:spacing w:after="120"/>
              <w:jc w:val="center"/>
              <w:rPr>
                <w:noProof/>
                <w:color w:val="000000" w:themeColor="text1"/>
                <w:szCs w:val="20"/>
              </w:rPr>
            </w:pPr>
            <w:r>
              <w:rPr>
                <w:noProof/>
              </w:rPr>
              <w:t>M7–44</w:t>
            </w:r>
          </w:p>
        </w:tc>
        <w:tc>
          <w:tcPr>
            <w:tcW w:w="1559" w:type="dxa"/>
            <w:shd w:val="clear" w:color="auto" w:fill="C6EFCE"/>
            <w:noWrap/>
            <w:vAlign w:val="center"/>
          </w:tcPr>
          <w:p w14:paraId="01663C72" w14:textId="77777777" w:rsidR="00327FF1" w:rsidRDefault="00E406C7">
            <w:pPr>
              <w:pStyle w:val="P68B1DB1-Normal11"/>
              <w:spacing w:after="120"/>
              <w:jc w:val="center"/>
              <w:rPr>
                <w:noProof/>
                <w:szCs w:val="20"/>
              </w:rPr>
            </w:pPr>
            <w:r>
              <w:rPr>
                <w:noProof/>
              </w:rPr>
              <w:t>Ieguldījums Nr. 16: Atbalsts MVU pašražošanai no atjaunojamiem enerģijas avotiem</w:t>
            </w:r>
          </w:p>
        </w:tc>
        <w:tc>
          <w:tcPr>
            <w:tcW w:w="1134" w:type="dxa"/>
            <w:shd w:val="clear" w:color="auto" w:fill="C6EFCE"/>
            <w:noWrap/>
            <w:vAlign w:val="center"/>
          </w:tcPr>
          <w:p w14:paraId="4A298D06" w14:textId="77777777" w:rsidR="00327FF1" w:rsidRDefault="00E406C7">
            <w:pPr>
              <w:pStyle w:val="P68B1DB1-Normal11"/>
              <w:spacing w:after="120"/>
              <w:jc w:val="center"/>
              <w:rPr>
                <w:noProof/>
                <w:szCs w:val="20"/>
              </w:rPr>
            </w:pPr>
            <w:r>
              <w:rPr>
                <w:noProof/>
              </w:rPr>
              <w:t>Atskaites punkts</w:t>
            </w:r>
          </w:p>
        </w:tc>
        <w:tc>
          <w:tcPr>
            <w:tcW w:w="1417" w:type="dxa"/>
            <w:shd w:val="clear" w:color="auto" w:fill="C6EFCE"/>
            <w:noWrap/>
            <w:vAlign w:val="center"/>
          </w:tcPr>
          <w:p w14:paraId="3713EE15" w14:textId="77777777" w:rsidR="00327FF1" w:rsidRDefault="00E406C7">
            <w:pPr>
              <w:pStyle w:val="P68B1DB1-Normal11"/>
              <w:spacing w:after="120"/>
              <w:jc w:val="center"/>
              <w:rPr>
                <w:noProof/>
                <w:szCs w:val="20"/>
              </w:rPr>
            </w:pPr>
            <w:r>
              <w:rPr>
                <w:noProof/>
              </w:rPr>
              <w:t>Itālijas Uzņēmumu un ražotāju ministrija ir pabeigusi līdzekļu pārskaitīšanu Invitalia</w:t>
            </w:r>
          </w:p>
        </w:tc>
        <w:tc>
          <w:tcPr>
            <w:tcW w:w="1701" w:type="dxa"/>
            <w:shd w:val="clear" w:color="auto" w:fill="C6EFCE"/>
            <w:noWrap/>
            <w:vAlign w:val="center"/>
          </w:tcPr>
          <w:p w14:paraId="12A164D6" w14:textId="77777777" w:rsidR="00327FF1" w:rsidRDefault="00E406C7">
            <w:pPr>
              <w:pStyle w:val="P68B1DB1-Normal11"/>
              <w:spacing w:after="120"/>
              <w:jc w:val="center"/>
              <w:rPr>
                <w:noProof/>
                <w:szCs w:val="20"/>
              </w:rPr>
            </w:pPr>
            <w:r>
              <w:rPr>
                <w:noProof/>
              </w:rPr>
              <w:t>Nodošanas sertifikāts</w:t>
            </w:r>
          </w:p>
        </w:tc>
        <w:tc>
          <w:tcPr>
            <w:tcW w:w="1276" w:type="dxa"/>
            <w:shd w:val="clear" w:color="auto" w:fill="C6EFCE"/>
            <w:noWrap/>
            <w:vAlign w:val="center"/>
          </w:tcPr>
          <w:p w14:paraId="54A62AFA" w14:textId="77777777" w:rsidR="00327FF1" w:rsidRDefault="00327FF1">
            <w:pPr>
              <w:spacing w:after="120"/>
              <w:jc w:val="center"/>
              <w:rPr>
                <w:rFonts w:ascii="Arial Narrow" w:hAnsi="Arial Narrow"/>
                <w:noProof/>
                <w:color w:val="006100"/>
                <w:sz w:val="20"/>
                <w:szCs w:val="20"/>
              </w:rPr>
            </w:pPr>
          </w:p>
        </w:tc>
        <w:tc>
          <w:tcPr>
            <w:tcW w:w="992" w:type="dxa"/>
            <w:shd w:val="clear" w:color="auto" w:fill="C6EFCE"/>
            <w:noWrap/>
            <w:vAlign w:val="center"/>
          </w:tcPr>
          <w:p w14:paraId="05CB8C5F" w14:textId="77777777" w:rsidR="00327FF1" w:rsidRDefault="00327FF1">
            <w:pPr>
              <w:spacing w:after="120"/>
              <w:jc w:val="center"/>
              <w:rPr>
                <w:rFonts w:ascii="Arial Narrow" w:hAnsi="Arial Narrow"/>
                <w:noProof/>
                <w:color w:val="006100"/>
                <w:sz w:val="20"/>
                <w:szCs w:val="20"/>
              </w:rPr>
            </w:pPr>
          </w:p>
        </w:tc>
        <w:tc>
          <w:tcPr>
            <w:tcW w:w="1276" w:type="dxa"/>
            <w:shd w:val="clear" w:color="auto" w:fill="C6EFCE"/>
            <w:noWrap/>
            <w:vAlign w:val="center"/>
          </w:tcPr>
          <w:p w14:paraId="6CD4B9ED" w14:textId="77777777" w:rsidR="00327FF1" w:rsidRDefault="00327FF1">
            <w:pPr>
              <w:spacing w:after="120"/>
              <w:jc w:val="center"/>
              <w:rPr>
                <w:rFonts w:ascii="Arial Narrow" w:hAnsi="Arial Narrow"/>
                <w:noProof/>
                <w:color w:val="006100"/>
                <w:sz w:val="20"/>
                <w:szCs w:val="20"/>
              </w:rPr>
            </w:pPr>
          </w:p>
        </w:tc>
        <w:tc>
          <w:tcPr>
            <w:tcW w:w="851" w:type="dxa"/>
            <w:shd w:val="clear" w:color="auto" w:fill="C6EFCE"/>
            <w:noWrap/>
            <w:vAlign w:val="center"/>
          </w:tcPr>
          <w:p w14:paraId="37EDB9C0" w14:textId="77777777" w:rsidR="00327FF1" w:rsidRDefault="00E406C7">
            <w:pPr>
              <w:pStyle w:val="P68B1DB1-Normal11"/>
              <w:spacing w:after="120"/>
              <w:jc w:val="center"/>
              <w:rPr>
                <w:noProof/>
                <w:szCs w:val="20"/>
              </w:rPr>
            </w:pPr>
            <w:r>
              <w:rPr>
                <w:noProof/>
              </w:rPr>
              <w:t>4. CET.</w:t>
            </w:r>
          </w:p>
        </w:tc>
        <w:tc>
          <w:tcPr>
            <w:tcW w:w="708" w:type="dxa"/>
            <w:shd w:val="clear" w:color="auto" w:fill="C6EFCE"/>
            <w:noWrap/>
            <w:vAlign w:val="center"/>
          </w:tcPr>
          <w:p w14:paraId="35FBCFF2" w14:textId="77777777" w:rsidR="00327FF1" w:rsidRDefault="00E406C7">
            <w:pPr>
              <w:pStyle w:val="P68B1DB1-Normal11"/>
              <w:spacing w:after="120"/>
              <w:jc w:val="center"/>
              <w:rPr>
                <w:noProof/>
                <w:szCs w:val="20"/>
              </w:rPr>
            </w:pPr>
            <w:r>
              <w:rPr>
                <w:noProof/>
              </w:rPr>
              <w:t>2024</w:t>
            </w:r>
          </w:p>
        </w:tc>
        <w:tc>
          <w:tcPr>
            <w:tcW w:w="3261" w:type="dxa"/>
            <w:shd w:val="clear" w:color="auto" w:fill="C6EFCE"/>
            <w:noWrap/>
            <w:vAlign w:val="center"/>
          </w:tcPr>
          <w:p w14:paraId="18653E8C" w14:textId="37F239AA" w:rsidR="00327FF1" w:rsidRDefault="00E406C7">
            <w:pPr>
              <w:pStyle w:val="P68B1DB1-Normal12"/>
              <w:spacing w:after="120"/>
              <w:rPr>
                <w:noProof/>
              </w:rPr>
            </w:pPr>
            <w:r>
              <w:rPr>
                <w:noProof/>
              </w:rPr>
              <w:t>Itālija pārvieto EUR 155000000 uz Invitalia mehānisma vajadzībām.</w:t>
            </w:r>
          </w:p>
        </w:tc>
      </w:tr>
      <w:tr w:rsidR="00327FF1" w14:paraId="7AED0A06" w14:textId="77777777">
        <w:trPr>
          <w:trHeight w:val="309"/>
        </w:trPr>
        <w:tc>
          <w:tcPr>
            <w:tcW w:w="1187" w:type="dxa"/>
            <w:shd w:val="clear" w:color="auto" w:fill="C6EFCE"/>
            <w:noWrap/>
            <w:vAlign w:val="center"/>
          </w:tcPr>
          <w:p w14:paraId="2227EDFB" w14:textId="77777777" w:rsidR="00327FF1" w:rsidRDefault="00E406C7">
            <w:pPr>
              <w:pStyle w:val="P68B1DB1-Normal11"/>
              <w:spacing w:after="120"/>
              <w:jc w:val="center"/>
              <w:rPr>
                <w:noProof/>
                <w:szCs w:val="20"/>
              </w:rPr>
            </w:pPr>
            <w:r>
              <w:rPr>
                <w:noProof/>
              </w:rPr>
              <w:t>M7–45</w:t>
            </w:r>
          </w:p>
        </w:tc>
        <w:tc>
          <w:tcPr>
            <w:tcW w:w="1559" w:type="dxa"/>
            <w:shd w:val="clear" w:color="auto" w:fill="C6EFCE"/>
            <w:noWrap/>
            <w:vAlign w:val="center"/>
          </w:tcPr>
          <w:p w14:paraId="70E1763F" w14:textId="77777777" w:rsidR="00327FF1" w:rsidRDefault="00E406C7">
            <w:pPr>
              <w:pStyle w:val="P68B1DB1-Normal11"/>
              <w:spacing w:after="120"/>
              <w:jc w:val="center"/>
              <w:rPr>
                <w:noProof/>
                <w:szCs w:val="20"/>
              </w:rPr>
            </w:pPr>
            <w:r>
              <w:rPr>
                <w:noProof/>
              </w:rPr>
              <w:t xml:space="preserve">Ieguldījums Nr. 16: Atbalsts MVU </w:t>
            </w:r>
            <w:r>
              <w:rPr>
                <w:noProof/>
              </w:rPr>
              <w:t>pašražošanai no atjaunojamiem enerģijas avotiem</w:t>
            </w:r>
          </w:p>
        </w:tc>
        <w:tc>
          <w:tcPr>
            <w:tcW w:w="1134" w:type="dxa"/>
            <w:shd w:val="clear" w:color="auto" w:fill="C6EFCE"/>
            <w:noWrap/>
            <w:vAlign w:val="center"/>
          </w:tcPr>
          <w:p w14:paraId="14823458" w14:textId="77777777" w:rsidR="00327FF1" w:rsidRDefault="00E406C7">
            <w:pPr>
              <w:pStyle w:val="P68B1DB1-Normal11"/>
              <w:spacing w:after="120"/>
              <w:jc w:val="center"/>
              <w:rPr>
                <w:noProof/>
                <w:szCs w:val="20"/>
              </w:rPr>
            </w:pPr>
            <w:r>
              <w:rPr>
                <w:noProof/>
              </w:rPr>
              <w:t>Mērķa</w:t>
            </w:r>
          </w:p>
        </w:tc>
        <w:tc>
          <w:tcPr>
            <w:tcW w:w="1417" w:type="dxa"/>
            <w:shd w:val="clear" w:color="auto" w:fill="C6EFCE"/>
            <w:noWrap/>
            <w:vAlign w:val="center"/>
          </w:tcPr>
          <w:p w14:paraId="621EC558" w14:textId="77777777" w:rsidR="00327FF1" w:rsidRDefault="00E406C7">
            <w:pPr>
              <w:pStyle w:val="P68B1DB1-Normal11"/>
              <w:spacing w:after="120"/>
              <w:jc w:val="center"/>
              <w:rPr>
                <w:noProof/>
                <w:szCs w:val="20"/>
              </w:rPr>
            </w:pPr>
            <w:r>
              <w:rPr>
                <w:noProof/>
              </w:rPr>
              <w:t>Juridiski nolīgumi ar galīgajiem saņēmējiem</w:t>
            </w:r>
          </w:p>
        </w:tc>
        <w:tc>
          <w:tcPr>
            <w:tcW w:w="1701" w:type="dxa"/>
            <w:shd w:val="clear" w:color="auto" w:fill="C6EFCE"/>
            <w:noWrap/>
            <w:vAlign w:val="center"/>
          </w:tcPr>
          <w:p w14:paraId="5185B5B5" w14:textId="77777777" w:rsidR="00327FF1" w:rsidRDefault="00E406C7">
            <w:pPr>
              <w:pStyle w:val="P68B1DB1-Normal11"/>
              <w:spacing w:after="120"/>
              <w:jc w:val="center"/>
              <w:rPr>
                <w:noProof/>
                <w:szCs w:val="20"/>
              </w:rPr>
            </w:pPr>
            <w:r>
              <w:rPr>
                <w:noProof/>
              </w:rPr>
              <w:t>NEPIEMĒRO</w:t>
            </w:r>
          </w:p>
        </w:tc>
        <w:tc>
          <w:tcPr>
            <w:tcW w:w="1276" w:type="dxa"/>
            <w:shd w:val="clear" w:color="auto" w:fill="C6EFCE"/>
            <w:noWrap/>
            <w:vAlign w:val="center"/>
          </w:tcPr>
          <w:p w14:paraId="1198BA72" w14:textId="77777777" w:rsidR="00327FF1" w:rsidRDefault="00E406C7">
            <w:pPr>
              <w:pStyle w:val="P68B1DB1-Normal11"/>
              <w:jc w:val="center"/>
              <w:rPr>
                <w:noProof/>
                <w:szCs w:val="20"/>
              </w:rPr>
            </w:pPr>
            <w:r>
              <w:rPr>
                <w:noProof/>
              </w:rPr>
              <w:t>Procentuālā daļa (%)</w:t>
            </w:r>
          </w:p>
        </w:tc>
        <w:tc>
          <w:tcPr>
            <w:tcW w:w="992" w:type="dxa"/>
            <w:shd w:val="clear" w:color="auto" w:fill="C6EFCE"/>
            <w:noWrap/>
            <w:vAlign w:val="center"/>
          </w:tcPr>
          <w:p w14:paraId="2B356B27" w14:textId="77777777" w:rsidR="00327FF1" w:rsidRDefault="00E406C7">
            <w:pPr>
              <w:pStyle w:val="P68B1DB1-Normal11"/>
              <w:spacing w:after="120"/>
              <w:jc w:val="center"/>
              <w:rPr>
                <w:noProof/>
                <w:szCs w:val="20"/>
              </w:rPr>
            </w:pPr>
            <w:r>
              <w:rPr>
                <w:noProof/>
              </w:rPr>
              <w:t>0</w:t>
            </w:r>
          </w:p>
        </w:tc>
        <w:tc>
          <w:tcPr>
            <w:tcW w:w="1276" w:type="dxa"/>
            <w:shd w:val="clear" w:color="auto" w:fill="C6EFCE"/>
            <w:noWrap/>
            <w:vAlign w:val="center"/>
          </w:tcPr>
          <w:p w14:paraId="3B5C7270" w14:textId="77777777" w:rsidR="00327FF1" w:rsidRDefault="00E406C7">
            <w:pPr>
              <w:pStyle w:val="P68B1DB1-Normal11"/>
              <w:spacing w:after="120"/>
              <w:jc w:val="center"/>
              <w:rPr>
                <w:noProof/>
                <w:szCs w:val="20"/>
              </w:rPr>
            </w:pPr>
            <w:r>
              <w:rPr>
                <w:noProof/>
              </w:rPr>
              <w:t>100 %</w:t>
            </w:r>
          </w:p>
        </w:tc>
        <w:tc>
          <w:tcPr>
            <w:tcW w:w="851" w:type="dxa"/>
            <w:shd w:val="clear" w:color="auto" w:fill="C6EFCE"/>
            <w:noWrap/>
            <w:vAlign w:val="center"/>
          </w:tcPr>
          <w:p w14:paraId="649F0029" w14:textId="77777777" w:rsidR="00327FF1" w:rsidRDefault="00E406C7">
            <w:pPr>
              <w:pStyle w:val="P68B1DB1-Normal11"/>
              <w:spacing w:after="120"/>
              <w:jc w:val="center"/>
              <w:rPr>
                <w:noProof/>
                <w:szCs w:val="20"/>
              </w:rPr>
            </w:pPr>
            <w:r>
              <w:rPr>
                <w:noProof/>
              </w:rPr>
              <w:t>2. CET.</w:t>
            </w:r>
          </w:p>
        </w:tc>
        <w:tc>
          <w:tcPr>
            <w:tcW w:w="708" w:type="dxa"/>
            <w:shd w:val="clear" w:color="auto" w:fill="C6EFCE"/>
            <w:noWrap/>
            <w:vAlign w:val="center"/>
          </w:tcPr>
          <w:p w14:paraId="42D61E0E" w14:textId="77777777" w:rsidR="00327FF1" w:rsidRDefault="00E406C7">
            <w:pPr>
              <w:pStyle w:val="P68B1DB1-Normal11"/>
              <w:spacing w:after="120"/>
              <w:jc w:val="center"/>
              <w:rPr>
                <w:noProof/>
                <w:szCs w:val="20"/>
              </w:rPr>
            </w:pPr>
            <w:r>
              <w:rPr>
                <w:noProof/>
              </w:rPr>
              <w:t>2026</w:t>
            </w:r>
          </w:p>
        </w:tc>
        <w:tc>
          <w:tcPr>
            <w:tcW w:w="3261" w:type="dxa"/>
            <w:shd w:val="clear" w:color="auto" w:fill="C6EFCE"/>
            <w:noWrap/>
            <w:vAlign w:val="center"/>
          </w:tcPr>
          <w:p w14:paraId="162740C9" w14:textId="02ED26C4" w:rsidR="00327FF1" w:rsidRDefault="00E406C7">
            <w:pPr>
              <w:pStyle w:val="P68B1DB1-Normal11"/>
              <w:spacing w:after="120"/>
              <w:rPr>
                <w:noProof/>
              </w:rPr>
            </w:pPr>
            <w:r>
              <w:rPr>
                <w:noProof/>
                <w:szCs w:val="20"/>
              </w:rPr>
              <w:t xml:space="preserve">Invitalia S.p.A. ir noslēgusi </w:t>
            </w:r>
            <w:r>
              <w:rPr>
                <w:noProof/>
              </w:rPr>
              <w:t xml:space="preserve">juridiskus nolīgumus ar galīgajiem saņēmējiem par summu, kas nepieciešama, lai shēmā izmantotu 100 % ANM investīciju (ņemot vērā pārvaldības maksas). </w:t>
            </w:r>
          </w:p>
        </w:tc>
      </w:tr>
      <w:tr w:rsidR="00327FF1" w14:paraId="47176A85" w14:textId="77777777">
        <w:trPr>
          <w:trHeight w:val="309"/>
        </w:trPr>
        <w:tc>
          <w:tcPr>
            <w:tcW w:w="11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A6926B" w14:textId="77777777" w:rsidR="00327FF1" w:rsidRDefault="00E406C7">
            <w:pPr>
              <w:pStyle w:val="P68B1DB1-Normal11"/>
              <w:spacing w:after="120"/>
              <w:jc w:val="center"/>
              <w:rPr>
                <w:noProof/>
                <w:szCs w:val="20"/>
              </w:rPr>
            </w:pPr>
            <w:r>
              <w:rPr>
                <w:noProof/>
              </w:rPr>
              <w:t>M7–46</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C1804" w14:textId="3B1A0156" w:rsidR="00327FF1" w:rsidRDefault="00E406C7">
            <w:pPr>
              <w:pStyle w:val="P68B1DB1-Normal12"/>
              <w:spacing w:after="120"/>
              <w:jc w:val="center"/>
              <w:rPr>
                <w:noProof/>
              </w:rPr>
            </w:pPr>
            <w:r>
              <w:rPr>
                <w:noProof/>
              </w:rPr>
              <w:t xml:space="preserve">Investīcija Nr. 17: Finanšu instruments publisko dzīvojamo māju energorenovācijai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2491D" w14:textId="77777777" w:rsidR="00327FF1" w:rsidRDefault="00E406C7">
            <w:pPr>
              <w:pStyle w:val="P68B1DB1-Normal11"/>
              <w:spacing w:after="120"/>
              <w:jc w:val="center"/>
              <w:rPr>
                <w:noProof/>
              </w:rPr>
            </w:pPr>
            <w:r>
              <w:rPr>
                <w:noProof/>
              </w:rPr>
              <w:t xml:space="preserve">Atskaites </w:t>
            </w:r>
            <w:r>
              <w:rPr>
                <w:noProof/>
              </w:rPr>
              <w:t>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FBBA85" w14:textId="77777777" w:rsidR="00327FF1" w:rsidRDefault="00E406C7">
            <w:pPr>
              <w:pStyle w:val="P68B1DB1-Normal11"/>
              <w:spacing w:after="120"/>
              <w:jc w:val="center"/>
              <w:rPr>
                <w:noProof/>
              </w:rPr>
            </w:pPr>
            <w:r>
              <w:rPr>
                <w:noProof/>
              </w:rPr>
              <w:t>Darba uzdevuma mērķa definīcija</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2F6A1E" w14:textId="77777777" w:rsidR="00327FF1" w:rsidRDefault="00E406C7">
            <w:pPr>
              <w:pStyle w:val="P68B1DB1-Normal11"/>
              <w:spacing w:after="120"/>
              <w:jc w:val="center"/>
              <w:rPr>
                <w:noProof/>
              </w:rPr>
            </w:pPr>
            <w:r>
              <w:rPr>
                <w:noProof/>
              </w:rPr>
              <w:t>Tiesību akta stāšanās spēkā ar finanšu instrumenta darba uzdevuma definīciju</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6C6A8" w14:textId="77777777" w:rsidR="00327FF1" w:rsidRDefault="00327FF1">
            <w:pPr>
              <w:spacing w:after="120"/>
              <w:jc w:val="center"/>
              <w:rPr>
                <w:rFonts w:ascii="Arial Narrow" w:hAnsi="Arial Narrow"/>
                <w:noProof/>
                <w:color w:val="0061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FFF8FD" w14:textId="77777777" w:rsidR="00327FF1" w:rsidRDefault="00327FF1">
            <w:pPr>
              <w:spacing w:after="120"/>
              <w:jc w:val="center"/>
              <w:rPr>
                <w:rFonts w:ascii="Arial Narrow" w:hAnsi="Arial Narrow"/>
                <w:noProof/>
                <w:color w:val="0061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FFF993" w14:textId="77777777" w:rsidR="00327FF1" w:rsidRDefault="00327FF1">
            <w:pPr>
              <w:spacing w:after="120"/>
              <w:jc w:val="center"/>
              <w:rPr>
                <w:rFonts w:ascii="Arial Narrow" w:hAnsi="Arial Narrow"/>
                <w:noProof/>
                <w:color w:val="0061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1632F4" w14:textId="77777777" w:rsidR="00327FF1" w:rsidRDefault="00E406C7">
            <w:pPr>
              <w:pStyle w:val="P68B1DB1-Normal11"/>
              <w:spacing w:after="120"/>
              <w:jc w:val="center"/>
              <w:rPr>
                <w:noProof/>
                <w:szCs w:val="20"/>
              </w:rPr>
            </w:pPr>
            <w:r>
              <w:rPr>
                <w:noProof/>
              </w:rPr>
              <w:t>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D771C" w14:textId="77777777" w:rsidR="00327FF1" w:rsidRDefault="00E406C7">
            <w:pPr>
              <w:pStyle w:val="P68B1DB1-Normal11"/>
              <w:spacing w:after="120"/>
              <w:jc w:val="center"/>
              <w:rPr>
                <w:noProof/>
              </w:rPr>
            </w:pPr>
            <w:r>
              <w:rPr>
                <w:noProof/>
              </w:rPr>
              <w:t>2024</w:t>
            </w:r>
          </w:p>
        </w:tc>
        <w:tc>
          <w:tcPr>
            <w:tcW w:w="3261" w:type="dxa"/>
            <w:tcBorders>
              <w:top w:val="single" w:sz="4" w:space="0" w:color="auto"/>
              <w:left w:val="single" w:sz="4" w:space="0" w:color="auto"/>
              <w:bottom w:val="single" w:sz="4" w:space="0" w:color="auto"/>
              <w:right w:val="single" w:sz="4" w:space="0" w:color="auto"/>
            </w:tcBorders>
            <w:shd w:val="clear" w:color="auto" w:fill="C6EFCE"/>
            <w:noWrap/>
          </w:tcPr>
          <w:p w14:paraId="0ABF370E" w14:textId="6FB20E51" w:rsidR="00327FF1" w:rsidRDefault="00E406C7">
            <w:pPr>
              <w:pStyle w:val="P68B1DB1-Normal11"/>
              <w:spacing w:after="120"/>
              <w:rPr>
                <w:noProof/>
                <w:szCs w:val="20"/>
              </w:rPr>
            </w:pPr>
            <w:r>
              <w:rPr>
                <w:noProof/>
              </w:rPr>
              <w:t xml:space="preserve">Nosaka darba uzdevumus finanšu instrumentam, kas vērsts uz </w:t>
            </w:r>
            <w:r>
              <w:rPr>
                <w:noProof/>
                <w:szCs w:val="20"/>
              </w:rPr>
              <w:t>publisko dzīvojamo māju energorenovāciju.</w:t>
            </w:r>
          </w:p>
          <w:p w14:paraId="64AFCB4E" w14:textId="77777777" w:rsidR="00327FF1" w:rsidRDefault="00327FF1">
            <w:pPr>
              <w:spacing w:after="120"/>
              <w:rPr>
                <w:rFonts w:ascii="Arial Narrow" w:hAnsi="Arial Narrow"/>
                <w:noProof/>
                <w:color w:val="006100"/>
                <w:sz w:val="20"/>
              </w:rPr>
            </w:pPr>
          </w:p>
        </w:tc>
      </w:tr>
      <w:tr w:rsidR="00327FF1" w14:paraId="1476515C" w14:textId="77777777">
        <w:trPr>
          <w:trHeight w:val="309"/>
        </w:trPr>
        <w:tc>
          <w:tcPr>
            <w:tcW w:w="11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5E3B78" w14:textId="77777777" w:rsidR="00327FF1" w:rsidRDefault="00E406C7">
            <w:pPr>
              <w:pStyle w:val="P68B1DB1-Normal11"/>
              <w:spacing w:after="120"/>
              <w:jc w:val="center"/>
              <w:rPr>
                <w:noProof/>
                <w:szCs w:val="20"/>
              </w:rPr>
            </w:pPr>
            <w:r>
              <w:rPr>
                <w:noProof/>
              </w:rPr>
              <w:t>M7–47</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1C4B8E" w14:textId="77777777" w:rsidR="00327FF1" w:rsidRDefault="00E406C7">
            <w:pPr>
              <w:pStyle w:val="P68B1DB1-Normal12"/>
              <w:spacing w:after="120"/>
              <w:jc w:val="center"/>
              <w:rPr>
                <w:noProof/>
              </w:rPr>
            </w:pPr>
            <w:r>
              <w:rPr>
                <w:noProof/>
              </w:rPr>
              <w:t xml:space="preserve">Investīcija Nr. 17: Finanšu instruments publisko dzīvojamo māju energorenovācijai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8B3BB7" w14:textId="77777777" w:rsidR="00327FF1" w:rsidRDefault="00E406C7">
            <w:pPr>
              <w:pStyle w:val="P68B1DB1-Normal11"/>
              <w:spacing w:after="120"/>
              <w:jc w:val="center"/>
              <w:rPr>
                <w:noProof/>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7E86A5" w14:textId="77777777" w:rsidR="00327FF1" w:rsidRDefault="00E406C7">
            <w:pPr>
              <w:pStyle w:val="P68B1DB1-Normal11"/>
              <w:spacing w:after="120"/>
              <w:jc w:val="center"/>
              <w:rPr>
                <w:noProof/>
              </w:rPr>
            </w:pPr>
            <w:r>
              <w:rPr>
                <w:noProof/>
              </w:rPr>
              <w:t>Īstenošanas nolīgums</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002409" w14:textId="77777777" w:rsidR="00327FF1" w:rsidRDefault="00E406C7">
            <w:pPr>
              <w:pStyle w:val="P68B1DB1-Normal11"/>
              <w:spacing w:after="120"/>
              <w:jc w:val="center"/>
              <w:rPr>
                <w:noProof/>
              </w:rPr>
            </w:pPr>
            <w:r>
              <w:rPr>
                <w:noProof/>
              </w:rPr>
              <w:t>Īstenošanas nolīguma stāšanās spēkā</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733AAC" w14:textId="77777777" w:rsidR="00327FF1" w:rsidRDefault="00327FF1">
            <w:pPr>
              <w:spacing w:after="120"/>
              <w:jc w:val="center"/>
              <w:rPr>
                <w:rFonts w:ascii="Arial Narrow" w:hAnsi="Arial Narrow"/>
                <w:noProof/>
                <w:color w:val="0061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9EBB50" w14:textId="77777777" w:rsidR="00327FF1" w:rsidRDefault="00327FF1">
            <w:pPr>
              <w:spacing w:after="120"/>
              <w:jc w:val="center"/>
              <w:rPr>
                <w:rFonts w:ascii="Arial Narrow" w:hAnsi="Arial Narrow"/>
                <w:noProof/>
                <w:color w:val="0061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84DC4D" w14:textId="77777777" w:rsidR="00327FF1" w:rsidRDefault="00327FF1">
            <w:pPr>
              <w:spacing w:after="120"/>
              <w:jc w:val="center"/>
              <w:rPr>
                <w:rFonts w:ascii="Arial Narrow" w:hAnsi="Arial Narrow"/>
                <w:noProof/>
                <w:color w:val="006100"/>
                <w:sz w:val="20"/>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0479EC" w14:textId="77777777" w:rsidR="00327FF1" w:rsidRDefault="00E406C7">
            <w:pPr>
              <w:pStyle w:val="P68B1DB1-Normal11"/>
              <w:spacing w:after="120"/>
              <w:jc w:val="center"/>
              <w:rPr>
                <w:noProof/>
                <w:szCs w:val="20"/>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C627A1" w14:textId="77777777" w:rsidR="00327FF1" w:rsidRDefault="00E406C7">
            <w:pPr>
              <w:pStyle w:val="P68B1DB1-Normal11"/>
              <w:spacing w:after="120"/>
              <w:jc w:val="center"/>
              <w:rPr>
                <w:noProof/>
                <w:szCs w:val="20"/>
              </w:rPr>
            </w:pPr>
            <w:r>
              <w:rPr>
                <w:noProof/>
              </w:rPr>
              <w:t>2025</w:t>
            </w:r>
          </w:p>
        </w:tc>
        <w:tc>
          <w:tcPr>
            <w:tcW w:w="3261" w:type="dxa"/>
            <w:tcBorders>
              <w:top w:val="single" w:sz="4" w:space="0" w:color="auto"/>
              <w:left w:val="single" w:sz="4" w:space="0" w:color="auto"/>
              <w:bottom w:val="single" w:sz="4" w:space="0" w:color="auto"/>
              <w:right w:val="single" w:sz="4" w:space="0" w:color="auto"/>
            </w:tcBorders>
            <w:shd w:val="clear" w:color="auto" w:fill="C6EFCE"/>
            <w:noWrap/>
          </w:tcPr>
          <w:p w14:paraId="54EB1D9C" w14:textId="77777777" w:rsidR="00327FF1" w:rsidRDefault="00E406C7">
            <w:pPr>
              <w:pStyle w:val="P68B1DB1-Normal11"/>
              <w:spacing w:after="120"/>
              <w:jc w:val="both"/>
              <w:rPr>
                <w:noProof/>
              </w:rPr>
            </w:pPr>
            <w:r>
              <w:rPr>
                <w:noProof/>
              </w:rPr>
              <w:t>Īstenošanas nolīguma</w:t>
            </w:r>
            <w:r>
              <w:rPr>
                <w:noProof/>
                <w:szCs w:val="20"/>
              </w:rPr>
              <w:t>(-u)</w:t>
            </w:r>
            <w:r>
              <w:rPr>
                <w:noProof/>
              </w:rPr>
              <w:t xml:space="preserve"> stāšanās spēkā saskaņā ar prasībām, kas norādītas pasākuma</w:t>
            </w:r>
            <w:r>
              <w:rPr>
                <w:noProof/>
              </w:rPr>
              <w:t xml:space="preserve"> aprakstā.</w:t>
            </w:r>
          </w:p>
          <w:p w14:paraId="5ADBC682" w14:textId="77777777" w:rsidR="00327FF1" w:rsidRDefault="00E406C7">
            <w:pPr>
              <w:pStyle w:val="P68B1DB1-Normal11"/>
              <w:spacing w:after="120"/>
              <w:jc w:val="both"/>
              <w:rPr>
                <w:noProof/>
                <w:szCs w:val="20"/>
              </w:rPr>
            </w:pPr>
            <w:r>
              <w:rPr>
                <w:noProof/>
              </w:rPr>
              <w:t>Jo īpaši īstenošanas nolīgumā</w:t>
            </w:r>
            <w:r>
              <w:rPr>
                <w:noProof/>
                <w:szCs w:val="20"/>
              </w:rPr>
              <w:t>(-os)</w:t>
            </w:r>
            <w:r>
              <w:rPr>
                <w:noProof/>
              </w:rPr>
              <w:t xml:space="preserve"> iekļauj atbilstības kritērijus attiecībā uz minimālo energoefektivitātes uzlabojumu, kas jāsasniedz ar instrumentu (vidēji vismaz 30 % no primārās enerģijas pieprasījuma samazinājuma).</w:t>
            </w:r>
          </w:p>
          <w:p w14:paraId="3C5B4517" w14:textId="77777777" w:rsidR="00327FF1" w:rsidRDefault="00E406C7">
            <w:pPr>
              <w:pStyle w:val="P68B1DB1-Normal113"/>
              <w:spacing w:after="120" w:line="257" w:lineRule="auto"/>
              <w:jc w:val="both"/>
              <w:rPr>
                <w:rFonts w:ascii="Arial Narrow" w:hAnsi="Arial Narrow"/>
                <w:noProof/>
                <w:color w:val="006100"/>
                <w:szCs w:val="20"/>
              </w:rPr>
            </w:pPr>
            <w:r>
              <w:rPr>
                <w:rFonts w:ascii="Arial Narrow" w:hAnsi="Arial Narrow"/>
                <w:noProof/>
                <w:color w:val="006100"/>
              </w:rPr>
              <w:t>Atlases kritērijos priori</w:t>
            </w:r>
            <w:r>
              <w:rPr>
                <w:rFonts w:ascii="Arial Narrow" w:hAnsi="Arial Narrow"/>
                <w:noProof/>
                <w:color w:val="006100"/>
              </w:rPr>
              <w:t>tāti piešķir arī intervencēm ar vislielāko atdevi energoefektivitātes ziņā.</w:t>
            </w:r>
            <w:r>
              <w:rPr>
                <w:rFonts w:ascii="Arial Narrow" w:eastAsia="Arial Narrow" w:hAnsi="Arial Narrow" w:cs="Arial Narrow"/>
                <w:noProof/>
                <w:szCs w:val="20"/>
              </w:rPr>
              <w:t xml:space="preserve"> </w:t>
            </w:r>
          </w:p>
        </w:tc>
      </w:tr>
      <w:tr w:rsidR="00327FF1" w14:paraId="321FDF05" w14:textId="77777777">
        <w:trPr>
          <w:trHeight w:val="309"/>
        </w:trPr>
        <w:tc>
          <w:tcPr>
            <w:tcW w:w="11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1BED46" w14:textId="77777777" w:rsidR="00327FF1" w:rsidRDefault="00E406C7">
            <w:pPr>
              <w:pStyle w:val="P68B1DB1-Normal12"/>
              <w:spacing w:after="120"/>
              <w:jc w:val="center"/>
              <w:rPr>
                <w:noProof/>
              </w:rPr>
            </w:pPr>
            <w:r>
              <w:rPr>
                <w:noProof/>
              </w:rPr>
              <w:t xml:space="preserve"> M7–48</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6A4868" w14:textId="77777777" w:rsidR="00327FF1" w:rsidRDefault="00E406C7">
            <w:pPr>
              <w:pStyle w:val="P68B1DB1-Normal12"/>
              <w:spacing w:after="120"/>
              <w:jc w:val="center"/>
              <w:rPr>
                <w:noProof/>
              </w:rPr>
            </w:pPr>
            <w:r>
              <w:rPr>
                <w:noProof/>
              </w:rPr>
              <w:t>Investīcija Nr. 17: Finanšu instruments publisko dzīvojamo māju energorenovācijai</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689D8A" w14:textId="77777777" w:rsidR="00327FF1" w:rsidRDefault="00E406C7">
            <w:pPr>
              <w:pStyle w:val="P68B1DB1-Normal11"/>
              <w:spacing w:after="120"/>
              <w:jc w:val="center"/>
              <w:rPr>
                <w:noProof/>
              </w:rPr>
            </w:pPr>
            <w:r>
              <w:rPr>
                <w:noProof/>
              </w:rPr>
              <w:t>Atskaites punkts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709637" w14:textId="77777777" w:rsidR="00327FF1" w:rsidRDefault="00E406C7">
            <w:pPr>
              <w:pStyle w:val="P68B1DB1-Normal11"/>
              <w:spacing w:after="120"/>
              <w:jc w:val="center"/>
              <w:rPr>
                <w:noProof/>
              </w:rPr>
            </w:pPr>
            <w:r>
              <w:rPr>
                <w:noProof/>
              </w:rPr>
              <w:t>Ministrija ir pabeigusi ieguldījumu</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3FA914" w14:textId="77777777" w:rsidR="00327FF1" w:rsidRDefault="00E406C7">
            <w:pPr>
              <w:pStyle w:val="P68B1DB1-Normal11"/>
              <w:spacing w:after="120"/>
              <w:jc w:val="center"/>
              <w:rPr>
                <w:noProof/>
              </w:rPr>
            </w:pPr>
            <w:r>
              <w:rPr>
                <w:noProof/>
              </w:rPr>
              <w:t>Nodošanas sertifikāts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4629BA" w14:textId="77777777" w:rsidR="00327FF1" w:rsidRDefault="00327FF1">
            <w:pPr>
              <w:spacing w:after="120"/>
              <w:jc w:val="center"/>
              <w:rPr>
                <w:rFonts w:ascii="Arial Narrow" w:hAnsi="Arial Narrow"/>
                <w:noProof/>
                <w:color w:val="0061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BB86A8" w14:textId="77777777" w:rsidR="00327FF1" w:rsidRDefault="00E406C7">
            <w:pPr>
              <w:pStyle w:val="P68B1DB1-Normal11"/>
              <w:spacing w:after="120"/>
              <w:jc w:val="center"/>
              <w:rPr>
                <w:rFonts w:eastAsia="Arial Narrow" w:cs="Arial Narrow"/>
                <w:noProof/>
                <w:szCs w:val="20"/>
              </w:rPr>
            </w:pPr>
            <w:r>
              <w:rPr>
                <w:noProof/>
              </w:rPr>
              <w:t>NEPIEMĒRO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29BCD1" w14:textId="77777777" w:rsidR="00327FF1" w:rsidRDefault="00E406C7">
            <w:pPr>
              <w:pStyle w:val="P68B1DB1-Normal11"/>
              <w:spacing w:after="120"/>
              <w:jc w:val="center"/>
              <w:rPr>
                <w:rFonts w:eastAsia="Arial Narrow" w:cs="Arial Narrow"/>
                <w:noProof/>
                <w:szCs w:val="20"/>
              </w:rPr>
            </w:pPr>
            <w:r>
              <w:rPr>
                <w:noProof/>
              </w:rPr>
              <w:t xml:space="preserve"> NEPIEMĒRO</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3D52F9" w14:textId="77777777" w:rsidR="00327FF1" w:rsidRDefault="00E406C7">
            <w:pPr>
              <w:pStyle w:val="P68B1DB1-Normal11"/>
              <w:spacing w:after="120"/>
              <w:jc w:val="center"/>
              <w:rPr>
                <w:noProof/>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A50B5F" w14:textId="77777777" w:rsidR="00327FF1" w:rsidRDefault="00E406C7">
            <w:pPr>
              <w:pStyle w:val="P68B1DB1-Normal11"/>
              <w:spacing w:after="120"/>
              <w:jc w:val="center"/>
              <w:rPr>
                <w:noProof/>
              </w:rPr>
            </w:pPr>
            <w:r>
              <w:rPr>
                <w:noProof/>
              </w:rPr>
              <w:t>2025</w:t>
            </w:r>
          </w:p>
        </w:tc>
        <w:tc>
          <w:tcPr>
            <w:tcW w:w="3261" w:type="dxa"/>
            <w:tcBorders>
              <w:top w:val="single" w:sz="4" w:space="0" w:color="auto"/>
              <w:left w:val="single" w:sz="4" w:space="0" w:color="auto"/>
              <w:bottom w:val="single" w:sz="4" w:space="0" w:color="auto"/>
              <w:right w:val="single" w:sz="4" w:space="0" w:color="auto"/>
            </w:tcBorders>
            <w:shd w:val="clear" w:color="auto" w:fill="C6EFCE"/>
            <w:noWrap/>
          </w:tcPr>
          <w:p w14:paraId="3FB23173" w14:textId="77777777" w:rsidR="00327FF1" w:rsidRDefault="00E406C7">
            <w:pPr>
              <w:pStyle w:val="P68B1DB1-Normal114"/>
              <w:spacing w:after="0"/>
              <w:jc w:val="both"/>
              <w:rPr>
                <w:rFonts w:hAnsi="Arial Narrow"/>
                <w:noProof/>
              </w:rPr>
            </w:pPr>
            <w:r>
              <w:rPr>
                <w:noProof/>
              </w:rPr>
              <w:t>It</w:t>
            </w:r>
            <w:r>
              <w:rPr>
                <w:noProof/>
              </w:rPr>
              <w:t>ā</w:t>
            </w:r>
            <w:r>
              <w:rPr>
                <w:noProof/>
              </w:rPr>
              <w:t>lija p</w:t>
            </w:r>
            <w:r>
              <w:rPr>
                <w:noProof/>
              </w:rPr>
              <w:t>ā</w:t>
            </w:r>
            <w:r>
              <w:rPr>
                <w:noProof/>
              </w:rPr>
              <w:t>rskaita EUR 1381000000 Meh</w:t>
            </w:r>
            <w:r>
              <w:rPr>
                <w:noProof/>
              </w:rPr>
              <w:t>ā</w:t>
            </w:r>
            <w:r>
              <w:rPr>
                <w:noProof/>
              </w:rPr>
              <w:t xml:space="preserve">nisma </w:t>
            </w:r>
            <w:r>
              <w:rPr>
                <w:noProof/>
              </w:rPr>
              <w:t>ī</w:t>
            </w:r>
            <w:r>
              <w:rPr>
                <w:noProof/>
              </w:rPr>
              <w:t>steno</w:t>
            </w:r>
            <w:r>
              <w:rPr>
                <w:noProof/>
              </w:rPr>
              <w:t>š</w:t>
            </w:r>
            <w:r>
              <w:rPr>
                <w:noProof/>
              </w:rPr>
              <w:t>anas partnerim(-iem).</w:t>
            </w:r>
          </w:p>
        </w:tc>
      </w:tr>
      <w:tr w:rsidR="00327FF1" w14:paraId="1A60B290" w14:textId="77777777">
        <w:trPr>
          <w:trHeight w:val="309"/>
        </w:trPr>
        <w:tc>
          <w:tcPr>
            <w:tcW w:w="11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BB9F48" w14:textId="77777777" w:rsidR="00327FF1" w:rsidRDefault="00E406C7">
            <w:pPr>
              <w:pStyle w:val="P68B1DB1-Normal11"/>
              <w:spacing w:after="120"/>
              <w:jc w:val="center"/>
              <w:rPr>
                <w:noProof/>
                <w:szCs w:val="20"/>
              </w:rPr>
            </w:pPr>
            <w:r>
              <w:rPr>
                <w:noProof/>
              </w:rPr>
              <w:t>M7–49</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DA462D" w14:textId="77777777" w:rsidR="00327FF1" w:rsidRDefault="00E406C7">
            <w:pPr>
              <w:pStyle w:val="P68B1DB1-Normal12"/>
              <w:spacing w:after="120"/>
              <w:jc w:val="center"/>
              <w:rPr>
                <w:noProof/>
              </w:rPr>
            </w:pPr>
            <w:r>
              <w:rPr>
                <w:noProof/>
              </w:rPr>
              <w:t xml:space="preserve">Investīcija Nr. 17: Finanšu instruments publisko dzīvojamo māju energorenovācijai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C30EF4" w14:textId="77777777" w:rsidR="00327FF1" w:rsidRDefault="00E406C7">
            <w:pPr>
              <w:pStyle w:val="P68B1DB1-Normal11"/>
              <w:spacing w:after="120"/>
              <w:jc w:val="center"/>
              <w:rPr>
                <w:noProof/>
              </w:rPr>
            </w:pPr>
            <w:r>
              <w:rPr>
                <w:noProof/>
              </w:rPr>
              <w:t>Mērķa</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2181FB" w14:textId="77777777" w:rsidR="00327FF1" w:rsidRDefault="00E406C7">
            <w:pPr>
              <w:pStyle w:val="P68B1DB1-Normal11"/>
              <w:spacing w:after="120"/>
              <w:jc w:val="center"/>
              <w:rPr>
                <w:noProof/>
              </w:rPr>
            </w:pPr>
            <w:r>
              <w:rPr>
                <w:noProof/>
              </w:rPr>
              <w:t>Ar galīgajiem saņēmējiem parakstītie juridiskie nolīgumi</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843DC5" w14:textId="77777777" w:rsidR="00327FF1" w:rsidRDefault="00327FF1">
            <w:pPr>
              <w:spacing w:after="120"/>
              <w:jc w:val="center"/>
              <w:rPr>
                <w:rFonts w:ascii="Arial Narrow" w:hAnsi="Arial Narrow"/>
                <w:noProof/>
                <w:color w:val="006100"/>
                <w:sz w:val="20"/>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28244" w14:textId="77777777" w:rsidR="00327FF1" w:rsidRDefault="00E406C7">
            <w:pPr>
              <w:pStyle w:val="P68B1DB1-Normal11"/>
              <w:spacing w:after="120"/>
              <w:jc w:val="center"/>
              <w:rPr>
                <w:noProof/>
              </w:rPr>
            </w:pPr>
            <w:r>
              <w:rPr>
                <w:noProof/>
              </w:rPr>
              <w:t>Procentuālā daļa (%)</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8C1A0F" w14:textId="77777777" w:rsidR="00327FF1" w:rsidRDefault="00E406C7">
            <w:pPr>
              <w:pStyle w:val="P68B1DB1-Normal11"/>
              <w:spacing w:after="120"/>
              <w:jc w:val="center"/>
              <w:rPr>
                <w:noProof/>
              </w:rPr>
            </w:pPr>
            <w:r>
              <w:rPr>
                <w:noProof/>
              </w:rPr>
              <w:t>0 %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D0837F" w14:textId="77777777" w:rsidR="00327FF1" w:rsidRDefault="00E406C7">
            <w:pPr>
              <w:pStyle w:val="P68B1DB1-Normal11"/>
              <w:spacing w:after="120"/>
              <w:jc w:val="center"/>
              <w:rPr>
                <w:noProof/>
              </w:rPr>
            </w:pPr>
            <w:r>
              <w:rPr>
                <w:noProof/>
              </w:rPr>
              <w:t>100 %</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517501" w14:textId="77777777" w:rsidR="00327FF1" w:rsidRDefault="00E406C7">
            <w:pPr>
              <w:pStyle w:val="P68B1DB1-Normal11"/>
              <w:spacing w:after="120"/>
              <w:jc w:val="center"/>
              <w:rPr>
                <w:noProof/>
              </w:rPr>
            </w:pPr>
            <w:r>
              <w:rPr>
                <w:noProof/>
              </w:rPr>
              <w:t>2. CET.</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028758" w14:textId="77777777" w:rsidR="00327FF1" w:rsidRDefault="00E406C7">
            <w:pPr>
              <w:pStyle w:val="P68B1DB1-Normal11"/>
              <w:spacing w:after="120"/>
              <w:jc w:val="center"/>
              <w:rPr>
                <w:noProof/>
              </w:rPr>
            </w:pPr>
            <w:r>
              <w:rPr>
                <w:noProof/>
              </w:rPr>
              <w:t>2026</w:t>
            </w:r>
          </w:p>
        </w:tc>
        <w:tc>
          <w:tcPr>
            <w:tcW w:w="3261" w:type="dxa"/>
            <w:tcBorders>
              <w:top w:val="single" w:sz="4" w:space="0" w:color="auto"/>
              <w:left w:val="single" w:sz="4" w:space="0" w:color="auto"/>
              <w:bottom w:val="single" w:sz="4" w:space="0" w:color="auto"/>
              <w:right w:val="single" w:sz="4" w:space="0" w:color="auto"/>
            </w:tcBorders>
            <w:shd w:val="clear" w:color="auto" w:fill="C6EFCE"/>
            <w:noWrap/>
          </w:tcPr>
          <w:p w14:paraId="3A0F2EF5" w14:textId="77777777" w:rsidR="00327FF1" w:rsidRDefault="00E406C7">
            <w:pPr>
              <w:pStyle w:val="P68B1DB1-Normal12"/>
              <w:spacing w:after="120"/>
              <w:jc w:val="both"/>
              <w:rPr>
                <w:noProof/>
              </w:rPr>
            </w:pPr>
            <w:r>
              <w:rPr>
                <w:noProof/>
              </w:rPr>
              <w:t xml:space="preserve">Īstenošanas partneris(-i) ir noslēdzis juridiskus finansēšanas nolīgumus ar energopakalpojumu uzņēmumiem (ESCO) par summu, kas nepieciešama, lai izmantotu 100 % ANM investīciju mehānismā (ņemot vērā pārvaldības </w:t>
            </w:r>
            <w:r>
              <w:rPr>
                <w:noProof/>
              </w:rPr>
              <w:t>maksas).</w:t>
            </w:r>
          </w:p>
          <w:p w14:paraId="7578123D" w14:textId="4B629020" w:rsidR="00327FF1" w:rsidRDefault="00E406C7">
            <w:pPr>
              <w:pStyle w:val="P68B1DB1-Normal11"/>
              <w:spacing w:after="120"/>
              <w:jc w:val="both"/>
              <w:rPr>
                <w:noProof/>
              </w:rPr>
            </w:pPr>
            <w:r>
              <w:rPr>
                <w:noProof/>
              </w:rPr>
              <w:t xml:space="preserve">Finansēšanas </w:t>
            </w:r>
            <w:r>
              <w:rPr>
                <w:noProof/>
                <w:szCs w:val="20"/>
              </w:rPr>
              <w:t>nolīgumos</w:t>
            </w:r>
            <w:r>
              <w:rPr>
                <w:noProof/>
              </w:rPr>
              <w:t xml:space="preserve"> ar energopakalpojumu uzņēmumiem (ESCO) norāda aktīvu, uz kuru attieksies energoefektivitātes renovācija.</w:t>
            </w:r>
          </w:p>
        </w:tc>
      </w:tr>
    </w:tbl>
    <w:p w14:paraId="0AAEF04B" w14:textId="77777777" w:rsidR="00327FF1" w:rsidRDefault="00327FF1">
      <w:pPr>
        <w:spacing w:after="120"/>
        <w:jc w:val="both"/>
        <w:rPr>
          <w:rFonts w:ascii="Calibri" w:eastAsia="Calibri" w:hAnsi="Calibri" w:cs="Calibri"/>
          <w:noProof/>
          <w:color w:val="000000" w:themeColor="text1"/>
        </w:rPr>
        <w:sectPr w:rsidR="00327FF1" w:rsidSect="005F11B9">
          <w:headerReference w:type="default" r:id="rId330"/>
          <w:footerReference w:type="default" r:id="rId331"/>
          <w:pgSz w:w="16838" w:h="11906" w:orient="landscape" w:code="12"/>
          <w:pgMar w:top="1440" w:right="1440" w:bottom="1440" w:left="1440" w:header="567" w:footer="567" w:gutter="0"/>
          <w:cols w:space="720"/>
          <w:docGrid w:linePitch="360"/>
        </w:sectPr>
      </w:pPr>
    </w:p>
    <w:p w14:paraId="5C57166A" w14:textId="77777777" w:rsidR="00327FF1" w:rsidRDefault="00E406C7">
      <w:pPr>
        <w:pStyle w:val="P68B1DB1-ListParagraph115"/>
        <w:keepNext/>
        <w:numPr>
          <w:ilvl w:val="0"/>
          <w:numId w:val="47"/>
        </w:numPr>
        <w:spacing w:before="360" w:after="120" w:line="240" w:lineRule="auto"/>
        <w:jc w:val="both"/>
        <w:outlineLvl w:val="0"/>
        <w:rPr>
          <w:rFonts w:eastAsia="Yu Gothic Light"/>
          <w:bCs/>
          <w:noProof/>
          <w:szCs w:val="28"/>
        </w:rPr>
      </w:pPr>
      <w:r>
        <w:rPr>
          <w:noProof/>
        </w:rPr>
        <w:t xml:space="preserve">Atveseļošanas un noturības plāna aplēstās kopējās izmaksas </w:t>
      </w:r>
    </w:p>
    <w:p w14:paraId="1403CE22" w14:textId="77777777" w:rsidR="00327FF1" w:rsidRDefault="00E406C7">
      <w:pPr>
        <w:pStyle w:val="P68B1DB1-Normal8"/>
        <w:spacing w:before="120" w:after="120" w:line="240" w:lineRule="auto"/>
        <w:jc w:val="both"/>
        <w:rPr>
          <w:noProof/>
        </w:rPr>
      </w:pPr>
      <w:r>
        <w:rPr>
          <w:noProof/>
        </w:rPr>
        <w:t>Itālijas atveseļošanas un noturības plānā aplēstās kopējās izmaksas ir 194 415 951 466 EUR.</w:t>
      </w:r>
    </w:p>
    <w:p w14:paraId="710797DC" w14:textId="77777777" w:rsidR="00327FF1" w:rsidRDefault="00E406C7">
      <w:pPr>
        <w:pStyle w:val="P68B1DB1-Normal116"/>
        <w:spacing w:before="120" w:after="120" w:line="240" w:lineRule="auto"/>
        <w:jc w:val="both"/>
        <w:rPr>
          <w:noProof/>
        </w:rPr>
      </w:pPr>
      <w:r>
        <w:rPr>
          <w:noProof/>
        </w:rPr>
        <w:t xml:space="preserve"> </w:t>
      </w:r>
    </w:p>
    <w:p w14:paraId="4B59C4E3" w14:textId="77777777" w:rsidR="00327FF1" w:rsidRDefault="00E406C7">
      <w:pPr>
        <w:pStyle w:val="P68B1DB1-Heading2117"/>
        <w:rPr>
          <w:bCs/>
          <w:noProof/>
        </w:rPr>
      </w:pPr>
      <w:r>
        <w:rPr>
          <w:noProof/>
        </w:rPr>
        <w:t>2. IEDAĻA. FINANSIĀLAIS ATBALSTS</w:t>
      </w:r>
    </w:p>
    <w:p w14:paraId="4DE31CF1" w14:textId="77777777" w:rsidR="00327FF1" w:rsidRDefault="00E406C7">
      <w:pPr>
        <w:pStyle w:val="P68B1DB1-Heading3118"/>
        <w:numPr>
          <w:ilvl w:val="0"/>
          <w:numId w:val="179"/>
        </w:numPr>
        <w:tabs>
          <w:tab w:val="clear" w:pos="850"/>
          <w:tab w:val="num" w:pos="720"/>
        </w:tabs>
        <w:ind w:left="720" w:hanging="360"/>
        <w:rPr>
          <w:bCs/>
          <w:noProof/>
        </w:rPr>
      </w:pPr>
      <w:r>
        <w:rPr>
          <w:noProof/>
        </w:rPr>
        <w:t>Finanšu ieguldījums</w:t>
      </w:r>
    </w:p>
    <w:p w14:paraId="1CDA39A5" w14:textId="77777777" w:rsidR="00327FF1" w:rsidRDefault="00E406C7">
      <w:pPr>
        <w:pStyle w:val="P68B1DB1-Normal8"/>
        <w:spacing w:before="120" w:after="120" w:line="240" w:lineRule="auto"/>
        <w:ind w:left="850"/>
        <w:jc w:val="both"/>
        <w:rPr>
          <w:noProof/>
        </w:rPr>
      </w:pPr>
      <w:r>
        <w:rPr>
          <w:noProof/>
        </w:rPr>
        <w:t>Šā lēmuma 2. panta 2. punktā minētās maksājumu daļas ir šādas:</w:t>
      </w:r>
    </w:p>
    <w:p w14:paraId="7AE23E96" w14:textId="58F612A8" w:rsidR="00327FF1" w:rsidRDefault="00327FF1">
      <w:pPr>
        <w:spacing w:before="120" w:after="120" w:line="240" w:lineRule="auto"/>
        <w:ind w:left="850"/>
        <w:jc w:val="both"/>
        <w:rPr>
          <w:rFonts w:ascii="Times New Roman" w:eastAsia="Times New Roman" w:hAnsi="Times New Roman" w:cs="Times New Roman"/>
          <w:noProof/>
        </w:rPr>
      </w:pPr>
    </w:p>
    <w:p w14:paraId="548803EA" w14:textId="77777777" w:rsidR="00327FF1" w:rsidRDefault="00E406C7">
      <w:pPr>
        <w:pStyle w:val="P68B1DB1-Heading4119"/>
        <w:numPr>
          <w:ilvl w:val="1"/>
          <w:numId w:val="180"/>
        </w:numPr>
        <w:tabs>
          <w:tab w:val="num" w:pos="1440"/>
        </w:tabs>
        <w:ind w:left="1440" w:hanging="360"/>
        <w:rPr>
          <w:noProof/>
        </w:rPr>
      </w:pPr>
      <w:r>
        <w:rPr>
          <w:noProof/>
        </w:rPr>
        <w:t>Pirmais maksājums (neatmaksājams atbalsts):</w:t>
      </w:r>
    </w:p>
    <w:tbl>
      <w:tblPr>
        <w:tblW w:w="9595" w:type="dxa"/>
        <w:tblInd w:w="120" w:type="dxa"/>
        <w:tblLayout w:type="fixed"/>
        <w:tblLook w:val="04A0" w:firstRow="1" w:lastRow="0" w:firstColumn="1" w:lastColumn="0" w:noHBand="0" w:noVBand="1"/>
      </w:tblPr>
      <w:tblGrid>
        <w:gridCol w:w="1275"/>
        <w:gridCol w:w="2250"/>
        <w:gridCol w:w="1245"/>
        <w:gridCol w:w="4589"/>
        <w:gridCol w:w="236"/>
      </w:tblGrid>
      <w:tr w:rsidR="00327FF1" w14:paraId="7EA7044C" w14:textId="77777777">
        <w:trPr>
          <w:trHeight w:val="900"/>
          <w:tblHeader/>
        </w:trPr>
        <w:tc>
          <w:tcPr>
            <w:tcW w:w="127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010B18EE" w14:textId="77777777" w:rsidR="00327FF1" w:rsidRDefault="00E406C7">
            <w:pPr>
              <w:pStyle w:val="P68B1DB1-Normal120"/>
              <w:spacing w:after="0" w:line="240" w:lineRule="auto"/>
              <w:jc w:val="center"/>
              <w:rPr>
                <w:noProof/>
              </w:rPr>
            </w:pPr>
            <w:r>
              <w:rPr>
                <w:noProof/>
              </w:rPr>
              <w:t>K</w:t>
            </w:r>
            <w:r>
              <w:rPr>
                <w:noProof/>
              </w:rPr>
              <w:t>ārtas numurs</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1C80BAC" w14:textId="77777777" w:rsidR="00327FF1" w:rsidRDefault="00E406C7">
            <w:pPr>
              <w:pStyle w:val="P68B1DB1-Normal120"/>
              <w:spacing w:after="0" w:line="240" w:lineRule="auto"/>
              <w:jc w:val="center"/>
              <w:rPr>
                <w:noProof/>
              </w:rPr>
            </w:pPr>
            <w:r>
              <w:rPr>
                <w:noProof/>
              </w:rPr>
              <w:t>Saistītais pasākums (reforma vai ieguldījums)</w:t>
            </w:r>
          </w:p>
        </w:tc>
        <w:tc>
          <w:tcPr>
            <w:tcW w:w="124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12749B95" w14:textId="77777777" w:rsidR="00327FF1" w:rsidRDefault="00E406C7">
            <w:pPr>
              <w:pStyle w:val="P68B1DB1-Normal120"/>
              <w:spacing w:after="0" w:line="240" w:lineRule="auto"/>
              <w:jc w:val="center"/>
              <w:rPr>
                <w:noProof/>
              </w:rPr>
            </w:pPr>
            <w:r>
              <w:rPr>
                <w:noProof/>
              </w:rPr>
              <w:t>Atskaites punkts/mērķrādītājs</w:t>
            </w:r>
          </w:p>
        </w:tc>
        <w:tc>
          <w:tcPr>
            <w:tcW w:w="4589"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1E8156CB" w14:textId="77777777" w:rsidR="00327FF1" w:rsidRDefault="00E406C7">
            <w:pPr>
              <w:pStyle w:val="P68B1DB1-Normal120"/>
              <w:spacing w:after="0" w:line="240" w:lineRule="auto"/>
              <w:jc w:val="center"/>
              <w:rPr>
                <w:noProof/>
              </w:rPr>
            </w:pPr>
            <w:r>
              <w:rPr>
                <w:noProof/>
              </w:rPr>
              <w:t>Nosaukums</w:t>
            </w:r>
          </w:p>
        </w:tc>
        <w:tc>
          <w:tcPr>
            <w:tcW w:w="236" w:type="dxa"/>
            <w:tcBorders>
              <w:top w:val="nil"/>
              <w:left w:val="single" w:sz="4" w:space="0" w:color="auto"/>
              <w:bottom w:val="nil"/>
              <w:right w:val="nil"/>
            </w:tcBorders>
            <w:vAlign w:val="center"/>
          </w:tcPr>
          <w:p w14:paraId="62EB79A8" w14:textId="77777777" w:rsidR="00327FF1" w:rsidRDefault="00327FF1">
            <w:pPr>
              <w:spacing w:after="0" w:line="240" w:lineRule="auto"/>
              <w:rPr>
                <w:rFonts w:ascii="Times New Roman" w:eastAsia="Times New Roman" w:hAnsi="Times New Roman" w:cs="Times New Roman"/>
                <w:noProof/>
              </w:rPr>
            </w:pPr>
          </w:p>
        </w:tc>
      </w:tr>
      <w:tr w:rsidR="00327FF1" w14:paraId="380D20F2" w14:textId="77777777">
        <w:trPr>
          <w:trHeight w:val="510"/>
        </w:trPr>
        <w:tc>
          <w:tcPr>
            <w:tcW w:w="1275" w:type="dxa"/>
            <w:vMerge/>
            <w:tcBorders>
              <w:top w:val="single" w:sz="4" w:space="0" w:color="auto"/>
              <w:left w:val="single" w:sz="4" w:space="0" w:color="auto"/>
              <w:bottom w:val="single" w:sz="4" w:space="0" w:color="auto"/>
              <w:right w:val="single" w:sz="4" w:space="0" w:color="auto"/>
            </w:tcBorders>
            <w:vAlign w:val="center"/>
          </w:tcPr>
          <w:p w14:paraId="685CCD18" w14:textId="77777777" w:rsidR="00327FF1" w:rsidRDefault="00327FF1">
            <w:pPr>
              <w:spacing w:after="0" w:line="240" w:lineRule="auto"/>
              <w:jc w:val="center"/>
              <w:rPr>
                <w:rFonts w:ascii="Times New Roman" w:eastAsia="Times New Roman" w:hAnsi="Times New Roman" w:cs="Times New Roman"/>
                <w:noProof/>
              </w:rPr>
            </w:pPr>
          </w:p>
        </w:tc>
        <w:tc>
          <w:tcPr>
            <w:tcW w:w="2250" w:type="dxa"/>
            <w:vMerge/>
            <w:tcBorders>
              <w:top w:val="single" w:sz="4" w:space="0" w:color="auto"/>
              <w:left w:val="single" w:sz="4" w:space="0" w:color="auto"/>
              <w:bottom w:val="single" w:sz="4" w:space="0" w:color="auto"/>
              <w:right w:val="single" w:sz="4" w:space="0" w:color="auto"/>
            </w:tcBorders>
            <w:vAlign w:val="center"/>
          </w:tcPr>
          <w:p w14:paraId="4B350ABA" w14:textId="77777777" w:rsidR="00327FF1" w:rsidRDefault="00327FF1">
            <w:pPr>
              <w:spacing w:after="0" w:line="240" w:lineRule="auto"/>
              <w:rPr>
                <w:rFonts w:ascii="Times New Roman" w:eastAsia="Times New Roman" w:hAnsi="Times New Roman" w:cs="Times New Roman"/>
                <w:noProof/>
              </w:rPr>
            </w:pPr>
          </w:p>
        </w:tc>
        <w:tc>
          <w:tcPr>
            <w:tcW w:w="1245" w:type="dxa"/>
            <w:vMerge/>
            <w:tcBorders>
              <w:top w:val="single" w:sz="4" w:space="0" w:color="auto"/>
              <w:left w:val="single" w:sz="4" w:space="0" w:color="auto"/>
              <w:bottom w:val="single" w:sz="4" w:space="0" w:color="auto"/>
              <w:right w:val="single" w:sz="4" w:space="0" w:color="auto"/>
            </w:tcBorders>
            <w:vAlign w:val="center"/>
          </w:tcPr>
          <w:p w14:paraId="4CE968D2" w14:textId="77777777" w:rsidR="00327FF1" w:rsidRDefault="00327FF1">
            <w:pPr>
              <w:spacing w:after="0" w:line="240" w:lineRule="auto"/>
              <w:jc w:val="center"/>
              <w:rPr>
                <w:rFonts w:ascii="Times New Roman" w:eastAsia="Times New Roman" w:hAnsi="Times New Roman" w:cs="Times New Roman"/>
                <w:noProof/>
              </w:rPr>
            </w:pPr>
          </w:p>
        </w:tc>
        <w:tc>
          <w:tcPr>
            <w:tcW w:w="4589" w:type="dxa"/>
            <w:vMerge/>
            <w:tcBorders>
              <w:top w:val="single" w:sz="4" w:space="0" w:color="auto"/>
              <w:left w:val="single" w:sz="4" w:space="0" w:color="auto"/>
              <w:bottom w:val="single" w:sz="4" w:space="0" w:color="auto"/>
              <w:right w:val="single" w:sz="4" w:space="0" w:color="auto"/>
            </w:tcBorders>
            <w:vAlign w:val="center"/>
          </w:tcPr>
          <w:p w14:paraId="316725AB" w14:textId="77777777" w:rsidR="00327FF1" w:rsidRDefault="00327FF1">
            <w:pPr>
              <w:spacing w:after="0" w:line="240" w:lineRule="auto"/>
              <w:rPr>
                <w:rFonts w:ascii="Times New Roman" w:eastAsia="Times New Roman" w:hAnsi="Times New Roman" w:cs="Times New Roman"/>
                <w:noProof/>
              </w:rPr>
            </w:pPr>
          </w:p>
        </w:tc>
        <w:tc>
          <w:tcPr>
            <w:tcW w:w="236" w:type="dxa"/>
            <w:tcBorders>
              <w:top w:val="nil"/>
              <w:left w:val="single" w:sz="4" w:space="0" w:color="auto"/>
              <w:bottom w:val="nil"/>
              <w:right w:val="nil"/>
            </w:tcBorders>
            <w:vAlign w:val="center"/>
          </w:tcPr>
          <w:p w14:paraId="5D1CE1BE" w14:textId="77777777" w:rsidR="00327FF1" w:rsidRDefault="00327FF1">
            <w:pPr>
              <w:spacing w:after="0" w:line="240" w:lineRule="auto"/>
              <w:rPr>
                <w:rFonts w:ascii="Times New Roman" w:eastAsia="Times New Roman" w:hAnsi="Times New Roman" w:cs="Times New Roman"/>
                <w:noProof/>
              </w:rPr>
            </w:pPr>
          </w:p>
        </w:tc>
      </w:tr>
      <w:tr w:rsidR="00327FF1" w14:paraId="3A495F0C"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B5C578" w14:textId="77777777" w:rsidR="00327FF1" w:rsidRDefault="00E406C7">
            <w:pPr>
              <w:pStyle w:val="P68B1DB1-Normal121"/>
              <w:spacing w:after="0" w:line="240" w:lineRule="auto"/>
              <w:jc w:val="center"/>
              <w:rPr>
                <w:noProof/>
              </w:rPr>
            </w:pPr>
            <w:r>
              <w:rPr>
                <w:noProof/>
              </w:rPr>
              <w:t>M1C1–51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A657977" w14:textId="77777777" w:rsidR="00327FF1" w:rsidRDefault="00E406C7">
            <w:pPr>
              <w:pStyle w:val="P68B1DB1-Normal121"/>
              <w:spacing w:after="0" w:line="240" w:lineRule="auto"/>
              <w:rPr>
                <w:noProof/>
              </w:rPr>
            </w:pPr>
            <w:r>
              <w:rPr>
                <w:noProof/>
              </w:rPr>
              <w:t>Reforma Nr. 1.9: Valsts pārvaldes reforma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F1A127"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BFFD42" w14:textId="77777777" w:rsidR="00327FF1" w:rsidRDefault="00E406C7">
            <w:pPr>
              <w:pStyle w:val="P68B1DB1-Normal121"/>
              <w:spacing w:after="0" w:line="240" w:lineRule="auto"/>
              <w:rPr>
                <w:noProof/>
              </w:rPr>
            </w:pPr>
            <w:r>
              <w:rPr>
                <w:noProof/>
              </w:rPr>
              <w:t xml:space="preserve">Primāro tiesību aktu par Itālijas atveseļošanas un noturības plāna pārvaldību </w:t>
            </w:r>
            <w:r>
              <w:rPr>
                <w:noProof/>
              </w:rPr>
              <w:t>stāšanās spēkā</w:t>
            </w:r>
          </w:p>
        </w:tc>
        <w:tc>
          <w:tcPr>
            <w:tcW w:w="236" w:type="dxa"/>
            <w:tcBorders>
              <w:top w:val="nil"/>
              <w:left w:val="single" w:sz="4" w:space="0" w:color="auto"/>
              <w:bottom w:val="nil"/>
              <w:right w:val="nil"/>
            </w:tcBorders>
            <w:vAlign w:val="center"/>
          </w:tcPr>
          <w:p w14:paraId="39638746" w14:textId="77777777" w:rsidR="00327FF1" w:rsidRDefault="00327FF1">
            <w:pPr>
              <w:spacing w:after="0" w:line="240" w:lineRule="auto"/>
              <w:rPr>
                <w:rFonts w:ascii="Times New Roman" w:eastAsia="Times New Roman" w:hAnsi="Times New Roman" w:cs="Times New Roman"/>
                <w:noProof/>
              </w:rPr>
            </w:pPr>
          </w:p>
        </w:tc>
      </w:tr>
      <w:tr w:rsidR="00327FF1" w14:paraId="487BB41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D0284D" w14:textId="77777777" w:rsidR="00327FF1" w:rsidRDefault="00E406C7">
            <w:pPr>
              <w:pStyle w:val="P68B1DB1-Normal121"/>
              <w:spacing w:after="0" w:line="240" w:lineRule="auto"/>
              <w:jc w:val="center"/>
              <w:rPr>
                <w:noProof/>
              </w:rPr>
            </w:pPr>
            <w:r>
              <w:rPr>
                <w:noProof/>
              </w:rPr>
              <w:t>M1C1–52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A6DCC0" w14:textId="77777777" w:rsidR="00327FF1" w:rsidRDefault="00E406C7">
            <w:pPr>
              <w:pStyle w:val="P68B1DB1-Normal121"/>
              <w:spacing w:after="0" w:line="240" w:lineRule="auto"/>
              <w:rPr>
                <w:noProof/>
              </w:rPr>
            </w:pPr>
            <w:r>
              <w:rPr>
                <w:noProof/>
              </w:rPr>
              <w:t>Reforma Nr. 1.9: Valsts pārvaldes reforma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6F963A"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E31F3E" w14:textId="77777777" w:rsidR="00327FF1" w:rsidRDefault="00E406C7">
            <w:pPr>
              <w:pStyle w:val="P68B1DB1-Normal121"/>
              <w:spacing w:after="0" w:line="240" w:lineRule="auto"/>
              <w:rPr>
                <w:noProof/>
              </w:rPr>
            </w:pPr>
            <w:r>
              <w:rPr>
                <w:noProof/>
              </w:rPr>
              <w:t>Stājas spēkā primārie tiesību akti par administratīvo procedūru vienkāršošanu Itālijas atveseļošanas un noturības plāna īstenošanai.</w:t>
            </w:r>
          </w:p>
        </w:tc>
        <w:tc>
          <w:tcPr>
            <w:tcW w:w="236" w:type="dxa"/>
            <w:tcBorders>
              <w:top w:val="nil"/>
              <w:left w:val="single" w:sz="4" w:space="0" w:color="auto"/>
              <w:bottom w:val="nil"/>
              <w:right w:val="nil"/>
            </w:tcBorders>
            <w:vAlign w:val="center"/>
          </w:tcPr>
          <w:p w14:paraId="5E323DDA" w14:textId="77777777" w:rsidR="00327FF1" w:rsidRDefault="00327FF1">
            <w:pPr>
              <w:spacing w:after="0" w:line="240" w:lineRule="auto"/>
              <w:rPr>
                <w:rFonts w:ascii="Times New Roman" w:eastAsia="Times New Roman" w:hAnsi="Times New Roman" w:cs="Times New Roman"/>
                <w:noProof/>
              </w:rPr>
            </w:pPr>
          </w:p>
        </w:tc>
      </w:tr>
      <w:tr w:rsidR="00327FF1" w14:paraId="182E5FEA"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B94D78" w14:textId="77777777" w:rsidR="00327FF1" w:rsidRDefault="00E406C7">
            <w:pPr>
              <w:pStyle w:val="P68B1DB1-Normal121"/>
              <w:spacing w:after="0" w:line="240" w:lineRule="auto"/>
              <w:jc w:val="center"/>
              <w:rPr>
                <w:noProof/>
              </w:rPr>
            </w:pPr>
            <w:r>
              <w:rPr>
                <w:noProof/>
              </w:rPr>
              <w:t>M1C1–53</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DDD061" w14:textId="77777777" w:rsidR="00327FF1" w:rsidRDefault="00E406C7">
            <w:pPr>
              <w:pStyle w:val="P68B1DB1-Normal121"/>
              <w:spacing w:after="0" w:line="240" w:lineRule="auto"/>
              <w:rPr>
                <w:noProof/>
              </w:rPr>
            </w:pPr>
            <w:r>
              <w:rPr>
                <w:noProof/>
              </w:rPr>
              <w:t xml:space="preserve">Investīcija Nr. 1.9: Sniegt </w:t>
            </w:r>
            <w:r>
              <w:rPr>
                <w:noProof/>
              </w:rPr>
              <w:t>tehnisko palīdzību un stiprināt spēju veidošanu Itālijas atveseļošanas un noturības plāna īstenošanai</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9006A3"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B5B562F" w14:textId="77777777" w:rsidR="00327FF1" w:rsidRDefault="00E406C7">
            <w:pPr>
              <w:pStyle w:val="P68B1DB1-Normal121"/>
              <w:spacing w:after="0" w:line="240" w:lineRule="auto"/>
              <w:rPr>
                <w:noProof/>
              </w:rPr>
            </w:pPr>
            <w:r>
              <w:rPr>
                <w:noProof/>
              </w:rPr>
              <w:t xml:space="preserve">Primāro tiesību aktu stāšanās spēkā, lai sniegtu tehnisko palīdzību un stiprinātu spēju veidošanu Itālijas atveseļošanas un noturības </w:t>
            </w:r>
            <w:r>
              <w:rPr>
                <w:noProof/>
              </w:rPr>
              <w:t>plāna īstenošanai</w:t>
            </w:r>
          </w:p>
        </w:tc>
        <w:tc>
          <w:tcPr>
            <w:tcW w:w="236" w:type="dxa"/>
            <w:tcBorders>
              <w:top w:val="nil"/>
              <w:left w:val="single" w:sz="4" w:space="0" w:color="auto"/>
              <w:bottom w:val="nil"/>
              <w:right w:val="nil"/>
            </w:tcBorders>
            <w:vAlign w:val="center"/>
          </w:tcPr>
          <w:p w14:paraId="3A06210A" w14:textId="77777777" w:rsidR="00327FF1" w:rsidRDefault="00327FF1">
            <w:pPr>
              <w:spacing w:after="0" w:line="240" w:lineRule="auto"/>
              <w:rPr>
                <w:rFonts w:ascii="Times New Roman" w:eastAsia="Times New Roman" w:hAnsi="Times New Roman" w:cs="Times New Roman"/>
                <w:noProof/>
              </w:rPr>
            </w:pPr>
          </w:p>
        </w:tc>
      </w:tr>
      <w:tr w:rsidR="00327FF1" w14:paraId="1BAF5D87"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226155" w14:textId="77777777" w:rsidR="00327FF1" w:rsidRDefault="00E406C7">
            <w:pPr>
              <w:pStyle w:val="P68B1DB1-Normal121"/>
              <w:spacing w:after="0" w:line="240" w:lineRule="auto"/>
              <w:jc w:val="center"/>
              <w:rPr>
                <w:noProof/>
              </w:rPr>
            </w:pPr>
            <w:r>
              <w:rPr>
                <w:noProof/>
              </w:rPr>
              <w:t>M1C1–69.</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FCE51A" w14:textId="77777777" w:rsidR="00327FF1" w:rsidRDefault="00E406C7">
            <w:pPr>
              <w:pStyle w:val="P68B1DB1-Normal121"/>
              <w:spacing w:after="0" w:line="240" w:lineRule="auto"/>
              <w:rPr>
                <w:noProof/>
              </w:rPr>
            </w:pPr>
            <w:r>
              <w:rPr>
                <w:noProof/>
              </w:rPr>
              <w:t>Reforma Nr. 1.10. Publiskā iepirkuma tiesiskā regulējuma reforma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EDED84"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BD96FA" w14:textId="77777777" w:rsidR="00327FF1" w:rsidRDefault="00E406C7">
            <w:pPr>
              <w:pStyle w:val="P68B1DB1-Normal121"/>
              <w:spacing w:after="0" w:line="240" w:lineRule="auto"/>
              <w:rPr>
                <w:noProof/>
              </w:rPr>
            </w:pPr>
            <w:r>
              <w:rPr>
                <w:noProof/>
              </w:rPr>
              <w:t>Dekrēta par publiskā iepirkuma sistēmas vienkāršošanu stāšanās spēkā</w:t>
            </w:r>
          </w:p>
        </w:tc>
        <w:tc>
          <w:tcPr>
            <w:tcW w:w="236" w:type="dxa"/>
            <w:tcBorders>
              <w:top w:val="nil"/>
              <w:left w:val="single" w:sz="4" w:space="0" w:color="auto"/>
              <w:bottom w:val="nil"/>
              <w:right w:val="nil"/>
            </w:tcBorders>
            <w:vAlign w:val="center"/>
          </w:tcPr>
          <w:p w14:paraId="6955CD3C" w14:textId="77777777" w:rsidR="00327FF1" w:rsidRDefault="00327FF1">
            <w:pPr>
              <w:spacing w:after="0" w:line="240" w:lineRule="auto"/>
              <w:rPr>
                <w:rFonts w:ascii="Times New Roman" w:eastAsia="Times New Roman" w:hAnsi="Times New Roman" w:cs="Times New Roman"/>
                <w:noProof/>
              </w:rPr>
            </w:pPr>
          </w:p>
        </w:tc>
      </w:tr>
      <w:tr w:rsidR="00327FF1" w14:paraId="4C1672B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A3B8A5" w14:textId="77777777" w:rsidR="00327FF1" w:rsidRDefault="00E406C7">
            <w:pPr>
              <w:pStyle w:val="P68B1DB1-Normal121"/>
              <w:spacing w:after="0" w:line="240" w:lineRule="auto"/>
              <w:jc w:val="center"/>
              <w:rPr>
                <w:noProof/>
              </w:rPr>
            </w:pPr>
            <w:r>
              <w:rPr>
                <w:noProof/>
              </w:rPr>
              <w:t>M1C1–1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EF590C" w14:textId="77777777" w:rsidR="00327FF1" w:rsidRDefault="00E406C7">
            <w:pPr>
              <w:pStyle w:val="P68B1DB1-Normal121"/>
              <w:spacing w:after="0" w:line="240" w:lineRule="auto"/>
              <w:rPr>
                <w:noProof/>
              </w:rPr>
            </w:pPr>
            <w:r>
              <w:rPr>
                <w:noProof/>
              </w:rPr>
              <w:t>Reforma Nr. 1.1: IKT iepirkums</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3809A9"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5D76C3D" w14:textId="77777777" w:rsidR="00327FF1" w:rsidRDefault="00E406C7">
            <w:pPr>
              <w:pStyle w:val="P68B1DB1-Normal121"/>
              <w:spacing w:after="0" w:line="240" w:lineRule="auto"/>
              <w:rPr>
                <w:noProof/>
              </w:rPr>
            </w:pPr>
            <w:r>
              <w:rPr>
                <w:noProof/>
              </w:rPr>
              <w:t xml:space="preserve">Likuma dekrētu </w:t>
            </w:r>
            <w:r>
              <w:rPr>
                <w:noProof/>
              </w:rPr>
              <w:t>stāšanās spēkā attiecībā uz 1.1. reformu “IKT iepirkums”</w:t>
            </w:r>
          </w:p>
        </w:tc>
        <w:tc>
          <w:tcPr>
            <w:tcW w:w="236" w:type="dxa"/>
            <w:tcBorders>
              <w:top w:val="nil"/>
              <w:left w:val="single" w:sz="4" w:space="0" w:color="auto"/>
              <w:bottom w:val="nil"/>
              <w:right w:val="nil"/>
            </w:tcBorders>
            <w:vAlign w:val="center"/>
          </w:tcPr>
          <w:p w14:paraId="146043D1" w14:textId="77777777" w:rsidR="00327FF1" w:rsidRDefault="00327FF1">
            <w:pPr>
              <w:spacing w:after="0" w:line="240" w:lineRule="auto"/>
              <w:rPr>
                <w:rFonts w:ascii="Times New Roman" w:eastAsia="Times New Roman" w:hAnsi="Times New Roman" w:cs="Times New Roman"/>
                <w:noProof/>
              </w:rPr>
            </w:pPr>
          </w:p>
        </w:tc>
      </w:tr>
      <w:tr w:rsidR="00327FF1" w14:paraId="20C06C56"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43C468E" w14:textId="77777777" w:rsidR="00327FF1" w:rsidRDefault="00E406C7">
            <w:pPr>
              <w:pStyle w:val="P68B1DB1-Normal121"/>
              <w:spacing w:after="0" w:line="240" w:lineRule="auto"/>
              <w:jc w:val="center"/>
              <w:rPr>
                <w:noProof/>
              </w:rPr>
            </w:pPr>
            <w:r>
              <w:rPr>
                <w:noProof/>
              </w:rPr>
              <w:t>M1C1–2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6B6829" w14:textId="77777777" w:rsidR="00327FF1" w:rsidRDefault="00E406C7">
            <w:pPr>
              <w:pStyle w:val="P68B1DB1-Normal121"/>
              <w:spacing w:after="0" w:line="240" w:lineRule="auto"/>
              <w:rPr>
                <w:noProof/>
              </w:rPr>
            </w:pPr>
            <w:r>
              <w:rPr>
                <w:noProof/>
              </w:rPr>
              <w:t>Reforma Nr. 1.3. Mākoņdatošana pirmajā vietā un sadarbspēja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87DE0A"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5DE3BF" w14:textId="77777777" w:rsidR="00327FF1" w:rsidRDefault="00E406C7">
            <w:pPr>
              <w:pStyle w:val="P68B1DB1-Normal121"/>
              <w:spacing w:after="0" w:line="240" w:lineRule="auto"/>
              <w:rPr>
                <w:noProof/>
              </w:rPr>
            </w:pPr>
            <w:r>
              <w:rPr>
                <w:noProof/>
              </w:rPr>
              <w:t>Likuma dekrētu stāšanās spēkā attiecībā uz 1.3. reformu “Mākonis vispirms un sadarbspēja”</w:t>
            </w:r>
          </w:p>
        </w:tc>
        <w:tc>
          <w:tcPr>
            <w:tcW w:w="236" w:type="dxa"/>
            <w:tcBorders>
              <w:top w:val="nil"/>
              <w:left w:val="single" w:sz="4" w:space="0" w:color="auto"/>
              <w:bottom w:val="nil"/>
              <w:right w:val="nil"/>
            </w:tcBorders>
            <w:vAlign w:val="center"/>
          </w:tcPr>
          <w:p w14:paraId="75F7067A" w14:textId="77777777" w:rsidR="00327FF1" w:rsidRDefault="00327FF1">
            <w:pPr>
              <w:spacing w:after="0" w:line="240" w:lineRule="auto"/>
              <w:rPr>
                <w:rFonts w:ascii="Times New Roman" w:eastAsia="Times New Roman" w:hAnsi="Times New Roman" w:cs="Times New Roman"/>
                <w:noProof/>
              </w:rPr>
            </w:pPr>
          </w:p>
        </w:tc>
      </w:tr>
      <w:tr w:rsidR="00327FF1" w14:paraId="7FE9A94E"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08D605" w14:textId="77777777" w:rsidR="00327FF1" w:rsidRDefault="00E406C7">
            <w:pPr>
              <w:pStyle w:val="P68B1DB1-Normal121"/>
              <w:spacing w:after="0" w:line="240" w:lineRule="auto"/>
              <w:jc w:val="center"/>
              <w:rPr>
                <w:noProof/>
              </w:rPr>
            </w:pPr>
            <w:r>
              <w:rPr>
                <w:noProof/>
              </w:rPr>
              <w:t>M1C1–29</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0728D4" w14:textId="77777777" w:rsidR="00327FF1" w:rsidRDefault="00E406C7">
            <w:pPr>
              <w:pStyle w:val="P68B1DB1-Normal121"/>
              <w:spacing w:after="0" w:line="240" w:lineRule="auto"/>
              <w:rPr>
                <w:noProof/>
              </w:rPr>
            </w:pPr>
            <w:r>
              <w:rPr>
                <w:noProof/>
              </w:rPr>
              <w:t xml:space="preserve">Reforma Nr. </w:t>
            </w:r>
            <w:r>
              <w:rPr>
                <w:noProof/>
              </w:rPr>
              <w:t>1.4. Civiltiesību reforma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CB60A87"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BEE21D" w14:textId="77777777" w:rsidR="00327FF1" w:rsidRDefault="00E406C7">
            <w:pPr>
              <w:pStyle w:val="P68B1DB1-Normal121"/>
              <w:spacing w:after="0" w:line="240" w:lineRule="auto"/>
              <w:rPr>
                <w:noProof/>
              </w:rPr>
            </w:pPr>
            <w:r>
              <w:rPr>
                <w:noProof/>
              </w:rPr>
              <w:t>Civiltiesību reformai paredzētu tiesību aktu stāšanās spēkā</w:t>
            </w:r>
          </w:p>
        </w:tc>
        <w:tc>
          <w:tcPr>
            <w:tcW w:w="236" w:type="dxa"/>
            <w:tcBorders>
              <w:top w:val="nil"/>
              <w:left w:val="single" w:sz="4" w:space="0" w:color="auto"/>
              <w:bottom w:val="nil"/>
              <w:right w:val="nil"/>
            </w:tcBorders>
            <w:vAlign w:val="center"/>
          </w:tcPr>
          <w:p w14:paraId="2BF56327" w14:textId="77777777" w:rsidR="00327FF1" w:rsidRDefault="00327FF1">
            <w:pPr>
              <w:spacing w:after="0" w:line="240" w:lineRule="auto"/>
              <w:rPr>
                <w:rFonts w:ascii="Times New Roman" w:eastAsia="Times New Roman" w:hAnsi="Times New Roman" w:cs="Times New Roman"/>
                <w:noProof/>
              </w:rPr>
            </w:pPr>
          </w:p>
        </w:tc>
      </w:tr>
      <w:tr w:rsidR="00327FF1" w14:paraId="6294D8C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1102E2" w14:textId="77777777" w:rsidR="00327FF1" w:rsidRDefault="00E406C7">
            <w:pPr>
              <w:pStyle w:val="P68B1DB1-Normal121"/>
              <w:spacing w:after="0" w:line="240" w:lineRule="auto"/>
              <w:jc w:val="center"/>
              <w:rPr>
                <w:noProof/>
              </w:rPr>
            </w:pPr>
            <w:r>
              <w:rPr>
                <w:noProof/>
              </w:rPr>
              <w:t>M1C1–30</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A86129" w14:textId="77777777" w:rsidR="00327FF1" w:rsidRDefault="00E406C7">
            <w:pPr>
              <w:pStyle w:val="P68B1DB1-Normal121"/>
              <w:spacing w:after="0" w:line="240" w:lineRule="auto"/>
              <w:rPr>
                <w:noProof/>
              </w:rPr>
            </w:pPr>
            <w:r>
              <w:rPr>
                <w:noProof/>
              </w:rPr>
              <w:t>Reforma Nr. 1.5: Krimināltiesību reforma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A41931"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674896" w14:textId="77777777" w:rsidR="00327FF1" w:rsidRDefault="00E406C7">
            <w:pPr>
              <w:pStyle w:val="P68B1DB1-Normal121"/>
              <w:spacing w:after="0" w:line="240" w:lineRule="auto"/>
              <w:rPr>
                <w:noProof/>
              </w:rPr>
            </w:pPr>
            <w:r>
              <w:rPr>
                <w:noProof/>
              </w:rPr>
              <w:t>Krimināltiesību reformai paredzētu tiesību aktu stāšanās spēkā</w:t>
            </w:r>
          </w:p>
        </w:tc>
        <w:tc>
          <w:tcPr>
            <w:tcW w:w="236" w:type="dxa"/>
            <w:tcBorders>
              <w:top w:val="nil"/>
              <w:left w:val="single" w:sz="4" w:space="0" w:color="auto"/>
              <w:bottom w:val="nil"/>
              <w:right w:val="nil"/>
            </w:tcBorders>
            <w:vAlign w:val="center"/>
          </w:tcPr>
          <w:p w14:paraId="6A588FE3" w14:textId="77777777" w:rsidR="00327FF1" w:rsidRDefault="00327FF1">
            <w:pPr>
              <w:spacing w:after="0" w:line="240" w:lineRule="auto"/>
              <w:rPr>
                <w:rFonts w:ascii="Times New Roman" w:eastAsia="Times New Roman" w:hAnsi="Times New Roman" w:cs="Times New Roman"/>
                <w:noProof/>
              </w:rPr>
            </w:pPr>
          </w:p>
        </w:tc>
      </w:tr>
      <w:tr w:rsidR="00327FF1" w14:paraId="6E82A47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4DE214" w14:textId="77777777" w:rsidR="00327FF1" w:rsidRDefault="00E406C7">
            <w:pPr>
              <w:pStyle w:val="P68B1DB1-Normal121"/>
              <w:spacing w:after="0" w:line="240" w:lineRule="auto"/>
              <w:jc w:val="center"/>
              <w:rPr>
                <w:noProof/>
              </w:rPr>
            </w:pPr>
            <w:r>
              <w:rPr>
                <w:noProof/>
              </w:rPr>
              <w:t>M1C1–31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E6D62E" w14:textId="77777777" w:rsidR="00327FF1" w:rsidRDefault="00E406C7">
            <w:pPr>
              <w:pStyle w:val="P68B1DB1-Normal121"/>
              <w:spacing w:after="0" w:line="240" w:lineRule="auto"/>
              <w:rPr>
                <w:noProof/>
              </w:rPr>
            </w:pPr>
            <w:r>
              <w:rPr>
                <w:noProof/>
              </w:rPr>
              <w:t xml:space="preserve">Reforma Nr. </w:t>
            </w:r>
            <w:r>
              <w:rPr>
                <w:noProof/>
              </w:rPr>
              <w:t>1.6. Maksātnespējas regulējuma reforma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B39666"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39DC948" w14:textId="77777777" w:rsidR="00327FF1" w:rsidRDefault="00E406C7">
            <w:pPr>
              <w:pStyle w:val="P68B1DB1-Normal121"/>
              <w:spacing w:after="0" w:line="240" w:lineRule="auto"/>
              <w:rPr>
                <w:noProof/>
              </w:rPr>
            </w:pPr>
            <w:r>
              <w:rPr>
                <w:noProof/>
              </w:rPr>
              <w:t>Maksātnespējas reformas satvaram labvēlīgu tiesību aktu stāšanās spēkā</w:t>
            </w:r>
          </w:p>
        </w:tc>
        <w:tc>
          <w:tcPr>
            <w:tcW w:w="236" w:type="dxa"/>
            <w:tcBorders>
              <w:top w:val="nil"/>
              <w:left w:val="single" w:sz="4" w:space="0" w:color="auto"/>
              <w:bottom w:val="nil"/>
              <w:right w:val="nil"/>
            </w:tcBorders>
            <w:vAlign w:val="center"/>
          </w:tcPr>
          <w:p w14:paraId="473F9D4E" w14:textId="77777777" w:rsidR="00327FF1" w:rsidRDefault="00327FF1">
            <w:pPr>
              <w:spacing w:after="0" w:line="240" w:lineRule="auto"/>
              <w:rPr>
                <w:rFonts w:ascii="Times New Roman" w:eastAsia="Times New Roman" w:hAnsi="Times New Roman" w:cs="Times New Roman"/>
                <w:noProof/>
              </w:rPr>
            </w:pPr>
          </w:p>
        </w:tc>
      </w:tr>
      <w:tr w:rsidR="00327FF1" w14:paraId="76E332D6"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ECF926" w14:textId="77777777" w:rsidR="00327FF1" w:rsidRDefault="00E406C7">
            <w:pPr>
              <w:pStyle w:val="P68B1DB1-Normal121"/>
              <w:spacing w:after="0" w:line="240" w:lineRule="auto"/>
              <w:jc w:val="center"/>
              <w:rPr>
                <w:noProof/>
              </w:rPr>
            </w:pPr>
            <w:r>
              <w:rPr>
                <w:noProof/>
              </w:rPr>
              <w:t>M1C1–32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21EE106" w14:textId="77777777" w:rsidR="00327FF1" w:rsidRDefault="00E406C7">
            <w:pPr>
              <w:pStyle w:val="P68B1DB1-Normal121"/>
              <w:spacing w:after="0" w:line="240" w:lineRule="auto"/>
              <w:rPr>
                <w:noProof/>
              </w:rPr>
            </w:pPr>
            <w:r>
              <w:rPr>
                <w:noProof/>
              </w:rPr>
              <w:t>Investīciju 1.8: Darbā pieņemšanas procedūras civiltiesās, krimināltiesās un administratīvajās tiesās</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5AB8230"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FAE5190" w14:textId="77777777" w:rsidR="00327FF1" w:rsidRDefault="00E406C7">
            <w:pPr>
              <w:pStyle w:val="P68B1DB1-Normal121"/>
              <w:spacing w:after="0" w:line="240" w:lineRule="auto"/>
              <w:rPr>
                <w:noProof/>
              </w:rPr>
            </w:pPr>
            <w:r>
              <w:rPr>
                <w:noProof/>
              </w:rPr>
              <w:t>Stājas spēkā īpaši tiesību akti, kas reglamentē nacionālo atveseļošanas un noturības plānu pieņemšanu darbā</w:t>
            </w:r>
          </w:p>
        </w:tc>
        <w:tc>
          <w:tcPr>
            <w:tcW w:w="236" w:type="dxa"/>
            <w:tcBorders>
              <w:top w:val="nil"/>
              <w:left w:val="single" w:sz="4" w:space="0" w:color="auto"/>
              <w:bottom w:val="nil"/>
              <w:right w:val="nil"/>
            </w:tcBorders>
            <w:vAlign w:val="center"/>
          </w:tcPr>
          <w:p w14:paraId="5D7BF141" w14:textId="77777777" w:rsidR="00327FF1" w:rsidRDefault="00327FF1">
            <w:pPr>
              <w:spacing w:after="0" w:line="240" w:lineRule="auto"/>
              <w:rPr>
                <w:rFonts w:ascii="Times New Roman" w:eastAsia="Times New Roman" w:hAnsi="Times New Roman" w:cs="Times New Roman"/>
                <w:noProof/>
              </w:rPr>
            </w:pPr>
          </w:p>
        </w:tc>
      </w:tr>
      <w:tr w:rsidR="00327FF1" w14:paraId="12B5A3F8"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222EFC" w14:textId="77777777" w:rsidR="00327FF1" w:rsidRDefault="00E406C7">
            <w:pPr>
              <w:pStyle w:val="P68B1DB1-Normal121"/>
              <w:spacing w:after="0" w:line="240" w:lineRule="auto"/>
              <w:jc w:val="center"/>
              <w:rPr>
                <w:noProof/>
              </w:rPr>
            </w:pPr>
            <w:r>
              <w:rPr>
                <w:noProof/>
              </w:rPr>
              <w:t>M1C1–54</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713B1D" w14:textId="77777777" w:rsidR="00327FF1" w:rsidRDefault="00E406C7">
            <w:pPr>
              <w:pStyle w:val="P68B1DB1-Normal121"/>
              <w:spacing w:after="0" w:line="240" w:lineRule="auto"/>
              <w:rPr>
                <w:noProof/>
              </w:rPr>
            </w:pPr>
            <w:r>
              <w:rPr>
                <w:noProof/>
              </w:rPr>
              <w:t>Investīcija Nr. 1.9: Sniegt tehnisko palīdzību un stiprināt spēju veidošanu Itālijas atveseļošanas un noturības plāna īstenošanai</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F5788B" w14:textId="77777777" w:rsidR="00327FF1" w:rsidRDefault="00E406C7">
            <w:pPr>
              <w:pStyle w:val="P68B1DB1-Normal121"/>
              <w:spacing w:after="0" w:line="240" w:lineRule="auto"/>
              <w:jc w:val="center"/>
              <w:rPr>
                <w:noProof/>
              </w:rPr>
            </w:pPr>
            <w:r>
              <w:rPr>
                <w:noProof/>
              </w:rPr>
              <w:t>Mērķa</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1E1808" w14:textId="77777777" w:rsidR="00327FF1" w:rsidRDefault="00E406C7">
            <w:pPr>
              <w:pStyle w:val="P68B1DB1-Normal121"/>
              <w:spacing w:after="0" w:line="240" w:lineRule="auto"/>
              <w:rPr>
                <w:noProof/>
              </w:rPr>
            </w:pPr>
            <w:r>
              <w:rPr>
                <w:noProof/>
              </w:rPr>
              <w:t>Pa</w:t>
            </w:r>
            <w:r>
              <w:rPr>
                <w:noProof/>
              </w:rPr>
              <w:t>beigta ekspertu pieņemšana darbā Itālijas atveseļošanas un noturības plāna īstenošanai</w:t>
            </w:r>
          </w:p>
        </w:tc>
        <w:tc>
          <w:tcPr>
            <w:tcW w:w="236" w:type="dxa"/>
            <w:tcBorders>
              <w:top w:val="nil"/>
              <w:left w:val="single" w:sz="4" w:space="0" w:color="auto"/>
              <w:bottom w:val="nil"/>
              <w:right w:val="nil"/>
            </w:tcBorders>
            <w:vAlign w:val="center"/>
          </w:tcPr>
          <w:p w14:paraId="4A8CB2D6" w14:textId="77777777" w:rsidR="00327FF1" w:rsidRDefault="00327FF1">
            <w:pPr>
              <w:spacing w:after="0" w:line="240" w:lineRule="auto"/>
              <w:rPr>
                <w:rFonts w:ascii="Times New Roman" w:eastAsia="Times New Roman" w:hAnsi="Times New Roman" w:cs="Times New Roman"/>
                <w:noProof/>
              </w:rPr>
            </w:pPr>
          </w:p>
        </w:tc>
      </w:tr>
      <w:tr w:rsidR="00327FF1" w14:paraId="4B10D174"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602DF8" w14:textId="77777777" w:rsidR="00327FF1" w:rsidRDefault="00E406C7">
            <w:pPr>
              <w:pStyle w:val="P68B1DB1-Normal121"/>
              <w:spacing w:after="0" w:line="240" w:lineRule="auto"/>
              <w:jc w:val="center"/>
              <w:rPr>
                <w:noProof/>
              </w:rPr>
            </w:pPr>
            <w:r>
              <w:rPr>
                <w:noProof/>
              </w:rPr>
              <w:t>M1C1–55</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D06ADE" w14:textId="77777777" w:rsidR="00327FF1" w:rsidRDefault="00E406C7">
            <w:pPr>
              <w:pStyle w:val="P68B1DB1-Normal121"/>
              <w:spacing w:after="0" w:line="240" w:lineRule="auto"/>
              <w:rPr>
                <w:noProof/>
              </w:rPr>
            </w:pPr>
            <w:r>
              <w:rPr>
                <w:noProof/>
              </w:rPr>
              <w:t>Reforma Nr. 1.9: Valsts pārvaldes reforma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A0B671"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83E730" w14:textId="77777777" w:rsidR="00327FF1" w:rsidRDefault="00E406C7">
            <w:pPr>
              <w:pStyle w:val="P68B1DB1-Normal121"/>
              <w:spacing w:after="0" w:line="240" w:lineRule="auto"/>
              <w:rPr>
                <w:noProof/>
              </w:rPr>
            </w:pPr>
            <w:r>
              <w:rPr>
                <w:noProof/>
              </w:rPr>
              <w:t xml:space="preserve">Itālijas atveseļošanas un noturības plānam piemērotās metodikas paplašināšana, attiecinot to arī uz </w:t>
            </w:r>
            <w:r>
              <w:rPr>
                <w:noProof/>
              </w:rPr>
              <w:t>valsts budžetu, lai palielinātu investīciju apguvi</w:t>
            </w:r>
          </w:p>
        </w:tc>
        <w:tc>
          <w:tcPr>
            <w:tcW w:w="236" w:type="dxa"/>
            <w:tcBorders>
              <w:top w:val="nil"/>
              <w:left w:val="single" w:sz="4" w:space="0" w:color="auto"/>
              <w:bottom w:val="nil"/>
              <w:right w:val="nil"/>
            </w:tcBorders>
            <w:vAlign w:val="center"/>
          </w:tcPr>
          <w:p w14:paraId="564909FB" w14:textId="77777777" w:rsidR="00327FF1" w:rsidRDefault="00327FF1">
            <w:pPr>
              <w:spacing w:after="0" w:line="240" w:lineRule="auto"/>
              <w:rPr>
                <w:rFonts w:ascii="Times New Roman" w:eastAsia="Times New Roman" w:hAnsi="Times New Roman" w:cs="Times New Roman"/>
                <w:noProof/>
              </w:rPr>
            </w:pPr>
          </w:p>
        </w:tc>
      </w:tr>
      <w:tr w:rsidR="00327FF1" w14:paraId="1186F102"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401EDD" w14:textId="77777777" w:rsidR="00327FF1" w:rsidRDefault="00E406C7">
            <w:pPr>
              <w:pStyle w:val="P68B1DB1-Normal121"/>
              <w:spacing w:after="0" w:line="240" w:lineRule="auto"/>
              <w:jc w:val="center"/>
              <w:rPr>
                <w:noProof/>
              </w:rPr>
            </w:pPr>
            <w:r>
              <w:rPr>
                <w:noProof/>
              </w:rPr>
              <w:t>M1C1–68</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9ECE851" w14:textId="77777777" w:rsidR="00327FF1" w:rsidRDefault="00E406C7">
            <w:pPr>
              <w:pStyle w:val="P68B1DB1-Normal121"/>
              <w:spacing w:after="0" w:line="240" w:lineRule="auto"/>
              <w:rPr>
                <w:noProof/>
              </w:rPr>
            </w:pPr>
            <w:r>
              <w:rPr>
                <w:noProof/>
              </w:rPr>
              <w:t>Reforma Nr. 1.9: Valsts pārvaldes reforma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09931B5"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14D522" w14:textId="77777777" w:rsidR="00327FF1" w:rsidRDefault="00E406C7">
            <w:pPr>
              <w:pStyle w:val="P68B1DB1-Normal121"/>
              <w:spacing w:after="0" w:line="240" w:lineRule="auto"/>
              <w:rPr>
                <w:noProof/>
              </w:rPr>
            </w:pPr>
            <w:r>
              <w:rPr>
                <w:noProof/>
              </w:rPr>
              <w:t>Revīzijas un kontroles repozitorija sistēma: informācija ANM īstenošanas uzraudzībai</w:t>
            </w:r>
          </w:p>
        </w:tc>
        <w:tc>
          <w:tcPr>
            <w:tcW w:w="236" w:type="dxa"/>
            <w:tcBorders>
              <w:top w:val="nil"/>
              <w:left w:val="single" w:sz="4" w:space="0" w:color="auto"/>
              <w:bottom w:val="nil"/>
              <w:right w:val="nil"/>
            </w:tcBorders>
            <w:vAlign w:val="center"/>
          </w:tcPr>
          <w:p w14:paraId="5A412DCD" w14:textId="77777777" w:rsidR="00327FF1" w:rsidRDefault="00327FF1">
            <w:pPr>
              <w:spacing w:after="0" w:line="240" w:lineRule="auto"/>
              <w:rPr>
                <w:rFonts w:ascii="Times New Roman" w:eastAsia="Times New Roman" w:hAnsi="Times New Roman" w:cs="Times New Roman"/>
                <w:noProof/>
              </w:rPr>
            </w:pPr>
          </w:p>
        </w:tc>
      </w:tr>
      <w:tr w:rsidR="00327FF1" w14:paraId="2B23FCF3"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D8A3E9" w14:textId="77777777" w:rsidR="00327FF1" w:rsidRDefault="00E406C7">
            <w:pPr>
              <w:pStyle w:val="P68B1DB1-Normal121"/>
              <w:spacing w:after="0" w:line="240" w:lineRule="auto"/>
              <w:jc w:val="center"/>
              <w:rPr>
                <w:noProof/>
              </w:rPr>
            </w:pPr>
            <w:r>
              <w:rPr>
                <w:noProof/>
              </w:rPr>
              <w:t>M1C1–71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14CE61" w14:textId="77777777" w:rsidR="00327FF1" w:rsidRDefault="00E406C7">
            <w:pPr>
              <w:pStyle w:val="P68B1DB1-Normal121"/>
              <w:spacing w:after="0" w:line="240" w:lineRule="auto"/>
              <w:rPr>
                <w:noProof/>
              </w:rPr>
            </w:pPr>
            <w:r>
              <w:rPr>
                <w:noProof/>
              </w:rPr>
              <w:t xml:space="preserve">Reforma Nr. 1.10. Publiskā iepirkuma </w:t>
            </w:r>
            <w:r>
              <w:rPr>
                <w:noProof/>
              </w:rPr>
              <w:t>tiesiskā regulējuma reforma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3E2393"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E7968E" w14:textId="77777777" w:rsidR="00327FF1" w:rsidRDefault="00E406C7">
            <w:pPr>
              <w:pStyle w:val="P68B1DB1-Normal121"/>
              <w:spacing w:after="0" w:line="240" w:lineRule="auto"/>
              <w:rPr>
                <w:noProof/>
              </w:rPr>
            </w:pPr>
            <w:r>
              <w:rPr>
                <w:noProof/>
              </w:rPr>
              <w:t>Stājas spēkā visi publiskā iepirkuma sistēmai nepieciešamie tiesību akti, noteikumi un īstenošanas akti (tostarp sekundārie tiesību akti)</w:t>
            </w:r>
          </w:p>
        </w:tc>
        <w:tc>
          <w:tcPr>
            <w:tcW w:w="236" w:type="dxa"/>
            <w:tcBorders>
              <w:top w:val="nil"/>
              <w:left w:val="single" w:sz="4" w:space="0" w:color="auto"/>
              <w:bottom w:val="nil"/>
              <w:right w:val="nil"/>
            </w:tcBorders>
            <w:vAlign w:val="center"/>
          </w:tcPr>
          <w:p w14:paraId="6C87A724" w14:textId="77777777" w:rsidR="00327FF1" w:rsidRDefault="00327FF1">
            <w:pPr>
              <w:spacing w:after="0" w:line="240" w:lineRule="auto"/>
              <w:rPr>
                <w:rFonts w:ascii="Times New Roman" w:eastAsia="Times New Roman" w:hAnsi="Times New Roman" w:cs="Times New Roman"/>
                <w:noProof/>
              </w:rPr>
            </w:pPr>
          </w:p>
        </w:tc>
      </w:tr>
      <w:tr w:rsidR="00327FF1" w14:paraId="4277BA55"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ABCD45" w14:textId="77777777" w:rsidR="00327FF1" w:rsidRDefault="00E406C7">
            <w:pPr>
              <w:pStyle w:val="P68B1DB1-Normal121"/>
              <w:spacing w:after="0" w:line="240" w:lineRule="auto"/>
              <w:jc w:val="center"/>
              <w:rPr>
                <w:noProof/>
              </w:rPr>
            </w:pPr>
            <w:r>
              <w:rPr>
                <w:noProof/>
              </w:rPr>
              <w:t>M1C1–100</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EEA57C" w14:textId="77777777" w:rsidR="00327FF1" w:rsidRDefault="00E406C7">
            <w:pPr>
              <w:pStyle w:val="P68B1DB1-Normal121"/>
              <w:spacing w:after="0" w:line="240" w:lineRule="auto"/>
              <w:rPr>
                <w:noProof/>
              </w:rPr>
            </w:pPr>
            <w:r>
              <w:rPr>
                <w:noProof/>
              </w:rPr>
              <w:t>Reforma Nr. 1.13. Izdevumu pārskatīšanas sistēmas reforma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4F6295"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85D47C" w14:textId="77777777" w:rsidR="00327FF1" w:rsidRDefault="00E406C7">
            <w:pPr>
              <w:pStyle w:val="P68B1DB1-Normal121"/>
              <w:spacing w:after="0" w:line="240" w:lineRule="auto"/>
              <w:rPr>
                <w:noProof/>
              </w:rPr>
            </w:pPr>
            <w:r>
              <w:rPr>
                <w:noProof/>
              </w:rPr>
              <w:t>Tādu tiesību aktu stāšanās spēkā, ar kuriem uzlabo izdevumu pārskatīšanas efektivitāti — Finanšu ministrijas stiprināšana</w:t>
            </w:r>
          </w:p>
        </w:tc>
        <w:tc>
          <w:tcPr>
            <w:tcW w:w="236" w:type="dxa"/>
            <w:tcBorders>
              <w:top w:val="nil"/>
              <w:left w:val="single" w:sz="4" w:space="0" w:color="auto"/>
              <w:bottom w:val="nil"/>
              <w:right w:val="nil"/>
            </w:tcBorders>
            <w:vAlign w:val="center"/>
          </w:tcPr>
          <w:p w14:paraId="3235512B" w14:textId="77777777" w:rsidR="00327FF1" w:rsidRDefault="00327FF1">
            <w:pPr>
              <w:spacing w:after="0" w:line="240" w:lineRule="auto"/>
              <w:rPr>
                <w:rFonts w:ascii="Times New Roman" w:eastAsia="Times New Roman" w:hAnsi="Times New Roman" w:cs="Times New Roman"/>
                <w:noProof/>
              </w:rPr>
            </w:pPr>
          </w:p>
        </w:tc>
      </w:tr>
      <w:tr w:rsidR="00327FF1" w14:paraId="51B8AFA1"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34354F" w14:textId="77777777" w:rsidR="00327FF1" w:rsidRDefault="00E406C7">
            <w:pPr>
              <w:pStyle w:val="P68B1DB1-Normal121"/>
              <w:spacing w:after="0" w:line="240" w:lineRule="auto"/>
              <w:jc w:val="center"/>
              <w:rPr>
                <w:noProof/>
              </w:rPr>
            </w:pPr>
            <w:r>
              <w:rPr>
                <w:noProof/>
              </w:rPr>
              <w:t>M1C1–101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EDD6CB" w14:textId="77777777" w:rsidR="00327FF1" w:rsidRDefault="00E406C7">
            <w:pPr>
              <w:pStyle w:val="P68B1DB1-Normal121"/>
              <w:spacing w:after="0" w:line="240" w:lineRule="auto"/>
              <w:rPr>
                <w:noProof/>
              </w:rPr>
            </w:pPr>
            <w:r>
              <w:rPr>
                <w:noProof/>
              </w:rPr>
              <w:t xml:space="preserve">Reforma Nr. 1.12: Nodokļu administrācijas reforma </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55DAFA"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BE6943" w14:textId="77777777" w:rsidR="00327FF1" w:rsidRDefault="00E406C7">
            <w:pPr>
              <w:pStyle w:val="P68B1DB1-Normal121"/>
              <w:spacing w:after="0" w:line="240" w:lineRule="auto"/>
              <w:rPr>
                <w:noProof/>
              </w:rPr>
            </w:pPr>
            <w:r>
              <w:rPr>
                <w:noProof/>
              </w:rPr>
              <w:t>Pārskatīšanas pieņemšana par iespējami</w:t>
            </w:r>
            <w:r>
              <w:rPr>
                <w:noProof/>
              </w:rPr>
              <w:t>em pasākumiem, lai samazinātu izvairīšanos no nodokļu maksāšanas</w:t>
            </w:r>
          </w:p>
        </w:tc>
        <w:tc>
          <w:tcPr>
            <w:tcW w:w="236" w:type="dxa"/>
            <w:tcBorders>
              <w:top w:val="nil"/>
              <w:left w:val="single" w:sz="4" w:space="0" w:color="auto"/>
              <w:bottom w:val="nil"/>
              <w:right w:val="nil"/>
            </w:tcBorders>
            <w:vAlign w:val="center"/>
          </w:tcPr>
          <w:p w14:paraId="39D8EAE9" w14:textId="77777777" w:rsidR="00327FF1" w:rsidRDefault="00327FF1">
            <w:pPr>
              <w:spacing w:after="0" w:line="240" w:lineRule="auto"/>
              <w:rPr>
                <w:rFonts w:ascii="Times New Roman" w:eastAsia="Times New Roman" w:hAnsi="Times New Roman" w:cs="Times New Roman"/>
                <w:noProof/>
              </w:rPr>
            </w:pPr>
          </w:p>
        </w:tc>
      </w:tr>
      <w:tr w:rsidR="00327FF1" w14:paraId="12D63B53"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5369C2A" w14:textId="77777777" w:rsidR="00327FF1" w:rsidRDefault="00E406C7">
            <w:pPr>
              <w:pStyle w:val="P68B1DB1-Normal121"/>
              <w:spacing w:after="0" w:line="240" w:lineRule="auto"/>
              <w:jc w:val="center"/>
              <w:rPr>
                <w:noProof/>
              </w:rPr>
            </w:pPr>
            <w:r>
              <w:rPr>
                <w:noProof/>
              </w:rPr>
              <w:t>M1C2–1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11C796" w14:textId="77777777" w:rsidR="00327FF1" w:rsidRDefault="00E406C7">
            <w:pPr>
              <w:pStyle w:val="P68B1DB1-Normal121"/>
              <w:spacing w:after="0" w:line="240" w:lineRule="auto"/>
              <w:rPr>
                <w:noProof/>
              </w:rPr>
            </w:pPr>
            <w:r>
              <w:rPr>
                <w:noProof/>
              </w:rPr>
              <w:t>Ieguldījums: Pāreja 4.0</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226E2E"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E9A663" w14:textId="77777777" w:rsidR="00327FF1" w:rsidRDefault="00E406C7">
            <w:pPr>
              <w:pStyle w:val="P68B1DB1-Normal121"/>
              <w:spacing w:after="0" w:line="240" w:lineRule="auto"/>
              <w:rPr>
                <w:noProof/>
              </w:rPr>
            </w:pPr>
            <w:r>
              <w:rPr>
                <w:noProof/>
              </w:rPr>
              <w:t>Tiesību aktu stāšanās spēkā, lai potenciālajiem saņēmējiem darītu pieejamus 4.0 pārejas nodokļu kredītus, un Zinātniskās komitejas izveide</w:t>
            </w:r>
          </w:p>
        </w:tc>
        <w:tc>
          <w:tcPr>
            <w:tcW w:w="236" w:type="dxa"/>
            <w:tcBorders>
              <w:top w:val="nil"/>
              <w:left w:val="single" w:sz="4" w:space="0" w:color="auto"/>
              <w:bottom w:val="nil"/>
              <w:right w:val="nil"/>
            </w:tcBorders>
            <w:vAlign w:val="center"/>
          </w:tcPr>
          <w:p w14:paraId="59A10F56" w14:textId="77777777" w:rsidR="00327FF1" w:rsidRDefault="00327FF1">
            <w:pPr>
              <w:spacing w:after="0" w:line="240" w:lineRule="auto"/>
              <w:rPr>
                <w:rFonts w:ascii="Times New Roman" w:eastAsia="Times New Roman" w:hAnsi="Times New Roman" w:cs="Times New Roman"/>
                <w:noProof/>
              </w:rPr>
            </w:pPr>
          </w:p>
        </w:tc>
      </w:tr>
      <w:tr w:rsidR="00327FF1" w14:paraId="5EE06177"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AE93E7" w14:textId="77777777" w:rsidR="00327FF1" w:rsidRDefault="00E406C7">
            <w:pPr>
              <w:pStyle w:val="P68B1DB1-Normal121"/>
              <w:spacing w:after="0" w:line="240" w:lineRule="auto"/>
              <w:jc w:val="center"/>
              <w:rPr>
                <w:noProof/>
              </w:rPr>
            </w:pPr>
            <w:r>
              <w:rPr>
                <w:noProof/>
              </w:rPr>
              <w:t>M1C3–8</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6CD9F7" w14:textId="77777777" w:rsidR="00327FF1" w:rsidRDefault="00E406C7">
            <w:pPr>
              <w:pStyle w:val="P68B1DB1-Normal121"/>
              <w:spacing w:after="0" w:line="240" w:lineRule="auto"/>
              <w:rPr>
                <w:noProof/>
              </w:rPr>
            </w:pPr>
            <w:r>
              <w:rPr>
                <w:noProof/>
              </w:rPr>
              <w:t>Investīcijas — 4.1. Digitālais tūrisma centrs</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F2926E"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E83432" w14:textId="77777777" w:rsidR="00327FF1" w:rsidRDefault="00E406C7">
            <w:pPr>
              <w:pStyle w:val="P68B1DB1-Normal121"/>
              <w:spacing w:after="0" w:line="240" w:lineRule="auto"/>
              <w:rPr>
                <w:noProof/>
              </w:rPr>
            </w:pPr>
            <w:r>
              <w:rPr>
                <w:noProof/>
              </w:rPr>
              <w:t>Līgumu slēgšanas tiesību piešķiršana digitālā tūrisma portāla izstrādei</w:t>
            </w:r>
          </w:p>
        </w:tc>
        <w:tc>
          <w:tcPr>
            <w:tcW w:w="236" w:type="dxa"/>
            <w:tcBorders>
              <w:top w:val="nil"/>
              <w:left w:val="single" w:sz="4" w:space="0" w:color="auto"/>
              <w:bottom w:val="nil"/>
              <w:right w:val="nil"/>
            </w:tcBorders>
            <w:vAlign w:val="center"/>
          </w:tcPr>
          <w:p w14:paraId="0827186A" w14:textId="77777777" w:rsidR="00327FF1" w:rsidRDefault="00327FF1">
            <w:pPr>
              <w:spacing w:after="0" w:line="240" w:lineRule="auto"/>
              <w:rPr>
                <w:rFonts w:ascii="Times New Roman" w:eastAsia="Times New Roman" w:hAnsi="Times New Roman" w:cs="Times New Roman"/>
                <w:noProof/>
              </w:rPr>
            </w:pPr>
          </w:p>
        </w:tc>
      </w:tr>
      <w:tr w:rsidR="00327FF1" w14:paraId="04168E2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107EC98" w14:textId="77777777" w:rsidR="00327FF1" w:rsidRDefault="00E406C7">
            <w:pPr>
              <w:pStyle w:val="P68B1DB1-Normal121"/>
              <w:spacing w:after="0" w:line="240" w:lineRule="auto"/>
              <w:jc w:val="center"/>
              <w:rPr>
                <w:noProof/>
              </w:rPr>
            </w:pPr>
            <w:r>
              <w:rPr>
                <w:noProof/>
              </w:rPr>
              <w:t>M2C2–7</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0C5F4F" w14:textId="77777777" w:rsidR="00327FF1" w:rsidRDefault="00E406C7">
            <w:pPr>
              <w:pStyle w:val="P68B1DB1-Normal121"/>
              <w:spacing w:after="0" w:line="240" w:lineRule="auto"/>
              <w:rPr>
                <w:noProof/>
              </w:rPr>
            </w:pPr>
            <w:r>
              <w:rPr>
                <w:noProof/>
              </w:rPr>
              <w:t>Reforma Nr. 2 Jauni tiesību akti atjaunīgās gāzes ražošanas un patēriņa veicināšanai</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B1163D"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AF195E" w14:textId="77777777" w:rsidR="00327FF1" w:rsidRDefault="00E406C7">
            <w:pPr>
              <w:pStyle w:val="P68B1DB1-Normal121"/>
              <w:spacing w:after="0" w:line="240" w:lineRule="auto"/>
              <w:rPr>
                <w:noProof/>
              </w:rPr>
            </w:pPr>
            <w:r>
              <w:rPr>
                <w:noProof/>
              </w:rPr>
              <w:t>Stājas spēkā Likumdošanas dekrēts, ar ko veicina atjaunīgās gāzes izmantošanu biometāna izmantošanai transporta, rūpniecības un dzīvojamo ēku sektorā, un īstenošanas dekrēts, kurā izklāstīti nosacījumi un kritēriji attiecībā uz tā izmantošanu un jauno stim</w:t>
            </w:r>
            <w:r>
              <w:rPr>
                <w:noProof/>
              </w:rPr>
              <w:t>ulu sistēmu.</w:t>
            </w:r>
          </w:p>
        </w:tc>
        <w:tc>
          <w:tcPr>
            <w:tcW w:w="236" w:type="dxa"/>
            <w:tcBorders>
              <w:top w:val="nil"/>
              <w:left w:val="single" w:sz="4" w:space="0" w:color="auto"/>
              <w:bottom w:val="nil"/>
              <w:right w:val="nil"/>
            </w:tcBorders>
            <w:vAlign w:val="center"/>
          </w:tcPr>
          <w:p w14:paraId="716D2AF9" w14:textId="77777777" w:rsidR="00327FF1" w:rsidRDefault="00327FF1">
            <w:pPr>
              <w:spacing w:after="0" w:line="240" w:lineRule="auto"/>
              <w:rPr>
                <w:rFonts w:ascii="Times New Roman" w:eastAsia="Times New Roman" w:hAnsi="Times New Roman" w:cs="Times New Roman"/>
                <w:noProof/>
              </w:rPr>
            </w:pPr>
          </w:p>
        </w:tc>
      </w:tr>
      <w:tr w:rsidR="00327FF1" w14:paraId="3D1F9BC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58B6E6" w14:textId="77777777" w:rsidR="00327FF1" w:rsidRDefault="00E406C7">
            <w:pPr>
              <w:pStyle w:val="P68B1DB1-Normal121"/>
              <w:spacing w:after="0" w:line="240" w:lineRule="auto"/>
              <w:jc w:val="center"/>
              <w:rPr>
                <w:noProof/>
              </w:rPr>
            </w:pPr>
            <w:r>
              <w:rPr>
                <w:noProof/>
              </w:rPr>
              <w:t>M2C2–37</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66D8700" w14:textId="77777777" w:rsidR="00327FF1" w:rsidRDefault="00E406C7">
            <w:pPr>
              <w:pStyle w:val="P68B1DB1-Normal121"/>
              <w:spacing w:after="0" w:line="240" w:lineRule="auto"/>
              <w:rPr>
                <w:noProof/>
              </w:rPr>
            </w:pPr>
            <w:r>
              <w:rPr>
                <w:noProof/>
              </w:rPr>
              <w:t>Reforma. Viedākas projektu novērtēšanas procedūras vietējā sabiedriskā transporta sistēmu nozarē ar stacionārām iekārtām un ātrā masu transporta nozarē</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E0BEC8"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039F7B" w14:textId="77777777" w:rsidR="00327FF1" w:rsidRDefault="00E406C7">
            <w:pPr>
              <w:pStyle w:val="P68B1DB1-Normal121"/>
              <w:spacing w:after="0" w:line="240" w:lineRule="auto"/>
              <w:rPr>
                <w:noProof/>
              </w:rPr>
            </w:pPr>
            <w:r>
              <w:rPr>
                <w:noProof/>
              </w:rPr>
              <w:t>Dekrētlikuma stāšanās spēkā</w:t>
            </w:r>
          </w:p>
        </w:tc>
        <w:tc>
          <w:tcPr>
            <w:tcW w:w="236" w:type="dxa"/>
            <w:tcBorders>
              <w:top w:val="nil"/>
              <w:left w:val="single" w:sz="4" w:space="0" w:color="auto"/>
              <w:bottom w:val="nil"/>
              <w:right w:val="nil"/>
            </w:tcBorders>
            <w:vAlign w:val="center"/>
          </w:tcPr>
          <w:p w14:paraId="3D09D43A" w14:textId="77777777" w:rsidR="00327FF1" w:rsidRDefault="00327FF1">
            <w:pPr>
              <w:spacing w:after="0" w:line="240" w:lineRule="auto"/>
              <w:rPr>
                <w:rFonts w:ascii="Times New Roman" w:eastAsia="Times New Roman" w:hAnsi="Times New Roman" w:cs="Times New Roman"/>
                <w:noProof/>
              </w:rPr>
            </w:pPr>
          </w:p>
        </w:tc>
      </w:tr>
      <w:tr w:rsidR="00327FF1" w14:paraId="27D4385C"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A88E12" w14:textId="77777777" w:rsidR="00327FF1" w:rsidRDefault="00E406C7">
            <w:pPr>
              <w:pStyle w:val="P68B1DB1-Normal121"/>
              <w:spacing w:after="0" w:line="240" w:lineRule="auto"/>
              <w:jc w:val="center"/>
              <w:rPr>
                <w:noProof/>
              </w:rPr>
            </w:pPr>
            <w:r>
              <w:rPr>
                <w:noProof/>
              </w:rPr>
              <w:t>M2C2–41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5EFB6A" w14:textId="77777777" w:rsidR="00327FF1" w:rsidRDefault="00E406C7">
            <w:pPr>
              <w:pStyle w:val="P68B1DB1-Normal121"/>
              <w:spacing w:after="0" w:line="240" w:lineRule="auto"/>
              <w:rPr>
                <w:noProof/>
              </w:rPr>
            </w:pPr>
            <w:r>
              <w:rPr>
                <w:noProof/>
              </w:rPr>
              <w:t xml:space="preserve">Investīcija 5.3.: </w:t>
            </w:r>
            <w:r>
              <w:rPr>
                <w:noProof/>
              </w:rPr>
              <w:t>Elektriskie autobusi</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DFF82A"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401C5A" w14:textId="77777777" w:rsidR="00327FF1" w:rsidRDefault="00E406C7">
            <w:pPr>
              <w:pStyle w:val="P68B1DB1-Normal121"/>
              <w:spacing w:after="0" w:line="240" w:lineRule="auto"/>
              <w:rPr>
                <w:noProof/>
              </w:rPr>
            </w:pPr>
            <w:r>
              <w:rPr>
                <w:noProof/>
              </w:rPr>
              <w:t>Stājas spēkā ministrijas dekrēts, kurā noteikts pieejamo resursu apjoms intervences mērķa sasniegšanai (autobusu piegādes ķēde)</w:t>
            </w:r>
          </w:p>
        </w:tc>
        <w:tc>
          <w:tcPr>
            <w:tcW w:w="236" w:type="dxa"/>
            <w:tcBorders>
              <w:top w:val="nil"/>
              <w:left w:val="single" w:sz="4" w:space="0" w:color="auto"/>
              <w:bottom w:val="nil"/>
              <w:right w:val="nil"/>
            </w:tcBorders>
            <w:vAlign w:val="center"/>
          </w:tcPr>
          <w:p w14:paraId="2C8C9245" w14:textId="77777777" w:rsidR="00327FF1" w:rsidRDefault="00327FF1">
            <w:pPr>
              <w:spacing w:after="0" w:line="240" w:lineRule="auto"/>
              <w:rPr>
                <w:rFonts w:ascii="Times New Roman" w:eastAsia="Times New Roman" w:hAnsi="Times New Roman" w:cs="Times New Roman"/>
                <w:noProof/>
              </w:rPr>
            </w:pPr>
          </w:p>
        </w:tc>
      </w:tr>
      <w:tr w:rsidR="00327FF1" w14:paraId="212FC3A7"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82EC5A" w14:textId="77777777" w:rsidR="00327FF1" w:rsidRDefault="00E406C7">
            <w:pPr>
              <w:pStyle w:val="P68B1DB1-Normal121"/>
              <w:spacing w:after="0" w:line="240" w:lineRule="auto"/>
              <w:jc w:val="center"/>
              <w:rPr>
                <w:noProof/>
              </w:rPr>
            </w:pPr>
            <w:r>
              <w:rPr>
                <w:noProof/>
              </w:rPr>
              <w:t>M2C3–1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B204C0" w14:textId="77777777" w:rsidR="00327FF1" w:rsidRDefault="00E406C7">
            <w:pPr>
              <w:pStyle w:val="P68B1DB1-Normal121"/>
              <w:spacing w:after="0" w:line="240" w:lineRule="auto"/>
              <w:rPr>
                <w:noProof/>
              </w:rPr>
            </w:pPr>
            <w:r>
              <w:rPr>
                <w:noProof/>
              </w:rPr>
              <w:t xml:space="preserve">Investīcija 2.1. — Ecobonus stiprināšana energoefektivitātes jomā </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6CFB3C" w14:textId="77777777" w:rsidR="00327FF1" w:rsidRDefault="00E406C7">
            <w:pPr>
              <w:pStyle w:val="P68B1DB1-Normal121"/>
              <w:spacing w:after="0" w:line="240" w:lineRule="auto"/>
              <w:jc w:val="center"/>
              <w:rPr>
                <w:noProof/>
              </w:rPr>
            </w:pPr>
            <w:r>
              <w:rPr>
                <w:noProof/>
              </w:rPr>
              <w:t xml:space="preserve">Atskaites </w:t>
            </w:r>
            <w:r>
              <w:rPr>
                <w:noProof/>
              </w:rPr>
              <w:t>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7EF238F" w14:textId="77777777" w:rsidR="00327FF1" w:rsidRDefault="00E406C7">
            <w:pPr>
              <w:pStyle w:val="P68B1DB1-Normal121"/>
              <w:spacing w:after="0" w:line="240" w:lineRule="auto"/>
              <w:rPr>
                <w:noProof/>
              </w:rPr>
            </w:pPr>
            <w:r>
              <w:rPr>
                <w:noProof/>
              </w:rPr>
              <w:t xml:space="preserve">Superbonus pagarinājuma stāšanās spēkā  </w:t>
            </w:r>
          </w:p>
        </w:tc>
        <w:tc>
          <w:tcPr>
            <w:tcW w:w="236" w:type="dxa"/>
            <w:tcBorders>
              <w:top w:val="nil"/>
              <w:left w:val="single" w:sz="4" w:space="0" w:color="auto"/>
              <w:bottom w:val="nil"/>
              <w:right w:val="nil"/>
            </w:tcBorders>
            <w:vAlign w:val="center"/>
          </w:tcPr>
          <w:p w14:paraId="6C33FAF7" w14:textId="77777777" w:rsidR="00327FF1" w:rsidRDefault="00327FF1">
            <w:pPr>
              <w:spacing w:after="0" w:line="240" w:lineRule="auto"/>
              <w:rPr>
                <w:rFonts w:ascii="Times New Roman" w:eastAsia="Times New Roman" w:hAnsi="Times New Roman" w:cs="Times New Roman"/>
                <w:noProof/>
              </w:rPr>
            </w:pPr>
          </w:p>
        </w:tc>
      </w:tr>
      <w:tr w:rsidR="00327FF1" w14:paraId="591B39CE"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71A320" w14:textId="77777777" w:rsidR="00327FF1" w:rsidRDefault="00E406C7">
            <w:pPr>
              <w:pStyle w:val="P68B1DB1-Normal121"/>
              <w:spacing w:after="0" w:line="240" w:lineRule="auto"/>
              <w:jc w:val="center"/>
              <w:rPr>
                <w:noProof/>
              </w:rPr>
            </w:pPr>
            <w:r>
              <w:rPr>
                <w:noProof/>
              </w:rPr>
              <w:t>M2C4–3</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8BEB13" w14:textId="77777777" w:rsidR="00327FF1" w:rsidRDefault="00E406C7">
            <w:pPr>
              <w:pStyle w:val="P68B1DB1-Normal121"/>
              <w:spacing w:after="0" w:line="240" w:lineRule="auto"/>
              <w:rPr>
                <w:noProof/>
              </w:rPr>
            </w:pPr>
            <w:r>
              <w:rPr>
                <w:noProof/>
              </w:rPr>
              <w:t>Reforma Nr. 4.2. “Pasākumi, lai nodrošinātu pilnīgu integrēto ūdensapgādes pakalpojumu pārvaldības spēju”</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C619AF"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D429FD" w14:textId="77777777" w:rsidR="00327FF1" w:rsidRDefault="00E406C7">
            <w:pPr>
              <w:pStyle w:val="P68B1DB1-Normal121"/>
              <w:spacing w:after="0" w:line="240" w:lineRule="auto"/>
              <w:rPr>
                <w:noProof/>
              </w:rPr>
            </w:pPr>
            <w:r>
              <w:rPr>
                <w:noProof/>
              </w:rPr>
              <w:t xml:space="preserve">Tiesiskā regulējuma reforma labākai ūdens apsaimniekošanai un ilgtspējīgai </w:t>
            </w:r>
            <w:r>
              <w:rPr>
                <w:noProof/>
              </w:rPr>
              <w:t>izmantošanai</w:t>
            </w:r>
          </w:p>
        </w:tc>
        <w:tc>
          <w:tcPr>
            <w:tcW w:w="236" w:type="dxa"/>
            <w:tcBorders>
              <w:top w:val="nil"/>
              <w:left w:val="single" w:sz="4" w:space="0" w:color="auto"/>
              <w:bottom w:val="nil"/>
              <w:right w:val="nil"/>
            </w:tcBorders>
            <w:vAlign w:val="center"/>
          </w:tcPr>
          <w:p w14:paraId="545B9977" w14:textId="77777777" w:rsidR="00327FF1" w:rsidRDefault="00327FF1">
            <w:pPr>
              <w:spacing w:after="0" w:line="240" w:lineRule="auto"/>
              <w:rPr>
                <w:rFonts w:ascii="Times New Roman" w:eastAsia="Times New Roman" w:hAnsi="Times New Roman" w:cs="Times New Roman"/>
                <w:noProof/>
              </w:rPr>
            </w:pPr>
          </w:p>
        </w:tc>
      </w:tr>
      <w:tr w:rsidR="00327FF1" w14:paraId="5E0A78D7"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8569EF" w14:textId="77777777" w:rsidR="00327FF1" w:rsidRDefault="00E406C7">
            <w:pPr>
              <w:pStyle w:val="P68B1DB1-Normal121"/>
              <w:spacing w:after="0" w:line="240" w:lineRule="auto"/>
              <w:jc w:val="center"/>
              <w:rPr>
                <w:noProof/>
              </w:rPr>
            </w:pPr>
            <w:r>
              <w:rPr>
                <w:noProof/>
              </w:rPr>
              <w:t>M3C2–3</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3D9DFD" w14:textId="77777777" w:rsidR="00327FF1" w:rsidRDefault="00E406C7">
            <w:pPr>
              <w:pStyle w:val="P68B1DB1-Normal121"/>
              <w:spacing w:after="0" w:line="240" w:lineRule="auto"/>
              <w:rPr>
                <w:noProof/>
              </w:rPr>
            </w:pPr>
            <w:r>
              <w:rPr>
                <w:noProof/>
              </w:rPr>
              <w:t xml:space="preserve">Reforma Nr. 2.1 — Vienotās muitas sistēmas ieviešana (“Sportello Unico Doganale”) </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E2B42D"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26DDD8" w14:textId="0A770B51" w:rsidR="00327FF1" w:rsidRDefault="00E406C7">
            <w:pPr>
              <w:pStyle w:val="P68B1DB1-Normal121"/>
              <w:spacing w:after="0" w:line="240" w:lineRule="auto"/>
              <w:rPr>
                <w:noProof/>
              </w:rPr>
            </w:pPr>
            <w:r>
              <w:rPr>
                <w:noProof/>
              </w:rPr>
              <w:t xml:space="preserve">Dekrēta par vienoto muitas dienestu (Sportello Unico Doganale) stāšanās spēkā </w:t>
            </w:r>
          </w:p>
        </w:tc>
        <w:tc>
          <w:tcPr>
            <w:tcW w:w="236" w:type="dxa"/>
            <w:tcBorders>
              <w:top w:val="nil"/>
              <w:left w:val="single" w:sz="4" w:space="0" w:color="auto"/>
              <w:bottom w:val="nil"/>
              <w:right w:val="nil"/>
            </w:tcBorders>
            <w:vAlign w:val="center"/>
          </w:tcPr>
          <w:p w14:paraId="7919637C" w14:textId="77777777" w:rsidR="00327FF1" w:rsidRDefault="00327FF1">
            <w:pPr>
              <w:spacing w:after="0" w:line="240" w:lineRule="auto"/>
              <w:rPr>
                <w:rFonts w:ascii="Times New Roman" w:eastAsia="Times New Roman" w:hAnsi="Times New Roman" w:cs="Times New Roman"/>
                <w:noProof/>
              </w:rPr>
            </w:pPr>
          </w:p>
        </w:tc>
      </w:tr>
      <w:tr w:rsidR="00327FF1" w14:paraId="4410527E"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CAC66B" w14:textId="77777777" w:rsidR="00327FF1" w:rsidRDefault="00E406C7">
            <w:pPr>
              <w:pStyle w:val="P68B1DB1-Normal121"/>
              <w:spacing w:after="0" w:line="240" w:lineRule="auto"/>
              <w:jc w:val="center"/>
              <w:rPr>
                <w:noProof/>
              </w:rPr>
            </w:pPr>
            <w:r>
              <w:rPr>
                <w:noProof/>
              </w:rPr>
              <w:t>M4C1–1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2AC971" w14:textId="77777777" w:rsidR="00327FF1" w:rsidRDefault="00E406C7">
            <w:pPr>
              <w:pStyle w:val="P68B1DB1-Normal121"/>
              <w:spacing w:after="0" w:line="240" w:lineRule="auto"/>
              <w:rPr>
                <w:noProof/>
              </w:rPr>
            </w:pPr>
            <w:r>
              <w:rPr>
                <w:noProof/>
              </w:rPr>
              <w:t xml:space="preserve">Reforma Nr. 1.5: Universitātes grāda grupu </w:t>
            </w:r>
            <w:r>
              <w:rPr>
                <w:noProof/>
              </w:rPr>
              <w:t>reforma; Reforma Nr. 1.6. Veicināt augstskolu diplomu reformu; Reforma Nr. 4.1. Ph.D. Programmu reforma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7ED456"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A4AA61" w14:textId="77777777" w:rsidR="00327FF1" w:rsidRDefault="00E406C7">
            <w:pPr>
              <w:pStyle w:val="P68B1DB1-Normal121"/>
              <w:spacing w:after="0" w:line="240" w:lineRule="auto"/>
              <w:rPr>
                <w:noProof/>
              </w:rPr>
            </w:pPr>
            <w:r>
              <w:rPr>
                <w:noProof/>
              </w:rPr>
              <w:t>Stājas spēkā terciārās izglītības sistēmas reformas, lai uzlabotu izglītības rezultātus (primārie tiesību akti) šādās jomās: a) nodroši</w:t>
            </w:r>
            <w:r>
              <w:rPr>
                <w:noProof/>
              </w:rPr>
              <w:t>nāt augstākās izglītības diplomus; akadēmiskā grāda grupas; doktorantūras programmu reforma</w:t>
            </w:r>
          </w:p>
        </w:tc>
        <w:tc>
          <w:tcPr>
            <w:tcW w:w="236" w:type="dxa"/>
            <w:tcBorders>
              <w:top w:val="nil"/>
              <w:left w:val="single" w:sz="4" w:space="0" w:color="auto"/>
              <w:bottom w:val="nil"/>
              <w:right w:val="nil"/>
            </w:tcBorders>
            <w:vAlign w:val="center"/>
          </w:tcPr>
          <w:p w14:paraId="00291B7E" w14:textId="77777777" w:rsidR="00327FF1" w:rsidRDefault="00327FF1">
            <w:pPr>
              <w:spacing w:after="0" w:line="240" w:lineRule="auto"/>
              <w:rPr>
                <w:rFonts w:ascii="Times New Roman" w:eastAsia="Times New Roman" w:hAnsi="Times New Roman" w:cs="Times New Roman"/>
                <w:noProof/>
              </w:rPr>
            </w:pPr>
          </w:p>
        </w:tc>
      </w:tr>
      <w:tr w:rsidR="00327FF1" w14:paraId="3E8C74BD"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397B93" w14:textId="77777777" w:rsidR="00327FF1" w:rsidRDefault="00E406C7">
            <w:pPr>
              <w:pStyle w:val="P68B1DB1-Normal121"/>
              <w:spacing w:after="0" w:line="240" w:lineRule="auto"/>
              <w:jc w:val="center"/>
              <w:rPr>
                <w:noProof/>
              </w:rPr>
            </w:pPr>
            <w:r>
              <w:rPr>
                <w:noProof/>
              </w:rPr>
              <w:t>M4C1–2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46896C" w14:textId="77777777" w:rsidR="00327FF1" w:rsidRDefault="00E406C7">
            <w:pPr>
              <w:pStyle w:val="P68B1DB1-Normal121"/>
              <w:spacing w:after="0" w:line="240" w:lineRule="auto"/>
              <w:rPr>
                <w:noProof/>
              </w:rPr>
            </w:pPr>
            <w:r>
              <w:rPr>
                <w:noProof/>
              </w:rPr>
              <w:t>Investīcija Nr. 1.7: Stipendijas piekļuvei universitātēm</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12D7F8"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F3EF82" w14:textId="77777777" w:rsidR="00327FF1" w:rsidRDefault="00E406C7">
            <w:pPr>
              <w:pStyle w:val="P68B1DB1-Normal121"/>
              <w:spacing w:after="0" w:line="240" w:lineRule="auto"/>
              <w:rPr>
                <w:noProof/>
              </w:rPr>
            </w:pPr>
            <w:r>
              <w:rPr>
                <w:noProof/>
              </w:rPr>
              <w:t>Stājas spēkā ministrijas dekrēti par stipendiju reformu, lai uzlabotu piekļuvi au</w:t>
            </w:r>
            <w:r>
              <w:rPr>
                <w:noProof/>
              </w:rPr>
              <w:t>gstākajai izglītībai</w:t>
            </w:r>
          </w:p>
        </w:tc>
        <w:tc>
          <w:tcPr>
            <w:tcW w:w="236" w:type="dxa"/>
            <w:tcBorders>
              <w:top w:val="nil"/>
              <w:left w:val="single" w:sz="4" w:space="0" w:color="auto"/>
              <w:bottom w:val="nil"/>
              <w:right w:val="nil"/>
            </w:tcBorders>
            <w:vAlign w:val="center"/>
          </w:tcPr>
          <w:p w14:paraId="4037FA5C" w14:textId="77777777" w:rsidR="00327FF1" w:rsidRDefault="00327FF1">
            <w:pPr>
              <w:spacing w:after="0" w:line="240" w:lineRule="auto"/>
              <w:rPr>
                <w:rFonts w:ascii="Times New Roman" w:eastAsia="Times New Roman" w:hAnsi="Times New Roman" w:cs="Times New Roman"/>
                <w:noProof/>
              </w:rPr>
            </w:pPr>
          </w:p>
        </w:tc>
      </w:tr>
      <w:tr w:rsidR="00327FF1" w14:paraId="4757F478"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673DEB" w14:textId="77777777" w:rsidR="00327FF1" w:rsidRDefault="00E406C7">
            <w:pPr>
              <w:pStyle w:val="P68B1DB1-Normal121"/>
              <w:spacing w:after="0" w:line="240" w:lineRule="auto"/>
              <w:jc w:val="center"/>
              <w:rPr>
                <w:noProof/>
              </w:rPr>
            </w:pPr>
            <w:r>
              <w:rPr>
                <w:noProof/>
              </w:rPr>
              <w:t>M5C1–1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CBF303E" w14:textId="77777777" w:rsidR="00327FF1" w:rsidRDefault="00E406C7">
            <w:pPr>
              <w:pStyle w:val="P68B1DB1-Normal121"/>
              <w:spacing w:after="0" w:line="240" w:lineRule="auto"/>
              <w:rPr>
                <w:noProof/>
              </w:rPr>
            </w:pPr>
            <w:r>
              <w:rPr>
                <w:noProof/>
              </w:rPr>
              <w:t>Reforma. ADTP un profesionālā apmācība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DAAAC7C"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A81BE4" w14:textId="77777777" w:rsidR="00327FF1" w:rsidRDefault="00E406C7">
            <w:pPr>
              <w:pStyle w:val="P68B1DB1-Normal121"/>
              <w:spacing w:after="0" w:line="240" w:lineRule="auto"/>
              <w:rPr>
                <w:noProof/>
              </w:rPr>
            </w:pPr>
            <w:r>
              <w:rPr>
                <w:noProof/>
              </w:rPr>
              <w:t xml:space="preserve">Stājas spēkā starpministriju dekrēts, ar ko izveido valsts programmu darba ņēmēju garantētai nodarbināmībai (GOL), un starpministriju dekrēts, ar ko izveido valsts plānu </w:t>
            </w:r>
            <w:r>
              <w:rPr>
                <w:noProof/>
              </w:rPr>
              <w:t>jaunām prasmēm</w:t>
            </w:r>
          </w:p>
        </w:tc>
        <w:tc>
          <w:tcPr>
            <w:tcW w:w="236" w:type="dxa"/>
            <w:tcBorders>
              <w:top w:val="nil"/>
              <w:left w:val="single" w:sz="4" w:space="0" w:color="auto"/>
              <w:bottom w:val="nil"/>
              <w:right w:val="nil"/>
            </w:tcBorders>
            <w:vAlign w:val="center"/>
          </w:tcPr>
          <w:p w14:paraId="2742C3A2" w14:textId="77777777" w:rsidR="00327FF1" w:rsidRDefault="00327FF1">
            <w:pPr>
              <w:spacing w:after="0" w:line="240" w:lineRule="auto"/>
              <w:rPr>
                <w:rFonts w:ascii="Times New Roman" w:eastAsia="Times New Roman" w:hAnsi="Times New Roman" w:cs="Times New Roman"/>
                <w:noProof/>
              </w:rPr>
            </w:pPr>
          </w:p>
        </w:tc>
      </w:tr>
      <w:tr w:rsidR="00327FF1" w14:paraId="2B22C1E4"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44A7889" w14:textId="77777777" w:rsidR="00327FF1" w:rsidRDefault="00E406C7">
            <w:pPr>
              <w:pStyle w:val="P68B1DB1-Normal121"/>
              <w:spacing w:after="0" w:line="240" w:lineRule="auto"/>
              <w:jc w:val="center"/>
              <w:rPr>
                <w:noProof/>
              </w:rPr>
            </w:pPr>
            <w:r>
              <w:rPr>
                <w:noProof/>
              </w:rPr>
              <w:t>M5C2–1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FEEA8D" w14:textId="77777777" w:rsidR="00327FF1" w:rsidRDefault="00E406C7">
            <w:pPr>
              <w:pStyle w:val="P68B1DB1-Normal121"/>
              <w:spacing w:after="0" w:line="240" w:lineRule="auto"/>
              <w:rPr>
                <w:noProof/>
              </w:rPr>
            </w:pPr>
            <w:r>
              <w:rPr>
                <w:noProof/>
              </w:rPr>
              <w:t>Reforma — Pamatlikums par invaliditāti</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78E156"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699057" w14:textId="77777777" w:rsidR="00327FF1" w:rsidRDefault="00E406C7">
            <w:pPr>
              <w:pStyle w:val="P68B1DB1-Normal121"/>
              <w:spacing w:after="0" w:line="240" w:lineRule="auto"/>
              <w:rPr>
                <w:noProof/>
              </w:rPr>
            </w:pPr>
            <w:r>
              <w:rPr>
                <w:noProof/>
              </w:rPr>
              <w:t>Stājas spēkā Pamatlikums, kura mērķis ir stiprināt personu ar invaliditāti autonomiju.</w:t>
            </w:r>
          </w:p>
        </w:tc>
        <w:tc>
          <w:tcPr>
            <w:tcW w:w="236" w:type="dxa"/>
            <w:tcBorders>
              <w:top w:val="nil"/>
              <w:left w:val="single" w:sz="4" w:space="0" w:color="auto"/>
              <w:bottom w:val="nil"/>
              <w:right w:val="nil"/>
            </w:tcBorders>
            <w:vAlign w:val="center"/>
          </w:tcPr>
          <w:p w14:paraId="25D302E5" w14:textId="77777777" w:rsidR="00327FF1" w:rsidRDefault="00327FF1">
            <w:pPr>
              <w:spacing w:after="0" w:line="240" w:lineRule="auto"/>
              <w:rPr>
                <w:rFonts w:ascii="Times New Roman" w:eastAsia="Times New Roman" w:hAnsi="Times New Roman" w:cs="Times New Roman"/>
                <w:noProof/>
              </w:rPr>
            </w:pPr>
          </w:p>
        </w:tc>
      </w:tr>
      <w:tr w:rsidR="00327FF1" w14:paraId="0ABC477B"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75123B" w14:textId="77777777" w:rsidR="00327FF1" w:rsidRDefault="00E406C7">
            <w:pPr>
              <w:pStyle w:val="P68B1DB1-Normal121"/>
              <w:spacing w:after="0" w:line="240" w:lineRule="auto"/>
              <w:jc w:val="center"/>
              <w:rPr>
                <w:noProof/>
              </w:rPr>
            </w:pPr>
            <w:r>
              <w:rPr>
                <w:noProof/>
              </w:rPr>
              <w:t>M5C2–5</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49496E" w14:textId="77777777" w:rsidR="00327FF1" w:rsidRDefault="00E406C7">
            <w:pPr>
              <w:pStyle w:val="P68B1DB1-Normal121"/>
              <w:spacing w:after="0" w:line="240" w:lineRule="auto"/>
              <w:rPr>
                <w:noProof/>
              </w:rPr>
            </w:pPr>
            <w:r>
              <w:rPr>
                <w:noProof/>
              </w:rPr>
              <w:t xml:space="preserve">Investīcija Nr. 1 — Atbalsts neaizsargātām personām un institucionalizācijas </w:t>
            </w:r>
            <w:r>
              <w:rPr>
                <w:noProof/>
              </w:rPr>
              <w:t>novēršana</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9305AA" w14:textId="77777777" w:rsidR="00327FF1" w:rsidRDefault="00E406C7">
            <w:pPr>
              <w:pStyle w:val="P68B1DB1-Normal121"/>
              <w:spacing w:after="0" w:line="240" w:lineRule="auto"/>
              <w:jc w:val="center"/>
              <w:rPr>
                <w:noProof/>
              </w:rPr>
            </w:pPr>
            <w:r>
              <w:rPr>
                <w:noProof/>
              </w:rPr>
              <w:t>Atskaites punkts</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4CF23F" w14:textId="77777777" w:rsidR="00327FF1" w:rsidRDefault="00E406C7">
            <w:pPr>
              <w:pStyle w:val="P68B1DB1-Normal121"/>
              <w:spacing w:after="0" w:line="240" w:lineRule="auto"/>
              <w:rPr>
                <w:noProof/>
              </w:rPr>
            </w:pPr>
            <w:r>
              <w:rPr>
                <w:noProof/>
              </w:rPr>
              <w:t>Darbības plāna stāšanās spēkā</w:t>
            </w:r>
          </w:p>
        </w:tc>
        <w:tc>
          <w:tcPr>
            <w:tcW w:w="236" w:type="dxa"/>
            <w:tcBorders>
              <w:top w:val="nil"/>
              <w:left w:val="single" w:sz="4" w:space="0" w:color="auto"/>
              <w:bottom w:val="nil"/>
              <w:right w:val="nil"/>
            </w:tcBorders>
            <w:vAlign w:val="center"/>
          </w:tcPr>
          <w:p w14:paraId="7CF62A28" w14:textId="77777777" w:rsidR="00327FF1" w:rsidRDefault="00327FF1">
            <w:pPr>
              <w:spacing w:after="0" w:line="240" w:lineRule="auto"/>
              <w:rPr>
                <w:rFonts w:ascii="Times New Roman" w:eastAsia="Times New Roman" w:hAnsi="Times New Roman" w:cs="Times New Roman"/>
                <w:noProof/>
              </w:rPr>
            </w:pPr>
          </w:p>
        </w:tc>
      </w:tr>
      <w:tr w:rsidR="00327FF1" w14:paraId="1A72554E" w14:textId="77777777">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0EF267" w14:textId="77777777" w:rsidR="00327FF1" w:rsidRDefault="00327FF1">
            <w:pPr>
              <w:spacing w:after="0" w:line="240" w:lineRule="auto"/>
              <w:jc w:val="center"/>
              <w:rPr>
                <w:rFonts w:ascii="Times New Roman" w:eastAsia="Times New Roman" w:hAnsi="Times New Roman" w:cs="Times New Roman"/>
                <w:noProof/>
              </w:rPr>
            </w:pP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C764683" w14:textId="77777777" w:rsidR="00327FF1" w:rsidRDefault="00E406C7">
            <w:pPr>
              <w:pStyle w:val="P68B1DB1-Normal121"/>
              <w:spacing w:after="0" w:line="240" w:lineRule="auto"/>
              <w:rPr>
                <w:noProof/>
              </w:rPr>
            </w:pPr>
            <w:r>
              <w:rPr>
                <w:noProof/>
              </w:rPr>
              <w:t xml:space="preserve"> </w:t>
            </w:r>
          </w:p>
        </w:tc>
        <w:tc>
          <w:tcPr>
            <w:tcW w:w="124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7BFB69" w14:textId="77777777" w:rsidR="00327FF1" w:rsidRDefault="00E406C7">
            <w:pPr>
              <w:pStyle w:val="P68B1DB1-Normal121"/>
              <w:spacing w:after="0" w:line="240" w:lineRule="auto"/>
              <w:jc w:val="center"/>
              <w:rPr>
                <w:noProof/>
              </w:rPr>
            </w:pPr>
            <w:r>
              <w:rPr>
                <w:noProof/>
              </w:rPr>
              <w:t>Maksājuma summa</w:t>
            </w:r>
          </w:p>
        </w:tc>
        <w:tc>
          <w:tcPr>
            <w:tcW w:w="458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68D3AC"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11494252874</w:t>
            </w:r>
            <w:r>
              <w:rPr>
                <w:noProof/>
                <w:sz w:val="23"/>
                <w:szCs w:val="23"/>
              </w:rPr>
              <w:t xml:space="preserve"> </w:t>
            </w:r>
            <w:r>
              <w:rPr>
                <w:noProof/>
                <w:color w:val="006100"/>
                <w:sz w:val="20"/>
                <w:szCs w:val="20"/>
              </w:rPr>
              <w:t xml:space="preserve"> </w:t>
            </w:r>
          </w:p>
        </w:tc>
        <w:tc>
          <w:tcPr>
            <w:tcW w:w="236" w:type="dxa"/>
            <w:tcBorders>
              <w:top w:val="nil"/>
              <w:left w:val="single" w:sz="4" w:space="0" w:color="auto"/>
              <w:bottom w:val="nil"/>
              <w:right w:val="nil"/>
            </w:tcBorders>
            <w:vAlign w:val="center"/>
          </w:tcPr>
          <w:p w14:paraId="438D2FDF" w14:textId="77777777" w:rsidR="00327FF1" w:rsidRDefault="00327FF1">
            <w:pPr>
              <w:spacing w:after="0" w:line="240" w:lineRule="auto"/>
              <w:rPr>
                <w:rFonts w:ascii="Times New Roman" w:eastAsia="Times New Roman" w:hAnsi="Times New Roman" w:cs="Times New Roman"/>
                <w:noProof/>
              </w:rPr>
            </w:pPr>
          </w:p>
        </w:tc>
      </w:tr>
    </w:tbl>
    <w:p w14:paraId="2CC368C2" w14:textId="27BD79C6" w:rsidR="00327FF1" w:rsidRDefault="00E406C7">
      <w:pPr>
        <w:pStyle w:val="P68B1DB1-Normal8"/>
        <w:spacing w:before="120" w:after="120" w:line="240" w:lineRule="auto"/>
        <w:ind w:left="850"/>
        <w:jc w:val="both"/>
        <w:rPr>
          <w:noProof/>
        </w:rPr>
      </w:pPr>
      <w:r>
        <w:rPr>
          <w:noProof/>
        </w:rPr>
        <w:t xml:space="preserve"> </w:t>
      </w:r>
    </w:p>
    <w:p w14:paraId="5F969BF6" w14:textId="77777777" w:rsidR="00327FF1" w:rsidRDefault="00E406C7">
      <w:pPr>
        <w:pStyle w:val="P68B1DB1-Heading4119"/>
        <w:numPr>
          <w:ilvl w:val="1"/>
          <w:numId w:val="180"/>
        </w:numPr>
        <w:tabs>
          <w:tab w:val="num" w:pos="1440"/>
        </w:tabs>
        <w:ind w:left="1440" w:hanging="360"/>
        <w:rPr>
          <w:noProof/>
        </w:rPr>
      </w:pPr>
      <w:r>
        <w:rPr>
          <w:noProof/>
        </w:rPr>
        <w:t>Otrā daļa (neatmaksājamais atbalsts):</w:t>
      </w:r>
    </w:p>
    <w:tbl>
      <w:tblPr>
        <w:tblW w:w="9593" w:type="dxa"/>
        <w:tblInd w:w="120" w:type="dxa"/>
        <w:tblLayout w:type="fixed"/>
        <w:tblLook w:val="04A0" w:firstRow="1" w:lastRow="0" w:firstColumn="1" w:lastColumn="0" w:noHBand="0" w:noVBand="1"/>
      </w:tblPr>
      <w:tblGrid>
        <w:gridCol w:w="1288"/>
        <w:gridCol w:w="2268"/>
        <w:gridCol w:w="1276"/>
        <w:gridCol w:w="4525"/>
        <w:gridCol w:w="236"/>
      </w:tblGrid>
      <w:tr w:rsidR="00327FF1" w14:paraId="6CC981F4" w14:textId="77777777">
        <w:trPr>
          <w:trHeight w:val="900"/>
          <w:tblHeader/>
        </w:trPr>
        <w:tc>
          <w:tcPr>
            <w:tcW w:w="1288"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FEA2321" w14:textId="77777777" w:rsidR="00327FF1" w:rsidRDefault="00E406C7">
            <w:pPr>
              <w:pStyle w:val="P68B1DB1-Normal120"/>
              <w:spacing w:after="0" w:line="240" w:lineRule="auto"/>
              <w:jc w:val="center"/>
              <w:rPr>
                <w:bCs/>
                <w:noProof/>
              </w:rPr>
            </w:pPr>
            <w:r>
              <w:rPr>
                <w:noProof/>
              </w:rPr>
              <w:t>Kārtas numurs</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44527F02" w14:textId="77777777" w:rsidR="00327FF1" w:rsidRDefault="00E406C7">
            <w:pPr>
              <w:pStyle w:val="P68B1DB1-Normal120"/>
              <w:spacing w:after="0" w:line="240" w:lineRule="auto"/>
              <w:jc w:val="center"/>
              <w:rPr>
                <w:noProof/>
              </w:rPr>
            </w:pPr>
            <w:r>
              <w:rPr>
                <w:noProof/>
              </w:rPr>
              <w:t>Saistītais pasākums (reforma vai ieguldījums)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BDF3749" w14:textId="77777777" w:rsidR="00327FF1" w:rsidRDefault="00E406C7">
            <w:pPr>
              <w:pStyle w:val="P68B1DB1-Normal120"/>
              <w:spacing w:after="0" w:line="240" w:lineRule="auto"/>
              <w:jc w:val="center"/>
              <w:rPr>
                <w:noProof/>
              </w:rPr>
            </w:pPr>
            <w:r>
              <w:rPr>
                <w:noProof/>
              </w:rPr>
              <w:t>Atskaites punkts/mērķrādītājs</w:t>
            </w:r>
          </w:p>
        </w:tc>
        <w:tc>
          <w:tcPr>
            <w:tcW w:w="452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D58B0E8" w14:textId="77777777" w:rsidR="00327FF1" w:rsidRDefault="00E406C7">
            <w:pPr>
              <w:pStyle w:val="P68B1DB1-Normal120"/>
              <w:spacing w:after="0" w:line="240" w:lineRule="auto"/>
              <w:jc w:val="center"/>
              <w:rPr>
                <w:noProof/>
              </w:rPr>
            </w:pPr>
            <w:r>
              <w:rPr>
                <w:noProof/>
              </w:rPr>
              <w:t>Nosaukums</w:t>
            </w:r>
          </w:p>
        </w:tc>
        <w:tc>
          <w:tcPr>
            <w:tcW w:w="236" w:type="dxa"/>
            <w:tcBorders>
              <w:top w:val="nil"/>
              <w:left w:val="single" w:sz="4" w:space="0" w:color="auto"/>
              <w:bottom w:val="nil"/>
              <w:right w:val="nil"/>
            </w:tcBorders>
            <w:vAlign w:val="center"/>
          </w:tcPr>
          <w:p w14:paraId="3E876F66" w14:textId="77777777" w:rsidR="00327FF1" w:rsidRDefault="00327FF1">
            <w:pPr>
              <w:spacing w:after="0" w:line="240" w:lineRule="auto"/>
              <w:rPr>
                <w:rFonts w:ascii="Times New Roman" w:eastAsia="Times New Roman" w:hAnsi="Times New Roman" w:cs="Times New Roman"/>
                <w:noProof/>
              </w:rPr>
            </w:pPr>
          </w:p>
        </w:tc>
      </w:tr>
      <w:tr w:rsidR="00327FF1" w14:paraId="25F04BD9" w14:textId="77777777">
        <w:trPr>
          <w:trHeight w:val="510"/>
        </w:trPr>
        <w:tc>
          <w:tcPr>
            <w:tcW w:w="1288" w:type="dxa"/>
            <w:vMerge/>
            <w:tcBorders>
              <w:top w:val="single" w:sz="4" w:space="0" w:color="auto"/>
              <w:left w:val="single" w:sz="4" w:space="0" w:color="auto"/>
              <w:bottom w:val="single" w:sz="4" w:space="0" w:color="auto"/>
              <w:right w:val="single" w:sz="4" w:space="0" w:color="auto"/>
            </w:tcBorders>
            <w:vAlign w:val="center"/>
          </w:tcPr>
          <w:p w14:paraId="098B6F0C" w14:textId="77777777" w:rsidR="00327FF1" w:rsidRDefault="00327FF1">
            <w:pPr>
              <w:spacing w:after="0" w:line="240" w:lineRule="auto"/>
              <w:jc w:val="center"/>
              <w:rPr>
                <w:rFonts w:ascii="Times New Roman" w:eastAsia="Times New Roman" w:hAnsi="Times New Roman" w:cs="Times New Roman"/>
                <w:noProof/>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452FC725" w14:textId="77777777" w:rsidR="00327FF1" w:rsidRDefault="00327FF1">
            <w:pPr>
              <w:spacing w:after="0" w:line="240" w:lineRule="auto"/>
              <w:rPr>
                <w:rFonts w:ascii="Times New Roman" w:eastAsia="Times New Roman" w:hAnsi="Times New Roman" w:cs="Times New Roman"/>
                <w:noProof/>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54F7C197" w14:textId="77777777" w:rsidR="00327FF1" w:rsidRDefault="00327FF1">
            <w:pPr>
              <w:spacing w:after="0" w:line="240" w:lineRule="auto"/>
              <w:jc w:val="center"/>
              <w:rPr>
                <w:rFonts w:ascii="Times New Roman" w:eastAsia="Times New Roman" w:hAnsi="Times New Roman" w:cs="Times New Roman"/>
                <w:noProof/>
              </w:rPr>
            </w:pPr>
          </w:p>
        </w:tc>
        <w:tc>
          <w:tcPr>
            <w:tcW w:w="4525" w:type="dxa"/>
            <w:vMerge/>
            <w:tcBorders>
              <w:top w:val="single" w:sz="4" w:space="0" w:color="auto"/>
              <w:left w:val="single" w:sz="4" w:space="0" w:color="auto"/>
              <w:bottom w:val="single" w:sz="4" w:space="0" w:color="auto"/>
              <w:right w:val="single" w:sz="4" w:space="0" w:color="auto"/>
            </w:tcBorders>
            <w:vAlign w:val="center"/>
          </w:tcPr>
          <w:p w14:paraId="3FCA8DF4" w14:textId="77777777" w:rsidR="00327FF1" w:rsidRDefault="00327FF1">
            <w:pPr>
              <w:spacing w:after="0" w:line="240" w:lineRule="auto"/>
              <w:rPr>
                <w:rFonts w:ascii="Times New Roman" w:eastAsia="Times New Roman" w:hAnsi="Times New Roman" w:cs="Times New Roman"/>
                <w:noProof/>
              </w:rPr>
            </w:pPr>
          </w:p>
        </w:tc>
        <w:tc>
          <w:tcPr>
            <w:tcW w:w="236" w:type="dxa"/>
            <w:tcBorders>
              <w:top w:val="nil"/>
              <w:left w:val="single" w:sz="4" w:space="0" w:color="auto"/>
              <w:bottom w:val="nil"/>
              <w:right w:val="nil"/>
            </w:tcBorders>
            <w:vAlign w:val="center"/>
          </w:tcPr>
          <w:p w14:paraId="58B4AA26" w14:textId="77777777" w:rsidR="00327FF1" w:rsidRDefault="00327FF1">
            <w:pPr>
              <w:spacing w:after="0" w:line="240" w:lineRule="auto"/>
              <w:rPr>
                <w:rFonts w:ascii="Times New Roman" w:eastAsia="Times New Roman" w:hAnsi="Times New Roman" w:cs="Times New Roman"/>
                <w:noProof/>
              </w:rPr>
            </w:pPr>
          </w:p>
        </w:tc>
      </w:tr>
      <w:tr w:rsidR="00327FF1" w14:paraId="6827A9A6"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9A87B8" w14:textId="77777777" w:rsidR="00327FF1" w:rsidRDefault="00E406C7">
            <w:pPr>
              <w:pStyle w:val="P68B1DB1-Normal121"/>
              <w:spacing w:after="0" w:line="240" w:lineRule="auto"/>
              <w:jc w:val="center"/>
              <w:rPr>
                <w:noProof/>
              </w:rPr>
            </w:pPr>
            <w:r>
              <w:rPr>
                <w:noProof/>
              </w:rPr>
              <w:t>M2C4–5</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55670C" w14:textId="77777777" w:rsidR="00327FF1" w:rsidRDefault="00E406C7">
            <w:pPr>
              <w:pStyle w:val="P68B1DB1-Normal121"/>
              <w:spacing w:after="0" w:line="240" w:lineRule="auto"/>
              <w:rPr>
                <w:noProof/>
              </w:rPr>
            </w:pPr>
            <w:r>
              <w:rPr>
                <w:noProof/>
              </w:rPr>
              <w:t>“Investīcija Nr. 3.2. Nacionālo parku digitalizācija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5F22F5"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8CCE48D" w14:textId="77777777" w:rsidR="00327FF1" w:rsidRDefault="00E406C7">
            <w:pPr>
              <w:pStyle w:val="P68B1DB1-Normal121"/>
              <w:spacing w:after="0" w:line="240" w:lineRule="auto"/>
              <w:rPr>
                <w:noProof/>
              </w:rPr>
            </w:pPr>
            <w:r>
              <w:rPr>
                <w:noProof/>
              </w:rPr>
              <w:t>Administratīvo vienkāršošanas un digitālo pakalpojumu izstrādes stāšanās spēkā nacionālo parku un aizsargājamo jūras teritoriju apmeklētājiem</w:t>
            </w:r>
          </w:p>
        </w:tc>
        <w:tc>
          <w:tcPr>
            <w:tcW w:w="236" w:type="dxa"/>
            <w:tcBorders>
              <w:top w:val="nil"/>
              <w:left w:val="single" w:sz="4" w:space="0" w:color="auto"/>
              <w:bottom w:val="nil"/>
              <w:right w:val="nil"/>
            </w:tcBorders>
            <w:vAlign w:val="center"/>
          </w:tcPr>
          <w:p w14:paraId="5768BD01" w14:textId="77777777" w:rsidR="00327FF1" w:rsidRDefault="00327FF1">
            <w:pPr>
              <w:spacing w:after="0" w:line="240" w:lineRule="auto"/>
              <w:rPr>
                <w:rFonts w:ascii="Times New Roman" w:eastAsia="Times New Roman" w:hAnsi="Times New Roman" w:cs="Times New Roman"/>
                <w:noProof/>
              </w:rPr>
            </w:pPr>
          </w:p>
        </w:tc>
      </w:tr>
      <w:tr w:rsidR="00327FF1" w14:paraId="4BAD4F40"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A440C9" w14:textId="77777777" w:rsidR="00327FF1" w:rsidRDefault="00E406C7">
            <w:pPr>
              <w:pStyle w:val="P68B1DB1-Normal121"/>
              <w:spacing w:after="0" w:line="240" w:lineRule="auto"/>
              <w:jc w:val="center"/>
              <w:rPr>
                <w:noProof/>
              </w:rPr>
            </w:pPr>
            <w:r>
              <w:rPr>
                <w:noProof/>
              </w:rPr>
              <w:t>M5C2–9</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56460C" w14:textId="77777777" w:rsidR="00327FF1" w:rsidRDefault="00E406C7">
            <w:pPr>
              <w:pStyle w:val="P68B1DB1-Normal121"/>
              <w:spacing w:after="0" w:line="240" w:lineRule="auto"/>
              <w:rPr>
                <w:noProof/>
              </w:rPr>
            </w:pPr>
            <w:r>
              <w:rPr>
                <w:noProof/>
              </w:rPr>
              <w:t>Investīcija Nr. 3 “Mājokļi pirmajās</w:t>
            </w:r>
            <w:r>
              <w:rPr>
                <w:noProof/>
              </w:rPr>
              <w:t xml:space="preserve"> un post stacijās”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CA0AD5"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60E6A5D" w14:textId="77777777" w:rsidR="00327FF1" w:rsidRDefault="00E406C7">
            <w:pPr>
              <w:pStyle w:val="P68B1DB1-Normal121"/>
              <w:spacing w:after="0" w:line="240" w:lineRule="auto"/>
              <w:rPr>
                <w:noProof/>
              </w:rPr>
            </w:pPr>
            <w:r>
              <w:rPr>
                <w:noProof/>
              </w:rPr>
              <w:t>Darbības plāna stāšanās spēkā attiecībā uz projektiem “Mājoklis pirmajās un post stacijās”, prasību noteikšana projektiem, kurus var iesniegt vietējās struktūras, un uzaicinājuma iesniegt priekšlikumus izsludināšana</w:t>
            </w:r>
          </w:p>
        </w:tc>
        <w:tc>
          <w:tcPr>
            <w:tcW w:w="236" w:type="dxa"/>
            <w:tcBorders>
              <w:top w:val="nil"/>
              <w:left w:val="single" w:sz="4" w:space="0" w:color="auto"/>
              <w:bottom w:val="nil"/>
              <w:right w:val="nil"/>
            </w:tcBorders>
            <w:vAlign w:val="center"/>
          </w:tcPr>
          <w:p w14:paraId="52135B95" w14:textId="77777777" w:rsidR="00327FF1" w:rsidRDefault="00327FF1">
            <w:pPr>
              <w:spacing w:after="0" w:line="240" w:lineRule="auto"/>
              <w:rPr>
                <w:rFonts w:ascii="Times New Roman" w:eastAsia="Times New Roman" w:hAnsi="Times New Roman" w:cs="Times New Roman"/>
                <w:noProof/>
              </w:rPr>
            </w:pPr>
          </w:p>
        </w:tc>
      </w:tr>
      <w:tr w:rsidR="00327FF1" w14:paraId="6DE6A226"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C62836" w14:textId="77777777" w:rsidR="00327FF1" w:rsidRDefault="00E406C7">
            <w:pPr>
              <w:pStyle w:val="P68B1DB1-Normal121"/>
              <w:spacing w:after="0" w:line="240" w:lineRule="auto"/>
              <w:jc w:val="center"/>
              <w:rPr>
                <w:noProof/>
              </w:rPr>
            </w:pPr>
            <w:r>
              <w:rPr>
                <w:noProof/>
              </w:rPr>
              <w:t>M1C1–33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0170EB" w14:textId="77777777" w:rsidR="00327FF1" w:rsidRDefault="00E406C7">
            <w:pPr>
              <w:pStyle w:val="P68B1DB1-Normal121"/>
              <w:spacing w:after="0" w:line="240" w:lineRule="auto"/>
              <w:rPr>
                <w:noProof/>
              </w:rPr>
            </w:pPr>
            <w:r>
              <w:rPr>
                <w:noProof/>
              </w:rPr>
              <w:t>Investīciju 1.8: Darbā pieņemšanas procedūras administratīvajās tiesās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559DEC" w14:textId="77777777" w:rsidR="00327FF1" w:rsidRDefault="00E406C7">
            <w:pPr>
              <w:pStyle w:val="P68B1DB1-Normal121"/>
              <w:spacing w:after="0" w:line="240" w:lineRule="auto"/>
              <w:jc w:val="center"/>
              <w:rPr>
                <w:noProof/>
              </w:rPr>
            </w:pPr>
            <w:r>
              <w:rPr>
                <w:noProof/>
              </w:rPr>
              <w:t>Mērķa</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982334" w14:textId="77777777" w:rsidR="00327FF1" w:rsidRDefault="00E406C7">
            <w:pPr>
              <w:pStyle w:val="P68B1DB1-Normal121"/>
              <w:spacing w:after="0" w:line="240" w:lineRule="auto"/>
              <w:rPr>
                <w:noProof/>
              </w:rPr>
            </w:pPr>
            <w:r>
              <w:rPr>
                <w:noProof/>
              </w:rPr>
              <w:t>Administratīvo tiesu darbā pieņemšanas procedūru sākšana</w:t>
            </w:r>
          </w:p>
        </w:tc>
        <w:tc>
          <w:tcPr>
            <w:tcW w:w="236" w:type="dxa"/>
            <w:tcBorders>
              <w:top w:val="nil"/>
              <w:left w:val="single" w:sz="4" w:space="0" w:color="auto"/>
              <w:bottom w:val="nil"/>
              <w:right w:val="nil"/>
            </w:tcBorders>
            <w:vAlign w:val="center"/>
          </w:tcPr>
          <w:p w14:paraId="0F8B4BC6" w14:textId="77777777" w:rsidR="00327FF1" w:rsidRDefault="00327FF1">
            <w:pPr>
              <w:spacing w:after="0" w:line="240" w:lineRule="auto"/>
              <w:rPr>
                <w:rFonts w:ascii="Times New Roman" w:eastAsia="Times New Roman" w:hAnsi="Times New Roman" w:cs="Times New Roman"/>
                <w:noProof/>
              </w:rPr>
            </w:pPr>
          </w:p>
        </w:tc>
      </w:tr>
      <w:tr w:rsidR="00327FF1" w14:paraId="7E22881F"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E786FD" w14:textId="77777777" w:rsidR="00327FF1" w:rsidRDefault="00E406C7">
            <w:pPr>
              <w:pStyle w:val="P68B1DB1-Normal121"/>
              <w:spacing w:after="0" w:line="240" w:lineRule="auto"/>
              <w:jc w:val="center"/>
              <w:rPr>
                <w:noProof/>
              </w:rPr>
            </w:pPr>
            <w:r>
              <w:rPr>
                <w:noProof/>
              </w:rPr>
              <w:t>M1C1–56</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326311" w14:textId="77777777" w:rsidR="00327FF1" w:rsidRDefault="00E406C7">
            <w:pPr>
              <w:pStyle w:val="P68B1DB1-Normal121"/>
              <w:spacing w:after="0" w:line="240" w:lineRule="auto"/>
              <w:rPr>
                <w:noProof/>
              </w:rPr>
            </w:pPr>
            <w:r>
              <w:rPr>
                <w:noProof/>
              </w:rPr>
              <w:t>Reforma Nr. 1.9: Valsts pārvaldes reforma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0F3DC5"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C18A0E" w14:textId="77777777" w:rsidR="00327FF1" w:rsidRDefault="00E406C7">
            <w:pPr>
              <w:pStyle w:val="P68B1DB1-Normal121"/>
              <w:spacing w:after="0" w:line="240" w:lineRule="auto"/>
              <w:rPr>
                <w:noProof/>
              </w:rPr>
            </w:pPr>
            <w:r>
              <w:rPr>
                <w:noProof/>
              </w:rPr>
              <w:t xml:space="preserve">Valsts nodarbinātības reformu veicinošo </w:t>
            </w:r>
            <w:r>
              <w:rPr>
                <w:noProof/>
              </w:rPr>
              <w:t>tiesību aktu stāšanās spēkā</w:t>
            </w:r>
          </w:p>
        </w:tc>
        <w:tc>
          <w:tcPr>
            <w:tcW w:w="236" w:type="dxa"/>
            <w:tcBorders>
              <w:top w:val="nil"/>
              <w:left w:val="single" w:sz="4" w:space="0" w:color="auto"/>
              <w:bottom w:val="nil"/>
              <w:right w:val="nil"/>
            </w:tcBorders>
            <w:vAlign w:val="center"/>
          </w:tcPr>
          <w:p w14:paraId="2EDA0C9C" w14:textId="77777777" w:rsidR="00327FF1" w:rsidRDefault="00327FF1">
            <w:pPr>
              <w:spacing w:after="0" w:line="240" w:lineRule="auto"/>
              <w:rPr>
                <w:rFonts w:ascii="Times New Roman" w:eastAsia="Times New Roman" w:hAnsi="Times New Roman" w:cs="Times New Roman"/>
                <w:noProof/>
              </w:rPr>
            </w:pPr>
          </w:p>
        </w:tc>
      </w:tr>
      <w:tr w:rsidR="00327FF1" w14:paraId="6B3EBC1E"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CD0A18" w14:textId="77777777" w:rsidR="00327FF1" w:rsidRDefault="00E406C7">
            <w:pPr>
              <w:pStyle w:val="P68B1DB1-Normal121"/>
              <w:spacing w:after="0" w:line="240" w:lineRule="auto"/>
              <w:jc w:val="center"/>
              <w:rPr>
                <w:noProof/>
              </w:rPr>
            </w:pPr>
            <w:r>
              <w:rPr>
                <w:noProof/>
              </w:rPr>
              <w:t>M1C1–70</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0905E0" w14:textId="77777777" w:rsidR="00327FF1" w:rsidRDefault="00E406C7">
            <w:pPr>
              <w:pStyle w:val="P68B1DB1-Normal121"/>
              <w:spacing w:after="0" w:line="240" w:lineRule="auto"/>
              <w:rPr>
                <w:noProof/>
              </w:rPr>
            </w:pPr>
            <w:r>
              <w:rPr>
                <w:noProof/>
              </w:rPr>
              <w:t>Reforma Nr. 1.10. Publiskā iepirkuma tiesiskā regulējuma reforma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331CF9"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EB3195" w14:textId="77777777" w:rsidR="00327FF1" w:rsidRDefault="00E406C7">
            <w:pPr>
              <w:pStyle w:val="P68B1DB1-Normal121"/>
              <w:spacing w:after="0" w:line="240" w:lineRule="auto"/>
              <w:rPr>
                <w:noProof/>
              </w:rPr>
            </w:pPr>
            <w:r>
              <w:rPr>
                <w:noProof/>
              </w:rPr>
              <w:t>Publiskā iepirkuma kodeksa pārskatīšanas stāšanās spēkā (D.Lgs. Nr. 50/2016)</w:t>
            </w:r>
          </w:p>
        </w:tc>
        <w:tc>
          <w:tcPr>
            <w:tcW w:w="236" w:type="dxa"/>
            <w:tcBorders>
              <w:top w:val="nil"/>
              <w:left w:val="single" w:sz="4" w:space="0" w:color="auto"/>
              <w:bottom w:val="nil"/>
              <w:right w:val="nil"/>
            </w:tcBorders>
            <w:vAlign w:val="center"/>
          </w:tcPr>
          <w:p w14:paraId="53D9F2A6" w14:textId="77777777" w:rsidR="00327FF1" w:rsidRDefault="00327FF1">
            <w:pPr>
              <w:spacing w:after="0" w:line="240" w:lineRule="auto"/>
              <w:rPr>
                <w:rFonts w:ascii="Times New Roman" w:eastAsia="Times New Roman" w:hAnsi="Times New Roman" w:cs="Times New Roman"/>
                <w:noProof/>
              </w:rPr>
            </w:pPr>
          </w:p>
        </w:tc>
      </w:tr>
      <w:tr w:rsidR="00327FF1" w14:paraId="34BA0006"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C3C7BA" w14:textId="77777777" w:rsidR="00327FF1" w:rsidRDefault="00E406C7">
            <w:pPr>
              <w:pStyle w:val="P68B1DB1-Normal121"/>
              <w:spacing w:after="0" w:line="240" w:lineRule="auto"/>
              <w:jc w:val="center"/>
              <w:rPr>
                <w:noProof/>
              </w:rPr>
            </w:pPr>
            <w:r>
              <w:rPr>
                <w:noProof/>
              </w:rPr>
              <w:t>M1C1–103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D21C16" w14:textId="77777777" w:rsidR="00327FF1" w:rsidRDefault="00E406C7">
            <w:pPr>
              <w:pStyle w:val="P68B1DB1-Normal121"/>
              <w:spacing w:after="0" w:line="240" w:lineRule="auto"/>
              <w:rPr>
                <w:noProof/>
              </w:rPr>
            </w:pPr>
            <w:r>
              <w:rPr>
                <w:noProof/>
              </w:rPr>
              <w:t xml:space="preserve">Reforma Nr. 1.12: Nodokļu administrācijas </w:t>
            </w:r>
            <w:r>
              <w:rPr>
                <w:noProof/>
              </w:rPr>
              <w:t>reforma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8C58F4"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3D3DC5" w14:textId="77777777" w:rsidR="00327FF1" w:rsidRDefault="00E406C7">
            <w:pPr>
              <w:pStyle w:val="P68B1DB1-Normal121"/>
              <w:spacing w:after="0" w:line="240" w:lineRule="auto"/>
              <w:rPr>
                <w:noProof/>
              </w:rPr>
            </w:pPr>
            <w:r>
              <w:rPr>
                <w:noProof/>
              </w:rPr>
              <w:t>Primāro un sekundāro tiesību aktu un reglamentējošo noteikumu stāšanās spēkā un administratīvo procesu pabeigšana, lai veicinātu nodokļu saistību izpildi un uzlabotu revīzijas un kontroles</w:t>
            </w:r>
          </w:p>
        </w:tc>
        <w:tc>
          <w:tcPr>
            <w:tcW w:w="236" w:type="dxa"/>
            <w:tcBorders>
              <w:top w:val="nil"/>
              <w:left w:val="single" w:sz="4" w:space="0" w:color="auto"/>
              <w:bottom w:val="nil"/>
              <w:right w:val="nil"/>
            </w:tcBorders>
            <w:vAlign w:val="center"/>
          </w:tcPr>
          <w:p w14:paraId="237759BA" w14:textId="77777777" w:rsidR="00327FF1" w:rsidRDefault="00327FF1">
            <w:pPr>
              <w:spacing w:after="0" w:line="240" w:lineRule="auto"/>
              <w:rPr>
                <w:rFonts w:ascii="Times New Roman" w:eastAsia="Times New Roman" w:hAnsi="Times New Roman" w:cs="Times New Roman"/>
                <w:noProof/>
              </w:rPr>
            </w:pPr>
          </w:p>
        </w:tc>
      </w:tr>
      <w:tr w:rsidR="00327FF1" w14:paraId="56B0A2D8"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9FBCA5" w14:textId="77777777" w:rsidR="00327FF1" w:rsidRDefault="00E406C7">
            <w:pPr>
              <w:pStyle w:val="P68B1DB1-Normal121"/>
              <w:spacing w:after="0" w:line="240" w:lineRule="auto"/>
              <w:jc w:val="center"/>
              <w:rPr>
                <w:noProof/>
              </w:rPr>
            </w:pPr>
            <w:r>
              <w:rPr>
                <w:noProof/>
              </w:rPr>
              <w:t>M1C1–104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14F74F" w14:textId="77777777" w:rsidR="00327FF1" w:rsidRDefault="00E406C7">
            <w:pPr>
              <w:pStyle w:val="P68B1DB1-Normal121"/>
              <w:spacing w:after="0" w:line="240" w:lineRule="auto"/>
              <w:rPr>
                <w:noProof/>
              </w:rPr>
            </w:pPr>
            <w:r>
              <w:rPr>
                <w:noProof/>
              </w:rPr>
              <w:t xml:space="preserve">Reforma Nr. 1.13. Izdevumu </w:t>
            </w:r>
            <w:r>
              <w:rPr>
                <w:noProof/>
              </w:rPr>
              <w:t>pārskatīšanas sistēmas reforma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6064B9"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04CA92" w14:textId="77777777" w:rsidR="00327FF1" w:rsidRDefault="00E406C7">
            <w:pPr>
              <w:pStyle w:val="P68B1DB1-Normal121"/>
              <w:spacing w:after="0" w:line="240" w:lineRule="auto"/>
              <w:rPr>
                <w:noProof/>
              </w:rPr>
            </w:pPr>
            <w:r>
              <w:rPr>
                <w:noProof/>
              </w:rPr>
              <w:t>Ietaupījumu mērķrādītāju pieņemšana izdevumu pārskatīšanai 2023.–2025. gadam</w:t>
            </w:r>
          </w:p>
        </w:tc>
        <w:tc>
          <w:tcPr>
            <w:tcW w:w="236" w:type="dxa"/>
            <w:tcBorders>
              <w:top w:val="nil"/>
              <w:left w:val="single" w:sz="4" w:space="0" w:color="auto"/>
              <w:bottom w:val="nil"/>
              <w:right w:val="nil"/>
            </w:tcBorders>
            <w:vAlign w:val="center"/>
          </w:tcPr>
          <w:p w14:paraId="77DC3A2C" w14:textId="77777777" w:rsidR="00327FF1" w:rsidRDefault="00327FF1">
            <w:pPr>
              <w:spacing w:after="0" w:line="240" w:lineRule="auto"/>
              <w:rPr>
                <w:rFonts w:ascii="Times New Roman" w:eastAsia="Times New Roman" w:hAnsi="Times New Roman" w:cs="Times New Roman"/>
                <w:noProof/>
              </w:rPr>
            </w:pPr>
          </w:p>
        </w:tc>
      </w:tr>
      <w:tr w:rsidR="00327FF1" w14:paraId="02BF5AB5"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6411DC" w14:textId="77777777" w:rsidR="00327FF1" w:rsidRDefault="00E406C7">
            <w:pPr>
              <w:pStyle w:val="P68B1DB1-Normal121"/>
              <w:spacing w:after="0" w:line="240" w:lineRule="auto"/>
              <w:jc w:val="center"/>
              <w:rPr>
                <w:noProof/>
              </w:rPr>
            </w:pPr>
            <w:r>
              <w:rPr>
                <w:noProof/>
              </w:rPr>
              <w:t>M1C3–11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0DF327" w14:textId="77777777" w:rsidR="00327FF1" w:rsidRDefault="00E406C7">
            <w:pPr>
              <w:pStyle w:val="P68B1DB1-Normal121"/>
              <w:spacing w:after="0" w:line="240" w:lineRule="auto"/>
              <w:rPr>
                <w:noProof/>
              </w:rPr>
            </w:pPr>
            <w:r>
              <w:rPr>
                <w:noProof/>
              </w:rPr>
              <w:t>Investīcija — Energoefektivitātes uzlabošana kinoteātros, teātros un muzejos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35C48F"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C26DED" w14:textId="77777777" w:rsidR="00327FF1" w:rsidRDefault="00E406C7">
            <w:pPr>
              <w:pStyle w:val="P68B1DB1-Normal121"/>
              <w:spacing w:after="0" w:line="240" w:lineRule="auto"/>
              <w:rPr>
                <w:noProof/>
              </w:rPr>
            </w:pPr>
            <w:r>
              <w:rPr>
                <w:noProof/>
              </w:rPr>
              <w:t xml:space="preserve">Kultūras ministrijas dekrēta par resursu piešķiršanu stāšanās spēkā: uzlabot energoefektivitāti kultūras vietās </w:t>
            </w:r>
          </w:p>
        </w:tc>
        <w:tc>
          <w:tcPr>
            <w:tcW w:w="236" w:type="dxa"/>
            <w:tcBorders>
              <w:top w:val="nil"/>
              <w:left w:val="single" w:sz="4" w:space="0" w:color="auto"/>
              <w:bottom w:val="nil"/>
              <w:right w:val="nil"/>
            </w:tcBorders>
            <w:vAlign w:val="center"/>
          </w:tcPr>
          <w:p w14:paraId="07FFFDFC" w14:textId="77777777" w:rsidR="00327FF1" w:rsidRDefault="00327FF1">
            <w:pPr>
              <w:spacing w:after="0" w:line="240" w:lineRule="auto"/>
              <w:rPr>
                <w:rFonts w:ascii="Times New Roman" w:eastAsia="Times New Roman" w:hAnsi="Times New Roman" w:cs="Times New Roman"/>
                <w:noProof/>
              </w:rPr>
            </w:pPr>
          </w:p>
        </w:tc>
      </w:tr>
      <w:tr w:rsidR="00327FF1" w14:paraId="4B140707"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07810A" w14:textId="77777777" w:rsidR="00327FF1" w:rsidRDefault="00E406C7">
            <w:pPr>
              <w:pStyle w:val="P68B1DB1-Normal121"/>
              <w:spacing w:after="0" w:line="240" w:lineRule="auto"/>
              <w:jc w:val="center"/>
              <w:rPr>
                <w:noProof/>
              </w:rPr>
            </w:pPr>
            <w:r>
              <w:rPr>
                <w:noProof/>
              </w:rPr>
              <w:t>M2C1–1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EE0159" w14:textId="77777777" w:rsidR="00327FF1" w:rsidRDefault="00E406C7">
            <w:pPr>
              <w:pStyle w:val="P68B1DB1-Normal121"/>
              <w:spacing w:after="0" w:line="240" w:lineRule="auto"/>
              <w:rPr>
                <w:noProof/>
              </w:rPr>
            </w:pPr>
            <w:r>
              <w:rPr>
                <w:noProof/>
              </w:rPr>
              <w:t>Reforma Nr. 1.1 — Valsts stratēģija pārejai uz aprites ekonomiku</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B6A451"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CAACD7" w14:textId="77777777" w:rsidR="00327FF1" w:rsidRDefault="00E406C7">
            <w:pPr>
              <w:pStyle w:val="P68B1DB1-Normal121"/>
              <w:spacing w:after="0" w:line="240" w:lineRule="auto"/>
              <w:rPr>
                <w:noProof/>
              </w:rPr>
            </w:pPr>
            <w:r>
              <w:rPr>
                <w:noProof/>
              </w:rPr>
              <w:t>Stājas spēkā Ministrijas dekrēts par valsts stratēģi</w:t>
            </w:r>
            <w:r>
              <w:rPr>
                <w:noProof/>
              </w:rPr>
              <w:t>jas pārejai uz aprites ekonomiku pieņemšanu</w:t>
            </w:r>
          </w:p>
        </w:tc>
        <w:tc>
          <w:tcPr>
            <w:tcW w:w="236" w:type="dxa"/>
            <w:tcBorders>
              <w:top w:val="nil"/>
              <w:left w:val="single" w:sz="4" w:space="0" w:color="auto"/>
              <w:bottom w:val="nil"/>
              <w:right w:val="nil"/>
            </w:tcBorders>
            <w:vAlign w:val="center"/>
          </w:tcPr>
          <w:p w14:paraId="60557FC8" w14:textId="77777777" w:rsidR="00327FF1" w:rsidRDefault="00327FF1">
            <w:pPr>
              <w:spacing w:after="0" w:line="240" w:lineRule="auto"/>
              <w:rPr>
                <w:rFonts w:ascii="Times New Roman" w:eastAsia="Times New Roman" w:hAnsi="Times New Roman" w:cs="Times New Roman"/>
                <w:noProof/>
              </w:rPr>
            </w:pPr>
          </w:p>
        </w:tc>
      </w:tr>
      <w:tr w:rsidR="00327FF1" w14:paraId="54BCA992"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A5E7C8C" w14:textId="77777777" w:rsidR="00327FF1" w:rsidRDefault="00E406C7">
            <w:pPr>
              <w:pStyle w:val="P68B1DB1-Normal121"/>
              <w:spacing w:after="0" w:line="240" w:lineRule="auto"/>
              <w:jc w:val="center"/>
              <w:rPr>
                <w:noProof/>
              </w:rPr>
            </w:pPr>
            <w:r>
              <w:rPr>
                <w:noProof/>
              </w:rPr>
              <w:t>M2C1–2</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5DCDB00" w14:textId="77777777" w:rsidR="00327FF1" w:rsidRDefault="00E406C7">
            <w:pPr>
              <w:pStyle w:val="P68B1DB1-Normal121"/>
              <w:spacing w:after="0" w:line="240" w:lineRule="auto"/>
              <w:rPr>
                <w:noProof/>
              </w:rPr>
            </w:pPr>
            <w:r>
              <w:rPr>
                <w:noProof/>
              </w:rPr>
              <w:t>Reforma. Tehniskais atbalsts vietējām pašvaldībām</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CA8E87"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CAB0E0" w14:textId="77777777" w:rsidR="00327FF1" w:rsidRDefault="00E406C7">
            <w:pPr>
              <w:pStyle w:val="P68B1DB1-Normal121"/>
              <w:spacing w:after="0" w:line="240" w:lineRule="auto"/>
              <w:rPr>
                <w:noProof/>
              </w:rPr>
            </w:pPr>
            <w:r>
              <w:rPr>
                <w:noProof/>
              </w:rPr>
              <w:t>Vienošanās apstiprināšana par rīcības plāna “Veicināt spēju veidošanas spējas” izstrādi, lai atbalstītu vietējās publiskās iestādes</w:t>
            </w:r>
          </w:p>
        </w:tc>
        <w:tc>
          <w:tcPr>
            <w:tcW w:w="236" w:type="dxa"/>
            <w:tcBorders>
              <w:top w:val="nil"/>
              <w:left w:val="single" w:sz="4" w:space="0" w:color="auto"/>
              <w:bottom w:val="nil"/>
              <w:right w:val="nil"/>
            </w:tcBorders>
            <w:vAlign w:val="center"/>
          </w:tcPr>
          <w:p w14:paraId="4FF0676D" w14:textId="77777777" w:rsidR="00327FF1" w:rsidRDefault="00327FF1">
            <w:pPr>
              <w:spacing w:after="0" w:line="240" w:lineRule="auto"/>
              <w:rPr>
                <w:rFonts w:ascii="Times New Roman" w:eastAsia="Times New Roman" w:hAnsi="Times New Roman" w:cs="Times New Roman"/>
                <w:noProof/>
              </w:rPr>
            </w:pPr>
          </w:p>
        </w:tc>
      </w:tr>
      <w:tr w:rsidR="00327FF1" w14:paraId="4A4B9C54"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C2323C" w14:textId="77777777" w:rsidR="00327FF1" w:rsidRDefault="00E406C7">
            <w:pPr>
              <w:pStyle w:val="P68B1DB1-Normal121"/>
              <w:spacing w:after="0" w:line="240" w:lineRule="auto"/>
              <w:jc w:val="center"/>
              <w:rPr>
                <w:noProof/>
              </w:rPr>
            </w:pPr>
            <w:r>
              <w:rPr>
                <w:noProof/>
              </w:rPr>
              <w:t>M2C1–11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90E0CBB" w14:textId="77777777" w:rsidR="00327FF1" w:rsidRDefault="00E406C7">
            <w:pPr>
              <w:pStyle w:val="P68B1DB1-Normal121"/>
              <w:spacing w:after="0" w:line="240" w:lineRule="auto"/>
              <w:rPr>
                <w:noProof/>
              </w:rPr>
            </w:pPr>
            <w:r>
              <w:rPr>
                <w:noProof/>
              </w:rPr>
              <w:t>Investīcija 3.3.: Kultūra un informētība par vides jautājumiem un problēmām</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0B08BE"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5B64AB" w14:textId="77777777" w:rsidR="00327FF1" w:rsidRDefault="00E406C7">
            <w:pPr>
              <w:pStyle w:val="P68B1DB1-Normal121"/>
              <w:spacing w:after="0" w:line="240" w:lineRule="auto"/>
              <w:rPr>
                <w:noProof/>
              </w:rPr>
            </w:pPr>
            <w:r>
              <w:rPr>
                <w:noProof/>
              </w:rPr>
              <w:t>Tīmekļa platformas izveide un līgumi ar autoriem</w:t>
            </w:r>
          </w:p>
        </w:tc>
        <w:tc>
          <w:tcPr>
            <w:tcW w:w="236" w:type="dxa"/>
            <w:tcBorders>
              <w:top w:val="nil"/>
              <w:left w:val="single" w:sz="4" w:space="0" w:color="auto"/>
              <w:bottom w:val="nil"/>
              <w:right w:val="nil"/>
            </w:tcBorders>
            <w:vAlign w:val="center"/>
          </w:tcPr>
          <w:p w14:paraId="5A31F9DE" w14:textId="77777777" w:rsidR="00327FF1" w:rsidRDefault="00327FF1">
            <w:pPr>
              <w:spacing w:after="0" w:line="240" w:lineRule="auto"/>
              <w:rPr>
                <w:rFonts w:ascii="Times New Roman" w:eastAsia="Times New Roman" w:hAnsi="Times New Roman" w:cs="Times New Roman"/>
                <w:noProof/>
              </w:rPr>
            </w:pPr>
          </w:p>
        </w:tc>
      </w:tr>
      <w:tr w:rsidR="00327FF1" w14:paraId="4C8B91AE"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B924D2" w14:textId="77777777" w:rsidR="00327FF1" w:rsidRDefault="00E406C7">
            <w:pPr>
              <w:pStyle w:val="P68B1DB1-Normal121"/>
              <w:spacing w:after="0" w:line="240" w:lineRule="auto"/>
              <w:jc w:val="center"/>
              <w:rPr>
                <w:noProof/>
              </w:rPr>
            </w:pPr>
            <w:r>
              <w:rPr>
                <w:noProof/>
              </w:rPr>
              <w:t>M2C2–18</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C6721E" w14:textId="77777777" w:rsidR="00327FF1" w:rsidRDefault="00E406C7">
            <w:pPr>
              <w:pStyle w:val="P68B1DB1-Normal121"/>
              <w:spacing w:after="0" w:line="240" w:lineRule="auto"/>
              <w:rPr>
                <w:noProof/>
              </w:rPr>
            </w:pPr>
            <w:r>
              <w:rPr>
                <w:noProof/>
              </w:rPr>
              <w:t>Investīcija 3.5. Ūdeņraža pētniecība un izstrāde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14BCF8"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A2484B" w14:textId="77777777" w:rsidR="00327FF1" w:rsidRDefault="00E406C7">
            <w:pPr>
              <w:pStyle w:val="P68B1DB1-Normal121"/>
              <w:spacing w:after="0" w:line="240" w:lineRule="auto"/>
              <w:rPr>
                <w:noProof/>
              </w:rPr>
            </w:pPr>
            <w:r>
              <w:rPr>
                <w:noProof/>
              </w:rPr>
              <w:t xml:space="preserve">Visu publisko pētniecības un </w:t>
            </w:r>
            <w:r>
              <w:rPr>
                <w:noProof/>
              </w:rPr>
              <w:t>izstrādes līgumu slēgšanas tiesību piešķiršana pētniecības projektiem ūdeņraža jomā</w:t>
            </w:r>
          </w:p>
        </w:tc>
        <w:tc>
          <w:tcPr>
            <w:tcW w:w="236" w:type="dxa"/>
            <w:tcBorders>
              <w:top w:val="nil"/>
              <w:left w:val="single" w:sz="4" w:space="0" w:color="auto"/>
              <w:bottom w:val="nil"/>
              <w:right w:val="nil"/>
            </w:tcBorders>
            <w:vAlign w:val="center"/>
          </w:tcPr>
          <w:p w14:paraId="00BC22B1" w14:textId="77777777" w:rsidR="00327FF1" w:rsidRDefault="00327FF1">
            <w:pPr>
              <w:spacing w:after="0" w:line="240" w:lineRule="auto"/>
              <w:rPr>
                <w:rFonts w:ascii="Times New Roman" w:eastAsia="Times New Roman" w:hAnsi="Times New Roman" w:cs="Times New Roman"/>
                <w:noProof/>
              </w:rPr>
            </w:pPr>
          </w:p>
        </w:tc>
      </w:tr>
      <w:tr w:rsidR="00327FF1" w14:paraId="67C4D9E2"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608E97" w14:textId="77777777" w:rsidR="00327FF1" w:rsidRDefault="00E406C7">
            <w:pPr>
              <w:pStyle w:val="P68B1DB1-Normal121"/>
              <w:spacing w:after="0" w:line="240" w:lineRule="auto"/>
              <w:jc w:val="center"/>
              <w:rPr>
                <w:noProof/>
              </w:rPr>
            </w:pPr>
            <w:r>
              <w:rPr>
                <w:noProof/>
              </w:rPr>
              <w:t>M2C2–21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4AF5A6" w14:textId="77777777" w:rsidR="00327FF1" w:rsidRDefault="00E406C7">
            <w:pPr>
              <w:pStyle w:val="P68B1DB1-Normal121"/>
              <w:spacing w:after="0" w:line="240" w:lineRule="auto"/>
              <w:rPr>
                <w:noProof/>
              </w:rPr>
            </w:pPr>
            <w:r>
              <w:rPr>
                <w:noProof/>
              </w:rPr>
              <w:t>Reforma. Ūdeņraža konkurētspējas veicināšanas pasākumi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BE9D06"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9AC019" w14:textId="77777777" w:rsidR="00327FF1" w:rsidRDefault="00E406C7">
            <w:pPr>
              <w:pStyle w:val="P68B1DB1-Normal121"/>
              <w:spacing w:after="0" w:line="240" w:lineRule="auto"/>
              <w:rPr>
                <w:noProof/>
              </w:rPr>
            </w:pPr>
            <w:r>
              <w:rPr>
                <w:noProof/>
              </w:rPr>
              <w:t>Fiskālo stimulu stāšanās spēkā</w:t>
            </w:r>
          </w:p>
        </w:tc>
        <w:tc>
          <w:tcPr>
            <w:tcW w:w="236" w:type="dxa"/>
            <w:tcBorders>
              <w:top w:val="nil"/>
              <w:left w:val="single" w:sz="4" w:space="0" w:color="auto"/>
              <w:bottom w:val="nil"/>
              <w:right w:val="nil"/>
            </w:tcBorders>
            <w:vAlign w:val="center"/>
          </w:tcPr>
          <w:p w14:paraId="40C885E1" w14:textId="77777777" w:rsidR="00327FF1" w:rsidRDefault="00327FF1">
            <w:pPr>
              <w:spacing w:after="0" w:line="240" w:lineRule="auto"/>
              <w:rPr>
                <w:rFonts w:ascii="Times New Roman" w:eastAsia="Times New Roman" w:hAnsi="Times New Roman" w:cs="Times New Roman"/>
                <w:noProof/>
              </w:rPr>
            </w:pPr>
          </w:p>
        </w:tc>
      </w:tr>
      <w:tr w:rsidR="00327FF1" w14:paraId="27A256C9"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E7A871" w14:textId="77777777" w:rsidR="00327FF1" w:rsidRDefault="00E406C7">
            <w:pPr>
              <w:pStyle w:val="P68B1DB1-Normal121"/>
              <w:spacing w:after="0" w:line="240" w:lineRule="auto"/>
              <w:jc w:val="center"/>
              <w:rPr>
                <w:noProof/>
              </w:rPr>
            </w:pPr>
            <w:r>
              <w:rPr>
                <w:noProof/>
              </w:rPr>
              <w:t>M2C2–38</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35BBC3" w14:textId="77777777" w:rsidR="00327FF1" w:rsidRDefault="00E406C7">
            <w:pPr>
              <w:pStyle w:val="P68B1DB1-Normal121"/>
              <w:spacing w:after="0" w:line="240" w:lineRule="auto"/>
              <w:rPr>
                <w:noProof/>
              </w:rPr>
            </w:pPr>
            <w:r>
              <w:rPr>
                <w:noProof/>
              </w:rPr>
              <w:t xml:space="preserve">Ieguldījums 5.1.: Atjaunojamie energoresursi un </w:t>
            </w:r>
            <w:r>
              <w:rPr>
                <w:noProof/>
              </w:rPr>
              <w:t>akumulatori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70F0F8"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D93EBA" w14:textId="77777777" w:rsidR="00327FF1" w:rsidRDefault="00E406C7">
            <w:pPr>
              <w:pStyle w:val="P68B1DB1-Normal121"/>
              <w:spacing w:after="0" w:line="240" w:lineRule="auto"/>
              <w:rPr>
                <w:noProof/>
              </w:rPr>
            </w:pPr>
            <w:r>
              <w:rPr>
                <w:noProof/>
              </w:rPr>
              <w:t>Ministrijas dekrēta stāšanās spēkā</w:t>
            </w:r>
          </w:p>
        </w:tc>
        <w:tc>
          <w:tcPr>
            <w:tcW w:w="236" w:type="dxa"/>
            <w:tcBorders>
              <w:top w:val="nil"/>
              <w:left w:val="single" w:sz="4" w:space="0" w:color="auto"/>
              <w:bottom w:val="nil"/>
              <w:right w:val="nil"/>
            </w:tcBorders>
            <w:vAlign w:val="center"/>
          </w:tcPr>
          <w:p w14:paraId="4B4816DF" w14:textId="77777777" w:rsidR="00327FF1" w:rsidRDefault="00327FF1">
            <w:pPr>
              <w:spacing w:after="0" w:line="240" w:lineRule="auto"/>
              <w:rPr>
                <w:rFonts w:ascii="Times New Roman" w:eastAsia="Times New Roman" w:hAnsi="Times New Roman" w:cs="Times New Roman"/>
                <w:noProof/>
              </w:rPr>
            </w:pPr>
          </w:p>
        </w:tc>
      </w:tr>
      <w:tr w:rsidR="00327FF1" w14:paraId="145B2C68"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E81478" w14:textId="77777777" w:rsidR="00327FF1" w:rsidRDefault="00E406C7">
            <w:pPr>
              <w:pStyle w:val="P68B1DB1-Normal121"/>
              <w:spacing w:after="0" w:line="240" w:lineRule="auto"/>
              <w:jc w:val="center"/>
              <w:rPr>
                <w:noProof/>
              </w:rPr>
            </w:pPr>
            <w:r>
              <w:rPr>
                <w:noProof/>
              </w:rPr>
              <w:t>M2C2–42</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6602F4" w14:textId="77777777" w:rsidR="00327FF1" w:rsidRDefault="00E406C7">
            <w:pPr>
              <w:pStyle w:val="P68B1DB1-Normal121"/>
              <w:spacing w:after="0" w:line="240" w:lineRule="auto"/>
              <w:rPr>
                <w:noProof/>
              </w:rPr>
            </w:pPr>
            <w:r>
              <w:rPr>
                <w:noProof/>
              </w:rPr>
              <w:t>Investīcija 5.4.: Kapitāla iepludināšana Zaļās pārkārtošanās fondā (GTF)</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8C2FCC"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1260FA" w14:textId="77777777" w:rsidR="00327FF1" w:rsidRDefault="00E406C7">
            <w:pPr>
              <w:pStyle w:val="P68B1DB1-Normal121"/>
              <w:spacing w:after="0" w:line="240" w:lineRule="auto"/>
              <w:rPr>
                <w:noProof/>
              </w:rPr>
            </w:pPr>
            <w:r>
              <w:rPr>
                <w:noProof/>
              </w:rPr>
              <w:t>Finanšu nolīguma parakstīšana</w:t>
            </w:r>
          </w:p>
        </w:tc>
        <w:tc>
          <w:tcPr>
            <w:tcW w:w="236" w:type="dxa"/>
            <w:tcBorders>
              <w:top w:val="nil"/>
              <w:left w:val="single" w:sz="4" w:space="0" w:color="auto"/>
              <w:bottom w:val="nil"/>
              <w:right w:val="nil"/>
            </w:tcBorders>
            <w:vAlign w:val="center"/>
          </w:tcPr>
          <w:p w14:paraId="3C1F35AE" w14:textId="77777777" w:rsidR="00327FF1" w:rsidRDefault="00327FF1">
            <w:pPr>
              <w:spacing w:after="0" w:line="240" w:lineRule="auto"/>
              <w:rPr>
                <w:rFonts w:ascii="Times New Roman" w:eastAsia="Times New Roman" w:hAnsi="Times New Roman" w:cs="Times New Roman"/>
                <w:noProof/>
              </w:rPr>
            </w:pPr>
          </w:p>
        </w:tc>
      </w:tr>
      <w:tr w:rsidR="00327FF1" w14:paraId="731D941D"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C33D3E" w14:textId="77777777" w:rsidR="00327FF1" w:rsidRDefault="00E406C7">
            <w:pPr>
              <w:pStyle w:val="P68B1DB1-Normal121"/>
              <w:spacing w:after="0" w:line="240" w:lineRule="auto"/>
              <w:jc w:val="center"/>
              <w:rPr>
                <w:noProof/>
              </w:rPr>
            </w:pPr>
            <w:r>
              <w:rPr>
                <w:noProof/>
              </w:rPr>
              <w:t>M2C3–4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11347C" w14:textId="77777777" w:rsidR="00327FF1" w:rsidRDefault="00E406C7">
            <w:pPr>
              <w:pStyle w:val="P68B1DB1-Normal121"/>
              <w:spacing w:after="0" w:line="240" w:lineRule="auto"/>
              <w:rPr>
                <w:noProof/>
              </w:rPr>
            </w:pPr>
            <w:r>
              <w:rPr>
                <w:noProof/>
              </w:rPr>
              <w:t xml:space="preserve">Reforma Nr. 1.1: Procedūru vienkāršošana un </w:t>
            </w:r>
            <w:r>
              <w:rPr>
                <w:noProof/>
              </w:rPr>
              <w:t>paātrināšana energoefektivitātes intervencēm</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176565"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99A031" w14:textId="77777777" w:rsidR="00327FF1" w:rsidRDefault="00E406C7">
            <w:pPr>
              <w:pStyle w:val="P68B1DB1-Normal121"/>
              <w:spacing w:after="0" w:line="240" w:lineRule="auto"/>
              <w:rPr>
                <w:noProof/>
              </w:rPr>
            </w:pPr>
            <w:r>
              <w:rPr>
                <w:noProof/>
              </w:rPr>
              <w:t>Procedūru vienkāršošana un paātrināšana energoefektivitātes intervencēm</w:t>
            </w:r>
          </w:p>
        </w:tc>
        <w:tc>
          <w:tcPr>
            <w:tcW w:w="236" w:type="dxa"/>
            <w:tcBorders>
              <w:top w:val="nil"/>
              <w:left w:val="single" w:sz="4" w:space="0" w:color="auto"/>
              <w:bottom w:val="nil"/>
              <w:right w:val="nil"/>
            </w:tcBorders>
            <w:vAlign w:val="center"/>
          </w:tcPr>
          <w:p w14:paraId="0CA3631A" w14:textId="77777777" w:rsidR="00327FF1" w:rsidRDefault="00327FF1">
            <w:pPr>
              <w:spacing w:after="0" w:line="240" w:lineRule="auto"/>
              <w:rPr>
                <w:rFonts w:ascii="Times New Roman" w:eastAsia="Times New Roman" w:hAnsi="Times New Roman" w:cs="Times New Roman"/>
                <w:noProof/>
              </w:rPr>
            </w:pPr>
          </w:p>
        </w:tc>
      </w:tr>
      <w:tr w:rsidR="00327FF1" w14:paraId="3E0D8DAE"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0C81B2A" w14:textId="77777777" w:rsidR="00327FF1" w:rsidRDefault="00E406C7">
            <w:pPr>
              <w:pStyle w:val="P68B1DB1-Normal121"/>
              <w:spacing w:after="0" w:line="240" w:lineRule="auto"/>
              <w:jc w:val="center"/>
              <w:rPr>
                <w:noProof/>
              </w:rPr>
            </w:pPr>
            <w:r>
              <w:rPr>
                <w:noProof/>
              </w:rPr>
              <w:t>M2C4–1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C6F333" w14:textId="77777777" w:rsidR="00327FF1" w:rsidRDefault="00E406C7">
            <w:pPr>
              <w:pStyle w:val="P68B1DB1-Normal121"/>
              <w:spacing w:after="0" w:line="240" w:lineRule="auto"/>
              <w:rPr>
                <w:noProof/>
              </w:rPr>
            </w:pPr>
            <w:r>
              <w:rPr>
                <w:noProof/>
              </w:rPr>
              <w:t xml:space="preserve">Reforma 2.1. Hidroģeoloģiskās nestabilitātes novēršanas pasākumu īstenošanas procedūru vienkāršošana un </w:t>
            </w:r>
            <w:r>
              <w:rPr>
                <w:noProof/>
              </w:rPr>
              <w:t>paātrināšana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66CB64F"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9AB2D0" w14:textId="77777777" w:rsidR="00327FF1" w:rsidRDefault="00E406C7">
            <w:pPr>
              <w:pStyle w:val="P68B1DB1-Normal121"/>
              <w:spacing w:after="0" w:line="240" w:lineRule="auto"/>
              <w:rPr>
                <w:noProof/>
              </w:rPr>
            </w:pPr>
            <w:r>
              <w:rPr>
                <w:noProof/>
              </w:rPr>
              <w:t>Tiesiskā regulējuma vienkāršošanas stāšanās spēkā labākai hidroloģisko risku pārvaldībai</w:t>
            </w:r>
          </w:p>
        </w:tc>
        <w:tc>
          <w:tcPr>
            <w:tcW w:w="236" w:type="dxa"/>
            <w:tcBorders>
              <w:top w:val="nil"/>
              <w:left w:val="single" w:sz="4" w:space="0" w:color="auto"/>
              <w:bottom w:val="nil"/>
              <w:right w:val="nil"/>
            </w:tcBorders>
            <w:vAlign w:val="center"/>
          </w:tcPr>
          <w:p w14:paraId="40CAC5A8" w14:textId="77777777" w:rsidR="00327FF1" w:rsidRDefault="00327FF1">
            <w:pPr>
              <w:spacing w:after="0" w:line="240" w:lineRule="auto"/>
              <w:rPr>
                <w:rFonts w:ascii="Times New Roman" w:eastAsia="Times New Roman" w:hAnsi="Times New Roman" w:cs="Times New Roman"/>
                <w:noProof/>
              </w:rPr>
            </w:pPr>
          </w:p>
        </w:tc>
      </w:tr>
      <w:tr w:rsidR="00327FF1" w14:paraId="7E60F803"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012946" w14:textId="77777777" w:rsidR="00327FF1" w:rsidRDefault="00E406C7">
            <w:pPr>
              <w:pStyle w:val="P68B1DB1-Normal121"/>
              <w:spacing w:after="0" w:line="240" w:lineRule="auto"/>
              <w:jc w:val="center"/>
              <w:rPr>
                <w:noProof/>
              </w:rPr>
            </w:pPr>
            <w:r>
              <w:rPr>
                <w:noProof/>
              </w:rPr>
              <w:t>M2C4–4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992CD6" w14:textId="77777777" w:rsidR="00327FF1" w:rsidRDefault="00E406C7">
            <w:pPr>
              <w:pStyle w:val="P68B1DB1-Normal121"/>
              <w:spacing w:after="0" w:line="240" w:lineRule="auto"/>
              <w:rPr>
                <w:noProof/>
              </w:rPr>
            </w:pPr>
            <w:r>
              <w:rPr>
                <w:noProof/>
              </w:rPr>
              <w:t>Reforma Nr. 4.2. “Pasākumi, lai nodrošinātu pilnīgu integrēto ūdensapgādes pakalpojumu pārvaldības spēju”</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59CF62"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759A94" w14:textId="13F9D348" w:rsidR="00327FF1" w:rsidRDefault="00E406C7">
            <w:pPr>
              <w:pStyle w:val="P68B1DB1-Normal121"/>
              <w:spacing w:after="0" w:line="240" w:lineRule="auto"/>
              <w:rPr>
                <w:noProof/>
              </w:rPr>
            </w:pPr>
            <w:r>
              <w:rPr>
                <w:noProof/>
              </w:rPr>
              <w:t>Jaunā</w:t>
            </w:r>
            <w:r>
              <w:rPr>
                <w:noProof/>
              </w:rPr>
              <w:t xml:space="preserve"> tiesiskā regulējuma stāšanās spēkā attiecībā uz apūdeņošanas mērķiem</w:t>
            </w:r>
          </w:p>
        </w:tc>
        <w:tc>
          <w:tcPr>
            <w:tcW w:w="236" w:type="dxa"/>
            <w:tcBorders>
              <w:top w:val="nil"/>
              <w:left w:val="single" w:sz="4" w:space="0" w:color="auto"/>
              <w:bottom w:val="nil"/>
              <w:right w:val="nil"/>
            </w:tcBorders>
            <w:vAlign w:val="center"/>
          </w:tcPr>
          <w:p w14:paraId="2DB7C72E" w14:textId="77777777" w:rsidR="00327FF1" w:rsidRDefault="00327FF1">
            <w:pPr>
              <w:spacing w:after="0" w:line="240" w:lineRule="auto"/>
              <w:rPr>
                <w:rFonts w:ascii="Times New Roman" w:eastAsia="Times New Roman" w:hAnsi="Times New Roman" w:cs="Times New Roman"/>
                <w:noProof/>
              </w:rPr>
            </w:pPr>
          </w:p>
        </w:tc>
      </w:tr>
      <w:tr w:rsidR="00327FF1" w14:paraId="2C58E2E0"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179628" w14:textId="77777777" w:rsidR="00327FF1" w:rsidRDefault="00E406C7">
            <w:pPr>
              <w:pStyle w:val="P68B1DB1-Normal121"/>
              <w:spacing w:after="0" w:line="240" w:lineRule="auto"/>
              <w:jc w:val="center"/>
              <w:rPr>
                <w:noProof/>
              </w:rPr>
            </w:pPr>
            <w:r>
              <w:rPr>
                <w:noProof/>
              </w:rPr>
              <w:t>M4C1–3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E85B2A" w14:textId="77777777" w:rsidR="00327FF1" w:rsidRDefault="00E406C7">
            <w:pPr>
              <w:pStyle w:val="P68B1DB1-Normal121"/>
              <w:spacing w:after="0" w:line="240" w:lineRule="auto"/>
              <w:rPr>
                <w:noProof/>
              </w:rPr>
            </w:pPr>
            <w:r>
              <w:rPr>
                <w:noProof/>
              </w:rPr>
              <w:t>Reforma Nr. 2.1. Skolotāju pieņemšana darbā</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4FE43E9"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7FF977" w14:textId="77777777" w:rsidR="00327FF1" w:rsidRDefault="00E406C7">
            <w:pPr>
              <w:pStyle w:val="P68B1DB1-Normal121"/>
              <w:spacing w:after="0" w:line="240" w:lineRule="auto"/>
              <w:rPr>
                <w:noProof/>
              </w:rPr>
            </w:pPr>
            <w:r>
              <w:rPr>
                <w:noProof/>
              </w:rPr>
              <w:t>Stājas spēkā reforma attiecībā uz skolotāja profesiju.</w:t>
            </w:r>
          </w:p>
        </w:tc>
        <w:tc>
          <w:tcPr>
            <w:tcW w:w="236" w:type="dxa"/>
            <w:tcBorders>
              <w:top w:val="nil"/>
              <w:left w:val="single" w:sz="4" w:space="0" w:color="auto"/>
              <w:bottom w:val="nil"/>
              <w:right w:val="nil"/>
            </w:tcBorders>
            <w:vAlign w:val="center"/>
          </w:tcPr>
          <w:p w14:paraId="3D92306F" w14:textId="77777777" w:rsidR="00327FF1" w:rsidRDefault="00327FF1">
            <w:pPr>
              <w:spacing w:after="0" w:line="240" w:lineRule="auto"/>
              <w:rPr>
                <w:rFonts w:ascii="Times New Roman" w:eastAsia="Times New Roman" w:hAnsi="Times New Roman" w:cs="Times New Roman"/>
                <w:noProof/>
              </w:rPr>
            </w:pPr>
          </w:p>
        </w:tc>
      </w:tr>
      <w:tr w:rsidR="00327FF1" w14:paraId="4C292558"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0468F7" w14:textId="77777777" w:rsidR="00327FF1" w:rsidRDefault="00E406C7">
            <w:pPr>
              <w:pStyle w:val="P68B1DB1-Normal121"/>
              <w:spacing w:after="0" w:line="240" w:lineRule="auto"/>
              <w:jc w:val="center"/>
              <w:rPr>
                <w:noProof/>
              </w:rPr>
            </w:pPr>
            <w:r>
              <w:rPr>
                <w:noProof/>
              </w:rPr>
              <w:t>M4C1–4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3BB168" w14:textId="77777777" w:rsidR="00327FF1" w:rsidRDefault="00E406C7">
            <w:pPr>
              <w:pStyle w:val="P68B1DB1-Normal121"/>
              <w:spacing w:after="0" w:line="240" w:lineRule="auto"/>
              <w:rPr>
                <w:noProof/>
              </w:rPr>
            </w:pPr>
            <w:r>
              <w:rPr>
                <w:noProof/>
              </w:rPr>
              <w:t xml:space="preserve">“Investīcija Nr. 3.2. Skola 4.0: inovatīvas skolas, </w:t>
            </w:r>
            <w:r>
              <w:rPr>
                <w:noProof/>
              </w:rPr>
              <w:t>instalācijas, jaunas klases un darbsemināri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211CF47"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49B13B" w14:textId="77777777" w:rsidR="00327FF1" w:rsidRDefault="00E406C7">
            <w:pPr>
              <w:pStyle w:val="P68B1DB1-Normal121"/>
              <w:spacing w:after="0" w:line="240" w:lineRule="auto"/>
              <w:rPr>
                <w:noProof/>
              </w:rPr>
            </w:pPr>
            <w:r>
              <w:rPr>
                <w:noProof/>
              </w:rPr>
              <w:t>Skola 4.0. Plāns Itālijas skolu sistēmas digitālās pārkārtošanās veicināšanai ir pieņemts</w:t>
            </w:r>
          </w:p>
        </w:tc>
        <w:tc>
          <w:tcPr>
            <w:tcW w:w="236" w:type="dxa"/>
            <w:tcBorders>
              <w:top w:val="nil"/>
              <w:left w:val="single" w:sz="4" w:space="0" w:color="auto"/>
              <w:bottom w:val="nil"/>
              <w:right w:val="nil"/>
            </w:tcBorders>
            <w:vAlign w:val="center"/>
          </w:tcPr>
          <w:p w14:paraId="5621077D" w14:textId="77777777" w:rsidR="00327FF1" w:rsidRDefault="00327FF1">
            <w:pPr>
              <w:spacing w:after="0" w:line="240" w:lineRule="auto"/>
              <w:rPr>
                <w:rFonts w:ascii="Times New Roman" w:eastAsia="Times New Roman" w:hAnsi="Times New Roman" w:cs="Times New Roman"/>
                <w:noProof/>
              </w:rPr>
            </w:pPr>
          </w:p>
        </w:tc>
      </w:tr>
      <w:tr w:rsidR="00327FF1" w14:paraId="78CE38FF"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18A8020" w14:textId="77777777" w:rsidR="00327FF1" w:rsidRDefault="00E406C7">
            <w:pPr>
              <w:pStyle w:val="P68B1DB1-Normal121"/>
              <w:spacing w:after="0" w:line="240" w:lineRule="auto"/>
              <w:jc w:val="center"/>
              <w:rPr>
                <w:noProof/>
              </w:rPr>
            </w:pPr>
            <w:r>
              <w:rPr>
                <w:noProof/>
              </w:rPr>
              <w:t>M4C2–4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623FB1" w14:textId="77777777" w:rsidR="00327FF1" w:rsidRDefault="00E406C7">
            <w:pPr>
              <w:pStyle w:val="P68B1DB1-Normal121"/>
              <w:spacing w:after="0" w:line="240" w:lineRule="auto"/>
              <w:rPr>
                <w:noProof/>
              </w:rPr>
            </w:pPr>
            <w:r>
              <w:rPr>
                <w:noProof/>
              </w:rPr>
              <w:t xml:space="preserve">Reforma Nr. 1.1: Pētniecības un attīstības atbalsta pasākumu īstenošana vienkāršošanas un </w:t>
            </w:r>
            <w:r>
              <w:rPr>
                <w:noProof/>
              </w:rPr>
              <w:t>mobilitātes veicināšanai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322AA3" w14:textId="77777777" w:rsidR="00327FF1" w:rsidRDefault="00E406C7">
            <w:pPr>
              <w:pStyle w:val="P68B1DB1-Normal121"/>
              <w:spacing w:after="0" w:line="240" w:lineRule="auto"/>
              <w:jc w:val="center"/>
              <w:rPr>
                <w:noProof/>
              </w:rPr>
            </w:pPr>
            <w:r>
              <w:rPr>
                <w:noProof/>
              </w:rPr>
              <w:t>Atskaites punkts</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9A980A" w14:textId="77777777" w:rsidR="00327FF1" w:rsidRDefault="00E406C7">
            <w:pPr>
              <w:pStyle w:val="P68B1DB1-Normal121"/>
              <w:spacing w:after="0" w:line="240" w:lineRule="auto"/>
              <w:rPr>
                <w:noProof/>
              </w:rPr>
            </w:pPr>
            <w:r>
              <w:rPr>
                <w:noProof/>
              </w:rPr>
              <w:t>Stājas spēkā ministrijas dekrēti par pētniecības un attīstības vienkāršošanu un mobilitāti, kas saistīti ar parasto finansēšanas fondu.</w:t>
            </w:r>
          </w:p>
        </w:tc>
        <w:tc>
          <w:tcPr>
            <w:tcW w:w="236" w:type="dxa"/>
            <w:tcBorders>
              <w:top w:val="nil"/>
              <w:left w:val="single" w:sz="4" w:space="0" w:color="auto"/>
              <w:bottom w:val="nil"/>
              <w:right w:val="nil"/>
            </w:tcBorders>
            <w:vAlign w:val="center"/>
          </w:tcPr>
          <w:p w14:paraId="79C795E4" w14:textId="77777777" w:rsidR="00327FF1" w:rsidRDefault="00327FF1">
            <w:pPr>
              <w:spacing w:after="0" w:line="240" w:lineRule="auto"/>
              <w:rPr>
                <w:rFonts w:ascii="Times New Roman" w:eastAsia="Times New Roman" w:hAnsi="Times New Roman" w:cs="Times New Roman"/>
                <w:noProof/>
              </w:rPr>
            </w:pPr>
          </w:p>
        </w:tc>
      </w:tr>
      <w:tr w:rsidR="00327FF1" w14:paraId="26576812" w14:textId="77777777">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6D8181" w14:textId="77777777" w:rsidR="00327FF1" w:rsidRDefault="00327FF1">
            <w:pPr>
              <w:spacing w:after="0" w:line="240" w:lineRule="auto"/>
              <w:jc w:val="center"/>
              <w:rPr>
                <w:rFonts w:ascii="Times New Roman" w:eastAsia="Times New Roman" w:hAnsi="Times New Roman" w:cs="Times New Roman"/>
                <w:noProof/>
              </w:rPr>
            </w:pP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60DF6DF" w14:textId="77777777" w:rsidR="00327FF1" w:rsidRDefault="00E406C7">
            <w:pPr>
              <w:pStyle w:val="P68B1DB1-Normal121"/>
              <w:spacing w:after="0" w:line="240" w:lineRule="auto"/>
              <w:rPr>
                <w:noProof/>
              </w:rPr>
            </w:pPr>
            <w:r>
              <w:rPr>
                <w:noProof/>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C4AE05" w14:textId="77777777" w:rsidR="00327FF1" w:rsidRDefault="00E406C7">
            <w:pPr>
              <w:pStyle w:val="P68B1DB1-Normal121"/>
              <w:spacing w:after="0" w:line="240" w:lineRule="auto"/>
              <w:jc w:val="center"/>
              <w:rPr>
                <w:noProof/>
              </w:rPr>
            </w:pPr>
            <w:r>
              <w:rPr>
                <w:noProof/>
              </w:rPr>
              <w:t>Maksājuma summa</w:t>
            </w:r>
          </w:p>
        </w:tc>
        <w:tc>
          <w:tcPr>
            <w:tcW w:w="452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54A399"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11494252874</w:t>
            </w:r>
            <w:r>
              <w:rPr>
                <w:noProof/>
                <w:sz w:val="23"/>
                <w:szCs w:val="23"/>
              </w:rPr>
              <w:t xml:space="preserve"> </w:t>
            </w:r>
            <w:r>
              <w:rPr>
                <w:noProof/>
                <w:color w:val="006100"/>
                <w:sz w:val="20"/>
                <w:szCs w:val="20"/>
              </w:rPr>
              <w:t xml:space="preserve"> </w:t>
            </w:r>
          </w:p>
        </w:tc>
        <w:tc>
          <w:tcPr>
            <w:tcW w:w="236" w:type="dxa"/>
            <w:tcBorders>
              <w:top w:val="nil"/>
              <w:left w:val="single" w:sz="4" w:space="0" w:color="auto"/>
              <w:bottom w:val="nil"/>
              <w:right w:val="nil"/>
            </w:tcBorders>
            <w:vAlign w:val="center"/>
          </w:tcPr>
          <w:p w14:paraId="1E14FDC0" w14:textId="77777777" w:rsidR="00327FF1" w:rsidRDefault="00327FF1">
            <w:pPr>
              <w:spacing w:after="0" w:line="240" w:lineRule="auto"/>
              <w:rPr>
                <w:rFonts w:ascii="Times New Roman" w:eastAsia="Times New Roman" w:hAnsi="Times New Roman" w:cs="Times New Roman"/>
                <w:noProof/>
              </w:rPr>
            </w:pPr>
          </w:p>
        </w:tc>
      </w:tr>
    </w:tbl>
    <w:p w14:paraId="024052A9" w14:textId="77777777" w:rsidR="00327FF1" w:rsidRDefault="00E406C7">
      <w:pPr>
        <w:pStyle w:val="P68B1DB1-Normal8"/>
        <w:spacing w:after="0" w:line="257" w:lineRule="auto"/>
        <w:rPr>
          <w:noProof/>
        </w:rPr>
      </w:pPr>
      <w:r>
        <w:rPr>
          <w:noProof/>
        </w:rPr>
        <w:t xml:space="preserve"> </w:t>
      </w:r>
    </w:p>
    <w:p w14:paraId="78AFC1E2" w14:textId="77777777" w:rsidR="00327FF1" w:rsidRDefault="00E406C7">
      <w:pPr>
        <w:pStyle w:val="P68B1DB1-Normal8"/>
        <w:rPr>
          <w:noProof/>
        </w:rPr>
      </w:pPr>
      <w:r>
        <w:rPr>
          <w:noProof/>
        </w:rPr>
        <w:br w:type="page"/>
      </w:r>
    </w:p>
    <w:p w14:paraId="09ADE68E" w14:textId="77777777" w:rsidR="00327FF1" w:rsidRDefault="00E406C7">
      <w:pPr>
        <w:pStyle w:val="P68B1DB1-Heading4119"/>
        <w:numPr>
          <w:ilvl w:val="1"/>
          <w:numId w:val="180"/>
        </w:numPr>
        <w:tabs>
          <w:tab w:val="num" w:pos="1440"/>
        </w:tabs>
        <w:ind w:left="1440" w:hanging="360"/>
        <w:rPr>
          <w:noProof/>
        </w:rPr>
      </w:pPr>
      <w:r>
        <w:rPr>
          <w:noProof/>
        </w:rPr>
        <w:t>Trešais maksājums (neatmaksājams</w:t>
      </w:r>
      <w:r>
        <w:rPr>
          <w:noProof/>
        </w:rPr>
        <w:t xml:space="preserve"> atbalsts):</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5"/>
        <w:gridCol w:w="3541"/>
        <w:gridCol w:w="1260"/>
        <w:gridCol w:w="3162"/>
      </w:tblGrid>
      <w:tr w:rsidR="00327FF1" w14:paraId="57DB9CC8" w14:textId="77777777">
        <w:trPr>
          <w:trHeight w:val="900"/>
          <w:tblHeader/>
        </w:trPr>
        <w:tc>
          <w:tcPr>
            <w:tcW w:w="1395" w:type="dxa"/>
            <w:vMerge w:val="restart"/>
            <w:shd w:val="clear" w:color="auto" w:fill="BDD7EE"/>
            <w:tcMar>
              <w:left w:w="108" w:type="dxa"/>
              <w:right w:w="108" w:type="dxa"/>
            </w:tcMar>
            <w:vAlign w:val="center"/>
          </w:tcPr>
          <w:p w14:paraId="6F728BE8" w14:textId="77777777" w:rsidR="00327FF1" w:rsidRDefault="00E406C7">
            <w:pPr>
              <w:pStyle w:val="P68B1DB1-Normal120"/>
              <w:spacing w:after="0" w:line="240" w:lineRule="auto"/>
              <w:jc w:val="center"/>
              <w:rPr>
                <w:noProof/>
              </w:rPr>
            </w:pPr>
            <w:r>
              <w:rPr>
                <w:noProof/>
              </w:rPr>
              <w:t>Kārtas numurs</w:t>
            </w:r>
          </w:p>
        </w:tc>
        <w:tc>
          <w:tcPr>
            <w:tcW w:w="3541" w:type="dxa"/>
            <w:vMerge w:val="restart"/>
            <w:shd w:val="clear" w:color="auto" w:fill="BDD7EE"/>
            <w:tcMar>
              <w:left w:w="108" w:type="dxa"/>
              <w:right w:w="108" w:type="dxa"/>
            </w:tcMar>
            <w:vAlign w:val="center"/>
          </w:tcPr>
          <w:p w14:paraId="186E3793" w14:textId="77777777" w:rsidR="00327FF1" w:rsidRDefault="00E406C7">
            <w:pPr>
              <w:pStyle w:val="P68B1DB1-Normal120"/>
              <w:spacing w:after="0" w:line="240" w:lineRule="auto"/>
              <w:jc w:val="center"/>
              <w:rPr>
                <w:noProof/>
              </w:rPr>
            </w:pPr>
            <w:r>
              <w:rPr>
                <w:noProof/>
              </w:rPr>
              <w:t>Saistītais pasākums (reforma vai ieguldījums)</w:t>
            </w:r>
          </w:p>
        </w:tc>
        <w:tc>
          <w:tcPr>
            <w:tcW w:w="1260" w:type="dxa"/>
            <w:vMerge w:val="restart"/>
            <w:shd w:val="clear" w:color="auto" w:fill="BDD7EE"/>
            <w:tcMar>
              <w:left w:w="108" w:type="dxa"/>
              <w:right w:w="108" w:type="dxa"/>
            </w:tcMar>
            <w:vAlign w:val="center"/>
          </w:tcPr>
          <w:p w14:paraId="5756B248" w14:textId="77777777" w:rsidR="00327FF1" w:rsidRDefault="00E406C7">
            <w:pPr>
              <w:pStyle w:val="P68B1DB1-Normal120"/>
              <w:spacing w:after="0" w:line="240" w:lineRule="auto"/>
              <w:jc w:val="center"/>
              <w:rPr>
                <w:noProof/>
              </w:rPr>
            </w:pPr>
            <w:r>
              <w:rPr>
                <w:noProof/>
              </w:rPr>
              <w:t>Atskaites punkts/mērķrādītājs</w:t>
            </w:r>
          </w:p>
        </w:tc>
        <w:tc>
          <w:tcPr>
            <w:tcW w:w="3162" w:type="dxa"/>
            <w:vMerge w:val="restart"/>
            <w:shd w:val="clear" w:color="auto" w:fill="BDD7EE"/>
            <w:tcMar>
              <w:left w:w="108" w:type="dxa"/>
              <w:right w:w="108" w:type="dxa"/>
            </w:tcMar>
            <w:vAlign w:val="center"/>
          </w:tcPr>
          <w:p w14:paraId="3402509E" w14:textId="77777777" w:rsidR="00327FF1" w:rsidRDefault="00E406C7">
            <w:pPr>
              <w:pStyle w:val="P68B1DB1-Normal120"/>
              <w:spacing w:after="0" w:line="240" w:lineRule="auto"/>
              <w:jc w:val="center"/>
              <w:rPr>
                <w:noProof/>
              </w:rPr>
            </w:pPr>
            <w:r>
              <w:rPr>
                <w:noProof/>
              </w:rPr>
              <w:t>Nosaukums</w:t>
            </w:r>
          </w:p>
        </w:tc>
      </w:tr>
      <w:tr w:rsidR="00327FF1" w14:paraId="2CBD1B8E" w14:textId="77777777">
        <w:trPr>
          <w:trHeight w:val="510"/>
        </w:trPr>
        <w:tc>
          <w:tcPr>
            <w:tcW w:w="1395" w:type="dxa"/>
            <w:vMerge/>
            <w:vAlign w:val="center"/>
          </w:tcPr>
          <w:p w14:paraId="1F1A8744" w14:textId="77777777" w:rsidR="00327FF1" w:rsidRDefault="00327FF1">
            <w:pPr>
              <w:spacing w:after="0" w:line="240" w:lineRule="auto"/>
              <w:jc w:val="center"/>
              <w:rPr>
                <w:rFonts w:ascii="Times New Roman" w:eastAsia="Times New Roman" w:hAnsi="Times New Roman" w:cs="Times New Roman"/>
                <w:noProof/>
              </w:rPr>
            </w:pPr>
          </w:p>
        </w:tc>
        <w:tc>
          <w:tcPr>
            <w:tcW w:w="3541" w:type="dxa"/>
            <w:vMerge/>
            <w:vAlign w:val="center"/>
          </w:tcPr>
          <w:p w14:paraId="57C3F0AD" w14:textId="77777777" w:rsidR="00327FF1" w:rsidRDefault="00327FF1">
            <w:pPr>
              <w:spacing w:after="0" w:line="240" w:lineRule="auto"/>
              <w:rPr>
                <w:rFonts w:ascii="Times New Roman" w:eastAsia="Times New Roman" w:hAnsi="Times New Roman" w:cs="Times New Roman"/>
                <w:noProof/>
              </w:rPr>
            </w:pPr>
          </w:p>
        </w:tc>
        <w:tc>
          <w:tcPr>
            <w:tcW w:w="1260" w:type="dxa"/>
            <w:vMerge/>
            <w:vAlign w:val="center"/>
          </w:tcPr>
          <w:p w14:paraId="12F506CD" w14:textId="77777777" w:rsidR="00327FF1" w:rsidRDefault="00327FF1">
            <w:pPr>
              <w:spacing w:after="0" w:line="240" w:lineRule="auto"/>
              <w:jc w:val="center"/>
              <w:rPr>
                <w:rFonts w:ascii="Times New Roman" w:eastAsia="Times New Roman" w:hAnsi="Times New Roman" w:cs="Times New Roman"/>
                <w:noProof/>
              </w:rPr>
            </w:pPr>
          </w:p>
        </w:tc>
        <w:tc>
          <w:tcPr>
            <w:tcW w:w="3162" w:type="dxa"/>
            <w:vMerge/>
            <w:vAlign w:val="center"/>
          </w:tcPr>
          <w:p w14:paraId="5D1293CE" w14:textId="77777777" w:rsidR="00327FF1" w:rsidRDefault="00327FF1">
            <w:pPr>
              <w:spacing w:after="0" w:line="240" w:lineRule="auto"/>
              <w:rPr>
                <w:rFonts w:ascii="Times New Roman" w:eastAsia="Times New Roman" w:hAnsi="Times New Roman" w:cs="Times New Roman"/>
                <w:noProof/>
              </w:rPr>
            </w:pPr>
          </w:p>
        </w:tc>
      </w:tr>
      <w:tr w:rsidR="00327FF1" w14:paraId="6EDFC83D" w14:textId="77777777">
        <w:trPr>
          <w:trHeight w:val="300"/>
        </w:trPr>
        <w:tc>
          <w:tcPr>
            <w:tcW w:w="1395" w:type="dxa"/>
            <w:shd w:val="clear" w:color="auto" w:fill="C6EFCE"/>
            <w:tcMar>
              <w:left w:w="108" w:type="dxa"/>
              <w:right w:w="108" w:type="dxa"/>
            </w:tcMar>
            <w:vAlign w:val="center"/>
          </w:tcPr>
          <w:p w14:paraId="6DD6E8A1" w14:textId="77777777" w:rsidR="00327FF1" w:rsidRDefault="00E406C7">
            <w:pPr>
              <w:pStyle w:val="P68B1DB1-Normal121"/>
              <w:spacing w:after="0" w:line="240" w:lineRule="auto"/>
              <w:jc w:val="center"/>
              <w:rPr>
                <w:noProof/>
              </w:rPr>
            </w:pPr>
            <w:r>
              <w:rPr>
                <w:noProof/>
              </w:rPr>
              <w:t>M2C4–2</w:t>
            </w:r>
          </w:p>
        </w:tc>
        <w:tc>
          <w:tcPr>
            <w:tcW w:w="3541" w:type="dxa"/>
            <w:shd w:val="clear" w:color="auto" w:fill="C6EFCE"/>
            <w:tcMar>
              <w:left w:w="108" w:type="dxa"/>
              <w:right w:w="108" w:type="dxa"/>
            </w:tcMar>
            <w:vAlign w:val="center"/>
          </w:tcPr>
          <w:p w14:paraId="68A764B8" w14:textId="77777777" w:rsidR="00327FF1" w:rsidRDefault="00E406C7">
            <w:pPr>
              <w:pStyle w:val="P68B1DB1-Normal121"/>
              <w:spacing w:after="0" w:line="240" w:lineRule="auto"/>
              <w:rPr>
                <w:noProof/>
              </w:rPr>
            </w:pPr>
            <w:r>
              <w:rPr>
                <w:noProof/>
              </w:rPr>
              <w:t>Reforma Nr. 4.2. “Pasākumi, lai nodrošinātu pilnīgu integrēto ūdensapgādes pakalpojumu pārvaldības spēju”</w:t>
            </w:r>
          </w:p>
        </w:tc>
        <w:tc>
          <w:tcPr>
            <w:tcW w:w="1260" w:type="dxa"/>
            <w:shd w:val="clear" w:color="auto" w:fill="C6EFCE"/>
            <w:tcMar>
              <w:left w:w="108" w:type="dxa"/>
              <w:right w:w="108" w:type="dxa"/>
            </w:tcMar>
            <w:vAlign w:val="center"/>
          </w:tcPr>
          <w:p w14:paraId="78CFC6F9"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56114062" w14:textId="77777777" w:rsidR="00327FF1" w:rsidRDefault="00E406C7">
            <w:pPr>
              <w:pStyle w:val="P68B1DB1-Normal121"/>
              <w:spacing w:after="0" w:line="240" w:lineRule="auto"/>
              <w:rPr>
                <w:noProof/>
              </w:rPr>
            </w:pPr>
            <w:r>
              <w:rPr>
                <w:noProof/>
              </w:rPr>
              <w:t xml:space="preserve">Reformas stāšanās spēkā, lai nodrošinātu pilnīgu integrēto ūdensapgādes pakalpojumu pārvaldības spēju </w:t>
            </w:r>
          </w:p>
        </w:tc>
      </w:tr>
      <w:tr w:rsidR="00327FF1" w14:paraId="767AE098" w14:textId="77777777">
        <w:trPr>
          <w:trHeight w:val="300"/>
        </w:trPr>
        <w:tc>
          <w:tcPr>
            <w:tcW w:w="1395" w:type="dxa"/>
            <w:shd w:val="clear" w:color="auto" w:fill="C6EFCE"/>
            <w:tcMar>
              <w:left w:w="108" w:type="dxa"/>
              <w:right w:w="108" w:type="dxa"/>
            </w:tcMar>
            <w:vAlign w:val="center"/>
          </w:tcPr>
          <w:p w14:paraId="1A11C7CB" w14:textId="77777777" w:rsidR="00327FF1" w:rsidRDefault="00E406C7">
            <w:pPr>
              <w:pStyle w:val="P68B1DB1-Normal121"/>
              <w:spacing w:after="0" w:line="240" w:lineRule="auto"/>
              <w:jc w:val="center"/>
              <w:rPr>
                <w:noProof/>
              </w:rPr>
            </w:pPr>
            <w:r>
              <w:rPr>
                <w:noProof/>
              </w:rPr>
              <w:t>M1C1–3</w:t>
            </w:r>
          </w:p>
        </w:tc>
        <w:tc>
          <w:tcPr>
            <w:tcW w:w="3541" w:type="dxa"/>
            <w:shd w:val="clear" w:color="auto" w:fill="C6EFCE"/>
            <w:tcMar>
              <w:left w:w="108" w:type="dxa"/>
              <w:right w:w="108" w:type="dxa"/>
            </w:tcMar>
            <w:vAlign w:val="center"/>
          </w:tcPr>
          <w:p w14:paraId="372A857F" w14:textId="77777777" w:rsidR="00327FF1" w:rsidRDefault="00E406C7">
            <w:pPr>
              <w:pStyle w:val="P68B1DB1-Normal121"/>
              <w:spacing w:after="0" w:line="240" w:lineRule="auto"/>
              <w:rPr>
                <w:noProof/>
              </w:rPr>
            </w:pPr>
            <w:r>
              <w:rPr>
                <w:noProof/>
              </w:rPr>
              <w:t>Investīcija 1.1: Digitālā infrastruktūra</w:t>
            </w:r>
          </w:p>
        </w:tc>
        <w:tc>
          <w:tcPr>
            <w:tcW w:w="1260" w:type="dxa"/>
            <w:shd w:val="clear" w:color="auto" w:fill="C6EFCE"/>
            <w:tcMar>
              <w:left w:w="108" w:type="dxa"/>
              <w:right w:w="108" w:type="dxa"/>
            </w:tcMar>
            <w:vAlign w:val="center"/>
          </w:tcPr>
          <w:p w14:paraId="75502F4D"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203398D5" w14:textId="77777777" w:rsidR="00327FF1" w:rsidRDefault="00E406C7">
            <w:pPr>
              <w:pStyle w:val="P68B1DB1-Normal121"/>
              <w:spacing w:after="0" w:line="240" w:lineRule="auto"/>
              <w:rPr>
                <w:noProof/>
              </w:rPr>
            </w:pPr>
            <w:r>
              <w:rPr>
                <w:noProof/>
              </w:rPr>
              <w:t>Polo Strategico Nazionale (PSN) pabeigšana</w:t>
            </w:r>
          </w:p>
        </w:tc>
      </w:tr>
      <w:tr w:rsidR="00327FF1" w14:paraId="2AA5AB97" w14:textId="77777777">
        <w:trPr>
          <w:trHeight w:val="300"/>
        </w:trPr>
        <w:tc>
          <w:tcPr>
            <w:tcW w:w="1395" w:type="dxa"/>
            <w:shd w:val="clear" w:color="auto" w:fill="C6EFCE"/>
            <w:tcMar>
              <w:left w:w="108" w:type="dxa"/>
              <w:right w:w="108" w:type="dxa"/>
            </w:tcMar>
            <w:vAlign w:val="center"/>
          </w:tcPr>
          <w:p w14:paraId="6307106B" w14:textId="77777777" w:rsidR="00327FF1" w:rsidRDefault="00E406C7">
            <w:pPr>
              <w:pStyle w:val="P68B1DB1-Normal121"/>
              <w:spacing w:after="0" w:line="240" w:lineRule="auto"/>
              <w:jc w:val="center"/>
              <w:rPr>
                <w:noProof/>
              </w:rPr>
            </w:pPr>
            <w:r>
              <w:rPr>
                <w:noProof/>
              </w:rPr>
              <w:t>M1C1–4</w:t>
            </w:r>
          </w:p>
        </w:tc>
        <w:tc>
          <w:tcPr>
            <w:tcW w:w="3541" w:type="dxa"/>
            <w:shd w:val="clear" w:color="auto" w:fill="C6EFCE"/>
            <w:tcMar>
              <w:left w:w="108" w:type="dxa"/>
              <w:right w:w="108" w:type="dxa"/>
            </w:tcMar>
            <w:vAlign w:val="center"/>
          </w:tcPr>
          <w:p w14:paraId="210DB39D" w14:textId="77777777" w:rsidR="00327FF1" w:rsidRDefault="00E406C7">
            <w:pPr>
              <w:pStyle w:val="P68B1DB1-Normal121"/>
              <w:spacing w:after="0" w:line="240" w:lineRule="auto"/>
              <w:rPr>
                <w:noProof/>
              </w:rPr>
            </w:pPr>
            <w:r>
              <w:rPr>
                <w:noProof/>
              </w:rPr>
              <w:t xml:space="preserve">Investīcija 1.3.1.: Valsts digitālo </w:t>
            </w:r>
            <w:r>
              <w:rPr>
                <w:noProof/>
              </w:rPr>
              <w:t>datu platforma</w:t>
            </w:r>
          </w:p>
        </w:tc>
        <w:tc>
          <w:tcPr>
            <w:tcW w:w="1260" w:type="dxa"/>
            <w:shd w:val="clear" w:color="auto" w:fill="C6EFCE"/>
            <w:tcMar>
              <w:left w:w="108" w:type="dxa"/>
              <w:right w:w="108" w:type="dxa"/>
            </w:tcMar>
            <w:vAlign w:val="center"/>
          </w:tcPr>
          <w:p w14:paraId="25B0403D"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759D3275" w14:textId="77777777" w:rsidR="00327FF1" w:rsidRDefault="00E406C7">
            <w:pPr>
              <w:pStyle w:val="P68B1DB1-Normal121"/>
              <w:spacing w:after="0" w:line="240" w:lineRule="auto"/>
              <w:rPr>
                <w:noProof/>
              </w:rPr>
            </w:pPr>
            <w:r>
              <w:rPr>
                <w:noProof/>
              </w:rPr>
              <w:t>Darbojas valsts digitālo datu platforma</w:t>
            </w:r>
          </w:p>
        </w:tc>
      </w:tr>
      <w:tr w:rsidR="00327FF1" w14:paraId="16127E76" w14:textId="77777777">
        <w:trPr>
          <w:trHeight w:val="300"/>
        </w:trPr>
        <w:tc>
          <w:tcPr>
            <w:tcW w:w="1395" w:type="dxa"/>
            <w:shd w:val="clear" w:color="auto" w:fill="C6EFCE"/>
            <w:tcMar>
              <w:left w:w="108" w:type="dxa"/>
              <w:right w:w="108" w:type="dxa"/>
            </w:tcMar>
            <w:vAlign w:val="center"/>
          </w:tcPr>
          <w:p w14:paraId="30B487B7" w14:textId="77777777" w:rsidR="00327FF1" w:rsidRDefault="00E406C7">
            <w:pPr>
              <w:pStyle w:val="P68B1DB1-Normal121"/>
              <w:spacing w:after="0" w:line="240" w:lineRule="auto"/>
              <w:jc w:val="center"/>
              <w:rPr>
                <w:noProof/>
              </w:rPr>
            </w:pPr>
            <w:r>
              <w:rPr>
                <w:noProof/>
              </w:rPr>
              <w:t>M1C1–5</w:t>
            </w:r>
          </w:p>
        </w:tc>
        <w:tc>
          <w:tcPr>
            <w:tcW w:w="3541" w:type="dxa"/>
            <w:shd w:val="clear" w:color="auto" w:fill="C6EFCE"/>
            <w:tcMar>
              <w:left w:w="108" w:type="dxa"/>
              <w:right w:w="108" w:type="dxa"/>
            </w:tcMar>
            <w:vAlign w:val="center"/>
          </w:tcPr>
          <w:p w14:paraId="18C73260" w14:textId="77777777" w:rsidR="00327FF1" w:rsidRDefault="00E406C7">
            <w:pPr>
              <w:pStyle w:val="P68B1DB1-Normal121"/>
              <w:spacing w:after="0" w:line="240" w:lineRule="auto"/>
              <w:rPr>
                <w:noProof/>
              </w:rPr>
            </w:pPr>
            <w:r>
              <w:rPr>
                <w:noProof/>
              </w:rPr>
              <w:t>Investīcija Nr. 1.5: Kiberdrošība</w:t>
            </w:r>
          </w:p>
        </w:tc>
        <w:tc>
          <w:tcPr>
            <w:tcW w:w="1260" w:type="dxa"/>
            <w:shd w:val="clear" w:color="auto" w:fill="C6EFCE"/>
            <w:tcMar>
              <w:left w:w="108" w:type="dxa"/>
              <w:right w:w="108" w:type="dxa"/>
            </w:tcMar>
            <w:vAlign w:val="center"/>
          </w:tcPr>
          <w:p w14:paraId="2CE45DE0"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4FF21B6A" w14:textId="77777777" w:rsidR="00327FF1" w:rsidRDefault="00E406C7">
            <w:pPr>
              <w:pStyle w:val="P68B1DB1-Normal121"/>
              <w:spacing w:after="0" w:line="240" w:lineRule="auto"/>
              <w:rPr>
                <w:noProof/>
              </w:rPr>
            </w:pPr>
            <w:r>
              <w:rPr>
                <w:noProof/>
              </w:rPr>
              <w:t>Jaunas Valsts kiberdrošības aģentūras izveide</w:t>
            </w:r>
          </w:p>
        </w:tc>
      </w:tr>
      <w:tr w:rsidR="00327FF1" w14:paraId="15A55E7F" w14:textId="77777777">
        <w:trPr>
          <w:trHeight w:val="300"/>
        </w:trPr>
        <w:tc>
          <w:tcPr>
            <w:tcW w:w="1395" w:type="dxa"/>
            <w:shd w:val="clear" w:color="auto" w:fill="C6EFCE"/>
            <w:tcMar>
              <w:left w:w="108" w:type="dxa"/>
              <w:right w:w="108" w:type="dxa"/>
            </w:tcMar>
            <w:vAlign w:val="center"/>
          </w:tcPr>
          <w:p w14:paraId="5E8A3D3F" w14:textId="77777777" w:rsidR="00327FF1" w:rsidRDefault="00E406C7">
            <w:pPr>
              <w:pStyle w:val="P68B1DB1-Normal121"/>
              <w:spacing w:after="0" w:line="240" w:lineRule="auto"/>
              <w:jc w:val="center"/>
              <w:rPr>
                <w:noProof/>
              </w:rPr>
            </w:pPr>
            <w:r>
              <w:rPr>
                <w:noProof/>
              </w:rPr>
              <w:t>M1C1–6</w:t>
            </w:r>
          </w:p>
        </w:tc>
        <w:tc>
          <w:tcPr>
            <w:tcW w:w="3541" w:type="dxa"/>
            <w:shd w:val="clear" w:color="auto" w:fill="C6EFCE"/>
            <w:tcMar>
              <w:left w:w="108" w:type="dxa"/>
              <w:right w:w="108" w:type="dxa"/>
            </w:tcMar>
            <w:vAlign w:val="center"/>
          </w:tcPr>
          <w:p w14:paraId="785C858E" w14:textId="77777777" w:rsidR="00327FF1" w:rsidRDefault="00E406C7">
            <w:pPr>
              <w:pStyle w:val="P68B1DB1-Normal121"/>
              <w:spacing w:after="0" w:line="240" w:lineRule="auto"/>
              <w:rPr>
                <w:noProof/>
              </w:rPr>
            </w:pPr>
            <w:r>
              <w:rPr>
                <w:noProof/>
              </w:rPr>
              <w:t>Investīcija Nr. 1.5: Kiberdrošība</w:t>
            </w:r>
          </w:p>
        </w:tc>
        <w:tc>
          <w:tcPr>
            <w:tcW w:w="1260" w:type="dxa"/>
            <w:shd w:val="clear" w:color="auto" w:fill="C6EFCE"/>
            <w:tcMar>
              <w:left w:w="108" w:type="dxa"/>
              <w:right w:w="108" w:type="dxa"/>
            </w:tcMar>
            <w:vAlign w:val="center"/>
          </w:tcPr>
          <w:p w14:paraId="107C9977"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17182DE5" w14:textId="77777777" w:rsidR="00327FF1" w:rsidRDefault="00E406C7">
            <w:pPr>
              <w:pStyle w:val="P68B1DB1-Normal121"/>
              <w:spacing w:after="0" w:line="240" w:lineRule="auto"/>
              <w:rPr>
                <w:noProof/>
              </w:rPr>
            </w:pPr>
            <w:r>
              <w:rPr>
                <w:noProof/>
              </w:rPr>
              <w:t>Valstu kiberdrošības</w:t>
            </w:r>
            <w:r>
              <w:rPr>
                <w:noProof/>
              </w:rPr>
              <w:t xml:space="preserve"> pakalpojumu sākotnējā izvēršana</w:t>
            </w:r>
          </w:p>
        </w:tc>
      </w:tr>
      <w:tr w:rsidR="00327FF1" w14:paraId="09DC204A" w14:textId="77777777">
        <w:trPr>
          <w:trHeight w:val="300"/>
        </w:trPr>
        <w:tc>
          <w:tcPr>
            <w:tcW w:w="1395" w:type="dxa"/>
            <w:shd w:val="clear" w:color="auto" w:fill="C6EFCE"/>
            <w:tcMar>
              <w:left w:w="108" w:type="dxa"/>
              <w:right w:w="108" w:type="dxa"/>
            </w:tcMar>
            <w:vAlign w:val="center"/>
          </w:tcPr>
          <w:p w14:paraId="0426D960" w14:textId="77777777" w:rsidR="00327FF1" w:rsidRDefault="00E406C7">
            <w:pPr>
              <w:pStyle w:val="P68B1DB1-Normal121"/>
              <w:spacing w:after="0" w:line="240" w:lineRule="auto"/>
              <w:jc w:val="center"/>
              <w:rPr>
                <w:noProof/>
              </w:rPr>
            </w:pPr>
            <w:r>
              <w:rPr>
                <w:noProof/>
              </w:rPr>
              <w:t>M1C1–7</w:t>
            </w:r>
          </w:p>
        </w:tc>
        <w:tc>
          <w:tcPr>
            <w:tcW w:w="3541" w:type="dxa"/>
            <w:shd w:val="clear" w:color="auto" w:fill="C6EFCE"/>
            <w:tcMar>
              <w:left w:w="108" w:type="dxa"/>
              <w:right w:w="108" w:type="dxa"/>
            </w:tcMar>
            <w:vAlign w:val="center"/>
          </w:tcPr>
          <w:p w14:paraId="616DE3EE" w14:textId="77777777" w:rsidR="00327FF1" w:rsidRDefault="00E406C7">
            <w:pPr>
              <w:pStyle w:val="P68B1DB1-Normal121"/>
              <w:spacing w:after="0" w:line="240" w:lineRule="auto"/>
              <w:rPr>
                <w:noProof/>
              </w:rPr>
            </w:pPr>
            <w:r>
              <w:rPr>
                <w:noProof/>
              </w:rPr>
              <w:t>Investīcija Nr. 1.5: Kiberdrošība</w:t>
            </w:r>
          </w:p>
        </w:tc>
        <w:tc>
          <w:tcPr>
            <w:tcW w:w="1260" w:type="dxa"/>
            <w:shd w:val="clear" w:color="auto" w:fill="C6EFCE"/>
            <w:tcMar>
              <w:left w:w="108" w:type="dxa"/>
              <w:right w:w="108" w:type="dxa"/>
            </w:tcMar>
            <w:vAlign w:val="center"/>
          </w:tcPr>
          <w:p w14:paraId="4FCE1A2B"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30CED55D" w14:textId="77777777" w:rsidR="00327FF1" w:rsidRDefault="00E406C7">
            <w:pPr>
              <w:pStyle w:val="P68B1DB1-Normal121"/>
              <w:spacing w:after="0" w:line="240" w:lineRule="auto"/>
              <w:rPr>
                <w:noProof/>
              </w:rPr>
            </w:pPr>
            <w:r>
              <w:rPr>
                <w:noProof/>
              </w:rPr>
              <w:t>Kiberdrošības skrīninga un sertifikācijas laboratoriju tīkla izveide</w:t>
            </w:r>
          </w:p>
        </w:tc>
      </w:tr>
      <w:tr w:rsidR="00327FF1" w14:paraId="3F1CDA0B" w14:textId="77777777">
        <w:trPr>
          <w:trHeight w:val="300"/>
        </w:trPr>
        <w:tc>
          <w:tcPr>
            <w:tcW w:w="1395" w:type="dxa"/>
            <w:shd w:val="clear" w:color="auto" w:fill="C6EFCE"/>
            <w:tcMar>
              <w:left w:w="108" w:type="dxa"/>
              <w:right w:w="108" w:type="dxa"/>
            </w:tcMar>
            <w:vAlign w:val="center"/>
          </w:tcPr>
          <w:p w14:paraId="5CCF5FA4" w14:textId="77777777" w:rsidR="00327FF1" w:rsidRDefault="00E406C7">
            <w:pPr>
              <w:pStyle w:val="P68B1DB1-Normal121"/>
              <w:spacing w:after="0" w:line="240" w:lineRule="auto"/>
              <w:jc w:val="center"/>
              <w:rPr>
                <w:noProof/>
              </w:rPr>
            </w:pPr>
            <w:r>
              <w:rPr>
                <w:noProof/>
              </w:rPr>
              <w:t>M1C1–8</w:t>
            </w:r>
          </w:p>
        </w:tc>
        <w:tc>
          <w:tcPr>
            <w:tcW w:w="3541" w:type="dxa"/>
            <w:shd w:val="clear" w:color="auto" w:fill="C6EFCE"/>
            <w:tcMar>
              <w:left w:w="108" w:type="dxa"/>
              <w:right w:w="108" w:type="dxa"/>
            </w:tcMar>
            <w:vAlign w:val="center"/>
          </w:tcPr>
          <w:p w14:paraId="1A950F97" w14:textId="77777777" w:rsidR="00327FF1" w:rsidRDefault="00E406C7">
            <w:pPr>
              <w:pStyle w:val="P68B1DB1-Normal121"/>
              <w:spacing w:after="0" w:line="240" w:lineRule="auto"/>
              <w:rPr>
                <w:noProof/>
              </w:rPr>
            </w:pPr>
            <w:r>
              <w:rPr>
                <w:noProof/>
              </w:rPr>
              <w:t>Investīcija Nr. 1.5: Kiberdrošība</w:t>
            </w:r>
          </w:p>
        </w:tc>
        <w:tc>
          <w:tcPr>
            <w:tcW w:w="1260" w:type="dxa"/>
            <w:shd w:val="clear" w:color="auto" w:fill="C6EFCE"/>
            <w:tcMar>
              <w:left w:w="108" w:type="dxa"/>
              <w:right w:w="108" w:type="dxa"/>
            </w:tcMar>
            <w:vAlign w:val="center"/>
          </w:tcPr>
          <w:p w14:paraId="6383D4BE"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53856267" w14:textId="77777777" w:rsidR="00327FF1" w:rsidRDefault="00E406C7">
            <w:pPr>
              <w:pStyle w:val="P68B1DB1-Normal121"/>
              <w:spacing w:after="0" w:line="240" w:lineRule="auto"/>
              <w:rPr>
                <w:noProof/>
              </w:rPr>
            </w:pPr>
            <w:r>
              <w:rPr>
                <w:noProof/>
              </w:rPr>
              <w:t xml:space="preserve">Centrālās revīzijas nodaļas </w:t>
            </w:r>
            <w:r>
              <w:rPr>
                <w:noProof/>
              </w:rPr>
              <w:t>aktivizēšana PSNC un TID drošības pasākumiem</w:t>
            </w:r>
          </w:p>
        </w:tc>
      </w:tr>
      <w:tr w:rsidR="00327FF1" w14:paraId="71B8AB9C" w14:textId="77777777">
        <w:trPr>
          <w:trHeight w:val="300"/>
        </w:trPr>
        <w:tc>
          <w:tcPr>
            <w:tcW w:w="1395" w:type="dxa"/>
            <w:shd w:val="clear" w:color="auto" w:fill="C6EFCE"/>
            <w:tcMar>
              <w:left w:w="108" w:type="dxa"/>
              <w:right w:w="108" w:type="dxa"/>
            </w:tcMar>
            <w:vAlign w:val="center"/>
          </w:tcPr>
          <w:p w14:paraId="50E59C8E" w14:textId="77777777" w:rsidR="00327FF1" w:rsidRDefault="00E406C7">
            <w:pPr>
              <w:pStyle w:val="P68B1DB1-Normal121"/>
              <w:spacing w:after="0" w:line="240" w:lineRule="auto"/>
              <w:jc w:val="center"/>
              <w:rPr>
                <w:noProof/>
              </w:rPr>
            </w:pPr>
            <w:r>
              <w:rPr>
                <w:noProof/>
              </w:rPr>
              <w:t>M1C1–9</w:t>
            </w:r>
          </w:p>
        </w:tc>
        <w:tc>
          <w:tcPr>
            <w:tcW w:w="3541" w:type="dxa"/>
            <w:shd w:val="clear" w:color="auto" w:fill="C6EFCE"/>
            <w:tcMar>
              <w:left w:w="108" w:type="dxa"/>
              <w:right w:w="108" w:type="dxa"/>
            </w:tcMar>
            <w:vAlign w:val="center"/>
          </w:tcPr>
          <w:p w14:paraId="13B3D525" w14:textId="77777777" w:rsidR="00327FF1" w:rsidRDefault="00E406C7">
            <w:pPr>
              <w:pStyle w:val="P68B1DB1-Normal121"/>
              <w:spacing w:after="0" w:line="240" w:lineRule="auto"/>
              <w:rPr>
                <w:noProof/>
              </w:rPr>
            </w:pPr>
            <w:r>
              <w:rPr>
                <w:noProof/>
              </w:rPr>
              <w:t>Investīcija Nr. 1.5: Kiberdrošība</w:t>
            </w:r>
          </w:p>
        </w:tc>
        <w:tc>
          <w:tcPr>
            <w:tcW w:w="1260" w:type="dxa"/>
            <w:shd w:val="clear" w:color="auto" w:fill="C6EFCE"/>
            <w:tcMar>
              <w:left w:w="108" w:type="dxa"/>
              <w:right w:w="108" w:type="dxa"/>
            </w:tcMar>
            <w:vAlign w:val="center"/>
          </w:tcPr>
          <w:p w14:paraId="7504B2F2" w14:textId="77777777" w:rsidR="00327FF1" w:rsidRDefault="00E406C7">
            <w:pPr>
              <w:pStyle w:val="P68B1DB1-Normal121"/>
              <w:spacing w:after="0" w:line="240" w:lineRule="auto"/>
              <w:jc w:val="center"/>
              <w:rPr>
                <w:noProof/>
              </w:rPr>
            </w:pPr>
            <w:r>
              <w:rPr>
                <w:noProof/>
              </w:rPr>
              <w:t>Mērķa</w:t>
            </w:r>
          </w:p>
        </w:tc>
        <w:tc>
          <w:tcPr>
            <w:tcW w:w="3162" w:type="dxa"/>
            <w:shd w:val="clear" w:color="auto" w:fill="C6EFCE"/>
            <w:tcMar>
              <w:left w:w="108" w:type="dxa"/>
              <w:right w:w="108" w:type="dxa"/>
            </w:tcMar>
            <w:vAlign w:val="center"/>
          </w:tcPr>
          <w:p w14:paraId="5051EB32" w14:textId="77777777" w:rsidR="00327FF1" w:rsidRDefault="00E406C7">
            <w:pPr>
              <w:pStyle w:val="P68B1DB1-Normal121"/>
              <w:spacing w:after="0" w:line="240" w:lineRule="auto"/>
              <w:rPr>
                <w:noProof/>
              </w:rPr>
            </w:pPr>
            <w:r>
              <w:rPr>
                <w:noProof/>
              </w:rPr>
              <w:t>Atbalsts drošības struktūru modernizācijai T1</w:t>
            </w:r>
          </w:p>
        </w:tc>
      </w:tr>
      <w:tr w:rsidR="00327FF1" w14:paraId="7951038E" w14:textId="77777777">
        <w:trPr>
          <w:trHeight w:val="300"/>
        </w:trPr>
        <w:tc>
          <w:tcPr>
            <w:tcW w:w="1395" w:type="dxa"/>
            <w:shd w:val="clear" w:color="auto" w:fill="C6EFCE"/>
            <w:tcMar>
              <w:left w:w="108" w:type="dxa"/>
              <w:right w:w="108" w:type="dxa"/>
            </w:tcMar>
            <w:vAlign w:val="center"/>
          </w:tcPr>
          <w:p w14:paraId="549C86B1" w14:textId="77777777" w:rsidR="00327FF1" w:rsidRDefault="00E406C7">
            <w:pPr>
              <w:pStyle w:val="P68B1DB1-Normal121"/>
              <w:spacing w:after="0" w:line="240" w:lineRule="auto"/>
              <w:jc w:val="center"/>
              <w:rPr>
                <w:noProof/>
              </w:rPr>
            </w:pPr>
            <w:r>
              <w:rPr>
                <w:noProof/>
              </w:rPr>
              <w:t>M1C1–10</w:t>
            </w:r>
          </w:p>
        </w:tc>
        <w:tc>
          <w:tcPr>
            <w:tcW w:w="3541" w:type="dxa"/>
            <w:shd w:val="clear" w:color="auto" w:fill="C6EFCE"/>
            <w:tcMar>
              <w:left w:w="108" w:type="dxa"/>
              <w:right w:w="108" w:type="dxa"/>
            </w:tcMar>
            <w:vAlign w:val="center"/>
          </w:tcPr>
          <w:p w14:paraId="13E81A6E" w14:textId="77777777" w:rsidR="00327FF1" w:rsidRDefault="00E406C7">
            <w:pPr>
              <w:pStyle w:val="P68B1DB1-Normal121"/>
              <w:spacing w:after="0" w:line="240" w:lineRule="auto"/>
              <w:rPr>
                <w:noProof/>
              </w:rPr>
            </w:pPr>
            <w:r>
              <w:rPr>
                <w:noProof/>
              </w:rPr>
              <w:t>Reforma Nr. 1.2. Atbalsts pārveidei</w:t>
            </w:r>
          </w:p>
        </w:tc>
        <w:tc>
          <w:tcPr>
            <w:tcW w:w="1260" w:type="dxa"/>
            <w:shd w:val="clear" w:color="auto" w:fill="C6EFCE"/>
            <w:tcMar>
              <w:left w:w="108" w:type="dxa"/>
              <w:right w:w="108" w:type="dxa"/>
            </w:tcMar>
            <w:vAlign w:val="center"/>
          </w:tcPr>
          <w:p w14:paraId="4A4AB78A"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2F701136" w14:textId="77777777" w:rsidR="00327FF1" w:rsidRDefault="00E406C7">
            <w:pPr>
              <w:pStyle w:val="P68B1DB1-Normal121"/>
              <w:spacing w:after="0" w:line="240" w:lineRule="auto"/>
              <w:rPr>
                <w:noProof/>
              </w:rPr>
            </w:pPr>
            <w:r>
              <w:rPr>
                <w:noProof/>
              </w:rPr>
              <w:t>Pārveides grupas un NewCo izveides stāšanās spēkā</w:t>
            </w:r>
          </w:p>
        </w:tc>
      </w:tr>
      <w:tr w:rsidR="00327FF1" w14:paraId="243D901D" w14:textId="77777777">
        <w:trPr>
          <w:trHeight w:val="300"/>
        </w:trPr>
        <w:tc>
          <w:tcPr>
            <w:tcW w:w="1395" w:type="dxa"/>
            <w:shd w:val="clear" w:color="auto" w:fill="C6EFCE"/>
            <w:tcMar>
              <w:left w:w="108" w:type="dxa"/>
              <w:right w:w="108" w:type="dxa"/>
            </w:tcMar>
            <w:vAlign w:val="center"/>
          </w:tcPr>
          <w:p w14:paraId="34024E9B" w14:textId="77777777" w:rsidR="00327FF1" w:rsidRDefault="00E406C7">
            <w:pPr>
              <w:pStyle w:val="P68B1DB1-Normal121"/>
              <w:spacing w:after="0" w:line="240" w:lineRule="auto"/>
              <w:jc w:val="center"/>
              <w:rPr>
                <w:noProof/>
              </w:rPr>
            </w:pPr>
            <w:r>
              <w:rPr>
                <w:noProof/>
              </w:rPr>
              <w:t>M1C1–34</w:t>
            </w:r>
          </w:p>
        </w:tc>
        <w:tc>
          <w:tcPr>
            <w:tcW w:w="3541" w:type="dxa"/>
            <w:shd w:val="clear" w:color="auto" w:fill="C6EFCE"/>
            <w:tcMar>
              <w:left w:w="108" w:type="dxa"/>
              <w:right w:w="108" w:type="dxa"/>
            </w:tcMar>
            <w:vAlign w:val="center"/>
          </w:tcPr>
          <w:p w14:paraId="578E5910" w14:textId="77777777" w:rsidR="00327FF1" w:rsidRDefault="00E406C7">
            <w:pPr>
              <w:pStyle w:val="P68B1DB1-Normal121"/>
              <w:spacing w:after="0" w:line="240" w:lineRule="auto"/>
              <w:rPr>
                <w:noProof/>
              </w:rPr>
            </w:pPr>
            <w:r>
              <w:rPr>
                <w:noProof/>
              </w:rPr>
              <w:t>Investīciju 1.8: Darbā pieņemšanas procedūras civiltiesu un krimināltiesu tiesas birojam</w:t>
            </w:r>
          </w:p>
        </w:tc>
        <w:tc>
          <w:tcPr>
            <w:tcW w:w="1260" w:type="dxa"/>
            <w:shd w:val="clear" w:color="auto" w:fill="C6EFCE"/>
            <w:tcMar>
              <w:left w:w="108" w:type="dxa"/>
              <w:right w:w="108" w:type="dxa"/>
            </w:tcMar>
            <w:vAlign w:val="center"/>
          </w:tcPr>
          <w:p w14:paraId="0AFBA2F7" w14:textId="77777777" w:rsidR="00327FF1" w:rsidRDefault="00E406C7">
            <w:pPr>
              <w:pStyle w:val="P68B1DB1-Normal121"/>
              <w:spacing w:after="0" w:line="240" w:lineRule="auto"/>
              <w:jc w:val="center"/>
              <w:rPr>
                <w:noProof/>
              </w:rPr>
            </w:pPr>
            <w:r>
              <w:rPr>
                <w:noProof/>
              </w:rPr>
              <w:t>Mērķa</w:t>
            </w:r>
          </w:p>
        </w:tc>
        <w:tc>
          <w:tcPr>
            <w:tcW w:w="3162" w:type="dxa"/>
            <w:shd w:val="clear" w:color="auto" w:fill="C6EFCE"/>
            <w:tcMar>
              <w:left w:w="108" w:type="dxa"/>
              <w:right w:w="108" w:type="dxa"/>
            </w:tcMar>
            <w:vAlign w:val="center"/>
          </w:tcPr>
          <w:p w14:paraId="72A7A3A3" w14:textId="77777777" w:rsidR="00327FF1" w:rsidRDefault="00E406C7">
            <w:pPr>
              <w:pStyle w:val="P68B1DB1-Normal121"/>
              <w:spacing w:after="0" w:line="240" w:lineRule="auto"/>
              <w:rPr>
                <w:noProof/>
              </w:rPr>
            </w:pPr>
            <w:r>
              <w:rPr>
                <w:noProof/>
              </w:rPr>
              <w:t>Civiltiesu un krimināltiesu darbā pieņemšanas procedūru sākšana</w:t>
            </w:r>
          </w:p>
        </w:tc>
      </w:tr>
      <w:tr w:rsidR="00327FF1" w14:paraId="76A4EC6A" w14:textId="77777777">
        <w:trPr>
          <w:trHeight w:val="300"/>
        </w:trPr>
        <w:tc>
          <w:tcPr>
            <w:tcW w:w="1395" w:type="dxa"/>
            <w:shd w:val="clear" w:color="auto" w:fill="C6EFCE"/>
            <w:tcMar>
              <w:left w:w="108" w:type="dxa"/>
              <w:right w:w="108" w:type="dxa"/>
            </w:tcMar>
            <w:vAlign w:val="center"/>
          </w:tcPr>
          <w:p w14:paraId="68CE7197" w14:textId="77777777" w:rsidR="00327FF1" w:rsidRDefault="00E406C7">
            <w:pPr>
              <w:pStyle w:val="P68B1DB1-Normal121"/>
              <w:spacing w:after="0" w:line="240" w:lineRule="auto"/>
              <w:jc w:val="center"/>
              <w:rPr>
                <w:noProof/>
              </w:rPr>
            </w:pPr>
            <w:r>
              <w:rPr>
                <w:noProof/>
              </w:rPr>
              <w:t>M1C1–35</w:t>
            </w:r>
          </w:p>
        </w:tc>
        <w:tc>
          <w:tcPr>
            <w:tcW w:w="3541" w:type="dxa"/>
            <w:shd w:val="clear" w:color="auto" w:fill="C6EFCE"/>
            <w:tcMar>
              <w:left w:w="108" w:type="dxa"/>
              <w:right w:w="108" w:type="dxa"/>
            </w:tcMar>
            <w:vAlign w:val="center"/>
          </w:tcPr>
          <w:p w14:paraId="52E88B84" w14:textId="77777777" w:rsidR="00327FF1" w:rsidRDefault="00E406C7">
            <w:pPr>
              <w:pStyle w:val="P68B1DB1-Normal121"/>
              <w:spacing w:after="0" w:line="240" w:lineRule="auto"/>
              <w:rPr>
                <w:noProof/>
              </w:rPr>
            </w:pPr>
            <w:r>
              <w:rPr>
                <w:noProof/>
              </w:rPr>
              <w:t>Reforma Nr. 1.7: Nodokļu tiesu reforma</w:t>
            </w:r>
          </w:p>
        </w:tc>
        <w:tc>
          <w:tcPr>
            <w:tcW w:w="1260" w:type="dxa"/>
            <w:shd w:val="clear" w:color="auto" w:fill="C6EFCE"/>
            <w:tcMar>
              <w:left w:w="108" w:type="dxa"/>
              <w:right w:w="108" w:type="dxa"/>
            </w:tcMar>
            <w:vAlign w:val="center"/>
          </w:tcPr>
          <w:p w14:paraId="3E3D22BE"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4A6A9A0E" w14:textId="77777777" w:rsidR="00327FF1" w:rsidRDefault="00E406C7">
            <w:pPr>
              <w:pStyle w:val="P68B1DB1-Normal121"/>
              <w:spacing w:after="0" w:line="240" w:lineRule="auto"/>
              <w:rPr>
                <w:noProof/>
              </w:rPr>
            </w:pPr>
            <w:r>
              <w:rPr>
                <w:noProof/>
              </w:rPr>
              <w:t xml:space="preserve">Visaptveroša pirmās un </w:t>
            </w:r>
            <w:r>
              <w:rPr>
                <w:noProof/>
              </w:rPr>
              <w:t>otrās instances nodokļu tiesu reforma</w:t>
            </w:r>
          </w:p>
        </w:tc>
      </w:tr>
      <w:tr w:rsidR="00327FF1" w14:paraId="60C2B376" w14:textId="77777777">
        <w:trPr>
          <w:trHeight w:val="300"/>
        </w:trPr>
        <w:tc>
          <w:tcPr>
            <w:tcW w:w="1395" w:type="dxa"/>
            <w:shd w:val="clear" w:color="auto" w:fill="C6EFCE"/>
            <w:tcMar>
              <w:left w:w="108" w:type="dxa"/>
              <w:right w:w="108" w:type="dxa"/>
            </w:tcMar>
            <w:vAlign w:val="center"/>
          </w:tcPr>
          <w:p w14:paraId="300E9CD7" w14:textId="77777777" w:rsidR="00327FF1" w:rsidRDefault="00E406C7">
            <w:pPr>
              <w:pStyle w:val="P68B1DB1-Normal121"/>
              <w:spacing w:after="0" w:line="240" w:lineRule="auto"/>
              <w:jc w:val="center"/>
              <w:rPr>
                <w:noProof/>
              </w:rPr>
            </w:pPr>
            <w:r>
              <w:rPr>
                <w:noProof/>
              </w:rPr>
              <w:t>M1C1–36</w:t>
            </w:r>
          </w:p>
        </w:tc>
        <w:tc>
          <w:tcPr>
            <w:tcW w:w="3541" w:type="dxa"/>
            <w:shd w:val="clear" w:color="auto" w:fill="C6EFCE"/>
            <w:tcMar>
              <w:left w:w="108" w:type="dxa"/>
              <w:right w:w="108" w:type="dxa"/>
            </w:tcMar>
            <w:vAlign w:val="center"/>
          </w:tcPr>
          <w:p w14:paraId="3BA3A12C" w14:textId="77777777" w:rsidR="00327FF1" w:rsidRDefault="00E406C7">
            <w:pPr>
              <w:pStyle w:val="P68B1DB1-Normal121"/>
              <w:spacing w:after="0" w:line="240" w:lineRule="auto"/>
              <w:rPr>
                <w:noProof/>
              </w:rPr>
            </w:pPr>
            <w:r>
              <w:rPr>
                <w:noProof/>
              </w:rPr>
              <w:t>1.4., 1.5. un 1.6. reforma: Civiltiesību un krimināltiesību reforma un maksātnespējas reforma</w:t>
            </w:r>
          </w:p>
        </w:tc>
        <w:tc>
          <w:tcPr>
            <w:tcW w:w="1260" w:type="dxa"/>
            <w:shd w:val="clear" w:color="auto" w:fill="C6EFCE"/>
            <w:tcMar>
              <w:left w:w="108" w:type="dxa"/>
              <w:right w:w="108" w:type="dxa"/>
            </w:tcMar>
            <w:vAlign w:val="center"/>
          </w:tcPr>
          <w:p w14:paraId="0F6AF040"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148F83DF" w14:textId="77777777" w:rsidR="00327FF1" w:rsidRDefault="00E406C7">
            <w:pPr>
              <w:pStyle w:val="P68B1DB1-Normal121"/>
              <w:spacing w:after="0" w:line="240" w:lineRule="auto"/>
              <w:rPr>
                <w:noProof/>
              </w:rPr>
            </w:pPr>
            <w:r>
              <w:rPr>
                <w:noProof/>
              </w:rPr>
              <w:t>Deleģēto aktu stāšanās spēkā attiecībā uz civiltiesību un krimināltiesību reformām un maksātnespēj</w:t>
            </w:r>
            <w:r>
              <w:rPr>
                <w:noProof/>
              </w:rPr>
              <w:t>as reformu</w:t>
            </w:r>
          </w:p>
        </w:tc>
      </w:tr>
      <w:tr w:rsidR="00327FF1" w14:paraId="6412B740" w14:textId="77777777">
        <w:trPr>
          <w:trHeight w:val="300"/>
        </w:trPr>
        <w:tc>
          <w:tcPr>
            <w:tcW w:w="1395" w:type="dxa"/>
            <w:shd w:val="clear" w:color="auto" w:fill="C6EFCE"/>
            <w:tcMar>
              <w:left w:w="108" w:type="dxa"/>
              <w:right w:w="108" w:type="dxa"/>
            </w:tcMar>
            <w:vAlign w:val="center"/>
          </w:tcPr>
          <w:p w14:paraId="286BB193" w14:textId="77777777" w:rsidR="00327FF1" w:rsidRDefault="00E406C7">
            <w:pPr>
              <w:pStyle w:val="P68B1DB1-Normal121"/>
              <w:spacing w:after="0" w:line="240" w:lineRule="auto"/>
              <w:jc w:val="center"/>
              <w:rPr>
                <w:noProof/>
              </w:rPr>
            </w:pPr>
            <w:r>
              <w:rPr>
                <w:noProof/>
              </w:rPr>
              <w:t>M1C1–57</w:t>
            </w:r>
          </w:p>
        </w:tc>
        <w:tc>
          <w:tcPr>
            <w:tcW w:w="3541" w:type="dxa"/>
            <w:shd w:val="clear" w:color="auto" w:fill="C6EFCE"/>
            <w:tcMar>
              <w:left w:w="108" w:type="dxa"/>
              <w:right w:w="108" w:type="dxa"/>
            </w:tcMar>
            <w:vAlign w:val="center"/>
          </w:tcPr>
          <w:p w14:paraId="468829F8" w14:textId="77777777" w:rsidR="00327FF1" w:rsidRDefault="00E406C7">
            <w:pPr>
              <w:pStyle w:val="P68B1DB1-Normal121"/>
              <w:spacing w:after="0" w:line="240" w:lineRule="auto"/>
              <w:rPr>
                <w:noProof/>
              </w:rPr>
            </w:pPr>
            <w:r>
              <w:rPr>
                <w:noProof/>
              </w:rPr>
              <w:t>Reforma Nr. 1.9: Valsts pārvaldes reforma</w:t>
            </w:r>
          </w:p>
        </w:tc>
        <w:tc>
          <w:tcPr>
            <w:tcW w:w="1260" w:type="dxa"/>
            <w:shd w:val="clear" w:color="auto" w:fill="C6EFCE"/>
            <w:tcMar>
              <w:left w:w="108" w:type="dxa"/>
              <w:right w:w="108" w:type="dxa"/>
            </w:tcMar>
            <w:vAlign w:val="center"/>
          </w:tcPr>
          <w:p w14:paraId="70BEF990"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69790DC9" w14:textId="77777777" w:rsidR="00327FF1" w:rsidRDefault="00E406C7">
            <w:pPr>
              <w:pStyle w:val="P68B1DB1-Normal121"/>
              <w:spacing w:after="0" w:line="240" w:lineRule="auto"/>
              <w:rPr>
                <w:noProof/>
              </w:rPr>
            </w:pPr>
            <w:r>
              <w:rPr>
                <w:noProof/>
              </w:rPr>
              <w:t>Administratīvo procedūru stāšanās spēkā attiecībā uz vienkāršošanas reformu, kuras mērķis ir ANM īstenošana</w:t>
            </w:r>
          </w:p>
        </w:tc>
      </w:tr>
      <w:tr w:rsidR="00327FF1" w14:paraId="5992FEF0" w14:textId="77777777">
        <w:trPr>
          <w:trHeight w:val="300"/>
        </w:trPr>
        <w:tc>
          <w:tcPr>
            <w:tcW w:w="1395" w:type="dxa"/>
            <w:shd w:val="clear" w:color="auto" w:fill="C6EFCE"/>
            <w:tcMar>
              <w:left w:w="108" w:type="dxa"/>
              <w:right w:w="108" w:type="dxa"/>
            </w:tcMar>
            <w:vAlign w:val="center"/>
          </w:tcPr>
          <w:p w14:paraId="3D0D0D48" w14:textId="77777777" w:rsidR="00327FF1" w:rsidRDefault="00E406C7">
            <w:pPr>
              <w:pStyle w:val="P68B1DB1-Normal121"/>
              <w:spacing w:after="0" w:line="240" w:lineRule="auto"/>
              <w:jc w:val="center"/>
              <w:rPr>
                <w:noProof/>
              </w:rPr>
            </w:pPr>
            <w:r>
              <w:rPr>
                <w:noProof/>
              </w:rPr>
              <w:t>M1C1–102</w:t>
            </w:r>
          </w:p>
        </w:tc>
        <w:tc>
          <w:tcPr>
            <w:tcW w:w="3541" w:type="dxa"/>
            <w:shd w:val="clear" w:color="auto" w:fill="C6EFCE"/>
            <w:tcMar>
              <w:left w:w="108" w:type="dxa"/>
              <w:right w:w="108" w:type="dxa"/>
            </w:tcMar>
            <w:vAlign w:val="center"/>
          </w:tcPr>
          <w:p w14:paraId="38C366BD" w14:textId="77777777" w:rsidR="00327FF1" w:rsidRDefault="00E406C7">
            <w:pPr>
              <w:pStyle w:val="P68B1DB1-Normal121"/>
              <w:spacing w:after="0" w:line="240" w:lineRule="auto"/>
              <w:rPr>
                <w:noProof/>
              </w:rPr>
            </w:pPr>
            <w:r>
              <w:rPr>
                <w:noProof/>
              </w:rPr>
              <w:t>Reforma Nr. 1.13. Izdevumu pārskatīšanas sistēmas reforma</w:t>
            </w:r>
          </w:p>
        </w:tc>
        <w:tc>
          <w:tcPr>
            <w:tcW w:w="1260" w:type="dxa"/>
            <w:shd w:val="clear" w:color="auto" w:fill="C6EFCE"/>
            <w:tcMar>
              <w:left w:w="108" w:type="dxa"/>
              <w:right w:w="108" w:type="dxa"/>
            </w:tcMar>
            <w:vAlign w:val="center"/>
          </w:tcPr>
          <w:p w14:paraId="3B49237F"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7FE399DF" w14:textId="77777777" w:rsidR="00327FF1" w:rsidRDefault="00E406C7">
            <w:pPr>
              <w:pStyle w:val="P68B1DB1-Normal121"/>
              <w:spacing w:after="0" w:line="240" w:lineRule="auto"/>
              <w:rPr>
                <w:noProof/>
              </w:rPr>
            </w:pPr>
            <w:r>
              <w:rPr>
                <w:noProof/>
              </w:rPr>
              <w:t>Ziņojuma pieņemšana par to, cik efektīva ir prakse, ko izvēlētas publiskās pārvaldes iestādes izmanto uzkrājumu plānu formulēšanā un īstenošanā</w:t>
            </w:r>
          </w:p>
        </w:tc>
      </w:tr>
      <w:tr w:rsidR="00327FF1" w14:paraId="76019D08" w14:textId="77777777">
        <w:trPr>
          <w:trHeight w:val="300"/>
        </w:trPr>
        <w:tc>
          <w:tcPr>
            <w:tcW w:w="1395" w:type="dxa"/>
            <w:shd w:val="clear" w:color="auto" w:fill="C6EFCE"/>
            <w:tcMar>
              <w:left w:w="108" w:type="dxa"/>
              <w:right w:w="108" w:type="dxa"/>
            </w:tcMar>
            <w:vAlign w:val="center"/>
          </w:tcPr>
          <w:p w14:paraId="774B31FF" w14:textId="77777777" w:rsidR="00327FF1" w:rsidRDefault="00E406C7">
            <w:pPr>
              <w:pStyle w:val="P68B1DB1-Normal121"/>
              <w:spacing w:after="0" w:line="240" w:lineRule="auto"/>
              <w:jc w:val="center"/>
              <w:rPr>
                <w:noProof/>
              </w:rPr>
            </w:pPr>
            <w:r>
              <w:rPr>
                <w:noProof/>
              </w:rPr>
              <w:t>M1C1–105</w:t>
            </w:r>
          </w:p>
        </w:tc>
        <w:tc>
          <w:tcPr>
            <w:tcW w:w="3541" w:type="dxa"/>
            <w:shd w:val="clear" w:color="auto" w:fill="C6EFCE"/>
            <w:tcMar>
              <w:left w:w="108" w:type="dxa"/>
              <w:right w:w="108" w:type="dxa"/>
            </w:tcMar>
            <w:vAlign w:val="center"/>
          </w:tcPr>
          <w:p w14:paraId="1ACA0AA9" w14:textId="77777777" w:rsidR="00327FF1" w:rsidRDefault="00E406C7">
            <w:pPr>
              <w:pStyle w:val="P68B1DB1-Normal121"/>
              <w:spacing w:after="0" w:line="240" w:lineRule="auto"/>
              <w:rPr>
                <w:noProof/>
              </w:rPr>
            </w:pPr>
            <w:r>
              <w:rPr>
                <w:noProof/>
              </w:rPr>
              <w:t>Reforma Nr. 1.12: Nodokļu administrācijas reforma</w:t>
            </w:r>
          </w:p>
        </w:tc>
        <w:tc>
          <w:tcPr>
            <w:tcW w:w="1260" w:type="dxa"/>
            <w:shd w:val="clear" w:color="auto" w:fill="C6EFCE"/>
            <w:tcMar>
              <w:left w:w="108" w:type="dxa"/>
              <w:right w:w="108" w:type="dxa"/>
            </w:tcMar>
            <w:vAlign w:val="center"/>
          </w:tcPr>
          <w:p w14:paraId="5407B528" w14:textId="77777777" w:rsidR="00327FF1" w:rsidRDefault="00E406C7">
            <w:pPr>
              <w:pStyle w:val="P68B1DB1-Normal121"/>
              <w:spacing w:after="0" w:line="240" w:lineRule="auto"/>
              <w:jc w:val="center"/>
              <w:rPr>
                <w:noProof/>
              </w:rPr>
            </w:pPr>
            <w:r>
              <w:rPr>
                <w:noProof/>
              </w:rPr>
              <w:t>Mērķa</w:t>
            </w:r>
          </w:p>
        </w:tc>
        <w:tc>
          <w:tcPr>
            <w:tcW w:w="3162" w:type="dxa"/>
            <w:shd w:val="clear" w:color="auto" w:fill="C6EFCE"/>
            <w:tcMar>
              <w:left w:w="108" w:type="dxa"/>
              <w:right w:w="108" w:type="dxa"/>
            </w:tcMar>
            <w:vAlign w:val="center"/>
          </w:tcPr>
          <w:p w14:paraId="46BDAF79" w14:textId="77777777" w:rsidR="00327FF1" w:rsidRDefault="00E406C7">
            <w:pPr>
              <w:pStyle w:val="P68B1DB1-Normal121"/>
              <w:spacing w:after="0" w:line="240" w:lineRule="auto"/>
              <w:rPr>
                <w:noProof/>
              </w:rPr>
            </w:pPr>
            <w:r>
              <w:rPr>
                <w:noProof/>
              </w:rPr>
              <w:t>Lielāks “atbilstības vēstuļu”</w:t>
            </w:r>
            <w:r>
              <w:rPr>
                <w:noProof/>
              </w:rPr>
              <w:t xml:space="preserve"> skaits</w:t>
            </w:r>
          </w:p>
        </w:tc>
      </w:tr>
      <w:tr w:rsidR="00327FF1" w14:paraId="5838B717" w14:textId="77777777">
        <w:trPr>
          <w:trHeight w:val="300"/>
        </w:trPr>
        <w:tc>
          <w:tcPr>
            <w:tcW w:w="1395" w:type="dxa"/>
            <w:shd w:val="clear" w:color="auto" w:fill="C6EFCE"/>
            <w:tcMar>
              <w:left w:w="108" w:type="dxa"/>
              <w:right w:w="108" w:type="dxa"/>
            </w:tcMar>
            <w:vAlign w:val="center"/>
          </w:tcPr>
          <w:p w14:paraId="36F22136" w14:textId="77777777" w:rsidR="00327FF1" w:rsidRDefault="00E406C7">
            <w:pPr>
              <w:pStyle w:val="P68B1DB1-Normal121"/>
              <w:spacing w:after="0" w:line="240" w:lineRule="auto"/>
              <w:jc w:val="center"/>
              <w:rPr>
                <w:noProof/>
              </w:rPr>
            </w:pPr>
            <w:r>
              <w:rPr>
                <w:noProof/>
              </w:rPr>
              <w:t>M1C1–106</w:t>
            </w:r>
          </w:p>
        </w:tc>
        <w:tc>
          <w:tcPr>
            <w:tcW w:w="3541" w:type="dxa"/>
            <w:shd w:val="clear" w:color="auto" w:fill="C6EFCE"/>
            <w:tcMar>
              <w:left w:w="108" w:type="dxa"/>
              <w:right w:w="108" w:type="dxa"/>
            </w:tcMar>
            <w:vAlign w:val="center"/>
          </w:tcPr>
          <w:p w14:paraId="01F0DE47" w14:textId="77777777" w:rsidR="00327FF1" w:rsidRDefault="00E406C7">
            <w:pPr>
              <w:pStyle w:val="P68B1DB1-Normal121"/>
              <w:spacing w:after="0" w:line="240" w:lineRule="auto"/>
              <w:rPr>
                <w:noProof/>
              </w:rPr>
            </w:pPr>
            <w:r>
              <w:rPr>
                <w:noProof/>
              </w:rPr>
              <w:t>Reforma Nr. 1.12: Nodokļu administrācijas reforma</w:t>
            </w:r>
          </w:p>
        </w:tc>
        <w:tc>
          <w:tcPr>
            <w:tcW w:w="1260" w:type="dxa"/>
            <w:shd w:val="clear" w:color="auto" w:fill="C6EFCE"/>
            <w:tcMar>
              <w:left w:w="108" w:type="dxa"/>
              <w:right w:w="108" w:type="dxa"/>
            </w:tcMar>
            <w:vAlign w:val="center"/>
          </w:tcPr>
          <w:p w14:paraId="108BEC1D" w14:textId="77777777" w:rsidR="00327FF1" w:rsidRDefault="00E406C7">
            <w:pPr>
              <w:pStyle w:val="P68B1DB1-Normal121"/>
              <w:spacing w:after="0" w:line="240" w:lineRule="auto"/>
              <w:jc w:val="center"/>
              <w:rPr>
                <w:noProof/>
              </w:rPr>
            </w:pPr>
            <w:r>
              <w:rPr>
                <w:noProof/>
              </w:rPr>
              <w:t>Mērķa</w:t>
            </w:r>
          </w:p>
        </w:tc>
        <w:tc>
          <w:tcPr>
            <w:tcW w:w="3162" w:type="dxa"/>
            <w:shd w:val="clear" w:color="auto" w:fill="C6EFCE"/>
            <w:tcMar>
              <w:left w:w="108" w:type="dxa"/>
              <w:right w:w="108" w:type="dxa"/>
            </w:tcMar>
            <w:vAlign w:val="center"/>
          </w:tcPr>
          <w:p w14:paraId="62EDCF5B" w14:textId="77777777" w:rsidR="00327FF1" w:rsidRDefault="00E406C7">
            <w:pPr>
              <w:pStyle w:val="P68B1DB1-Normal121"/>
              <w:spacing w:after="0" w:line="240" w:lineRule="auto"/>
              <w:rPr>
                <w:noProof/>
              </w:rPr>
            </w:pPr>
            <w:r>
              <w:rPr>
                <w:noProof/>
              </w:rPr>
              <w:t>Kļūdaini pozitīvu “atbilstības vēstuļu” skaita samazināšana</w:t>
            </w:r>
          </w:p>
        </w:tc>
      </w:tr>
      <w:tr w:rsidR="00327FF1" w14:paraId="45B0CBF4" w14:textId="77777777">
        <w:trPr>
          <w:trHeight w:val="300"/>
        </w:trPr>
        <w:tc>
          <w:tcPr>
            <w:tcW w:w="1395" w:type="dxa"/>
            <w:shd w:val="clear" w:color="auto" w:fill="C6EFCE"/>
            <w:tcMar>
              <w:left w:w="108" w:type="dxa"/>
              <w:right w:w="108" w:type="dxa"/>
            </w:tcMar>
            <w:vAlign w:val="center"/>
          </w:tcPr>
          <w:p w14:paraId="12D4CFD0" w14:textId="77777777" w:rsidR="00327FF1" w:rsidRDefault="00E406C7">
            <w:pPr>
              <w:pStyle w:val="P68B1DB1-Normal121"/>
              <w:spacing w:after="0" w:line="240" w:lineRule="auto"/>
              <w:jc w:val="center"/>
              <w:rPr>
                <w:noProof/>
              </w:rPr>
            </w:pPr>
            <w:r>
              <w:rPr>
                <w:noProof/>
              </w:rPr>
              <w:t>M1C1–107</w:t>
            </w:r>
          </w:p>
        </w:tc>
        <w:tc>
          <w:tcPr>
            <w:tcW w:w="3541" w:type="dxa"/>
            <w:shd w:val="clear" w:color="auto" w:fill="C6EFCE"/>
            <w:tcMar>
              <w:left w:w="108" w:type="dxa"/>
              <w:right w:w="108" w:type="dxa"/>
            </w:tcMar>
            <w:vAlign w:val="center"/>
          </w:tcPr>
          <w:p w14:paraId="09352BF8" w14:textId="77777777" w:rsidR="00327FF1" w:rsidRDefault="00E406C7">
            <w:pPr>
              <w:pStyle w:val="P68B1DB1-Normal121"/>
              <w:spacing w:after="0" w:line="240" w:lineRule="auto"/>
              <w:rPr>
                <w:noProof/>
              </w:rPr>
            </w:pPr>
            <w:r>
              <w:rPr>
                <w:noProof/>
              </w:rPr>
              <w:t>Reforma Nr. 1.12: Nodokļu administrācijas reforma</w:t>
            </w:r>
          </w:p>
        </w:tc>
        <w:tc>
          <w:tcPr>
            <w:tcW w:w="1260" w:type="dxa"/>
            <w:shd w:val="clear" w:color="auto" w:fill="C6EFCE"/>
            <w:tcMar>
              <w:left w:w="108" w:type="dxa"/>
              <w:right w:w="108" w:type="dxa"/>
            </w:tcMar>
            <w:vAlign w:val="center"/>
          </w:tcPr>
          <w:p w14:paraId="57E46E8F" w14:textId="77777777" w:rsidR="00327FF1" w:rsidRDefault="00E406C7">
            <w:pPr>
              <w:pStyle w:val="P68B1DB1-Normal121"/>
              <w:spacing w:after="0" w:line="240" w:lineRule="auto"/>
              <w:jc w:val="center"/>
              <w:rPr>
                <w:noProof/>
              </w:rPr>
            </w:pPr>
            <w:r>
              <w:rPr>
                <w:noProof/>
              </w:rPr>
              <w:t>Mērķa</w:t>
            </w:r>
          </w:p>
        </w:tc>
        <w:tc>
          <w:tcPr>
            <w:tcW w:w="3162" w:type="dxa"/>
            <w:shd w:val="clear" w:color="auto" w:fill="C6EFCE"/>
            <w:tcMar>
              <w:left w:w="108" w:type="dxa"/>
              <w:right w:w="108" w:type="dxa"/>
            </w:tcMar>
            <w:vAlign w:val="center"/>
          </w:tcPr>
          <w:p w14:paraId="717236E4" w14:textId="77777777" w:rsidR="00327FF1" w:rsidRDefault="00E406C7">
            <w:pPr>
              <w:pStyle w:val="P68B1DB1-Normal121"/>
              <w:spacing w:after="0" w:line="240" w:lineRule="auto"/>
              <w:rPr>
                <w:noProof/>
              </w:rPr>
            </w:pPr>
            <w:r>
              <w:rPr>
                <w:noProof/>
              </w:rPr>
              <w:t>“Atbilstības vēstuļu” radīto nodokļu ieņēmumu pieaugums</w:t>
            </w:r>
          </w:p>
        </w:tc>
      </w:tr>
      <w:tr w:rsidR="00327FF1" w14:paraId="75EDD17F" w14:textId="77777777">
        <w:trPr>
          <w:trHeight w:val="300"/>
        </w:trPr>
        <w:tc>
          <w:tcPr>
            <w:tcW w:w="1395" w:type="dxa"/>
            <w:shd w:val="clear" w:color="auto" w:fill="C6EFCE"/>
            <w:tcMar>
              <w:left w:w="108" w:type="dxa"/>
              <w:right w:w="108" w:type="dxa"/>
            </w:tcMar>
            <w:vAlign w:val="center"/>
          </w:tcPr>
          <w:p w14:paraId="2A8D24B0" w14:textId="77777777" w:rsidR="00327FF1" w:rsidRDefault="00E406C7">
            <w:pPr>
              <w:pStyle w:val="P68B1DB1-Normal121"/>
              <w:spacing w:after="0" w:line="240" w:lineRule="auto"/>
              <w:jc w:val="center"/>
              <w:rPr>
                <w:noProof/>
              </w:rPr>
            </w:pPr>
            <w:r>
              <w:rPr>
                <w:noProof/>
              </w:rPr>
              <w:t>M1C2–6</w:t>
            </w:r>
          </w:p>
        </w:tc>
        <w:tc>
          <w:tcPr>
            <w:tcW w:w="3541" w:type="dxa"/>
            <w:shd w:val="clear" w:color="auto" w:fill="C6EFCE"/>
            <w:tcMar>
              <w:left w:w="108" w:type="dxa"/>
              <w:right w:w="108" w:type="dxa"/>
            </w:tcMar>
            <w:vAlign w:val="center"/>
          </w:tcPr>
          <w:p w14:paraId="03C52DA3" w14:textId="77777777" w:rsidR="00327FF1" w:rsidRDefault="00E406C7">
            <w:pPr>
              <w:pStyle w:val="P68B1DB1-Normal121"/>
              <w:spacing w:after="0" w:line="240" w:lineRule="auto"/>
              <w:rPr>
                <w:noProof/>
              </w:rPr>
            </w:pPr>
            <w:r>
              <w:rPr>
                <w:noProof/>
              </w:rPr>
              <w:t>Reforma. Ikgadējie konkurences tiesību akti</w:t>
            </w:r>
          </w:p>
        </w:tc>
        <w:tc>
          <w:tcPr>
            <w:tcW w:w="1260" w:type="dxa"/>
            <w:shd w:val="clear" w:color="auto" w:fill="C6EFCE"/>
            <w:tcMar>
              <w:left w:w="108" w:type="dxa"/>
              <w:right w:w="108" w:type="dxa"/>
            </w:tcMar>
            <w:vAlign w:val="center"/>
          </w:tcPr>
          <w:p w14:paraId="3E747472"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14A41607" w14:textId="77777777" w:rsidR="00327FF1" w:rsidRDefault="00E406C7">
            <w:pPr>
              <w:pStyle w:val="P68B1DB1-Normal121"/>
              <w:spacing w:after="0" w:line="240" w:lineRule="auto"/>
              <w:rPr>
                <w:noProof/>
              </w:rPr>
            </w:pPr>
            <w:r>
              <w:rPr>
                <w:noProof/>
              </w:rPr>
              <w:t>2021. gada Konkurences likuma stāšanās spēkā</w:t>
            </w:r>
          </w:p>
        </w:tc>
      </w:tr>
      <w:tr w:rsidR="00327FF1" w14:paraId="1CDB1FB7" w14:textId="77777777">
        <w:trPr>
          <w:trHeight w:val="300"/>
        </w:trPr>
        <w:tc>
          <w:tcPr>
            <w:tcW w:w="1395" w:type="dxa"/>
            <w:shd w:val="clear" w:color="auto" w:fill="C6EFCE"/>
            <w:tcMar>
              <w:left w:w="108" w:type="dxa"/>
              <w:right w:w="108" w:type="dxa"/>
            </w:tcMar>
            <w:vAlign w:val="center"/>
          </w:tcPr>
          <w:p w14:paraId="3F8AF5DD" w14:textId="77777777" w:rsidR="00327FF1" w:rsidRDefault="00E406C7">
            <w:pPr>
              <w:pStyle w:val="P68B1DB1-Normal121"/>
              <w:spacing w:after="0" w:line="240" w:lineRule="auto"/>
              <w:jc w:val="center"/>
              <w:rPr>
                <w:noProof/>
              </w:rPr>
            </w:pPr>
            <w:r>
              <w:rPr>
                <w:noProof/>
              </w:rPr>
              <w:t>M1C2–7</w:t>
            </w:r>
          </w:p>
        </w:tc>
        <w:tc>
          <w:tcPr>
            <w:tcW w:w="3541" w:type="dxa"/>
            <w:shd w:val="clear" w:color="auto" w:fill="C6EFCE"/>
            <w:tcMar>
              <w:left w:w="108" w:type="dxa"/>
              <w:right w:w="108" w:type="dxa"/>
            </w:tcMar>
            <w:vAlign w:val="center"/>
          </w:tcPr>
          <w:p w14:paraId="5106FB85" w14:textId="77777777" w:rsidR="00327FF1" w:rsidRDefault="00E406C7">
            <w:pPr>
              <w:pStyle w:val="P68B1DB1-Normal121"/>
              <w:spacing w:after="0" w:line="240" w:lineRule="auto"/>
              <w:rPr>
                <w:noProof/>
              </w:rPr>
            </w:pPr>
            <w:r>
              <w:rPr>
                <w:noProof/>
              </w:rPr>
              <w:t>Reforma. Ikgadējie konkurences tiesību akti</w:t>
            </w:r>
          </w:p>
        </w:tc>
        <w:tc>
          <w:tcPr>
            <w:tcW w:w="1260" w:type="dxa"/>
            <w:shd w:val="clear" w:color="auto" w:fill="C6EFCE"/>
            <w:tcMar>
              <w:left w:w="108" w:type="dxa"/>
              <w:right w:w="108" w:type="dxa"/>
            </w:tcMar>
            <w:vAlign w:val="center"/>
          </w:tcPr>
          <w:p w14:paraId="13EC0E29"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61E80380" w14:textId="77777777" w:rsidR="00327FF1" w:rsidRDefault="00E406C7">
            <w:pPr>
              <w:pStyle w:val="P68B1DB1-Normal121"/>
              <w:spacing w:after="0" w:line="240" w:lineRule="auto"/>
              <w:rPr>
                <w:noProof/>
              </w:rPr>
            </w:pPr>
            <w:r>
              <w:rPr>
                <w:noProof/>
              </w:rPr>
              <w:t xml:space="preserve">Visu ar enerģētiku saistīto īstenošanas pasākumu un sekundāro tiesību </w:t>
            </w:r>
            <w:r>
              <w:rPr>
                <w:noProof/>
              </w:rPr>
              <w:t>aktu stāšanās spēkā (ja nepieciešams)</w:t>
            </w:r>
          </w:p>
        </w:tc>
      </w:tr>
      <w:tr w:rsidR="00327FF1" w14:paraId="4D5D3972" w14:textId="77777777">
        <w:trPr>
          <w:trHeight w:val="300"/>
        </w:trPr>
        <w:tc>
          <w:tcPr>
            <w:tcW w:w="1395" w:type="dxa"/>
            <w:shd w:val="clear" w:color="auto" w:fill="C6EFCE"/>
            <w:tcMar>
              <w:left w:w="108" w:type="dxa"/>
              <w:right w:w="108" w:type="dxa"/>
            </w:tcMar>
            <w:vAlign w:val="center"/>
          </w:tcPr>
          <w:p w14:paraId="1D5C7DA2" w14:textId="77777777" w:rsidR="00327FF1" w:rsidRDefault="00E406C7">
            <w:pPr>
              <w:pStyle w:val="P68B1DB1-Normal121"/>
              <w:spacing w:after="0" w:line="240" w:lineRule="auto"/>
              <w:jc w:val="center"/>
              <w:rPr>
                <w:noProof/>
              </w:rPr>
            </w:pPr>
            <w:r>
              <w:rPr>
                <w:noProof/>
              </w:rPr>
              <w:t>M1C2–8</w:t>
            </w:r>
          </w:p>
        </w:tc>
        <w:tc>
          <w:tcPr>
            <w:tcW w:w="3541" w:type="dxa"/>
            <w:shd w:val="clear" w:color="auto" w:fill="C6EFCE"/>
            <w:tcMar>
              <w:left w:w="108" w:type="dxa"/>
              <w:right w:w="108" w:type="dxa"/>
            </w:tcMar>
            <w:vAlign w:val="center"/>
          </w:tcPr>
          <w:p w14:paraId="004C74A4" w14:textId="77777777" w:rsidR="00327FF1" w:rsidRDefault="00E406C7">
            <w:pPr>
              <w:pStyle w:val="P68B1DB1-Normal121"/>
              <w:spacing w:after="0" w:line="240" w:lineRule="auto"/>
              <w:rPr>
                <w:noProof/>
              </w:rPr>
            </w:pPr>
            <w:r>
              <w:rPr>
                <w:noProof/>
              </w:rPr>
              <w:t>Reforma. Ikgadējie konkurences tiesību akti</w:t>
            </w:r>
          </w:p>
        </w:tc>
        <w:tc>
          <w:tcPr>
            <w:tcW w:w="1260" w:type="dxa"/>
            <w:shd w:val="clear" w:color="auto" w:fill="C6EFCE"/>
            <w:tcMar>
              <w:left w:w="108" w:type="dxa"/>
              <w:right w:w="108" w:type="dxa"/>
            </w:tcMar>
            <w:vAlign w:val="center"/>
          </w:tcPr>
          <w:p w14:paraId="10236151"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38591A93" w14:textId="77777777" w:rsidR="00327FF1" w:rsidRDefault="00E406C7">
            <w:pPr>
              <w:pStyle w:val="P68B1DB1-Normal121"/>
              <w:spacing w:after="0" w:line="240" w:lineRule="auto"/>
              <w:rPr>
                <w:noProof/>
              </w:rPr>
            </w:pPr>
            <w:r>
              <w:rPr>
                <w:noProof/>
              </w:rPr>
              <w:t>Visu īstenošanas pasākumu (tostarp vajadzības gadījumā sekundāro tiesību aktu) stāšanās spēkā, lai efektīvi īstenotu un piemērotu pasākumus, kas izri</w:t>
            </w:r>
            <w:r>
              <w:rPr>
                <w:noProof/>
              </w:rPr>
              <w:t>et no 2021. gada Konkurences likuma</w:t>
            </w:r>
          </w:p>
        </w:tc>
      </w:tr>
      <w:tr w:rsidR="00327FF1" w14:paraId="7E2C562A" w14:textId="77777777">
        <w:trPr>
          <w:trHeight w:val="300"/>
        </w:trPr>
        <w:tc>
          <w:tcPr>
            <w:tcW w:w="1395" w:type="dxa"/>
            <w:shd w:val="clear" w:color="auto" w:fill="C6EFCE"/>
            <w:tcMar>
              <w:left w:w="108" w:type="dxa"/>
              <w:right w:w="108" w:type="dxa"/>
            </w:tcMar>
            <w:vAlign w:val="center"/>
          </w:tcPr>
          <w:p w14:paraId="0C71B7BD" w14:textId="77777777" w:rsidR="00327FF1" w:rsidRDefault="00E406C7">
            <w:pPr>
              <w:pStyle w:val="P68B1DB1-Normal121"/>
              <w:spacing w:after="0" w:line="240" w:lineRule="auto"/>
              <w:jc w:val="center"/>
              <w:rPr>
                <w:noProof/>
              </w:rPr>
            </w:pPr>
            <w:r>
              <w:rPr>
                <w:noProof/>
              </w:rPr>
              <w:t>M1C3–6</w:t>
            </w:r>
          </w:p>
        </w:tc>
        <w:tc>
          <w:tcPr>
            <w:tcW w:w="3541" w:type="dxa"/>
            <w:shd w:val="clear" w:color="auto" w:fill="C6EFCE"/>
            <w:tcMar>
              <w:left w:w="108" w:type="dxa"/>
              <w:right w:w="108" w:type="dxa"/>
            </w:tcMar>
            <w:vAlign w:val="center"/>
          </w:tcPr>
          <w:p w14:paraId="01A281AA" w14:textId="722B351D" w:rsidR="00327FF1" w:rsidRDefault="00E406C7">
            <w:pPr>
              <w:pStyle w:val="P68B1DB1-Normal121"/>
              <w:spacing w:after="0" w:line="240" w:lineRule="auto"/>
              <w:rPr>
                <w:noProof/>
              </w:rPr>
            </w:pPr>
            <w:r>
              <w:rPr>
                <w:noProof/>
              </w:rPr>
              <w:t>Reforma — 3.1. Minimālie vides kritēriji kultūras pasākumiem</w:t>
            </w:r>
          </w:p>
        </w:tc>
        <w:tc>
          <w:tcPr>
            <w:tcW w:w="1260" w:type="dxa"/>
            <w:shd w:val="clear" w:color="auto" w:fill="C6EFCE"/>
            <w:tcMar>
              <w:left w:w="108" w:type="dxa"/>
              <w:right w:w="108" w:type="dxa"/>
            </w:tcMar>
            <w:vAlign w:val="center"/>
          </w:tcPr>
          <w:p w14:paraId="52550C7B"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23CCAD98" w14:textId="77777777" w:rsidR="00327FF1" w:rsidRDefault="00E406C7">
            <w:pPr>
              <w:pStyle w:val="P68B1DB1-Normal121"/>
              <w:spacing w:after="0" w:line="240" w:lineRule="auto"/>
              <w:rPr>
                <w:noProof/>
              </w:rPr>
            </w:pPr>
            <w:r>
              <w:rPr>
                <w:noProof/>
              </w:rPr>
              <w:t xml:space="preserve">Stājas spēkā dekrēts, ar ko nosaka sociālos un vides kritērijus publiskā iepirkuma konkursos attiecībā uz publiski finansētiem </w:t>
            </w:r>
            <w:r>
              <w:rPr>
                <w:noProof/>
              </w:rPr>
              <w:t>kultūras pasākumiem</w:t>
            </w:r>
          </w:p>
        </w:tc>
      </w:tr>
      <w:tr w:rsidR="00327FF1" w14:paraId="275318E9" w14:textId="77777777">
        <w:trPr>
          <w:trHeight w:val="300"/>
        </w:trPr>
        <w:tc>
          <w:tcPr>
            <w:tcW w:w="1395" w:type="dxa"/>
            <w:shd w:val="clear" w:color="auto" w:fill="C6EFCE"/>
            <w:tcMar>
              <w:left w:w="108" w:type="dxa"/>
              <w:right w:w="108" w:type="dxa"/>
            </w:tcMar>
            <w:vAlign w:val="center"/>
          </w:tcPr>
          <w:p w14:paraId="05F28112" w14:textId="77777777" w:rsidR="00327FF1" w:rsidRDefault="00E406C7">
            <w:pPr>
              <w:pStyle w:val="P68B1DB1-Normal121"/>
              <w:spacing w:after="0" w:line="240" w:lineRule="auto"/>
              <w:jc w:val="center"/>
              <w:rPr>
                <w:noProof/>
              </w:rPr>
            </w:pPr>
            <w:r>
              <w:rPr>
                <w:noProof/>
              </w:rPr>
              <w:t>M2C1–3</w:t>
            </w:r>
          </w:p>
        </w:tc>
        <w:tc>
          <w:tcPr>
            <w:tcW w:w="3541" w:type="dxa"/>
            <w:shd w:val="clear" w:color="auto" w:fill="C6EFCE"/>
            <w:tcMar>
              <w:left w:w="108" w:type="dxa"/>
              <w:right w:w="108" w:type="dxa"/>
            </w:tcMar>
            <w:vAlign w:val="center"/>
          </w:tcPr>
          <w:p w14:paraId="434E5419" w14:textId="77777777" w:rsidR="00327FF1" w:rsidRDefault="00E406C7">
            <w:pPr>
              <w:pStyle w:val="P68B1DB1-Normal121"/>
              <w:spacing w:after="0" w:line="240" w:lineRule="auto"/>
              <w:rPr>
                <w:noProof/>
              </w:rPr>
            </w:pPr>
            <w:r>
              <w:rPr>
                <w:noProof/>
              </w:rPr>
              <w:t>Investīcija 2.1: Loģistikas plāns lauksaimniecības pārtikas, zvejniecības un akvakultūras, mežsaimniecības, puķkopības un stādaudzētavas nozarei</w:t>
            </w:r>
          </w:p>
        </w:tc>
        <w:tc>
          <w:tcPr>
            <w:tcW w:w="1260" w:type="dxa"/>
            <w:shd w:val="clear" w:color="auto" w:fill="C6EFCE"/>
            <w:tcMar>
              <w:left w:w="108" w:type="dxa"/>
              <w:right w:w="108" w:type="dxa"/>
            </w:tcMar>
            <w:vAlign w:val="center"/>
          </w:tcPr>
          <w:p w14:paraId="2EFD24A4"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40736E16" w14:textId="77777777" w:rsidR="00327FF1" w:rsidRDefault="00E406C7">
            <w:pPr>
              <w:pStyle w:val="P68B1DB1-Normal121"/>
              <w:spacing w:after="0" w:line="240" w:lineRule="auto"/>
              <w:rPr>
                <w:noProof/>
              </w:rPr>
            </w:pPr>
            <w:r>
              <w:rPr>
                <w:noProof/>
              </w:rPr>
              <w:t>Galīgā sarindojuma publicēšana saskaņā ar loģistikas stimulu shēmu</w:t>
            </w:r>
          </w:p>
        </w:tc>
      </w:tr>
      <w:tr w:rsidR="00327FF1" w14:paraId="45EEF3D8" w14:textId="77777777">
        <w:trPr>
          <w:trHeight w:val="300"/>
        </w:trPr>
        <w:tc>
          <w:tcPr>
            <w:tcW w:w="1395" w:type="dxa"/>
            <w:shd w:val="clear" w:color="auto" w:fill="C6EFCE"/>
            <w:tcMar>
              <w:left w:w="108" w:type="dxa"/>
              <w:right w:w="108" w:type="dxa"/>
            </w:tcMar>
            <w:vAlign w:val="center"/>
          </w:tcPr>
          <w:p w14:paraId="39EF7118" w14:textId="77777777" w:rsidR="00327FF1" w:rsidRDefault="00E406C7">
            <w:pPr>
              <w:pStyle w:val="P68B1DB1-Normal121"/>
              <w:spacing w:after="0" w:line="240" w:lineRule="auto"/>
              <w:jc w:val="center"/>
              <w:rPr>
                <w:noProof/>
              </w:rPr>
            </w:pPr>
            <w:r>
              <w:rPr>
                <w:noProof/>
              </w:rPr>
              <w:t>M2C1–4</w:t>
            </w:r>
          </w:p>
        </w:tc>
        <w:tc>
          <w:tcPr>
            <w:tcW w:w="3541" w:type="dxa"/>
            <w:shd w:val="clear" w:color="auto" w:fill="C6EFCE"/>
            <w:tcMar>
              <w:left w:w="108" w:type="dxa"/>
              <w:right w:w="108" w:type="dxa"/>
            </w:tcMar>
            <w:vAlign w:val="center"/>
          </w:tcPr>
          <w:p w14:paraId="31D28661" w14:textId="77777777" w:rsidR="00327FF1" w:rsidRDefault="00E406C7">
            <w:pPr>
              <w:pStyle w:val="P68B1DB1-Normal121"/>
              <w:spacing w:after="0" w:line="240" w:lineRule="auto"/>
              <w:rPr>
                <w:noProof/>
              </w:rPr>
            </w:pPr>
            <w:r>
              <w:rPr>
                <w:noProof/>
              </w:rPr>
              <w:t>Ieguldījums 2.2.: Agrosaules parks</w:t>
            </w:r>
          </w:p>
        </w:tc>
        <w:tc>
          <w:tcPr>
            <w:tcW w:w="1260" w:type="dxa"/>
            <w:shd w:val="clear" w:color="auto" w:fill="C6EFCE"/>
            <w:tcMar>
              <w:left w:w="108" w:type="dxa"/>
              <w:right w:w="108" w:type="dxa"/>
            </w:tcMar>
            <w:vAlign w:val="center"/>
          </w:tcPr>
          <w:p w14:paraId="7479F6D9" w14:textId="77777777" w:rsidR="00327FF1" w:rsidRDefault="00E406C7">
            <w:pPr>
              <w:pStyle w:val="P68B1DB1-Normal121"/>
              <w:spacing w:after="0" w:line="240" w:lineRule="auto"/>
              <w:jc w:val="center"/>
              <w:rPr>
                <w:noProof/>
              </w:rPr>
            </w:pPr>
            <w:r>
              <w:rPr>
                <w:noProof/>
              </w:rPr>
              <w:t>Mērķa</w:t>
            </w:r>
          </w:p>
        </w:tc>
        <w:tc>
          <w:tcPr>
            <w:tcW w:w="3162" w:type="dxa"/>
            <w:shd w:val="clear" w:color="auto" w:fill="C6EFCE"/>
            <w:tcMar>
              <w:left w:w="108" w:type="dxa"/>
              <w:right w:w="108" w:type="dxa"/>
            </w:tcMar>
            <w:vAlign w:val="center"/>
          </w:tcPr>
          <w:p w14:paraId="05FFEB35" w14:textId="77777777" w:rsidR="00327FF1" w:rsidRDefault="00E406C7">
            <w:pPr>
              <w:pStyle w:val="P68B1DB1-Normal121"/>
              <w:spacing w:after="0" w:line="240" w:lineRule="auto"/>
              <w:rPr>
                <w:noProof/>
              </w:rPr>
            </w:pPr>
            <w:r>
              <w:rPr>
                <w:noProof/>
              </w:rPr>
              <w:t>Līdzekļu piešķiršana saņēmējiem % no kopējiem finanšu resursiem, kas piešķirti ieguldījumam</w:t>
            </w:r>
          </w:p>
        </w:tc>
      </w:tr>
      <w:tr w:rsidR="00327FF1" w14:paraId="2010BEDA" w14:textId="77777777">
        <w:trPr>
          <w:trHeight w:val="300"/>
        </w:trPr>
        <w:tc>
          <w:tcPr>
            <w:tcW w:w="1395" w:type="dxa"/>
            <w:shd w:val="clear" w:color="auto" w:fill="C6EFCE"/>
            <w:tcMar>
              <w:left w:w="108" w:type="dxa"/>
              <w:right w:w="108" w:type="dxa"/>
            </w:tcMar>
            <w:vAlign w:val="center"/>
          </w:tcPr>
          <w:p w14:paraId="7B0D8A05" w14:textId="77777777" w:rsidR="00327FF1" w:rsidRDefault="00E406C7">
            <w:pPr>
              <w:pStyle w:val="P68B1DB1-Normal121"/>
              <w:spacing w:after="0" w:line="240" w:lineRule="auto"/>
              <w:jc w:val="center"/>
              <w:rPr>
                <w:noProof/>
              </w:rPr>
            </w:pPr>
            <w:r>
              <w:rPr>
                <w:noProof/>
              </w:rPr>
              <w:t>M2C2–8</w:t>
            </w:r>
          </w:p>
        </w:tc>
        <w:tc>
          <w:tcPr>
            <w:tcW w:w="3541" w:type="dxa"/>
            <w:shd w:val="clear" w:color="auto" w:fill="C6EFCE"/>
            <w:tcMar>
              <w:left w:w="108" w:type="dxa"/>
              <w:right w:w="108" w:type="dxa"/>
            </w:tcMar>
            <w:vAlign w:val="center"/>
          </w:tcPr>
          <w:p w14:paraId="5174D8E0" w14:textId="77777777" w:rsidR="00327FF1" w:rsidRDefault="00E406C7">
            <w:pPr>
              <w:pStyle w:val="P68B1DB1-Normal121"/>
              <w:spacing w:after="0" w:line="240" w:lineRule="auto"/>
              <w:rPr>
                <w:noProof/>
              </w:rPr>
            </w:pPr>
            <w:r>
              <w:rPr>
                <w:noProof/>
              </w:rPr>
              <w:t>Investīcija 2.1. Viedo tīklu stiprināšana</w:t>
            </w:r>
          </w:p>
        </w:tc>
        <w:tc>
          <w:tcPr>
            <w:tcW w:w="1260" w:type="dxa"/>
            <w:shd w:val="clear" w:color="auto" w:fill="C6EFCE"/>
            <w:tcMar>
              <w:left w:w="108" w:type="dxa"/>
              <w:right w:w="108" w:type="dxa"/>
            </w:tcMar>
            <w:vAlign w:val="center"/>
          </w:tcPr>
          <w:p w14:paraId="0AB0FB58"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42A71D02" w14:textId="77777777" w:rsidR="00327FF1" w:rsidRDefault="00E406C7">
            <w:pPr>
              <w:pStyle w:val="P68B1DB1-Normal121"/>
              <w:spacing w:after="0" w:line="240" w:lineRule="auto"/>
              <w:rPr>
                <w:noProof/>
              </w:rPr>
            </w:pPr>
            <w:r>
              <w:rPr>
                <w:noProof/>
              </w:rPr>
              <w:t xml:space="preserve">(Visu) publiskā iepirkuma līgumu slēgšanas </w:t>
            </w:r>
            <w:r>
              <w:rPr>
                <w:noProof/>
              </w:rPr>
              <w:t>tiesību piešķiršana tīkla jaudas palielināšanai</w:t>
            </w:r>
          </w:p>
        </w:tc>
      </w:tr>
      <w:tr w:rsidR="00327FF1" w14:paraId="24C84B29" w14:textId="77777777">
        <w:trPr>
          <w:trHeight w:val="300"/>
        </w:trPr>
        <w:tc>
          <w:tcPr>
            <w:tcW w:w="1395" w:type="dxa"/>
            <w:shd w:val="clear" w:color="auto" w:fill="C6EFCE"/>
            <w:tcMar>
              <w:left w:w="108" w:type="dxa"/>
              <w:right w:w="108" w:type="dxa"/>
            </w:tcMar>
            <w:vAlign w:val="center"/>
          </w:tcPr>
          <w:p w14:paraId="3D7684F7" w14:textId="77777777" w:rsidR="00327FF1" w:rsidRDefault="00E406C7">
            <w:pPr>
              <w:pStyle w:val="P68B1DB1-Normal121"/>
              <w:spacing w:after="0" w:line="240" w:lineRule="auto"/>
              <w:jc w:val="center"/>
              <w:rPr>
                <w:noProof/>
              </w:rPr>
            </w:pPr>
            <w:r>
              <w:rPr>
                <w:noProof/>
              </w:rPr>
              <w:t>M2C2–12</w:t>
            </w:r>
          </w:p>
        </w:tc>
        <w:tc>
          <w:tcPr>
            <w:tcW w:w="3541" w:type="dxa"/>
            <w:shd w:val="clear" w:color="auto" w:fill="C6EFCE"/>
            <w:tcMar>
              <w:left w:w="108" w:type="dxa"/>
              <w:right w:w="108" w:type="dxa"/>
            </w:tcMar>
            <w:vAlign w:val="center"/>
          </w:tcPr>
          <w:p w14:paraId="06D7D46C" w14:textId="77777777" w:rsidR="00327FF1" w:rsidRDefault="00E406C7">
            <w:pPr>
              <w:pStyle w:val="P68B1DB1-Normal121"/>
              <w:spacing w:after="0" w:line="240" w:lineRule="auto"/>
              <w:rPr>
                <w:noProof/>
              </w:rPr>
            </w:pPr>
            <w:r>
              <w:rPr>
                <w:noProof/>
              </w:rPr>
              <w:t>Investīcija 2.2. Intervences elektrotīkla noturības palielināšanai</w:t>
            </w:r>
          </w:p>
        </w:tc>
        <w:tc>
          <w:tcPr>
            <w:tcW w:w="1260" w:type="dxa"/>
            <w:shd w:val="clear" w:color="auto" w:fill="C6EFCE"/>
            <w:tcMar>
              <w:left w:w="108" w:type="dxa"/>
              <w:right w:w="108" w:type="dxa"/>
            </w:tcMar>
            <w:vAlign w:val="center"/>
          </w:tcPr>
          <w:p w14:paraId="20FCDACC"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1F629A5B" w14:textId="77777777" w:rsidR="00327FF1" w:rsidRDefault="00E406C7">
            <w:pPr>
              <w:pStyle w:val="P68B1DB1-Normal121"/>
              <w:spacing w:after="0" w:line="240" w:lineRule="auto"/>
              <w:rPr>
                <w:noProof/>
              </w:rPr>
            </w:pPr>
            <w:r>
              <w:rPr>
                <w:noProof/>
              </w:rPr>
              <w:t>Elektroenerģijas sistēmas tīkla noturības palielināšanas projektu piešķiršana</w:t>
            </w:r>
          </w:p>
        </w:tc>
      </w:tr>
      <w:tr w:rsidR="00327FF1" w14:paraId="7C27BD6E" w14:textId="77777777">
        <w:trPr>
          <w:trHeight w:val="300"/>
        </w:trPr>
        <w:tc>
          <w:tcPr>
            <w:tcW w:w="1395" w:type="dxa"/>
            <w:shd w:val="clear" w:color="auto" w:fill="C6EFCE"/>
            <w:tcMar>
              <w:left w:w="108" w:type="dxa"/>
              <w:right w:w="108" w:type="dxa"/>
            </w:tcMar>
            <w:vAlign w:val="center"/>
          </w:tcPr>
          <w:p w14:paraId="32F81CEB" w14:textId="77777777" w:rsidR="00327FF1" w:rsidRDefault="00E406C7">
            <w:pPr>
              <w:pStyle w:val="P68B1DB1-Normal121"/>
              <w:spacing w:after="0" w:line="240" w:lineRule="auto"/>
              <w:jc w:val="center"/>
              <w:rPr>
                <w:noProof/>
              </w:rPr>
            </w:pPr>
            <w:r>
              <w:rPr>
                <w:noProof/>
              </w:rPr>
              <w:t>M3C2–1</w:t>
            </w:r>
          </w:p>
        </w:tc>
        <w:tc>
          <w:tcPr>
            <w:tcW w:w="3541" w:type="dxa"/>
            <w:shd w:val="clear" w:color="auto" w:fill="C6EFCE"/>
            <w:tcMar>
              <w:left w:w="108" w:type="dxa"/>
              <w:right w:w="108" w:type="dxa"/>
            </w:tcMar>
            <w:vAlign w:val="center"/>
          </w:tcPr>
          <w:p w14:paraId="737A1F9C" w14:textId="77777777" w:rsidR="00327FF1" w:rsidRDefault="00E406C7">
            <w:pPr>
              <w:pStyle w:val="P68B1DB1-Normal121"/>
              <w:spacing w:after="0" w:line="240" w:lineRule="auto"/>
              <w:rPr>
                <w:noProof/>
              </w:rPr>
            </w:pPr>
            <w:r>
              <w:rPr>
                <w:noProof/>
              </w:rPr>
              <w:t xml:space="preserve">Reforma. Stratēģiskās plānošanas procesa procedūru vienkāršošana </w:t>
            </w:r>
          </w:p>
        </w:tc>
        <w:tc>
          <w:tcPr>
            <w:tcW w:w="1260" w:type="dxa"/>
            <w:shd w:val="clear" w:color="auto" w:fill="C6EFCE"/>
            <w:tcMar>
              <w:left w:w="108" w:type="dxa"/>
              <w:right w:w="108" w:type="dxa"/>
            </w:tcMar>
            <w:vAlign w:val="center"/>
          </w:tcPr>
          <w:p w14:paraId="2F1BA560"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52A41789" w14:textId="77777777" w:rsidR="00327FF1" w:rsidRDefault="00E406C7">
            <w:pPr>
              <w:pStyle w:val="P68B1DB1-Normal121"/>
              <w:spacing w:after="0" w:line="240" w:lineRule="auto"/>
              <w:rPr>
                <w:noProof/>
              </w:rPr>
            </w:pPr>
            <w:r>
              <w:rPr>
                <w:noProof/>
              </w:rPr>
              <w:t>Stājas spēkā tiesību aktu grozījumi, kas saistīti ar stratēģiskās plānošanas procesa procedūru vienkāršošanu</w:t>
            </w:r>
          </w:p>
        </w:tc>
      </w:tr>
      <w:tr w:rsidR="00327FF1" w14:paraId="6A615199" w14:textId="77777777">
        <w:trPr>
          <w:trHeight w:val="300"/>
        </w:trPr>
        <w:tc>
          <w:tcPr>
            <w:tcW w:w="1395" w:type="dxa"/>
            <w:shd w:val="clear" w:color="auto" w:fill="C6EFCE"/>
            <w:tcMar>
              <w:left w:w="108" w:type="dxa"/>
              <w:right w:w="108" w:type="dxa"/>
            </w:tcMar>
            <w:vAlign w:val="center"/>
          </w:tcPr>
          <w:p w14:paraId="1B9B1CEC" w14:textId="77777777" w:rsidR="00327FF1" w:rsidRDefault="00E406C7">
            <w:pPr>
              <w:pStyle w:val="P68B1DB1-Normal121"/>
              <w:spacing w:after="0" w:line="240" w:lineRule="auto"/>
              <w:jc w:val="center"/>
              <w:rPr>
                <w:noProof/>
              </w:rPr>
            </w:pPr>
            <w:r>
              <w:rPr>
                <w:noProof/>
              </w:rPr>
              <w:t>M3C2–2</w:t>
            </w:r>
          </w:p>
        </w:tc>
        <w:tc>
          <w:tcPr>
            <w:tcW w:w="3541" w:type="dxa"/>
            <w:shd w:val="clear" w:color="auto" w:fill="C6EFCE"/>
            <w:tcMar>
              <w:left w:w="108" w:type="dxa"/>
              <w:right w:w="108" w:type="dxa"/>
            </w:tcMar>
            <w:vAlign w:val="center"/>
          </w:tcPr>
          <w:p w14:paraId="28B15C3B" w14:textId="77777777" w:rsidR="00327FF1" w:rsidRDefault="00E406C7">
            <w:pPr>
              <w:pStyle w:val="P68B1DB1-Normal121"/>
              <w:spacing w:after="0" w:line="240" w:lineRule="auto"/>
              <w:rPr>
                <w:noProof/>
              </w:rPr>
            </w:pPr>
            <w:r>
              <w:rPr>
                <w:noProof/>
              </w:rPr>
              <w:t xml:space="preserve">Reforma. Konkurētspējīga koncesiju piešķiršana Itālijas </w:t>
            </w:r>
            <w:r>
              <w:rPr>
                <w:noProof/>
              </w:rPr>
              <w:t>ostās</w:t>
            </w:r>
          </w:p>
        </w:tc>
        <w:tc>
          <w:tcPr>
            <w:tcW w:w="1260" w:type="dxa"/>
            <w:shd w:val="clear" w:color="auto" w:fill="C6EFCE"/>
            <w:tcMar>
              <w:left w:w="108" w:type="dxa"/>
              <w:right w:w="108" w:type="dxa"/>
            </w:tcMar>
            <w:vAlign w:val="center"/>
          </w:tcPr>
          <w:p w14:paraId="372C1CC0"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3257B902" w14:textId="77777777" w:rsidR="00327FF1" w:rsidRDefault="00E406C7">
            <w:pPr>
              <w:pStyle w:val="P68B1DB1-Normal121"/>
              <w:spacing w:after="0" w:line="240" w:lineRule="auto"/>
              <w:rPr>
                <w:noProof/>
              </w:rPr>
            </w:pPr>
            <w:r>
              <w:rPr>
                <w:noProof/>
              </w:rPr>
              <w:t>Regulas par ostu koncesijām stāšanās spēkā</w:t>
            </w:r>
          </w:p>
        </w:tc>
      </w:tr>
      <w:tr w:rsidR="00327FF1" w14:paraId="492973B0" w14:textId="77777777">
        <w:trPr>
          <w:trHeight w:val="300"/>
        </w:trPr>
        <w:tc>
          <w:tcPr>
            <w:tcW w:w="1395" w:type="dxa"/>
            <w:shd w:val="clear" w:color="auto" w:fill="C6EFCE"/>
            <w:tcMar>
              <w:left w:w="108" w:type="dxa"/>
              <w:right w:w="108" w:type="dxa"/>
            </w:tcMar>
            <w:vAlign w:val="center"/>
          </w:tcPr>
          <w:p w14:paraId="32844C8D" w14:textId="77777777" w:rsidR="00327FF1" w:rsidRDefault="00E406C7">
            <w:pPr>
              <w:pStyle w:val="P68B1DB1-Normal121"/>
              <w:spacing w:after="0" w:line="240" w:lineRule="auto"/>
              <w:jc w:val="center"/>
              <w:rPr>
                <w:noProof/>
              </w:rPr>
            </w:pPr>
            <w:r>
              <w:rPr>
                <w:noProof/>
              </w:rPr>
              <w:t>M3C2–4</w:t>
            </w:r>
          </w:p>
        </w:tc>
        <w:tc>
          <w:tcPr>
            <w:tcW w:w="3541" w:type="dxa"/>
            <w:shd w:val="clear" w:color="auto" w:fill="C6EFCE"/>
            <w:tcMar>
              <w:left w:w="108" w:type="dxa"/>
              <w:right w:w="108" w:type="dxa"/>
            </w:tcMar>
            <w:vAlign w:val="center"/>
          </w:tcPr>
          <w:p w14:paraId="18797B44" w14:textId="77777777" w:rsidR="00327FF1" w:rsidRDefault="00E406C7">
            <w:pPr>
              <w:pStyle w:val="P68B1DB1-Normal121"/>
              <w:spacing w:after="0" w:line="240" w:lineRule="auto"/>
              <w:rPr>
                <w:noProof/>
              </w:rPr>
            </w:pPr>
            <w:r>
              <w:rPr>
                <w:noProof/>
              </w:rPr>
              <w:t>Reforma — Aukstās gludināšanas iekārtu atļauju piešķiršanas procedūru vienkāršošana</w:t>
            </w:r>
          </w:p>
        </w:tc>
        <w:tc>
          <w:tcPr>
            <w:tcW w:w="1260" w:type="dxa"/>
            <w:shd w:val="clear" w:color="auto" w:fill="C6EFCE"/>
            <w:tcMar>
              <w:left w:w="108" w:type="dxa"/>
              <w:right w:w="108" w:type="dxa"/>
            </w:tcMar>
            <w:vAlign w:val="center"/>
          </w:tcPr>
          <w:p w14:paraId="077AA278"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06B78301" w14:textId="77777777" w:rsidR="00327FF1" w:rsidRDefault="00E406C7">
            <w:pPr>
              <w:pStyle w:val="P68B1DB1-Normal121"/>
              <w:spacing w:after="0" w:line="240" w:lineRule="auto"/>
              <w:rPr>
                <w:noProof/>
              </w:rPr>
            </w:pPr>
            <w:r>
              <w:rPr>
                <w:noProof/>
              </w:rPr>
              <w:t xml:space="preserve">Auksto gludināšanas iekārtu atļauju piešķiršanas procedūru vienkāršošanas </w:t>
            </w:r>
            <w:r>
              <w:rPr>
                <w:noProof/>
              </w:rPr>
              <w:t>stāšanās spēkā</w:t>
            </w:r>
          </w:p>
        </w:tc>
      </w:tr>
      <w:tr w:rsidR="00327FF1" w14:paraId="0FE73E7F" w14:textId="77777777">
        <w:trPr>
          <w:trHeight w:val="300"/>
        </w:trPr>
        <w:tc>
          <w:tcPr>
            <w:tcW w:w="1395" w:type="dxa"/>
            <w:shd w:val="clear" w:color="auto" w:fill="C6EFCE"/>
            <w:tcMar>
              <w:left w:w="108" w:type="dxa"/>
              <w:right w:w="108" w:type="dxa"/>
            </w:tcMar>
            <w:vAlign w:val="center"/>
          </w:tcPr>
          <w:p w14:paraId="5647F4DD" w14:textId="77777777" w:rsidR="00327FF1" w:rsidRDefault="00E406C7">
            <w:pPr>
              <w:pStyle w:val="P68B1DB1-Normal121"/>
              <w:spacing w:after="0" w:line="240" w:lineRule="auto"/>
              <w:jc w:val="center"/>
              <w:rPr>
                <w:noProof/>
              </w:rPr>
            </w:pPr>
            <w:r>
              <w:rPr>
                <w:noProof/>
              </w:rPr>
              <w:t>M4C1–5</w:t>
            </w:r>
          </w:p>
        </w:tc>
        <w:tc>
          <w:tcPr>
            <w:tcW w:w="3541" w:type="dxa"/>
            <w:shd w:val="clear" w:color="auto" w:fill="C6EFCE"/>
            <w:tcMar>
              <w:left w:w="108" w:type="dxa"/>
              <w:right w:w="108" w:type="dxa"/>
            </w:tcMar>
            <w:vAlign w:val="center"/>
          </w:tcPr>
          <w:p w14:paraId="21899888" w14:textId="77777777" w:rsidR="00327FF1" w:rsidRDefault="00E406C7">
            <w:pPr>
              <w:pStyle w:val="P68B1DB1-Normal121"/>
              <w:spacing w:after="0" w:line="240" w:lineRule="auto"/>
              <w:rPr>
                <w:noProof/>
              </w:rPr>
            </w:pPr>
            <w:r>
              <w:rPr>
                <w:noProof/>
              </w:rPr>
              <w:t>Reforma Nr. 1.3. Skolu sistēmas reorganizācija; Reforma Nr. 1.2. Terciārās profesionālās izglītības sistēmas (ITS) reforma; Reforma Nr. 1.1: Tehnisko un profesionālo institūtu reforma; Reforma Nr. 1.4. “Orientācijas” sistēmas reforma</w:t>
            </w:r>
          </w:p>
        </w:tc>
        <w:tc>
          <w:tcPr>
            <w:tcW w:w="1260" w:type="dxa"/>
            <w:shd w:val="clear" w:color="auto" w:fill="C6EFCE"/>
            <w:tcMar>
              <w:left w:w="108" w:type="dxa"/>
              <w:right w:w="108" w:type="dxa"/>
            </w:tcMar>
            <w:vAlign w:val="center"/>
          </w:tcPr>
          <w:p w14:paraId="36AD4F81" w14:textId="77777777" w:rsidR="00327FF1" w:rsidRDefault="00E406C7">
            <w:pPr>
              <w:pStyle w:val="P68B1DB1-Normal121"/>
              <w:spacing w:after="0" w:line="240" w:lineRule="auto"/>
              <w:jc w:val="center"/>
              <w:rPr>
                <w:noProof/>
              </w:rPr>
            </w:pPr>
            <w:r>
              <w:rPr>
                <w:noProof/>
              </w:rPr>
              <w:t>Starpposma mērķi</w:t>
            </w:r>
          </w:p>
        </w:tc>
        <w:tc>
          <w:tcPr>
            <w:tcW w:w="3162" w:type="dxa"/>
            <w:shd w:val="clear" w:color="auto" w:fill="C6EFCE"/>
            <w:tcMar>
              <w:left w:w="108" w:type="dxa"/>
              <w:right w:w="108" w:type="dxa"/>
            </w:tcMar>
            <w:vAlign w:val="center"/>
          </w:tcPr>
          <w:p w14:paraId="31CFE740" w14:textId="77777777" w:rsidR="00327FF1" w:rsidRDefault="00E406C7">
            <w:pPr>
              <w:pStyle w:val="P68B1DB1-Normal121"/>
              <w:spacing w:after="0" w:line="240" w:lineRule="auto"/>
              <w:rPr>
                <w:noProof/>
              </w:rPr>
            </w:pPr>
            <w:r>
              <w:rPr>
                <w:noProof/>
              </w:rPr>
              <w:t>Pamatizglītības un vidējās izglītības sistēmas reformu stāšanās spēkā, lai uzlabotu izglītības rezultātus</w:t>
            </w:r>
          </w:p>
        </w:tc>
      </w:tr>
      <w:tr w:rsidR="00327FF1" w14:paraId="3705DE41" w14:textId="77777777">
        <w:trPr>
          <w:trHeight w:val="300"/>
        </w:trPr>
        <w:tc>
          <w:tcPr>
            <w:tcW w:w="1395" w:type="dxa"/>
            <w:shd w:val="clear" w:color="auto" w:fill="C6EFCE"/>
            <w:tcMar>
              <w:left w:w="108" w:type="dxa"/>
              <w:right w:w="108" w:type="dxa"/>
            </w:tcMar>
            <w:vAlign w:val="center"/>
          </w:tcPr>
          <w:p w14:paraId="3555431D" w14:textId="77777777" w:rsidR="00327FF1" w:rsidRDefault="00E406C7">
            <w:pPr>
              <w:pStyle w:val="P68B1DB1-Normal121"/>
              <w:spacing w:after="0" w:line="240" w:lineRule="auto"/>
              <w:jc w:val="center"/>
              <w:rPr>
                <w:noProof/>
              </w:rPr>
            </w:pPr>
            <w:r>
              <w:rPr>
                <w:noProof/>
              </w:rPr>
              <w:t>M4C1–6</w:t>
            </w:r>
          </w:p>
        </w:tc>
        <w:tc>
          <w:tcPr>
            <w:tcW w:w="3541" w:type="dxa"/>
            <w:shd w:val="clear" w:color="auto" w:fill="C6EFCE"/>
            <w:tcMar>
              <w:left w:w="108" w:type="dxa"/>
              <w:right w:w="108" w:type="dxa"/>
            </w:tcMar>
            <w:vAlign w:val="center"/>
          </w:tcPr>
          <w:p w14:paraId="22FC731F" w14:textId="77777777" w:rsidR="00327FF1" w:rsidRDefault="00E406C7">
            <w:pPr>
              <w:pStyle w:val="P68B1DB1-Normal121"/>
              <w:spacing w:after="0" w:line="240" w:lineRule="auto"/>
              <w:rPr>
                <w:noProof/>
              </w:rPr>
            </w:pPr>
            <w:r>
              <w:rPr>
                <w:noProof/>
              </w:rPr>
              <w:t>Reforma Nr. 2.2: Augstākā līmeņa augstākā izglītība un pastāvīga apmācība skolu vadītājiem, skolotājiem, administratīvajam u</w:t>
            </w:r>
            <w:r>
              <w:rPr>
                <w:noProof/>
              </w:rPr>
              <w:t>n tehniskajam personālam</w:t>
            </w:r>
          </w:p>
        </w:tc>
        <w:tc>
          <w:tcPr>
            <w:tcW w:w="1260" w:type="dxa"/>
            <w:shd w:val="clear" w:color="auto" w:fill="C6EFCE"/>
            <w:tcMar>
              <w:left w:w="108" w:type="dxa"/>
              <w:right w:w="108" w:type="dxa"/>
            </w:tcMar>
            <w:vAlign w:val="center"/>
          </w:tcPr>
          <w:p w14:paraId="49D93FF5"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2E776FB9" w14:textId="77777777" w:rsidR="00327FF1" w:rsidRDefault="00E406C7">
            <w:pPr>
              <w:pStyle w:val="P68B1DB1-Normal121"/>
              <w:spacing w:after="0" w:line="240" w:lineRule="auto"/>
              <w:rPr>
                <w:noProof/>
              </w:rPr>
            </w:pPr>
            <w:r>
              <w:rPr>
                <w:noProof/>
              </w:rPr>
              <w:t>Stājas spēkā tiesību akti, kuru mērķis ir izveidot kvalitatīvu mācību sistēmu skolā.</w:t>
            </w:r>
          </w:p>
        </w:tc>
      </w:tr>
      <w:tr w:rsidR="00327FF1" w14:paraId="0FA8D99C" w14:textId="77777777">
        <w:trPr>
          <w:trHeight w:val="300"/>
        </w:trPr>
        <w:tc>
          <w:tcPr>
            <w:tcW w:w="1395" w:type="dxa"/>
            <w:shd w:val="clear" w:color="auto" w:fill="C6EFCE"/>
            <w:tcMar>
              <w:left w:w="108" w:type="dxa"/>
              <w:right w:w="108" w:type="dxa"/>
            </w:tcMar>
            <w:vAlign w:val="center"/>
          </w:tcPr>
          <w:p w14:paraId="772C397A" w14:textId="77777777" w:rsidR="00327FF1" w:rsidRDefault="00E406C7">
            <w:pPr>
              <w:pStyle w:val="P68B1DB1-Normal121"/>
              <w:spacing w:after="0" w:line="240" w:lineRule="auto"/>
              <w:jc w:val="center"/>
              <w:rPr>
                <w:noProof/>
              </w:rPr>
            </w:pPr>
            <w:r>
              <w:rPr>
                <w:noProof/>
              </w:rPr>
              <w:t>M4C2–1</w:t>
            </w:r>
          </w:p>
        </w:tc>
        <w:tc>
          <w:tcPr>
            <w:tcW w:w="3541" w:type="dxa"/>
            <w:shd w:val="clear" w:color="auto" w:fill="C6EFCE"/>
            <w:tcMar>
              <w:left w:w="108" w:type="dxa"/>
              <w:right w:w="108" w:type="dxa"/>
            </w:tcMar>
            <w:vAlign w:val="center"/>
          </w:tcPr>
          <w:p w14:paraId="76A603AA" w14:textId="77777777" w:rsidR="00327FF1" w:rsidRDefault="00E406C7">
            <w:pPr>
              <w:pStyle w:val="P68B1DB1-Normal121"/>
              <w:spacing w:after="0" w:line="240" w:lineRule="auto"/>
              <w:rPr>
                <w:noProof/>
              </w:rPr>
            </w:pPr>
            <w:r>
              <w:rPr>
                <w:noProof/>
              </w:rPr>
              <w:t>Ieguldījums 1.2. Jauno pētnieku iesniegto projektu finansēšana</w:t>
            </w:r>
          </w:p>
        </w:tc>
        <w:tc>
          <w:tcPr>
            <w:tcW w:w="1260" w:type="dxa"/>
            <w:shd w:val="clear" w:color="auto" w:fill="C6EFCE"/>
            <w:tcMar>
              <w:left w:w="108" w:type="dxa"/>
              <w:right w:w="108" w:type="dxa"/>
            </w:tcMar>
            <w:vAlign w:val="center"/>
          </w:tcPr>
          <w:p w14:paraId="59E784D2" w14:textId="77777777" w:rsidR="00327FF1" w:rsidRDefault="00E406C7">
            <w:pPr>
              <w:pStyle w:val="P68B1DB1-Normal121"/>
              <w:spacing w:after="0" w:line="240" w:lineRule="auto"/>
              <w:jc w:val="center"/>
              <w:rPr>
                <w:noProof/>
              </w:rPr>
            </w:pPr>
            <w:r>
              <w:rPr>
                <w:noProof/>
              </w:rPr>
              <w:t>Mērķa</w:t>
            </w:r>
          </w:p>
        </w:tc>
        <w:tc>
          <w:tcPr>
            <w:tcW w:w="3162" w:type="dxa"/>
            <w:shd w:val="clear" w:color="auto" w:fill="C6EFCE"/>
            <w:tcMar>
              <w:left w:w="108" w:type="dxa"/>
              <w:right w:w="108" w:type="dxa"/>
            </w:tcMar>
            <w:vAlign w:val="center"/>
          </w:tcPr>
          <w:p w14:paraId="21DF5411" w14:textId="77777777" w:rsidR="00327FF1" w:rsidRDefault="00E406C7">
            <w:pPr>
              <w:pStyle w:val="P68B1DB1-Normal121"/>
              <w:spacing w:after="0" w:line="240" w:lineRule="auto"/>
              <w:rPr>
                <w:noProof/>
              </w:rPr>
            </w:pPr>
            <w:r>
              <w:rPr>
                <w:noProof/>
              </w:rPr>
              <w:t xml:space="preserve">To studentu skaits, kuriem piešķirta pētniecības </w:t>
            </w:r>
            <w:r>
              <w:rPr>
                <w:noProof/>
              </w:rPr>
              <w:t>stipendija</w:t>
            </w:r>
          </w:p>
        </w:tc>
      </w:tr>
      <w:tr w:rsidR="00327FF1" w14:paraId="0BD44E33" w14:textId="77777777">
        <w:trPr>
          <w:trHeight w:val="300"/>
        </w:trPr>
        <w:tc>
          <w:tcPr>
            <w:tcW w:w="1395" w:type="dxa"/>
            <w:shd w:val="clear" w:color="auto" w:fill="C6EFCE"/>
            <w:tcMar>
              <w:left w:w="108" w:type="dxa"/>
              <w:right w:w="108" w:type="dxa"/>
            </w:tcMar>
            <w:vAlign w:val="center"/>
          </w:tcPr>
          <w:p w14:paraId="5BB0E972" w14:textId="77777777" w:rsidR="00327FF1" w:rsidRDefault="00E406C7">
            <w:pPr>
              <w:pStyle w:val="P68B1DB1-Normal121"/>
              <w:spacing w:after="0" w:line="240" w:lineRule="auto"/>
              <w:jc w:val="center"/>
              <w:rPr>
                <w:noProof/>
              </w:rPr>
            </w:pPr>
            <w:r>
              <w:rPr>
                <w:noProof/>
              </w:rPr>
              <w:t>M5C1–2</w:t>
            </w:r>
          </w:p>
        </w:tc>
        <w:tc>
          <w:tcPr>
            <w:tcW w:w="3541" w:type="dxa"/>
            <w:shd w:val="clear" w:color="auto" w:fill="C6EFCE"/>
            <w:tcMar>
              <w:left w:w="108" w:type="dxa"/>
              <w:right w:w="108" w:type="dxa"/>
            </w:tcMar>
            <w:vAlign w:val="center"/>
          </w:tcPr>
          <w:p w14:paraId="2CF8A7F6" w14:textId="77777777" w:rsidR="00327FF1" w:rsidRDefault="00E406C7">
            <w:pPr>
              <w:pStyle w:val="P68B1DB1-Normal121"/>
              <w:spacing w:after="0" w:line="240" w:lineRule="auto"/>
              <w:rPr>
                <w:noProof/>
              </w:rPr>
            </w:pPr>
            <w:r>
              <w:rPr>
                <w:noProof/>
              </w:rPr>
              <w:t>Reforma Nr. 1 — ADTP un profesionālā apmācība</w:t>
            </w:r>
          </w:p>
        </w:tc>
        <w:tc>
          <w:tcPr>
            <w:tcW w:w="1260" w:type="dxa"/>
            <w:shd w:val="clear" w:color="auto" w:fill="C6EFCE"/>
            <w:tcMar>
              <w:left w:w="108" w:type="dxa"/>
              <w:right w:w="108" w:type="dxa"/>
            </w:tcMar>
            <w:vAlign w:val="center"/>
          </w:tcPr>
          <w:p w14:paraId="5A505145"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564ABA27" w14:textId="77777777" w:rsidR="00327FF1" w:rsidRDefault="00E406C7">
            <w:pPr>
              <w:pStyle w:val="P68B1DB1-Normal121"/>
              <w:spacing w:after="0" w:line="240" w:lineRule="auto"/>
              <w:rPr>
                <w:noProof/>
              </w:rPr>
            </w:pPr>
            <w:r>
              <w:rPr>
                <w:noProof/>
              </w:rPr>
              <w:t xml:space="preserve">Visu valsts nodarbinātības dienestu (VND) plānu stāšanās spēkā reģionālā līmenī  </w:t>
            </w:r>
          </w:p>
        </w:tc>
      </w:tr>
      <w:tr w:rsidR="00327FF1" w14:paraId="52C65806" w14:textId="77777777">
        <w:trPr>
          <w:trHeight w:val="300"/>
        </w:trPr>
        <w:tc>
          <w:tcPr>
            <w:tcW w:w="1395" w:type="dxa"/>
            <w:shd w:val="clear" w:color="auto" w:fill="C6EFCE"/>
            <w:tcMar>
              <w:left w:w="108" w:type="dxa"/>
              <w:right w:w="108" w:type="dxa"/>
            </w:tcMar>
            <w:vAlign w:val="center"/>
          </w:tcPr>
          <w:p w14:paraId="6AC8C0CF" w14:textId="77777777" w:rsidR="00327FF1" w:rsidRDefault="00E406C7">
            <w:pPr>
              <w:pStyle w:val="P68B1DB1-Normal121"/>
              <w:spacing w:after="0" w:line="240" w:lineRule="auto"/>
              <w:jc w:val="center"/>
              <w:rPr>
                <w:noProof/>
              </w:rPr>
            </w:pPr>
            <w:r>
              <w:rPr>
                <w:noProof/>
              </w:rPr>
              <w:t>M5C1–6</w:t>
            </w:r>
          </w:p>
        </w:tc>
        <w:tc>
          <w:tcPr>
            <w:tcW w:w="3541" w:type="dxa"/>
            <w:shd w:val="clear" w:color="auto" w:fill="C6EFCE"/>
            <w:tcMar>
              <w:left w:w="108" w:type="dxa"/>
              <w:right w:w="108" w:type="dxa"/>
            </w:tcMar>
            <w:vAlign w:val="center"/>
          </w:tcPr>
          <w:p w14:paraId="3299AD93" w14:textId="77777777" w:rsidR="00327FF1" w:rsidRDefault="00E406C7">
            <w:pPr>
              <w:pStyle w:val="P68B1DB1-Normal121"/>
              <w:spacing w:after="0" w:line="240" w:lineRule="auto"/>
              <w:rPr>
                <w:noProof/>
              </w:rPr>
            </w:pPr>
            <w:r>
              <w:rPr>
                <w:noProof/>
              </w:rPr>
              <w:t xml:space="preserve">Investīcija Nr. 1 “Valstu nodarbinātības dienestu (VND) stiprināšana” </w:t>
            </w:r>
          </w:p>
        </w:tc>
        <w:tc>
          <w:tcPr>
            <w:tcW w:w="1260" w:type="dxa"/>
            <w:shd w:val="clear" w:color="auto" w:fill="C6EFCE"/>
            <w:tcMar>
              <w:left w:w="108" w:type="dxa"/>
              <w:right w:w="108" w:type="dxa"/>
            </w:tcMar>
            <w:vAlign w:val="center"/>
          </w:tcPr>
          <w:p w14:paraId="4CA4BB4A" w14:textId="77777777" w:rsidR="00327FF1" w:rsidRDefault="00E406C7">
            <w:pPr>
              <w:pStyle w:val="P68B1DB1-Normal121"/>
              <w:spacing w:after="0" w:line="240" w:lineRule="auto"/>
              <w:jc w:val="center"/>
              <w:rPr>
                <w:noProof/>
              </w:rPr>
            </w:pPr>
            <w:r>
              <w:rPr>
                <w:noProof/>
              </w:rPr>
              <w:t>Mērķa</w:t>
            </w:r>
          </w:p>
        </w:tc>
        <w:tc>
          <w:tcPr>
            <w:tcW w:w="3162" w:type="dxa"/>
            <w:shd w:val="clear" w:color="auto" w:fill="C6EFCE"/>
            <w:tcMar>
              <w:left w:w="108" w:type="dxa"/>
              <w:right w:w="108" w:type="dxa"/>
            </w:tcMar>
            <w:vAlign w:val="center"/>
          </w:tcPr>
          <w:p w14:paraId="66B1EC62" w14:textId="77777777" w:rsidR="00327FF1" w:rsidRDefault="00E406C7">
            <w:pPr>
              <w:pStyle w:val="P68B1DB1-Normal121"/>
              <w:spacing w:after="0" w:line="240" w:lineRule="auto"/>
              <w:rPr>
                <w:noProof/>
              </w:rPr>
            </w:pPr>
            <w:r>
              <w:rPr>
                <w:noProof/>
              </w:rPr>
              <w:t xml:space="preserve">Valstu </w:t>
            </w:r>
            <w:r>
              <w:rPr>
                <w:noProof/>
              </w:rPr>
              <w:t>nodarbinātības dienesti (VND) trīs gadu laikposmā no 2021. līdz 2023. gadam īsteno stiprināšanas plānā paredzētās darbības.</w:t>
            </w:r>
          </w:p>
        </w:tc>
      </w:tr>
      <w:tr w:rsidR="00327FF1" w14:paraId="20C80B6B" w14:textId="77777777">
        <w:trPr>
          <w:trHeight w:val="300"/>
        </w:trPr>
        <w:tc>
          <w:tcPr>
            <w:tcW w:w="1395" w:type="dxa"/>
            <w:shd w:val="clear" w:color="auto" w:fill="C6EFCE"/>
            <w:tcMar>
              <w:left w:w="108" w:type="dxa"/>
              <w:right w:w="108" w:type="dxa"/>
            </w:tcMar>
            <w:vAlign w:val="center"/>
          </w:tcPr>
          <w:p w14:paraId="1E2BB1A7" w14:textId="77777777" w:rsidR="00327FF1" w:rsidRDefault="00E406C7">
            <w:pPr>
              <w:pStyle w:val="P68B1DB1-Normal121"/>
              <w:spacing w:after="0" w:line="240" w:lineRule="auto"/>
              <w:jc w:val="center"/>
              <w:rPr>
                <w:noProof/>
              </w:rPr>
            </w:pPr>
            <w:r>
              <w:rPr>
                <w:noProof/>
              </w:rPr>
              <w:t>M5C1–8</w:t>
            </w:r>
          </w:p>
        </w:tc>
        <w:tc>
          <w:tcPr>
            <w:tcW w:w="3541" w:type="dxa"/>
            <w:shd w:val="clear" w:color="auto" w:fill="C6EFCE"/>
            <w:tcMar>
              <w:left w:w="108" w:type="dxa"/>
              <w:right w:w="108" w:type="dxa"/>
            </w:tcMar>
            <w:vAlign w:val="center"/>
          </w:tcPr>
          <w:p w14:paraId="0D4B147C" w14:textId="77777777" w:rsidR="00327FF1" w:rsidRDefault="00E406C7">
            <w:pPr>
              <w:pStyle w:val="P68B1DB1-Normal121"/>
              <w:spacing w:after="0" w:line="240" w:lineRule="auto"/>
              <w:rPr>
                <w:noProof/>
              </w:rPr>
            </w:pPr>
            <w:r>
              <w:rPr>
                <w:noProof/>
              </w:rPr>
              <w:t>Reforma. Nedeklarēts darbs</w:t>
            </w:r>
          </w:p>
        </w:tc>
        <w:tc>
          <w:tcPr>
            <w:tcW w:w="1260" w:type="dxa"/>
            <w:shd w:val="clear" w:color="auto" w:fill="C6EFCE"/>
            <w:tcMar>
              <w:left w:w="108" w:type="dxa"/>
              <w:right w:w="108" w:type="dxa"/>
            </w:tcMar>
            <w:vAlign w:val="center"/>
          </w:tcPr>
          <w:p w14:paraId="145D9119"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64941A76" w14:textId="77777777" w:rsidR="00327FF1" w:rsidRDefault="00E406C7">
            <w:pPr>
              <w:pStyle w:val="P68B1DB1-Normal121"/>
              <w:spacing w:after="0" w:line="240" w:lineRule="auto"/>
              <w:rPr>
                <w:noProof/>
              </w:rPr>
            </w:pPr>
            <w:r>
              <w:rPr>
                <w:noProof/>
              </w:rPr>
              <w:t>Stājas spēkā valsts plāns un tiek īstenots ceļvedis cīņai pret nedeklarētu darbu</w:t>
            </w:r>
            <w:r>
              <w:rPr>
                <w:noProof/>
              </w:rPr>
              <w:t xml:space="preserve"> visās ekonomikas nozarēs.</w:t>
            </w:r>
          </w:p>
        </w:tc>
      </w:tr>
      <w:tr w:rsidR="00327FF1" w14:paraId="7FB642B4" w14:textId="77777777">
        <w:trPr>
          <w:trHeight w:val="300"/>
        </w:trPr>
        <w:tc>
          <w:tcPr>
            <w:tcW w:w="1395" w:type="dxa"/>
            <w:shd w:val="clear" w:color="auto" w:fill="C6EFCE"/>
            <w:tcMar>
              <w:left w:w="108" w:type="dxa"/>
              <w:right w:w="108" w:type="dxa"/>
            </w:tcMar>
            <w:vAlign w:val="center"/>
          </w:tcPr>
          <w:p w14:paraId="356AC696" w14:textId="77777777" w:rsidR="00327FF1" w:rsidRDefault="00E406C7">
            <w:pPr>
              <w:pStyle w:val="P68B1DB1-Normal121"/>
              <w:spacing w:after="0" w:line="240" w:lineRule="auto"/>
              <w:jc w:val="center"/>
              <w:rPr>
                <w:noProof/>
              </w:rPr>
            </w:pPr>
            <w:r>
              <w:rPr>
                <w:noProof/>
              </w:rPr>
              <w:t>M5C1–12</w:t>
            </w:r>
          </w:p>
        </w:tc>
        <w:tc>
          <w:tcPr>
            <w:tcW w:w="3541" w:type="dxa"/>
            <w:shd w:val="clear" w:color="auto" w:fill="C6EFCE"/>
            <w:tcMar>
              <w:left w:w="108" w:type="dxa"/>
              <w:right w:w="108" w:type="dxa"/>
            </w:tcMar>
            <w:vAlign w:val="center"/>
          </w:tcPr>
          <w:p w14:paraId="5C51439B" w14:textId="77777777" w:rsidR="00327FF1" w:rsidRDefault="00E406C7">
            <w:pPr>
              <w:pStyle w:val="P68B1DB1-Normal121"/>
              <w:spacing w:after="0" w:line="240" w:lineRule="auto"/>
              <w:rPr>
                <w:noProof/>
              </w:rPr>
            </w:pPr>
            <w:r>
              <w:rPr>
                <w:noProof/>
              </w:rPr>
              <w:t>Investīcija Nr. 2 — Dzimumu līdztiesības sertifikācijas sistēma</w:t>
            </w:r>
          </w:p>
        </w:tc>
        <w:tc>
          <w:tcPr>
            <w:tcW w:w="1260" w:type="dxa"/>
            <w:shd w:val="clear" w:color="auto" w:fill="C6EFCE"/>
            <w:tcMar>
              <w:left w:w="108" w:type="dxa"/>
              <w:right w:w="108" w:type="dxa"/>
            </w:tcMar>
            <w:vAlign w:val="center"/>
          </w:tcPr>
          <w:p w14:paraId="349B665A"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48B26AC1" w14:textId="77777777" w:rsidR="00327FF1" w:rsidRDefault="00E406C7">
            <w:pPr>
              <w:pStyle w:val="P68B1DB1-Normal121"/>
              <w:spacing w:after="0" w:line="240" w:lineRule="auto"/>
              <w:rPr>
                <w:noProof/>
              </w:rPr>
            </w:pPr>
            <w:r>
              <w:rPr>
                <w:noProof/>
              </w:rPr>
              <w:t xml:space="preserve">Uzņēmumiem paredzētas dzimumu līdztiesības sertifikācijas sistēmas un ar to saistīto stimulu mehānismu stāšanās spēkā </w:t>
            </w:r>
          </w:p>
        </w:tc>
      </w:tr>
      <w:tr w:rsidR="00327FF1" w14:paraId="05DB3631" w14:textId="77777777">
        <w:trPr>
          <w:trHeight w:val="300"/>
        </w:trPr>
        <w:tc>
          <w:tcPr>
            <w:tcW w:w="1395" w:type="dxa"/>
            <w:shd w:val="clear" w:color="auto" w:fill="C6EFCE"/>
            <w:tcMar>
              <w:left w:w="108" w:type="dxa"/>
              <w:right w:w="108" w:type="dxa"/>
            </w:tcMar>
            <w:vAlign w:val="center"/>
          </w:tcPr>
          <w:p w14:paraId="0E29F65E" w14:textId="77777777" w:rsidR="00327FF1" w:rsidRDefault="00E406C7">
            <w:pPr>
              <w:pStyle w:val="P68B1DB1-Normal121"/>
              <w:spacing w:after="0" w:line="240" w:lineRule="auto"/>
              <w:jc w:val="center"/>
              <w:rPr>
                <w:noProof/>
              </w:rPr>
            </w:pPr>
            <w:r>
              <w:rPr>
                <w:noProof/>
              </w:rPr>
              <w:t>M5C2–7</w:t>
            </w:r>
          </w:p>
        </w:tc>
        <w:tc>
          <w:tcPr>
            <w:tcW w:w="3541" w:type="dxa"/>
            <w:shd w:val="clear" w:color="auto" w:fill="C6EFCE"/>
            <w:tcMar>
              <w:left w:w="108" w:type="dxa"/>
              <w:right w:w="108" w:type="dxa"/>
            </w:tcMar>
            <w:vAlign w:val="center"/>
          </w:tcPr>
          <w:p w14:paraId="7ADD3B1A" w14:textId="77777777" w:rsidR="00327FF1" w:rsidRDefault="00E406C7">
            <w:pPr>
              <w:pStyle w:val="P68B1DB1-Normal121"/>
              <w:spacing w:after="0" w:line="240" w:lineRule="auto"/>
              <w:rPr>
                <w:noProof/>
              </w:rPr>
            </w:pPr>
            <w:r>
              <w:rPr>
                <w:noProof/>
              </w:rPr>
              <w:t xml:space="preserve">Investīcija </w:t>
            </w:r>
            <w:r>
              <w:rPr>
                <w:noProof/>
              </w:rPr>
              <w:t>Nr. 2 “Invalīdu autonomijas modeļi”</w:t>
            </w:r>
          </w:p>
        </w:tc>
        <w:tc>
          <w:tcPr>
            <w:tcW w:w="1260" w:type="dxa"/>
            <w:shd w:val="clear" w:color="auto" w:fill="C6EFCE"/>
            <w:tcMar>
              <w:left w:w="108" w:type="dxa"/>
              <w:right w:w="108" w:type="dxa"/>
            </w:tcMar>
            <w:vAlign w:val="center"/>
          </w:tcPr>
          <w:p w14:paraId="1431552D" w14:textId="77777777" w:rsidR="00327FF1" w:rsidRDefault="00E406C7">
            <w:pPr>
              <w:pStyle w:val="P68B1DB1-Normal121"/>
              <w:spacing w:after="0" w:line="240" w:lineRule="auto"/>
              <w:jc w:val="center"/>
              <w:rPr>
                <w:noProof/>
              </w:rPr>
            </w:pPr>
            <w:r>
              <w:rPr>
                <w:noProof/>
              </w:rPr>
              <w:t>Mērķa</w:t>
            </w:r>
          </w:p>
        </w:tc>
        <w:tc>
          <w:tcPr>
            <w:tcW w:w="3162" w:type="dxa"/>
            <w:shd w:val="clear" w:color="auto" w:fill="C6EFCE"/>
            <w:tcMar>
              <w:left w:w="108" w:type="dxa"/>
              <w:right w:w="108" w:type="dxa"/>
            </w:tcMar>
            <w:vAlign w:val="center"/>
          </w:tcPr>
          <w:p w14:paraId="439D5539" w14:textId="77777777" w:rsidR="00327FF1" w:rsidRDefault="00E406C7">
            <w:pPr>
              <w:pStyle w:val="P68B1DB1-Normal121"/>
              <w:spacing w:after="0" w:line="240" w:lineRule="auto"/>
              <w:rPr>
                <w:noProof/>
              </w:rPr>
            </w:pPr>
            <w:r>
              <w:rPr>
                <w:noProof/>
              </w:rPr>
              <w:t>Sociālie rajoni ir īstenojuši vismaz vienu projektu saistībā ar mājas telpu renovāciju un/vai IKT ierīču nodrošināšanu invalīdiem, kā arī apmācību par digitālajām prasmēm.</w:t>
            </w:r>
          </w:p>
        </w:tc>
      </w:tr>
      <w:tr w:rsidR="00327FF1" w14:paraId="27B293CC" w14:textId="77777777">
        <w:trPr>
          <w:trHeight w:val="300"/>
        </w:trPr>
        <w:tc>
          <w:tcPr>
            <w:tcW w:w="1395" w:type="dxa"/>
            <w:shd w:val="clear" w:color="auto" w:fill="C6EFCE"/>
            <w:tcMar>
              <w:left w:w="108" w:type="dxa"/>
              <w:right w:w="108" w:type="dxa"/>
            </w:tcMar>
            <w:vAlign w:val="center"/>
          </w:tcPr>
          <w:p w14:paraId="45BA980B" w14:textId="77777777" w:rsidR="00327FF1" w:rsidRDefault="00E406C7">
            <w:pPr>
              <w:pStyle w:val="P68B1DB1-Normal121"/>
              <w:spacing w:after="0" w:line="240" w:lineRule="auto"/>
              <w:jc w:val="center"/>
              <w:rPr>
                <w:noProof/>
              </w:rPr>
            </w:pPr>
            <w:r>
              <w:rPr>
                <w:noProof/>
              </w:rPr>
              <w:t>M5C3–1</w:t>
            </w:r>
          </w:p>
        </w:tc>
        <w:tc>
          <w:tcPr>
            <w:tcW w:w="3541" w:type="dxa"/>
            <w:shd w:val="clear" w:color="auto" w:fill="C6EFCE"/>
            <w:tcMar>
              <w:left w:w="108" w:type="dxa"/>
              <w:right w:w="108" w:type="dxa"/>
            </w:tcMar>
            <w:vAlign w:val="center"/>
          </w:tcPr>
          <w:p w14:paraId="2267B836" w14:textId="77777777" w:rsidR="00327FF1" w:rsidRDefault="00E406C7">
            <w:pPr>
              <w:pStyle w:val="P68B1DB1-Normal121"/>
              <w:spacing w:after="0" w:line="240" w:lineRule="auto"/>
              <w:rPr>
                <w:noProof/>
              </w:rPr>
            </w:pPr>
            <w:r>
              <w:rPr>
                <w:noProof/>
              </w:rPr>
              <w:t>Investīcija 1.1.1.: Iekšējās jomas</w:t>
            </w:r>
            <w:r>
              <w:rPr>
                <w:noProof/>
              </w:rPr>
              <w:t xml:space="preserve"> — kopienas sociālo pakalpojumu un infrastruktūras uzlabošana</w:t>
            </w:r>
          </w:p>
        </w:tc>
        <w:tc>
          <w:tcPr>
            <w:tcW w:w="1260" w:type="dxa"/>
            <w:shd w:val="clear" w:color="auto" w:fill="C6EFCE"/>
            <w:tcMar>
              <w:left w:w="108" w:type="dxa"/>
              <w:right w:w="108" w:type="dxa"/>
            </w:tcMar>
            <w:vAlign w:val="center"/>
          </w:tcPr>
          <w:p w14:paraId="0012BDC6"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6A06F359" w14:textId="77777777" w:rsidR="00327FF1" w:rsidRDefault="00E406C7">
            <w:pPr>
              <w:pStyle w:val="P68B1DB1-Normal8"/>
              <w:spacing w:after="0" w:line="240" w:lineRule="auto"/>
              <w:rPr>
                <w:noProof/>
              </w:rPr>
            </w:pPr>
            <w:r>
              <w:rPr>
                <w:noProof/>
                <w:color w:val="006100"/>
                <w:sz w:val="20"/>
                <w:szCs w:val="20"/>
              </w:rPr>
              <w:t>Konkursa slēgšanas tiesību piešķiršana</w:t>
            </w:r>
            <w:r>
              <w:rPr>
                <w:noProof/>
                <w:color w:val="006100"/>
                <w:sz w:val="20"/>
                <w:szCs w:val="20"/>
              </w:rPr>
              <w:t xml:space="preserve"> par intervencēm, kuru mērķis ir uzlabot sociālos pakalpojumus un infrastruktūru iekšējās teritorijās, un par atbalstu aptiekām pašvaldībās, kurās ir mazāk nekā 3000</w:t>
            </w:r>
            <w:r>
              <w:rPr>
                <w:noProof/>
                <w:sz w:val="23"/>
                <w:szCs w:val="23"/>
              </w:rPr>
              <w:t xml:space="preserve"> </w:t>
            </w:r>
            <w:r>
              <w:rPr>
                <w:noProof/>
                <w:color w:val="006100"/>
                <w:sz w:val="20"/>
                <w:szCs w:val="20"/>
              </w:rPr>
              <w:t>iedzīvotāju</w:t>
            </w:r>
          </w:p>
        </w:tc>
      </w:tr>
      <w:tr w:rsidR="00327FF1" w14:paraId="17F18C29" w14:textId="77777777">
        <w:trPr>
          <w:trHeight w:val="300"/>
        </w:trPr>
        <w:tc>
          <w:tcPr>
            <w:tcW w:w="1395" w:type="dxa"/>
            <w:shd w:val="clear" w:color="auto" w:fill="C6EFCE"/>
            <w:tcMar>
              <w:left w:w="108" w:type="dxa"/>
              <w:right w:w="108" w:type="dxa"/>
            </w:tcMar>
            <w:vAlign w:val="center"/>
          </w:tcPr>
          <w:p w14:paraId="08DCC0E5" w14:textId="77777777" w:rsidR="00327FF1" w:rsidRDefault="00E406C7">
            <w:pPr>
              <w:pStyle w:val="P68B1DB1-Normal121"/>
              <w:spacing w:after="0" w:line="240" w:lineRule="auto"/>
              <w:jc w:val="center"/>
              <w:rPr>
                <w:noProof/>
              </w:rPr>
            </w:pPr>
            <w:r>
              <w:rPr>
                <w:noProof/>
              </w:rPr>
              <w:t>M6C2–1</w:t>
            </w:r>
          </w:p>
        </w:tc>
        <w:tc>
          <w:tcPr>
            <w:tcW w:w="3541" w:type="dxa"/>
            <w:shd w:val="clear" w:color="auto" w:fill="C6EFCE"/>
            <w:tcMar>
              <w:left w:w="108" w:type="dxa"/>
              <w:right w:w="108" w:type="dxa"/>
            </w:tcMar>
            <w:vAlign w:val="center"/>
          </w:tcPr>
          <w:p w14:paraId="17E0C51F" w14:textId="77777777" w:rsidR="00327FF1" w:rsidRDefault="00E406C7">
            <w:pPr>
              <w:pStyle w:val="P68B1DB1-Normal121"/>
              <w:spacing w:after="0" w:line="240" w:lineRule="auto"/>
              <w:rPr>
                <w:noProof/>
              </w:rPr>
            </w:pPr>
            <w:r>
              <w:rPr>
                <w:noProof/>
              </w:rPr>
              <w:t>Reforma: Pārskatīt un atjaunināt pašreizējo tiesisko regulējumu attiec</w:t>
            </w:r>
            <w:r>
              <w:rPr>
                <w:noProof/>
              </w:rPr>
              <w:t>ībā uz slimnīcu un aprūpes zinātniskajiem institūtiem (IRCCS) un Veselības ministrijas pētniecības politiku, lai stiprinātu saikni starp pētniecību, inovāciju un veselības aprūpi</w:t>
            </w:r>
          </w:p>
        </w:tc>
        <w:tc>
          <w:tcPr>
            <w:tcW w:w="1260" w:type="dxa"/>
            <w:shd w:val="clear" w:color="auto" w:fill="C6EFCE"/>
            <w:tcMar>
              <w:left w:w="108" w:type="dxa"/>
              <w:right w:w="108" w:type="dxa"/>
            </w:tcMar>
            <w:vAlign w:val="center"/>
          </w:tcPr>
          <w:p w14:paraId="24F6E505" w14:textId="77777777" w:rsidR="00327FF1" w:rsidRDefault="00E406C7">
            <w:pPr>
              <w:pStyle w:val="P68B1DB1-Normal121"/>
              <w:spacing w:after="0" w:line="240" w:lineRule="auto"/>
              <w:jc w:val="center"/>
              <w:rPr>
                <w:noProof/>
              </w:rPr>
            </w:pPr>
            <w:r>
              <w:rPr>
                <w:noProof/>
              </w:rPr>
              <w:t>Atskaites punkts</w:t>
            </w:r>
          </w:p>
        </w:tc>
        <w:tc>
          <w:tcPr>
            <w:tcW w:w="3162" w:type="dxa"/>
            <w:shd w:val="clear" w:color="auto" w:fill="C6EFCE"/>
            <w:tcMar>
              <w:left w:w="108" w:type="dxa"/>
              <w:right w:w="108" w:type="dxa"/>
            </w:tcMar>
            <w:vAlign w:val="center"/>
          </w:tcPr>
          <w:p w14:paraId="2EBCB17B" w14:textId="77777777" w:rsidR="00327FF1" w:rsidRDefault="00E406C7">
            <w:pPr>
              <w:pStyle w:val="P68B1DB1-Normal121"/>
              <w:spacing w:after="0" w:line="240" w:lineRule="auto"/>
              <w:rPr>
                <w:noProof/>
              </w:rPr>
            </w:pPr>
            <w:r>
              <w:rPr>
                <w:noProof/>
              </w:rPr>
              <w:t>Stājas spēkā leģislatīvais dekrēts, ar ko paredz reorganizēt</w:t>
            </w:r>
            <w:r>
              <w:rPr>
                <w:noProof/>
              </w:rPr>
              <w:t xml:space="preserve"> noteikumus, kas reglamentē hospitalizācijas un aprūpes zinātniskos institūtus (IRCSS)</w:t>
            </w:r>
          </w:p>
        </w:tc>
      </w:tr>
      <w:tr w:rsidR="00327FF1" w14:paraId="3EF71EE8" w14:textId="77777777">
        <w:trPr>
          <w:trHeight w:val="300"/>
        </w:trPr>
        <w:tc>
          <w:tcPr>
            <w:tcW w:w="1395" w:type="dxa"/>
            <w:shd w:val="clear" w:color="auto" w:fill="C6EFCE"/>
            <w:tcMar>
              <w:left w:w="108" w:type="dxa"/>
              <w:right w:w="108" w:type="dxa"/>
            </w:tcMar>
            <w:vAlign w:val="center"/>
          </w:tcPr>
          <w:p w14:paraId="289AB785" w14:textId="77777777" w:rsidR="00327FF1" w:rsidRDefault="00327FF1">
            <w:pPr>
              <w:spacing w:after="0" w:line="240" w:lineRule="auto"/>
              <w:jc w:val="center"/>
              <w:rPr>
                <w:rFonts w:ascii="Times New Roman" w:eastAsia="Times New Roman" w:hAnsi="Times New Roman" w:cs="Times New Roman"/>
                <w:noProof/>
              </w:rPr>
            </w:pPr>
          </w:p>
        </w:tc>
        <w:tc>
          <w:tcPr>
            <w:tcW w:w="3541" w:type="dxa"/>
            <w:shd w:val="clear" w:color="auto" w:fill="C6EFCE"/>
            <w:tcMar>
              <w:left w:w="108" w:type="dxa"/>
              <w:right w:w="108" w:type="dxa"/>
            </w:tcMar>
            <w:vAlign w:val="center"/>
          </w:tcPr>
          <w:p w14:paraId="527F2CC0" w14:textId="77777777" w:rsidR="00327FF1" w:rsidRDefault="00E406C7">
            <w:pPr>
              <w:pStyle w:val="P68B1DB1-Normal121"/>
              <w:spacing w:after="0" w:line="240" w:lineRule="auto"/>
              <w:rPr>
                <w:noProof/>
              </w:rPr>
            </w:pPr>
            <w:r>
              <w:rPr>
                <w:noProof/>
              </w:rPr>
              <w:t xml:space="preserve"> </w:t>
            </w:r>
          </w:p>
        </w:tc>
        <w:tc>
          <w:tcPr>
            <w:tcW w:w="1260" w:type="dxa"/>
            <w:shd w:val="clear" w:color="auto" w:fill="C6EFCE"/>
            <w:tcMar>
              <w:left w:w="108" w:type="dxa"/>
              <w:right w:w="108" w:type="dxa"/>
            </w:tcMar>
            <w:vAlign w:val="center"/>
          </w:tcPr>
          <w:p w14:paraId="73E4ADDE" w14:textId="77777777" w:rsidR="00327FF1" w:rsidRDefault="00E406C7">
            <w:pPr>
              <w:pStyle w:val="P68B1DB1-Normal121"/>
              <w:spacing w:after="0" w:line="240" w:lineRule="auto"/>
              <w:jc w:val="center"/>
              <w:rPr>
                <w:noProof/>
              </w:rPr>
            </w:pPr>
            <w:r>
              <w:rPr>
                <w:noProof/>
              </w:rPr>
              <w:t>Maksājuma summa</w:t>
            </w:r>
          </w:p>
        </w:tc>
        <w:tc>
          <w:tcPr>
            <w:tcW w:w="3162" w:type="dxa"/>
            <w:shd w:val="clear" w:color="auto" w:fill="C6EFCE"/>
            <w:tcMar>
              <w:left w:w="108" w:type="dxa"/>
              <w:right w:w="108" w:type="dxa"/>
            </w:tcMar>
            <w:vAlign w:val="center"/>
          </w:tcPr>
          <w:p w14:paraId="26EF21F9"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11494252874</w:t>
            </w:r>
            <w:r>
              <w:rPr>
                <w:noProof/>
                <w:sz w:val="23"/>
                <w:szCs w:val="23"/>
              </w:rPr>
              <w:t xml:space="preserve"> </w:t>
            </w:r>
          </w:p>
        </w:tc>
      </w:tr>
    </w:tbl>
    <w:p w14:paraId="29696EC4" w14:textId="77777777" w:rsidR="00327FF1" w:rsidRDefault="00327FF1">
      <w:pPr>
        <w:spacing w:after="0"/>
        <w:ind w:left="850"/>
        <w:contextualSpacing/>
        <w:jc w:val="both"/>
        <w:rPr>
          <w:rFonts w:ascii="Times New Roman" w:eastAsia="Times New Roman" w:hAnsi="Times New Roman" w:cs="Times New Roman"/>
          <w:noProof/>
        </w:rPr>
      </w:pPr>
    </w:p>
    <w:p w14:paraId="4CCB2FCA" w14:textId="77777777" w:rsidR="00327FF1" w:rsidRDefault="00E406C7">
      <w:pPr>
        <w:pStyle w:val="P68B1DB1-Heading4119"/>
        <w:numPr>
          <w:ilvl w:val="1"/>
          <w:numId w:val="180"/>
        </w:numPr>
        <w:tabs>
          <w:tab w:val="num" w:pos="1440"/>
        </w:tabs>
        <w:ind w:left="1440" w:hanging="360"/>
        <w:rPr>
          <w:noProof/>
        </w:rPr>
      </w:pPr>
      <w:r>
        <w:rPr>
          <w:noProof/>
        </w:rPr>
        <w:t>Ceturtais maksājums (neatmaksājams atbalsts):</w:t>
      </w:r>
    </w:p>
    <w:tbl>
      <w:tblPr>
        <w:tblW w:w="935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43"/>
        <w:gridCol w:w="1276"/>
        <w:gridCol w:w="3103"/>
      </w:tblGrid>
      <w:tr w:rsidR="00327FF1" w14:paraId="447B3354" w14:textId="77777777">
        <w:trPr>
          <w:trHeight w:val="900"/>
          <w:tblHeader/>
        </w:trPr>
        <w:tc>
          <w:tcPr>
            <w:tcW w:w="1435" w:type="dxa"/>
            <w:vMerge w:val="restart"/>
            <w:shd w:val="clear" w:color="auto" w:fill="BDD7EE"/>
            <w:tcMar>
              <w:left w:w="108" w:type="dxa"/>
              <w:right w:w="108" w:type="dxa"/>
            </w:tcMar>
            <w:vAlign w:val="center"/>
          </w:tcPr>
          <w:p w14:paraId="29F54960" w14:textId="77777777" w:rsidR="00327FF1" w:rsidRDefault="00E406C7">
            <w:pPr>
              <w:pStyle w:val="P68B1DB1-Normal120"/>
              <w:spacing w:after="0" w:line="240" w:lineRule="auto"/>
              <w:jc w:val="center"/>
              <w:rPr>
                <w:bCs/>
                <w:noProof/>
              </w:rPr>
            </w:pPr>
            <w:r>
              <w:rPr>
                <w:noProof/>
              </w:rPr>
              <w:t>Kārtas numurs</w:t>
            </w:r>
          </w:p>
        </w:tc>
        <w:tc>
          <w:tcPr>
            <w:tcW w:w="3543" w:type="dxa"/>
            <w:vMerge w:val="restart"/>
            <w:shd w:val="clear" w:color="auto" w:fill="BDD7EE"/>
            <w:tcMar>
              <w:left w:w="108" w:type="dxa"/>
              <w:right w:w="108" w:type="dxa"/>
            </w:tcMar>
            <w:vAlign w:val="center"/>
          </w:tcPr>
          <w:p w14:paraId="420CBE6B" w14:textId="77777777" w:rsidR="00327FF1" w:rsidRDefault="00E406C7">
            <w:pPr>
              <w:pStyle w:val="P68B1DB1-Normal120"/>
              <w:spacing w:after="0" w:line="240" w:lineRule="auto"/>
              <w:jc w:val="center"/>
              <w:rPr>
                <w:noProof/>
              </w:rPr>
            </w:pPr>
            <w:r>
              <w:rPr>
                <w:noProof/>
              </w:rPr>
              <w:t>Saistītais pasākums (reforma vai ieguldījums)</w:t>
            </w:r>
          </w:p>
        </w:tc>
        <w:tc>
          <w:tcPr>
            <w:tcW w:w="1276" w:type="dxa"/>
            <w:vMerge w:val="restart"/>
            <w:shd w:val="clear" w:color="auto" w:fill="BDD7EE"/>
            <w:tcMar>
              <w:left w:w="108" w:type="dxa"/>
              <w:right w:w="108" w:type="dxa"/>
            </w:tcMar>
            <w:vAlign w:val="center"/>
          </w:tcPr>
          <w:p w14:paraId="7DF1E0D7" w14:textId="77777777" w:rsidR="00327FF1" w:rsidRDefault="00E406C7">
            <w:pPr>
              <w:pStyle w:val="P68B1DB1-Normal120"/>
              <w:spacing w:after="0" w:line="240" w:lineRule="auto"/>
              <w:jc w:val="center"/>
              <w:rPr>
                <w:noProof/>
              </w:rPr>
            </w:pPr>
            <w:r>
              <w:rPr>
                <w:noProof/>
              </w:rPr>
              <w:t xml:space="preserve">Atskaites </w:t>
            </w:r>
            <w:r>
              <w:rPr>
                <w:noProof/>
              </w:rPr>
              <w:t>punkts/mērķrādītājs</w:t>
            </w:r>
          </w:p>
        </w:tc>
        <w:tc>
          <w:tcPr>
            <w:tcW w:w="3103" w:type="dxa"/>
            <w:vMerge w:val="restart"/>
            <w:shd w:val="clear" w:color="auto" w:fill="BDD7EE"/>
            <w:tcMar>
              <w:left w:w="108" w:type="dxa"/>
              <w:right w:w="108" w:type="dxa"/>
            </w:tcMar>
            <w:vAlign w:val="center"/>
          </w:tcPr>
          <w:p w14:paraId="434B8D5E" w14:textId="77777777" w:rsidR="00327FF1" w:rsidRDefault="00E406C7">
            <w:pPr>
              <w:pStyle w:val="P68B1DB1-Normal120"/>
              <w:spacing w:after="0" w:line="240" w:lineRule="auto"/>
              <w:jc w:val="center"/>
              <w:rPr>
                <w:noProof/>
              </w:rPr>
            </w:pPr>
            <w:r>
              <w:rPr>
                <w:noProof/>
              </w:rPr>
              <w:t>Nosaukums</w:t>
            </w:r>
          </w:p>
        </w:tc>
      </w:tr>
      <w:tr w:rsidR="00327FF1" w14:paraId="5596840E" w14:textId="77777777">
        <w:trPr>
          <w:trHeight w:val="510"/>
        </w:trPr>
        <w:tc>
          <w:tcPr>
            <w:tcW w:w="1435" w:type="dxa"/>
            <w:vMerge/>
            <w:vAlign w:val="center"/>
          </w:tcPr>
          <w:p w14:paraId="456CF1BC" w14:textId="77777777" w:rsidR="00327FF1" w:rsidRDefault="00327FF1">
            <w:pPr>
              <w:spacing w:after="0" w:line="240" w:lineRule="auto"/>
              <w:jc w:val="center"/>
              <w:rPr>
                <w:rFonts w:ascii="Times New Roman" w:eastAsia="Times New Roman" w:hAnsi="Times New Roman" w:cs="Times New Roman"/>
                <w:noProof/>
              </w:rPr>
            </w:pPr>
          </w:p>
        </w:tc>
        <w:tc>
          <w:tcPr>
            <w:tcW w:w="3543" w:type="dxa"/>
            <w:vMerge/>
            <w:vAlign w:val="center"/>
          </w:tcPr>
          <w:p w14:paraId="7F82996D" w14:textId="77777777" w:rsidR="00327FF1" w:rsidRDefault="00327FF1">
            <w:pPr>
              <w:spacing w:after="0" w:line="240" w:lineRule="auto"/>
              <w:rPr>
                <w:rFonts w:ascii="Times New Roman" w:eastAsia="Times New Roman" w:hAnsi="Times New Roman" w:cs="Times New Roman"/>
                <w:noProof/>
              </w:rPr>
            </w:pPr>
          </w:p>
        </w:tc>
        <w:tc>
          <w:tcPr>
            <w:tcW w:w="1276" w:type="dxa"/>
            <w:vMerge/>
            <w:vAlign w:val="center"/>
          </w:tcPr>
          <w:p w14:paraId="5044EC86" w14:textId="77777777" w:rsidR="00327FF1" w:rsidRDefault="00327FF1">
            <w:pPr>
              <w:spacing w:after="0" w:line="240" w:lineRule="auto"/>
              <w:jc w:val="center"/>
              <w:rPr>
                <w:rFonts w:ascii="Times New Roman" w:eastAsia="Times New Roman" w:hAnsi="Times New Roman" w:cs="Times New Roman"/>
                <w:noProof/>
              </w:rPr>
            </w:pPr>
          </w:p>
        </w:tc>
        <w:tc>
          <w:tcPr>
            <w:tcW w:w="3103" w:type="dxa"/>
            <w:vMerge/>
            <w:vAlign w:val="center"/>
          </w:tcPr>
          <w:p w14:paraId="7F32A951" w14:textId="77777777" w:rsidR="00327FF1" w:rsidRDefault="00327FF1">
            <w:pPr>
              <w:spacing w:after="0" w:line="240" w:lineRule="auto"/>
              <w:rPr>
                <w:rFonts w:ascii="Times New Roman" w:eastAsia="Times New Roman" w:hAnsi="Times New Roman" w:cs="Times New Roman"/>
                <w:noProof/>
              </w:rPr>
            </w:pPr>
          </w:p>
        </w:tc>
      </w:tr>
      <w:tr w:rsidR="00327FF1" w14:paraId="31634B5F" w14:textId="77777777">
        <w:trPr>
          <w:trHeight w:val="300"/>
        </w:trPr>
        <w:tc>
          <w:tcPr>
            <w:tcW w:w="1435" w:type="dxa"/>
            <w:shd w:val="clear" w:color="auto" w:fill="C6EFCE"/>
            <w:tcMar>
              <w:left w:w="108" w:type="dxa"/>
              <w:right w:w="108" w:type="dxa"/>
            </w:tcMar>
            <w:vAlign w:val="center"/>
          </w:tcPr>
          <w:p w14:paraId="0A550234" w14:textId="77777777" w:rsidR="00327FF1" w:rsidRDefault="00E406C7">
            <w:pPr>
              <w:pStyle w:val="P68B1DB1-Normal121"/>
              <w:spacing w:after="0" w:line="240" w:lineRule="auto"/>
              <w:jc w:val="center"/>
              <w:rPr>
                <w:noProof/>
              </w:rPr>
            </w:pPr>
            <w:r>
              <w:rPr>
                <w:noProof/>
              </w:rPr>
              <w:t>M1C1–11</w:t>
            </w:r>
          </w:p>
        </w:tc>
        <w:tc>
          <w:tcPr>
            <w:tcW w:w="3543" w:type="dxa"/>
            <w:shd w:val="clear" w:color="auto" w:fill="C6EFCE"/>
            <w:tcMar>
              <w:left w:w="108" w:type="dxa"/>
              <w:right w:w="108" w:type="dxa"/>
            </w:tcMar>
            <w:vAlign w:val="center"/>
          </w:tcPr>
          <w:p w14:paraId="7A4234B1" w14:textId="77777777" w:rsidR="00327FF1" w:rsidRDefault="00E406C7">
            <w:pPr>
              <w:pStyle w:val="P68B1DB1-Normal121"/>
              <w:spacing w:after="0" w:line="240" w:lineRule="auto"/>
              <w:rPr>
                <w:noProof/>
              </w:rPr>
            </w:pPr>
            <w:r>
              <w:rPr>
                <w:noProof/>
              </w:rPr>
              <w:t>Ieguldījums 1.6.6.: Finanšu policijas digitalizācija</w:t>
            </w:r>
          </w:p>
        </w:tc>
        <w:tc>
          <w:tcPr>
            <w:tcW w:w="1276" w:type="dxa"/>
            <w:shd w:val="clear" w:color="auto" w:fill="C6EFCE"/>
            <w:tcMar>
              <w:left w:w="108" w:type="dxa"/>
              <w:right w:w="108" w:type="dxa"/>
            </w:tcMar>
            <w:vAlign w:val="center"/>
          </w:tcPr>
          <w:p w14:paraId="58EC6628" w14:textId="77777777" w:rsidR="00327FF1" w:rsidRDefault="00E406C7">
            <w:pPr>
              <w:pStyle w:val="P68B1DB1-Normal121"/>
              <w:spacing w:after="0" w:line="240" w:lineRule="auto"/>
              <w:jc w:val="center"/>
              <w:rPr>
                <w:noProof/>
              </w:rPr>
            </w:pPr>
            <w:r>
              <w:rPr>
                <w:noProof/>
              </w:rPr>
              <w:t>Mērķa</w:t>
            </w:r>
          </w:p>
        </w:tc>
        <w:tc>
          <w:tcPr>
            <w:tcW w:w="3103" w:type="dxa"/>
            <w:shd w:val="clear" w:color="auto" w:fill="C6EFCE"/>
            <w:tcMar>
              <w:left w:w="108" w:type="dxa"/>
              <w:right w:w="108" w:type="dxa"/>
            </w:tcMar>
            <w:vAlign w:val="center"/>
          </w:tcPr>
          <w:p w14:paraId="0017F01D" w14:textId="77777777" w:rsidR="00327FF1" w:rsidRDefault="00E406C7">
            <w:pPr>
              <w:pStyle w:val="P68B1DB1-Normal121"/>
              <w:spacing w:after="0" w:line="240" w:lineRule="auto"/>
              <w:rPr>
                <w:noProof/>
              </w:rPr>
            </w:pPr>
            <w:r>
              <w:rPr>
                <w:noProof/>
              </w:rPr>
              <w:t>Finanšu policija — profesionālo datu zinātnes pakalpojumu iegāde T1</w:t>
            </w:r>
          </w:p>
        </w:tc>
      </w:tr>
      <w:tr w:rsidR="00327FF1" w14:paraId="557B5081" w14:textId="77777777">
        <w:trPr>
          <w:trHeight w:val="300"/>
        </w:trPr>
        <w:tc>
          <w:tcPr>
            <w:tcW w:w="1435" w:type="dxa"/>
            <w:shd w:val="clear" w:color="auto" w:fill="C6EFCE"/>
            <w:tcMar>
              <w:left w:w="108" w:type="dxa"/>
              <w:right w:w="108" w:type="dxa"/>
            </w:tcMar>
            <w:vAlign w:val="center"/>
          </w:tcPr>
          <w:p w14:paraId="494F5640" w14:textId="77777777" w:rsidR="00327FF1" w:rsidRDefault="00E406C7">
            <w:pPr>
              <w:pStyle w:val="P68B1DB1-Normal121"/>
              <w:spacing w:after="0" w:line="240" w:lineRule="auto"/>
              <w:jc w:val="center"/>
              <w:rPr>
                <w:noProof/>
              </w:rPr>
            </w:pPr>
            <w:r>
              <w:rPr>
                <w:noProof/>
              </w:rPr>
              <w:t>M1C1–72</w:t>
            </w:r>
          </w:p>
        </w:tc>
        <w:tc>
          <w:tcPr>
            <w:tcW w:w="3543" w:type="dxa"/>
            <w:shd w:val="clear" w:color="auto" w:fill="C6EFCE"/>
            <w:tcMar>
              <w:left w:w="108" w:type="dxa"/>
              <w:right w:w="108" w:type="dxa"/>
            </w:tcMar>
            <w:vAlign w:val="center"/>
          </w:tcPr>
          <w:p w14:paraId="03ACBB75" w14:textId="77777777" w:rsidR="00327FF1" w:rsidRDefault="00E406C7">
            <w:pPr>
              <w:pStyle w:val="P68B1DB1-Normal121"/>
              <w:spacing w:after="0" w:line="240" w:lineRule="auto"/>
              <w:rPr>
                <w:noProof/>
              </w:rPr>
            </w:pPr>
            <w:r>
              <w:rPr>
                <w:noProof/>
              </w:rPr>
              <w:t xml:space="preserve">Reforma Nr. 1.11. Valsts pārvaldes un veselības aprūpes iestāžu maksājumu </w:t>
            </w:r>
            <w:r>
              <w:rPr>
                <w:noProof/>
              </w:rPr>
              <w:t>kavējumu samazināšana</w:t>
            </w:r>
          </w:p>
        </w:tc>
        <w:tc>
          <w:tcPr>
            <w:tcW w:w="1276" w:type="dxa"/>
            <w:shd w:val="clear" w:color="auto" w:fill="C6EFCE"/>
            <w:tcMar>
              <w:left w:w="108" w:type="dxa"/>
              <w:right w:w="108" w:type="dxa"/>
            </w:tcMar>
            <w:vAlign w:val="center"/>
          </w:tcPr>
          <w:p w14:paraId="14A021B1" w14:textId="77777777" w:rsidR="00327FF1" w:rsidRDefault="00E406C7">
            <w:pPr>
              <w:pStyle w:val="P68B1DB1-Normal121"/>
              <w:spacing w:after="0" w:line="240" w:lineRule="auto"/>
              <w:jc w:val="center"/>
              <w:rPr>
                <w:noProof/>
              </w:rPr>
            </w:pPr>
            <w:r>
              <w:rPr>
                <w:noProof/>
              </w:rPr>
              <w:t>Atskaites punkts</w:t>
            </w:r>
          </w:p>
        </w:tc>
        <w:tc>
          <w:tcPr>
            <w:tcW w:w="3103" w:type="dxa"/>
            <w:shd w:val="clear" w:color="auto" w:fill="C6EFCE"/>
            <w:tcMar>
              <w:left w:w="108" w:type="dxa"/>
              <w:right w:w="108" w:type="dxa"/>
            </w:tcMar>
            <w:vAlign w:val="center"/>
          </w:tcPr>
          <w:p w14:paraId="5E3940E4" w14:textId="77777777" w:rsidR="00327FF1" w:rsidRDefault="00E406C7">
            <w:pPr>
              <w:pStyle w:val="P68B1DB1-Normal121"/>
              <w:spacing w:after="0" w:line="240" w:lineRule="auto"/>
              <w:rPr>
                <w:noProof/>
              </w:rPr>
            </w:pPr>
            <w:r>
              <w:rPr>
                <w:noProof/>
              </w:rPr>
              <w:t>Ir apstiprināti pasākumi, lai samazinātu valsts pārvaldes maksājumu kavējumus uzņēmumiem</w:t>
            </w:r>
          </w:p>
        </w:tc>
      </w:tr>
      <w:tr w:rsidR="00327FF1" w14:paraId="3B85D092" w14:textId="77777777">
        <w:trPr>
          <w:trHeight w:val="300"/>
        </w:trPr>
        <w:tc>
          <w:tcPr>
            <w:tcW w:w="1435" w:type="dxa"/>
            <w:shd w:val="clear" w:color="auto" w:fill="C6EFCE"/>
            <w:tcMar>
              <w:left w:w="108" w:type="dxa"/>
              <w:right w:w="108" w:type="dxa"/>
            </w:tcMar>
            <w:vAlign w:val="center"/>
          </w:tcPr>
          <w:p w14:paraId="76CC515B" w14:textId="77777777" w:rsidR="00327FF1" w:rsidRDefault="00E406C7">
            <w:pPr>
              <w:pStyle w:val="P68B1DB1-Normal121"/>
              <w:spacing w:after="0" w:line="240" w:lineRule="auto"/>
              <w:jc w:val="center"/>
              <w:rPr>
                <w:noProof/>
              </w:rPr>
            </w:pPr>
            <w:r>
              <w:rPr>
                <w:noProof/>
              </w:rPr>
              <w:t>M1C1–73</w:t>
            </w:r>
          </w:p>
        </w:tc>
        <w:tc>
          <w:tcPr>
            <w:tcW w:w="3543" w:type="dxa"/>
            <w:shd w:val="clear" w:color="auto" w:fill="C6EFCE"/>
            <w:tcMar>
              <w:left w:w="108" w:type="dxa"/>
              <w:right w:w="108" w:type="dxa"/>
            </w:tcMar>
            <w:vAlign w:val="center"/>
          </w:tcPr>
          <w:p w14:paraId="175A10DD" w14:textId="77777777" w:rsidR="00327FF1" w:rsidRDefault="00E406C7">
            <w:pPr>
              <w:pStyle w:val="P68B1DB1-Normal121"/>
              <w:spacing w:after="0" w:line="240" w:lineRule="auto"/>
              <w:rPr>
                <w:noProof/>
              </w:rPr>
            </w:pPr>
            <w:r>
              <w:rPr>
                <w:noProof/>
              </w:rPr>
              <w:t>Reforma Nr. 1.10. Publiskā iepirkuma tiesiskā regulējuma reforma</w:t>
            </w:r>
          </w:p>
        </w:tc>
        <w:tc>
          <w:tcPr>
            <w:tcW w:w="1276" w:type="dxa"/>
            <w:shd w:val="clear" w:color="auto" w:fill="C6EFCE"/>
            <w:tcMar>
              <w:left w:w="108" w:type="dxa"/>
              <w:right w:w="108" w:type="dxa"/>
            </w:tcMar>
            <w:vAlign w:val="center"/>
          </w:tcPr>
          <w:p w14:paraId="7545AB0D" w14:textId="77777777" w:rsidR="00327FF1" w:rsidRDefault="00E406C7">
            <w:pPr>
              <w:pStyle w:val="P68B1DB1-Normal121"/>
              <w:spacing w:after="0" w:line="240" w:lineRule="auto"/>
              <w:jc w:val="center"/>
              <w:rPr>
                <w:noProof/>
              </w:rPr>
            </w:pPr>
            <w:r>
              <w:rPr>
                <w:noProof/>
              </w:rPr>
              <w:t>Atskaites punkts</w:t>
            </w:r>
          </w:p>
        </w:tc>
        <w:tc>
          <w:tcPr>
            <w:tcW w:w="3103" w:type="dxa"/>
            <w:shd w:val="clear" w:color="auto" w:fill="C6EFCE"/>
            <w:tcMar>
              <w:left w:w="108" w:type="dxa"/>
              <w:right w:w="108" w:type="dxa"/>
            </w:tcMar>
            <w:vAlign w:val="center"/>
          </w:tcPr>
          <w:p w14:paraId="0CBFF77B" w14:textId="77777777" w:rsidR="00327FF1" w:rsidRDefault="00E406C7">
            <w:pPr>
              <w:pStyle w:val="P68B1DB1-Normal121"/>
              <w:spacing w:after="0" w:line="240" w:lineRule="auto"/>
              <w:rPr>
                <w:noProof/>
              </w:rPr>
            </w:pPr>
            <w:r>
              <w:rPr>
                <w:noProof/>
              </w:rPr>
              <w:t>Publiskā iepirkuma kodeksa reformas s</w:t>
            </w:r>
            <w:r>
              <w:rPr>
                <w:noProof/>
              </w:rPr>
              <w:t>tāšanās spēkā</w:t>
            </w:r>
          </w:p>
        </w:tc>
      </w:tr>
      <w:tr w:rsidR="00327FF1" w14:paraId="7E75E7AD" w14:textId="77777777">
        <w:trPr>
          <w:trHeight w:val="300"/>
        </w:trPr>
        <w:tc>
          <w:tcPr>
            <w:tcW w:w="1435" w:type="dxa"/>
            <w:shd w:val="clear" w:color="auto" w:fill="C6EFCE"/>
            <w:tcMar>
              <w:left w:w="108" w:type="dxa"/>
              <w:right w:w="108" w:type="dxa"/>
            </w:tcMar>
            <w:vAlign w:val="center"/>
          </w:tcPr>
          <w:p w14:paraId="179F554C" w14:textId="77777777" w:rsidR="00327FF1" w:rsidRDefault="00E406C7">
            <w:pPr>
              <w:pStyle w:val="P68B1DB1-Normal121"/>
              <w:spacing w:after="0" w:line="240" w:lineRule="auto"/>
              <w:jc w:val="center"/>
              <w:rPr>
                <w:noProof/>
              </w:rPr>
            </w:pPr>
            <w:r>
              <w:rPr>
                <w:noProof/>
              </w:rPr>
              <w:t>M2C2–14</w:t>
            </w:r>
          </w:p>
        </w:tc>
        <w:tc>
          <w:tcPr>
            <w:tcW w:w="3543" w:type="dxa"/>
            <w:shd w:val="clear" w:color="auto" w:fill="C6EFCE"/>
            <w:tcMar>
              <w:left w:w="108" w:type="dxa"/>
              <w:right w:w="108" w:type="dxa"/>
            </w:tcMar>
            <w:vAlign w:val="center"/>
          </w:tcPr>
          <w:p w14:paraId="5697F96F" w14:textId="77777777" w:rsidR="00327FF1" w:rsidRDefault="00E406C7">
            <w:pPr>
              <w:pStyle w:val="P68B1DB1-Normal121"/>
              <w:spacing w:after="0" w:line="240" w:lineRule="auto"/>
              <w:rPr>
                <w:noProof/>
              </w:rPr>
            </w:pPr>
            <w:r>
              <w:rPr>
                <w:noProof/>
              </w:rPr>
              <w:t>Investīcija 3.3. Ūdeņraža testēšana autotransportam</w:t>
            </w:r>
          </w:p>
        </w:tc>
        <w:tc>
          <w:tcPr>
            <w:tcW w:w="1276" w:type="dxa"/>
            <w:shd w:val="clear" w:color="auto" w:fill="C6EFCE"/>
            <w:tcMar>
              <w:left w:w="108" w:type="dxa"/>
              <w:right w:w="108" w:type="dxa"/>
            </w:tcMar>
            <w:vAlign w:val="center"/>
          </w:tcPr>
          <w:p w14:paraId="1F48F357" w14:textId="77777777" w:rsidR="00327FF1" w:rsidRDefault="00E406C7">
            <w:pPr>
              <w:pStyle w:val="P68B1DB1-Normal121"/>
              <w:spacing w:after="0" w:line="240" w:lineRule="auto"/>
              <w:jc w:val="center"/>
              <w:rPr>
                <w:noProof/>
              </w:rPr>
            </w:pPr>
            <w:r>
              <w:rPr>
                <w:noProof/>
              </w:rPr>
              <w:t>Atskaites punkts</w:t>
            </w:r>
          </w:p>
        </w:tc>
        <w:tc>
          <w:tcPr>
            <w:tcW w:w="3103" w:type="dxa"/>
            <w:shd w:val="clear" w:color="auto" w:fill="C6EFCE"/>
            <w:tcMar>
              <w:left w:w="108" w:type="dxa"/>
              <w:right w:w="108" w:type="dxa"/>
            </w:tcMar>
            <w:vAlign w:val="center"/>
          </w:tcPr>
          <w:p w14:paraId="4CAC062E" w14:textId="77777777" w:rsidR="00327FF1" w:rsidRDefault="00E406C7">
            <w:pPr>
              <w:pStyle w:val="P68B1DB1-Normal121"/>
              <w:spacing w:after="0" w:line="240" w:lineRule="auto"/>
              <w:rPr>
                <w:noProof/>
              </w:rPr>
            </w:pPr>
            <w:r>
              <w:rPr>
                <w:noProof/>
              </w:rPr>
              <w:t>(Visu) publiskā iepirkuma līgumu slēgšanas tiesību piešķiršana par tādu uzpildes staciju izveidi, kurās izmanto ūdeņradi</w:t>
            </w:r>
          </w:p>
        </w:tc>
      </w:tr>
      <w:tr w:rsidR="00327FF1" w14:paraId="406AD2D3" w14:textId="77777777">
        <w:trPr>
          <w:trHeight w:val="300"/>
        </w:trPr>
        <w:tc>
          <w:tcPr>
            <w:tcW w:w="1435" w:type="dxa"/>
            <w:shd w:val="clear" w:color="auto" w:fill="C6EFCE"/>
            <w:tcMar>
              <w:left w:w="108" w:type="dxa"/>
              <w:right w:w="108" w:type="dxa"/>
            </w:tcMar>
            <w:vAlign w:val="center"/>
          </w:tcPr>
          <w:p w14:paraId="0C45D74E" w14:textId="77777777" w:rsidR="00327FF1" w:rsidRDefault="00E406C7">
            <w:pPr>
              <w:pStyle w:val="P68B1DB1-Normal121"/>
              <w:spacing w:after="0" w:line="240" w:lineRule="auto"/>
              <w:jc w:val="center"/>
              <w:rPr>
                <w:noProof/>
              </w:rPr>
            </w:pPr>
            <w:r>
              <w:rPr>
                <w:noProof/>
              </w:rPr>
              <w:t>M2C2–16</w:t>
            </w:r>
          </w:p>
        </w:tc>
        <w:tc>
          <w:tcPr>
            <w:tcW w:w="3543" w:type="dxa"/>
            <w:shd w:val="clear" w:color="auto" w:fill="C6EFCE"/>
            <w:tcMar>
              <w:left w:w="108" w:type="dxa"/>
              <w:right w:w="108" w:type="dxa"/>
            </w:tcMar>
            <w:vAlign w:val="center"/>
          </w:tcPr>
          <w:p w14:paraId="6E617DC3" w14:textId="77777777" w:rsidR="00327FF1" w:rsidRDefault="00E406C7">
            <w:pPr>
              <w:pStyle w:val="P68B1DB1-Normal121"/>
              <w:spacing w:after="0" w:line="240" w:lineRule="auto"/>
              <w:rPr>
                <w:noProof/>
              </w:rPr>
            </w:pPr>
            <w:r>
              <w:rPr>
                <w:noProof/>
              </w:rPr>
              <w:t xml:space="preserve">Investīcija Nr. 3.4. Ūdeņraža </w:t>
            </w:r>
            <w:r>
              <w:rPr>
                <w:noProof/>
              </w:rPr>
              <w:t>testēšana dzelzceļa mobilitātes vajadzībām</w:t>
            </w:r>
          </w:p>
        </w:tc>
        <w:tc>
          <w:tcPr>
            <w:tcW w:w="1276" w:type="dxa"/>
            <w:shd w:val="clear" w:color="auto" w:fill="C6EFCE"/>
            <w:tcMar>
              <w:left w:w="108" w:type="dxa"/>
              <w:right w:w="108" w:type="dxa"/>
            </w:tcMar>
            <w:vAlign w:val="center"/>
          </w:tcPr>
          <w:p w14:paraId="2D22850C" w14:textId="77777777" w:rsidR="00327FF1" w:rsidRDefault="00E406C7">
            <w:pPr>
              <w:pStyle w:val="P68B1DB1-Normal121"/>
              <w:spacing w:after="0" w:line="240" w:lineRule="auto"/>
              <w:jc w:val="center"/>
              <w:rPr>
                <w:noProof/>
              </w:rPr>
            </w:pPr>
            <w:r>
              <w:rPr>
                <w:noProof/>
              </w:rPr>
              <w:t>Atskaites punkts</w:t>
            </w:r>
          </w:p>
        </w:tc>
        <w:tc>
          <w:tcPr>
            <w:tcW w:w="3103" w:type="dxa"/>
            <w:shd w:val="clear" w:color="auto" w:fill="C6EFCE"/>
            <w:tcMar>
              <w:left w:w="108" w:type="dxa"/>
              <w:right w:w="108" w:type="dxa"/>
            </w:tcMar>
            <w:vAlign w:val="center"/>
          </w:tcPr>
          <w:p w14:paraId="2056E3B8" w14:textId="77777777" w:rsidR="00327FF1" w:rsidRDefault="00E406C7">
            <w:pPr>
              <w:pStyle w:val="P68B1DB1-Normal121"/>
              <w:spacing w:after="0" w:line="240" w:lineRule="auto"/>
              <w:rPr>
                <w:noProof/>
              </w:rPr>
            </w:pPr>
            <w:r>
              <w:rPr>
                <w:noProof/>
              </w:rPr>
              <w:t>Resursu piešķiršana ūdeņraža testēšanai dzelzceļa mobilitātes vajadzībām</w:t>
            </w:r>
          </w:p>
        </w:tc>
      </w:tr>
      <w:tr w:rsidR="00327FF1" w14:paraId="0D967412" w14:textId="77777777">
        <w:trPr>
          <w:trHeight w:val="300"/>
        </w:trPr>
        <w:tc>
          <w:tcPr>
            <w:tcW w:w="1435" w:type="dxa"/>
            <w:shd w:val="clear" w:color="auto" w:fill="C6EFCE"/>
            <w:tcMar>
              <w:left w:w="108" w:type="dxa"/>
              <w:right w:w="108" w:type="dxa"/>
            </w:tcMar>
            <w:vAlign w:val="center"/>
          </w:tcPr>
          <w:p w14:paraId="5D26BF58" w14:textId="77777777" w:rsidR="00327FF1" w:rsidRDefault="00E406C7">
            <w:pPr>
              <w:pStyle w:val="P68B1DB1-Normal121"/>
              <w:spacing w:after="0" w:line="240" w:lineRule="auto"/>
              <w:jc w:val="center"/>
              <w:rPr>
                <w:noProof/>
              </w:rPr>
            </w:pPr>
            <w:r>
              <w:rPr>
                <w:noProof/>
              </w:rPr>
              <w:t>M2C2–20</w:t>
            </w:r>
          </w:p>
        </w:tc>
        <w:tc>
          <w:tcPr>
            <w:tcW w:w="3543" w:type="dxa"/>
            <w:shd w:val="clear" w:color="auto" w:fill="C6EFCE"/>
            <w:tcMar>
              <w:left w:w="108" w:type="dxa"/>
              <w:right w:w="108" w:type="dxa"/>
            </w:tcMar>
            <w:vAlign w:val="center"/>
          </w:tcPr>
          <w:p w14:paraId="328772E1" w14:textId="77777777" w:rsidR="00327FF1" w:rsidRDefault="00E406C7">
            <w:pPr>
              <w:pStyle w:val="P68B1DB1-Normal121"/>
              <w:spacing w:after="0" w:line="240" w:lineRule="auto"/>
              <w:rPr>
                <w:noProof/>
              </w:rPr>
            </w:pPr>
            <w:r>
              <w:rPr>
                <w:noProof/>
              </w:rPr>
              <w:t>Reforma Nr. 3 “Administratīvā vienkāršošana un regulatīvo šķēršļu mazināšana ūdeņraža ieviešanai”</w:t>
            </w:r>
          </w:p>
        </w:tc>
        <w:tc>
          <w:tcPr>
            <w:tcW w:w="1276" w:type="dxa"/>
            <w:shd w:val="clear" w:color="auto" w:fill="C6EFCE"/>
            <w:tcMar>
              <w:left w:w="108" w:type="dxa"/>
              <w:right w:w="108" w:type="dxa"/>
            </w:tcMar>
            <w:vAlign w:val="center"/>
          </w:tcPr>
          <w:p w14:paraId="114EE866" w14:textId="77777777" w:rsidR="00327FF1" w:rsidRDefault="00E406C7">
            <w:pPr>
              <w:pStyle w:val="P68B1DB1-Normal121"/>
              <w:spacing w:after="0" w:line="240" w:lineRule="auto"/>
              <w:jc w:val="center"/>
              <w:rPr>
                <w:noProof/>
              </w:rPr>
            </w:pPr>
            <w:r>
              <w:rPr>
                <w:noProof/>
              </w:rPr>
              <w:t>Atskaites punkts</w:t>
            </w:r>
          </w:p>
        </w:tc>
        <w:tc>
          <w:tcPr>
            <w:tcW w:w="3103" w:type="dxa"/>
            <w:shd w:val="clear" w:color="auto" w:fill="C6EFCE"/>
            <w:tcMar>
              <w:left w:w="108" w:type="dxa"/>
              <w:right w:w="108" w:type="dxa"/>
            </w:tcMar>
            <w:vAlign w:val="center"/>
          </w:tcPr>
          <w:p w14:paraId="1B364F8C" w14:textId="77777777" w:rsidR="00327FF1" w:rsidRDefault="00E406C7">
            <w:pPr>
              <w:pStyle w:val="P68B1DB1-Normal121"/>
              <w:spacing w:after="0" w:line="240" w:lineRule="auto"/>
              <w:rPr>
                <w:noProof/>
              </w:rPr>
            </w:pPr>
            <w:r>
              <w:rPr>
                <w:noProof/>
              </w:rPr>
              <w:t>Vajadzīgo leģislatīvo aktu stāšanās spēkā</w:t>
            </w:r>
          </w:p>
        </w:tc>
      </w:tr>
      <w:tr w:rsidR="00327FF1" w14:paraId="1360903C" w14:textId="77777777">
        <w:trPr>
          <w:trHeight w:val="300"/>
        </w:trPr>
        <w:tc>
          <w:tcPr>
            <w:tcW w:w="1435" w:type="dxa"/>
            <w:shd w:val="clear" w:color="auto" w:fill="C6EFCE"/>
            <w:tcMar>
              <w:left w:w="108" w:type="dxa"/>
              <w:right w:w="108" w:type="dxa"/>
            </w:tcMar>
            <w:vAlign w:val="center"/>
          </w:tcPr>
          <w:p w14:paraId="5FEF9195" w14:textId="77777777" w:rsidR="00327FF1" w:rsidRDefault="00E406C7">
            <w:pPr>
              <w:pStyle w:val="P68B1DB1-Normal121"/>
              <w:spacing w:after="0" w:line="240" w:lineRule="auto"/>
              <w:jc w:val="center"/>
              <w:rPr>
                <w:noProof/>
              </w:rPr>
            </w:pPr>
            <w:r>
              <w:rPr>
                <w:noProof/>
              </w:rPr>
              <w:t>M5C2–3</w:t>
            </w:r>
          </w:p>
        </w:tc>
        <w:tc>
          <w:tcPr>
            <w:tcW w:w="3543" w:type="dxa"/>
            <w:shd w:val="clear" w:color="auto" w:fill="C6EFCE"/>
            <w:tcMar>
              <w:left w:w="108" w:type="dxa"/>
              <w:right w:w="108" w:type="dxa"/>
            </w:tcMar>
            <w:vAlign w:val="center"/>
          </w:tcPr>
          <w:p w14:paraId="04B0E011" w14:textId="77777777" w:rsidR="00327FF1" w:rsidRDefault="00E406C7">
            <w:pPr>
              <w:pStyle w:val="P68B1DB1-Normal121"/>
              <w:spacing w:after="0" w:line="240" w:lineRule="auto"/>
              <w:rPr>
                <w:noProof/>
              </w:rPr>
            </w:pPr>
            <w:r>
              <w:rPr>
                <w:noProof/>
              </w:rPr>
              <w:t>Reforma — reforma attiecībā uz pašpietiekamiem vecāka gadagājuma cilvēkiem</w:t>
            </w:r>
          </w:p>
        </w:tc>
        <w:tc>
          <w:tcPr>
            <w:tcW w:w="1276" w:type="dxa"/>
            <w:shd w:val="clear" w:color="auto" w:fill="C6EFCE"/>
            <w:tcMar>
              <w:left w:w="108" w:type="dxa"/>
              <w:right w:w="108" w:type="dxa"/>
            </w:tcMar>
            <w:vAlign w:val="center"/>
          </w:tcPr>
          <w:p w14:paraId="1090A4FA" w14:textId="77777777" w:rsidR="00327FF1" w:rsidRDefault="00E406C7">
            <w:pPr>
              <w:pStyle w:val="P68B1DB1-Normal121"/>
              <w:spacing w:after="0" w:line="240" w:lineRule="auto"/>
              <w:jc w:val="center"/>
              <w:rPr>
                <w:noProof/>
              </w:rPr>
            </w:pPr>
            <w:r>
              <w:rPr>
                <w:noProof/>
              </w:rPr>
              <w:t>Atskaites punkts</w:t>
            </w:r>
          </w:p>
        </w:tc>
        <w:tc>
          <w:tcPr>
            <w:tcW w:w="3103" w:type="dxa"/>
            <w:shd w:val="clear" w:color="auto" w:fill="C6EFCE"/>
            <w:tcMar>
              <w:left w:w="108" w:type="dxa"/>
              <w:right w:w="108" w:type="dxa"/>
            </w:tcMar>
            <w:vAlign w:val="center"/>
          </w:tcPr>
          <w:p w14:paraId="1815B229" w14:textId="77777777" w:rsidR="00327FF1" w:rsidRDefault="00E406C7">
            <w:pPr>
              <w:pStyle w:val="P68B1DB1-Normal121"/>
              <w:spacing w:after="0" w:line="240" w:lineRule="auto"/>
              <w:rPr>
                <w:noProof/>
              </w:rPr>
            </w:pPr>
            <w:r>
              <w:rPr>
                <w:noProof/>
              </w:rPr>
              <w:t>Stājas spēkā pamatlikums, kas nostiprina pasākumus par labu vecāka gadagājuma cilvēkiem, kuri nav pašpietiekami</w:t>
            </w:r>
          </w:p>
        </w:tc>
      </w:tr>
      <w:tr w:rsidR="00327FF1" w14:paraId="1777986E" w14:textId="77777777">
        <w:trPr>
          <w:trHeight w:val="300"/>
        </w:trPr>
        <w:tc>
          <w:tcPr>
            <w:tcW w:w="1435" w:type="dxa"/>
            <w:shd w:val="clear" w:color="auto" w:fill="C6EFCE"/>
            <w:tcMar>
              <w:left w:w="108" w:type="dxa"/>
              <w:right w:w="108" w:type="dxa"/>
            </w:tcMar>
            <w:vAlign w:val="center"/>
          </w:tcPr>
          <w:p w14:paraId="7A8A1041" w14:textId="77777777" w:rsidR="00327FF1" w:rsidRDefault="00E406C7">
            <w:pPr>
              <w:pStyle w:val="P68B1DB1-Normal121"/>
              <w:spacing w:after="0" w:line="240" w:lineRule="auto"/>
              <w:jc w:val="center"/>
              <w:rPr>
                <w:noProof/>
              </w:rPr>
            </w:pPr>
            <w:r>
              <w:rPr>
                <w:noProof/>
              </w:rPr>
              <w:t>M1C1–37</w:t>
            </w:r>
          </w:p>
        </w:tc>
        <w:tc>
          <w:tcPr>
            <w:tcW w:w="3543" w:type="dxa"/>
            <w:shd w:val="clear" w:color="auto" w:fill="C6EFCE"/>
            <w:tcMar>
              <w:left w:w="108" w:type="dxa"/>
              <w:right w:w="108" w:type="dxa"/>
            </w:tcMar>
            <w:vAlign w:val="center"/>
          </w:tcPr>
          <w:p w14:paraId="1D9E923D" w14:textId="77777777" w:rsidR="00327FF1" w:rsidRDefault="00E406C7">
            <w:pPr>
              <w:pStyle w:val="P68B1DB1-Normal121"/>
              <w:spacing w:after="0" w:line="240" w:lineRule="auto"/>
              <w:rPr>
                <w:noProof/>
              </w:rPr>
            </w:pPr>
            <w:r>
              <w:rPr>
                <w:noProof/>
              </w:rPr>
              <w:t>Un 1.5. reforma: Civiltiesību un krimināltiesību reforma</w:t>
            </w:r>
          </w:p>
        </w:tc>
        <w:tc>
          <w:tcPr>
            <w:tcW w:w="1276" w:type="dxa"/>
            <w:shd w:val="clear" w:color="auto" w:fill="C6EFCE"/>
            <w:tcMar>
              <w:left w:w="108" w:type="dxa"/>
              <w:right w:w="108" w:type="dxa"/>
            </w:tcMar>
            <w:vAlign w:val="center"/>
          </w:tcPr>
          <w:p w14:paraId="675CF51D" w14:textId="77777777" w:rsidR="00327FF1" w:rsidRDefault="00E406C7">
            <w:pPr>
              <w:pStyle w:val="P68B1DB1-Normal121"/>
              <w:spacing w:after="0" w:line="240" w:lineRule="auto"/>
              <w:jc w:val="center"/>
              <w:rPr>
                <w:noProof/>
              </w:rPr>
            </w:pPr>
            <w:r>
              <w:rPr>
                <w:noProof/>
              </w:rPr>
              <w:t>Atskaites punkts</w:t>
            </w:r>
          </w:p>
        </w:tc>
        <w:tc>
          <w:tcPr>
            <w:tcW w:w="3103" w:type="dxa"/>
            <w:shd w:val="clear" w:color="auto" w:fill="C6EFCE"/>
            <w:tcMar>
              <w:left w:w="108" w:type="dxa"/>
              <w:right w:w="108" w:type="dxa"/>
            </w:tcMar>
            <w:vAlign w:val="center"/>
          </w:tcPr>
          <w:p w14:paraId="74345A42" w14:textId="77777777" w:rsidR="00327FF1" w:rsidRDefault="00E406C7">
            <w:pPr>
              <w:pStyle w:val="P68B1DB1-Normal121"/>
              <w:spacing w:after="0" w:line="240" w:lineRule="auto"/>
              <w:rPr>
                <w:noProof/>
              </w:rPr>
            </w:pPr>
            <w:r>
              <w:rPr>
                <w:noProof/>
              </w:rPr>
              <w:t>Civiltiesību un krimināltiesību reformas stāšanās spēkā</w:t>
            </w:r>
          </w:p>
        </w:tc>
      </w:tr>
      <w:tr w:rsidR="00327FF1" w14:paraId="2D3F541A" w14:textId="77777777">
        <w:trPr>
          <w:trHeight w:val="300"/>
        </w:trPr>
        <w:tc>
          <w:tcPr>
            <w:tcW w:w="1435" w:type="dxa"/>
            <w:shd w:val="clear" w:color="auto" w:fill="C6EFCE"/>
            <w:tcMar>
              <w:left w:w="108" w:type="dxa"/>
              <w:right w:w="108" w:type="dxa"/>
            </w:tcMar>
            <w:vAlign w:val="center"/>
          </w:tcPr>
          <w:p w14:paraId="621F7094" w14:textId="77777777" w:rsidR="00327FF1" w:rsidRDefault="00E406C7">
            <w:pPr>
              <w:pStyle w:val="P68B1DB1-Normal121"/>
              <w:spacing w:after="0" w:line="240" w:lineRule="auto"/>
              <w:jc w:val="center"/>
              <w:rPr>
                <w:noProof/>
              </w:rPr>
            </w:pPr>
            <w:r>
              <w:rPr>
                <w:noProof/>
              </w:rPr>
              <w:t>M1C1–58</w:t>
            </w:r>
          </w:p>
        </w:tc>
        <w:tc>
          <w:tcPr>
            <w:tcW w:w="3543" w:type="dxa"/>
            <w:shd w:val="clear" w:color="auto" w:fill="C6EFCE"/>
            <w:tcMar>
              <w:left w:w="108" w:type="dxa"/>
              <w:right w:w="108" w:type="dxa"/>
            </w:tcMar>
            <w:vAlign w:val="center"/>
          </w:tcPr>
          <w:p w14:paraId="6B2EB594" w14:textId="77777777" w:rsidR="00327FF1" w:rsidRDefault="00E406C7">
            <w:pPr>
              <w:pStyle w:val="P68B1DB1-Normal121"/>
              <w:spacing w:after="0" w:line="240" w:lineRule="auto"/>
              <w:rPr>
                <w:noProof/>
              </w:rPr>
            </w:pPr>
            <w:r>
              <w:rPr>
                <w:noProof/>
              </w:rPr>
              <w:t>Reforma Nr. 1.9: Valsts pārvaldes reforma</w:t>
            </w:r>
          </w:p>
        </w:tc>
        <w:tc>
          <w:tcPr>
            <w:tcW w:w="1276" w:type="dxa"/>
            <w:shd w:val="clear" w:color="auto" w:fill="C6EFCE"/>
            <w:tcMar>
              <w:left w:w="108" w:type="dxa"/>
              <w:right w:w="108" w:type="dxa"/>
            </w:tcMar>
            <w:vAlign w:val="center"/>
          </w:tcPr>
          <w:p w14:paraId="79F8EA78" w14:textId="77777777" w:rsidR="00327FF1" w:rsidRDefault="00E406C7">
            <w:pPr>
              <w:pStyle w:val="P68B1DB1-Normal121"/>
              <w:spacing w:after="0" w:line="240" w:lineRule="auto"/>
              <w:jc w:val="center"/>
              <w:rPr>
                <w:noProof/>
              </w:rPr>
            </w:pPr>
            <w:r>
              <w:rPr>
                <w:noProof/>
              </w:rPr>
              <w:t>Atskaites punkts</w:t>
            </w:r>
          </w:p>
        </w:tc>
        <w:tc>
          <w:tcPr>
            <w:tcW w:w="3103" w:type="dxa"/>
            <w:shd w:val="clear" w:color="auto" w:fill="C6EFCE"/>
            <w:tcMar>
              <w:left w:w="108" w:type="dxa"/>
              <w:right w:w="108" w:type="dxa"/>
            </w:tcMar>
            <w:vAlign w:val="center"/>
          </w:tcPr>
          <w:p w14:paraId="5D47F999" w14:textId="77777777" w:rsidR="00327FF1" w:rsidRDefault="00E406C7">
            <w:pPr>
              <w:pStyle w:val="P68B1DB1-Normal121"/>
              <w:spacing w:after="0" w:line="240" w:lineRule="auto"/>
              <w:rPr>
                <w:noProof/>
              </w:rPr>
            </w:pPr>
            <w:r>
              <w:rPr>
                <w:noProof/>
              </w:rPr>
              <w:t xml:space="preserve">Valsts nodarbinātības reformas tiesību aktu </w:t>
            </w:r>
            <w:r>
              <w:rPr>
                <w:noProof/>
              </w:rPr>
              <w:t>stāšanās spēkā</w:t>
            </w:r>
          </w:p>
        </w:tc>
      </w:tr>
      <w:tr w:rsidR="00327FF1" w14:paraId="7B2F3550" w14:textId="77777777">
        <w:trPr>
          <w:trHeight w:val="300"/>
        </w:trPr>
        <w:tc>
          <w:tcPr>
            <w:tcW w:w="1435" w:type="dxa"/>
            <w:shd w:val="clear" w:color="auto" w:fill="C6EFCE"/>
            <w:tcMar>
              <w:left w:w="108" w:type="dxa"/>
              <w:right w:w="108" w:type="dxa"/>
            </w:tcMar>
            <w:vAlign w:val="center"/>
          </w:tcPr>
          <w:p w14:paraId="718A2409" w14:textId="77777777" w:rsidR="00327FF1" w:rsidRDefault="00E406C7">
            <w:pPr>
              <w:pStyle w:val="P68B1DB1-Normal121"/>
              <w:spacing w:after="0" w:line="240" w:lineRule="auto"/>
              <w:jc w:val="center"/>
              <w:rPr>
                <w:noProof/>
              </w:rPr>
            </w:pPr>
            <w:r>
              <w:rPr>
                <w:noProof/>
              </w:rPr>
              <w:t>M1C1–74</w:t>
            </w:r>
          </w:p>
        </w:tc>
        <w:tc>
          <w:tcPr>
            <w:tcW w:w="3543" w:type="dxa"/>
            <w:shd w:val="clear" w:color="auto" w:fill="C6EFCE"/>
            <w:tcMar>
              <w:left w:w="108" w:type="dxa"/>
              <w:right w:w="108" w:type="dxa"/>
            </w:tcMar>
            <w:vAlign w:val="center"/>
          </w:tcPr>
          <w:p w14:paraId="5B956F1E" w14:textId="77777777" w:rsidR="00327FF1" w:rsidRDefault="00E406C7">
            <w:pPr>
              <w:pStyle w:val="P68B1DB1-Normal121"/>
              <w:spacing w:after="0" w:line="240" w:lineRule="auto"/>
              <w:rPr>
                <w:noProof/>
              </w:rPr>
            </w:pPr>
            <w:r>
              <w:rPr>
                <w:noProof/>
              </w:rPr>
              <w:t>Reforma Nr. 1.10. Publiskā iepirkuma tiesiskā regulējuma reforma</w:t>
            </w:r>
          </w:p>
        </w:tc>
        <w:tc>
          <w:tcPr>
            <w:tcW w:w="1276" w:type="dxa"/>
            <w:shd w:val="clear" w:color="auto" w:fill="C6EFCE"/>
            <w:tcMar>
              <w:left w:w="108" w:type="dxa"/>
              <w:right w:w="108" w:type="dxa"/>
            </w:tcMar>
            <w:vAlign w:val="center"/>
          </w:tcPr>
          <w:p w14:paraId="0ED4C9DD" w14:textId="77777777" w:rsidR="00327FF1" w:rsidRDefault="00E406C7">
            <w:pPr>
              <w:pStyle w:val="P68B1DB1-Normal121"/>
              <w:spacing w:after="0" w:line="240" w:lineRule="auto"/>
              <w:jc w:val="center"/>
              <w:rPr>
                <w:noProof/>
              </w:rPr>
            </w:pPr>
            <w:r>
              <w:rPr>
                <w:noProof/>
              </w:rPr>
              <w:t>Atskaites punkts</w:t>
            </w:r>
          </w:p>
        </w:tc>
        <w:tc>
          <w:tcPr>
            <w:tcW w:w="3103" w:type="dxa"/>
            <w:shd w:val="clear" w:color="auto" w:fill="C6EFCE"/>
            <w:tcMar>
              <w:left w:w="108" w:type="dxa"/>
              <w:right w:w="108" w:type="dxa"/>
            </w:tcMar>
            <w:vAlign w:val="center"/>
          </w:tcPr>
          <w:p w14:paraId="1450CF59" w14:textId="77777777" w:rsidR="00327FF1" w:rsidRDefault="00E406C7">
            <w:pPr>
              <w:pStyle w:val="P68B1DB1-Normal121"/>
              <w:spacing w:after="0" w:line="240" w:lineRule="auto"/>
              <w:rPr>
                <w:noProof/>
              </w:rPr>
            </w:pPr>
            <w:r>
              <w:rPr>
                <w:noProof/>
              </w:rPr>
              <w:t>Stājas spēkā visi nepieciešamie īstenošanas pasākumi un sekundārie tiesību akti attiecībā uz Publiskā iepirkuma kodeksa vienkāršošanas reformu</w:t>
            </w:r>
          </w:p>
        </w:tc>
      </w:tr>
      <w:tr w:rsidR="00327FF1" w14:paraId="3B17C267" w14:textId="77777777">
        <w:trPr>
          <w:trHeight w:val="300"/>
        </w:trPr>
        <w:tc>
          <w:tcPr>
            <w:tcW w:w="1435" w:type="dxa"/>
            <w:shd w:val="clear" w:color="auto" w:fill="C6EFCE"/>
            <w:tcMar>
              <w:left w:w="108" w:type="dxa"/>
              <w:right w:w="108" w:type="dxa"/>
            </w:tcMar>
            <w:vAlign w:val="center"/>
          </w:tcPr>
          <w:p w14:paraId="5D1D2FCD" w14:textId="77777777" w:rsidR="00327FF1" w:rsidRDefault="00E406C7">
            <w:pPr>
              <w:pStyle w:val="P68B1DB1-Normal121"/>
              <w:spacing w:after="0" w:line="240" w:lineRule="auto"/>
              <w:jc w:val="center"/>
              <w:rPr>
                <w:noProof/>
              </w:rPr>
            </w:pPr>
            <w:r>
              <w:rPr>
                <w:noProof/>
              </w:rPr>
              <w:t>M1C1–1</w:t>
            </w:r>
            <w:r>
              <w:rPr>
                <w:noProof/>
              </w:rPr>
              <w:t>09</w:t>
            </w:r>
          </w:p>
        </w:tc>
        <w:tc>
          <w:tcPr>
            <w:tcW w:w="3543" w:type="dxa"/>
            <w:shd w:val="clear" w:color="auto" w:fill="C6EFCE"/>
            <w:tcMar>
              <w:left w:w="108" w:type="dxa"/>
              <w:right w:w="108" w:type="dxa"/>
            </w:tcMar>
            <w:vAlign w:val="center"/>
          </w:tcPr>
          <w:p w14:paraId="43BFC17C" w14:textId="77777777" w:rsidR="00327FF1" w:rsidRDefault="00E406C7">
            <w:pPr>
              <w:pStyle w:val="P68B1DB1-Normal121"/>
              <w:spacing w:after="0" w:line="240" w:lineRule="auto"/>
              <w:rPr>
                <w:noProof/>
              </w:rPr>
            </w:pPr>
            <w:r>
              <w:rPr>
                <w:noProof/>
              </w:rPr>
              <w:t>Reforma Nr. 1.12: Nodokļu administrācijas reforma</w:t>
            </w:r>
          </w:p>
        </w:tc>
        <w:tc>
          <w:tcPr>
            <w:tcW w:w="1276" w:type="dxa"/>
            <w:shd w:val="clear" w:color="auto" w:fill="C6EFCE"/>
            <w:tcMar>
              <w:left w:w="108" w:type="dxa"/>
              <w:right w:w="108" w:type="dxa"/>
            </w:tcMar>
            <w:vAlign w:val="center"/>
          </w:tcPr>
          <w:p w14:paraId="2E6E8F1C" w14:textId="77777777" w:rsidR="00327FF1" w:rsidRDefault="00E406C7">
            <w:pPr>
              <w:pStyle w:val="P68B1DB1-Normal121"/>
              <w:spacing w:after="0" w:line="240" w:lineRule="auto"/>
              <w:jc w:val="center"/>
              <w:rPr>
                <w:noProof/>
              </w:rPr>
            </w:pPr>
            <w:r>
              <w:rPr>
                <w:noProof/>
              </w:rPr>
              <w:t>Mērķa</w:t>
            </w:r>
          </w:p>
        </w:tc>
        <w:tc>
          <w:tcPr>
            <w:tcW w:w="3103" w:type="dxa"/>
            <w:shd w:val="clear" w:color="auto" w:fill="C6EFCE"/>
            <w:tcMar>
              <w:left w:w="108" w:type="dxa"/>
              <w:right w:w="108" w:type="dxa"/>
            </w:tcMar>
            <w:vAlign w:val="center"/>
          </w:tcPr>
          <w:p w14:paraId="6274EF93" w14:textId="77777777" w:rsidR="00327FF1" w:rsidRDefault="00E406C7">
            <w:pPr>
              <w:pStyle w:val="P68B1DB1-Normal121"/>
              <w:spacing w:after="0" w:line="240" w:lineRule="auto"/>
              <w:rPr>
                <w:noProof/>
              </w:rPr>
            </w:pPr>
            <w:r>
              <w:rPr>
                <w:noProof/>
              </w:rPr>
              <w:t>Pirmo iepriekš aizpildīto PVN deklarāciju nosūtīšana</w:t>
            </w:r>
          </w:p>
        </w:tc>
      </w:tr>
      <w:tr w:rsidR="00327FF1" w14:paraId="2E4EBFB9" w14:textId="77777777">
        <w:trPr>
          <w:trHeight w:val="300"/>
        </w:trPr>
        <w:tc>
          <w:tcPr>
            <w:tcW w:w="1435" w:type="dxa"/>
            <w:shd w:val="clear" w:color="auto" w:fill="C6EFCE"/>
            <w:tcMar>
              <w:left w:w="108" w:type="dxa"/>
              <w:right w:w="108" w:type="dxa"/>
            </w:tcMar>
            <w:vAlign w:val="center"/>
          </w:tcPr>
          <w:p w14:paraId="1989C7C1" w14:textId="77777777" w:rsidR="00327FF1" w:rsidRDefault="00E406C7">
            <w:pPr>
              <w:pStyle w:val="P68B1DB1-Normal121"/>
              <w:spacing w:after="0" w:line="240" w:lineRule="auto"/>
              <w:jc w:val="center"/>
              <w:rPr>
                <w:noProof/>
              </w:rPr>
            </w:pPr>
            <w:r>
              <w:rPr>
                <w:noProof/>
              </w:rPr>
              <w:t>M2C2–27</w:t>
            </w:r>
          </w:p>
        </w:tc>
        <w:tc>
          <w:tcPr>
            <w:tcW w:w="3543" w:type="dxa"/>
            <w:shd w:val="clear" w:color="auto" w:fill="C6EFCE"/>
            <w:tcMar>
              <w:left w:w="108" w:type="dxa"/>
              <w:right w:w="108" w:type="dxa"/>
            </w:tcMar>
            <w:vAlign w:val="center"/>
          </w:tcPr>
          <w:p w14:paraId="55C104E3" w14:textId="77777777" w:rsidR="00327FF1" w:rsidRDefault="00E406C7">
            <w:pPr>
              <w:pStyle w:val="P68B1DB1-Normal121"/>
              <w:spacing w:after="0" w:line="240" w:lineRule="auto"/>
              <w:rPr>
                <w:noProof/>
              </w:rPr>
            </w:pPr>
            <w:r>
              <w:rPr>
                <w:noProof/>
              </w:rPr>
              <w:t>Investīcija Nr. 4.3. Uzlādes infrastruktūras uzstādīšana</w:t>
            </w:r>
          </w:p>
        </w:tc>
        <w:tc>
          <w:tcPr>
            <w:tcW w:w="1276" w:type="dxa"/>
            <w:shd w:val="clear" w:color="auto" w:fill="C6EFCE"/>
            <w:tcMar>
              <w:left w:w="108" w:type="dxa"/>
              <w:right w:w="108" w:type="dxa"/>
            </w:tcMar>
            <w:vAlign w:val="center"/>
          </w:tcPr>
          <w:p w14:paraId="68E56722" w14:textId="77777777" w:rsidR="00327FF1" w:rsidRDefault="00E406C7">
            <w:pPr>
              <w:pStyle w:val="P68B1DB1-Normal121"/>
              <w:spacing w:after="0" w:line="240" w:lineRule="auto"/>
              <w:jc w:val="center"/>
              <w:rPr>
                <w:noProof/>
              </w:rPr>
            </w:pPr>
            <w:r>
              <w:rPr>
                <w:noProof/>
              </w:rPr>
              <w:t>Atskaites punkts</w:t>
            </w:r>
          </w:p>
        </w:tc>
        <w:tc>
          <w:tcPr>
            <w:tcW w:w="3103" w:type="dxa"/>
            <w:shd w:val="clear" w:color="auto" w:fill="C6EFCE"/>
            <w:tcMar>
              <w:left w:w="108" w:type="dxa"/>
              <w:right w:w="108" w:type="dxa"/>
            </w:tcMar>
            <w:vAlign w:val="center"/>
          </w:tcPr>
          <w:p w14:paraId="43B2680E" w14:textId="77777777" w:rsidR="00327FF1" w:rsidRDefault="00E406C7">
            <w:pPr>
              <w:pStyle w:val="P68B1DB1-Normal121"/>
              <w:spacing w:after="0" w:line="240" w:lineRule="auto"/>
              <w:rPr>
                <w:noProof/>
              </w:rPr>
            </w:pPr>
            <w:r>
              <w:rPr>
                <w:noProof/>
              </w:rPr>
              <w:t xml:space="preserve">Visu publisko līgumu slēgšanas tiesību piešķiršana uzlādes </w:t>
            </w:r>
            <w:r>
              <w:rPr>
                <w:noProof/>
              </w:rPr>
              <w:t>infrastruktūras uzstādīšanai M1</w:t>
            </w:r>
          </w:p>
        </w:tc>
      </w:tr>
      <w:tr w:rsidR="00327FF1" w14:paraId="612BC86D" w14:textId="77777777">
        <w:trPr>
          <w:trHeight w:val="300"/>
        </w:trPr>
        <w:tc>
          <w:tcPr>
            <w:tcW w:w="1435" w:type="dxa"/>
            <w:shd w:val="clear" w:color="auto" w:fill="C6EFCE"/>
            <w:tcMar>
              <w:left w:w="108" w:type="dxa"/>
              <w:right w:w="108" w:type="dxa"/>
            </w:tcMar>
            <w:vAlign w:val="center"/>
          </w:tcPr>
          <w:p w14:paraId="1E1DDF7F" w14:textId="77777777" w:rsidR="00327FF1" w:rsidRDefault="00E406C7">
            <w:pPr>
              <w:pStyle w:val="P68B1DB1-Normal121"/>
              <w:spacing w:after="0" w:line="240" w:lineRule="auto"/>
              <w:jc w:val="center"/>
              <w:rPr>
                <w:noProof/>
              </w:rPr>
            </w:pPr>
            <w:r>
              <w:rPr>
                <w:noProof/>
              </w:rPr>
              <w:t>M2C2–33</w:t>
            </w:r>
          </w:p>
        </w:tc>
        <w:tc>
          <w:tcPr>
            <w:tcW w:w="3543" w:type="dxa"/>
            <w:shd w:val="clear" w:color="auto" w:fill="C6EFCE"/>
            <w:tcMar>
              <w:left w:w="108" w:type="dxa"/>
              <w:right w:w="108" w:type="dxa"/>
            </w:tcMar>
            <w:vAlign w:val="center"/>
          </w:tcPr>
          <w:p w14:paraId="7B13C2F4" w14:textId="77777777" w:rsidR="00327FF1" w:rsidRDefault="00E406C7">
            <w:pPr>
              <w:pStyle w:val="P68B1DB1-Normal122"/>
              <w:spacing w:after="0" w:line="240" w:lineRule="auto"/>
              <w:rPr>
                <w:noProof/>
              </w:rPr>
            </w:pPr>
            <w:r>
              <w:rPr>
                <w:noProof/>
                <w:color w:val="006100"/>
              </w:rPr>
              <w:t xml:space="preserve">Investīcija Nr. 4.4.2. Reģionālā sabiedriskā transporta dzelzceļa parka </w:t>
            </w:r>
            <w:r>
              <w:rPr>
                <w:noProof/>
                <w:color w:val="000000"/>
              </w:rPr>
              <w:t xml:space="preserve"> </w:t>
            </w:r>
            <w:r>
              <w:rPr>
                <w:noProof/>
                <w:color w:val="006100"/>
              </w:rPr>
              <w:t>stiprināšana ar bezemisiju vilcieniem un universālo pakalpojumu</w:t>
            </w:r>
          </w:p>
        </w:tc>
        <w:tc>
          <w:tcPr>
            <w:tcW w:w="1276" w:type="dxa"/>
            <w:shd w:val="clear" w:color="auto" w:fill="C6EFCE"/>
            <w:tcMar>
              <w:left w:w="108" w:type="dxa"/>
              <w:right w:w="108" w:type="dxa"/>
            </w:tcMar>
            <w:vAlign w:val="center"/>
          </w:tcPr>
          <w:p w14:paraId="402B1735" w14:textId="77777777" w:rsidR="00327FF1" w:rsidRDefault="00E406C7">
            <w:pPr>
              <w:pStyle w:val="P68B1DB1-Normal121"/>
              <w:spacing w:after="0" w:line="240" w:lineRule="auto"/>
              <w:jc w:val="center"/>
              <w:rPr>
                <w:noProof/>
              </w:rPr>
            </w:pPr>
            <w:r>
              <w:rPr>
                <w:noProof/>
              </w:rPr>
              <w:t>Atskaites punkts</w:t>
            </w:r>
          </w:p>
        </w:tc>
        <w:tc>
          <w:tcPr>
            <w:tcW w:w="3103" w:type="dxa"/>
            <w:shd w:val="clear" w:color="auto" w:fill="C6EFCE"/>
            <w:tcMar>
              <w:left w:w="108" w:type="dxa"/>
              <w:right w:w="108" w:type="dxa"/>
            </w:tcMar>
            <w:vAlign w:val="center"/>
          </w:tcPr>
          <w:p w14:paraId="50261CCD" w14:textId="77777777" w:rsidR="00327FF1" w:rsidRDefault="00E406C7">
            <w:pPr>
              <w:pStyle w:val="P68B1DB1-Normal121"/>
              <w:spacing w:after="0" w:line="240" w:lineRule="auto"/>
              <w:rPr>
                <w:noProof/>
              </w:rPr>
            </w:pPr>
            <w:r>
              <w:rPr>
                <w:noProof/>
              </w:rPr>
              <w:t xml:space="preserve">Visu publiskā iepirkuma līgumu slēgšanas tiesību piešķiršana </w:t>
            </w:r>
            <w:r>
              <w:rPr>
                <w:noProof/>
              </w:rPr>
              <w:t>reģionālā sabiedriskā transporta dzelzceļa parka stiprināšanai ar bezemisiju vilcieniem un universālo pakalpojumu</w:t>
            </w:r>
          </w:p>
        </w:tc>
      </w:tr>
      <w:tr w:rsidR="00327FF1" w14:paraId="4AEB2D70" w14:textId="77777777">
        <w:trPr>
          <w:trHeight w:val="300"/>
        </w:trPr>
        <w:tc>
          <w:tcPr>
            <w:tcW w:w="1435" w:type="dxa"/>
            <w:shd w:val="clear" w:color="auto" w:fill="C6EFCE"/>
            <w:tcMar>
              <w:left w:w="108" w:type="dxa"/>
              <w:right w:w="108" w:type="dxa"/>
            </w:tcMar>
            <w:vAlign w:val="center"/>
          </w:tcPr>
          <w:p w14:paraId="67B4E346" w14:textId="77777777" w:rsidR="00327FF1" w:rsidRDefault="00E406C7">
            <w:pPr>
              <w:pStyle w:val="P68B1DB1-Normal121"/>
              <w:spacing w:after="0" w:line="240" w:lineRule="auto"/>
              <w:jc w:val="center"/>
              <w:rPr>
                <w:noProof/>
              </w:rPr>
            </w:pPr>
            <w:r>
              <w:rPr>
                <w:noProof/>
              </w:rPr>
              <w:t>M2C3–2</w:t>
            </w:r>
          </w:p>
        </w:tc>
        <w:tc>
          <w:tcPr>
            <w:tcW w:w="3543" w:type="dxa"/>
            <w:shd w:val="clear" w:color="auto" w:fill="C6EFCE"/>
            <w:tcMar>
              <w:left w:w="108" w:type="dxa"/>
              <w:right w:w="108" w:type="dxa"/>
            </w:tcMar>
            <w:vAlign w:val="center"/>
          </w:tcPr>
          <w:p w14:paraId="217FE0EE" w14:textId="64C42F30" w:rsidR="00327FF1" w:rsidRDefault="00E406C7">
            <w:pPr>
              <w:pStyle w:val="P68B1DB1-Normal121"/>
              <w:spacing w:after="0" w:line="240" w:lineRule="auto"/>
              <w:rPr>
                <w:noProof/>
              </w:rPr>
            </w:pPr>
            <w:r>
              <w:rPr>
                <w:noProof/>
              </w:rPr>
              <w:t xml:space="preserve">Investīcija 2.1. — Ecobonus stiprināšana energoefektivitātes jomā </w:t>
            </w:r>
          </w:p>
        </w:tc>
        <w:tc>
          <w:tcPr>
            <w:tcW w:w="1276" w:type="dxa"/>
            <w:shd w:val="clear" w:color="auto" w:fill="C6EFCE"/>
            <w:tcMar>
              <w:left w:w="108" w:type="dxa"/>
              <w:right w:w="108" w:type="dxa"/>
            </w:tcMar>
            <w:vAlign w:val="center"/>
          </w:tcPr>
          <w:p w14:paraId="41E4BE89" w14:textId="77777777" w:rsidR="00327FF1" w:rsidRDefault="00E406C7">
            <w:pPr>
              <w:pStyle w:val="P68B1DB1-Normal121"/>
              <w:spacing w:after="0" w:line="240" w:lineRule="auto"/>
              <w:jc w:val="center"/>
              <w:rPr>
                <w:noProof/>
              </w:rPr>
            </w:pPr>
            <w:r>
              <w:rPr>
                <w:noProof/>
              </w:rPr>
              <w:t>Mērķa</w:t>
            </w:r>
          </w:p>
        </w:tc>
        <w:tc>
          <w:tcPr>
            <w:tcW w:w="3103" w:type="dxa"/>
            <w:shd w:val="clear" w:color="auto" w:fill="C6EFCE"/>
            <w:tcMar>
              <w:left w:w="108" w:type="dxa"/>
              <w:right w:w="108" w:type="dxa"/>
            </w:tcMar>
            <w:vAlign w:val="center"/>
          </w:tcPr>
          <w:p w14:paraId="7F6E70D2" w14:textId="77777777" w:rsidR="00327FF1" w:rsidRDefault="00E406C7">
            <w:pPr>
              <w:pStyle w:val="P68B1DB1-Normal121"/>
              <w:spacing w:after="0" w:line="240" w:lineRule="auto"/>
              <w:rPr>
                <w:noProof/>
              </w:rPr>
            </w:pPr>
            <w:r>
              <w:rPr>
                <w:noProof/>
              </w:rPr>
              <w:t>Ēku renovācija Superbonus T1</w:t>
            </w:r>
          </w:p>
        </w:tc>
      </w:tr>
      <w:tr w:rsidR="00327FF1" w14:paraId="1F6F10D9" w14:textId="77777777">
        <w:trPr>
          <w:trHeight w:val="300"/>
        </w:trPr>
        <w:tc>
          <w:tcPr>
            <w:tcW w:w="1435" w:type="dxa"/>
            <w:shd w:val="clear" w:color="auto" w:fill="C6EFCE"/>
            <w:tcMar>
              <w:left w:w="108" w:type="dxa"/>
              <w:right w:w="108" w:type="dxa"/>
            </w:tcMar>
            <w:vAlign w:val="center"/>
          </w:tcPr>
          <w:p w14:paraId="3B3AF2FC" w14:textId="77777777" w:rsidR="00327FF1" w:rsidRDefault="00E406C7">
            <w:pPr>
              <w:pStyle w:val="P68B1DB1-Normal121"/>
              <w:spacing w:after="0" w:line="240" w:lineRule="auto"/>
              <w:jc w:val="center"/>
              <w:rPr>
                <w:noProof/>
              </w:rPr>
            </w:pPr>
            <w:r>
              <w:rPr>
                <w:noProof/>
              </w:rPr>
              <w:t>M4C1–9</w:t>
            </w:r>
          </w:p>
        </w:tc>
        <w:tc>
          <w:tcPr>
            <w:tcW w:w="3543" w:type="dxa"/>
            <w:shd w:val="clear" w:color="auto" w:fill="C6EFCE"/>
            <w:tcMar>
              <w:left w:w="108" w:type="dxa"/>
              <w:right w:w="108" w:type="dxa"/>
            </w:tcMar>
            <w:vAlign w:val="center"/>
          </w:tcPr>
          <w:p w14:paraId="5F888A75" w14:textId="77777777" w:rsidR="00327FF1" w:rsidRDefault="00E406C7">
            <w:pPr>
              <w:pStyle w:val="P68B1DB1-Normal121"/>
              <w:spacing w:after="0" w:line="240" w:lineRule="auto"/>
              <w:rPr>
                <w:noProof/>
              </w:rPr>
            </w:pPr>
            <w:r>
              <w:rPr>
                <w:noProof/>
              </w:rPr>
              <w:t>Investīcija 1.1: Bērnudā</w:t>
            </w:r>
            <w:r>
              <w:rPr>
                <w:noProof/>
              </w:rPr>
              <w:t>rzu un pirmsskolas izglītības un aprūpes pakalpojumu plāns</w:t>
            </w:r>
          </w:p>
        </w:tc>
        <w:tc>
          <w:tcPr>
            <w:tcW w:w="1276" w:type="dxa"/>
            <w:shd w:val="clear" w:color="auto" w:fill="C6EFCE"/>
            <w:tcMar>
              <w:left w:w="108" w:type="dxa"/>
              <w:right w:w="108" w:type="dxa"/>
            </w:tcMar>
            <w:vAlign w:val="center"/>
          </w:tcPr>
          <w:p w14:paraId="14348D56" w14:textId="77777777" w:rsidR="00327FF1" w:rsidRDefault="00E406C7">
            <w:pPr>
              <w:pStyle w:val="P68B1DB1-Normal121"/>
              <w:spacing w:after="0" w:line="240" w:lineRule="auto"/>
              <w:jc w:val="center"/>
              <w:rPr>
                <w:noProof/>
              </w:rPr>
            </w:pPr>
            <w:r>
              <w:rPr>
                <w:noProof/>
              </w:rPr>
              <w:t>Atskaites punkts</w:t>
            </w:r>
          </w:p>
        </w:tc>
        <w:tc>
          <w:tcPr>
            <w:tcW w:w="3103" w:type="dxa"/>
            <w:shd w:val="clear" w:color="auto" w:fill="C6EFCE"/>
            <w:tcMar>
              <w:left w:w="108" w:type="dxa"/>
              <w:right w:w="108" w:type="dxa"/>
            </w:tcMar>
            <w:vAlign w:val="center"/>
          </w:tcPr>
          <w:p w14:paraId="3F1EE61F" w14:textId="7EA19011" w:rsidR="00327FF1" w:rsidRDefault="00E406C7">
            <w:pPr>
              <w:pStyle w:val="P68B1DB1-Normal121"/>
              <w:spacing w:after="0" w:line="240" w:lineRule="auto"/>
              <w:rPr>
                <w:noProof/>
              </w:rPr>
            </w:pPr>
            <w:r>
              <w:rPr>
                <w:noProof/>
              </w:rPr>
              <w:t>Līgumu slēgšanas tiesību piešķiršana attiecībā uz būvniecību, renovāciju un drošības garantēšanu bērnudārzu un pirmsskolas izglītības un aprūpes pakalpojumu sniegšanai</w:t>
            </w:r>
          </w:p>
        </w:tc>
      </w:tr>
      <w:tr w:rsidR="00327FF1" w14:paraId="2DE1B7B2" w14:textId="77777777">
        <w:trPr>
          <w:trHeight w:val="300"/>
        </w:trPr>
        <w:tc>
          <w:tcPr>
            <w:tcW w:w="1435" w:type="dxa"/>
            <w:shd w:val="clear" w:color="auto" w:fill="C6EFCE"/>
            <w:tcMar>
              <w:left w:w="108" w:type="dxa"/>
              <w:right w:w="108" w:type="dxa"/>
            </w:tcMar>
            <w:vAlign w:val="center"/>
          </w:tcPr>
          <w:p w14:paraId="02E629A8" w14:textId="77777777" w:rsidR="00327FF1" w:rsidRDefault="00E406C7">
            <w:pPr>
              <w:pStyle w:val="P68B1DB1-Normal121"/>
              <w:spacing w:after="0" w:line="240" w:lineRule="auto"/>
              <w:jc w:val="center"/>
              <w:rPr>
                <w:noProof/>
              </w:rPr>
            </w:pPr>
            <w:r>
              <w:rPr>
                <w:noProof/>
              </w:rPr>
              <w:t>M5C3–8</w:t>
            </w:r>
          </w:p>
        </w:tc>
        <w:tc>
          <w:tcPr>
            <w:tcW w:w="3543" w:type="dxa"/>
            <w:shd w:val="clear" w:color="auto" w:fill="C6EFCE"/>
            <w:tcMar>
              <w:left w:w="108" w:type="dxa"/>
              <w:right w:w="108" w:type="dxa"/>
            </w:tcMar>
            <w:vAlign w:val="center"/>
          </w:tcPr>
          <w:p w14:paraId="52D8B6D2" w14:textId="77777777" w:rsidR="00327FF1" w:rsidRDefault="00E406C7">
            <w:pPr>
              <w:pStyle w:val="P68B1DB1-Normal121"/>
              <w:spacing w:after="0" w:line="240" w:lineRule="auto"/>
              <w:rPr>
                <w:noProof/>
              </w:rPr>
            </w:pPr>
            <w:r>
              <w:rPr>
                <w:noProof/>
              </w:rPr>
              <w:t>Investīcija Nr. 1.3. Strukturēti sociāli izglītojoši pasākumi, lai cīnītos pret izglītības trūkumu dienvidos, atbalstot trešo nozari</w:t>
            </w:r>
          </w:p>
        </w:tc>
        <w:tc>
          <w:tcPr>
            <w:tcW w:w="1276" w:type="dxa"/>
            <w:shd w:val="clear" w:color="auto" w:fill="C6EFCE"/>
            <w:tcMar>
              <w:left w:w="108" w:type="dxa"/>
              <w:right w:w="108" w:type="dxa"/>
            </w:tcMar>
            <w:vAlign w:val="center"/>
          </w:tcPr>
          <w:p w14:paraId="5EEA773F" w14:textId="77777777" w:rsidR="00327FF1" w:rsidRDefault="00E406C7">
            <w:pPr>
              <w:pStyle w:val="P68B1DB1-Normal121"/>
              <w:spacing w:after="0" w:line="240" w:lineRule="auto"/>
              <w:jc w:val="center"/>
              <w:rPr>
                <w:noProof/>
              </w:rPr>
            </w:pPr>
            <w:r>
              <w:rPr>
                <w:noProof/>
              </w:rPr>
              <w:t>Mērķa</w:t>
            </w:r>
          </w:p>
        </w:tc>
        <w:tc>
          <w:tcPr>
            <w:tcW w:w="3103" w:type="dxa"/>
            <w:shd w:val="clear" w:color="auto" w:fill="C6EFCE"/>
            <w:tcMar>
              <w:left w:w="108" w:type="dxa"/>
              <w:right w:w="108" w:type="dxa"/>
            </w:tcMar>
            <w:vAlign w:val="center"/>
          </w:tcPr>
          <w:p w14:paraId="63ED9E60" w14:textId="77777777" w:rsidR="00327FF1" w:rsidRDefault="00E406C7">
            <w:pPr>
              <w:pStyle w:val="P68B1DB1-Normal121"/>
              <w:spacing w:after="0" w:line="240" w:lineRule="auto"/>
              <w:rPr>
                <w:noProof/>
              </w:rPr>
            </w:pPr>
            <w:r>
              <w:rPr>
                <w:noProof/>
              </w:rPr>
              <w:t>Izglītības atbalsts nepilngadīgajiem (pirmā daļa)</w:t>
            </w:r>
          </w:p>
        </w:tc>
      </w:tr>
      <w:tr w:rsidR="00327FF1" w14:paraId="49F92A3A" w14:textId="77777777">
        <w:trPr>
          <w:trHeight w:val="300"/>
        </w:trPr>
        <w:tc>
          <w:tcPr>
            <w:tcW w:w="1435" w:type="dxa"/>
            <w:shd w:val="clear" w:color="auto" w:fill="C6EFCE"/>
            <w:tcMar>
              <w:left w:w="108" w:type="dxa"/>
              <w:right w:w="108" w:type="dxa"/>
            </w:tcMar>
            <w:vAlign w:val="center"/>
          </w:tcPr>
          <w:p w14:paraId="4750F3F1" w14:textId="77777777" w:rsidR="00327FF1" w:rsidRDefault="00327FF1">
            <w:pPr>
              <w:spacing w:after="0" w:line="240" w:lineRule="auto"/>
              <w:jc w:val="center"/>
              <w:rPr>
                <w:rFonts w:ascii="Times New Roman" w:eastAsia="Times New Roman" w:hAnsi="Times New Roman" w:cs="Times New Roman"/>
                <w:noProof/>
              </w:rPr>
            </w:pPr>
          </w:p>
        </w:tc>
        <w:tc>
          <w:tcPr>
            <w:tcW w:w="3543" w:type="dxa"/>
            <w:shd w:val="clear" w:color="auto" w:fill="C6EFCE"/>
            <w:tcMar>
              <w:left w:w="108" w:type="dxa"/>
              <w:right w:w="108" w:type="dxa"/>
            </w:tcMar>
            <w:vAlign w:val="center"/>
          </w:tcPr>
          <w:p w14:paraId="07AB3AF2" w14:textId="77777777" w:rsidR="00327FF1" w:rsidRDefault="00E406C7">
            <w:pPr>
              <w:pStyle w:val="P68B1DB1-Normal121"/>
              <w:spacing w:after="0" w:line="240" w:lineRule="auto"/>
              <w:rPr>
                <w:noProof/>
              </w:rPr>
            </w:pPr>
            <w:r>
              <w:rPr>
                <w:noProof/>
              </w:rPr>
              <w:t xml:space="preserve"> </w:t>
            </w:r>
          </w:p>
        </w:tc>
        <w:tc>
          <w:tcPr>
            <w:tcW w:w="1276" w:type="dxa"/>
            <w:shd w:val="clear" w:color="auto" w:fill="C6EFCE"/>
            <w:tcMar>
              <w:left w:w="108" w:type="dxa"/>
              <w:right w:w="108" w:type="dxa"/>
            </w:tcMar>
            <w:vAlign w:val="center"/>
          </w:tcPr>
          <w:p w14:paraId="4F0119F3" w14:textId="77777777" w:rsidR="00327FF1" w:rsidRDefault="00E406C7">
            <w:pPr>
              <w:pStyle w:val="P68B1DB1-Normal121"/>
              <w:spacing w:after="0" w:line="240" w:lineRule="auto"/>
              <w:jc w:val="center"/>
              <w:rPr>
                <w:noProof/>
              </w:rPr>
            </w:pPr>
            <w:r>
              <w:rPr>
                <w:noProof/>
              </w:rPr>
              <w:t>Maksājuma summa</w:t>
            </w:r>
          </w:p>
        </w:tc>
        <w:tc>
          <w:tcPr>
            <w:tcW w:w="3103" w:type="dxa"/>
            <w:shd w:val="clear" w:color="auto" w:fill="C6EFCE"/>
            <w:tcMar>
              <w:left w:w="108" w:type="dxa"/>
              <w:right w:w="108" w:type="dxa"/>
            </w:tcMar>
            <w:vAlign w:val="center"/>
          </w:tcPr>
          <w:p w14:paraId="784D566A"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2315646882</w:t>
            </w:r>
            <w:r>
              <w:rPr>
                <w:noProof/>
                <w:sz w:val="23"/>
                <w:szCs w:val="23"/>
              </w:rPr>
              <w:t xml:space="preserve"> </w:t>
            </w:r>
          </w:p>
        </w:tc>
      </w:tr>
    </w:tbl>
    <w:p w14:paraId="0253E1A2" w14:textId="2AF57A8C" w:rsidR="00327FF1" w:rsidRDefault="00327FF1">
      <w:pPr>
        <w:rPr>
          <w:rFonts w:ascii="Times New Roman" w:eastAsiaTheme="majorEastAsia" w:hAnsi="Times New Roman" w:cs="Times New Roman"/>
          <w:noProof/>
          <w:highlight w:val="lightGray"/>
        </w:rPr>
      </w:pPr>
    </w:p>
    <w:p w14:paraId="6703ACD6" w14:textId="77777777" w:rsidR="00327FF1" w:rsidRDefault="00E406C7">
      <w:pPr>
        <w:pStyle w:val="P68B1DB1-Heading4119"/>
        <w:numPr>
          <w:ilvl w:val="1"/>
          <w:numId w:val="180"/>
        </w:numPr>
        <w:tabs>
          <w:tab w:val="num" w:pos="1440"/>
        </w:tabs>
        <w:ind w:left="1440" w:hanging="360"/>
        <w:rPr>
          <w:noProof/>
        </w:rPr>
      </w:pPr>
      <w:r>
        <w:rPr>
          <w:noProof/>
        </w:rPr>
        <w:t xml:space="preserve">Piektais maksājums </w:t>
      </w:r>
      <w:r>
        <w:rPr>
          <w:noProof/>
        </w:rPr>
        <w:t>(neatmaksājams atbalsts):</w:t>
      </w:r>
    </w:p>
    <w:tbl>
      <w:tblPr>
        <w:tblW w:w="936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0"/>
        <w:gridCol w:w="3543"/>
        <w:gridCol w:w="1276"/>
        <w:gridCol w:w="3112"/>
      </w:tblGrid>
      <w:tr w:rsidR="00327FF1" w14:paraId="421DF51F" w14:textId="77777777">
        <w:trPr>
          <w:trHeight w:val="1425"/>
          <w:tblHeader/>
        </w:trPr>
        <w:tc>
          <w:tcPr>
            <w:tcW w:w="1430" w:type="dxa"/>
            <w:shd w:val="clear" w:color="auto" w:fill="BDD7EE"/>
            <w:tcMar>
              <w:left w:w="108" w:type="dxa"/>
              <w:right w:w="108" w:type="dxa"/>
            </w:tcMar>
            <w:vAlign w:val="center"/>
          </w:tcPr>
          <w:p w14:paraId="130A754C" w14:textId="77777777" w:rsidR="00327FF1" w:rsidRDefault="00E406C7">
            <w:pPr>
              <w:pStyle w:val="P68B1DB1-Normal120"/>
              <w:spacing w:after="0" w:line="240" w:lineRule="auto"/>
              <w:jc w:val="center"/>
              <w:rPr>
                <w:noProof/>
              </w:rPr>
            </w:pPr>
            <w:r>
              <w:rPr>
                <w:noProof/>
              </w:rPr>
              <w:t>Kārtas numurs</w:t>
            </w:r>
          </w:p>
        </w:tc>
        <w:tc>
          <w:tcPr>
            <w:tcW w:w="3543" w:type="dxa"/>
            <w:shd w:val="clear" w:color="auto" w:fill="BDD7EE"/>
            <w:tcMar>
              <w:left w:w="108" w:type="dxa"/>
              <w:right w:w="108" w:type="dxa"/>
            </w:tcMar>
            <w:vAlign w:val="center"/>
          </w:tcPr>
          <w:p w14:paraId="1342B024" w14:textId="77777777" w:rsidR="00327FF1" w:rsidRDefault="00E406C7">
            <w:pPr>
              <w:pStyle w:val="P68B1DB1-Normal120"/>
              <w:spacing w:after="0" w:line="240" w:lineRule="auto"/>
              <w:jc w:val="center"/>
              <w:rPr>
                <w:noProof/>
              </w:rPr>
            </w:pPr>
            <w:r>
              <w:rPr>
                <w:noProof/>
              </w:rPr>
              <w:t>Saistītais pasākums (reforma vai ieguldījums)</w:t>
            </w:r>
          </w:p>
        </w:tc>
        <w:tc>
          <w:tcPr>
            <w:tcW w:w="1276" w:type="dxa"/>
            <w:shd w:val="clear" w:color="auto" w:fill="BDD7EE"/>
            <w:tcMar>
              <w:left w:w="108" w:type="dxa"/>
              <w:right w:w="108" w:type="dxa"/>
            </w:tcMar>
            <w:vAlign w:val="center"/>
          </w:tcPr>
          <w:p w14:paraId="006C0C28" w14:textId="77777777" w:rsidR="00327FF1" w:rsidRDefault="00E406C7">
            <w:pPr>
              <w:pStyle w:val="P68B1DB1-Normal120"/>
              <w:spacing w:after="0" w:line="240" w:lineRule="auto"/>
              <w:jc w:val="center"/>
              <w:rPr>
                <w:noProof/>
              </w:rPr>
            </w:pPr>
            <w:r>
              <w:rPr>
                <w:noProof/>
              </w:rPr>
              <w:t>Atskaites punkts/mērķrādītājs</w:t>
            </w:r>
          </w:p>
        </w:tc>
        <w:tc>
          <w:tcPr>
            <w:tcW w:w="3112" w:type="dxa"/>
            <w:shd w:val="clear" w:color="auto" w:fill="BDD7EE"/>
            <w:tcMar>
              <w:left w:w="108" w:type="dxa"/>
              <w:right w:w="108" w:type="dxa"/>
            </w:tcMar>
            <w:vAlign w:val="center"/>
          </w:tcPr>
          <w:p w14:paraId="4C1AFB0D" w14:textId="77777777" w:rsidR="00327FF1" w:rsidRDefault="00E406C7">
            <w:pPr>
              <w:pStyle w:val="P68B1DB1-Normal120"/>
              <w:spacing w:after="0" w:line="240" w:lineRule="auto"/>
              <w:jc w:val="center"/>
              <w:rPr>
                <w:noProof/>
              </w:rPr>
            </w:pPr>
            <w:r>
              <w:rPr>
                <w:noProof/>
              </w:rPr>
              <w:t>Nosaukums</w:t>
            </w:r>
          </w:p>
        </w:tc>
      </w:tr>
      <w:tr w:rsidR="00327FF1" w14:paraId="4781D6F8" w14:textId="77777777">
        <w:trPr>
          <w:trHeight w:val="300"/>
        </w:trPr>
        <w:tc>
          <w:tcPr>
            <w:tcW w:w="1430" w:type="dxa"/>
            <w:shd w:val="clear" w:color="auto" w:fill="C6EFCE"/>
            <w:tcMar>
              <w:left w:w="108" w:type="dxa"/>
              <w:right w:w="108" w:type="dxa"/>
            </w:tcMar>
            <w:vAlign w:val="center"/>
          </w:tcPr>
          <w:p w14:paraId="12516B93" w14:textId="77777777" w:rsidR="00327FF1" w:rsidRDefault="00E406C7">
            <w:pPr>
              <w:pStyle w:val="P68B1DB1-Normal121"/>
              <w:spacing w:after="0" w:line="240" w:lineRule="auto"/>
              <w:jc w:val="center"/>
              <w:rPr>
                <w:noProof/>
              </w:rPr>
            </w:pPr>
            <w:r>
              <w:rPr>
                <w:noProof/>
              </w:rPr>
              <w:t>M1C2–4</w:t>
            </w:r>
          </w:p>
        </w:tc>
        <w:tc>
          <w:tcPr>
            <w:tcW w:w="3543" w:type="dxa"/>
            <w:shd w:val="clear" w:color="auto" w:fill="C6EFCE"/>
            <w:tcMar>
              <w:left w:w="108" w:type="dxa"/>
              <w:right w:w="108" w:type="dxa"/>
            </w:tcMar>
            <w:vAlign w:val="center"/>
          </w:tcPr>
          <w:p w14:paraId="58989A8D" w14:textId="77777777" w:rsidR="00327FF1" w:rsidRDefault="00E406C7">
            <w:pPr>
              <w:pStyle w:val="P68B1DB1-Normal121"/>
              <w:spacing w:after="0" w:line="240" w:lineRule="auto"/>
              <w:rPr>
                <w:noProof/>
              </w:rPr>
            </w:pPr>
            <w:r>
              <w:rPr>
                <w:noProof/>
              </w:rPr>
              <w:t>Reforma: Rūpnieciskā īpašuma sistēmas reforma</w:t>
            </w:r>
          </w:p>
        </w:tc>
        <w:tc>
          <w:tcPr>
            <w:tcW w:w="1276" w:type="dxa"/>
            <w:shd w:val="clear" w:color="auto" w:fill="C6EFCE"/>
            <w:tcMar>
              <w:left w:w="108" w:type="dxa"/>
              <w:right w:w="108" w:type="dxa"/>
            </w:tcMar>
            <w:vAlign w:val="center"/>
          </w:tcPr>
          <w:p w14:paraId="716DFD3E" w14:textId="77777777" w:rsidR="00327FF1" w:rsidRDefault="00E406C7">
            <w:pPr>
              <w:pStyle w:val="P68B1DB1-Normal121"/>
              <w:spacing w:after="0" w:line="240" w:lineRule="auto"/>
              <w:jc w:val="center"/>
              <w:rPr>
                <w:noProof/>
              </w:rPr>
            </w:pPr>
            <w:r>
              <w:rPr>
                <w:noProof/>
              </w:rPr>
              <w:t>Atskaites punkts</w:t>
            </w:r>
          </w:p>
        </w:tc>
        <w:tc>
          <w:tcPr>
            <w:tcW w:w="3112" w:type="dxa"/>
            <w:shd w:val="clear" w:color="auto" w:fill="C6EFCE"/>
            <w:tcMar>
              <w:left w:w="108" w:type="dxa"/>
              <w:right w:w="108" w:type="dxa"/>
            </w:tcMar>
            <w:vAlign w:val="center"/>
          </w:tcPr>
          <w:p w14:paraId="2399348D" w14:textId="77777777" w:rsidR="00327FF1" w:rsidRDefault="00E406C7">
            <w:pPr>
              <w:pStyle w:val="P68B1DB1-Normal121"/>
              <w:spacing w:after="0" w:line="240" w:lineRule="auto"/>
              <w:rPr>
                <w:noProof/>
              </w:rPr>
            </w:pPr>
            <w:r>
              <w:rPr>
                <w:noProof/>
              </w:rPr>
              <w:t xml:space="preserve">Stājas spēkā Likumdošanas dekrēts, kura mērķis ir reformēt </w:t>
            </w:r>
            <w:r>
              <w:rPr>
                <w:noProof/>
              </w:rPr>
              <w:t>Itālijas rūpnieciskā īpašuma kodeksu un attiecīgos īstenošanas aktus</w:t>
            </w:r>
          </w:p>
        </w:tc>
      </w:tr>
      <w:tr w:rsidR="00327FF1" w14:paraId="1222FCED" w14:textId="77777777">
        <w:trPr>
          <w:trHeight w:val="300"/>
        </w:trPr>
        <w:tc>
          <w:tcPr>
            <w:tcW w:w="1430" w:type="dxa"/>
            <w:shd w:val="clear" w:color="auto" w:fill="C6EFCE"/>
            <w:tcMar>
              <w:left w:w="108" w:type="dxa"/>
              <w:right w:w="108" w:type="dxa"/>
            </w:tcMar>
            <w:vAlign w:val="center"/>
          </w:tcPr>
          <w:p w14:paraId="5B20C873" w14:textId="77777777" w:rsidR="00327FF1" w:rsidRDefault="00E406C7">
            <w:pPr>
              <w:pStyle w:val="P68B1DB1-Normal121"/>
              <w:spacing w:after="0" w:line="240" w:lineRule="auto"/>
              <w:jc w:val="center"/>
              <w:rPr>
                <w:noProof/>
              </w:rPr>
            </w:pPr>
            <w:r>
              <w:rPr>
                <w:noProof/>
              </w:rPr>
              <w:t>M1C3–4</w:t>
            </w:r>
          </w:p>
        </w:tc>
        <w:tc>
          <w:tcPr>
            <w:tcW w:w="3543" w:type="dxa"/>
            <w:shd w:val="clear" w:color="auto" w:fill="C6EFCE"/>
            <w:tcMar>
              <w:left w:w="108" w:type="dxa"/>
              <w:right w:w="108" w:type="dxa"/>
            </w:tcMar>
            <w:vAlign w:val="center"/>
          </w:tcPr>
          <w:p w14:paraId="13B6D43F" w14:textId="77777777" w:rsidR="00327FF1" w:rsidRDefault="00E406C7">
            <w:pPr>
              <w:pStyle w:val="P68B1DB1-Normal121"/>
              <w:spacing w:after="0" w:line="240" w:lineRule="auto"/>
              <w:rPr>
                <w:noProof/>
              </w:rPr>
            </w:pPr>
            <w:r>
              <w:rPr>
                <w:noProof/>
              </w:rPr>
              <w:t>Ieguldījums — 1.3. Energoefektivitātes uzlabošana kinoteātros, teātros un muzejos</w:t>
            </w:r>
          </w:p>
        </w:tc>
        <w:tc>
          <w:tcPr>
            <w:tcW w:w="1276" w:type="dxa"/>
            <w:shd w:val="clear" w:color="auto" w:fill="C6EFCE"/>
            <w:tcMar>
              <w:left w:w="108" w:type="dxa"/>
              <w:right w:w="108" w:type="dxa"/>
            </w:tcMar>
            <w:vAlign w:val="center"/>
          </w:tcPr>
          <w:p w14:paraId="67F94103" w14:textId="77777777" w:rsidR="00327FF1" w:rsidRDefault="00E406C7">
            <w:pPr>
              <w:pStyle w:val="P68B1DB1-Normal121"/>
              <w:spacing w:after="0" w:line="240" w:lineRule="auto"/>
              <w:jc w:val="center"/>
              <w:rPr>
                <w:noProof/>
              </w:rPr>
            </w:pPr>
            <w:r>
              <w:rPr>
                <w:noProof/>
              </w:rPr>
              <w:t>Mērķa</w:t>
            </w:r>
          </w:p>
        </w:tc>
        <w:tc>
          <w:tcPr>
            <w:tcW w:w="3112" w:type="dxa"/>
            <w:shd w:val="clear" w:color="auto" w:fill="C6EFCE"/>
            <w:tcMar>
              <w:left w:w="108" w:type="dxa"/>
              <w:right w:w="108" w:type="dxa"/>
            </w:tcMar>
            <w:vAlign w:val="center"/>
          </w:tcPr>
          <w:p w14:paraId="603FFEE8" w14:textId="731060B1" w:rsidR="00327FF1" w:rsidRDefault="00E406C7">
            <w:pPr>
              <w:pStyle w:val="P68B1DB1-Normal121"/>
              <w:spacing w:after="0" w:line="240" w:lineRule="auto"/>
              <w:rPr>
                <w:noProof/>
              </w:rPr>
            </w:pPr>
            <w:r>
              <w:rPr>
                <w:noProof/>
              </w:rPr>
              <w:t xml:space="preserve">Noslēdzās intervences valsts muzejos un kultūras objektos, teātra zālēs un kinoteātros </w:t>
            </w:r>
            <w:r>
              <w:rPr>
                <w:noProof/>
              </w:rPr>
              <w:t>(pirmā partija)</w:t>
            </w:r>
          </w:p>
        </w:tc>
      </w:tr>
      <w:tr w:rsidR="00327FF1" w14:paraId="4F7A6BBC" w14:textId="77777777">
        <w:trPr>
          <w:trHeight w:val="300"/>
        </w:trPr>
        <w:tc>
          <w:tcPr>
            <w:tcW w:w="1430" w:type="dxa"/>
            <w:shd w:val="clear" w:color="auto" w:fill="C6EFCE"/>
            <w:tcMar>
              <w:left w:w="108" w:type="dxa"/>
              <w:right w:w="108" w:type="dxa"/>
            </w:tcMar>
            <w:vAlign w:val="center"/>
          </w:tcPr>
          <w:p w14:paraId="634DC020" w14:textId="77777777" w:rsidR="00327FF1" w:rsidRDefault="00E406C7">
            <w:pPr>
              <w:pStyle w:val="P68B1DB1-Normal121"/>
              <w:spacing w:after="0" w:line="240" w:lineRule="auto"/>
              <w:jc w:val="center"/>
              <w:rPr>
                <w:noProof/>
              </w:rPr>
            </w:pPr>
            <w:r>
              <w:rPr>
                <w:noProof/>
              </w:rPr>
              <w:t>M1C1–12</w:t>
            </w:r>
          </w:p>
        </w:tc>
        <w:tc>
          <w:tcPr>
            <w:tcW w:w="3543" w:type="dxa"/>
            <w:shd w:val="clear" w:color="auto" w:fill="C6EFCE"/>
            <w:tcMar>
              <w:left w:w="108" w:type="dxa"/>
              <w:right w:w="108" w:type="dxa"/>
            </w:tcMar>
            <w:vAlign w:val="center"/>
          </w:tcPr>
          <w:p w14:paraId="38D07606" w14:textId="55532DC9" w:rsidR="00327FF1" w:rsidRDefault="00E406C7">
            <w:pPr>
              <w:pStyle w:val="P68B1DB1-Normal121"/>
              <w:spacing w:after="0" w:line="240" w:lineRule="auto"/>
              <w:rPr>
                <w:noProof/>
              </w:rPr>
            </w:pPr>
            <w:r>
              <w:rPr>
                <w:noProof/>
              </w:rPr>
              <w:t>Investīcija 1.3.2.: Vienotā digitālā vārteja</w:t>
            </w:r>
          </w:p>
        </w:tc>
        <w:tc>
          <w:tcPr>
            <w:tcW w:w="1276" w:type="dxa"/>
            <w:shd w:val="clear" w:color="auto" w:fill="C6EFCE"/>
            <w:tcMar>
              <w:left w:w="108" w:type="dxa"/>
              <w:right w:w="108" w:type="dxa"/>
            </w:tcMar>
            <w:vAlign w:val="center"/>
          </w:tcPr>
          <w:p w14:paraId="304C9B53" w14:textId="77777777" w:rsidR="00327FF1" w:rsidRDefault="00E406C7">
            <w:pPr>
              <w:pStyle w:val="P68B1DB1-Normal121"/>
              <w:spacing w:after="0" w:line="240" w:lineRule="auto"/>
              <w:jc w:val="center"/>
              <w:rPr>
                <w:noProof/>
              </w:rPr>
            </w:pPr>
            <w:r>
              <w:rPr>
                <w:noProof/>
              </w:rPr>
              <w:t>Mērķa</w:t>
            </w:r>
          </w:p>
        </w:tc>
        <w:tc>
          <w:tcPr>
            <w:tcW w:w="3112" w:type="dxa"/>
            <w:shd w:val="clear" w:color="auto" w:fill="C6EFCE"/>
            <w:tcMar>
              <w:left w:w="108" w:type="dxa"/>
              <w:right w:w="108" w:type="dxa"/>
            </w:tcMar>
            <w:vAlign w:val="center"/>
          </w:tcPr>
          <w:p w14:paraId="05EF7C26" w14:textId="77777777" w:rsidR="00327FF1" w:rsidRDefault="00E406C7">
            <w:pPr>
              <w:pStyle w:val="P68B1DB1-Normal121"/>
              <w:spacing w:after="0" w:line="240" w:lineRule="auto"/>
              <w:rPr>
                <w:noProof/>
              </w:rPr>
            </w:pPr>
            <w:r>
              <w:rPr>
                <w:noProof/>
              </w:rPr>
              <w:t>Vienotā digitālā vārteja</w:t>
            </w:r>
          </w:p>
        </w:tc>
      </w:tr>
      <w:tr w:rsidR="00327FF1" w14:paraId="36485D96" w14:textId="77777777">
        <w:trPr>
          <w:trHeight w:val="300"/>
        </w:trPr>
        <w:tc>
          <w:tcPr>
            <w:tcW w:w="1430" w:type="dxa"/>
            <w:shd w:val="clear" w:color="auto" w:fill="C6EFCE"/>
            <w:tcMar>
              <w:left w:w="108" w:type="dxa"/>
              <w:right w:w="108" w:type="dxa"/>
            </w:tcMar>
            <w:vAlign w:val="center"/>
          </w:tcPr>
          <w:p w14:paraId="2683F266" w14:textId="77777777" w:rsidR="00327FF1" w:rsidRDefault="00E406C7">
            <w:pPr>
              <w:pStyle w:val="P68B1DB1-Normal121"/>
              <w:spacing w:after="0" w:line="240" w:lineRule="auto"/>
              <w:jc w:val="center"/>
              <w:rPr>
                <w:noProof/>
              </w:rPr>
            </w:pPr>
            <w:r>
              <w:rPr>
                <w:noProof/>
              </w:rPr>
              <w:t>M1C1–13</w:t>
            </w:r>
          </w:p>
        </w:tc>
        <w:tc>
          <w:tcPr>
            <w:tcW w:w="3543" w:type="dxa"/>
            <w:shd w:val="clear" w:color="auto" w:fill="C6EFCE"/>
            <w:tcMar>
              <w:left w:w="108" w:type="dxa"/>
              <w:right w:w="108" w:type="dxa"/>
            </w:tcMar>
            <w:vAlign w:val="center"/>
          </w:tcPr>
          <w:p w14:paraId="2EF70A7F" w14:textId="77777777" w:rsidR="00327FF1" w:rsidRDefault="00E406C7">
            <w:pPr>
              <w:pStyle w:val="P68B1DB1-Normal121"/>
              <w:spacing w:after="0" w:line="240" w:lineRule="auto"/>
              <w:rPr>
                <w:noProof/>
              </w:rPr>
            </w:pPr>
            <w:r>
              <w:rPr>
                <w:noProof/>
              </w:rPr>
              <w:t>Investīcija 1.4.6.: Mobilitāte kā dienests Itālijā</w:t>
            </w:r>
          </w:p>
        </w:tc>
        <w:tc>
          <w:tcPr>
            <w:tcW w:w="1276" w:type="dxa"/>
            <w:shd w:val="clear" w:color="auto" w:fill="C6EFCE"/>
            <w:tcMar>
              <w:left w:w="108" w:type="dxa"/>
              <w:right w:w="108" w:type="dxa"/>
            </w:tcMar>
            <w:vAlign w:val="center"/>
          </w:tcPr>
          <w:p w14:paraId="565A8300" w14:textId="77777777" w:rsidR="00327FF1" w:rsidRDefault="00E406C7">
            <w:pPr>
              <w:pStyle w:val="P68B1DB1-Normal121"/>
              <w:spacing w:after="0" w:line="240" w:lineRule="auto"/>
              <w:jc w:val="center"/>
              <w:rPr>
                <w:noProof/>
              </w:rPr>
            </w:pPr>
            <w:r>
              <w:rPr>
                <w:noProof/>
              </w:rPr>
              <w:t>Atskaites punkts</w:t>
            </w:r>
          </w:p>
        </w:tc>
        <w:tc>
          <w:tcPr>
            <w:tcW w:w="3112" w:type="dxa"/>
            <w:shd w:val="clear" w:color="auto" w:fill="C6EFCE"/>
            <w:tcMar>
              <w:left w:w="108" w:type="dxa"/>
              <w:right w:w="108" w:type="dxa"/>
            </w:tcMar>
            <w:vAlign w:val="center"/>
          </w:tcPr>
          <w:p w14:paraId="6960812C" w14:textId="77777777" w:rsidR="00327FF1" w:rsidRDefault="00E406C7">
            <w:pPr>
              <w:pStyle w:val="P68B1DB1-Normal121"/>
              <w:spacing w:after="0" w:line="240" w:lineRule="auto"/>
              <w:rPr>
                <w:noProof/>
              </w:rPr>
            </w:pPr>
            <w:r>
              <w:rPr>
                <w:noProof/>
              </w:rPr>
              <w:t>Mobilitāte kā pakalpojumu risinājumi M1</w:t>
            </w:r>
          </w:p>
        </w:tc>
      </w:tr>
      <w:tr w:rsidR="00327FF1" w14:paraId="154B5EEB" w14:textId="77777777">
        <w:trPr>
          <w:trHeight w:val="300"/>
        </w:trPr>
        <w:tc>
          <w:tcPr>
            <w:tcW w:w="1430" w:type="dxa"/>
            <w:shd w:val="clear" w:color="auto" w:fill="C6EFCE"/>
            <w:tcMar>
              <w:left w:w="108" w:type="dxa"/>
              <w:right w:w="108" w:type="dxa"/>
            </w:tcMar>
            <w:vAlign w:val="center"/>
          </w:tcPr>
          <w:p w14:paraId="113B0CDA" w14:textId="77777777" w:rsidR="00327FF1" w:rsidRDefault="00E406C7">
            <w:pPr>
              <w:pStyle w:val="P68B1DB1-Normal121"/>
              <w:spacing w:after="0" w:line="240" w:lineRule="auto"/>
              <w:jc w:val="center"/>
              <w:rPr>
                <w:noProof/>
              </w:rPr>
            </w:pPr>
            <w:r>
              <w:rPr>
                <w:noProof/>
              </w:rPr>
              <w:t>M1C1–38</w:t>
            </w:r>
          </w:p>
        </w:tc>
        <w:tc>
          <w:tcPr>
            <w:tcW w:w="3543" w:type="dxa"/>
            <w:shd w:val="clear" w:color="auto" w:fill="C6EFCE"/>
            <w:tcMar>
              <w:left w:w="108" w:type="dxa"/>
              <w:right w:w="108" w:type="dxa"/>
            </w:tcMar>
            <w:vAlign w:val="center"/>
          </w:tcPr>
          <w:p w14:paraId="2168B401" w14:textId="77777777" w:rsidR="00327FF1" w:rsidRDefault="00E406C7">
            <w:pPr>
              <w:pStyle w:val="P68B1DB1-Normal121"/>
              <w:spacing w:after="0" w:line="240" w:lineRule="auto"/>
              <w:rPr>
                <w:noProof/>
              </w:rPr>
            </w:pPr>
            <w:r>
              <w:rPr>
                <w:noProof/>
              </w:rPr>
              <w:t xml:space="preserve">Reforma Nr. 1.8: Tieslietu </w:t>
            </w:r>
            <w:r>
              <w:rPr>
                <w:noProof/>
              </w:rPr>
              <w:t>sistēmu digitalizācija</w:t>
            </w:r>
          </w:p>
        </w:tc>
        <w:tc>
          <w:tcPr>
            <w:tcW w:w="1276" w:type="dxa"/>
            <w:shd w:val="clear" w:color="auto" w:fill="C6EFCE"/>
            <w:tcMar>
              <w:left w:w="108" w:type="dxa"/>
              <w:right w:w="108" w:type="dxa"/>
            </w:tcMar>
            <w:vAlign w:val="center"/>
          </w:tcPr>
          <w:p w14:paraId="48CE55AA" w14:textId="77777777" w:rsidR="00327FF1" w:rsidRDefault="00E406C7">
            <w:pPr>
              <w:pStyle w:val="P68B1DB1-Normal121"/>
              <w:spacing w:after="0" w:line="240" w:lineRule="auto"/>
              <w:jc w:val="center"/>
              <w:rPr>
                <w:noProof/>
              </w:rPr>
            </w:pPr>
            <w:r>
              <w:rPr>
                <w:noProof/>
              </w:rPr>
              <w:t>Atskaites punkts</w:t>
            </w:r>
          </w:p>
        </w:tc>
        <w:tc>
          <w:tcPr>
            <w:tcW w:w="3112" w:type="dxa"/>
            <w:shd w:val="clear" w:color="auto" w:fill="C6EFCE"/>
            <w:tcMar>
              <w:left w:w="108" w:type="dxa"/>
              <w:right w:w="108" w:type="dxa"/>
            </w:tcMar>
            <w:vAlign w:val="center"/>
          </w:tcPr>
          <w:p w14:paraId="2EB949A7" w14:textId="77777777" w:rsidR="00327FF1" w:rsidRDefault="00E406C7">
            <w:pPr>
              <w:pStyle w:val="P68B1DB1-Normal121"/>
              <w:spacing w:after="0" w:line="240" w:lineRule="auto"/>
              <w:rPr>
                <w:noProof/>
              </w:rPr>
            </w:pPr>
            <w:r>
              <w:rPr>
                <w:noProof/>
              </w:rPr>
              <w:t>Tiesu sistēmas digitalizācija</w:t>
            </w:r>
          </w:p>
        </w:tc>
      </w:tr>
      <w:tr w:rsidR="00327FF1" w14:paraId="0FE96698" w14:textId="77777777">
        <w:trPr>
          <w:trHeight w:val="300"/>
        </w:trPr>
        <w:tc>
          <w:tcPr>
            <w:tcW w:w="1430" w:type="dxa"/>
            <w:shd w:val="clear" w:color="auto" w:fill="C6EFCE"/>
            <w:tcMar>
              <w:left w:w="108" w:type="dxa"/>
              <w:right w:w="108" w:type="dxa"/>
            </w:tcMar>
            <w:vAlign w:val="center"/>
          </w:tcPr>
          <w:p w14:paraId="07850948" w14:textId="77777777" w:rsidR="00327FF1" w:rsidRDefault="00E406C7">
            <w:pPr>
              <w:pStyle w:val="P68B1DB1-Normal121"/>
              <w:spacing w:after="0" w:line="240" w:lineRule="auto"/>
              <w:jc w:val="center"/>
              <w:rPr>
                <w:noProof/>
              </w:rPr>
            </w:pPr>
            <w:r>
              <w:rPr>
                <w:noProof/>
              </w:rPr>
              <w:t>M1C1–59</w:t>
            </w:r>
          </w:p>
        </w:tc>
        <w:tc>
          <w:tcPr>
            <w:tcW w:w="3543" w:type="dxa"/>
            <w:shd w:val="clear" w:color="auto" w:fill="C6EFCE"/>
            <w:tcMar>
              <w:left w:w="108" w:type="dxa"/>
              <w:right w:w="108" w:type="dxa"/>
            </w:tcMar>
            <w:vAlign w:val="center"/>
          </w:tcPr>
          <w:p w14:paraId="15C1D392" w14:textId="77777777" w:rsidR="00327FF1" w:rsidRDefault="00E406C7">
            <w:pPr>
              <w:pStyle w:val="P68B1DB1-Normal121"/>
              <w:spacing w:after="0" w:line="240" w:lineRule="auto"/>
              <w:rPr>
                <w:noProof/>
              </w:rPr>
            </w:pPr>
            <w:r>
              <w:rPr>
                <w:noProof/>
              </w:rPr>
              <w:t>Reforma Nr. 1.9: Valsts pārvaldes reforma</w:t>
            </w:r>
          </w:p>
        </w:tc>
        <w:tc>
          <w:tcPr>
            <w:tcW w:w="1276" w:type="dxa"/>
            <w:shd w:val="clear" w:color="auto" w:fill="C6EFCE"/>
            <w:tcMar>
              <w:left w:w="108" w:type="dxa"/>
              <w:right w:w="108" w:type="dxa"/>
            </w:tcMar>
            <w:vAlign w:val="center"/>
          </w:tcPr>
          <w:p w14:paraId="47DE354C" w14:textId="77777777" w:rsidR="00327FF1" w:rsidRDefault="00E406C7">
            <w:pPr>
              <w:pStyle w:val="P68B1DB1-Normal121"/>
              <w:spacing w:after="0" w:line="240" w:lineRule="auto"/>
              <w:jc w:val="center"/>
              <w:rPr>
                <w:noProof/>
              </w:rPr>
            </w:pPr>
            <w:r>
              <w:rPr>
                <w:noProof/>
              </w:rPr>
              <w:t>Atskaites punkts</w:t>
            </w:r>
          </w:p>
        </w:tc>
        <w:tc>
          <w:tcPr>
            <w:tcW w:w="3112" w:type="dxa"/>
            <w:shd w:val="clear" w:color="auto" w:fill="C6EFCE"/>
            <w:tcMar>
              <w:left w:w="108" w:type="dxa"/>
              <w:right w:w="108" w:type="dxa"/>
            </w:tcMar>
            <w:vAlign w:val="center"/>
          </w:tcPr>
          <w:p w14:paraId="32AF735C" w14:textId="77777777" w:rsidR="00327FF1" w:rsidRDefault="00E406C7">
            <w:pPr>
              <w:pStyle w:val="P68B1DB1-Normal121"/>
              <w:spacing w:after="0" w:line="240" w:lineRule="auto"/>
              <w:rPr>
                <w:noProof/>
              </w:rPr>
            </w:pPr>
            <w:r>
              <w:rPr>
                <w:noProof/>
              </w:rPr>
              <w:t>Stratēģiskas cilvēkresursu pārvaldības stāšanās spēkā publiskajā pārvaldē</w:t>
            </w:r>
          </w:p>
        </w:tc>
      </w:tr>
      <w:tr w:rsidR="00327FF1" w14:paraId="6373BA9D" w14:textId="77777777">
        <w:trPr>
          <w:trHeight w:val="300"/>
        </w:trPr>
        <w:tc>
          <w:tcPr>
            <w:tcW w:w="1430" w:type="dxa"/>
            <w:shd w:val="clear" w:color="auto" w:fill="C6EFCE"/>
            <w:tcMar>
              <w:left w:w="108" w:type="dxa"/>
              <w:right w:w="108" w:type="dxa"/>
            </w:tcMar>
            <w:vAlign w:val="center"/>
          </w:tcPr>
          <w:p w14:paraId="0811845A" w14:textId="77777777" w:rsidR="00327FF1" w:rsidRDefault="00E406C7">
            <w:pPr>
              <w:pStyle w:val="P68B1DB1-Normal121"/>
              <w:spacing w:after="0" w:line="240" w:lineRule="auto"/>
              <w:jc w:val="center"/>
              <w:rPr>
                <w:noProof/>
              </w:rPr>
            </w:pPr>
            <w:r>
              <w:rPr>
                <w:noProof/>
              </w:rPr>
              <w:t>M1C1–773quater</w:t>
            </w:r>
          </w:p>
        </w:tc>
        <w:tc>
          <w:tcPr>
            <w:tcW w:w="3543" w:type="dxa"/>
            <w:shd w:val="clear" w:color="auto" w:fill="C6EFCE"/>
            <w:tcMar>
              <w:left w:w="108" w:type="dxa"/>
              <w:right w:w="108" w:type="dxa"/>
            </w:tcMar>
            <w:vAlign w:val="center"/>
          </w:tcPr>
          <w:p w14:paraId="230F2DD7" w14:textId="77777777" w:rsidR="00327FF1" w:rsidRDefault="00E406C7">
            <w:pPr>
              <w:pStyle w:val="P68B1DB1-Normal121"/>
              <w:spacing w:after="0" w:line="240" w:lineRule="auto"/>
              <w:rPr>
                <w:noProof/>
              </w:rPr>
            </w:pPr>
            <w:r>
              <w:rPr>
                <w:noProof/>
              </w:rPr>
              <w:t xml:space="preserve">Reforma Nr. 1.10. Publiskā </w:t>
            </w:r>
            <w:r>
              <w:rPr>
                <w:noProof/>
              </w:rPr>
              <w:t>iepirkuma tiesiskā regulējuma reforma</w:t>
            </w:r>
          </w:p>
        </w:tc>
        <w:tc>
          <w:tcPr>
            <w:tcW w:w="1276" w:type="dxa"/>
            <w:shd w:val="clear" w:color="auto" w:fill="C6EFCE"/>
            <w:tcMar>
              <w:left w:w="108" w:type="dxa"/>
              <w:right w:w="108" w:type="dxa"/>
            </w:tcMar>
            <w:vAlign w:val="center"/>
          </w:tcPr>
          <w:p w14:paraId="185E4CFA" w14:textId="77777777" w:rsidR="00327FF1" w:rsidRDefault="00E406C7">
            <w:pPr>
              <w:pStyle w:val="P68B1DB1-Normal121"/>
              <w:spacing w:after="0" w:line="240" w:lineRule="auto"/>
              <w:jc w:val="center"/>
              <w:rPr>
                <w:noProof/>
              </w:rPr>
            </w:pPr>
            <w:r>
              <w:rPr>
                <w:noProof/>
              </w:rPr>
              <w:t>Atskaites punkts</w:t>
            </w:r>
          </w:p>
        </w:tc>
        <w:tc>
          <w:tcPr>
            <w:tcW w:w="3112" w:type="dxa"/>
            <w:shd w:val="clear" w:color="auto" w:fill="C6EFCE"/>
            <w:tcMar>
              <w:left w:w="108" w:type="dxa"/>
              <w:right w:w="108" w:type="dxa"/>
            </w:tcMar>
            <w:vAlign w:val="center"/>
          </w:tcPr>
          <w:p w14:paraId="74BBCB50" w14:textId="77777777" w:rsidR="00327FF1" w:rsidRDefault="00E406C7">
            <w:pPr>
              <w:pStyle w:val="P68B1DB1-Normal121"/>
              <w:spacing w:after="0" w:line="240" w:lineRule="auto"/>
              <w:rPr>
                <w:noProof/>
              </w:rPr>
            </w:pPr>
            <w:r>
              <w:rPr>
                <w:noProof/>
              </w:rPr>
              <w:t>Pamatnostādņu par iepirkumu, kas nepārsniedz ES robežvērtību, stāšanās spēkā</w:t>
            </w:r>
          </w:p>
        </w:tc>
      </w:tr>
      <w:tr w:rsidR="00327FF1" w14:paraId="75D24762" w14:textId="77777777">
        <w:trPr>
          <w:trHeight w:val="300"/>
        </w:trPr>
        <w:tc>
          <w:tcPr>
            <w:tcW w:w="1430" w:type="dxa"/>
            <w:shd w:val="clear" w:color="auto" w:fill="C6EFCE"/>
            <w:tcMar>
              <w:left w:w="108" w:type="dxa"/>
              <w:right w:w="108" w:type="dxa"/>
            </w:tcMar>
            <w:vAlign w:val="center"/>
          </w:tcPr>
          <w:p w14:paraId="69CB114B" w14:textId="77777777" w:rsidR="00327FF1" w:rsidRDefault="00E406C7">
            <w:pPr>
              <w:pStyle w:val="P68B1DB1-Normal121"/>
              <w:spacing w:after="0" w:line="240" w:lineRule="auto"/>
              <w:jc w:val="center"/>
              <w:rPr>
                <w:noProof/>
              </w:rPr>
            </w:pPr>
            <w:r>
              <w:rPr>
                <w:noProof/>
              </w:rPr>
              <w:t>M1C1–75</w:t>
            </w:r>
          </w:p>
        </w:tc>
        <w:tc>
          <w:tcPr>
            <w:tcW w:w="3543" w:type="dxa"/>
            <w:shd w:val="clear" w:color="auto" w:fill="C6EFCE"/>
            <w:tcMar>
              <w:left w:w="108" w:type="dxa"/>
              <w:right w:w="108" w:type="dxa"/>
            </w:tcMar>
            <w:vAlign w:val="center"/>
          </w:tcPr>
          <w:p w14:paraId="2E63588B" w14:textId="77777777" w:rsidR="00327FF1" w:rsidRDefault="00E406C7">
            <w:pPr>
              <w:pStyle w:val="P68B1DB1-Normal121"/>
              <w:spacing w:after="0" w:line="240" w:lineRule="auto"/>
              <w:rPr>
                <w:noProof/>
              </w:rPr>
            </w:pPr>
            <w:r>
              <w:rPr>
                <w:noProof/>
              </w:rPr>
              <w:t>Reforma Nr. 1.10. Publiskā iepirkuma tiesiskā regulējuma reforma</w:t>
            </w:r>
          </w:p>
        </w:tc>
        <w:tc>
          <w:tcPr>
            <w:tcW w:w="1276" w:type="dxa"/>
            <w:shd w:val="clear" w:color="auto" w:fill="C6EFCE"/>
            <w:tcMar>
              <w:left w:w="108" w:type="dxa"/>
              <w:right w:w="108" w:type="dxa"/>
            </w:tcMar>
            <w:vAlign w:val="center"/>
          </w:tcPr>
          <w:p w14:paraId="34488E5C" w14:textId="77777777" w:rsidR="00327FF1" w:rsidRDefault="00E406C7">
            <w:pPr>
              <w:pStyle w:val="P68B1DB1-Normal121"/>
              <w:spacing w:after="0" w:line="240" w:lineRule="auto"/>
              <w:jc w:val="center"/>
              <w:rPr>
                <w:noProof/>
              </w:rPr>
            </w:pPr>
            <w:r>
              <w:rPr>
                <w:noProof/>
              </w:rPr>
              <w:t>Atskaites punkts</w:t>
            </w:r>
          </w:p>
        </w:tc>
        <w:tc>
          <w:tcPr>
            <w:tcW w:w="3112" w:type="dxa"/>
            <w:shd w:val="clear" w:color="auto" w:fill="C6EFCE"/>
            <w:tcMar>
              <w:left w:w="108" w:type="dxa"/>
              <w:right w:w="108" w:type="dxa"/>
            </w:tcMar>
            <w:vAlign w:val="center"/>
          </w:tcPr>
          <w:p w14:paraId="5E8A2C4C" w14:textId="77777777" w:rsidR="00327FF1" w:rsidRDefault="00E406C7">
            <w:pPr>
              <w:pStyle w:val="P68B1DB1-Normal121"/>
              <w:spacing w:after="0" w:line="240" w:lineRule="auto"/>
              <w:rPr>
                <w:noProof/>
              </w:rPr>
            </w:pPr>
            <w:r>
              <w:rPr>
                <w:noProof/>
              </w:rPr>
              <w:t>Valsts e-iepirkumu sistēmas pilnī</w:t>
            </w:r>
            <w:r>
              <w:rPr>
                <w:noProof/>
              </w:rPr>
              <w:t>ga darbība</w:t>
            </w:r>
          </w:p>
        </w:tc>
      </w:tr>
      <w:tr w:rsidR="00327FF1" w14:paraId="2CA23512" w14:textId="77777777">
        <w:trPr>
          <w:trHeight w:val="300"/>
        </w:trPr>
        <w:tc>
          <w:tcPr>
            <w:tcW w:w="1430" w:type="dxa"/>
            <w:shd w:val="clear" w:color="auto" w:fill="C6EFCE"/>
            <w:tcMar>
              <w:left w:w="108" w:type="dxa"/>
              <w:right w:w="108" w:type="dxa"/>
            </w:tcMar>
            <w:vAlign w:val="center"/>
          </w:tcPr>
          <w:p w14:paraId="1F096A66" w14:textId="77777777" w:rsidR="00327FF1" w:rsidRDefault="00E406C7">
            <w:pPr>
              <w:pStyle w:val="P68B1DB1-Normal121"/>
              <w:spacing w:after="0" w:line="240" w:lineRule="auto"/>
              <w:jc w:val="center"/>
              <w:rPr>
                <w:noProof/>
              </w:rPr>
            </w:pPr>
            <w:r>
              <w:rPr>
                <w:noProof/>
              </w:rPr>
              <w:t>M1C1–84</w:t>
            </w:r>
          </w:p>
        </w:tc>
        <w:tc>
          <w:tcPr>
            <w:tcW w:w="3543" w:type="dxa"/>
            <w:shd w:val="clear" w:color="auto" w:fill="C6EFCE"/>
            <w:tcMar>
              <w:left w:w="108" w:type="dxa"/>
              <w:right w:w="108" w:type="dxa"/>
            </w:tcMar>
            <w:vAlign w:val="center"/>
          </w:tcPr>
          <w:p w14:paraId="47437ED4" w14:textId="77777777" w:rsidR="00327FF1" w:rsidRDefault="00E406C7">
            <w:pPr>
              <w:pStyle w:val="P68B1DB1-Normal121"/>
              <w:spacing w:after="0" w:line="240" w:lineRule="auto"/>
              <w:rPr>
                <w:noProof/>
              </w:rPr>
            </w:pPr>
            <w:r>
              <w:rPr>
                <w:noProof/>
              </w:rPr>
              <w:t>Reforma Nr. 1.10. Publiskā iepirkuma tiesiskā regulējuma reforma</w:t>
            </w:r>
          </w:p>
        </w:tc>
        <w:tc>
          <w:tcPr>
            <w:tcW w:w="1276" w:type="dxa"/>
            <w:shd w:val="clear" w:color="auto" w:fill="C6EFCE"/>
            <w:tcMar>
              <w:left w:w="108" w:type="dxa"/>
              <w:right w:w="108" w:type="dxa"/>
            </w:tcMar>
            <w:vAlign w:val="center"/>
          </w:tcPr>
          <w:p w14:paraId="03657891" w14:textId="77777777" w:rsidR="00327FF1" w:rsidRDefault="00E406C7">
            <w:pPr>
              <w:pStyle w:val="P68B1DB1-Normal121"/>
              <w:spacing w:after="0" w:line="240" w:lineRule="auto"/>
              <w:jc w:val="center"/>
              <w:rPr>
                <w:noProof/>
              </w:rPr>
            </w:pPr>
            <w:r>
              <w:rPr>
                <w:noProof/>
              </w:rPr>
              <w:t>Mērķa</w:t>
            </w:r>
          </w:p>
        </w:tc>
        <w:tc>
          <w:tcPr>
            <w:tcW w:w="3112" w:type="dxa"/>
            <w:shd w:val="clear" w:color="auto" w:fill="C6EFCE"/>
            <w:tcMar>
              <w:left w:w="108" w:type="dxa"/>
              <w:right w:w="108" w:type="dxa"/>
            </w:tcMar>
            <w:vAlign w:val="center"/>
          </w:tcPr>
          <w:p w14:paraId="66CEF537" w14:textId="77777777" w:rsidR="00327FF1" w:rsidRDefault="00E406C7">
            <w:pPr>
              <w:pStyle w:val="P68B1DB1-Normal121"/>
              <w:spacing w:after="0" w:line="240" w:lineRule="auto"/>
              <w:rPr>
                <w:noProof/>
              </w:rPr>
            </w:pPr>
            <w:r>
              <w:rPr>
                <w:noProof/>
              </w:rPr>
              <w:t>Vidējais laiks starp publicēšanu un līguma slēgšanas tiesību piešķiršanu</w:t>
            </w:r>
          </w:p>
        </w:tc>
      </w:tr>
      <w:tr w:rsidR="00327FF1" w14:paraId="08FBAF27" w14:textId="77777777">
        <w:trPr>
          <w:trHeight w:val="300"/>
        </w:trPr>
        <w:tc>
          <w:tcPr>
            <w:tcW w:w="1430" w:type="dxa"/>
            <w:shd w:val="clear" w:color="auto" w:fill="C6EFCE"/>
            <w:tcMar>
              <w:left w:w="108" w:type="dxa"/>
              <w:right w:w="108" w:type="dxa"/>
            </w:tcMar>
            <w:vAlign w:val="center"/>
          </w:tcPr>
          <w:p w14:paraId="65DAB134" w14:textId="77777777" w:rsidR="00327FF1" w:rsidRDefault="00E406C7">
            <w:pPr>
              <w:pStyle w:val="P68B1DB1-Normal121"/>
              <w:spacing w:after="0" w:line="240" w:lineRule="auto"/>
              <w:jc w:val="center"/>
              <w:rPr>
                <w:noProof/>
              </w:rPr>
            </w:pPr>
            <w:r>
              <w:rPr>
                <w:noProof/>
              </w:rPr>
              <w:t>M1C1–86</w:t>
            </w:r>
          </w:p>
        </w:tc>
        <w:tc>
          <w:tcPr>
            <w:tcW w:w="3543" w:type="dxa"/>
            <w:shd w:val="clear" w:color="auto" w:fill="C6EFCE"/>
            <w:tcMar>
              <w:left w:w="108" w:type="dxa"/>
              <w:right w:w="108" w:type="dxa"/>
            </w:tcMar>
            <w:vAlign w:val="center"/>
          </w:tcPr>
          <w:p w14:paraId="11CD048A" w14:textId="77777777" w:rsidR="00327FF1" w:rsidRDefault="00E406C7">
            <w:pPr>
              <w:pStyle w:val="P68B1DB1-Normal121"/>
              <w:spacing w:after="0" w:line="240" w:lineRule="auto"/>
              <w:rPr>
                <w:noProof/>
              </w:rPr>
            </w:pPr>
            <w:r>
              <w:rPr>
                <w:noProof/>
              </w:rPr>
              <w:t>Reforma Nr. 1.10. Publiskā iepirkuma tiesiskā regulējuma reforma</w:t>
            </w:r>
          </w:p>
        </w:tc>
        <w:tc>
          <w:tcPr>
            <w:tcW w:w="1276" w:type="dxa"/>
            <w:shd w:val="clear" w:color="auto" w:fill="C6EFCE"/>
            <w:tcMar>
              <w:left w:w="108" w:type="dxa"/>
              <w:right w:w="108" w:type="dxa"/>
            </w:tcMar>
            <w:vAlign w:val="center"/>
          </w:tcPr>
          <w:p w14:paraId="0133E426" w14:textId="77777777" w:rsidR="00327FF1" w:rsidRDefault="00E406C7">
            <w:pPr>
              <w:pStyle w:val="P68B1DB1-Normal121"/>
              <w:spacing w:after="0" w:line="240" w:lineRule="auto"/>
              <w:jc w:val="center"/>
              <w:rPr>
                <w:noProof/>
              </w:rPr>
            </w:pPr>
            <w:r>
              <w:rPr>
                <w:noProof/>
              </w:rPr>
              <w:t>Mērķa</w:t>
            </w:r>
          </w:p>
        </w:tc>
        <w:tc>
          <w:tcPr>
            <w:tcW w:w="3112" w:type="dxa"/>
            <w:shd w:val="clear" w:color="auto" w:fill="C6EFCE"/>
            <w:tcMar>
              <w:left w:w="108" w:type="dxa"/>
              <w:right w:w="108" w:type="dxa"/>
            </w:tcMar>
            <w:vAlign w:val="center"/>
          </w:tcPr>
          <w:p w14:paraId="3EC43A41" w14:textId="77777777" w:rsidR="00327FF1" w:rsidRDefault="00E406C7">
            <w:pPr>
              <w:pStyle w:val="P68B1DB1-Normal121"/>
              <w:spacing w:after="0" w:line="240" w:lineRule="auto"/>
              <w:rPr>
                <w:noProof/>
              </w:rPr>
            </w:pPr>
            <w:r>
              <w:rPr>
                <w:noProof/>
              </w:rPr>
              <w:t>Ierēdņi, kas</w:t>
            </w:r>
            <w:r>
              <w:rPr>
                <w:noProof/>
              </w:rPr>
              <w:t xml:space="preserve"> apmācīti, izmantojot publiskā iepirkuma profesionalizācijas stratēģiju</w:t>
            </w:r>
          </w:p>
        </w:tc>
      </w:tr>
      <w:tr w:rsidR="00327FF1" w14:paraId="141D99BE" w14:textId="77777777">
        <w:trPr>
          <w:trHeight w:val="300"/>
        </w:trPr>
        <w:tc>
          <w:tcPr>
            <w:tcW w:w="1430" w:type="dxa"/>
            <w:shd w:val="clear" w:color="auto" w:fill="C6EFCE"/>
            <w:tcMar>
              <w:left w:w="108" w:type="dxa"/>
              <w:right w:w="108" w:type="dxa"/>
            </w:tcMar>
            <w:vAlign w:val="center"/>
          </w:tcPr>
          <w:p w14:paraId="3A7B1A73" w14:textId="77777777" w:rsidR="00327FF1" w:rsidRDefault="00E406C7">
            <w:pPr>
              <w:pStyle w:val="P68B1DB1-Normal121"/>
              <w:spacing w:after="0" w:line="240" w:lineRule="auto"/>
              <w:jc w:val="center"/>
              <w:rPr>
                <w:noProof/>
              </w:rPr>
            </w:pPr>
            <w:r>
              <w:rPr>
                <w:noProof/>
              </w:rPr>
              <w:t>M1C1–87</w:t>
            </w:r>
          </w:p>
        </w:tc>
        <w:tc>
          <w:tcPr>
            <w:tcW w:w="3543" w:type="dxa"/>
            <w:shd w:val="clear" w:color="auto" w:fill="C6EFCE"/>
            <w:tcMar>
              <w:left w:w="108" w:type="dxa"/>
              <w:right w:w="108" w:type="dxa"/>
            </w:tcMar>
            <w:vAlign w:val="center"/>
          </w:tcPr>
          <w:p w14:paraId="1FB278DC" w14:textId="77777777" w:rsidR="00327FF1" w:rsidRDefault="00E406C7">
            <w:pPr>
              <w:pStyle w:val="P68B1DB1-Normal121"/>
              <w:spacing w:after="0" w:line="240" w:lineRule="auto"/>
              <w:rPr>
                <w:noProof/>
              </w:rPr>
            </w:pPr>
            <w:r>
              <w:rPr>
                <w:noProof/>
              </w:rPr>
              <w:t>Reforma Nr. 1.10. Publiskā iepirkuma tiesiskā regulējuma reforma</w:t>
            </w:r>
          </w:p>
        </w:tc>
        <w:tc>
          <w:tcPr>
            <w:tcW w:w="1276" w:type="dxa"/>
            <w:shd w:val="clear" w:color="auto" w:fill="C6EFCE"/>
            <w:tcMar>
              <w:left w:w="108" w:type="dxa"/>
              <w:right w:w="108" w:type="dxa"/>
            </w:tcMar>
            <w:vAlign w:val="center"/>
          </w:tcPr>
          <w:p w14:paraId="1CD3438D" w14:textId="77777777" w:rsidR="00327FF1" w:rsidRDefault="00E406C7">
            <w:pPr>
              <w:pStyle w:val="P68B1DB1-Normal121"/>
              <w:spacing w:after="0" w:line="240" w:lineRule="auto"/>
              <w:jc w:val="center"/>
              <w:rPr>
                <w:noProof/>
              </w:rPr>
            </w:pPr>
            <w:r>
              <w:rPr>
                <w:noProof/>
              </w:rPr>
              <w:t>Mērķa</w:t>
            </w:r>
          </w:p>
        </w:tc>
        <w:tc>
          <w:tcPr>
            <w:tcW w:w="3112" w:type="dxa"/>
            <w:shd w:val="clear" w:color="auto" w:fill="C6EFCE"/>
            <w:tcMar>
              <w:left w:w="108" w:type="dxa"/>
              <w:right w:w="108" w:type="dxa"/>
            </w:tcMar>
            <w:vAlign w:val="center"/>
          </w:tcPr>
          <w:p w14:paraId="6FD33177" w14:textId="77777777" w:rsidR="00327FF1" w:rsidRDefault="00E406C7">
            <w:pPr>
              <w:pStyle w:val="P68B1DB1-Normal121"/>
              <w:spacing w:after="0" w:line="240" w:lineRule="auto"/>
              <w:rPr>
                <w:noProof/>
              </w:rPr>
            </w:pPr>
            <w:r>
              <w:rPr>
                <w:noProof/>
              </w:rPr>
              <w:t>Līgumslēdzējas iestādes, kas izmanto dinamiskās iepirkumu sistēmas</w:t>
            </w:r>
          </w:p>
        </w:tc>
      </w:tr>
      <w:tr w:rsidR="00327FF1" w14:paraId="0ED15FFE" w14:textId="77777777">
        <w:trPr>
          <w:trHeight w:val="300"/>
        </w:trPr>
        <w:tc>
          <w:tcPr>
            <w:tcW w:w="1430" w:type="dxa"/>
            <w:shd w:val="clear" w:color="auto" w:fill="C6EFCE"/>
            <w:tcMar>
              <w:left w:w="108" w:type="dxa"/>
              <w:right w:w="108" w:type="dxa"/>
            </w:tcMar>
            <w:vAlign w:val="center"/>
          </w:tcPr>
          <w:p w14:paraId="4E9FDD12" w14:textId="77777777" w:rsidR="00327FF1" w:rsidRDefault="00E406C7">
            <w:pPr>
              <w:pStyle w:val="P68B1DB1-Normal121"/>
              <w:spacing w:after="0" w:line="240" w:lineRule="auto"/>
              <w:jc w:val="center"/>
              <w:rPr>
                <w:noProof/>
              </w:rPr>
            </w:pPr>
            <w:r>
              <w:rPr>
                <w:noProof/>
              </w:rPr>
              <w:t>M1C1–110</w:t>
            </w:r>
          </w:p>
        </w:tc>
        <w:tc>
          <w:tcPr>
            <w:tcW w:w="3543" w:type="dxa"/>
            <w:shd w:val="clear" w:color="auto" w:fill="C6EFCE"/>
            <w:tcMar>
              <w:left w:w="108" w:type="dxa"/>
              <w:right w:w="108" w:type="dxa"/>
            </w:tcMar>
            <w:vAlign w:val="center"/>
          </w:tcPr>
          <w:p w14:paraId="65F0ED94" w14:textId="77777777" w:rsidR="00327FF1" w:rsidRDefault="00E406C7">
            <w:pPr>
              <w:pStyle w:val="P68B1DB1-Normal121"/>
              <w:spacing w:after="0" w:line="240" w:lineRule="auto"/>
              <w:rPr>
                <w:noProof/>
              </w:rPr>
            </w:pPr>
            <w:r>
              <w:rPr>
                <w:noProof/>
              </w:rPr>
              <w:t xml:space="preserve">Reforma Nr. 1.13. Izdevumu </w:t>
            </w:r>
            <w:r>
              <w:rPr>
                <w:noProof/>
              </w:rPr>
              <w:t>pārskatīšanas sistēmas reforma</w:t>
            </w:r>
          </w:p>
        </w:tc>
        <w:tc>
          <w:tcPr>
            <w:tcW w:w="1276" w:type="dxa"/>
            <w:shd w:val="clear" w:color="auto" w:fill="C6EFCE"/>
            <w:tcMar>
              <w:left w:w="108" w:type="dxa"/>
              <w:right w:w="108" w:type="dxa"/>
            </w:tcMar>
            <w:vAlign w:val="center"/>
          </w:tcPr>
          <w:p w14:paraId="66D73223" w14:textId="77777777" w:rsidR="00327FF1" w:rsidRDefault="00E406C7">
            <w:pPr>
              <w:pStyle w:val="P68B1DB1-Normal121"/>
              <w:spacing w:after="0" w:line="240" w:lineRule="auto"/>
              <w:jc w:val="center"/>
              <w:rPr>
                <w:noProof/>
              </w:rPr>
            </w:pPr>
            <w:r>
              <w:rPr>
                <w:noProof/>
              </w:rPr>
              <w:t>Atskaites punkts</w:t>
            </w:r>
          </w:p>
        </w:tc>
        <w:tc>
          <w:tcPr>
            <w:tcW w:w="3112" w:type="dxa"/>
            <w:shd w:val="clear" w:color="auto" w:fill="C6EFCE"/>
            <w:tcMar>
              <w:left w:w="108" w:type="dxa"/>
              <w:right w:w="108" w:type="dxa"/>
            </w:tcMar>
            <w:vAlign w:val="center"/>
          </w:tcPr>
          <w:p w14:paraId="68AB4DB7" w14:textId="77777777" w:rsidR="00327FF1" w:rsidRDefault="00E406C7">
            <w:pPr>
              <w:pStyle w:val="P68B1DB1-Normal121"/>
              <w:spacing w:after="0" w:line="240" w:lineRule="auto"/>
              <w:rPr>
                <w:noProof/>
              </w:rPr>
            </w:pPr>
            <w:r>
              <w:rPr>
                <w:noProof/>
              </w:rPr>
              <w:t>Valsts vispārējā budžeta pārklasificēšana, atsaucoties uz vides izdevumiem un izdevumiem, kas veicina dzimumu līdztiesību</w:t>
            </w:r>
          </w:p>
        </w:tc>
      </w:tr>
      <w:tr w:rsidR="00327FF1" w14:paraId="6979BF20" w14:textId="77777777">
        <w:trPr>
          <w:trHeight w:val="300"/>
        </w:trPr>
        <w:tc>
          <w:tcPr>
            <w:tcW w:w="1430" w:type="dxa"/>
            <w:shd w:val="clear" w:color="auto" w:fill="C6EFCE"/>
            <w:tcMar>
              <w:left w:w="108" w:type="dxa"/>
              <w:right w:w="108" w:type="dxa"/>
            </w:tcMar>
            <w:vAlign w:val="center"/>
          </w:tcPr>
          <w:p w14:paraId="115C4614" w14:textId="77777777" w:rsidR="00327FF1" w:rsidRDefault="00E406C7">
            <w:pPr>
              <w:pStyle w:val="P68B1DB1-Normal121"/>
              <w:spacing w:after="0" w:line="240" w:lineRule="auto"/>
              <w:jc w:val="center"/>
              <w:rPr>
                <w:noProof/>
              </w:rPr>
            </w:pPr>
            <w:r>
              <w:rPr>
                <w:noProof/>
              </w:rPr>
              <w:t>M1C2–9</w:t>
            </w:r>
          </w:p>
        </w:tc>
        <w:tc>
          <w:tcPr>
            <w:tcW w:w="3543" w:type="dxa"/>
            <w:shd w:val="clear" w:color="auto" w:fill="C6EFCE"/>
            <w:tcMar>
              <w:left w:w="108" w:type="dxa"/>
              <w:right w:w="108" w:type="dxa"/>
            </w:tcMar>
            <w:vAlign w:val="center"/>
          </w:tcPr>
          <w:p w14:paraId="1BF92697" w14:textId="77777777" w:rsidR="00327FF1" w:rsidRDefault="00E406C7">
            <w:pPr>
              <w:pStyle w:val="P68B1DB1-Normal121"/>
              <w:spacing w:after="0" w:line="240" w:lineRule="auto"/>
              <w:rPr>
                <w:noProof/>
              </w:rPr>
            </w:pPr>
            <w:r>
              <w:rPr>
                <w:noProof/>
              </w:rPr>
              <w:t>Reforma. Ikgadējie konkurences tiesību akti</w:t>
            </w:r>
          </w:p>
        </w:tc>
        <w:tc>
          <w:tcPr>
            <w:tcW w:w="1276" w:type="dxa"/>
            <w:shd w:val="clear" w:color="auto" w:fill="C6EFCE"/>
            <w:tcMar>
              <w:left w:w="108" w:type="dxa"/>
              <w:right w:w="108" w:type="dxa"/>
            </w:tcMar>
            <w:vAlign w:val="center"/>
          </w:tcPr>
          <w:p w14:paraId="404A209C" w14:textId="77777777" w:rsidR="00327FF1" w:rsidRDefault="00E406C7">
            <w:pPr>
              <w:pStyle w:val="P68B1DB1-Normal121"/>
              <w:spacing w:after="0" w:line="240" w:lineRule="auto"/>
              <w:jc w:val="center"/>
              <w:rPr>
                <w:noProof/>
              </w:rPr>
            </w:pPr>
            <w:r>
              <w:rPr>
                <w:noProof/>
              </w:rPr>
              <w:t>Atskaites punkts</w:t>
            </w:r>
          </w:p>
        </w:tc>
        <w:tc>
          <w:tcPr>
            <w:tcW w:w="3112" w:type="dxa"/>
            <w:shd w:val="clear" w:color="auto" w:fill="C6EFCE"/>
            <w:tcMar>
              <w:left w:w="108" w:type="dxa"/>
              <w:right w:w="108" w:type="dxa"/>
            </w:tcMar>
            <w:vAlign w:val="center"/>
          </w:tcPr>
          <w:p w14:paraId="76D1CB86" w14:textId="77777777" w:rsidR="00327FF1" w:rsidRDefault="00E406C7">
            <w:pPr>
              <w:pStyle w:val="P68B1DB1-Normal121"/>
              <w:spacing w:after="0" w:line="240" w:lineRule="auto"/>
              <w:rPr>
                <w:noProof/>
              </w:rPr>
            </w:pPr>
            <w:r>
              <w:rPr>
                <w:noProof/>
              </w:rPr>
              <w:t>2022. gada Konkur</w:t>
            </w:r>
            <w:r>
              <w:rPr>
                <w:noProof/>
              </w:rPr>
              <w:t>ences likuma stāšanās spēkā</w:t>
            </w:r>
          </w:p>
        </w:tc>
      </w:tr>
      <w:tr w:rsidR="00327FF1" w14:paraId="738332AA" w14:textId="77777777">
        <w:trPr>
          <w:trHeight w:val="300"/>
        </w:trPr>
        <w:tc>
          <w:tcPr>
            <w:tcW w:w="1430" w:type="dxa"/>
            <w:shd w:val="clear" w:color="auto" w:fill="C6EFCE"/>
            <w:tcMar>
              <w:left w:w="108" w:type="dxa"/>
              <w:right w:w="108" w:type="dxa"/>
            </w:tcMar>
            <w:vAlign w:val="center"/>
          </w:tcPr>
          <w:p w14:paraId="7EA61ABE" w14:textId="77777777" w:rsidR="00327FF1" w:rsidRDefault="00E406C7">
            <w:pPr>
              <w:pStyle w:val="P68B1DB1-Normal121"/>
              <w:spacing w:after="0" w:line="240" w:lineRule="auto"/>
              <w:jc w:val="center"/>
              <w:rPr>
                <w:noProof/>
              </w:rPr>
            </w:pPr>
            <w:r>
              <w:rPr>
                <w:noProof/>
              </w:rPr>
              <w:t>M1C2–10</w:t>
            </w:r>
          </w:p>
        </w:tc>
        <w:tc>
          <w:tcPr>
            <w:tcW w:w="3543" w:type="dxa"/>
            <w:shd w:val="clear" w:color="auto" w:fill="C6EFCE"/>
            <w:tcMar>
              <w:left w:w="108" w:type="dxa"/>
              <w:right w:w="108" w:type="dxa"/>
            </w:tcMar>
            <w:vAlign w:val="center"/>
          </w:tcPr>
          <w:p w14:paraId="455CEF59" w14:textId="77777777" w:rsidR="00327FF1" w:rsidRDefault="00E406C7">
            <w:pPr>
              <w:pStyle w:val="P68B1DB1-Normal121"/>
              <w:spacing w:after="0" w:line="240" w:lineRule="auto"/>
              <w:rPr>
                <w:noProof/>
              </w:rPr>
            </w:pPr>
            <w:r>
              <w:rPr>
                <w:noProof/>
              </w:rPr>
              <w:t>Reforma. Ikgadējie konkurences tiesību akti</w:t>
            </w:r>
          </w:p>
        </w:tc>
        <w:tc>
          <w:tcPr>
            <w:tcW w:w="1276" w:type="dxa"/>
            <w:shd w:val="clear" w:color="auto" w:fill="C6EFCE"/>
            <w:tcMar>
              <w:left w:w="108" w:type="dxa"/>
              <w:right w:w="108" w:type="dxa"/>
            </w:tcMar>
            <w:vAlign w:val="center"/>
          </w:tcPr>
          <w:p w14:paraId="1956FAC8" w14:textId="77777777" w:rsidR="00327FF1" w:rsidRDefault="00E406C7">
            <w:pPr>
              <w:pStyle w:val="P68B1DB1-Normal121"/>
              <w:spacing w:after="0" w:line="240" w:lineRule="auto"/>
              <w:jc w:val="center"/>
              <w:rPr>
                <w:noProof/>
              </w:rPr>
            </w:pPr>
            <w:r>
              <w:rPr>
                <w:noProof/>
              </w:rPr>
              <w:t>Atskaites punkts</w:t>
            </w:r>
          </w:p>
        </w:tc>
        <w:tc>
          <w:tcPr>
            <w:tcW w:w="3112" w:type="dxa"/>
            <w:shd w:val="clear" w:color="auto" w:fill="C6EFCE"/>
            <w:tcMar>
              <w:left w:w="108" w:type="dxa"/>
              <w:right w:w="108" w:type="dxa"/>
            </w:tcMar>
            <w:vAlign w:val="center"/>
          </w:tcPr>
          <w:p w14:paraId="38DF8F24" w14:textId="77777777" w:rsidR="00327FF1" w:rsidRDefault="00E406C7">
            <w:pPr>
              <w:pStyle w:val="P68B1DB1-Normal121"/>
              <w:spacing w:after="0" w:line="240" w:lineRule="auto"/>
              <w:rPr>
                <w:noProof/>
              </w:rPr>
            </w:pPr>
            <w:r>
              <w:rPr>
                <w:noProof/>
              </w:rPr>
              <w:t xml:space="preserve">Visu īstenošanas pasākumu (tostarp vajadzības gadījumā sekundāro tiesību aktu) stāšanās spēkā, lai efektīvi īstenotu un piemērotu pasākumus, kas izriet no </w:t>
            </w:r>
            <w:r>
              <w:rPr>
                <w:noProof/>
              </w:rPr>
              <w:t>2022. gada Konkurences likuma</w:t>
            </w:r>
          </w:p>
        </w:tc>
      </w:tr>
      <w:tr w:rsidR="00327FF1" w14:paraId="13325CA1" w14:textId="77777777">
        <w:trPr>
          <w:trHeight w:val="300"/>
        </w:trPr>
        <w:tc>
          <w:tcPr>
            <w:tcW w:w="1430" w:type="dxa"/>
            <w:shd w:val="clear" w:color="auto" w:fill="C6EFCE"/>
            <w:tcMar>
              <w:left w:w="108" w:type="dxa"/>
              <w:right w:w="108" w:type="dxa"/>
            </w:tcMar>
            <w:vAlign w:val="center"/>
          </w:tcPr>
          <w:p w14:paraId="0B3B94C1" w14:textId="77777777" w:rsidR="00327FF1" w:rsidRDefault="00E406C7">
            <w:pPr>
              <w:pStyle w:val="P68B1DB1-Normal121"/>
              <w:spacing w:after="0" w:line="240" w:lineRule="auto"/>
              <w:jc w:val="center"/>
              <w:rPr>
                <w:noProof/>
              </w:rPr>
            </w:pPr>
            <w:r>
              <w:rPr>
                <w:noProof/>
              </w:rPr>
              <w:t>M1C3–7</w:t>
            </w:r>
          </w:p>
        </w:tc>
        <w:tc>
          <w:tcPr>
            <w:tcW w:w="3543" w:type="dxa"/>
            <w:shd w:val="clear" w:color="auto" w:fill="C6EFCE"/>
            <w:tcMar>
              <w:left w:w="108" w:type="dxa"/>
              <w:right w:w="108" w:type="dxa"/>
            </w:tcMar>
            <w:vAlign w:val="center"/>
          </w:tcPr>
          <w:p w14:paraId="07C6604C" w14:textId="77777777" w:rsidR="00327FF1" w:rsidRDefault="00E406C7">
            <w:pPr>
              <w:pStyle w:val="P68B1DB1-Normal121"/>
              <w:spacing w:after="0" w:line="240" w:lineRule="auto"/>
              <w:rPr>
                <w:noProof/>
              </w:rPr>
            </w:pPr>
            <w:r>
              <w:rPr>
                <w:noProof/>
              </w:rPr>
              <w:t>Investīcijas — 3.3. Kultūras operatoru spēju veidošana digitālās un zaļās pārkārtošanās pārvaldībai.</w:t>
            </w:r>
          </w:p>
        </w:tc>
        <w:tc>
          <w:tcPr>
            <w:tcW w:w="1276" w:type="dxa"/>
            <w:shd w:val="clear" w:color="auto" w:fill="C6EFCE"/>
            <w:tcMar>
              <w:left w:w="108" w:type="dxa"/>
              <w:right w:w="108" w:type="dxa"/>
            </w:tcMar>
            <w:vAlign w:val="center"/>
          </w:tcPr>
          <w:p w14:paraId="6068EF37" w14:textId="77777777" w:rsidR="00327FF1" w:rsidRDefault="00E406C7">
            <w:pPr>
              <w:pStyle w:val="P68B1DB1-Normal121"/>
              <w:spacing w:after="0" w:line="240" w:lineRule="auto"/>
              <w:jc w:val="center"/>
              <w:rPr>
                <w:noProof/>
              </w:rPr>
            </w:pPr>
            <w:r>
              <w:rPr>
                <w:noProof/>
              </w:rPr>
              <w:t>Atskaites punkts</w:t>
            </w:r>
          </w:p>
        </w:tc>
        <w:tc>
          <w:tcPr>
            <w:tcW w:w="3112" w:type="dxa"/>
            <w:shd w:val="clear" w:color="auto" w:fill="C6EFCE"/>
            <w:tcMar>
              <w:left w:w="108" w:type="dxa"/>
              <w:right w:w="108" w:type="dxa"/>
            </w:tcMar>
            <w:vAlign w:val="center"/>
          </w:tcPr>
          <w:p w14:paraId="34AE063F" w14:textId="77777777" w:rsidR="00327FF1" w:rsidRDefault="00E406C7">
            <w:pPr>
              <w:pStyle w:val="P68B1DB1-Normal121"/>
              <w:spacing w:after="0" w:line="240" w:lineRule="auto"/>
              <w:rPr>
                <w:noProof/>
              </w:rPr>
            </w:pPr>
            <w:r>
              <w:rPr>
                <w:noProof/>
              </w:rPr>
              <w:t>Visu publisko līgumu slēgšanas tiesību piešķiršana ar īstenotāju organizāciju/saņēmējiem par visām i</w:t>
            </w:r>
            <w:r>
              <w:rPr>
                <w:noProof/>
              </w:rPr>
              <w:t>ntervencēm, kuru mērķis ir pārvaldīt kultūras operatoru digitālo un zaļo pārkārtošanos</w:t>
            </w:r>
          </w:p>
        </w:tc>
      </w:tr>
      <w:tr w:rsidR="00327FF1" w14:paraId="6E5E4F48" w14:textId="77777777">
        <w:trPr>
          <w:trHeight w:val="300"/>
        </w:trPr>
        <w:tc>
          <w:tcPr>
            <w:tcW w:w="1430" w:type="dxa"/>
            <w:shd w:val="clear" w:color="auto" w:fill="C6EFCE"/>
            <w:tcMar>
              <w:left w:w="108" w:type="dxa"/>
              <w:right w:w="108" w:type="dxa"/>
            </w:tcMar>
            <w:vAlign w:val="center"/>
          </w:tcPr>
          <w:p w14:paraId="0E1859BE" w14:textId="77777777" w:rsidR="00327FF1" w:rsidRDefault="00E406C7">
            <w:pPr>
              <w:pStyle w:val="P68B1DB1-Normal121"/>
              <w:spacing w:after="0" w:line="240" w:lineRule="auto"/>
              <w:jc w:val="center"/>
              <w:rPr>
                <w:noProof/>
              </w:rPr>
            </w:pPr>
            <w:r>
              <w:rPr>
                <w:noProof/>
              </w:rPr>
              <w:t>M2C1–5</w:t>
            </w:r>
          </w:p>
        </w:tc>
        <w:tc>
          <w:tcPr>
            <w:tcW w:w="3543" w:type="dxa"/>
            <w:shd w:val="clear" w:color="auto" w:fill="C6EFCE"/>
            <w:tcMar>
              <w:left w:w="108" w:type="dxa"/>
              <w:right w:w="108" w:type="dxa"/>
            </w:tcMar>
            <w:vAlign w:val="center"/>
          </w:tcPr>
          <w:p w14:paraId="57378BEA" w14:textId="77777777" w:rsidR="00327FF1" w:rsidRDefault="00E406C7">
            <w:pPr>
              <w:pStyle w:val="P68B1DB1-Normal121"/>
              <w:spacing w:after="0" w:line="240" w:lineRule="auto"/>
              <w:rPr>
                <w:noProof/>
              </w:rPr>
            </w:pPr>
            <w:r>
              <w:rPr>
                <w:noProof/>
              </w:rPr>
              <w:t>Ieguldījums 2.2.: Agrosaules parks</w:t>
            </w:r>
          </w:p>
        </w:tc>
        <w:tc>
          <w:tcPr>
            <w:tcW w:w="1276" w:type="dxa"/>
            <w:shd w:val="clear" w:color="auto" w:fill="C6EFCE"/>
            <w:tcMar>
              <w:left w:w="108" w:type="dxa"/>
              <w:right w:w="108" w:type="dxa"/>
            </w:tcMar>
            <w:vAlign w:val="center"/>
          </w:tcPr>
          <w:p w14:paraId="08FF6B33" w14:textId="77777777" w:rsidR="00327FF1" w:rsidRDefault="00E406C7">
            <w:pPr>
              <w:pStyle w:val="P68B1DB1-Normal121"/>
              <w:spacing w:after="0" w:line="240" w:lineRule="auto"/>
              <w:jc w:val="center"/>
              <w:rPr>
                <w:noProof/>
              </w:rPr>
            </w:pPr>
            <w:r>
              <w:rPr>
                <w:noProof/>
              </w:rPr>
              <w:t>Mērķa</w:t>
            </w:r>
          </w:p>
        </w:tc>
        <w:tc>
          <w:tcPr>
            <w:tcW w:w="3112" w:type="dxa"/>
            <w:shd w:val="clear" w:color="auto" w:fill="C6EFCE"/>
            <w:tcMar>
              <w:left w:w="108" w:type="dxa"/>
              <w:right w:w="108" w:type="dxa"/>
            </w:tcMar>
            <w:vAlign w:val="center"/>
          </w:tcPr>
          <w:p w14:paraId="49C0392D" w14:textId="77777777" w:rsidR="00327FF1" w:rsidRDefault="00E406C7">
            <w:pPr>
              <w:pStyle w:val="P68B1DB1-Normal121"/>
              <w:spacing w:after="0" w:line="240" w:lineRule="auto"/>
              <w:rPr>
                <w:noProof/>
              </w:rPr>
            </w:pPr>
            <w:r>
              <w:rPr>
                <w:noProof/>
              </w:rPr>
              <w:t>Līdzekļu piešķiršana saņēmējiem % no kopējiem finanšu resursiem, kas piešķirti ieguldījumam</w:t>
            </w:r>
          </w:p>
        </w:tc>
      </w:tr>
      <w:tr w:rsidR="00327FF1" w14:paraId="63C09C3A" w14:textId="77777777">
        <w:trPr>
          <w:trHeight w:val="300"/>
        </w:trPr>
        <w:tc>
          <w:tcPr>
            <w:tcW w:w="1430" w:type="dxa"/>
            <w:shd w:val="clear" w:color="auto" w:fill="C6EFCE"/>
            <w:tcMar>
              <w:left w:w="108" w:type="dxa"/>
              <w:right w:w="108" w:type="dxa"/>
            </w:tcMar>
            <w:vAlign w:val="center"/>
          </w:tcPr>
          <w:p w14:paraId="3314787D" w14:textId="77777777" w:rsidR="00327FF1" w:rsidRDefault="00E406C7">
            <w:pPr>
              <w:pStyle w:val="P68B1DB1-Normal121"/>
              <w:spacing w:after="0" w:line="240" w:lineRule="auto"/>
              <w:jc w:val="center"/>
              <w:rPr>
                <w:noProof/>
              </w:rPr>
            </w:pPr>
            <w:r>
              <w:rPr>
                <w:noProof/>
              </w:rPr>
              <w:t>M2C2–22</w:t>
            </w:r>
          </w:p>
        </w:tc>
        <w:tc>
          <w:tcPr>
            <w:tcW w:w="3543" w:type="dxa"/>
            <w:shd w:val="clear" w:color="auto" w:fill="C6EFCE"/>
            <w:tcMar>
              <w:left w:w="108" w:type="dxa"/>
              <w:right w:w="108" w:type="dxa"/>
            </w:tcMar>
            <w:vAlign w:val="center"/>
          </w:tcPr>
          <w:p w14:paraId="335F2CA7" w14:textId="77777777" w:rsidR="00327FF1" w:rsidRDefault="00E406C7">
            <w:pPr>
              <w:pStyle w:val="P68B1DB1-Normal121"/>
              <w:spacing w:after="0" w:line="240" w:lineRule="auto"/>
              <w:rPr>
                <w:noProof/>
              </w:rPr>
            </w:pPr>
            <w:r>
              <w:rPr>
                <w:noProof/>
              </w:rPr>
              <w:t xml:space="preserve">Investīcija 4.1. </w:t>
            </w:r>
            <w:r>
              <w:rPr>
                <w:noProof/>
              </w:rPr>
              <w:t>Ieguldījumi vidi saudzējošā mobilitātē (Valsts cikla ceļa plāns)</w:t>
            </w:r>
          </w:p>
        </w:tc>
        <w:tc>
          <w:tcPr>
            <w:tcW w:w="1276" w:type="dxa"/>
            <w:shd w:val="clear" w:color="auto" w:fill="C6EFCE"/>
            <w:tcMar>
              <w:left w:w="108" w:type="dxa"/>
              <w:right w:w="108" w:type="dxa"/>
            </w:tcMar>
            <w:vAlign w:val="center"/>
          </w:tcPr>
          <w:p w14:paraId="6540C2F4" w14:textId="77777777" w:rsidR="00327FF1" w:rsidRDefault="00E406C7">
            <w:pPr>
              <w:pStyle w:val="P68B1DB1-Normal121"/>
              <w:spacing w:after="0" w:line="240" w:lineRule="auto"/>
              <w:jc w:val="center"/>
              <w:rPr>
                <w:noProof/>
              </w:rPr>
            </w:pPr>
            <w:r>
              <w:rPr>
                <w:noProof/>
              </w:rPr>
              <w:t>Mērķa:</w:t>
            </w:r>
          </w:p>
        </w:tc>
        <w:tc>
          <w:tcPr>
            <w:tcW w:w="3112" w:type="dxa"/>
            <w:shd w:val="clear" w:color="auto" w:fill="C6EFCE"/>
            <w:tcMar>
              <w:left w:w="108" w:type="dxa"/>
              <w:right w:w="108" w:type="dxa"/>
            </w:tcMar>
            <w:vAlign w:val="center"/>
          </w:tcPr>
          <w:p w14:paraId="00840501" w14:textId="77777777" w:rsidR="00327FF1" w:rsidRDefault="00E406C7">
            <w:pPr>
              <w:pStyle w:val="P68B1DB1-Normal121"/>
              <w:spacing w:after="0" w:line="240" w:lineRule="auto"/>
              <w:rPr>
                <w:noProof/>
              </w:rPr>
            </w:pPr>
            <w:r>
              <w:rPr>
                <w:noProof/>
              </w:rPr>
              <w:t>Riteņbraukšanas joslas T1</w:t>
            </w:r>
          </w:p>
        </w:tc>
      </w:tr>
      <w:tr w:rsidR="00327FF1" w14:paraId="2A4F6435" w14:textId="77777777">
        <w:trPr>
          <w:trHeight w:val="300"/>
        </w:trPr>
        <w:tc>
          <w:tcPr>
            <w:tcW w:w="1430" w:type="dxa"/>
            <w:shd w:val="clear" w:color="auto" w:fill="C6EFCE"/>
            <w:tcMar>
              <w:left w:w="108" w:type="dxa"/>
              <w:right w:w="108" w:type="dxa"/>
            </w:tcMar>
            <w:vAlign w:val="center"/>
          </w:tcPr>
          <w:p w14:paraId="6F3644FF" w14:textId="77777777" w:rsidR="00327FF1" w:rsidRDefault="00E406C7">
            <w:pPr>
              <w:pStyle w:val="P68B1DB1-Normal121"/>
              <w:spacing w:after="0" w:line="240" w:lineRule="auto"/>
              <w:jc w:val="center"/>
              <w:rPr>
                <w:noProof/>
              </w:rPr>
            </w:pPr>
            <w:r>
              <w:rPr>
                <w:noProof/>
              </w:rPr>
              <w:t>M4C1–10</w:t>
            </w:r>
          </w:p>
        </w:tc>
        <w:tc>
          <w:tcPr>
            <w:tcW w:w="3543" w:type="dxa"/>
            <w:shd w:val="clear" w:color="auto" w:fill="C6EFCE"/>
            <w:tcMar>
              <w:left w:w="108" w:type="dxa"/>
              <w:right w:w="108" w:type="dxa"/>
            </w:tcMar>
            <w:vAlign w:val="center"/>
          </w:tcPr>
          <w:p w14:paraId="1001CD78" w14:textId="77777777" w:rsidR="00327FF1" w:rsidRDefault="00E406C7">
            <w:pPr>
              <w:pStyle w:val="P68B1DB1-Normal121"/>
              <w:spacing w:after="0" w:line="240" w:lineRule="auto"/>
              <w:rPr>
                <w:noProof/>
              </w:rPr>
            </w:pPr>
            <w:r>
              <w:rPr>
                <w:noProof/>
              </w:rPr>
              <w:t>Reforma Nr. 2.1. Skolotāju pieņemšana darbā; Reforma Nr. 1.3. Skolu sistēmas reorganizācija; Reforma Nr. 1.2. Terciārās profesionālās izglītības sist</w:t>
            </w:r>
            <w:r>
              <w:rPr>
                <w:noProof/>
              </w:rPr>
              <w:t>ēmas (ITS) reforma; Reforma Nr. 1.4. “Orientācijas” sistēmas reforma; Reforma Nr. 1.5: Universitātes grāda grupu reforma; Reforma Nr. 1.6. Augstskolu diplomu reformas veicināšana</w:t>
            </w:r>
          </w:p>
        </w:tc>
        <w:tc>
          <w:tcPr>
            <w:tcW w:w="1276" w:type="dxa"/>
            <w:shd w:val="clear" w:color="auto" w:fill="C6EFCE"/>
            <w:tcMar>
              <w:left w:w="108" w:type="dxa"/>
              <w:right w:w="108" w:type="dxa"/>
            </w:tcMar>
            <w:vAlign w:val="center"/>
          </w:tcPr>
          <w:p w14:paraId="30343E8D" w14:textId="77777777" w:rsidR="00327FF1" w:rsidRDefault="00E406C7">
            <w:pPr>
              <w:pStyle w:val="P68B1DB1-Normal121"/>
              <w:spacing w:after="0" w:line="240" w:lineRule="auto"/>
              <w:jc w:val="center"/>
              <w:rPr>
                <w:noProof/>
              </w:rPr>
            </w:pPr>
            <w:r>
              <w:rPr>
                <w:noProof/>
              </w:rPr>
              <w:t>Atskaites punkts</w:t>
            </w:r>
          </w:p>
        </w:tc>
        <w:tc>
          <w:tcPr>
            <w:tcW w:w="3112" w:type="dxa"/>
            <w:shd w:val="clear" w:color="auto" w:fill="C6EFCE"/>
            <w:tcMar>
              <w:left w:w="108" w:type="dxa"/>
              <w:right w:w="108" w:type="dxa"/>
            </w:tcMar>
            <w:vAlign w:val="center"/>
          </w:tcPr>
          <w:p w14:paraId="5F506569" w14:textId="77777777" w:rsidR="00327FF1" w:rsidRDefault="00E406C7">
            <w:pPr>
              <w:pStyle w:val="P68B1DB1-Normal121"/>
              <w:spacing w:after="0" w:line="240" w:lineRule="auto"/>
              <w:rPr>
                <w:noProof/>
              </w:rPr>
            </w:pPr>
            <w:r>
              <w:rPr>
                <w:noProof/>
              </w:rPr>
              <w:t xml:space="preserve">Regulu stāšanās spēkā, lai vajadzības gadījumā efektīvi </w:t>
            </w:r>
            <w:r>
              <w:rPr>
                <w:noProof/>
              </w:rPr>
              <w:t>īstenotu un piemērotu visus pasākumus, kas attiecas uz pamatizglītības, vidējās izglītības un augstākās izglītības reformām</w:t>
            </w:r>
          </w:p>
        </w:tc>
      </w:tr>
      <w:tr w:rsidR="00327FF1" w14:paraId="47F969A1" w14:textId="77777777">
        <w:trPr>
          <w:trHeight w:val="300"/>
        </w:trPr>
        <w:tc>
          <w:tcPr>
            <w:tcW w:w="1430" w:type="dxa"/>
            <w:shd w:val="clear" w:color="auto" w:fill="C6EFCE"/>
            <w:tcMar>
              <w:left w:w="108" w:type="dxa"/>
              <w:right w:w="108" w:type="dxa"/>
            </w:tcMar>
            <w:vAlign w:val="center"/>
          </w:tcPr>
          <w:p w14:paraId="42C410C8" w14:textId="77777777" w:rsidR="00327FF1" w:rsidRDefault="00E406C7">
            <w:pPr>
              <w:pStyle w:val="P68B1DB1-Normal121"/>
              <w:spacing w:after="0" w:line="240" w:lineRule="auto"/>
              <w:jc w:val="center"/>
              <w:rPr>
                <w:noProof/>
              </w:rPr>
            </w:pPr>
            <w:r>
              <w:rPr>
                <w:noProof/>
              </w:rPr>
              <w:t>M4C1–11</w:t>
            </w:r>
          </w:p>
        </w:tc>
        <w:tc>
          <w:tcPr>
            <w:tcW w:w="3543" w:type="dxa"/>
            <w:shd w:val="clear" w:color="auto" w:fill="C6EFCE"/>
            <w:tcMar>
              <w:left w:w="108" w:type="dxa"/>
              <w:right w:w="108" w:type="dxa"/>
            </w:tcMar>
            <w:vAlign w:val="center"/>
          </w:tcPr>
          <w:p w14:paraId="76C4A617" w14:textId="77777777" w:rsidR="00327FF1" w:rsidRDefault="00E406C7">
            <w:pPr>
              <w:pStyle w:val="P68B1DB1-Normal121"/>
              <w:spacing w:after="0" w:line="240" w:lineRule="auto"/>
              <w:rPr>
                <w:noProof/>
              </w:rPr>
            </w:pPr>
            <w:r>
              <w:rPr>
                <w:noProof/>
              </w:rPr>
              <w:t>Investīcija Nr. 1.7: Stipendijas piekļuvei universitātēm</w:t>
            </w:r>
          </w:p>
        </w:tc>
        <w:tc>
          <w:tcPr>
            <w:tcW w:w="1276" w:type="dxa"/>
            <w:shd w:val="clear" w:color="auto" w:fill="C6EFCE"/>
            <w:tcMar>
              <w:left w:w="108" w:type="dxa"/>
              <w:right w:w="108" w:type="dxa"/>
            </w:tcMar>
            <w:vAlign w:val="center"/>
          </w:tcPr>
          <w:p w14:paraId="7124AD99" w14:textId="77777777" w:rsidR="00327FF1" w:rsidRDefault="00E406C7">
            <w:pPr>
              <w:pStyle w:val="P68B1DB1-Normal121"/>
              <w:spacing w:after="0" w:line="240" w:lineRule="auto"/>
              <w:jc w:val="center"/>
              <w:rPr>
                <w:noProof/>
              </w:rPr>
            </w:pPr>
            <w:r>
              <w:rPr>
                <w:noProof/>
              </w:rPr>
              <w:t>Mērķa</w:t>
            </w:r>
          </w:p>
        </w:tc>
        <w:tc>
          <w:tcPr>
            <w:tcW w:w="3112" w:type="dxa"/>
            <w:shd w:val="clear" w:color="auto" w:fill="C6EFCE"/>
            <w:tcMar>
              <w:left w:w="108" w:type="dxa"/>
              <w:right w:w="108" w:type="dxa"/>
            </w:tcMar>
            <w:vAlign w:val="center"/>
          </w:tcPr>
          <w:p w14:paraId="2724C07E" w14:textId="77777777" w:rsidR="00327FF1" w:rsidRDefault="00E406C7">
            <w:pPr>
              <w:pStyle w:val="P68B1DB1-Normal121"/>
              <w:spacing w:after="0" w:line="240" w:lineRule="auto"/>
              <w:rPr>
                <w:noProof/>
              </w:rPr>
            </w:pPr>
            <w:r>
              <w:rPr>
                <w:noProof/>
              </w:rPr>
              <w:t>Piešķirta universitātes stipendija</w:t>
            </w:r>
          </w:p>
        </w:tc>
      </w:tr>
      <w:tr w:rsidR="00327FF1" w14:paraId="37F1F7CF" w14:textId="77777777">
        <w:trPr>
          <w:trHeight w:val="300"/>
        </w:trPr>
        <w:tc>
          <w:tcPr>
            <w:tcW w:w="1430" w:type="dxa"/>
            <w:shd w:val="clear" w:color="auto" w:fill="C6EFCE"/>
            <w:tcMar>
              <w:left w:w="108" w:type="dxa"/>
              <w:right w:w="108" w:type="dxa"/>
            </w:tcMar>
            <w:vAlign w:val="center"/>
          </w:tcPr>
          <w:p w14:paraId="465626BF" w14:textId="77777777" w:rsidR="00327FF1" w:rsidRDefault="00E406C7">
            <w:pPr>
              <w:pStyle w:val="P68B1DB1-Normal121"/>
              <w:spacing w:after="0" w:line="240" w:lineRule="auto"/>
              <w:jc w:val="center"/>
              <w:rPr>
                <w:noProof/>
              </w:rPr>
            </w:pPr>
            <w:r>
              <w:rPr>
                <w:noProof/>
              </w:rPr>
              <w:t>M5C3–3</w:t>
            </w:r>
          </w:p>
        </w:tc>
        <w:tc>
          <w:tcPr>
            <w:tcW w:w="3543" w:type="dxa"/>
            <w:shd w:val="clear" w:color="auto" w:fill="C6EFCE"/>
            <w:tcMar>
              <w:left w:w="108" w:type="dxa"/>
              <w:right w:w="108" w:type="dxa"/>
            </w:tcMar>
            <w:vAlign w:val="center"/>
          </w:tcPr>
          <w:p w14:paraId="72193E62" w14:textId="77777777" w:rsidR="00327FF1" w:rsidRDefault="00E406C7">
            <w:pPr>
              <w:pStyle w:val="P68B1DB1-Normal121"/>
              <w:spacing w:after="0" w:line="240" w:lineRule="auto"/>
              <w:rPr>
                <w:noProof/>
              </w:rPr>
            </w:pPr>
            <w:r>
              <w:rPr>
                <w:noProof/>
              </w:rPr>
              <w:t>Ieguldījums Nr. 2</w:t>
            </w:r>
            <w:r>
              <w:rPr>
                <w:noProof/>
              </w:rPr>
              <w:t>: Teritoriālais tuvums veselības aprūpes iestādēm</w:t>
            </w:r>
          </w:p>
        </w:tc>
        <w:tc>
          <w:tcPr>
            <w:tcW w:w="1276" w:type="dxa"/>
            <w:shd w:val="clear" w:color="auto" w:fill="C6EFCE"/>
            <w:tcMar>
              <w:left w:w="108" w:type="dxa"/>
              <w:right w:w="108" w:type="dxa"/>
            </w:tcMar>
            <w:vAlign w:val="center"/>
          </w:tcPr>
          <w:p w14:paraId="4D7B1D01" w14:textId="77777777" w:rsidR="00327FF1" w:rsidRDefault="00E406C7">
            <w:pPr>
              <w:pStyle w:val="P68B1DB1-Normal121"/>
              <w:spacing w:after="0" w:line="240" w:lineRule="auto"/>
              <w:jc w:val="center"/>
              <w:rPr>
                <w:noProof/>
              </w:rPr>
            </w:pPr>
            <w:r>
              <w:rPr>
                <w:noProof/>
              </w:rPr>
              <w:t>Mērķa</w:t>
            </w:r>
          </w:p>
        </w:tc>
        <w:tc>
          <w:tcPr>
            <w:tcW w:w="3112" w:type="dxa"/>
            <w:shd w:val="clear" w:color="auto" w:fill="C6EFCE"/>
            <w:tcMar>
              <w:left w:w="108" w:type="dxa"/>
              <w:right w:w="108" w:type="dxa"/>
            </w:tcMar>
            <w:vAlign w:val="center"/>
          </w:tcPr>
          <w:p w14:paraId="07147C52" w14:textId="77777777" w:rsidR="00327FF1" w:rsidRDefault="00E406C7">
            <w:pPr>
              <w:pStyle w:val="P68B1DB1-Normal8"/>
              <w:spacing w:after="0" w:line="240" w:lineRule="auto"/>
              <w:rPr>
                <w:noProof/>
              </w:rPr>
            </w:pPr>
            <w:r>
              <w:rPr>
                <w:noProof/>
                <w:color w:val="006100"/>
                <w:sz w:val="20"/>
                <w:szCs w:val="20"/>
              </w:rPr>
              <w:t>Atbalsts lauku aptiekām pašvaldībās, ciematos vai apdzīvotās vietās, kurās ir mazāk nekā 5000</w:t>
            </w:r>
            <w:r>
              <w:rPr>
                <w:noProof/>
                <w:sz w:val="23"/>
                <w:szCs w:val="23"/>
              </w:rPr>
              <w:t xml:space="preserve"> </w:t>
            </w:r>
            <w:r>
              <w:rPr>
                <w:noProof/>
                <w:color w:val="006100"/>
                <w:sz w:val="20"/>
                <w:szCs w:val="20"/>
              </w:rPr>
              <w:t>iedzīvotāju (pirmā partija)</w:t>
            </w:r>
          </w:p>
        </w:tc>
      </w:tr>
      <w:tr w:rsidR="00327FF1" w14:paraId="126193C3" w14:textId="77777777">
        <w:trPr>
          <w:trHeight w:val="300"/>
        </w:trPr>
        <w:tc>
          <w:tcPr>
            <w:tcW w:w="1430" w:type="dxa"/>
            <w:shd w:val="clear" w:color="auto" w:fill="C6EFCE"/>
            <w:tcMar>
              <w:left w:w="108" w:type="dxa"/>
              <w:right w:w="108" w:type="dxa"/>
            </w:tcMar>
            <w:vAlign w:val="center"/>
          </w:tcPr>
          <w:p w14:paraId="58BC8582" w14:textId="77777777" w:rsidR="00327FF1" w:rsidRDefault="00E406C7">
            <w:pPr>
              <w:pStyle w:val="P68B1DB1-Normal121"/>
              <w:spacing w:after="0" w:line="240" w:lineRule="auto"/>
              <w:jc w:val="center"/>
              <w:rPr>
                <w:noProof/>
              </w:rPr>
            </w:pPr>
            <w:r>
              <w:rPr>
                <w:noProof/>
              </w:rPr>
              <w:t>M1C1–113</w:t>
            </w:r>
          </w:p>
        </w:tc>
        <w:tc>
          <w:tcPr>
            <w:tcW w:w="3543" w:type="dxa"/>
            <w:shd w:val="clear" w:color="auto" w:fill="C6EFCE"/>
            <w:tcMar>
              <w:left w:w="108" w:type="dxa"/>
              <w:right w:w="108" w:type="dxa"/>
            </w:tcMar>
            <w:vAlign w:val="center"/>
          </w:tcPr>
          <w:p w14:paraId="535AA6BD" w14:textId="77777777" w:rsidR="00327FF1" w:rsidRDefault="00E406C7">
            <w:pPr>
              <w:pStyle w:val="P68B1DB1-Normal121"/>
              <w:spacing w:after="0" w:line="240" w:lineRule="auto"/>
              <w:rPr>
                <w:noProof/>
              </w:rPr>
            </w:pPr>
            <w:r>
              <w:rPr>
                <w:noProof/>
              </w:rPr>
              <w:t>Reforma Nr. 1.12: Nodokļu administrācijas reforma</w:t>
            </w:r>
          </w:p>
        </w:tc>
        <w:tc>
          <w:tcPr>
            <w:tcW w:w="1276" w:type="dxa"/>
            <w:shd w:val="clear" w:color="auto" w:fill="C6EFCE"/>
            <w:tcMar>
              <w:left w:w="108" w:type="dxa"/>
              <w:right w:w="108" w:type="dxa"/>
            </w:tcMar>
            <w:vAlign w:val="center"/>
          </w:tcPr>
          <w:p w14:paraId="57BB8AAF" w14:textId="77777777" w:rsidR="00327FF1" w:rsidRDefault="00E406C7">
            <w:pPr>
              <w:pStyle w:val="P68B1DB1-Normal121"/>
              <w:spacing w:after="0" w:line="240" w:lineRule="auto"/>
              <w:jc w:val="center"/>
              <w:rPr>
                <w:noProof/>
              </w:rPr>
            </w:pPr>
            <w:r>
              <w:rPr>
                <w:noProof/>
              </w:rPr>
              <w:t>Mērķa</w:t>
            </w:r>
          </w:p>
        </w:tc>
        <w:tc>
          <w:tcPr>
            <w:tcW w:w="3112" w:type="dxa"/>
            <w:shd w:val="clear" w:color="auto" w:fill="C6EFCE"/>
            <w:tcMar>
              <w:left w:w="108" w:type="dxa"/>
              <w:right w:w="108" w:type="dxa"/>
            </w:tcMar>
            <w:vAlign w:val="center"/>
          </w:tcPr>
          <w:p w14:paraId="50C4363D" w14:textId="77777777" w:rsidR="00327FF1" w:rsidRDefault="00E406C7">
            <w:pPr>
              <w:pStyle w:val="P68B1DB1-Normal121"/>
              <w:spacing w:after="0" w:line="240" w:lineRule="auto"/>
              <w:rPr>
                <w:noProof/>
              </w:rPr>
            </w:pPr>
            <w:r>
              <w:rPr>
                <w:noProof/>
              </w:rPr>
              <w:t xml:space="preserve">Lielāks </w:t>
            </w:r>
            <w:r>
              <w:rPr>
                <w:noProof/>
              </w:rPr>
              <w:t>“atbilstības vēstuļu” skaits</w:t>
            </w:r>
          </w:p>
        </w:tc>
      </w:tr>
      <w:tr w:rsidR="00327FF1" w14:paraId="7C58A14B" w14:textId="77777777">
        <w:trPr>
          <w:trHeight w:val="300"/>
        </w:trPr>
        <w:tc>
          <w:tcPr>
            <w:tcW w:w="1430" w:type="dxa"/>
            <w:shd w:val="clear" w:color="auto" w:fill="C6EFCE"/>
            <w:tcMar>
              <w:left w:w="108" w:type="dxa"/>
              <w:right w:w="108" w:type="dxa"/>
            </w:tcMar>
            <w:vAlign w:val="center"/>
          </w:tcPr>
          <w:p w14:paraId="446E4BE6" w14:textId="77777777" w:rsidR="00327FF1" w:rsidRDefault="00E406C7">
            <w:pPr>
              <w:pStyle w:val="P68B1DB1-Normal121"/>
              <w:spacing w:after="0" w:line="240" w:lineRule="auto"/>
              <w:jc w:val="center"/>
              <w:rPr>
                <w:noProof/>
              </w:rPr>
            </w:pPr>
            <w:r>
              <w:rPr>
                <w:noProof/>
              </w:rPr>
              <w:t>M1C1–114</w:t>
            </w:r>
          </w:p>
        </w:tc>
        <w:tc>
          <w:tcPr>
            <w:tcW w:w="3543" w:type="dxa"/>
            <w:shd w:val="clear" w:color="auto" w:fill="C6EFCE"/>
            <w:tcMar>
              <w:left w:w="108" w:type="dxa"/>
              <w:right w:w="108" w:type="dxa"/>
            </w:tcMar>
            <w:vAlign w:val="center"/>
          </w:tcPr>
          <w:p w14:paraId="566288E6" w14:textId="77777777" w:rsidR="00327FF1" w:rsidRDefault="00E406C7">
            <w:pPr>
              <w:pStyle w:val="P68B1DB1-Normal121"/>
              <w:spacing w:after="0" w:line="240" w:lineRule="auto"/>
              <w:rPr>
                <w:noProof/>
              </w:rPr>
            </w:pPr>
            <w:r>
              <w:rPr>
                <w:noProof/>
              </w:rPr>
              <w:t>Reforma Nr. 1.12: Nodokļu administrācijas reforma</w:t>
            </w:r>
          </w:p>
        </w:tc>
        <w:tc>
          <w:tcPr>
            <w:tcW w:w="1276" w:type="dxa"/>
            <w:shd w:val="clear" w:color="auto" w:fill="C6EFCE"/>
            <w:tcMar>
              <w:left w:w="108" w:type="dxa"/>
              <w:right w:w="108" w:type="dxa"/>
            </w:tcMar>
            <w:vAlign w:val="center"/>
          </w:tcPr>
          <w:p w14:paraId="1D2AD14C" w14:textId="77777777" w:rsidR="00327FF1" w:rsidRDefault="00E406C7">
            <w:pPr>
              <w:pStyle w:val="P68B1DB1-Normal121"/>
              <w:spacing w:after="0" w:line="240" w:lineRule="auto"/>
              <w:jc w:val="center"/>
              <w:rPr>
                <w:noProof/>
              </w:rPr>
            </w:pPr>
            <w:r>
              <w:rPr>
                <w:noProof/>
              </w:rPr>
              <w:t>Mērķa</w:t>
            </w:r>
          </w:p>
        </w:tc>
        <w:tc>
          <w:tcPr>
            <w:tcW w:w="3112" w:type="dxa"/>
            <w:shd w:val="clear" w:color="auto" w:fill="C6EFCE"/>
            <w:tcMar>
              <w:left w:w="108" w:type="dxa"/>
              <w:right w:w="108" w:type="dxa"/>
            </w:tcMar>
            <w:vAlign w:val="center"/>
          </w:tcPr>
          <w:p w14:paraId="0EAC201D" w14:textId="77777777" w:rsidR="00327FF1" w:rsidRDefault="00E406C7">
            <w:pPr>
              <w:pStyle w:val="P68B1DB1-Normal121"/>
              <w:spacing w:after="0" w:line="240" w:lineRule="auto"/>
              <w:rPr>
                <w:noProof/>
              </w:rPr>
            </w:pPr>
            <w:r>
              <w:rPr>
                <w:noProof/>
              </w:rPr>
              <w:t>“Atbilstības vēstuļu” radīto nodokļu ieņēmumu pieaugums</w:t>
            </w:r>
          </w:p>
        </w:tc>
      </w:tr>
      <w:tr w:rsidR="00327FF1" w14:paraId="4742C241" w14:textId="77777777">
        <w:trPr>
          <w:trHeight w:val="300"/>
        </w:trPr>
        <w:tc>
          <w:tcPr>
            <w:tcW w:w="1430" w:type="dxa"/>
            <w:shd w:val="clear" w:color="auto" w:fill="C6EFCE"/>
            <w:tcMar>
              <w:left w:w="108" w:type="dxa"/>
              <w:right w:w="108" w:type="dxa"/>
            </w:tcMar>
            <w:vAlign w:val="bottom"/>
          </w:tcPr>
          <w:p w14:paraId="6F30B341" w14:textId="77777777" w:rsidR="00327FF1" w:rsidRDefault="00E406C7">
            <w:pPr>
              <w:pStyle w:val="P68B1DB1-Normal121"/>
              <w:spacing w:after="0" w:line="240" w:lineRule="auto"/>
              <w:jc w:val="center"/>
              <w:rPr>
                <w:noProof/>
              </w:rPr>
            </w:pPr>
            <w:r>
              <w:rPr>
                <w:noProof/>
              </w:rPr>
              <w:t xml:space="preserve"> </w:t>
            </w:r>
          </w:p>
        </w:tc>
        <w:tc>
          <w:tcPr>
            <w:tcW w:w="3543" w:type="dxa"/>
            <w:shd w:val="clear" w:color="auto" w:fill="C6EFCE"/>
            <w:tcMar>
              <w:left w:w="108" w:type="dxa"/>
              <w:right w:w="108" w:type="dxa"/>
            </w:tcMar>
            <w:vAlign w:val="center"/>
          </w:tcPr>
          <w:p w14:paraId="3A59ABF1" w14:textId="77777777" w:rsidR="00327FF1" w:rsidRDefault="00E406C7">
            <w:pPr>
              <w:pStyle w:val="P68B1DB1-Normal121"/>
              <w:spacing w:after="0" w:line="240" w:lineRule="auto"/>
              <w:rPr>
                <w:noProof/>
              </w:rPr>
            </w:pPr>
            <w:r>
              <w:rPr>
                <w:noProof/>
              </w:rPr>
              <w:t xml:space="preserve"> </w:t>
            </w:r>
          </w:p>
        </w:tc>
        <w:tc>
          <w:tcPr>
            <w:tcW w:w="1276" w:type="dxa"/>
            <w:shd w:val="clear" w:color="auto" w:fill="C6EFCE"/>
            <w:tcMar>
              <w:left w:w="108" w:type="dxa"/>
              <w:right w:w="108" w:type="dxa"/>
            </w:tcMar>
            <w:vAlign w:val="center"/>
          </w:tcPr>
          <w:p w14:paraId="1D26029C" w14:textId="77777777" w:rsidR="00327FF1" w:rsidRDefault="00E406C7">
            <w:pPr>
              <w:pStyle w:val="P68B1DB1-Normal121"/>
              <w:spacing w:after="0" w:line="240" w:lineRule="auto"/>
              <w:jc w:val="center"/>
              <w:rPr>
                <w:noProof/>
              </w:rPr>
            </w:pPr>
            <w:r>
              <w:rPr>
                <w:noProof/>
              </w:rPr>
              <w:t>Maksājuma summa</w:t>
            </w:r>
          </w:p>
        </w:tc>
        <w:tc>
          <w:tcPr>
            <w:tcW w:w="3112" w:type="dxa"/>
            <w:shd w:val="clear" w:color="auto" w:fill="C6EFCE"/>
            <w:tcMar>
              <w:left w:w="108" w:type="dxa"/>
              <w:right w:w="108" w:type="dxa"/>
            </w:tcMar>
            <w:vAlign w:val="center"/>
          </w:tcPr>
          <w:p w14:paraId="563EEE24" w14:textId="77777777" w:rsidR="00327FF1" w:rsidRDefault="00E406C7">
            <w:pPr>
              <w:spacing w:after="0" w:line="240" w:lineRule="auto"/>
              <w:rPr>
                <w:rFonts w:ascii="Times New Roman" w:eastAsia="Times New Roman" w:hAnsi="Times New Roman" w:cs="Times New Roman"/>
                <w:noProof/>
              </w:rPr>
            </w:pPr>
            <w:r>
              <w:rPr>
                <w:rFonts w:ascii="Times New Roman" w:eastAsia="Times New Roman" w:hAnsi="Times New Roman" w:cs="Times New Roman"/>
                <w:noProof/>
                <w:color w:val="006100"/>
                <w:sz w:val="20"/>
                <w:szCs w:val="20"/>
              </w:rPr>
              <w:t>EUR</w:t>
            </w:r>
            <w:r>
              <w:rPr>
                <w:rFonts w:ascii="Times New Roman" w:eastAsia="Times New Roman" w:hAnsi="Times New Roman" w:cs="Times New Roman"/>
                <w:noProof/>
                <w:sz w:val="23"/>
                <w:szCs w:val="23"/>
              </w:rPr>
              <w:t xml:space="preserve">  </w:t>
            </w:r>
            <w:r>
              <w:rPr>
                <w:rFonts w:ascii="Times New Roman" w:eastAsia="Times New Roman" w:hAnsi="Times New Roman" w:cs="Times New Roman"/>
                <w:noProof/>
                <w:color w:val="006100"/>
                <w:sz w:val="20"/>
                <w:szCs w:val="20"/>
              </w:rPr>
              <w:t>3621492701</w:t>
            </w:r>
            <w:r>
              <w:rPr>
                <w:rFonts w:ascii="Times New Roman" w:eastAsia="Times New Roman" w:hAnsi="Times New Roman" w:cs="Times New Roman"/>
                <w:noProof/>
                <w:sz w:val="23"/>
                <w:szCs w:val="23"/>
              </w:rPr>
              <w:t xml:space="preserve"> </w:t>
            </w:r>
            <w:r>
              <w:rPr>
                <w:rFonts w:ascii="Arial Narrow" w:eastAsia="Arial Narrow" w:hAnsi="Arial Narrow" w:cs="Arial Narrow"/>
                <w:noProof/>
                <w:color w:val="006100"/>
                <w:sz w:val="20"/>
                <w:szCs w:val="20"/>
              </w:rPr>
              <w:t xml:space="preserve"> </w:t>
            </w:r>
          </w:p>
        </w:tc>
      </w:tr>
    </w:tbl>
    <w:p w14:paraId="67231605" w14:textId="77777777" w:rsidR="00327FF1" w:rsidRDefault="00327FF1">
      <w:pPr>
        <w:spacing w:after="0"/>
        <w:ind w:left="850"/>
        <w:contextualSpacing/>
        <w:jc w:val="both"/>
        <w:rPr>
          <w:rFonts w:ascii="Times New Roman" w:eastAsia="Times New Roman" w:hAnsi="Times New Roman" w:cs="Times New Roman"/>
          <w:noProof/>
        </w:rPr>
      </w:pPr>
    </w:p>
    <w:p w14:paraId="44932048" w14:textId="77777777" w:rsidR="00327FF1" w:rsidRDefault="00E406C7">
      <w:pPr>
        <w:pStyle w:val="P68B1DB1-Heading4119"/>
        <w:numPr>
          <w:ilvl w:val="1"/>
          <w:numId w:val="180"/>
        </w:numPr>
        <w:tabs>
          <w:tab w:val="num" w:pos="1440"/>
        </w:tabs>
        <w:ind w:left="1440" w:hanging="360"/>
        <w:rPr>
          <w:noProof/>
        </w:rPr>
      </w:pPr>
      <w:r>
        <w:rPr>
          <w:noProof/>
        </w:rPr>
        <w:t>Sestā daļa (neatmaksājamais atbalsts):</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38"/>
        <w:gridCol w:w="1185"/>
        <w:gridCol w:w="3200"/>
      </w:tblGrid>
      <w:tr w:rsidR="00327FF1" w14:paraId="52EF9C3B" w14:textId="77777777">
        <w:trPr>
          <w:trHeight w:val="900"/>
          <w:tblHeader/>
        </w:trPr>
        <w:tc>
          <w:tcPr>
            <w:tcW w:w="1435" w:type="dxa"/>
            <w:vMerge w:val="restart"/>
            <w:shd w:val="clear" w:color="auto" w:fill="BDD7EE"/>
            <w:tcMar>
              <w:left w:w="108" w:type="dxa"/>
              <w:right w:w="108" w:type="dxa"/>
            </w:tcMar>
            <w:vAlign w:val="center"/>
          </w:tcPr>
          <w:p w14:paraId="5B4A4F3C" w14:textId="77777777" w:rsidR="00327FF1" w:rsidRDefault="00E406C7">
            <w:pPr>
              <w:pStyle w:val="P68B1DB1-Normal120"/>
              <w:spacing w:after="0" w:line="240" w:lineRule="auto"/>
              <w:jc w:val="center"/>
              <w:rPr>
                <w:bCs/>
                <w:noProof/>
              </w:rPr>
            </w:pPr>
            <w:r>
              <w:rPr>
                <w:noProof/>
              </w:rPr>
              <w:t>Kārtas numurs</w:t>
            </w:r>
          </w:p>
        </w:tc>
        <w:tc>
          <w:tcPr>
            <w:tcW w:w="3538" w:type="dxa"/>
            <w:vMerge w:val="restart"/>
            <w:shd w:val="clear" w:color="auto" w:fill="BDD7EE"/>
            <w:tcMar>
              <w:left w:w="108" w:type="dxa"/>
              <w:right w:w="108" w:type="dxa"/>
            </w:tcMar>
            <w:vAlign w:val="center"/>
          </w:tcPr>
          <w:p w14:paraId="4CCE8BE9" w14:textId="77777777" w:rsidR="00327FF1" w:rsidRDefault="00E406C7">
            <w:pPr>
              <w:pStyle w:val="P68B1DB1-Normal120"/>
              <w:spacing w:after="0" w:line="240" w:lineRule="auto"/>
              <w:jc w:val="center"/>
              <w:rPr>
                <w:noProof/>
              </w:rPr>
            </w:pPr>
            <w:r>
              <w:rPr>
                <w:noProof/>
              </w:rPr>
              <w:t xml:space="preserve">Saistītais </w:t>
            </w:r>
            <w:r>
              <w:rPr>
                <w:noProof/>
              </w:rPr>
              <w:t>pasākums (reforma vai ieguldījums)</w:t>
            </w:r>
          </w:p>
        </w:tc>
        <w:tc>
          <w:tcPr>
            <w:tcW w:w="1185" w:type="dxa"/>
            <w:vMerge w:val="restart"/>
            <w:shd w:val="clear" w:color="auto" w:fill="BDD7EE"/>
            <w:tcMar>
              <w:left w:w="108" w:type="dxa"/>
              <w:right w:w="108" w:type="dxa"/>
            </w:tcMar>
            <w:vAlign w:val="center"/>
          </w:tcPr>
          <w:p w14:paraId="2ADA3EB1" w14:textId="77777777" w:rsidR="00327FF1" w:rsidRDefault="00E406C7">
            <w:pPr>
              <w:pStyle w:val="P68B1DB1-Normal120"/>
              <w:spacing w:after="0" w:line="240" w:lineRule="auto"/>
              <w:jc w:val="center"/>
              <w:rPr>
                <w:noProof/>
              </w:rPr>
            </w:pPr>
            <w:r>
              <w:rPr>
                <w:noProof/>
              </w:rPr>
              <w:t>Atskaites punkts/mērķrādītājs</w:t>
            </w:r>
          </w:p>
        </w:tc>
        <w:tc>
          <w:tcPr>
            <w:tcW w:w="3200" w:type="dxa"/>
            <w:vMerge w:val="restart"/>
            <w:shd w:val="clear" w:color="auto" w:fill="BDD7EE"/>
            <w:tcMar>
              <w:left w:w="108" w:type="dxa"/>
              <w:right w:w="108" w:type="dxa"/>
            </w:tcMar>
            <w:vAlign w:val="center"/>
          </w:tcPr>
          <w:p w14:paraId="11A3C600" w14:textId="77777777" w:rsidR="00327FF1" w:rsidRDefault="00E406C7">
            <w:pPr>
              <w:pStyle w:val="P68B1DB1-Normal120"/>
              <w:spacing w:after="0" w:line="240" w:lineRule="auto"/>
              <w:jc w:val="center"/>
              <w:rPr>
                <w:noProof/>
              </w:rPr>
            </w:pPr>
            <w:r>
              <w:rPr>
                <w:noProof/>
              </w:rPr>
              <w:t>Nosaukums</w:t>
            </w:r>
          </w:p>
        </w:tc>
      </w:tr>
      <w:tr w:rsidR="00327FF1" w14:paraId="0EBFBF81" w14:textId="77777777">
        <w:trPr>
          <w:trHeight w:val="510"/>
        </w:trPr>
        <w:tc>
          <w:tcPr>
            <w:tcW w:w="1435" w:type="dxa"/>
            <w:vMerge/>
            <w:vAlign w:val="center"/>
          </w:tcPr>
          <w:p w14:paraId="4D49600B" w14:textId="77777777" w:rsidR="00327FF1" w:rsidRDefault="00327FF1">
            <w:pPr>
              <w:spacing w:after="0" w:line="240" w:lineRule="auto"/>
              <w:jc w:val="center"/>
              <w:rPr>
                <w:rFonts w:ascii="Times New Roman" w:eastAsia="Times New Roman" w:hAnsi="Times New Roman" w:cs="Times New Roman"/>
                <w:noProof/>
              </w:rPr>
            </w:pPr>
          </w:p>
        </w:tc>
        <w:tc>
          <w:tcPr>
            <w:tcW w:w="3538" w:type="dxa"/>
            <w:vMerge/>
            <w:vAlign w:val="center"/>
          </w:tcPr>
          <w:p w14:paraId="12F67352" w14:textId="77777777" w:rsidR="00327FF1" w:rsidRDefault="00327FF1">
            <w:pPr>
              <w:spacing w:after="0" w:line="240" w:lineRule="auto"/>
              <w:rPr>
                <w:rFonts w:ascii="Times New Roman" w:eastAsia="Times New Roman" w:hAnsi="Times New Roman" w:cs="Times New Roman"/>
                <w:noProof/>
              </w:rPr>
            </w:pPr>
          </w:p>
        </w:tc>
        <w:tc>
          <w:tcPr>
            <w:tcW w:w="1185" w:type="dxa"/>
            <w:vMerge/>
            <w:vAlign w:val="center"/>
          </w:tcPr>
          <w:p w14:paraId="13B2C4CB" w14:textId="77777777" w:rsidR="00327FF1" w:rsidRDefault="00327FF1">
            <w:pPr>
              <w:spacing w:after="0" w:line="240" w:lineRule="auto"/>
              <w:jc w:val="center"/>
              <w:rPr>
                <w:rFonts w:ascii="Times New Roman" w:eastAsia="Times New Roman" w:hAnsi="Times New Roman" w:cs="Times New Roman"/>
                <w:noProof/>
              </w:rPr>
            </w:pPr>
          </w:p>
        </w:tc>
        <w:tc>
          <w:tcPr>
            <w:tcW w:w="3200" w:type="dxa"/>
            <w:vMerge/>
            <w:vAlign w:val="center"/>
          </w:tcPr>
          <w:p w14:paraId="4C345578" w14:textId="77777777" w:rsidR="00327FF1" w:rsidRDefault="00327FF1">
            <w:pPr>
              <w:spacing w:after="0" w:line="240" w:lineRule="auto"/>
              <w:rPr>
                <w:rFonts w:ascii="Times New Roman" w:eastAsia="Times New Roman" w:hAnsi="Times New Roman" w:cs="Times New Roman"/>
                <w:noProof/>
              </w:rPr>
            </w:pPr>
          </w:p>
        </w:tc>
      </w:tr>
      <w:tr w:rsidR="00327FF1" w14:paraId="1225D13B" w14:textId="77777777">
        <w:trPr>
          <w:trHeight w:val="300"/>
        </w:trPr>
        <w:tc>
          <w:tcPr>
            <w:tcW w:w="1435" w:type="dxa"/>
            <w:shd w:val="clear" w:color="auto" w:fill="C6EFCE"/>
            <w:tcMar>
              <w:left w:w="108" w:type="dxa"/>
              <w:right w:w="108" w:type="dxa"/>
            </w:tcMar>
            <w:vAlign w:val="center"/>
          </w:tcPr>
          <w:p w14:paraId="6D226258" w14:textId="77777777" w:rsidR="00327FF1" w:rsidRDefault="00E406C7">
            <w:pPr>
              <w:pStyle w:val="P68B1DB1-Normal121"/>
              <w:spacing w:after="0" w:line="240" w:lineRule="auto"/>
              <w:jc w:val="center"/>
              <w:rPr>
                <w:noProof/>
              </w:rPr>
            </w:pPr>
            <w:r>
              <w:rPr>
                <w:noProof/>
              </w:rPr>
              <w:t>M1C1–14bis</w:t>
            </w:r>
          </w:p>
        </w:tc>
        <w:tc>
          <w:tcPr>
            <w:tcW w:w="3538" w:type="dxa"/>
            <w:shd w:val="clear" w:color="auto" w:fill="C6EFCE"/>
            <w:tcMar>
              <w:left w:w="108" w:type="dxa"/>
              <w:right w:w="108" w:type="dxa"/>
            </w:tcMar>
            <w:vAlign w:val="center"/>
          </w:tcPr>
          <w:p w14:paraId="5B23C9CC" w14:textId="77777777" w:rsidR="00327FF1" w:rsidRDefault="00E406C7">
            <w:pPr>
              <w:pStyle w:val="P68B1DB1-Normal121"/>
              <w:spacing w:after="0" w:line="240" w:lineRule="auto"/>
              <w:rPr>
                <w:noProof/>
              </w:rPr>
            </w:pPr>
            <w:r>
              <w:rPr>
                <w:noProof/>
              </w:rPr>
              <w:t>Reforma Nr. 1.9.a: Reforma kohēzijas politikas īstenošanas paātrināšanai</w:t>
            </w:r>
          </w:p>
        </w:tc>
        <w:tc>
          <w:tcPr>
            <w:tcW w:w="1185" w:type="dxa"/>
            <w:shd w:val="clear" w:color="auto" w:fill="C6EFCE"/>
            <w:tcMar>
              <w:left w:w="108" w:type="dxa"/>
              <w:right w:w="108" w:type="dxa"/>
            </w:tcMar>
            <w:vAlign w:val="center"/>
          </w:tcPr>
          <w:p w14:paraId="07016C75"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5CAA73B5" w14:textId="77777777" w:rsidR="00327FF1" w:rsidRDefault="00E406C7">
            <w:pPr>
              <w:pStyle w:val="P68B1DB1-Normal121"/>
              <w:spacing w:after="0" w:line="240" w:lineRule="auto"/>
              <w:rPr>
                <w:noProof/>
              </w:rPr>
            </w:pPr>
            <w:r>
              <w:rPr>
                <w:noProof/>
              </w:rPr>
              <w:t xml:space="preserve">Tādu valsts tiesību aktu stāšanās spēkā, ar kuriem paātrina kohēzijas </w:t>
            </w:r>
            <w:r>
              <w:rPr>
                <w:noProof/>
              </w:rPr>
              <w:t>politikas īstenošanu</w:t>
            </w:r>
          </w:p>
        </w:tc>
      </w:tr>
      <w:tr w:rsidR="00327FF1" w14:paraId="2BBCE6F4" w14:textId="77777777">
        <w:trPr>
          <w:trHeight w:val="300"/>
        </w:trPr>
        <w:tc>
          <w:tcPr>
            <w:tcW w:w="1435" w:type="dxa"/>
            <w:shd w:val="clear" w:color="auto" w:fill="C6EFCE"/>
            <w:tcMar>
              <w:left w:w="108" w:type="dxa"/>
              <w:right w:w="108" w:type="dxa"/>
            </w:tcMar>
            <w:vAlign w:val="center"/>
          </w:tcPr>
          <w:p w14:paraId="4FD87C2E" w14:textId="77777777" w:rsidR="00327FF1" w:rsidRDefault="00E406C7">
            <w:pPr>
              <w:pStyle w:val="P68B1DB1-Normal121"/>
              <w:spacing w:after="0" w:line="240" w:lineRule="auto"/>
              <w:jc w:val="center"/>
              <w:rPr>
                <w:noProof/>
              </w:rPr>
            </w:pPr>
            <w:r>
              <w:rPr>
                <w:noProof/>
              </w:rPr>
              <w:t>M1C1–15</w:t>
            </w:r>
          </w:p>
        </w:tc>
        <w:tc>
          <w:tcPr>
            <w:tcW w:w="3538" w:type="dxa"/>
            <w:shd w:val="clear" w:color="auto" w:fill="C6EFCE"/>
            <w:tcMar>
              <w:left w:w="108" w:type="dxa"/>
              <w:right w:w="108" w:type="dxa"/>
            </w:tcMar>
            <w:vAlign w:val="center"/>
          </w:tcPr>
          <w:p w14:paraId="3F20CFF2" w14:textId="77777777" w:rsidR="00327FF1" w:rsidRDefault="00E406C7">
            <w:pPr>
              <w:pStyle w:val="P68B1DB1-Normal121"/>
              <w:spacing w:after="0" w:line="240" w:lineRule="auto"/>
              <w:rPr>
                <w:noProof/>
              </w:rPr>
            </w:pPr>
            <w:r>
              <w:rPr>
                <w:noProof/>
              </w:rPr>
              <w:t>Ieguldījums 1.6.6.: Finanšu policijas digitalizācija</w:t>
            </w:r>
          </w:p>
        </w:tc>
        <w:tc>
          <w:tcPr>
            <w:tcW w:w="1185" w:type="dxa"/>
            <w:shd w:val="clear" w:color="auto" w:fill="C6EFCE"/>
            <w:tcMar>
              <w:left w:w="108" w:type="dxa"/>
              <w:right w:w="108" w:type="dxa"/>
            </w:tcMar>
            <w:vAlign w:val="center"/>
          </w:tcPr>
          <w:p w14:paraId="68D64B95" w14:textId="77777777" w:rsidR="00327FF1" w:rsidRDefault="00E406C7">
            <w:pPr>
              <w:pStyle w:val="P68B1DB1-Normal121"/>
              <w:spacing w:after="0" w:line="240" w:lineRule="auto"/>
              <w:jc w:val="center"/>
              <w:rPr>
                <w:noProof/>
              </w:rPr>
            </w:pPr>
            <w:r>
              <w:rPr>
                <w:noProof/>
              </w:rPr>
              <w:t>Mērķa</w:t>
            </w:r>
          </w:p>
        </w:tc>
        <w:tc>
          <w:tcPr>
            <w:tcW w:w="3200" w:type="dxa"/>
            <w:shd w:val="clear" w:color="auto" w:fill="C6EFCE"/>
            <w:tcMar>
              <w:left w:w="108" w:type="dxa"/>
              <w:right w:w="108" w:type="dxa"/>
            </w:tcMar>
            <w:vAlign w:val="center"/>
          </w:tcPr>
          <w:p w14:paraId="001E76B6" w14:textId="77777777" w:rsidR="00327FF1" w:rsidRDefault="00E406C7">
            <w:pPr>
              <w:pStyle w:val="P68B1DB1-Normal121"/>
              <w:spacing w:after="0" w:line="240" w:lineRule="auto"/>
              <w:rPr>
                <w:noProof/>
              </w:rPr>
            </w:pPr>
            <w:r>
              <w:rPr>
                <w:noProof/>
              </w:rPr>
              <w:t>Finanšu policija — profesionālo datu zinātnes pakalpojumu iegāde T2</w:t>
            </w:r>
          </w:p>
        </w:tc>
      </w:tr>
      <w:tr w:rsidR="00327FF1" w14:paraId="1DF2E77A" w14:textId="77777777">
        <w:trPr>
          <w:trHeight w:val="300"/>
        </w:trPr>
        <w:tc>
          <w:tcPr>
            <w:tcW w:w="1435" w:type="dxa"/>
            <w:shd w:val="clear" w:color="auto" w:fill="C6EFCE"/>
            <w:tcMar>
              <w:left w:w="108" w:type="dxa"/>
              <w:right w:w="108" w:type="dxa"/>
            </w:tcMar>
            <w:vAlign w:val="center"/>
          </w:tcPr>
          <w:p w14:paraId="08F4F962" w14:textId="77777777" w:rsidR="00327FF1" w:rsidRDefault="00E406C7">
            <w:pPr>
              <w:pStyle w:val="P68B1DB1-Normal121"/>
              <w:spacing w:after="0" w:line="240" w:lineRule="auto"/>
              <w:jc w:val="center"/>
              <w:rPr>
                <w:noProof/>
              </w:rPr>
            </w:pPr>
            <w:r>
              <w:rPr>
                <w:noProof/>
              </w:rPr>
              <w:t>M1C1–37a</w:t>
            </w:r>
          </w:p>
        </w:tc>
        <w:tc>
          <w:tcPr>
            <w:tcW w:w="3538" w:type="dxa"/>
            <w:shd w:val="clear" w:color="auto" w:fill="C6EFCE"/>
            <w:tcMar>
              <w:left w:w="108" w:type="dxa"/>
              <w:right w:w="108" w:type="dxa"/>
            </w:tcMar>
            <w:vAlign w:val="center"/>
          </w:tcPr>
          <w:p w14:paraId="390FE531" w14:textId="77777777" w:rsidR="00327FF1" w:rsidRDefault="00E406C7">
            <w:pPr>
              <w:pStyle w:val="P68B1DB1-Normal121"/>
              <w:spacing w:after="0" w:line="240" w:lineRule="auto"/>
              <w:rPr>
                <w:noProof/>
              </w:rPr>
            </w:pPr>
            <w:r>
              <w:rPr>
                <w:noProof/>
              </w:rPr>
              <w:t>Reforma Nr. 1.4. Civiltiesību reforma</w:t>
            </w:r>
          </w:p>
        </w:tc>
        <w:tc>
          <w:tcPr>
            <w:tcW w:w="1185" w:type="dxa"/>
            <w:shd w:val="clear" w:color="auto" w:fill="C6EFCE"/>
            <w:tcMar>
              <w:left w:w="108" w:type="dxa"/>
              <w:right w:w="108" w:type="dxa"/>
            </w:tcMar>
            <w:vAlign w:val="center"/>
          </w:tcPr>
          <w:p w14:paraId="31D8524E"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52DA5B71" w14:textId="77777777" w:rsidR="00327FF1" w:rsidRDefault="00E406C7">
            <w:pPr>
              <w:pStyle w:val="P68B1DB1-Normal121"/>
              <w:spacing w:after="0" w:line="240" w:lineRule="auto"/>
              <w:rPr>
                <w:noProof/>
              </w:rPr>
            </w:pPr>
            <w:r>
              <w:rPr>
                <w:noProof/>
              </w:rPr>
              <w:t>Tādu pasākumu stāšanās spēkā, kuru</w:t>
            </w:r>
            <w:r>
              <w:rPr>
                <w:noProof/>
              </w:rPr>
              <w:t xml:space="preserve"> mērķis ir samazināt neizskatīto lietu skaitu</w:t>
            </w:r>
          </w:p>
        </w:tc>
      </w:tr>
      <w:tr w:rsidR="00327FF1" w14:paraId="61C79FB2" w14:textId="77777777">
        <w:trPr>
          <w:trHeight w:val="300"/>
        </w:trPr>
        <w:tc>
          <w:tcPr>
            <w:tcW w:w="1435" w:type="dxa"/>
            <w:shd w:val="clear" w:color="auto" w:fill="C6EFCE"/>
            <w:tcMar>
              <w:left w:w="108" w:type="dxa"/>
              <w:right w:w="108" w:type="dxa"/>
            </w:tcMar>
            <w:vAlign w:val="center"/>
          </w:tcPr>
          <w:p w14:paraId="0AA6FC9B" w14:textId="77777777" w:rsidR="00327FF1" w:rsidRDefault="00E406C7">
            <w:pPr>
              <w:pStyle w:val="P68B1DB1-Normal121"/>
              <w:spacing w:after="0" w:line="240" w:lineRule="auto"/>
              <w:jc w:val="center"/>
              <w:rPr>
                <w:noProof/>
              </w:rPr>
            </w:pPr>
            <w:r>
              <w:rPr>
                <w:noProof/>
              </w:rPr>
              <w:t>M1C1–72bis</w:t>
            </w:r>
          </w:p>
        </w:tc>
        <w:tc>
          <w:tcPr>
            <w:tcW w:w="3538" w:type="dxa"/>
            <w:shd w:val="clear" w:color="auto" w:fill="C6EFCE"/>
            <w:tcMar>
              <w:left w:w="108" w:type="dxa"/>
              <w:right w:w="108" w:type="dxa"/>
            </w:tcMar>
            <w:vAlign w:val="center"/>
          </w:tcPr>
          <w:p w14:paraId="43356C26" w14:textId="77777777" w:rsidR="00327FF1" w:rsidRDefault="00E406C7">
            <w:pPr>
              <w:pStyle w:val="P68B1DB1-Normal121"/>
              <w:spacing w:after="0" w:line="240" w:lineRule="auto"/>
              <w:rPr>
                <w:noProof/>
              </w:rPr>
            </w:pPr>
            <w:r>
              <w:rPr>
                <w:noProof/>
              </w:rPr>
              <w:t>Reforma Nr. 1.11. Valsts pārvaldes un veselības aprūpes iestāžu maksājumu kavējumu samazināšana</w:t>
            </w:r>
          </w:p>
        </w:tc>
        <w:tc>
          <w:tcPr>
            <w:tcW w:w="1185" w:type="dxa"/>
            <w:shd w:val="clear" w:color="auto" w:fill="C6EFCE"/>
            <w:tcMar>
              <w:left w:w="108" w:type="dxa"/>
              <w:right w:w="108" w:type="dxa"/>
            </w:tcMar>
            <w:vAlign w:val="center"/>
          </w:tcPr>
          <w:p w14:paraId="7382BD3A"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79A24896" w14:textId="77777777" w:rsidR="00327FF1" w:rsidRDefault="00E406C7">
            <w:pPr>
              <w:pStyle w:val="P68B1DB1-Normal121"/>
              <w:spacing w:after="0" w:line="240" w:lineRule="auto"/>
              <w:rPr>
                <w:noProof/>
              </w:rPr>
            </w:pPr>
            <w:r>
              <w:rPr>
                <w:noProof/>
              </w:rPr>
              <w:t xml:space="preserve">Likumdošanas un īpašas darbības, lai samazinātu maksājumu kavējumus centrālā/vietējā </w:t>
            </w:r>
            <w:r>
              <w:rPr>
                <w:noProof/>
              </w:rPr>
              <w:t>līmenī</w:t>
            </w:r>
          </w:p>
        </w:tc>
      </w:tr>
      <w:tr w:rsidR="00327FF1" w14:paraId="7C4AAEE7" w14:textId="77777777">
        <w:trPr>
          <w:trHeight w:val="300"/>
        </w:trPr>
        <w:tc>
          <w:tcPr>
            <w:tcW w:w="1435" w:type="dxa"/>
            <w:shd w:val="clear" w:color="auto" w:fill="C6EFCE"/>
            <w:tcMar>
              <w:left w:w="108" w:type="dxa"/>
              <w:right w:w="108" w:type="dxa"/>
            </w:tcMar>
            <w:vAlign w:val="center"/>
          </w:tcPr>
          <w:p w14:paraId="42465D96" w14:textId="77777777" w:rsidR="00327FF1" w:rsidRDefault="00E406C7">
            <w:pPr>
              <w:pStyle w:val="P68B1DB1-Normal121"/>
              <w:spacing w:after="0" w:line="240" w:lineRule="auto"/>
              <w:jc w:val="center"/>
              <w:rPr>
                <w:noProof/>
              </w:rPr>
            </w:pPr>
            <w:r>
              <w:rPr>
                <w:noProof/>
              </w:rPr>
              <w:t>M1C1–85</w:t>
            </w:r>
          </w:p>
        </w:tc>
        <w:tc>
          <w:tcPr>
            <w:tcW w:w="3538" w:type="dxa"/>
            <w:shd w:val="clear" w:color="auto" w:fill="C6EFCE"/>
            <w:tcMar>
              <w:left w:w="108" w:type="dxa"/>
              <w:right w:w="108" w:type="dxa"/>
            </w:tcMar>
            <w:vAlign w:val="center"/>
          </w:tcPr>
          <w:p w14:paraId="208108E1" w14:textId="77777777" w:rsidR="00327FF1" w:rsidRDefault="00E406C7">
            <w:pPr>
              <w:pStyle w:val="P68B1DB1-Normal121"/>
              <w:spacing w:after="0" w:line="240" w:lineRule="auto"/>
              <w:rPr>
                <w:noProof/>
              </w:rPr>
            </w:pPr>
            <w:r>
              <w:rPr>
                <w:noProof/>
              </w:rPr>
              <w:t>Reforma Nr. 1.10. Publiskā iepirkuma tiesiskā regulējuma reforma</w:t>
            </w:r>
          </w:p>
        </w:tc>
        <w:tc>
          <w:tcPr>
            <w:tcW w:w="1185" w:type="dxa"/>
            <w:shd w:val="clear" w:color="auto" w:fill="C6EFCE"/>
            <w:tcMar>
              <w:left w:w="108" w:type="dxa"/>
              <w:right w:w="108" w:type="dxa"/>
            </w:tcMar>
            <w:vAlign w:val="center"/>
          </w:tcPr>
          <w:p w14:paraId="113E5ADC" w14:textId="77777777" w:rsidR="00327FF1" w:rsidRDefault="00E406C7">
            <w:pPr>
              <w:pStyle w:val="P68B1DB1-Normal121"/>
              <w:spacing w:after="0" w:line="240" w:lineRule="auto"/>
              <w:jc w:val="center"/>
              <w:rPr>
                <w:noProof/>
              </w:rPr>
            </w:pPr>
            <w:r>
              <w:rPr>
                <w:noProof/>
              </w:rPr>
              <w:t>Mērķa</w:t>
            </w:r>
          </w:p>
        </w:tc>
        <w:tc>
          <w:tcPr>
            <w:tcW w:w="3200" w:type="dxa"/>
            <w:shd w:val="clear" w:color="auto" w:fill="C6EFCE"/>
            <w:tcMar>
              <w:left w:w="108" w:type="dxa"/>
              <w:right w:w="108" w:type="dxa"/>
            </w:tcMar>
            <w:vAlign w:val="center"/>
          </w:tcPr>
          <w:p w14:paraId="20306977" w14:textId="77777777" w:rsidR="00327FF1" w:rsidRDefault="00E406C7">
            <w:pPr>
              <w:pStyle w:val="P68B1DB1-Normal121"/>
              <w:spacing w:after="0" w:line="240" w:lineRule="auto"/>
              <w:rPr>
                <w:noProof/>
              </w:rPr>
            </w:pPr>
            <w:r>
              <w:rPr>
                <w:noProof/>
              </w:rPr>
              <w:t>Vidējais laiks starp līguma slēgšanas tiesību piešķiršanu un infrastruktūras realizāciju</w:t>
            </w:r>
          </w:p>
        </w:tc>
      </w:tr>
      <w:tr w:rsidR="00327FF1" w14:paraId="5912808E" w14:textId="77777777">
        <w:trPr>
          <w:trHeight w:val="300"/>
        </w:trPr>
        <w:tc>
          <w:tcPr>
            <w:tcW w:w="1435" w:type="dxa"/>
            <w:shd w:val="clear" w:color="auto" w:fill="C6EFCE"/>
            <w:tcMar>
              <w:left w:w="108" w:type="dxa"/>
              <w:right w:w="108" w:type="dxa"/>
            </w:tcMar>
            <w:vAlign w:val="center"/>
          </w:tcPr>
          <w:p w14:paraId="5824C85B" w14:textId="77777777" w:rsidR="00327FF1" w:rsidRDefault="00E406C7">
            <w:pPr>
              <w:pStyle w:val="P68B1DB1-Normal121"/>
              <w:spacing w:after="0" w:line="240" w:lineRule="auto"/>
              <w:jc w:val="center"/>
              <w:rPr>
                <w:noProof/>
              </w:rPr>
            </w:pPr>
            <w:r>
              <w:rPr>
                <w:noProof/>
              </w:rPr>
              <w:t>M1C1–99</w:t>
            </w:r>
          </w:p>
        </w:tc>
        <w:tc>
          <w:tcPr>
            <w:tcW w:w="3538" w:type="dxa"/>
            <w:shd w:val="clear" w:color="auto" w:fill="C6EFCE"/>
            <w:tcMar>
              <w:left w:w="108" w:type="dxa"/>
              <w:right w:w="108" w:type="dxa"/>
            </w:tcMar>
            <w:vAlign w:val="center"/>
          </w:tcPr>
          <w:p w14:paraId="16272F64" w14:textId="77777777" w:rsidR="00327FF1" w:rsidRDefault="00E406C7">
            <w:pPr>
              <w:pStyle w:val="P68B1DB1-Normal121"/>
              <w:spacing w:after="0" w:line="240" w:lineRule="auto"/>
              <w:rPr>
                <w:noProof/>
              </w:rPr>
            </w:pPr>
            <w:r>
              <w:rPr>
                <w:noProof/>
              </w:rPr>
              <w:t>Reforma Nr. 1.10. Publiskā iepirkuma tiesiskā regulējuma reforma </w:t>
            </w:r>
          </w:p>
        </w:tc>
        <w:tc>
          <w:tcPr>
            <w:tcW w:w="1185" w:type="dxa"/>
            <w:shd w:val="clear" w:color="auto" w:fill="C6EFCE"/>
            <w:tcMar>
              <w:left w:w="108" w:type="dxa"/>
              <w:right w:w="108" w:type="dxa"/>
            </w:tcMar>
            <w:vAlign w:val="center"/>
          </w:tcPr>
          <w:p w14:paraId="7851CB1E" w14:textId="77777777" w:rsidR="00327FF1" w:rsidRDefault="00E406C7">
            <w:pPr>
              <w:pStyle w:val="P68B1DB1-Normal121"/>
              <w:spacing w:after="0" w:line="240" w:lineRule="auto"/>
              <w:jc w:val="center"/>
              <w:rPr>
                <w:noProof/>
              </w:rPr>
            </w:pPr>
            <w:r>
              <w:rPr>
                <w:noProof/>
              </w:rPr>
              <w:t>Mērķa</w:t>
            </w:r>
          </w:p>
        </w:tc>
        <w:tc>
          <w:tcPr>
            <w:tcW w:w="3200" w:type="dxa"/>
            <w:shd w:val="clear" w:color="auto" w:fill="C6EFCE"/>
            <w:tcMar>
              <w:left w:w="108" w:type="dxa"/>
              <w:right w:w="108" w:type="dxa"/>
            </w:tcMar>
            <w:vAlign w:val="center"/>
          </w:tcPr>
          <w:p w14:paraId="74EA3C26" w14:textId="77777777" w:rsidR="00327FF1" w:rsidRDefault="00E406C7">
            <w:pPr>
              <w:pStyle w:val="P68B1DB1-Normal121"/>
              <w:spacing w:after="0" w:line="240" w:lineRule="auto"/>
              <w:rPr>
                <w:noProof/>
              </w:rPr>
            </w:pPr>
            <w:r>
              <w:rPr>
                <w:noProof/>
              </w:rPr>
              <w:t>Līgumslēdzējas iestādes, kas izmanto dinamiskās iepirkumu sistēmas </w:t>
            </w:r>
          </w:p>
        </w:tc>
      </w:tr>
      <w:tr w:rsidR="00327FF1" w14:paraId="3395CF0C" w14:textId="77777777">
        <w:trPr>
          <w:trHeight w:val="300"/>
        </w:trPr>
        <w:tc>
          <w:tcPr>
            <w:tcW w:w="1435" w:type="dxa"/>
            <w:shd w:val="clear" w:color="auto" w:fill="C6EFCE"/>
            <w:tcMar>
              <w:left w:w="108" w:type="dxa"/>
              <w:right w:w="108" w:type="dxa"/>
            </w:tcMar>
            <w:vAlign w:val="center"/>
          </w:tcPr>
          <w:p w14:paraId="35DAA014" w14:textId="77777777" w:rsidR="00327FF1" w:rsidRDefault="00E406C7">
            <w:pPr>
              <w:pStyle w:val="P68B1DB1-Normal121"/>
              <w:spacing w:after="0" w:line="240" w:lineRule="auto"/>
              <w:jc w:val="center"/>
              <w:rPr>
                <w:noProof/>
              </w:rPr>
            </w:pPr>
            <w:r>
              <w:rPr>
                <w:noProof/>
              </w:rPr>
              <w:t>M2C2–6</w:t>
            </w:r>
          </w:p>
        </w:tc>
        <w:tc>
          <w:tcPr>
            <w:tcW w:w="3538" w:type="dxa"/>
            <w:shd w:val="clear" w:color="auto" w:fill="C6EFCE"/>
            <w:tcMar>
              <w:left w:w="108" w:type="dxa"/>
              <w:right w:w="108" w:type="dxa"/>
            </w:tcMar>
            <w:vAlign w:val="center"/>
          </w:tcPr>
          <w:p w14:paraId="1F3BE69A" w14:textId="77777777" w:rsidR="00327FF1" w:rsidRDefault="00E406C7">
            <w:pPr>
              <w:pStyle w:val="P68B1DB1-Normal121"/>
              <w:spacing w:after="0" w:line="240" w:lineRule="auto"/>
              <w:rPr>
                <w:noProof/>
              </w:rPr>
            </w:pPr>
            <w:r>
              <w:rPr>
                <w:noProof/>
              </w:rPr>
              <w:t xml:space="preserve">Reforma Nr. 1 Atļauju piešķiršanas procedūru vienkāršošana atjaunīgo energoresursu stacijām uz sauszemes un atkrastes stacijām un jauns tiesiskais regulējums, lai atbalstītu </w:t>
            </w:r>
            <w:r>
              <w:rPr>
                <w:noProof/>
              </w:rPr>
              <w:t>ražošanu no atjaunojamiem energoresursiem, kā arī pašreizējo atbalsta shēmu laika un atbilstības pagarināšana</w:t>
            </w:r>
          </w:p>
        </w:tc>
        <w:tc>
          <w:tcPr>
            <w:tcW w:w="1185" w:type="dxa"/>
            <w:shd w:val="clear" w:color="auto" w:fill="C6EFCE"/>
            <w:tcMar>
              <w:left w:w="108" w:type="dxa"/>
              <w:right w:w="108" w:type="dxa"/>
            </w:tcMar>
            <w:vAlign w:val="center"/>
          </w:tcPr>
          <w:p w14:paraId="580A526C"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1F08E715" w14:textId="77777777" w:rsidR="00327FF1" w:rsidRDefault="00E406C7">
            <w:pPr>
              <w:pStyle w:val="P68B1DB1-Normal121"/>
              <w:spacing w:after="0" w:line="240" w:lineRule="auto"/>
              <w:rPr>
                <w:noProof/>
              </w:rPr>
            </w:pPr>
            <w:r>
              <w:rPr>
                <w:noProof/>
              </w:rPr>
              <w:t>Stājas spēkā tiesiskais regulējums, ar ko vienkāršo atļauju piešķiršanas procedūras sauszemes un atkrastes atjaunīgās enerģijas s</w:t>
            </w:r>
            <w:r>
              <w:rPr>
                <w:noProof/>
              </w:rPr>
              <w:t>truktūru izveidei</w:t>
            </w:r>
          </w:p>
        </w:tc>
      </w:tr>
      <w:tr w:rsidR="00327FF1" w14:paraId="0AB27E58" w14:textId="77777777">
        <w:trPr>
          <w:trHeight w:val="300"/>
        </w:trPr>
        <w:tc>
          <w:tcPr>
            <w:tcW w:w="1435" w:type="dxa"/>
            <w:shd w:val="clear" w:color="auto" w:fill="C6EFCE"/>
            <w:tcMar>
              <w:left w:w="108" w:type="dxa"/>
              <w:right w:w="108" w:type="dxa"/>
            </w:tcMar>
            <w:vAlign w:val="center"/>
          </w:tcPr>
          <w:p w14:paraId="1534BE9A" w14:textId="77777777" w:rsidR="00327FF1" w:rsidRDefault="00E406C7">
            <w:pPr>
              <w:pStyle w:val="P68B1DB1-Normal121"/>
              <w:spacing w:after="0" w:line="240" w:lineRule="auto"/>
              <w:jc w:val="center"/>
              <w:rPr>
                <w:noProof/>
              </w:rPr>
            </w:pPr>
            <w:r>
              <w:rPr>
                <w:noProof/>
              </w:rPr>
              <w:t>M4C1–8</w:t>
            </w:r>
          </w:p>
        </w:tc>
        <w:tc>
          <w:tcPr>
            <w:tcW w:w="3538" w:type="dxa"/>
            <w:shd w:val="clear" w:color="auto" w:fill="C6EFCE"/>
            <w:tcMar>
              <w:left w:w="108" w:type="dxa"/>
              <w:right w:w="108" w:type="dxa"/>
            </w:tcMar>
            <w:vAlign w:val="center"/>
          </w:tcPr>
          <w:p w14:paraId="2380D91D" w14:textId="77777777" w:rsidR="00327FF1" w:rsidRDefault="00E406C7">
            <w:pPr>
              <w:pStyle w:val="P68B1DB1-Normal121"/>
              <w:spacing w:after="0" w:line="240" w:lineRule="auto"/>
              <w:rPr>
                <w:noProof/>
              </w:rPr>
            </w:pPr>
            <w:r>
              <w:rPr>
                <w:noProof/>
              </w:rPr>
              <w:t>Investīcija Nr. 1.3. Skolu sporta infrastruktūras uzlabošanas plāns</w:t>
            </w:r>
          </w:p>
        </w:tc>
        <w:tc>
          <w:tcPr>
            <w:tcW w:w="1185" w:type="dxa"/>
            <w:shd w:val="clear" w:color="auto" w:fill="C6EFCE"/>
            <w:tcMar>
              <w:left w:w="108" w:type="dxa"/>
              <w:right w:w="108" w:type="dxa"/>
            </w:tcMar>
            <w:vAlign w:val="center"/>
          </w:tcPr>
          <w:p w14:paraId="2115E5BC"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601B199D" w14:textId="77777777" w:rsidR="00327FF1" w:rsidRDefault="00E406C7">
            <w:pPr>
              <w:pStyle w:val="P68B1DB1-Normal121"/>
              <w:spacing w:after="0" w:line="240" w:lineRule="auto"/>
              <w:rPr>
                <w:noProof/>
              </w:rPr>
            </w:pPr>
            <w:r>
              <w:rPr>
                <w:noProof/>
              </w:rPr>
              <w:t>Līgumu slēgšanas tiesību piešķiršana intervences pasākumiem, lai būvētu un atjaunotu sporta objektus un sporta zāles izmantošanai skolā</w:t>
            </w:r>
          </w:p>
        </w:tc>
      </w:tr>
      <w:tr w:rsidR="00327FF1" w14:paraId="2316D176" w14:textId="77777777">
        <w:trPr>
          <w:trHeight w:val="300"/>
        </w:trPr>
        <w:tc>
          <w:tcPr>
            <w:tcW w:w="1435" w:type="dxa"/>
            <w:shd w:val="clear" w:color="auto" w:fill="C6EFCE"/>
            <w:tcMar>
              <w:left w:w="108" w:type="dxa"/>
              <w:right w:w="108" w:type="dxa"/>
            </w:tcMar>
            <w:vAlign w:val="center"/>
          </w:tcPr>
          <w:p w14:paraId="7CA5B56E" w14:textId="77777777" w:rsidR="00327FF1" w:rsidRDefault="00E406C7">
            <w:pPr>
              <w:pStyle w:val="P68B1DB1-Normal121"/>
              <w:spacing w:after="0" w:line="240" w:lineRule="auto"/>
              <w:jc w:val="center"/>
              <w:rPr>
                <w:noProof/>
              </w:rPr>
            </w:pPr>
            <w:r>
              <w:rPr>
                <w:noProof/>
              </w:rPr>
              <w:t>M5C1–9</w:t>
            </w:r>
          </w:p>
        </w:tc>
        <w:tc>
          <w:tcPr>
            <w:tcW w:w="3538" w:type="dxa"/>
            <w:shd w:val="clear" w:color="auto" w:fill="C6EFCE"/>
            <w:tcMar>
              <w:left w:w="108" w:type="dxa"/>
              <w:right w:w="108" w:type="dxa"/>
            </w:tcMar>
            <w:vAlign w:val="center"/>
          </w:tcPr>
          <w:p w14:paraId="7C2E3764" w14:textId="77777777" w:rsidR="00327FF1" w:rsidRDefault="00E406C7">
            <w:pPr>
              <w:pStyle w:val="P68B1DB1-Normal121"/>
              <w:spacing w:after="0" w:line="240" w:lineRule="auto"/>
              <w:rPr>
                <w:noProof/>
              </w:rPr>
            </w:pPr>
            <w:r>
              <w:rPr>
                <w:noProof/>
              </w:rPr>
              <w:t>Reforma. Nedeklarēts darbs</w:t>
            </w:r>
          </w:p>
        </w:tc>
        <w:tc>
          <w:tcPr>
            <w:tcW w:w="1185" w:type="dxa"/>
            <w:shd w:val="clear" w:color="auto" w:fill="C6EFCE"/>
            <w:tcMar>
              <w:left w:w="108" w:type="dxa"/>
              <w:right w:w="108" w:type="dxa"/>
            </w:tcMar>
            <w:vAlign w:val="center"/>
          </w:tcPr>
          <w:p w14:paraId="140FF00A"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42787B16" w14:textId="77777777" w:rsidR="00327FF1" w:rsidRDefault="00E406C7">
            <w:pPr>
              <w:pStyle w:val="P68B1DB1-Normal121"/>
              <w:spacing w:after="0" w:line="240" w:lineRule="auto"/>
              <w:rPr>
                <w:noProof/>
              </w:rPr>
            </w:pPr>
            <w:r>
              <w:rPr>
                <w:noProof/>
              </w:rPr>
              <w:t>Veikt pasākumus nedeklarēta darba apkarošanai</w:t>
            </w:r>
          </w:p>
        </w:tc>
      </w:tr>
      <w:tr w:rsidR="00327FF1" w14:paraId="2197A769" w14:textId="77777777">
        <w:trPr>
          <w:trHeight w:val="300"/>
        </w:trPr>
        <w:tc>
          <w:tcPr>
            <w:tcW w:w="1435" w:type="dxa"/>
            <w:shd w:val="clear" w:color="auto" w:fill="C6EFCE"/>
            <w:tcMar>
              <w:left w:w="108" w:type="dxa"/>
              <w:right w:w="108" w:type="dxa"/>
            </w:tcMar>
            <w:vAlign w:val="center"/>
          </w:tcPr>
          <w:p w14:paraId="3D6E66DF" w14:textId="77777777" w:rsidR="00327FF1" w:rsidRDefault="00E406C7">
            <w:pPr>
              <w:pStyle w:val="P68B1DB1-Normal121"/>
              <w:spacing w:after="0" w:line="240" w:lineRule="auto"/>
              <w:jc w:val="center"/>
              <w:rPr>
                <w:noProof/>
              </w:rPr>
            </w:pPr>
            <w:r>
              <w:rPr>
                <w:noProof/>
              </w:rPr>
              <w:t>M5C2–4</w:t>
            </w:r>
          </w:p>
        </w:tc>
        <w:tc>
          <w:tcPr>
            <w:tcW w:w="3538" w:type="dxa"/>
            <w:shd w:val="clear" w:color="auto" w:fill="C6EFCE"/>
            <w:tcMar>
              <w:left w:w="108" w:type="dxa"/>
              <w:right w:w="108" w:type="dxa"/>
            </w:tcMar>
            <w:vAlign w:val="center"/>
          </w:tcPr>
          <w:p w14:paraId="4F6D4C08" w14:textId="77777777" w:rsidR="00327FF1" w:rsidRDefault="00E406C7">
            <w:pPr>
              <w:pStyle w:val="P68B1DB1-Normal121"/>
              <w:spacing w:after="0" w:line="240" w:lineRule="auto"/>
              <w:rPr>
                <w:noProof/>
              </w:rPr>
            </w:pPr>
            <w:r>
              <w:rPr>
                <w:noProof/>
              </w:rPr>
              <w:t>Reforma — reforma attiecībā uz vecāka gadagājuma cilvēkiem, kas nav pašpietiekami</w:t>
            </w:r>
          </w:p>
        </w:tc>
        <w:tc>
          <w:tcPr>
            <w:tcW w:w="1185" w:type="dxa"/>
            <w:shd w:val="clear" w:color="auto" w:fill="C6EFCE"/>
            <w:tcMar>
              <w:left w:w="108" w:type="dxa"/>
              <w:right w:w="108" w:type="dxa"/>
            </w:tcMar>
            <w:vAlign w:val="center"/>
          </w:tcPr>
          <w:p w14:paraId="2F0AB2A3"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4873E7FD" w14:textId="77777777" w:rsidR="00327FF1" w:rsidRDefault="00E406C7">
            <w:pPr>
              <w:pStyle w:val="P68B1DB1-Normal121"/>
              <w:spacing w:after="0" w:line="240" w:lineRule="auto"/>
              <w:rPr>
                <w:noProof/>
              </w:rPr>
            </w:pPr>
            <w:r>
              <w:rPr>
                <w:noProof/>
              </w:rPr>
              <w:t>Stājas spēkā leģislatīvie dekrēti, ar kuriem tiek izstrādāt</w:t>
            </w:r>
            <w:r>
              <w:rPr>
                <w:noProof/>
              </w:rPr>
              <w:t>i pamatlikumā paredzētie noteikumi, lai stiprinātu darbības par labu vecāka gadagājuma cilvēkiem, kuri nav pašpietiekami</w:t>
            </w:r>
          </w:p>
        </w:tc>
      </w:tr>
      <w:tr w:rsidR="00327FF1" w14:paraId="2A781FED" w14:textId="77777777">
        <w:trPr>
          <w:trHeight w:val="300"/>
        </w:trPr>
        <w:tc>
          <w:tcPr>
            <w:tcW w:w="1435" w:type="dxa"/>
            <w:shd w:val="clear" w:color="auto" w:fill="C6EFCE"/>
            <w:tcMar>
              <w:left w:w="108" w:type="dxa"/>
              <w:right w:w="108" w:type="dxa"/>
            </w:tcMar>
            <w:vAlign w:val="center"/>
          </w:tcPr>
          <w:p w14:paraId="51FE1A18" w14:textId="77777777" w:rsidR="00327FF1" w:rsidRDefault="00E406C7">
            <w:pPr>
              <w:pStyle w:val="P68B1DB1-Normal121"/>
              <w:spacing w:after="0" w:line="240" w:lineRule="auto"/>
              <w:jc w:val="center"/>
              <w:rPr>
                <w:noProof/>
              </w:rPr>
            </w:pPr>
            <w:r>
              <w:rPr>
                <w:noProof/>
              </w:rPr>
              <w:t>M7–9</w:t>
            </w:r>
          </w:p>
        </w:tc>
        <w:tc>
          <w:tcPr>
            <w:tcW w:w="3538" w:type="dxa"/>
            <w:shd w:val="clear" w:color="auto" w:fill="C6EFCE"/>
            <w:tcMar>
              <w:left w:w="108" w:type="dxa"/>
              <w:right w:w="108" w:type="dxa"/>
            </w:tcMar>
            <w:vAlign w:val="center"/>
          </w:tcPr>
          <w:p w14:paraId="1C3BF857" w14:textId="77777777" w:rsidR="00327FF1" w:rsidRDefault="00E406C7">
            <w:pPr>
              <w:pStyle w:val="P68B1DB1-Normal121"/>
              <w:spacing w:after="0" w:line="240" w:lineRule="auto"/>
              <w:rPr>
                <w:noProof/>
              </w:rPr>
            </w:pPr>
            <w:r>
              <w:rPr>
                <w:noProof/>
              </w:rPr>
              <w:t>Reforma. Jaunu prasmju plāns — Pārejas</w:t>
            </w:r>
          </w:p>
        </w:tc>
        <w:tc>
          <w:tcPr>
            <w:tcW w:w="1185" w:type="dxa"/>
            <w:shd w:val="clear" w:color="auto" w:fill="C6EFCE"/>
            <w:tcMar>
              <w:left w:w="108" w:type="dxa"/>
              <w:right w:w="108" w:type="dxa"/>
            </w:tcMar>
            <w:vAlign w:val="center"/>
          </w:tcPr>
          <w:p w14:paraId="43B2F17B"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42E6C749" w14:textId="77777777" w:rsidR="00327FF1" w:rsidRDefault="00E406C7">
            <w:pPr>
              <w:pStyle w:val="P68B1DB1-Normal121"/>
              <w:spacing w:after="0" w:line="240" w:lineRule="auto"/>
              <w:rPr>
                <w:noProof/>
              </w:rPr>
            </w:pPr>
            <w:r>
              <w:rPr>
                <w:noProof/>
              </w:rPr>
              <w:t>Jaunā prasmju plāna un īstenošanas ceļveža pieņemšana un publicēšana</w:t>
            </w:r>
          </w:p>
        </w:tc>
      </w:tr>
      <w:tr w:rsidR="00327FF1" w14:paraId="1F1224FD" w14:textId="77777777">
        <w:trPr>
          <w:trHeight w:val="300"/>
        </w:trPr>
        <w:tc>
          <w:tcPr>
            <w:tcW w:w="1435" w:type="dxa"/>
            <w:shd w:val="clear" w:color="auto" w:fill="C6EFCE"/>
            <w:tcMar>
              <w:left w:w="108" w:type="dxa"/>
              <w:right w:w="108" w:type="dxa"/>
            </w:tcMar>
            <w:vAlign w:val="center"/>
          </w:tcPr>
          <w:p w14:paraId="5D6D89DB" w14:textId="77777777" w:rsidR="00327FF1" w:rsidRDefault="00E406C7">
            <w:pPr>
              <w:pStyle w:val="P68B1DB1-Normal121"/>
              <w:spacing w:after="0" w:line="240" w:lineRule="auto"/>
              <w:jc w:val="center"/>
              <w:rPr>
                <w:noProof/>
              </w:rPr>
            </w:pPr>
            <w:r>
              <w:rPr>
                <w:noProof/>
              </w:rPr>
              <w:t>M7–32</w:t>
            </w:r>
          </w:p>
        </w:tc>
        <w:tc>
          <w:tcPr>
            <w:tcW w:w="3538" w:type="dxa"/>
            <w:shd w:val="clear" w:color="auto" w:fill="C6EFCE"/>
            <w:tcMar>
              <w:left w:w="108" w:type="dxa"/>
              <w:right w:w="108" w:type="dxa"/>
            </w:tcMar>
            <w:vAlign w:val="center"/>
          </w:tcPr>
          <w:p w14:paraId="4E4E90B1" w14:textId="77777777" w:rsidR="00327FF1" w:rsidRDefault="00E406C7">
            <w:pPr>
              <w:pStyle w:val="P68B1DB1-Normal121"/>
              <w:spacing w:after="0" w:line="240" w:lineRule="auto"/>
              <w:rPr>
                <w:noProof/>
              </w:rPr>
            </w:pPr>
            <w:r>
              <w:rPr>
                <w:noProof/>
              </w:rPr>
              <w:t>Investīcija Nr. 12 Finanšu instruments starptautiskas, rūpnieciskas un pētniecības un izstrādes līderības attīstīšanai bezemisiju autobusu jomā</w:t>
            </w:r>
          </w:p>
        </w:tc>
        <w:tc>
          <w:tcPr>
            <w:tcW w:w="1185" w:type="dxa"/>
            <w:shd w:val="clear" w:color="auto" w:fill="C6EFCE"/>
            <w:tcMar>
              <w:left w:w="108" w:type="dxa"/>
              <w:right w:w="108" w:type="dxa"/>
            </w:tcMar>
            <w:vAlign w:val="center"/>
          </w:tcPr>
          <w:p w14:paraId="3711B2FD"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3D0C61D6" w14:textId="77777777" w:rsidR="00327FF1" w:rsidRDefault="00E406C7">
            <w:pPr>
              <w:pStyle w:val="P68B1DB1-Normal121"/>
              <w:spacing w:after="0" w:line="240" w:lineRule="auto"/>
              <w:rPr>
                <w:noProof/>
              </w:rPr>
            </w:pPr>
            <w:r>
              <w:rPr>
                <w:noProof/>
              </w:rPr>
              <w:t>Īstenošanas nolīgums</w:t>
            </w:r>
          </w:p>
        </w:tc>
      </w:tr>
      <w:tr w:rsidR="00327FF1" w14:paraId="4E126783" w14:textId="77777777">
        <w:trPr>
          <w:trHeight w:val="300"/>
        </w:trPr>
        <w:tc>
          <w:tcPr>
            <w:tcW w:w="1435" w:type="dxa"/>
            <w:shd w:val="clear" w:color="auto" w:fill="C6EFCE"/>
            <w:tcMar>
              <w:left w:w="108" w:type="dxa"/>
              <w:right w:w="108" w:type="dxa"/>
            </w:tcMar>
            <w:vAlign w:val="center"/>
          </w:tcPr>
          <w:p w14:paraId="1621B403" w14:textId="77777777" w:rsidR="00327FF1" w:rsidRDefault="00E406C7">
            <w:pPr>
              <w:pStyle w:val="P68B1DB1-Normal121"/>
              <w:spacing w:after="0" w:line="240" w:lineRule="auto"/>
              <w:jc w:val="center"/>
              <w:rPr>
                <w:noProof/>
              </w:rPr>
            </w:pPr>
            <w:r>
              <w:rPr>
                <w:noProof/>
              </w:rPr>
              <w:t>M1C1–39</w:t>
            </w:r>
          </w:p>
        </w:tc>
        <w:tc>
          <w:tcPr>
            <w:tcW w:w="3538" w:type="dxa"/>
            <w:shd w:val="clear" w:color="auto" w:fill="C6EFCE"/>
            <w:tcMar>
              <w:left w:w="108" w:type="dxa"/>
              <w:right w:w="108" w:type="dxa"/>
            </w:tcMar>
            <w:vAlign w:val="center"/>
          </w:tcPr>
          <w:p w14:paraId="2603901D" w14:textId="77777777" w:rsidR="00327FF1" w:rsidRDefault="00E406C7">
            <w:pPr>
              <w:pStyle w:val="P68B1DB1-Normal121"/>
              <w:spacing w:after="0" w:line="240" w:lineRule="auto"/>
              <w:rPr>
                <w:noProof/>
              </w:rPr>
            </w:pPr>
            <w:r>
              <w:rPr>
                <w:noProof/>
              </w:rPr>
              <w:t xml:space="preserve">Investīciju 1.8: Darbā pieņemšanas procedūras civiltiesās </w:t>
            </w:r>
            <w:r>
              <w:rPr>
                <w:noProof/>
              </w:rPr>
              <w:t>un krimināltiesās</w:t>
            </w:r>
          </w:p>
        </w:tc>
        <w:tc>
          <w:tcPr>
            <w:tcW w:w="1185" w:type="dxa"/>
            <w:shd w:val="clear" w:color="auto" w:fill="C6EFCE"/>
            <w:tcMar>
              <w:left w:w="108" w:type="dxa"/>
              <w:right w:w="108" w:type="dxa"/>
            </w:tcMar>
            <w:vAlign w:val="center"/>
          </w:tcPr>
          <w:p w14:paraId="71BC64C6" w14:textId="77777777" w:rsidR="00327FF1" w:rsidRDefault="00E406C7">
            <w:pPr>
              <w:pStyle w:val="P68B1DB1-Normal121"/>
              <w:spacing w:after="0" w:line="240" w:lineRule="auto"/>
              <w:jc w:val="center"/>
              <w:rPr>
                <w:noProof/>
              </w:rPr>
            </w:pPr>
            <w:r>
              <w:rPr>
                <w:noProof/>
              </w:rPr>
              <w:t>Mērķa</w:t>
            </w:r>
          </w:p>
        </w:tc>
        <w:tc>
          <w:tcPr>
            <w:tcW w:w="3200" w:type="dxa"/>
            <w:shd w:val="clear" w:color="auto" w:fill="C6EFCE"/>
            <w:tcMar>
              <w:left w:w="108" w:type="dxa"/>
              <w:right w:w="108" w:type="dxa"/>
            </w:tcMar>
            <w:vAlign w:val="center"/>
          </w:tcPr>
          <w:p w14:paraId="637301A1" w14:textId="77777777" w:rsidR="00327FF1" w:rsidRDefault="00E406C7">
            <w:pPr>
              <w:pStyle w:val="P68B1DB1-Normal121"/>
              <w:spacing w:after="0" w:line="240" w:lineRule="auto"/>
              <w:rPr>
                <w:noProof/>
              </w:rPr>
            </w:pPr>
            <w:r>
              <w:rPr>
                <w:noProof/>
              </w:rPr>
              <w:t>Civiltiesu un krimināltiesu, kā arī par ANP īstenošanu atbildīgo Tieslietu ministrijas teritoriālo un centrālo dienestu darbā pieņemšanas procedūru pabeigšana</w:t>
            </w:r>
          </w:p>
        </w:tc>
      </w:tr>
      <w:tr w:rsidR="00327FF1" w14:paraId="61D8F18F" w14:textId="77777777">
        <w:trPr>
          <w:trHeight w:val="300"/>
        </w:trPr>
        <w:tc>
          <w:tcPr>
            <w:tcW w:w="1435" w:type="dxa"/>
            <w:shd w:val="clear" w:color="auto" w:fill="C6EFCE"/>
            <w:tcMar>
              <w:left w:w="108" w:type="dxa"/>
              <w:right w:w="108" w:type="dxa"/>
            </w:tcMar>
            <w:vAlign w:val="center"/>
          </w:tcPr>
          <w:p w14:paraId="3319E741" w14:textId="77777777" w:rsidR="00327FF1" w:rsidRDefault="00E406C7">
            <w:pPr>
              <w:pStyle w:val="P68B1DB1-Normal121"/>
              <w:spacing w:after="0" w:line="240" w:lineRule="auto"/>
              <w:jc w:val="center"/>
              <w:rPr>
                <w:noProof/>
              </w:rPr>
            </w:pPr>
            <w:r>
              <w:rPr>
                <w:noProof/>
              </w:rPr>
              <w:t>M1C1–40</w:t>
            </w:r>
          </w:p>
        </w:tc>
        <w:tc>
          <w:tcPr>
            <w:tcW w:w="3538" w:type="dxa"/>
            <w:shd w:val="clear" w:color="auto" w:fill="C6EFCE"/>
            <w:tcMar>
              <w:left w:w="108" w:type="dxa"/>
              <w:right w:w="108" w:type="dxa"/>
            </w:tcMar>
            <w:vAlign w:val="center"/>
          </w:tcPr>
          <w:p w14:paraId="03C97A37" w14:textId="77777777" w:rsidR="00327FF1" w:rsidRDefault="00E406C7">
            <w:pPr>
              <w:pStyle w:val="P68B1DB1-Normal121"/>
              <w:spacing w:after="0" w:line="240" w:lineRule="auto"/>
              <w:rPr>
                <w:noProof/>
              </w:rPr>
            </w:pPr>
            <w:r>
              <w:rPr>
                <w:noProof/>
              </w:rPr>
              <w:t xml:space="preserve">Investīciju 1.8: Darbā pieņemšanas procedūras administratīvajās </w:t>
            </w:r>
            <w:r>
              <w:rPr>
                <w:noProof/>
              </w:rPr>
              <w:t>tiesās</w:t>
            </w:r>
          </w:p>
        </w:tc>
        <w:tc>
          <w:tcPr>
            <w:tcW w:w="1185" w:type="dxa"/>
            <w:shd w:val="clear" w:color="auto" w:fill="C6EFCE"/>
            <w:tcMar>
              <w:left w:w="108" w:type="dxa"/>
              <w:right w:w="108" w:type="dxa"/>
            </w:tcMar>
            <w:vAlign w:val="center"/>
          </w:tcPr>
          <w:p w14:paraId="63623C09" w14:textId="77777777" w:rsidR="00327FF1" w:rsidRDefault="00E406C7">
            <w:pPr>
              <w:pStyle w:val="P68B1DB1-Normal121"/>
              <w:spacing w:after="0" w:line="240" w:lineRule="auto"/>
              <w:jc w:val="center"/>
              <w:rPr>
                <w:noProof/>
              </w:rPr>
            </w:pPr>
            <w:r>
              <w:rPr>
                <w:noProof/>
              </w:rPr>
              <w:t>Mērķa</w:t>
            </w:r>
          </w:p>
        </w:tc>
        <w:tc>
          <w:tcPr>
            <w:tcW w:w="3200" w:type="dxa"/>
            <w:shd w:val="clear" w:color="auto" w:fill="C6EFCE"/>
            <w:tcMar>
              <w:left w:w="108" w:type="dxa"/>
              <w:right w:w="108" w:type="dxa"/>
            </w:tcMar>
            <w:vAlign w:val="center"/>
          </w:tcPr>
          <w:p w14:paraId="4AA61DFB" w14:textId="77777777" w:rsidR="00327FF1" w:rsidRDefault="00E406C7">
            <w:pPr>
              <w:pStyle w:val="P68B1DB1-Normal121"/>
              <w:spacing w:after="0" w:line="240" w:lineRule="auto"/>
              <w:rPr>
                <w:noProof/>
              </w:rPr>
            </w:pPr>
            <w:r>
              <w:rPr>
                <w:noProof/>
              </w:rPr>
              <w:t>Administratīvo tiesu darbā pieņemšanas procedūru pabeigšana</w:t>
            </w:r>
          </w:p>
        </w:tc>
      </w:tr>
      <w:tr w:rsidR="00327FF1" w14:paraId="4440F19E" w14:textId="77777777">
        <w:trPr>
          <w:trHeight w:val="300"/>
        </w:trPr>
        <w:tc>
          <w:tcPr>
            <w:tcW w:w="1435" w:type="dxa"/>
            <w:shd w:val="clear" w:color="auto" w:fill="C6EFCE"/>
            <w:tcMar>
              <w:left w:w="108" w:type="dxa"/>
              <w:right w:w="108" w:type="dxa"/>
            </w:tcMar>
            <w:vAlign w:val="center"/>
          </w:tcPr>
          <w:p w14:paraId="5AB7F0CF" w14:textId="77777777" w:rsidR="00327FF1" w:rsidRDefault="00E406C7">
            <w:pPr>
              <w:pStyle w:val="P68B1DB1-Normal121"/>
              <w:spacing w:after="0" w:line="240" w:lineRule="auto"/>
              <w:jc w:val="center"/>
              <w:rPr>
                <w:noProof/>
              </w:rPr>
            </w:pPr>
            <w:r>
              <w:rPr>
                <w:noProof/>
              </w:rPr>
              <w:t>M1C1–41</w:t>
            </w:r>
          </w:p>
        </w:tc>
        <w:tc>
          <w:tcPr>
            <w:tcW w:w="3538" w:type="dxa"/>
            <w:shd w:val="clear" w:color="auto" w:fill="C6EFCE"/>
            <w:tcMar>
              <w:left w:w="108" w:type="dxa"/>
              <w:right w:w="108" w:type="dxa"/>
            </w:tcMar>
            <w:vAlign w:val="center"/>
          </w:tcPr>
          <w:p w14:paraId="5D9E2AAF" w14:textId="77777777" w:rsidR="00327FF1" w:rsidRDefault="00E406C7">
            <w:pPr>
              <w:pStyle w:val="P68B1DB1-Normal121"/>
              <w:spacing w:after="0" w:line="240" w:lineRule="auto"/>
              <w:rPr>
                <w:noProof/>
              </w:rPr>
            </w:pPr>
            <w:r>
              <w:rPr>
                <w:noProof/>
              </w:rPr>
              <w:t>Investīciju 1.8: Darbā pieņemšanas procedūras administratīvajās tiesās</w:t>
            </w:r>
          </w:p>
        </w:tc>
        <w:tc>
          <w:tcPr>
            <w:tcW w:w="1185" w:type="dxa"/>
            <w:shd w:val="clear" w:color="auto" w:fill="C6EFCE"/>
            <w:tcMar>
              <w:left w:w="108" w:type="dxa"/>
              <w:right w:w="108" w:type="dxa"/>
            </w:tcMar>
            <w:vAlign w:val="center"/>
          </w:tcPr>
          <w:p w14:paraId="17D87496" w14:textId="77777777" w:rsidR="00327FF1" w:rsidRDefault="00E406C7">
            <w:pPr>
              <w:pStyle w:val="P68B1DB1-Normal121"/>
              <w:spacing w:after="0" w:line="240" w:lineRule="auto"/>
              <w:jc w:val="center"/>
              <w:rPr>
                <w:noProof/>
              </w:rPr>
            </w:pPr>
            <w:r>
              <w:rPr>
                <w:noProof/>
              </w:rPr>
              <w:t>Mērķa</w:t>
            </w:r>
          </w:p>
        </w:tc>
        <w:tc>
          <w:tcPr>
            <w:tcW w:w="3200" w:type="dxa"/>
            <w:shd w:val="clear" w:color="auto" w:fill="C6EFCE"/>
            <w:tcMar>
              <w:left w:w="108" w:type="dxa"/>
              <w:right w:w="108" w:type="dxa"/>
            </w:tcMar>
            <w:vAlign w:val="center"/>
          </w:tcPr>
          <w:p w14:paraId="65FD5F61" w14:textId="77777777" w:rsidR="00327FF1" w:rsidRDefault="00E406C7">
            <w:pPr>
              <w:pStyle w:val="P68B1DB1-Normal121"/>
              <w:spacing w:after="0" w:line="240" w:lineRule="auto"/>
              <w:rPr>
                <w:noProof/>
              </w:rPr>
            </w:pPr>
            <w:r>
              <w:rPr>
                <w:noProof/>
              </w:rPr>
              <w:t>Neizskatīto lietu samazināšana administratīvajās apgabaltiesās</w:t>
            </w:r>
          </w:p>
        </w:tc>
      </w:tr>
      <w:tr w:rsidR="00327FF1" w14:paraId="3983E530" w14:textId="77777777">
        <w:trPr>
          <w:trHeight w:val="300"/>
        </w:trPr>
        <w:tc>
          <w:tcPr>
            <w:tcW w:w="1435" w:type="dxa"/>
            <w:shd w:val="clear" w:color="auto" w:fill="C6EFCE"/>
            <w:tcMar>
              <w:left w:w="108" w:type="dxa"/>
              <w:right w:w="108" w:type="dxa"/>
            </w:tcMar>
            <w:vAlign w:val="center"/>
          </w:tcPr>
          <w:p w14:paraId="0A820B06" w14:textId="77777777" w:rsidR="00327FF1" w:rsidRDefault="00E406C7">
            <w:pPr>
              <w:pStyle w:val="P68B1DB1-Normal121"/>
              <w:spacing w:after="0" w:line="240" w:lineRule="auto"/>
              <w:jc w:val="center"/>
              <w:rPr>
                <w:noProof/>
              </w:rPr>
            </w:pPr>
            <w:r>
              <w:rPr>
                <w:noProof/>
              </w:rPr>
              <w:t>M1C1–42</w:t>
            </w:r>
          </w:p>
        </w:tc>
        <w:tc>
          <w:tcPr>
            <w:tcW w:w="3538" w:type="dxa"/>
            <w:shd w:val="clear" w:color="auto" w:fill="C6EFCE"/>
            <w:tcMar>
              <w:left w:w="108" w:type="dxa"/>
              <w:right w:w="108" w:type="dxa"/>
            </w:tcMar>
            <w:vAlign w:val="center"/>
          </w:tcPr>
          <w:p w14:paraId="39EDA9BD" w14:textId="77777777" w:rsidR="00327FF1" w:rsidRDefault="00E406C7">
            <w:pPr>
              <w:pStyle w:val="P68B1DB1-Normal121"/>
              <w:spacing w:after="0" w:line="240" w:lineRule="auto"/>
              <w:rPr>
                <w:noProof/>
              </w:rPr>
            </w:pPr>
            <w:r>
              <w:rPr>
                <w:noProof/>
              </w:rPr>
              <w:t xml:space="preserve">Investīciju 1.8: Darbā </w:t>
            </w:r>
            <w:r>
              <w:rPr>
                <w:noProof/>
              </w:rPr>
              <w:t>pieņemšanas procedūras administratīvajās tiesās</w:t>
            </w:r>
          </w:p>
        </w:tc>
        <w:tc>
          <w:tcPr>
            <w:tcW w:w="1185" w:type="dxa"/>
            <w:shd w:val="clear" w:color="auto" w:fill="C6EFCE"/>
            <w:tcMar>
              <w:left w:w="108" w:type="dxa"/>
              <w:right w:w="108" w:type="dxa"/>
            </w:tcMar>
            <w:vAlign w:val="center"/>
          </w:tcPr>
          <w:p w14:paraId="6D959937" w14:textId="77777777" w:rsidR="00327FF1" w:rsidRDefault="00E406C7">
            <w:pPr>
              <w:pStyle w:val="P68B1DB1-Normal121"/>
              <w:spacing w:after="0" w:line="240" w:lineRule="auto"/>
              <w:jc w:val="center"/>
              <w:rPr>
                <w:noProof/>
              </w:rPr>
            </w:pPr>
            <w:r>
              <w:rPr>
                <w:noProof/>
              </w:rPr>
              <w:t>Mērķa</w:t>
            </w:r>
          </w:p>
        </w:tc>
        <w:tc>
          <w:tcPr>
            <w:tcW w:w="3200" w:type="dxa"/>
            <w:shd w:val="clear" w:color="auto" w:fill="C6EFCE"/>
            <w:tcMar>
              <w:left w:w="108" w:type="dxa"/>
              <w:right w:w="108" w:type="dxa"/>
            </w:tcMar>
            <w:vAlign w:val="center"/>
          </w:tcPr>
          <w:p w14:paraId="1F23BFDB" w14:textId="77777777" w:rsidR="00327FF1" w:rsidRDefault="00E406C7">
            <w:pPr>
              <w:pStyle w:val="P68B1DB1-Normal121"/>
              <w:spacing w:after="0" w:line="240" w:lineRule="auto"/>
              <w:rPr>
                <w:noProof/>
              </w:rPr>
            </w:pPr>
            <w:r>
              <w:rPr>
                <w:noProof/>
              </w:rPr>
              <w:t>Neizskatīto lietu skaita samazināšana Valsts padomē</w:t>
            </w:r>
          </w:p>
        </w:tc>
      </w:tr>
      <w:tr w:rsidR="00327FF1" w14:paraId="3AD072E4" w14:textId="77777777">
        <w:trPr>
          <w:trHeight w:val="300"/>
        </w:trPr>
        <w:tc>
          <w:tcPr>
            <w:tcW w:w="1435" w:type="dxa"/>
            <w:shd w:val="clear" w:color="auto" w:fill="C6EFCE"/>
            <w:tcMar>
              <w:left w:w="108" w:type="dxa"/>
              <w:right w:w="108" w:type="dxa"/>
            </w:tcMar>
            <w:vAlign w:val="center"/>
          </w:tcPr>
          <w:p w14:paraId="13FC37DC" w14:textId="77777777" w:rsidR="00327FF1" w:rsidRDefault="00E406C7">
            <w:pPr>
              <w:pStyle w:val="P68B1DB1-Normal121"/>
              <w:spacing w:after="0" w:line="240" w:lineRule="auto"/>
              <w:jc w:val="center"/>
              <w:rPr>
                <w:noProof/>
              </w:rPr>
            </w:pPr>
            <w:r>
              <w:rPr>
                <w:noProof/>
              </w:rPr>
              <w:t>M1C1–59 BIS</w:t>
            </w:r>
          </w:p>
        </w:tc>
        <w:tc>
          <w:tcPr>
            <w:tcW w:w="3538" w:type="dxa"/>
            <w:shd w:val="clear" w:color="auto" w:fill="C6EFCE"/>
            <w:tcMar>
              <w:left w:w="108" w:type="dxa"/>
              <w:right w:w="108" w:type="dxa"/>
            </w:tcMar>
            <w:vAlign w:val="center"/>
          </w:tcPr>
          <w:p w14:paraId="4DF7A918" w14:textId="77777777" w:rsidR="00327FF1" w:rsidRDefault="00E406C7">
            <w:pPr>
              <w:pStyle w:val="P68B1DB1-Normal121"/>
              <w:spacing w:after="0" w:line="240" w:lineRule="auto"/>
              <w:rPr>
                <w:noProof/>
              </w:rPr>
            </w:pPr>
            <w:r>
              <w:rPr>
                <w:noProof/>
              </w:rPr>
              <w:t xml:space="preserve">Reforma Nr. 1.9: Valsts pārvaldes reforma </w:t>
            </w:r>
          </w:p>
        </w:tc>
        <w:tc>
          <w:tcPr>
            <w:tcW w:w="1185" w:type="dxa"/>
            <w:shd w:val="clear" w:color="auto" w:fill="C6EFCE"/>
            <w:tcMar>
              <w:left w:w="108" w:type="dxa"/>
              <w:right w:w="108" w:type="dxa"/>
            </w:tcMar>
            <w:vAlign w:val="center"/>
          </w:tcPr>
          <w:p w14:paraId="311EE412"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09206507" w14:textId="77777777" w:rsidR="00327FF1" w:rsidRDefault="00E406C7">
            <w:pPr>
              <w:pStyle w:val="P68B1DB1-Normal121"/>
              <w:spacing w:after="0" w:line="240" w:lineRule="auto"/>
              <w:rPr>
                <w:noProof/>
              </w:rPr>
            </w:pPr>
            <w:r>
              <w:rPr>
                <w:noProof/>
              </w:rPr>
              <w:t>Cilvēkresursu stratēģiskās pārvaldības īstenošana valsts pārvaldē</w:t>
            </w:r>
          </w:p>
        </w:tc>
      </w:tr>
      <w:tr w:rsidR="00327FF1" w14:paraId="0BB6CB4C" w14:textId="77777777">
        <w:trPr>
          <w:trHeight w:val="300"/>
        </w:trPr>
        <w:tc>
          <w:tcPr>
            <w:tcW w:w="1435" w:type="dxa"/>
            <w:shd w:val="clear" w:color="auto" w:fill="C6EFCE"/>
            <w:tcMar>
              <w:left w:w="108" w:type="dxa"/>
              <w:right w:w="108" w:type="dxa"/>
            </w:tcMar>
            <w:vAlign w:val="center"/>
          </w:tcPr>
          <w:p w14:paraId="69D47B41" w14:textId="77777777" w:rsidR="00327FF1" w:rsidRDefault="00E406C7">
            <w:pPr>
              <w:pStyle w:val="P68B1DB1-Normal121"/>
              <w:spacing w:after="0" w:line="240" w:lineRule="auto"/>
              <w:jc w:val="center"/>
              <w:rPr>
                <w:noProof/>
              </w:rPr>
            </w:pPr>
            <w:r>
              <w:rPr>
                <w:noProof/>
              </w:rPr>
              <w:t>M1C1–73bis</w:t>
            </w:r>
          </w:p>
        </w:tc>
        <w:tc>
          <w:tcPr>
            <w:tcW w:w="3538" w:type="dxa"/>
            <w:shd w:val="clear" w:color="auto" w:fill="C6EFCE"/>
            <w:tcMar>
              <w:left w:w="108" w:type="dxa"/>
              <w:right w:w="108" w:type="dxa"/>
            </w:tcMar>
            <w:vAlign w:val="center"/>
          </w:tcPr>
          <w:p w14:paraId="17895212" w14:textId="77777777" w:rsidR="00327FF1" w:rsidRDefault="00E406C7">
            <w:pPr>
              <w:pStyle w:val="P68B1DB1-Normal121"/>
              <w:spacing w:after="0" w:line="240" w:lineRule="auto"/>
              <w:rPr>
                <w:noProof/>
              </w:rPr>
            </w:pPr>
            <w:r>
              <w:rPr>
                <w:noProof/>
              </w:rPr>
              <w:t>Reforma Nr. 1.10. Publiskā iepirkuma tiesiskā regulējuma reforma</w:t>
            </w:r>
          </w:p>
        </w:tc>
        <w:tc>
          <w:tcPr>
            <w:tcW w:w="1185" w:type="dxa"/>
            <w:shd w:val="clear" w:color="auto" w:fill="C6EFCE"/>
            <w:tcMar>
              <w:left w:w="108" w:type="dxa"/>
              <w:right w:w="108" w:type="dxa"/>
            </w:tcMar>
            <w:vAlign w:val="center"/>
          </w:tcPr>
          <w:p w14:paraId="0A1E2DC5"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42CE9F01" w14:textId="77777777" w:rsidR="00327FF1" w:rsidRDefault="00E406C7">
            <w:pPr>
              <w:pStyle w:val="P68B1DB1-Normal121"/>
              <w:spacing w:after="0" w:line="240" w:lineRule="auto"/>
              <w:rPr>
                <w:noProof/>
              </w:rPr>
            </w:pPr>
            <w:r>
              <w:rPr>
                <w:noProof/>
              </w:rPr>
              <w:t>Apkārtraksta, kurā sniegti norādījumi līgumslēdzējām iestādēm par kvalifikācijas sistēmu, pieņemšana</w:t>
            </w:r>
          </w:p>
        </w:tc>
      </w:tr>
      <w:tr w:rsidR="00327FF1" w14:paraId="47AB7FEE" w14:textId="77777777">
        <w:trPr>
          <w:trHeight w:val="300"/>
        </w:trPr>
        <w:tc>
          <w:tcPr>
            <w:tcW w:w="1435" w:type="dxa"/>
            <w:shd w:val="clear" w:color="auto" w:fill="C6EFCE"/>
            <w:tcMar>
              <w:left w:w="108" w:type="dxa"/>
              <w:right w:w="108" w:type="dxa"/>
            </w:tcMar>
            <w:vAlign w:val="center"/>
          </w:tcPr>
          <w:p w14:paraId="7EA1E597" w14:textId="77777777" w:rsidR="00327FF1" w:rsidRDefault="00E406C7">
            <w:pPr>
              <w:pStyle w:val="P68B1DB1-Normal121"/>
              <w:spacing w:after="0" w:line="240" w:lineRule="auto"/>
              <w:jc w:val="center"/>
              <w:rPr>
                <w:noProof/>
              </w:rPr>
            </w:pPr>
            <w:r>
              <w:rPr>
                <w:noProof/>
              </w:rPr>
              <w:t>M1C1–108</w:t>
            </w:r>
          </w:p>
        </w:tc>
        <w:tc>
          <w:tcPr>
            <w:tcW w:w="3538" w:type="dxa"/>
            <w:shd w:val="clear" w:color="auto" w:fill="C6EFCE"/>
            <w:tcMar>
              <w:left w:w="108" w:type="dxa"/>
              <w:right w:w="108" w:type="dxa"/>
            </w:tcMar>
            <w:vAlign w:val="center"/>
          </w:tcPr>
          <w:p w14:paraId="23F1E0E5" w14:textId="77777777" w:rsidR="00327FF1" w:rsidRDefault="00E406C7">
            <w:pPr>
              <w:pStyle w:val="P68B1DB1-Normal121"/>
              <w:spacing w:after="0" w:line="240" w:lineRule="auto"/>
              <w:rPr>
                <w:noProof/>
              </w:rPr>
            </w:pPr>
            <w:r>
              <w:rPr>
                <w:noProof/>
              </w:rPr>
              <w:t>Reforma Nr. 1.15. Publiskās uzskaites noteikumu reforma</w:t>
            </w:r>
          </w:p>
        </w:tc>
        <w:tc>
          <w:tcPr>
            <w:tcW w:w="1185" w:type="dxa"/>
            <w:shd w:val="clear" w:color="auto" w:fill="C6EFCE"/>
            <w:tcMar>
              <w:left w:w="108" w:type="dxa"/>
              <w:right w:w="108" w:type="dxa"/>
            </w:tcMar>
            <w:vAlign w:val="center"/>
          </w:tcPr>
          <w:p w14:paraId="114D8198"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657153DF" w14:textId="77777777" w:rsidR="00327FF1" w:rsidRDefault="00E406C7">
            <w:pPr>
              <w:pStyle w:val="P68B1DB1-Normal121"/>
              <w:spacing w:after="0" w:line="240" w:lineRule="auto"/>
              <w:rPr>
                <w:noProof/>
              </w:rPr>
            </w:pPr>
            <w:r>
              <w:rPr>
                <w:noProof/>
              </w:rPr>
              <w:t>Konceptuālās sistēmas, uzkrājumu grāmatvedības standartu kopuma un daudzdimensionālās kontu kartes apstiprināšana</w:t>
            </w:r>
          </w:p>
        </w:tc>
      </w:tr>
      <w:tr w:rsidR="00327FF1" w14:paraId="0D7CF0C1" w14:textId="77777777">
        <w:trPr>
          <w:trHeight w:val="300"/>
        </w:trPr>
        <w:tc>
          <w:tcPr>
            <w:tcW w:w="1435" w:type="dxa"/>
            <w:shd w:val="clear" w:color="auto" w:fill="C6EFCE"/>
            <w:tcMar>
              <w:left w:w="108" w:type="dxa"/>
              <w:right w:w="108" w:type="dxa"/>
            </w:tcMar>
            <w:vAlign w:val="center"/>
          </w:tcPr>
          <w:p w14:paraId="1957B936" w14:textId="77777777" w:rsidR="00327FF1" w:rsidRDefault="00E406C7">
            <w:pPr>
              <w:pStyle w:val="P68B1DB1-Normal121"/>
              <w:spacing w:after="0" w:line="240" w:lineRule="auto"/>
              <w:jc w:val="center"/>
              <w:rPr>
                <w:noProof/>
              </w:rPr>
            </w:pPr>
            <w:r>
              <w:rPr>
                <w:noProof/>
              </w:rPr>
              <w:t>M1C1–111</w:t>
            </w:r>
          </w:p>
        </w:tc>
        <w:tc>
          <w:tcPr>
            <w:tcW w:w="3538" w:type="dxa"/>
            <w:shd w:val="clear" w:color="auto" w:fill="C6EFCE"/>
            <w:tcMar>
              <w:left w:w="108" w:type="dxa"/>
              <w:right w:w="108" w:type="dxa"/>
            </w:tcMar>
            <w:vAlign w:val="center"/>
          </w:tcPr>
          <w:p w14:paraId="556907BC" w14:textId="77777777" w:rsidR="00327FF1" w:rsidRDefault="00E406C7">
            <w:pPr>
              <w:pStyle w:val="P68B1DB1-Normal121"/>
              <w:spacing w:after="0" w:line="240" w:lineRule="auto"/>
              <w:rPr>
                <w:noProof/>
              </w:rPr>
            </w:pPr>
            <w:r>
              <w:rPr>
                <w:noProof/>
              </w:rPr>
              <w:t>Reforma Nr. 1.13. Izdevumu pārskatīšanas sistēmas reforma</w:t>
            </w:r>
          </w:p>
        </w:tc>
        <w:tc>
          <w:tcPr>
            <w:tcW w:w="1185" w:type="dxa"/>
            <w:shd w:val="clear" w:color="auto" w:fill="C6EFCE"/>
            <w:tcMar>
              <w:left w:w="108" w:type="dxa"/>
              <w:right w:w="108" w:type="dxa"/>
            </w:tcMar>
            <w:vAlign w:val="center"/>
          </w:tcPr>
          <w:p w14:paraId="395A9D33"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644D8890" w14:textId="77777777" w:rsidR="00327FF1" w:rsidRDefault="00E406C7">
            <w:pPr>
              <w:pStyle w:val="P68B1DB1-Normal121"/>
              <w:spacing w:after="0" w:line="240" w:lineRule="auto"/>
              <w:rPr>
                <w:noProof/>
              </w:rPr>
            </w:pPr>
            <w:r>
              <w:rPr>
                <w:noProof/>
              </w:rPr>
              <w:t>2023. gada izdevumu ikgadējās pārskatīša</w:t>
            </w:r>
            <w:r>
              <w:rPr>
                <w:noProof/>
              </w:rPr>
              <w:t>nas pabeigšana, atsaucoties uz ietaupījumu mērķi, kas 2022. gadā noteikts 2023. gadam</w:t>
            </w:r>
          </w:p>
        </w:tc>
      </w:tr>
      <w:tr w:rsidR="00327FF1" w14:paraId="6283A2E5" w14:textId="77777777">
        <w:trPr>
          <w:trHeight w:val="300"/>
        </w:trPr>
        <w:tc>
          <w:tcPr>
            <w:tcW w:w="1435" w:type="dxa"/>
            <w:shd w:val="clear" w:color="auto" w:fill="C6EFCE"/>
            <w:tcMar>
              <w:left w:w="108" w:type="dxa"/>
              <w:right w:w="108" w:type="dxa"/>
            </w:tcMar>
            <w:vAlign w:val="center"/>
          </w:tcPr>
          <w:p w14:paraId="0D2CD9EF" w14:textId="77777777" w:rsidR="00327FF1" w:rsidRDefault="00E406C7">
            <w:pPr>
              <w:pStyle w:val="P68B1DB1-Normal121"/>
              <w:spacing w:after="0" w:line="240" w:lineRule="auto"/>
              <w:jc w:val="center"/>
              <w:rPr>
                <w:noProof/>
              </w:rPr>
            </w:pPr>
            <w:r>
              <w:rPr>
                <w:noProof/>
              </w:rPr>
              <w:t>M1C1–112</w:t>
            </w:r>
          </w:p>
        </w:tc>
        <w:tc>
          <w:tcPr>
            <w:tcW w:w="3538" w:type="dxa"/>
            <w:shd w:val="clear" w:color="auto" w:fill="C6EFCE"/>
            <w:tcMar>
              <w:left w:w="108" w:type="dxa"/>
              <w:right w:w="108" w:type="dxa"/>
            </w:tcMar>
            <w:vAlign w:val="center"/>
          </w:tcPr>
          <w:p w14:paraId="0CB153AF" w14:textId="77777777" w:rsidR="00327FF1" w:rsidRDefault="00E406C7">
            <w:pPr>
              <w:pStyle w:val="P68B1DB1-Normal121"/>
              <w:spacing w:after="0" w:line="240" w:lineRule="auto"/>
              <w:rPr>
                <w:noProof/>
              </w:rPr>
            </w:pPr>
            <w:r>
              <w:rPr>
                <w:noProof/>
              </w:rPr>
              <w:t>Reforma Nr. 1.12: Nodokļu administrācijas reforma</w:t>
            </w:r>
          </w:p>
        </w:tc>
        <w:tc>
          <w:tcPr>
            <w:tcW w:w="1185" w:type="dxa"/>
            <w:shd w:val="clear" w:color="auto" w:fill="C6EFCE"/>
            <w:tcMar>
              <w:left w:w="108" w:type="dxa"/>
              <w:right w:w="108" w:type="dxa"/>
            </w:tcMar>
            <w:vAlign w:val="center"/>
          </w:tcPr>
          <w:p w14:paraId="09E41A59" w14:textId="77777777" w:rsidR="00327FF1" w:rsidRDefault="00E406C7">
            <w:pPr>
              <w:pStyle w:val="P68B1DB1-Normal121"/>
              <w:spacing w:after="0" w:line="240" w:lineRule="auto"/>
              <w:jc w:val="center"/>
              <w:rPr>
                <w:noProof/>
              </w:rPr>
            </w:pPr>
            <w:r>
              <w:rPr>
                <w:noProof/>
              </w:rPr>
              <w:t>Mērķa</w:t>
            </w:r>
          </w:p>
        </w:tc>
        <w:tc>
          <w:tcPr>
            <w:tcW w:w="3200" w:type="dxa"/>
            <w:shd w:val="clear" w:color="auto" w:fill="C6EFCE"/>
            <w:tcMar>
              <w:left w:w="108" w:type="dxa"/>
              <w:right w:w="108" w:type="dxa"/>
            </w:tcMar>
            <w:vAlign w:val="center"/>
          </w:tcPr>
          <w:p w14:paraId="0ED37D89" w14:textId="77777777" w:rsidR="00327FF1" w:rsidRDefault="00E406C7">
            <w:pPr>
              <w:pStyle w:val="P68B1DB1-Normal121"/>
              <w:spacing w:after="0" w:line="240" w:lineRule="auto"/>
              <w:rPr>
                <w:noProof/>
              </w:rPr>
            </w:pPr>
            <w:r>
              <w:rPr>
                <w:noProof/>
              </w:rPr>
              <w:t xml:space="preserve">Uzlabot nodokļu administrācijas darbības spējas saskaņā ar darbā pieņemšanas mērķiem, kas norādīti </w:t>
            </w:r>
            <w:r>
              <w:rPr>
                <w:noProof/>
              </w:rPr>
              <w:t>Ieņēmumu aģentūras “Darbības uzlabošanas plānā 2021.–2023. gadam”</w:t>
            </w:r>
          </w:p>
        </w:tc>
      </w:tr>
      <w:tr w:rsidR="00327FF1" w14:paraId="36C0FCE8" w14:textId="77777777">
        <w:trPr>
          <w:trHeight w:val="300"/>
        </w:trPr>
        <w:tc>
          <w:tcPr>
            <w:tcW w:w="1435" w:type="dxa"/>
            <w:shd w:val="clear" w:color="auto" w:fill="C6EFCE"/>
            <w:tcMar>
              <w:left w:w="108" w:type="dxa"/>
              <w:right w:w="108" w:type="dxa"/>
            </w:tcMar>
            <w:vAlign w:val="center"/>
          </w:tcPr>
          <w:p w14:paraId="6F0D18E2" w14:textId="77777777" w:rsidR="00327FF1" w:rsidRDefault="00E406C7">
            <w:pPr>
              <w:pStyle w:val="P68B1DB1-Normal121"/>
              <w:spacing w:after="0" w:line="240" w:lineRule="auto"/>
              <w:jc w:val="center"/>
              <w:rPr>
                <w:noProof/>
              </w:rPr>
            </w:pPr>
            <w:r>
              <w:rPr>
                <w:noProof/>
              </w:rPr>
              <w:t>M1C2–2</w:t>
            </w:r>
          </w:p>
        </w:tc>
        <w:tc>
          <w:tcPr>
            <w:tcW w:w="3538" w:type="dxa"/>
            <w:shd w:val="clear" w:color="auto" w:fill="C6EFCE"/>
            <w:tcMar>
              <w:left w:w="108" w:type="dxa"/>
              <w:right w:w="108" w:type="dxa"/>
            </w:tcMar>
            <w:vAlign w:val="center"/>
          </w:tcPr>
          <w:p w14:paraId="6480934E" w14:textId="77777777" w:rsidR="00327FF1" w:rsidRDefault="00E406C7">
            <w:pPr>
              <w:pStyle w:val="P68B1DB1-Normal121"/>
              <w:spacing w:after="0" w:line="240" w:lineRule="auto"/>
              <w:rPr>
                <w:noProof/>
              </w:rPr>
            </w:pPr>
            <w:r>
              <w:rPr>
                <w:noProof/>
              </w:rPr>
              <w:t>Ieguldījums: Pāreja 4.0</w:t>
            </w:r>
          </w:p>
        </w:tc>
        <w:tc>
          <w:tcPr>
            <w:tcW w:w="1185" w:type="dxa"/>
            <w:shd w:val="clear" w:color="auto" w:fill="C6EFCE"/>
            <w:tcMar>
              <w:left w:w="108" w:type="dxa"/>
              <w:right w:w="108" w:type="dxa"/>
            </w:tcMar>
            <w:vAlign w:val="center"/>
          </w:tcPr>
          <w:p w14:paraId="33A00542" w14:textId="77777777" w:rsidR="00327FF1" w:rsidRDefault="00E406C7">
            <w:pPr>
              <w:pStyle w:val="P68B1DB1-Normal121"/>
              <w:spacing w:after="0" w:line="240" w:lineRule="auto"/>
              <w:jc w:val="center"/>
              <w:rPr>
                <w:noProof/>
              </w:rPr>
            </w:pPr>
            <w:r>
              <w:rPr>
                <w:noProof/>
              </w:rPr>
              <w:t>Mērķa</w:t>
            </w:r>
          </w:p>
        </w:tc>
        <w:tc>
          <w:tcPr>
            <w:tcW w:w="3200" w:type="dxa"/>
            <w:shd w:val="clear" w:color="auto" w:fill="C6EFCE"/>
            <w:tcMar>
              <w:left w:w="108" w:type="dxa"/>
              <w:right w:w="108" w:type="dxa"/>
            </w:tcMar>
            <w:vAlign w:val="center"/>
          </w:tcPr>
          <w:p w14:paraId="1CF67A5D" w14:textId="77777777" w:rsidR="00327FF1" w:rsidRDefault="00E406C7">
            <w:pPr>
              <w:pStyle w:val="P68B1DB1-Normal121"/>
              <w:spacing w:after="0" w:line="240" w:lineRule="auto"/>
              <w:rPr>
                <w:noProof/>
              </w:rPr>
            </w:pPr>
            <w:r>
              <w:rPr>
                <w:noProof/>
              </w:rPr>
              <w:t>Pāreja 4.0 nodokļu kredīti, kas piešķirti uzņēmumiem, pamatojoties uz 2021.–2022. gadā iesniegtajām nodokļu deklarācijām</w:t>
            </w:r>
          </w:p>
        </w:tc>
      </w:tr>
      <w:tr w:rsidR="00327FF1" w14:paraId="5164E07D" w14:textId="77777777">
        <w:trPr>
          <w:trHeight w:val="300"/>
        </w:trPr>
        <w:tc>
          <w:tcPr>
            <w:tcW w:w="1435" w:type="dxa"/>
            <w:shd w:val="clear" w:color="auto" w:fill="C6EFCE"/>
            <w:tcMar>
              <w:left w:w="108" w:type="dxa"/>
              <w:right w:w="108" w:type="dxa"/>
            </w:tcMar>
            <w:vAlign w:val="center"/>
          </w:tcPr>
          <w:p w14:paraId="24B30FD3" w14:textId="77777777" w:rsidR="00327FF1" w:rsidRDefault="00E406C7">
            <w:pPr>
              <w:pStyle w:val="P68B1DB1-Normal121"/>
              <w:spacing w:after="0" w:line="240" w:lineRule="auto"/>
              <w:jc w:val="center"/>
              <w:rPr>
                <w:noProof/>
              </w:rPr>
            </w:pPr>
            <w:r>
              <w:rPr>
                <w:noProof/>
              </w:rPr>
              <w:t>M1C3–9</w:t>
            </w:r>
          </w:p>
        </w:tc>
        <w:tc>
          <w:tcPr>
            <w:tcW w:w="3538" w:type="dxa"/>
            <w:shd w:val="clear" w:color="auto" w:fill="C6EFCE"/>
            <w:tcMar>
              <w:left w:w="108" w:type="dxa"/>
              <w:right w:w="108" w:type="dxa"/>
            </w:tcMar>
            <w:vAlign w:val="center"/>
          </w:tcPr>
          <w:p w14:paraId="0472C655" w14:textId="77777777" w:rsidR="00327FF1" w:rsidRDefault="00E406C7">
            <w:pPr>
              <w:pStyle w:val="P68B1DB1-Normal121"/>
              <w:spacing w:after="0" w:line="240" w:lineRule="auto"/>
              <w:rPr>
                <w:noProof/>
              </w:rPr>
            </w:pPr>
            <w:r>
              <w:rPr>
                <w:noProof/>
              </w:rPr>
              <w:t>Investīcija 4.1. Digitā</w:t>
            </w:r>
            <w:r>
              <w:rPr>
                <w:noProof/>
              </w:rPr>
              <w:t>lais tūrisma centrs</w:t>
            </w:r>
          </w:p>
        </w:tc>
        <w:tc>
          <w:tcPr>
            <w:tcW w:w="1185" w:type="dxa"/>
            <w:shd w:val="clear" w:color="auto" w:fill="C6EFCE"/>
            <w:tcMar>
              <w:left w:w="108" w:type="dxa"/>
              <w:right w:w="108" w:type="dxa"/>
            </w:tcMar>
            <w:vAlign w:val="center"/>
          </w:tcPr>
          <w:p w14:paraId="422F5297" w14:textId="77777777" w:rsidR="00327FF1" w:rsidRDefault="00E406C7">
            <w:pPr>
              <w:pStyle w:val="P68B1DB1-Normal121"/>
              <w:spacing w:after="0" w:line="240" w:lineRule="auto"/>
              <w:jc w:val="center"/>
              <w:rPr>
                <w:noProof/>
              </w:rPr>
            </w:pPr>
            <w:r>
              <w:rPr>
                <w:noProof/>
              </w:rPr>
              <w:t>Mērķa</w:t>
            </w:r>
          </w:p>
        </w:tc>
        <w:tc>
          <w:tcPr>
            <w:tcW w:w="3200" w:type="dxa"/>
            <w:shd w:val="clear" w:color="auto" w:fill="C6EFCE"/>
            <w:tcMar>
              <w:left w:w="108" w:type="dxa"/>
              <w:right w:w="108" w:type="dxa"/>
            </w:tcMar>
            <w:vAlign w:val="center"/>
          </w:tcPr>
          <w:p w14:paraId="2C804F09" w14:textId="77777777" w:rsidR="00327FF1" w:rsidRDefault="00E406C7">
            <w:pPr>
              <w:pStyle w:val="P68B1DB1-Normal121"/>
              <w:spacing w:after="0" w:line="240" w:lineRule="auto"/>
              <w:rPr>
                <w:noProof/>
              </w:rPr>
            </w:pPr>
            <w:r>
              <w:rPr>
                <w:noProof/>
              </w:rPr>
              <w:t>Tūrisma operatoru iesaistīšana digitālajā tūrisma centrā</w:t>
            </w:r>
          </w:p>
        </w:tc>
      </w:tr>
      <w:tr w:rsidR="00327FF1" w14:paraId="1DD3F2F2" w14:textId="77777777">
        <w:trPr>
          <w:trHeight w:val="300"/>
        </w:trPr>
        <w:tc>
          <w:tcPr>
            <w:tcW w:w="1435" w:type="dxa"/>
            <w:shd w:val="clear" w:color="auto" w:fill="C6EFCE"/>
            <w:tcMar>
              <w:left w:w="108" w:type="dxa"/>
              <w:right w:w="108" w:type="dxa"/>
            </w:tcMar>
            <w:vAlign w:val="center"/>
          </w:tcPr>
          <w:p w14:paraId="2604FB8C" w14:textId="77777777" w:rsidR="00327FF1" w:rsidRDefault="00E406C7">
            <w:pPr>
              <w:pStyle w:val="P68B1DB1-Normal121"/>
              <w:spacing w:after="0" w:line="240" w:lineRule="auto"/>
              <w:jc w:val="center"/>
              <w:rPr>
                <w:noProof/>
              </w:rPr>
            </w:pPr>
            <w:r>
              <w:rPr>
                <w:noProof/>
              </w:rPr>
              <w:t>M1C3–10</w:t>
            </w:r>
          </w:p>
        </w:tc>
        <w:tc>
          <w:tcPr>
            <w:tcW w:w="3538" w:type="dxa"/>
            <w:shd w:val="clear" w:color="auto" w:fill="C6EFCE"/>
            <w:tcMar>
              <w:left w:w="108" w:type="dxa"/>
              <w:right w:w="108" w:type="dxa"/>
            </w:tcMar>
            <w:vAlign w:val="center"/>
          </w:tcPr>
          <w:p w14:paraId="2832DF0F" w14:textId="77777777" w:rsidR="00327FF1" w:rsidRDefault="00E406C7">
            <w:pPr>
              <w:pStyle w:val="P68B1DB1-Normal121"/>
              <w:spacing w:after="0" w:line="240" w:lineRule="auto"/>
              <w:rPr>
                <w:noProof/>
              </w:rPr>
            </w:pPr>
            <w:r>
              <w:rPr>
                <w:noProof/>
              </w:rPr>
              <w:t xml:space="preserve">Reforma 4.1. Regula par tūristu gidu profesiju pasūtīšanu. </w:t>
            </w:r>
          </w:p>
        </w:tc>
        <w:tc>
          <w:tcPr>
            <w:tcW w:w="1185" w:type="dxa"/>
            <w:shd w:val="clear" w:color="auto" w:fill="C6EFCE"/>
            <w:tcMar>
              <w:left w:w="108" w:type="dxa"/>
              <w:right w:w="108" w:type="dxa"/>
            </w:tcMar>
            <w:vAlign w:val="center"/>
          </w:tcPr>
          <w:p w14:paraId="42A41AF1" w14:textId="77777777" w:rsidR="00327FF1" w:rsidRDefault="00E406C7">
            <w:pPr>
              <w:pStyle w:val="P68B1DB1-Normal121"/>
              <w:spacing w:after="0" w:line="240" w:lineRule="auto"/>
              <w:jc w:val="center"/>
              <w:rPr>
                <w:noProof/>
              </w:rPr>
            </w:pPr>
            <w:r>
              <w:rPr>
                <w:noProof/>
              </w:rPr>
              <w:t>Atskaites punkts</w:t>
            </w:r>
          </w:p>
        </w:tc>
        <w:tc>
          <w:tcPr>
            <w:tcW w:w="3200" w:type="dxa"/>
            <w:shd w:val="clear" w:color="auto" w:fill="C6EFCE"/>
            <w:tcMar>
              <w:left w:w="108" w:type="dxa"/>
              <w:right w:w="108" w:type="dxa"/>
            </w:tcMar>
            <w:vAlign w:val="center"/>
          </w:tcPr>
          <w:p w14:paraId="2CAA56E2" w14:textId="77777777" w:rsidR="00327FF1" w:rsidRDefault="00E406C7">
            <w:pPr>
              <w:pStyle w:val="P68B1DB1-Normal121"/>
              <w:spacing w:after="0" w:line="240" w:lineRule="auto"/>
              <w:rPr>
                <w:noProof/>
              </w:rPr>
            </w:pPr>
            <w:r>
              <w:rPr>
                <w:noProof/>
              </w:rPr>
              <w:t>Valsts standarta noteikšana tūristu gidiem</w:t>
            </w:r>
          </w:p>
        </w:tc>
      </w:tr>
      <w:tr w:rsidR="00327FF1" w14:paraId="2E072CDD" w14:textId="77777777">
        <w:trPr>
          <w:trHeight w:val="300"/>
        </w:trPr>
        <w:tc>
          <w:tcPr>
            <w:tcW w:w="1435" w:type="dxa"/>
            <w:shd w:val="clear" w:color="auto" w:fill="C6EFCE"/>
            <w:tcMar>
              <w:left w:w="108" w:type="dxa"/>
              <w:right w:w="108" w:type="dxa"/>
            </w:tcMar>
            <w:vAlign w:val="center"/>
          </w:tcPr>
          <w:p w14:paraId="671BF565" w14:textId="77777777" w:rsidR="00327FF1" w:rsidRDefault="00E406C7">
            <w:pPr>
              <w:pStyle w:val="P68B1DB1-Normal121"/>
              <w:spacing w:after="0" w:line="240" w:lineRule="auto"/>
              <w:jc w:val="center"/>
              <w:rPr>
                <w:noProof/>
              </w:rPr>
            </w:pPr>
            <w:r>
              <w:rPr>
                <w:noProof/>
              </w:rPr>
              <w:t>M2C1–6</w:t>
            </w:r>
          </w:p>
        </w:tc>
        <w:tc>
          <w:tcPr>
            <w:tcW w:w="3538" w:type="dxa"/>
            <w:shd w:val="clear" w:color="auto" w:fill="C6EFCE"/>
            <w:tcMar>
              <w:left w:w="108" w:type="dxa"/>
              <w:right w:w="108" w:type="dxa"/>
            </w:tcMar>
            <w:vAlign w:val="center"/>
          </w:tcPr>
          <w:p w14:paraId="36A20879" w14:textId="77777777" w:rsidR="00327FF1" w:rsidRDefault="00E406C7">
            <w:pPr>
              <w:pStyle w:val="P68B1DB1-Normal121"/>
              <w:spacing w:after="0" w:line="240" w:lineRule="auto"/>
              <w:rPr>
                <w:noProof/>
              </w:rPr>
            </w:pPr>
            <w:r>
              <w:rPr>
                <w:noProof/>
              </w:rPr>
              <w:t>Ieguldījums 2.2.: Agrosaules parks</w:t>
            </w:r>
          </w:p>
        </w:tc>
        <w:tc>
          <w:tcPr>
            <w:tcW w:w="1185" w:type="dxa"/>
            <w:shd w:val="clear" w:color="auto" w:fill="C6EFCE"/>
            <w:tcMar>
              <w:left w:w="108" w:type="dxa"/>
              <w:right w:w="108" w:type="dxa"/>
            </w:tcMar>
            <w:vAlign w:val="center"/>
          </w:tcPr>
          <w:p w14:paraId="012BC933" w14:textId="77777777" w:rsidR="00327FF1" w:rsidRDefault="00E406C7">
            <w:pPr>
              <w:pStyle w:val="P68B1DB1-Normal121"/>
              <w:spacing w:after="0" w:line="240" w:lineRule="auto"/>
              <w:jc w:val="center"/>
              <w:rPr>
                <w:noProof/>
              </w:rPr>
            </w:pPr>
            <w:r>
              <w:rPr>
                <w:noProof/>
              </w:rPr>
              <w:t>Mērķa</w:t>
            </w:r>
          </w:p>
        </w:tc>
        <w:tc>
          <w:tcPr>
            <w:tcW w:w="3200" w:type="dxa"/>
            <w:shd w:val="clear" w:color="auto" w:fill="C6EFCE"/>
            <w:tcMar>
              <w:left w:w="108" w:type="dxa"/>
              <w:right w:w="108" w:type="dxa"/>
            </w:tcMar>
            <w:vAlign w:val="center"/>
          </w:tcPr>
          <w:p w14:paraId="07D268B2" w14:textId="77777777" w:rsidR="00327FF1" w:rsidRDefault="00E406C7">
            <w:pPr>
              <w:pStyle w:val="P68B1DB1-Normal121"/>
              <w:spacing w:after="0" w:line="240" w:lineRule="auto"/>
              <w:rPr>
                <w:noProof/>
              </w:rPr>
            </w:pPr>
            <w:r>
              <w:rPr>
                <w:noProof/>
              </w:rPr>
              <w:t>Līdzekļu piešķiršana saņēmējiem % no kopējiem finanšu resursiem, kas piešķirti ieguldījumam</w:t>
            </w:r>
          </w:p>
        </w:tc>
      </w:tr>
      <w:tr w:rsidR="00327FF1" w14:paraId="3B66F3A2" w14:textId="77777777">
        <w:trPr>
          <w:trHeight w:val="300"/>
        </w:trPr>
        <w:tc>
          <w:tcPr>
            <w:tcW w:w="1435" w:type="dxa"/>
            <w:shd w:val="clear" w:color="auto" w:fill="C6EFCE"/>
            <w:tcMar>
              <w:left w:w="108" w:type="dxa"/>
              <w:right w:w="108" w:type="dxa"/>
            </w:tcMar>
            <w:vAlign w:val="center"/>
          </w:tcPr>
          <w:p w14:paraId="6450E21A" w14:textId="77777777" w:rsidR="00327FF1" w:rsidRDefault="00E406C7">
            <w:pPr>
              <w:pStyle w:val="P68B1DB1-Normal121"/>
              <w:spacing w:after="0" w:line="240" w:lineRule="auto"/>
              <w:jc w:val="center"/>
              <w:rPr>
                <w:noProof/>
              </w:rPr>
            </w:pPr>
            <w:r>
              <w:rPr>
                <w:noProof/>
              </w:rPr>
              <w:t>M3C2–5</w:t>
            </w:r>
          </w:p>
        </w:tc>
        <w:tc>
          <w:tcPr>
            <w:tcW w:w="3538" w:type="dxa"/>
            <w:shd w:val="clear" w:color="auto" w:fill="C6EFCE"/>
            <w:tcMar>
              <w:left w:w="108" w:type="dxa"/>
              <w:right w:w="108" w:type="dxa"/>
            </w:tcMar>
            <w:vAlign w:val="center"/>
          </w:tcPr>
          <w:p w14:paraId="0DFEF067" w14:textId="77777777" w:rsidR="00327FF1" w:rsidRDefault="00E406C7">
            <w:pPr>
              <w:pStyle w:val="P68B1DB1-Normal121"/>
              <w:spacing w:after="0" w:line="240" w:lineRule="auto"/>
              <w:rPr>
                <w:noProof/>
              </w:rPr>
            </w:pPr>
            <w:r>
              <w:rPr>
                <w:noProof/>
              </w:rPr>
              <w:t>Investīcija 2.1. — Loģistikas ķēdes digitalizācija</w:t>
            </w:r>
          </w:p>
        </w:tc>
        <w:tc>
          <w:tcPr>
            <w:tcW w:w="1185" w:type="dxa"/>
            <w:shd w:val="clear" w:color="auto" w:fill="C6EFCE"/>
            <w:tcMar>
              <w:left w:w="108" w:type="dxa"/>
              <w:right w:w="108" w:type="dxa"/>
            </w:tcMar>
            <w:vAlign w:val="center"/>
          </w:tcPr>
          <w:p w14:paraId="08595F43" w14:textId="77777777" w:rsidR="00327FF1" w:rsidRDefault="00E406C7">
            <w:pPr>
              <w:pStyle w:val="P68B1DB1-Normal121"/>
              <w:spacing w:after="0" w:line="240" w:lineRule="auto"/>
              <w:jc w:val="center"/>
              <w:rPr>
                <w:noProof/>
              </w:rPr>
            </w:pPr>
            <w:r>
              <w:rPr>
                <w:noProof/>
              </w:rPr>
              <w:t>Mērķa</w:t>
            </w:r>
          </w:p>
        </w:tc>
        <w:tc>
          <w:tcPr>
            <w:tcW w:w="3200" w:type="dxa"/>
            <w:shd w:val="clear" w:color="auto" w:fill="C6EFCE"/>
            <w:tcMar>
              <w:left w:w="108" w:type="dxa"/>
              <w:right w:w="108" w:type="dxa"/>
            </w:tcMar>
            <w:vAlign w:val="center"/>
          </w:tcPr>
          <w:p w14:paraId="67A83786" w14:textId="77777777" w:rsidR="00327FF1" w:rsidRDefault="00E406C7">
            <w:pPr>
              <w:pStyle w:val="P68B1DB1-Normal121"/>
              <w:spacing w:after="0" w:line="240" w:lineRule="auto"/>
              <w:rPr>
                <w:noProof/>
              </w:rPr>
            </w:pPr>
            <w:r>
              <w:rPr>
                <w:noProof/>
              </w:rPr>
              <w:t>Loģistikas ķēdes digitalizācija</w:t>
            </w:r>
          </w:p>
        </w:tc>
      </w:tr>
      <w:tr w:rsidR="00327FF1" w14:paraId="1A75F960" w14:textId="77777777">
        <w:trPr>
          <w:trHeight w:val="300"/>
        </w:trPr>
        <w:tc>
          <w:tcPr>
            <w:tcW w:w="1435" w:type="dxa"/>
            <w:shd w:val="clear" w:color="auto" w:fill="C6EFCE"/>
            <w:tcMar>
              <w:left w:w="108" w:type="dxa"/>
              <w:right w:w="108" w:type="dxa"/>
            </w:tcMar>
            <w:vAlign w:val="center"/>
          </w:tcPr>
          <w:p w14:paraId="779D7387" w14:textId="77777777" w:rsidR="00327FF1" w:rsidRDefault="00E406C7">
            <w:pPr>
              <w:pStyle w:val="P68B1DB1-Normal121"/>
              <w:spacing w:after="0" w:line="240" w:lineRule="auto"/>
              <w:jc w:val="center"/>
              <w:rPr>
                <w:noProof/>
              </w:rPr>
            </w:pPr>
            <w:r>
              <w:rPr>
                <w:noProof/>
              </w:rPr>
              <w:t>M5C2–2</w:t>
            </w:r>
          </w:p>
        </w:tc>
        <w:tc>
          <w:tcPr>
            <w:tcW w:w="3538" w:type="dxa"/>
            <w:shd w:val="clear" w:color="auto" w:fill="C6EFCE"/>
            <w:tcMar>
              <w:left w:w="108" w:type="dxa"/>
              <w:right w:w="108" w:type="dxa"/>
            </w:tcMar>
            <w:vAlign w:val="center"/>
          </w:tcPr>
          <w:p w14:paraId="6E65EE89" w14:textId="77777777" w:rsidR="00327FF1" w:rsidRDefault="00E406C7">
            <w:pPr>
              <w:pStyle w:val="P68B1DB1-Normal121"/>
              <w:spacing w:after="0" w:line="240" w:lineRule="auto"/>
              <w:rPr>
                <w:noProof/>
              </w:rPr>
            </w:pPr>
            <w:r>
              <w:rPr>
                <w:noProof/>
              </w:rPr>
              <w:t>Reforma — Pamatlikums par invaliditāti</w:t>
            </w:r>
          </w:p>
        </w:tc>
        <w:tc>
          <w:tcPr>
            <w:tcW w:w="1185" w:type="dxa"/>
            <w:shd w:val="clear" w:color="auto" w:fill="C6EFCE"/>
            <w:tcMar>
              <w:left w:w="108" w:type="dxa"/>
              <w:right w:w="108" w:type="dxa"/>
            </w:tcMar>
            <w:vAlign w:val="center"/>
          </w:tcPr>
          <w:p w14:paraId="577CFE92" w14:textId="77777777" w:rsidR="00327FF1" w:rsidRDefault="00E406C7">
            <w:pPr>
              <w:pStyle w:val="P68B1DB1-Normal121"/>
              <w:spacing w:after="0" w:line="240" w:lineRule="auto"/>
              <w:jc w:val="center"/>
              <w:rPr>
                <w:noProof/>
              </w:rPr>
            </w:pPr>
            <w:r>
              <w:rPr>
                <w:noProof/>
              </w:rPr>
              <w:t xml:space="preserve">Atskaites </w:t>
            </w:r>
            <w:r>
              <w:rPr>
                <w:noProof/>
              </w:rPr>
              <w:t>punkts</w:t>
            </w:r>
          </w:p>
        </w:tc>
        <w:tc>
          <w:tcPr>
            <w:tcW w:w="3200" w:type="dxa"/>
            <w:shd w:val="clear" w:color="auto" w:fill="C6EFCE"/>
            <w:tcMar>
              <w:left w:w="108" w:type="dxa"/>
              <w:right w:w="108" w:type="dxa"/>
            </w:tcMar>
            <w:vAlign w:val="center"/>
          </w:tcPr>
          <w:p w14:paraId="713F0A2B" w14:textId="77777777" w:rsidR="00327FF1" w:rsidRDefault="00E406C7">
            <w:pPr>
              <w:pStyle w:val="P68B1DB1-Normal121"/>
              <w:spacing w:after="0" w:line="240" w:lineRule="auto"/>
              <w:rPr>
                <w:noProof/>
              </w:rPr>
            </w:pPr>
            <w:r>
              <w:rPr>
                <w:noProof/>
              </w:rPr>
              <w:t>Stājas spēkā leģislatīvie dekrēti, ar kuriem tiek izstrādāti pamatlikumā paredzētie noteikumi, lai stiprinātu personu ar invaliditāti autonomiju</w:t>
            </w:r>
          </w:p>
        </w:tc>
      </w:tr>
      <w:tr w:rsidR="00327FF1" w14:paraId="57E4B01C" w14:textId="77777777">
        <w:trPr>
          <w:trHeight w:val="300"/>
        </w:trPr>
        <w:tc>
          <w:tcPr>
            <w:tcW w:w="1435" w:type="dxa"/>
            <w:shd w:val="clear" w:color="auto" w:fill="C6EFCE"/>
            <w:tcMar>
              <w:left w:w="108" w:type="dxa"/>
              <w:right w:w="108" w:type="dxa"/>
            </w:tcMar>
            <w:vAlign w:val="center"/>
          </w:tcPr>
          <w:p w14:paraId="3AECA520" w14:textId="77777777" w:rsidR="00327FF1" w:rsidRDefault="00327FF1">
            <w:pPr>
              <w:spacing w:after="0" w:line="240" w:lineRule="auto"/>
              <w:jc w:val="center"/>
              <w:rPr>
                <w:rFonts w:ascii="Times New Roman" w:eastAsia="Times New Roman" w:hAnsi="Times New Roman" w:cs="Times New Roman"/>
                <w:noProof/>
              </w:rPr>
            </w:pPr>
          </w:p>
        </w:tc>
        <w:tc>
          <w:tcPr>
            <w:tcW w:w="3538" w:type="dxa"/>
            <w:shd w:val="clear" w:color="auto" w:fill="C6EFCE"/>
            <w:tcMar>
              <w:left w:w="108" w:type="dxa"/>
              <w:right w:w="108" w:type="dxa"/>
            </w:tcMar>
            <w:vAlign w:val="center"/>
          </w:tcPr>
          <w:p w14:paraId="2387A0E2" w14:textId="77777777" w:rsidR="00327FF1" w:rsidRDefault="00E406C7">
            <w:pPr>
              <w:pStyle w:val="P68B1DB1-Normal121"/>
              <w:spacing w:after="0" w:line="240" w:lineRule="auto"/>
              <w:rPr>
                <w:noProof/>
              </w:rPr>
            </w:pPr>
            <w:r>
              <w:rPr>
                <w:noProof/>
              </w:rPr>
              <w:t xml:space="preserve"> </w:t>
            </w:r>
          </w:p>
        </w:tc>
        <w:tc>
          <w:tcPr>
            <w:tcW w:w="1185" w:type="dxa"/>
            <w:shd w:val="clear" w:color="auto" w:fill="C6EFCE"/>
            <w:tcMar>
              <w:left w:w="108" w:type="dxa"/>
              <w:right w:w="108" w:type="dxa"/>
            </w:tcMar>
            <w:vAlign w:val="center"/>
          </w:tcPr>
          <w:p w14:paraId="2533B2EE" w14:textId="77777777" w:rsidR="00327FF1" w:rsidRDefault="00E406C7">
            <w:pPr>
              <w:pStyle w:val="P68B1DB1-Normal121"/>
              <w:spacing w:after="0" w:line="240" w:lineRule="auto"/>
              <w:jc w:val="center"/>
              <w:rPr>
                <w:noProof/>
              </w:rPr>
            </w:pPr>
            <w:r>
              <w:rPr>
                <w:noProof/>
              </w:rPr>
              <w:t>Maksājuma summa</w:t>
            </w:r>
          </w:p>
        </w:tc>
        <w:tc>
          <w:tcPr>
            <w:tcW w:w="3200" w:type="dxa"/>
            <w:shd w:val="clear" w:color="auto" w:fill="C6EFCE"/>
            <w:tcMar>
              <w:left w:w="108" w:type="dxa"/>
              <w:right w:w="108" w:type="dxa"/>
            </w:tcMar>
            <w:vAlign w:val="center"/>
          </w:tcPr>
          <w:p w14:paraId="4B640A1C"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2053579667</w:t>
            </w:r>
            <w:r>
              <w:rPr>
                <w:noProof/>
                <w:sz w:val="23"/>
                <w:szCs w:val="23"/>
              </w:rPr>
              <w:t xml:space="preserve"> </w:t>
            </w:r>
          </w:p>
        </w:tc>
      </w:tr>
    </w:tbl>
    <w:p w14:paraId="7B44F723" w14:textId="77777777" w:rsidR="00327FF1" w:rsidRDefault="00327FF1">
      <w:pPr>
        <w:spacing w:after="0"/>
        <w:ind w:left="850"/>
        <w:contextualSpacing/>
        <w:jc w:val="both"/>
        <w:rPr>
          <w:rFonts w:ascii="Times New Roman" w:eastAsia="Times New Roman" w:hAnsi="Times New Roman" w:cs="Times New Roman"/>
          <w:noProof/>
        </w:rPr>
      </w:pPr>
    </w:p>
    <w:p w14:paraId="1FC9F92C" w14:textId="77777777" w:rsidR="00327FF1" w:rsidRDefault="00E406C7">
      <w:pPr>
        <w:pStyle w:val="P68B1DB1-Heading4119"/>
        <w:numPr>
          <w:ilvl w:val="1"/>
          <w:numId w:val="180"/>
        </w:numPr>
        <w:tabs>
          <w:tab w:val="num" w:pos="1440"/>
        </w:tabs>
        <w:ind w:left="1440" w:hanging="360"/>
        <w:rPr>
          <w:noProof/>
        </w:rPr>
      </w:pPr>
      <w:r>
        <w:rPr>
          <w:noProof/>
        </w:rPr>
        <w:t>Septītais maksājums (neatmaksājams atbalsts):</w:t>
      </w:r>
    </w:p>
    <w:tbl>
      <w:tblPr>
        <w:tblW w:w="9357" w:type="dxa"/>
        <w:tblInd w:w="120" w:type="dxa"/>
        <w:tblLayout w:type="fixed"/>
        <w:tblLook w:val="04A0" w:firstRow="1" w:lastRow="0" w:firstColumn="1" w:lastColumn="0" w:noHBand="0" w:noVBand="1"/>
      </w:tblPr>
      <w:tblGrid>
        <w:gridCol w:w="1435"/>
        <w:gridCol w:w="3543"/>
        <w:gridCol w:w="1276"/>
        <w:gridCol w:w="3103"/>
      </w:tblGrid>
      <w:tr w:rsidR="00327FF1" w14:paraId="5A3D21DE" w14:textId="77777777">
        <w:trPr>
          <w:trHeight w:val="900"/>
          <w:tblHeader/>
        </w:trPr>
        <w:tc>
          <w:tcPr>
            <w:tcW w:w="143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268BF6A" w14:textId="77777777" w:rsidR="00327FF1" w:rsidRDefault="00E406C7">
            <w:pPr>
              <w:pStyle w:val="P68B1DB1-Normal120"/>
              <w:spacing w:after="0" w:line="240" w:lineRule="auto"/>
              <w:jc w:val="center"/>
              <w:rPr>
                <w:noProof/>
              </w:rPr>
            </w:pPr>
            <w:r>
              <w:rPr>
                <w:noProof/>
              </w:rPr>
              <w:t>Kārtas numurs</w:t>
            </w:r>
          </w:p>
        </w:tc>
        <w:tc>
          <w:tcPr>
            <w:tcW w:w="3543"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784025A" w14:textId="77777777" w:rsidR="00327FF1" w:rsidRDefault="00E406C7">
            <w:pPr>
              <w:pStyle w:val="P68B1DB1-Normal120"/>
              <w:spacing w:after="0" w:line="240" w:lineRule="auto"/>
              <w:jc w:val="center"/>
              <w:rPr>
                <w:noProof/>
              </w:rPr>
            </w:pPr>
            <w:r>
              <w:rPr>
                <w:noProof/>
              </w:rPr>
              <w:t>Saistītais pasākums (reforma vai ieguldījums)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0E5AFD0E" w14:textId="77777777" w:rsidR="00327FF1" w:rsidRDefault="00E406C7">
            <w:pPr>
              <w:pStyle w:val="P68B1DB1-Normal120"/>
              <w:spacing w:after="0" w:line="240" w:lineRule="auto"/>
              <w:jc w:val="center"/>
              <w:rPr>
                <w:noProof/>
              </w:rPr>
            </w:pPr>
            <w:r>
              <w:rPr>
                <w:noProof/>
              </w:rPr>
              <w:t>Atskaites punkts/mērķrādītājs</w:t>
            </w:r>
          </w:p>
        </w:tc>
        <w:tc>
          <w:tcPr>
            <w:tcW w:w="3103"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53AACB11" w14:textId="77777777" w:rsidR="00327FF1" w:rsidRDefault="00E406C7">
            <w:pPr>
              <w:pStyle w:val="P68B1DB1-Normal120"/>
              <w:spacing w:after="0" w:line="240" w:lineRule="auto"/>
              <w:jc w:val="center"/>
              <w:rPr>
                <w:noProof/>
              </w:rPr>
            </w:pPr>
            <w:r>
              <w:rPr>
                <w:noProof/>
              </w:rPr>
              <w:t>Nosaukums</w:t>
            </w:r>
          </w:p>
        </w:tc>
      </w:tr>
      <w:tr w:rsidR="00327FF1" w14:paraId="09607967" w14:textId="77777777">
        <w:trPr>
          <w:trHeight w:val="510"/>
        </w:trPr>
        <w:tc>
          <w:tcPr>
            <w:tcW w:w="1435" w:type="dxa"/>
            <w:vMerge/>
            <w:tcBorders>
              <w:top w:val="single" w:sz="4" w:space="0" w:color="auto"/>
              <w:left w:val="single" w:sz="4" w:space="0" w:color="auto"/>
              <w:bottom w:val="single" w:sz="4" w:space="0" w:color="auto"/>
              <w:right w:val="single" w:sz="4" w:space="0" w:color="auto"/>
            </w:tcBorders>
            <w:vAlign w:val="center"/>
          </w:tcPr>
          <w:p w14:paraId="7649218E" w14:textId="77777777" w:rsidR="00327FF1" w:rsidRDefault="00327FF1">
            <w:pPr>
              <w:spacing w:after="0" w:line="240" w:lineRule="auto"/>
              <w:jc w:val="center"/>
              <w:rPr>
                <w:rFonts w:ascii="Times New Roman" w:eastAsia="Times New Roman" w:hAnsi="Times New Roman" w:cs="Times New Roman"/>
                <w:noProof/>
              </w:rPr>
            </w:pPr>
          </w:p>
        </w:tc>
        <w:tc>
          <w:tcPr>
            <w:tcW w:w="3543" w:type="dxa"/>
            <w:vMerge/>
            <w:tcBorders>
              <w:top w:val="single" w:sz="4" w:space="0" w:color="auto"/>
              <w:left w:val="single" w:sz="4" w:space="0" w:color="auto"/>
              <w:bottom w:val="single" w:sz="4" w:space="0" w:color="auto"/>
              <w:right w:val="single" w:sz="4" w:space="0" w:color="auto"/>
            </w:tcBorders>
            <w:vAlign w:val="center"/>
          </w:tcPr>
          <w:p w14:paraId="6E99319B" w14:textId="77777777" w:rsidR="00327FF1" w:rsidRDefault="00327FF1">
            <w:pPr>
              <w:spacing w:after="0" w:line="240" w:lineRule="auto"/>
              <w:rPr>
                <w:rFonts w:ascii="Times New Roman" w:eastAsia="Times New Roman" w:hAnsi="Times New Roman" w:cs="Times New Roman"/>
                <w:noProof/>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0610EC3E" w14:textId="77777777" w:rsidR="00327FF1" w:rsidRDefault="00327FF1">
            <w:pPr>
              <w:spacing w:after="0" w:line="240" w:lineRule="auto"/>
              <w:jc w:val="center"/>
              <w:rPr>
                <w:rFonts w:ascii="Times New Roman" w:eastAsia="Times New Roman" w:hAnsi="Times New Roman" w:cs="Times New Roman"/>
                <w:noProof/>
              </w:rPr>
            </w:pPr>
          </w:p>
        </w:tc>
        <w:tc>
          <w:tcPr>
            <w:tcW w:w="3103" w:type="dxa"/>
            <w:vMerge/>
            <w:tcBorders>
              <w:top w:val="single" w:sz="4" w:space="0" w:color="auto"/>
              <w:left w:val="single" w:sz="4" w:space="0" w:color="auto"/>
              <w:bottom w:val="single" w:sz="4" w:space="0" w:color="auto"/>
              <w:right w:val="single" w:sz="4" w:space="0" w:color="auto"/>
            </w:tcBorders>
            <w:vAlign w:val="center"/>
          </w:tcPr>
          <w:p w14:paraId="5243AD69" w14:textId="77777777" w:rsidR="00327FF1" w:rsidRDefault="00327FF1">
            <w:pPr>
              <w:spacing w:after="0" w:line="240" w:lineRule="auto"/>
              <w:rPr>
                <w:rFonts w:ascii="Times New Roman" w:eastAsia="Times New Roman" w:hAnsi="Times New Roman" w:cs="Times New Roman"/>
                <w:noProof/>
              </w:rPr>
            </w:pPr>
          </w:p>
        </w:tc>
      </w:tr>
      <w:tr w:rsidR="00327FF1" w14:paraId="17F4F83F"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1E193E" w14:textId="77777777" w:rsidR="00327FF1" w:rsidRDefault="00E406C7">
            <w:pPr>
              <w:pStyle w:val="P68B1DB1-Normal121"/>
              <w:spacing w:after="0" w:line="240" w:lineRule="auto"/>
              <w:jc w:val="center"/>
              <w:rPr>
                <w:noProof/>
              </w:rPr>
            </w:pPr>
            <w:r>
              <w:rPr>
                <w:noProof/>
              </w:rPr>
              <w:t>M1C1–17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BB3B88" w14:textId="77777777" w:rsidR="00327FF1" w:rsidRDefault="00E406C7">
            <w:pPr>
              <w:pStyle w:val="P68B1DB1-Normal121"/>
              <w:spacing w:after="0" w:line="240" w:lineRule="auto"/>
              <w:rPr>
                <w:noProof/>
              </w:rPr>
            </w:pPr>
            <w:r>
              <w:rPr>
                <w:noProof/>
              </w:rPr>
              <w:t>Investīcija 1.1: Digitālā infrastruktūra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E7D2B4"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8B3ECD" w14:textId="77777777" w:rsidR="00327FF1" w:rsidRDefault="00E406C7">
            <w:pPr>
              <w:pStyle w:val="P68B1DB1-Normal121"/>
              <w:spacing w:after="0" w:line="240" w:lineRule="auto"/>
              <w:rPr>
                <w:noProof/>
              </w:rPr>
            </w:pPr>
            <w:r>
              <w:rPr>
                <w:noProof/>
              </w:rPr>
              <w:t>Migrācija uz Polo Strategico Nazionale T1</w:t>
            </w:r>
          </w:p>
        </w:tc>
      </w:tr>
      <w:tr w:rsidR="00327FF1" w14:paraId="54865B1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E43E16" w14:textId="77777777" w:rsidR="00327FF1" w:rsidRDefault="00E406C7">
            <w:pPr>
              <w:pStyle w:val="P68B1DB1-Normal121"/>
              <w:spacing w:after="0" w:line="240" w:lineRule="auto"/>
              <w:jc w:val="center"/>
              <w:rPr>
                <w:noProof/>
              </w:rPr>
            </w:pPr>
            <w:r>
              <w:rPr>
                <w:noProof/>
              </w:rPr>
              <w:t>M7–7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2EAA7B" w14:textId="77777777" w:rsidR="00327FF1" w:rsidRDefault="00E406C7">
            <w:pPr>
              <w:pStyle w:val="P68B1DB1-Normal121"/>
              <w:spacing w:after="0" w:line="240" w:lineRule="auto"/>
              <w:rPr>
                <w:noProof/>
              </w:rPr>
            </w:pPr>
            <w:r>
              <w:rPr>
                <w:noProof/>
              </w:rPr>
              <w:t>Reforma. Tāda finanšu</w:t>
            </w:r>
            <w:r>
              <w:rPr>
                <w:noProof/>
              </w:rPr>
              <w:t xml:space="preserve"> riska mazināšana, kas saistīts ar atjaunojamo energoresursu EPL (jaudas pirkuma līgumi)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4F1E62"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4D4614" w14:textId="77777777" w:rsidR="00327FF1" w:rsidRDefault="00E406C7">
            <w:pPr>
              <w:pStyle w:val="P68B1DB1-Normal121"/>
              <w:spacing w:after="0" w:line="240" w:lineRule="auto"/>
              <w:rPr>
                <w:noProof/>
              </w:rPr>
            </w:pPr>
            <w:r>
              <w:rPr>
                <w:noProof/>
              </w:rPr>
              <w:t>Primāro un sekundāro tiesību aktu stāšanās spēkā</w:t>
            </w:r>
          </w:p>
        </w:tc>
      </w:tr>
      <w:tr w:rsidR="00327FF1" w14:paraId="6BE844E4"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6225F3" w14:textId="77777777" w:rsidR="00327FF1" w:rsidRDefault="00E406C7">
            <w:pPr>
              <w:pStyle w:val="P68B1DB1-Normal121"/>
              <w:spacing w:after="0" w:line="240" w:lineRule="auto"/>
              <w:jc w:val="center"/>
              <w:rPr>
                <w:noProof/>
              </w:rPr>
            </w:pPr>
            <w:r>
              <w:rPr>
                <w:noProof/>
              </w:rPr>
              <w:t>M7–14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56C0E1" w14:textId="77777777" w:rsidR="00327FF1" w:rsidRDefault="00E406C7">
            <w:pPr>
              <w:pStyle w:val="P68B1DB1-Normal121"/>
              <w:spacing w:after="0" w:line="240" w:lineRule="auto"/>
              <w:rPr>
                <w:noProof/>
              </w:rPr>
            </w:pPr>
            <w:r>
              <w:rPr>
                <w:noProof/>
              </w:rPr>
              <w:t>Ieguldījums Nr. 4: Tirēnu saite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325D44"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30D857" w14:textId="77777777" w:rsidR="00327FF1" w:rsidRDefault="00E406C7">
            <w:pPr>
              <w:pStyle w:val="P68B1DB1-Normal121"/>
              <w:spacing w:after="0" w:line="240" w:lineRule="auto"/>
              <w:rPr>
                <w:noProof/>
              </w:rPr>
            </w:pPr>
            <w:r>
              <w:rPr>
                <w:noProof/>
              </w:rPr>
              <w:t>Līgumu piešķiršana</w:t>
            </w:r>
          </w:p>
        </w:tc>
      </w:tr>
      <w:tr w:rsidR="00327FF1" w14:paraId="632BFAE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A7BD03" w14:textId="77777777" w:rsidR="00327FF1" w:rsidRDefault="00E406C7">
            <w:pPr>
              <w:pStyle w:val="P68B1DB1-Normal121"/>
              <w:spacing w:after="0" w:line="240" w:lineRule="auto"/>
              <w:jc w:val="center"/>
              <w:rPr>
                <w:noProof/>
              </w:rPr>
            </w:pPr>
            <w:r>
              <w:rPr>
                <w:noProof/>
              </w:rPr>
              <w:t>M3C2–7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60B025D" w14:textId="77777777" w:rsidR="00327FF1" w:rsidRDefault="00E406C7">
            <w:pPr>
              <w:pStyle w:val="P68B1DB1-Normal121"/>
              <w:spacing w:after="0" w:line="240" w:lineRule="auto"/>
              <w:rPr>
                <w:noProof/>
              </w:rPr>
            </w:pPr>
            <w:r>
              <w:rPr>
                <w:noProof/>
              </w:rPr>
              <w:t xml:space="preserve">Investīcija 2.3.: </w:t>
            </w:r>
            <w:r>
              <w:rPr>
                <w:noProof/>
              </w:rPr>
              <w:t xml:space="preserve">Aukstā gludināšana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66A7AA"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03B0498" w14:textId="77777777" w:rsidR="00327FF1" w:rsidRDefault="00E406C7">
            <w:pPr>
              <w:pStyle w:val="P68B1DB1-Normal121"/>
              <w:spacing w:after="0" w:line="240" w:lineRule="auto"/>
              <w:rPr>
                <w:noProof/>
              </w:rPr>
            </w:pPr>
            <w:r>
              <w:rPr>
                <w:noProof/>
              </w:rPr>
              <w:t xml:space="preserve">Visu publiskā iepirkuma līgumu slēgšanas tiesību piešķiršana </w:t>
            </w:r>
          </w:p>
        </w:tc>
      </w:tr>
      <w:tr w:rsidR="00327FF1" w14:paraId="786B418A"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457F42" w14:textId="77777777" w:rsidR="00327FF1" w:rsidRDefault="00E406C7">
            <w:pPr>
              <w:pStyle w:val="P68B1DB1-Normal121"/>
              <w:spacing w:after="0" w:line="240" w:lineRule="auto"/>
              <w:jc w:val="center"/>
              <w:rPr>
                <w:noProof/>
              </w:rPr>
            </w:pPr>
            <w:r>
              <w:rPr>
                <w:noProof/>
              </w:rPr>
              <w:t>M1C1–18</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2FCCCF" w14:textId="77777777" w:rsidR="00327FF1" w:rsidRDefault="00E406C7">
            <w:pPr>
              <w:pStyle w:val="P68B1DB1-Normal121"/>
              <w:spacing w:after="0" w:line="240" w:lineRule="auto"/>
              <w:rPr>
                <w:noProof/>
              </w:rPr>
            </w:pPr>
            <w:r>
              <w:rPr>
                <w:noProof/>
              </w:rPr>
              <w:t>Investīcija 1.3.1.: Valsts digitālo datu platforma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D10621"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BE4ED2A" w14:textId="77777777" w:rsidR="00327FF1" w:rsidRDefault="00E406C7">
            <w:pPr>
              <w:pStyle w:val="P68B1DB1-Normal121"/>
              <w:spacing w:after="0" w:line="240" w:lineRule="auto"/>
              <w:rPr>
                <w:noProof/>
              </w:rPr>
            </w:pPr>
            <w:r>
              <w:rPr>
                <w:noProof/>
              </w:rPr>
              <w:t>API valsts digitālo datu platformā T1</w:t>
            </w:r>
          </w:p>
        </w:tc>
      </w:tr>
      <w:tr w:rsidR="00327FF1" w14:paraId="2A9CD3E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BE50CE" w14:textId="77777777" w:rsidR="00327FF1" w:rsidRDefault="00E406C7">
            <w:pPr>
              <w:pStyle w:val="P68B1DB1-Normal121"/>
              <w:spacing w:after="0" w:line="240" w:lineRule="auto"/>
              <w:jc w:val="center"/>
              <w:rPr>
                <w:noProof/>
              </w:rPr>
            </w:pPr>
            <w:r>
              <w:rPr>
                <w:noProof/>
              </w:rPr>
              <w:t>M1C1–19</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2ECA79" w14:textId="77777777" w:rsidR="00327FF1" w:rsidRDefault="00E406C7">
            <w:pPr>
              <w:pStyle w:val="P68B1DB1-Normal121"/>
              <w:spacing w:after="0" w:line="240" w:lineRule="auto"/>
              <w:rPr>
                <w:noProof/>
              </w:rPr>
            </w:pPr>
            <w:r>
              <w:rPr>
                <w:noProof/>
              </w:rPr>
              <w:t>Investīcija Nr. 1.5: Kiberdrošība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1A636A"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64C314" w14:textId="77777777" w:rsidR="00327FF1" w:rsidRDefault="00E406C7">
            <w:pPr>
              <w:pStyle w:val="P68B1DB1-Normal121"/>
              <w:spacing w:after="0" w:line="240" w:lineRule="auto"/>
              <w:rPr>
                <w:noProof/>
              </w:rPr>
            </w:pPr>
            <w:r>
              <w:rPr>
                <w:noProof/>
              </w:rPr>
              <w:t>Atbalsts drošības struktūru modernizācijai T2</w:t>
            </w:r>
          </w:p>
        </w:tc>
      </w:tr>
      <w:tr w:rsidR="00327FF1" w14:paraId="24AA96A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7ACFBC" w14:textId="77777777" w:rsidR="00327FF1" w:rsidRDefault="00E406C7">
            <w:pPr>
              <w:pStyle w:val="P68B1DB1-Normal121"/>
              <w:spacing w:after="0" w:line="240" w:lineRule="auto"/>
              <w:jc w:val="center"/>
              <w:rPr>
                <w:noProof/>
              </w:rPr>
            </w:pPr>
            <w:r>
              <w:rPr>
                <w:noProof/>
              </w:rPr>
              <w:t>M1C1–20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8058AE" w14:textId="77777777" w:rsidR="00327FF1" w:rsidRDefault="00E406C7">
            <w:pPr>
              <w:pStyle w:val="P68B1DB1-Normal121"/>
              <w:spacing w:after="0" w:line="240" w:lineRule="auto"/>
              <w:rPr>
                <w:noProof/>
              </w:rPr>
            </w:pPr>
            <w:r>
              <w:rPr>
                <w:noProof/>
              </w:rPr>
              <w:t>Investīcija Nr. 1.5: Kiberdrošība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D6EEF2"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996452" w14:textId="77777777" w:rsidR="00327FF1" w:rsidRDefault="00E406C7">
            <w:pPr>
              <w:pStyle w:val="P68B1DB1-Normal121"/>
              <w:spacing w:after="0" w:line="240" w:lineRule="auto"/>
              <w:rPr>
                <w:noProof/>
              </w:rPr>
            </w:pPr>
            <w:r>
              <w:rPr>
                <w:noProof/>
              </w:rPr>
              <w:t>Valstu kiberdrošības pakalpojumu pilnīga ieviešana</w:t>
            </w:r>
          </w:p>
        </w:tc>
      </w:tr>
      <w:tr w:rsidR="00327FF1" w14:paraId="4B75FBB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6237B2" w14:textId="77777777" w:rsidR="00327FF1" w:rsidRDefault="00E406C7">
            <w:pPr>
              <w:pStyle w:val="P68B1DB1-Normal121"/>
              <w:spacing w:after="0" w:line="240" w:lineRule="auto"/>
              <w:jc w:val="center"/>
              <w:rPr>
                <w:noProof/>
              </w:rPr>
            </w:pPr>
            <w:r>
              <w:rPr>
                <w:noProof/>
              </w:rPr>
              <w:t>M1C1–21</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5FF75E4" w14:textId="77777777" w:rsidR="00327FF1" w:rsidRDefault="00E406C7">
            <w:pPr>
              <w:pStyle w:val="P68B1DB1-Normal121"/>
              <w:spacing w:after="0" w:line="240" w:lineRule="auto"/>
              <w:rPr>
                <w:noProof/>
              </w:rPr>
            </w:pPr>
            <w:r>
              <w:rPr>
                <w:noProof/>
              </w:rPr>
              <w:t>Investīcija Nr. 1.5: Kiberdrošība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5A7795"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AA5B1B" w14:textId="77777777" w:rsidR="00327FF1" w:rsidRDefault="00E406C7">
            <w:pPr>
              <w:pStyle w:val="P68B1DB1-Normal121"/>
              <w:spacing w:after="0" w:line="240" w:lineRule="auto"/>
              <w:rPr>
                <w:noProof/>
              </w:rPr>
            </w:pPr>
            <w:r>
              <w:rPr>
                <w:noProof/>
              </w:rPr>
              <w:t xml:space="preserve">Kiberdrošības skrīninga un </w:t>
            </w:r>
            <w:r>
              <w:rPr>
                <w:noProof/>
              </w:rPr>
              <w:t>sertifikācijas laboratoriju tīkla, izvērtēšanas centru tīkla pabeigšana</w:t>
            </w:r>
          </w:p>
        </w:tc>
      </w:tr>
      <w:tr w:rsidR="00327FF1" w14:paraId="5D9FABA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4589D3" w14:textId="77777777" w:rsidR="00327FF1" w:rsidRDefault="00E406C7">
            <w:pPr>
              <w:pStyle w:val="P68B1DB1-Normal121"/>
              <w:spacing w:after="0" w:line="240" w:lineRule="auto"/>
              <w:jc w:val="center"/>
              <w:rPr>
                <w:noProof/>
              </w:rPr>
            </w:pPr>
            <w:r>
              <w:rPr>
                <w:noProof/>
              </w:rPr>
              <w:t>M1C1–22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C512EE" w14:textId="77777777" w:rsidR="00327FF1" w:rsidRDefault="00E406C7">
            <w:pPr>
              <w:pStyle w:val="P68B1DB1-Normal121"/>
              <w:spacing w:after="0" w:line="240" w:lineRule="auto"/>
              <w:rPr>
                <w:noProof/>
              </w:rPr>
            </w:pPr>
            <w:r>
              <w:rPr>
                <w:noProof/>
              </w:rPr>
              <w:t>Investīcija Nr. 1.5: Kiberdrošība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7425E8"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DEE90F" w14:textId="77777777" w:rsidR="00327FF1" w:rsidRDefault="00E406C7">
            <w:pPr>
              <w:pStyle w:val="P68B1DB1-Normal121"/>
              <w:spacing w:after="0" w:line="240" w:lineRule="auto"/>
              <w:rPr>
                <w:noProof/>
              </w:rPr>
            </w:pPr>
            <w:r>
              <w:rPr>
                <w:noProof/>
              </w:rPr>
              <w:t>Centrālās revīzijas nodaļas pilnīga darbība attiecībā uz PSNC un TID drošības pasākumiem, pabeidzot vismaz 30 pārbaudes</w:t>
            </w:r>
          </w:p>
        </w:tc>
      </w:tr>
      <w:tr w:rsidR="00327FF1" w14:paraId="0ED543AF"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882EC2" w14:textId="77777777" w:rsidR="00327FF1" w:rsidRDefault="00E406C7">
            <w:pPr>
              <w:pStyle w:val="P68B1DB1-Normal121"/>
              <w:spacing w:after="0" w:line="240" w:lineRule="auto"/>
              <w:jc w:val="center"/>
              <w:rPr>
                <w:noProof/>
              </w:rPr>
            </w:pPr>
            <w:r>
              <w:rPr>
                <w:noProof/>
              </w:rPr>
              <w:t>M1C</w:t>
            </w:r>
            <w:r>
              <w:rPr>
                <w:noProof/>
              </w:rPr>
              <w:t>1–43</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769833" w14:textId="77777777" w:rsidR="00327FF1" w:rsidRDefault="00E406C7">
            <w:pPr>
              <w:pStyle w:val="P68B1DB1-Normal121"/>
              <w:spacing w:after="0" w:line="240" w:lineRule="auto"/>
              <w:rPr>
                <w:noProof/>
              </w:rPr>
            </w:pPr>
            <w:r>
              <w:rPr>
                <w:noProof/>
              </w:rPr>
              <w:t>Reforma Nr. 1.4. Civiltiesību reforma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B9C08F"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1CF44F" w14:textId="77777777" w:rsidR="00327FF1" w:rsidRDefault="00E406C7">
            <w:pPr>
              <w:pStyle w:val="P68B1DB1-Normal121"/>
              <w:spacing w:after="0" w:line="240" w:lineRule="auto"/>
              <w:rPr>
                <w:noProof/>
              </w:rPr>
            </w:pPr>
            <w:r>
              <w:rPr>
                <w:noProof/>
              </w:rPr>
              <w:t>Neizskatīto lietu samazināšana parastajās civillietu tiesās (pirmā instance)</w:t>
            </w:r>
          </w:p>
        </w:tc>
      </w:tr>
      <w:tr w:rsidR="00327FF1" w14:paraId="20DBC2D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9240E8" w14:textId="77777777" w:rsidR="00327FF1" w:rsidRDefault="00E406C7">
            <w:pPr>
              <w:pStyle w:val="P68B1DB1-Normal121"/>
              <w:spacing w:after="0" w:line="240" w:lineRule="auto"/>
              <w:jc w:val="center"/>
              <w:rPr>
                <w:noProof/>
              </w:rPr>
            </w:pPr>
            <w:r>
              <w:rPr>
                <w:noProof/>
              </w:rPr>
              <w:t>M1C1–44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D0BDD3" w14:textId="77777777" w:rsidR="00327FF1" w:rsidRDefault="00E406C7">
            <w:pPr>
              <w:pStyle w:val="P68B1DB1-Normal121"/>
              <w:spacing w:after="0" w:line="240" w:lineRule="auto"/>
              <w:rPr>
                <w:noProof/>
              </w:rPr>
            </w:pPr>
            <w:r>
              <w:rPr>
                <w:noProof/>
              </w:rPr>
              <w:t>Reforma Nr. 1.4. Civiltiesību reforma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0F34AD"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648F58" w14:textId="77777777" w:rsidR="00327FF1" w:rsidRDefault="00E406C7">
            <w:pPr>
              <w:pStyle w:val="P68B1DB1-Normal121"/>
              <w:spacing w:after="0" w:line="240" w:lineRule="auto"/>
              <w:rPr>
                <w:noProof/>
              </w:rPr>
            </w:pPr>
            <w:r>
              <w:rPr>
                <w:noProof/>
              </w:rPr>
              <w:t>Neizskatīto lietu samazināšana civillietu apelācijas tiesā (otrā instance)</w:t>
            </w:r>
          </w:p>
        </w:tc>
      </w:tr>
      <w:tr w:rsidR="00327FF1" w14:paraId="5530BB2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CD86F9" w14:textId="77777777" w:rsidR="00327FF1" w:rsidRDefault="00E406C7">
            <w:pPr>
              <w:pStyle w:val="P68B1DB1-Normal121"/>
              <w:spacing w:after="0" w:line="240" w:lineRule="auto"/>
              <w:jc w:val="center"/>
              <w:rPr>
                <w:noProof/>
              </w:rPr>
            </w:pPr>
            <w:r>
              <w:rPr>
                <w:noProof/>
              </w:rPr>
              <w:t>M1C1–60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BFB707" w14:textId="77777777" w:rsidR="00327FF1" w:rsidRDefault="00E406C7">
            <w:pPr>
              <w:pStyle w:val="P68B1DB1-Normal121"/>
              <w:spacing w:after="0" w:line="240" w:lineRule="auto"/>
              <w:rPr>
                <w:noProof/>
              </w:rPr>
            </w:pPr>
            <w:r>
              <w:rPr>
                <w:noProof/>
              </w:rPr>
              <w:t>Reforma Nr. 1.9: Valsts pārvaldes reforma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DD66B3"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B9D517" w14:textId="77777777" w:rsidR="00327FF1" w:rsidRDefault="00E406C7">
            <w:pPr>
              <w:pStyle w:val="P68B1DB1-Normal121"/>
              <w:spacing w:after="0" w:line="240" w:lineRule="auto"/>
              <w:rPr>
                <w:noProof/>
              </w:rPr>
            </w:pPr>
            <w:r>
              <w:rPr>
                <w:noProof/>
              </w:rPr>
              <w:t>200 kritiski svarīgu procedūru vienkāršošana un/vai digitalizācija, kas ietekmē iedzīvotājus un uzņēmumus</w:t>
            </w:r>
          </w:p>
        </w:tc>
      </w:tr>
      <w:tr w:rsidR="00327FF1" w14:paraId="7EEB60A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987D0C8" w14:textId="77777777" w:rsidR="00327FF1" w:rsidRDefault="00E406C7">
            <w:pPr>
              <w:pStyle w:val="P68B1DB1-Normal121"/>
              <w:spacing w:after="0" w:line="240" w:lineRule="auto"/>
              <w:jc w:val="center"/>
              <w:rPr>
                <w:noProof/>
              </w:rPr>
            </w:pPr>
            <w:r>
              <w:rPr>
                <w:noProof/>
              </w:rPr>
              <w:t>M1C1–72ter</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A6162CB" w14:textId="77777777" w:rsidR="00327FF1" w:rsidRDefault="00E406C7">
            <w:pPr>
              <w:pStyle w:val="P68B1DB1-Normal121"/>
              <w:spacing w:after="0" w:line="240" w:lineRule="auto"/>
              <w:rPr>
                <w:noProof/>
              </w:rPr>
            </w:pPr>
            <w:r>
              <w:rPr>
                <w:noProof/>
              </w:rPr>
              <w:t>Reforma Nr. 1.11. Valsts pārvaldes un veselības aprūpes iestāžu maksājumu kavējumu</w:t>
            </w:r>
            <w:r>
              <w:rPr>
                <w:noProof/>
              </w:rPr>
              <w:t xml:space="preserve"> samazināšana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17F34C"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DD4D4E" w14:textId="77777777" w:rsidR="00327FF1" w:rsidRDefault="00E406C7">
            <w:pPr>
              <w:pStyle w:val="P68B1DB1-Normal121"/>
              <w:spacing w:after="0" w:line="240" w:lineRule="auto"/>
              <w:rPr>
                <w:noProof/>
              </w:rPr>
            </w:pPr>
            <w:r>
              <w:rPr>
                <w:noProof/>
              </w:rPr>
              <w:t>Palielināt ar maksājumiem saistītos cilvēkresursus</w:t>
            </w:r>
          </w:p>
        </w:tc>
      </w:tr>
      <w:tr w:rsidR="00327FF1" w14:paraId="7BAD240B"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E702A5" w14:textId="77777777" w:rsidR="00327FF1" w:rsidRDefault="00E406C7">
            <w:pPr>
              <w:pStyle w:val="P68B1DB1-Normal121"/>
              <w:spacing w:after="0" w:line="240" w:lineRule="auto"/>
              <w:jc w:val="center"/>
              <w:rPr>
                <w:noProof/>
              </w:rPr>
            </w:pPr>
            <w:r>
              <w:rPr>
                <w:noProof/>
              </w:rPr>
              <w:t>M1C1–72quater</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5D2B9E" w14:textId="77777777" w:rsidR="00327FF1" w:rsidRDefault="00E406C7">
            <w:pPr>
              <w:pStyle w:val="P68B1DB1-Normal121"/>
              <w:spacing w:after="0" w:line="240" w:lineRule="auto"/>
              <w:rPr>
                <w:noProof/>
              </w:rPr>
            </w:pPr>
            <w:r>
              <w:rPr>
                <w:noProof/>
              </w:rPr>
              <w:t>Reforma Nr. 1.11. Valsts pārvaldes un veselības aprūpes iestāžu maksājumu kavējumu samazināšana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5EFE4E"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4EA8C4" w14:textId="77777777" w:rsidR="00327FF1" w:rsidRDefault="00E406C7">
            <w:pPr>
              <w:pStyle w:val="P68B1DB1-Normal121"/>
              <w:spacing w:after="0" w:line="240" w:lineRule="auto"/>
              <w:rPr>
                <w:noProof/>
              </w:rPr>
            </w:pPr>
            <w:r>
              <w:rPr>
                <w:noProof/>
              </w:rPr>
              <w:t>Rīcības plāna pieņemšana</w:t>
            </w:r>
          </w:p>
        </w:tc>
      </w:tr>
      <w:tr w:rsidR="00327FF1" w14:paraId="1AEC49A6"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4CA6B8" w14:textId="77777777" w:rsidR="00327FF1" w:rsidRDefault="00E406C7">
            <w:pPr>
              <w:pStyle w:val="P68B1DB1-Normal121"/>
              <w:spacing w:after="0" w:line="240" w:lineRule="auto"/>
              <w:jc w:val="center"/>
              <w:rPr>
                <w:noProof/>
              </w:rPr>
            </w:pPr>
            <w:r>
              <w:rPr>
                <w:noProof/>
              </w:rPr>
              <w:t>M1C1–73ter</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A4C0D3" w14:textId="77777777" w:rsidR="00327FF1" w:rsidRDefault="00E406C7">
            <w:pPr>
              <w:pStyle w:val="P68B1DB1-Normal121"/>
              <w:spacing w:after="0" w:line="240" w:lineRule="auto"/>
              <w:rPr>
                <w:noProof/>
              </w:rPr>
            </w:pPr>
            <w:r>
              <w:rPr>
                <w:noProof/>
              </w:rPr>
              <w:t>Reforma N</w:t>
            </w:r>
            <w:r>
              <w:rPr>
                <w:noProof/>
              </w:rPr>
              <w:t>r. 1.10. Publiskā iepirkuma tiesiskā regulējuma reforma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8652A4"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61D3E50" w14:textId="77777777" w:rsidR="00327FF1" w:rsidRDefault="00E406C7">
            <w:pPr>
              <w:pStyle w:val="P68B1DB1-Normal121"/>
              <w:spacing w:after="0" w:line="240" w:lineRule="auto"/>
              <w:rPr>
                <w:noProof/>
              </w:rPr>
            </w:pPr>
            <w:r>
              <w:rPr>
                <w:noProof/>
              </w:rPr>
              <w:t xml:space="preserve">Stimuli līgumslēdzēju iestāžu kvalifikācijai un profesionalizācijai. </w:t>
            </w:r>
          </w:p>
        </w:tc>
      </w:tr>
      <w:tr w:rsidR="00327FF1" w14:paraId="7BC06FE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5D21CD3" w14:textId="77777777" w:rsidR="00327FF1" w:rsidRDefault="00E406C7">
            <w:pPr>
              <w:pStyle w:val="P68B1DB1-Normal121"/>
              <w:spacing w:after="0" w:line="240" w:lineRule="auto"/>
              <w:jc w:val="center"/>
              <w:rPr>
                <w:noProof/>
              </w:rPr>
            </w:pPr>
            <w:r>
              <w:rPr>
                <w:noProof/>
              </w:rPr>
              <w:t>M1C1–73quinquies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A8BB59" w14:textId="77777777" w:rsidR="00327FF1" w:rsidRDefault="00E406C7">
            <w:pPr>
              <w:pStyle w:val="P68B1DB1-Normal121"/>
              <w:spacing w:after="0" w:line="240" w:lineRule="auto"/>
              <w:rPr>
                <w:noProof/>
              </w:rPr>
            </w:pPr>
            <w:r>
              <w:rPr>
                <w:noProof/>
              </w:rPr>
              <w:t>Reforma Nr. 1.10. Publiskā iepirkuma tiesiskā regulējuma reforma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280001"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94E275" w14:textId="77777777" w:rsidR="00327FF1" w:rsidRDefault="00E406C7">
            <w:pPr>
              <w:pStyle w:val="P68B1DB1-Normal121"/>
              <w:spacing w:after="0" w:line="240" w:lineRule="auto"/>
              <w:rPr>
                <w:noProof/>
              </w:rPr>
            </w:pPr>
            <w:r>
              <w:rPr>
                <w:noProof/>
              </w:rPr>
              <w:t>Jaunu</w:t>
            </w:r>
            <w:r>
              <w:rPr>
                <w:noProof/>
              </w:rPr>
              <w:t xml:space="preserve"> tiesību normu par projektu finansēšanu stāšanās spēkā</w:t>
            </w:r>
          </w:p>
        </w:tc>
      </w:tr>
      <w:tr w:rsidR="00327FF1" w14:paraId="3360500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91E31C" w14:textId="77777777" w:rsidR="00327FF1" w:rsidRDefault="00E406C7">
            <w:pPr>
              <w:pStyle w:val="P68B1DB1-Normal121"/>
              <w:spacing w:after="0" w:line="240" w:lineRule="auto"/>
              <w:jc w:val="center"/>
              <w:rPr>
                <w:noProof/>
              </w:rPr>
            </w:pPr>
            <w:r>
              <w:rPr>
                <w:noProof/>
              </w:rPr>
              <w:t>M1C1–75a</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C27C1F" w14:textId="77777777" w:rsidR="00327FF1" w:rsidRDefault="00E406C7">
            <w:pPr>
              <w:pStyle w:val="P68B1DB1-Normal121"/>
              <w:spacing w:after="0" w:line="240" w:lineRule="auto"/>
              <w:rPr>
                <w:noProof/>
              </w:rPr>
            </w:pPr>
            <w:r>
              <w:rPr>
                <w:noProof/>
              </w:rPr>
              <w:t xml:space="preserve">Investīcija 1.10.: Atbalsts kvalifikācijai un e-iepirkumiem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2067AA"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35934A" w14:textId="77777777" w:rsidR="00327FF1" w:rsidRDefault="00E406C7">
            <w:pPr>
              <w:pStyle w:val="P68B1DB1-Normal121"/>
              <w:spacing w:after="0" w:line="240" w:lineRule="auto"/>
              <w:rPr>
                <w:noProof/>
              </w:rPr>
            </w:pPr>
            <w:r>
              <w:rPr>
                <w:noProof/>
              </w:rPr>
              <w:t>Atbalsts kvalifikācijai un e-iepirkumiem</w:t>
            </w:r>
          </w:p>
        </w:tc>
      </w:tr>
      <w:tr w:rsidR="00327FF1" w14:paraId="2594FBC9"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EA1334" w14:textId="77777777" w:rsidR="00327FF1" w:rsidRDefault="00E406C7">
            <w:pPr>
              <w:pStyle w:val="P68B1DB1-Normal121"/>
              <w:spacing w:after="0" w:line="240" w:lineRule="auto"/>
              <w:jc w:val="center"/>
              <w:rPr>
                <w:noProof/>
              </w:rPr>
            </w:pPr>
            <w:r>
              <w:rPr>
                <w:noProof/>
              </w:rPr>
              <w:t>M1C1–84a</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EF6763" w14:textId="77777777" w:rsidR="00327FF1" w:rsidRDefault="00E406C7">
            <w:pPr>
              <w:pStyle w:val="P68B1DB1-Normal121"/>
              <w:spacing w:after="0" w:line="240" w:lineRule="auto"/>
              <w:rPr>
                <w:noProof/>
              </w:rPr>
            </w:pPr>
            <w:r>
              <w:rPr>
                <w:noProof/>
              </w:rPr>
              <w:t>Reforma Nr. 1.10. Publiskā iepirkuma tiesiskā regulējuma refor</w:t>
            </w:r>
            <w:r>
              <w:rPr>
                <w:noProof/>
              </w:rPr>
              <w:t>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5E3554"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30B4CD" w14:textId="77777777" w:rsidR="00327FF1" w:rsidRDefault="00E406C7">
            <w:pPr>
              <w:pStyle w:val="P68B1DB1-Normal121"/>
              <w:spacing w:after="0" w:line="240" w:lineRule="auto"/>
              <w:rPr>
                <w:noProof/>
              </w:rPr>
            </w:pPr>
            <w:r>
              <w:rPr>
                <w:noProof/>
              </w:rPr>
              <w:t>Pasākumi, kuru mērķis ir uzlabot līgumslēdzēju iestāžu lēmumu pieņemšanas ātrumu līguma slēgšanas tiesību piešķiršanā</w:t>
            </w:r>
          </w:p>
        </w:tc>
      </w:tr>
      <w:tr w:rsidR="00327FF1" w14:paraId="6CAFD13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8C034B" w14:textId="77777777" w:rsidR="00327FF1" w:rsidRDefault="00E406C7">
            <w:pPr>
              <w:pStyle w:val="P68B1DB1-Normal121"/>
              <w:spacing w:after="0" w:line="240" w:lineRule="auto"/>
              <w:jc w:val="center"/>
              <w:rPr>
                <w:noProof/>
              </w:rPr>
            </w:pPr>
            <w:r>
              <w:rPr>
                <w:noProof/>
              </w:rPr>
              <w:t>M1C1–98</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6733B5" w14:textId="77777777" w:rsidR="00327FF1" w:rsidRDefault="00E406C7">
            <w:pPr>
              <w:pStyle w:val="P68B1DB1-Normal121"/>
              <w:spacing w:after="0" w:line="240" w:lineRule="auto"/>
              <w:rPr>
                <w:noProof/>
              </w:rPr>
            </w:pPr>
            <w:r>
              <w:rPr>
                <w:noProof/>
              </w:rPr>
              <w:t>Reforma Nr. 1.10. Publiskā iepirkuma tiesiskā regulējuma reforma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3769F7"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E8FFF3" w14:textId="77777777" w:rsidR="00327FF1" w:rsidRDefault="00E406C7">
            <w:pPr>
              <w:pStyle w:val="P68B1DB1-Normal121"/>
              <w:spacing w:after="0" w:line="240" w:lineRule="auto"/>
              <w:rPr>
                <w:noProof/>
              </w:rPr>
            </w:pPr>
            <w:r>
              <w:rPr>
                <w:noProof/>
              </w:rPr>
              <w:t xml:space="preserve">Ierēdņi, kas apmācīti, izmantojot </w:t>
            </w:r>
            <w:r>
              <w:rPr>
                <w:noProof/>
              </w:rPr>
              <w:t>publiskā iepirkuma profesionalizācijas stratēģiju</w:t>
            </w:r>
          </w:p>
        </w:tc>
      </w:tr>
      <w:tr w:rsidR="00327FF1" w14:paraId="5047438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FAE156" w14:textId="77777777" w:rsidR="00327FF1" w:rsidRDefault="00E406C7">
            <w:pPr>
              <w:pStyle w:val="P68B1DB1-Normal121"/>
              <w:spacing w:after="0" w:line="240" w:lineRule="auto"/>
              <w:jc w:val="center"/>
              <w:rPr>
                <w:noProof/>
              </w:rPr>
            </w:pPr>
            <w:r>
              <w:rPr>
                <w:noProof/>
              </w:rPr>
              <w:t>M1C2–11</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A36181" w14:textId="77777777" w:rsidR="00327FF1" w:rsidRDefault="00E406C7">
            <w:pPr>
              <w:pStyle w:val="P68B1DB1-Normal121"/>
              <w:spacing w:after="0" w:line="240" w:lineRule="auto"/>
              <w:rPr>
                <w:noProof/>
              </w:rPr>
            </w:pPr>
            <w:r>
              <w:rPr>
                <w:noProof/>
              </w:rPr>
              <w:t>Reforma. Ikgadējie konkurences tiesību akti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E073B9"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C43C3A" w14:textId="77777777" w:rsidR="00327FF1" w:rsidRDefault="00E406C7">
            <w:pPr>
              <w:pStyle w:val="P68B1DB1-Normal121"/>
              <w:spacing w:after="0" w:line="240" w:lineRule="auto"/>
              <w:rPr>
                <w:noProof/>
              </w:rPr>
            </w:pPr>
            <w:r>
              <w:rPr>
                <w:noProof/>
              </w:rPr>
              <w:t>2023. gada Konkurences likuma stāšanās spēkā</w:t>
            </w:r>
          </w:p>
        </w:tc>
      </w:tr>
      <w:tr w:rsidR="00327FF1" w14:paraId="0F22D5F2"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F57BD0" w14:textId="77777777" w:rsidR="00327FF1" w:rsidRDefault="00E406C7">
            <w:pPr>
              <w:pStyle w:val="P68B1DB1-Normal121"/>
              <w:spacing w:after="0" w:line="240" w:lineRule="auto"/>
              <w:jc w:val="center"/>
              <w:rPr>
                <w:noProof/>
              </w:rPr>
            </w:pPr>
            <w:r>
              <w:rPr>
                <w:noProof/>
              </w:rPr>
              <w:t>M1C2–12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9BAD22" w14:textId="77777777" w:rsidR="00327FF1" w:rsidRDefault="00E406C7">
            <w:pPr>
              <w:pStyle w:val="P68B1DB1-Normal121"/>
              <w:spacing w:after="0" w:line="240" w:lineRule="auto"/>
              <w:rPr>
                <w:noProof/>
              </w:rPr>
            </w:pPr>
            <w:r>
              <w:rPr>
                <w:noProof/>
              </w:rPr>
              <w:t>Reforma. Ikgadējie konkurences tiesību akti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B4DD1A2"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701D5A" w14:textId="77777777" w:rsidR="00327FF1" w:rsidRDefault="00E406C7">
            <w:pPr>
              <w:pStyle w:val="P68B1DB1-Normal19"/>
              <w:spacing w:after="0" w:line="240" w:lineRule="auto"/>
              <w:rPr>
                <w:rFonts w:ascii="Times New Roman" w:eastAsia="Times New Roman" w:hAnsi="Times New Roman" w:cs="Times New Roman"/>
                <w:noProof/>
              </w:rPr>
            </w:pPr>
            <w:r>
              <w:rPr>
                <w:rFonts w:ascii="Times New Roman" w:eastAsia="Times New Roman" w:hAnsi="Times New Roman" w:cs="Times New Roman"/>
                <w:noProof/>
              </w:rPr>
              <w:t xml:space="preserve">Īstenošanas pasākumu </w:t>
            </w:r>
            <w:r>
              <w:rPr>
                <w:rFonts w:ascii="Times New Roman" w:eastAsia="Times New Roman" w:hAnsi="Times New Roman" w:cs="Times New Roman"/>
                <w:noProof/>
              </w:rPr>
              <w:t>(tostarp vajadzības gadījumā sekundāro tiesību aktu) stāšanās spēkā, lai īstenotu un piemērotu 2023.</w:t>
            </w:r>
            <w:r>
              <w:rPr>
                <w:rFonts w:ascii="Arial Narrow" w:hAnsi="Arial Narrow"/>
                <w:noProof/>
              </w:rPr>
              <w:t xml:space="preserve"> </w:t>
            </w:r>
            <w:r>
              <w:rPr>
                <w:rFonts w:ascii="Times New Roman" w:eastAsia="Times New Roman" w:hAnsi="Times New Roman" w:cs="Times New Roman"/>
                <w:noProof/>
              </w:rPr>
              <w:t xml:space="preserve"> gada Konkurences likumā un citos primārajos tiesību aktos noteiktos pasākumus</w:t>
            </w:r>
          </w:p>
        </w:tc>
      </w:tr>
      <w:tr w:rsidR="00327FF1" w14:paraId="01CA0ED1"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766CFF" w14:textId="77777777" w:rsidR="00327FF1" w:rsidRDefault="00E406C7">
            <w:pPr>
              <w:pStyle w:val="P68B1DB1-Normal121"/>
              <w:spacing w:after="0" w:line="240" w:lineRule="auto"/>
              <w:jc w:val="center"/>
              <w:rPr>
                <w:noProof/>
              </w:rPr>
            </w:pPr>
            <w:r>
              <w:rPr>
                <w:noProof/>
              </w:rPr>
              <w:t>M2C1–6bis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40426F" w14:textId="77777777" w:rsidR="00327FF1" w:rsidRDefault="00E406C7">
            <w:pPr>
              <w:pStyle w:val="P68B1DB1-Normal121"/>
              <w:spacing w:after="0" w:line="240" w:lineRule="auto"/>
              <w:rPr>
                <w:noProof/>
              </w:rPr>
            </w:pPr>
            <w:r>
              <w:rPr>
                <w:noProof/>
              </w:rPr>
              <w:t>Ieguldījums 2.2.: Agrosaules parks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418752"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F13D50" w14:textId="77777777" w:rsidR="00327FF1" w:rsidRDefault="00E406C7">
            <w:pPr>
              <w:pStyle w:val="P68B1DB1-Normal121"/>
              <w:spacing w:after="0" w:line="240" w:lineRule="auto"/>
              <w:rPr>
                <w:noProof/>
              </w:rPr>
            </w:pPr>
            <w:r>
              <w:rPr>
                <w:noProof/>
              </w:rPr>
              <w:t>Līdzekļu piešķiršana saņ</w:t>
            </w:r>
            <w:r>
              <w:rPr>
                <w:noProof/>
              </w:rPr>
              <w:t>ēmējiem % no kopējiem finanšu resursiem, kas piešķirti ieguldījumam</w:t>
            </w:r>
          </w:p>
        </w:tc>
      </w:tr>
      <w:tr w:rsidR="00327FF1" w14:paraId="793C80BF"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A718DB" w14:textId="77777777" w:rsidR="00327FF1" w:rsidRDefault="00E406C7">
            <w:pPr>
              <w:pStyle w:val="P68B1DB1-Normal121"/>
              <w:spacing w:after="0" w:line="240" w:lineRule="auto"/>
              <w:jc w:val="center"/>
              <w:rPr>
                <w:noProof/>
              </w:rPr>
            </w:pPr>
            <w:r>
              <w:rPr>
                <w:noProof/>
              </w:rPr>
              <w:t>M2C1–7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71547E" w14:textId="77777777" w:rsidR="00327FF1" w:rsidRDefault="00E406C7">
            <w:pPr>
              <w:pStyle w:val="P68B1DB1-Normal121"/>
              <w:spacing w:after="0" w:line="240" w:lineRule="auto"/>
              <w:rPr>
                <w:noProof/>
              </w:rPr>
            </w:pPr>
            <w:r>
              <w:rPr>
                <w:noProof/>
              </w:rPr>
              <w:t>Investīcija 2.3.: Inovācija un mehanizācija lauksaimniecības un pārtikas nozarē</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C32276"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0E0E04" w14:textId="77777777" w:rsidR="00327FF1" w:rsidRDefault="00E406C7">
            <w:pPr>
              <w:pStyle w:val="P68B1DB1-Normal121"/>
              <w:spacing w:after="0" w:line="240" w:lineRule="auto"/>
              <w:rPr>
                <w:noProof/>
              </w:rPr>
            </w:pPr>
            <w:r>
              <w:rPr>
                <w:noProof/>
              </w:rPr>
              <w:t>Publicē galīgos sarindojumus ar galasaņēmēju identifikāciju.</w:t>
            </w:r>
          </w:p>
        </w:tc>
      </w:tr>
      <w:tr w:rsidR="00327FF1" w14:paraId="2DAA6F1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2422AA" w14:textId="77777777" w:rsidR="00327FF1" w:rsidRDefault="00E406C7">
            <w:pPr>
              <w:pStyle w:val="P68B1DB1-Normal121"/>
              <w:spacing w:after="0" w:line="240" w:lineRule="auto"/>
              <w:jc w:val="center"/>
              <w:rPr>
                <w:noProof/>
              </w:rPr>
            </w:pPr>
            <w:r>
              <w:rPr>
                <w:noProof/>
              </w:rPr>
              <w:t>M2C2–28</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52903B" w14:textId="77777777" w:rsidR="00327FF1" w:rsidRDefault="00E406C7">
            <w:pPr>
              <w:pStyle w:val="P68B1DB1-Normal121"/>
              <w:spacing w:after="0" w:line="240" w:lineRule="auto"/>
              <w:rPr>
                <w:noProof/>
              </w:rPr>
            </w:pPr>
            <w:r>
              <w:rPr>
                <w:noProof/>
              </w:rPr>
              <w:t xml:space="preserve">Investīcija Nr. 4.3. </w:t>
            </w:r>
            <w:r>
              <w:rPr>
                <w:noProof/>
              </w:rPr>
              <w:t>Uzlādes infrastruktūras uzstādīšana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73CAF3"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3DA9DD" w14:textId="77777777" w:rsidR="00327FF1" w:rsidRDefault="00E406C7">
            <w:pPr>
              <w:pStyle w:val="P68B1DB1-Normal121"/>
              <w:spacing w:after="0" w:line="240" w:lineRule="auto"/>
              <w:rPr>
                <w:noProof/>
              </w:rPr>
            </w:pPr>
            <w:r>
              <w:rPr>
                <w:noProof/>
              </w:rPr>
              <w:t>Publiskā iepirkuma līgumu slēgšanas tiesību piešķiršana uzlādes infrastruktūras uzstādīšanai</w:t>
            </w:r>
          </w:p>
        </w:tc>
      </w:tr>
      <w:tr w:rsidR="00327FF1" w14:paraId="7A5FAEEF"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754741" w14:textId="77777777" w:rsidR="00327FF1" w:rsidRDefault="00E406C7">
            <w:pPr>
              <w:pStyle w:val="P68B1DB1-Normal121"/>
              <w:spacing w:after="0" w:line="240" w:lineRule="auto"/>
              <w:jc w:val="center"/>
              <w:rPr>
                <w:noProof/>
              </w:rPr>
            </w:pPr>
            <w:r>
              <w:rPr>
                <w:noProof/>
              </w:rPr>
              <w:t>M4C1–12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3B90C1" w14:textId="77777777" w:rsidR="00327FF1" w:rsidRDefault="00E406C7">
            <w:pPr>
              <w:pStyle w:val="P68B1DB1-Normal121"/>
              <w:spacing w:after="0" w:line="240" w:lineRule="auto"/>
              <w:rPr>
                <w:noProof/>
              </w:rPr>
            </w:pPr>
            <w:r>
              <w:rPr>
                <w:noProof/>
              </w:rPr>
              <w:t>Investīcija 4.1: Doktorantūras (uz pētniecību orientēta, valsts pārvalde un kultūras mantojums) skait</w:t>
            </w:r>
            <w:r>
              <w:rPr>
                <w:noProof/>
              </w:rPr>
              <w:t>a un karjeras iespēju paplašināšana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2D3DF7"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AEFE53" w14:textId="77777777" w:rsidR="00327FF1" w:rsidRDefault="00E406C7">
            <w:pPr>
              <w:pStyle w:val="P68B1DB1-Normal121"/>
              <w:spacing w:after="0" w:line="240" w:lineRule="auto"/>
              <w:rPr>
                <w:noProof/>
              </w:rPr>
            </w:pPr>
            <w:r>
              <w:rPr>
                <w:noProof/>
              </w:rPr>
              <w:t>Doktorantūras stipendiju programmas, kas piešķirtas gadā (vairāk nekā trīs gadi)</w:t>
            </w:r>
          </w:p>
        </w:tc>
      </w:tr>
      <w:tr w:rsidR="00327FF1" w14:paraId="027D0BB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C6FF89" w14:textId="77777777" w:rsidR="00327FF1" w:rsidRDefault="00E406C7">
            <w:pPr>
              <w:pStyle w:val="P68B1DB1-Normal121"/>
              <w:spacing w:after="0" w:line="240" w:lineRule="auto"/>
              <w:jc w:val="center"/>
              <w:rPr>
                <w:noProof/>
              </w:rPr>
            </w:pPr>
            <w:r>
              <w:rPr>
                <w:noProof/>
              </w:rPr>
              <w:t>M4C1–14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45F639" w14:textId="77777777" w:rsidR="00327FF1" w:rsidRDefault="00E406C7">
            <w:pPr>
              <w:pStyle w:val="P68B1DB1-Normal121"/>
              <w:spacing w:after="0" w:line="240" w:lineRule="auto"/>
              <w:rPr>
                <w:noProof/>
              </w:rPr>
            </w:pPr>
            <w:r>
              <w:rPr>
                <w:noProof/>
              </w:rPr>
              <w:t xml:space="preserve">Reforma Nr. 2.1. Skolotāju pieņemšana darbā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03BF2D"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C9EC59" w14:textId="77777777" w:rsidR="00327FF1" w:rsidRDefault="00E406C7">
            <w:pPr>
              <w:pStyle w:val="P68B1DB1-Normal121"/>
              <w:spacing w:after="0" w:line="240" w:lineRule="auto"/>
              <w:rPr>
                <w:noProof/>
              </w:rPr>
            </w:pPr>
            <w:r>
              <w:rPr>
                <w:noProof/>
              </w:rPr>
              <w:t>Skolotāji, kas pieņemti darbā ar reformēto darbā pieņemšanas sistēmu</w:t>
            </w:r>
          </w:p>
        </w:tc>
      </w:tr>
      <w:tr w:rsidR="00327FF1" w14:paraId="68F7EDC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374F37" w14:textId="77777777" w:rsidR="00327FF1" w:rsidRDefault="00E406C7">
            <w:pPr>
              <w:pStyle w:val="P68B1DB1-Normal121"/>
              <w:spacing w:after="0" w:line="240" w:lineRule="auto"/>
              <w:jc w:val="center"/>
              <w:rPr>
                <w:noProof/>
              </w:rPr>
            </w:pPr>
            <w:r>
              <w:rPr>
                <w:noProof/>
              </w:rPr>
              <w:t>M4C1–15</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E69B64" w14:textId="77777777" w:rsidR="00327FF1" w:rsidRDefault="00E406C7">
            <w:pPr>
              <w:pStyle w:val="P68B1DB1-Normal121"/>
              <w:spacing w:after="0" w:line="240" w:lineRule="auto"/>
              <w:rPr>
                <w:noProof/>
              </w:rPr>
            </w:pPr>
            <w:r>
              <w:rPr>
                <w:noProof/>
              </w:rPr>
              <w:t>Investīcija Nr. 1.7: Stipendijas piekļuvei universitātēm</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E434D4"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CB7944" w14:textId="77777777" w:rsidR="00327FF1" w:rsidRDefault="00E406C7">
            <w:pPr>
              <w:pStyle w:val="P68B1DB1-Normal121"/>
              <w:spacing w:after="0" w:line="240" w:lineRule="auto"/>
              <w:rPr>
                <w:noProof/>
              </w:rPr>
            </w:pPr>
            <w:r>
              <w:rPr>
                <w:noProof/>
              </w:rPr>
              <w:t>Stipendijas, kas piešķirtas, lai piekļūtu universitātēm</w:t>
            </w:r>
          </w:p>
        </w:tc>
      </w:tr>
      <w:tr w:rsidR="00327FF1" w14:paraId="1F6BABDD" w14:textId="77777777">
        <w:trPr>
          <w:trHeight w:val="114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6A07D2" w14:textId="77777777" w:rsidR="00327FF1" w:rsidRDefault="00E406C7">
            <w:pPr>
              <w:pStyle w:val="P68B1DB1-Normal121"/>
              <w:spacing w:after="0" w:line="240" w:lineRule="auto"/>
              <w:jc w:val="center"/>
              <w:rPr>
                <w:noProof/>
              </w:rPr>
            </w:pPr>
            <w:r>
              <w:rPr>
                <w:noProof/>
              </w:rPr>
              <w:t>M4C2–3</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BAC7ED" w14:textId="77777777" w:rsidR="00327FF1" w:rsidRDefault="00E406C7">
            <w:pPr>
              <w:pStyle w:val="P68B1DB1-Normal19"/>
              <w:spacing w:after="0" w:line="240" w:lineRule="auto"/>
              <w:rPr>
                <w:rFonts w:ascii="Times New Roman" w:eastAsia="Times New Roman" w:hAnsi="Times New Roman" w:cs="Times New Roman"/>
                <w:noProof/>
              </w:rPr>
            </w:pPr>
            <w:r>
              <w:rPr>
                <w:rFonts w:ascii="Times New Roman" w:eastAsia="Times New Roman" w:hAnsi="Times New Roman" w:cs="Times New Roman"/>
                <w:noProof/>
              </w:rPr>
              <w:t>Investīcija 3.3.: Doktorantūras stipendiju piešķiršana sadarbībā ar uzņēmumiem</w:t>
            </w:r>
            <w:r>
              <w:rPr>
                <w:rFonts w:ascii="Arial Narrow" w:hAnsi="Arial Narrow"/>
                <w:noProof/>
              </w:rPr>
              <w:t xml:space="preserve"> </w:t>
            </w:r>
            <w:r>
              <w:rPr>
                <w:rFonts w:ascii="Times New Roman" w:eastAsia="Times New Roman" w:hAnsi="Times New Roman" w:cs="Times New Roman"/>
                <w:noProof/>
              </w:rPr>
              <w:t xml:space="preserve">un pētnieku pieņemšanas darbā veicināšana </w:t>
            </w:r>
            <w:r>
              <w:rPr>
                <w:rFonts w:ascii="Times New Roman" w:eastAsia="Times New Roman" w:hAnsi="Times New Roman" w:cs="Times New Roman"/>
                <w:noProof/>
              </w:rPr>
              <w:t>uzņēmumos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949143" w14:textId="77777777" w:rsidR="00327FF1" w:rsidRDefault="00E406C7">
            <w:pPr>
              <w:pStyle w:val="P68B1DB1-Normal121"/>
              <w:spacing w:after="0" w:line="240" w:lineRule="auto"/>
              <w:jc w:val="center"/>
              <w:rPr>
                <w:noProof/>
              </w:rPr>
            </w:pPr>
            <w:r>
              <w:rPr>
                <w:noProof/>
              </w:rPr>
              <w:t>Mērķa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69579BA" w14:textId="77777777" w:rsidR="00327FF1" w:rsidRDefault="00E406C7">
            <w:pPr>
              <w:pStyle w:val="P68B1DB1-Normal121"/>
              <w:spacing w:after="0" w:line="240" w:lineRule="auto"/>
              <w:rPr>
                <w:noProof/>
              </w:rPr>
            </w:pPr>
            <w:r>
              <w:rPr>
                <w:noProof/>
              </w:rPr>
              <w:t>Piešķirto doktorantūras stipendiju skaits</w:t>
            </w:r>
          </w:p>
        </w:tc>
      </w:tr>
      <w:tr w:rsidR="00327FF1" w14:paraId="20A3E195"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AD0838" w14:textId="77777777" w:rsidR="00327FF1" w:rsidRDefault="00E406C7">
            <w:pPr>
              <w:pStyle w:val="P68B1DB1-Normal121"/>
              <w:spacing w:after="0" w:line="240" w:lineRule="auto"/>
              <w:jc w:val="center"/>
              <w:rPr>
                <w:noProof/>
              </w:rPr>
            </w:pPr>
            <w:r>
              <w:rPr>
                <w:noProof/>
              </w:rPr>
              <w:t>M5C1–15bis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920F209" w14:textId="77777777" w:rsidR="00327FF1" w:rsidRDefault="00E406C7">
            <w:pPr>
              <w:pStyle w:val="P68B1DB1-Normal121"/>
              <w:spacing w:after="0" w:line="240" w:lineRule="auto"/>
              <w:rPr>
                <w:noProof/>
              </w:rPr>
            </w:pPr>
            <w:r>
              <w:rPr>
                <w:noProof/>
              </w:rPr>
              <w:t>Investīcija Nr. 4 — Vispārējais civildienests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F204C2"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AD6261" w14:textId="565A5CFC" w:rsidR="00327FF1" w:rsidRDefault="00E406C7">
            <w:pPr>
              <w:pStyle w:val="P68B1DB1-Normal121"/>
              <w:spacing w:after="0" w:line="240" w:lineRule="auto"/>
              <w:rPr>
                <w:noProof/>
              </w:rPr>
            </w:pPr>
            <w:r>
              <w:rPr>
                <w:noProof/>
              </w:rPr>
              <w:t xml:space="preserve">Veikt darbības, lai palielinātu jauniešu līdzdalību, vienkāršotu procedūras un uzlabotu universālā civildienesta (UCS) </w:t>
            </w:r>
            <w:r>
              <w:rPr>
                <w:noProof/>
              </w:rPr>
              <w:t>projektu kvalitāti,</w:t>
            </w:r>
          </w:p>
        </w:tc>
      </w:tr>
      <w:tr w:rsidR="00327FF1" w14:paraId="500605DB"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11C966" w14:textId="77777777" w:rsidR="00327FF1" w:rsidRDefault="00E406C7">
            <w:pPr>
              <w:pStyle w:val="P68B1DB1-Normal121"/>
              <w:spacing w:after="0" w:line="240" w:lineRule="auto"/>
              <w:jc w:val="center"/>
              <w:rPr>
                <w:noProof/>
              </w:rPr>
            </w:pPr>
            <w:r>
              <w:rPr>
                <w:noProof/>
              </w:rPr>
              <w:t>M7–1</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6837B5" w14:textId="77777777" w:rsidR="00327FF1" w:rsidRDefault="00E406C7">
            <w:pPr>
              <w:pStyle w:val="P68B1DB1-Normal121"/>
              <w:spacing w:after="0" w:line="240" w:lineRule="auto"/>
              <w:rPr>
                <w:noProof/>
              </w:rPr>
            </w:pPr>
            <w:r>
              <w:rPr>
                <w:noProof/>
              </w:rPr>
              <w:t>Reforma: Atļauju piešķiršanas procedūru racionalizēšana attiecībā uz atjaunīgo enerģiju</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2DD293"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F4379B" w14:textId="77777777" w:rsidR="00327FF1" w:rsidRDefault="00E406C7">
            <w:pPr>
              <w:pStyle w:val="P68B1DB1-Normal121"/>
              <w:spacing w:after="0" w:line="240" w:lineRule="auto"/>
              <w:rPr>
                <w:noProof/>
              </w:rPr>
            </w:pPr>
            <w:r>
              <w:rPr>
                <w:noProof/>
              </w:rPr>
              <w:t>“Atjaunojamo energoresursu paātrinātas apguves teritoriju” noteikšana</w:t>
            </w:r>
          </w:p>
        </w:tc>
      </w:tr>
      <w:tr w:rsidR="00327FF1" w14:paraId="46637AC9"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1B8684" w14:textId="77777777" w:rsidR="00327FF1" w:rsidRDefault="00E406C7">
            <w:pPr>
              <w:pStyle w:val="P68B1DB1-Normal121"/>
              <w:spacing w:after="0" w:line="240" w:lineRule="auto"/>
              <w:jc w:val="center"/>
              <w:rPr>
                <w:noProof/>
              </w:rPr>
            </w:pPr>
            <w:r>
              <w:rPr>
                <w:noProof/>
              </w:rPr>
              <w:t>M7–4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043544" w14:textId="77777777" w:rsidR="00327FF1" w:rsidRDefault="00E406C7">
            <w:pPr>
              <w:pStyle w:val="P68B1DB1-Normal121"/>
              <w:spacing w:after="0" w:line="240" w:lineRule="auto"/>
              <w:rPr>
                <w:noProof/>
              </w:rPr>
            </w:pPr>
            <w:r>
              <w:rPr>
                <w:noProof/>
              </w:rPr>
              <w:t>Reforma. Videi kaitīgu subsīdiju samazināšana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7C5E33"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736A4F7" w14:textId="77777777" w:rsidR="00327FF1" w:rsidRDefault="00E406C7">
            <w:pPr>
              <w:pStyle w:val="P68B1DB1-Normal121"/>
              <w:spacing w:after="0" w:line="240" w:lineRule="auto"/>
              <w:rPr>
                <w:noProof/>
              </w:rPr>
            </w:pPr>
            <w:r>
              <w:rPr>
                <w:noProof/>
              </w:rPr>
              <w:t>Valdības ziņojuma pieņemšana, kurā izklāstīti rezultāti, kas gūti valdības apspriedēs ar ieinteresētajām personām, lai noteiktu ceļvedi videi kaitīgu subsīdiju samazināšanai.</w:t>
            </w:r>
          </w:p>
        </w:tc>
      </w:tr>
      <w:tr w:rsidR="00327FF1" w14:paraId="1B3176D0"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6A4FCD" w14:textId="77777777" w:rsidR="00327FF1" w:rsidRDefault="00E406C7">
            <w:pPr>
              <w:pStyle w:val="P68B1DB1-Normal121"/>
              <w:spacing w:after="0" w:line="240" w:lineRule="auto"/>
              <w:jc w:val="center"/>
              <w:rPr>
                <w:noProof/>
              </w:rPr>
            </w:pPr>
            <w:r>
              <w:rPr>
                <w:noProof/>
              </w:rPr>
              <w:t>M7–16</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6846310" w14:textId="77777777" w:rsidR="00327FF1" w:rsidRDefault="00E406C7">
            <w:pPr>
              <w:pStyle w:val="P68B1DB1-Normal121"/>
              <w:spacing w:after="0" w:line="240" w:lineRule="auto"/>
              <w:rPr>
                <w:noProof/>
              </w:rPr>
            </w:pPr>
            <w:r>
              <w:rPr>
                <w:noProof/>
              </w:rPr>
              <w:t>Ieguldījums Nr. 5: SA.CO.I.3</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D90C64"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BD3F47" w14:textId="77777777" w:rsidR="00327FF1" w:rsidRDefault="00E406C7">
            <w:pPr>
              <w:pStyle w:val="P68B1DB1-Normal121"/>
              <w:spacing w:after="0" w:line="240" w:lineRule="auto"/>
              <w:rPr>
                <w:noProof/>
              </w:rPr>
            </w:pPr>
            <w:r>
              <w:rPr>
                <w:noProof/>
              </w:rPr>
              <w:t xml:space="preserve">Līgumu </w:t>
            </w:r>
            <w:r>
              <w:rPr>
                <w:noProof/>
              </w:rPr>
              <w:t>piešķiršana</w:t>
            </w:r>
          </w:p>
        </w:tc>
      </w:tr>
      <w:tr w:rsidR="00327FF1" w14:paraId="5A0396A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A7D251" w14:textId="77777777" w:rsidR="00327FF1" w:rsidRDefault="00E406C7">
            <w:pPr>
              <w:pStyle w:val="P68B1DB1-Normal121"/>
              <w:spacing w:after="0" w:line="240" w:lineRule="auto"/>
              <w:jc w:val="center"/>
              <w:rPr>
                <w:noProof/>
              </w:rPr>
            </w:pPr>
            <w:r>
              <w:rPr>
                <w:noProof/>
              </w:rPr>
              <w:t>M4C1–10 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3C5593" w14:textId="77777777" w:rsidR="00327FF1" w:rsidRDefault="00E406C7">
            <w:pPr>
              <w:pStyle w:val="P68B1DB1-Normal121"/>
              <w:spacing w:after="0" w:line="240" w:lineRule="auto"/>
              <w:rPr>
                <w:noProof/>
              </w:rPr>
            </w:pPr>
            <w:r>
              <w:rPr>
                <w:noProof/>
              </w:rPr>
              <w:t>Reforma Nr. 1.1: Tehnisko un profesionālo institūtu reforma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ABD4AC" w14:textId="77777777" w:rsidR="00327FF1" w:rsidRDefault="00E406C7">
            <w:pPr>
              <w:pStyle w:val="P68B1DB1-Normal121"/>
              <w:spacing w:after="0" w:line="240" w:lineRule="auto"/>
              <w:jc w:val="center"/>
              <w:rPr>
                <w:noProof/>
              </w:rPr>
            </w:pPr>
            <w:r>
              <w:rPr>
                <w:noProof/>
              </w:rPr>
              <w:t>Atskaites punkts</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0AB661" w14:textId="77777777" w:rsidR="00327FF1" w:rsidRDefault="00E406C7">
            <w:pPr>
              <w:pStyle w:val="P68B1DB1-Normal121"/>
              <w:spacing w:after="0" w:line="240" w:lineRule="auto"/>
              <w:rPr>
                <w:noProof/>
              </w:rPr>
            </w:pPr>
            <w:r>
              <w:rPr>
                <w:noProof/>
              </w:rPr>
              <w:t>Sekundāro tiesību aktu stāšanās spēkā.</w:t>
            </w:r>
          </w:p>
        </w:tc>
      </w:tr>
      <w:tr w:rsidR="00327FF1" w14:paraId="0EA940F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B788C4" w14:textId="77777777" w:rsidR="00327FF1" w:rsidRDefault="00327FF1">
            <w:pPr>
              <w:spacing w:after="0" w:line="240" w:lineRule="auto"/>
              <w:jc w:val="center"/>
              <w:rPr>
                <w:rFonts w:ascii="Times New Roman" w:eastAsia="Times New Roman" w:hAnsi="Times New Roman" w:cs="Times New Roman"/>
                <w:noProof/>
              </w:rPr>
            </w:pP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A06A9F5" w14:textId="77777777" w:rsidR="00327FF1" w:rsidRDefault="00E406C7">
            <w:pPr>
              <w:pStyle w:val="P68B1DB1-Normal121"/>
              <w:spacing w:after="0" w:line="240" w:lineRule="auto"/>
              <w:rPr>
                <w:noProof/>
              </w:rPr>
            </w:pPr>
            <w:r>
              <w:rPr>
                <w:noProof/>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B30547" w14:textId="77777777" w:rsidR="00327FF1" w:rsidRDefault="00E406C7">
            <w:pPr>
              <w:pStyle w:val="P68B1DB1-Normal121"/>
              <w:spacing w:after="0" w:line="240" w:lineRule="auto"/>
              <w:jc w:val="center"/>
              <w:rPr>
                <w:noProof/>
              </w:rPr>
            </w:pPr>
            <w:r>
              <w:rPr>
                <w:noProof/>
              </w:rPr>
              <w:t>Maksājuma summa</w:t>
            </w:r>
          </w:p>
        </w:tc>
        <w:tc>
          <w:tcPr>
            <w:tcW w:w="310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DE5681"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5294563760</w:t>
            </w:r>
            <w:r>
              <w:rPr>
                <w:noProof/>
                <w:sz w:val="23"/>
                <w:szCs w:val="23"/>
              </w:rPr>
              <w:t xml:space="preserve"> </w:t>
            </w:r>
          </w:p>
        </w:tc>
      </w:tr>
    </w:tbl>
    <w:p w14:paraId="0E2D5298" w14:textId="16604680" w:rsidR="00327FF1" w:rsidRDefault="00327FF1">
      <w:pPr>
        <w:spacing w:after="0"/>
        <w:ind w:left="850"/>
        <w:contextualSpacing/>
        <w:jc w:val="both"/>
        <w:rPr>
          <w:rFonts w:ascii="Times New Roman" w:eastAsia="Times New Roman" w:hAnsi="Times New Roman" w:cs="Times New Roman"/>
          <w:noProof/>
        </w:rPr>
      </w:pPr>
    </w:p>
    <w:p w14:paraId="067D608A" w14:textId="77777777" w:rsidR="00327FF1" w:rsidRDefault="00E406C7">
      <w:pPr>
        <w:pStyle w:val="P68B1DB1-Normal8"/>
        <w:rPr>
          <w:noProof/>
        </w:rPr>
      </w:pPr>
      <w:r>
        <w:rPr>
          <w:noProof/>
        </w:rPr>
        <w:br w:type="page"/>
      </w:r>
    </w:p>
    <w:p w14:paraId="7BC63A0D" w14:textId="77777777" w:rsidR="00327FF1" w:rsidRDefault="00E406C7">
      <w:pPr>
        <w:pStyle w:val="P68B1DB1-Heading4119"/>
        <w:numPr>
          <w:ilvl w:val="1"/>
          <w:numId w:val="180"/>
        </w:numPr>
        <w:tabs>
          <w:tab w:val="num" w:pos="1440"/>
        </w:tabs>
        <w:ind w:left="1440" w:hanging="360"/>
        <w:rPr>
          <w:noProof/>
        </w:rPr>
      </w:pPr>
      <w:r>
        <w:rPr>
          <w:noProof/>
        </w:rPr>
        <w:t>Astotais maksājums (neatmaksājamais atbalsts):</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4"/>
        <w:gridCol w:w="3543"/>
        <w:gridCol w:w="1277"/>
        <w:gridCol w:w="3105"/>
      </w:tblGrid>
      <w:tr w:rsidR="00327FF1" w14:paraId="36E872D7" w14:textId="77777777">
        <w:trPr>
          <w:trHeight w:val="900"/>
          <w:tblHeader/>
        </w:trPr>
        <w:tc>
          <w:tcPr>
            <w:tcW w:w="1434" w:type="dxa"/>
            <w:vMerge w:val="restart"/>
            <w:shd w:val="clear" w:color="auto" w:fill="BDD7EE"/>
            <w:tcMar>
              <w:left w:w="108" w:type="dxa"/>
              <w:right w:w="108" w:type="dxa"/>
            </w:tcMar>
            <w:vAlign w:val="center"/>
          </w:tcPr>
          <w:p w14:paraId="7EAE04B2" w14:textId="77777777" w:rsidR="00327FF1" w:rsidRDefault="00E406C7">
            <w:pPr>
              <w:pStyle w:val="P68B1DB1-Normal120"/>
              <w:spacing w:after="0" w:line="240" w:lineRule="auto"/>
              <w:jc w:val="center"/>
              <w:rPr>
                <w:noProof/>
              </w:rPr>
            </w:pPr>
            <w:r>
              <w:rPr>
                <w:noProof/>
              </w:rPr>
              <w:t>Kārtas numurs</w:t>
            </w:r>
          </w:p>
        </w:tc>
        <w:tc>
          <w:tcPr>
            <w:tcW w:w="3543" w:type="dxa"/>
            <w:vMerge w:val="restart"/>
            <w:shd w:val="clear" w:color="auto" w:fill="BDD7EE"/>
            <w:tcMar>
              <w:left w:w="108" w:type="dxa"/>
              <w:right w:w="108" w:type="dxa"/>
            </w:tcMar>
            <w:vAlign w:val="center"/>
          </w:tcPr>
          <w:p w14:paraId="74F72A28" w14:textId="77777777" w:rsidR="00327FF1" w:rsidRDefault="00E406C7">
            <w:pPr>
              <w:pStyle w:val="P68B1DB1-Normal120"/>
              <w:spacing w:after="0" w:line="240" w:lineRule="auto"/>
              <w:jc w:val="center"/>
              <w:rPr>
                <w:noProof/>
              </w:rPr>
            </w:pPr>
            <w:r>
              <w:rPr>
                <w:noProof/>
              </w:rPr>
              <w:t xml:space="preserve">Saistītais </w:t>
            </w:r>
            <w:r>
              <w:rPr>
                <w:noProof/>
              </w:rPr>
              <w:t>pasākums (reforma vai ieguldījums)</w:t>
            </w:r>
          </w:p>
        </w:tc>
        <w:tc>
          <w:tcPr>
            <w:tcW w:w="1277" w:type="dxa"/>
            <w:vMerge w:val="restart"/>
            <w:shd w:val="clear" w:color="auto" w:fill="BDD7EE"/>
            <w:tcMar>
              <w:left w:w="108" w:type="dxa"/>
              <w:right w:w="108" w:type="dxa"/>
            </w:tcMar>
            <w:vAlign w:val="center"/>
          </w:tcPr>
          <w:p w14:paraId="4919265C" w14:textId="77777777" w:rsidR="00327FF1" w:rsidRDefault="00E406C7">
            <w:pPr>
              <w:pStyle w:val="P68B1DB1-Normal120"/>
              <w:spacing w:after="0" w:line="240" w:lineRule="auto"/>
              <w:jc w:val="center"/>
              <w:rPr>
                <w:noProof/>
              </w:rPr>
            </w:pPr>
            <w:r>
              <w:rPr>
                <w:noProof/>
              </w:rPr>
              <w:t>Atskaites punkts/mērķrādītājs</w:t>
            </w:r>
          </w:p>
        </w:tc>
        <w:tc>
          <w:tcPr>
            <w:tcW w:w="3105" w:type="dxa"/>
            <w:vMerge w:val="restart"/>
            <w:shd w:val="clear" w:color="auto" w:fill="BDD7EE"/>
            <w:tcMar>
              <w:left w:w="108" w:type="dxa"/>
              <w:right w:w="108" w:type="dxa"/>
            </w:tcMar>
            <w:vAlign w:val="center"/>
          </w:tcPr>
          <w:p w14:paraId="64E16B90" w14:textId="77777777" w:rsidR="00327FF1" w:rsidRDefault="00E406C7">
            <w:pPr>
              <w:pStyle w:val="P68B1DB1-Normal120"/>
              <w:spacing w:after="0" w:line="240" w:lineRule="auto"/>
              <w:jc w:val="center"/>
              <w:rPr>
                <w:noProof/>
              </w:rPr>
            </w:pPr>
            <w:r>
              <w:rPr>
                <w:noProof/>
              </w:rPr>
              <w:t>Nosaukums</w:t>
            </w:r>
          </w:p>
        </w:tc>
      </w:tr>
      <w:tr w:rsidR="00327FF1" w14:paraId="63865BEB" w14:textId="77777777">
        <w:trPr>
          <w:trHeight w:val="510"/>
        </w:trPr>
        <w:tc>
          <w:tcPr>
            <w:tcW w:w="1434" w:type="dxa"/>
            <w:vMerge/>
            <w:vAlign w:val="center"/>
          </w:tcPr>
          <w:p w14:paraId="0E8A81CB" w14:textId="77777777" w:rsidR="00327FF1" w:rsidRDefault="00327FF1">
            <w:pPr>
              <w:spacing w:after="0" w:line="240" w:lineRule="auto"/>
              <w:jc w:val="center"/>
              <w:rPr>
                <w:rFonts w:ascii="Times New Roman" w:eastAsia="Times New Roman" w:hAnsi="Times New Roman" w:cs="Times New Roman"/>
                <w:noProof/>
              </w:rPr>
            </w:pPr>
          </w:p>
        </w:tc>
        <w:tc>
          <w:tcPr>
            <w:tcW w:w="3543" w:type="dxa"/>
            <w:vMerge/>
            <w:vAlign w:val="center"/>
          </w:tcPr>
          <w:p w14:paraId="72A1FA7F" w14:textId="77777777" w:rsidR="00327FF1" w:rsidRDefault="00327FF1">
            <w:pPr>
              <w:spacing w:after="0" w:line="240" w:lineRule="auto"/>
              <w:rPr>
                <w:rFonts w:ascii="Times New Roman" w:eastAsia="Times New Roman" w:hAnsi="Times New Roman" w:cs="Times New Roman"/>
                <w:noProof/>
              </w:rPr>
            </w:pPr>
          </w:p>
        </w:tc>
        <w:tc>
          <w:tcPr>
            <w:tcW w:w="1277" w:type="dxa"/>
            <w:vMerge/>
            <w:vAlign w:val="center"/>
          </w:tcPr>
          <w:p w14:paraId="4B13CB5A" w14:textId="77777777" w:rsidR="00327FF1" w:rsidRDefault="00327FF1">
            <w:pPr>
              <w:spacing w:after="0" w:line="240" w:lineRule="auto"/>
              <w:jc w:val="center"/>
              <w:rPr>
                <w:rFonts w:ascii="Times New Roman" w:eastAsia="Times New Roman" w:hAnsi="Times New Roman" w:cs="Times New Roman"/>
                <w:noProof/>
              </w:rPr>
            </w:pPr>
          </w:p>
        </w:tc>
        <w:tc>
          <w:tcPr>
            <w:tcW w:w="3105" w:type="dxa"/>
            <w:vMerge/>
            <w:vAlign w:val="center"/>
          </w:tcPr>
          <w:p w14:paraId="516D2737" w14:textId="77777777" w:rsidR="00327FF1" w:rsidRDefault="00327FF1">
            <w:pPr>
              <w:spacing w:after="0" w:line="240" w:lineRule="auto"/>
              <w:rPr>
                <w:rFonts w:ascii="Times New Roman" w:eastAsia="Times New Roman" w:hAnsi="Times New Roman" w:cs="Times New Roman"/>
                <w:noProof/>
              </w:rPr>
            </w:pPr>
          </w:p>
        </w:tc>
      </w:tr>
      <w:tr w:rsidR="00327FF1" w14:paraId="14479714" w14:textId="77777777">
        <w:trPr>
          <w:trHeight w:val="300"/>
        </w:trPr>
        <w:tc>
          <w:tcPr>
            <w:tcW w:w="1434" w:type="dxa"/>
            <w:shd w:val="clear" w:color="auto" w:fill="C6EFCE"/>
            <w:tcMar>
              <w:left w:w="108" w:type="dxa"/>
              <w:right w:w="108" w:type="dxa"/>
            </w:tcMar>
            <w:vAlign w:val="center"/>
          </w:tcPr>
          <w:p w14:paraId="348138A3" w14:textId="77777777" w:rsidR="00327FF1" w:rsidRDefault="00E406C7">
            <w:pPr>
              <w:pStyle w:val="P68B1DB1-Normal121"/>
              <w:spacing w:after="0" w:line="240" w:lineRule="auto"/>
              <w:jc w:val="center"/>
              <w:rPr>
                <w:noProof/>
              </w:rPr>
            </w:pPr>
            <w:r>
              <w:rPr>
                <w:noProof/>
              </w:rPr>
              <w:t>M1C1–23</w:t>
            </w:r>
          </w:p>
        </w:tc>
        <w:tc>
          <w:tcPr>
            <w:tcW w:w="3543" w:type="dxa"/>
            <w:shd w:val="clear" w:color="auto" w:fill="C6EFCE"/>
            <w:tcMar>
              <w:left w:w="108" w:type="dxa"/>
              <w:right w:w="108" w:type="dxa"/>
            </w:tcMar>
            <w:vAlign w:val="center"/>
          </w:tcPr>
          <w:p w14:paraId="5C669F21" w14:textId="77777777" w:rsidR="00327FF1" w:rsidRDefault="00E406C7">
            <w:pPr>
              <w:pStyle w:val="P68B1DB1-Normal121"/>
              <w:spacing w:after="0" w:line="240" w:lineRule="auto"/>
              <w:rPr>
                <w:noProof/>
              </w:rPr>
            </w:pPr>
            <w:r>
              <w:rPr>
                <w:noProof/>
              </w:rPr>
              <w:t>Investīcija 1.4.6.: Mobilitāte kā dienests Itālijā</w:t>
            </w:r>
          </w:p>
        </w:tc>
        <w:tc>
          <w:tcPr>
            <w:tcW w:w="1277" w:type="dxa"/>
            <w:shd w:val="clear" w:color="auto" w:fill="C6EFCE"/>
            <w:tcMar>
              <w:left w:w="108" w:type="dxa"/>
              <w:right w:w="108" w:type="dxa"/>
            </w:tcMar>
            <w:vAlign w:val="center"/>
          </w:tcPr>
          <w:p w14:paraId="67F38DA0"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058D2EC3" w14:textId="77777777" w:rsidR="00327FF1" w:rsidRDefault="00E406C7">
            <w:pPr>
              <w:pStyle w:val="P68B1DB1-Normal121"/>
              <w:spacing w:after="0" w:line="240" w:lineRule="auto"/>
              <w:rPr>
                <w:noProof/>
              </w:rPr>
            </w:pPr>
            <w:r>
              <w:rPr>
                <w:noProof/>
              </w:rPr>
              <w:t xml:space="preserve">Septiņu izmēģinājuma projektu īstenošana </w:t>
            </w:r>
          </w:p>
        </w:tc>
      </w:tr>
      <w:tr w:rsidR="00327FF1" w14:paraId="37038207" w14:textId="77777777">
        <w:trPr>
          <w:trHeight w:val="300"/>
        </w:trPr>
        <w:tc>
          <w:tcPr>
            <w:tcW w:w="1434" w:type="dxa"/>
            <w:shd w:val="clear" w:color="auto" w:fill="C6EFCE"/>
            <w:tcMar>
              <w:left w:w="108" w:type="dxa"/>
              <w:right w:w="108" w:type="dxa"/>
            </w:tcMar>
            <w:vAlign w:val="center"/>
          </w:tcPr>
          <w:p w14:paraId="197BA280" w14:textId="77777777" w:rsidR="00327FF1" w:rsidRDefault="00E406C7">
            <w:pPr>
              <w:pStyle w:val="P68B1DB1-Normal121"/>
              <w:spacing w:after="0" w:line="240" w:lineRule="auto"/>
              <w:jc w:val="center"/>
              <w:rPr>
                <w:noProof/>
              </w:rPr>
            </w:pPr>
            <w:r>
              <w:rPr>
                <w:noProof/>
              </w:rPr>
              <w:t>M1C1–76</w:t>
            </w:r>
          </w:p>
        </w:tc>
        <w:tc>
          <w:tcPr>
            <w:tcW w:w="3543" w:type="dxa"/>
            <w:shd w:val="clear" w:color="auto" w:fill="C6EFCE"/>
            <w:tcMar>
              <w:left w:w="108" w:type="dxa"/>
              <w:right w:w="108" w:type="dxa"/>
            </w:tcMar>
            <w:vAlign w:val="center"/>
          </w:tcPr>
          <w:p w14:paraId="3715BFDF" w14:textId="77777777" w:rsidR="00327FF1" w:rsidRDefault="00E406C7">
            <w:pPr>
              <w:pStyle w:val="P68B1DB1-Normal121"/>
              <w:spacing w:after="0" w:line="240" w:lineRule="auto"/>
              <w:rPr>
                <w:noProof/>
              </w:rPr>
            </w:pPr>
            <w:r>
              <w:rPr>
                <w:noProof/>
              </w:rPr>
              <w:t xml:space="preserve">Reforma Nr. 1.11. Valsts pārvaldes un veselības </w:t>
            </w:r>
            <w:r>
              <w:rPr>
                <w:noProof/>
              </w:rPr>
              <w:t>aprūpes iestāžu maksājumu kavējumu samazināšana</w:t>
            </w:r>
          </w:p>
        </w:tc>
        <w:tc>
          <w:tcPr>
            <w:tcW w:w="1277" w:type="dxa"/>
            <w:shd w:val="clear" w:color="auto" w:fill="C6EFCE"/>
            <w:tcMar>
              <w:left w:w="108" w:type="dxa"/>
              <w:right w:w="108" w:type="dxa"/>
            </w:tcMar>
            <w:vAlign w:val="center"/>
          </w:tcPr>
          <w:p w14:paraId="586EB0C4"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2980387B" w14:textId="77777777" w:rsidR="00327FF1" w:rsidRDefault="00E406C7">
            <w:pPr>
              <w:pStyle w:val="P68B1DB1-Normal121"/>
              <w:spacing w:after="0" w:line="240" w:lineRule="auto"/>
              <w:rPr>
                <w:noProof/>
              </w:rPr>
            </w:pPr>
            <w:r>
              <w:rPr>
                <w:noProof/>
              </w:rPr>
              <w:t>Ir samazināts vidējais dienu skaits, ko centrālās publiskās iestādes pavada, lai maksātu uzņēmumiem</w:t>
            </w:r>
          </w:p>
        </w:tc>
      </w:tr>
      <w:tr w:rsidR="00327FF1" w14:paraId="7C199A22" w14:textId="77777777">
        <w:trPr>
          <w:trHeight w:val="300"/>
        </w:trPr>
        <w:tc>
          <w:tcPr>
            <w:tcW w:w="1434" w:type="dxa"/>
            <w:shd w:val="clear" w:color="auto" w:fill="C6EFCE"/>
            <w:tcMar>
              <w:left w:w="108" w:type="dxa"/>
              <w:right w:w="108" w:type="dxa"/>
            </w:tcMar>
            <w:vAlign w:val="center"/>
          </w:tcPr>
          <w:p w14:paraId="1CA01AFD" w14:textId="77777777" w:rsidR="00327FF1" w:rsidRDefault="00E406C7">
            <w:pPr>
              <w:pStyle w:val="P68B1DB1-Normal121"/>
              <w:spacing w:after="0" w:line="240" w:lineRule="auto"/>
              <w:jc w:val="center"/>
              <w:rPr>
                <w:noProof/>
              </w:rPr>
            </w:pPr>
            <w:r>
              <w:rPr>
                <w:noProof/>
              </w:rPr>
              <w:t>M1C1–77</w:t>
            </w:r>
          </w:p>
        </w:tc>
        <w:tc>
          <w:tcPr>
            <w:tcW w:w="3543" w:type="dxa"/>
            <w:shd w:val="clear" w:color="auto" w:fill="C6EFCE"/>
            <w:tcMar>
              <w:left w:w="108" w:type="dxa"/>
              <w:right w:w="108" w:type="dxa"/>
            </w:tcMar>
            <w:vAlign w:val="center"/>
          </w:tcPr>
          <w:p w14:paraId="45382A96" w14:textId="77777777" w:rsidR="00327FF1" w:rsidRDefault="00E406C7">
            <w:pPr>
              <w:pStyle w:val="P68B1DB1-Normal121"/>
              <w:spacing w:after="0" w:line="240" w:lineRule="auto"/>
              <w:rPr>
                <w:noProof/>
              </w:rPr>
            </w:pPr>
            <w:r>
              <w:rPr>
                <w:noProof/>
              </w:rPr>
              <w:t>Reforma Nr. 1.11. Valsts pārvaldes un veselības aprūpes iestāžu maksājumu kavējumu samazināša</w:t>
            </w:r>
            <w:r>
              <w:rPr>
                <w:noProof/>
              </w:rPr>
              <w:t>na</w:t>
            </w:r>
          </w:p>
        </w:tc>
        <w:tc>
          <w:tcPr>
            <w:tcW w:w="1277" w:type="dxa"/>
            <w:shd w:val="clear" w:color="auto" w:fill="C6EFCE"/>
            <w:tcMar>
              <w:left w:w="108" w:type="dxa"/>
              <w:right w:w="108" w:type="dxa"/>
            </w:tcMar>
            <w:vAlign w:val="center"/>
          </w:tcPr>
          <w:p w14:paraId="16C68BB2"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59E9DEEA" w14:textId="77777777" w:rsidR="00327FF1" w:rsidRDefault="00E406C7">
            <w:pPr>
              <w:pStyle w:val="P68B1DB1-Normal121"/>
              <w:spacing w:after="0" w:line="240" w:lineRule="auto"/>
              <w:rPr>
                <w:noProof/>
              </w:rPr>
            </w:pPr>
            <w:r>
              <w:rPr>
                <w:noProof/>
              </w:rPr>
              <w:t>Ir samazināts vidējais dienu skaits reģionālajām publiskajām iestādēm, lai maksātu uzņēmumiem</w:t>
            </w:r>
          </w:p>
        </w:tc>
      </w:tr>
      <w:tr w:rsidR="00327FF1" w14:paraId="1A4BDC99" w14:textId="77777777">
        <w:trPr>
          <w:trHeight w:val="300"/>
        </w:trPr>
        <w:tc>
          <w:tcPr>
            <w:tcW w:w="1434" w:type="dxa"/>
            <w:shd w:val="clear" w:color="auto" w:fill="C6EFCE"/>
            <w:tcMar>
              <w:left w:w="108" w:type="dxa"/>
              <w:right w:w="108" w:type="dxa"/>
            </w:tcMar>
            <w:vAlign w:val="center"/>
          </w:tcPr>
          <w:p w14:paraId="7D3B1677" w14:textId="77777777" w:rsidR="00327FF1" w:rsidRDefault="00E406C7">
            <w:pPr>
              <w:pStyle w:val="P68B1DB1-Normal121"/>
              <w:spacing w:after="0" w:line="240" w:lineRule="auto"/>
              <w:jc w:val="center"/>
              <w:rPr>
                <w:noProof/>
              </w:rPr>
            </w:pPr>
            <w:r>
              <w:rPr>
                <w:noProof/>
              </w:rPr>
              <w:t>M1C1–78.</w:t>
            </w:r>
          </w:p>
        </w:tc>
        <w:tc>
          <w:tcPr>
            <w:tcW w:w="3543" w:type="dxa"/>
            <w:shd w:val="clear" w:color="auto" w:fill="C6EFCE"/>
            <w:tcMar>
              <w:left w:w="108" w:type="dxa"/>
              <w:right w:w="108" w:type="dxa"/>
            </w:tcMar>
            <w:vAlign w:val="center"/>
          </w:tcPr>
          <w:p w14:paraId="5ED9C6D8" w14:textId="77777777" w:rsidR="00327FF1" w:rsidRDefault="00E406C7">
            <w:pPr>
              <w:pStyle w:val="P68B1DB1-Normal121"/>
              <w:spacing w:after="0" w:line="240" w:lineRule="auto"/>
              <w:rPr>
                <w:noProof/>
              </w:rPr>
            </w:pPr>
            <w:r>
              <w:rPr>
                <w:noProof/>
              </w:rPr>
              <w:t>Reforma Nr. 1.11. Valsts pārvaldes un veselības aprūpes iestāžu maksājumu kavējumu samazināšana</w:t>
            </w:r>
          </w:p>
        </w:tc>
        <w:tc>
          <w:tcPr>
            <w:tcW w:w="1277" w:type="dxa"/>
            <w:shd w:val="clear" w:color="auto" w:fill="C6EFCE"/>
            <w:tcMar>
              <w:left w:w="108" w:type="dxa"/>
              <w:right w:w="108" w:type="dxa"/>
            </w:tcMar>
            <w:vAlign w:val="center"/>
          </w:tcPr>
          <w:p w14:paraId="63AE30CC"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2C92E444" w14:textId="77777777" w:rsidR="00327FF1" w:rsidRDefault="00E406C7">
            <w:pPr>
              <w:pStyle w:val="P68B1DB1-Normal121"/>
              <w:spacing w:after="0" w:line="240" w:lineRule="auto"/>
              <w:rPr>
                <w:noProof/>
              </w:rPr>
            </w:pPr>
            <w:r>
              <w:rPr>
                <w:noProof/>
              </w:rPr>
              <w:t xml:space="preserve">Ir samazināts vidējais dienu skaits, kas </w:t>
            </w:r>
            <w:r>
              <w:rPr>
                <w:noProof/>
              </w:rPr>
              <w:t>vietējām valsts iestādēm atvēlēts, lai maksātu uzņēmumiem</w:t>
            </w:r>
          </w:p>
        </w:tc>
      </w:tr>
      <w:tr w:rsidR="00327FF1" w14:paraId="0E64AE04" w14:textId="77777777">
        <w:trPr>
          <w:trHeight w:val="300"/>
        </w:trPr>
        <w:tc>
          <w:tcPr>
            <w:tcW w:w="1434" w:type="dxa"/>
            <w:shd w:val="clear" w:color="auto" w:fill="C6EFCE"/>
            <w:tcMar>
              <w:left w:w="108" w:type="dxa"/>
              <w:right w:w="108" w:type="dxa"/>
            </w:tcMar>
            <w:vAlign w:val="center"/>
          </w:tcPr>
          <w:p w14:paraId="6B5A8F87" w14:textId="77777777" w:rsidR="00327FF1" w:rsidRDefault="00E406C7">
            <w:pPr>
              <w:pStyle w:val="P68B1DB1-Normal121"/>
              <w:spacing w:after="0" w:line="240" w:lineRule="auto"/>
              <w:jc w:val="center"/>
              <w:rPr>
                <w:noProof/>
              </w:rPr>
            </w:pPr>
            <w:r>
              <w:rPr>
                <w:noProof/>
              </w:rPr>
              <w:t>M1C1–79.</w:t>
            </w:r>
          </w:p>
        </w:tc>
        <w:tc>
          <w:tcPr>
            <w:tcW w:w="3543" w:type="dxa"/>
            <w:shd w:val="clear" w:color="auto" w:fill="C6EFCE"/>
            <w:tcMar>
              <w:left w:w="108" w:type="dxa"/>
              <w:right w:w="108" w:type="dxa"/>
            </w:tcMar>
            <w:vAlign w:val="center"/>
          </w:tcPr>
          <w:p w14:paraId="0C4125DB" w14:textId="77777777" w:rsidR="00327FF1" w:rsidRDefault="00E406C7">
            <w:pPr>
              <w:pStyle w:val="P68B1DB1-Normal121"/>
              <w:spacing w:after="0" w:line="240" w:lineRule="auto"/>
              <w:rPr>
                <w:noProof/>
              </w:rPr>
            </w:pPr>
            <w:r>
              <w:rPr>
                <w:noProof/>
              </w:rPr>
              <w:t>Reforma Nr. 1.11. Valsts pārvaldes un veselības aprūpes iestāžu maksājumu kavējumu samazināšana</w:t>
            </w:r>
          </w:p>
        </w:tc>
        <w:tc>
          <w:tcPr>
            <w:tcW w:w="1277" w:type="dxa"/>
            <w:shd w:val="clear" w:color="auto" w:fill="C6EFCE"/>
            <w:tcMar>
              <w:left w:w="108" w:type="dxa"/>
              <w:right w:w="108" w:type="dxa"/>
            </w:tcMar>
            <w:vAlign w:val="center"/>
          </w:tcPr>
          <w:p w14:paraId="3A56071E"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115BEB75" w14:textId="77777777" w:rsidR="00327FF1" w:rsidRDefault="00E406C7">
            <w:pPr>
              <w:pStyle w:val="P68B1DB1-Normal121"/>
              <w:spacing w:after="0" w:line="240" w:lineRule="auto"/>
              <w:rPr>
                <w:noProof/>
              </w:rPr>
            </w:pPr>
            <w:r>
              <w:rPr>
                <w:noProof/>
              </w:rPr>
              <w:t>Ir samazināts vidējais dienu skaits, kad sabiedrības veselības aizsardzības iestādes m</w:t>
            </w:r>
            <w:r>
              <w:rPr>
                <w:noProof/>
              </w:rPr>
              <w:t>aksā uzņēmumiem</w:t>
            </w:r>
          </w:p>
        </w:tc>
      </w:tr>
      <w:tr w:rsidR="00327FF1" w14:paraId="796025AF" w14:textId="77777777">
        <w:trPr>
          <w:trHeight w:val="300"/>
        </w:trPr>
        <w:tc>
          <w:tcPr>
            <w:tcW w:w="1434" w:type="dxa"/>
            <w:shd w:val="clear" w:color="auto" w:fill="C6EFCE"/>
            <w:tcMar>
              <w:left w:w="108" w:type="dxa"/>
              <w:right w:w="108" w:type="dxa"/>
            </w:tcMar>
            <w:vAlign w:val="center"/>
          </w:tcPr>
          <w:p w14:paraId="47748002" w14:textId="77777777" w:rsidR="00327FF1" w:rsidRDefault="00E406C7">
            <w:pPr>
              <w:pStyle w:val="P68B1DB1-Normal121"/>
              <w:spacing w:after="0" w:line="240" w:lineRule="auto"/>
              <w:jc w:val="center"/>
              <w:rPr>
                <w:noProof/>
              </w:rPr>
            </w:pPr>
            <w:r>
              <w:rPr>
                <w:noProof/>
              </w:rPr>
              <w:t>M1C1–25</w:t>
            </w:r>
          </w:p>
        </w:tc>
        <w:tc>
          <w:tcPr>
            <w:tcW w:w="3543" w:type="dxa"/>
            <w:shd w:val="clear" w:color="auto" w:fill="C6EFCE"/>
            <w:tcMar>
              <w:left w:w="108" w:type="dxa"/>
              <w:right w:w="108" w:type="dxa"/>
            </w:tcMar>
            <w:vAlign w:val="center"/>
          </w:tcPr>
          <w:p w14:paraId="5B5F9B2D" w14:textId="77777777" w:rsidR="00327FF1" w:rsidRDefault="00E406C7">
            <w:pPr>
              <w:pStyle w:val="P68B1DB1-Normal121"/>
              <w:spacing w:after="0" w:line="240" w:lineRule="auto"/>
              <w:rPr>
                <w:noProof/>
              </w:rPr>
            </w:pPr>
            <w:r>
              <w:rPr>
                <w:noProof/>
              </w:rPr>
              <w:t>Ieguldījums 1.6.6.: Finanšu policijas digitalizācija</w:t>
            </w:r>
          </w:p>
        </w:tc>
        <w:tc>
          <w:tcPr>
            <w:tcW w:w="1277" w:type="dxa"/>
            <w:shd w:val="clear" w:color="auto" w:fill="C6EFCE"/>
            <w:tcMar>
              <w:left w:w="108" w:type="dxa"/>
              <w:right w:w="108" w:type="dxa"/>
            </w:tcMar>
            <w:vAlign w:val="center"/>
          </w:tcPr>
          <w:p w14:paraId="7DD0EE00"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53478257" w14:textId="77777777" w:rsidR="00327FF1" w:rsidRDefault="00E406C7">
            <w:pPr>
              <w:pStyle w:val="P68B1DB1-Normal121"/>
              <w:spacing w:after="0" w:line="240" w:lineRule="auto"/>
              <w:rPr>
                <w:noProof/>
              </w:rPr>
            </w:pPr>
            <w:r>
              <w:rPr>
                <w:noProof/>
              </w:rPr>
              <w:t>Attīstīt informācijas sistēmas, ko izmanto cīņā pret ekonomiskajiem noziegumiem</w:t>
            </w:r>
          </w:p>
        </w:tc>
      </w:tr>
      <w:tr w:rsidR="00327FF1" w14:paraId="50AA1924" w14:textId="77777777">
        <w:trPr>
          <w:trHeight w:val="300"/>
        </w:trPr>
        <w:tc>
          <w:tcPr>
            <w:tcW w:w="1434" w:type="dxa"/>
            <w:shd w:val="clear" w:color="auto" w:fill="C6EFCE"/>
            <w:tcMar>
              <w:left w:w="108" w:type="dxa"/>
              <w:right w:w="108" w:type="dxa"/>
            </w:tcMar>
            <w:vAlign w:val="center"/>
          </w:tcPr>
          <w:p w14:paraId="7892A1DB" w14:textId="77777777" w:rsidR="00327FF1" w:rsidRDefault="00E406C7">
            <w:pPr>
              <w:pStyle w:val="P68B1DB1-Normal121"/>
              <w:spacing w:after="0" w:line="240" w:lineRule="auto"/>
              <w:jc w:val="center"/>
              <w:rPr>
                <w:noProof/>
              </w:rPr>
            </w:pPr>
            <w:r>
              <w:rPr>
                <w:noProof/>
              </w:rPr>
              <w:t>M1C1–62</w:t>
            </w:r>
          </w:p>
        </w:tc>
        <w:tc>
          <w:tcPr>
            <w:tcW w:w="3543" w:type="dxa"/>
            <w:shd w:val="clear" w:color="auto" w:fill="C6EFCE"/>
            <w:tcMar>
              <w:left w:w="108" w:type="dxa"/>
              <w:right w:w="108" w:type="dxa"/>
            </w:tcMar>
            <w:vAlign w:val="center"/>
          </w:tcPr>
          <w:p w14:paraId="2C58555B" w14:textId="77777777" w:rsidR="00327FF1" w:rsidRDefault="00E406C7">
            <w:pPr>
              <w:pStyle w:val="P68B1DB1-Normal121"/>
              <w:spacing w:after="0" w:line="240" w:lineRule="auto"/>
              <w:rPr>
                <w:noProof/>
              </w:rPr>
            </w:pPr>
            <w:r>
              <w:rPr>
                <w:noProof/>
              </w:rPr>
              <w:t>Reforma Nr. 1.9: Valsts pārvaldes reforma</w:t>
            </w:r>
          </w:p>
        </w:tc>
        <w:tc>
          <w:tcPr>
            <w:tcW w:w="1277" w:type="dxa"/>
            <w:shd w:val="clear" w:color="auto" w:fill="C6EFCE"/>
            <w:tcMar>
              <w:left w:w="108" w:type="dxa"/>
              <w:right w:w="108" w:type="dxa"/>
            </w:tcMar>
            <w:vAlign w:val="center"/>
          </w:tcPr>
          <w:p w14:paraId="53CF5534"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5404A13A" w14:textId="77777777" w:rsidR="00327FF1" w:rsidRDefault="00E406C7">
            <w:pPr>
              <w:pStyle w:val="P68B1DB1-Normal121"/>
              <w:spacing w:after="0" w:line="240" w:lineRule="auto"/>
              <w:rPr>
                <w:noProof/>
              </w:rPr>
            </w:pPr>
            <w:r>
              <w:rPr>
                <w:noProof/>
              </w:rPr>
              <w:t xml:space="preserve">Palielināt </w:t>
            </w:r>
            <w:r>
              <w:rPr>
                <w:noProof/>
              </w:rPr>
              <w:t>ieguldījumu apgūšanu</w:t>
            </w:r>
          </w:p>
        </w:tc>
      </w:tr>
      <w:tr w:rsidR="00327FF1" w14:paraId="7DD28031" w14:textId="77777777">
        <w:trPr>
          <w:trHeight w:val="300"/>
        </w:trPr>
        <w:tc>
          <w:tcPr>
            <w:tcW w:w="1434" w:type="dxa"/>
            <w:shd w:val="clear" w:color="auto" w:fill="C6EFCE"/>
            <w:tcMar>
              <w:left w:w="108" w:type="dxa"/>
              <w:right w:w="108" w:type="dxa"/>
            </w:tcMar>
            <w:vAlign w:val="center"/>
          </w:tcPr>
          <w:p w14:paraId="28936993" w14:textId="77777777" w:rsidR="00327FF1" w:rsidRDefault="00E406C7">
            <w:pPr>
              <w:pStyle w:val="P68B1DB1-Normal121"/>
              <w:spacing w:after="0" w:line="240" w:lineRule="auto"/>
              <w:jc w:val="center"/>
              <w:rPr>
                <w:noProof/>
              </w:rPr>
            </w:pPr>
            <w:r>
              <w:rPr>
                <w:noProof/>
              </w:rPr>
              <w:t>M1C1–115</w:t>
            </w:r>
          </w:p>
        </w:tc>
        <w:tc>
          <w:tcPr>
            <w:tcW w:w="3543" w:type="dxa"/>
            <w:shd w:val="clear" w:color="auto" w:fill="C6EFCE"/>
            <w:tcMar>
              <w:left w:w="108" w:type="dxa"/>
              <w:right w:w="108" w:type="dxa"/>
            </w:tcMar>
            <w:vAlign w:val="center"/>
          </w:tcPr>
          <w:p w14:paraId="3A45EAAB" w14:textId="77777777" w:rsidR="00327FF1" w:rsidRDefault="00E406C7">
            <w:pPr>
              <w:pStyle w:val="P68B1DB1-Normal121"/>
              <w:spacing w:after="0" w:line="240" w:lineRule="auto"/>
              <w:rPr>
                <w:noProof/>
              </w:rPr>
            </w:pPr>
            <w:r>
              <w:rPr>
                <w:noProof/>
              </w:rPr>
              <w:t>Reforma Nr. 1.13. Izdevumu pārskatīšanas sistēmas reforma</w:t>
            </w:r>
          </w:p>
        </w:tc>
        <w:tc>
          <w:tcPr>
            <w:tcW w:w="1277" w:type="dxa"/>
            <w:shd w:val="clear" w:color="auto" w:fill="C6EFCE"/>
            <w:tcMar>
              <w:left w:w="108" w:type="dxa"/>
              <w:right w:w="108" w:type="dxa"/>
            </w:tcMar>
            <w:vAlign w:val="center"/>
          </w:tcPr>
          <w:p w14:paraId="274879CA"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227501CB" w14:textId="77777777" w:rsidR="00327FF1" w:rsidRDefault="00E406C7">
            <w:pPr>
              <w:pStyle w:val="P68B1DB1-Normal121"/>
              <w:spacing w:after="0" w:line="240" w:lineRule="auto"/>
              <w:rPr>
                <w:noProof/>
              </w:rPr>
            </w:pPr>
            <w:r>
              <w:rPr>
                <w:noProof/>
              </w:rPr>
              <w:t>2024. gada izdevumu ikgadējās pārskatīšanas pabeigšana, atsaucoties uz ietaupījumu mērķi, kas noteikts 2022. un 2023. gadā 2024. gadam</w:t>
            </w:r>
          </w:p>
        </w:tc>
      </w:tr>
      <w:tr w:rsidR="00327FF1" w14:paraId="54A8FC18" w14:textId="77777777">
        <w:trPr>
          <w:trHeight w:val="300"/>
        </w:trPr>
        <w:tc>
          <w:tcPr>
            <w:tcW w:w="1434" w:type="dxa"/>
            <w:shd w:val="clear" w:color="auto" w:fill="C6EFCE"/>
            <w:tcMar>
              <w:left w:w="108" w:type="dxa"/>
              <w:right w:w="108" w:type="dxa"/>
            </w:tcMar>
            <w:vAlign w:val="center"/>
          </w:tcPr>
          <w:p w14:paraId="0F8CC187" w14:textId="77777777" w:rsidR="00327FF1" w:rsidRDefault="00E406C7">
            <w:pPr>
              <w:pStyle w:val="P68B1DB1-Normal121"/>
              <w:spacing w:after="0" w:line="240" w:lineRule="auto"/>
              <w:jc w:val="center"/>
              <w:rPr>
                <w:noProof/>
              </w:rPr>
            </w:pPr>
            <w:r>
              <w:rPr>
                <w:noProof/>
              </w:rPr>
              <w:t>M1C2–3</w:t>
            </w:r>
          </w:p>
        </w:tc>
        <w:tc>
          <w:tcPr>
            <w:tcW w:w="3543" w:type="dxa"/>
            <w:shd w:val="clear" w:color="auto" w:fill="C6EFCE"/>
            <w:tcMar>
              <w:left w:w="108" w:type="dxa"/>
              <w:right w:w="108" w:type="dxa"/>
            </w:tcMar>
            <w:vAlign w:val="center"/>
          </w:tcPr>
          <w:p w14:paraId="25E916E9" w14:textId="77777777" w:rsidR="00327FF1" w:rsidRDefault="00E406C7">
            <w:pPr>
              <w:pStyle w:val="P68B1DB1-Normal121"/>
              <w:spacing w:after="0" w:line="240" w:lineRule="auto"/>
              <w:rPr>
                <w:noProof/>
              </w:rPr>
            </w:pPr>
            <w:r>
              <w:rPr>
                <w:noProof/>
              </w:rPr>
              <w:t>Ieguldījums: Pāreja 4.0</w:t>
            </w:r>
          </w:p>
        </w:tc>
        <w:tc>
          <w:tcPr>
            <w:tcW w:w="1277" w:type="dxa"/>
            <w:shd w:val="clear" w:color="auto" w:fill="C6EFCE"/>
            <w:tcMar>
              <w:left w:w="108" w:type="dxa"/>
              <w:right w:w="108" w:type="dxa"/>
            </w:tcMar>
            <w:vAlign w:val="center"/>
          </w:tcPr>
          <w:p w14:paraId="7A20AB54"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5259A8AE" w14:textId="77777777" w:rsidR="00327FF1" w:rsidRDefault="00E406C7">
            <w:pPr>
              <w:pStyle w:val="P68B1DB1-Normal121"/>
              <w:spacing w:after="0" w:line="240" w:lineRule="auto"/>
              <w:rPr>
                <w:noProof/>
              </w:rPr>
            </w:pPr>
            <w:r>
              <w:rPr>
                <w:noProof/>
              </w:rPr>
              <w:t>Pāreja 4.0 nodokļu kredīti, kas piešķirti uzņēmumiem, pamatojoties uz 2021.–2023. gadā iesniegtajām nodokļu deklarācijām</w:t>
            </w:r>
          </w:p>
        </w:tc>
      </w:tr>
      <w:tr w:rsidR="00327FF1" w14:paraId="31655923" w14:textId="77777777">
        <w:trPr>
          <w:trHeight w:val="300"/>
        </w:trPr>
        <w:tc>
          <w:tcPr>
            <w:tcW w:w="1434" w:type="dxa"/>
            <w:shd w:val="clear" w:color="auto" w:fill="C6EFCE"/>
            <w:tcMar>
              <w:left w:w="108" w:type="dxa"/>
              <w:right w:w="108" w:type="dxa"/>
            </w:tcMar>
            <w:vAlign w:val="center"/>
          </w:tcPr>
          <w:p w14:paraId="71DBF93C" w14:textId="77777777" w:rsidR="00327FF1" w:rsidRDefault="00E406C7">
            <w:pPr>
              <w:pStyle w:val="P68B1DB1-Normal121"/>
              <w:spacing w:after="0" w:line="240" w:lineRule="auto"/>
              <w:jc w:val="center"/>
              <w:rPr>
                <w:noProof/>
              </w:rPr>
            </w:pPr>
            <w:r>
              <w:rPr>
                <w:noProof/>
              </w:rPr>
              <w:t>M4C1–16</w:t>
            </w:r>
          </w:p>
        </w:tc>
        <w:tc>
          <w:tcPr>
            <w:tcW w:w="3543" w:type="dxa"/>
            <w:shd w:val="clear" w:color="auto" w:fill="C6EFCE"/>
            <w:tcMar>
              <w:left w:w="108" w:type="dxa"/>
              <w:right w:w="108" w:type="dxa"/>
            </w:tcMar>
            <w:vAlign w:val="center"/>
          </w:tcPr>
          <w:p w14:paraId="1EF56ECE" w14:textId="77777777" w:rsidR="00327FF1" w:rsidRDefault="00E406C7">
            <w:pPr>
              <w:pStyle w:val="P68B1DB1-Normal121"/>
              <w:spacing w:after="0" w:line="240" w:lineRule="auto"/>
              <w:rPr>
                <w:noProof/>
              </w:rPr>
            </w:pPr>
            <w:r>
              <w:rPr>
                <w:noProof/>
              </w:rPr>
              <w:t>Investīcija Nr. 3.1: Jaunas prasmes un jaunas valodas</w:t>
            </w:r>
          </w:p>
        </w:tc>
        <w:tc>
          <w:tcPr>
            <w:tcW w:w="1277" w:type="dxa"/>
            <w:shd w:val="clear" w:color="auto" w:fill="C6EFCE"/>
            <w:tcMar>
              <w:left w:w="108" w:type="dxa"/>
              <w:right w:w="108" w:type="dxa"/>
            </w:tcMar>
            <w:vAlign w:val="center"/>
          </w:tcPr>
          <w:p w14:paraId="48A89FFD"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080E8DDF" w14:textId="77777777" w:rsidR="00327FF1" w:rsidRDefault="00E406C7">
            <w:pPr>
              <w:pStyle w:val="P68B1DB1-Normal121"/>
              <w:spacing w:after="0" w:line="240" w:lineRule="auto"/>
              <w:rPr>
                <w:noProof/>
              </w:rPr>
            </w:pPr>
            <w:r>
              <w:rPr>
                <w:noProof/>
              </w:rPr>
              <w:t>Dotāciju piešķiršanas lēm</w:t>
            </w:r>
            <w:r>
              <w:rPr>
                <w:noProof/>
              </w:rPr>
              <w:t xml:space="preserve">uma(-u) pieņemšana STEM projektu aktivizēšanai  </w:t>
            </w:r>
          </w:p>
        </w:tc>
      </w:tr>
      <w:tr w:rsidR="00327FF1" w14:paraId="712D7FAB" w14:textId="77777777">
        <w:trPr>
          <w:trHeight w:val="300"/>
        </w:trPr>
        <w:tc>
          <w:tcPr>
            <w:tcW w:w="1434" w:type="dxa"/>
            <w:shd w:val="clear" w:color="auto" w:fill="C6EFCE"/>
            <w:tcMar>
              <w:left w:w="108" w:type="dxa"/>
              <w:right w:w="108" w:type="dxa"/>
            </w:tcMar>
            <w:vAlign w:val="center"/>
          </w:tcPr>
          <w:p w14:paraId="1819653D" w14:textId="77777777" w:rsidR="00327FF1" w:rsidRDefault="00E406C7">
            <w:pPr>
              <w:pStyle w:val="P68B1DB1-Normal121"/>
              <w:spacing w:after="0" w:line="240" w:lineRule="auto"/>
              <w:jc w:val="center"/>
              <w:rPr>
                <w:noProof/>
              </w:rPr>
            </w:pPr>
            <w:r>
              <w:rPr>
                <w:noProof/>
              </w:rPr>
              <w:t>M4C1–17</w:t>
            </w:r>
          </w:p>
        </w:tc>
        <w:tc>
          <w:tcPr>
            <w:tcW w:w="3543" w:type="dxa"/>
            <w:shd w:val="clear" w:color="auto" w:fill="C6EFCE"/>
            <w:tcMar>
              <w:left w:w="108" w:type="dxa"/>
              <w:right w:w="108" w:type="dxa"/>
            </w:tcMar>
            <w:vAlign w:val="center"/>
          </w:tcPr>
          <w:p w14:paraId="214DA09D" w14:textId="77777777" w:rsidR="00327FF1" w:rsidRDefault="00E406C7">
            <w:pPr>
              <w:pStyle w:val="P68B1DB1-Normal121"/>
              <w:spacing w:after="0" w:line="240" w:lineRule="auto"/>
              <w:rPr>
                <w:noProof/>
              </w:rPr>
            </w:pPr>
            <w:r>
              <w:rPr>
                <w:noProof/>
              </w:rPr>
              <w:t>Investīcija Nr. 3.1: Jaunas prasmes un jaunas valodas</w:t>
            </w:r>
          </w:p>
        </w:tc>
        <w:tc>
          <w:tcPr>
            <w:tcW w:w="1277" w:type="dxa"/>
            <w:shd w:val="clear" w:color="auto" w:fill="C6EFCE"/>
            <w:tcMar>
              <w:left w:w="108" w:type="dxa"/>
              <w:right w:w="108" w:type="dxa"/>
            </w:tcMar>
            <w:vAlign w:val="center"/>
          </w:tcPr>
          <w:p w14:paraId="3A177D81"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323688DE" w14:textId="77777777" w:rsidR="00327FF1" w:rsidRDefault="00E406C7">
            <w:pPr>
              <w:pStyle w:val="P68B1DB1-Normal121"/>
              <w:spacing w:after="0" w:line="240" w:lineRule="auto"/>
              <w:rPr>
                <w:noProof/>
              </w:rPr>
            </w:pPr>
            <w:r>
              <w:rPr>
                <w:noProof/>
              </w:rPr>
              <w:t xml:space="preserve">Jaunas prasmes      </w:t>
            </w:r>
          </w:p>
        </w:tc>
      </w:tr>
      <w:tr w:rsidR="00327FF1" w14:paraId="6E743455" w14:textId="77777777">
        <w:trPr>
          <w:trHeight w:val="300"/>
        </w:trPr>
        <w:tc>
          <w:tcPr>
            <w:tcW w:w="1434" w:type="dxa"/>
            <w:shd w:val="clear" w:color="auto" w:fill="C6EFCE"/>
            <w:tcMar>
              <w:left w:w="108" w:type="dxa"/>
              <w:right w:w="108" w:type="dxa"/>
            </w:tcMar>
            <w:vAlign w:val="center"/>
          </w:tcPr>
          <w:p w14:paraId="7987A6D9" w14:textId="77777777" w:rsidR="00327FF1" w:rsidRDefault="00E406C7">
            <w:pPr>
              <w:pStyle w:val="P68B1DB1-Normal121"/>
              <w:spacing w:after="0" w:line="240" w:lineRule="auto"/>
              <w:jc w:val="center"/>
              <w:rPr>
                <w:noProof/>
              </w:rPr>
            </w:pPr>
            <w:r>
              <w:rPr>
                <w:noProof/>
              </w:rPr>
              <w:t>M4C2–1 bis</w:t>
            </w:r>
          </w:p>
        </w:tc>
        <w:tc>
          <w:tcPr>
            <w:tcW w:w="3543" w:type="dxa"/>
            <w:shd w:val="clear" w:color="auto" w:fill="C6EFCE"/>
            <w:tcMar>
              <w:left w:w="108" w:type="dxa"/>
              <w:right w:w="108" w:type="dxa"/>
            </w:tcMar>
            <w:vAlign w:val="center"/>
          </w:tcPr>
          <w:p w14:paraId="6418CA0B" w14:textId="77777777" w:rsidR="00327FF1" w:rsidRDefault="00E406C7">
            <w:pPr>
              <w:pStyle w:val="P68B1DB1-Normal121"/>
              <w:spacing w:after="0" w:line="240" w:lineRule="auto"/>
              <w:rPr>
                <w:noProof/>
              </w:rPr>
            </w:pPr>
            <w:r>
              <w:rPr>
                <w:noProof/>
              </w:rPr>
              <w:t xml:space="preserve">Ieguldījums 1.2. Jauno pētnieku iesniegto projektu finansēšana </w:t>
            </w:r>
          </w:p>
        </w:tc>
        <w:tc>
          <w:tcPr>
            <w:tcW w:w="1277" w:type="dxa"/>
            <w:shd w:val="clear" w:color="auto" w:fill="C6EFCE"/>
            <w:tcMar>
              <w:left w:w="108" w:type="dxa"/>
              <w:right w:w="108" w:type="dxa"/>
            </w:tcMar>
            <w:vAlign w:val="center"/>
          </w:tcPr>
          <w:p w14:paraId="260BE18A"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30D820EF" w14:textId="77777777" w:rsidR="00327FF1" w:rsidRDefault="00E406C7">
            <w:pPr>
              <w:pStyle w:val="P68B1DB1-Normal121"/>
              <w:spacing w:after="0" w:line="240" w:lineRule="auto"/>
              <w:rPr>
                <w:noProof/>
              </w:rPr>
            </w:pPr>
            <w:r>
              <w:rPr>
                <w:noProof/>
              </w:rPr>
              <w:t xml:space="preserve">Dekrēta(-u), ar ko piešķir finansējumu jaunajiem pētniekiem, publicēšana </w:t>
            </w:r>
          </w:p>
        </w:tc>
      </w:tr>
      <w:tr w:rsidR="00327FF1" w14:paraId="16A27429" w14:textId="77777777">
        <w:trPr>
          <w:trHeight w:val="300"/>
        </w:trPr>
        <w:tc>
          <w:tcPr>
            <w:tcW w:w="1434" w:type="dxa"/>
            <w:shd w:val="clear" w:color="auto" w:fill="C6EFCE"/>
            <w:tcMar>
              <w:left w:w="108" w:type="dxa"/>
              <w:right w:w="108" w:type="dxa"/>
            </w:tcMar>
            <w:vAlign w:val="center"/>
          </w:tcPr>
          <w:p w14:paraId="7B0893F7" w14:textId="77777777" w:rsidR="00327FF1" w:rsidRDefault="00E406C7">
            <w:pPr>
              <w:pStyle w:val="P68B1DB1-Normal121"/>
              <w:spacing w:after="0" w:line="240" w:lineRule="auto"/>
              <w:jc w:val="center"/>
              <w:rPr>
                <w:noProof/>
              </w:rPr>
            </w:pPr>
            <w:r>
              <w:rPr>
                <w:noProof/>
              </w:rPr>
              <w:t>M6C2–2</w:t>
            </w:r>
          </w:p>
        </w:tc>
        <w:tc>
          <w:tcPr>
            <w:tcW w:w="3543" w:type="dxa"/>
            <w:shd w:val="clear" w:color="auto" w:fill="C6EFCE"/>
            <w:tcMar>
              <w:left w:w="108" w:type="dxa"/>
              <w:right w:w="108" w:type="dxa"/>
            </w:tcMar>
            <w:vAlign w:val="center"/>
          </w:tcPr>
          <w:p w14:paraId="13216AF0" w14:textId="77777777" w:rsidR="00327FF1" w:rsidRDefault="00E406C7">
            <w:pPr>
              <w:pStyle w:val="P68B1DB1-Normal121"/>
              <w:spacing w:after="0" w:line="240" w:lineRule="auto"/>
              <w:rPr>
                <w:noProof/>
              </w:rPr>
            </w:pPr>
            <w:r>
              <w:rPr>
                <w:noProof/>
              </w:rPr>
              <w:t>Investīcija 2.1: NHS biomedicīnas pētījumu stiprināšana un uzlabošana</w:t>
            </w:r>
          </w:p>
        </w:tc>
        <w:tc>
          <w:tcPr>
            <w:tcW w:w="1277" w:type="dxa"/>
            <w:shd w:val="clear" w:color="auto" w:fill="C6EFCE"/>
            <w:tcMar>
              <w:left w:w="108" w:type="dxa"/>
              <w:right w:w="108" w:type="dxa"/>
            </w:tcMar>
            <w:vAlign w:val="center"/>
          </w:tcPr>
          <w:p w14:paraId="04102493"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7A57D565" w14:textId="77777777" w:rsidR="00327FF1" w:rsidRDefault="00E406C7">
            <w:pPr>
              <w:pStyle w:val="P68B1DB1-Normal121"/>
              <w:spacing w:after="0" w:line="240" w:lineRule="auto"/>
              <w:rPr>
                <w:noProof/>
              </w:rPr>
            </w:pPr>
            <w:r>
              <w:rPr>
                <w:noProof/>
              </w:rPr>
              <w:t xml:space="preserve">Pētniecības projekti, kas finansēti saistībā ar koncepcijas pierādīšanu un retiem vēža veidiem un </w:t>
            </w:r>
            <w:r>
              <w:rPr>
                <w:noProof/>
              </w:rPr>
              <w:t>slimībām</w:t>
            </w:r>
          </w:p>
        </w:tc>
      </w:tr>
      <w:tr w:rsidR="00327FF1" w14:paraId="18104808" w14:textId="77777777">
        <w:trPr>
          <w:trHeight w:val="300"/>
        </w:trPr>
        <w:tc>
          <w:tcPr>
            <w:tcW w:w="1434" w:type="dxa"/>
            <w:shd w:val="clear" w:color="auto" w:fill="C6EFCE"/>
            <w:tcMar>
              <w:left w:w="108" w:type="dxa"/>
              <w:right w:w="108" w:type="dxa"/>
            </w:tcMar>
            <w:vAlign w:val="center"/>
          </w:tcPr>
          <w:p w14:paraId="714F1518" w14:textId="77777777" w:rsidR="00327FF1" w:rsidRDefault="00E406C7">
            <w:pPr>
              <w:pStyle w:val="P68B1DB1-Normal121"/>
              <w:spacing w:after="0" w:line="240" w:lineRule="auto"/>
              <w:jc w:val="center"/>
              <w:rPr>
                <w:noProof/>
              </w:rPr>
            </w:pPr>
            <w:r>
              <w:rPr>
                <w:noProof/>
              </w:rPr>
              <w:t>M6C2–3</w:t>
            </w:r>
          </w:p>
        </w:tc>
        <w:tc>
          <w:tcPr>
            <w:tcW w:w="3543" w:type="dxa"/>
            <w:shd w:val="clear" w:color="auto" w:fill="C6EFCE"/>
            <w:tcMar>
              <w:left w:w="108" w:type="dxa"/>
              <w:right w:w="108" w:type="dxa"/>
            </w:tcMar>
            <w:vAlign w:val="center"/>
          </w:tcPr>
          <w:p w14:paraId="01E92F83" w14:textId="77777777" w:rsidR="00327FF1" w:rsidRDefault="00E406C7">
            <w:pPr>
              <w:pStyle w:val="P68B1DB1-Normal121"/>
              <w:spacing w:after="0" w:line="240" w:lineRule="auto"/>
              <w:rPr>
                <w:noProof/>
              </w:rPr>
            </w:pPr>
            <w:r>
              <w:rPr>
                <w:noProof/>
              </w:rPr>
              <w:t>Investīcija 2.1: NHS biomedicīnas pētījumu stiprināšana un uzlabošana</w:t>
            </w:r>
          </w:p>
        </w:tc>
        <w:tc>
          <w:tcPr>
            <w:tcW w:w="1277" w:type="dxa"/>
            <w:shd w:val="clear" w:color="auto" w:fill="C6EFCE"/>
            <w:tcMar>
              <w:left w:w="108" w:type="dxa"/>
              <w:right w:w="108" w:type="dxa"/>
            </w:tcMar>
            <w:vAlign w:val="center"/>
          </w:tcPr>
          <w:p w14:paraId="69D05661"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788EC45E" w14:textId="77777777" w:rsidR="00327FF1" w:rsidRDefault="00E406C7">
            <w:pPr>
              <w:pStyle w:val="P68B1DB1-Normal121"/>
              <w:spacing w:after="0" w:line="240" w:lineRule="auto"/>
              <w:rPr>
                <w:noProof/>
              </w:rPr>
            </w:pPr>
            <w:r>
              <w:rPr>
                <w:noProof/>
              </w:rPr>
              <w:t>Pētniecības projekti, kas finansēti par slimībām, kurām ir liela ietekme uz veselību</w:t>
            </w:r>
          </w:p>
        </w:tc>
      </w:tr>
      <w:tr w:rsidR="00327FF1" w14:paraId="39D4C83A" w14:textId="77777777">
        <w:trPr>
          <w:trHeight w:val="300"/>
        </w:trPr>
        <w:tc>
          <w:tcPr>
            <w:tcW w:w="1434" w:type="dxa"/>
            <w:shd w:val="clear" w:color="auto" w:fill="C6EFCE"/>
            <w:tcMar>
              <w:left w:w="108" w:type="dxa"/>
              <w:right w:w="108" w:type="dxa"/>
            </w:tcMar>
            <w:vAlign w:val="center"/>
          </w:tcPr>
          <w:p w14:paraId="43A81460" w14:textId="77777777" w:rsidR="00327FF1" w:rsidRDefault="00E406C7">
            <w:pPr>
              <w:pStyle w:val="P68B1DB1-Normal121"/>
              <w:spacing w:after="0" w:line="240" w:lineRule="auto"/>
              <w:jc w:val="center"/>
              <w:rPr>
                <w:noProof/>
              </w:rPr>
            </w:pPr>
            <w:r>
              <w:rPr>
                <w:noProof/>
              </w:rPr>
              <w:t>M7–2</w:t>
            </w:r>
          </w:p>
        </w:tc>
        <w:tc>
          <w:tcPr>
            <w:tcW w:w="3543" w:type="dxa"/>
            <w:shd w:val="clear" w:color="auto" w:fill="C6EFCE"/>
            <w:tcMar>
              <w:left w:w="108" w:type="dxa"/>
              <w:right w:w="108" w:type="dxa"/>
            </w:tcMar>
            <w:vAlign w:val="center"/>
          </w:tcPr>
          <w:p w14:paraId="22228CEE" w14:textId="77777777" w:rsidR="00327FF1" w:rsidRDefault="00E406C7">
            <w:pPr>
              <w:pStyle w:val="P68B1DB1-Normal121"/>
              <w:spacing w:after="0" w:line="240" w:lineRule="auto"/>
              <w:rPr>
                <w:noProof/>
              </w:rPr>
            </w:pPr>
            <w:r>
              <w:rPr>
                <w:noProof/>
              </w:rPr>
              <w:t xml:space="preserve">Reforma: Atļauju piešķiršanas procedūru racionalizēšana attiecībā uz </w:t>
            </w:r>
            <w:r>
              <w:rPr>
                <w:noProof/>
              </w:rPr>
              <w:t>atjaunīgo enerģiju</w:t>
            </w:r>
          </w:p>
        </w:tc>
        <w:tc>
          <w:tcPr>
            <w:tcW w:w="1277" w:type="dxa"/>
            <w:shd w:val="clear" w:color="auto" w:fill="C6EFCE"/>
            <w:tcMar>
              <w:left w:w="108" w:type="dxa"/>
              <w:right w:w="108" w:type="dxa"/>
            </w:tcMar>
            <w:vAlign w:val="center"/>
          </w:tcPr>
          <w:p w14:paraId="22854913"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6E5123BC" w14:textId="77777777" w:rsidR="00327FF1" w:rsidRDefault="00E406C7">
            <w:pPr>
              <w:pStyle w:val="P68B1DB1-Normal121"/>
              <w:spacing w:after="0" w:line="240" w:lineRule="auto"/>
              <w:rPr>
                <w:noProof/>
              </w:rPr>
            </w:pPr>
            <w:r>
              <w:rPr>
                <w:noProof/>
              </w:rPr>
              <w:t xml:space="preserve">Tiesību akta (Testo Unico) stāšanās spēkā </w:t>
            </w:r>
          </w:p>
        </w:tc>
      </w:tr>
      <w:tr w:rsidR="00327FF1" w14:paraId="2A58F8FC" w14:textId="77777777">
        <w:trPr>
          <w:trHeight w:val="300"/>
        </w:trPr>
        <w:tc>
          <w:tcPr>
            <w:tcW w:w="1434" w:type="dxa"/>
            <w:shd w:val="clear" w:color="auto" w:fill="C6EFCE"/>
            <w:tcMar>
              <w:left w:w="108" w:type="dxa"/>
              <w:right w:w="108" w:type="dxa"/>
            </w:tcMar>
            <w:vAlign w:val="center"/>
          </w:tcPr>
          <w:p w14:paraId="42DA4A6E" w14:textId="77777777" w:rsidR="00327FF1" w:rsidRDefault="00E406C7">
            <w:pPr>
              <w:pStyle w:val="P68B1DB1-Normal121"/>
              <w:spacing w:after="0" w:line="240" w:lineRule="auto"/>
              <w:jc w:val="center"/>
              <w:rPr>
                <w:noProof/>
              </w:rPr>
            </w:pPr>
            <w:r>
              <w:rPr>
                <w:noProof/>
              </w:rPr>
              <w:t>M7–25</w:t>
            </w:r>
          </w:p>
        </w:tc>
        <w:tc>
          <w:tcPr>
            <w:tcW w:w="3543" w:type="dxa"/>
            <w:shd w:val="clear" w:color="auto" w:fill="C6EFCE"/>
            <w:tcMar>
              <w:left w:w="108" w:type="dxa"/>
              <w:right w:w="108" w:type="dxa"/>
            </w:tcMar>
            <w:vAlign w:val="center"/>
          </w:tcPr>
          <w:p w14:paraId="4B663733" w14:textId="77777777" w:rsidR="00327FF1" w:rsidRDefault="00E406C7">
            <w:pPr>
              <w:pStyle w:val="P68B1DB1-Normal121"/>
              <w:spacing w:after="0" w:line="240" w:lineRule="auto"/>
              <w:rPr>
                <w:noProof/>
              </w:rPr>
            </w:pPr>
            <w:r>
              <w:rPr>
                <w:noProof/>
              </w:rPr>
              <w:t>Ieguldījums Nr. 8: Kritiski svarīgo izejvielu ilgtspējīga, apritīga un droša piegāde</w:t>
            </w:r>
          </w:p>
        </w:tc>
        <w:tc>
          <w:tcPr>
            <w:tcW w:w="1277" w:type="dxa"/>
            <w:shd w:val="clear" w:color="auto" w:fill="C6EFCE"/>
            <w:tcMar>
              <w:left w:w="108" w:type="dxa"/>
              <w:right w:w="108" w:type="dxa"/>
            </w:tcMar>
            <w:vAlign w:val="center"/>
          </w:tcPr>
          <w:p w14:paraId="2B60862E"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310866B5" w14:textId="77777777" w:rsidR="00327FF1" w:rsidRDefault="00E406C7">
            <w:pPr>
              <w:pStyle w:val="P68B1DB1-Normal121"/>
              <w:spacing w:after="0" w:line="240" w:lineRule="auto"/>
              <w:rPr>
                <w:noProof/>
              </w:rPr>
            </w:pPr>
            <w:r>
              <w:rPr>
                <w:noProof/>
              </w:rPr>
              <w:t xml:space="preserve">Ziņojuma publicēšana par KSI nākotnes vajadzībām un ekodizaina potenciālu </w:t>
            </w:r>
          </w:p>
        </w:tc>
      </w:tr>
      <w:tr w:rsidR="00327FF1" w14:paraId="0EC985D7" w14:textId="77777777">
        <w:trPr>
          <w:trHeight w:val="300"/>
        </w:trPr>
        <w:tc>
          <w:tcPr>
            <w:tcW w:w="1434" w:type="dxa"/>
            <w:shd w:val="clear" w:color="auto" w:fill="C6EFCE"/>
            <w:tcMar>
              <w:left w:w="108" w:type="dxa"/>
              <w:right w:w="108" w:type="dxa"/>
            </w:tcMar>
            <w:vAlign w:val="center"/>
          </w:tcPr>
          <w:p w14:paraId="32549D1C" w14:textId="77777777" w:rsidR="00327FF1" w:rsidRDefault="00E406C7">
            <w:pPr>
              <w:pStyle w:val="P68B1DB1-Normal121"/>
              <w:spacing w:after="0" w:line="240" w:lineRule="auto"/>
              <w:jc w:val="center"/>
              <w:rPr>
                <w:noProof/>
              </w:rPr>
            </w:pPr>
            <w:r>
              <w:rPr>
                <w:noProof/>
              </w:rPr>
              <w:t>M1C2–14bis</w:t>
            </w:r>
          </w:p>
        </w:tc>
        <w:tc>
          <w:tcPr>
            <w:tcW w:w="3543" w:type="dxa"/>
            <w:shd w:val="clear" w:color="auto" w:fill="C6EFCE"/>
            <w:tcMar>
              <w:left w:w="108" w:type="dxa"/>
              <w:right w:w="108" w:type="dxa"/>
            </w:tcMar>
            <w:vAlign w:val="center"/>
          </w:tcPr>
          <w:p w14:paraId="731C1289" w14:textId="77777777" w:rsidR="00327FF1" w:rsidRDefault="00E406C7">
            <w:pPr>
              <w:pStyle w:val="P68B1DB1-Normal121"/>
              <w:spacing w:after="0" w:line="240" w:lineRule="auto"/>
              <w:rPr>
                <w:noProof/>
              </w:rPr>
            </w:pPr>
            <w:r>
              <w:rPr>
                <w:noProof/>
              </w:rPr>
              <w:t>Reforma. Uzņēmumiem paredzēto stimulu racionalizācija un vienkāršošana.</w:t>
            </w:r>
          </w:p>
        </w:tc>
        <w:tc>
          <w:tcPr>
            <w:tcW w:w="1277" w:type="dxa"/>
            <w:shd w:val="clear" w:color="auto" w:fill="C6EFCE"/>
            <w:tcMar>
              <w:left w:w="108" w:type="dxa"/>
              <w:right w:w="108" w:type="dxa"/>
            </w:tcMar>
            <w:vAlign w:val="center"/>
          </w:tcPr>
          <w:p w14:paraId="17000A08"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778D9CE9" w14:textId="77777777" w:rsidR="00327FF1" w:rsidRDefault="00E406C7">
            <w:pPr>
              <w:pStyle w:val="P68B1DB1-Normal121"/>
              <w:spacing w:after="0" w:line="240" w:lineRule="auto"/>
              <w:rPr>
                <w:noProof/>
              </w:rPr>
            </w:pPr>
            <w:r>
              <w:rPr>
                <w:noProof/>
              </w:rPr>
              <w:t>Ziņojuma, kurā izvērtēti visi stimuli uzņēmumiem, publicēšana</w:t>
            </w:r>
          </w:p>
        </w:tc>
      </w:tr>
      <w:tr w:rsidR="00327FF1" w14:paraId="0694A424" w14:textId="77777777">
        <w:trPr>
          <w:trHeight w:val="300"/>
        </w:trPr>
        <w:tc>
          <w:tcPr>
            <w:tcW w:w="1434" w:type="dxa"/>
            <w:shd w:val="clear" w:color="auto" w:fill="C6EFCE"/>
            <w:tcMar>
              <w:left w:w="108" w:type="dxa"/>
              <w:right w:w="108" w:type="dxa"/>
            </w:tcMar>
            <w:vAlign w:val="center"/>
          </w:tcPr>
          <w:p w14:paraId="642051DC" w14:textId="77777777" w:rsidR="00327FF1" w:rsidRDefault="00E406C7">
            <w:pPr>
              <w:pStyle w:val="P68B1DB1-Normal121"/>
              <w:spacing w:after="0" w:line="240" w:lineRule="auto"/>
              <w:jc w:val="center"/>
              <w:rPr>
                <w:noProof/>
              </w:rPr>
            </w:pPr>
            <w:r>
              <w:rPr>
                <w:noProof/>
              </w:rPr>
              <w:t>M5C1–15</w:t>
            </w:r>
          </w:p>
        </w:tc>
        <w:tc>
          <w:tcPr>
            <w:tcW w:w="3543" w:type="dxa"/>
            <w:shd w:val="clear" w:color="auto" w:fill="C6EFCE"/>
            <w:tcMar>
              <w:left w:w="108" w:type="dxa"/>
              <w:right w:w="108" w:type="dxa"/>
            </w:tcMar>
            <w:vAlign w:val="center"/>
          </w:tcPr>
          <w:p w14:paraId="46F14D12" w14:textId="77777777" w:rsidR="00327FF1" w:rsidRDefault="00E406C7">
            <w:pPr>
              <w:pStyle w:val="P68B1DB1-Normal121"/>
              <w:spacing w:after="0" w:line="240" w:lineRule="auto"/>
              <w:rPr>
                <w:noProof/>
              </w:rPr>
            </w:pPr>
            <w:r>
              <w:rPr>
                <w:noProof/>
              </w:rPr>
              <w:t>Investīci</w:t>
            </w:r>
            <w:r>
              <w:rPr>
                <w:noProof/>
              </w:rPr>
              <w:t>ja 3 — Divējādās sistēmas stiprināšana</w:t>
            </w:r>
          </w:p>
        </w:tc>
        <w:tc>
          <w:tcPr>
            <w:tcW w:w="1277" w:type="dxa"/>
            <w:shd w:val="clear" w:color="auto" w:fill="C6EFCE"/>
            <w:tcMar>
              <w:left w:w="108" w:type="dxa"/>
              <w:right w:w="108" w:type="dxa"/>
            </w:tcMar>
            <w:vAlign w:val="center"/>
          </w:tcPr>
          <w:p w14:paraId="322697D0"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0D9ACC19" w14:textId="77777777" w:rsidR="00327FF1" w:rsidRDefault="00E406C7">
            <w:pPr>
              <w:pStyle w:val="P68B1DB1-Normal121"/>
              <w:spacing w:after="0" w:line="240" w:lineRule="auto"/>
              <w:rPr>
                <w:noProof/>
              </w:rPr>
            </w:pPr>
            <w:r>
              <w:rPr>
                <w:noProof/>
              </w:rPr>
              <w:t>Sertifikāti, kas izsniegti, izmantojot duālās izglītības sistēmu</w:t>
            </w:r>
          </w:p>
        </w:tc>
      </w:tr>
      <w:tr w:rsidR="00327FF1" w14:paraId="34D23886" w14:textId="77777777">
        <w:trPr>
          <w:trHeight w:val="300"/>
        </w:trPr>
        <w:tc>
          <w:tcPr>
            <w:tcW w:w="1434" w:type="dxa"/>
            <w:shd w:val="clear" w:color="auto" w:fill="C6EFCE"/>
            <w:tcMar>
              <w:left w:w="108" w:type="dxa"/>
              <w:right w:w="108" w:type="dxa"/>
            </w:tcMar>
            <w:vAlign w:val="center"/>
          </w:tcPr>
          <w:p w14:paraId="0F69B061" w14:textId="77777777" w:rsidR="00327FF1" w:rsidRDefault="00E406C7">
            <w:pPr>
              <w:pStyle w:val="P68B1DB1-Normal121"/>
              <w:spacing w:after="0" w:line="240" w:lineRule="auto"/>
              <w:jc w:val="center"/>
              <w:rPr>
                <w:noProof/>
              </w:rPr>
            </w:pPr>
            <w:r>
              <w:rPr>
                <w:noProof/>
              </w:rPr>
              <w:t>M2C1–12</w:t>
            </w:r>
          </w:p>
        </w:tc>
        <w:tc>
          <w:tcPr>
            <w:tcW w:w="3543" w:type="dxa"/>
            <w:shd w:val="clear" w:color="auto" w:fill="C6EFCE"/>
            <w:tcMar>
              <w:left w:w="108" w:type="dxa"/>
              <w:right w:w="108" w:type="dxa"/>
            </w:tcMar>
            <w:vAlign w:val="center"/>
          </w:tcPr>
          <w:p w14:paraId="64A02EA9" w14:textId="77777777" w:rsidR="00327FF1" w:rsidRDefault="00E406C7">
            <w:pPr>
              <w:pStyle w:val="P68B1DB1-Normal121"/>
              <w:spacing w:after="0" w:line="240" w:lineRule="auto"/>
              <w:rPr>
                <w:noProof/>
              </w:rPr>
            </w:pPr>
            <w:r>
              <w:rPr>
                <w:noProof/>
              </w:rPr>
              <w:t>Investīcija 3.3.: Kultūra un informētība par vides jautājumiem un problēmām</w:t>
            </w:r>
          </w:p>
        </w:tc>
        <w:tc>
          <w:tcPr>
            <w:tcW w:w="1277" w:type="dxa"/>
            <w:shd w:val="clear" w:color="auto" w:fill="C6EFCE"/>
            <w:tcMar>
              <w:left w:w="108" w:type="dxa"/>
              <w:right w:w="108" w:type="dxa"/>
            </w:tcMar>
            <w:vAlign w:val="center"/>
          </w:tcPr>
          <w:p w14:paraId="702AF6CA"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3B4A84B7" w14:textId="77777777" w:rsidR="00327FF1" w:rsidRDefault="00E406C7">
            <w:pPr>
              <w:pStyle w:val="P68B1DB1-Normal121"/>
              <w:spacing w:after="0" w:line="240" w:lineRule="auto"/>
              <w:rPr>
                <w:noProof/>
              </w:rPr>
            </w:pPr>
            <w:r>
              <w:rPr>
                <w:noProof/>
              </w:rPr>
              <w:t>Aplādes par vidisko pārkārtošanos</w:t>
            </w:r>
          </w:p>
        </w:tc>
      </w:tr>
      <w:tr w:rsidR="00327FF1" w14:paraId="413C4F0E" w14:textId="77777777">
        <w:trPr>
          <w:trHeight w:val="300"/>
        </w:trPr>
        <w:tc>
          <w:tcPr>
            <w:tcW w:w="1434" w:type="dxa"/>
            <w:shd w:val="clear" w:color="auto" w:fill="C6EFCE"/>
            <w:tcMar>
              <w:left w:w="108" w:type="dxa"/>
              <w:right w:w="108" w:type="dxa"/>
            </w:tcMar>
            <w:vAlign w:val="center"/>
          </w:tcPr>
          <w:p w14:paraId="7FCF3090" w14:textId="77777777" w:rsidR="00327FF1" w:rsidRDefault="00E406C7">
            <w:pPr>
              <w:pStyle w:val="P68B1DB1-Normal121"/>
              <w:spacing w:after="0" w:line="240" w:lineRule="auto"/>
              <w:jc w:val="center"/>
              <w:rPr>
                <w:noProof/>
              </w:rPr>
            </w:pPr>
            <w:r>
              <w:rPr>
                <w:noProof/>
              </w:rPr>
              <w:t>M4C1–19</w:t>
            </w:r>
          </w:p>
        </w:tc>
        <w:tc>
          <w:tcPr>
            <w:tcW w:w="3543" w:type="dxa"/>
            <w:shd w:val="clear" w:color="auto" w:fill="C6EFCE"/>
            <w:tcMar>
              <w:left w:w="108" w:type="dxa"/>
              <w:right w:w="108" w:type="dxa"/>
            </w:tcMar>
            <w:vAlign w:val="center"/>
          </w:tcPr>
          <w:p w14:paraId="4A86F3E1" w14:textId="77777777" w:rsidR="00327FF1" w:rsidRDefault="00E406C7">
            <w:pPr>
              <w:pStyle w:val="P68B1DB1-Normal121"/>
              <w:spacing w:after="0" w:line="240" w:lineRule="auto"/>
              <w:rPr>
                <w:noProof/>
              </w:rPr>
            </w:pPr>
            <w:r>
              <w:rPr>
                <w:noProof/>
              </w:rPr>
              <w:t>“Investīcija</w:t>
            </w:r>
            <w:r>
              <w:rPr>
                <w:noProof/>
              </w:rPr>
              <w:t xml:space="preserve"> Nr. 3.2. Skola 4.0: inovatīvas skolas, instalācijas, jaunas klases un darbsemināri</w:t>
            </w:r>
          </w:p>
        </w:tc>
        <w:tc>
          <w:tcPr>
            <w:tcW w:w="1277" w:type="dxa"/>
            <w:shd w:val="clear" w:color="auto" w:fill="C6EFCE"/>
            <w:tcMar>
              <w:left w:w="108" w:type="dxa"/>
              <w:right w:w="108" w:type="dxa"/>
            </w:tcMar>
            <w:vAlign w:val="center"/>
          </w:tcPr>
          <w:p w14:paraId="3646EA69"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599B98A8" w14:textId="77777777" w:rsidR="00327FF1" w:rsidRDefault="00E406C7">
            <w:pPr>
              <w:pStyle w:val="P68B1DB1-Normal121"/>
              <w:spacing w:after="0" w:line="240" w:lineRule="auto"/>
              <w:rPr>
                <w:noProof/>
              </w:rPr>
            </w:pPr>
            <w:r>
              <w:rPr>
                <w:noProof/>
              </w:rPr>
              <w:t>Dotāciju piešķiršanas lēmuma(-u) pieņemšana par digitālo ierīču iegādi un/vai digitālo laboratoriju izveidi</w:t>
            </w:r>
          </w:p>
        </w:tc>
      </w:tr>
      <w:tr w:rsidR="00327FF1" w14:paraId="7128613E" w14:textId="77777777">
        <w:trPr>
          <w:trHeight w:val="300"/>
        </w:trPr>
        <w:tc>
          <w:tcPr>
            <w:tcW w:w="1434" w:type="dxa"/>
            <w:shd w:val="clear" w:color="auto" w:fill="C6EFCE"/>
            <w:tcMar>
              <w:left w:w="108" w:type="dxa"/>
              <w:right w:w="108" w:type="dxa"/>
            </w:tcMar>
            <w:vAlign w:val="center"/>
          </w:tcPr>
          <w:p w14:paraId="41B1A6C0" w14:textId="77777777" w:rsidR="00327FF1" w:rsidRDefault="00E406C7">
            <w:pPr>
              <w:pStyle w:val="P68B1DB1-Normal121"/>
              <w:spacing w:after="0" w:line="240" w:lineRule="auto"/>
              <w:jc w:val="center"/>
              <w:rPr>
                <w:noProof/>
              </w:rPr>
            </w:pPr>
            <w:r>
              <w:rPr>
                <w:noProof/>
              </w:rPr>
              <w:t>M1C1–98bis</w:t>
            </w:r>
          </w:p>
        </w:tc>
        <w:tc>
          <w:tcPr>
            <w:tcW w:w="3543" w:type="dxa"/>
            <w:shd w:val="clear" w:color="auto" w:fill="C6EFCE"/>
            <w:tcMar>
              <w:left w:w="108" w:type="dxa"/>
              <w:right w:w="108" w:type="dxa"/>
            </w:tcMar>
            <w:vAlign w:val="center"/>
          </w:tcPr>
          <w:p w14:paraId="5756E559" w14:textId="77777777" w:rsidR="00327FF1" w:rsidRDefault="00E406C7">
            <w:pPr>
              <w:pStyle w:val="P68B1DB1-Normal121"/>
              <w:spacing w:after="0" w:line="240" w:lineRule="auto"/>
              <w:rPr>
                <w:noProof/>
              </w:rPr>
            </w:pPr>
            <w:r>
              <w:rPr>
                <w:noProof/>
              </w:rPr>
              <w:t xml:space="preserve">Reforma Nr. 1.10. Publiskā </w:t>
            </w:r>
            <w:r>
              <w:rPr>
                <w:noProof/>
              </w:rPr>
              <w:t>iepirkuma tiesiskā regulējuma reforma</w:t>
            </w:r>
          </w:p>
        </w:tc>
        <w:tc>
          <w:tcPr>
            <w:tcW w:w="1277" w:type="dxa"/>
            <w:shd w:val="clear" w:color="auto" w:fill="C6EFCE"/>
            <w:tcMar>
              <w:left w:w="108" w:type="dxa"/>
              <w:right w:w="108" w:type="dxa"/>
            </w:tcMar>
            <w:vAlign w:val="center"/>
          </w:tcPr>
          <w:p w14:paraId="3BA959C1"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6AE51375" w14:textId="77777777" w:rsidR="00327FF1" w:rsidRDefault="00E406C7">
            <w:pPr>
              <w:pStyle w:val="P68B1DB1-Normal121"/>
              <w:spacing w:after="0" w:line="240" w:lineRule="auto"/>
              <w:rPr>
                <w:noProof/>
              </w:rPr>
            </w:pPr>
            <w:r>
              <w:rPr>
                <w:noProof/>
              </w:rPr>
              <w:t>Ierēdņi, kas apmācīti, izmantojot publiskā iepirkuma profesionalizācijas stratēģiju</w:t>
            </w:r>
          </w:p>
        </w:tc>
      </w:tr>
      <w:tr w:rsidR="00327FF1" w14:paraId="2F4FD992" w14:textId="77777777">
        <w:trPr>
          <w:trHeight w:val="300"/>
        </w:trPr>
        <w:tc>
          <w:tcPr>
            <w:tcW w:w="1434" w:type="dxa"/>
            <w:shd w:val="clear" w:color="auto" w:fill="C6EFCE"/>
            <w:tcMar>
              <w:left w:w="108" w:type="dxa"/>
              <w:right w:w="108" w:type="dxa"/>
            </w:tcMar>
            <w:vAlign w:val="center"/>
          </w:tcPr>
          <w:p w14:paraId="35277D89" w14:textId="77777777" w:rsidR="00327FF1" w:rsidRDefault="00327FF1">
            <w:pPr>
              <w:spacing w:after="0" w:line="240" w:lineRule="auto"/>
              <w:jc w:val="center"/>
              <w:rPr>
                <w:rFonts w:ascii="Times New Roman" w:eastAsia="Times New Roman" w:hAnsi="Times New Roman" w:cs="Times New Roman"/>
                <w:noProof/>
              </w:rPr>
            </w:pPr>
          </w:p>
        </w:tc>
        <w:tc>
          <w:tcPr>
            <w:tcW w:w="3543" w:type="dxa"/>
            <w:shd w:val="clear" w:color="auto" w:fill="C6EFCE"/>
            <w:tcMar>
              <w:left w:w="108" w:type="dxa"/>
              <w:right w:w="108" w:type="dxa"/>
            </w:tcMar>
            <w:vAlign w:val="center"/>
          </w:tcPr>
          <w:p w14:paraId="4707CDE8" w14:textId="77777777" w:rsidR="00327FF1" w:rsidRDefault="00E406C7">
            <w:pPr>
              <w:pStyle w:val="P68B1DB1-Normal121"/>
              <w:spacing w:after="0" w:line="240" w:lineRule="auto"/>
              <w:rPr>
                <w:noProof/>
              </w:rPr>
            </w:pPr>
            <w:r>
              <w:rPr>
                <w:noProof/>
              </w:rPr>
              <w:t xml:space="preserve"> </w:t>
            </w:r>
          </w:p>
        </w:tc>
        <w:tc>
          <w:tcPr>
            <w:tcW w:w="1277" w:type="dxa"/>
            <w:shd w:val="clear" w:color="auto" w:fill="C6EFCE"/>
            <w:tcMar>
              <w:left w:w="108" w:type="dxa"/>
              <w:right w:w="108" w:type="dxa"/>
            </w:tcMar>
            <w:vAlign w:val="center"/>
          </w:tcPr>
          <w:p w14:paraId="11730EA8" w14:textId="77777777" w:rsidR="00327FF1" w:rsidRDefault="00E406C7">
            <w:pPr>
              <w:pStyle w:val="P68B1DB1-Normal121"/>
              <w:spacing w:after="0" w:line="240" w:lineRule="auto"/>
              <w:jc w:val="center"/>
              <w:rPr>
                <w:noProof/>
              </w:rPr>
            </w:pPr>
            <w:r>
              <w:rPr>
                <w:noProof/>
              </w:rPr>
              <w:t>Maksājuma summa</w:t>
            </w:r>
          </w:p>
        </w:tc>
        <w:tc>
          <w:tcPr>
            <w:tcW w:w="3105" w:type="dxa"/>
            <w:shd w:val="clear" w:color="auto" w:fill="C6EFCE"/>
            <w:tcMar>
              <w:left w:w="108" w:type="dxa"/>
              <w:right w:w="108" w:type="dxa"/>
            </w:tcMar>
            <w:vAlign w:val="center"/>
          </w:tcPr>
          <w:p w14:paraId="0606008D"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3541589877</w:t>
            </w:r>
            <w:r>
              <w:rPr>
                <w:noProof/>
                <w:sz w:val="23"/>
                <w:szCs w:val="23"/>
              </w:rPr>
              <w:t xml:space="preserve"> </w:t>
            </w:r>
          </w:p>
        </w:tc>
      </w:tr>
    </w:tbl>
    <w:p w14:paraId="1BF89750" w14:textId="12ED3EEA" w:rsidR="00327FF1" w:rsidRDefault="00327FF1">
      <w:pPr>
        <w:rPr>
          <w:rFonts w:ascii="Times New Roman" w:eastAsia="Times New Roman" w:hAnsi="Times New Roman" w:cs="Times New Roman"/>
          <w:noProof/>
        </w:rPr>
      </w:pPr>
    </w:p>
    <w:p w14:paraId="2AD19847" w14:textId="77777777" w:rsidR="00327FF1" w:rsidRDefault="00E406C7">
      <w:pPr>
        <w:pStyle w:val="P68B1DB1-Heading4119"/>
        <w:numPr>
          <w:ilvl w:val="1"/>
          <w:numId w:val="180"/>
        </w:numPr>
        <w:tabs>
          <w:tab w:val="num" w:pos="1440"/>
        </w:tabs>
        <w:ind w:left="1440" w:hanging="360"/>
        <w:rPr>
          <w:noProof/>
        </w:rPr>
      </w:pPr>
      <w:r>
        <w:rPr>
          <w:noProof/>
        </w:rPr>
        <w:t>Devītais piešķīrums (neatmaksājams atbalsts):</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43"/>
        <w:gridCol w:w="1276"/>
        <w:gridCol w:w="3105"/>
      </w:tblGrid>
      <w:tr w:rsidR="00327FF1" w14:paraId="5987E9DB" w14:textId="77777777">
        <w:trPr>
          <w:trHeight w:val="1425"/>
          <w:tblHeader/>
        </w:trPr>
        <w:tc>
          <w:tcPr>
            <w:tcW w:w="1435" w:type="dxa"/>
            <w:shd w:val="clear" w:color="auto" w:fill="BDD7EE"/>
            <w:tcMar>
              <w:left w:w="108" w:type="dxa"/>
              <w:right w:w="108" w:type="dxa"/>
            </w:tcMar>
            <w:vAlign w:val="center"/>
          </w:tcPr>
          <w:p w14:paraId="45CBA8D2" w14:textId="77777777" w:rsidR="00327FF1" w:rsidRDefault="00E406C7">
            <w:pPr>
              <w:pStyle w:val="P68B1DB1-Normal120"/>
              <w:spacing w:after="0" w:line="240" w:lineRule="auto"/>
              <w:jc w:val="center"/>
              <w:rPr>
                <w:noProof/>
              </w:rPr>
            </w:pPr>
            <w:r>
              <w:rPr>
                <w:noProof/>
              </w:rPr>
              <w:t>Kārtas numurs</w:t>
            </w:r>
          </w:p>
        </w:tc>
        <w:tc>
          <w:tcPr>
            <w:tcW w:w="3543" w:type="dxa"/>
            <w:shd w:val="clear" w:color="auto" w:fill="BDD7EE"/>
            <w:tcMar>
              <w:left w:w="108" w:type="dxa"/>
              <w:right w:w="108" w:type="dxa"/>
            </w:tcMar>
            <w:vAlign w:val="center"/>
          </w:tcPr>
          <w:p w14:paraId="31184FA4" w14:textId="77777777" w:rsidR="00327FF1" w:rsidRDefault="00E406C7">
            <w:pPr>
              <w:pStyle w:val="P68B1DB1-Normal120"/>
              <w:spacing w:after="0" w:line="240" w:lineRule="auto"/>
              <w:jc w:val="center"/>
              <w:rPr>
                <w:noProof/>
              </w:rPr>
            </w:pPr>
            <w:r>
              <w:rPr>
                <w:noProof/>
              </w:rPr>
              <w:t xml:space="preserve">Saistītais pasākums (reforma </w:t>
            </w:r>
            <w:r>
              <w:rPr>
                <w:noProof/>
              </w:rPr>
              <w:t>vai ieguldījums)</w:t>
            </w:r>
          </w:p>
        </w:tc>
        <w:tc>
          <w:tcPr>
            <w:tcW w:w="1276" w:type="dxa"/>
            <w:shd w:val="clear" w:color="auto" w:fill="BDD7EE"/>
            <w:tcMar>
              <w:left w:w="108" w:type="dxa"/>
              <w:right w:w="108" w:type="dxa"/>
            </w:tcMar>
            <w:vAlign w:val="center"/>
          </w:tcPr>
          <w:p w14:paraId="0CB407C5" w14:textId="77777777" w:rsidR="00327FF1" w:rsidRDefault="00E406C7">
            <w:pPr>
              <w:pStyle w:val="P68B1DB1-Normal120"/>
              <w:spacing w:after="0" w:line="240" w:lineRule="auto"/>
              <w:jc w:val="center"/>
              <w:rPr>
                <w:noProof/>
              </w:rPr>
            </w:pPr>
            <w:r>
              <w:rPr>
                <w:noProof/>
              </w:rPr>
              <w:t>Atskaites punkts/mērķrādītājs</w:t>
            </w:r>
          </w:p>
        </w:tc>
        <w:tc>
          <w:tcPr>
            <w:tcW w:w="3105" w:type="dxa"/>
            <w:shd w:val="clear" w:color="auto" w:fill="BDD7EE"/>
            <w:tcMar>
              <w:left w:w="108" w:type="dxa"/>
              <w:right w:w="108" w:type="dxa"/>
            </w:tcMar>
            <w:vAlign w:val="center"/>
          </w:tcPr>
          <w:p w14:paraId="719AC517" w14:textId="77777777" w:rsidR="00327FF1" w:rsidRDefault="00E406C7">
            <w:pPr>
              <w:pStyle w:val="P68B1DB1-Normal120"/>
              <w:spacing w:after="0" w:line="240" w:lineRule="auto"/>
              <w:jc w:val="center"/>
              <w:rPr>
                <w:noProof/>
              </w:rPr>
            </w:pPr>
            <w:r>
              <w:rPr>
                <w:noProof/>
              </w:rPr>
              <w:t>Nosaukums</w:t>
            </w:r>
          </w:p>
        </w:tc>
      </w:tr>
      <w:tr w:rsidR="00327FF1" w14:paraId="5C129F7B" w14:textId="77777777">
        <w:trPr>
          <w:trHeight w:val="300"/>
        </w:trPr>
        <w:tc>
          <w:tcPr>
            <w:tcW w:w="1435" w:type="dxa"/>
            <w:shd w:val="clear" w:color="auto" w:fill="C6EFCE"/>
            <w:tcMar>
              <w:left w:w="108" w:type="dxa"/>
              <w:right w:w="108" w:type="dxa"/>
            </w:tcMar>
            <w:vAlign w:val="center"/>
          </w:tcPr>
          <w:p w14:paraId="4E2362FB" w14:textId="77777777" w:rsidR="00327FF1" w:rsidRDefault="00E406C7">
            <w:pPr>
              <w:pStyle w:val="P68B1DB1-Normal121"/>
              <w:spacing w:after="0" w:line="240" w:lineRule="auto"/>
              <w:jc w:val="center"/>
              <w:rPr>
                <w:noProof/>
              </w:rPr>
            </w:pPr>
            <w:r>
              <w:rPr>
                <w:noProof/>
              </w:rPr>
              <w:t>M4C1–7</w:t>
            </w:r>
          </w:p>
        </w:tc>
        <w:tc>
          <w:tcPr>
            <w:tcW w:w="3543" w:type="dxa"/>
            <w:shd w:val="clear" w:color="auto" w:fill="C6EFCE"/>
            <w:tcMar>
              <w:left w:w="108" w:type="dxa"/>
              <w:right w:w="108" w:type="dxa"/>
            </w:tcMar>
            <w:vAlign w:val="center"/>
          </w:tcPr>
          <w:p w14:paraId="3E990AA7" w14:textId="77777777" w:rsidR="00327FF1" w:rsidRDefault="00E406C7">
            <w:pPr>
              <w:pStyle w:val="P68B1DB1-Normal121"/>
              <w:spacing w:after="0" w:line="240" w:lineRule="auto"/>
              <w:rPr>
                <w:noProof/>
              </w:rPr>
            </w:pPr>
            <w:r>
              <w:rPr>
                <w:noProof/>
              </w:rPr>
              <w:t>Investīcija Nr. 1.4: Ārkārtas intervence, kuras mērķis ir samazināt teritoriālās atšķirības vidusskolas I un II ciklā un novērst mācību priekšlaicīgu pārtraukšanu</w:t>
            </w:r>
          </w:p>
        </w:tc>
        <w:tc>
          <w:tcPr>
            <w:tcW w:w="1276" w:type="dxa"/>
            <w:shd w:val="clear" w:color="auto" w:fill="C6EFCE"/>
            <w:tcMar>
              <w:left w:w="108" w:type="dxa"/>
              <w:right w:w="108" w:type="dxa"/>
            </w:tcMar>
            <w:vAlign w:val="center"/>
          </w:tcPr>
          <w:p w14:paraId="103A8FD9"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31AD2FE1" w14:textId="63AE24F5" w:rsidR="00327FF1" w:rsidRDefault="00E406C7">
            <w:pPr>
              <w:pStyle w:val="P68B1DB1-Normal121"/>
              <w:spacing w:after="0" w:line="240" w:lineRule="auto"/>
              <w:rPr>
                <w:noProof/>
              </w:rPr>
            </w:pPr>
            <w:r>
              <w:rPr>
                <w:noProof/>
              </w:rPr>
              <w:t>Studenti vai jaunieši,</w:t>
            </w:r>
            <w:r>
              <w:rPr>
                <w:noProof/>
              </w:rPr>
              <w:t xml:space="preserve"> kas piedalījušies mentorēšanas pasākumos vai apmācības kursos</w:t>
            </w:r>
          </w:p>
        </w:tc>
      </w:tr>
      <w:tr w:rsidR="00327FF1" w14:paraId="00E93C63" w14:textId="77777777">
        <w:trPr>
          <w:trHeight w:val="300"/>
        </w:trPr>
        <w:tc>
          <w:tcPr>
            <w:tcW w:w="1435" w:type="dxa"/>
            <w:shd w:val="clear" w:color="auto" w:fill="C6EFCE"/>
            <w:tcMar>
              <w:left w:w="108" w:type="dxa"/>
              <w:right w:w="108" w:type="dxa"/>
            </w:tcMar>
            <w:vAlign w:val="center"/>
          </w:tcPr>
          <w:p w14:paraId="517D1C3B" w14:textId="77777777" w:rsidR="00327FF1" w:rsidRDefault="00E406C7">
            <w:pPr>
              <w:pStyle w:val="P68B1DB1-Normal121"/>
              <w:spacing w:after="0" w:line="240" w:lineRule="auto"/>
              <w:jc w:val="center"/>
              <w:rPr>
                <w:noProof/>
              </w:rPr>
            </w:pPr>
            <w:r>
              <w:rPr>
                <w:noProof/>
              </w:rPr>
              <w:t>M4C1–14 bis</w:t>
            </w:r>
          </w:p>
        </w:tc>
        <w:tc>
          <w:tcPr>
            <w:tcW w:w="3543" w:type="dxa"/>
            <w:shd w:val="clear" w:color="auto" w:fill="C6EFCE"/>
            <w:tcMar>
              <w:left w:w="108" w:type="dxa"/>
              <w:right w:w="108" w:type="dxa"/>
            </w:tcMar>
            <w:vAlign w:val="center"/>
          </w:tcPr>
          <w:p w14:paraId="47B0E883" w14:textId="77777777" w:rsidR="00327FF1" w:rsidRDefault="00E406C7">
            <w:pPr>
              <w:pStyle w:val="P68B1DB1-Normal121"/>
              <w:spacing w:after="0" w:line="240" w:lineRule="auto"/>
              <w:rPr>
                <w:noProof/>
              </w:rPr>
            </w:pPr>
            <w:r>
              <w:rPr>
                <w:noProof/>
              </w:rPr>
              <w:t xml:space="preserve">Reforma Nr. 2.1. Skolotāju pieņemšana darbā   </w:t>
            </w:r>
          </w:p>
        </w:tc>
        <w:tc>
          <w:tcPr>
            <w:tcW w:w="1276" w:type="dxa"/>
            <w:shd w:val="clear" w:color="auto" w:fill="C6EFCE"/>
            <w:tcMar>
              <w:left w:w="108" w:type="dxa"/>
              <w:right w:w="108" w:type="dxa"/>
            </w:tcMar>
            <w:vAlign w:val="center"/>
          </w:tcPr>
          <w:p w14:paraId="68D4C4B3"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458B026F" w14:textId="77777777" w:rsidR="00327FF1" w:rsidRDefault="00E406C7">
            <w:pPr>
              <w:pStyle w:val="P68B1DB1-Normal121"/>
              <w:spacing w:after="0" w:line="240" w:lineRule="auto"/>
              <w:rPr>
                <w:noProof/>
              </w:rPr>
            </w:pPr>
            <w:r>
              <w:rPr>
                <w:noProof/>
              </w:rPr>
              <w:t>Skolotāji, kas pieņemti darbā ar reformēto darbā pieņemšanas sistēmu</w:t>
            </w:r>
          </w:p>
        </w:tc>
      </w:tr>
      <w:tr w:rsidR="00327FF1" w14:paraId="0BF79147" w14:textId="77777777">
        <w:trPr>
          <w:trHeight w:val="300"/>
        </w:trPr>
        <w:tc>
          <w:tcPr>
            <w:tcW w:w="1435" w:type="dxa"/>
            <w:shd w:val="clear" w:color="auto" w:fill="C6EFCE"/>
            <w:tcMar>
              <w:left w:w="108" w:type="dxa"/>
              <w:right w:w="108" w:type="dxa"/>
            </w:tcMar>
            <w:vAlign w:val="center"/>
          </w:tcPr>
          <w:p w14:paraId="0EBE5033" w14:textId="77777777" w:rsidR="00327FF1" w:rsidRDefault="00E406C7">
            <w:pPr>
              <w:pStyle w:val="P68B1DB1-Normal121"/>
              <w:spacing w:after="0" w:line="240" w:lineRule="auto"/>
              <w:jc w:val="center"/>
              <w:rPr>
                <w:noProof/>
              </w:rPr>
            </w:pPr>
            <w:r>
              <w:rPr>
                <w:noProof/>
              </w:rPr>
              <w:t>M7–6</w:t>
            </w:r>
          </w:p>
        </w:tc>
        <w:tc>
          <w:tcPr>
            <w:tcW w:w="3543" w:type="dxa"/>
            <w:shd w:val="clear" w:color="auto" w:fill="C6EFCE"/>
            <w:tcMar>
              <w:left w:w="108" w:type="dxa"/>
              <w:right w:w="108" w:type="dxa"/>
            </w:tcMar>
            <w:vAlign w:val="center"/>
          </w:tcPr>
          <w:p w14:paraId="36176AC7" w14:textId="77777777" w:rsidR="00327FF1" w:rsidRDefault="00E406C7">
            <w:pPr>
              <w:pStyle w:val="P68B1DB1-Normal121"/>
              <w:spacing w:after="0" w:line="240" w:lineRule="auto"/>
              <w:rPr>
                <w:noProof/>
              </w:rPr>
            </w:pPr>
            <w:r>
              <w:rPr>
                <w:noProof/>
              </w:rPr>
              <w:t xml:space="preserve">Reforma. Biometāna pieslēguma gāzes tīklam izmaksu </w:t>
            </w:r>
            <w:r>
              <w:rPr>
                <w:noProof/>
              </w:rPr>
              <w:t>samazināšana</w:t>
            </w:r>
          </w:p>
        </w:tc>
        <w:tc>
          <w:tcPr>
            <w:tcW w:w="1276" w:type="dxa"/>
            <w:shd w:val="clear" w:color="auto" w:fill="C6EFCE"/>
            <w:tcMar>
              <w:left w:w="108" w:type="dxa"/>
              <w:right w:w="108" w:type="dxa"/>
            </w:tcMar>
            <w:vAlign w:val="center"/>
          </w:tcPr>
          <w:p w14:paraId="3B6826C1"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25A37CCD" w14:textId="77777777" w:rsidR="00327FF1" w:rsidRDefault="00E406C7">
            <w:pPr>
              <w:pStyle w:val="P68B1DB1-Normal121"/>
              <w:spacing w:after="0" w:line="240" w:lineRule="auto"/>
              <w:rPr>
                <w:noProof/>
              </w:rPr>
            </w:pPr>
            <w:r>
              <w:rPr>
                <w:noProof/>
              </w:rPr>
              <w:t xml:space="preserve">Tādu tiesību aktu stāšanās spēkā, kuru mērķis ir samazināt izmaksas, kas saistītas ar biometāna ražotņu pieslēgšanu gāzes tīklam </w:t>
            </w:r>
          </w:p>
        </w:tc>
      </w:tr>
      <w:tr w:rsidR="00327FF1" w14:paraId="7EBACB58" w14:textId="77777777">
        <w:trPr>
          <w:trHeight w:val="300"/>
        </w:trPr>
        <w:tc>
          <w:tcPr>
            <w:tcW w:w="1435" w:type="dxa"/>
            <w:shd w:val="clear" w:color="auto" w:fill="C6EFCE"/>
            <w:tcMar>
              <w:left w:w="108" w:type="dxa"/>
              <w:right w:w="108" w:type="dxa"/>
            </w:tcMar>
            <w:vAlign w:val="center"/>
          </w:tcPr>
          <w:p w14:paraId="338D0B3D" w14:textId="77777777" w:rsidR="00327FF1" w:rsidRDefault="00E406C7">
            <w:pPr>
              <w:pStyle w:val="P68B1DB1-Normal121"/>
              <w:spacing w:after="0" w:line="240" w:lineRule="auto"/>
              <w:jc w:val="center"/>
              <w:rPr>
                <w:noProof/>
              </w:rPr>
            </w:pPr>
            <w:r>
              <w:rPr>
                <w:noProof/>
              </w:rPr>
              <w:t>M7–10</w:t>
            </w:r>
          </w:p>
        </w:tc>
        <w:tc>
          <w:tcPr>
            <w:tcW w:w="3543" w:type="dxa"/>
            <w:shd w:val="clear" w:color="auto" w:fill="C6EFCE"/>
            <w:tcMar>
              <w:left w:w="108" w:type="dxa"/>
              <w:right w:w="108" w:type="dxa"/>
            </w:tcMar>
            <w:vAlign w:val="center"/>
          </w:tcPr>
          <w:p w14:paraId="44F4F0B6" w14:textId="77777777" w:rsidR="00327FF1" w:rsidRDefault="00E406C7">
            <w:pPr>
              <w:pStyle w:val="P68B1DB1-Normal121"/>
              <w:spacing w:after="0" w:line="240" w:lineRule="auto"/>
              <w:rPr>
                <w:noProof/>
              </w:rPr>
            </w:pPr>
            <w:r>
              <w:rPr>
                <w:noProof/>
              </w:rPr>
              <w:t>Reforma. Jaunu prasmju plāns — Pārejas</w:t>
            </w:r>
          </w:p>
        </w:tc>
        <w:tc>
          <w:tcPr>
            <w:tcW w:w="1276" w:type="dxa"/>
            <w:shd w:val="clear" w:color="auto" w:fill="C6EFCE"/>
            <w:tcMar>
              <w:left w:w="108" w:type="dxa"/>
              <w:right w:w="108" w:type="dxa"/>
            </w:tcMar>
            <w:vAlign w:val="center"/>
          </w:tcPr>
          <w:p w14:paraId="03C34FE3"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76DC5BCD" w14:textId="77777777" w:rsidR="00327FF1" w:rsidRDefault="00E406C7">
            <w:pPr>
              <w:pStyle w:val="P68B1DB1-Normal121"/>
              <w:spacing w:after="0" w:line="240" w:lineRule="auto"/>
              <w:rPr>
                <w:noProof/>
              </w:rPr>
            </w:pPr>
            <w:r>
              <w:rPr>
                <w:noProof/>
              </w:rPr>
              <w:t xml:space="preserve">Tiesību akta(-u) stāšanās spēkā </w:t>
            </w:r>
            <w:r>
              <w:rPr>
                <w:noProof/>
              </w:rPr>
              <w:t>attiecībā uz reģioniem un autonomo(-ajām) provinci(-ēm)</w:t>
            </w:r>
          </w:p>
        </w:tc>
      </w:tr>
      <w:tr w:rsidR="00327FF1" w14:paraId="523E2AAC" w14:textId="77777777">
        <w:trPr>
          <w:trHeight w:val="300"/>
        </w:trPr>
        <w:tc>
          <w:tcPr>
            <w:tcW w:w="1435" w:type="dxa"/>
            <w:shd w:val="clear" w:color="auto" w:fill="C6EFCE"/>
            <w:tcMar>
              <w:left w:w="108" w:type="dxa"/>
              <w:right w:w="108" w:type="dxa"/>
            </w:tcMar>
            <w:vAlign w:val="center"/>
          </w:tcPr>
          <w:p w14:paraId="7CC7B713" w14:textId="77777777" w:rsidR="00327FF1" w:rsidRDefault="00E406C7">
            <w:pPr>
              <w:pStyle w:val="P68B1DB1-Normal121"/>
              <w:spacing w:after="0" w:line="240" w:lineRule="auto"/>
              <w:jc w:val="center"/>
              <w:rPr>
                <w:noProof/>
              </w:rPr>
            </w:pPr>
            <w:r>
              <w:rPr>
                <w:noProof/>
              </w:rPr>
              <w:t>M1C1–24</w:t>
            </w:r>
          </w:p>
        </w:tc>
        <w:tc>
          <w:tcPr>
            <w:tcW w:w="3543" w:type="dxa"/>
            <w:shd w:val="clear" w:color="auto" w:fill="C6EFCE"/>
            <w:tcMar>
              <w:left w:w="108" w:type="dxa"/>
              <w:right w:w="108" w:type="dxa"/>
            </w:tcMar>
            <w:vAlign w:val="center"/>
          </w:tcPr>
          <w:p w14:paraId="14C74DBD" w14:textId="77777777" w:rsidR="00327FF1" w:rsidRDefault="00E406C7">
            <w:pPr>
              <w:pStyle w:val="P68B1DB1-Normal121"/>
              <w:spacing w:after="0" w:line="240" w:lineRule="auto"/>
              <w:rPr>
                <w:noProof/>
              </w:rPr>
            </w:pPr>
            <w:r>
              <w:rPr>
                <w:noProof/>
              </w:rPr>
              <w:t>Investīcija 1.7.1: Digitālais civildienests</w:t>
            </w:r>
          </w:p>
        </w:tc>
        <w:tc>
          <w:tcPr>
            <w:tcW w:w="1276" w:type="dxa"/>
            <w:shd w:val="clear" w:color="auto" w:fill="C6EFCE"/>
            <w:tcMar>
              <w:left w:w="108" w:type="dxa"/>
              <w:right w:w="108" w:type="dxa"/>
            </w:tcMar>
            <w:vAlign w:val="center"/>
          </w:tcPr>
          <w:p w14:paraId="3CFE0CA0"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79371C1B" w14:textId="77777777" w:rsidR="00327FF1" w:rsidRDefault="00E406C7">
            <w:pPr>
              <w:pStyle w:val="P68B1DB1-Normal121"/>
              <w:spacing w:after="0" w:line="240" w:lineRule="auto"/>
              <w:rPr>
                <w:noProof/>
              </w:rPr>
            </w:pPr>
            <w:r>
              <w:rPr>
                <w:noProof/>
              </w:rPr>
              <w:t xml:space="preserve">Brīvprātīgie ir apmācīti </w:t>
            </w:r>
          </w:p>
        </w:tc>
      </w:tr>
      <w:tr w:rsidR="00327FF1" w14:paraId="36A855F5" w14:textId="77777777">
        <w:trPr>
          <w:trHeight w:val="300"/>
        </w:trPr>
        <w:tc>
          <w:tcPr>
            <w:tcW w:w="1435" w:type="dxa"/>
            <w:shd w:val="clear" w:color="auto" w:fill="C6EFCE"/>
            <w:tcMar>
              <w:left w:w="108" w:type="dxa"/>
              <w:right w:w="108" w:type="dxa"/>
            </w:tcMar>
            <w:vAlign w:val="center"/>
          </w:tcPr>
          <w:p w14:paraId="35F7F3DC" w14:textId="77777777" w:rsidR="00327FF1" w:rsidRDefault="00E406C7">
            <w:pPr>
              <w:pStyle w:val="P68B1DB1-Normal121"/>
              <w:spacing w:after="0" w:line="240" w:lineRule="auto"/>
              <w:jc w:val="center"/>
              <w:rPr>
                <w:noProof/>
              </w:rPr>
            </w:pPr>
            <w:r>
              <w:rPr>
                <w:noProof/>
              </w:rPr>
              <w:t>M1C1–96</w:t>
            </w:r>
          </w:p>
        </w:tc>
        <w:tc>
          <w:tcPr>
            <w:tcW w:w="3543" w:type="dxa"/>
            <w:shd w:val="clear" w:color="auto" w:fill="C6EFCE"/>
            <w:tcMar>
              <w:left w:w="108" w:type="dxa"/>
              <w:right w:w="108" w:type="dxa"/>
            </w:tcMar>
            <w:vAlign w:val="center"/>
          </w:tcPr>
          <w:p w14:paraId="0452FD91" w14:textId="77777777" w:rsidR="00327FF1" w:rsidRDefault="00E406C7">
            <w:pPr>
              <w:pStyle w:val="P68B1DB1-Normal121"/>
              <w:spacing w:after="0" w:line="240" w:lineRule="auto"/>
              <w:rPr>
                <w:noProof/>
              </w:rPr>
            </w:pPr>
            <w:r>
              <w:rPr>
                <w:noProof/>
              </w:rPr>
              <w:t>Reforma Nr. 1.10. Publiskā iepirkuma tiesiskā regulējuma reforma</w:t>
            </w:r>
          </w:p>
        </w:tc>
        <w:tc>
          <w:tcPr>
            <w:tcW w:w="1276" w:type="dxa"/>
            <w:shd w:val="clear" w:color="auto" w:fill="C6EFCE"/>
            <w:tcMar>
              <w:left w:w="108" w:type="dxa"/>
              <w:right w:w="108" w:type="dxa"/>
            </w:tcMar>
            <w:vAlign w:val="center"/>
          </w:tcPr>
          <w:p w14:paraId="7ED65174"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7EFFCEAA" w14:textId="77777777" w:rsidR="00327FF1" w:rsidRDefault="00E406C7">
            <w:pPr>
              <w:pStyle w:val="P68B1DB1-Normal121"/>
              <w:spacing w:after="0" w:line="240" w:lineRule="auto"/>
              <w:rPr>
                <w:noProof/>
              </w:rPr>
            </w:pPr>
            <w:r>
              <w:rPr>
                <w:noProof/>
              </w:rPr>
              <w:t xml:space="preserve">Vidējais laiks starp piedāvājumu </w:t>
            </w:r>
            <w:r>
              <w:rPr>
                <w:noProof/>
              </w:rPr>
              <w:t>iesniegšanu un līguma slēgšanas tiesību piešķiršanu</w:t>
            </w:r>
          </w:p>
        </w:tc>
      </w:tr>
      <w:tr w:rsidR="00327FF1" w14:paraId="64401748" w14:textId="77777777">
        <w:trPr>
          <w:trHeight w:val="300"/>
        </w:trPr>
        <w:tc>
          <w:tcPr>
            <w:tcW w:w="1435" w:type="dxa"/>
            <w:shd w:val="clear" w:color="auto" w:fill="C6EFCE"/>
            <w:tcMar>
              <w:left w:w="108" w:type="dxa"/>
              <w:right w:w="108" w:type="dxa"/>
            </w:tcMar>
            <w:vAlign w:val="center"/>
          </w:tcPr>
          <w:p w14:paraId="72F657C4" w14:textId="77777777" w:rsidR="00327FF1" w:rsidRDefault="00E406C7">
            <w:pPr>
              <w:pStyle w:val="P68B1DB1-Normal121"/>
              <w:spacing w:after="0" w:line="240" w:lineRule="auto"/>
              <w:jc w:val="center"/>
              <w:rPr>
                <w:noProof/>
              </w:rPr>
            </w:pPr>
            <w:r>
              <w:rPr>
                <w:noProof/>
              </w:rPr>
              <w:t>M1C1–116</w:t>
            </w:r>
          </w:p>
        </w:tc>
        <w:tc>
          <w:tcPr>
            <w:tcW w:w="3543" w:type="dxa"/>
            <w:shd w:val="clear" w:color="auto" w:fill="C6EFCE"/>
            <w:tcMar>
              <w:left w:w="108" w:type="dxa"/>
              <w:right w:w="108" w:type="dxa"/>
            </w:tcMar>
            <w:vAlign w:val="center"/>
          </w:tcPr>
          <w:p w14:paraId="6F91EA25" w14:textId="77777777" w:rsidR="00327FF1" w:rsidRDefault="00E406C7">
            <w:pPr>
              <w:pStyle w:val="P68B1DB1-Normal121"/>
              <w:spacing w:after="0" w:line="240" w:lineRule="auto"/>
              <w:rPr>
                <w:noProof/>
              </w:rPr>
            </w:pPr>
            <w:r>
              <w:rPr>
                <w:noProof/>
              </w:rPr>
              <w:t>Reforma Nr. 1.12: Nodokļu administrācijas reforma</w:t>
            </w:r>
          </w:p>
        </w:tc>
        <w:tc>
          <w:tcPr>
            <w:tcW w:w="1276" w:type="dxa"/>
            <w:shd w:val="clear" w:color="auto" w:fill="C6EFCE"/>
            <w:tcMar>
              <w:left w:w="108" w:type="dxa"/>
              <w:right w:w="108" w:type="dxa"/>
            </w:tcMar>
            <w:vAlign w:val="center"/>
          </w:tcPr>
          <w:p w14:paraId="4BD075AB"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173EEE13" w14:textId="77777777" w:rsidR="00327FF1" w:rsidRDefault="00E406C7">
            <w:pPr>
              <w:pStyle w:val="P68B1DB1-Normal121"/>
              <w:spacing w:after="0" w:line="240" w:lineRule="auto"/>
              <w:rPr>
                <w:noProof/>
              </w:rPr>
            </w:pPr>
            <w:r>
              <w:rPr>
                <w:noProof/>
              </w:rPr>
              <w:t>Izvairīšanās no nodokļu maksāšanas samazināšana, kas definēta ar rādītāju “pietiekamība izvairīties”</w:t>
            </w:r>
          </w:p>
        </w:tc>
      </w:tr>
      <w:tr w:rsidR="00327FF1" w14:paraId="54BE4FB4" w14:textId="77777777">
        <w:trPr>
          <w:trHeight w:val="300"/>
        </w:trPr>
        <w:tc>
          <w:tcPr>
            <w:tcW w:w="1435" w:type="dxa"/>
            <w:shd w:val="clear" w:color="auto" w:fill="C6EFCE"/>
            <w:tcMar>
              <w:left w:w="108" w:type="dxa"/>
              <w:right w:w="108" w:type="dxa"/>
            </w:tcMar>
            <w:vAlign w:val="center"/>
          </w:tcPr>
          <w:p w14:paraId="09CA10D5" w14:textId="77777777" w:rsidR="00327FF1" w:rsidRDefault="00E406C7">
            <w:pPr>
              <w:pStyle w:val="P68B1DB1-Normal121"/>
              <w:spacing w:after="0" w:line="240" w:lineRule="auto"/>
              <w:jc w:val="center"/>
              <w:rPr>
                <w:noProof/>
              </w:rPr>
            </w:pPr>
            <w:r>
              <w:rPr>
                <w:noProof/>
              </w:rPr>
              <w:t>M1C2–5</w:t>
            </w:r>
          </w:p>
        </w:tc>
        <w:tc>
          <w:tcPr>
            <w:tcW w:w="3543" w:type="dxa"/>
            <w:shd w:val="clear" w:color="auto" w:fill="C6EFCE"/>
            <w:tcMar>
              <w:left w:w="108" w:type="dxa"/>
              <w:right w:w="108" w:type="dxa"/>
            </w:tcMar>
            <w:vAlign w:val="center"/>
          </w:tcPr>
          <w:p w14:paraId="27F46F88" w14:textId="77777777" w:rsidR="00327FF1" w:rsidRDefault="00E406C7">
            <w:pPr>
              <w:pStyle w:val="P68B1DB1-Normal121"/>
              <w:spacing w:after="0" w:line="240" w:lineRule="auto"/>
              <w:rPr>
                <w:noProof/>
              </w:rPr>
            </w:pPr>
            <w:r>
              <w:rPr>
                <w:noProof/>
              </w:rPr>
              <w:t xml:space="preserve">Investīcija Nr. 6: </w:t>
            </w:r>
            <w:r>
              <w:rPr>
                <w:noProof/>
              </w:rPr>
              <w:t>Ieguldījumi rūpnieciskā īpašuma sistēmā</w:t>
            </w:r>
          </w:p>
        </w:tc>
        <w:tc>
          <w:tcPr>
            <w:tcW w:w="1276" w:type="dxa"/>
            <w:shd w:val="clear" w:color="auto" w:fill="C6EFCE"/>
            <w:tcMar>
              <w:left w:w="108" w:type="dxa"/>
              <w:right w:w="108" w:type="dxa"/>
            </w:tcMar>
            <w:vAlign w:val="center"/>
          </w:tcPr>
          <w:p w14:paraId="67677810"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0775FED8" w14:textId="77777777" w:rsidR="00327FF1" w:rsidRDefault="00E406C7">
            <w:pPr>
              <w:pStyle w:val="P68B1DB1-Normal121"/>
              <w:spacing w:after="0" w:line="240" w:lineRule="auto"/>
              <w:rPr>
                <w:noProof/>
              </w:rPr>
            </w:pPr>
            <w:r>
              <w:rPr>
                <w:noProof/>
              </w:rPr>
              <w:t>Nobeiguma darbības ziņojuma sniegšana par vismaz 254 projektiem, kas saistīti ar rūpniecisko īpašumu un pētniecību</w:t>
            </w:r>
          </w:p>
        </w:tc>
      </w:tr>
      <w:tr w:rsidR="00327FF1" w14:paraId="36B45856" w14:textId="77777777">
        <w:trPr>
          <w:trHeight w:val="300"/>
        </w:trPr>
        <w:tc>
          <w:tcPr>
            <w:tcW w:w="1435" w:type="dxa"/>
            <w:shd w:val="clear" w:color="auto" w:fill="C6EFCE"/>
            <w:tcMar>
              <w:left w:w="108" w:type="dxa"/>
              <w:right w:w="108" w:type="dxa"/>
            </w:tcMar>
            <w:vAlign w:val="center"/>
          </w:tcPr>
          <w:p w14:paraId="24047ED0" w14:textId="77777777" w:rsidR="00327FF1" w:rsidRDefault="00E406C7">
            <w:pPr>
              <w:pStyle w:val="P68B1DB1-Normal121"/>
              <w:spacing w:after="0" w:line="240" w:lineRule="auto"/>
              <w:jc w:val="center"/>
              <w:rPr>
                <w:noProof/>
              </w:rPr>
            </w:pPr>
            <w:r>
              <w:rPr>
                <w:noProof/>
              </w:rPr>
              <w:t>M1C2–13</w:t>
            </w:r>
          </w:p>
        </w:tc>
        <w:tc>
          <w:tcPr>
            <w:tcW w:w="3543" w:type="dxa"/>
            <w:shd w:val="clear" w:color="auto" w:fill="C6EFCE"/>
            <w:tcMar>
              <w:left w:w="108" w:type="dxa"/>
              <w:right w:w="108" w:type="dxa"/>
            </w:tcMar>
            <w:vAlign w:val="center"/>
          </w:tcPr>
          <w:p w14:paraId="5B81C3E8" w14:textId="77777777" w:rsidR="00327FF1" w:rsidRDefault="00E406C7">
            <w:pPr>
              <w:pStyle w:val="P68B1DB1-Normal121"/>
              <w:spacing w:after="0" w:line="240" w:lineRule="auto"/>
              <w:rPr>
                <w:noProof/>
              </w:rPr>
            </w:pPr>
            <w:r>
              <w:rPr>
                <w:noProof/>
              </w:rPr>
              <w:t>Reforma. Ikgadējie konkurences tiesību akti</w:t>
            </w:r>
          </w:p>
        </w:tc>
        <w:tc>
          <w:tcPr>
            <w:tcW w:w="1276" w:type="dxa"/>
            <w:shd w:val="clear" w:color="auto" w:fill="C6EFCE"/>
            <w:tcMar>
              <w:left w:w="108" w:type="dxa"/>
              <w:right w:w="108" w:type="dxa"/>
            </w:tcMar>
            <w:vAlign w:val="center"/>
          </w:tcPr>
          <w:p w14:paraId="1C458D06"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333FEEAE" w14:textId="77777777" w:rsidR="00327FF1" w:rsidRDefault="00E406C7">
            <w:pPr>
              <w:pStyle w:val="P68B1DB1-Normal121"/>
              <w:spacing w:after="0" w:line="240" w:lineRule="auto"/>
              <w:rPr>
                <w:noProof/>
              </w:rPr>
            </w:pPr>
            <w:r>
              <w:rPr>
                <w:noProof/>
              </w:rPr>
              <w:t xml:space="preserve">2025. gada Konkurences </w:t>
            </w:r>
            <w:r>
              <w:rPr>
                <w:noProof/>
              </w:rPr>
              <w:t>likuma stāšanās spēkā</w:t>
            </w:r>
          </w:p>
        </w:tc>
      </w:tr>
      <w:tr w:rsidR="00327FF1" w14:paraId="29CFD46C" w14:textId="77777777">
        <w:trPr>
          <w:trHeight w:val="300"/>
        </w:trPr>
        <w:tc>
          <w:tcPr>
            <w:tcW w:w="1435" w:type="dxa"/>
            <w:shd w:val="clear" w:color="auto" w:fill="C6EFCE"/>
            <w:tcMar>
              <w:left w:w="108" w:type="dxa"/>
              <w:right w:w="108" w:type="dxa"/>
            </w:tcMar>
            <w:vAlign w:val="center"/>
          </w:tcPr>
          <w:p w14:paraId="3FADADE3" w14:textId="77777777" w:rsidR="00327FF1" w:rsidRDefault="00E406C7">
            <w:pPr>
              <w:pStyle w:val="P68B1DB1-Normal121"/>
              <w:spacing w:after="0" w:line="240" w:lineRule="auto"/>
              <w:jc w:val="center"/>
              <w:rPr>
                <w:noProof/>
              </w:rPr>
            </w:pPr>
            <w:r>
              <w:rPr>
                <w:noProof/>
              </w:rPr>
              <w:t>M1C2–14</w:t>
            </w:r>
          </w:p>
        </w:tc>
        <w:tc>
          <w:tcPr>
            <w:tcW w:w="3543" w:type="dxa"/>
            <w:shd w:val="clear" w:color="auto" w:fill="C6EFCE"/>
            <w:tcMar>
              <w:left w:w="108" w:type="dxa"/>
              <w:right w:w="108" w:type="dxa"/>
            </w:tcMar>
            <w:vAlign w:val="center"/>
          </w:tcPr>
          <w:p w14:paraId="04F4C4B8" w14:textId="77777777" w:rsidR="00327FF1" w:rsidRDefault="00E406C7">
            <w:pPr>
              <w:pStyle w:val="P68B1DB1-Normal121"/>
              <w:spacing w:after="0" w:line="240" w:lineRule="auto"/>
              <w:rPr>
                <w:noProof/>
              </w:rPr>
            </w:pPr>
            <w:r>
              <w:rPr>
                <w:noProof/>
              </w:rPr>
              <w:t>Reforma. Ikgadējie konkurences tiesību akti</w:t>
            </w:r>
          </w:p>
        </w:tc>
        <w:tc>
          <w:tcPr>
            <w:tcW w:w="1276" w:type="dxa"/>
            <w:shd w:val="clear" w:color="auto" w:fill="C6EFCE"/>
            <w:tcMar>
              <w:left w:w="108" w:type="dxa"/>
              <w:right w:w="108" w:type="dxa"/>
            </w:tcMar>
            <w:vAlign w:val="center"/>
          </w:tcPr>
          <w:p w14:paraId="3D2B85DC"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49BB198B" w14:textId="77777777" w:rsidR="00327FF1" w:rsidRDefault="00E406C7">
            <w:pPr>
              <w:pStyle w:val="P68B1DB1-Normal121"/>
              <w:spacing w:after="0" w:line="240" w:lineRule="auto"/>
              <w:rPr>
                <w:noProof/>
              </w:rPr>
            </w:pPr>
            <w:r>
              <w:rPr>
                <w:noProof/>
              </w:rPr>
              <w:t>Ir ieviesti miljoni 2G viedo skaitītāju.</w:t>
            </w:r>
          </w:p>
        </w:tc>
      </w:tr>
      <w:tr w:rsidR="00327FF1" w14:paraId="3BAE8A5E" w14:textId="77777777">
        <w:trPr>
          <w:trHeight w:val="300"/>
        </w:trPr>
        <w:tc>
          <w:tcPr>
            <w:tcW w:w="1435" w:type="dxa"/>
            <w:shd w:val="clear" w:color="auto" w:fill="C6EFCE"/>
            <w:tcMar>
              <w:left w:w="108" w:type="dxa"/>
              <w:right w:w="108" w:type="dxa"/>
            </w:tcMar>
            <w:vAlign w:val="center"/>
          </w:tcPr>
          <w:p w14:paraId="2514EE6E" w14:textId="77777777" w:rsidR="00327FF1" w:rsidRDefault="00E406C7">
            <w:pPr>
              <w:pStyle w:val="P68B1DB1-Normal121"/>
              <w:spacing w:after="0" w:line="240" w:lineRule="auto"/>
              <w:jc w:val="center"/>
              <w:rPr>
                <w:noProof/>
              </w:rPr>
            </w:pPr>
            <w:r>
              <w:rPr>
                <w:noProof/>
              </w:rPr>
              <w:t>M1C3–2</w:t>
            </w:r>
          </w:p>
        </w:tc>
        <w:tc>
          <w:tcPr>
            <w:tcW w:w="3543" w:type="dxa"/>
            <w:shd w:val="clear" w:color="auto" w:fill="C6EFCE"/>
            <w:tcMar>
              <w:left w:w="108" w:type="dxa"/>
              <w:right w:w="108" w:type="dxa"/>
            </w:tcMar>
            <w:vAlign w:val="center"/>
          </w:tcPr>
          <w:p w14:paraId="2F0BB878" w14:textId="77777777" w:rsidR="00327FF1" w:rsidRDefault="00E406C7">
            <w:pPr>
              <w:pStyle w:val="P68B1DB1-Normal121"/>
              <w:spacing w:after="0" w:line="240" w:lineRule="auto"/>
              <w:rPr>
                <w:noProof/>
              </w:rPr>
            </w:pPr>
            <w:r>
              <w:rPr>
                <w:noProof/>
              </w:rPr>
              <w:t>Investīcijas — 1.1. Digitālā stratēģija un kultūras mantojuma platformas</w:t>
            </w:r>
          </w:p>
        </w:tc>
        <w:tc>
          <w:tcPr>
            <w:tcW w:w="1276" w:type="dxa"/>
            <w:shd w:val="clear" w:color="auto" w:fill="C6EFCE"/>
            <w:tcMar>
              <w:left w:w="108" w:type="dxa"/>
              <w:right w:w="108" w:type="dxa"/>
            </w:tcMar>
            <w:vAlign w:val="center"/>
          </w:tcPr>
          <w:p w14:paraId="6FB0AA82"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678A320A" w14:textId="77777777" w:rsidR="00327FF1" w:rsidRDefault="00E406C7">
            <w:pPr>
              <w:pStyle w:val="P68B1DB1-Normal121"/>
              <w:spacing w:after="0" w:line="240" w:lineRule="auto"/>
              <w:rPr>
                <w:noProof/>
              </w:rPr>
            </w:pPr>
            <w:r>
              <w:rPr>
                <w:noProof/>
              </w:rPr>
              <w:t xml:space="preserve">Publicētie digitālie un plašsaziņas līdzekļu </w:t>
            </w:r>
            <w:r>
              <w:rPr>
                <w:noProof/>
              </w:rPr>
              <w:t>resursi</w:t>
            </w:r>
          </w:p>
        </w:tc>
      </w:tr>
      <w:tr w:rsidR="00327FF1" w14:paraId="6076936A" w14:textId="77777777">
        <w:trPr>
          <w:trHeight w:val="300"/>
        </w:trPr>
        <w:tc>
          <w:tcPr>
            <w:tcW w:w="1435" w:type="dxa"/>
            <w:shd w:val="clear" w:color="auto" w:fill="C6EFCE"/>
            <w:tcMar>
              <w:left w:w="108" w:type="dxa"/>
              <w:right w:w="108" w:type="dxa"/>
            </w:tcMar>
            <w:vAlign w:val="center"/>
          </w:tcPr>
          <w:p w14:paraId="31FEFEBB" w14:textId="77777777" w:rsidR="00327FF1" w:rsidRDefault="00E406C7">
            <w:pPr>
              <w:pStyle w:val="P68B1DB1-Normal121"/>
              <w:spacing w:after="0" w:line="240" w:lineRule="auto"/>
              <w:jc w:val="center"/>
              <w:rPr>
                <w:noProof/>
              </w:rPr>
            </w:pPr>
            <w:r>
              <w:rPr>
                <w:noProof/>
              </w:rPr>
              <w:t>M1C3–5</w:t>
            </w:r>
          </w:p>
        </w:tc>
        <w:tc>
          <w:tcPr>
            <w:tcW w:w="3543" w:type="dxa"/>
            <w:shd w:val="clear" w:color="auto" w:fill="C6EFCE"/>
            <w:tcMar>
              <w:left w:w="108" w:type="dxa"/>
              <w:right w:w="108" w:type="dxa"/>
            </w:tcMar>
            <w:vAlign w:val="center"/>
          </w:tcPr>
          <w:p w14:paraId="1E7F29D2" w14:textId="77777777" w:rsidR="00327FF1" w:rsidRDefault="00E406C7">
            <w:pPr>
              <w:pStyle w:val="P68B1DB1-Normal121"/>
              <w:spacing w:after="0" w:line="240" w:lineRule="auto"/>
              <w:rPr>
                <w:noProof/>
              </w:rPr>
            </w:pPr>
            <w:r>
              <w:rPr>
                <w:noProof/>
              </w:rPr>
              <w:t>Ieguldījums — 1.3. Energoefektivitātes uzlabošana kinoteātros, teātros un muzejos</w:t>
            </w:r>
          </w:p>
        </w:tc>
        <w:tc>
          <w:tcPr>
            <w:tcW w:w="1276" w:type="dxa"/>
            <w:shd w:val="clear" w:color="auto" w:fill="C6EFCE"/>
            <w:tcMar>
              <w:left w:w="108" w:type="dxa"/>
              <w:right w:w="108" w:type="dxa"/>
            </w:tcMar>
            <w:vAlign w:val="center"/>
          </w:tcPr>
          <w:p w14:paraId="0F74279F"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7620B96D" w14:textId="77777777" w:rsidR="00327FF1" w:rsidRDefault="00E406C7">
            <w:pPr>
              <w:pStyle w:val="P68B1DB1-Normal121"/>
              <w:spacing w:after="0" w:line="240" w:lineRule="auto"/>
              <w:rPr>
                <w:noProof/>
              </w:rPr>
            </w:pPr>
            <w:r>
              <w:rPr>
                <w:noProof/>
              </w:rPr>
              <w:t>Tiek pabeigtas intervences valsts muzejos un kultūras objektos, teātra zālēs un kinoteātros (otrā partija)</w:t>
            </w:r>
          </w:p>
        </w:tc>
      </w:tr>
      <w:tr w:rsidR="00327FF1" w14:paraId="3090BDC5" w14:textId="77777777">
        <w:trPr>
          <w:trHeight w:val="300"/>
        </w:trPr>
        <w:tc>
          <w:tcPr>
            <w:tcW w:w="1435" w:type="dxa"/>
            <w:shd w:val="clear" w:color="auto" w:fill="C6EFCE"/>
            <w:tcMar>
              <w:left w:w="108" w:type="dxa"/>
              <w:right w:w="108" w:type="dxa"/>
            </w:tcMar>
            <w:vAlign w:val="center"/>
          </w:tcPr>
          <w:p w14:paraId="40023D6C" w14:textId="77777777" w:rsidR="00327FF1" w:rsidRDefault="00E406C7">
            <w:pPr>
              <w:pStyle w:val="P68B1DB1-Normal121"/>
              <w:spacing w:after="0" w:line="240" w:lineRule="auto"/>
              <w:jc w:val="center"/>
              <w:rPr>
                <w:noProof/>
              </w:rPr>
            </w:pPr>
            <w:r>
              <w:rPr>
                <w:noProof/>
              </w:rPr>
              <w:t>M2C3–3</w:t>
            </w:r>
          </w:p>
        </w:tc>
        <w:tc>
          <w:tcPr>
            <w:tcW w:w="3543" w:type="dxa"/>
            <w:shd w:val="clear" w:color="auto" w:fill="C6EFCE"/>
            <w:tcMar>
              <w:left w:w="108" w:type="dxa"/>
              <w:right w:w="108" w:type="dxa"/>
            </w:tcMar>
            <w:vAlign w:val="center"/>
          </w:tcPr>
          <w:p w14:paraId="30FB3200" w14:textId="77777777" w:rsidR="00327FF1" w:rsidRDefault="00E406C7">
            <w:pPr>
              <w:pStyle w:val="P68B1DB1-Normal121"/>
              <w:spacing w:after="0" w:line="240" w:lineRule="auto"/>
              <w:rPr>
                <w:noProof/>
              </w:rPr>
            </w:pPr>
            <w:r>
              <w:rPr>
                <w:noProof/>
              </w:rPr>
              <w:t>Investīcija 2.1. — Ecobonus stiprināš</w:t>
            </w:r>
            <w:r>
              <w:rPr>
                <w:noProof/>
              </w:rPr>
              <w:t xml:space="preserve">ana energoefektivitātes jomā </w:t>
            </w:r>
          </w:p>
        </w:tc>
        <w:tc>
          <w:tcPr>
            <w:tcW w:w="1276" w:type="dxa"/>
            <w:shd w:val="clear" w:color="auto" w:fill="C6EFCE"/>
            <w:tcMar>
              <w:left w:w="108" w:type="dxa"/>
              <w:right w:w="108" w:type="dxa"/>
            </w:tcMar>
            <w:vAlign w:val="center"/>
          </w:tcPr>
          <w:p w14:paraId="2FB9F4B4"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0BED7AE8" w14:textId="77777777" w:rsidR="00327FF1" w:rsidRDefault="00E406C7">
            <w:pPr>
              <w:pStyle w:val="P68B1DB1-Normal121"/>
              <w:spacing w:after="0" w:line="240" w:lineRule="auto"/>
              <w:rPr>
                <w:noProof/>
              </w:rPr>
            </w:pPr>
            <w:r>
              <w:rPr>
                <w:noProof/>
              </w:rPr>
              <w:t>Ēku renovācija Superbonus T2</w:t>
            </w:r>
          </w:p>
        </w:tc>
      </w:tr>
      <w:tr w:rsidR="00327FF1" w14:paraId="4B836493" w14:textId="77777777">
        <w:trPr>
          <w:trHeight w:val="300"/>
        </w:trPr>
        <w:tc>
          <w:tcPr>
            <w:tcW w:w="1435" w:type="dxa"/>
            <w:shd w:val="clear" w:color="auto" w:fill="C6EFCE"/>
            <w:tcMar>
              <w:left w:w="108" w:type="dxa"/>
              <w:right w:w="108" w:type="dxa"/>
            </w:tcMar>
            <w:vAlign w:val="center"/>
          </w:tcPr>
          <w:p w14:paraId="3BCCFDD7" w14:textId="77777777" w:rsidR="00327FF1" w:rsidRDefault="00E406C7">
            <w:pPr>
              <w:pStyle w:val="P68B1DB1-Normal121"/>
              <w:spacing w:after="0" w:line="240" w:lineRule="auto"/>
              <w:jc w:val="center"/>
              <w:rPr>
                <w:noProof/>
              </w:rPr>
            </w:pPr>
            <w:r>
              <w:rPr>
                <w:noProof/>
              </w:rPr>
              <w:t>M4C1–13</w:t>
            </w:r>
          </w:p>
        </w:tc>
        <w:tc>
          <w:tcPr>
            <w:tcW w:w="3543" w:type="dxa"/>
            <w:shd w:val="clear" w:color="auto" w:fill="C6EFCE"/>
            <w:tcMar>
              <w:left w:w="108" w:type="dxa"/>
              <w:right w:w="108" w:type="dxa"/>
            </w:tcMar>
            <w:vAlign w:val="center"/>
          </w:tcPr>
          <w:p w14:paraId="423301B0" w14:textId="77777777" w:rsidR="00327FF1" w:rsidRDefault="00E406C7">
            <w:pPr>
              <w:pStyle w:val="P68B1DB1-Normal121"/>
              <w:spacing w:after="0" w:line="240" w:lineRule="auto"/>
              <w:rPr>
                <w:noProof/>
              </w:rPr>
            </w:pPr>
            <w:r>
              <w:rPr>
                <w:noProof/>
              </w:rPr>
              <w:t>Investīcija 2.1: Integrēta digitālā mācīšana un apmācība skolu personālam par digitālo pārveidi;</w:t>
            </w:r>
          </w:p>
        </w:tc>
        <w:tc>
          <w:tcPr>
            <w:tcW w:w="1276" w:type="dxa"/>
            <w:shd w:val="clear" w:color="auto" w:fill="C6EFCE"/>
            <w:tcMar>
              <w:left w:w="108" w:type="dxa"/>
              <w:right w:w="108" w:type="dxa"/>
            </w:tcMar>
            <w:vAlign w:val="center"/>
          </w:tcPr>
          <w:p w14:paraId="39D49BF3"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2C6F790B" w14:textId="77777777" w:rsidR="00327FF1" w:rsidRDefault="00E406C7">
            <w:pPr>
              <w:pStyle w:val="P68B1DB1-Normal121"/>
              <w:spacing w:after="0" w:line="240" w:lineRule="auto"/>
              <w:rPr>
                <w:noProof/>
              </w:rPr>
            </w:pPr>
            <w:r>
              <w:rPr>
                <w:noProof/>
              </w:rPr>
              <w:t xml:space="preserve">Skolu vadītāju, skolotāju un administratīvā personāla apmācība    </w:t>
            </w:r>
          </w:p>
        </w:tc>
      </w:tr>
      <w:tr w:rsidR="00327FF1" w14:paraId="30A1906D" w14:textId="77777777">
        <w:trPr>
          <w:trHeight w:val="300"/>
        </w:trPr>
        <w:tc>
          <w:tcPr>
            <w:tcW w:w="1435" w:type="dxa"/>
            <w:shd w:val="clear" w:color="auto" w:fill="C6EFCE"/>
            <w:tcMar>
              <w:left w:w="108" w:type="dxa"/>
              <w:right w:w="108" w:type="dxa"/>
            </w:tcMar>
            <w:vAlign w:val="center"/>
          </w:tcPr>
          <w:p w14:paraId="0AB6437B" w14:textId="77777777" w:rsidR="00327FF1" w:rsidRDefault="00E406C7">
            <w:pPr>
              <w:pStyle w:val="P68B1DB1-Normal121"/>
              <w:spacing w:after="0" w:line="240" w:lineRule="auto"/>
              <w:jc w:val="center"/>
              <w:rPr>
                <w:noProof/>
              </w:rPr>
            </w:pPr>
            <w:r>
              <w:rPr>
                <w:noProof/>
              </w:rPr>
              <w:t>M4C2–2bis</w:t>
            </w:r>
          </w:p>
        </w:tc>
        <w:tc>
          <w:tcPr>
            <w:tcW w:w="3543" w:type="dxa"/>
            <w:shd w:val="clear" w:color="auto" w:fill="C6EFCE"/>
            <w:tcMar>
              <w:left w:w="108" w:type="dxa"/>
              <w:right w:w="108" w:type="dxa"/>
            </w:tcMar>
            <w:vAlign w:val="center"/>
          </w:tcPr>
          <w:p w14:paraId="0D4784A0" w14:textId="77777777" w:rsidR="00327FF1" w:rsidRDefault="00E406C7">
            <w:pPr>
              <w:pStyle w:val="P68B1DB1-Normal121"/>
              <w:spacing w:after="0" w:line="240" w:lineRule="auto"/>
              <w:rPr>
                <w:noProof/>
              </w:rPr>
            </w:pPr>
            <w:r>
              <w:rPr>
                <w:noProof/>
              </w:rPr>
              <w:t>Ieguldījums 2.2.a: Inovācijas nolīgumi</w:t>
            </w:r>
          </w:p>
        </w:tc>
        <w:tc>
          <w:tcPr>
            <w:tcW w:w="1276" w:type="dxa"/>
            <w:shd w:val="clear" w:color="auto" w:fill="C6EFCE"/>
            <w:tcMar>
              <w:left w:w="108" w:type="dxa"/>
              <w:right w:w="108" w:type="dxa"/>
            </w:tcMar>
            <w:vAlign w:val="center"/>
          </w:tcPr>
          <w:p w14:paraId="0BB7B7C8"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22123C57" w14:textId="77777777" w:rsidR="00327FF1" w:rsidRDefault="00E406C7">
            <w:pPr>
              <w:pStyle w:val="P68B1DB1-Normal121"/>
              <w:spacing w:after="0" w:line="240" w:lineRule="auto"/>
              <w:rPr>
                <w:noProof/>
              </w:rPr>
            </w:pPr>
            <w:r>
              <w:rPr>
                <w:noProof/>
              </w:rPr>
              <w:t xml:space="preserve">Pabeigti inovācijas nolīgumi  </w:t>
            </w:r>
          </w:p>
        </w:tc>
      </w:tr>
      <w:tr w:rsidR="00327FF1" w14:paraId="3BFEE647" w14:textId="77777777">
        <w:trPr>
          <w:trHeight w:val="300"/>
        </w:trPr>
        <w:tc>
          <w:tcPr>
            <w:tcW w:w="1435" w:type="dxa"/>
            <w:shd w:val="clear" w:color="auto" w:fill="C6EFCE"/>
            <w:tcMar>
              <w:left w:w="108" w:type="dxa"/>
              <w:right w:w="108" w:type="dxa"/>
            </w:tcMar>
            <w:vAlign w:val="center"/>
          </w:tcPr>
          <w:p w14:paraId="412E6FA1" w14:textId="77777777" w:rsidR="00327FF1" w:rsidRDefault="00E406C7">
            <w:pPr>
              <w:pStyle w:val="P68B1DB1-Normal121"/>
              <w:spacing w:after="0" w:line="240" w:lineRule="auto"/>
              <w:jc w:val="center"/>
              <w:rPr>
                <w:noProof/>
              </w:rPr>
            </w:pPr>
            <w:r>
              <w:rPr>
                <w:noProof/>
              </w:rPr>
              <w:t xml:space="preserve">M5C1–3 </w:t>
            </w:r>
          </w:p>
        </w:tc>
        <w:tc>
          <w:tcPr>
            <w:tcW w:w="3543" w:type="dxa"/>
            <w:shd w:val="clear" w:color="auto" w:fill="C6EFCE"/>
            <w:tcMar>
              <w:left w:w="108" w:type="dxa"/>
              <w:right w:w="108" w:type="dxa"/>
            </w:tcMar>
            <w:vAlign w:val="center"/>
          </w:tcPr>
          <w:p w14:paraId="2D7D38A6" w14:textId="77777777" w:rsidR="00327FF1" w:rsidRDefault="00E406C7">
            <w:pPr>
              <w:pStyle w:val="P68B1DB1-Normal121"/>
              <w:spacing w:after="0" w:line="240" w:lineRule="auto"/>
              <w:rPr>
                <w:noProof/>
              </w:rPr>
            </w:pPr>
            <w:r>
              <w:rPr>
                <w:noProof/>
              </w:rPr>
              <w:t>Reforma Nr. 1 — ADTP un profesionālā apmācība</w:t>
            </w:r>
          </w:p>
        </w:tc>
        <w:tc>
          <w:tcPr>
            <w:tcW w:w="1276" w:type="dxa"/>
            <w:shd w:val="clear" w:color="auto" w:fill="C6EFCE"/>
            <w:tcMar>
              <w:left w:w="108" w:type="dxa"/>
              <w:right w:w="108" w:type="dxa"/>
            </w:tcMar>
            <w:vAlign w:val="center"/>
          </w:tcPr>
          <w:p w14:paraId="37F304E2"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010F1E02" w14:textId="77777777" w:rsidR="00327FF1" w:rsidRDefault="00E406C7">
            <w:pPr>
              <w:pStyle w:val="P68B1DB1-Normal121"/>
              <w:spacing w:after="0" w:line="240" w:lineRule="auto"/>
              <w:rPr>
                <w:noProof/>
              </w:rPr>
            </w:pPr>
            <w:r>
              <w:rPr>
                <w:noProof/>
              </w:rPr>
              <w:t xml:space="preserve">Cilvēki, kas gūst labumu no darba ņēmēju nodarbinātības garantijas (GOL) programmas </w:t>
            </w:r>
          </w:p>
        </w:tc>
      </w:tr>
      <w:tr w:rsidR="00327FF1" w14:paraId="05BF7514" w14:textId="77777777">
        <w:trPr>
          <w:trHeight w:val="300"/>
        </w:trPr>
        <w:tc>
          <w:tcPr>
            <w:tcW w:w="1435" w:type="dxa"/>
            <w:shd w:val="clear" w:color="auto" w:fill="C6EFCE"/>
            <w:tcMar>
              <w:left w:w="108" w:type="dxa"/>
              <w:right w:w="108" w:type="dxa"/>
            </w:tcMar>
            <w:vAlign w:val="center"/>
          </w:tcPr>
          <w:p w14:paraId="3CD50A6F" w14:textId="77777777" w:rsidR="00327FF1" w:rsidRDefault="00E406C7">
            <w:pPr>
              <w:pStyle w:val="P68B1DB1-Normal121"/>
              <w:spacing w:after="0" w:line="240" w:lineRule="auto"/>
              <w:jc w:val="center"/>
              <w:rPr>
                <w:noProof/>
              </w:rPr>
            </w:pPr>
            <w:r>
              <w:rPr>
                <w:noProof/>
              </w:rPr>
              <w:t xml:space="preserve">M5C1–4 </w:t>
            </w:r>
          </w:p>
        </w:tc>
        <w:tc>
          <w:tcPr>
            <w:tcW w:w="3543" w:type="dxa"/>
            <w:shd w:val="clear" w:color="auto" w:fill="C6EFCE"/>
            <w:tcMar>
              <w:left w:w="108" w:type="dxa"/>
              <w:right w:w="108" w:type="dxa"/>
            </w:tcMar>
            <w:vAlign w:val="center"/>
          </w:tcPr>
          <w:p w14:paraId="53FE250E" w14:textId="77777777" w:rsidR="00327FF1" w:rsidRDefault="00E406C7">
            <w:pPr>
              <w:pStyle w:val="P68B1DB1-Normal121"/>
              <w:spacing w:after="0" w:line="240" w:lineRule="auto"/>
              <w:rPr>
                <w:noProof/>
              </w:rPr>
            </w:pPr>
            <w:r>
              <w:rPr>
                <w:noProof/>
              </w:rPr>
              <w:t xml:space="preserve">Reforma Nr. 1 — ADTP un profesionālā apmācība </w:t>
            </w:r>
          </w:p>
        </w:tc>
        <w:tc>
          <w:tcPr>
            <w:tcW w:w="1276" w:type="dxa"/>
            <w:shd w:val="clear" w:color="auto" w:fill="C6EFCE"/>
            <w:tcMar>
              <w:left w:w="108" w:type="dxa"/>
              <w:right w:w="108" w:type="dxa"/>
            </w:tcMar>
            <w:vAlign w:val="center"/>
          </w:tcPr>
          <w:p w14:paraId="57E07708"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59434BCA" w14:textId="77777777" w:rsidR="00327FF1" w:rsidRDefault="00E406C7">
            <w:pPr>
              <w:pStyle w:val="P68B1DB1-Normal121"/>
              <w:spacing w:after="0" w:line="240" w:lineRule="auto"/>
              <w:rPr>
                <w:noProof/>
              </w:rPr>
            </w:pPr>
            <w:r>
              <w:rPr>
                <w:noProof/>
              </w:rPr>
              <w:t>Cilvēki piedalījās mācību programmās</w:t>
            </w:r>
          </w:p>
        </w:tc>
      </w:tr>
      <w:tr w:rsidR="00327FF1" w14:paraId="7E4EA21B" w14:textId="77777777">
        <w:trPr>
          <w:trHeight w:val="300"/>
        </w:trPr>
        <w:tc>
          <w:tcPr>
            <w:tcW w:w="1435" w:type="dxa"/>
            <w:shd w:val="clear" w:color="auto" w:fill="C6EFCE"/>
            <w:tcMar>
              <w:left w:w="108" w:type="dxa"/>
              <w:right w:w="108" w:type="dxa"/>
            </w:tcMar>
            <w:vAlign w:val="center"/>
          </w:tcPr>
          <w:p w14:paraId="1CFB3AF0" w14:textId="77777777" w:rsidR="00327FF1" w:rsidRDefault="00E406C7">
            <w:pPr>
              <w:pStyle w:val="P68B1DB1-Normal121"/>
              <w:spacing w:after="0" w:line="240" w:lineRule="auto"/>
              <w:jc w:val="center"/>
              <w:rPr>
                <w:noProof/>
              </w:rPr>
            </w:pPr>
            <w:r>
              <w:rPr>
                <w:noProof/>
              </w:rPr>
              <w:t>M5C1–7</w:t>
            </w:r>
          </w:p>
        </w:tc>
        <w:tc>
          <w:tcPr>
            <w:tcW w:w="3543" w:type="dxa"/>
            <w:shd w:val="clear" w:color="auto" w:fill="C6EFCE"/>
            <w:tcMar>
              <w:left w:w="108" w:type="dxa"/>
              <w:right w:w="108" w:type="dxa"/>
            </w:tcMar>
            <w:vAlign w:val="center"/>
          </w:tcPr>
          <w:p w14:paraId="6D10C547" w14:textId="77777777" w:rsidR="00327FF1" w:rsidRDefault="00E406C7">
            <w:pPr>
              <w:pStyle w:val="P68B1DB1-Normal121"/>
              <w:spacing w:after="0" w:line="240" w:lineRule="auto"/>
              <w:rPr>
                <w:noProof/>
              </w:rPr>
            </w:pPr>
            <w:r>
              <w:rPr>
                <w:noProof/>
              </w:rPr>
              <w:t xml:space="preserve">Investīcija Nr. 1 “Valstu nodarbinātības dienestu (VND) stiprināšana” </w:t>
            </w:r>
          </w:p>
        </w:tc>
        <w:tc>
          <w:tcPr>
            <w:tcW w:w="1276" w:type="dxa"/>
            <w:shd w:val="clear" w:color="auto" w:fill="C6EFCE"/>
            <w:tcMar>
              <w:left w:w="108" w:type="dxa"/>
              <w:right w:w="108" w:type="dxa"/>
            </w:tcMar>
            <w:vAlign w:val="center"/>
          </w:tcPr>
          <w:p w14:paraId="376D288F"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71B9C1D9" w14:textId="77777777" w:rsidR="00327FF1" w:rsidRDefault="00E406C7">
            <w:pPr>
              <w:pStyle w:val="P68B1DB1-Normal121"/>
              <w:spacing w:after="0" w:line="240" w:lineRule="auto"/>
              <w:rPr>
                <w:noProof/>
              </w:rPr>
            </w:pPr>
            <w:r>
              <w:rPr>
                <w:noProof/>
              </w:rPr>
              <w:t xml:space="preserve">Valstu nodarbinātības dienesti (VND) ir pabeiguši stiprināšanas plānā paredzētās </w:t>
            </w:r>
            <w:r>
              <w:rPr>
                <w:noProof/>
              </w:rPr>
              <w:t>darbības.</w:t>
            </w:r>
          </w:p>
        </w:tc>
      </w:tr>
      <w:tr w:rsidR="00327FF1" w14:paraId="41F72672" w14:textId="77777777">
        <w:trPr>
          <w:trHeight w:val="300"/>
        </w:trPr>
        <w:tc>
          <w:tcPr>
            <w:tcW w:w="1435" w:type="dxa"/>
            <w:shd w:val="clear" w:color="auto" w:fill="C6EFCE"/>
            <w:tcMar>
              <w:left w:w="108" w:type="dxa"/>
              <w:right w:w="108" w:type="dxa"/>
            </w:tcMar>
            <w:vAlign w:val="center"/>
          </w:tcPr>
          <w:p w14:paraId="29ADE4D0" w14:textId="77777777" w:rsidR="00327FF1" w:rsidRDefault="00E406C7">
            <w:pPr>
              <w:pStyle w:val="P68B1DB1-Normal121"/>
              <w:spacing w:after="0" w:line="240" w:lineRule="auto"/>
              <w:jc w:val="center"/>
              <w:rPr>
                <w:noProof/>
              </w:rPr>
            </w:pPr>
            <w:r>
              <w:rPr>
                <w:noProof/>
              </w:rPr>
              <w:t xml:space="preserve">M5C1–10 </w:t>
            </w:r>
          </w:p>
        </w:tc>
        <w:tc>
          <w:tcPr>
            <w:tcW w:w="3543" w:type="dxa"/>
            <w:shd w:val="clear" w:color="auto" w:fill="C6EFCE"/>
            <w:tcMar>
              <w:left w:w="108" w:type="dxa"/>
              <w:right w:w="108" w:type="dxa"/>
            </w:tcMar>
            <w:vAlign w:val="center"/>
          </w:tcPr>
          <w:p w14:paraId="0F2FD4E9" w14:textId="77777777" w:rsidR="00327FF1" w:rsidRDefault="00E406C7">
            <w:pPr>
              <w:pStyle w:val="P68B1DB1-Normal121"/>
              <w:spacing w:after="0" w:line="240" w:lineRule="auto"/>
              <w:rPr>
                <w:noProof/>
              </w:rPr>
            </w:pPr>
            <w:r>
              <w:rPr>
                <w:noProof/>
              </w:rPr>
              <w:t xml:space="preserve">Reforma. Nedeklarēts darbs </w:t>
            </w:r>
          </w:p>
        </w:tc>
        <w:tc>
          <w:tcPr>
            <w:tcW w:w="1276" w:type="dxa"/>
            <w:shd w:val="clear" w:color="auto" w:fill="C6EFCE"/>
            <w:tcMar>
              <w:left w:w="108" w:type="dxa"/>
              <w:right w:w="108" w:type="dxa"/>
            </w:tcMar>
            <w:vAlign w:val="center"/>
          </w:tcPr>
          <w:p w14:paraId="39079DDA"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743F784D" w14:textId="77777777" w:rsidR="00327FF1" w:rsidRDefault="00E406C7">
            <w:pPr>
              <w:pStyle w:val="P68B1DB1-Normal121"/>
              <w:spacing w:after="0" w:line="240" w:lineRule="auto"/>
              <w:rPr>
                <w:noProof/>
              </w:rPr>
            </w:pPr>
            <w:r>
              <w:rPr>
                <w:noProof/>
              </w:rPr>
              <w:t>Lielāks darba inspekciju skaits un dalība lauksaimniecības tīklā</w:t>
            </w:r>
          </w:p>
        </w:tc>
      </w:tr>
      <w:tr w:rsidR="00327FF1" w14:paraId="13C582CC" w14:textId="77777777">
        <w:trPr>
          <w:trHeight w:val="300"/>
        </w:trPr>
        <w:tc>
          <w:tcPr>
            <w:tcW w:w="1435" w:type="dxa"/>
            <w:shd w:val="clear" w:color="auto" w:fill="C6EFCE"/>
            <w:tcMar>
              <w:left w:w="108" w:type="dxa"/>
              <w:right w:w="108" w:type="dxa"/>
            </w:tcMar>
            <w:vAlign w:val="center"/>
          </w:tcPr>
          <w:p w14:paraId="6DB9B784" w14:textId="77777777" w:rsidR="00327FF1" w:rsidRDefault="00E406C7">
            <w:pPr>
              <w:pStyle w:val="P68B1DB1-Normal121"/>
              <w:spacing w:after="0" w:line="240" w:lineRule="auto"/>
              <w:jc w:val="center"/>
              <w:rPr>
                <w:noProof/>
              </w:rPr>
            </w:pPr>
            <w:r>
              <w:rPr>
                <w:noProof/>
              </w:rPr>
              <w:t>M5C3–9</w:t>
            </w:r>
          </w:p>
        </w:tc>
        <w:tc>
          <w:tcPr>
            <w:tcW w:w="3543" w:type="dxa"/>
            <w:shd w:val="clear" w:color="auto" w:fill="C6EFCE"/>
            <w:tcMar>
              <w:left w:w="108" w:type="dxa"/>
              <w:right w:w="108" w:type="dxa"/>
            </w:tcMar>
            <w:vAlign w:val="center"/>
          </w:tcPr>
          <w:p w14:paraId="08C23E97" w14:textId="77777777" w:rsidR="00327FF1" w:rsidRDefault="00E406C7">
            <w:pPr>
              <w:pStyle w:val="P68B1DB1-Normal121"/>
              <w:spacing w:after="0" w:line="240" w:lineRule="auto"/>
              <w:rPr>
                <w:noProof/>
              </w:rPr>
            </w:pPr>
            <w:r>
              <w:rPr>
                <w:noProof/>
              </w:rPr>
              <w:t>Investīcija1.3: Strukturēti sociāli izglītojoši pasākumi, lai cīnītos pret izglītības trūkumu dienvidos, atbalstot trešo nozari</w:t>
            </w:r>
          </w:p>
        </w:tc>
        <w:tc>
          <w:tcPr>
            <w:tcW w:w="1276" w:type="dxa"/>
            <w:shd w:val="clear" w:color="auto" w:fill="C6EFCE"/>
            <w:tcMar>
              <w:left w:w="108" w:type="dxa"/>
              <w:right w:w="108" w:type="dxa"/>
            </w:tcMar>
            <w:vAlign w:val="center"/>
          </w:tcPr>
          <w:p w14:paraId="1EE7CF3F" w14:textId="77777777" w:rsidR="00327FF1" w:rsidRDefault="00E406C7">
            <w:pPr>
              <w:pStyle w:val="P68B1DB1-Normal121"/>
              <w:spacing w:after="0" w:line="240" w:lineRule="auto"/>
              <w:jc w:val="center"/>
              <w:rPr>
                <w:noProof/>
              </w:rPr>
            </w:pPr>
            <w:r>
              <w:rPr>
                <w:noProof/>
              </w:rPr>
              <w:t>M</w:t>
            </w:r>
            <w:r>
              <w:rPr>
                <w:noProof/>
              </w:rPr>
              <w:t>ērķa</w:t>
            </w:r>
          </w:p>
        </w:tc>
        <w:tc>
          <w:tcPr>
            <w:tcW w:w="3105" w:type="dxa"/>
            <w:shd w:val="clear" w:color="auto" w:fill="C6EFCE"/>
            <w:tcMar>
              <w:left w:w="108" w:type="dxa"/>
              <w:right w:w="108" w:type="dxa"/>
            </w:tcMar>
            <w:vAlign w:val="center"/>
          </w:tcPr>
          <w:p w14:paraId="3E0653B1" w14:textId="77777777" w:rsidR="00327FF1" w:rsidRDefault="00E406C7">
            <w:pPr>
              <w:pStyle w:val="P68B1DB1-Normal121"/>
              <w:spacing w:after="0" w:line="240" w:lineRule="auto"/>
              <w:rPr>
                <w:noProof/>
              </w:rPr>
            </w:pPr>
            <w:r>
              <w:rPr>
                <w:noProof/>
              </w:rPr>
              <w:t>Izglītības atbalsts nepilngadīgajiem (otrā grupa)</w:t>
            </w:r>
          </w:p>
        </w:tc>
      </w:tr>
      <w:tr w:rsidR="00327FF1" w14:paraId="51C558C2" w14:textId="77777777">
        <w:trPr>
          <w:trHeight w:val="300"/>
        </w:trPr>
        <w:tc>
          <w:tcPr>
            <w:tcW w:w="1435" w:type="dxa"/>
            <w:shd w:val="clear" w:color="auto" w:fill="C6EFCE"/>
            <w:tcMar>
              <w:left w:w="108" w:type="dxa"/>
              <w:right w:w="108" w:type="dxa"/>
            </w:tcMar>
            <w:vAlign w:val="center"/>
          </w:tcPr>
          <w:p w14:paraId="1B378941" w14:textId="77777777" w:rsidR="00327FF1" w:rsidRDefault="00E406C7">
            <w:pPr>
              <w:pStyle w:val="P68B1DB1-Normal121"/>
              <w:spacing w:after="0" w:line="240" w:lineRule="auto"/>
              <w:jc w:val="center"/>
              <w:rPr>
                <w:noProof/>
              </w:rPr>
            </w:pPr>
            <w:r>
              <w:rPr>
                <w:noProof/>
              </w:rPr>
              <w:t>M7–3</w:t>
            </w:r>
          </w:p>
        </w:tc>
        <w:tc>
          <w:tcPr>
            <w:tcW w:w="3543" w:type="dxa"/>
            <w:shd w:val="clear" w:color="auto" w:fill="C6EFCE"/>
            <w:tcMar>
              <w:left w:w="108" w:type="dxa"/>
              <w:right w:w="108" w:type="dxa"/>
            </w:tcMar>
            <w:vAlign w:val="center"/>
          </w:tcPr>
          <w:p w14:paraId="3C993E7B" w14:textId="77777777" w:rsidR="00327FF1" w:rsidRDefault="00E406C7">
            <w:pPr>
              <w:pStyle w:val="P68B1DB1-Normal121"/>
              <w:spacing w:after="0" w:line="240" w:lineRule="auto"/>
              <w:rPr>
                <w:noProof/>
              </w:rPr>
            </w:pPr>
            <w:r>
              <w:rPr>
                <w:noProof/>
              </w:rPr>
              <w:t xml:space="preserve">Reforma: Atļauju piešķiršanas procedūru racionalizēšana attiecībā uz atjaunīgo enerģiju </w:t>
            </w:r>
          </w:p>
        </w:tc>
        <w:tc>
          <w:tcPr>
            <w:tcW w:w="1276" w:type="dxa"/>
            <w:shd w:val="clear" w:color="auto" w:fill="C6EFCE"/>
            <w:tcMar>
              <w:left w:w="108" w:type="dxa"/>
              <w:right w:w="108" w:type="dxa"/>
            </w:tcMar>
            <w:vAlign w:val="center"/>
          </w:tcPr>
          <w:p w14:paraId="5DFED38B"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140653B1" w14:textId="77777777" w:rsidR="00327FF1" w:rsidRDefault="00E406C7">
            <w:pPr>
              <w:pStyle w:val="P68B1DB1-Normal121"/>
              <w:spacing w:after="0" w:line="240" w:lineRule="auto"/>
              <w:rPr>
                <w:noProof/>
              </w:rPr>
            </w:pPr>
            <w:r>
              <w:rPr>
                <w:noProof/>
              </w:rPr>
              <w:t>Vienotas piekļuves digitālās platformas izveide atļaujām, kas saistītas ar atjaunīgajiem</w:t>
            </w:r>
            <w:r>
              <w:rPr>
                <w:noProof/>
              </w:rPr>
              <w:t xml:space="preserve"> energoresursiem</w:t>
            </w:r>
          </w:p>
        </w:tc>
      </w:tr>
      <w:tr w:rsidR="00327FF1" w14:paraId="0FACBA40" w14:textId="77777777">
        <w:trPr>
          <w:trHeight w:val="300"/>
        </w:trPr>
        <w:tc>
          <w:tcPr>
            <w:tcW w:w="1435" w:type="dxa"/>
            <w:shd w:val="clear" w:color="auto" w:fill="C6EFCE"/>
            <w:tcMar>
              <w:left w:w="108" w:type="dxa"/>
              <w:right w:w="108" w:type="dxa"/>
            </w:tcMar>
            <w:vAlign w:val="center"/>
          </w:tcPr>
          <w:p w14:paraId="1AEAF1CE" w14:textId="77777777" w:rsidR="00327FF1" w:rsidRDefault="00E406C7">
            <w:pPr>
              <w:pStyle w:val="P68B1DB1-Normal121"/>
              <w:spacing w:after="0" w:line="240" w:lineRule="auto"/>
              <w:jc w:val="center"/>
              <w:rPr>
                <w:noProof/>
              </w:rPr>
            </w:pPr>
            <w:r>
              <w:rPr>
                <w:noProof/>
              </w:rPr>
              <w:t>M7–5</w:t>
            </w:r>
          </w:p>
        </w:tc>
        <w:tc>
          <w:tcPr>
            <w:tcW w:w="3543" w:type="dxa"/>
            <w:shd w:val="clear" w:color="auto" w:fill="C6EFCE"/>
            <w:tcMar>
              <w:left w:w="108" w:type="dxa"/>
              <w:right w:w="108" w:type="dxa"/>
            </w:tcMar>
            <w:vAlign w:val="center"/>
          </w:tcPr>
          <w:p w14:paraId="424B31D2" w14:textId="77777777" w:rsidR="00327FF1" w:rsidRDefault="00E406C7">
            <w:pPr>
              <w:pStyle w:val="P68B1DB1-Normal121"/>
              <w:spacing w:after="0" w:line="240" w:lineRule="auto"/>
              <w:rPr>
                <w:noProof/>
              </w:rPr>
            </w:pPr>
            <w:r>
              <w:rPr>
                <w:noProof/>
              </w:rPr>
              <w:t>Reforma. Videi kaitīgu subsīdiju samazināšana</w:t>
            </w:r>
          </w:p>
        </w:tc>
        <w:tc>
          <w:tcPr>
            <w:tcW w:w="1276" w:type="dxa"/>
            <w:shd w:val="clear" w:color="auto" w:fill="C6EFCE"/>
            <w:tcMar>
              <w:left w:w="108" w:type="dxa"/>
              <w:right w:w="108" w:type="dxa"/>
            </w:tcMar>
            <w:vAlign w:val="center"/>
          </w:tcPr>
          <w:p w14:paraId="59C311CA"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2B8E5DAF" w14:textId="77777777" w:rsidR="00327FF1" w:rsidRDefault="00E406C7">
            <w:pPr>
              <w:pStyle w:val="P68B1DB1-Normal121"/>
              <w:spacing w:after="0" w:line="240" w:lineRule="auto"/>
              <w:rPr>
                <w:noProof/>
              </w:rPr>
            </w:pPr>
            <w:r>
              <w:rPr>
                <w:noProof/>
              </w:rPr>
              <w:t>Primāro un sekundāro tiesību aktu stāšanās spēkā.</w:t>
            </w:r>
          </w:p>
        </w:tc>
      </w:tr>
      <w:tr w:rsidR="00327FF1" w14:paraId="046D17B2" w14:textId="77777777">
        <w:trPr>
          <w:trHeight w:val="300"/>
        </w:trPr>
        <w:tc>
          <w:tcPr>
            <w:tcW w:w="1435" w:type="dxa"/>
            <w:shd w:val="clear" w:color="auto" w:fill="C6EFCE"/>
            <w:tcMar>
              <w:left w:w="108" w:type="dxa"/>
              <w:right w:w="108" w:type="dxa"/>
            </w:tcMar>
            <w:vAlign w:val="center"/>
          </w:tcPr>
          <w:p w14:paraId="7071DB26" w14:textId="77777777" w:rsidR="00327FF1" w:rsidRDefault="00E406C7">
            <w:pPr>
              <w:pStyle w:val="P68B1DB1-Normal121"/>
              <w:spacing w:after="0" w:line="240" w:lineRule="auto"/>
              <w:jc w:val="center"/>
              <w:rPr>
                <w:noProof/>
              </w:rPr>
            </w:pPr>
            <w:r>
              <w:rPr>
                <w:noProof/>
              </w:rPr>
              <w:t>M7–26</w:t>
            </w:r>
          </w:p>
        </w:tc>
        <w:tc>
          <w:tcPr>
            <w:tcW w:w="3543" w:type="dxa"/>
            <w:shd w:val="clear" w:color="auto" w:fill="C6EFCE"/>
            <w:tcMar>
              <w:left w:w="108" w:type="dxa"/>
              <w:right w:w="108" w:type="dxa"/>
            </w:tcMar>
            <w:vAlign w:val="center"/>
          </w:tcPr>
          <w:p w14:paraId="5AF13FF5" w14:textId="77777777" w:rsidR="00327FF1" w:rsidRDefault="00E406C7">
            <w:pPr>
              <w:pStyle w:val="P68B1DB1-Normal121"/>
              <w:spacing w:after="0" w:line="240" w:lineRule="auto"/>
              <w:rPr>
                <w:noProof/>
              </w:rPr>
            </w:pPr>
            <w:r>
              <w:rPr>
                <w:noProof/>
              </w:rPr>
              <w:t>Ieguldījums Nr. 8: Kritiski svarīgo izejvielu ilgtspējīga, apritīga un droša piegāde</w:t>
            </w:r>
          </w:p>
        </w:tc>
        <w:tc>
          <w:tcPr>
            <w:tcW w:w="1276" w:type="dxa"/>
            <w:shd w:val="clear" w:color="auto" w:fill="C6EFCE"/>
            <w:tcMar>
              <w:left w:w="108" w:type="dxa"/>
              <w:right w:w="108" w:type="dxa"/>
            </w:tcMar>
            <w:vAlign w:val="center"/>
          </w:tcPr>
          <w:p w14:paraId="742F7D48"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5CE626D8" w14:textId="77777777" w:rsidR="00327FF1" w:rsidRDefault="00E406C7">
            <w:pPr>
              <w:pStyle w:val="P68B1DB1-Normal121"/>
              <w:spacing w:after="0" w:line="240" w:lineRule="auto"/>
              <w:rPr>
                <w:noProof/>
              </w:rPr>
            </w:pPr>
            <w:r>
              <w:rPr>
                <w:noProof/>
              </w:rPr>
              <w:t xml:space="preserve">Ģeogrāfiskās </w:t>
            </w:r>
            <w:r>
              <w:rPr>
                <w:noProof/>
              </w:rPr>
              <w:t>informācijas sistēma (ĢIS) par ieguves rūpniecības atkritumiem, lai nodrošinātu ilgtspējīgu, apritīgu un drošu apgādi ar kritiski svarīgām izejvielām</w:t>
            </w:r>
          </w:p>
        </w:tc>
      </w:tr>
      <w:tr w:rsidR="00327FF1" w14:paraId="7C4B7282" w14:textId="77777777">
        <w:trPr>
          <w:trHeight w:val="300"/>
        </w:trPr>
        <w:tc>
          <w:tcPr>
            <w:tcW w:w="1435" w:type="dxa"/>
            <w:shd w:val="clear" w:color="auto" w:fill="C6EFCE"/>
            <w:tcMar>
              <w:left w:w="108" w:type="dxa"/>
              <w:right w:w="108" w:type="dxa"/>
            </w:tcMar>
            <w:vAlign w:val="center"/>
          </w:tcPr>
          <w:p w14:paraId="6832B85E" w14:textId="77777777" w:rsidR="00327FF1" w:rsidRDefault="00E406C7">
            <w:pPr>
              <w:pStyle w:val="P68B1DB1-Normal121"/>
              <w:spacing w:after="0" w:line="240" w:lineRule="auto"/>
              <w:jc w:val="center"/>
              <w:rPr>
                <w:noProof/>
              </w:rPr>
            </w:pPr>
            <w:r>
              <w:rPr>
                <w:noProof/>
              </w:rPr>
              <w:t>M1C1–38bis</w:t>
            </w:r>
          </w:p>
        </w:tc>
        <w:tc>
          <w:tcPr>
            <w:tcW w:w="3543" w:type="dxa"/>
            <w:shd w:val="clear" w:color="auto" w:fill="C6EFCE"/>
            <w:tcMar>
              <w:left w:w="108" w:type="dxa"/>
              <w:right w:w="108" w:type="dxa"/>
            </w:tcMar>
            <w:vAlign w:val="center"/>
          </w:tcPr>
          <w:p w14:paraId="7CD7CA88" w14:textId="77777777" w:rsidR="00327FF1" w:rsidRDefault="00E406C7">
            <w:pPr>
              <w:pStyle w:val="P68B1DB1-Normal121"/>
              <w:spacing w:after="0" w:line="240" w:lineRule="auto"/>
              <w:rPr>
                <w:noProof/>
              </w:rPr>
            </w:pPr>
            <w:r>
              <w:rPr>
                <w:noProof/>
              </w:rPr>
              <w:t xml:space="preserve">Reforma Nr. 1.8: Tieslietu sistēmu digitalizācija </w:t>
            </w:r>
          </w:p>
        </w:tc>
        <w:tc>
          <w:tcPr>
            <w:tcW w:w="1276" w:type="dxa"/>
            <w:shd w:val="clear" w:color="auto" w:fill="C6EFCE"/>
            <w:tcMar>
              <w:left w:w="108" w:type="dxa"/>
              <w:right w:w="108" w:type="dxa"/>
            </w:tcMar>
            <w:vAlign w:val="center"/>
          </w:tcPr>
          <w:p w14:paraId="7D81C22E"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76036BCC" w14:textId="77777777" w:rsidR="00327FF1" w:rsidRDefault="00E406C7">
            <w:pPr>
              <w:pStyle w:val="P68B1DB1-Normal121"/>
              <w:spacing w:after="0" w:line="240" w:lineRule="auto"/>
              <w:rPr>
                <w:noProof/>
              </w:rPr>
            </w:pPr>
            <w:r>
              <w:rPr>
                <w:noProof/>
              </w:rPr>
              <w:t>Tiesu sistēmas digitalizāc</w:t>
            </w:r>
            <w:r>
              <w:rPr>
                <w:noProof/>
              </w:rPr>
              <w:t>ija</w:t>
            </w:r>
          </w:p>
        </w:tc>
      </w:tr>
      <w:tr w:rsidR="00327FF1" w14:paraId="29625C2F" w14:textId="77777777">
        <w:trPr>
          <w:trHeight w:val="300"/>
        </w:trPr>
        <w:tc>
          <w:tcPr>
            <w:tcW w:w="1435" w:type="dxa"/>
            <w:shd w:val="clear" w:color="auto" w:fill="C6EFCE"/>
            <w:tcMar>
              <w:left w:w="108" w:type="dxa"/>
              <w:right w:w="108" w:type="dxa"/>
            </w:tcMar>
            <w:vAlign w:val="center"/>
          </w:tcPr>
          <w:p w14:paraId="7574D9BD" w14:textId="77777777" w:rsidR="00327FF1" w:rsidRDefault="00E406C7">
            <w:pPr>
              <w:pStyle w:val="P68B1DB1-Normal121"/>
              <w:spacing w:after="0" w:line="240" w:lineRule="auto"/>
              <w:jc w:val="center"/>
              <w:rPr>
                <w:noProof/>
              </w:rPr>
            </w:pPr>
            <w:r>
              <w:rPr>
                <w:noProof/>
              </w:rPr>
              <w:t>M1C1–72kvīni</w:t>
            </w:r>
          </w:p>
        </w:tc>
        <w:tc>
          <w:tcPr>
            <w:tcW w:w="3543" w:type="dxa"/>
            <w:shd w:val="clear" w:color="auto" w:fill="C6EFCE"/>
            <w:tcMar>
              <w:left w:w="108" w:type="dxa"/>
              <w:right w:w="108" w:type="dxa"/>
            </w:tcMar>
            <w:vAlign w:val="center"/>
          </w:tcPr>
          <w:p w14:paraId="1ED212E3" w14:textId="77777777" w:rsidR="00327FF1" w:rsidRDefault="00E406C7">
            <w:pPr>
              <w:pStyle w:val="P68B1DB1-Normal121"/>
              <w:spacing w:after="0" w:line="240" w:lineRule="auto"/>
              <w:rPr>
                <w:noProof/>
              </w:rPr>
            </w:pPr>
            <w:r>
              <w:rPr>
                <w:noProof/>
              </w:rPr>
              <w:t>Reforma Nr. 1.11. Valsts pārvaldes un veselības aprūpes iestāžu maksājumu kavējumu samazināšana</w:t>
            </w:r>
          </w:p>
        </w:tc>
        <w:tc>
          <w:tcPr>
            <w:tcW w:w="1276" w:type="dxa"/>
            <w:shd w:val="clear" w:color="auto" w:fill="C6EFCE"/>
            <w:tcMar>
              <w:left w:w="108" w:type="dxa"/>
              <w:right w:w="108" w:type="dxa"/>
            </w:tcMar>
            <w:vAlign w:val="center"/>
          </w:tcPr>
          <w:p w14:paraId="7C2B3F3D"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222610E1" w14:textId="77777777" w:rsidR="00327FF1" w:rsidRDefault="00E406C7">
            <w:pPr>
              <w:pStyle w:val="P68B1DB1-Normal121"/>
              <w:spacing w:after="0" w:line="240" w:lineRule="auto"/>
              <w:rPr>
                <w:noProof/>
              </w:rPr>
            </w:pPr>
            <w:r>
              <w:rPr>
                <w:noProof/>
              </w:rPr>
              <w:t xml:space="preserve">Tīmekļa vietne, kurā sniegta informācija un dati par valsts pārvaldes maksājumiem </w:t>
            </w:r>
          </w:p>
        </w:tc>
      </w:tr>
      <w:tr w:rsidR="00327FF1" w14:paraId="76EE29D4" w14:textId="77777777">
        <w:trPr>
          <w:trHeight w:val="300"/>
        </w:trPr>
        <w:tc>
          <w:tcPr>
            <w:tcW w:w="1435" w:type="dxa"/>
            <w:shd w:val="clear" w:color="auto" w:fill="C6EFCE"/>
            <w:tcMar>
              <w:left w:w="108" w:type="dxa"/>
              <w:right w:w="108" w:type="dxa"/>
            </w:tcMar>
            <w:vAlign w:val="center"/>
          </w:tcPr>
          <w:p w14:paraId="3D7745C0" w14:textId="77777777" w:rsidR="00327FF1" w:rsidRDefault="00E406C7">
            <w:pPr>
              <w:pStyle w:val="P68B1DB1-Normal121"/>
              <w:spacing w:after="0" w:line="240" w:lineRule="auto"/>
              <w:jc w:val="center"/>
              <w:rPr>
                <w:noProof/>
              </w:rPr>
            </w:pPr>
            <w:r>
              <w:rPr>
                <w:noProof/>
              </w:rPr>
              <w:t>M1C1–72ix</w:t>
            </w:r>
          </w:p>
        </w:tc>
        <w:tc>
          <w:tcPr>
            <w:tcW w:w="3543" w:type="dxa"/>
            <w:shd w:val="clear" w:color="auto" w:fill="C6EFCE"/>
            <w:tcMar>
              <w:left w:w="108" w:type="dxa"/>
              <w:right w:w="108" w:type="dxa"/>
            </w:tcMar>
            <w:vAlign w:val="center"/>
          </w:tcPr>
          <w:p w14:paraId="23BBA5F4" w14:textId="77777777" w:rsidR="00327FF1" w:rsidRDefault="00E406C7">
            <w:pPr>
              <w:pStyle w:val="P68B1DB1-Normal121"/>
              <w:spacing w:after="0" w:line="240" w:lineRule="auto"/>
              <w:rPr>
                <w:noProof/>
              </w:rPr>
            </w:pPr>
            <w:r>
              <w:rPr>
                <w:noProof/>
              </w:rPr>
              <w:t xml:space="preserve">Reforma Nr. 1.11. Valsts </w:t>
            </w:r>
            <w:r>
              <w:rPr>
                <w:noProof/>
              </w:rPr>
              <w:t>pārvaldes un veselības aprūpes iestāžu maksājumu kavējumu samazināšana</w:t>
            </w:r>
          </w:p>
        </w:tc>
        <w:tc>
          <w:tcPr>
            <w:tcW w:w="1276" w:type="dxa"/>
            <w:shd w:val="clear" w:color="auto" w:fill="C6EFCE"/>
            <w:tcMar>
              <w:left w:w="108" w:type="dxa"/>
              <w:right w:w="108" w:type="dxa"/>
            </w:tcMar>
            <w:vAlign w:val="center"/>
          </w:tcPr>
          <w:p w14:paraId="70DA34E4"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7E2BF1F4" w14:textId="77777777" w:rsidR="00327FF1" w:rsidRDefault="00E406C7">
            <w:pPr>
              <w:pStyle w:val="P68B1DB1-Normal121"/>
              <w:spacing w:after="0" w:line="240" w:lineRule="auto"/>
              <w:rPr>
                <w:noProof/>
              </w:rPr>
            </w:pPr>
            <w:r>
              <w:rPr>
                <w:noProof/>
              </w:rPr>
              <w:t>Revīzijas plāna galīgā revīzijas ziņojuma pieņemšana</w:t>
            </w:r>
          </w:p>
        </w:tc>
      </w:tr>
      <w:tr w:rsidR="00327FF1" w14:paraId="4064EE51" w14:textId="77777777">
        <w:trPr>
          <w:trHeight w:val="300"/>
        </w:trPr>
        <w:tc>
          <w:tcPr>
            <w:tcW w:w="1435" w:type="dxa"/>
            <w:shd w:val="clear" w:color="auto" w:fill="C6EFCE"/>
            <w:tcMar>
              <w:left w:w="108" w:type="dxa"/>
              <w:right w:w="108" w:type="dxa"/>
            </w:tcMar>
            <w:vAlign w:val="center"/>
          </w:tcPr>
          <w:p w14:paraId="29C7A486" w14:textId="77777777" w:rsidR="00327FF1" w:rsidRDefault="00E406C7">
            <w:pPr>
              <w:pStyle w:val="P68B1DB1-Normal121"/>
              <w:spacing w:after="0" w:line="240" w:lineRule="auto"/>
              <w:jc w:val="center"/>
              <w:rPr>
                <w:noProof/>
              </w:rPr>
            </w:pPr>
            <w:r>
              <w:rPr>
                <w:noProof/>
              </w:rPr>
              <w:t>M1C1–27</w:t>
            </w:r>
          </w:p>
        </w:tc>
        <w:tc>
          <w:tcPr>
            <w:tcW w:w="3543" w:type="dxa"/>
            <w:shd w:val="clear" w:color="auto" w:fill="C6EFCE"/>
            <w:tcMar>
              <w:left w:w="108" w:type="dxa"/>
              <w:right w:w="108" w:type="dxa"/>
            </w:tcMar>
            <w:vAlign w:val="center"/>
          </w:tcPr>
          <w:p w14:paraId="6AFF81EB" w14:textId="77777777" w:rsidR="00327FF1" w:rsidRDefault="00E406C7">
            <w:pPr>
              <w:pStyle w:val="P68B1DB1-Normal121"/>
              <w:spacing w:after="0" w:line="240" w:lineRule="auto"/>
              <w:rPr>
                <w:noProof/>
              </w:rPr>
            </w:pPr>
            <w:r>
              <w:rPr>
                <w:noProof/>
              </w:rPr>
              <w:t>Investīcija 1.3.1.: Valsts digitālo datu platforma</w:t>
            </w:r>
          </w:p>
        </w:tc>
        <w:tc>
          <w:tcPr>
            <w:tcW w:w="1276" w:type="dxa"/>
            <w:shd w:val="clear" w:color="auto" w:fill="C6EFCE"/>
            <w:tcMar>
              <w:left w:w="108" w:type="dxa"/>
              <w:right w:w="108" w:type="dxa"/>
            </w:tcMar>
            <w:vAlign w:val="center"/>
          </w:tcPr>
          <w:p w14:paraId="6727FB05" w14:textId="77777777" w:rsidR="00327FF1" w:rsidRDefault="00E406C7">
            <w:pPr>
              <w:pStyle w:val="P68B1DB1-Normal121"/>
              <w:spacing w:after="0" w:line="240" w:lineRule="auto"/>
              <w:jc w:val="center"/>
              <w:rPr>
                <w:noProof/>
              </w:rPr>
            </w:pPr>
            <w:r>
              <w:rPr>
                <w:noProof/>
              </w:rPr>
              <w:t>Mērķa</w:t>
            </w:r>
          </w:p>
        </w:tc>
        <w:tc>
          <w:tcPr>
            <w:tcW w:w="3105" w:type="dxa"/>
            <w:shd w:val="clear" w:color="auto" w:fill="C6EFCE"/>
            <w:tcMar>
              <w:left w:w="108" w:type="dxa"/>
              <w:right w:w="108" w:type="dxa"/>
            </w:tcMar>
            <w:vAlign w:val="center"/>
          </w:tcPr>
          <w:p w14:paraId="03D5E954" w14:textId="77777777" w:rsidR="00327FF1" w:rsidRDefault="00E406C7">
            <w:pPr>
              <w:pStyle w:val="P68B1DB1-Normal121"/>
              <w:spacing w:after="0" w:line="240" w:lineRule="auto"/>
              <w:rPr>
                <w:noProof/>
              </w:rPr>
            </w:pPr>
            <w:r>
              <w:rPr>
                <w:noProof/>
              </w:rPr>
              <w:t>API valsts digitālo datu platformā T2</w:t>
            </w:r>
          </w:p>
        </w:tc>
      </w:tr>
      <w:tr w:rsidR="00327FF1" w14:paraId="7D5B63FE" w14:textId="77777777">
        <w:trPr>
          <w:trHeight w:val="300"/>
        </w:trPr>
        <w:tc>
          <w:tcPr>
            <w:tcW w:w="1435" w:type="dxa"/>
            <w:shd w:val="clear" w:color="auto" w:fill="C6EFCE"/>
            <w:tcMar>
              <w:left w:w="108" w:type="dxa"/>
              <w:right w:w="108" w:type="dxa"/>
            </w:tcMar>
            <w:vAlign w:val="bottom"/>
          </w:tcPr>
          <w:p w14:paraId="7B17791B" w14:textId="77777777" w:rsidR="00327FF1" w:rsidRDefault="00E406C7">
            <w:pPr>
              <w:pStyle w:val="P68B1DB1-Normal121"/>
              <w:spacing w:after="0" w:line="240" w:lineRule="auto"/>
              <w:jc w:val="center"/>
              <w:rPr>
                <w:noProof/>
              </w:rPr>
            </w:pPr>
            <w:r>
              <w:rPr>
                <w:noProof/>
              </w:rPr>
              <w:t>M1C1–97ter</w:t>
            </w:r>
          </w:p>
        </w:tc>
        <w:tc>
          <w:tcPr>
            <w:tcW w:w="3543" w:type="dxa"/>
            <w:shd w:val="clear" w:color="auto" w:fill="C6EFCE"/>
            <w:tcMar>
              <w:left w:w="108" w:type="dxa"/>
              <w:right w:w="108" w:type="dxa"/>
            </w:tcMar>
            <w:vAlign w:val="center"/>
          </w:tcPr>
          <w:p w14:paraId="4E8DFF49" w14:textId="77777777" w:rsidR="00327FF1" w:rsidRDefault="00E406C7">
            <w:pPr>
              <w:pStyle w:val="P68B1DB1-Normal121"/>
              <w:spacing w:after="0" w:line="240" w:lineRule="auto"/>
              <w:rPr>
                <w:noProof/>
              </w:rPr>
            </w:pPr>
            <w:r>
              <w:rPr>
                <w:noProof/>
              </w:rPr>
              <w:t>Reforma Nr. 1.10. Publiskā iepirkuma tiesiskā regulējuma reforma</w:t>
            </w:r>
          </w:p>
        </w:tc>
        <w:tc>
          <w:tcPr>
            <w:tcW w:w="1276" w:type="dxa"/>
            <w:shd w:val="clear" w:color="auto" w:fill="C6EFCE"/>
            <w:tcMar>
              <w:left w:w="108" w:type="dxa"/>
              <w:right w:w="108" w:type="dxa"/>
            </w:tcMar>
            <w:vAlign w:val="center"/>
          </w:tcPr>
          <w:p w14:paraId="388784BD" w14:textId="77777777" w:rsidR="00327FF1" w:rsidRDefault="00E406C7">
            <w:pPr>
              <w:pStyle w:val="P68B1DB1-Normal121"/>
              <w:spacing w:after="0" w:line="240" w:lineRule="auto"/>
              <w:jc w:val="center"/>
              <w:rPr>
                <w:noProof/>
              </w:rPr>
            </w:pPr>
            <w:r>
              <w:rPr>
                <w:noProof/>
              </w:rPr>
              <w:t>Atskaites punkts</w:t>
            </w:r>
          </w:p>
        </w:tc>
        <w:tc>
          <w:tcPr>
            <w:tcW w:w="3105" w:type="dxa"/>
            <w:shd w:val="clear" w:color="auto" w:fill="C6EFCE"/>
            <w:tcMar>
              <w:left w:w="108" w:type="dxa"/>
              <w:right w:w="108" w:type="dxa"/>
            </w:tcMar>
            <w:vAlign w:val="center"/>
          </w:tcPr>
          <w:p w14:paraId="41FC0BBF" w14:textId="77777777" w:rsidR="00327FF1" w:rsidRDefault="00E406C7">
            <w:pPr>
              <w:pStyle w:val="P68B1DB1-Normal121"/>
              <w:spacing w:after="0" w:line="240" w:lineRule="auto"/>
              <w:rPr>
                <w:noProof/>
              </w:rPr>
            </w:pPr>
            <w:r>
              <w:rPr>
                <w:noProof/>
              </w:rPr>
              <w:t>Pasākumi izpildes ātruma uzlabošanai</w:t>
            </w:r>
          </w:p>
        </w:tc>
      </w:tr>
      <w:tr w:rsidR="00327FF1" w14:paraId="56389C72"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72C09E11" w14:textId="77777777" w:rsidR="00327FF1" w:rsidRDefault="00E406C7">
            <w:pPr>
              <w:pStyle w:val="P68B1DB1-Normal121"/>
              <w:spacing w:after="0"/>
              <w:jc w:val="center"/>
              <w:rPr>
                <w:noProof/>
              </w:rPr>
            </w:pPr>
            <w:r>
              <w:rPr>
                <w:noProof/>
              </w:rPr>
              <w:t>M4C2–4bis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7CF96B" w14:textId="77777777" w:rsidR="00327FF1" w:rsidRDefault="00E406C7">
            <w:pPr>
              <w:pStyle w:val="P68B1DB1-Normal121"/>
              <w:spacing w:after="0"/>
              <w:rPr>
                <w:noProof/>
              </w:rPr>
            </w:pPr>
            <w:r>
              <w:rPr>
                <w:noProof/>
              </w:rPr>
              <w:t>Reforma Nr. 1.2. Trīs gadu plāns pētniecības darbību finansēšanai</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7978D3" w14:textId="77777777" w:rsidR="00327FF1" w:rsidRDefault="00E406C7">
            <w:pPr>
              <w:pStyle w:val="P68B1DB1-Normal121"/>
              <w:spacing w:after="0"/>
              <w:jc w:val="center"/>
              <w:rPr>
                <w:noProof/>
              </w:rPr>
            </w:pPr>
            <w:r>
              <w:rPr>
                <w:noProof/>
              </w:rPr>
              <w:t>Atskaites punkts</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1D39A1" w14:textId="77777777" w:rsidR="00327FF1" w:rsidRDefault="00E406C7">
            <w:pPr>
              <w:pStyle w:val="P68B1DB1-Normal121"/>
              <w:spacing w:after="0"/>
              <w:rPr>
                <w:noProof/>
              </w:rPr>
            </w:pPr>
            <w:r>
              <w:rPr>
                <w:noProof/>
              </w:rPr>
              <w:t xml:space="preserve">Primārie tiesību akti, lai pieņemtu trīs </w:t>
            </w:r>
            <w:r>
              <w:rPr>
                <w:noProof/>
              </w:rPr>
              <w:t>gadu plānu pētniecības darbību finansēšanai </w:t>
            </w:r>
          </w:p>
        </w:tc>
      </w:tr>
      <w:tr w:rsidR="00327FF1" w14:paraId="0B06195A"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54D69BC7" w14:textId="77777777" w:rsidR="00327FF1" w:rsidRDefault="00E406C7">
            <w:pPr>
              <w:pStyle w:val="P68B1DB1-Normal121"/>
              <w:spacing w:after="0"/>
              <w:jc w:val="center"/>
              <w:rPr>
                <w:noProof/>
              </w:rPr>
            </w:pPr>
            <w:r>
              <w:rPr>
                <w:noProof/>
              </w:rPr>
              <w:t>M7–30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22FD61" w14:textId="77777777" w:rsidR="00327FF1" w:rsidRDefault="00E406C7">
            <w:pPr>
              <w:pStyle w:val="P68B1DB1-Normal121"/>
              <w:spacing w:after="0"/>
              <w:rPr>
                <w:noProof/>
              </w:rPr>
            </w:pPr>
            <w:r>
              <w:rPr>
                <w:noProof/>
              </w:rPr>
              <w:t>Investīcija Nr. 10: Izmēģinājuma projekts par prasmēm “Crescere Green”</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5F5526" w14:textId="77777777" w:rsidR="00327FF1" w:rsidRDefault="00E406C7">
            <w:pPr>
              <w:pStyle w:val="P68B1DB1-Normal121"/>
              <w:spacing w:after="0"/>
              <w:jc w:val="center"/>
              <w:rPr>
                <w:noProof/>
              </w:rPr>
            </w:pPr>
            <w:r>
              <w:rPr>
                <w:noProof/>
              </w:rPr>
              <w:t>Mērķa</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523D4A" w14:textId="77777777" w:rsidR="00327FF1" w:rsidRDefault="00E406C7">
            <w:pPr>
              <w:pStyle w:val="P68B1DB1-Normal121"/>
              <w:spacing w:after="0"/>
              <w:rPr>
                <w:noProof/>
              </w:rPr>
            </w:pPr>
            <w:r>
              <w:rPr>
                <w:noProof/>
              </w:rPr>
              <w:t>Īstenotie mācību moduļi</w:t>
            </w:r>
          </w:p>
        </w:tc>
      </w:tr>
      <w:tr w:rsidR="00327FF1" w14:paraId="0DC50A34"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04074BFE" w14:textId="77777777" w:rsidR="00327FF1" w:rsidRDefault="00E406C7">
            <w:pPr>
              <w:pStyle w:val="P68B1DB1-Normal121"/>
              <w:spacing w:after="0"/>
              <w:jc w:val="center"/>
              <w:rPr>
                <w:noProof/>
              </w:rPr>
            </w:pPr>
            <w:r>
              <w:rPr>
                <w:noProof/>
              </w:rPr>
              <w:t>M1C1–144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FB0EE4" w14:textId="77777777" w:rsidR="00327FF1" w:rsidRDefault="00E406C7">
            <w:pPr>
              <w:pStyle w:val="P68B1DB1-Normal121"/>
              <w:spacing w:after="0"/>
              <w:rPr>
                <w:noProof/>
              </w:rPr>
            </w:pPr>
            <w:r>
              <w:rPr>
                <w:noProof/>
              </w:rPr>
              <w:t xml:space="preserve">Investīcija 1.4.2. — Iekļaušana — Digitālo publisko pakalpojumu/intervences pieejamības </w:t>
            </w:r>
            <w:r>
              <w:rPr>
                <w:noProof/>
              </w:rPr>
              <w:t>uzlabošana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76FC7A" w14:textId="77777777" w:rsidR="00327FF1" w:rsidRDefault="00E406C7">
            <w:pPr>
              <w:pStyle w:val="P68B1DB1-Normal121"/>
              <w:spacing w:after="0"/>
              <w:jc w:val="center"/>
              <w:rPr>
                <w:noProof/>
              </w:rPr>
            </w:pPr>
            <w:r>
              <w:rPr>
                <w:noProof/>
              </w:rPr>
              <w:t>Mērķa</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7C077E9" w14:textId="77777777" w:rsidR="00327FF1" w:rsidRDefault="00E406C7">
            <w:pPr>
              <w:pStyle w:val="P68B1DB1-Normal121"/>
              <w:spacing w:after="0"/>
              <w:rPr>
                <w:noProof/>
              </w:rPr>
            </w:pPr>
            <w:r>
              <w:rPr>
                <w:noProof/>
              </w:rPr>
              <w:t>Digitālo publisko pakalpojumu labāka pieejamība</w:t>
            </w:r>
          </w:p>
        </w:tc>
      </w:tr>
      <w:tr w:rsidR="00327FF1" w14:paraId="5BC2EA6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5B251739" w14:textId="77777777" w:rsidR="00327FF1" w:rsidRDefault="00E406C7">
            <w:pPr>
              <w:pStyle w:val="P68B1DB1-Normal121"/>
              <w:spacing w:after="0"/>
              <w:jc w:val="center"/>
              <w:rPr>
                <w:noProof/>
              </w:rPr>
            </w:pPr>
            <w:r>
              <w:rPr>
                <w:noProof/>
              </w:rPr>
              <w:t>M2C2–36</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F8D799" w14:textId="77777777" w:rsidR="00327FF1" w:rsidRDefault="00E406C7">
            <w:pPr>
              <w:pStyle w:val="P68B1DB1-Normal121"/>
              <w:spacing w:after="0"/>
              <w:rPr>
                <w:noProof/>
              </w:rPr>
            </w:pPr>
            <w:r>
              <w:rPr>
                <w:noProof/>
              </w:rPr>
              <w:t>Investīciju 4.4.3: Valsts ugunsdzēsēju komandas atjaunošanas flote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73E605" w14:textId="77777777" w:rsidR="00327FF1" w:rsidRDefault="00E406C7">
            <w:pPr>
              <w:pStyle w:val="P68B1DB1-Normal121"/>
              <w:spacing w:after="0"/>
              <w:jc w:val="center"/>
              <w:rPr>
                <w:noProof/>
              </w:rPr>
            </w:pPr>
            <w:r>
              <w:rPr>
                <w:noProof/>
              </w:rPr>
              <w:t>Mērķa</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4C14B3" w14:textId="77777777" w:rsidR="00327FF1" w:rsidRDefault="00E406C7">
            <w:pPr>
              <w:pStyle w:val="P68B1DB1-Normal121"/>
              <w:spacing w:after="0"/>
              <w:rPr>
                <w:noProof/>
              </w:rPr>
            </w:pPr>
            <w:r>
              <w:rPr>
                <w:noProof/>
              </w:rPr>
              <w:t>“Tīro” transportlīdzekļu skaits atjaunošanas autoparkam valsts ugunsdzēsības komandai</w:t>
            </w:r>
          </w:p>
        </w:tc>
      </w:tr>
      <w:tr w:rsidR="00327FF1" w14:paraId="3C41809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5FA81171" w14:textId="77777777" w:rsidR="00327FF1" w:rsidRDefault="00E406C7">
            <w:pPr>
              <w:pStyle w:val="P68B1DB1-Normal121"/>
              <w:spacing w:after="0"/>
              <w:jc w:val="center"/>
              <w:rPr>
                <w:noProof/>
              </w:rPr>
            </w:pPr>
            <w:r>
              <w:rPr>
                <w:noProof/>
              </w:rPr>
              <w:t>M2C4–32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B1FE95" w14:textId="77777777" w:rsidR="00327FF1" w:rsidRDefault="00E406C7">
            <w:pPr>
              <w:pStyle w:val="P68B1DB1-Normal121"/>
              <w:spacing w:after="0"/>
              <w:rPr>
                <w:noProof/>
              </w:rPr>
            </w:pPr>
            <w:r>
              <w:rPr>
                <w:noProof/>
              </w:rPr>
              <w:t xml:space="preserve">Investīciju </w:t>
            </w:r>
            <w:r>
              <w:rPr>
                <w:noProof/>
              </w:rPr>
              <w:t>4.2: Zudumu samazināšana ūdens sadales tīklos, tostarp tīklu digitalizācija un monitorings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806E80" w14:textId="77777777" w:rsidR="00327FF1" w:rsidRDefault="00E406C7">
            <w:pPr>
              <w:pStyle w:val="P68B1DB1-Normal121"/>
              <w:spacing w:after="0"/>
              <w:jc w:val="center"/>
              <w:rPr>
                <w:noProof/>
              </w:rPr>
            </w:pPr>
            <w:r>
              <w:rPr>
                <w:noProof/>
              </w:rPr>
              <w:t>Mērķa</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1BEC36" w14:textId="77777777" w:rsidR="00327FF1" w:rsidRDefault="00E406C7">
            <w:pPr>
              <w:pStyle w:val="P68B1DB1-Normal121"/>
              <w:spacing w:after="0"/>
              <w:rPr>
                <w:noProof/>
              </w:rPr>
            </w:pPr>
            <w:r>
              <w:rPr>
                <w:noProof/>
              </w:rPr>
              <w:t>Intervences ūdens sadales tīklos, tostarp T2 tīklu digitalizācija un monitorings</w:t>
            </w:r>
          </w:p>
        </w:tc>
      </w:tr>
      <w:tr w:rsidR="00327FF1" w14:paraId="14CAE95E"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37EE60A5" w14:textId="77777777" w:rsidR="00327FF1" w:rsidRDefault="00E406C7">
            <w:pPr>
              <w:pStyle w:val="P68B1DB1-Normal121"/>
              <w:spacing w:after="0"/>
              <w:jc w:val="center"/>
              <w:rPr>
                <w:noProof/>
              </w:rPr>
            </w:pPr>
            <w:r>
              <w:rPr>
                <w:noProof/>
              </w:rPr>
              <w:t>M1C1–153</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FE5A3B" w14:textId="77777777" w:rsidR="00327FF1" w:rsidRDefault="00E406C7">
            <w:pPr>
              <w:pStyle w:val="P68B1DB1-Normal121"/>
              <w:spacing w:after="0"/>
              <w:rPr>
                <w:noProof/>
              </w:rPr>
            </w:pPr>
            <w:r>
              <w:rPr>
                <w:noProof/>
              </w:rPr>
              <w:t>Investīcija 1.6.2. — Tieslietu ministrijas digitalizācija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D85D6E" w14:textId="77777777" w:rsidR="00327FF1" w:rsidRDefault="00E406C7">
            <w:pPr>
              <w:pStyle w:val="P68B1DB1-Normal121"/>
              <w:spacing w:after="0"/>
              <w:jc w:val="center"/>
              <w:rPr>
                <w:noProof/>
              </w:rPr>
            </w:pPr>
            <w:r>
              <w:rPr>
                <w:noProof/>
              </w:rPr>
              <w:t>Mērķa</w:t>
            </w:r>
          </w:p>
        </w:tc>
        <w:tc>
          <w:tcPr>
            <w:tcW w:w="310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851031" w14:textId="77777777" w:rsidR="00327FF1" w:rsidRDefault="00E406C7">
            <w:pPr>
              <w:pStyle w:val="P68B1DB1-Normal121"/>
              <w:spacing w:after="0"/>
              <w:rPr>
                <w:noProof/>
              </w:rPr>
            </w:pPr>
            <w:r>
              <w:rPr>
                <w:noProof/>
              </w:rPr>
              <w:t>Digitalizētas tiesvedības lietas T2</w:t>
            </w:r>
          </w:p>
        </w:tc>
      </w:tr>
      <w:tr w:rsidR="00327FF1" w14:paraId="528C3C25" w14:textId="77777777">
        <w:trPr>
          <w:trHeight w:val="300"/>
        </w:trPr>
        <w:tc>
          <w:tcPr>
            <w:tcW w:w="1435" w:type="dxa"/>
            <w:shd w:val="clear" w:color="auto" w:fill="C6EFCE"/>
            <w:tcMar>
              <w:left w:w="108" w:type="dxa"/>
              <w:right w:w="108" w:type="dxa"/>
            </w:tcMar>
            <w:vAlign w:val="bottom"/>
          </w:tcPr>
          <w:p w14:paraId="47676C27" w14:textId="77777777" w:rsidR="00327FF1" w:rsidRDefault="00E406C7">
            <w:pPr>
              <w:pStyle w:val="P68B1DB1-Normal121"/>
              <w:spacing w:after="0" w:line="240" w:lineRule="auto"/>
              <w:jc w:val="center"/>
              <w:rPr>
                <w:noProof/>
              </w:rPr>
            </w:pPr>
            <w:r>
              <w:rPr>
                <w:noProof/>
              </w:rPr>
              <w:t xml:space="preserve"> </w:t>
            </w:r>
          </w:p>
        </w:tc>
        <w:tc>
          <w:tcPr>
            <w:tcW w:w="3543" w:type="dxa"/>
            <w:shd w:val="clear" w:color="auto" w:fill="C6EFCE"/>
            <w:tcMar>
              <w:left w:w="108" w:type="dxa"/>
              <w:right w:w="108" w:type="dxa"/>
            </w:tcMar>
            <w:vAlign w:val="center"/>
          </w:tcPr>
          <w:p w14:paraId="65ACE610" w14:textId="77777777" w:rsidR="00327FF1" w:rsidRDefault="00E406C7">
            <w:pPr>
              <w:pStyle w:val="P68B1DB1-Normal121"/>
              <w:spacing w:after="0" w:line="240" w:lineRule="auto"/>
              <w:rPr>
                <w:noProof/>
              </w:rPr>
            </w:pPr>
            <w:r>
              <w:rPr>
                <w:noProof/>
              </w:rPr>
              <w:t xml:space="preserve"> </w:t>
            </w:r>
          </w:p>
        </w:tc>
        <w:tc>
          <w:tcPr>
            <w:tcW w:w="1276" w:type="dxa"/>
            <w:shd w:val="clear" w:color="auto" w:fill="C6EFCE"/>
            <w:tcMar>
              <w:left w:w="108" w:type="dxa"/>
              <w:right w:w="108" w:type="dxa"/>
            </w:tcMar>
            <w:vAlign w:val="center"/>
          </w:tcPr>
          <w:p w14:paraId="3502E21C" w14:textId="77777777" w:rsidR="00327FF1" w:rsidRDefault="00E406C7">
            <w:pPr>
              <w:pStyle w:val="P68B1DB1-Normal121"/>
              <w:spacing w:after="0" w:line="240" w:lineRule="auto"/>
              <w:jc w:val="center"/>
              <w:rPr>
                <w:noProof/>
              </w:rPr>
            </w:pPr>
            <w:r>
              <w:rPr>
                <w:noProof/>
              </w:rPr>
              <w:t>Maksājuma summa</w:t>
            </w:r>
          </w:p>
        </w:tc>
        <w:tc>
          <w:tcPr>
            <w:tcW w:w="3105" w:type="dxa"/>
            <w:shd w:val="clear" w:color="auto" w:fill="C6EFCE"/>
            <w:tcMar>
              <w:left w:w="108" w:type="dxa"/>
              <w:right w:w="108" w:type="dxa"/>
            </w:tcMar>
            <w:vAlign w:val="center"/>
          </w:tcPr>
          <w:p w14:paraId="4AA90E09" w14:textId="77777777" w:rsidR="00327FF1" w:rsidRDefault="00E406C7">
            <w:pPr>
              <w:pStyle w:val="P68B1DB1-Normal121"/>
              <w:spacing w:after="0" w:line="240" w:lineRule="auto"/>
              <w:rPr>
                <w:noProof/>
              </w:rPr>
            </w:pPr>
            <w:r>
              <w:rPr>
                <w:noProof/>
              </w:rPr>
              <w:t>EUR 7670089282</w:t>
            </w:r>
          </w:p>
        </w:tc>
      </w:tr>
    </w:tbl>
    <w:p w14:paraId="68EC3F37" w14:textId="77777777" w:rsidR="00327FF1" w:rsidRDefault="00327FF1">
      <w:pPr>
        <w:spacing w:after="0"/>
        <w:ind w:left="850"/>
        <w:contextualSpacing/>
        <w:jc w:val="both"/>
        <w:rPr>
          <w:rFonts w:ascii="Times New Roman" w:eastAsia="Times New Roman" w:hAnsi="Times New Roman" w:cs="Times New Roman"/>
          <w:noProof/>
        </w:rPr>
      </w:pPr>
    </w:p>
    <w:p w14:paraId="638A5611" w14:textId="77777777" w:rsidR="00327FF1" w:rsidRDefault="00E406C7">
      <w:pPr>
        <w:pStyle w:val="P68B1DB1-Heading4119"/>
        <w:numPr>
          <w:ilvl w:val="1"/>
          <w:numId w:val="180"/>
        </w:numPr>
        <w:tabs>
          <w:tab w:val="num" w:pos="1440"/>
        </w:tabs>
        <w:ind w:left="1440" w:hanging="360"/>
        <w:rPr>
          <w:noProof/>
        </w:rPr>
      </w:pPr>
      <w:r>
        <w:rPr>
          <w:noProof/>
        </w:rPr>
        <w:t>Desmitā daļa (neatmaksājamais atbalsts):</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43"/>
        <w:gridCol w:w="1418"/>
        <w:gridCol w:w="2963"/>
      </w:tblGrid>
      <w:tr w:rsidR="00327FF1" w14:paraId="0DE91403" w14:textId="77777777">
        <w:trPr>
          <w:trHeight w:val="900"/>
          <w:tblHeader/>
        </w:trPr>
        <w:tc>
          <w:tcPr>
            <w:tcW w:w="1435" w:type="dxa"/>
            <w:vMerge w:val="restart"/>
            <w:shd w:val="clear" w:color="auto" w:fill="BDD7EE"/>
            <w:tcMar>
              <w:left w:w="108" w:type="dxa"/>
              <w:right w:w="108" w:type="dxa"/>
            </w:tcMar>
            <w:vAlign w:val="center"/>
          </w:tcPr>
          <w:p w14:paraId="4D14B7B8" w14:textId="77777777" w:rsidR="00327FF1" w:rsidRDefault="00E406C7">
            <w:pPr>
              <w:pStyle w:val="P68B1DB1-Normal120"/>
              <w:spacing w:after="0" w:line="240" w:lineRule="auto"/>
              <w:jc w:val="center"/>
              <w:rPr>
                <w:bCs/>
                <w:noProof/>
              </w:rPr>
            </w:pPr>
            <w:r>
              <w:rPr>
                <w:noProof/>
              </w:rPr>
              <w:t>Kārtas numurs</w:t>
            </w:r>
          </w:p>
        </w:tc>
        <w:tc>
          <w:tcPr>
            <w:tcW w:w="3543" w:type="dxa"/>
            <w:vMerge w:val="restart"/>
            <w:shd w:val="clear" w:color="auto" w:fill="BDD7EE"/>
            <w:tcMar>
              <w:left w:w="108" w:type="dxa"/>
              <w:right w:w="108" w:type="dxa"/>
            </w:tcMar>
            <w:vAlign w:val="center"/>
          </w:tcPr>
          <w:p w14:paraId="2ED8FD1D" w14:textId="77777777" w:rsidR="00327FF1" w:rsidRDefault="00E406C7">
            <w:pPr>
              <w:pStyle w:val="P68B1DB1-Normal120"/>
              <w:spacing w:after="0" w:line="240" w:lineRule="auto"/>
              <w:jc w:val="center"/>
              <w:rPr>
                <w:noProof/>
              </w:rPr>
            </w:pPr>
            <w:r>
              <w:rPr>
                <w:noProof/>
              </w:rPr>
              <w:t>Saistītais pasākums (reforma vai ieguldījums)</w:t>
            </w:r>
          </w:p>
        </w:tc>
        <w:tc>
          <w:tcPr>
            <w:tcW w:w="1418" w:type="dxa"/>
            <w:vMerge w:val="restart"/>
            <w:shd w:val="clear" w:color="auto" w:fill="BDD7EE"/>
            <w:tcMar>
              <w:left w:w="108" w:type="dxa"/>
              <w:right w:w="108" w:type="dxa"/>
            </w:tcMar>
            <w:vAlign w:val="center"/>
          </w:tcPr>
          <w:p w14:paraId="55731142" w14:textId="77777777" w:rsidR="00327FF1" w:rsidRDefault="00E406C7">
            <w:pPr>
              <w:pStyle w:val="P68B1DB1-Normal120"/>
              <w:spacing w:after="0" w:line="240" w:lineRule="auto"/>
              <w:jc w:val="center"/>
              <w:rPr>
                <w:noProof/>
              </w:rPr>
            </w:pPr>
            <w:r>
              <w:rPr>
                <w:noProof/>
              </w:rPr>
              <w:t>Atskaites punkts/mērķrādītājs</w:t>
            </w:r>
          </w:p>
        </w:tc>
        <w:tc>
          <w:tcPr>
            <w:tcW w:w="2963" w:type="dxa"/>
            <w:vMerge w:val="restart"/>
            <w:shd w:val="clear" w:color="auto" w:fill="BDD7EE"/>
            <w:tcMar>
              <w:left w:w="108" w:type="dxa"/>
              <w:right w:w="108" w:type="dxa"/>
            </w:tcMar>
            <w:vAlign w:val="center"/>
          </w:tcPr>
          <w:p w14:paraId="3A69F502" w14:textId="77777777" w:rsidR="00327FF1" w:rsidRDefault="00E406C7">
            <w:pPr>
              <w:pStyle w:val="P68B1DB1-Normal120"/>
              <w:spacing w:after="0" w:line="240" w:lineRule="auto"/>
              <w:jc w:val="center"/>
              <w:rPr>
                <w:noProof/>
              </w:rPr>
            </w:pPr>
            <w:r>
              <w:rPr>
                <w:noProof/>
              </w:rPr>
              <w:t>Nosaukums</w:t>
            </w:r>
          </w:p>
        </w:tc>
      </w:tr>
      <w:tr w:rsidR="00327FF1" w14:paraId="5C8FDBA9" w14:textId="77777777">
        <w:trPr>
          <w:trHeight w:val="510"/>
        </w:trPr>
        <w:tc>
          <w:tcPr>
            <w:tcW w:w="1435" w:type="dxa"/>
            <w:vMerge/>
            <w:vAlign w:val="center"/>
          </w:tcPr>
          <w:p w14:paraId="41B1791A" w14:textId="77777777" w:rsidR="00327FF1" w:rsidRDefault="00327FF1">
            <w:pPr>
              <w:spacing w:after="0" w:line="240" w:lineRule="auto"/>
              <w:jc w:val="center"/>
              <w:rPr>
                <w:rFonts w:ascii="Times New Roman" w:eastAsia="Times New Roman" w:hAnsi="Times New Roman" w:cs="Times New Roman"/>
                <w:noProof/>
              </w:rPr>
            </w:pPr>
          </w:p>
        </w:tc>
        <w:tc>
          <w:tcPr>
            <w:tcW w:w="3543" w:type="dxa"/>
            <w:vMerge/>
            <w:vAlign w:val="center"/>
          </w:tcPr>
          <w:p w14:paraId="507FB542" w14:textId="77777777" w:rsidR="00327FF1" w:rsidRDefault="00327FF1">
            <w:pPr>
              <w:spacing w:after="0" w:line="240" w:lineRule="auto"/>
              <w:rPr>
                <w:rFonts w:ascii="Times New Roman" w:eastAsia="Times New Roman" w:hAnsi="Times New Roman" w:cs="Times New Roman"/>
                <w:noProof/>
              </w:rPr>
            </w:pPr>
          </w:p>
        </w:tc>
        <w:tc>
          <w:tcPr>
            <w:tcW w:w="1418" w:type="dxa"/>
            <w:vMerge/>
            <w:vAlign w:val="center"/>
          </w:tcPr>
          <w:p w14:paraId="4E598482" w14:textId="77777777" w:rsidR="00327FF1" w:rsidRDefault="00327FF1">
            <w:pPr>
              <w:spacing w:after="0" w:line="240" w:lineRule="auto"/>
              <w:jc w:val="center"/>
              <w:rPr>
                <w:rFonts w:ascii="Times New Roman" w:eastAsia="Times New Roman" w:hAnsi="Times New Roman" w:cs="Times New Roman"/>
                <w:noProof/>
              </w:rPr>
            </w:pPr>
          </w:p>
        </w:tc>
        <w:tc>
          <w:tcPr>
            <w:tcW w:w="2963" w:type="dxa"/>
            <w:vMerge/>
            <w:vAlign w:val="center"/>
          </w:tcPr>
          <w:p w14:paraId="5B3D5FC4" w14:textId="77777777" w:rsidR="00327FF1" w:rsidRDefault="00327FF1">
            <w:pPr>
              <w:spacing w:after="0" w:line="240" w:lineRule="auto"/>
              <w:rPr>
                <w:rFonts w:ascii="Times New Roman" w:eastAsia="Times New Roman" w:hAnsi="Times New Roman" w:cs="Times New Roman"/>
                <w:noProof/>
              </w:rPr>
            </w:pPr>
          </w:p>
        </w:tc>
      </w:tr>
      <w:tr w:rsidR="00327FF1" w14:paraId="0F972973" w14:textId="77777777">
        <w:trPr>
          <w:trHeight w:val="300"/>
        </w:trPr>
        <w:tc>
          <w:tcPr>
            <w:tcW w:w="1435" w:type="dxa"/>
            <w:shd w:val="clear" w:color="auto" w:fill="C6EFCE"/>
            <w:tcMar>
              <w:left w:w="108" w:type="dxa"/>
              <w:right w:w="108" w:type="dxa"/>
            </w:tcMar>
            <w:vAlign w:val="center"/>
          </w:tcPr>
          <w:p w14:paraId="15EACD18" w14:textId="77777777" w:rsidR="00327FF1" w:rsidRDefault="00E406C7">
            <w:pPr>
              <w:pStyle w:val="P68B1DB1-Normal121"/>
              <w:spacing w:after="0" w:line="240" w:lineRule="auto"/>
              <w:jc w:val="center"/>
              <w:rPr>
                <w:noProof/>
              </w:rPr>
            </w:pPr>
            <w:r>
              <w:rPr>
                <w:noProof/>
              </w:rPr>
              <w:t>M1C1–88</w:t>
            </w:r>
          </w:p>
        </w:tc>
        <w:tc>
          <w:tcPr>
            <w:tcW w:w="3543" w:type="dxa"/>
            <w:shd w:val="clear" w:color="auto" w:fill="C6EFCE"/>
            <w:tcMar>
              <w:left w:w="108" w:type="dxa"/>
              <w:right w:w="108" w:type="dxa"/>
            </w:tcMar>
            <w:vAlign w:val="center"/>
          </w:tcPr>
          <w:p w14:paraId="6BCADE5E" w14:textId="77777777" w:rsidR="00327FF1" w:rsidRDefault="00E406C7">
            <w:pPr>
              <w:pStyle w:val="P68B1DB1-Normal121"/>
              <w:spacing w:after="0" w:line="240" w:lineRule="auto"/>
              <w:rPr>
                <w:noProof/>
              </w:rPr>
            </w:pPr>
            <w:r>
              <w:rPr>
                <w:noProof/>
              </w:rPr>
              <w:t xml:space="preserve">Reforma Nr. 1.11. Valsts </w:t>
            </w:r>
            <w:r>
              <w:rPr>
                <w:noProof/>
              </w:rPr>
              <w:t>pārvaldes un veselības aprūpes iestāžu maksājumu kavējumu samazināšana</w:t>
            </w:r>
          </w:p>
        </w:tc>
        <w:tc>
          <w:tcPr>
            <w:tcW w:w="1418" w:type="dxa"/>
            <w:shd w:val="clear" w:color="auto" w:fill="C6EFCE"/>
            <w:tcMar>
              <w:left w:w="108" w:type="dxa"/>
              <w:right w:w="108" w:type="dxa"/>
            </w:tcMar>
            <w:vAlign w:val="center"/>
          </w:tcPr>
          <w:p w14:paraId="60C1B561"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0258468C" w14:textId="77777777" w:rsidR="00327FF1" w:rsidRDefault="00E406C7">
            <w:pPr>
              <w:pStyle w:val="P68B1DB1-Normal121"/>
              <w:spacing w:after="0" w:line="240" w:lineRule="auto"/>
              <w:rPr>
                <w:noProof/>
              </w:rPr>
            </w:pPr>
            <w:r>
              <w:rPr>
                <w:noProof/>
              </w:rPr>
              <w:t>Ir samazināts vidējais dienu skaits, ko centrālās publiskās iestādes pavada, lai maksātu uzņēmumiem</w:t>
            </w:r>
          </w:p>
        </w:tc>
      </w:tr>
      <w:tr w:rsidR="00327FF1" w14:paraId="4FF0437F" w14:textId="77777777">
        <w:trPr>
          <w:trHeight w:val="300"/>
        </w:trPr>
        <w:tc>
          <w:tcPr>
            <w:tcW w:w="1435" w:type="dxa"/>
            <w:shd w:val="clear" w:color="auto" w:fill="C6EFCE"/>
            <w:tcMar>
              <w:left w:w="108" w:type="dxa"/>
              <w:right w:w="108" w:type="dxa"/>
            </w:tcMar>
            <w:vAlign w:val="center"/>
          </w:tcPr>
          <w:p w14:paraId="351DEA49" w14:textId="77777777" w:rsidR="00327FF1" w:rsidRDefault="00E406C7">
            <w:pPr>
              <w:pStyle w:val="P68B1DB1-Normal121"/>
              <w:spacing w:after="0" w:line="240" w:lineRule="auto"/>
              <w:jc w:val="center"/>
              <w:rPr>
                <w:noProof/>
              </w:rPr>
            </w:pPr>
            <w:r>
              <w:rPr>
                <w:noProof/>
              </w:rPr>
              <w:t>M1C1–89</w:t>
            </w:r>
          </w:p>
        </w:tc>
        <w:tc>
          <w:tcPr>
            <w:tcW w:w="3543" w:type="dxa"/>
            <w:shd w:val="clear" w:color="auto" w:fill="C6EFCE"/>
            <w:tcMar>
              <w:left w:w="108" w:type="dxa"/>
              <w:right w:w="108" w:type="dxa"/>
            </w:tcMar>
            <w:vAlign w:val="center"/>
          </w:tcPr>
          <w:p w14:paraId="57B1C444" w14:textId="77777777" w:rsidR="00327FF1" w:rsidRDefault="00E406C7">
            <w:pPr>
              <w:pStyle w:val="P68B1DB1-Normal121"/>
              <w:spacing w:after="0" w:line="240" w:lineRule="auto"/>
              <w:rPr>
                <w:noProof/>
              </w:rPr>
            </w:pPr>
            <w:r>
              <w:rPr>
                <w:noProof/>
              </w:rPr>
              <w:t xml:space="preserve">Reforma Nr. 1.11. Valsts pārvaldes un veselības aprūpes iestāžu </w:t>
            </w:r>
            <w:r>
              <w:rPr>
                <w:noProof/>
              </w:rPr>
              <w:t>maksājumu kavējumu samazināšana</w:t>
            </w:r>
          </w:p>
        </w:tc>
        <w:tc>
          <w:tcPr>
            <w:tcW w:w="1418" w:type="dxa"/>
            <w:shd w:val="clear" w:color="auto" w:fill="C6EFCE"/>
            <w:tcMar>
              <w:left w:w="108" w:type="dxa"/>
              <w:right w:w="108" w:type="dxa"/>
            </w:tcMar>
            <w:vAlign w:val="center"/>
          </w:tcPr>
          <w:p w14:paraId="59C3450F"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333D40EB" w14:textId="77777777" w:rsidR="00327FF1" w:rsidRDefault="00E406C7">
            <w:pPr>
              <w:pStyle w:val="P68B1DB1-Normal121"/>
              <w:spacing w:after="0" w:line="240" w:lineRule="auto"/>
              <w:rPr>
                <w:noProof/>
              </w:rPr>
            </w:pPr>
            <w:r>
              <w:rPr>
                <w:noProof/>
              </w:rPr>
              <w:t>Ir samazināts vidējais dienu skaits reģionālajām publiskajām iestādēm, lai maksātu uzņēmumiem</w:t>
            </w:r>
          </w:p>
        </w:tc>
      </w:tr>
      <w:tr w:rsidR="00327FF1" w14:paraId="0214F81F" w14:textId="77777777">
        <w:trPr>
          <w:trHeight w:val="300"/>
        </w:trPr>
        <w:tc>
          <w:tcPr>
            <w:tcW w:w="1435" w:type="dxa"/>
            <w:shd w:val="clear" w:color="auto" w:fill="C6EFCE"/>
            <w:tcMar>
              <w:left w:w="108" w:type="dxa"/>
              <w:right w:w="108" w:type="dxa"/>
            </w:tcMar>
            <w:vAlign w:val="center"/>
          </w:tcPr>
          <w:p w14:paraId="4F5A4DF4" w14:textId="77777777" w:rsidR="00327FF1" w:rsidRDefault="00E406C7">
            <w:pPr>
              <w:pStyle w:val="P68B1DB1-Normal121"/>
              <w:spacing w:after="0" w:line="240" w:lineRule="auto"/>
              <w:jc w:val="center"/>
              <w:rPr>
                <w:noProof/>
              </w:rPr>
            </w:pPr>
            <w:r>
              <w:rPr>
                <w:noProof/>
              </w:rPr>
              <w:t>M1C1–90</w:t>
            </w:r>
          </w:p>
        </w:tc>
        <w:tc>
          <w:tcPr>
            <w:tcW w:w="3543" w:type="dxa"/>
            <w:shd w:val="clear" w:color="auto" w:fill="C6EFCE"/>
            <w:tcMar>
              <w:left w:w="108" w:type="dxa"/>
              <w:right w:w="108" w:type="dxa"/>
            </w:tcMar>
            <w:vAlign w:val="center"/>
          </w:tcPr>
          <w:p w14:paraId="566D7C48" w14:textId="77777777" w:rsidR="00327FF1" w:rsidRDefault="00E406C7">
            <w:pPr>
              <w:pStyle w:val="P68B1DB1-Normal121"/>
              <w:spacing w:after="0" w:line="240" w:lineRule="auto"/>
              <w:rPr>
                <w:noProof/>
              </w:rPr>
            </w:pPr>
            <w:r>
              <w:rPr>
                <w:noProof/>
              </w:rPr>
              <w:t>Reforma Nr. 1.11. Valsts pārvaldes un veselības aprūpes iestāžu maksājumu kavējumu samazināšana</w:t>
            </w:r>
          </w:p>
        </w:tc>
        <w:tc>
          <w:tcPr>
            <w:tcW w:w="1418" w:type="dxa"/>
            <w:shd w:val="clear" w:color="auto" w:fill="C6EFCE"/>
            <w:tcMar>
              <w:left w:w="108" w:type="dxa"/>
              <w:right w:w="108" w:type="dxa"/>
            </w:tcMar>
            <w:vAlign w:val="center"/>
          </w:tcPr>
          <w:p w14:paraId="4145AC8C"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28F96142" w14:textId="77777777" w:rsidR="00327FF1" w:rsidRDefault="00E406C7">
            <w:pPr>
              <w:pStyle w:val="P68B1DB1-Normal121"/>
              <w:spacing w:after="0" w:line="240" w:lineRule="auto"/>
              <w:rPr>
                <w:noProof/>
              </w:rPr>
            </w:pPr>
            <w:r>
              <w:rPr>
                <w:noProof/>
              </w:rPr>
              <w:t>Ir samazināts</w:t>
            </w:r>
            <w:r>
              <w:rPr>
                <w:noProof/>
              </w:rPr>
              <w:t xml:space="preserve"> vidējais dienu skaits, kas vietējām valsts iestādēm atvēlēts, lai maksātu uzņēmumiem</w:t>
            </w:r>
          </w:p>
        </w:tc>
      </w:tr>
      <w:tr w:rsidR="00327FF1" w14:paraId="4E17384B" w14:textId="77777777">
        <w:trPr>
          <w:trHeight w:val="300"/>
        </w:trPr>
        <w:tc>
          <w:tcPr>
            <w:tcW w:w="1435" w:type="dxa"/>
            <w:shd w:val="clear" w:color="auto" w:fill="C6EFCE"/>
            <w:tcMar>
              <w:left w:w="108" w:type="dxa"/>
              <w:right w:w="108" w:type="dxa"/>
            </w:tcMar>
            <w:vAlign w:val="center"/>
          </w:tcPr>
          <w:p w14:paraId="797F7A40" w14:textId="77777777" w:rsidR="00327FF1" w:rsidRDefault="00E406C7">
            <w:pPr>
              <w:pStyle w:val="P68B1DB1-Normal121"/>
              <w:spacing w:after="0" w:line="240" w:lineRule="auto"/>
              <w:jc w:val="center"/>
              <w:rPr>
                <w:noProof/>
              </w:rPr>
            </w:pPr>
            <w:r>
              <w:rPr>
                <w:noProof/>
              </w:rPr>
              <w:t>M1C1–91</w:t>
            </w:r>
          </w:p>
        </w:tc>
        <w:tc>
          <w:tcPr>
            <w:tcW w:w="3543" w:type="dxa"/>
            <w:shd w:val="clear" w:color="auto" w:fill="C6EFCE"/>
            <w:tcMar>
              <w:left w:w="108" w:type="dxa"/>
              <w:right w:w="108" w:type="dxa"/>
            </w:tcMar>
            <w:vAlign w:val="center"/>
          </w:tcPr>
          <w:p w14:paraId="2A81E3E9" w14:textId="77777777" w:rsidR="00327FF1" w:rsidRDefault="00E406C7">
            <w:pPr>
              <w:pStyle w:val="P68B1DB1-Normal121"/>
              <w:spacing w:after="0" w:line="240" w:lineRule="auto"/>
              <w:rPr>
                <w:noProof/>
              </w:rPr>
            </w:pPr>
            <w:r>
              <w:rPr>
                <w:noProof/>
              </w:rPr>
              <w:t>Reforma Nr. 1.11. Valsts pārvaldes un veselības aprūpes iestāžu maksājumu kavējumu samazināšana</w:t>
            </w:r>
          </w:p>
        </w:tc>
        <w:tc>
          <w:tcPr>
            <w:tcW w:w="1418" w:type="dxa"/>
            <w:shd w:val="clear" w:color="auto" w:fill="C6EFCE"/>
            <w:tcMar>
              <w:left w:w="108" w:type="dxa"/>
              <w:right w:w="108" w:type="dxa"/>
            </w:tcMar>
            <w:vAlign w:val="center"/>
          </w:tcPr>
          <w:p w14:paraId="54113962"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33D35957" w14:textId="77777777" w:rsidR="00327FF1" w:rsidRDefault="00E406C7">
            <w:pPr>
              <w:pStyle w:val="P68B1DB1-Normal121"/>
              <w:spacing w:after="0" w:line="240" w:lineRule="auto"/>
              <w:rPr>
                <w:noProof/>
              </w:rPr>
            </w:pPr>
            <w:r>
              <w:rPr>
                <w:noProof/>
              </w:rPr>
              <w:t xml:space="preserve">Ir samazināts vidējais dienu skaits, ko sabiedrības </w:t>
            </w:r>
            <w:r>
              <w:rPr>
                <w:noProof/>
              </w:rPr>
              <w:t>veselības iestādes var izmantot, lai maksātu uzņēmumiem</w:t>
            </w:r>
          </w:p>
        </w:tc>
      </w:tr>
      <w:tr w:rsidR="00327FF1" w14:paraId="6344D29F" w14:textId="77777777">
        <w:trPr>
          <w:trHeight w:val="300"/>
        </w:trPr>
        <w:tc>
          <w:tcPr>
            <w:tcW w:w="1435" w:type="dxa"/>
            <w:shd w:val="clear" w:color="auto" w:fill="C6EFCE"/>
            <w:tcMar>
              <w:left w:w="108" w:type="dxa"/>
              <w:right w:w="108" w:type="dxa"/>
            </w:tcMar>
            <w:vAlign w:val="center"/>
          </w:tcPr>
          <w:p w14:paraId="6BD77F58" w14:textId="77777777" w:rsidR="00327FF1" w:rsidRDefault="00E406C7">
            <w:pPr>
              <w:pStyle w:val="P68B1DB1-Normal121"/>
              <w:spacing w:after="0" w:line="240" w:lineRule="auto"/>
              <w:jc w:val="center"/>
              <w:rPr>
                <w:noProof/>
              </w:rPr>
            </w:pPr>
            <w:r>
              <w:rPr>
                <w:noProof/>
              </w:rPr>
              <w:t>M1C1–117</w:t>
            </w:r>
          </w:p>
        </w:tc>
        <w:tc>
          <w:tcPr>
            <w:tcW w:w="3543" w:type="dxa"/>
            <w:shd w:val="clear" w:color="auto" w:fill="C6EFCE"/>
            <w:tcMar>
              <w:left w:w="108" w:type="dxa"/>
              <w:right w:w="108" w:type="dxa"/>
            </w:tcMar>
            <w:vAlign w:val="center"/>
          </w:tcPr>
          <w:p w14:paraId="453D349A" w14:textId="77777777" w:rsidR="00327FF1" w:rsidRDefault="00E406C7">
            <w:pPr>
              <w:pStyle w:val="P68B1DB1-Normal121"/>
              <w:spacing w:after="0" w:line="240" w:lineRule="auto"/>
              <w:rPr>
                <w:noProof/>
              </w:rPr>
            </w:pPr>
            <w:r>
              <w:rPr>
                <w:noProof/>
              </w:rPr>
              <w:t>Reforma Nr. 1.15. Publiskās uzskaites noteikumu reforma</w:t>
            </w:r>
          </w:p>
        </w:tc>
        <w:tc>
          <w:tcPr>
            <w:tcW w:w="1418" w:type="dxa"/>
            <w:shd w:val="clear" w:color="auto" w:fill="C6EFCE"/>
            <w:tcMar>
              <w:left w:w="108" w:type="dxa"/>
              <w:right w:w="108" w:type="dxa"/>
            </w:tcMar>
            <w:vAlign w:val="center"/>
          </w:tcPr>
          <w:p w14:paraId="5817C57F"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230072E7" w14:textId="77777777" w:rsidR="00327FF1" w:rsidRDefault="00E406C7">
            <w:pPr>
              <w:pStyle w:val="P68B1DB1-Normal121"/>
              <w:spacing w:after="0" w:line="240" w:lineRule="auto"/>
              <w:rPr>
                <w:noProof/>
              </w:rPr>
            </w:pPr>
            <w:r>
              <w:rPr>
                <w:noProof/>
              </w:rPr>
              <w:t>Publiskās struktūras, kas apmācītas pārejai uz jauno uzkrājumu grāmatvedības sistēmu</w:t>
            </w:r>
          </w:p>
        </w:tc>
      </w:tr>
      <w:tr w:rsidR="00327FF1" w14:paraId="6D16A281" w14:textId="77777777">
        <w:trPr>
          <w:trHeight w:val="300"/>
        </w:trPr>
        <w:tc>
          <w:tcPr>
            <w:tcW w:w="1435" w:type="dxa"/>
            <w:shd w:val="clear" w:color="auto" w:fill="C6EFCE"/>
            <w:tcMar>
              <w:left w:w="108" w:type="dxa"/>
              <w:right w:w="108" w:type="dxa"/>
            </w:tcMar>
            <w:vAlign w:val="center"/>
          </w:tcPr>
          <w:p w14:paraId="6250FB45" w14:textId="77777777" w:rsidR="00327FF1" w:rsidRDefault="00E406C7">
            <w:pPr>
              <w:pStyle w:val="P68B1DB1-Normal121"/>
              <w:spacing w:after="0" w:line="240" w:lineRule="auto"/>
              <w:jc w:val="center"/>
              <w:rPr>
                <w:noProof/>
              </w:rPr>
            </w:pPr>
            <w:r>
              <w:rPr>
                <w:noProof/>
              </w:rPr>
              <w:t>M1C1–119</w:t>
            </w:r>
          </w:p>
        </w:tc>
        <w:tc>
          <w:tcPr>
            <w:tcW w:w="3543" w:type="dxa"/>
            <w:shd w:val="clear" w:color="auto" w:fill="C6EFCE"/>
            <w:tcMar>
              <w:left w:w="108" w:type="dxa"/>
              <w:right w:w="108" w:type="dxa"/>
            </w:tcMar>
            <w:vAlign w:val="center"/>
          </w:tcPr>
          <w:p w14:paraId="57C47A47" w14:textId="77777777" w:rsidR="00327FF1" w:rsidRDefault="00E406C7">
            <w:pPr>
              <w:pStyle w:val="P68B1DB1-Normal121"/>
              <w:spacing w:after="0" w:line="240" w:lineRule="auto"/>
              <w:rPr>
                <w:noProof/>
              </w:rPr>
            </w:pPr>
            <w:r>
              <w:rPr>
                <w:noProof/>
              </w:rPr>
              <w:t>Reforma Nr. 1.14. Vietējā un reģi</w:t>
            </w:r>
            <w:r>
              <w:rPr>
                <w:noProof/>
              </w:rPr>
              <w:t>onālā līmeņa fiskālās sistēmas reforma</w:t>
            </w:r>
          </w:p>
        </w:tc>
        <w:tc>
          <w:tcPr>
            <w:tcW w:w="1418" w:type="dxa"/>
            <w:shd w:val="clear" w:color="auto" w:fill="C6EFCE"/>
            <w:tcMar>
              <w:left w:w="108" w:type="dxa"/>
              <w:right w:w="108" w:type="dxa"/>
            </w:tcMar>
            <w:vAlign w:val="center"/>
          </w:tcPr>
          <w:p w14:paraId="2793EB6F"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70BBBB8A" w14:textId="77777777" w:rsidR="00327FF1" w:rsidRDefault="00E406C7">
            <w:pPr>
              <w:pStyle w:val="P68B1DB1-Normal121"/>
              <w:spacing w:after="0" w:line="240" w:lineRule="auto"/>
              <w:rPr>
                <w:noProof/>
              </w:rPr>
            </w:pPr>
            <w:r>
              <w:rPr>
                <w:noProof/>
              </w:rPr>
              <w:t>Reģionālā fiskālā federālisma parametru noteikšana</w:t>
            </w:r>
          </w:p>
        </w:tc>
      </w:tr>
      <w:tr w:rsidR="00327FF1" w14:paraId="442CDE1C" w14:textId="77777777">
        <w:trPr>
          <w:trHeight w:val="300"/>
        </w:trPr>
        <w:tc>
          <w:tcPr>
            <w:tcW w:w="1435" w:type="dxa"/>
            <w:shd w:val="clear" w:color="auto" w:fill="C6EFCE"/>
            <w:tcMar>
              <w:left w:w="108" w:type="dxa"/>
              <w:right w:w="108" w:type="dxa"/>
            </w:tcMar>
            <w:vAlign w:val="center"/>
          </w:tcPr>
          <w:p w14:paraId="186514FE" w14:textId="77777777" w:rsidR="00327FF1" w:rsidRDefault="00E406C7">
            <w:pPr>
              <w:pStyle w:val="P68B1DB1-Normal121"/>
              <w:spacing w:after="0" w:line="240" w:lineRule="auto"/>
              <w:jc w:val="center"/>
              <w:rPr>
                <w:noProof/>
              </w:rPr>
            </w:pPr>
            <w:r>
              <w:rPr>
                <w:noProof/>
              </w:rPr>
              <w:t>M1C1–120</w:t>
            </w:r>
          </w:p>
        </w:tc>
        <w:tc>
          <w:tcPr>
            <w:tcW w:w="3543" w:type="dxa"/>
            <w:shd w:val="clear" w:color="auto" w:fill="C6EFCE"/>
            <w:tcMar>
              <w:left w:w="108" w:type="dxa"/>
              <w:right w:w="108" w:type="dxa"/>
            </w:tcMar>
            <w:vAlign w:val="center"/>
          </w:tcPr>
          <w:p w14:paraId="78E31DED" w14:textId="77777777" w:rsidR="00327FF1" w:rsidRDefault="00E406C7">
            <w:pPr>
              <w:pStyle w:val="P68B1DB1-Normal121"/>
              <w:spacing w:after="0" w:line="240" w:lineRule="auto"/>
              <w:rPr>
                <w:noProof/>
              </w:rPr>
            </w:pPr>
            <w:r>
              <w:rPr>
                <w:noProof/>
              </w:rPr>
              <w:t>Reforma Nr. 1.14. Vietējā un reģionālā līmeņa fiskālās sistēmas reforma</w:t>
            </w:r>
          </w:p>
        </w:tc>
        <w:tc>
          <w:tcPr>
            <w:tcW w:w="1418" w:type="dxa"/>
            <w:shd w:val="clear" w:color="auto" w:fill="C6EFCE"/>
            <w:tcMar>
              <w:left w:w="108" w:type="dxa"/>
              <w:right w:w="108" w:type="dxa"/>
            </w:tcMar>
            <w:vAlign w:val="center"/>
          </w:tcPr>
          <w:p w14:paraId="3BFFFC24"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6678D268" w14:textId="77777777" w:rsidR="00327FF1" w:rsidRDefault="00E406C7">
            <w:pPr>
              <w:pStyle w:val="P68B1DB1-Normal121"/>
              <w:spacing w:after="0" w:line="240" w:lineRule="auto"/>
              <w:rPr>
                <w:noProof/>
              </w:rPr>
            </w:pPr>
            <w:r>
              <w:rPr>
                <w:noProof/>
              </w:rPr>
              <w:t xml:space="preserve">Stājas spēkā tiesību akts, ar ko nosaka provinču </w:t>
            </w:r>
            <w:r>
              <w:rPr>
                <w:noProof/>
              </w:rPr>
              <w:t>un lielpilsētu fiskālo federālismu</w:t>
            </w:r>
          </w:p>
        </w:tc>
      </w:tr>
      <w:tr w:rsidR="00327FF1" w14:paraId="16AFD8A5" w14:textId="77777777">
        <w:trPr>
          <w:trHeight w:val="300"/>
        </w:trPr>
        <w:tc>
          <w:tcPr>
            <w:tcW w:w="1435" w:type="dxa"/>
            <w:shd w:val="clear" w:color="auto" w:fill="C6EFCE"/>
            <w:tcMar>
              <w:left w:w="108" w:type="dxa"/>
              <w:right w:w="108" w:type="dxa"/>
            </w:tcMar>
            <w:vAlign w:val="center"/>
          </w:tcPr>
          <w:p w14:paraId="0851BB75" w14:textId="77777777" w:rsidR="00327FF1" w:rsidRDefault="00E406C7">
            <w:pPr>
              <w:pStyle w:val="P68B1DB1-Normal121"/>
              <w:spacing w:after="0" w:line="240" w:lineRule="auto"/>
              <w:jc w:val="center"/>
              <w:rPr>
                <w:noProof/>
              </w:rPr>
            </w:pPr>
            <w:r>
              <w:rPr>
                <w:noProof/>
              </w:rPr>
              <w:t>M3C2–6</w:t>
            </w:r>
          </w:p>
        </w:tc>
        <w:tc>
          <w:tcPr>
            <w:tcW w:w="3543" w:type="dxa"/>
            <w:shd w:val="clear" w:color="auto" w:fill="C6EFCE"/>
            <w:tcMar>
              <w:left w:w="108" w:type="dxa"/>
              <w:right w:w="108" w:type="dxa"/>
            </w:tcMar>
            <w:vAlign w:val="center"/>
          </w:tcPr>
          <w:p w14:paraId="42911E77" w14:textId="77777777" w:rsidR="00327FF1" w:rsidRDefault="00E406C7">
            <w:pPr>
              <w:pStyle w:val="P68B1DB1-Normal121"/>
              <w:spacing w:after="0" w:line="240" w:lineRule="auto"/>
              <w:rPr>
                <w:noProof/>
              </w:rPr>
            </w:pPr>
            <w:r>
              <w:rPr>
                <w:noProof/>
              </w:rPr>
              <w:t>Ieguldījums 2.2.: Gaisa satiksmes pārvaldības digitalizācija</w:t>
            </w:r>
          </w:p>
        </w:tc>
        <w:tc>
          <w:tcPr>
            <w:tcW w:w="1418" w:type="dxa"/>
            <w:shd w:val="clear" w:color="auto" w:fill="C6EFCE"/>
            <w:tcMar>
              <w:left w:w="108" w:type="dxa"/>
              <w:right w:w="108" w:type="dxa"/>
            </w:tcMar>
            <w:vAlign w:val="center"/>
          </w:tcPr>
          <w:p w14:paraId="544AA674"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4EE08735" w14:textId="77777777" w:rsidR="00327FF1" w:rsidRDefault="00E406C7">
            <w:pPr>
              <w:pStyle w:val="P68B1DB1-Normal121"/>
              <w:spacing w:after="0" w:line="240" w:lineRule="auto"/>
              <w:rPr>
                <w:noProof/>
              </w:rPr>
            </w:pPr>
            <w:r>
              <w:rPr>
                <w:noProof/>
              </w:rPr>
              <w:t>Gaisa satiksmes pārvaldības digitalizācija: jaunu rīku darbības sākšana</w:t>
            </w:r>
          </w:p>
        </w:tc>
      </w:tr>
      <w:tr w:rsidR="00327FF1" w14:paraId="278A15EF" w14:textId="77777777">
        <w:trPr>
          <w:trHeight w:val="300"/>
        </w:trPr>
        <w:tc>
          <w:tcPr>
            <w:tcW w:w="1435" w:type="dxa"/>
            <w:shd w:val="clear" w:color="auto" w:fill="C6EFCE"/>
            <w:tcMar>
              <w:left w:w="108" w:type="dxa"/>
              <w:right w:w="108" w:type="dxa"/>
            </w:tcMar>
            <w:vAlign w:val="center"/>
          </w:tcPr>
          <w:p w14:paraId="7316E3FE" w14:textId="77777777" w:rsidR="00327FF1" w:rsidRDefault="00E406C7">
            <w:pPr>
              <w:pStyle w:val="P68B1DB1-Normal121"/>
              <w:spacing w:after="0" w:line="240" w:lineRule="auto"/>
              <w:jc w:val="center"/>
              <w:rPr>
                <w:noProof/>
              </w:rPr>
            </w:pPr>
            <w:r>
              <w:rPr>
                <w:noProof/>
              </w:rPr>
              <w:t xml:space="preserve">M5C1–11 </w:t>
            </w:r>
          </w:p>
        </w:tc>
        <w:tc>
          <w:tcPr>
            <w:tcW w:w="3543" w:type="dxa"/>
            <w:shd w:val="clear" w:color="auto" w:fill="C6EFCE"/>
            <w:tcMar>
              <w:left w:w="108" w:type="dxa"/>
              <w:right w:w="108" w:type="dxa"/>
            </w:tcMar>
            <w:vAlign w:val="center"/>
          </w:tcPr>
          <w:p w14:paraId="50356E00" w14:textId="77777777" w:rsidR="00327FF1" w:rsidRDefault="00E406C7">
            <w:pPr>
              <w:pStyle w:val="P68B1DB1-Normal121"/>
              <w:spacing w:after="0" w:line="240" w:lineRule="auto"/>
              <w:rPr>
                <w:noProof/>
              </w:rPr>
            </w:pPr>
            <w:r>
              <w:rPr>
                <w:noProof/>
              </w:rPr>
              <w:t xml:space="preserve">Reforma. Nedeklarēts darbs </w:t>
            </w:r>
          </w:p>
        </w:tc>
        <w:tc>
          <w:tcPr>
            <w:tcW w:w="1418" w:type="dxa"/>
            <w:shd w:val="clear" w:color="auto" w:fill="C6EFCE"/>
            <w:tcMar>
              <w:left w:w="108" w:type="dxa"/>
              <w:right w:w="108" w:type="dxa"/>
            </w:tcMar>
            <w:vAlign w:val="center"/>
          </w:tcPr>
          <w:p w14:paraId="2CC9D10A"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55653AB5" w14:textId="77777777" w:rsidR="00327FF1" w:rsidRDefault="00E406C7">
            <w:pPr>
              <w:pStyle w:val="P68B1DB1-Normal121"/>
              <w:spacing w:after="0" w:line="240" w:lineRule="auto"/>
              <w:rPr>
                <w:noProof/>
              </w:rPr>
            </w:pPr>
            <w:r>
              <w:rPr>
                <w:noProof/>
              </w:rPr>
              <w:t xml:space="preserve">Veikt pasākumus </w:t>
            </w:r>
            <w:r>
              <w:rPr>
                <w:noProof/>
              </w:rPr>
              <w:t>nedeklarēta darba apkarošanai</w:t>
            </w:r>
          </w:p>
        </w:tc>
      </w:tr>
      <w:tr w:rsidR="00327FF1" w14:paraId="4762CBB4" w14:textId="77777777">
        <w:trPr>
          <w:trHeight w:val="300"/>
        </w:trPr>
        <w:tc>
          <w:tcPr>
            <w:tcW w:w="1435" w:type="dxa"/>
            <w:shd w:val="clear" w:color="auto" w:fill="C6EFCE"/>
            <w:tcMar>
              <w:left w:w="108" w:type="dxa"/>
              <w:right w:w="108" w:type="dxa"/>
            </w:tcMar>
            <w:vAlign w:val="center"/>
          </w:tcPr>
          <w:p w14:paraId="7778460A" w14:textId="77777777" w:rsidR="00327FF1" w:rsidRDefault="00E406C7">
            <w:pPr>
              <w:pStyle w:val="P68B1DB1-Normal121"/>
              <w:spacing w:after="0" w:line="240" w:lineRule="auto"/>
              <w:jc w:val="center"/>
              <w:rPr>
                <w:noProof/>
              </w:rPr>
            </w:pPr>
            <w:r>
              <w:rPr>
                <w:noProof/>
              </w:rPr>
              <w:t>M3C2–12</w:t>
            </w:r>
          </w:p>
        </w:tc>
        <w:tc>
          <w:tcPr>
            <w:tcW w:w="3543" w:type="dxa"/>
            <w:shd w:val="clear" w:color="auto" w:fill="C6EFCE"/>
            <w:tcMar>
              <w:left w:w="108" w:type="dxa"/>
              <w:right w:w="108" w:type="dxa"/>
            </w:tcMar>
            <w:vAlign w:val="center"/>
          </w:tcPr>
          <w:p w14:paraId="5C23F421" w14:textId="77777777" w:rsidR="00327FF1" w:rsidRDefault="00E406C7">
            <w:pPr>
              <w:pStyle w:val="P68B1DB1-Normal121"/>
              <w:spacing w:after="0" w:line="240" w:lineRule="auto"/>
              <w:rPr>
                <w:noProof/>
              </w:rPr>
            </w:pPr>
            <w:r>
              <w:rPr>
                <w:noProof/>
              </w:rPr>
              <w:t xml:space="preserve">Investīcija 2.3.: Aukstā gludināšana </w:t>
            </w:r>
          </w:p>
        </w:tc>
        <w:tc>
          <w:tcPr>
            <w:tcW w:w="1418" w:type="dxa"/>
            <w:shd w:val="clear" w:color="auto" w:fill="C6EFCE"/>
            <w:tcMar>
              <w:left w:w="108" w:type="dxa"/>
              <w:right w:w="108" w:type="dxa"/>
            </w:tcMar>
            <w:vAlign w:val="center"/>
          </w:tcPr>
          <w:p w14:paraId="6A5971A0"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0468E696" w14:textId="77777777" w:rsidR="00327FF1" w:rsidRDefault="00E406C7">
            <w:pPr>
              <w:pStyle w:val="P68B1DB1-Normal121"/>
              <w:spacing w:after="0" w:line="240" w:lineRule="auto"/>
              <w:rPr>
                <w:noProof/>
              </w:rPr>
            </w:pPr>
            <w:r>
              <w:rPr>
                <w:noProof/>
              </w:rPr>
              <w:t xml:space="preserve">Darbu pabeigšana un pieslēguma izmaksu aplēšu pieņemšana, ko veic attīstītājs aukstās gludināšanas infrastruktūras jomā </w:t>
            </w:r>
          </w:p>
        </w:tc>
      </w:tr>
      <w:tr w:rsidR="00327FF1" w14:paraId="1440FBF4" w14:textId="77777777">
        <w:trPr>
          <w:trHeight w:val="300"/>
        </w:trPr>
        <w:tc>
          <w:tcPr>
            <w:tcW w:w="1435" w:type="dxa"/>
            <w:shd w:val="clear" w:color="auto" w:fill="C6EFCE"/>
            <w:tcMar>
              <w:left w:w="108" w:type="dxa"/>
              <w:right w:w="108" w:type="dxa"/>
            </w:tcMar>
            <w:vAlign w:val="center"/>
          </w:tcPr>
          <w:p w14:paraId="342D8F9C" w14:textId="77777777" w:rsidR="00327FF1" w:rsidRDefault="00E406C7">
            <w:pPr>
              <w:pStyle w:val="P68B1DB1-Normal121"/>
              <w:spacing w:after="0" w:line="240" w:lineRule="auto"/>
              <w:jc w:val="center"/>
              <w:rPr>
                <w:noProof/>
              </w:rPr>
            </w:pPr>
            <w:r>
              <w:rPr>
                <w:noProof/>
              </w:rPr>
              <w:t>M1C1–26</w:t>
            </w:r>
          </w:p>
        </w:tc>
        <w:tc>
          <w:tcPr>
            <w:tcW w:w="3543" w:type="dxa"/>
            <w:shd w:val="clear" w:color="auto" w:fill="C6EFCE"/>
            <w:tcMar>
              <w:left w:w="108" w:type="dxa"/>
              <w:right w:w="108" w:type="dxa"/>
            </w:tcMar>
            <w:vAlign w:val="center"/>
          </w:tcPr>
          <w:p w14:paraId="52EB17A2" w14:textId="77777777" w:rsidR="00327FF1" w:rsidRDefault="00E406C7">
            <w:pPr>
              <w:pStyle w:val="P68B1DB1-Normal121"/>
              <w:spacing w:after="0" w:line="240" w:lineRule="auto"/>
              <w:rPr>
                <w:noProof/>
              </w:rPr>
            </w:pPr>
            <w:r>
              <w:rPr>
                <w:noProof/>
              </w:rPr>
              <w:t>Investīcija 1.1: Digitālā infrastruktūra</w:t>
            </w:r>
          </w:p>
        </w:tc>
        <w:tc>
          <w:tcPr>
            <w:tcW w:w="1418" w:type="dxa"/>
            <w:shd w:val="clear" w:color="auto" w:fill="C6EFCE"/>
            <w:tcMar>
              <w:left w:w="108" w:type="dxa"/>
              <w:right w:w="108" w:type="dxa"/>
            </w:tcMar>
            <w:vAlign w:val="center"/>
          </w:tcPr>
          <w:p w14:paraId="1FF67207"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4C8137A8" w14:textId="77777777" w:rsidR="00327FF1" w:rsidRDefault="00E406C7">
            <w:pPr>
              <w:pStyle w:val="P68B1DB1-Normal121"/>
              <w:spacing w:after="0" w:line="240" w:lineRule="auto"/>
              <w:rPr>
                <w:noProof/>
              </w:rPr>
            </w:pPr>
            <w:r>
              <w:rPr>
                <w:noProof/>
              </w:rPr>
              <w:t>Migrācija uz Polo Strategico Nazionale vai drošu, sertificētu publisko mākoņu vidi</w:t>
            </w:r>
          </w:p>
        </w:tc>
      </w:tr>
      <w:tr w:rsidR="00327FF1" w14:paraId="67F0AECA" w14:textId="77777777">
        <w:trPr>
          <w:trHeight w:val="300"/>
        </w:trPr>
        <w:tc>
          <w:tcPr>
            <w:tcW w:w="1435" w:type="dxa"/>
            <w:shd w:val="clear" w:color="auto" w:fill="C6EFCE"/>
            <w:tcMar>
              <w:left w:w="108" w:type="dxa"/>
              <w:right w:w="108" w:type="dxa"/>
            </w:tcMar>
            <w:vAlign w:val="center"/>
          </w:tcPr>
          <w:p w14:paraId="1C0E83E7" w14:textId="77777777" w:rsidR="00327FF1" w:rsidRDefault="00E406C7">
            <w:pPr>
              <w:pStyle w:val="P68B1DB1-Normal121"/>
              <w:spacing w:after="0" w:line="240" w:lineRule="auto"/>
              <w:jc w:val="center"/>
              <w:rPr>
                <w:noProof/>
              </w:rPr>
            </w:pPr>
            <w:r>
              <w:rPr>
                <w:noProof/>
              </w:rPr>
              <w:t>M1C1–28</w:t>
            </w:r>
          </w:p>
        </w:tc>
        <w:tc>
          <w:tcPr>
            <w:tcW w:w="3543" w:type="dxa"/>
            <w:shd w:val="clear" w:color="auto" w:fill="C6EFCE"/>
            <w:tcMar>
              <w:left w:w="108" w:type="dxa"/>
              <w:right w:w="108" w:type="dxa"/>
            </w:tcMar>
            <w:vAlign w:val="center"/>
          </w:tcPr>
          <w:p w14:paraId="73E6FA99" w14:textId="77777777" w:rsidR="00327FF1" w:rsidRDefault="00E406C7">
            <w:pPr>
              <w:pStyle w:val="P68B1DB1-Normal121"/>
              <w:spacing w:after="0" w:line="240" w:lineRule="auto"/>
              <w:rPr>
                <w:noProof/>
              </w:rPr>
            </w:pPr>
            <w:r>
              <w:rPr>
                <w:noProof/>
              </w:rPr>
              <w:t>Investīcija 1.7.2.: Digitālo atvieglojumu pakalpojumu tīkls</w:t>
            </w:r>
          </w:p>
        </w:tc>
        <w:tc>
          <w:tcPr>
            <w:tcW w:w="1418" w:type="dxa"/>
            <w:shd w:val="clear" w:color="auto" w:fill="C6EFCE"/>
            <w:tcMar>
              <w:left w:w="108" w:type="dxa"/>
              <w:right w:w="108" w:type="dxa"/>
            </w:tcMar>
            <w:vAlign w:val="center"/>
          </w:tcPr>
          <w:p w14:paraId="7F28BCEF"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58E518AE" w14:textId="77777777" w:rsidR="00327FF1" w:rsidRDefault="00E406C7">
            <w:pPr>
              <w:pStyle w:val="P68B1DB1-Normal121"/>
              <w:spacing w:after="0" w:line="240" w:lineRule="auto"/>
              <w:rPr>
                <w:noProof/>
              </w:rPr>
            </w:pPr>
            <w:r>
              <w:rPr>
                <w:noProof/>
              </w:rPr>
              <w:t>To iedzīvotāju skaits, kuri piedalās digitālās izglītības un/vai veicināšanas iniciatīvās, k</w:t>
            </w:r>
            <w:r>
              <w:rPr>
                <w:noProof/>
              </w:rPr>
              <w:t>o nodrošina digitālās veicināšanas centri</w:t>
            </w:r>
          </w:p>
        </w:tc>
      </w:tr>
      <w:tr w:rsidR="00327FF1" w14:paraId="101E5362" w14:textId="77777777">
        <w:trPr>
          <w:trHeight w:val="300"/>
        </w:trPr>
        <w:tc>
          <w:tcPr>
            <w:tcW w:w="1435" w:type="dxa"/>
            <w:shd w:val="clear" w:color="auto" w:fill="C6EFCE"/>
            <w:tcMar>
              <w:left w:w="108" w:type="dxa"/>
              <w:right w:w="108" w:type="dxa"/>
            </w:tcMar>
            <w:vAlign w:val="center"/>
          </w:tcPr>
          <w:p w14:paraId="176E6496" w14:textId="77777777" w:rsidR="00327FF1" w:rsidRDefault="00E406C7">
            <w:pPr>
              <w:pStyle w:val="P68B1DB1-Normal121"/>
              <w:spacing w:after="0" w:line="240" w:lineRule="auto"/>
              <w:jc w:val="center"/>
              <w:rPr>
                <w:noProof/>
              </w:rPr>
            </w:pPr>
            <w:r>
              <w:rPr>
                <w:noProof/>
              </w:rPr>
              <w:t>M1C1–45</w:t>
            </w:r>
          </w:p>
        </w:tc>
        <w:tc>
          <w:tcPr>
            <w:tcW w:w="3543" w:type="dxa"/>
            <w:shd w:val="clear" w:color="auto" w:fill="C6EFCE"/>
            <w:tcMar>
              <w:left w:w="108" w:type="dxa"/>
              <w:right w:w="108" w:type="dxa"/>
            </w:tcMar>
            <w:vAlign w:val="center"/>
          </w:tcPr>
          <w:p w14:paraId="011582DF" w14:textId="77777777" w:rsidR="00327FF1" w:rsidRDefault="00E406C7">
            <w:pPr>
              <w:pStyle w:val="P68B1DB1-Normal121"/>
              <w:spacing w:after="0" w:line="240" w:lineRule="auto"/>
              <w:rPr>
                <w:noProof/>
              </w:rPr>
            </w:pPr>
            <w:r>
              <w:rPr>
                <w:noProof/>
              </w:rPr>
              <w:t>Reforma Nr. 1.4. Civiltiesību reforma</w:t>
            </w:r>
          </w:p>
        </w:tc>
        <w:tc>
          <w:tcPr>
            <w:tcW w:w="1418" w:type="dxa"/>
            <w:shd w:val="clear" w:color="auto" w:fill="C6EFCE"/>
            <w:tcMar>
              <w:left w:w="108" w:type="dxa"/>
              <w:right w:w="108" w:type="dxa"/>
            </w:tcMar>
            <w:vAlign w:val="center"/>
          </w:tcPr>
          <w:p w14:paraId="314A5737"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0C00A749" w14:textId="77777777" w:rsidR="00327FF1" w:rsidRDefault="00E406C7">
            <w:pPr>
              <w:pStyle w:val="P68B1DB1-Normal121"/>
              <w:spacing w:after="0" w:line="240" w:lineRule="auto"/>
              <w:rPr>
                <w:noProof/>
              </w:rPr>
            </w:pPr>
            <w:r>
              <w:rPr>
                <w:noProof/>
              </w:rPr>
              <w:t>Civilprocesa ilguma samazināšana</w:t>
            </w:r>
          </w:p>
        </w:tc>
      </w:tr>
      <w:tr w:rsidR="00327FF1" w14:paraId="3E44B9EC" w14:textId="77777777">
        <w:trPr>
          <w:trHeight w:val="300"/>
        </w:trPr>
        <w:tc>
          <w:tcPr>
            <w:tcW w:w="1435" w:type="dxa"/>
            <w:shd w:val="clear" w:color="auto" w:fill="C6EFCE"/>
            <w:tcMar>
              <w:left w:w="108" w:type="dxa"/>
              <w:right w:w="108" w:type="dxa"/>
            </w:tcMar>
            <w:vAlign w:val="center"/>
          </w:tcPr>
          <w:p w14:paraId="767186BD" w14:textId="77777777" w:rsidR="00327FF1" w:rsidRDefault="00E406C7">
            <w:pPr>
              <w:pStyle w:val="P68B1DB1-Normal121"/>
              <w:spacing w:after="0" w:line="240" w:lineRule="auto"/>
              <w:jc w:val="center"/>
              <w:rPr>
                <w:noProof/>
              </w:rPr>
            </w:pPr>
            <w:r>
              <w:rPr>
                <w:noProof/>
              </w:rPr>
              <w:t>M1C1–46</w:t>
            </w:r>
          </w:p>
        </w:tc>
        <w:tc>
          <w:tcPr>
            <w:tcW w:w="3543" w:type="dxa"/>
            <w:shd w:val="clear" w:color="auto" w:fill="C6EFCE"/>
            <w:tcMar>
              <w:left w:w="108" w:type="dxa"/>
              <w:right w:w="108" w:type="dxa"/>
            </w:tcMar>
            <w:vAlign w:val="center"/>
          </w:tcPr>
          <w:p w14:paraId="7C4B08B0" w14:textId="77777777" w:rsidR="00327FF1" w:rsidRDefault="00E406C7">
            <w:pPr>
              <w:pStyle w:val="P68B1DB1-Normal121"/>
              <w:spacing w:after="0" w:line="240" w:lineRule="auto"/>
              <w:rPr>
                <w:noProof/>
              </w:rPr>
            </w:pPr>
            <w:r>
              <w:rPr>
                <w:noProof/>
              </w:rPr>
              <w:t>Reforma1.5: Krimināltiesību reforma</w:t>
            </w:r>
          </w:p>
        </w:tc>
        <w:tc>
          <w:tcPr>
            <w:tcW w:w="1418" w:type="dxa"/>
            <w:shd w:val="clear" w:color="auto" w:fill="C6EFCE"/>
            <w:tcMar>
              <w:left w:w="108" w:type="dxa"/>
              <w:right w:w="108" w:type="dxa"/>
            </w:tcMar>
            <w:vAlign w:val="center"/>
          </w:tcPr>
          <w:p w14:paraId="6599527A"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45FE0CFA" w14:textId="77777777" w:rsidR="00327FF1" w:rsidRDefault="00E406C7">
            <w:pPr>
              <w:pStyle w:val="P68B1DB1-Normal121"/>
              <w:spacing w:after="0" w:line="240" w:lineRule="auto"/>
              <w:rPr>
                <w:noProof/>
              </w:rPr>
            </w:pPr>
            <w:r>
              <w:rPr>
                <w:noProof/>
              </w:rPr>
              <w:t>Kriminālprocesa ilguma samazināšana</w:t>
            </w:r>
          </w:p>
        </w:tc>
      </w:tr>
      <w:tr w:rsidR="00327FF1" w14:paraId="20DAFFAF" w14:textId="77777777">
        <w:trPr>
          <w:trHeight w:val="300"/>
        </w:trPr>
        <w:tc>
          <w:tcPr>
            <w:tcW w:w="1435" w:type="dxa"/>
            <w:shd w:val="clear" w:color="auto" w:fill="C6EFCE"/>
            <w:tcMar>
              <w:left w:w="108" w:type="dxa"/>
              <w:right w:w="108" w:type="dxa"/>
            </w:tcMar>
            <w:vAlign w:val="center"/>
          </w:tcPr>
          <w:p w14:paraId="6D9D6A2C" w14:textId="77777777" w:rsidR="00327FF1" w:rsidRDefault="00E406C7">
            <w:pPr>
              <w:pStyle w:val="P68B1DB1-Normal121"/>
              <w:spacing w:after="0" w:line="240" w:lineRule="auto"/>
              <w:jc w:val="center"/>
              <w:rPr>
                <w:noProof/>
              </w:rPr>
            </w:pPr>
            <w:r>
              <w:rPr>
                <w:noProof/>
              </w:rPr>
              <w:t>M1C1–47</w:t>
            </w:r>
          </w:p>
        </w:tc>
        <w:tc>
          <w:tcPr>
            <w:tcW w:w="3543" w:type="dxa"/>
            <w:shd w:val="clear" w:color="auto" w:fill="C6EFCE"/>
            <w:tcMar>
              <w:left w:w="108" w:type="dxa"/>
              <w:right w:w="108" w:type="dxa"/>
            </w:tcMar>
            <w:vAlign w:val="center"/>
          </w:tcPr>
          <w:p w14:paraId="4AFF1936" w14:textId="77777777" w:rsidR="00327FF1" w:rsidRDefault="00E406C7">
            <w:pPr>
              <w:pStyle w:val="P68B1DB1-Normal121"/>
              <w:spacing w:after="0" w:line="240" w:lineRule="auto"/>
              <w:rPr>
                <w:noProof/>
              </w:rPr>
            </w:pPr>
            <w:r>
              <w:rPr>
                <w:noProof/>
              </w:rPr>
              <w:t xml:space="preserve">Reforma Nr. 1.4. Civiltiesību </w:t>
            </w:r>
            <w:r>
              <w:rPr>
                <w:noProof/>
              </w:rPr>
              <w:t>reforma</w:t>
            </w:r>
          </w:p>
        </w:tc>
        <w:tc>
          <w:tcPr>
            <w:tcW w:w="1418" w:type="dxa"/>
            <w:shd w:val="clear" w:color="auto" w:fill="C6EFCE"/>
            <w:tcMar>
              <w:left w:w="108" w:type="dxa"/>
              <w:right w:w="108" w:type="dxa"/>
            </w:tcMar>
            <w:vAlign w:val="center"/>
          </w:tcPr>
          <w:p w14:paraId="377716F1"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6EB7EBB9" w14:textId="77777777" w:rsidR="00327FF1" w:rsidRDefault="00E406C7">
            <w:pPr>
              <w:pStyle w:val="P68B1DB1-Normal121"/>
              <w:spacing w:after="0" w:line="240" w:lineRule="auto"/>
              <w:rPr>
                <w:noProof/>
              </w:rPr>
            </w:pPr>
            <w:r>
              <w:rPr>
                <w:noProof/>
              </w:rPr>
              <w:t>Neizskatīto lietu samazināšana parastajās civillietu tiesās (pirmā instance)</w:t>
            </w:r>
          </w:p>
        </w:tc>
      </w:tr>
      <w:tr w:rsidR="00327FF1" w14:paraId="214E2254" w14:textId="77777777">
        <w:trPr>
          <w:trHeight w:val="300"/>
        </w:trPr>
        <w:tc>
          <w:tcPr>
            <w:tcW w:w="1435" w:type="dxa"/>
            <w:shd w:val="clear" w:color="auto" w:fill="C6EFCE"/>
            <w:tcMar>
              <w:left w:w="108" w:type="dxa"/>
              <w:right w:w="108" w:type="dxa"/>
            </w:tcMar>
            <w:vAlign w:val="center"/>
          </w:tcPr>
          <w:p w14:paraId="0C8FB093" w14:textId="77777777" w:rsidR="00327FF1" w:rsidRDefault="00E406C7">
            <w:pPr>
              <w:pStyle w:val="P68B1DB1-Normal121"/>
              <w:spacing w:after="0" w:line="240" w:lineRule="auto"/>
              <w:jc w:val="center"/>
              <w:rPr>
                <w:noProof/>
              </w:rPr>
            </w:pPr>
            <w:r>
              <w:rPr>
                <w:noProof/>
              </w:rPr>
              <w:t>M1C1–48</w:t>
            </w:r>
          </w:p>
        </w:tc>
        <w:tc>
          <w:tcPr>
            <w:tcW w:w="3543" w:type="dxa"/>
            <w:shd w:val="clear" w:color="auto" w:fill="C6EFCE"/>
            <w:tcMar>
              <w:left w:w="108" w:type="dxa"/>
              <w:right w:w="108" w:type="dxa"/>
            </w:tcMar>
            <w:vAlign w:val="center"/>
          </w:tcPr>
          <w:p w14:paraId="7F759C43" w14:textId="77777777" w:rsidR="00327FF1" w:rsidRDefault="00E406C7">
            <w:pPr>
              <w:pStyle w:val="P68B1DB1-Normal121"/>
              <w:spacing w:after="0" w:line="240" w:lineRule="auto"/>
              <w:rPr>
                <w:noProof/>
              </w:rPr>
            </w:pPr>
            <w:r>
              <w:rPr>
                <w:noProof/>
              </w:rPr>
              <w:t>Reforma Nr. 1.4. Civiltiesību reforma</w:t>
            </w:r>
          </w:p>
        </w:tc>
        <w:tc>
          <w:tcPr>
            <w:tcW w:w="1418" w:type="dxa"/>
            <w:shd w:val="clear" w:color="auto" w:fill="C6EFCE"/>
            <w:tcMar>
              <w:left w:w="108" w:type="dxa"/>
              <w:right w:w="108" w:type="dxa"/>
            </w:tcMar>
            <w:vAlign w:val="center"/>
          </w:tcPr>
          <w:p w14:paraId="5DF8C4A1"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2B9C2BEE" w14:textId="77777777" w:rsidR="00327FF1" w:rsidRDefault="00E406C7">
            <w:pPr>
              <w:pStyle w:val="P68B1DB1-Normal121"/>
              <w:spacing w:after="0" w:line="240" w:lineRule="auto"/>
              <w:rPr>
                <w:noProof/>
              </w:rPr>
            </w:pPr>
            <w:r>
              <w:rPr>
                <w:noProof/>
              </w:rPr>
              <w:t>Neizskatīto lietu samazināšana civillietu apelācijas tiesā (otrā instance)</w:t>
            </w:r>
          </w:p>
        </w:tc>
      </w:tr>
      <w:tr w:rsidR="00327FF1" w14:paraId="72C3C981" w14:textId="77777777">
        <w:trPr>
          <w:trHeight w:val="300"/>
        </w:trPr>
        <w:tc>
          <w:tcPr>
            <w:tcW w:w="1435" w:type="dxa"/>
            <w:shd w:val="clear" w:color="auto" w:fill="C6EFCE"/>
            <w:tcMar>
              <w:left w:w="108" w:type="dxa"/>
              <w:right w:w="108" w:type="dxa"/>
            </w:tcMar>
            <w:vAlign w:val="center"/>
          </w:tcPr>
          <w:p w14:paraId="4D87B453" w14:textId="77777777" w:rsidR="00327FF1" w:rsidRDefault="00E406C7">
            <w:pPr>
              <w:pStyle w:val="P68B1DB1-Normal121"/>
              <w:spacing w:after="0" w:line="240" w:lineRule="auto"/>
              <w:jc w:val="center"/>
              <w:rPr>
                <w:noProof/>
              </w:rPr>
            </w:pPr>
            <w:r>
              <w:rPr>
                <w:noProof/>
              </w:rPr>
              <w:t>M1C1–49</w:t>
            </w:r>
          </w:p>
        </w:tc>
        <w:tc>
          <w:tcPr>
            <w:tcW w:w="3543" w:type="dxa"/>
            <w:shd w:val="clear" w:color="auto" w:fill="C6EFCE"/>
            <w:tcMar>
              <w:left w:w="108" w:type="dxa"/>
              <w:right w:w="108" w:type="dxa"/>
            </w:tcMar>
            <w:vAlign w:val="center"/>
          </w:tcPr>
          <w:p w14:paraId="6A1DBCC0" w14:textId="77777777" w:rsidR="00327FF1" w:rsidRDefault="00E406C7">
            <w:pPr>
              <w:pStyle w:val="P68B1DB1-Normal121"/>
              <w:spacing w:after="0" w:line="240" w:lineRule="auto"/>
              <w:rPr>
                <w:noProof/>
              </w:rPr>
            </w:pPr>
            <w:r>
              <w:rPr>
                <w:noProof/>
              </w:rPr>
              <w:t xml:space="preserve">Investīciju 1.8: Darbā </w:t>
            </w:r>
            <w:r>
              <w:rPr>
                <w:noProof/>
              </w:rPr>
              <w:t>pieņemšanas procedūras administratīvajās tiesās</w:t>
            </w:r>
          </w:p>
        </w:tc>
        <w:tc>
          <w:tcPr>
            <w:tcW w:w="1418" w:type="dxa"/>
            <w:shd w:val="clear" w:color="auto" w:fill="C6EFCE"/>
            <w:tcMar>
              <w:left w:w="108" w:type="dxa"/>
              <w:right w:w="108" w:type="dxa"/>
            </w:tcMar>
            <w:vAlign w:val="center"/>
          </w:tcPr>
          <w:p w14:paraId="11DF0179"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33482BC4" w14:textId="77777777" w:rsidR="00327FF1" w:rsidRDefault="00E406C7">
            <w:pPr>
              <w:pStyle w:val="P68B1DB1-Normal121"/>
              <w:spacing w:after="0" w:line="240" w:lineRule="auto"/>
              <w:rPr>
                <w:noProof/>
              </w:rPr>
            </w:pPr>
            <w:r>
              <w:rPr>
                <w:noProof/>
              </w:rPr>
              <w:t>Neizskatīto lietu samazināšana administratīvajās apgabaltiesās (pirmā instance)</w:t>
            </w:r>
          </w:p>
        </w:tc>
      </w:tr>
      <w:tr w:rsidR="00327FF1" w14:paraId="344E5757" w14:textId="77777777">
        <w:trPr>
          <w:trHeight w:val="300"/>
        </w:trPr>
        <w:tc>
          <w:tcPr>
            <w:tcW w:w="1435" w:type="dxa"/>
            <w:shd w:val="clear" w:color="auto" w:fill="C6EFCE"/>
            <w:tcMar>
              <w:left w:w="108" w:type="dxa"/>
              <w:right w:w="108" w:type="dxa"/>
            </w:tcMar>
            <w:vAlign w:val="center"/>
          </w:tcPr>
          <w:p w14:paraId="5C1648C1" w14:textId="77777777" w:rsidR="00327FF1" w:rsidRDefault="00E406C7">
            <w:pPr>
              <w:pStyle w:val="P68B1DB1-Normal121"/>
              <w:spacing w:after="0" w:line="240" w:lineRule="auto"/>
              <w:jc w:val="center"/>
              <w:rPr>
                <w:noProof/>
              </w:rPr>
            </w:pPr>
            <w:r>
              <w:rPr>
                <w:noProof/>
              </w:rPr>
              <w:t>M1C1–50</w:t>
            </w:r>
          </w:p>
        </w:tc>
        <w:tc>
          <w:tcPr>
            <w:tcW w:w="3543" w:type="dxa"/>
            <w:shd w:val="clear" w:color="auto" w:fill="C6EFCE"/>
            <w:tcMar>
              <w:left w:w="108" w:type="dxa"/>
              <w:right w:w="108" w:type="dxa"/>
            </w:tcMar>
            <w:vAlign w:val="center"/>
          </w:tcPr>
          <w:p w14:paraId="5DF20DB8" w14:textId="77777777" w:rsidR="00327FF1" w:rsidRDefault="00E406C7">
            <w:pPr>
              <w:pStyle w:val="P68B1DB1-Normal121"/>
              <w:spacing w:after="0" w:line="240" w:lineRule="auto"/>
              <w:rPr>
                <w:noProof/>
              </w:rPr>
            </w:pPr>
            <w:r>
              <w:rPr>
                <w:noProof/>
              </w:rPr>
              <w:t>Investīciju 1.8: Darbā pieņemšanas procedūras administratīvajās tiesās</w:t>
            </w:r>
          </w:p>
        </w:tc>
        <w:tc>
          <w:tcPr>
            <w:tcW w:w="1418" w:type="dxa"/>
            <w:shd w:val="clear" w:color="auto" w:fill="C6EFCE"/>
            <w:tcMar>
              <w:left w:w="108" w:type="dxa"/>
              <w:right w:w="108" w:type="dxa"/>
            </w:tcMar>
            <w:vAlign w:val="center"/>
          </w:tcPr>
          <w:p w14:paraId="2A05447B"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2720E718" w14:textId="77777777" w:rsidR="00327FF1" w:rsidRDefault="00E406C7">
            <w:pPr>
              <w:pStyle w:val="P68B1DB1-Normal121"/>
              <w:spacing w:after="0" w:line="240" w:lineRule="auto"/>
              <w:rPr>
                <w:noProof/>
              </w:rPr>
            </w:pPr>
            <w:r>
              <w:rPr>
                <w:noProof/>
              </w:rPr>
              <w:t xml:space="preserve">Neizskatīto lietu skaita </w:t>
            </w:r>
            <w:r>
              <w:rPr>
                <w:noProof/>
              </w:rPr>
              <w:t>samazināšana Valsts padomē</w:t>
            </w:r>
          </w:p>
        </w:tc>
      </w:tr>
      <w:tr w:rsidR="00327FF1" w14:paraId="43A7E528" w14:textId="77777777">
        <w:trPr>
          <w:trHeight w:val="300"/>
        </w:trPr>
        <w:tc>
          <w:tcPr>
            <w:tcW w:w="1435" w:type="dxa"/>
            <w:shd w:val="clear" w:color="auto" w:fill="C6EFCE"/>
            <w:tcMar>
              <w:left w:w="108" w:type="dxa"/>
              <w:right w:w="108" w:type="dxa"/>
            </w:tcMar>
            <w:vAlign w:val="center"/>
          </w:tcPr>
          <w:p w14:paraId="3C79735B" w14:textId="77777777" w:rsidR="00327FF1" w:rsidRDefault="00E406C7">
            <w:pPr>
              <w:pStyle w:val="P68B1DB1-Normal121"/>
              <w:spacing w:after="0" w:line="240" w:lineRule="auto"/>
              <w:jc w:val="center"/>
              <w:rPr>
                <w:noProof/>
              </w:rPr>
            </w:pPr>
            <w:r>
              <w:rPr>
                <w:noProof/>
              </w:rPr>
              <w:t>M1C1–59ter</w:t>
            </w:r>
          </w:p>
        </w:tc>
        <w:tc>
          <w:tcPr>
            <w:tcW w:w="3543" w:type="dxa"/>
            <w:shd w:val="clear" w:color="auto" w:fill="C6EFCE"/>
            <w:tcMar>
              <w:left w:w="108" w:type="dxa"/>
              <w:right w:w="108" w:type="dxa"/>
            </w:tcMar>
            <w:vAlign w:val="center"/>
          </w:tcPr>
          <w:p w14:paraId="1A4B403B" w14:textId="77777777" w:rsidR="00327FF1" w:rsidRDefault="00E406C7">
            <w:pPr>
              <w:pStyle w:val="P68B1DB1-Normal121"/>
              <w:spacing w:after="0" w:line="240" w:lineRule="auto"/>
              <w:rPr>
                <w:noProof/>
              </w:rPr>
            </w:pPr>
            <w:r>
              <w:rPr>
                <w:noProof/>
              </w:rPr>
              <w:t>Reforma Nr. 1.9: Valsts pārvaldes reforma</w:t>
            </w:r>
          </w:p>
        </w:tc>
        <w:tc>
          <w:tcPr>
            <w:tcW w:w="1418" w:type="dxa"/>
            <w:shd w:val="clear" w:color="auto" w:fill="C6EFCE"/>
            <w:tcMar>
              <w:left w:w="108" w:type="dxa"/>
              <w:right w:w="108" w:type="dxa"/>
            </w:tcMar>
            <w:vAlign w:val="center"/>
          </w:tcPr>
          <w:p w14:paraId="53EBC690"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172D65D2" w14:textId="77777777" w:rsidR="00327FF1" w:rsidRDefault="00E406C7">
            <w:pPr>
              <w:pStyle w:val="P68B1DB1-Normal121"/>
              <w:spacing w:after="0" w:line="240" w:lineRule="auto"/>
              <w:rPr>
                <w:noProof/>
              </w:rPr>
            </w:pPr>
            <w:r>
              <w:rPr>
                <w:noProof/>
              </w:rPr>
              <w:t xml:space="preserve"> Cilvēkresursu stratēģiskās pārvaldības īstenošana valsts pārvaldē  </w:t>
            </w:r>
          </w:p>
        </w:tc>
      </w:tr>
      <w:tr w:rsidR="00327FF1" w14:paraId="43D88BFB" w14:textId="77777777">
        <w:trPr>
          <w:trHeight w:val="300"/>
        </w:trPr>
        <w:tc>
          <w:tcPr>
            <w:tcW w:w="1435" w:type="dxa"/>
            <w:shd w:val="clear" w:color="auto" w:fill="C6EFCE"/>
            <w:tcMar>
              <w:left w:w="108" w:type="dxa"/>
              <w:right w:w="108" w:type="dxa"/>
            </w:tcMar>
            <w:vAlign w:val="center"/>
          </w:tcPr>
          <w:p w14:paraId="1B0F0E65" w14:textId="77777777" w:rsidR="00327FF1" w:rsidRDefault="00E406C7">
            <w:pPr>
              <w:pStyle w:val="P68B1DB1-Normal121"/>
              <w:spacing w:after="0" w:line="240" w:lineRule="auto"/>
              <w:jc w:val="center"/>
              <w:rPr>
                <w:noProof/>
              </w:rPr>
            </w:pPr>
            <w:r>
              <w:rPr>
                <w:noProof/>
              </w:rPr>
              <w:t>M1C1–63</w:t>
            </w:r>
          </w:p>
        </w:tc>
        <w:tc>
          <w:tcPr>
            <w:tcW w:w="3543" w:type="dxa"/>
            <w:shd w:val="clear" w:color="auto" w:fill="C6EFCE"/>
            <w:tcMar>
              <w:left w:w="108" w:type="dxa"/>
              <w:right w:w="108" w:type="dxa"/>
            </w:tcMar>
            <w:vAlign w:val="center"/>
          </w:tcPr>
          <w:p w14:paraId="2BA7EA85" w14:textId="77777777" w:rsidR="00327FF1" w:rsidRDefault="00E406C7">
            <w:pPr>
              <w:pStyle w:val="P68B1DB1-Normal121"/>
              <w:spacing w:after="0" w:line="240" w:lineRule="auto"/>
              <w:rPr>
                <w:noProof/>
              </w:rPr>
            </w:pPr>
            <w:r>
              <w:rPr>
                <w:noProof/>
              </w:rPr>
              <w:t>Reforma Nr. 1.9: Valsts pārvaldes reforma</w:t>
            </w:r>
          </w:p>
        </w:tc>
        <w:tc>
          <w:tcPr>
            <w:tcW w:w="1418" w:type="dxa"/>
            <w:shd w:val="clear" w:color="auto" w:fill="C6EFCE"/>
            <w:tcMar>
              <w:left w:w="108" w:type="dxa"/>
              <w:right w:w="108" w:type="dxa"/>
            </w:tcMar>
            <w:vAlign w:val="center"/>
          </w:tcPr>
          <w:p w14:paraId="63DCC223"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2710A00B" w14:textId="77777777" w:rsidR="00327FF1" w:rsidRDefault="00E406C7">
            <w:pPr>
              <w:pStyle w:val="P68B1DB1-Normal121"/>
              <w:spacing w:after="0" w:line="240" w:lineRule="auto"/>
              <w:rPr>
                <w:noProof/>
              </w:rPr>
            </w:pPr>
            <w:r>
              <w:rPr>
                <w:noProof/>
              </w:rPr>
              <w:t>Visu vienkāršoto un/v</w:t>
            </w:r>
            <w:r>
              <w:rPr>
                <w:noProof/>
              </w:rPr>
              <w:t>ai digitalizēto procedūru repozitorija publicēšana</w:t>
            </w:r>
          </w:p>
        </w:tc>
      </w:tr>
      <w:tr w:rsidR="00327FF1" w14:paraId="49E1D3EA" w14:textId="77777777">
        <w:trPr>
          <w:trHeight w:val="300"/>
        </w:trPr>
        <w:tc>
          <w:tcPr>
            <w:tcW w:w="1435" w:type="dxa"/>
            <w:shd w:val="clear" w:color="auto" w:fill="C6EFCE"/>
            <w:tcMar>
              <w:left w:w="108" w:type="dxa"/>
              <w:right w:w="108" w:type="dxa"/>
            </w:tcMar>
            <w:vAlign w:val="center"/>
          </w:tcPr>
          <w:p w14:paraId="657EE8AF" w14:textId="77777777" w:rsidR="00327FF1" w:rsidRDefault="00E406C7">
            <w:pPr>
              <w:pStyle w:val="P68B1DB1-Normal121"/>
              <w:spacing w:after="0" w:line="240" w:lineRule="auto"/>
              <w:jc w:val="center"/>
              <w:rPr>
                <w:noProof/>
              </w:rPr>
            </w:pPr>
            <w:r>
              <w:rPr>
                <w:noProof/>
              </w:rPr>
              <w:t>M1C1–66</w:t>
            </w:r>
          </w:p>
        </w:tc>
        <w:tc>
          <w:tcPr>
            <w:tcW w:w="3543" w:type="dxa"/>
            <w:shd w:val="clear" w:color="auto" w:fill="C6EFCE"/>
            <w:tcMar>
              <w:left w:w="108" w:type="dxa"/>
              <w:right w:w="108" w:type="dxa"/>
            </w:tcMar>
            <w:vAlign w:val="center"/>
          </w:tcPr>
          <w:p w14:paraId="50B16CDF" w14:textId="77777777" w:rsidR="00327FF1" w:rsidRDefault="00E406C7">
            <w:pPr>
              <w:pStyle w:val="P68B1DB1-Normal121"/>
              <w:spacing w:after="0" w:line="240" w:lineRule="auto"/>
              <w:rPr>
                <w:noProof/>
              </w:rPr>
            </w:pPr>
            <w:r>
              <w:rPr>
                <w:noProof/>
              </w:rPr>
              <w:t>Investīcija Nr. 1.9: Sniegt tehnisko palīdzību un stiprināt spēju veidošanu Itālijas atveseļošanas un noturības plāna īstenošanai</w:t>
            </w:r>
          </w:p>
        </w:tc>
        <w:tc>
          <w:tcPr>
            <w:tcW w:w="1418" w:type="dxa"/>
            <w:shd w:val="clear" w:color="auto" w:fill="C6EFCE"/>
            <w:tcMar>
              <w:left w:w="108" w:type="dxa"/>
              <w:right w:w="108" w:type="dxa"/>
            </w:tcMar>
            <w:vAlign w:val="center"/>
          </w:tcPr>
          <w:p w14:paraId="41AA850C"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45BEF5A0" w14:textId="77777777" w:rsidR="00327FF1" w:rsidRDefault="00E406C7">
            <w:pPr>
              <w:pStyle w:val="P68B1DB1-Normal121"/>
              <w:spacing w:after="0" w:line="240" w:lineRule="auto"/>
              <w:rPr>
                <w:noProof/>
              </w:rPr>
            </w:pPr>
            <w:r>
              <w:rPr>
                <w:noProof/>
              </w:rPr>
              <w:t>Izglītība un apmācība</w:t>
            </w:r>
          </w:p>
        </w:tc>
      </w:tr>
      <w:tr w:rsidR="00327FF1" w14:paraId="0B6442E0" w14:textId="77777777">
        <w:trPr>
          <w:trHeight w:val="300"/>
        </w:trPr>
        <w:tc>
          <w:tcPr>
            <w:tcW w:w="1435" w:type="dxa"/>
            <w:shd w:val="clear" w:color="auto" w:fill="C6EFCE"/>
            <w:tcMar>
              <w:left w:w="108" w:type="dxa"/>
              <w:right w:w="108" w:type="dxa"/>
            </w:tcMar>
            <w:vAlign w:val="center"/>
          </w:tcPr>
          <w:p w14:paraId="778B9B36" w14:textId="77777777" w:rsidR="00327FF1" w:rsidRDefault="00E406C7">
            <w:pPr>
              <w:pStyle w:val="P68B1DB1-Normal121"/>
              <w:spacing w:after="0" w:line="240" w:lineRule="auto"/>
              <w:jc w:val="center"/>
              <w:rPr>
                <w:noProof/>
              </w:rPr>
            </w:pPr>
            <w:r>
              <w:rPr>
                <w:noProof/>
              </w:rPr>
              <w:t>M1C1–118</w:t>
            </w:r>
          </w:p>
        </w:tc>
        <w:tc>
          <w:tcPr>
            <w:tcW w:w="3543" w:type="dxa"/>
            <w:shd w:val="clear" w:color="auto" w:fill="C6EFCE"/>
            <w:tcMar>
              <w:left w:w="108" w:type="dxa"/>
              <w:right w:w="108" w:type="dxa"/>
            </w:tcMar>
            <w:vAlign w:val="center"/>
          </w:tcPr>
          <w:p w14:paraId="41CE5357" w14:textId="77777777" w:rsidR="00327FF1" w:rsidRDefault="00E406C7">
            <w:pPr>
              <w:pStyle w:val="P68B1DB1-Normal121"/>
              <w:spacing w:after="0" w:line="240" w:lineRule="auto"/>
              <w:rPr>
                <w:noProof/>
              </w:rPr>
            </w:pPr>
            <w:r>
              <w:rPr>
                <w:noProof/>
              </w:rPr>
              <w:t xml:space="preserve">Reforma Nr. 1.15. Publiskās </w:t>
            </w:r>
            <w:r>
              <w:rPr>
                <w:noProof/>
              </w:rPr>
              <w:t>uzskaites noteikumu reforma</w:t>
            </w:r>
          </w:p>
        </w:tc>
        <w:tc>
          <w:tcPr>
            <w:tcW w:w="1418" w:type="dxa"/>
            <w:shd w:val="clear" w:color="auto" w:fill="C6EFCE"/>
            <w:tcMar>
              <w:left w:w="108" w:type="dxa"/>
              <w:right w:w="108" w:type="dxa"/>
            </w:tcMar>
            <w:vAlign w:val="center"/>
          </w:tcPr>
          <w:p w14:paraId="235FF9AA"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33F9A60E" w14:textId="77777777" w:rsidR="00327FF1" w:rsidRDefault="00E406C7">
            <w:pPr>
              <w:pStyle w:val="P68B1DB1-Normal121"/>
              <w:spacing w:after="0" w:line="240" w:lineRule="auto"/>
              <w:rPr>
                <w:noProof/>
              </w:rPr>
            </w:pPr>
            <w:r>
              <w:rPr>
                <w:noProof/>
              </w:rPr>
              <w:t>Tiesību akta par uzkrājumu grāmatvedības reformu stāšanās spēkā vismaz 90 % no visa publiskā sektora, atskaitot valsts īpašumā esošos</w:t>
            </w:r>
          </w:p>
        </w:tc>
      </w:tr>
      <w:tr w:rsidR="00327FF1" w14:paraId="3152E7FC" w14:textId="77777777">
        <w:trPr>
          <w:trHeight w:val="300"/>
        </w:trPr>
        <w:tc>
          <w:tcPr>
            <w:tcW w:w="1435" w:type="dxa"/>
            <w:shd w:val="clear" w:color="auto" w:fill="C6EFCE"/>
            <w:tcMar>
              <w:left w:w="108" w:type="dxa"/>
              <w:right w:w="108" w:type="dxa"/>
            </w:tcMar>
            <w:vAlign w:val="center"/>
          </w:tcPr>
          <w:p w14:paraId="20665269" w14:textId="77777777" w:rsidR="00327FF1" w:rsidRDefault="00E406C7">
            <w:pPr>
              <w:pStyle w:val="P68B1DB1-Normal121"/>
              <w:spacing w:after="0" w:line="240" w:lineRule="auto"/>
              <w:jc w:val="center"/>
              <w:rPr>
                <w:noProof/>
              </w:rPr>
            </w:pPr>
            <w:r>
              <w:rPr>
                <w:noProof/>
              </w:rPr>
              <w:t>M1C1–122</w:t>
            </w:r>
          </w:p>
        </w:tc>
        <w:tc>
          <w:tcPr>
            <w:tcW w:w="3543" w:type="dxa"/>
            <w:shd w:val="clear" w:color="auto" w:fill="C6EFCE"/>
            <w:tcMar>
              <w:left w:w="108" w:type="dxa"/>
              <w:right w:w="108" w:type="dxa"/>
            </w:tcMar>
            <w:vAlign w:val="center"/>
          </w:tcPr>
          <w:p w14:paraId="1074411E" w14:textId="77777777" w:rsidR="00327FF1" w:rsidRDefault="00E406C7">
            <w:pPr>
              <w:pStyle w:val="P68B1DB1-Normal121"/>
              <w:spacing w:after="0" w:line="240" w:lineRule="auto"/>
              <w:rPr>
                <w:noProof/>
              </w:rPr>
            </w:pPr>
            <w:r>
              <w:rPr>
                <w:noProof/>
              </w:rPr>
              <w:t>Reforma Nr. 1.13. Izdevumu pārskatīšanas sistēmas reforma</w:t>
            </w:r>
          </w:p>
        </w:tc>
        <w:tc>
          <w:tcPr>
            <w:tcW w:w="1418" w:type="dxa"/>
            <w:shd w:val="clear" w:color="auto" w:fill="C6EFCE"/>
            <w:tcMar>
              <w:left w:w="108" w:type="dxa"/>
              <w:right w:w="108" w:type="dxa"/>
            </w:tcMar>
            <w:vAlign w:val="center"/>
          </w:tcPr>
          <w:p w14:paraId="56F2CD80" w14:textId="77777777" w:rsidR="00327FF1" w:rsidRDefault="00E406C7">
            <w:pPr>
              <w:pStyle w:val="P68B1DB1-Normal121"/>
              <w:spacing w:after="0" w:line="240" w:lineRule="auto"/>
              <w:jc w:val="center"/>
              <w:rPr>
                <w:noProof/>
              </w:rPr>
            </w:pPr>
            <w:r>
              <w:rPr>
                <w:noProof/>
              </w:rPr>
              <w:t>Atskaites</w:t>
            </w:r>
            <w:r>
              <w:rPr>
                <w:noProof/>
              </w:rPr>
              <w:t xml:space="preserve"> punkts</w:t>
            </w:r>
          </w:p>
        </w:tc>
        <w:tc>
          <w:tcPr>
            <w:tcW w:w="2963" w:type="dxa"/>
            <w:shd w:val="clear" w:color="auto" w:fill="C6EFCE"/>
            <w:tcMar>
              <w:left w:w="108" w:type="dxa"/>
              <w:right w:w="108" w:type="dxa"/>
            </w:tcMar>
            <w:vAlign w:val="center"/>
          </w:tcPr>
          <w:p w14:paraId="3BC28AC8" w14:textId="77777777" w:rsidR="00327FF1" w:rsidRDefault="00E406C7">
            <w:pPr>
              <w:pStyle w:val="P68B1DB1-Normal121"/>
              <w:spacing w:after="0" w:line="240" w:lineRule="auto"/>
              <w:rPr>
                <w:noProof/>
              </w:rPr>
            </w:pPr>
            <w:r>
              <w:rPr>
                <w:noProof/>
              </w:rPr>
              <w:t>2025. gada izdevumu ikgadējās pārskatīšanas pabeigšana, atsaucoties uz ietaupījumu mērķi, kas noteikts 2022., 2023. un 2024. gadam 2025. gadam.</w:t>
            </w:r>
          </w:p>
        </w:tc>
      </w:tr>
      <w:tr w:rsidR="00327FF1" w14:paraId="2551ED35" w14:textId="77777777">
        <w:trPr>
          <w:trHeight w:val="300"/>
        </w:trPr>
        <w:tc>
          <w:tcPr>
            <w:tcW w:w="1435" w:type="dxa"/>
            <w:shd w:val="clear" w:color="auto" w:fill="C6EFCE"/>
            <w:tcMar>
              <w:left w:w="108" w:type="dxa"/>
              <w:right w:w="108" w:type="dxa"/>
            </w:tcMar>
            <w:vAlign w:val="center"/>
          </w:tcPr>
          <w:p w14:paraId="549A7368" w14:textId="77777777" w:rsidR="00327FF1" w:rsidRDefault="00E406C7">
            <w:pPr>
              <w:pStyle w:val="P68B1DB1-Normal121"/>
              <w:spacing w:after="0" w:line="240" w:lineRule="auto"/>
              <w:jc w:val="center"/>
              <w:rPr>
                <w:noProof/>
              </w:rPr>
            </w:pPr>
            <w:r>
              <w:rPr>
                <w:noProof/>
              </w:rPr>
              <w:t>M1C2–13bis</w:t>
            </w:r>
          </w:p>
        </w:tc>
        <w:tc>
          <w:tcPr>
            <w:tcW w:w="3543" w:type="dxa"/>
            <w:shd w:val="clear" w:color="auto" w:fill="C6EFCE"/>
            <w:tcMar>
              <w:left w:w="108" w:type="dxa"/>
              <w:right w:w="108" w:type="dxa"/>
            </w:tcMar>
            <w:vAlign w:val="center"/>
          </w:tcPr>
          <w:p w14:paraId="444A33D9" w14:textId="77777777" w:rsidR="00327FF1" w:rsidRDefault="00E406C7">
            <w:pPr>
              <w:pStyle w:val="P68B1DB1-Normal121"/>
              <w:spacing w:after="0" w:line="240" w:lineRule="auto"/>
              <w:rPr>
                <w:noProof/>
              </w:rPr>
            </w:pPr>
            <w:r>
              <w:rPr>
                <w:noProof/>
              </w:rPr>
              <w:t>Reforma. Ikgadējie konkurences tiesību akti</w:t>
            </w:r>
          </w:p>
        </w:tc>
        <w:tc>
          <w:tcPr>
            <w:tcW w:w="1418" w:type="dxa"/>
            <w:shd w:val="clear" w:color="auto" w:fill="C6EFCE"/>
            <w:tcMar>
              <w:left w:w="108" w:type="dxa"/>
              <w:right w:w="108" w:type="dxa"/>
            </w:tcMar>
            <w:vAlign w:val="center"/>
          </w:tcPr>
          <w:p w14:paraId="6DB3E837"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29E084C3" w14:textId="77777777" w:rsidR="00327FF1" w:rsidRDefault="00E406C7">
            <w:pPr>
              <w:pStyle w:val="P68B1DB1-Normal121"/>
              <w:spacing w:after="0" w:line="240" w:lineRule="auto"/>
              <w:rPr>
                <w:noProof/>
              </w:rPr>
            </w:pPr>
            <w:r>
              <w:rPr>
                <w:noProof/>
              </w:rPr>
              <w:t>Stājas spēkā tiesību akti (tost</w:t>
            </w:r>
            <w:r>
              <w:rPr>
                <w:noProof/>
              </w:rPr>
              <w:t>arp sekundārie tiesību akti un īstenošanas akti attiecībā uz Gada konkurences likumu 2025. gadam) par reģionālajiem dzelzceļiem un tehnoloģiju nodošanu</w:t>
            </w:r>
          </w:p>
        </w:tc>
      </w:tr>
      <w:tr w:rsidR="00327FF1" w14:paraId="37A70FFA" w14:textId="77777777">
        <w:trPr>
          <w:trHeight w:val="300"/>
        </w:trPr>
        <w:tc>
          <w:tcPr>
            <w:tcW w:w="1435" w:type="dxa"/>
            <w:shd w:val="clear" w:color="auto" w:fill="C6EFCE"/>
            <w:tcMar>
              <w:left w:w="108" w:type="dxa"/>
              <w:right w:w="108" w:type="dxa"/>
            </w:tcMar>
            <w:vAlign w:val="center"/>
          </w:tcPr>
          <w:p w14:paraId="5305BEDA" w14:textId="77777777" w:rsidR="00327FF1" w:rsidRDefault="00E406C7">
            <w:pPr>
              <w:pStyle w:val="P68B1DB1-Normal121"/>
              <w:spacing w:after="0" w:line="240" w:lineRule="auto"/>
              <w:jc w:val="center"/>
              <w:rPr>
                <w:noProof/>
              </w:rPr>
            </w:pPr>
            <w:r>
              <w:rPr>
                <w:noProof/>
              </w:rPr>
              <w:t>M1C3–3</w:t>
            </w:r>
          </w:p>
        </w:tc>
        <w:tc>
          <w:tcPr>
            <w:tcW w:w="3543" w:type="dxa"/>
            <w:shd w:val="clear" w:color="auto" w:fill="C6EFCE"/>
            <w:tcMar>
              <w:left w:w="108" w:type="dxa"/>
              <w:right w:w="108" w:type="dxa"/>
            </w:tcMar>
            <w:vAlign w:val="center"/>
          </w:tcPr>
          <w:p w14:paraId="1E779EAB" w14:textId="77777777" w:rsidR="00327FF1" w:rsidRDefault="00E406C7">
            <w:pPr>
              <w:pStyle w:val="P68B1DB1-Normal121"/>
              <w:spacing w:after="0" w:line="240" w:lineRule="auto"/>
              <w:rPr>
                <w:noProof/>
              </w:rPr>
            </w:pPr>
            <w:r>
              <w:rPr>
                <w:noProof/>
              </w:rPr>
              <w:t>Ieguldījums — 1.2. Fizisko un kognitīvo šķēršļu likvidēšana muzejos, bibliotēkās un arhīvos, lai</w:t>
            </w:r>
            <w:r>
              <w:rPr>
                <w:noProof/>
              </w:rPr>
              <w:t xml:space="preserve"> nodrošinātu plašāku piekļuvi kultūrai un līdzdalību tajā</w:t>
            </w:r>
          </w:p>
        </w:tc>
        <w:tc>
          <w:tcPr>
            <w:tcW w:w="1418" w:type="dxa"/>
            <w:shd w:val="clear" w:color="auto" w:fill="C6EFCE"/>
            <w:tcMar>
              <w:left w:w="108" w:type="dxa"/>
              <w:right w:w="108" w:type="dxa"/>
            </w:tcMar>
            <w:vAlign w:val="center"/>
          </w:tcPr>
          <w:p w14:paraId="6E0EC80E"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481DBB4B" w14:textId="77777777" w:rsidR="00327FF1" w:rsidRDefault="00E406C7">
            <w:pPr>
              <w:pStyle w:val="P68B1DB1-Normal121"/>
              <w:spacing w:after="0" w:line="240" w:lineRule="auto"/>
              <w:rPr>
                <w:noProof/>
              </w:rPr>
            </w:pPr>
            <w:r>
              <w:rPr>
                <w:noProof/>
              </w:rPr>
              <w:t>Pasākumi fizisko un kognitīvo šķēršļu likvidēšanai muzejos, piemineļos, arheoloģiskos rajonos un parkos, arhīvos un bibliotēkās</w:t>
            </w:r>
          </w:p>
        </w:tc>
      </w:tr>
      <w:tr w:rsidR="00327FF1" w14:paraId="19233F06" w14:textId="77777777">
        <w:trPr>
          <w:trHeight w:val="300"/>
        </w:trPr>
        <w:tc>
          <w:tcPr>
            <w:tcW w:w="1435" w:type="dxa"/>
            <w:shd w:val="clear" w:color="auto" w:fill="C6EFCE"/>
            <w:tcMar>
              <w:left w:w="108" w:type="dxa"/>
              <w:right w:w="108" w:type="dxa"/>
            </w:tcMar>
            <w:vAlign w:val="center"/>
          </w:tcPr>
          <w:p w14:paraId="1F1CBA98" w14:textId="77777777" w:rsidR="00327FF1" w:rsidRDefault="00E406C7">
            <w:pPr>
              <w:pStyle w:val="P68B1DB1-Normal121"/>
              <w:spacing w:after="0" w:line="240" w:lineRule="auto"/>
              <w:jc w:val="center"/>
              <w:rPr>
                <w:noProof/>
              </w:rPr>
            </w:pPr>
            <w:r>
              <w:rPr>
                <w:noProof/>
              </w:rPr>
              <w:t>M2C1–8</w:t>
            </w:r>
          </w:p>
        </w:tc>
        <w:tc>
          <w:tcPr>
            <w:tcW w:w="3543" w:type="dxa"/>
            <w:shd w:val="clear" w:color="auto" w:fill="C6EFCE"/>
            <w:tcMar>
              <w:left w:w="108" w:type="dxa"/>
              <w:right w:w="108" w:type="dxa"/>
            </w:tcMar>
            <w:vAlign w:val="center"/>
          </w:tcPr>
          <w:p w14:paraId="2C2F2BB7" w14:textId="77777777" w:rsidR="00327FF1" w:rsidRDefault="00E406C7">
            <w:pPr>
              <w:pStyle w:val="P68B1DB1-Normal121"/>
              <w:spacing w:after="0" w:line="240" w:lineRule="auto"/>
              <w:rPr>
                <w:noProof/>
              </w:rPr>
            </w:pPr>
            <w:r>
              <w:rPr>
                <w:noProof/>
              </w:rPr>
              <w:t xml:space="preserve">Investīcija 2.3.: Inovācija un mehanizācija </w:t>
            </w:r>
            <w:r>
              <w:rPr>
                <w:noProof/>
              </w:rPr>
              <w:t>lauksaimniecības un pārtikas nozarē</w:t>
            </w:r>
          </w:p>
        </w:tc>
        <w:tc>
          <w:tcPr>
            <w:tcW w:w="1418" w:type="dxa"/>
            <w:shd w:val="clear" w:color="auto" w:fill="C6EFCE"/>
            <w:tcMar>
              <w:left w:w="108" w:type="dxa"/>
              <w:right w:w="108" w:type="dxa"/>
            </w:tcMar>
            <w:vAlign w:val="center"/>
          </w:tcPr>
          <w:p w14:paraId="28ACE4CC"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0BD22D5F" w14:textId="77777777" w:rsidR="00327FF1" w:rsidRDefault="00E406C7">
            <w:pPr>
              <w:pStyle w:val="P68B1DB1-Normal121"/>
              <w:spacing w:after="0" w:line="240" w:lineRule="auto"/>
              <w:rPr>
                <w:noProof/>
              </w:rPr>
            </w:pPr>
            <w:r>
              <w:rPr>
                <w:noProof/>
              </w:rPr>
              <w:t>Atbalsts ieguldījumiem inovācijā aprites ekonomikā un bioekonomikā</w:t>
            </w:r>
          </w:p>
        </w:tc>
      </w:tr>
      <w:tr w:rsidR="00327FF1" w14:paraId="487590AC" w14:textId="77777777">
        <w:trPr>
          <w:trHeight w:val="300"/>
        </w:trPr>
        <w:tc>
          <w:tcPr>
            <w:tcW w:w="1435" w:type="dxa"/>
            <w:shd w:val="clear" w:color="auto" w:fill="C6EFCE"/>
            <w:tcMar>
              <w:left w:w="108" w:type="dxa"/>
              <w:right w:w="108" w:type="dxa"/>
            </w:tcMar>
            <w:vAlign w:val="center"/>
          </w:tcPr>
          <w:p w14:paraId="783594C7" w14:textId="77777777" w:rsidR="00327FF1" w:rsidRDefault="00E406C7">
            <w:pPr>
              <w:pStyle w:val="P68B1DB1-Normal121"/>
              <w:spacing w:after="0" w:line="240" w:lineRule="auto"/>
              <w:jc w:val="center"/>
              <w:rPr>
                <w:noProof/>
              </w:rPr>
            </w:pPr>
            <w:r>
              <w:rPr>
                <w:noProof/>
              </w:rPr>
              <w:t>M2C1–9</w:t>
            </w:r>
          </w:p>
        </w:tc>
        <w:tc>
          <w:tcPr>
            <w:tcW w:w="3543" w:type="dxa"/>
            <w:shd w:val="clear" w:color="auto" w:fill="C6EFCE"/>
            <w:tcMar>
              <w:left w:w="108" w:type="dxa"/>
              <w:right w:w="108" w:type="dxa"/>
            </w:tcMar>
            <w:vAlign w:val="center"/>
          </w:tcPr>
          <w:p w14:paraId="3A99A110" w14:textId="77777777" w:rsidR="00327FF1" w:rsidRDefault="00E406C7">
            <w:pPr>
              <w:pStyle w:val="P68B1DB1-Normal121"/>
              <w:spacing w:after="0" w:line="240" w:lineRule="auto"/>
              <w:rPr>
                <w:noProof/>
              </w:rPr>
            </w:pPr>
            <w:r>
              <w:rPr>
                <w:noProof/>
              </w:rPr>
              <w:t>Ieguldījums 2.2.: Agrosaules parks</w:t>
            </w:r>
          </w:p>
        </w:tc>
        <w:tc>
          <w:tcPr>
            <w:tcW w:w="1418" w:type="dxa"/>
            <w:shd w:val="clear" w:color="auto" w:fill="C6EFCE"/>
            <w:tcMar>
              <w:left w:w="108" w:type="dxa"/>
              <w:right w:w="108" w:type="dxa"/>
            </w:tcMar>
            <w:vAlign w:val="center"/>
          </w:tcPr>
          <w:p w14:paraId="32C4A593"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3D10CC2C" w14:textId="77777777" w:rsidR="00327FF1" w:rsidRDefault="00E406C7">
            <w:pPr>
              <w:pStyle w:val="P68B1DB1-Normal121"/>
              <w:spacing w:after="0" w:line="240" w:lineRule="auto"/>
              <w:rPr>
                <w:noProof/>
              </w:rPr>
            </w:pPr>
            <w:r>
              <w:rPr>
                <w:noProof/>
              </w:rPr>
              <w:t>Elektroenerģijas ražošana no agroelektroenerģijas</w:t>
            </w:r>
          </w:p>
        </w:tc>
      </w:tr>
      <w:tr w:rsidR="00327FF1" w14:paraId="7DEF23C9" w14:textId="77777777">
        <w:trPr>
          <w:trHeight w:val="300"/>
        </w:trPr>
        <w:tc>
          <w:tcPr>
            <w:tcW w:w="1435" w:type="dxa"/>
            <w:shd w:val="clear" w:color="auto" w:fill="C6EFCE"/>
            <w:tcMar>
              <w:left w:w="108" w:type="dxa"/>
              <w:right w:w="108" w:type="dxa"/>
            </w:tcMar>
            <w:vAlign w:val="center"/>
          </w:tcPr>
          <w:p w14:paraId="613BE468" w14:textId="77777777" w:rsidR="00327FF1" w:rsidRDefault="00E406C7">
            <w:pPr>
              <w:pStyle w:val="P68B1DB1-Normal121"/>
              <w:spacing w:after="0" w:line="240" w:lineRule="auto"/>
              <w:jc w:val="center"/>
              <w:rPr>
                <w:noProof/>
              </w:rPr>
            </w:pPr>
            <w:r>
              <w:rPr>
                <w:noProof/>
              </w:rPr>
              <w:t>M2C2–23</w:t>
            </w:r>
          </w:p>
        </w:tc>
        <w:tc>
          <w:tcPr>
            <w:tcW w:w="3543" w:type="dxa"/>
            <w:shd w:val="clear" w:color="auto" w:fill="C6EFCE"/>
            <w:tcMar>
              <w:left w:w="108" w:type="dxa"/>
              <w:right w:w="108" w:type="dxa"/>
            </w:tcMar>
            <w:vAlign w:val="center"/>
          </w:tcPr>
          <w:p w14:paraId="51B66663" w14:textId="77777777" w:rsidR="00327FF1" w:rsidRDefault="00E406C7">
            <w:pPr>
              <w:pStyle w:val="P68B1DB1-Normal121"/>
              <w:spacing w:after="0" w:line="240" w:lineRule="auto"/>
              <w:rPr>
                <w:noProof/>
              </w:rPr>
            </w:pPr>
            <w:r>
              <w:rPr>
                <w:noProof/>
              </w:rPr>
              <w:t xml:space="preserve">Investīcija 4.1. Ieguldījumi vidi </w:t>
            </w:r>
            <w:r>
              <w:rPr>
                <w:noProof/>
              </w:rPr>
              <w:t>saudzējošā mobilitātē (Valsts cikla ceļa plāns)</w:t>
            </w:r>
          </w:p>
        </w:tc>
        <w:tc>
          <w:tcPr>
            <w:tcW w:w="1418" w:type="dxa"/>
            <w:shd w:val="clear" w:color="auto" w:fill="C6EFCE"/>
            <w:tcMar>
              <w:left w:w="108" w:type="dxa"/>
              <w:right w:w="108" w:type="dxa"/>
            </w:tcMar>
            <w:vAlign w:val="center"/>
          </w:tcPr>
          <w:p w14:paraId="5D82C06D"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7C1CF4FA" w14:textId="77777777" w:rsidR="00327FF1" w:rsidRDefault="00E406C7">
            <w:pPr>
              <w:pStyle w:val="P68B1DB1-Normal121"/>
              <w:spacing w:after="0" w:line="240" w:lineRule="auto"/>
              <w:rPr>
                <w:noProof/>
              </w:rPr>
            </w:pPr>
            <w:r>
              <w:rPr>
                <w:noProof/>
              </w:rPr>
              <w:t>Riteņbraukšanas joslas T2</w:t>
            </w:r>
          </w:p>
        </w:tc>
      </w:tr>
      <w:tr w:rsidR="00327FF1" w14:paraId="09B30590" w14:textId="77777777">
        <w:trPr>
          <w:trHeight w:val="300"/>
        </w:trPr>
        <w:tc>
          <w:tcPr>
            <w:tcW w:w="1435" w:type="dxa"/>
            <w:shd w:val="clear" w:color="auto" w:fill="C6EFCE"/>
            <w:tcMar>
              <w:left w:w="108" w:type="dxa"/>
              <w:right w:w="108" w:type="dxa"/>
            </w:tcMar>
            <w:vAlign w:val="center"/>
          </w:tcPr>
          <w:p w14:paraId="5A3CD7B8" w14:textId="77777777" w:rsidR="00327FF1" w:rsidRDefault="00E406C7">
            <w:pPr>
              <w:pStyle w:val="P68B1DB1-Normal121"/>
              <w:spacing w:after="0" w:line="240" w:lineRule="auto"/>
              <w:jc w:val="center"/>
              <w:rPr>
                <w:noProof/>
              </w:rPr>
            </w:pPr>
            <w:r>
              <w:rPr>
                <w:noProof/>
              </w:rPr>
              <w:t>M3C2–5bis</w:t>
            </w:r>
          </w:p>
        </w:tc>
        <w:tc>
          <w:tcPr>
            <w:tcW w:w="3543" w:type="dxa"/>
            <w:shd w:val="clear" w:color="auto" w:fill="C6EFCE"/>
            <w:tcMar>
              <w:left w:w="108" w:type="dxa"/>
              <w:right w:w="108" w:type="dxa"/>
            </w:tcMar>
            <w:vAlign w:val="center"/>
          </w:tcPr>
          <w:p w14:paraId="6B2C97DD" w14:textId="77777777" w:rsidR="00327FF1" w:rsidRDefault="00E406C7">
            <w:pPr>
              <w:pStyle w:val="P68B1DB1-Normal121"/>
              <w:spacing w:after="0" w:line="240" w:lineRule="auto"/>
              <w:rPr>
                <w:noProof/>
              </w:rPr>
            </w:pPr>
            <w:r>
              <w:rPr>
                <w:noProof/>
              </w:rPr>
              <w:t>Investīcija 2.1. — Loģistikas ķēdes digitalizācija</w:t>
            </w:r>
          </w:p>
        </w:tc>
        <w:tc>
          <w:tcPr>
            <w:tcW w:w="1418" w:type="dxa"/>
            <w:shd w:val="clear" w:color="auto" w:fill="C6EFCE"/>
            <w:tcMar>
              <w:left w:w="108" w:type="dxa"/>
              <w:right w:w="108" w:type="dxa"/>
            </w:tcMar>
            <w:vAlign w:val="center"/>
          </w:tcPr>
          <w:p w14:paraId="28CAFA50"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0DF1A0D0" w14:textId="77777777" w:rsidR="00327FF1" w:rsidRDefault="00E406C7">
            <w:pPr>
              <w:pStyle w:val="P68B1DB1-Normal121"/>
              <w:spacing w:after="0" w:line="240" w:lineRule="auto"/>
              <w:rPr>
                <w:noProof/>
              </w:rPr>
            </w:pPr>
            <w:r>
              <w:rPr>
                <w:noProof/>
              </w:rPr>
              <w:t>Loģistikas ķēdes digitalizācija</w:t>
            </w:r>
          </w:p>
        </w:tc>
      </w:tr>
      <w:tr w:rsidR="00327FF1" w14:paraId="48EA261F" w14:textId="77777777">
        <w:trPr>
          <w:trHeight w:val="300"/>
        </w:trPr>
        <w:tc>
          <w:tcPr>
            <w:tcW w:w="1435" w:type="dxa"/>
            <w:shd w:val="clear" w:color="auto" w:fill="C6EFCE"/>
            <w:tcMar>
              <w:left w:w="108" w:type="dxa"/>
              <w:right w:w="108" w:type="dxa"/>
            </w:tcMar>
            <w:vAlign w:val="center"/>
          </w:tcPr>
          <w:p w14:paraId="33E9090E" w14:textId="77777777" w:rsidR="00327FF1" w:rsidRDefault="00E406C7">
            <w:pPr>
              <w:pStyle w:val="P68B1DB1-Normal121"/>
              <w:spacing w:after="0" w:line="240" w:lineRule="auto"/>
              <w:jc w:val="center"/>
              <w:rPr>
                <w:noProof/>
              </w:rPr>
            </w:pPr>
            <w:r>
              <w:rPr>
                <w:noProof/>
              </w:rPr>
              <w:t>M4C1–20</w:t>
            </w:r>
          </w:p>
        </w:tc>
        <w:tc>
          <w:tcPr>
            <w:tcW w:w="3543" w:type="dxa"/>
            <w:shd w:val="clear" w:color="auto" w:fill="C6EFCE"/>
            <w:tcMar>
              <w:left w:w="108" w:type="dxa"/>
              <w:right w:w="108" w:type="dxa"/>
            </w:tcMar>
            <w:vAlign w:val="center"/>
          </w:tcPr>
          <w:p w14:paraId="0E0D2A37" w14:textId="77777777" w:rsidR="00327FF1" w:rsidRDefault="00E406C7">
            <w:pPr>
              <w:pStyle w:val="P68B1DB1-Normal121"/>
              <w:spacing w:after="0" w:line="240" w:lineRule="auto"/>
              <w:rPr>
                <w:noProof/>
              </w:rPr>
            </w:pPr>
            <w:r>
              <w:rPr>
                <w:noProof/>
              </w:rPr>
              <w:t>Investīcija Nr. 1.5: Terciārās profesionālās izglītības sistēmas (I</w:t>
            </w:r>
            <w:r>
              <w:rPr>
                <w:noProof/>
              </w:rPr>
              <w:t>TS) izstrāde</w:t>
            </w:r>
          </w:p>
        </w:tc>
        <w:tc>
          <w:tcPr>
            <w:tcW w:w="1418" w:type="dxa"/>
            <w:shd w:val="clear" w:color="auto" w:fill="C6EFCE"/>
            <w:tcMar>
              <w:left w:w="108" w:type="dxa"/>
              <w:right w:w="108" w:type="dxa"/>
            </w:tcMar>
            <w:vAlign w:val="center"/>
          </w:tcPr>
          <w:p w14:paraId="2A194870"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26FCBCF7" w14:textId="77777777" w:rsidR="00327FF1" w:rsidRDefault="00E406C7">
            <w:pPr>
              <w:pStyle w:val="P68B1DB1-Normal121"/>
              <w:spacing w:after="0" w:line="240" w:lineRule="auto"/>
              <w:rPr>
                <w:noProof/>
              </w:rPr>
            </w:pPr>
            <w:r>
              <w:rPr>
                <w:noProof/>
              </w:rPr>
              <w:t>Arodmācību sistēmā (ITS) uzņemto studentu skaits</w:t>
            </w:r>
          </w:p>
        </w:tc>
      </w:tr>
      <w:tr w:rsidR="00327FF1" w14:paraId="2587A379" w14:textId="77777777">
        <w:trPr>
          <w:trHeight w:val="300"/>
        </w:trPr>
        <w:tc>
          <w:tcPr>
            <w:tcW w:w="1435" w:type="dxa"/>
            <w:shd w:val="clear" w:color="auto" w:fill="C6EFCE"/>
            <w:tcMar>
              <w:left w:w="108" w:type="dxa"/>
              <w:right w:w="108" w:type="dxa"/>
            </w:tcMar>
            <w:vAlign w:val="center"/>
          </w:tcPr>
          <w:p w14:paraId="59C55DA9" w14:textId="77777777" w:rsidR="00327FF1" w:rsidRDefault="00E406C7">
            <w:pPr>
              <w:pStyle w:val="P68B1DB1-Normal121"/>
              <w:spacing w:after="0" w:line="240" w:lineRule="auto"/>
              <w:jc w:val="center"/>
              <w:rPr>
                <w:noProof/>
              </w:rPr>
            </w:pPr>
            <w:r>
              <w:rPr>
                <w:noProof/>
              </w:rPr>
              <w:t>M4C1–22</w:t>
            </w:r>
          </w:p>
        </w:tc>
        <w:tc>
          <w:tcPr>
            <w:tcW w:w="3543" w:type="dxa"/>
            <w:shd w:val="clear" w:color="auto" w:fill="C6EFCE"/>
            <w:tcMar>
              <w:left w:w="108" w:type="dxa"/>
              <w:right w:w="108" w:type="dxa"/>
            </w:tcMar>
            <w:vAlign w:val="center"/>
          </w:tcPr>
          <w:p w14:paraId="03A6F38A" w14:textId="77777777" w:rsidR="00327FF1" w:rsidRDefault="00E406C7">
            <w:pPr>
              <w:pStyle w:val="P68B1DB1-Normal121"/>
              <w:spacing w:after="0" w:line="240" w:lineRule="auto"/>
              <w:rPr>
                <w:noProof/>
              </w:rPr>
            </w:pPr>
            <w:r>
              <w:rPr>
                <w:noProof/>
              </w:rPr>
              <w:t>Investīcija Nr. 1.3. Skolu sporta infrastruktūras uzlabošanas plāns</w:t>
            </w:r>
          </w:p>
        </w:tc>
        <w:tc>
          <w:tcPr>
            <w:tcW w:w="1418" w:type="dxa"/>
            <w:shd w:val="clear" w:color="auto" w:fill="C6EFCE"/>
            <w:tcMar>
              <w:left w:w="108" w:type="dxa"/>
              <w:right w:w="108" w:type="dxa"/>
            </w:tcMar>
            <w:vAlign w:val="center"/>
          </w:tcPr>
          <w:p w14:paraId="36D9B220"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589349EB" w14:textId="77777777" w:rsidR="00327FF1" w:rsidRDefault="00E406C7">
            <w:pPr>
              <w:pStyle w:val="P68B1DB1-Normal121"/>
              <w:spacing w:after="0" w:line="240" w:lineRule="auto"/>
              <w:rPr>
                <w:noProof/>
              </w:rPr>
            </w:pPr>
            <w:r>
              <w:rPr>
                <w:noProof/>
              </w:rPr>
              <w:t>Skolu vajadzībām paredzētu sporta objektu un sporta zāļu būvniecība vai atjaunošana</w:t>
            </w:r>
          </w:p>
        </w:tc>
      </w:tr>
      <w:tr w:rsidR="00327FF1" w14:paraId="0B99EF71" w14:textId="77777777">
        <w:trPr>
          <w:trHeight w:val="300"/>
        </w:trPr>
        <w:tc>
          <w:tcPr>
            <w:tcW w:w="1435" w:type="dxa"/>
            <w:shd w:val="clear" w:color="auto" w:fill="C6EFCE"/>
            <w:tcMar>
              <w:left w:w="108" w:type="dxa"/>
              <w:right w:w="108" w:type="dxa"/>
            </w:tcMar>
            <w:vAlign w:val="center"/>
          </w:tcPr>
          <w:p w14:paraId="5F973066" w14:textId="77777777" w:rsidR="00327FF1" w:rsidRDefault="00E406C7">
            <w:pPr>
              <w:pStyle w:val="P68B1DB1-Normal121"/>
              <w:spacing w:after="0" w:line="240" w:lineRule="auto"/>
              <w:jc w:val="center"/>
              <w:rPr>
                <w:noProof/>
              </w:rPr>
            </w:pPr>
            <w:r>
              <w:rPr>
                <w:noProof/>
              </w:rPr>
              <w:t>M4C1–23</w:t>
            </w:r>
          </w:p>
        </w:tc>
        <w:tc>
          <w:tcPr>
            <w:tcW w:w="3543" w:type="dxa"/>
            <w:shd w:val="clear" w:color="auto" w:fill="C6EFCE"/>
            <w:tcMar>
              <w:left w:w="108" w:type="dxa"/>
              <w:right w:w="108" w:type="dxa"/>
            </w:tcMar>
            <w:vAlign w:val="center"/>
          </w:tcPr>
          <w:p w14:paraId="462891EB" w14:textId="77777777" w:rsidR="00327FF1" w:rsidRDefault="00E406C7">
            <w:pPr>
              <w:pStyle w:val="P68B1DB1-Normal121"/>
              <w:spacing w:after="0" w:line="240" w:lineRule="auto"/>
              <w:rPr>
                <w:noProof/>
              </w:rPr>
            </w:pPr>
            <w:r>
              <w:rPr>
                <w:noProof/>
              </w:rPr>
              <w:t xml:space="preserve">Investīcija 3.4: Mācīšana un padziļinātas universitātes prasmes </w:t>
            </w:r>
          </w:p>
        </w:tc>
        <w:tc>
          <w:tcPr>
            <w:tcW w:w="1418" w:type="dxa"/>
            <w:shd w:val="clear" w:color="auto" w:fill="C6EFCE"/>
            <w:tcMar>
              <w:left w:w="108" w:type="dxa"/>
              <w:right w:w="108" w:type="dxa"/>
            </w:tcMar>
            <w:vAlign w:val="center"/>
          </w:tcPr>
          <w:p w14:paraId="1D72CE8C"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586A9318" w14:textId="77777777" w:rsidR="00327FF1" w:rsidRDefault="00E406C7">
            <w:pPr>
              <w:pStyle w:val="P68B1DB1-Normal121"/>
              <w:spacing w:after="0" w:line="240" w:lineRule="auto"/>
              <w:rPr>
                <w:noProof/>
              </w:rPr>
            </w:pPr>
            <w:r>
              <w:rPr>
                <w:noProof/>
              </w:rPr>
              <w:t xml:space="preserve">Darbības vidusskolu un universitāšu programmu, tostarp doktorantūras studiju programmu, kvalifikācijas celšanai un inovācijai </w:t>
            </w:r>
          </w:p>
        </w:tc>
      </w:tr>
      <w:tr w:rsidR="00327FF1" w14:paraId="5965B312" w14:textId="77777777">
        <w:trPr>
          <w:trHeight w:val="300"/>
        </w:trPr>
        <w:tc>
          <w:tcPr>
            <w:tcW w:w="1435" w:type="dxa"/>
            <w:shd w:val="clear" w:color="auto" w:fill="C6EFCE"/>
            <w:tcMar>
              <w:left w:w="108" w:type="dxa"/>
              <w:right w:w="108" w:type="dxa"/>
            </w:tcMar>
            <w:vAlign w:val="center"/>
          </w:tcPr>
          <w:p w14:paraId="2B836EDC" w14:textId="77777777" w:rsidR="00327FF1" w:rsidRDefault="00E406C7">
            <w:pPr>
              <w:pStyle w:val="P68B1DB1-Normal121"/>
              <w:spacing w:after="0" w:line="240" w:lineRule="auto"/>
              <w:jc w:val="center"/>
              <w:rPr>
                <w:noProof/>
              </w:rPr>
            </w:pPr>
            <w:r>
              <w:rPr>
                <w:noProof/>
              </w:rPr>
              <w:t>M4C1–24</w:t>
            </w:r>
          </w:p>
        </w:tc>
        <w:tc>
          <w:tcPr>
            <w:tcW w:w="3543" w:type="dxa"/>
            <w:shd w:val="clear" w:color="auto" w:fill="C6EFCE"/>
            <w:tcMar>
              <w:left w:w="108" w:type="dxa"/>
              <w:right w:w="108" w:type="dxa"/>
            </w:tcMar>
            <w:vAlign w:val="center"/>
          </w:tcPr>
          <w:p w14:paraId="6C40B939" w14:textId="77777777" w:rsidR="00327FF1" w:rsidRDefault="00E406C7">
            <w:pPr>
              <w:pStyle w:val="P68B1DB1-Normal121"/>
              <w:spacing w:after="0" w:line="240" w:lineRule="auto"/>
              <w:rPr>
                <w:noProof/>
              </w:rPr>
            </w:pPr>
            <w:r>
              <w:rPr>
                <w:noProof/>
              </w:rPr>
              <w:t xml:space="preserve">Investīcija Nr. 1.6. Aktīva </w:t>
            </w:r>
            <w:r>
              <w:rPr>
                <w:noProof/>
              </w:rPr>
              <w:t>orientācija pārejā no skolas uz augstskolu.</w:t>
            </w:r>
          </w:p>
        </w:tc>
        <w:tc>
          <w:tcPr>
            <w:tcW w:w="1418" w:type="dxa"/>
            <w:shd w:val="clear" w:color="auto" w:fill="C6EFCE"/>
            <w:tcMar>
              <w:left w:w="108" w:type="dxa"/>
              <w:right w:w="108" w:type="dxa"/>
            </w:tcMar>
            <w:vAlign w:val="center"/>
          </w:tcPr>
          <w:p w14:paraId="0A0EAE9B"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704D1D30" w14:textId="2ACCBD0C" w:rsidR="00327FF1" w:rsidRDefault="00E406C7">
            <w:pPr>
              <w:pStyle w:val="P68B1DB1-Normal121"/>
              <w:spacing w:after="0" w:line="240" w:lineRule="auto"/>
              <w:rPr>
                <w:noProof/>
              </w:rPr>
            </w:pPr>
            <w:r>
              <w:rPr>
                <w:noProof/>
              </w:rPr>
              <w:t>Mācību-universitātes pārejas kursiem izsniegtie apmeklējuma sertifikāti</w:t>
            </w:r>
          </w:p>
        </w:tc>
      </w:tr>
      <w:tr w:rsidR="00327FF1" w14:paraId="51FB7805" w14:textId="77777777">
        <w:trPr>
          <w:trHeight w:val="300"/>
        </w:trPr>
        <w:tc>
          <w:tcPr>
            <w:tcW w:w="1435" w:type="dxa"/>
            <w:shd w:val="clear" w:color="auto" w:fill="C6EFCE"/>
            <w:tcMar>
              <w:left w:w="108" w:type="dxa"/>
              <w:right w:w="108" w:type="dxa"/>
            </w:tcMar>
            <w:vAlign w:val="center"/>
          </w:tcPr>
          <w:p w14:paraId="2D93A477" w14:textId="77777777" w:rsidR="00327FF1" w:rsidRDefault="00E406C7">
            <w:pPr>
              <w:pStyle w:val="P68B1DB1-Normal121"/>
              <w:spacing w:after="0" w:line="240" w:lineRule="auto"/>
              <w:jc w:val="center"/>
              <w:rPr>
                <w:noProof/>
              </w:rPr>
            </w:pPr>
            <w:r>
              <w:rPr>
                <w:noProof/>
              </w:rPr>
              <w:t>M5C1–7bis</w:t>
            </w:r>
          </w:p>
        </w:tc>
        <w:tc>
          <w:tcPr>
            <w:tcW w:w="3543" w:type="dxa"/>
            <w:shd w:val="clear" w:color="auto" w:fill="C6EFCE"/>
            <w:tcMar>
              <w:left w:w="108" w:type="dxa"/>
              <w:right w:w="108" w:type="dxa"/>
            </w:tcMar>
            <w:vAlign w:val="center"/>
          </w:tcPr>
          <w:p w14:paraId="1419246D" w14:textId="77777777" w:rsidR="00327FF1" w:rsidRDefault="00E406C7">
            <w:pPr>
              <w:pStyle w:val="P68B1DB1-Normal121"/>
              <w:spacing w:after="0" w:line="240" w:lineRule="auto"/>
              <w:rPr>
                <w:noProof/>
              </w:rPr>
            </w:pPr>
            <w:r>
              <w:rPr>
                <w:noProof/>
              </w:rPr>
              <w:t xml:space="preserve">Investīcija Nr. 1 “Valstu nodarbinātības dienestu (VND) stiprināšana” </w:t>
            </w:r>
          </w:p>
        </w:tc>
        <w:tc>
          <w:tcPr>
            <w:tcW w:w="1418" w:type="dxa"/>
            <w:shd w:val="clear" w:color="auto" w:fill="C6EFCE"/>
            <w:tcMar>
              <w:left w:w="108" w:type="dxa"/>
              <w:right w:w="108" w:type="dxa"/>
            </w:tcMar>
            <w:vAlign w:val="center"/>
          </w:tcPr>
          <w:p w14:paraId="2397301B"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7A1D52B9" w14:textId="77777777" w:rsidR="00327FF1" w:rsidRDefault="00E406C7">
            <w:pPr>
              <w:pStyle w:val="P68B1DB1-Normal121"/>
              <w:spacing w:after="0" w:line="240" w:lineRule="auto"/>
              <w:rPr>
                <w:noProof/>
              </w:rPr>
            </w:pPr>
            <w:r>
              <w:rPr>
                <w:noProof/>
              </w:rPr>
              <w:t>Valsts nodarbinātības dienesti (VND) ir pabeig</w:t>
            </w:r>
            <w:r>
              <w:rPr>
                <w:noProof/>
              </w:rPr>
              <w:t xml:space="preserve">uši renovācijas darbības </w:t>
            </w:r>
          </w:p>
        </w:tc>
      </w:tr>
      <w:tr w:rsidR="00327FF1" w14:paraId="7BFCEDCD" w14:textId="77777777">
        <w:trPr>
          <w:trHeight w:val="300"/>
        </w:trPr>
        <w:tc>
          <w:tcPr>
            <w:tcW w:w="1435" w:type="dxa"/>
            <w:shd w:val="clear" w:color="auto" w:fill="C6EFCE"/>
            <w:tcMar>
              <w:left w:w="108" w:type="dxa"/>
              <w:right w:w="108" w:type="dxa"/>
            </w:tcMar>
            <w:vAlign w:val="center"/>
          </w:tcPr>
          <w:p w14:paraId="3738388D" w14:textId="77777777" w:rsidR="00327FF1" w:rsidRDefault="00E406C7">
            <w:pPr>
              <w:pStyle w:val="P68B1DB1-Normal121"/>
              <w:spacing w:after="0" w:line="240" w:lineRule="auto"/>
              <w:jc w:val="center"/>
              <w:rPr>
                <w:noProof/>
              </w:rPr>
            </w:pPr>
            <w:r>
              <w:rPr>
                <w:noProof/>
              </w:rPr>
              <w:t>M5C1–14</w:t>
            </w:r>
          </w:p>
        </w:tc>
        <w:tc>
          <w:tcPr>
            <w:tcW w:w="3543" w:type="dxa"/>
            <w:shd w:val="clear" w:color="auto" w:fill="C6EFCE"/>
            <w:tcMar>
              <w:left w:w="108" w:type="dxa"/>
              <w:right w:w="108" w:type="dxa"/>
            </w:tcMar>
            <w:vAlign w:val="center"/>
          </w:tcPr>
          <w:p w14:paraId="02DE3FCF" w14:textId="77777777" w:rsidR="00327FF1" w:rsidRDefault="00E406C7">
            <w:pPr>
              <w:pStyle w:val="P68B1DB1-Normal121"/>
              <w:spacing w:after="0" w:line="240" w:lineRule="auto"/>
              <w:rPr>
                <w:noProof/>
              </w:rPr>
            </w:pPr>
            <w:r>
              <w:rPr>
                <w:noProof/>
              </w:rPr>
              <w:t>Investīcija Nr. 2 — Dzimumu līdztiesības sertifikācijas sistēma</w:t>
            </w:r>
          </w:p>
        </w:tc>
        <w:tc>
          <w:tcPr>
            <w:tcW w:w="1418" w:type="dxa"/>
            <w:shd w:val="clear" w:color="auto" w:fill="C6EFCE"/>
            <w:tcMar>
              <w:left w:w="108" w:type="dxa"/>
              <w:right w:w="108" w:type="dxa"/>
            </w:tcMar>
            <w:vAlign w:val="center"/>
          </w:tcPr>
          <w:p w14:paraId="23429FB9"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4DF6468A" w14:textId="77777777" w:rsidR="00327FF1" w:rsidRDefault="00E406C7">
            <w:pPr>
              <w:pStyle w:val="P68B1DB1-Normal121"/>
              <w:spacing w:after="0" w:line="240" w:lineRule="auto"/>
              <w:rPr>
                <w:noProof/>
              </w:rPr>
            </w:pPr>
            <w:r>
              <w:rPr>
                <w:noProof/>
              </w:rPr>
              <w:t>Uzņēmumi ir ieguvuši dzimumu līdztiesības sertifikātu</w:t>
            </w:r>
          </w:p>
        </w:tc>
      </w:tr>
      <w:tr w:rsidR="00327FF1" w14:paraId="032E5BEE" w14:textId="77777777">
        <w:trPr>
          <w:trHeight w:val="300"/>
        </w:trPr>
        <w:tc>
          <w:tcPr>
            <w:tcW w:w="1435" w:type="dxa"/>
            <w:shd w:val="clear" w:color="auto" w:fill="C6EFCE"/>
            <w:tcMar>
              <w:left w:w="108" w:type="dxa"/>
              <w:right w:w="108" w:type="dxa"/>
            </w:tcMar>
            <w:vAlign w:val="center"/>
          </w:tcPr>
          <w:p w14:paraId="313BD13A" w14:textId="77777777" w:rsidR="00327FF1" w:rsidRDefault="00E406C7">
            <w:pPr>
              <w:pStyle w:val="P68B1DB1-Normal121"/>
              <w:spacing w:after="0" w:line="240" w:lineRule="auto"/>
              <w:jc w:val="center"/>
              <w:rPr>
                <w:noProof/>
              </w:rPr>
            </w:pPr>
            <w:r>
              <w:rPr>
                <w:noProof/>
              </w:rPr>
              <w:t>M5C1–16</w:t>
            </w:r>
          </w:p>
        </w:tc>
        <w:tc>
          <w:tcPr>
            <w:tcW w:w="3543" w:type="dxa"/>
            <w:shd w:val="clear" w:color="auto" w:fill="C6EFCE"/>
            <w:tcMar>
              <w:left w:w="108" w:type="dxa"/>
              <w:right w:w="108" w:type="dxa"/>
            </w:tcMar>
            <w:vAlign w:val="center"/>
          </w:tcPr>
          <w:p w14:paraId="5ED66C5E" w14:textId="77777777" w:rsidR="00327FF1" w:rsidRDefault="00E406C7">
            <w:pPr>
              <w:pStyle w:val="P68B1DB1-Normal121"/>
              <w:spacing w:after="0" w:line="240" w:lineRule="auto"/>
              <w:rPr>
                <w:noProof/>
              </w:rPr>
            </w:pPr>
            <w:r>
              <w:rPr>
                <w:noProof/>
              </w:rPr>
              <w:t>Investīcija Nr. 4 — Vispārējais civildienests</w:t>
            </w:r>
          </w:p>
        </w:tc>
        <w:tc>
          <w:tcPr>
            <w:tcW w:w="1418" w:type="dxa"/>
            <w:shd w:val="clear" w:color="auto" w:fill="C6EFCE"/>
            <w:tcMar>
              <w:left w:w="108" w:type="dxa"/>
              <w:right w:w="108" w:type="dxa"/>
            </w:tcMar>
            <w:vAlign w:val="center"/>
          </w:tcPr>
          <w:p w14:paraId="63084B3B"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503B04A7" w14:textId="77777777" w:rsidR="00327FF1" w:rsidRDefault="00E406C7">
            <w:pPr>
              <w:pStyle w:val="P68B1DB1-Normal121"/>
              <w:spacing w:after="0" w:line="240" w:lineRule="auto"/>
              <w:rPr>
                <w:noProof/>
              </w:rPr>
            </w:pPr>
            <w:r>
              <w:rPr>
                <w:noProof/>
              </w:rPr>
              <w:t xml:space="preserve">Cilvēki ir piedalījušies universālā </w:t>
            </w:r>
            <w:r>
              <w:rPr>
                <w:noProof/>
              </w:rPr>
              <w:t>civildienesta projektos, kas uzsākti četru gadu laikposmā no 2021. līdz 2024. gadam, un ir saņēmuši attiecīgu sertifikātu.</w:t>
            </w:r>
          </w:p>
        </w:tc>
      </w:tr>
      <w:tr w:rsidR="00327FF1" w14:paraId="05A88588" w14:textId="77777777">
        <w:trPr>
          <w:trHeight w:val="300"/>
        </w:trPr>
        <w:tc>
          <w:tcPr>
            <w:tcW w:w="1435" w:type="dxa"/>
            <w:shd w:val="clear" w:color="auto" w:fill="C6EFCE"/>
            <w:tcMar>
              <w:left w:w="108" w:type="dxa"/>
              <w:right w:w="108" w:type="dxa"/>
            </w:tcMar>
            <w:vAlign w:val="center"/>
          </w:tcPr>
          <w:p w14:paraId="24896419" w14:textId="77777777" w:rsidR="00327FF1" w:rsidRDefault="00E406C7">
            <w:pPr>
              <w:pStyle w:val="P68B1DB1-Normal121"/>
              <w:spacing w:after="0" w:line="240" w:lineRule="auto"/>
              <w:jc w:val="center"/>
              <w:rPr>
                <w:noProof/>
              </w:rPr>
            </w:pPr>
            <w:r>
              <w:rPr>
                <w:noProof/>
              </w:rPr>
              <w:t>M5C3–4</w:t>
            </w:r>
          </w:p>
        </w:tc>
        <w:tc>
          <w:tcPr>
            <w:tcW w:w="3543" w:type="dxa"/>
            <w:shd w:val="clear" w:color="auto" w:fill="C6EFCE"/>
            <w:tcMar>
              <w:left w:w="108" w:type="dxa"/>
              <w:right w:w="108" w:type="dxa"/>
            </w:tcMar>
            <w:vAlign w:val="center"/>
          </w:tcPr>
          <w:p w14:paraId="45D1D41F" w14:textId="77777777" w:rsidR="00327FF1" w:rsidRDefault="00E406C7">
            <w:pPr>
              <w:pStyle w:val="P68B1DB1-Normal121"/>
              <w:spacing w:after="0" w:line="240" w:lineRule="auto"/>
              <w:rPr>
                <w:noProof/>
              </w:rPr>
            </w:pPr>
            <w:r>
              <w:rPr>
                <w:noProof/>
              </w:rPr>
              <w:t>Ieguldījums Nr. 2: Teritoriālais tuvums veselības aprūpes iestādēm</w:t>
            </w:r>
          </w:p>
        </w:tc>
        <w:tc>
          <w:tcPr>
            <w:tcW w:w="1418" w:type="dxa"/>
            <w:shd w:val="clear" w:color="auto" w:fill="C6EFCE"/>
            <w:tcMar>
              <w:left w:w="108" w:type="dxa"/>
              <w:right w:w="108" w:type="dxa"/>
            </w:tcMar>
            <w:vAlign w:val="center"/>
          </w:tcPr>
          <w:p w14:paraId="1DC38D38"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720D5CA8" w14:textId="77777777" w:rsidR="00327FF1" w:rsidRDefault="00E406C7">
            <w:pPr>
              <w:pStyle w:val="P68B1DB1-Normal121"/>
              <w:spacing w:after="0" w:line="240" w:lineRule="auto"/>
              <w:rPr>
                <w:noProof/>
              </w:rPr>
            </w:pPr>
            <w:r>
              <w:rPr>
                <w:noProof/>
              </w:rPr>
              <w:t>Atbalsts lauku aptiekām pašvaldībās, ciem</w:t>
            </w:r>
            <w:r>
              <w:rPr>
                <w:noProof/>
              </w:rPr>
              <w:t>atos vai apdzīvotās vietās, kurās ir mazāk nekā 5000 iedzīvotāju (otrā partija)</w:t>
            </w:r>
          </w:p>
        </w:tc>
      </w:tr>
      <w:tr w:rsidR="00327FF1" w14:paraId="6CB60507" w14:textId="77777777">
        <w:trPr>
          <w:trHeight w:val="300"/>
        </w:trPr>
        <w:tc>
          <w:tcPr>
            <w:tcW w:w="1435" w:type="dxa"/>
            <w:shd w:val="clear" w:color="auto" w:fill="C6EFCE"/>
            <w:tcMar>
              <w:left w:w="108" w:type="dxa"/>
              <w:right w:w="108" w:type="dxa"/>
            </w:tcMar>
            <w:vAlign w:val="center"/>
          </w:tcPr>
          <w:p w14:paraId="2D17667C" w14:textId="77777777" w:rsidR="00327FF1" w:rsidRDefault="00E406C7">
            <w:pPr>
              <w:pStyle w:val="P68B1DB1-Normal121"/>
              <w:spacing w:after="0" w:line="240" w:lineRule="auto"/>
              <w:jc w:val="center"/>
              <w:rPr>
                <w:noProof/>
              </w:rPr>
            </w:pPr>
            <w:r>
              <w:rPr>
                <w:noProof/>
              </w:rPr>
              <w:t>M7–11</w:t>
            </w:r>
          </w:p>
        </w:tc>
        <w:tc>
          <w:tcPr>
            <w:tcW w:w="3543" w:type="dxa"/>
            <w:shd w:val="clear" w:color="auto" w:fill="C6EFCE"/>
            <w:tcMar>
              <w:left w:w="108" w:type="dxa"/>
              <w:right w:w="108" w:type="dxa"/>
            </w:tcMar>
            <w:vAlign w:val="center"/>
          </w:tcPr>
          <w:p w14:paraId="75C35FBC" w14:textId="77777777" w:rsidR="00327FF1" w:rsidRDefault="00E406C7">
            <w:pPr>
              <w:pStyle w:val="P68B1DB1-Normal121"/>
              <w:spacing w:after="0" w:line="240" w:lineRule="auto"/>
              <w:rPr>
                <w:noProof/>
              </w:rPr>
            </w:pPr>
            <w:r>
              <w:rPr>
                <w:noProof/>
              </w:rPr>
              <w:t>Ieguldījums: Palielinātais pasākums: Viedtīkli</w:t>
            </w:r>
          </w:p>
        </w:tc>
        <w:tc>
          <w:tcPr>
            <w:tcW w:w="1418" w:type="dxa"/>
            <w:shd w:val="clear" w:color="auto" w:fill="C6EFCE"/>
            <w:tcMar>
              <w:left w:w="108" w:type="dxa"/>
              <w:right w:w="108" w:type="dxa"/>
            </w:tcMar>
            <w:vAlign w:val="center"/>
          </w:tcPr>
          <w:p w14:paraId="633CB471"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2AE34AB6" w14:textId="77777777" w:rsidR="00327FF1" w:rsidRDefault="00E406C7">
            <w:pPr>
              <w:pStyle w:val="P68B1DB1-Normal121"/>
              <w:spacing w:after="0" w:line="240" w:lineRule="auto"/>
              <w:rPr>
                <w:noProof/>
              </w:rPr>
            </w:pPr>
            <w:r>
              <w:rPr>
                <w:noProof/>
              </w:rPr>
              <w:t>Viedie tīkli — enerģijas patēriņa elektrifikācija</w:t>
            </w:r>
          </w:p>
        </w:tc>
      </w:tr>
      <w:tr w:rsidR="00327FF1" w14:paraId="508477EE" w14:textId="77777777">
        <w:trPr>
          <w:trHeight w:val="300"/>
        </w:trPr>
        <w:tc>
          <w:tcPr>
            <w:tcW w:w="1435" w:type="dxa"/>
            <w:shd w:val="clear" w:color="auto" w:fill="C6EFCE"/>
            <w:tcMar>
              <w:left w:w="108" w:type="dxa"/>
              <w:right w:w="108" w:type="dxa"/>
            </w:tcMar>
            <w:vAlign w:val="center"/>
          </w:tcPr>
          <w:p w14:paraId="1DEBC060" w14:textId="77777777" w:rsidR="00327FF1" w:rsidRDefault="00E406C7">
            <w:pPr>
              <w:pStyle w:val="P68B1DB1-Normal121"/>
              <w:spacing w:after="0" w:line="240" w:lineRule="auto"/>
              <w:jc w:val="center"/>
              <w:rPr>
                <w:noProof/>
              </w:rPr>
            </w:pPr>
            <w:r>
              <w:rPr>
                <w:noProof/>
              </w:rPr>
              <w:t>M7–12</w:t>
            </w:r>
          </w:p>
        </w:tc>
        <w:tc>
          <w:tcPr>
            <w:tcW w:w="3543" w:type="dxa"/>
            <w:shd w:val="clear" w:color="auto" w:fill="C6EFCE"/>
            <w:tcMar>
              <w:left w:w="108" w:type="dxa"/>
              <w:right w:w="108" w:type="dxa"/>
            </w:tcMar>
            <w:vAlign w:val="center"/>
          </w:tcPr>
          <w:p w14:paraId="783FECD3" w14:textId="77777777" w:rsidR="00327FF1" w:rsidRDefault="00E406C7">
            <w:pPr>
              <w:pStyle w:val="P68B1DB1-Normal121"/>
              <w:spacing w:after="0" w:line="240" w:lineRule="auto"/>
              <w:rPr>
                <w:noProof/>
              </w:rPr>
            </w:pPr>
            <w:r>
              <w:rPr>
                <w:noProof/>
              </w:rPr>
              <w:t xml:space="preserve">Ieguldījums Nr. 2: Palielinātais pasākums: Intervences, </w:t>
            </w:r>
            <w:r>
              <w:rPr>
                <w:noProof/>
              </w:rPr>
              <w:t>kuru mērķis ir palielināt elektrotīkla noturību</w:t>
            </w:r>
          </w:p>
        </w:tc>
        <w:tc>
          <w:tcPr>
            <w:tcW w:w="1418" w:type="dxa"/>
            <w:shd w:val="clear" w:color="auto" w:fill="C6EFCE"/>
            <w:tcMar>
              <w:left w:w="108" w:type="dxa"/>
              <w:right w:w="108" w:type="dxa"/>
            </w:tcMar>
            <w:vAlign w:val="center"/>
          </w:tcPr>
          <w:p w14:paraId="476D6592"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4ADE62E3" w14:textId="77777777" w:rsidR="00327FF1" w:rsidRDefault="00E406C7">
            <w:pPr>
              <w:pStyle w:val="P68B1DB1-Normal121"/>
              <w:spacing w:after="0" w:line="240" w:lineRule="auto"/>
              <w:rPr>
                <w:noProof/>
              </w:rPr>
            </w:pPr>
            <w:r>
              <w:rPr>
                <w:noProof/>
              </w:rPr>
              <w:t>Palielināt elektroenerģijas sistēmas tīkla noturību</w:t>
            </w:r>
          </w:p>
        </w:tc>
      </w:tr>
      <w:tr w:rsidR="00327FF1" w14:paraId="59602E8E" w14:textId="77777777">
        <w:trPr>
          <w:trHeight w:val="300"/>
        </w:trPr>
        <w:tc>
          <w:tcPr>
            <w:tcW w:w="1435" w:type="dxa"/>
            <w:shd w:val="clear" w:color="auto" w:fill="C6EFCE"/>
            <w:tcMar>
              <w:left w:w="108" w:type="dxa"/>
              <w:right w:w="108" w:type="dxa"/>
            </w:tcMar>
            <w:vAlign w:val="center"/>
          </w:tcPr>
          <w:p w14:paraId="04F9BAA9" w14:textId="77777777" w:rsidR="00327FF1" w:rsidRDefault="00E406C7">
            <w:pPr>
              <w:pStyle w:val="P68B1DB1-Normal121"/>
              <w:spacing w:after="0" w:line="240" w:lineRule="auto"/>
              <w:jc w:val="center"/>
              <w:rPr>
                <w:noProof/>
              </w:rPr>
            </w:pPr>
            <w:r>
              <w:rPr>
                <w:noProof/>
              </w:rPr>
              <w:t>M7–13</w:t>
            </w:r>
          </w:p>
        </w:tc>
        <w:tc>
          <w:tcPr>
            <w:tcW w:w="3543" w:type="dxa"/>
            <w:shd w:val="clear" w:color="auto" w:fill="C6EFCE"/>
            <w:tcMar>
              <w:left w:w="108" w:type="dxa"/>
              <w:right w:w="108" w:type="dxa"/>
            </w:tcMar>
            <w:vAlign w:val="center"/>
          </w:tcPr>
          <w:p w14:paraId="7B7A86A9" w14:textId="77777777" w:rsidR="00327FF1" w:rsidRDefault="00E406C7">
            <w:pPr>
              <w:pStyle w:val="P68B1DB1-Normal121"/>
              <w:spacing w:after="0" w:line="240" w:lineRule="auto"/>
              <w:rPr>
                <w:noProof/>
              </w:rPr>
            </w:pPr>
            <w:r>
              <w:rPr>
                <w:noProof/>
              </w:rPr>
              <w:t>Ieguldījums Nr. 3: Palielinātais pasākums: Ūdeņraža ražošana degradētās teritorijās (Ūdeņraža ielejās)</w:t>
            </w:r>
          </w:p>
        </w:tc>
        <w:tc>
          <w:tcPr>
            <w:tcW w:w="1418" w:type="dxa"/>
            <w:shd w:val="clear" w:color="auto" w:fill="C6EFCE"/>
            <w:tcMar>
              <w:left w:w="108" w:type="dxa"/>
              <w:right w:w="108" w:type="dxa"/>
            </w:tcMar>
            <w:vAlign w:val="center"/>
          </w:tcPr>
          <w:p w14:paraId="268CF41D"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087DB39C" w14:textId="77777777" w:rsidR="00327FF1" w:rsidRDefault="00E406C7">
            <w:pPr>
              <w:pStyle w:val="P68B1DB1-Normal121"/>
              <w:spacing w:after="0" w:line="240" w:lineRule="auto"/>
              <w:rPr>
                <w:noProof/>
              </w:rPr>
            </w:pPr>
            <w:r>
              <w:rPr>
                <w:noProof/>
              </w:rPr>
              <w:t>Īstenotais projekts</w:t>
            </w:r>
          </w:p>
        </w:tc>
      </w:tr>
      <w:tr w:rsidR="00327FF1" w14:paraId="088EAFF5" w14:textId="77777777">
        <w:trPr>
          <w:trHeight w:val="300"/>
        </w:trPr>
        <w:tc>
          <w:tcPr>
            <w:tcW w:w="1435" w:type="dxa"/>
            <w:shd w:val="clear" w:color="auto" w:fill="C6EFCE"/>
            <w:tcMar>
              <w:left w:w="108" w:type="dxa"/>
              <w:right w:w="108" w:type="dxa"/>
            </w:tcMar>
            <w:vAlign w:val="center"/>
          </w:tcPr>
          <w:p w14:paraId="59E6D0FB" w14:textId="77777777" w:rsidR="00327FF1" w:rsidRDefault="00E406C7">
            <w:pPr>
              <w:pStyle w:val="P68B1DB1-Normal121"/>
              <w:spacing w:after="0" w:line="240" w:lineRule="auto"/>
              <w:jc w:val="center"/>
              <w:rPr>
                <w:noProof/>
              </w:rPr>
            </w:pPr>
            <w:r>
              <w:rPr>
                <w:noProof/>
              </w:rPr>
              <w:t>M7–15</w:t>
            </w:r>
          </w:p>
        </w:tc>
        <w:tc>
          <w:tcPr>
            <w:tcW w:w="3543" w:type="dxa"/>
            <w:shd w:val="clear" w:color="auto" w:fill="C6EFCE"/>
            <w:tcMar>
              <w:left w:w="108" w:type="dxa"/>
              <w:right w:w="108" w:type="dxa"/>
            </w:tcMar>
            <w:vAlign w:val="center"/>
          </w:tcPr>
          <w:p w14:paraId="06EC0D65" w14:textId="77777777" w:rsidR="00327FF1" w:rsidRDefault="00E406C7">
            <w:pPr>
              <w:pStyle w:val="P68B1DB1-Normal121"/>
              <w:spacing w:after="0" w:line="240" w:lineRule="auto"/>
              <w:rPr>
                <w:noProof/>
              </w:rPr>
            </w:pPr>
            <w:r>
              <w:rPr>
                <w:noProof/>
              </w:rPr>
              <w:t>Ieguldījums Nr. 4: Tirēnu saite</w:t>
            </w:r>
          </w:p>
        </w:tc>
        <w:tc>
          <w:tcPr>
            <w:tcW w:w="1418" w:type="dxa"/>
            <w:shd w:val="clear" w:color="auto" w:fill="C6EFCE"/>
            <w:tcMar>
              <w:left w:w="108" w:type="dxa"/>
              <w:right w:w="108" w:type="dxa"/>
            </w:tcMar>
            <w:vAlign w:val="center"/>
          </w:tcPr>
          <w:p w14:paraId="28CA97DC"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7F30A74A" w14:textId="77777777" w:rsidR="00327FF1" w:rsidRDefault="00E406C7">
            <w:pPr>
              <w:pStyle w:val="P68B1DB1-Normal121"/>
              <w:spacing w:after="0" w:line="240" w:lineRule="auto"/>
              <w:rPr>
                <w:noProof/>
              </w:rPr>
            </w:pPr>
            <w:r>
              <w:rPr>
                <w:noProof/>
              </w:rPr>
              <w:t>Ielikts kabelis</w:t>
            </w:r>
          </w:p>
        </w:tc>
      </w:tr>
      <w:tr w:rsidR="00327FF1" w14:paraId="36FA4341" w14:textId="77777777">
        <w:trPr>
          <w:trHeight w:val="300"/>
        </w:trPr>
        <w:tc>
          <w:tcPr>
            <w:tcW w:w="1435" w:type="dxa"/>
            <w:shd w:val="clear" w:color="auto" w:fill="C6EFCE"/>
            <w:tcMar>
              <w:left w:w="108" w:type="dxa"/>
              <w:right w:w="108" w:type="dxa"/>
            </w:tcMar>
            <w:vAlign w:val="center"/>
          </w:tcPr>
          <w:p w14:paraId="6500F709" w14:textId="77777777" w:rsidR="00327FF1" w:rsidRDefault="00E406C7">
            <w:pPr>
              <w:pStyle w:val="P68B1DB1-Normal121"/>
              <w:spacing w:after="0" w:line="240" w:lineRule="auto"/>
              <w:jc w:val="center"/>
              <w:rPr>
                <w:noProof/>
              </w:rPr>
            </w:pPr>
            <w:r>
              <w:rPr>
                <w:noProof/>
              </w:rPr>
              <w:t>M7–17</w:t>
            </w:r>
          </w:p>
        </w:tc>
        <w:tc>
          <w:tcPr>
            <w:tcW w:w="3543" w:type="dxa"/>
            <w:shd w:val="clear" w:color="auto" w:fill="C6EFCE"/>
            <w:tcMar>
              <w:left w:w="108" w:type="dxa"/>
              <w:right w:w="108" w:type="dxa"/>
            </w:tcMar>
            <w:vAlign w:val="center"/>
          </w:tcPr>
          <w:p w14:paraId="7111F47A" w14:textId="77777777" w:rsidR="00327FF1" w:rsidRDefault="00E406C7">
            <w:pPr>
              <w:pStyle w:val="P68B1DB1-Normal121"/>
              <w:spacing w:after="0" w:line="240" w:lineRule="auto"/>
              <w:rPr>
                <w:noProof/>
              </w:rPr>
            </w:pPr>
            <w:r>
              <w:rPr>
                <w:noProof/>
              </w:rPr>
              <w:t>Ieguldījums Nr. 5: SA.CO.I.3</w:t>
            </w:r>
          </w:p>
        </w:tc>
        <w:tc>
          <w:tcPr>
            <w:tcW w:w="1418" w:type="dxa"/>
            <w:shd w:val="clear" w:color="auto" w:fill="C6EFCE"/>
            <w:tcMar>
              <w:left w:w="108" w:type="dxa"/>
              <w:right w:w="108" w:type="dxa"/>
            </w:tcMar>
            <w:vAlign w:val="center"/>
          </w:tcPr>
          <w:p w14:paraId="58DCCEDA"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29F855A4" w14:textId="77777777" w:rsidR="00327FF1" w:rsidRDefault="00E406C7">
            <w:pPr>
              <w:pStyle w:val="P68B1DB1-Normal121"/>
              <w:spacing w:after="0" w:line="240" w:lineRule="auto"/>
              <w:rPr>
                <w:noProof/>
              </w:rPr>
            </w:pPr>
            <w:r>
              <w:rPr>
                <w:noProof/>
              </w:rPr>
              <w:t>Pārveidošanas staciju čaulas pabeigšana Sardīnijā (Codrongianos) un Toskānā (Suvereto)</w:t>
            </w:r>
          </w:p>
        </w:tc>
      </w:tr>
      <w:tr w:rsidR="00327FF1" w14:paraId="714DB080" w14:textId="77777777">
        <w:trPr>
          <w:trHeight w:val="300"/>
        </w:trPr>
        <w:tc>
          <w:tcPr>
            <w:tcW w:w="1435" w:type="dxa"/>
            <w:shd w:val="clear" w:color="auto" w:fill="C6EFCE"/>
            <w:tcMar>
              <w:left w:w="108" w:type="dxa"/>
              <w:right w:w="108" w:type="dxa"/>
            </w:tcMar>
            <w:vAlign w:val="center"/>
          </w:tcPr>
          <w:p w14:paraId="7C03D58A" w14:textId="77777777" w:rsidR="00327FF1" w:rsidRDefault="00E406C7">
            <w:pPr>
              <w:pStyle w:val="P68B1DB1-Normal121"/>
              <w:spacing w:after="0" w:line="240" w:lineRule="auto"/>
              <w:jc w:val="center"/>
              <w:rPr>
                <w:noProof/>
              </w:rPr>
            </w:pPr>
            <w:r>
              <w:rPr>
                <w:noProof/>
              </w:rPr>
              <w:t>M7–22</w:t>
            </w:r>
          </w:p>
        </w:tc>
        <w:tc>
          <w:tcPr>
            <w:tcW w:w="3543" w:type="dxa"/>
            <w:shd w:val="clear" w:color="auto" w:fill="C6EFCE"/>
            <w:tcMar>
              <w:left w:w="108" w:type="dxa"/>
              <w:right w:w="108" w:type="dxa"/>
            </w:tcMar>
            <w:vAlign w:val="center"/>
          </w:tcPr>
          <w:p w14:paraId="3A240B11" w14:textId="77777777" w:rsidR="00327FF1" w:rsidRDefault="00E406C7">
            <w:pPr>
              <w:pStyle w:val="P68B1DB1-Normal121"/>
              <w:spacing w:after="0" w:line="240" w:lineRule="auto"/>
              <w:rPr>
                <w:noProof/>
              </w:rPr>
            </w:pPr>
            <w:r>
              <w:rPr>
                <w:noProof/>
              </w:rPr>
              <w:t>Investīcija 7: Viedais valsts pārvades tīkls</w:t>
            </w:r>
          </w:p>
        </w:tc>
        <w:tc>
          <w:tcPr>
            <w:tcW w:w="1418" w:type="dxa"/>
            <w:shd w:val="clear" w:color="auto" w:fill="C6EFCE"/>
            <w:tcMar>
              <w:left w:w="108" w:type="dxa"/>
              <w:right w:w="108" w:type="dxa"/>
            </w:tcMar>
            <w:vAlign w:val="center"/>
          </w:tcPr>
          <w:p w14:paraId="13C94F70"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2CF9415F" w14:textId="5E350D26" w:rsidR="00327FF1" w:rsidRDefault="00E406C7">
            <w:pPr>
              <w:pStyle w:val="P68B1DB1-Normal121"/>
              <w:spacing w:after="0" w:line="240" w:lineRule="auto"/>
              <w:rPr>
                <w:noProof/>
              </w:rPr>
            </w:pPr>
            <w:r>
              <w:rPr>
                <w:noProof/>
              </w:rPr>
              <w:t>5G aprīkojuma uzstādīšana, IKT arhitektūra, drošs 104. protokols elektrostacijās un rūpnieciskais lietu internets elektroiekārtās</w:t>
            </w:r>
          </w:p>
        </w:tc>
      </w:tr>
      <w:tr w:rsidR="00327FF1" w14:paraId="03A43BA9" w14:textId="77777777">
        <w:trPr>
          <w:trHeight w:val="300"/>
        </w:trPr>
        <w:tc>
          <w:tcPr>
            <w:tcW w:w="1435" w:type="dxa"/>
            <w:shd w:val="clear" w:color="auto" w:fill="C6EFCE"/>
            <w:tcMar>
              <w:left w:w="108" w:type="dxa"/>
              <w:right w:w="108" w:type="dxa"/>
            </w:tcMar>
            <w:vAlign w:val="center"/>
          </w:tcPr>
          <w:p w14:paraId="1718DBB6" w14:textId="77777777" w:rsidR="00327FF1" w:rsidRDefault="00E406C7">
            <w:pPr>
              <w:pStyle w:val="P68B1DB1-Normal121"/>
              <w:spacing w:after="0" w:line="240" w:lineRule="auto"/>
              <w:jc w:val="center"/>
              <w:rPr>
                <w:noProof/>
              </w:rPr>
            </w:pPr>
            <w:r>
              <w:rPr>
                <w:noProof/>
              </w:rPr>
              <w:t>M7–27</w:t>
            </w:r>
          </w:p>
        </w:tc>
        <w:tc>
          <w:tcPr>
            <w:tcW w:w="3543" w:type="dxa"/>
            <w:shd w:val="clear" w:color="auto" w:fill="C6EFCE"/>
            <w:tcMar>
              <w:left w:w="108" w:type="dxa"/>
              <w:right w:w="108" w:type="dxa"/>
            </w:tcMar>
            <w:vAlign w:val="center"/>
          </w:tcPr>
          <w:p w14:paraId="2FB19063" w14:textId="77777777" w:rsidR="00327FF1" w:rsidRDefault="00E406C7">
            <w:pPr>
              <w:pStyle w:val="P68B1DB1-Normal121"/>
              <w:spacing w:after="0" w:line="240" w:lineRule="auto"/>
              <w:rPr>
                <w:noProof/>
              </w:rPr>
            </w:pPr>
            <w:r>
              <w:rPr>
                <w:noProof/>
              </w:rPr>
              <w:t>Ieguldījums Nr. 8: Kritiski svarīgo izejvielu ilgtspējīga, apritīga un droša piegāde</w:t>
            </w:r>
          </w:p>
        </w:tc>
        <w:tc>
          <w:tcPr>
            <w:tcW w:w="1418" w:type="dxa"/>
            <w:shd w:val="clear" w:color="auto" w:fill="C6EFCE"/>
            <w:tcMar>
              <w:left w:w="108" w:type="dxa"/>
              <w:right w:w="108" w:type="dxa"/>
            </w:tcMar>
            <w:vAlign w:val="center"/>
          </w:tcPr>
          <w:p w14:paraId="49FCF371"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081408DA" w14:textId="77777777" w:rsidR="00327FF1" w:rsidRDefault="00E406C7">
            <w:pPr>
              <w:pStyle w:val="P68B1DB1-Normal121"/>
              <w:spacing w:after="0" w:line="240" w:lineRule="auto"/>
              <w:rPr>
                <w:noProof/>
              </w:rPr>
            </w:pPr>
            <w:r>
              <w:rPr>
                <w:noProof/>
              </w:rPr>
              <w:t xml:space="preserve">Pētniecības un izstrādes projekti un laboratoriju aprīkojums saistībā ar kalnrūpniecību pilsētās un ekodizainu </w:t>
            </w:r>
          </w:p>
        </w:tc>
      </w:tr>
      <w:tr w:rsidR="00327FF1" w14:paraId="028746FF" w14:textId="77777777">
        <w:trPr>
          <w:trHeight w:val="300"/>
        </w:trPr>
        <w:tc>
          <w:tcPr>
            <w:tcW w:w="1435" w:type="dxa"/>
            <w:shd w:val="clear" w:color="auto" w:fill="C6EFCE"/>
            <w:tcMar>
              <w:left w:w="108" w:type="dxa"/>
              <w:right w:w="108" w:type="dxa"/>
            </w:tcMar>
            <w:vAlign w:val="center"/>
          </w:tcPr>
          <w:p w14:paraId="4E91792B" w14:textId="77777777" w:rsidR="00327FF1" w:rsidRDefault="00E406C7">
            <w:pPr>
              <w:pStyle w:val="P68B1DB1-Normal121"/>
              <w:spacing w:after="0" w:line="240" w:lineRule="auto"/>
              <w:jc w:val="center"/>
              <w:rPr>
                <w:noProof/>
              </w:rPr>
            </w:pPr>
            <w:r>
              <w:rPr>
                <w:noProof/>
              </w:rPr>
              <w:t>M7–31</w:t>
            </w:r>
          </w:p>
        </w:tc>
        <w:tc>
          <w:tcPr>
            <w:tcW w:w="3543" w:type="dxa"/>
            <w:shd w:val="clear" w:color="auto" w:fill="C6EFCE"/>
            <w:tcMar>
              <w:left w:w="108" w:type="dxa"/>
              <w:right w:w="108" w:type="dxa"/>
            </w:tcMar>
            <w:vAlign w:val="center"/>
          </w:tcPr>
          <w:p w14:paraId="3DE237FE" w14:textId="77777777" w:rsidR="00327FF1" w:rsidRDefault="00E406C7">
            <w:pPr>
              <w:pStyle w:val="P68B1DB1-Normal121"/>
              <w:spacing w:after="0" w:line="240" w:lineRule="auto"/>
              <w:rPr>
                <w:noProof/>
              </w:rPr>
            </w:pPr>
            <w:r>
              <w:rPr>
                <w:noProof/>
              </w:rPr>
              <w:t>Ieguldījums Nr. 11:  Reģionālā sabiedriskā transporta dzelzceļa parka stiprināšana ar bezemisiju vilcieniem un universālo pakalpojumu</w:t>
            </w:r>
          </w:p>
        </w:tc>
        <w:tc>
          <w:tcPr>
            <w:tcW w:w="1418" w:type="dxa"/>
            <w:shd w:val="clear" w:color="auto" w:fill="C6EFCE"/>
            <w:tcMar>
              <w:left w:w="108" w:type="dxa"/>
              <w:right w:w="108" w:type="dxa"/>
            </w:tcMar>
            <w:vAlign w:val="center"/>
          </w:tcPr>
          <w:p w14:paraId="2A8AEF28"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2F0589E1" w14:textId="77777777" w:rsidR="00327FF1" w:rsidRDefault="00E406C7">
            <w:pPr>
              <w:pStyle w:val="P68B1DB1-Normal121"/>
              <w:spacing w:after="0" w:line="240" w:lineRule="auto"/>
              <w:rPr>
                <w:noProof/>
              </w:rPr>
            </w:pPr>
            <w:r>
              <w:rPr>
                <w:noProof/>
              </w:rPr>
              <w:t>Reģistrēto vilcienu skaits</w:t>
            </w:r>
          </w:p>
        </w:tc>
      </w:tr>
      <w:tr w:rsidR="00327FF1" w14:paraId="702E6BE9" w14:textId="77777777">
        <w:trPr>
          <w:trHeight w:val="300"/>
        </w:trPr>
        <w:tc>
          <w:tcPr>
            <w:tcW w:w="1435" w:type="dxa"/>
            <w:shd w:val="clear" w:color="auto" w:fill="C6EFCE"/>
            <w:tcMar>
              <w:left w:w="108" w:type="dxa"/>
              <w:right w:w="108" w:type="dxa"/>
            </w:tcMar>
            <w:vAlign w:val="center"/>
          </w:tcPr>
          <w:p w14:paraId="1ABB5857" w14:textId="77777777" w:rsidR="00327FF1" w:rsidRDefault="00E406C7">
            <w:pPr>
              <w:pStyle w:val="P68B1DB1-Normal121"/>
              <w:spacing w:after="0" w:line="240" w:lineRule="auto"/>
              <w:jc w:val="center"/>
              <w:rPr>
                <w:noProof/>
              </w:rPr>
            </w:pPr>
            <w:r>
              <w:rPr>
                <w:noProof/>
              </w:rPr>
              <w:t>M2C2–30</w:t>
            </w:r>
          </w:p>
        </w:tc>
        <w:tc>
          <w:tcPr>
            <w:tcW w:w="3543" w:type="dxa"/>
            <w:shd w:val="clear" w:color="auto" w:fill="C6EFCE"/>
            <w:tcMar>
              <w:left w:w="108" w:type="dxa"/>
              <w:right w:w="108" w:type="dxa"/>
            </w:tcMar>
            <w:vAlign w:val="center"/>
          </w:tcPr>
          <w:p w14:paraId="2038C1D3" w14:textId="77777777" w:rsidR="00327FF1" w:rsidRDefault="00E406C7">
            <w:pPr>
              <w:pStyle w:val="P68B1DB1-Normal121"/>
              <w:spacing w:after="0" w:line="240" w:lineRule="auto"/>
              <w:rPr>
                <w:noProof/>
              </w:rPr>
            </w:pPr>
            <w:r>
              <w:rPr>
                <w:noProof/>
              </w:rPr>
              <w:t>Investīcija — Privāto un vieglo komerciālo transportlīdzekļu autoparka atjaunošanas programma ar elektrotransportlīdzekļiem</w:t>
            </w:r>
          </w:p>
        </w:tc>
        <w:tc>
          <w:tcPr>
            <w:tcW w:w="1418" w:type="dxa"/>
            <w:shd w:val="clear" w:color="auto" w:fill="C6EFCE"/>
            <w:tcMar>
              <w:left w:w="108" w:type="dxa"/>
              <w:right w:w="108" w:type="dxa"/>
            </w:tcMar>
            <w:vAlign w:val="center"/>
          </w:tcPr>
          <w:p w14:paraId="3C707952"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41EB0512" w14:textId="77777777" w:rsidR="00327FF1" w:rsidRDefault="00E406C7">
            <w:pPr>
              <w:pStyle w:val="P68B1DB1-Normal121"/>
              <w:spacing w:after="0" w:line="240" w:lineRule="auto"/>
              <w:rPr>
                <w:noProof/>
              </w:rPr>
            </w:pPr>
            <w:r>
              <w:rPr>
                <w:noProof/>
              </w:rPr>
              <w:t>Iegādāto transportlīdzekļu skaits</w:t>
            </w:r>
          </w:p>
        </w:tc>
      </w:tr>
      <w:tr w:rsidR="00327FF1" w14:paraId="3B4857A8" w14:textId="77777777">
        <w:trPr>
          <w:trHeight w:val="300"/>
        </w:trPr>
        <w:tc>
          <w:tcPr>
            <w:tcW w:w="1435" w:type="dxa"/>
            <w:shd w:val="clear" w:color="auto" w:fill="C6EFCE"/>
            <w:tcMar>
              <w:left w:w="108" w:type="dxa"/>
              <w:right w:w="108" w:type="dxa"/>
            </w:tcMar>
            <w:vAlign w:val="center"/>
          </w:tcPr>
          <w:p w14:paraId="3FEECAD2" w14:textId="77777777" w:rsidR="00327FF1" w:rsidRDefault="00E406C7">
            <w:pPr>
              <w:pStyle w:val="P68B1DB1-Normal121"/>
              <w:spacing w:after="0" w:line="240" w:lineRule="auto"/>
              <w:jc w:val="center"/>
              <w:rPr>
                <w:noProof/>
              </w:rPr>
            </w:pPr>
            <w:r>
              <w:rPr>
                <w:noProof/>
              </w:rPr>
              <w:t>M1C2–14ter</w:t>
            </w:r>
          </w:p>
        </w:tc>
        <w:tc>
          <w:tcPr>
            <w:tcW w:w="3543" w:type="dxa"/>
            <w:shd w:val="clear" w:color="auto" w:fill="C6EFCE"/>
            <w:tcMar>
              <w:left w:w="108" w:type="dxa"/>
              <w:right w:w="108" w:type="dxa"/>
            </w:tcMar>
            <w:vAlign w:val="center"/>
          </w:tcPr>
          <w:p w14:paraId="46E7B9D3" w14:textId="77777777" w:rsidR="00327FF1" w:rsidRDefault="00E406C7">
            <w:pPr>
              <w:pStyle w:val="P68B1DB1-Normal121"/>
              <w:spacing w:after="0" w:line="240" w:lineRule="auto"/>
              <w:rPr>
                <w:noProof/>
              </w:rPr>
            </w:pPr>
            <w:r>
              <w:rPr>
                <w:noProof/>
              </w:rPr>
              <w:t xml:space="preserve">Reforma. uzņēmumiem paredzēto stimulu </w:t>
            </w:r>
            <w:r>
              <w:rPr>
                <w:noProof/>
              </w:rPr>
              <w:t>racionalizācija un vienkāršošana.</w:t>
            </w:r>
          </w:p>
        </w:tc>
        <w:tc>
          <w:tcPr>
            <w:tcW w:w="1418" w:type="dxa"/>
            <w:shd w:val="clear" w:color="auto" w:fill="C6EFCE"/>
            <w:tcMar>
              <w:left w:w="108" w:type="dxa"/>
              <w:right w:w="108" w:type="dxa"/>
            </w:tcMar>
            <w:vAlign w:val="center"/>
          </w:tcPr>
          <w:p w14:paraId="42D09DD5"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5843C779" w14:textId="77777777" w:rsidR="00327FF1" w:rsidRDefault="00E406C7">
            <w:pPr>
              <w:pStyle w:val="P68B1DB1-Normal121"/>
              <w:spacing w:after="0" w:line="240" w:lineRule="auto"/>
              <w:rPr>
                <w:noProof/>
              </w:rPr>
            </w:pPr>
            <w:r>
              <w:rPr>
                <w:noProof/>
              </w:rPr>
              <w:t>Tiesību aktu stāšanās spēkā, lai racionalizētu uzņēmumu stimulus</w:t>
            </w:r>
          </w:p>
        </w:tc>
      </w:tr>
      <w:tr w:rsidR="00327FF1" w14:paraId="5FCEFDAF" w14:textId="77777777">
        <w:trPr>
          <w:trHeight w:val="300"/>
        </w:trPr>
        <w:tc>
          <w:tcPr>
            <w:tcW w:w="1435" w:type="dxa"/>
            <w:shd w:val="clear" w:color="auto" w:fill="C6EFCE"/>
            <w:tcMar>
              <w:left w:w="108" w:type="dxa"/>
              <w:right w:w="108" w:type="dxa"/>
            </w:tcMar>
            <w:vAlign w:val="center"/>
          </w:tcPr>
          <w:p w14:paraId="615794AE" w14:textId="77777777" w:rsidR="00327FF1" w:rsidRDefault="00E406C7">
            <w:pPr>
              <w:pStyle w:val="P68B1DB1-Normal121"/>
              <w:spacing w:after="0" w:line="240" w:lineRule="auto"/>
              <w:jc w:val="center"/>
              <w:rPr>
                <w:noProof/>
              </w:rPr>
            </w:pPr>
            <w:r>
              <w:rPr>
                <w:noProof/>
              </w:rPr>
              <w:t>M4C1–14ter</w:t>
            </w:r>
          </w:p>
        </w:tc>
        <w:tc>
          <w:tcPr>
            <w:tcW w:w="3543" w:type="dxa"/>
            <w:shd w:val="clear" w:color="auto" w:fill="C6EFCE"/>
            <w:tcMar>
              <w:left w:w="108" w:type="dxa"/>
              <w:right w:w="108" w:type="dxa"/>
            </w:tcMar>
            <w:vAlign w:val="center"/>
          </w:tcPr>
          <w:p w14:paraId="77EFD071" w14:textId="77777777" w:rsidR="00327FF1" w:rsidRDefault="00E406C7">
            <w:pPr>
              <w:pStyle w:val="P68B1DB1-Normal121"/>
              <w:spacing w:after="0" w:line="240" w:lineRule="auto"/>
              <w:rPr>
                <w:noProof/>
              </w:rPr>
            </w:pPr>
            <w:r>
              <w:rPr>
                <w:noProof/>
              </w:rPr>
              <w:t>Reforma Nr. 2.1. Skolotāju pieņemšana darbā</w:t>
            </w:r>
          </w:p>
        </w:tc>
        <w:tc>
          <w:tcPr>
            <w:tcW w:w="1418" w:type="dxa"/>
            <w:shd w:val="clear" w:color="auto" w:fill="C6EFCE"/>
            <w:tcMar>
              <w:left w:w="108" w:type="dxa"/>
              <w:right w:w="108" w:type="dxa"/>
            </w:tcMar>
            <w:vAlign w:val="center"/>
          </w:tcPr>
          <w:p w14:paraId="461C7B35"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4DAF7958" w14:textId="77777777" w:rsidR="00327FF1" w:rsidRDefault="00E406C7">
            <w:pPr>
              <w:pStyle w:val="P68B1DB1-Normal121"/>
              <w:spacing w:after="0" w:line="240" w:lineRule="auto"/>
              <w:rPr>
                <w:noProof/>
              </w:rPr>
            </w:pPr>
            <w:r>
              <w:rPr>
                <w:noProof/>
              </w:rPr>
              <w:t xml:space="preserve">Kandidāti, kas sekmīgi izturējuši publisko konkursu, lai kļūtu par </w:t>
            </w:r>
            <w:r>
              <w:rPr>
                <w:noProof/>
              </w:rPr>
              <w:t>skolotājiem pēc reformētās darbā pieņemšanas sistēmas</w:t>
            </w:r>
          </w:p>
        </w:tc>
      </w:tr>
      <w:tr w:rsidR="00327FF1" w14:paraId="14D1F30C" w14:textId="77777777">
        <w:trPr>
          <w:trHeight w:val="300"/>
        </w:trPr>
        <w:tc>
          <w:tcPr>
            <w:tcW w:w="1435" w:type="dxa"/>
            <w:shd w:val="clear" w:color="auto" w:fill="C6EFCE"/>
            <w:tcMar>
              <w:left w:w="108" w:type="dxa"/>
              <w:right w:w="108" w:type="dxa"/>
            </w:tcMar>
            <w:vAlign w:val="center"/>
          </w:tcPr>
          <w:p w14:paraId="22E6FED0" w14:textId="77777777" w:rsidR="00327FF1" w:rsidRDefault="00E406C7">
            <w:pPr>
              <w:pStyle w:val="P68B1DB1-Normal121"/>
              <w:spacing w:after="0" w:line="240" w:lineRule="auto"/>
              <w:jc w:val="center"/>
              <w:rPr>
                <w:noProof/>
              </w:rPr>
            </w:pPr>
            <w:r>
              <w:rPr>
                <w:noProof/>
              </w:rPr>
              <w:t>M1C1–121a</w:t>
            </w:r>
          </w:p>
        </w:tc>
        <w:tc>
          <w:tcPr>
            <w:tcW w:w="3543" w:type="dxa"/>
            <w:shd w:val="clear" w:color="auto" w:fill="C6EFCE"/>
            <w:tcMar>
              <w:left w:w="108" w:type="dxa"/>
              <w:right w:w="108" w:type="dxa"/>
            </w:tcMar>
            <w:vAlign w:val="center"/>
          </w:tcPr>
          <w:p w14:paraId="12CA3C0B" w14:textId="77777777" w:rsidR="00327FF1" w:rsidRDefault="00E406C7">
            <w:pPr>
              <w:pStyle w:val="P68B1DB1-Normal121"/>
              <w:spacing w:after="0" w:line="240" w:lineRule="auto"/>
              <w:rPr>
                <w:noProof/>
              </w:rPr>
            </w:pPr>
            <w:r>
              <w:rPr>
                <w:noProof/>
              </w:rPr>
              <w:t>Reforma Nr. 1.12: Nodokļu administrācijas reforma</w:t>
            </w:r>
          </w:p>
        </w:tc>
        <w:tc>
          <w:tcPr>
            <w:tcW w:w="1418" w:type="dxa"/>
            <w:shd w:val="clear" w:color="auto" w:fill="C6EFCE"/>
            <w:tcMar>
              <w:left w:w="108" w:type="dxa"/>
              <w:right w:w="108" w:type="dxa"/>
            </w:tcMar>
            <w:vAlign w:val="center"/>
          </w:tcPr>
          <w:p w14:paraId="736E3A99"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66CB0028" w14:textId="77777777" w:rsidR="00327FF1" w:rsidRDefault="00E406C7">
            <w:pPr>
              <w:pStyle w:val="P68B1DB1-Normal121"/>
              <w:spacing w:after="0" w:line="240" w:lineRule="auto"/>
              <w:rPr>
                <w:noProof/>
              </w:rPr>
            </w:pPr>
            <w:r>
              <w:rPr>
                <w:noProof/>
              </w:rPr>
              <w:t>Primāro un sekundāro tiesību aktu stāšanās spēkā, lai uzlabotu nodokļu iekasēšanu</w:t>
            </w:r>
          </w:p>
        </w:tc>
      </w:tr>
      <w:tr w:rsidR="00327FF1" w14:paraId="74F97F6D"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C052A7" w14:textId="77777777" w:rsidR="00327FF1" w:rsidRDefault="00E406C7">
            <w:pPr>
              <w:pStyle w:val="P68B1DB1-Normal121"/>
              <w:spacing w:after="0" w:line="240" w:lineRule="auto"/>
              <w:jc w:val="center"/>
              <w:rPr>
                <w:noProof/>
              </w:rPr>
            </w:pPr>
            <w:r>
              <w:rPr>
                <w:noProof/>
              </w:rPr>
              <w:t>M2C2–29</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2F8843" w14:textId="77777777" w:rsidR="00327FF1" w:rsidRDefault="00E406C7">
            <w:pPr>
              <w:pStyle w:val="P68B1DB1-Normal121"/>
              <w:spacing w:after="0" w:line="240" w:lineRule="auto"/>
              <w:rPr>
                <w:noProof/>
              </w:rPr>
            </w:pPr>
            <w:r>
              <w:rPr>
                <w:noProof/>
              </w:rPr>
              <w:t xml:space="preserve">Investīcija Nr. 4.3. Uzlādes </w:t>
            </w:r>
            <w:r>
              <w:rPr>
                <w:noProof/>
              </w:rPr>
              <w:t>infrastruktūras uzstādīšana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8B6A00"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6E6A87" w14:textId="77777777" w:rsidR="00327FF1" w:rsidRDefault="00E406C7">
            <w:pPr>
              <w:pStyle w:val="P68B1DB1-Normal121"/>
              <w:spacing w:after="0" w:line="240" w:lineRule="auto"/>
              <w:rPr>
                <w:noProof/>
              </w:rPr>
            </w:pPr>
            <w:r>
              <w:rPr>
                <w:noProof/>
              </w:rPr>
              <w:t>Ātrās uzlādes staciju skaits</w:t>
            </w:r>
          </w:p>
        </w:tc>
      </w:tr>
      <w:tr w:rsidR="00327FF1" w14:paraId="611B1EB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9A7641" w14:textId="77777777" w:rsidR="00327FF1" w:rsidRDefault="00E406C7">
            <w:pPr>
              <w:pStyle w:val="P68B1DB1-Normal121"/>
              <w:spacing w:after="0" w:line="240" w:lineRule="auto"/>
              <w:jc w:val="center"/>
              <w:rPr>
                <w:noProof/>
              </w:rPr>
            </w:pPr>
            <w:r>
              <w:rPr>
                <w:noProof/>
              </w:rPr>
              <w:t>M4C1–15bis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B7669E" w14:textId="77777777" w:rsidR="00327FF1" w:rsidRDefault="00E406C7">
            <w:pPr>
              <w:pStyle w:val="P68B1DB1-Normal121"/>
              <w:spacing w:after="0" w:line="240" w:lineRule="auto"/>
              <w:rPr>
                <w:noProof/>
              </w:rPr>
            </w:pPr>
            <w:r>
              <w:rPr>
                <w:noProof/>
              </w:rPr>
              <w:t>Investīcija Nr. 1.7: Stipendijas piekļuvei universitātēm</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E88E6C"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AC8299" w14:textId="77777777" w:rsidR="00327FF1" w:rsidRDefault="00E406C7">
            <w:pPr>
              <w:pStyle w:val="P68B1DB1-Normal121"/>
              <w:spacing w:after="0" w:line="240" w:lineRule="auto"/>
              <w:rPr>
                <w:noProof/>
              </w:rPr>
            </w:pPr>
            <w:r>
              <w:rPr>
                <w:noProof/>
              </w:rPr>
              <w:t>Stipendijas, kas piešķirtas, lai piekļūtu universitātēm</w:t>
            </w:r>
          </w:p>
        </w:tc>
      </w:tr>
      <w:tr w:rsidR="00327FF1" w14:paraId="0FFFC669"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764B56" w14:textId="77777777" w:rsidR="00327FF1" w:rsidRDefault="00E406C7">
            <w:pPr>
              <w:pStyle w:val="P68B1DB1-Normal121"/>
              <w:spacing w:after="0" w:line="240" w:lineRule="auto"/>
              <w:jc w:val="center"/>
              <w:rPr>
                <w:noProof/>
              </w:rPr>
            </w:pPr>
            <w:r>
              <w:rPr>
                <w:noProof/>
              </w:rPr>
              <w:t>M5C1–4bis</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3521EC" w14:textId="77777777" w:rsidR="00327FF1" w:rsidRDefault="00E406C7">
            <w:pPr>
              <w:pStyle w:val="P68B1DB1-Normal121"/>
              <w:spacing w:after="0" w:line="240" w:lineRule="auto"/>
              <w:rPr>
                <w:noProof/>
              </w:rPr>
            </w:pPr>
            <w:r>
              <w:rPr>
                <w:noProof/>
              </w:rPr>
              <w:t>Reforma. ADTP un profesionālā apmācība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6321FE"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1BDD25" w14:textId="77777777" w:rsidR="00327FF1" w:rsidRDefault="00E406C7">
            <w:pPr>
              <w:pStyle w:val="P68B1DB1-Normal121"/>
              <w:spacing w:after="0" w:line="240" w:lineRule="auto"/>
              <w:rPr>
                <w:noProof/>
              </w:rPr>
            </w:pPr>
            <w:r>
              <w:rPr>
                <w:noProof/>
              </w:rPr>
              <w:t>Cilvēki, kas piedalās mācību programmās</w:t>
            </w:r>
          </w:p>
        </w:tc>
      </w:tr>
      <w:tr w:rsidR="00327FF1" w14:paraId="3E9D5589"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6B682F" w14:textId="77777777" w:rsidR="00327FF1" w:rsidRDefault="00E406C7">
            <w:pPr>
              <w:pStyle w:val="P68B1DB1-Normal121"/>
              <w:spacing w:after="0" w:line="240" w:lineRule="auto"/>
              <w:jc w:val="center"/>
              <w:rPr>
                <w:noProof/>
              </w:rPr>
            </w:pPr>
            <w:r>
              <w:rPr>
                <w:noProof/>
              </w:rPr>
              <w:t>M1C1–147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88BC33" w14:textId="77777777" w:rsidR="00327FF1" w:rsidRDefault="00E406C7">
            <w:pPr>
              <w:pStyle w:val="P68B1DB1-Normal121"/>
              <w:spacing w:after="0" w:line="240" w:lineRule="auto"/>
              <w:rPr>
                <w:noProof/>
              </w:rPr>
            </w:pPr>
            <w:r>
              <w:rPr>
                <w:noProof/>
              </w:rPr>
              <w:t>Investīcija 1.2. — Mākoņdatošanas veicināšana vietējai PN</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A8C44D"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7F744C" w14:textId="77777777" w:rsidR="00327FF1" w:rsidRDefault="00E406C7">
            <w:pPr>
              <w:pStyle w:val="P68B1DB1-Normal121"/>
              <w:spacing w:after="0" w:line="240" w:lineRule="auto"/>
              <w:rPr>
                <w:noProof/>
              </w:rPr>
            </w:pPr>
            <w:r>
              <w:rPr>
                <w:noProof/>
              </w:rPr>
              <w:t>Mākoņdatošanas iespējošana vietējai valsts pārvaldei T2</w:t>
            </w:r>
          </w:p>
        </w:tc>
      </w:tr>
      <w:tr w:rsidR="00327FF1" w14:paraId="60461258"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E73F03" w14:textId="77777777" w:rsidR="00327FF1" w:rsidRDefault="00E406C7">
            <w:pPr>
              <w:pStyle w:val="P68B1DB1-Normal121"/>
              <w:spacing w:after="0" w:line="240" w:lineRule="auto"/>
              <w:jc w:val="center"/>
              <w:rPr>
                <w:noProof/>
              </w:rPr>
            </w:pPr>
            <w:r>
              <w:rPr>
                <w:noProof/>
              </w:rPr>
              <w:t>M1C1–148</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69328E" w14:textId="77777777" w:rsidR="00327FF1" w:rsidRDefault="00E406C7">
            <w:pPr>
              <w:pStyle w:val="P68B1DB1-Normal121"/>
              <w:spacing w:after="0" w:line="240" w:lineRule="auto"/>
              <w:rPr>
                <w:noProof/>
              </w:rPr>
            </w:pPr>
            <w:r>
              <w:rPr>
                <w:noProof/>
              </w:rPr>
              <w:t xml:space="preserve">Investīcija — Iedzīvotāju pieredze — digitālo publisko pakalpojumu </w:t>
            </w:r>
            <w:r>
              <w:rPr>
                <w:noProof/>
              </w:rPr>
              <w:t>kvalitātes un izmantojamības uzlabošana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C52A9C"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005EEB" w14:textId="77777777" w:rsidR="00327FF1" w:rsidRDefault="00E406C7">
            <w:pPr>
              <w:pStyle w:val="P68B1DB1-Normal121"/>
              <w:spacing w:after="0" w:line="240" w:lineRule="auto"/>
              <w:rPr>
                <w:noProof/>
              </w:rPr>
            </w:pPr>
            <w:r>
              <w:rPr>
                <w:noProof/>
              </w:rPr>
              <w:t>Digitālo publisko pakalpojumu T2 kvalitātes un izmantojamības uzlabošana</w:t>
            </w:r>
          </w:p>
        </w:tc>
      </w:tr>
      <w:tr w:rsidR="00327FF1" w14:paraId="155A8DEC"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3AA3EA" w14:textId="77777777" w:rsidR="00327FF1" w:rsidRDefault="00E406C7">
            <w:pPr>
              <w:pStyle w:val="P68B1DB1-Normal121"/>
              <w:spacing w:after="0" w:line="240" w:lineRule="auto"/>
              <w:jc w:val="center"/>
              <w:rPr>
                <w:noProof/>
              </w:rPr>
            </w:pPr>
            <w:r>
              <w:rPr>
                <w:noProof/>
              </w:rPr>
              <w:t>M2C2–10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AF4212" w14:textId="77777777" w:rsidR="00327FF1" w:rsidRDefault="00E406C7">
            <w:pPr>
              <w:pStyle w:val="P68B1DB1-Normal121"/>
              <w:spacing w:after="0" w:line="240" w:lineRule="auto"/>
              <w:rPr>
                <w:noProof/>
              </w:rPr>
            </w:pPr>
            <w:r>
              <w:rPr>
                <w:noProof/>
              </w:rPr>
              <w:t>Investīcija 2.1. Viedo tīklu stiprināšana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865BF8" w14:textId="77777777" w:rsidR="00327FF1" w:rsidRDefault="00E406C7">
            <w:pPr>
              <w:pStyle w:val="P68B1DB1-Normal121"/>
              <w:spacing w:after="0" w:line="240" w:lineRule="auto"/>
              <w:jc w:val="center"/>
              <w:rPr>
                <w:noProof/>
              </w:rPr>
            </w:pPr>
            <w:r>
              <w:rPr>
                <w:noProof/>
              </w:rPr>
              <w:t>Atskaites punkts</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83121C" w14:textId="77777777" w:rsidR="00327FF1" w:rsidRDefault="00E406C7">
            <w:pPr>
              <w:pStyle w:val="P68B1DB1-Normal121"/>
              <w:spacing w:after="0" w:line="240" w:lineRule="auto"/>
              <w:rPr>
                <w:noProof/>
              </w:rPr>
            </w:pPr>
            <w:r>
              <w:rPr>
                <w:noProof/>
              </w:rPr>
              <w:t xml:space="preserve">Viedie tīkli — palielināta tīkla jauda un enerģijas patēriņa elektrifikācija </w:t>
            </w:r>
          </w:p>
        </w:tc>
      </w:tr>
      <w:tr w:rsidR="00327FF1" w14:paraId="5648CFE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0350BA" w14:textId="77777777" w:rsidR="00327FF1" w:rsidRDefault="00E406C7">
            <w:pPr>
              <w:pStyle w:val="P68B1DB1-Normal121"/>
              <w:spacing w:after="0" w:line="240" w:lineRule="auto"/>
              <w:jc w:val="center"/>
              <w:rPr>
                <w:noProof/>
              </w:rPr>
            </w:pPr>
            <w:r>
              <w:rPr>
                <w:noProof/>
              </w:rPr>
              <w:t>M2C2–13</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3CE009" w14:textId="77777777" w:rsidR="00327FF1" w:rsidRDefault="00E406C7">
            <w:pPr>
              <w:pStyle w:val="P68B1DB1-Normal121"/>
              <w:spacing w:after="0" w:line="240" w:lineRule="auto"/>
              <w:rPr>
                <w:noProof/>
              </w:rPr>
            </w:pPr>
            <w:r>
              <w:rPr>
                <w:noProof/>
              </w:rPr>
              <w:t>Investīcija 2.2. Intervences elektrotīkla noturības palielināšanai</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6BABC2"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A9204C" w14:textId="77777777" w:rsidR="00327FF1" w:rsidRDefault="00E406C7">
            <w:pPr>
              <w:pStyle w:val="P68B1DB1-Normal121"/>
              <w:spacing w:after="0" w:line="240" w:lineRule="auto"/>
              <w:rPr>
                <w:noProof/>
              </w:rPr>
            </w:pPr>
            <w:r>
              <w:rPr>
                <w:noProof/>
              </w:rPr>
              <w:t>Palielināt elektroenerģijas sistēmas tīkla noturību</w:t>
            </w:r>
          </w:p>
        </w:tc>
      </w:tr>
      <w:tr w:rsidR="00327FF1" w14:paraId="484E1E6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5C0DDB" w14:textId="77777777" w:rsidR="00327FF1" w:rsidRDefault="00E406C7">
            <w:pPr>
              <w:pStyle w:val="P68B1DB1-Normal121"/>
              <w:spacing w:after="0" w:line="240" w:lineRule="auto"/>
              <w:jc w:val="center"/>
              <w:rPr>
                <w:noProof/>
              </w:rPr>
            </w:pPr>
            <w:r>
              <w:rPr>
                <w:noProof/>
              </w:rPr>
              <w:t>M2C2–35</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8C74F5" w14:textId="77777777" w:rsidR="00327FF1" w:rsidRDefault="00E406C7">
            <w:pPr>
              <w:pStyle w:val="P68B1DB1-Normal121"/>
              <w:spacing w:after="0" w:line="240" w:lineRule="auto"/>
              <w:rPr>
                <w:noProof/>
              </w:rPr>
            </w:pPr>
            <w:r>
              <w:rPr>
                <w:noProof/>
              </w:rPr>
              <w:t>Investīcija 4.4.1.: Reģionālā sabie</w:t>
            </w:r>
            <w:r>
              <w:rPr>
                <w:noProof/>
              </w:rPr>
              <w:t>driskā transporta autobusu parka stiprināšana ar bezemisiju autobusiem</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6FB226"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1218CB" w14:textId="77777777" w:rsidR="00327FF1" w:rsidRDefault="00E406C7">
            <w:pPr>
              <w:pStyle w:val="P68B1DB1-Normal121"/>
              <w:spacing w:after="0" w:line="240" w:lineRule="auto"/>
              <w:rPr>
                <w:noProof/>
              </w:rPr>
            </w:pPr>
            <w:r>
              <w:rPr>
                <w:noProof/>
              </w:rPr>
              <w:t>Reģistrēto T2 bezemisiju autobusu skaits</w:t>
            </w:r>
          </w:p>
        </w:tc>
      </w:tr>
      <w:tr w:rsidR="00327FF1" w14:paraId="52FDA3A7"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F13C84" w14:textId="77777777" w:rsidR="00327FF1" w:rsidRDefault="00E406C7">
            <w:pPr>
              <w:pStyle w:val="P68B1DB1-Normal121"/>
              <w:spacing w:after="0" w:line="240" w:lineRule="auto"/>
              <w:jc w:val="center"/>
              <w:rPr>
                <w:noProof/>
              </w:rPr>
            </w:pPr>
            <w:r>
              <w:rPr>
                <w:noProof/>
              </w:rPr>
              <w:t>M2C2–35 ter</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CAB91C1" w14:textId="77777777" w:rsidR="00327FF1" w:rsidRDefault="00E406C7">
            <w:pPr>
              <w:pStyle w:val="P68B1DB1-Normal121"/>
              <w:spacing w:after="0" w:line="240" w:lineRule="auto"/>
              <w:rPr>
                <w:noProof/>
              </w:rPr>
            </w:pPr>
            <w:r>
              <w:rPr>
                <w:noProof/>
              </w:rPr>
              <w:t>Investīcija 4.4.1.: Reģionālā sabiedriskā transporta autobusu parka stiprināšana ar “tīro” degvielu transportlīdzekļiem</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03986A"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FB0BB9" w14:textId="77777777" w:rsidR="00327FF1" w:rsidRDefault="00E406C7">
            <w:pPr>
              <w:pStyle w:val="P68B1DB1-Normal121"/>
              <w:spacing w:after="0" w:line="240" w:lineRule="auto"/>
              <w:rPr>
                <w:noProof/>
              </w:rPr>
            </w:pPr>
            <w:r>
              <w:rPr>
                <w:noProof/>
              </w:rPr>
              <w:t>Bezemisiju un mazemisiju mazemisiju autobusu uzlādes staciju skaits</w:t>
            </w:r>
          </w:p>
        </w:tc>
      </w:tr>
      <w:tr w:rsidR="00327FF1" w14:paraId="3CA613DE"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7C29CA" w14:textId="77777777" w:rsidR="00327FF1" w:rsidRDefault="00E406C7">
            <w:pPr>
              <w:pStyle w:val="P68B1DB1-Normal121"/>
              <w:spacing w:after="0" w:line="240" w:lineRule="auto"/>
              <w:jc w:val="center"/>
              <w:rPr>
                <w:noProof/>
              </w:rPr>
            </w:pPr>
            <w:r>
              <w:rPr>
                <w:noProof/>
              </w:rPr>
              <w:t>M6C2–16</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5C0858" w14:textId="77777777" w:rsidR="00327FF1" w:rsidRDefault="00E406C7">
            <w:pPr>
              <w:pStyle w:val="P68B1DB1-Normal121"/>
              <w:spacing w:after="0" w:line="240" w:lineRule="auto"/>
              <w:rPr>
                <w:noProof/>
              </w:rPr>
            </w:pPr>
            <w:r>
              <w:rPr>
                <w:noProof/>
              </w:rPr>
              <w:t>Ieguldījums 2.2.: Veselības aprūpes sistēmas speciālistu tehnisko, profesionālo, digitālo un vadības prasmju attīstīšana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B8E944"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D9B29D" w14:textId="77777777" w:rsidR="00327FF1" w:rsidRDefault="00E406C7">
            <w:pPr>
              <w:pStyle w:val="P68B1DB1-Normal121"/>
              <w:spacing w:after="0" w:line="240" w:lineRule="auto"/>
              <w:rPr>
                <w:noProof/>
              </w:rPr>
            </w:pPr>
            <w:r>
              <w:rPr>
                <w:noProof/>
              </w:rPr>
              <w:t>Veselības aprūpes darbinieku apmācība par vadības u</w:t>
            </w:r>
            <w:r>
              <w:rPr>
                <w:noProof/>
              </w:rPr>
              <w:t>n digitālajām prasmēm</w:t>
            </w:r>
          </w:p>
        </w:tc>
      </w:tr>
      <w:tr w:rsidR="00327FF1" w14:paraId="21606D90"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54F59A" w14:textId="77777777" w:rsidR="00327FF1" w:rsidRDefault="00E406C7">
            <w:pPr>
              <w:pStyle w:val="P68B1DB1-Normal121"/>
              <w:spacing w:after="0" w:line="240" w:lineRule="auto"/>
              <w:jc w:val="center"/>
              <w:rPr>
                <w:noProof/>
              </w:rPr>
            </w:pPr>
            <w:r>
              <w:rPr>
                <w:noProof/>
              </w:rPr>
              <w:t>M6C2–17</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5EF980" w14:textId="77777777" w:rsidR="00327FF1" w:rsidRDefault="00E406C7">
            <w:pPr>
              <w:pStyle w:val="P68B1DB1-Normal121"/>
              <w:spacing w:after="0" w:line="240" w:lineRule="auto"/>
              <w:rPr>
                <w:noProof/>
              </w:rPr>
            </w:pPr>
            <w:r>
              <w:rPr>
                <w:noProof/>
              </w:rPr>
              <w:t>Ieguldījums 2.2.: Veselības aprūpes sistēmas speciālistu tehnisko, profesionālo, digitālo un vadības prasmju attīstīšana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E967433"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F4940E" w14:textId="77777777" w:rsidR="00327FF1" w:rsidRDefault="00E406C7">
            <w:pPr>
              <w:pStyle w:val="P68B1DB1-Normal121"/>
              <w:spacing w:after="0" w:line="240" w:lineRule="auto"/>
              <w:rPr>
                <w:noProof/>
              </w:rPr>
            </w:pPr>
            <w:r>
              <w:rPr>
                <w:noProof/>
              </w:rPr>
              <w:t xml:space="preserve">Medicīnas pakalpojumu piešķiršana </w:t>
            </w:r>
          </w:p>
          <w:p w14:paraId="2DE0BA86" w14:textId="77777777" w:rsidR="00327FF1" w:rsidRDefault="00E406C7">
            <w:pPr>
              <w:pStyle w:val="P68B1DB1-Normal121"/>
              <w:spacing w:after="0" w:line="240" w:lineRule="auto"/>
              <w:rPr>
                <w:noProof/>
              </w:rPr>
            </w:pPr>
            <w:r>
              <w:rPr>
                <w:noProof/>
              </w:rPr>
              <w:t>speciālistu apmācības līgumi</w:t>
            </w:r>
          </w:p>
        </w:tc>
      </w:tr>
      <w:tr w:rsidR="00327FF1" w14:paraId="346A7CCE"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5800B6" w14:textId="77777777" w:rsidR="00327FF1" w:rsidRDefault="00E406C7">
            <w:pPr>
              <w:pStyle w:val="P68B1DB1-Normal121"/>
              <w:spacing w:after="0" w:line="240" w:lineRule="auto"/>
              <w:jc w:val="center"/>
              <w:rPr>
                <w:noProof/>
              </w:rPr>
            </w:pPr>
            <w:r>
              <w:rPr>
                <w:noProof/>
              </w:rPr>
              <w:t>M1C1–149</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1FFFF6" w14:textId="77777777" w:rsidR="00327FF1" w:rsidRDefault="00E406C7">
            <w:pPr>
              <w:pStyle w:val="P68B1DB1-Normal121"/>
              <w:spacing w:after="0" w:line="240" w:lineRule="auto"/>
              <w:rPr>
                <w:noProof/>
              </w:rPr>
            </w:pPr>
            <w:r>
              <w:rPr>
                <w:noProof/>
              </w:rPr>
              <w:t xml:space="preserve">Investīcija 1.4.3. </w:t>
            </w:r>
            <w:r>
              <w:rPr>
                <w:noProof/>
              </w:rPr>
              <w:t>PagoPA platformas pakalpojumu un lietotnes “IO” pieņemšana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AB62E6"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FDE5EC" w14:textId="77777777" w:rsidR="00327FF1" w:rsidRDefault="00E406C7">
            <w:pPr>
              <w:pStyle w:val="P68B1DB1-Normal121"/>
              <w:spacing w:after="0" w:line="240" w:lineRule="auto"/>
              <w:rPr>
                <w:noProof/>
              </w:rPr>
            </w:pPr>
            <w:r>
              <w:rPr>
                <w:noProof/>
              </w:rPr>
              <w:t>PagoPA platformas pakalpojumu T2 ieviešana</w:t>
            </w:r>
          </w:p>
        </w:tc>
      </w:tr>
      <w:tr w:rsidR="00327FF1" w14:paraId="5210215A"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42BE3A" w14:textId="77777777" w:rsidR="00327FF1" w:rsidRDefault="00E406C7">
            <w:pPr>
              <w:pStyle w:val="P68B1DB1-Normal121"/>
              <w:spacing w:after="0" w:line="240" w:lineRule="auto"/>
              <w:jc w:val="center"/>
              <w:rPr>
                <w:noProof/>
              </w:rPr>
            </w:pPr>
            <w:r>
              <w:rPr>
                <w:noProof/>
              </w:rPr>
              <w:t>M1C1–150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88BDA4" w14:textId="77777777" w:rsidR="00327FF1" w:rsidRDefault="00E406C7">
            <w:pPr>
              <w:pStyle w:val="P68B1DB1-Normal121"/>
              <w:spacing w:after="0" w:line="240" w:lineRule="auto"/>
              <w:rPr>
                <w:noProof/>
              </w:rPr>
            </w:pPr>
            <w:r>
              <w:rPr>
                <w:noProof/>
              </w:rPr>
              <w:t>Investīcija 1.4.3. PagoPA platformas pakalpojumu un lietotnes “IO” pieņemšana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E01F1B"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16498A" w14:textId="77777777" w:rsidR="00327FF1" w:rsidRDefault="00E406C7">
            <w:pPr>
              <w:pStyle w:val="P68B1DB1-Normal121"/>
              <w:spacing w:after="0" w:line="240" w:lineRule="auto"/>
              <w:rPr>
                <w:noProof/>
              </w:rPr>
            </w:pPr>
            <w:r>
              <w:rPr>
                <w:noProof/>
              </w:rPr>
              <w:t>“IO” lietotnes T2 pieņemšana</w:t>
            </w:r>
          </w:p>
        </w:tc>
      </w:tr>
      <w:tr w:rsidR="00327FF1" w14:paraId="16A3EA14"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DC5AF4" w14:textId="77777777" w:rsidR="00327FF1" w:rsidRDefault="00E406C7">
            <w:pPr>
              <w:pStyle w:val="P68B1DB1-Normal121"/>
              <w:spacing w:after="0" w:line="240" w:lineRule="auto"/>
              <w:jc w:val="center"/>
              <w:rPr>
                <w:noProof/>
              </w:rPr>
            </w:pPr>
            <w:r>
              <w:rPr>
                <w:noProof/>
              </w:rPr>
              <w:t>M1C1–152</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9A13A3" w14:textId="77777777" w:rsidR="00327FF1" w:rsidRDefault="00E406C7">
            <w:pPr>
              <w:pStyle w:val="P68B1DB1-Normal121"/>
              <w:spacing w:after="0" w:line="240" w:lineRule="auto"/>
              <w:rPr>
                <w:noProof/>
              </w:rPr>
            </w:pPr>
            <w:r>
              <w:rPr>
                <w:noProof/>
              </w:rPr>
              <w:t xml:space="preserve">Investīcija </w:t>
            </w:r>
            <w:r>
              <w:rPr>
                <w:noProof/>
              </w:rPr>
              <w:t>1.6.1. — Iekšlietu ministrijas digitalizācija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F03B9D"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2BE95A" w14:textId="77777777" w:rsidR="00327FF1" w:rsidRDefault="00E406C7">
            <w:pPr>
              <w:pStyle w:val="P68B1DB1-Normal121"/>
              <w:spacing w:after="0" w:line="240" w:lineRule="auto"/>
              <w:rPr>
                <w:noProof/>
              </w:rPr>
            </w:pPr>
            <w:r>
              <w:rPr>
                <w:noProof/>
              </w:rPr>
              <w:t>Iekšlietu ministrija — pārveidoti un digitalizēti procesi T2</w:t>
            </w:r>
          </w:p>
        </w:tc>
      </w:tr>
      <w:tr w:rsidR="00327FF1" w14:paraId="1AEF89A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57C693" w14:textId="77777777" w:rsidR="00327FF1" w:rsidRDefault="00E406C7">
            <w:pPr>
              <w:pStyle w:val="P68B1DB1-Normal121"/>
              <w:spacing w:after="0" w:line="240" w:lineRule="auto"/>
              <w:jc w:val="center"/>
              <w:rPr>
                <w:noProof/>
              </w:rPr>
            </w:pPr>
            <w:r>
              <w:rPr>
                <w:noProof/>
              </w:rPr>
              <w:t>M1C1–154</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69CFEB" w14:textId="77777777" w:rsidR="00327FF1" w:rsidRDefault="00E406C7">
            <w:pPr>
              <w:pStyle w:val="P68B1DB1-Normal121"/>
              <w:spacing w:after="0" w:line="240" w:lineRule="auto"/>
              <w:rPr>
                <w:noProof/>
              </w:rPr>
            </w:pPr>
            <w:r>
              <w:rPr>
                <w:noProof/>
              </w:rPr>
              <w:t>Investīcija 1.6.2. — Tieslietu ministrijas digitalizācija</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5A2E09" w14:textId="77777777"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A4C392" w14:textId="77777777" w:rsidR="00327FF1" w:rsidRDefault="00E406C7">
            <w:pPr>
              <w:pStyle w:val="P68B1DB1-Normal121"/>
              <w:spacing w:after="0" w:line="240" w:lineRule="auto"/>
              <w:rPr>
                <w:noProof/>
              </w:rPr>
            </w:pPr>
            <w:r>
              <w:rPr>
                <w:noProof/>
              </w:rPr>
              <w:t>Zināšanu sistēmas “Tiesiskums datu vilcināšanās” T2</w:t>
            </w:r>
          </w:p>
        </w:tc>
      </w:tr>
      <w:tr w:rsidR="00327FF1" w14:paraId="4FBD5E73"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0B61BDD" w14:textId="1F17DA47" w:rsidR="00327FF1" w:rsidRDefault="00E406C7">
            <w:pPr>
              <w:pStyle w:val="P68B1DB1-Normal121"/>
              <w:spacing w:after="0" w:line="240" w:lineRule="auto"/>
              <w:jc w:val="center"/>
              <w:rPr>
                <w:noProof/>
              </w:rPr>
            </w:pPr>
            <w:r>
              <w:rPr>
                <w:noProof/>
              </w:rPr>
              <w:t>M7–50</w:t>
            </w: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557D2A9" w14:textId="711D9C00" w:rsidR="00327FF1" w:rsidRDefault="00E406C7">
            <w:pPr>
              <w:pStyle w:val="P68B1DB1-Normal121"/>
              <w:spacing w:after="0" w:line="240" w:lineRule="auto"/>
              <w:rPr>
                <w:noProof/>
              </w:rPr>
            </w:pPr>
            <w:r>
              <w:rPr>
                <w:noProof/>
              </w:rPr>
              <w:t>Investīcija Nr. 18 — Paplašināšanas pasākums: Privāto un vieglo komerciālo transportlīdzekļu autoparka atjaunošanas programma ar elektrotransportlīdzekļiem</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399461" w14:textId="17F68D69" w:rsidR="00327FF1" w:rsidRDefault="00E406C7">
            <w:pPr>
              <w:pStyle w:val="P68B1DB1-Normal121"/>
              <w:spacing w:after="0" w:line="240" w:lineRule="auto"/>
              <w:jc w:val="center"/>
              <w:rPr>
                <w:noProof/>
              </w:rPr>
            </w:pPr>
            <w:r>
              <w:rPr>
                <w:noProof/>
              </w:rPr>
              <w:t>Mērķa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FE3829" w14:textId="689BADB7" w:rsidR="00327FF1" w:rsidRDefault="00E406C7">
            <w:pPr>
              <w:pStyle w:val="P68B1DB1-Normal121"/>
              <w:spacing w:after="0" w:line="240" w:lineRule="auto"/>
              <w:rPr>
                <w:noProof/>
              </w:rPr>
            </w:pPr>
            <w:r>
              <w:rPr>
                <w:noProof/>
              </w:rPr>
              <w:t>Iegādāto transportlīdzekļu skaits</w:t>
            </w:r>
          </w:p>
        </w:tc>
      </w:tr>
      <w:tr w:rsidR="00327FF1" w14:paraId="568AE87D" w14:textId="77777777">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8004A2" w14:textId="77777777" w:rsidR="00327FF1" w:rsidRDefault="00327FF1">
            <w:pPr>
              <w:spacing w:after="0" w:line="240" w:lineRule="auto"/>
              <w:jc w:val="center"/>
              <w:rPr>
                <w:rFonts w:ascii="Times New Roman" w:eastAsia="Times New Roman" w:hAnsi="Times New Roman" w:cs="Times New Roman"/>
                <w:noProof/>
              </w:rPr>
            </w:pPr>
          </w:p>
        </w:tc>
        <w:tc>
          <w:tcPr>
            <w:tcW w:w="354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3EB390" w14:textId="77777777" w:rsidR="00327FF1" w:rsidRDefault="00E406C7">
            <w:pPr>
              <w:pStyle w:val="P68B1DB1-Normal121"/>
              <w:spacing w:after="0" w:line="240" w:lineRule="auto"/>
              <w:rPr>
                <w:noProof/>
              </w:rPr>
            </w:pPr>
            <w:r>
              <w:rPr>
                <w:noProof/>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7B66C3" w14:textId="77777777" w:rsidR="00327FF1" w:rsidRDefault="00E406C7">
            <w:pPr>
              <w:pStyle w:val="P68B1DB1-Normal121"/>
              <w:spacing w:after="0" w:line="240" w:lineRule="auto"/>
              <w:jc w:val="center"/>
              <w:rPr>
                <w:noProof/>
              </w:rPr>
            </w:pPr>
            <w:r>
              <w:rPr>
                <w:noProof/>
              </w:rPr>
              <w:t>Maksājuma summa</w:t>
            </w:r>
          </w:p>
        </w:tc>
        <w:tc>
          <w:tcPr>
            <w:tcW w:w="2963"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2243AB"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12799902997</w:t>
            </w:r>
            <w:r>
              <w:rPr>
                <w:noProof/>
                <w:sz w:val="23"/>
                <w:szCs w:val="23"/>
              </w:rPr>
              <w:t xml:space="preserve"> </w:t>
            </w:r>
          </w:p>
        </w:tc>
      </w:tr>
    </w:tbl>
    <w:p w14:paraId="2A05D682" w14:textId="77777777" w:rsidR="00327FF1" w:rsidRDefault="00E406C7">
      <w:pPr>
        <w:pStyle w:val="P68B1DB1-Normal8"/>
        <w:spacing w:before="120" w:after="120" w:line="240" w:lineRule="auto"/>
        <w:jc w:val="both"/>
        <w:rPr>
          <w:noProof/>
        </w:rPr>
      </w:pPr>
      <w:r>
        <w:rPr>
          <w:noProof/>
        </w:rPr>
        <w:t xml:space="preserve"> </w:t>
      </w:r>
    </w:p>
    <w:p w14:paraId="3D02FD90" w14:textId="77777777" w:rsidR="00327FF1" w:rsidRDefault="00E406C7">
      <w:pPr>
        <w:pStyle w:val="P68B1DB1-Normal8"/>
        <w:rPr>
          <w:noProof/>
        </w:rPr>
      </w:pPr>
      <w:r>
        <w:rPr>
          <w:noProof/>
        </w:rPr>
        <w:br w:type="page"/>
      </w:r>
    </w:p>
    <w:p w14:paraId="36C649F7" w14:textId="77777777" w:rsidR="00327FF1" w:rsidRDefault="00E406C7">
      <w:pPr>
        <w:pStyle w:val="P68B1DB1-Heading3118"/>
        <w:numPr>
          <w:ilvl w:val="0"/>
          <w:numId w:val="179"/>
        </w:numPr>
        <w:tabs>
          <w:tab w:val="clear" w:pos="850"/>
          <w:tab w:val="num" w:pos="720"/>
        </w:tabs>
        <w:ind w:left="720" w:hanging="360"/>
        <w:rPr>
          <w:bCs/>
          <w:noProof/>
        </w:rPr>
      </w:pPr>
      <w:r>
        <w:rPr>
          <w:noProof/>
        </w:rPr>
        <w:t xml:space="preserve">Aizdevuma </w:t>
      </w:r>
      <w:r>
        <w:rPr>
          <w:noProof/>
        </w:rPr>
        <w:t>atbalsts</w:t>
      </w:r>
    </w:p>
    <w:p w14:paraId="70105B99" w14:textId="77777777" w:rsidR="00327FF1" w:rsidRDefault="00E406C7">
      <w:pPr>
        <w:pStyle w:val="P68B1DB1-Normal8"/>
        <w:spacing w:before="120" w:after="120" w:line="240" w:lineRule="auto"/>
        <w:jc w:val="both"/>
        <w:rPr>
          <w:noProof/>
        </w:rPr>
      </w:pPr>
      <w:r>
        <w:rPr>
          <w:noProof/>
        </w:rPr>
        <w:t>Maksājumus, kas minēti 3. panta 2. punktā, organizē šādi:</w:t>
      </w:r>
    </w:p>
    <w:p w14:paraId="3E96F8BD" w14:textId="77777777" w:rsidR="00327FF1" w:rsidRDefault="00E406C7">
      <w:pPr>
        <w:pStyle w:val="P68B1DB1-Heading34"/>
        <w:numPr>
          <w:ilvl w:val="1"/>
          <w:numId w:val="179"/>
        </w:numPr>
        <w:tabs>
          <w:tab w:val="clear" w:pos="850"/>
          <w:tab w:val="num" w:pos="1440"/>
        </w:tabs>
        <w:ind w:left="1440" w:hanging="360"/>
        <w:rPr>
          <w:noProof/>
        </w:rPr>
      </w:pPr>
      <w:r>
        <w:rPr>
          <w:noProof/>
        </w:rPr>
        <w:t>Pirmā daļa (aizdevuma atbalsts):</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543"/>
        <w:gridCol w:w="1418"/>
        <w:gridCol w:w="2963"/>
      </w:tblGrid>
      <w:tr w:rsidR="00327FF1" w14:paraId="4B745182" w14:textId="77777777">
        <w:trPr>
          <w:trHeight w:val="900"/>
          <w:tblHeader/>
        </w:trPr>
        <w:tc>
          <w:tcPr>
            <w:tcW w:w="1435" w:type="dxa"/>
            <w:vMerge w:val="restart"/>
            <w:shd w:val="clear" w:color="auto" w:fill="BDD7EE"/>
            <w:tcMar>
              <w:left w:w="108" w:type="dxa"/>
              <w:right w:w="108" w:type="dxa"/>
            </w:tcMar>
            <w:vAlign w:val="center"/>
          </w:tcPr>
          <w:p w14:paraId="40D143C0" w14:textId="77777777" w:rsidR="00327FF1" w:rsidRDefault="00E406C7">
            <w:pPr>
              <w:pStyle w:val="P68B1DB1-Normal120"/>
              <w:spacing w:after="0" w:line="240" w:lineRule="auto"/>
              <w:jc w:val="center"/>
              <w:rPr>
                <w:noProof/>
              </w:rPr>
            </w:pPr>
            <w:r>
              <w:rPr>
                <w:noProof/>
              </w:rPr>
              <w:t>Kārtas numurs</w:t>
            </w:r>
          </w:p>
        </w:tc>
        <w:tc>
          <w:tcPr>
            <w:tcW w:w="3543" w:type="dxa"/>
            <w:vMerge w:val="restart"/>
            <w:shd w:val="clear" w:color="auto" w:fill="BDD7EE"/>
            <w:tcMar>
              <w:left w:w="108" w:type="dxa"/>
              <w:right w:w="108" w:type="dxa"/>
            </w:tcMar>
            <w:vAlign w:val="center"/>
          </w:tcPr>
          <w:p w14:paraId="3720F577" w14:textId="77777777" w:rsidR="00327FF1" w:rsidRDefault="00E406C7">
            <w:pPr>
              <w:pStyle w:val="P68B1DB1-Normal120"/>
              <w:spacing w:after="0" w:line="240" w:lineRule="auto"/>
              <w:jc w:val="center"/>
              <w:rPr>
                <w:noProof/>
              </w:rPr>
            </w:pPr>
            <w:r>
              <w:rPr>
                <w:noProof/>
              </w:rPr>
              <w:t>Saistītais pasākums (reforma vai ieguldījums)</w:t>
            </w:r>
          </w:p>
        </w:tc>
        <w:tc>
          <w:tcPr>
            <w:tcW w:w="1418" w:type="dxa"/>
            <w:vMerge w:val="restart"/>
            <w:shd w:val="clear" w:color="auto" w:fill="BDD7EE"/>
            <w:tcMar>
              <w:left w:w="108" w:type="dxa"/>
              <w:right w:w="108" w:type="dxa"/>
            </w:tcMar>
            <w:vAlign w:val="center"/>
          </w:tcPr>
          <w:p w14:paraId="0675B279" w14:textId="77777777" w:rsidR="00327FF1" w:rsidRDefault="00E406C7">
            <w:pPr>
              <w:pStyle w:val="P68B1DB1-Normal120"/>
              <w:spacing w:after="0" w:line="240" w:lineRule="auto"/>
              <w:jc w:val="center"/>
              <w:rPr>
                <w:noProof/>
              </w:rPr>
            </w:pPr>
            <w:r>
              <w:rPr>
                <w:noProof/>
              </w:rPr>
              <w:t>Atskaites punkts/mērķrādītājs</w:t>
            </w:r>
          </w:p>
        </w:tc>
        <w:tc>
          <w:tcPr>
            <w:tcW w:w="2963" w:type="dxa"/>
            <w:vMerge w:val="restart"/>
            <w:shd w:val="clear" w:color="auto" w:fill="BDD7EE"/>
            <w:tcMar>
              <w:left w:w="108" w:type="dxa"/>
              <w:right w:w="108" w:type="dxa"/>
            </w:tcMar>
            <w:vAlign w:val="center"/>
          </w:tcPr>
          <w:p w14:paraId="6C4C7012" w14:textId="77777777" w:rsidR="00327FF1" w:rsidRDefault="00E406C7">
            <w:pPr>
              <w:pStyle w:val="P68B1DB1-Normal120"/>
              <w:spacing w:after="0" w:line="240" w:lineRule="auto"/>
              <w:jc w:val="center"/>
              <w:rPr>
                <w:noProof/>
              </w:rPr>
            </w:pPr>
            <w:r>
              <w:rPr>
                <w:noProof/>
              </w:rPr>
              <w:t>Nosaukums</w:t>
            </w:r>
          </w:p>
        </w:tc>
      </w:tr>
      <w:tr w:rsidR="00327FF1" w14:paraId="0683A1F2" w14:textId="77777777">
        <w:trPr>
          <w:trHeight w:val="510"/>
        </w:trPr>
        <w:tc>
          <w:tcPr>
            <w:tcW w:w="1435" w:type="dxa"/>
            <w:vMerge/>
            <w:vAlign w:val="center"/>
          </w:tcPr>
          <w:p w14:paraId="4867C284" w14:textId="77777777" w:rsidR="00327FF1" w:rsidRDefault="00327FF1">
            <w:pPr>
              <w:spacing w:after="0" w:line="240" w:lineRule="auto"/>
              <w:jc w:val="center"/>
              <w:rPr>
                <w:rFonts w:ascii="Times New Roman" w:eastAsia="Times New Roman" w:hAnsi="Times New Roman" w:cs="Times New Roman"/>
                <w:noProof/>
              </w:rPr>
            </w:pPr>
          </w:p>
        </w:tc>
        <w:tc>
          <w:tcPr>
            <w:tcW w:w="3543" w:type="dxa"/>
            <w:vMerge/>
            <w:vAlign w:val="center"/>
          </w:tcPr>
          <w:p w14:paraId="4F9E1712" w14:textId="77777777" w:rsidR="00327FF1" w:rsidRDefault="00327FF1">
            <w:pPr>
              <w:spacing w:after="0" w:line="240" w:lineRule="auto"/>
              <w:rPr>
                <w:rFonts w:ascii="Times New Roman" w:eastAsia="Times New Roman" w:hAnsi="Times New Roman" w:cs="Times New Roman"/>
                <w:noProof/>
              </w:rPr>
            </w:pPr>
          </w:p>
        </w:tc>
        <w:tc>
          <w:tcPr>
            <w:tcW w:w="1418" w:type="dxa"/>
            <w:vMerge/>
            <w:vAlign w:val="center"/>
          </w:tcPr>
          <w:p w14:paraId="7EE7F490" w14:textId="77777777" w:rsidR="00327FF1" w:rsidRDefault="00327FF1">
            <w:pPr>
              <w:spacing w:after="0" w:line="240" w:lineRule="auto"/>
              <w:jc w:val="center"/>
              <w:rPr>
                <w:rFonts w:ascii="Times New Roman" w:eastAsia="Times New Roman" w:hAnsi="Times New Roman" w:cs="Times New Roman"/>
                <w:noProof/>
              </w:rPr>
            </w:pPr>
          </w:p>
        </w:tc>
        <w:tc>
          <w:tcPr>
            <w:tcW w:w="2963" w:type="dxa"/>
            <w:vMerge/>
            <w:vAlign w:val="center"/>
          </w:tcPr>
          <w:p w14:paraId="239E2F27" w14:textId="77777777" w:rsidR="00327FF1" w:rsidRDefault="00327FF1">
            <w:pPr>
              <w:spacing w:after="0" w:line="240" w:lineRule="auto"/>
              <w:rPr>
                <w:rFonts w:ascii="Times New Roman" w:eastAsia="Times New Roman" w:hAnsi="Times New Roman" w:cs="Times New Roman"/>
                <w:noProof/>
              </w:rPr>
            </w:pPr>
          </w:p>
        </w:tc>
      </w:tr>
      <w:tr w:rsidR="00327FF1" w14:paraId="3BE2F7F1" w14:textId="77777777">
        <w:trPr>
          <w:trHeight w:val="300"/>
        </w:trPr>
        <w:tc>
          <w:tcPr>
            <w:tcW w:w="1435" w:type="dxa"/>
            <w:shd w:val="clear" w:color="auto" w:fill="C6EFCE"/>
            <w:tcMar>
              <w:left w:w="108" w:type="dxa"/>
              <w:right w:w="108" w:type="dxa"/>
            </w:tcMar>
            <w:vAlign w:val="center"/>
          </w:tcPr>
          <w:p w14:paraId="02E86BED" w14:textId="77777777" w:rsidR="00327FF1" w:rsidRDefault="00E406C7">
            <w:pPr>
              <w:pStyle w:val="P68B1DB1-Normal121"/>
              <w:spacing w:after="0" w:line="240" w:lineRule="auto"/>
              <w:jc w:val="center"/>
              <w:rPr>
                <w:noProof/>
              </w:rPr>
            </w:pPr>
            <w:r>
              <w:rPr>
                <w:noProof/>
              </w:rPr>
              <w:t>M4C2–10</w:t>
            </w:r>
          </w:p>
        </w:tc>
        <w:tc>
          <w:tcPr>
            <w:tcW w:w="3543" w:type="dxa"/>
            <w:shd w:val="clear" w:color="auto" w:fill="C6EFCE"/>
            <w:tcMar>
              <w:left w:w="108" w:type="dxa"/>
              <w:right w:w="108" w:type="dxa"/>
            </w:tcMar>
            <w:vAlign w:val="center"/>
          </w:tcPr>
          <w:p w14:paraId="2981209E" w14:textId="77777777" w:rsidR="00327FF1" w:rsidRDefault="00E406C7">
            <w:pPr>
              <w:pStyle w:val="P68B1DB1-Normal121"/>
              <w:spacing w:after="0" w:line="240" w:lineRule="auto"/>
              <w:rPr>
                <w:noProof/>
              </w:rPr>
            </w:pPr>
            <w:r>
              <w:rPr>
                <w:noProof/>
              </w:rPr>
              <w:t>Investīcija 2.1: IPCEI</w:t>
            </w:r>
          </w:p>
        </w:tc>
        <w:tc>
          <w:tcPr>
            <w:tcW w:w="1418" w:type="dxa"/>
            <w:shd w:val="clear" w:color="auto" w:fill="C6EFCE"/>
            <w:tcMar>
              <w:left w:w="108" w:type="dxa"/>
              <w:right w:w="108" w:type="dxa"/>
            </w:tcMar>
            <w:vAlign w:val="center"/>
          </w:tcPr>
          <w:p w14:paraId="59CD05BF"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296251A5" w14:textId="77777777" w:rsidR="00327FF1" w:rsidRDefault="00E406C7">
            <w:pPr>
              <w:pStyle w:val="P68B1DB1-Normal121"/>
              <w:spacing w:after="0" w:line="240" w:lineRule="auto"/>
              <w:rPr>
                <w:noProof/>
              </w:rPr>
            </w:pPr>
            <w:r>
              <w:rPr>
                <w:noProof/>
              </w:rPr>
              <w:t>Izsludināt uzaicinājumu izteikt ieinteresētību, lai apzinātu valstu projektus, tostarp projektus IPCEI mikroelektronikas jomā</w:t>
            </w:r>
          </w:p>
        </w:tc>
      </w:tr>
      <w:tr w:rsidR="00327FF1" w14:paraId="73E3B733" w14:textId="77777777">
        <w:trPr>
          <w:trHeight w:val="300"/>
        </w:trPr>
        <w:tc>
          <w:tcPr>
            <w:tcW w:w="1435" w:type="dxa"/>
            <w:shd w:val="clear" w:color="auto" w:fill="C6EFCE"/>
            <w:tcMar>
              <w:left w:w="108" w:type="dxa"/>
              <w:right w:w="108" w:type="dxa"/>
            </w:tcMar>
            <w:vAlign w:val="center"/>
          </w:tcPr>
          <w:p w14:paraId="0D4E9998" w14:textId="77777777" w:rsidR="00327FF1" w:rsidRDefault="00E406C7">
            <w:pPr>
              <w:pStyle w:val="P68B1DB1-Normal121"/>
              <w:spacing w:after="0" w:line="240" w:lineRule="auto"/>
              <w:jc w:val="center"/>
              <w:rPr>
                <w:noProof/>
              </w:rPr>
            </w:pPr>
            <w:r>
              <w:rPr>
                <w:noProof/>
              </w:rPr>
              <w:t>M1C2–26</w:t>
            </w:r>
          </w:p>
        </w:tc>
        <w:tc>
          <w:tcPr>
            <w:tcW w:w="3543" w:type="dxa"/>
            <w:shd w:val="clear" w:color="auto" w:fill="C6EFCE"/>
            <w:tcMar>
              <w:left w:w="108" w:type="dxa"/>
              <w:right w:w="108" w:type="dxa"/>
            </w:tcMar>
            <w:vAlign w:val="center"/>
          </w:tcPr>
          <w:p w14:paraId="1B6702CF" w14:textId="77777777" w:rsidR="00327FF1" w:rsidRDefault="00E406C7">
            <w:pPr>
              <w:pStyle w:val="P68B1DB1-Normal121"/>
              <w:spacing w:after="0" w:line="240" w:lineRule="auto"/>
              <w:rPr>
                <w:noProof/>
              </w:rPr>
            </w:pPr>
            <w:r>
              <w:rPr>
                <w:noProof/>
              </w:rPr>
              <w:t>Ieguldījums 5.1.: SIMEST pārvaldītā fonda 394/81 refinansēšana un pārveidošana</w:t>
            </w:r>
          </w:p>
        </w:tc>
        <w:tc>
          <w:tcPr>
            <w:tcW w:w="1418" w:type="dxa"/>
            <w:shd w:val="clear" w:color="auto" w:fill="C6EFCE"/>
            <w:tcMar>
              <w:left w:w="108" w:type="dxa"/>
              <w:right w:w="108" w:type="dxa"/>
            </w:tcMar>
            <w:vAlign w:val="center"/>
          </w:tcPr>
          <w:p w14:paraId="59E38794"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08D52471" w14:textId="77777777" w:rsidR="00327FF1" w:rsidRDefault="00E406C7">
            <w:pPr>
              <w:pStyle w:val="P68B1DB1-Normal121"/>
              <w:spacing w:after="0" w:line="240" w:lineRule="auto"/>
              <w:rPr>
                <w:noProof/>
              </w:rPr>
            </w:pPr>
            <w:r>
              <w:rPr>
                <w:noProof/>
              </w:rPr>
              <w:t xml:space="preserve">Fonda 394/81 </w:t>
            </w:r>
            <w:r>
              <w:rPr>
                <w:noProof/>
              </w:rPr>
              <w:t>refinansēšanas stāšanās spēkā un ieguldījumu politikas pieņemšana</w:t>
            </w:r>
          </w:p>
        </w:tc>
      </w:tr>
      <w:tr w:rsidR="00327FF1" w14:paraId="4A5036A4" w14:textId="77777777">
        <w:trPr>
          <w:trHeight w:val="300"/>
        </w:trPr>
        <w:tc>
          <w:tcPr>
            <w:tcW w:w="1435" w:type="dxa"/>
            <w:shd w:val="clear" w:color="auto" w:fill="C6EFCE"/>
            <w:tcMar>
              <w:left w:w="108" w:type="dxa"/>
              <w:right w:w="108" w:type="dxa"/>
            </w:tcMar>
            <w:vAlign w:val="center"/>
          </w:tcPr>
          <w:p w14:paraId="01F8098E" w14:textId="77777777" w:rsidR="00327FF1" w:rsidRDefault="00E406C7">
            <w:pPr>
              <w:pStyle w:val="P68B1DB1-Normal121"/>
              <w:spacing w:after="0" w:line="240" w:lineRule="auto"/>
              <w:jc w:val="center"/>
              <w:rPr>
                <w:noProof/>
              </w:rPr>
            </w:pPr>
            <w:r>
              <w:rPr>
                <w:noProof/>
              </w:rPr>
              <w:t>M2C1–14</w:t>
            </w:r>
          </w:p>
        </w:tc>
        <w:tc>
          <w:tcPr>
            <w:tcW w:w="3543" w:type="dxa"/>
            <w:shd w:val="clear" w:color="auto" w:fill="C6EFCE"/>
            <w:tcMar>
              <w:left w:w="108" w:type="dxa"/>
              <w:right w:w="108" w:type="dxa"/>
            </w:tcMar>
            <w:vAlign w:val="center"/>
          </w:tcPr>
          <w:p w14:paraId="239340F6" w14:textId="77777777" w:rsidR="00327FF1" w:rsidRDefault="00E406C7">
            <w:pPr>
              <w:pStyle w:val="P68B1DB1-Normal121"/>
              <w:spacing w:after="0" w:line="240" w:lineRule="auto"/>
              <w:rPr>
                <w:noProof/>
              </w:rPr>
            </w:pPr>
            <w:r>
              <w:rPr>
                <w:noProof/>
              </w:rPr>
              <w:t>Investīcija 1.1. — Jaunu atkritumu apsaimniekošanas iekārtu ieviešana un esošo iekārtu modernizācija; Investīcija 1.2. Aprites ekonomikas pamatprojekti</w:t>
            </w:r>
          </w:p>
        </w:tc>
        <w:tc>
          <w:tcPr>
            <w:tcW w:w="1418" w:type="dxa"/>
            <w:shd w:val="clear" w:color="auto" w:fill="C6EFCE"/>
            <w:tcMar>
              <w:left w:w="108" w:type="dxa"/>
              <w:right w:w="108" w:type="dxa"/>
            </w:tcMar>
            <w:vAlign w:val="center"/>
          </w:tcPr>
          <w:p w14:paraId="632FF5EF"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41FAB721" w14:textId="77777777" w:rsidR="00327FF1" w:rsidRDefault="00E406C7">
            <w:pPr>
              <w:pStyle w:val="P68B1DB1-Normal121"/>
              <w:spacing w:after="0" w:line="240" w:lineRule="auto"/>
              <w:rPr>
                <w:noProof/>
              </w:rPr>
            </w:pPr>
            <w:r>
              <w:rPr>
                <w:noProof/>
              </w:rPr>
              <w:t xml:space="preserve">Ministrijas </w:t>
            </w:r>
            <w:r>
              <w:rPr>
                <w:noProof/>
              </w:rPr>
              <w:t>dekrēta stāšanās spēkā.</w:t>
            </w:r>
          </w:p>
        </w:tc>
      </w:tr>
      <w:tr w:rsidR="00327FF1" w14:paraId="02F33BC8" w14:textId="77777777">
        <w:trPr>
          <w:trHeight w:val="300"/>
        </w:trPr>
        <w:tc>
          <w:tcPr>
            <w:tcW w:w="1435" w:type="dxa"/>
            <w:shd w:val="clear" w:color="auto" w:fill="C6EFCE"/>
            <w:tcMar>
              <w:left w:w="108" w:type="dxa"/>
              <w:right w:w="108" w:type="dxa"/>
            </w:tcMar>
            <w:vAlign w:val="center"/>
          </w:tcPr>
          <w:p w14:paraId="024D20A0" w14:textId="77777777" w:rsidR="00327FF1" w:rsidRDefault="00E406C7">
            <w:pPr>
              <w:pStyle w:val="P68B1DB1-Normal121"/>
              <w:spacing w:after="0" w:line="240" w:lineRule="auto"/>
              <w:jc w:val="center"/>
              <w:rPr>
                <w:noProof/>
              </w:rPr>
            </w:pPr>
            <w:r>
              <w:rPr>
                <w:noProof/>
              </w:rPr>
              <w:t>M2C4–8</w:t>
            </w:r>
          </w:p>
        </w:tc>
        <w:tc>
          <w:tcPr>
            <w:tcW w:w="3543" w:type="dxa"/>
            <w:shd w:val="clear" w:color="auto" w:fill="C6EFCE"/>
            <w:tcMar>
              <w:left w:w="108" w:type="dxa"/>
              <w:right w:w="108" w:type="dxa"/>
            </w:tcMar>
            <w:vAlign w:val="center"/>
          </w:tcPr>
          <w:p w14:paraId="63E954F1" w14:textId="77777777" w:rsidR="00327FF1" w:rsidRDefault="00E406C7">
            <w:pPr>
              <w:pStyle w:val="P68B1DB1-Normal121"/>
              <w:spacing w:after="0" w:line="240" w:lineRule="auto"/>
              <w:rPr>
                <w:noProof/>
              </w:rPr>
            </w:pPr>
            <w:r>
              <w:rPr>
                <w:noProof/>
              </w:rPr>
              <w:t>Investīcijas Nr. 1.1. Progresīvas un integrētas uzraudzības un prognozēšanas sistēmas ieviešana</w:t>
            </w:r>
          </w:p>
        </w:tc>
        <w:tc>
          <w:tcPr>
            <w:tcW w:w="1418" w:type="dxa"/>
            <w:shd w:val="clear" w:color="auto" w:fill="C6EFCE"/>
            <w:tcMar>
              <w:left w:w="108" w:type="dxa"/>
              <w:right w:w="108" w:type="dxa"/>
            </w:tcMar>
            <w:vAlign w:val="center"/>
          </w:tcPr>
          <w:p w14:paraId="096C91F3"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2527CD14" w14:textId="77777777" w:rsidR="00327FF1" w:rsidRDefault="00E406C7">
            <w:pPr>
              <w:pStyle w:val="P68B1DB1-Normal121"/>
              <w:spacing w:after="0" w:line="240" w:lineRule="auto"/>
              <w:rPr>
                <w:noProof/>
              </w:rPr>
            </w:pPr>
            <w:r>
              <w:rPr>
                <w:noProof/>
              </w:rPr>
              <w:t xml:space="preserve">Darbības plāns progresīvai un integrētai monitoringa un prognozēšanas sistēmai hidroloģisko risku apzināšanai </w:t>
            </w:r>
          </w:p>
        </w:tc>
      </w:tr>
      <w:tr w:rsidR="00327FF1" w14:paraId="69ABE650" w14:textId="77777777">
        <w:trPr>
          <w:trHeight w:val="300"/>
        </w:trPr>
        <w:tc>
          <w:tcPr>
            <w:tcW w:w="1435" w:type="dxa"/>
            <w:shd w:val="clear" w:color="auto" w:fill="C6EFCE"/>
            <w:tcMar>
              <w:left w:w="108" w:type="dxa"/>
              <w:right w:w="108" w:type="dxa"/>
            </w:tcMar>
            <w:vAlign w:val="center"/>
          </w:tcPr>
          <w:p w14:paraId="48490E05" w14:textId="77777777" w:rsidR="00327FF1" w:rsidRDefault="00E406C7">
            <w:pPr>
              <w:pStyle w:val="P68B1DB1-Normal121"/>
              <w:spacing w:after="0" w:line="240" w:lineRule="auto"/>
              <w:jc w:val="center"/>
              <w:rPr>
                <w:noProof/>
              </w:rPr>
            </w:pPr>
            <w:r>
              <w:rPr>
                <w:noProof/>
              </w:rPr>
              <w:t>M5C1–17</w:t>
            </w:r>
          </w:p>
        </w:tc>
        <w:tc>
          <w:tcPr>
            <w:tcW w:w="3543" w:type="dxa"/>
            <w:shd w:val="clear" w:color="auto" w:fill="C6EFCE"/>
            <w:tcMar>
              <w:left w:w="108" w:type="dxa"/>
              <w:right w:w="108" w:type="dxa"/>
            </w:tcMar>
            <w:vAlign w:val="center"/>
          </w:tcPr>
          <w:p w14:paraId="35ABAFA9" w14:textId="77777777" w:rsidR="00327FF1" w:rsidRDefault="00E406C7">
            <w:pPr>
              <w:pStyle w:val="P68B1DB1-Normal121"/>
              <w:spacing w:after="0" w:line="240" w:lineRule="auto"/>
              <w:rPr>
                <w:noProof/>
              </w:rPr>
            </w:pPr>
            <w:r>
              <w:rPr>
                <w:noProof/>
              </w:rPr>
              <w:t>Investīcija Nr. 5. Sieviešu uzņēmumu izveide</w:t>
            </w:r>
          </w:p>
        </w:tc>
        <w:tc>
          <w:tcPr>
            <w:tcW w:w="1418" w:type="dxa"/>
            <w:shd w:val="clear" w:color="auto" w:fill="C6EFCE"/>
            <w:tcMar>
              <w:left w:w="108" w:type="dxa"/>
              <w:right w:w="108" w:type="dxa"/>
            </w:tcMar>
            <w:vAlign w:val="center"/>
          </w:tcPr>
          <w:p w14:paraId="167EA8B5"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141AF814" w14:textId="77777777" w:rsidR="00327FF1" w:rsidRDefault="00E406C7">
            <w:pPr>
              <w:pStyle w:val="P68B1DB1-Normal121"/>
              <w:spacing w:after="0" w:line="240" w:lineRule="auto"/>
              <w:rPr>
                <w:noProof/>
              </w:rPr>
            </w:pPr>
            <w:r>
              <w:rPr>
                <w:noProof/>
              </w:rPr>
              <w:t>Ir pieņemts fonds sieviešu uzņēmējdarbības atbalstam</w:t>
            </w:r>
          </w:p>
        </w:tc>
      </w:tr>
      <w:tr w:rsidR="00327FF1" w14:paraId="7BE0D4C4" w14:textId="77777777">
        <w:trPr>
          <w:trHeight w:val="300"/>
        </w:trPr>
        <w:tc>
          <w:tcPr>
            <w:tcW w:w="1435" w:type="dxa"/>
            <w:shd w:val="clear" w:color="auto" w:fill="C6EFCE"/>
            <w:tcMar>
              <w:left w:w="108" w:type="dxa"/>
              <w:right w:w="108" w:type="dxa"/>
            </w:tcMar>
            <w:vAlign w:val="center"/>
          </w:tcPr>
          <w:p w14:paraId="02AF7D1C" w14:textId="77777777" w:rsidR="00327FF1" w:rsidRDefault="00E406C7">
            <w:pPr>
              <w:pStyle w:val="P68B1DB1-Normal121"/>
              <w:spacing w:after="0" w:line="240" w:lineRule="auto"/>
              <w:jc w:val="center"/>
              <w:rPr>
                <w:noProof/>
              </w:rPr>
            </w:pPr>
            <w:r>
              <w:rPr>
                <w:noProof/>
              </w:rPr>
              <w:t>M1C2–27</w:t>
            </w:r>
          </w:p>
        </w:tc>
        <w:tc>
          <w:tcPr>
            <w:tcW w:w="3543" w:type="dxa"/>
            <w:shd w:val="clear" w:color="auto" w:fill="C6EFCE"/>
            <w:tcMar>
              <w:left w:w="108" w:type="dxa"/>
              <w:right w:w="108" w:type="dxa"/>
            </w:tcMar>
            <w:vAlign w:val="center"/>
          </w:tcPr>
          <w:p w14:paraId="215F39D2" w14:textId="77777777" w:rsidR="00327FF1" w:rsidRDefault="00E406C7">
            <w:pPr>
              <w:pStyle w:val="P68B1DB1-Normal121"/>
              <w:spacing w:after="0" w:line="240" w:lineRule="auto"/>
              <w:rPr>
                <w:noProof/>
              </w:rPr>
            </w:pPr>
            <w:r>
              <w:rPr>
                <w:noProof/>
              </w:rPr>
              <w:t>Ieguldījums 5.1.: SIMEST pārvaldītā fonda 394/81 refinansēšana un pārveidošana</w:t>
            </w:r>
          </w:p>
        </w:tc>
        <w:tc>
          <w:tcPr>
            <w:tcW w:w="1418" w:type="dxa"/>
            <w:shd w:val="clear" w:color="auto" w:fill="C6EFCE"/>
            <w:tcMar>
              <w:left w:w="108" w:type="dxa"/>
              <w:right w:w="108" w:type="dxa"/>
            </w:tcMar>
            <w:vAlign w:val="center"/>
          </w:tcPr>
          <w:p w14:paraId="5D39EBEE" w14:textId="77777777" w:rsidR="00327FF1" w:rsidRDefault="00E406C7">
            <w:pPr>
              <w:pStyle w:val="P68B1DB1-Normal121"/>
              <w:spacing w:after="0" w:line="240" w:lineRule="auto"/>
              <w:jc w:val="center"/>
              <w:rPr>
                <w:noProof/>
              </w:rPr>
            </w:pPr>
            <w:r>
              <w:rPr>
                <w:noProof/>
              </w:rPr>
              <w:t>Mērķa</w:t>
            </w:r>
          </w:p>
        </w:tc>
        <w:tc>
          <w:tcPr>
            <w:tcW w:w="2963" w:type="dxa"/>
            <w:shd w:val="clear" w:color="auto" w:fill="C6EFCE"/>
            <w:tcMar>
              <w:left w:w="108" w:type="dxa"/>
              <w:right w:w="108" w:type="dxa"/>
            </w:tcMar>
            <w:vAlign w:val="center"/>
          </w:tcPr>
          <w:p w14:paraId="121CF49D" w14:textId="77777777" w:rsidR="00327FF1" w:rsidRDefault="00E406C7">
            <w:pPr>
              <w:pStyle w:val="P68B1DB1-Normal121"/>
              <w:spacing w:after="0" w:line="240" w:lineRule="auto"/>
              <w:rPr>
                <w:noProof/>
              </w:rPr>
            </w:pPr>
            <w:r>
              <w:rPr>
                <w:noProof/>
              </w:rPr>
              <w:t xml:space="preserve">MVU, kas saņēmuši atbalstu no fonda </w:t>
            </w:r>
            <w:r>
              <w:rPr>
                <w:noProof/>
              </w:rPr>
              <w:t>394/81</w:t>
            </w:r>
          </w:p>
        </w:tc>
      </w:tr>
      <w:tr w:rsidR="00327FF1" w14:paraId="5A549856" w14:textId="77777777">
        <w:trPr>
          <w:trHeight w:val="300"/>
        </w:trPr>
        <w:tc>
          <w:tcPr>
            <w:tcW w:w="1435" w:type="dxa"/>
            <w:shd w:val="clear" w:color="auto" w:fill="C6EFCE"/>
            <w:tcMar>
              <w:left w:w="108" w:type="dxa"/>
              <w:right w:w="108" w:type="dxa"/>
            </w:tcMar>
            <w:vAlign w:val="center"/>
          </w:tcPr>
          <w:p w14:paraId="7B4F6A12" w14:textId="77777777" w:rsidR="00327FF1" w:rsidRDefault="00E406C7">
            <w:pPr>
              <w:pStyle w:val="P68B1DB1-Normal121"/>
              <w:spacing w:after="0" w:line="240" w:lineRule="auto"/>
              <w:jc w:val="center"/>
              <w:rPr>
                <w:noProof/>
              </w:rPr>
            </w:pPr>
            <w:r>
              <w:rPr>
                <w:noProof/>
              </w:rPr>
              <w:t>M1C3–22</w:t>
            </w:r>
          </w:p>
        </w:tc>
        <w:tc>
          <w:tcPr>
            <w:tcW w:w="3543" w:type="dxa"/>
            <w:shd w:val="clear" w:color="auto" w:fill="C6EFCE"/>
            <w:tcMar>
              <w:left w:w="108" w:type="dxa"/>
              <w:right w:w="108" w:type="dxa"/>
            </w:tcMar>
            <w:vAlign w:val="center"/>
          </w:tcPr>
          <w:p w14:paraId="30A532F2" w14:textId="0BA9873B" w:rsidR="00327FF1" w:rsidRDefault="00E406C7">
            <w:pPr>
              <w:pStyle w:val="P68B1DB1-Normal121"/>
              <w:spacing w:after="0" w:line="240" w:lineRule="auto"/>
              <w:rPr>
                <w:noProof/>
              </w:rPr>
            </w:pPr>
            <w:r>
              <w:rPr>
                <w:noProof/>
              </w:rPr>
              <w:t xml:space="preserve">Ieguldījums 4.2. Fonds tūrisma uzņēmuma konkurētspējai </w:t>
            </w:r>
          </w:p>
        </w:tc>
        <w:tc>
          <w:tcPr>
            <w:tcW w:w="1418" w:type="dxa"/>
            <w:shd w:val="clear" w:color="auto" w:fill="C6EFCE"/>
            <w:tcMar>
              <w:left w:w="108" w:type="dxa"/>
              <w:right w:w="108" w:type="dxa"/>
            </w:tcMar>
            <w:vAlign w:val="center"/>
          </w:tcPr>
          <w:p w14:paraId="4CA031E0"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38A62E8D" w14:textId="34466550" w:rsidR="00327FF1" w:rsidRDefault="00E406C7">
            <w:pPr>
              <w:pStyle w:val="P68B1DB1-Normal121"/>
              <w:spacing w:after="0" w:line="240" w:lineRule="auto"/>
              <w:rPr>
                <w:noProof/>
              </w:rPr>
            </w:pPr>
            <w:r>
              <w:rPr>
                <w:noProof/>
              </w:rPr>
              <w:t xml:space="preserve">Ieguldījumu politika attiecībā uz: Eiropas Investīciju bankas tematiskais fonds;  </w:t>
            </w:r>
          </w:p>
        </w:tc>
      </w:tr>
      <w:tr w:rsidR="00327FF1" w14:paraId="331FCB95" w14:textId="77777777">
        <w:trPr>
          <w:trHeight w:val="300"/>
        </w:trPr>
        <w:tc>
          <w:tcPr>
            <w:tcW w:w="1435" w:type="dxa"/>
            <w:shd w:val="clear" w:color="auto" w:fill="C6EFCE"/>
            <w:tcMar>
              <w:left w:w="108" w:type="dxa"/>
              <w:right w:w="108" w:type="dxa"/>
            </w:tcMar>
            <w:vAlign w:val="center"/>
          </w:tcPr>
          <w:p w14:paraId="7A64EF29" w14:textId="77777777" w:rsidR="00327FF1" w:rsidRDefault="00E406C7">
            <w:pPr>
              <w:pStyle w:val="P68B1DB1-Normal121"/>
              <w:spacing w:after="0" w:line="240" w:lineRule="auto"/>
              <w:jc w:val="center"/>
              <w:rPr>
                <w:noProof/>
              </w:rPr>
            </w:pPr>
            <w:r>
              <w:rPr>
                <w:noProof/>
              </w:rPr>
              <w:t>M1C3–23</w:t>
            </w:r>
          </w:p>
        </w:tc>
        <w:tc>
          <w:tcPr>
            <w:tcW w:w="3543" w:type="dxa"/>
            <w:shd w:val="clear" w:color="auto" w:fill="C6EFCE"/>
            <w:tcMar>
              <w:left w:w="108" w:type="dxa"/>
              <w:right w:w="108" w:type="dxa"/>
            </w:tcMar>
            <w:vAlign w:val="center"/>
          </w:tcPr>
          <w:p w14:paraId="0D37E285" w14:textId="77777777" w:rsidR="00327FF1" w:rsidRDefault="00E406C7">
            <w:pPr>
              <w:pStyle w:val="P68B1DB1-Normal121"/>
              <w:spacing w:after="0" w:line="240" w:lineRule="auto"/>
              <w:rPr>
                <w:noProof/>
              </w:rPr>
            </w:pPr>
            <w:r>
              <w:rPr>
                <w:noProof/>
              </w:rPr>
              <w:t xml:space="preserve">Ieguldījums 4.2.:  Līdzekļi tūrisma uzņēmumu konkurētspējai </w:t>
            </w:r>
          </w:p>
        </w:tc>
        <w:tc>
          <w:tcPr>
            <w:tcW w:w="1418" w:type="dxa"/>
            <w:shd w:val="clear" w:color="auto" w:fill="C6EFCE"/>
            <w:tcMar>
              <w:left w:w="108" w:type="dxa"/>
              <w:right w:w="108" w:type="dxa"/>
            </w:tcMar>
            <w:vAlign w:val="center"/>
          </w:tcPr>
          <w:p w14:paraId="33F9CE13" w14:textId="77777777" w:rsidR="00327FF1" w:rsidRDefault="00E406C7">
            <w:pPr>
              <w:pStyle w:val="P68B1DB1-Normal121"/>
              <w:spacing w:after="0" w:line="240" w:lineRule="auto"/>
              <w:jc w:val="center"/>
              <w:rPr>
                <w:noProof/>
              </w:rPr>
            </w:pPr>
            <w:r>
              <w:rPr>
                <w:noProof/>
              </w:rPr>
              <w:t>Atskaites punk</w:t>
            </w:r>
            <w:r>
              <w:rPr>
                <w:noProof/>
              </w:rPr>
              <w:t>ts</w:t>
            </w:r>
          </w:p>
        </w:tc>
        <w:tc>
          <w:tcPr>
            <w:tcW w:w="2963" w:type="dxa"/>
            <w:shd w:val="clear" w:color="auto" w:fill="C6EFCE"/>
            <w:tcMar>
              <w:left w:w="108" w:type="dxa"/>
              <w:right w:w="108" w:type="dxa"/>
            </w:tcMar>
            <w:vAlign w:val="center"/>
          </w:tcPr>
          <w:p w14:paraId="11638CDE" w14:textId="77777777" w:rsidR="00327FF1" w:rsidRDefault="00E406C7">
            <w:pPr>
              <w:pStyle w:val="P68B1DB1-Normal121"/>
              <w:spacing w:after="0" w:line="240" w:lineRule="auto"/>
              <w:rPr>
                <w:noProof/>
              </w:rPr>
            </w:pPr>
            <w:r>
              <w:rPr>
                <w:noProof/>
              </w:rPr>
              <w:t xml:space="preserve">Ieguldījumu politika Valsts tūrisma fondam, </w:t>
            </w:r>
          </w:p>
        </w:tc>
      </w:tr>
      <w:tr w:rsidR="00327FF1" w14:paraId="21D10B4C" w14:textId="77777777">
        <w:trPr>
          <w:trHeight w:val="300"/>
        </w:trPr>
        <w:tc>
          <w:tcPr>
            <w:tcW w:w="1435" w:type="dxa"/>
            <w:shd w:val="clear" w:color="auto" w:fill="C6EFCE"/>
            <w:tcMar>
              <w:left w:w="108" w:type="dxa"/>
              <w:right w:w="108" w:type="dxa"/>
            </w:tcMar>
            <w:vAlign w:val="center"/>
          </w:tcPr>
          <w:p w14:paraId="65D1F00A" w14:textId="77777777" w:rsidR="00327FF1" w:rsidRDefault="00E406C7">
            <w:pPr>
              <w:pStyle w:val="P68B1DB1-Normal121"/>
              <w:spacing w:after="0" w:line="240" w:lineRule="auto"/>
              <w:jc w:val="center"/>
              <w:rPr>
                <w:noProof/>
              </w:rPr>
            </w:pPr>
            <w:r>
              <w:rPr>
                <w:noProof/>
              </w:rPr>
              <w:t>M1C3–24</w:t>
            </w:r>
          </w:p>
        </w:tc>
        <w:tc>
          <w:tcPr>
            <w:tcW w:w="3543" w:type="dxa"/>
            <w:shd w:val="clear" w:color="auto" w:fill="C6EFCE"/>
            <w:tcMar>
              <w:left w:w="108" w:type="dxa"/>
              <w:right w:w="108" w:type="dxa"/>
            </w:tcMar>
            <w:vAlign w:val="center"/>
          </w:tcPr>
          <w:p w14:paraId="41F29277" w14:textId="01B59BC2" w:rsidR="00327FF1" w:rsidRDefault="00E406C7">
            <w:pPr>
              <w:pStyle w:val="P68B1DB1-Normal121"/>
              <w:spacing w:after="0" w:line="240" w:lineRule="auto"/>
              <w:rPr>
                <w:noProof/>
              </w:rPr>
            </w:pPr>
            <w:r>
              <w:rPr>
                <w:noProof/>
              </w:rPr>
              <w:t xml:space="preserve">Investīcija 4.2. Fonds tūrisma uzņēmumu konkurētspējai </w:t>
            </w:r>
          </w:p>
        </w:tc>
        <w:tc>
          <w:tcPr>
            <w:tcW w:w="1418" w:type="dxa"/>
            <w:shd w:val="clear" w:color="auto" w:fill="C6EFCE"/>
            <w:tcMar>
              <w:left w:w="108" w:type="dxa"/>
              <w:right w:w="108" w:type="dxa"/>
            </w:tcMar>
            <w:vAlign w:val="center"/>
          </w:tcPr>
          <w:p w14:paraId="11E9A91D"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4C0974C2" w14:textId="77777777" w:rsidR="00327FF1" w:rsidRDefault="00E406C7">
            <w:pPr>
              <w:pStyle w:val="P68B1DB1-Normal121"/>
              <w:spacing w:after="0" w:line="240" w:lineRule="auto"/>
              <w:rPr>
                <w:noProof/>
              </w:rPr>
            </w:pPr>
            <w:r>
              <w:rPr>
                <w:noProof/>
              </w:rPr>
              <w:t>Ieguldījumu politika attiecībā uz: MVU garantiju fonds,</w:t>
            </w:r>
          </w:p>
        </w:tc>
      </w:tr>
      <w:tr w:rsidR="00327FF1" w14:paraId="45BADD0B" w14:textId="77777777">
        <w:trPr>
          <w:trHeight w:val="300"/>
        </w:trPr>
        <w:tc>
          <w:tcPr>
            <w:tcW w:w="1435" w:type="dxa"/>
            <w:shd w:val="clear" w:color="auto" w:fill="C6EFCE"/>
            <w:tcMar>
              <w:left w:w="108" w:type="dxa"/>
              <w:right w:w="108" w:type="dxa"/>
            </w:tcMar>
            <w:vAlign w:val="center"/>
          </w:tcPr>
          <w:p w14:paraId="6BAB2DC3" w14:textId="77777777" w:rsidR="00327FF1" w:rsidRDefault="00E406C7">
            <w:pPr>
              <w:pStyle w:val="P68B1DB1-Normal121"/>
              <w:spacing w:after="0" w:line="240" w:lineRule="auto"/>
              <w:jc w:val="center"/>
              <w:rPr>
                <w:noProof/>
              </w:rPr>
            </w:pPr>
            <w:r>
              <w:rPr>
                <w:noProof/>
              </w:rPr>
              <w:t>M1C3–25</w:t>
            </w:r>
          </w:p>
        </w:tc>
        <w:tc>
          <w:tcPr>
            <w:tcW w:w="3543" w:type="dxa"/>
            <w:shd w:val="clear" w:color="auto" w:fill="C6EFCE"/>
            <w:tcMar>
              <w:left w:w="108" w:type="dxa"/>
              <w:right w:w="108" w:type="dxa"/>
            </w:tcMar>
            <w:vAlign w:val="center"/>
          </w:tcPr>
          <w:p w14:paraId="210772CD" w14:textId="2F25133B" w:rsidR="00327FF1" w:rsidRDefault="00E406C7">
            <w:pPr>
              <w:pStyle w:val="P68B1DB1-Normal121"/>
              <w:spacing w:after="0" w:line="240" w:lineRule="auto"/>
              <w:rPr>
                <w:noProof/>
              </w:rPr>
            </w:pPr>
            <w:r>
              <w:rPr>
                <w:noProof/>
              </w:rPr>
              <w:t xml:space="preserve">Ieguldījums 4.2.: Līdzekļi tūrisma uzņēmumu konkurētspējai </w:t>
            </w:r>
          </w:p>
        </w:tc>
        <w:tc>
          <w:tcPr>
            <w:tcW w:w="1418" w:type="dxa"/>
            <w:shd w:val="clear" w:color="auto" w:fill="C6EFCE"/>
            <w:tcMar>
              <w:left w:w="108" w:type="dxa"/>
              <w:right w:w="108" w:type="dxa"/>
            </w:tcMar>
            <w:vAlign w:val="center"/>
          </w:tcPr>
          <w:p w14:paraId="35CBD7BF"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682099D8" w14:textId="77777777" w:rsidR="00327FF1" w:rsidRDefault="00E406C7">
            <w:pPr>
              <w:pStyle w:val="P68B1DB1-Normal121"/>
              <w:spacing w:after="0" w:line="240" w:lineRule="auto"/>
              <w:rPr>
                <w:noProof/>
              </w:rPr>
            </w:pPr>
            <w:r>
              <w:rPr>
                <w:noProof/>
              </w:rPr>
              <w:t xml:space="preserve">Fondo Rotativo ieguldījumu politika </w:t>
            </w:r>
          </w:p>
        </w:tc>
      </w:tr>
      <w:tr w:rsidR="00327FF1" w14:paraId="18A6ED7F" w14:textId="77777777">
        <w:trPr>
          <w:trHeight w:val="300"/>
        </w:trPr>
        <w:tc>
          <w:tcPr>
            <w:tcW w:w="1435" w:type="dxa"/>
            <w:shd w:val="clear" w:color="auto" w:fill="C6EFCE"/>
            <w:tcMar>
              <w:left w:w="108" w:type="dxa"/>
              <w:right w:w="108" w:type="dxa"/>
            </w:tcMar>
            <w:vAlign w:val="center"/>
          </w:tcPr>
          <w:p w14:paraId="2CBEC637" w14:textId="77777777" w:rsidR="00327FF1" w:rsidRDefault="00E406C7">
            <w:pPr>
              <w:pStyle w:val="P68B1DB1-Normal121"/>
              <w:spacing w:after="0" w:line="240" w:lineRule="auto"/>
              <w:jc w:val="center"/>
              <w:rPr>
                <w:noProof/>
              </w:rPr>
            </w:pPr>
            <w:r>
              <w:rPr>
                <w:noProof/>
              </w:rPr>
              <w:t>M1C3–26</w:t>
            </w:r>
          </w:p>
        </w:tc>
        <w:tc>
          <w:tcPr>
            <w:tcW w:w="3543" w:type="dxa"/>
            <w:shd w:val="clear" w:color="auto" w:fill="C6EFCE"/>
            <w:tcMar>
              <w:left w:w="108" w:type="dxa"/>
              <w:right w:w="108" w:type="dxa"/>
            </w:tcMar>
            <w:vAlign w:val="center"/>
          </w:tcPr>
          <w:p w14:paraId="2DC6EFF1" w14:textId="3C5F894A" w:rsidR="00327FF1" w:rsidRDefault="00E406C7">
            <w:pPr>
              <w:pStyle w:val="P68B1DB1-Normal121"/>
              <w:spacing w:after="0" w:line="240" w:lineRule="auto"/>
              <w:rPr>
                <w:noProof/>
              </w:rPr>
            </w:pPr>
            <w:r>
              <w:rPr>
                <w:noProof/>
              </w:rPr>
              <w:t xml:space="preserve">Ieguldījums 4.2.: Līdzekļi tūrisma uzņēmumu konkurētspējai </w:t>
            </w:r>
          </w:p>
        </w:tc>
        <w:tc>
          <w:tcPr>
            <w:tcW w:w="1418" w:type="dxa"/>
            <w:shd w:val="clear" w:color="auto" w:fill="C6EFCE"/>
            <w:tcMar>
              <w:left w:w="108" w:type="dxa"/>
              <w:right w:w="108" w:type="dxa"/>
            </w:tcMar>
            <w:vAlign w:val="center"/>
          </w:tcPr>
          <w:p w14:paraId="43EFC0B9"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5FC160AE" w14:textId="77777777" w:rsidR="00327FF1" w:rsidRDefault="00E406C7">
            <w:pPr>
              <w:pStyle w:val="P68B1DB1-Normal121"/>
              <w:spacing w:after="0" w:line="240" w:lineRule="auto"/>
              <w:rPr>
                <w:noProof/>
              </w:rPr>
            </w:pPr>
            <w:r>
              <w:rPr>
                <w:noProof/>
              </w:rPr>
              <w:t>Īstenošanas dekrēta stāšanās spēkā attiecībā uz nodokļa atlaidi izmitināšanas vietu atjaunošanai.</w:t>
            </w:r>
          </w:p>
        </w:tc>
      </w:tr>
      <w:tr w:rsidR="00327FF1" w14:paraId="4F2A8087" w14:textId="77777777">
        <w:trPr>
          <w:trHeight w:val="300"/>
        </w:trPr>
        <w:tc>
          <w:tcPr>
            <w:tcW w:w="1435" w:type="dxa"/>
            <w:shd w:val="clear" w:color="auto" w:fill="C6EFCE"/>
            <w:tcMar>
              <w:left w:w="108" w:type="dxa"/>
              <w:right w:w="108" w:type="dxa"/>
            </w:tcMar>
            <w:vAlign w:val="center"/>
          </w:tcPr>
          <w:p w14:paraId="56F1E565" w14:textId="77777777" w:rsidR="00327FF1" w:rsidRDefault="00E406C7">
            <w:pPr>
              <w:pStyle w:val="P68B1DB1-Normal121"/>
              <w:spacing w:after="0" w:line="240" w:lineRule="auto"/>
              <w:jc w:val="center"/>
              <w:rPr>
                <w:noProof/>
              </w:rPr>
            </w:pPr>
            <w:r>
              <w:rPr>
                <w:noProof/>
              </w:rPr>
              <w:t>M2C4–7</w:t>
            </w:r>
          </w:p>
        </w:tc>
        <w:tc>
          <w:tcPr>
            <w:tcW w:w="3543" w:type="dxa"/>
            <w:shd w:val="clear" w:color="auto" w:fill="C6EFCE"/>
            <w:tcMar>
              <w:left w:w="108" w:type="dxa"/>
              <w:right w:w="108" w:type="dxa"/>
            </w:tcMar>
            <w:vAlign w:val="center"/>
          </w:tcPr>
          <w:p w14:paraId="18FA3FBE" w14:textId="77777777" w:rsidR="00327FF1" w:rsidRDefault="00E406C7">
            <w:pPr>
              <w:pStyle w:val="P68B1DB1-Normal121"/>
              <w:spacing w:after="0" w:line="240" w:lineRule="auto"/>
              <w:rPr>
                <w:noProof/>
              </w:rPr>
            </w:pPr>
            <w:r>
              <w:rPr>
                <w:noProof/>
              </w:rPr>
              <w:t xml:space="preserve">Reforma </w:t>
            </w:r>
            <w:r>
              <w:rPr>
                <w:noProof/>
              </w:rPr>
              <w:t>Nr. 3.1: Valsts programmu pieņemšana gaisa piesārņojuma kontrolei</w:t>
            </w:r>
          </w:p>
        </w:tc>
        <w:tc>
          <w:tcPr>
            <w:tcW w:w="1418" w:type="dxa"/>
            <w:shd w:val="clear" w:color="auto" w:fill="C6EFCE"/>
            <w:tcMar>
              <w:left w:w="108" w:type="dxa"/>
              <w:right w:w="108" w:type="dxa"/>
            </w:tcMar>
            <w:vAlign w:val="center"/>
          </w:tcPr>
          <w:p w14:paraId="536C0CA7"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732E3815" w14:textId="77777777" w:rsidR="00327FF1" w:rsidRDefault="00E406C7">
            <w:pPr>
              <w:pStyle w:val="P68B1DB1-Normal121"/>
              <w:spacing w:after="0" w:line="240" w:lineRule="auto"/>
              <w:rPr>
                <w:noProof/>
              </w:rPr>
            </w:pPr>
            <w:r>
              <w:rPr>
                <w:noProof/>
              </w:rPr>
              <w:t>Valsts gaisa piesārņojuma kontroles programmas stāšanās spēkā</w:t>
            </w:r>
          </w:p>
        </w:tc>
      </w:tr>
      <w:tr w:rsidR="00327FF1" w14:paraId="2CE31F33" w14:textId="77777777">
        <w:trPr>
          <w:trHeight w:val="300"/>
        </w:trPr>
        <w:tc>
          <w:tcPr>
            <w:tcW w:w="1435" w:type="dxa"/>
            <w:shd w:val="clear" w:color="auto" w:fill="C6EFCE"/>
            <w:tcMar>
              <w:left w:w="108" w:type="dxa"/>
              <w:right w:w="108" w:type="dxa"/>
            </w:tcMar>
            <w:vAlign w:val="center"/>
          </w:tcPr>
          <w:p w14:paraId="2C91A179" w14:textId="77777777" w:rsidR="00327FF1" w:rsidRDefault="00E406C7">
            <w:pPr>
              <w:pStyle w:val="P68B1DB1-Normal121"/>
              <w:spacing w:after="0" w:line="240" w:lineRule="auto"/>
              <w:jc w:val="center"/>
              <w:rPr>
                <w:noProof/>
              </w:rPr>
            </w:pPr>
            <w:r>
              <w:rPr>
                <w:noProof/>
              </w:rPr>
              <w:t>M2C4–12</w:t>
            </w:r>
          </w:p>
        </w:tc>
        <w:tc>
          <w:tcPr>
            <w:tcW w:w="3543" w:type="dxa"/>
            <w:shd w:val="clear" w:color="auto" w:fill="C6EFCE"/>
            <w:tcMar>
              <w:left w:w="108" w:type="dxa"/>
              <w:right w:w="108" w:type="dxa"/>
            </w:tcMar>
            <w:vAlign w:val="center"/>
          </w:tcPr>
          <w:p w14:paraId="69EC5E0B" w14:textId="77777777" w:rsidR="00327FF1" w:rsidRDefault="00E406C7">
            <w:pPr>
              <w:pStyle w:val="P68B1DB1-Normal121"/>
              <w:spacing w:after="0" w:line="240" w:lineRule="auto"/>
              <w:rPr>
                <w:noProof/>
              </w:rPr>
            </w:pPr>
            <w:r>
              <w:rPr>
                <w:noProof/>
              </w:rPr>
              <w:t>Investīcija 2.1.b. Pasākumi plūdu un hidroģeoloģiskā riska mazināšanai</w:t>
            </w:r>
          </w:p>
        </w:tc>
        <w:tc>
          <w:tcPr>
            <w:tcW w:w="1418" w:type="dxa"/>
            <w:shd w:val="clear" w:color="auto" w:fill="C6EFCE"/>
            <w:tcMar>
              <w:left w:w="108" w:type="dxa"/>
              <w:right w:w="108" w:type="dxa"/>
            </w:tcMar>
            <w:vAlign w:val="center"/>
          </w:tcPr>
          <w:p w14:paraId="2BE0C9F4"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69B05614" w14:textId="77777777" w:rsidR="00327FF1" w:rsidRDefault="00E406C7">
            <w:pPr>
              <w:pStyle w:val="P68B1DB1-Normal121"/>
              <w:spacing w:after="0" w:line="240" w:lineRule="auto"/>
              <w:rPr>
                <w:noProof/>
              </w:rPr>
            </w:pPr>
            <w:r>
              <w:rPr>
                <w:noProof/>
              </w:rPr>
              <w:t>Pārskatītā tie</w:t>
            </w:r>
            <w:r>
              <w:rPr>
                <w:noProof/>
              </w:rPr>
              <w:t>siskā regulējuma stāšanās spēkā attiecībā uz intervencēm pret plūdiem un hidroģeoloģiskajiem riskiem</w:t>
            </w:r>
          </w:p>
        </w:tc>
      </w:tr>
      <w:tr w:rsidR="00327FF1" w14:paraId="4B0E66E5" w14:textId="77777777">
        <w:trPr>
          <w:trHeight w:val="300"/>
        </w:trPr>
        <w:tc>
          <w:tcPr>
            <w:tcW w:w="1435" w:type="dxa"/>
            <w:shd w:val="clear" w:color="auto" w:fill="C6EFCE"/>
            <w:tcMar>
              <w:left w:w="108" w:type="dxa"/>
              <w:right w:w="108" w:type="dxa"/>
            </w:tcMar>
            <w:vAlign w:val="center"/>
          </w:tcPr>
          <w:p w14:paraId="2030AA84" w14:textId="77777777" w:rsidR="00327FF1" w:rsidRDefault="00E406C7">
            <w:pPr>
              <w:pStyle w:val="P68B1DB1-Normal121"/>
              <w:spacing w:after="0" w:line="240" w:lineRule="auto"/>
              <w:jc w:val="center"/>
              <w:rPr>
                <w:noProof/>
              </w:rPr>
            </w:pPr>
            <w:r>
              <w:rPr>
                <w:noProof/>
              </w:rPr>
              <w:t>M2C4–18</w:t>
            </w:r>
          </w:p>
        </w:tc>
        <w:tc>
          <w:tcPr>
            <w:tcW w:w="3543" w:type="dxa"/>
            <w:shd w:val="clear" w:color="auto" w:fill="C6EFCE"/>
            <w:tcMar>
              <w:left w:w="108" w:type="dxa"/>
              <w:right w:w="108" w:type="dxa"/>
            </w:tcMar>
            <w:vAlign w:val="center"/>
          </w:tcPr>
          <w:p w14:paraId="060A4C45" w14:textId="77777777" w:rsidR="00327FF1" w:rsidRDefault="00E406C7">
            <w:pPr>
              <w:pStyle w:val="P68B1DB1-Normal121"/>
              <w:spacing w:after="0" w:line="240" w:lineRule="auto"/>
              <w:rPr>
                <w:noProof/>
              </w:rPr>
            </w:pPr>
            <w:r>
              <w:rPr>
                <w:noProof/>
              </w:rPr>
              <w:t>Investīcijas. 3.1. PUNKTĀ: Pilsētu un piepilsētu mežu aizsardzība un uzlabošana</w:t>
            </w:r>
          </w:p>
        </w:tc>
        <w:tc>
          <w:tcPr>
            <w:tcW w:w="1418" w:type="dxa"/>
            <w:shd w:val="clear" w:color="auto" w:fill="C6EFCE"/>
            <w:tcMar>
              <w:left w:w="108" w:type="dxa"/>
              <w:right w:w="108" w:type="dxa"/>
            </w:tcMar>
            <w:vAlign w:val="center"/>
          </w:tcPr>
          <w:p w14:paraId="541C9D06"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68C0E497" w14:textId="77777777" w:rsidR="00327FF1" w:rsidRDefault="00E406C7">
            <w:pPr>
              <w:pStyle w:val="P68B1DB1-Normal121"/>
              <w:spacing w:after="0" w:line="240" w:lineRule="auto"/>
              <w:rPr>
                <w:noProof/>
              </w:rPr>
            </w:pPr>
            <w:r>
              <w:rPr>
                <w:noProof/>
              </w:rPr>
              <w:t xml:space="preserve">Pārskatīto juridisko izmaiņu stāšanās spēkā attiecībā uz pilsētu un piepilsētu zaļo zonu aizsardzību un valorizāciju </w:t>
            </w:r>
          </w:p>
        </w:tc>
      </w:tr>
      <w:tr w:rsidR="00327FF1" w14:paraId="66DA6ADE" w14:textId="77777777">
        <w:trPr>
          <w:trHeight w:val="300"/>
        </w:trPr>
        <w:tc>
          <w:tcPr>
            <w:tcW w:w="1435" w:type="dxa"/>
            <w:shd w:val="clear" w:color="auto" w:fill="C6EFCE"/>
            <w:tcMar>
              <w:left w:w="108" w:type="dxa"/>
              <w:right w:w="108" w:type="dxa"/>
            </w:tcMar>
            <w:vAlign w:val="center"/>
          </w:tcPr>
          <w:p w14:paraId="028E4A91" w14:textId="77777777" w:rsidR="00327FF1" w:rsidRDefault="00E406C7">
            <w:pPr>
              <w:pStyle w:val="P68B1DB1-Normal121"/>
              <w:spacing w:after="0" w:line="240" w:lineRule="auto"/>
              <w:jc w:val="center"/>
              <w:rPr>
                <w:noProof/>
              </w:rPr>
            </w:pPr>
            <w:r>
              <w:rPr>
                <w:noProof/>
              </w:rPr>
              <w:t>M3C1–1</w:t>
            </w:r>
          </w:p>
        </w:tc>
        <w:tc>
          <w:tcPr>
            <w:tcW w:w="3543" w:type="dxa"/>
            <w:shd w:val="clear" w:color="auto" w:fill="C6EFCE"/>
            <w:tcMar>
              <w:left w:w="108" w:type="dxa"/>
              <w:right w:w="108" w:type="dxa"/>
            </w:tcMar>
            <w:vAlign w:val="center"/>
          </w:tcPr>
          <w:p w14:paraId="27CF5B51" w14:textId="77777777" w:rsidR="00327FF1" w:rsidRDefault="00E406C7">
            <w:pPr>
              <w:pStyle w:val="P68B1DB1-Normal121"/>
              <w:spacing w:after="0" w:line="240" w:lineRule="auto"/>
              <w:rPr>
                <w:noProof/>
              </w:rPr>
            </w:pPr>
            <w:r>
              <w:rPr>
                <w:noProof/>
              </w:rPr>
              <w:t>Reforma. Paātrināt MIT un RFI līguma apstiprināšanas procesu</w:t>
            </w:r>
          </w:p>
        </w:tc>
        <w:tc>
          <w:tcPr>
            <w:tcW w:w="1418" w:type="dxa"/>
            <w:shd w:val="clear" w:color="auto" w:fill="C6EFCE"/>
            <w:tcMar>
              <w:left w:w="108" w:type="dxa"/>
              <w:right w:w="108" w:type="dxa"/>
            </w:tcMar>
            <w:vAlign w:val="center"/>
          </w:tcPr>
          <w:p w14:paraId="58EF0692"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64DBFF34" w14:textId="77777777" w:rsidR="00327FF1" w:rsidRDefault="00E406C7">
            <w:pPr>
              <w:pStyle w:val="P68B1DB1-Normal121"/>
              <w:spacing w:after="0" w:line="240" w:lineRule="auto"/>
              <w:rPr>
                <w:noProof/>
              </w:rPr>
            </w:pPr>
            <w:r>
              <w:rPr>
                <w:noProof/>
              </w:rPr>
              <w:t>Stājas spēkā tiesību akta grozījums par Contratti di</w:t>
            </w:r>
            <w:r>
              <w:rPr>
                <w:noProof/>
              </w:rPr>
              <w:t xml:space="preserve"> Programma (CdP) apstiprināšanas procesu</w:t>
            </w:r>
          </w:p>
        </w:tc>
      </w:tr>
      <w:tr w:rsidR="00327FF1" w14:paraId="4193241E" w14:textId="77777777">
        <w:trPr>
          <w:trHeight w:val="300"/>
        </w:trPr>
        <w:tc>
          <w:tcPr>
            <w:tcW w:w="1435" w:type="dxa"/>
            <w:shd w:val="clear" w:color="auto" w:fill="C6EFCE"/>
            <w:tcMar>
              <w:left w:w="108" w:type="dxa"/>
              <w:right w:w="108" w:type="dxa"/>
            </w:tcMar>
            <w:vAlign w:val="center"/>
          </w:tcPr>
          <w:p w14:paraId="6442C5F3" w14:textId="77777777" w:rsidR="00327FF1" w:rsidRDefault="00E406C7">
            <w:pPr>
              <w:pStyle w:val="P68B1DB1-Normal121"/>
              <w:spacing w:after="0" w:line="240" w:lineRule="auto"/>
              <w:jc w:val="center"/>
              <w:rPr>
                <w:noProof/>
              </w:rPr>
            </w:pPr>
            <w:r>
              <w:rPr>
                <w:noProof/>
              </w:rPr>
              <w:t>M3C1–2</w:t>
            </w:r>
          </w:p>
        </w:tc>
        <w:tc>
          <w:tcPr>
            <w:tcW w:w="3543" w:type="dxa"/>
            <w:shd w:val="clear" w:color="auto" w:fill="C6EFCE"/>
            <w:tcMar>
              <w:left w:w="108" w:type="dxa"/>
              <w:right w:w="108" w:type="dxa"/>
            </w:tcMar>
            <w:vAlign w:val="center"/>
          </w:tcPr>
          <w:p w14:paraId="70B0EC6B" w14:textId="77777777" w:rsidR="00327FF1" w:rsidRDefault="00E406C7">
            <w:pPr>
              <w:pStyle w:val="P68B1DB1-Normal121"/>
              <w:spacing w:after="0" w:line="240" w:lineRule="auto"/>
              <w:rPr>
                <w:noProof/>
              </w:rPr>
            </w:pPr>
            <w:r>
              <w:rPr>
                <w:noProof/>
              </w:rPr>
              <w:t>Reforma. Projektu apstiprināšanas procesa paātrināšana</w:t>
            </w:r>
          </w:p>
        </w:tc>
        <w:tc>
          <w:tcPr>
            <w:tcW w:w="1418" w:type="dxa"/>
            <w:shd w:val="clear" w:color="auto" w:fill="C6EFCE"/>
            <w:tcMar>
              <w:left w:w="108" w:type="dxa"/>
              <w:right w:w="108" w:type="dxa"/>
            </w:tcMar>
            <w:vAlign w:val="center"/>
          </w:tcPr>
          <w:p w14:paraId="4E6AA959"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6CEFAB7F" w14:textId="77777777" w:rsidR="00327FF1" w:rsidRDefault="00E406C7">
            <w:pPr>
              <w:pStyle w:val="P68B1DB1-Normal121"/>
              <w:spacing w:after="0" w:line="240" w:lineRule="auto"/>
              <w:rPr>
                <w:noProof/>
              </w:rPr>
            </w:pPr>
            <w:r>
              <w:rPr>
                <w:noProof/>
              </w:rPr>
              <w:t>Tādu regulatīvo izmaiņu stāšanās spēkā, kas samazina projektu atļaušanas laiku no 11 mēnešiem uz sešiem mēnešiem</w:t>
            </w:r>
          </w:p>
        </w:tc>
      </w:tr>
      <w:tr w:rsidR="00327FF1" w14:paraId="4E72E771" w14:textId="77777777">
        <w:trPr>
          <w:trHeight w:val="300"/>
        </w:trPr>
        <w:tc>
          <w:tcPr>
            <w:tcW w:w="1435" w:type="dxa"/>
            <w:shd w:val="clear" w:color="auto" w:fill="C6EFCE"/>
            <w:tcMar>
              <w:left w:w="108" w:type="dxa"/>
              <w:right w:w="108" w:type="dxa"/>
            </w:tcMar>
            <w:vAlign w:val="center"/>
          </w:tcPr>
          <w:p w14:paraId="44DD6BD7" w14:textId="77777777" w:rsidR="00327FF1" w:rsidRDefault="00E406C7">
            <w:pPr>
              <w:pStyle w:val="P68B1DB1-Normal121"/>
              <w:spacing w:after="0" w:line="240" w:lineRule="auto"/>
              <w:jc w:val="center"/>
              <w:rPr>
                <w:noProof/>
              </w:rPr>
            </w:pPr>
            <w:r>
              <w:rPr>
                <w:noProof/>
              </w:rPr>
              <w:t>M3C1–21</w:t>
            </w:r>
          </w:p>
        </w:tc>
        <w:tc>
          <w:tcPr>
            <w:tcW w:w="3543" w:type="dxa"/>
            <w:shd w:val="clear" w:color="auto" w:fill="C6EFCE"/>
            <w:tcMar>
              <w:left w:w="108" w:type="dxa"/>
              <w:right w:w="108" w:type="dxa"/>
            </w:tcMar>
            <w:vAlign w:val="center"/>
          </w:tcPr>
          <w:p w14:paraId="7D7EE1E1" w14:textId="77777777" w:rsidR="00327FF1" w:rsidRDefault="00E406C7">
            <w:pPr>
              <w:pStyle w:val="P68B1DB1-Normal121"/>
              <w:spacing w:after="0" w:line="240" w:lineRule="auto"/>
              <w:rPr>
                <w:noProof/>
              </w:rPr>
            </w:pPr>
            <w:r>
              <w:rPr>
                <w:noProof/>
              </w:rPr>
              <w:t xml:space="preserve">Reforma Nr. </w:t>
            </w:r>
            <w:r>
              <w:rPr>
                <w:noProof/>
              </w:rPr>
              <w:t>2.1. — nesen pieņemtā “Dekrēta vienkāršošanas” īstenošana (kas pārveidota par 2020. gada 11. septembra Likumu Nr. 120), izdodot dekrētu par “Vadlīnijas risku klasificēšanai un pārvaldībai, drošības novērtēšanai un esošo tiltu uzraudzībai”</w:t>
            </w:r>
          </w:p>
        </w:tc>
        <w:tc>
          <w:tcPr>
            <w:tcW w:w="1418" w:type="dxa"/>
            <w:shd w:val="clear" w:color="auto" w:fill="C6EFCE"/>
            <w:tcMar>
              <w:left w:w="108" w:type="dxa"/>
              <w:right w:w="108" w:type="dxa"/>
            </w:tcMar>
            <w:vAlign w:val="center"/>
          </w:tcPr>
          <w:p w14:paraId="07AC7F96"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7FA740EE" w14:textId="77777777" w:rsidR="00327FF1" w:rsidRDefault="00E406C7">
            <w:pPr>
              <w:pStyle w:val="P68B1DB1-Normal121"/>
              <w:spacing w:after="0" w:line="240" w:lineRule="auto"/>
              <w:rPr>
                <w:noProof/>
              </w:rPr>
            </w:pPr>
            <w:r>
              <w:rPr>
                <w:noProof/>
              </w:rPr>
              <w:t>Stājas spēkā “Vadlīnijas risku klasifikācijai un pārvaldībai, drošības novērtēšanai un esošo tiltu uzraudzībai”</w:t>
            </w:r>
          </w:p>
        </w:tc>
      </w:tr>
      <w:tr w:rsidR="00327FF1" w14:paraId="6272CF69" w14:textId="77777777">
        <w:trPr>
          <w:trHeight w:val="300"/>
        </w:trPr>
        <w:tc>
          <w:tcPr>
            <w:tcW w:w="1435" w:type="dxa"/>
            <w:shd w:val="clear" w:color="auto" w:fill="C6EFCE"/>
            <w:tcMar>
              <w:left w:w="108" w:type="dxa"/>
              <w:right w:w="108" w:type="dxa"/>
            </w:tcMar>
            <w:vAlign w:val="center"/>
          </w:tcPr>
          <w:p w14:paraId="2925B2FE" w14:textId="77777777" w:rsidR="00327FF1" w:rsidRDefault="00E406C7">
            <w:pPr>
              <w:pStyle w:val="P68B1DB1-Normal121"/>
              <w:spacing w:after="0" w:line="240" w:lineRule="auto"/>
              <w:jc w:val="center"/>
              <w:rPr>
                <w:noProof/>
              </w:rPr>
            </w:pPr>
            <w:r>
              <w:rPr>
                <w:noProof/>
              </w:rPr>
              <w:t>M3C1–22</w:t>
            </w:r>
          </w:p>
        </w:tc>
        <w:tc>
          <w:tcPr>
            <w:tcW w:w="3543" w:type="dxa"/>
            <w:shd w:val="clear" w:color="auto" w:fill="C6EFCE"/>
            <w:tcMar>
              <w:left w:w="108" w:type="dxa"/>
              <w:right w:w="108" w:type="dxa"/>
            </w:tcMar>
            <w:vAlign w:val="center"/>
          </w:tcPr>
          <w:p w14:paraId="2650850E" w14:textId="77777777" w:rsidR="00327FF1" w:rsidRDefault="00E406C7">
            <w:pPr>
              <w:pStyle w:val="P68B1DB1-Normal121"/>
              <w:spacing w:after="0" w:line="240" w:lineRule="auto"/>
              <w:rPr>
                <w:noProof/>
              </w:rPr>
            </w:pPr>
            <w:r>
              <w:rPr>
                <w:noProof/>
              </w:rPr>
              <w:t>Reforma — tiltu un viaduktu īpašuma nodošana no zemāka līmeņa ceļiem uz augstāka ranga ceļiem</w:t>
            </w:r>
          </w:p>
        </w:tc>
        <w:tc>
          <w:tcPr>
            <w:tcW w:w="1418" w:type="dxa"/>
            <w:shd w:val="clear" w:color="auto" w:fill="C6EFCE"/>
            <w:tcMar>
              <w:left w:w="108" w:type="dxa"/>
              <w:right w:w="108" w:type="dxa"/>
            </w:tcMar>
            <w:vAlign w:val="center"/>
          </w:tcPr>
          <w:p w14:paraId="7A0D2833"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65CC1C9E" w14:textId="77777777" w:rsidR="00327FF1" w:rsidRDefault="00E406C7">
            <w:pPr>
              <w:pStyle w:val="P68B1DB1-Normal121"/>
              <w:spacing w:after="0" w:line="240" w:lineRule="auto"/>
              <w:rPr>
                <w:noProof/>
              </w:rPr>
            </w:pPr>
            <w:r>
              <w:rPr>
                <w:noProof/>
              </w:rPr>
              <w:t xml:space="preserve">Īpašumtiesību uz </w:t>
            </w:r>
            <w:r>
              <w:rPr>
                <w:noProof/>
              </w:rPr>
              <w:t>tiltiem, viaduktiem un pārbrauktuvēm nodošana no zemāka līmeņa ceļiem uz augstāka ranga ceļiem (automaģistrāles un valsts galvenie ceļi)</w:t>
            </w:r>
          </w:p>
        </w:tc>
      </w:tr>
      <w:tr w:rsidR="00327FF1" w14:paraId="63D4F54C" w14:textId="77777777">
        <w:trPr>
          <w:trHeight w:val="300"/>
        </w:trPr>
        <w:tc>
          <w:tcPr>
            <w:tcW w:w="1435" w:type="dxa"/>
            <w:shd w:val="clear" w:color="auto" w:fill="C6EFCE"/>
            <w:tcMar>
              <w:left w:w="108" w:type="dxa"/>
              <w:right w:w="108" w:type="dxa"/>
            </w:tcMar>
            <w:vAlign w:val="center"/>
          </w:tcPr>
          <w:p w14:paraId="698BCC34" w14:textId="77777777" w:rsidR="00327FF1" w:rsidRDefault="00E406C7">
            <w:pPr>
              <w:pStyle w:val="P68B1DB1-Normal121"/>
              <w:spacing w:after="0" w:line="240" w:lineRule="auto"/>
              <w:jc w:val="center"/>
              <w:rPr>
                <w:noProof/>
              </w:rPr>
            </w:pPr>
            <w:r>
              <w:rPr>
                <w:noProof/>
              </w:rPr>
              <w:t>M4C1–27</w:t>
            </w:r>
          </w:p>
        </w:tc>
        <w:tc>
          <w:tcPr>
            <w:tcW w:w="3543" w:type="dxa"/>
            <w:shd w:val="clear" w:color="auto" w:fill="C6EFCE"/>
            <w:tcMar>
              <w:left w:w="108" w:type="dxa"/>
              <w:right w:w="108" w:type="dxa"/>
            </w:tcMar>
            <w:vAlign w:val="center"/>
          </w:tcPr>
          <w:p w14:paraId="3325D7A9" w14:textId="77777777" w:rsidR="00327FF1" w:rsidRDefault="00E406C7">
            <w:pPr>
              <w:pStyle w:val="P68B1DB1-Normal121"/>
              <w:spacing w:after="0" w:line="240" w:lineRule="auto"/>
              <w:rPr>
                <w:noProof/>
              </w:rPr>
            </w:pPr>
            <w:r>
              <w:rPr>
                <w:noProof/>
              </w:rPr>
              <w:t>Reforma Nr. 1.7: Studentu mājokļu regulējuma reforma un ieguldījumi studentu mājokļos</w:t>
            </w:r>
          </w:p>
        </w:tc>
        <w:tc>
          <w:tcPr>
            <w:tcW w:w="1418" w:type="dxa"/>
            <w:shd w:val="clear" w:color="auto" w:fill="C6EFCE"/>
            <w:tcMar>
              <w:left w:w="108" w:type="dxa"/>
              <w:right w:w="108" w:type="dxa"/>
            </w:tcMar>
            <w:vAlign w:val="center"/>
          </w:tcPr>
          <w:p w14:paraId="4DCF3008"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2072813E" w14:textId="77777777" w:rsidR="00327FF1" w:rsidRDefault="00E406C7">
            <w:pPr>
              <w:pStyle w:val="P68B1DB1-Normal121"/>
              <w:spacing w:after="0" w:line="240" w:lineRule="auto"/>
              <w:rPr>
                <w:noProof/>
              </w:rPr>
            </w:pPr>
            <w:r>
              <w:rPr>
                <w:noProof/>
              </w:rPr>
              <w:t xml:space="preserve">Stājas </w:t>
            </w:r>
            <w:r>
              <w:rPr>
                <w:noProof/>
              </w:rPr>
              <w:t>spēkā tiesību akti, ar kuriem groza spēkā esošos noteikumus par studentu mājokļiem.</w:t>
            </w:r>
          </w:p>
        </w:tc>
      </w:tr>
      <w:tr w:rsidR="00327FF1" w14:paraId="38775009" w14:textId="77777777">
        <w:trPr>
          <w:trHeight w:val="300"/>
        </w:trPr>
        <w:tc>
          <w:tcPr>
            <w:tcW w:w="1435" w:type="dxa"/>
            <w:shd w:val="clear" w:color="auto" w:fill="C6EFCE"/>
            <w:tcMar>
              <w:left w:w="108" w:type="dxa"/>
              <w:right w:w="108" w:type="dxa"/>
            </w:tcMar>
            <w:vAlign w:val="center"/>
          </w:tcPr>
          <w:p w14:paraId="7BD35346" w14:textId="77777777" w:rsidR="00327FF1" w:rsidRDefault="00E406C7">
            <w:pPr>
              <w:pStyle w:val="P68B1DB1-Normal121"/>
              <w:spacing w:after="0" w:line="240" w:lineRule="auto"/>
              <w:jc w:val="center"/>
              <w:rPr>
                <w:noProof/>
              </w:rPr>
            </w:pPr>
            <w:r>
              <w:rPr>
                <w:noProof/>
              </w:rPr>
              <w:t>M5C3–10</w:t>
            </w:r>
          </w:p>
        </w:tc>
        <w:tc>
          <w:tcPr>
            <w:tcW w:w="3543" w:type="dxa"/>
            <w:shd w:val="clear" w:color="auto" w:fill="C6EFCE"/>
            <w:tcMar>
              <w:left w:w="108" w:type="dxa"/>
              <w:right w:w="108" w:type="dxa"/>
            </w:tcMar>
            <w:vAlign w:val="center"/>
          </w:tcPr>
          <w:p w14:paraId="752EAF7E" w14:textId="77777777" w:rsidR="00327FF1" w:rsidRDefault="00E406C7">
            <w:pPr>
              <w:pStyle w:val="P68B1DB1-Normal121"/>
              <w:spacing w:after="0" w:line="240" w:lineRule="auto"/>
              <w:rPr>
                <w:noProof/>
              </w:rPr>
            </w:pPr>
            <w:r>
              <w:rPr>
                <w:noProof/>
              </w:rPr>
              <w:t>Reforma Nr. 1: Procedūru vienkāršošana un komisāra amata nostiprināšana speciālajās ekonomiskajās zonās</w:t>
            </w:r>
          </w:p>
        </w:tc>
        <w:tc>
          <w:tcPr>
            <w:tcW w:w="1418" w:type="dxa"/>
            <w:shd w:val="clear" w:color="auto" w:fill="C6EFCE"/>
            <w:tcMar>
              <w:left w:w="108" w:type="dxa"/>
              <w:right w:w="108" w:type="dxa"/>
            </w:tcMar>
            <w:vAlign w:val="center"/>
          </w:tcPr>
          <w:p w14:paraId="1B0F79C6"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3BBF644A" w14:textId="77777777" w:rsidR="00327FF1" w:rsidRDefault="00E406C7">
            <w:pPr>
              <w:pStyle w:val="P68B1DB1-Normal121"/>
              <w:spacing w:after="0" w:line="240" w:lineRule="auto"/>
              <w:rPr>
                <w:noProof/>
              </w:rPr>
            </w:pPr>
            <w:r>
              <w:rPr>
                <w:noProof/>
              </w:rPr>
              <w:t>Regulas stāšanās spēkā, lai vienkāršotu pr</w:t>
            </w:r>
            <w:r>
              <w:rPr>
                <w:noProof/>
              </w:rPr>
              <w:t>ocedūras un stiprinātu komisāra lomu speciālajās ekonomiskajās zonās</w:t>
            </w:r>
          </w:p>
        </w:tc>
      </w:tr>
      <w:tr w:rsidR="00327FF1" w14:paraId="1D4DE726" w14:textId="77777777">
        <w:trPr>
          <w:trHeight w:val="300"/>
        </w:trPr>
        <w:tc>
          <w:tcPr>
            <w:tcW w:w="1435" w:type="dxa"/>
            <w:shd w:val="clear" w:color="auto" w:fill="C6EFCE"/>
            <w:tcMar>
              <w:left w:w="108" w:type="dxa"/>
              <w:right w:w="108" w:type="dxa"/>
            </w:tcMar>
            <w:vAlign w:val="center"/>
          </w:tcPr>
          <w:p w14:paraId="54464B5A" w14:textId="77777777" w:rsidR="00327FF1" w:rsidRDefault="00E406C7">
            <w:pPr>
              <w:pStyle w:val="P68B1DB1-Normal121"/>
              <w:spacing w:after="0" w:line="240" w:lineRule="auto"/>
              <w:jc w:val="center"/>
              <w:rPr>
                <w:noProof/>
              </w:rPr>
            </w:pPr>
            <w:r>
              <w:rPr>
                <w:noProof/>
              </w:rPr>
              <w:t>M5C3–11</w:t>
            </w:r>
          </w:p>
        </w:tc>
        <w:tc>
          <w:tcPr>
            <w:tcW w:w="3543" w:type="dxa"/>
            <w:shd w:val="clear" w:color="auto" w:fill="C6EFCE"/>
            <w:tcMar>
              <w:left w:w="108" w:type="dxa"/>
              <w:right w:w="108" w:type="dxa"/>
            </w:tcMar>
            <w:vAlign w:val="center"/>
          </w:tcPr>
          <w:p w14:paraId="27C58C9F" w14:textId="77777777" w:rsidR="00327FF1" w:rsidRDefault="00E406C7">
            <w:pPr>
              <w:pStyle w:val="P68B1DB1-Normal121"/>
              <w:spacing w:after="0" w:line="240" w:lineRule="auto"/>
              <w:rPr>
                <w:noProof/>
              </w:rPr>
            </w:pPr>
            <w:r>
              <w:rPr>
                <w:noProof/>
              </w:rPr>
              <w:t xml:space="preserve">Investīcija Nr. 1.4: Ieguldījumi speciālajā ekonomiskajā zonā infrastruktūrā </w:t>
            </w:r>
          </w:p>
        </w:tc>
        <w:tc>
          <w:tcPr>
            <w:tcW w:w="1418" w:type="dxa"/>
            <w:shd w:val="clear" w:color="auto" w:fill="C6EFCE"/>
            <w:tcMar>
              <w:left w:w="108" w:type="dxa"/>
              <w:right w:w="108" w:type="dxa"/>
            </w:tcMar>
            <w:vAlign w:val="center"/>
          </w:tcPr>
          <w:p w14:paraId="60B069D4" w14:textId="77777777" w:rsidR="00327FF1" w:rsidRDefault="00E406C7">
            <w:pPr>
              <w:pStyle w:val="P68B1DB1-Normal121"/>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6AD8E173" w14:textId="77777777" w:rsidR="00327FF1" w:rsidRDefault="00E406C7">
            <w:pPr>
              <w:pStyle w:val="P68B1DB1-Normal121"/>
              <w:spacing w:after="0" w:line="240" w:lineRule="auto"/>
              <w:rPr>
                <w:noProof/>
              </w:rPr>
            </w:pPr>
            <w:r>
              <w:rPr>
                <w:noProof/>
              </w:rPr>
              <w:t xml:space="preserve">Stājas spēkā ministrijas dekrēti, ar ko apstiprina darbības plānus visām astoņām </w:t>
            </w:r>
            <w:r>
              <w:rPr>
                <w:noProof/>
              </w:rPr>
              <w:t>speciālajām ekonomiskajām zonām</w:t>
            </w:r>
          </w:p>
        </w:tc>
      </w:tr>
      <w:tr w:rsidR="00327FF1" w14:paraId="6E8C6D02" w14:textId="77777777">
        <w:trPr>
          <w:trHeight w:val="300"/>
        </w:trPr>
        <w:tc>
          <w:tcPr>
            <w:tcW w:w="1435" w:type="dxa"/>
            <w:shd w:val="clear" w:color="auto" w:fill="C6EFCE"/>
            <w:tcMar>
              <w:left w:w="108" w:type="dxa"/>
              <w:right w:w="108" w:type="dxa"/>
            </w:tcMar>
            <w:vAlign w:val="center"/>
          </w:tcPr>
          <w:p w14:paraId="50A965B6" w14:textId="77777777" w:rsidR="00327FF1" w:rsidRDefault="00E406C7">
            <w:pPr>
              <w:pStyle w:val="P68B1DB1-Normal121"/>
              <w:spacing w:after="0" w:line="240" w:lineRule="auto"/>
              <w:jc w:val="center"/>
              <w:rPr>
                <w:noProof/>
              </w:rPr>
            </w:pPr>
            <w:r>
              <w:rPr>
                <w:noProof/>
              </w:rPr>
              <w:t>M6C2–4</w:t>
            </w:r>
          </w:p>
        </w:tc>
        <w:tc>
          <w:tcPr>
            <w:tcW w:w="3543" w:type="dxa"/>
            <w:shd w:val="clear" w:color="auto" w:fill="C6EFCE"/>
            <w:tcMar>
              <w:left w:w="108" w:type="dxa"/>
              <w:right w:w="108" w:type="dxa"/>
            </w:tcMar>
            <w:vAlign w:val="center"/>
          </w:tcPr>
          <w:p w14:paraId="0DAFC6D8" w14:textId="77777777" w:rsidR="00327FF1" w:rsidRDefault="00E406C7">
            <w:pPr>
              <w:pStyle w:val="P68B1DB1-Normal123"/>
              <w:spacing w:after="0" w:line="240" w:lineRule="auto"/>
              <w:rPr>
                <w:noProof/>
              </w:rPr>
            </w:pPr>
            <w:r>
              <w:rPr>
                <w:noProof/>
              </w:rPr>
              <w:t>Investīcija 1.1: Slimnīcu tehnoloģiskā aprīkojuma digitālā atjaunināšana</w:t>
            </w:r>
          </w:p>
        </w:tc>
        <w:tc>
          <w:tcPr>
            <w:tcW w:w="1418" w:type="dxa"/>
            <w:shd w:val="clear" w:color="auto" w:fill="C6EFCE"/>
            <w:tcMar>
              <w:left w:w="108" w:type="dxa"/>
              <w:right w:w="108" w:type="dxa"/>
            </w:tcMar>
            <w:vAlign w:val="center"/>
          </w:tcPr>
          <w:p w14:paraId="2B6C0A23" w14:textId="77777777" w:rsidR="00327FF1" w:rsidRDefault="00E406C7">
            <w:pPr>
              <w:pStyle w:val="P68B1DB1-Normal123"/>
              <w:spacing w:after="0" w:line="240" w:lineRule="auto"/>
              <w:jc w:val="center"/>
              <w:rPr>
                <w:noProof/>
              </w:rPr>
            </w:pPr>
            <w:r>
              <w:rPr>
                <w:noProof/>
              </w:rPr>
              <w:t>Atskaites punkts</w:t>
            </w:r>
          </w:p>
        </w:tc>
        <w:tc>
          <w:tcPr>
            <w:tcW w:w="2963" w:type="dxa"/>
            <w:shd w:val="clear" w:color="auto" w:fill="C6EFCE"/>
            <w:tcMar>
              <w:left w:w="108" w:type="dxa"/>
              <w:right w:w="108" w:type="dxa"/>
            </w:tcMar>
            <w:vAlign w:val="center"/>
          </w:tcPr>
          <w:p w14:paraId="6ACDA6FF" w14:textId="77777777" w:rsidR="00327FF1" w:rsidRDefault="00E406C7">
            <w:pPr>
              <w:pStyle w:val="P68B1DB1-Normal123"/>
              <w:spacing w:after="0" w:line="240" w:lineRule="auto"/>
              <w:rPr>
                <w:noProof/>
              </w:rPr>
            </w:pPr>
            <w:r>
              <w:rPr>
                <w:noProof/>
              </w:rPr>
              <w:t>Reorganizācijas plāns, ko apstiprinājusi Veselības ministrija/Itālijas reģioni</w:t>
            </w:r>
          </w:p>
        </w:tc>
      </w:tr>
      <w:tr w:rsidR="00327FF1" w14:paraId="6308DF5F" w14:textId="77777777">
        <w:trPr>
          <w:trHeight w:val="300"/>
        </w:trPr>
        <w:tc>
          <w:tcPr>
            <w:tcW w:w="1435" w:type="dxa"/>
            <w:shd w:val="clear" w:color="auto" w:fill="C6EFCE"/>
            <w:tcMar>
              <w:left w:w="108" w:type="dxa"/>
              <w:right w:w="108" w:type="dxa"/>
            </w:tcMar>
            <w:vAlign w:val="center"/>
          </w:tcPr>
          <w:p w14:paraId="1C3EE6FB" w14:textId="77777777" w:rsidR="00327FF1" w:rsidRDefault="00327FF1">
            <w:pPr>
              <w:spacing w:after="0" w:line="240" w:lineRule="auto"/>
              <w:jc w:val="center"/>
              <w:rPr>
                <w:rFonts w:ascii="Times New Roman" w:eastAsia="Times New Roman" w:hAnsi="Times New Roman" w:cs="Times New Roman"/>
                <w:noProof/>
              </w:rPr>
            </w:pPr>
          </w:p>
        </w:tc>
        <w:tc>
          <w:tcPr>
            <w:tcW w:w="3543" w:type="dxa"/>
            <w:shd w:val="clear" w:color="auto" w:fill="C6EFCE"/>
            <w:tcMar>
              <w:left w:w="108" w:type="dxa"/>
              <w:right w:w="108" w:type="dxa"/>
            </w:tcMar>
            <w:vAlign w:val="center"/>
          </w:tcPr>
          <w:p w14:paraId="342FEB66" w14:textId="77777777" w:rsidR="00327FF1" w:rsidRDefault="00E406C7">
            <w:pPr>
              <w:pStyle w:val="P68B1DB1-Normal121"/>
              <w:spacing w:after="0" w:line="240" w:lineRule="auto"/>
              <w:rPr>
                <w:noProof/>
              </w:rPr>
            </w:pPr>
            <w:r>
              <w:rPr>
                <w:noProof/>
              </w:rPr>
              <w:t xml:space="preserve"> </w:t>
            </w:r>
          </w:p>
        </w:tc>
        <w:tc>
          <w:tcPr>
            <w:tcW w:w="1418" w:type="dxa"/>
            <w:shd w:val="clear" w:color="auto" w:fill="C6EFCE"/>
            <w:tcMar>
              <w:left w:w="108" w:type="dxa"/>
              <w:right w:w="108" w:type="dxa"/>
            </w:tcMar>
            <w:vAlign w:val="center"/>
          </w:tcPr>
          <w:p w14:paraId="2D667515" w14:textId="77777777" w:rsidR="00327FF1" w:rsidRDefault="00E406C7">
            <w:pPr>
              <w:pStyle w:val="P68B1DB1-Normal121"/>
              <w:spacing w:after="0" w:line="240" w:lineRule="auto"/>
              <w:jc w:val="center"/>
              <w:rPr>
                <w:noProof/>
              </w:rPr>
            </w:pPr>
            <w:r>
              <w:rPr>
                <w:noProof/>
              </w:rPr>
              <w:t>Maksājuma summa</w:t>
            </w:r>
          </w:p>
        </w:tc>
        <w:tc>
          <w:tcPr>
            <w:tcW w:w="2963" w:type="dxa"/>
            <w:shd w:val="clear" w:color="auto" w:fill="C6EFCE"/>
            <w:tcMar>
              <w:left w:w="108" w:type="dxa"/>
              <w:right w:w="108" w:type="dxa"/>
            </w:tcMar>
            <w:vAlign w:val="center"/>
          </w:tcPr>
          <w:p w14:paraId="4EA675FA"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12643678161</w:t>
            </w:r>
            <w:r>
              <w:rPr>
                <w:noProof/>
                <w:sz w:val="23"/>
                <w:szCs w:val="23"/>
              </w:rPr>
              <w:t xml:space="preserve"> </w:t>
            </w:r>
          </w:p>
        </w:tc>
      </w:tr>
    </w:tbl>
    <w:p w14:paraId="666E1A66" w14:textId="77777777" w:rsidR="00327FF1" w:rsidRDefault="00327FF1">
      <w:pPr>
        <w:spacing w:after="0"/>
        <w:ind w:left="850"/>
        <w:contextualSpacing/>
        <w:jc w:val="both"/>
        <w:rPr>
          <w:rFonts w:ascii="Times New Roman" w:eastAsia="Times New Roman" w:hAnsi="Times New Roman" w:cs="Times New Roman"/>
          <w:noProof/>
        </w:rPr>
      </w:pPr>
    </w:p>
    <w:p w14:paraId="28F7A18F" w14:textId="77777777" w:rsidR="00327FF1" w:rsidRDefault="00E406C7">
      <w:pPr>
        <w:pStyle w:val="P68B1DB1-Normal8"/>
        <w:rPr>
          <w:noProof/>
        </w:rPr>
      </w:pPr>
      <w:r>
        <w:rPr>
          <w:noProof/>
        </w:rPr>
        <w:br w:type="page"/>
      </w:r>
    </w:p>
    <w:p w14:paraId="3EFDB102" w14:textId="77777777" w:rsidR="00327FF1" w:rsidRDefault="00E406C7">
      <w:pPr>
        <w:pStyle w:val="P68B1DB1-Heading34"/>
        <w:numPr>
          <w:ilvl w:val="1"/>
          <w:numId w:val="179"/>
        </w:numPr>
        <w:tabs>
          <w:tab w:val="clear" w:pos="850"/>
          <w:tab w:val="num" w:pos="1440"/>
        </w:tabs>
        <w:ind w:left="1440" w:hanging="360"/>
        <w:rPr>
          <w:noProof/>
        </w:rPr>
      </w:pPr>
      <w:r>
        <w:rPr>
          <w:noProof/>
        </w:rPr>
        <w:t xml:space="preserve">Otrā </w:t>
      </w:r>
      <w:r>
        <w:rPr>
          <w:noProof/>
        </w:rPr>
        <w:t>daļa (aizdevuma atbalsts):</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0"/>
        <w:gridCol w:w="2553"/>
        <w:gridCol w:w="1170"/>
        <w:gridCol w:w="4435"/>
      </w:tblGrid>
      <w:tr w:rsidR="00327FF1" w14:paraId="6CA67CB6" w14:textId="77777777">
        <w:trPr>
          <w:trHeight w:val="900"/>
          <w:tblHeader/>
        </w:trPr>
        <w:tc>
          <w:tcPr>
            <w:tcW w:w="1200" w:type="dxa"/>
            <w:vMerge w:val="restart"/>
            <w:shd w:val="clear" w:color="auto" w:fill="BDD7EE"/>
            <w:tcMar>
              <w:left w:w="108" w:type="dxa"/>
              <w:right w:w="108" w:type="dxa"/>
            </w:tcMar>
            <w:vAlign w:val="center"/>
          </w:tcPr>
          <w:p w14:paraId="257C6D33" w14:textId="77777777" w:rsidR="00327FF1" w:rsidRDefault="00E406C7">
            <w:pPr>
              <w:pStyle w:val="P68B1DB1-Normal120"/>
              <w:spacing w:after="0" w:line="240" w:lineRule="auto"/>
              <w:jc w:val="center"/>
              <w:rPr>
                <w:noProof/>
              </w:rPr>
            </w:pPr>
            <w:r>
              <w:rPr>
                <w:noProof/>
              </w:rPr>
              <w:t>Kārtas numurs</w:t>
            </w:r>
          </w:p>
        </w:tc>
        <w:tc>
          <w:tcPr>
            <w:tcW w:w="2553" w:type="dxa"/>
            <w:vMerge w:val="restart"/>
            <w:shd w:val="clear" w:color="auto" w:fill="BDD7EE"/>
            <w:tcMar>
              <w:left w:w="108" w:type="dxa"/>
              <w:right w:w="108" w:type="dxa"/>
            </w:tcMar>
            <w:vAlign w:val="center"/>
          </w:tcPr>
          <w:p w14:paraId="3175FE57" w14:textId="77777777" w:rsidR="00327FF1" w:rsidRDefault="00E406C7">
            <w:pPr>
              <w:pStyle w:val="P68B1DB1-Normal120"/>
              <w:spacing w:after="0" w:line="240" w:lineRule="auto"/>
              <w:jc w:val="center"/>
              <w:rPr>
                <w:noProof/>
              </w:rPr>
            </w:pPr>
            <w:r>
              <w:rPr>
                <w:noProof/>
              </w:rPr>
              <w:t>Saistītais pasākums (reforma vai ieguldījums)</w:t>
            </w:r>
          </w:p>
        </w:tc>
        <w:tc>
          <w:tcPr>
            <w:tcW w:w="1170" w:type="dxa"/>
            <w:vMerge w:val="restart"/>
            <w:shd w:val="clear" w:color="auto" w:fill="BDD7EE"/>
            <w:tcMar>
              <w:left w:w="108" w:type="dxa"/>
              <w:right w:w="108" w:type="dxa"/>
            </w:tcMar>
            <w:vAlign w:val="center"/>
          </w:tcPr>
          <w:p w14:paraId="16AB2E05" w14:textId="77777777" w:rsidR="00327FF1" w:rsidRDefault="00E406C7">
            <w:pPr>
              <w:pStyle w:val="P68B1DB1-Normal120"/>
              <w:spacing w:after="0" w:line="240" w:lineRule="auto"/>
              <w:jc w:val="center"/>
              <w:rPr>
                <w:noProof/>
              </w:rPr>
            </w:pPr>
            <w:r>
              <w:rPr>
                <w:noProof/>
              </w:rPr>
              <w:t>Atskaites punkts/mērķrādītājs</w:t>
            </w:r>
          </w:p>
        </w:tc>
        <w:tc>
          <w:tcPr>
            <w:tcW w:w="4435" w:type="dxa"/>
            <w:vMerge w:val="restart"/>
            <w:shd w:val="clear" w:color="auto" w:fill="BDD7EE"/>
            <w:tcMar>
              <w:left w:w="108" w:type="dxa"/>
              <w:right w:w="108" w:type="dxa"/>
            </w:tcMar>
            <w:vAlign w:val="center"/>
          </w:tcPr>
          <w:p w14:paraId="40112433" w14:textId="77777777" w:rsidR="00327FF1" w:rsidRDefault="00E406C7">
            <w:pPr>
              <w:pStyle w:val="P68B1DB1-Normal120"/>
              <w:spacing w:after="0" w:line="240" w:lineRule="auto"/>
              <w:jc w:val="center"/>
              <w:rPr>
                <w:noProof/>
              </w:rPr>
            </w:pPr>
            <w:r>
              <w:rPr>
                <w:noProof/>
              </w:rPr>
              <w:t>Nosaukums</w:t>
            </w:r>
          </w:p>
        </w:tc>
      </w:tr>
      <w:tr w:rsidR="00327FF1" w14:paraId="68CD4644" w14:textId="77777777">
        <w:trPr>
          <w:trHeight w:val="510"/>
        </w:trPr>
        <w:tc>
          <w:tcPr>
            <w:tcW w:w="1200" w:type="dxa"/>
            <w:vMerge/>
            <w:vAlign w:val="center"/>
          </w:tcPr>
          <w:p w14:paraId="4A0B3732" w14:textId="77777777" w:rsidR="00327FF1" w:rsidRDefault="00327FF1">
            <w:pPr>
              <w:spacing w:after="0" w:line="240" w:lineRule="auto"/>
              <w:jc w:val="center"/>
              <w:rPr>
                <w:rFonts w:ascii="Times New Roman" w:eastAsia="Times New Roman" w:hAnsi="Times New Roman" w:cs="Times New Roman"/>
                <w:noProof/>
              </w:rPr>
            </w:pPr>
          </w:p>
        </w:tc>
        <w:tc>
          <w:tcPr>
            <w:tcW w:w="2553" w:type="dxa"/>
            <w:vMerge/>
            <w:vAlign w:val="center"/>
          </w:tcPr>
          <w:p w14:paraId="2B51545A" w14:textId="77777777" w:rsidR="00327FF1" w:rsidRDefault="00327FF1">
            <w:pPr>
              <w:spacing w:after="0" w:line="240" w:lineRule="auto"/>
              <w:rPr>
                <w:rFonts w:ascii="Times New Roman" w:eastAsia="Times New Roman" w:hAnsi="Times New Roman" w:cs="Times New Roman"/>
                <w:noProof/>
              </w:rPr>
            </w:pPr>
          </w:p>
        </w:tc>
        <w:tc>
          <w:tcPr>
            <w:tcW w:w="1170" w:type="dxa"/>
            <w:vMerge/>
            <w:vAlign w:val="center"/>
          </w:tcPr>
          <w:p w14:paraId="6A1DDCB4" w14:textId="77777777" w:rsidR="00327FF1" w:rsidRDefault="00327FF1">
            <w:pPr>
              <w:spacing w:after="0" w:line="240" w:lineRule="auto"/>
              <w:jc w:val="center"/>
              <w:rPr>
                <w:rFonts w:ascii="Times New Roman" w:eastAsia="Times New Roman" w:hAnsi="Times New Roman" w:cs="Times New Roman"/>
                <w:noProof/>
              </w:rPr>
            </w:pPr>
          </w:p>
        </w:tc>
        <w:tc>
          <w:tcPr>
            <w:tcW w:w="4435" w:type="dxa"/>
            <w:vMerge/>
            <w:vAlign w:val="center"/>
          </w:tcPr>
          <w:p w14:paraId="16A8E7B2" w14:textId="77777777" w:rsidR="00327FF1" w:rsidRDefault="00327FF1">
            <w:pPr>
              <w:spacing w:after="0" w:line="240" w:lineRule="auto"/>
              <w:rPr>
                <w:rFonts w:ascii="Times New Roman" w:eastAsia="Times New Roman" w:hAnsi="Times New Roman" w:cs="Times New Roman"/>
                <w:noProof/>
              </w:rPr>
            </w:pPr>
          </w:p>
        </w:tc>
      </w:tr>
      <w:tr w:rsidR="00327FF1" w14:paraId="7B1CD848" w14:textId="77777777">
        <w:trPr>
          <w:trHeight w:val="300"/>
        </w:trPr>
        <w:tc>
          <w:tcPr>
            <w:tcW w:w="1200" w:type="dxa"/>
            <w:shd w:val="clear" w:color="auto" w:fill="C6EFCE"/>
            <w:tcMar>
              <w:left w:w="108" w:type="dxa"/>
              <w:right w:w="108" w:type="dxa"/>
            </w:tcMar>
            <w:vAlign w:val="center"/>
          </w:tcPr>
          <w:p w14:paraId="260D9E28" w14:textId="77777777" w:rsidR="00327FF1" w:rsidRDefault="00E406C7">
            <w:pPr>
              <w:pStyle w:val="P68B1DB1-Normal121"/>
              <w:spacing w:after="0" w:line="240" w:lineRule="auto"/>
              <w:jc w:val="center"/>
              <w:rPr>
                <w:noProof/>
              </w:rPr>
            </w:pPr>
            <w:r>
              <w:rPr>
                <w:noProof/>
              </w:rPr>
              <w:t>M1C2–28</w:t>
            </w:r>
          </w:p>
        </w:tc>
        <w:tc>
          <w:tcPr>
            <w:tcW w:w="2553" w:type="dxa"/>
            <w:shd w:val="clear" w:color="auto" w:fill="C6EFCE"/>
            <w:tcMar>
              <w:left w:w="108" w:type="dxa"/>
              <w:right w:w="108" w:type="dxa"/>
            </w:tcMar>
            <w:vAlign w:val="center"/>
          </w:tcPr>
          <w:p w14:paraId="73793D3E" w14:textId="77777777" w:rsidR="00327FF1" w:rsidRDefault="00E406C7">
            <w:pPr>
              <w:pStyle w:val="P68B1DB1-Normal121"/>
              <w:spacing w:after="0" w:line="240" w:lineRule="auto"/>
              <w:rPr>
                <w:noProof/>
              </w:rPr>
            </w:pPr>
            <w:r>
              <w:rPr>
                <w:noProof/>
              </w:rPr>
              <w:t>Investīcija 5.2.: Piegādes ķēžu konkurētspēja un noturība</w:t>
            </w:r>
          </w:p>
        </w:tc>
        <w:tc>
          <w:tcPr>
            <w:tcW w:w="1170" w:type="dxa"/>
            <w:shd w:val="clear" w:color="auto" w:fill="C6EFCE"/>
            <w:tcMar>
              <w:left w:w="108" w:type="dxa"/>
              <w:right w:w="108" w:type="dxa"/>
            </w:tcMar>
            <w:vAlign w:val="center"/>
          </w:tcPr>
          <w:p w14:paraId="0D2F7620"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70D3742D" w14:textId="77777777" w:rsidR="00327FF1" w:rsidRDefault="00E406C7">
            <w:pPr>
              <w:pStyle w:val="P68B1DB1-Normal121"/>
              <w:spacing w:after="0" w:line="240" w:lineRule="auto"/>
              <w:rPr>
                <w:noProof/>
              </w:rPr>
            </w:pPr>
            <w:r>
              <w:rPr>
                <w:noProof/>
              </w:rPr>
              <w:t xml:space="preserve">Dekrēta, kas ietver attīstības līgumu </w:t>
            </w:r>
            <w:r>
              <w:rPr>
                <w:noProof/>
              </w:rPr>
              <w:t>ieguldījumu politiku, stāšanās spēkā</w:t>
            </w:r>
          </w:p>
        </w:tc>
      </w:tr>
      <w:tr w:rsidR="00327FF1" w14:paraId="28236E4D" w14:textId="77777777">
        <w:trPr>
          <w:trHeight w:val="300"/>
        </w:trPr>
        <w:tc>
          <w:tcPr>
            <w:tcW w:w="1200" w:type="dxa"/>
            <w:shd w:val="clear" w:color="auto" w:fill="C6EFCE"/>
            <w:tcMar>
              <w:left w:w="108" w:type="dxa"/>
              <w:right w:w="108" w:type="dxa"/>
            </w:tcMar>
            <w:vAlign w:val="center"/>
          </w:tcPr>
          <w:p w14:paraId="1CA23EC4" w14:textId="77777777" w:rsidR="00327FF1" w:rsidRDefault="00E406C7">
            <w:pPr>
              <w:pStyle w:val="P68B1DB1-Normal121"/>
              <w:spacing w:after="0" w:line="240" w:lineRule="auto"/>
              <w:jc w:val="center"/>
              <w:rPr>
                <w:noProof/>
              </w:rPr>
            </w:pPr>
            <w:r>
              <w:rPr>
                <w:noProof/>
              </w:rPr>
              <w:t>M2C4–27</w:t>
            </w:r>
          </w:p>
        </w:tc>
        <w:tc>
          <w:tcPr>
            <w:tcW w:w="2553" w:type="dxa"/>
            <w:shd w:val="clear" w:color="auto" w:fill="C6EFCE"/>
            <w:tcMar>
              <w:left w:w="108" w:type="dxa"/>
              <w:right w:w="108" w:type="dxa"/>
            </w:tcMar>
            <w:vAlign w:val="center"/>
          </w:tcPr>
          <w:p w14:paraId="174E9B61" w14:textId="77777777" w:rsidR="00327FF1" w:rsidRDefault="00E406C7">
            <w:pPr>
              <w:pStyle w:val="P68B1DB1-Normal121"/>
              <w:spacing w:after="0" w:line="240" w:lineRule="auto"/>
              <w:rPr>
                <w:noProof/>
              </w:rPr>
            </w:pPr>
            <w:r>
              <w:rPr>
                <w:noProof/>
              </w:rPr>
              <w:t>Reforma Nr. 4.1. Tiesību aktu vienkāršošana un pārvaldības stiprināšana ieguldījumu īstenošanai ūdensapgādes infrastruktūrās</w:t>
            </w:r>
          </w:p>
        </w:tc>
        <w:tc>
          <w:tcPr>
            <w:tcW w:w="1170" w:type="dxa"/>
            <w:shd w:val="clear" w:color="auto" w:fill="C6EFCE"/>
            <w:tcMar>
              <w:left w:w="108" w:type="dxa"/>
              <w:right w:w="108" w:type="dxa"/>
            </w:tcMar>
            <w:vAlign w:val="center"/>
          </w:tcPr>
          <w:p w14:paraId="3DAB983A"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7AFBC78D" w14:textId="77777777" w:rsidR="00327FF1" w:rsidRDefault="00E406C7">
            <w:pPr>
              <w:pStyle w:val="P68B1DB1-Normal121"/>
              <w:spacing w:after="0" w:line="240" w:lineRule="auto"/>
              <w:rPr>
                <w:noProof/>
              </w:rPr>
            </w:pPr>
            <w:r>
              <w:rPr>
                <w:noProof/>
              </w:rPr>
              <w:t xml:space="preserve">Tiesību aktu vienkāršošanas stāšanās spēkā attiecībā uz intervencēm primārās ūdensapgādes infrastruktūrā ūdensapgādes drošībai </w:t>
            </w:r>
          </w:p>
        </w:tc>
      </w:tr>
      <w:tr w:rsidR="00327FF1" w14:paraId="5766BE5B" w14:textId="77777777">
        <w:trPr>
          <w:trHeight w:val="300"/>
        </w:trPr>
        <w:tc>
          <w:tcPr>
            <w:tcW w:w="1200" w:type="dxa"/>
            <w:shd w:val="clear" w:color="auto" w:fill="C6EFCE"/>
            <w:tcMar>
              <w:left w:w="108" w:type="dxa"/>
              <w:right w:w="108" w:type="dxa"/>
            </w:tcMar>
            <w:vAlign w:val="center"/>
          </w:tcPr>
          <w:p w14:paraId="724B4009" w14:textId="77777777" w:rsidR="00327FF1" w:rsidRDefault="00E406C7">
            <w:pPr>
              <w:pStyle w:val="P68B1DB1-Normal121"/>
              <w:spacing w:after="0" w:line="240" w:lineRule="auto"/>
              <w:jc w:val="center"/>
              <w:rPr>
                <w:noProof/>
              </w:rPr>
            </w:pPr>
            <w:r>
              <w:rPr>
                <w:noProof/>
              </w:rPr>
              <w:t>M5C2–11</w:t>
            </w:r>
          </w:p>
        </w:tc>
        <w:tc>
          <w:tcPr>
            <w:tcW w:w="2553" w:type="dxa"/>
            <w:shd w:val="clear" w:color="auto" w:fill="C6EFCE"/>
            <w:tcMar>
              <w:left w:w="108" w:type="dxa"/>
              <w:right w:w="108" w:type="dxa"/>
            </w:tcMar>
            <w:vAlign w:val="center"/>
          </w:tcPr>
          <w:p w14:paraId="4BE47EB9" w14:textId="77777777" w:rsidR="00327FF1" w:rsidRDefault="00E406C7">
            <w:pPr>
              <w:pStyle w:val="P68B1DB1-Normal121"/>
              <w:spacing w:after="0" w:line="240" w:lineRule="auto"/>
              <w:rPr>
                <w:noProof/>
              </w:rPr>
            </w:pPr>
            <w:r>
              <w:rPr>
                <w:noProof/>
              </w:rPr>
              <w:t>Investīcija Nr. 4 — Ieguldījumi pilsētvides atjaunošanas projektos, kuru mērķis ir mazināt marginalizācijas un sociālās</w:t>
            </w:r>
            <w:r>
              <w:rPr>
                <w:noProof/>
              </w:rPr>
              <w:t xml:space="preserve"> degradācijas situācijas</w:t>
            </w:r>
          </w:p>
        </w:tc>
        <w:tc>
          <w:tcPr>
            <w:tcW w:w="1170" w:type="dxa"/>
            <w:shd w:val="clear" w:color="auto" w:fill="C6EFCE"/>
            <w:tcMar>
              <w:left w:w="108" w:type="dxa"/>
              <w:right w:w="108" w:type="dxa"/>
            </w:tcMar>
            <w:vAlign w:val="center"/>
          </w:tcPr>
          <w:p w14:paraId="17DE56F3"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47BA76A7" w14:textId="77777777" w:rsidR="00327FF1" w:rsidRDefault="00E406C7">
            <w:pPr>
              <w:pStyle w:val="P68B1DB1-Normal121"/>
              <w:spacing w:after="0" w:line="240" w:lineRule="auto"/>
              <w:rPr>
                <w:noProof/>
              </w:rPr>
            </w:pPr>
            <w:r>
              <w:rPr>
                <w:noProof/>
              </w:rPr>
              <w:t>Visu publisko līgumu slēgšanas tiesību piešķiršana par investīcijām pilsētvides atjaunošanā, lai mazinātu marginalizācijas un sociālās degradācijas situācijas, un projekti atbilst ANM mērķiem, tostarp principam “ne</w:t>
            </w:r>
            <w:r>
              <w:rPr>
                <w:noProof/>
              </w:rPr>
              <w:t>nodarīt būtisku kaitējumu”</w:t>
            </w:r>
          </w:p>
        </w:tc>
      </w:tr>
      <w:tr w:rsidR="00327FF1" w14:paraId="28F1458C" w14:textId="77777777">
        <w:trPr>
          <w:trHeight w:val="300"/>
        </w:trPr>
        <w:tc>
          <w:tcPr>
            <w:tcW w:w="1200" w:type="dxa"/>
            <w:shd w:val="clear" w:color="auto" w:fill="C6EFCE"/>
            <w:tcMar>
              <w:left w:w="108" w:type="dxa"/>
              <w:right w:w="108" w:type="dxa"/>
            </w:tcMar>
            <w:vAlign w:val="center"/>
          </w:tcPr>
          <w:p w14:paraId="1BA19329" w14:textId="77777777" w:rsidR="00327FF1" w:rsidRDefault="00E406C7">
            <w:pPr>
              <w:pStyle w:val="P68B1DB1-Normal121"/>
              <w:spacing w:after="0" w:line="240" w:lineRule="auto"/>
              <w:jc w:val="center"/>
              <w:rPr>
                <w:noProof/>
              </w:rPr>
            </w:pPr>
            <w:r>
              <w:rPr>
                <w:noProof/>
              </w:rPr>
              <w:t>M5C2–15</w:t>
            </w:r>
          </w:p>
        </w:tc>
        <w:tc>
          <w:tcPr>
            <w:tcW w:w="2553" w:type="dxa"/>
            <w:shd w:val="clear" w:color="auto" w:fill="C6EFCE"/>
            <w:tcMar>
              <w:left w:w="108" w:type="dxa"/>
              <w:right w:w="108" w:type="dxa"/>
            </w:tcMar>
            <w:vAlign w:val="center"/>
          </w:tcPr>
          <w:p w14:paraId="2097472A" w14:textId="77777777" w:rsidR="00327FF1" w:rsidRDefault="00E406C7">
            <w:pPr>
              <w:pStyle w:val="P68B1DB1-Normal121"/>
              <w:spacing w:after="0" w:line="240" w:lineRule="auto"/>
              <w:rPr>
                <w:noProof/>
              </w:rPr>
            </w:pPr>
            <w:r>
              <w:rPr>
                <w:noProof/>
              </w:rPr>
              <w:t>Investīcija Nr. 5 — integrētie pilsētu plāni — nelikumīgu apmetņu pārvarēšana, lai cīnītos pret darbaspēka ekspluatāciju lauksaimniecībā</w:t>
            </w:r>
          </w:p>
        </w:tc>
        <w:tc>
          <w:tcPr>
            <w:tcW w:w="1170" w:type="dxa"/>
            <w:shd w:val="clear" w:color="auto" w:fill="C6EFCE"/>
            <w:tcMar>
              <w:left w:w="108" w:type="dxa"/>
              <w:right w:w="108" w:type="dxa"/>
            </w:tcMar>
            <w:vAlign w:val="center"/>
          </w:tcPr>
          <w:p w14:paraId="6691E3BB"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05DA7619" w14:textId="77777777" w:rsidR="00327FF1" w:rsidRDefault="00E406C7">
            <w:pPr>
              <w:pStyle w:val="P68B1DB1-Normal121"/>
              <w:spacing w:after="0" w:line="240" w:lineRule="auto"/>
              <w:rPr>
                <w:noProof/>
              </w:rPr>
            </w:pPr>
            <w:r>
              <w:rPr>
                <w:noProof/>
              </w:rPr>
              <w:t xml:space="preserve">Ar “Tavolo di contrasto allo sfruttamento lavorativo in </w:t>
            </w:r>
            <w:r>
              <w:rPr>
                <w:noProof/>
              </w:rPr>
              <w:t>agricoltura” ir stājies spēkā ministrijas dekrēts, ar ko nosaka nelikumīgo apmetņu kartēšanu, un ir pieņemts ministrijas dekrēts par resursu piešķiršanu.</w:t>
            </w:r>
          </w:p>
        </w:tc>
      </w:tr>
      <w:tr w:rsidR="00327FF1" w14:paraId="79662224" w14:textId="77777777">
        <w:trPr>
          <w:trHeight w:val="300"/>
        </w:trPr>
        <w:tc>
          <w:tcPr>
            <w:tcW w:w="1200" w:type="dxa"/>
            <w:shd w:val="clear" w:color="auto" w:fill="C6EFCE"/>
            <w:tcMar>
              <w:left w:w="108" w:type="dxa"/>
              <w:right w:w="108" w:type="dxa"/>
            </w:tcMar>
            <w:vAlign w:val="center"/>
          </w:tcPr>
          <w:p w14:paraId="4B05C2A2" w14:textId="77777777" w:rsidR="00327FF1" w:rsidRDefault="00E406C7">
            <w:pPr>
              <w:pStyle w:val="P68B1DB1-Normal121"/>
              <w:spacing w:after="0" w:line="240" w:lineRule="auto"/>
              <w:jc w:val="center"/>
              <w:rPr>
                <w:noProof/>
              </w:rPr>
            </w:pPr>
            <w:r>
              <w:rPr>
                <w:noProof/>
              </w:rPr>
              <w:t>M5C2–19</w:t>
            </w:r>
          </w:p>
        </w:tc>
        <w:tc>
          <w:tcPr>
            <w:tcW w:w="2553" w:type="dxa"/>
            <w:shd w:val="clear" w:color="auto" w:fill="C6EFCE"/>
            <w:tcMar>
              <w:left w:w="108" w:type="dxa"/>
              <w:right w:w="108" w:type="dxa"/>
            </w:tcMar>
            <w:vAlign w:val="center"/>
          </w:tcPr>
          <w:p w14:paraId="37089239" w14:textId="77777777" w:rsidR="00327FF1" w:rsidRDefault="00E406C7">
            <w:pPr>
              <w:pStyle w:val="P68B1DB1-Normal121"/>
              <w:spacing w:after="0" w:line="240" w:lineRule="auto"/>
              <w:rPr>
                <w:noProof/>
              </w:rPr>
            </w:pPr>
            <w:r>
              <w:rPr>
                <w:noProof/>
              </w:rPr>
              <w:t>Investīcija Nr. 6 — Mājokļu kvalitātes inovācijas programma</w:t>
            </w:r>
          </w:p>
        </w:tc>
        <w:tc>
          <w:tcPr>
            <w:tcW w:w="1170" w:type="dxa"/>
            <w:shd w:val="clear" w:color="auto" w:fill="C6EFCE"/>
            <w:tcMar>
              <w:left w:w="108" w:type="dxa"/>
              <w:right w:w="108" w:type="dxa"/>
            </w:tcMar>
            <w:vAlign w:val="center"/>
          </w:tcPr>
          <w:p w14:paraId="5EDE7896"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17C4F134" w14:textId="77777777" w:rsidR="00327FF1" w:rsidRDefault="00E406C7">
            <w:pPr>
              <w:pStyle w:val="P68B1DB1-Normal121"/>
              <w:spacing w:after="0" w:line="240" w:lineRule="auto"/>
              <w:rPr>
                <w:noProof/>
              </w:rPr>
            </w:pPr>
            <w:r>
              <w:rPr>
                <w:noProof/>
              </w:rPr>
              <w:t>Reģioni un auton</w:t>
            </w:r>
            <w:r>
              <w:rPr>
                <w:noProof/>
              </w:rPr>
              <w:t>omās provinces (tostarp pašvaldības un/vai lielpilsētu pilsētas, kas atrodas šajās teritorijās) parakstīja līgumus par sociālo mājokļu atjaunošanu un palielināšanu.</w:t>
            </w:r>
          </w:p>
        </w:tc>
      </w:tr>
      <w:tr w:rsidR="00327FF1" w14:paraId="491996FE" w14:textId="77777777">
        <w:trPr>
          <w:trHeight w:val="300"/>
        </w:trPr>
        <w:tc>
          <w:tcPr>
            <w:tcW w:w="1200" w:type="dxa"/>
            <w:shd w:val="clear" w:color="auto" w:fill="C6EFCE"/>
            <w:tcMar>
              <w:left w:w="108" w:type="dxa"/>
              <w:right w:w="108" w:type="dxa"/>
            </w:tcMar>
            <w:vAlign w:val="center"/>
          </w:tcPr>
          <w:p w14:paraId="5E38BF81" w14:textId="77777777" w:rsidR="00327FF1" w:rsidRDefault="00E406C7">
            <w:pPr>
              <w:pStyle w:val="P68B1DB1-Normal121"/>
              <w:spacing w:after="0" w:line="240" w:lineRule="auto"/>
              <w:jc w:val="center"/>
              <w:rPr>
                <w:noProof/>
              </w:rPr>
            </w:pPr>
            <w:r>
              <w:rPr>
                <w:noProof/>
              </w:rPr>
              <w:t>M1C2–16</w:t>
            </w:r>
          </w:p>
        </w:tc>
        <w:tc>
          <w:tcPr>
            <w:tcW w:w="2553" w:type="dxa"/>
            <w:shd w:val="clear" w:color="auto" w:fill="C6EFCE"/>
            <w:tcMar>
              <w:left w:w="108" w:type="dxa"/>
              <w:right w:w="108" w:type="dxa"/>
            </w:tcMar>
            <w:vAlign w:val="center"/>
          </w:tcPr>
          <w:p w14:paraId="42179E97" w14:textId="77777777" w:rsidR="00327FF1" w:rsidRDefault="00E406C7">
            <w:pPr>
              <w:pStyle w:val="P68B1DB1-Normal121"/>
              <w:spacing w:after="0" w:line="240" w:lineRule="auto"/>
              <w:rPr>
                <w:noProof/>
              </w:rPr>
            </w:pPr>
            <w:r>
              <w:rPr>
                <w:noProof/>
              </w:rPr>
              <w:t>Ieguldījums Nr. 3: Ātrs interneta pieslēgums (Ultra-Broadband un 5G)</w:t>
            </w:r>
          </w:p>
        </w:tc>
        <w:tc>
          <w:tcPr>
            <w:tcW w:w="1170" w:type="dxa"/>
            <w:shd w:val="clear" w:color="auto" w:fill="C6EFCE"/>
            <w:tcMar>
              <w:left w:w="108" w:type="dxa"/>
              <w:right w:w="108" w:type="dxa"/>
            </w:tcMar>
            <w:vAlign w:val="center"/>
          </w:tcPr>
          <w:p w14:paraId="1F2BE1D2" w14:textId="77777777" w:rsidR="00327FF1" w:rsidRDefault="00E406C7">
            <w:pPr>
              <w:pStyle w:val="P68B1DB1-Normal121"/>
              <w:spacing w:after="0" w:line="240" w:lineRule="auto"/>
              <w:jc w:val="center"/>
              <w:rPr>
                <w:noProof/>
              </w:rPr>
            </w:pPr>
            <w:r>
              <w:rPr>
                <w:noProof/>
              </w:rPr>
              <w:t>Atskaites pun</w:t>
            </w:r>
            <w:r>
              <w:rPr>
                <w:noProof/>
              </w:rPr>
              <w:t>kts</w:t>
            </w:r>
          </w:p>
        </w:tc>
        <w:tc>
          <w:tcPr>
            <w:tcW w:w="4435" w:type="dxa"/>
            <w:shd w:val="clear" w:color="auto" w:fill="C6EFCE"/>
            <w:tcMar>
              <w:left w:w="108" w:type="dxa"/>
              <w:right w:w="108" w:type="dxa"/>
            </w:tcMar>
            <w:vAlign w:val="center"/>
          </w:tcPr>
          <w:p w14:paraId="7182FC65" w14:textId="77777777" w:rsidR="00327FF1" w:rsidRDefault="00E406C7">
            <w:pPr>
              <w:pStyle w:val="P68B1DB1-Normal121"/>
              <w:spacing w:after="0" w:line="240" w:lineRule="auto"/>
              <w:rPr>
                <w:noProof/>
              </w:rPr>
            </w:pPr>
            <w:r>
              <w:rPr>
                <w:noProof/>
              </w:rPr>
              <w:t>Visu publiskā iepirkuma līgumu slēgšanas tiesību piešķiršana ātrākiem pieslēguma projektiem</w:t>
            </w:r>
          </w:p>
        </w:tc>
      </w:tr>
      <w:tr w:rsidR="00327FF1" w14:paraId="10587FA3" w14:textId="77777777">
        <w:trPr>
          <w:trHeight w:val="300"/>
        </w:trPr>
        <w:tc>
          <w:tcPr>
            <w:tcW w:w="1200" w:type="dxa"/>
            <w:shd w:val="clear" w:color="auto" w:fill="C6EFCE"/>
            <w:tcMar>
              <w:left w:w="108" w:type="dxa"/>
              <w:right w:w="108" w:type="dxa"/>
            </w:tcMar>
            <w:vAlign w:val="center"/>
          </w:tcPr>
          <w:p w14:paraId="75C2621E" w14:textId="77777777" w:rsidR="00327FF1" w:rsidRDefault="00E406C7">
            <w:pPr>
              <w:pStyle w:val="P68B1DB1-Normal121"/>
              <w:spacing w:after="0" w:line="240" w:lineRule="auto"/>
              <w:jc w:val="center"/>
              <w:rPr>
                <w:noProof/>
              </w:rPr>
            </w:pPr>
            <w:r>
              <w:rPr>
                <w:noProof/>
              </w:rPr>
              <w:t>M1C3–12</w:t>
            </w:r>
          </w:p>
        </w:tc>
        <w:tc>
          <w:tcPr>
            <w:tcW w:w="2553" w:type="dxa"/>
            <w:shd w:val="clear" w:color="auto" w:fill="C6EFCE"/>
            <w:tcMar>
              <w:left w:w="108" w:type="dxa"/>
              <w:right w:w="108" w:type="dxa"/>
            </w:tcMar>
            <w:vAlign w:val="center"/>
          </w:tcPr>
          <w:p w14:paraId="3D3AFC8E" w14:textId="77777777" w:rsidR="00327FF1" w:rsidRDefault="00E406C7">
            <w:pPr>
              <w:pStyle w:val="P68B1DB1-Normal121"/>
              <w:spacing w:after="0" w:line="240" w:lineRule="auto"/>
              <w:rPr>
                <w:noProof/>
              </w:rPr>
            </w:pPr>
            <w:r>
              <w:rPr>
                <w:noProof/>
              </w:rPr>
              <w:t>Investīcija 2.1. — Mazas vēsturiskās pilsētas pievilcīgums</w:t>
            </w:r>
          </w:p>
        </w:tc>
        <w:tc>
          <w:tcPr>
            <w:tcW w:w="1170" w:type="dxa"/>
            <w:shd w:val="clear" w:color="auto" w:fill="C6EFCE"/>
            <w:tcMar>
              <w:left w:w="108" w:type="dxa"/>
              <w:right w:w="108" w:type="dxa"/>
            </w:tcMar>
            <w:vAlign w:val="center"/>
          </w:tcPr>
          <w:p w14:paraId="1AF79D8B"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28639BB0" w14:textId="77777777" w:rsidR="00327FF1" w:rsidRDefault="00E406C7">
            <w:pPr>
              <w:pStyle w:val="P68B1DB1-Normal121"/>
              <w:spacing w:after="0" w:line="240" w:lineRule="auto"/>
              <w:rPr>
                <w:noProof/>
              </w:rPr>
            </w:pPr>
            <w:r>
              <w:rPr>
                <w:noProof/>
              </w:rPr>
              <w:t xml:space="preserve">Kultūras ministrijas dekrēta par resursu piešķiršanu pašvaldībām mazo vēsturisko pilsētu pievilcības nodrošināšanai stāšanās spēkā  </w:t>
            </w:r>
          </w:p>
        </w:tc>
      </w:tr>
      <w:tr w:rsidR="00327FF1" w14:paraId="014AD6A7" w14:textId="77777777">
        <w:trPr>
          <w:trHeight w:val="300"/>
        </w:trPr>
        <w:tc>
          <w:tcPr>
            <w:tcW w:w="1200" w:type="dxa"/>
            <w:shd w:val="clear" w:color="auto" w:fill="C6EFCE"/>
            <w:tcMar>
              <w:left w:w="108" w:type="dxa"/>
              <w:right w:w="108" w:type="dxa"/>
            </w:tcMar>
            <w:vAlign w:val="center"/>
          </w:tcPr>
          <w:p w14:paraId="2E255BBE" w14:textId="77777777" w:rsidR="00327FF1" w:rsidRDefault="00E406C7">
            <w:pPr>
              <w:pStyle w:val="P68B1DB1-Normal121"/>
              <w:spacing w:after="0" w:line="240" w:lineRule="auto"/>
              <w:jc w:val="center"/>
              <w:rPr>
                <w:noProof/>
              </w:rPr>
            </w:pPr>
            <w:r>
              <w:rPr>
                <w:noProof/>
              </w:rPr>
              <w:t>M1C3–13</w:t>
            </w:r>
          </w:p>
        </w:tc>
        <w:tc>
          <w:tcPr>
            <w:tcW w:w="2553" w:type="dxa"/>
            <w:shd w:val="clear" w:color="auto" w:fill="C6EFCE"/>
            <w:tcMar>
              <w:left w:w="108" w:type="dxa"/>
              <w:right w:w="108" w:type="dxa"/>
            </w:tcMar>
            <w:vAlign w:val="center"/>
          </w:tcPr>
          <w:p w14:paraId="6A3D6575" w14:textId="77777777" w:rsidR="00327FF1" w:rsidRDefault="00E406C7">
            <w:pPr>
              <w:pStyle w:val="P68B1DB1-Normal121"/>
              <w:spacing w:after="0" w:line="240" w:lineRule="auto"/>
              <w:rPr>
                <w:noProof/>
              </w:rPr>
            </w:pPr>
            <w:r>
              <w:rPr>
                <w:noProof/>
              </w:rPr>
              <w:t>Investīcija 2.2. — Lauku arhitektūras un ainavas aizsardzība un uzlabošana</w:t>
            </w:r>
          </w:p>
        </w:tc>
        <w:tc>
          <w:tcPr>
            <w:tcW w:w="1170" w:type="dxa"/>
            <w:shd w:val="clear" w:color="auto" w:fill="C6EFCE"/>
            <w:tcMar>
              <w:left w:w="108" w:type="dxa"/>
              <w:right w:w="108" w:type="dxa"/>
            </w:tcMar>
            <w:vAlign w:val="center"/>
          </w:tcPr>
          <w:p w14:paraId="506A26C0"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135D6726" w14:textId="77777777" w:rsidR="00327FF1" w:rsidRDefault="00E406C7">
            <w:pPr>
              <w:pStyle w:val="P68B1DB1-Normal121"/>
              <w:spacing w:after="0" w:line="240" w:lineRule="auto"/>
              <w:rPr>
                <w:noProof/>
              </w:rPr>
            </w:pPr>
            <w:r>
              <w:rPr>
                <w:noProof/>
              </w:rPr>
              <w:t>Kultūras ministrijas d</w:t>
            </w:r>
            <w:r>
              <w:rPr>
                <w:noProof/>
              </w:rPr>
              <w:t xml:space="preserve">ekrēta par resursu piešķiršanu stāšanās spēkā: lauku arhitektūras un ainavas aizsardzībai un uzlabošanai </w:t>
            </w:r>
          </w:p>
        </w:tc>
      </w:tr>
      <w:tr w:rsidR="00327FF1" w14:paraId="02B06881" w14:textId="77777777">
        <w:trPr>
          <w:trHeight w:val="300"/>
        </w:trPr>
        <w:tc>
          <w:tcPr>
            <w:tcW w:w="1200" w:type="dxa"/>
            <w:shd w:val="clear" w:color="auto" w:fill="C6EFCE"/>
            <w:tcMar>
              <w:left w:w="108" w:type="dxa"/>
              <w:right w:w="108" w:type="dxa"/>
            </w:tcMar>
            <w:vAlign w:val="center"/>
          </w:tcPr>
          <w:p w14:paraId="2F1980D6" w14:textId="77777777" w:rsidR="00327FF1" w:rsidRDefault="00E406C7">
            <w:pPr>
              <w:pStyle w:val="P68B1DB1-Normal121"/>
              <w:spacing w:after="0" w:line="240" w:lineRule="auto"/>
              <w:jc w:val="center"/>
              <w:rPr>
                <w:noProof/>
              </w:rPr>
            </w:pPr>
            <w:r>
              <w:rPr>
                <w:noProof/>
              </w:rPr>
              <w:t>M1C3–14</w:t>
            </w:r>
          </w:p>
        </w:tc>
        <w:tc>
          <w:tcPr>
            <w:tcW w:w="2553" w:type="dxa"/>
            <w:shd w:val="clear" w:color="auto" w:fill="C6EFCE"/>
            <w:tcMar>
              <w:left w:w="108" w:type="dxa"/>
              <w:right w:w="108" w:type="dxa"/>
            </w:tcMar>
            <w:vAlign w:val="center"/>
          </w:tcPr>
          <w:p w14:paraId="0070661E" w14:textId="77777777" w:rsidR="00327FF1" w:rsidRDefault="00E406C7">
            <w:pPr>
              <w:pStyle w:val="P68B1DB1-Normal121"/>
              <w:spacing w:after="0" w:line="240" w:lineRule="auto"/>
              <w:rPr>
                <w:noProof/>
              </w:rPr>
            </w:pPr>
            <w:r>
              <w:rPr>
                <w:noProof/>
              </w:rPr>
              <w:t>Investīcija 2.3. — Programmas vietu, parku un vēsturisko dārzu identitātes uzlabošanai</w:t>
            </w:r>
          </w:p>
        </w:tc>
        <w:tc>
          <w:tcPr>
            <w:tcW w:w="1170" w:type="dxa"/>
            <w:shd w:val="clear" w:color="auto" w:fill="C6EFCE"/>
            <w:tcMar>
              <w:left w:w="108" w:type="dxa"/>
              <w:right w:w="108" w:type="dxa"/>
            </w:tcMar>
            <w:vAlign w:val="center"/>
          </w:tcPr>
          <w:p w14:paraId="730A39BE"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6A560FFE" w14:textId="77777777" w:rsidR="00327FF1" w:rsidRDefault="00E406C7">
            <w:pPr>
              <w:pStyle w:val="P68B1DB1-Normal121"/>
              <w:spacing w:after="0" w:line="240" w:lineRule="auto"/>
              <w:rPr>
                <w:noProof/>
              </w:rPr>
            </w:pPr>
            <w:r>
              <w:rPr>
                <w:noProof/>
              </w:rPr>
              <w:t xml:space="preserve">Kultūras ministrijas dekrēta par resursu piešķiršanu stāšanās spēkā: projektiem, kuru mērķis ir uzlabot vietu, parku un vēsturisko dārzu identitāti </w:t>
            </w:r>
          </w:p>
        </w:tc>
      </w:tr>
      <w:tr w:rsidR="00327FF1" w14:paraId="40E22B11" w14:textId="77777777">
        <w:trPr>
          <w:trHeight w:val="300"/>
        </w:trPr>
        <w:tc>
          <w:tcPr>
            <w:tcW w:w="1200" w:type="dxa"/>
            <w:shd w:val="clear" w:color="auto" w:fill="C6EFCE"/>
            <w:tcMar>
              <w:left w:w="108" w:type="dxa"/>
              <w:right w:w="108" w:type="dxa"/>
            </w:tcMar>
            <w:vAlign w:val="center"/>
          </w:tcPr>
          <w:p w14:paraId="44A5DF8D" w14:textId="77777777" w:rsidR="00327FF1" w:rsidRDefault="00E406C7">
            <w:pPr>
              <w:pStyle w:val="P68B1DB1-Normal121"/>
              <w:spacing w:after="0" w:line="240" w:lineRule="auto"/>
              <w:jc w:val="center"/>
              <w:rPr>
                <w:noProof/>
              </w:rPr>
            </w:pPr>
            <w:r>
              <w:rPr>
                <w:noProof/>
              </w:rPr>
              <w:t>M1C3–15</w:t>
            </w:r>
          </w:p>
        </w:tc>
        <w:tc>
          <w:tcPr>
            <w:tcW w:w="2553" w:type="dxa"/>
            <w:shd w:val="clear" w:color="auto" w:fill="C6EFCE"/>
            <w:tcMar>
              <w:left w:w="108" w:type="dxa"/>
              <w:right w:w="108" w:type="dxa"/>
            </w:tcMar>
            <w:vAlign w:val="center"/>
          </w:tcPr>
          <w:p w14:paraId="2A7DF107" w14:textId="77777777" w:rsidR="00327FF1" w:rsidRDefault="00E406C7">
            <w:pPr>
              <w:pStyle w:val="P68B1DB1-Normal121"/>
              <w:spacing w:after="0" w:line="240" w:lineRule="auto"/>
              <w:rPr>
                <w:noProof/>
              </w:rPr>
            </w:pPr>
            <w:r>
              <w:rPr>
                <w:noProof/>
              </w:rPr>
              <w:t>Investīcija Nr. 2.4. kulta vietu seismiskā drošība, FEC mantojuma atjaunošana un mākslas darbu pat</w:t>
            </w:r>
            <w:r>
              <w:rPr>
                <w:noProof/>
              </w:rPr>
              <w:t>versmes</w:t>
            </w:r>
          </w:p>
        </w:tc>
        <w:tc>
          <w:tcPr>
            <w:tcW w:w="1170" w:type="dxa"/>
            <w:shd w:val="clear" w:color="auto" w:fill="C6EFCE"/>
            <w:tcMar>
              <w:left w:w="108" w:type="dxa"/>
              <w:right w:w="108" w:type="dxa"/>
            </w:tcMar>
            <w:vAlign w:val="center"/>
          </w:tcPr>
          <w:p w14:paraId="3C946AFE"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24D956C3" w14:textId="77777777" w:rsidR="00327FF1" w:rsidRDefault="00E406C7">
            <w:pPr>
              <w:pStyle w:val="P68B1DB1-Normal121"/>
              <w:spacing w:after="0" w:line="240" w:lineRule="auto"/>
              <w:rPr>
                <w:noProof/>
              </w:rPr>
            </w:pPr>
            <w:r>
              <w:rPr>
                <w:noProof/>
              </w:rPr>
              <w:t xml:space="preserve">Kultūras ministrijas dekrēta par resursu piešķiršanu stāšanās spēkā: seismiskā drošība kulta vietā un FEC (Fondo Edifici di Culto) mantojuma atjaunošana </w:t>
            </w:r>
          </w:p>
        </w:tc>
      </w:tr>
      <w:tr w:rsidR="00327FF1" w14:paraId="2DDD3B0F" w14:textId="77777777">
        <w:trPr>
          <w:trHeight w:val="300"/>
        </w:trPr>
        <w:tc>
          <w:tcPr>
            <w:tcW w:w="1200" w:type="dxa"/>
            <w:shd w:val="clear" w:color="auto" w:fill="C6EFCE"/>
            <w:tcMar>
              <w:left w:w="108" w:type="dxa"/>
              <w:right w:w="108" w:type="dxa"/>
            </w:tcMar>
            <w:vAlign w:val="center"/>
          </w:tcPr>
          <w:p w14:paraId="3F9AF5CE" w14:textId="77777777" w:rsidR="00327FF1" w:rsidRDefault="00E406C7">
            <w:pPr>
              <w:pStyle w:val="P68B1DB1-Normal121"/>
              <w:spacing w:after="0" w:line="240" w:lineRule="auto"/>
              <w:jc w:val="center"/>
              <w:rPr>
                <w:noProof/>
              </w:rPr>
            </w:pPr>
            <w:r>
              <w:rPr>
                <w:noProof/>
              </w:rPr>
              <w:t>M1C3–35</w:t>
            </w:r>
          </w:p>
        </w:tc>
        <w:tc>
          <w:tcPr>
            <w:tcW w:w="2553" w:type="dxa"/>
            <w:shd w:val="clear" w:color="auto" w:fill="C6EFCE"/>
            <w:tcMar>
              <w:left w:w="108" w:type="dxa"/>
              <w:right w:w="108" w:type="dxa"/>
            </w:tcMar>
            <w:vAlign w:val="center"/>
          </w:tcPr>
          <w:p w14:paraId="36D4B661" w14:textId="77777777" w:rsidR="00327FF1" w:rsidRDefault="00E406C7">
            <w:pPr>
              <w:pStyle w:val="P68B1DB1-Normal121"/>
              <w:spacing w:after="0" w:line="240" w:lineRule="auto"/>
              <w:rPr>
                <w:noProof/>
              </w:rPr>
            </w:pPr>
            <w:r>
              <w:rPr>
                <w:noProof/>
              </w:rPr>
              <w:t>Investīcijas — 4.3. Caput Mundi-Next Generation EU tūrisma lieliskie</w:t>
            </w:r>
            <w:r>
              <w:rPr>
                <w:noProof/>
              </w:rPr>
              <w:t>m pasākumiem</w:t>
            </w:r>
          </w:p>
        </w:tc>
        <w:tc>
          <w:tcPr>
            <w:tcW w:w="1170" w:type="dxa"/>
            <w:shd w:val="clear" w:color="auto" w:fill="C6EFCE"/>
            <w:tcMar>
              <w:left w:w="108" w:type="dxa"/>
              <w:right w:w="108" w:type="dxa"/>
            </w:tcMar>
            <w:vAlign w:val="center"/>
          </w:tcPr>
          <w:p w14:paraId="19657936"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64E7DB84" w14:textId="3822B7F8" w:rsidR="00327FF1" w:rsidRDefault="00E406C7">
            <w:pPr>
              <w:pStyle w:val="P68B1DB1-Normal121"/>
              <w:spacing w:after="0" w:line="240" w:lineRule="auto"/>
              <w:rPr>
                <w:noProof/>
              </w:rPr>
            </w:pPr>
            <w:r>
              <w:rPr>
                <w:noProof/>
              </w:rPr>
              <w:t>Katra nolīguma parakstīšana par sešiem projektiem starp Tūrisma ministriju un saņēmējiem/īstenošanas struktūrām</w:t>
            </w:r>
          </w:p>
        </w:tc>
      </w:tr>
      <w:tr w:rsidR="00327FF1" w14:paraId="36AB031F" w14:textId="77777777">
        <w:trPr>
          <w:trHeight w:val="300"/>
        </w:trPr>
        <w:tc>
          <w:tcPr>
            <w:tcW w:w="1200" w:type="dxa"/>
            <w:shd w:val="clear" w:color="auto" w:fill="C6EFCE"/>
            <w:tcMar>
              <w:left w:w="108" w:type="dxa"/>
              <w:right w:w="108" w:type="dxa"/>
            </w:tcMar>
            <w:vAlign w:val="center"/>
          </w:tcPr>
          <w:p w14:paraId="1B2F7BB4" w14:textId="77777777" w:rsidR="00327FF1" w:rsidRDefault="00E406C7">
            <w:pPr>
              <w:pStyle w:val="P68B1DB1-Normal121"/>
              <w:spacing w:after="0" w:line="240" w:lineRule="auto"/>
              <w:jc w:val="center"/>
              <w:rPr>
                <w:noProof/>
              </w:rPr>
            </w:pPr>
            <w:r>
              <w:rPr>
                <w:noProof/>
              </w:rPr>
              <w:t>M2C1–13</w:t>
            </w:r>
          </w:p>
        </w:tc>
        <w:tc>
          <w:tcPr>
            <w:tcW w:w="2553" w:type="dxa"/>
            <w:shd w:val="clear" w:color="auto" w:fill="C6EFCE"/>
            <w:tcMar>
              <w:left w:w="108" w:type="dxa"/>
              <w:right w:w="108" w:type="dxa"/>
            </w:tcMar>
            <w:vAlign w:val="center"/>
          </w:tcPr>
          <w:p w14:paraId="07A96649" w14:textId="77777777" w:rsidR="00327FF1" w:rsidRDefault="00E406C7">
            <w:pPr>
              <w:pStyle w:val="P68B1DB1-Normal121"/>
              <w:spacing w:after="0" w:line="240" w:lineRule="auto"/>
              <w:rPr>
                <w:noProof/>
              </w:rPr>
            </w:pPr>
            <w:r>
              <w:rPr>
                <w:noProof/>
              </w:rPr>
              <w:t>Reforma Nr. 1.2. Atkritumu apsaimniekošanas valsts programma</w:t>
            </w:r>
          </w:p>
        </w:tc>
        <w:tc>
          <w:tcPr>
            <w:tcW w:w="1170" w:type="dxa"/>
            <w:shd w:val="clear" w:color="auto" w:fill="C6EFCE"/>
            <w:tcMar>
              <w:left w:w="108" w:type="dxa"/>
              <w:right w:w="108" w:type="dxa"/>
            </w:tcMar>
            <w:vAlign w:val="center"/>
          </w:tcPr>
          <w:p w14:paraId="08C5B359"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237E12FC" w14:textId="77777777" w:rsidR="00327FF1" w:rsidRDefault="00E406C7">
            <w:pPr>
              <w:pStyle w:val="P68B1DB1-Normal121"/>
              <w:spacing w:after="0" w:line="240" w:lineRule="auto"/>
              <w:rPr>
                <w:noProof/>
              </w:rPr>
            </w:pPr>
            <w:r>
              <w:rPr>
                <w:noProof/>
              </w:rPr>
              <w:t xml:space="preserve">Stājas spēkā ministrijas </w:t>
            </w:r>
            <w:r>
              <w:rPr>
                <w:noProof/>
              </w:rPr>
              <w:t>dekrēts par atkritumu apsaimniekošanas valsts programmu</w:t>
            </w:r>
          </w:p>
        </w:tc>
      </w:tr>
      <w:tr w:rsidR="00327FF1" w14:paraId="31AFA104" w14:textId="77777777">
        <w:trPr>
          <w:trHeight w:val="300"/>
        </w:trPr>
        <w:tc>
          <w:tcPr>
            <w:tcW w:w="1200" w:type="dxa"/>
            <w:shd w:val="clear" w:color="auto" w:fill="C6EFCE"/>
            <w:tcMar>
              <w:left w:w="108" w:type="dxa"/>
              <w:right w:w="108" w:type="dxa"/>
            </w:tcMar>
            <w:vAlign w:val="center"/>
          </w:tcPr>
          <w:p w14:paraId="59A3913B" w14:textId="77777777" w:rsidR="00327FF1" w:rsidRDefault="00E406C7">
            <w:pPr>
              <w:pStyle w:val="P68B1DB1-Normal121"/>
              <w:spacing w:after="0" w:line="240" w:lineRule="auto"/>
              <w:jc w:val="center"/>
              <w:rPr>
                <w:noProof/>
              </w:rPr>
            </w:pPr>
            <w:r>
              <w:rPr>
                <w:noProof/>
              </w:rPr>
              <w:t>M2C2–52</w:t>
            </w:r>
          </w:p>
        </w:tc>
        <w:tc>
          <w:tcPr>
            <w:tcW w:w="2553" w:type="dxa"/>
            <w:shd w:val="clear" w:color="auto" w:fill="C6EFCE"/>
            <w:tcMar>
              <w:left w:w="108" w:type="dxa"/>
              <w:right w:w="108" w:type="dxa"/>
            </w:tcMar>
            <w:vAlign w:val="center"/>
          </w:tcPr>
          <w:p w14:paraId="73075D85" w14:textId="77777777" w:rsidR="00327FF1" w:rsidRDefault="00E406C7">
            <w:pPr>
              <w:pStyle w:val="P68B1DB1-Normal121"/>
              <w:spacing w:after="0" w:line="240" w:lineRule="auto"/>
              <w:rPr>
                <w:noProof/>
              </w:rPr>
            </w:pPr>
            <w:r>
              <w:rPr>
                <w:noProof/>
              </w:rPr>
              <w:t>Investīcija 5.2. Ūdeņradis</w:t>
            </w:r>
          </w:p>
        </w:tc>
        <w:tc>
          <w:tcPr>
            <w:tcW w:w="1170" w:type="dxa"/>
            <w:shd w:val="clear" w:color="auto" w:fill="C6EFCE"/>
            <w:tcMar>
              <w:left w:w="108" w:type="dxa"/>
              <w:right w:w="108" w:type="dxa"/>
            </w:tcMar>
            <w:vAlign w:val="center"/>
          </w:tcPr>
          <w:p w14:paraId="7C9BB664"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7CB11CED" w14:textId="77777777" w:rsidR="00327FF1" w:rsidRDefault="00E406C7">
            <w:pPr>
              <w:pStyle w:val="P68B1DB1-Normal121"/>
              <w:spacing w:after="0" w:line="240" w:lineRule="auto"/>
              <w:rPr>
                <w:noProof/>
              </w:rPr>
            </w:pPr>
            <w:r>
              <w:rPr>
                <w:noProof/>
              </w:rPr>
              <w:t>Elektrolīzeru ražošana</w:t>
            </w:r>
          </w:p>
        </w:tc>
      </w:tr>
      <w:tr w:rsidR="00327FF1" w14:paraId="18F43EBF" w14:textId="77777777">
        <w:trPr>
          <w:trHeight w:val="300"/>
        </w:trPr>
        <w:tc>
          <w:tcPr>
            <w:tcW w:w="1200" w:type="dxa"/>
            <w:shd w:val="clear" w:color="auto" w:fill="C6EFCE"/>
            <w:tcMar>
              <w:left w:w="108" w:type="dxa"/>
              <w:right w:w="108" w:type="dxa"/>
            </w:tcMar>
            <w:vAlign w:val="center"/>
          </w:tcPr>
          <w:p w14:paraId="39C0E61A" w14:textId="77777777" w:rsidR="00327FF1" w:rsidRDefault="00E406C7">
            <w:pPr>
              <w:pStyle w:val="P68B1DB1-Normal121"/>
              <w:spacing w:after="0" w:line="240" w:lineRule="auto"/>
              <w:jc w:val="center"/>
              <w:rPr>
                <w:noProof/>
              </w:rPr>
            </w:pPr>
            <w:r>
              <w:rPr>
                <w:noProof/>
              </w:rPr>
              <w:t>M4C2–11</w:t>
            </w:r>
          </w:p>
        </w:tc>
        <w:tc>
          <w:tcPr>
            <w:tcW w:w="2553" w:type="dxa"/>
            <w:shd w:val="clear" w:color="auto" w:fill="C6EFCE"/>
            <w:tcMar>
              <w:left w:w="108" w:type="dxa"/>
              <w:right w:w="108" w:type="dxa"/>
            </w:tcMar>
            <w:vAlign w:val="center"/>
          </w:tcPr>
          <w:p w14:paraId="38485082" w14:textId="77777777" w:rsidR="00327FF1" w:rsidRDefault="00E406C7">
            <w:pPr>
              <w:pStyle w:val="P68B1DB1-Normal121"/>
              <w:spacing w:after="0" w:line="240" w:lineRule="auto"/>
              <w:rPr>
                <w:noProof/>
              </w:rPr>
            </w:pPr>
            <w:r>
              <w:rPr>
                <w:noProof/>
              </w:rPr>
              <w:t xml:space="preserve">Investīcija 2.1: IPCEI </w:t>
            </w:r>
          </w:p>
        </w:tc>
        <w:tc>
          <w:tcPr>
            <w:tcW w:w="1170" w:type="dxa"/>
            <w:shd w:val="clear" w:color="auto" w:fill="C6EFCE"/>
            <w:tcMar>
              <w:left w:w="108" w:type="dxa"/>
              <w:right w:w="108" w:type="dxa"/>
            </w:tcMar>
            <w:vAlign w:val="center"/>
          </w:tcPr>
          <w:p w14:paraId="494555A1"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03F2E97E" w14:textId="77777777" w:rsidR="00327FF1" w:rsidRDefault="00E406C7">
            <w:pPr>
              <w:pStyle w:val="P68B1DB1-Normal121"/>
              <w:spacing w:after="0" w:line="240" w:lineRule="auto"/>
              <w:rPr>
                <w:noProof/>
              </w:rPr>
            </w:pPr>
            <w:r>
              <w:rPr>
                <w:noProof/>
              </w:rPr>
              <w:t xml:space="preserve">Stājas spēkā valsts tiesību akts, ar ko piešķir nepieciešamo finansējumu, </w:t>
            </w:r>
            <w:r>
              <w:rPr>
                <w:noProof/>
              </w:rPr>
              <w:t>lai sniegtu atbalstu projektu dalībniekiem.</w:t>
            </w:r>
          </w:p>
        </w:tc>
      </w:tr>
      <w:tr w:rsidR="00327FF1" w14:paraId="0FFAFA89" w14:textId="77777777">
        <w:trPr>
          <w:trHeight w:val="300"/>
        </w:trPr>
        <w:tc>
          <w:tcPr>
            <w:tcW w:w="1200" w:type="dxa"/>
            <w:shd w:val="clear" w:color="auto" w:fill="C6EFCE"/>
            <w:tcMar>
              <w:left w:w="108" w:type="dxa"/>
              <w:right w:w="108" w:type="dxa"/>
            </w:tcMar>
            <w:vAlign w:val="center"/>
          </w:tcPr>
          <w:p w14:paraId="6D17F329" w14:textId="77777777" w:rsidR="00327FF1" w:rsidRDefault="00E406C7">
            <w:pPr>
              <w:pStyle w:val="P68B1DB1-Normal121"/>
              <w:spacing w:after="0" w:line="240" w:lineRule="auto"/>
              <w:jc w:val="center"/>
              <w:rPr>
                <w:noProof/>
              </w:rPr>
            </w:pPr>
            <w:r>
              <w:rPr>
                <w:noProof/>
              </w:rPr>
              <w:t>M4C2–17</w:t>
            </w:r>
          </w:p>
        </w:tc>
        <w:tc>
          <w:tcPr>
            <w:tcW w:w="2553" w:type="dxa"/>
            <w:shd w:val="clear" w:color="auto" w:fill="C6EFCE"/>
            <w:tcMar>
              <w:left w:w="108" w:type="dxa"/>
              <w:right w:w="108" w:type="dxa"/>
            </w:tcMar>
            <w:vAlign w:val="center"/>
          </w:tcPr>
          <w:p w14:paraId="4AD85A90" w14:textId="77777777" w:rsidR="00327FF1" w:rsidRDefault="00E406C7">
            <w:pPr>
              <w:pStyle w:val="P68B1DB1-Normal121"/>
              <w:spacing w:after="0" w:line="240" w:lineRule="auto"/>
              <w:rPr>
                <w:noProof/>
              </w:rPr>
            </w:pPr>
            <w:r>
              <w:rPr>
                <w:noProof/>
              </w:rPr>
              <w:t>Investīcija Nr. 3.1: Pētniecības un inovācijas infrastruktūras integrētas sistēmas izveides fonds; Ieguldījumi</w:t>
            </w:r>
          </w:p>
        </w:tc>
        <w:tc>
          <w:tcPr>
            <w:tcW w:w="1170" w:type="dxa"/>
            <w:shd w:val="clear" w:color="auto" w:fill="C6EFCE"/>
            <w:tcMar>
              <w:left w:w="108" w:type="dxa"/>
              <w:right w:w="108" w:type="dxa"/>
            </w:tcMar>
            <w:vAlign w:val="center"/>
          </w:tcPr>
          <w:p w14:paraId="69172B17"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38DCF6F6" w14:textId="278638D9" w:rsidR="00327FF1" w:rsidRDefault="00E406C7">
            <w:pPr>
              <w:pStyle w:val="P68B1DB1-Normal121"/>
              <w:spacing w:after="0" w:line="240" w:lineRule="auto"/>
              <w:rPr>
                <w:noProof/>
              </w:rPr>
            </w:pPr>
            <w:r>
              <w:rPr>
                <w:noProof/>
              </w:rPr>
              <w:t>Līgumu slēgšanas tiesību piešķiršana projektiem, kas attiecas uz: integrēta</w:t>
            </w:r>
            <w:r>
              <w:rPr>
                <w:noProof/>
              </w:rPr>
              <w:t xml:space="preserve"> pētniecības un inovācijas infrastruktūru sistēma</w:t>
            </w:r>
          </w:p>
        </w:tc>
      </w:tr>
      <w:tr w:rsidR="00327FF1" w14:paraId="3D327861" w14:textId="77777777">
        <w:trPr>
          <w:trHeight w:val="300"/>
        </w:trPr>
        <w:tc>
          <w:tcPr>
            <w:tcW w:w="1200" w:type="dxa"/>
            <w:shd w:val="clear" w:color="auto" w:fill="C6EFCE"/>
            <w:tcMar>
              <w:left w:w="108" w:type="dxa"/>
              <w:right w:w="108" w:type="dxa"/>
            </w:tcMar>
            <w:vAlign w:val="center"/>
          </w:tcPr>
          <w:p w14:paraId="2A6A11F8" w14:textId="77777777" w:rsidR="00327FF1" w:rsidRDefault="00E406C7">
            <w:pPr>
              <w:pStyle w:val="P68B1DB1-Normal121"/>
              <w:spacing w:after="0" w:line="240" w:lineRule="auto"/>
              <w:jc w:val="center"/>
              <w:rPr>
                <w:noProof/>
              </w:rPr>
            </w:pPr>
            <w:r>
              <w:rPr>
                <w:noProof/>
              </w:rPr>
              <w:t>M4C2–18</w:t>
            </w:r>
          </w:p>
        </w:tc>
        <w:tc>
          <w:tcPr>
            <w:tcW w:w="2553" w:type="dxa"/>
            <w:shd w:val="clear" w:color="auto" w:fill="C6EFCE"/>
            <w:tcMar>
              <w:left w:w="108" w:type="dxa"/>
              <w:right w:w="108" w:type="dxa"/>
            </w:tcMar>
            <w:vAlign w:val="center"/>
          </w:tcPr>
          <w:p w14:paraId="42401369" w14:textId="77777777" w:rsidR="00327FF1" w:rsidRDefault="00E406C7">
            <w:pPr>
              <w:pStyle w:val="P68B1DB1-Normal121"/>
              <w:spacing w:after="0" w:line="240" w:lineRule="auto"/>
              <w:rPr>
                <w:noProof/>
              </w:rPr>
            </w:pPr>
            <w:r>
              <w:rPr>
                <w:noProof/>
              </w:rPr>
              <w:t>Ieviešana1.5: “Ilgtspēju sekmējošu inovāciju ekosistēmu” izveide un stiprināšana, veidojot “pētniecības un izstrādes teritoriālos līderus”</w:t>
            </w:r>
          </w:p>
        </w:tc>
        <w:tc>
          <w:tcPr>
            <w:tcW w:w="1170" w:type="dxa"/>
            <w:shd w:val="clear" w:color="auto" w:fill="C6EFCE"/>
            <w:tcMar>
              <w:left w:w="108" w:type="dxa"/>
              <w:right w:w="108" w:type="dxa"/>
            </w:tcMar>
            <w:vAlign w:val="center"/>
          </w:tcPr>
          <w:p w14:paraId="2F358574"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334D729B" w14:textId="26F88800" w:rsidR="00327FF1" w:rsidRDefault="00E406C7">
            <w:pPr>
              <w:pStyle w:val="P68B1DB1-Normal121"/>
              <w:spacing w:after="0" w:line="240" w:lineRule="auto"/>
              <w:rPr>
                <w:noProof/>
              </w:rPr>
            </w:pPr>
            <w:r>
              <w:rPr>
                <w:noProof/>
              </w:rPr>
              <w:t xml:space="preserve">Līgumu slēgšanas tiesību piešķiršana </w:t>
            </w:r>
            <w:r>
              <w:rPr>
                <w:noProof/>
              </w:rPr>
              <w:t>projektiem, kas saistīti ar inovācijas ekosistēmām;</w:t>
            </w:r>
          </w:p>
        </w:tc>
      </w:tr>
      <w:tr w:rsidR="00327FF1" w14:paraId="36D08664" w14:textId="77777777">
        <w:trPr>
          <w:trHeight w:val="300"/>
        </w:trPr>
        <w:tc>
          <w:tcPr>
            <w:tcW w:w="1200" w:type="dxa"/>
            <w:shd w:val="clear" w:color="auto" w:fill="C6EFCE"/>
            <w:tcMar>
              <w:left w:w="108" w:type="dxa"/>
              <w:right w:w="108" w:type="dxa"/>
            </w:tcMar>
            <w:vAlign w:val="center"/>
          </w:tcPr>
          <w:p w14:paraId="5440F36F" w14:textId="77777777" w:rsidR="00327FF1" w:rsidRDefault="00E406C7">
            <w:pPr>
              <w:pStyle w:val="P68B1DB1-Normal121"/>
              <w:spacing w:after="0" w:line="240" w:lineRule="auto"/>
              <w:jc w:val="center"/>
              <w:rPr>
                <w:noProof/>
              </w:rPr>
            </w:pPr>
            <w:r>
              <w:rPr>
                <w:noProof/>
              </w:rPr>
              <w:t>M4C2–19</w:t>
            </w:r>
          </w:p>
        </w:tc>
        <w:tc>
          <w:tcPr>
            <w:tcW w:w="2553" w:type="dxa"/>
            <w:shd w:val="clear" w:color="auto" w:fill="C6EFCE"/>
            <w:tcMar>
              <w:left w:w="108" w:type="dxa"/>
              <w:right w:w="108" w:type="dxa"/>
            </w:tcMar>
            <w:vAlign w:val="center"/>
          </w:tcPr>
          <w:p w14:paraId="5AC7CD21" w14:textId="77777777" w:rsidR="00327FF1" w:rsidRDefault="00E406C7">
            <w:pPr>
              <w:pStyle w:val="P68B1DB1-Normal121"/>
              <w:spacing w:after="0" w:line="240" w:lineRule="auto"/>
              <w:rPr>
                <w:noProof/>
              </w:rPr>
            </w:pPr>
            <w:r>
              <w:rPr>
                <w:noProof/>
              </w:rPr>
              <w:t>Investīcija Nr. 1.4: Stiprināt pētniecības struktūras un atbalstīt “valstu pētniecības un attīstības līderu” izveidi attiecībā uz dažām svarīgām pamattehnoloģijām</w:t>
            </w:r>
          </w:p>
        </w:tc>
        <w:tc>
          <w:tcPr>
            <w:tcW w:w="1170" w:type="dxa"/>
            <w:shd w:val="clear" w:color="auto" w:fill="C6EFCE"/>
            <w:tcMar>
              <w:left w:w="108" w:type="dxa"/>
              <w:right w:w="108" w:type="dxa"/>
            </w:tcMar>
            <w:vAlign w:val="center"/>
          </w:tcPr>
          <w:p w14:paraId="3E1542BB"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50ADCE4F" w14:textId="77777777" w:rsidR="00327FF1" w:rsidRDefault="00E406C7">
            <w:pPr>
              <w:pStyle w:val="P68B1DB1-Normal121"/>
              <w:spacing w:after="0" w:line="240" w:lineRule="auto"/>
              <w:rPr>
                <w:noProof/>
              </w:rPr>
            </w:pPr>
            <w:r>
              <w:rPr>
                <w:noProof/>
              </w:rPr>
              <w:t xml:space="preserve">Līgumu </w:t>
            </w:r>
            <w:r>
              <w:rPr>
                <w:noProof/>
              </w:rPr>
              <w:t>slēgšanas tiesību piešķiršana projektiem, kas saistīti ar valstu pētniecības un attīstības līderiem svarīgu pamattehnoloģiju jomā</w:t>
            </w:r>
          </w:p>
        </w:tc>
      </w:tr>
      <w:tr w:rsidR="00327FF1" w14:paraId="187BBED8" w14:textId="77777777">
        <w:trPr>
          <w:trHeight w:val="300"/>
        </w:trPr>
        <w:tc>
          <w:tcPr>
            <w:tcW w:w="1200" w:type="dxa"/>
            <w:shd w:val="clear" w:color="auto" w:fill="C6EFCE"/>
            <w:tcMar>
              <w:left w:w="108" w:type="dxa"/>
              <w:right w:w="108" w:type="dxa"/>
            </w:tcMar>
            <w:vAlign w:val="center"/>
          </w:tcPr>
          <w:p w14:paraId="78C06E0F" w14:textId="77777777" w:rsidR="00327FF1" w:rsidRDefault="00E406C7">
            <w:pPr>
              <w:pStyle w:val="P68B1DB1-Normal121"/>
              <w:spacing w:after="0" w:line="240" w:lineRule="auto"/>
              <w:jc w:val="center"/>
              <w:rPr>
                <w:noProof/>
              </w:rPr>
            </w:pPr>
            <w:r>
              <w:rPr>
                <w:noProof/>
              </w:rPr>
              <w:t>M4C2–20</w:t>
            </w:r>
          </w:p>
        </w:tc>
        <w:tc>
          <w:tcPr>
            <w:tcW w:w="2553" w:type="dxa"/>
            <w:shd w:val="clear" w:color="auto" w:fill="C6EFCE"/>
            <w:tcMar>
              <w:left w:w="108" w:type="dxa"/>
              <w:right w:w="108" w:type="dxa"/>
            </w:tcMar>
            <w:vAlign w:val="center"/>
          </w:tcPr>
          <w:p w14:paraId="094B3D73" w14:textId="77777777" w:rsidR="00327FF1" w:rsidRDefault="00E406C7">
            <w:pPr>
              <w:pStyle w:val="P68B1DB1-Normal121"/>
              <w:spacing w:after="0" w:line="240" w:lineRule="auto"/>
              <w:rPr>
                <w:noProof/>
              </w:rPr>
            </w:pPr>
            <w:r>
              <w:rPr>
                <w:noProof/>
              </w:rPr>
              <w:t>“Investīcija Nr. 3.2. Kapitāla iepludināšana Digitālās pārkārtošanās fondā (“DTF”)</w:t>
            </w:r>
          </w:p>
        </w:tc>
        <w:tc>
          <w:tcPr>
            <w:tcW w:w="1170" w:type="dxa"/>
            <w:shd w:val="clear" w:color="auto" w:fill="C6EFCE"/>
            <w:tcMar>
              <w:left w:w="108" w:type="dxa"/>
              <w:right w:w="108" w:type="dxa"/>
            </w:tcMar>
            <w:vAlign w:val="center"/>
          </w:tcPr>
          <w:p w14:paraId="26810BF7"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3FB4DC7F" w14:textId="77777777" w:rsidR="00327FF1" w:rsidRDefault="00E406C7">
            <w:pPr>
              <w:pStyle w:val="P68B1DB1-Normal121"/>
              <w:spacing w:after="0" w:line="240" w:lineRule="auto"/>
              <w:rPr>
                <w:noProof/>
              </w:rPr>
            </w:pPr>
            <w:r>
              <w:rPr>
                <w:noProof/>
              </w:rPr>
              <w:t xml:space="preserve">Parakstīts </w:t>
            </w:r>
            <w:r>
              <w:rPr>
                <w:noProof/>
              </w:rPr>
              <w:t>nolīgums starp IT valdību un īstenošanas partneri Cassa Depositi e Prestiti (CDP), ar ko izveido finanšu instrumentu</w:t>
            </w:r>
          </w:p>
        </w:tc>
      </w:tr>
      <w:tr w:rsidR="00327FF1" w14:paraId="4C78895A" w14:textId="77777777">
        <w:trPr>
          <w:trHeight w:val="300"/>
        </w:trPr>
        <w:tc>
          <w:tcPr>
            <w:tcW w:w="1200" w:type="dxa"/>
            <w:shd w:val="clear" w:color="auto" w:fill="C6EFCE"/>
            <w:tcMar>
              <w:left w:w="108" w:type="dxa"/>
              <w:right w:w="108" w:type="dxa"/>
            </w:tcMar>
            <w:vAlign w:val="center"/>
          </w:tcPr>
          <w:p w14:paraId="5E551B9D" w14:textId="77777777" w:rsidR="00327FF1" w:rsidRDefault="00E406C7">
            <w:pPr>
              <w:pStyle w:val="P68B1DB1-Normal121"/>
              <w:spacing w:after="0" w:line="240" w:lineRule="auto"/>
              <w:jc w:val="center"/>
              <w:rPr>
                <w:noProof/>
              </w:rPr>
            </w:pPr>
            <w:r>
              <w:rPr>
                <w:noProof/>
              </w:rPr>
              <w:t>M6C1–1</w:t>
            </w:r>
          </w:p>
        </w:tc>
        <w:tc>
          <w:tcPr>
            <w:tcW w:w="2553" w:type="dxa"/>
            <w:shd w:val="clear" w:color="auto" w:fill="C6EFCE"/>
            <w:tcMar>
              <w:left w:w="108" w:type="dxa"/>
              <w:right w:w="108" w:type="dxa"/>
            </w:tcMar>
            <w:vAlign w:val="center"/>
          </w:tcPr>
          <w:p w14:paraId="02114A41" w14:textId="77777777" w:rsidR="00327FF1" w:rsidRDefault="00E406C7">
            <w:pPr>
              <w:pStyle w:val="P68B1DB1-Normal121"/>
              <w:spacing w:after="0" w:line="240" w:lineRule="auto"/>
              <w:rPr>
                <w:noProof/>
              </w:rPr>
            </w:pPr>
            <w:r>
              <w:rPr>
                <w:noProof/>
              </w:rPr>
              <w:t>Reforma:  Jauna organizatoriskā modeļa noteikšana teritoriālajam veselības aprūpes palīdzības tīklam</w:t>
            </w:r>
          </w:p>
        </w:tc>
        <w:tc>
          <w:tcPr>
            <w:tcW w:w="1170" w:type="dxa"/>
            <w:shd w:val="clear" w:color="auto" w:fill="C6EFCE"/>
            <w:tcMar>
              <w:left w:w="108" w:type="dxa"/>
              <w:right w:w="108" w:type="dxa"/>
            </w:tcMar>
            <w:vAlign w:val="center"/>
          </w:tcPr>
          <w:p w14:paraId="6C5A4886"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5E9D1D43" w14:textId="77777777" w:rsidR="00327FF1" w:rsidRDefault="00E406C7">
            <w:pPr>
              <w:pStyle w:val="P68B1DB1-Normal121"/>
              <w:spacing w:after="0" w:line="240" w:lineRule="auto"/>
              <w:rPr>
                <w:noProof/>
              </w:rPr>
            </w:pPr>
            <w:r>
              <w:rPr>
                <w:noProof/>
              </w:rPr>
              <w:t xml:space="preserve">Stājas spēkā </w:t>
            </w:r>
            <w:r>
              <w:rPr>
                <w:noProof/>
              </w:rPr>
              <w:t>sekundārie tiesību akti (ministra dekrēts), kas paredz veselības aprūpes organizācijas reformu.</w:t>
            </w:r>
          </w:p>
        </w:tc>
      </w:tr>
      <w:tr w:rsidR="00327FF1" w14:paraId="527D1569" w14:textId="77777777">
        <w:trPr>
          <w:trHeight w:val="300"/>
        </w:trPr>
        <w:tc>
          <w:tcPr>
            <w:tcW w:w="1200" w:type="dxa"/>
            <w:shd w:val="clear" w:color="auto" w:fill="C6EFCE"/>
            <w:tcMar>
              <w:left w:w="108" w:type="dxa"/>
              <w:right w:w="108" w:type="dxa"/>
            </w:tcMar>
            <w:vAlign w:val="center"/>
          </w:tcPr>
          <w:p w14:paraId="473A1EC2" w14:textId="77777777" w:rsidR="00327FF1" w:rsidRDefault="00E406C7">
            <w:pPr>
              <w:pStyle w:val="P68B1DB1-Normal121"/>
              <w:spacing w:after="0" w:line="240" w:lineRule="auto"/>
              <w:jc w:val="center"/>
              <w:rPr>
                <w:noProof/>
              </w:rPr>
            </w:pPr>
            <w:r>
              <w:rPr>
                <w:noProof/>
              </w:rPr>
              <w:t>M6C1–2</w:t>
            </w:r>
          </w:p>
        </w:tc>
        <w:tc>
          <w:tcPr>
            <w:tcW w:w="2553" w:type="dxa"/>
            <w:shd w:val="clear" w:color="auto" w:fill="C6EFCE"/>
            <w:tcMar>
              <w:left w:w="108" w:type="dxa"/>
              <w:right w:w="108" w:type="dxa"/>
            </w:tcMar>
            <w:vAlign w:val="center"/>
          </w:tcPr>
          <w:p w14:paraId="1BBAC2E2" w14:textId="77777777" w:rsidR="00327FF1" w:rsidRDefault="00E406C7">
            <w:pPr>
              <w:pStyle w:val="P68B1DB1-Normal121"/>
              <w:spacing w:after="0" w:line="240" w:lineRule="auto"/>
              <w:rPr>
                <w:noProof/>
              </w:rPr>
            </w:pPr>
            <w:r>
              <w:rPr>
                <w:noProof/>
              </w:rPr>
              <w:t>Investīcija 1.1: Kopienu veselības aprūpes nami, lai uzlabotu teritoriālo palīdzību veselības jomā</w:t>
            </w:r>
          </w:p>
        </w:tc>
        <w:tc>
          <w:tcPr>
            <w:tcW w:w="1170" w:type="dxa"/>
            <w:shd w:val="clear" w:color="auto" w:fill="C6EFCE"/>
            <w:tcMar>
              <w:left w:w="108" w:type="dxa"/>
              <w:right w:w="108" w:type="dxa"/>
            </w:tcMar>
            <w:vAlign w:val="center"/>
          </w:tcPr>
          <w:p w14:paraId="66D319BD"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4B8F45FF" w14:textId="77777777" w:rsidR="00327FF1" w:rsidRDefault="00E406C7">
            <w:pPr>
              <w:pStyle w:val="P68B1DB1-Normal121"/>
              <w:spacing w:after="0" w:line="240" w:lineRule="auto"/>
              <w:rPr>
                <w:noProof/>
              </w:rPr>
            </w:pPr>
            <w:r>
              <w:rPr>
                <w:noProof/>
              </w:rPr>
              <w:t>Institucionālās attīstības līguma ap</w:t>
            </w:r>
            <w:r>
              <w:rPr>
                <w:noProof/>
              </w:rPr>
              <w:t xml:space="preserve">stiprināšana </w:t>
            </w:r>
          </w:p>
        </w:tc>
      </w:tr>
      <w:tr w:rsidR="00327FF1" w14:paraId="526856F5" w14:textId="77777777">
        <w:trPr>
          <w:trHeight w:val="300"/>
        </w:trPr>
        <w:tc>
          <w:tcPr>
            <w:tcW w:w="1200" w:type="dxa"/>
            <w:shd w:val="clear" w:color="auto" w:fill="C6EFCE"/>
            <w:tcMar>
              <w:left w:w="108" w:type="dxa"/>
              <w:right w:w="108" w:type="dxa"/>
            </w:tcMar>
            <w:vAlign w:val="center"/>
          </w:tcPr>
          <w:p w14:paraId="23AB4BD1" w14:textId="77777777" w:rsidR="00327FF1" w:rsidRDefault="00E406C7">
            <w:pPr>
              <w:pStyle w:val="P68B1DB1-Normal121"/>
              <w:spacing w:after="0" w:line="240" w:lineRule="auto"/>
              <w:jc w:val="center"/>
              <w:rPr>
                <w:noProof/>
              </w:rPr>
            </w:pPr>
            <w:r>
              <w:rPr>
                <w:noProof/>
              </w:rPr>
              <w:t>M6C1–4</w:t>
            </w:r>
          </w:p>
        </w:tc>
        <w:tc>
          <w:tcPr>
            <w:tcW w:w="2553" w:type="dxa"/>
            <w:shd w:val="clear" w:color="auto" w:fill="C6EFCE"/>
            <w:tcMar>
              <w:left w:w="108" w:type="dxa"/>
              <w:right w:w="108" w:type="dxa"/>
            </w:tcMar>
            <w:vAlign w:val="center"/>
          </w:tcPr>
          <w:p w14:paraId="7D884F43" w14:textId="77777777" w:rsidR="00327FF1" w:rsidRDefault="00E406C7">
            <w:pPr>
              <w:pStyle w:val="P68B1DB1-Normal121"/>
              <w:spacing w:after="0" w:line="240" w:lineRule="auto"/>
              <w:rPr>
                <w:noProof/>
              </w:rPr>
            </w:pPr>
            <w:r>
              <w:rPr>
                <w:noProof/>
              </w:rPr>
              <w:t>Ieguldījums 1.2. Mājas kā pirmā aprūpes un telemedicīnas vieta</w:t>
            </w:r>
          </w:p>
        </w:tc>
        <w:tc>
          <w:tcPr>
            <w:tcW w:w="1170" w:type="dxa"/>
            <w:shd w:val="clear" w:color="auto" w:fill="C6EFCE"/>
            <w:tcMar>
              <w:left w:w="108" w:type="dxa"/>
              <w:right w:w="108" w:type="dxa"/>
            </w:tcMar>
            <w:vAlign w:val="center"/>
          </w:tcPr>
          <w:p w14:paraId="7155C256"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020D46F8" w14:textId="77777777" w:rsidR="00327FF1" w:rsidRDefault="00E406C7">
            <w:pPr>
              <w:pStyle w:val="P68B1DB1-Normal121"/>
              <w:spacing w:after="0" w:line="240" w:lineRule="auto"/>
              <w:rPr>
                <w:noProof/>
              </w:rPr>
            </w:pPr>
            <w:r>
              <w:rPr>
                <w:noProof/>
              </w:rPr>
              <w:t>Pamatnostādņu, kurās ietverts digitālais modelis mājas aprūpes īstenošanai, apstiprināšana</w:t>
            </w:r>
          </w:p>
        </w:tc>
      </w:tr>
      <w:tr w:rsidR="00327FF1" w14:paraId="1FE10B33" w14:textId="77777777">
        <w:trPr>
          <w:trHeight w:val="300"/>
        </w:trPr>
        <w:tc>
          <w:tcPr>
            <w:tcW w:w="1200" w:type="dxa"/>
            <w:shd w:val="clear" w:color="auto" w:fill="C6EFCE"/>
            <w:tcMar>
              <w:left w:w="108" w:type="dxa"/>
              <w:right w:w="108" w:type="dxa"/>
            </w:tcMar>
            <w:vAlign w:val="center"/>
          </w:tcPr>
          <w:p w14:paraId="07DCDE0F" w14:textId="77777777" w:rsidR="00327FF1" w:rsidRDefault="00E406C7">
            <w:pPr>
              <w:pStyle w:val="P68B1DB1-Normal121"/>
              <w:spacing w:after="0" w:line="240" w:lineRule="auto"/>
              <w:jc w:val="center"/>
              <w:rPr>
                <w:noProof/>
              </w:rPr>
            </w:pPr>
            <w:r>
              <w:rPr>
                <w:noProof/>
              </w:rPr>
              <w:t>M6C1–5</w:t>
            </w:r>
          </w:p>
        </w:tc>
        <w:tc>
          <w:tcPr>
            <w:tcW w:w="2553" w:type="dxa"/>
            <w:shd w:val="clear" w:color="auto" w:fill="C6EFCE"/>
            <w:tcMar>
              <w:left w:w="108" w:type="dxa"/>
              <w:right w:w="108" w:type="dxa"/>
            </w:tcMar>
            <w:vAlign w:val="center"/>
          </w:tcPr>
          <w:p w14:paraId="3F3FA2E4" w14:textId="77777777" w:rsidR="00327FF1" w:rsidRDefault="00E406C7">
            <w:pPr>
              <w:pStyle w:val="P68B1DB1-Normal121"/>
              <w:spacing w:after="0" w:line="240" w:lineRule="auto"/>
              <w:rPr>
                <w:noProof/>
              </w:rPr>
            </w:pPr>
            <w:r>
              <w:rPr>
                <w:noProof/>
              </w:rPr>
              <w:t xml:space="preserve">Ieguldījums 1.2. Mājas kā pirmā aprūpes un </w:t>
            </w:r>
            <w:r>
              <w:rPr>
                <w:noProof/>
              </w:rPr>
              <w:t>telemedicīnas vieta</w:t>
            </w:r>
          </w:p>
        </w:tc>
        <w:tc>
          <w:tcPr>
            <w:tcW w:w="1170" w:type="dxa"/>
            <w:shd w:val="clear" w:color="auto" w:fill="C6EFCE"/>
            <w:tcMar>
              <w:left w:w="108" w:type="dxa"/>
              <w:right w:w="108" w:type="dxa"/>
            </w:tcMar>
            <w:vAlign w:val="center"/>
          </w:tcPr>
          <w:p w14:paraId="0758DC93"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77129B69" w14:textId="77777777" w:rsidR="00327FF1" w:rsidRDefault="00E406C7">
            <w:pPr>
              <w:pStyle w:val="P68B1DB1-Normal121"/>
              <w:spacing w:after="0" w:line="240" w:lineRule="auto"/>
              <w:rPr>
                <w:noProof/>
              </w:rPr>
            </w:pPr>
            <w:r>
              <w:rPr>
                <w:noProof/>
              </w:rPr>
              <w:t xml:space="preserve">Veselības un reģionu ministrijas apstiprināts institucionālās attīstības līgums </w:t>
            </w:r>
          </w:p>
        </w:tc>
      </w:tr>
      <w:tr w:rsidR="00327FF1" w14:paraId="6A5B23F4" w14:textId="77777777">
        <w:trPr>
          <w:trHeight w:val="300"/>
        </w:trPr>
        <w:tc>
          <w:tcPr>
            <w:tcW w:w="1200" w:type="dxa"/>
            <w:shd w:val="clear" w:color="auto" w:fill="C6EFCE"/>
            <w:tcMar>
              <w:left w:w="108" w:type="dxa"/>
              <w:right w:w="108" w:type="dxa"/>
            </w:tcMar>
            <w:vAlign w:val="center"/>
          </w:tcPr>
          <w:p w14:paraId="17776757" w14:textId="77777777" w:rsidR="00327FF1" w:rsidRDefault="00E406C7">
            <w:pPr>
              <w:pStyle w:val="P68B1DB1-Normal121"/>
              <w:spacing w:after="0" w:line="240" w:lineRule="auto"/>
              <w:jc w:val="center"/>
              <w:rPr>
                <w:noProof/>
              </w:rPr>
            </w:pPr>
            <w:r>
              <w:rPr>
                <w:noProof/>
              </w:rPr>
              <w:t>M6C1–10</w:t>
            </w:r>
          </w:p>
        </w:tc>
        <w:tc>
          <w:tcPr>
            <w:tcW w:w="2553" w:type="dxa"/>
            <w:shd w:val="clear" w:color="auto" w:fill="C6EFCE"/>
            <w:tcMar>
              <w:left w:w="108" w:type="dxa"/>
              <w:right w:w="108" w:type="dxa"/>
            </w:tcMar>
            <w:vAlign w:val="center"/>
          </w:tcPr>
          <w:p w14:paraId="5AC436D7" w14:textId="77777777" w:rsidR="00327FF1" w:rsidRDefault="00E406C7">
            <w:pPr>
              <w:pStyle w:val="P68B1DB1-Normal121"/>
              <w:spacing w:after="0" w:line="240" w:lineRule="auto"/>
              <w:rPr>
                <w:noProof/>
              </w:rPr>
            </w:pPr>
            <w:r>
              <w:rPr>
                <w:noProof/>
              </w:rPr>
              <w:t>Investīcija Nr. 1.3. Starpniecības veselības aprūpes un tās telpu stiprināšana (Kopienas slimnīcas)</w:t>
            </w:r>
          </w:p>
        </w:tc>
        <w:tc>
          <w:tcPr>
            <w:tcW w:w="1170" w:type="dxa"/>
            <w:shd w:val="clear" w:color="auto" w:fill="C6EFCE"/>
            <w:tcMar>
              <w:left w:w="108" w:type="dxa"/>
              <w:right w:w="108" w:type="dxa"/>
            </w:tcMar>
            <w:vAlign w:val="center"/>
          </w:tcPr>
          <w:p w14:paraId="3478C5D3" w14:textId="77777777" w:rsidR="00327FF1" w:rsidRDefault="00E406C7">
            <w:pPr>
              <w:pStyle w:val="P68B1DB1-Normal121"/>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184A02D3" w14:textId="633FB64B" w:rsidR="00327FF1" w:rsidRDefault="00E406C7">
            <w:pPr>
              <w:pStyle w:val="P68B1DB1-Normal121"/>
              <w:spacing w:after="0" w:line="240" w:lineRule="auto"/>
              <w:rPr>
                <w:noProof/>
              </w:rPr>
            </w:pPr>
            <w:r>
              <w:rPr>
                <w:noProof/>
              </w:rPr>
              <w:t>Institucionālās attīstības līguma apstiprināšana (Contratto Istituzionale di Sviluppo)</w:t>
            </w:r>
          </w:p>
        </w:tc>
      </w:tr>
      <w:tr w:rsidR="00327FF1" w14:paraId="3F0387CE" w14:textId="77777777">
        <w:trPr>
          <w:trHeight w:val="300"/>
        </w:trPr>
        <w:tc>
          <w:tcPr>
            <w:tcW w:w="1200" w:type="dxa"/>
            <w:shd w:val="clear" w:color="auto" w:fill="C6EFCE"/>
            <w:tcMar>
              <w:left w:w="108" w:type="dxa"/>
              <w:right w:w="108" w:type="dxa"/>
            </w:tcMar>
            <w:vAlign w:val="center"/>
          </w:tcPr>
          <w:p w14:paraId="457F3689" w14:textId="77777777" w:rsidR="00327FF1" w:rsidRDefault="00E406C7">
            <w:pPr>
              <w:pStyle w:val="P68B1DB1-Normal121"/>
              <w:spacing w:after="0" w:line="240" w:lineRule="auto"/>
              <w:jc w:val="center"/>
              <w:rPr>
                <w:noProof/>
              </w:rPr>
            </w:pPr>
            <w:r>
              <w:rPr>
                <w:noProof/>
              </w:rPr>
              <w:t>M6C2–5</w:t>
            </w:r>
          </w:p>
        </w:tc>
        <w:tc>
          <w:tcPr>
            <w:tcW w:w="2553" w:type="dxa"/>
            <w:shd w:val="clear" w:color="auto" w:fill="C6EFCE"/>
            <w:tcMar>
              <w:left w:w="108" w:type="dxa"/>
              <w:right w:w="108" w:type="dxa"/>
            </w:tcMar>
            <w:vAlign w:val="center"/>
          </w:tcPr>
          <w:p w14:paraId="3C5BF904" w14:textId="77777777" w:rsidR="00327FF1" w:rsidRDefault="00E406C7">
            <w:pPr>
              <w:pStyle w:val="P68B1DB1-Normal123"/>
              <w:spacing w:after="0" w:line="240" w:lineRule="auto"/>
              <w:rPr>
                <w:noProof/>
              </w:rPr>
            </w:pPr>
            <w:r>
              <w:rPr>
                <w:noProof/>
              </w:rPr>
              <w:t>Investīcija 1.1: Slimnīcu tehnoloģiskā aprīkojuma digitālā atjaunināšana</w:t>
            </w:r>
          </w:p>
        </w:tc>
        <w:tc>
          <w:tcPr>
            <w:tcW w:w="1170" w:type="dxa"/>
            <w:shd w:val="clear" w:color="auto" w:fill="C6EFCE"/>
            <w:tcMar>
              <w:left w:w="108" w:type="dxa"/>
              <w:right w:w="108" w:type="dxa"/>
            </w:tcMar>
            <w:vAlign w:val="center"/>
          </w:tcPr>
          <w:p w14:paraId="2F6CE0BA" w14:textId="77777777" w:rsidR="00327FF1" w:rsidRDefault="00E406C7">
            <w:pPr>
              <w:pStyle w:val="P68B1DB1-Normal123"/>
              <w:spacing w:after="0" w:line="240" w:lineRule="auto"/>
              <w:jc w:val="center"/>
              <w:rPr>
                <w:noProof/>
              </w:rPr>
            </w:pPr>
            <w:r>
              <w:rPr>
                <w:noProof/>
              </w:rPr>
              <w:t>Atskaites punkts</w:t>
            </w:r>
          </w:p>
        </w:tc>
        <w:tc>
          <w:tcPr>
            <w:tcW w:w="4435" w:type="dxa"/>
            <w:shd w:val="clear" w:color="auto" w:fill="C6EFCE"/>
            <w:tcMar>
              <w:left w:w="108" w:type="dxa"/>
              <w:right w:w="108" w:type="dxa"/>
            </w:tcMar>
            <w:vAlign w:val="center"/>
          </w:tcPr>
          <w:p w14:paraId="7EF603FA" w14:textId="77777777" w:rsidR="00327FF1" w:rsidRDefault="00E406C7">
            <w:pPr>
              <w:pStyle w:val="P68B1DB1-Normal123"/>
              <w:spacing w:after="0" w:line="240" w:lineRule="auto"/>
              <w:rPr>
                <w:noProof/>
              </w:rPr>
            </w:pPr>
            <w:r>
              <w:rPr>
                <w:noProof/>
              </w:rPr>
              <w:t>Institucionālās attīstības līguma apstiprināšana</w:t>
            </w:r>
          </w:p>
        </w:tc>
      </w:tr>
      <w:tr w:rsidR="00327FF1" w14:paraId="64DF2753" w14:textId="77777777">
        <w:trPr>
          <w:trHeight w:val="300"/>
        </w:trPr>
        <w:tc>
          <w:tcPr>
            <w:tcW w:w="1200" w:type="dxa"/>
            <w:shd w:val="clear" w:color="auto" w:fill="C6EFCE"/>
            <w:tcMar>
              <w:left w:w="108" w:type="dxa"/>
              <w:right w:w="108" w:type="dxa"/>
            </w:tcMar>
            <w:vAlign w:val="center"/>
          </w:tcPr>
          <w:p w14:paraId="057DB897" w14:textId="77777777" w:rsidR="00327FF1" w:rsidRDefault="00327FF1">
            <w:pPr>
              <w:spacing w:after="0" w:line="240" w:lineRule="auto"/>
              <w:jc w:val="center"/>
              <w:rPr>
                <w:rFonts w:ascii="Times New Roman" w:eastAsia="Times New Roman" w:hAnsi="Times New Roman" w:cs="Times New Roman"/>
                <w:noProof/>
              </w:rPr>
            </w:pPr>
          </w:p>
        </w:tc>
        <w:tc>
          <w:tcPr>
            <w:tcW w:w="2553" w:type="dxa"/>
            <w:shd w:val="clear" w:color="auto" w:fill="C6EFCE"/>
            <w:tcMar>
              <w:left w:w="108" w:type="dxa"/>
              <w:right w:w="108" w:type="dxa"/>
            </w:tcMar>
            <w:vAlign w:val="center"/>
          </w:tcPr>
          <w:p w14:paraId="431F28A9" w14:textId="77777777" w:rsidR="00327FF1" w:rsidRDefault="00E406C7">
            <w:pPr>
              <w:pStyle w:val="P68B1DB1-Normal121"/>
              <w:spacing w:after="0" w:line="240" w:lineRule="auto"/>
              <w:rPr>
                <w:noProof/>
              </w:rPr>
            </w:pPr>
            <w:r>
              <w:rPr>
                <w:noProof/>
              </w:rPr>
              <w:t xml:space="preserve"> </w:t>
            </w:r>
          </w:p>
        </w:tc>
        <w:tc>
          <w:tcPr>
            <w:tcW w:w="1170" w:type="dxa"/>
            <w:shd w:val="clear" w:color="auto" w:fill="C6EFCE"/>
            <w:tcMar>
              <w:left w:w="108" w:type="dxa"/>
              <w:right w:w="108" w:type="dxa"/>
            </w:tcMar>
            <w:vAlign w:val="center"/>
          </w:tcPr>
          <w:p w14:paraId="1D67B0E4" w14:textId="77777777" w:rsidR="00327FF1" w:rsidRDefault="00E406C7">
            <w:pPr>
              <w:pStyle w:val="P68B1DB1-Normal121"/>
              <w:spacing w:after="0" w:line="240" w:lineRule="auto"/>
              <w:jc w:val="center"/>
              <w:rPr>
                <w:noProof/>
              </w:rPr>
            </w:pPr>
            <w:r>
              <w:rPr>
                <w:noProof/>
              </w:rPr>
              <w:t>Maksājuma summa</w:t>
            </w:r>
          </w:p>
        </w:tc>
        <w:tc>
          <w:tcPr>
            <w:tcW w:w="4435" w:type="dxa"/>
            <w:shd w:val="clear" w:color="auto" w:fill="C6EFCE"/>
            <w:tcMar>
              <w:left w:w="108" w:type="dxa"/>
              <w:right w:w="108" w:type="dxa"/>
            </w:tcMar>
            <w:vAlign w:val="center"/>
          </w:tcPr>
          <w:p w14:paraId="2DF9D7F9"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12643678161</w:t>
            </w:r>
            <w:r>
              <w:rPr>
                <w:noProof/>
                <w:sz w:val="23"/>
                <w:szCs w:val="23"/>
              </w:rPr>
              <w:t xml:space="preserve"> </w:t>
            </w:r>
          </w:p>
        </w:tc>
      </w:tr>
    </w:tbl>
    <w:p w14:paraId="5FF47A03" w14:textId="77777777" w:rsidR="00327FF1" w:rsidRDefault="00E406C7">
      <w:pPr>
        <w:pStyle w:val="Heading3"/>
        <w:numPr>
          <w:ilvl w:val="1"/>
          <w:numId w:val="179"/>
        </w:numPr>
        <w:tabs>
          <w:tab w:val="clear" w:pos="850"/>
          <w:tab w:val="num" w:pos="1440"/>
        </w:tabs>
        <w:ind w:left="1440" w:hanging="360"/>
        <w:rPr>
          <w:rFonts w:ascii="Times New Roman" w:hAnsi="Times New Roman" w:cs="Times New Roman"/>
          <w:noProof/>
          <w:color w:val="auto"/>
          <w:sz w:val="24"/>
          <w:szCs w:val="24"/>
        </w:rPr>
      </w:pPr>
      <w:r>
        <w:rPr>
          <w:rFonts w:ascii="Times New Roman" w:eastAsia="Times New Roman" w:hAnsi="Times New Roman" w:cs="Times New Roman"/>
          <w:noProof/>
        </w:rPr>
        <w:t xml:space="preserve"> </w:t>
      </w:r>
      <w:r>
        <w:rPr>
          <w:rFonts w:ascii="Times New Roman" w:hAnsi="Times New Roman" w:cs="Times New Roman"/>
          <w:noProof/>
          <w:color w:val="auto"/>
          <w:sz w:val="24"/>
          <w:szCs w:val="24"/>
        </w:rPr>
        <w:t>Trešais ieguldījums (aizdevuma atbalsts):</w:t>
      </w:r>
    </w:p>
    <w:tbl>
      <w:tblPr>
        <w:tblW w:w="9356"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3665"/>
        <w:gridCol w:w="1125"/>
        <w:gridCol w:w="3426"/>
      </w:tblGrid>
      <w:tr w:rsidR="00327FF1" w14:paraId="2DFE4EE3" w14:textId="77777777">
        <w:trPr>
          <w:trHeight w:val="900"/>
          <w:tblHeader/>
        </w:trPr>
        <w:tc>
          <w:tcPr>
            <w:tcW w:w="1140" w:type="dxa"/>
            <w:vMerge w:val="restart"/>
            <w:shd w:val="clear" w:color="auto" w:fill="BDD7EE"/>
            <w:tcMar>
              <w:left w:w="108" w:type="dxa"/>
              <w:right w:w="108" w:type="dxa"/>
            </w:tcMar>
            <w:vAlign w:val="center"/>
          </w:tcPr>
          <w:p w14:paraId="40F99D48" w14:textId="77777777" w:rsidR="00327FF1" w:rsidRDefault="00E406C7">
            <w:pPr>
              <w:pStyle w:val="P68B1DB1-Normal120"/>
              <w:spacing w:after="0" w:line="240" w:lineRule="auto"/>
              <w:jc w:val="center"/>
              <w:rPr>
                <w:noProof/>
              </w:rPr>
            </w:pPr>
            <w:r>
              <w:rPr>
                <w:noProof/>
              </w:rPr>
              <w:t>Kārtas numurs</w:t>
            </w:r>
          </w:p>
        </w:tc>
        <w:tc>
          <w:tcPr>
            <w:tcW w:w="3665" w:type="dxa"/>
            <w:vMerge w:val="restart"/>
            <w:shd w:val="clear" w:color="auto" w:fill="BDD7EE"/>
            <w:tcMar>
              <w:left w:w="108" w:type="dxa"/>
              <w:right w:w="108" w:type="dxa"/>
            </w:tcMar>
            <w:vAlign w:val="center"/>
          </w:tcPr>
          <w:p w14:paraId="4313A4FA" w14:textId="77777777" w:rsidR="00327FF1" w:rsidRDefault="00E406C7">
            <w:pPr>
              <w:pStyle w:val="P68B1DB1-Normal120"/>
              <w:spacing w:after="0" w:line="240" w:lineRule="auto"/>
              <w:jc w:val="center"/>
              <w:rPr>
                <w:noProof/>
              </w:rPr>
            </w:pPr>
            <w:r>
              <w:rPr>
                <w:noProof/>
              </w:rPr>
              <w:t>Saistītais pasākums (reforma vai ieguldījums)</w:t>
            </w:r>
          </w:p>
        </w:tc>
        <w:tc>
          <w:tcPr>
            <w:tcW w:w="1125" w:type="dxa"/>
            <w:vMerge w:val="restart"/>
            <w:shd w:val="clear" w:color="auto" w:fill="BDD7EE"/>
            <w:tcMar>
              <w:left w:w="108" w:type="dxa"/>
              <w:right w:w="108" w:type="dxa"/>
            </w:tcMar>
            <w:vAlign w:val="center"/>
          </w:tcPr>
          <w:p w14:paraId="63ACF225" w14:textId="77777777" w:rsidR="00327FF1" w:rsidRDefault="00E406C7">
            <w:pPr>
              <w:pStyle w:val="P68B1DB1-Normal120"/>
              <w:spacing w:after="0" w:line="240" w:lineRule="auto"/>
              <w:jc w:val="center"/>
              <w:rPr>
                <w:noProof/>
              </w:rPr>
            </w:pPr>
            <w:r>
              <w:rPr>
                <w:noProof/>
              </w:rPr>
              <w:t>Atskaites punkts/mērķrādītājs</w:t>
            </w:r>
          </w:p>
        </w:tc>
        <w:tc>
          <w:tcPr>
            <w:tcW w:w="3426" w:type="dxa"/>
            <w:vMerge w:val="restart"/>
            <w:shd w:val="clear" w:color="auto" w:fill="BDD7EE"/>
            <w:tcMar>
              <w:left w:w="108" w:type="dxa"/>
              <w:right w:w="108" w:type="dxa"/>
            </w:tcMar>
            <w:vAlign w:val="center"/>
          </w:tcPr>
          <w:p w14:paraId="7CD261C9" w14:textId="77777777" w:rsidR="00327FF1" w:rsidRDefault="00E406C7">
            <w:pPr>
              <w:pStyle w:val="P68B1DB1-Normal120"/>
              <w:spacing w:after="0" w:line="240" w:lineRule="auto"/>
              <w:jc w:val="center"/>
              <w:rPr>
                <w:noProof/>
              </w:rPr>
            </w:pPr>
            <w:r>
              <w:rPr>
                <w:noProof/>
              </w:rPr>
              <w:t>Nosaukums</w:t>
            </w:r>
          </w:p>
        </w:tc>
      </w:tr>
      <w:tr w:rsidR="00327FF1" w14:paraId="14D863AC" w14:textId="77777777">
        <w:trPr>
          <w:trHeight w:val="465"/>
        </w:trPr>
        <w:tc>
          <w:tcPr>
            <w:tcW w:w="1140" w:type="dxa"/>
            <w:vMerge/>
            <w:vAlign w:val="center"/>
          </w:tcPr>
          <w:p w14:paraId="10251F7A" w14:textId="77777777" w:rsidR="00327FF1" w:rsidRDefault="00327FF1">
            <w:pPr>
              <w:spacing w:after="0" w:line="240" w:lineRule="auto"/>
              <w:jc w:val="center"/>
              <w:rPr>
                <w:rFonts w:ascii="Times New Roman" w:eastAsia="Times New Roman" w:hAnsi="Times New Roman" w:cs="Times New Roman"/>
                <w:noProof/>
              </w:rPr>
            </w:pPr>
          </w:p>
        </w:tc>
        <w:tc>
          <w:tcPr>
            <w:tcW w:w="3665" w:type="dxa"/>
            <w:vMerge/>
            <w:vAlign w:val="center"/>
          </w:tcPr>
          <w:p w14:paraId="7B3549F5" w14:textId="77777777" w:rsidR="00327FF1" w:rsidRDefault="00327FF1">
            <w:pPr>
              <w:spacing w:after="0" w:line="240" w:lineRule="auto"/>
              <w:rPr>
                <w:rFonts w:ascii="Times New Roman" w:eastAsia="Times New Roman" w:hAnsi="Times New Roman" w:cs="Times New Roman"/>
                <w:noProof/>
              </w:rPr>
            </w:pPr>
          </w:p>
        </w:tc>
        <w:tc>
          <w:tcPr>
            <w:tcW w:w="1125" w:type="dxa"/>
            <w:vMerge/>
            <w:vAlign w:val="center"/>
          </w:tcPr>
          <w:p w14:paraId="46633683" w14:textId="77777777" w:rsidR="00327FF1" w:rsidRDefault="00327FF1">
            <w:pPr>
              <w:spacing w:after="0" w:line="240" w:lineRule="auto"/>
              <w:jc w:val="center"/>
              <w:rPr>
                <w:rFonts w:ascii="Times New Roman" w:eastAsia="Times New Roman" w:hAnsi="Times New Roman" w:cs="Times New Roman"/>
                <w:noProof/>
              </w:rPr>
            </w:pPr>
          </w:p>
        </w:tc>
        <w:tc>
          <w:tcPr>
            <w:tcW w:w="3426" w:type="dxa"/>
            <w:vMerge/>
            <w:vAlign w:val="center"/>
          </w:tcPr>
          <w:p w14:paraId="672F18D4" w14:textId="77777777" w:rsidR="00327FF1" w:rsidRDefault="00327FF1">
            <w:pPr>
              <w:spacing w:after="0" w:line="240" w:lineRule="auto"/>
              <w:rPr>
                <w:rFonts w:ascii="Times New Roman" w:eastAsia="Times New Roman" w:hAnsi="Times New Roman" w:cs="Times New Roman"/>
                <w:noProof/>
              </w:rPr>
            </w:pPr>
          </w:p>
        </w:tc>
      </w:tr>
      <w:tr w:rsidR="00327FF1" w14:paraId="0995E2C1" w14:textId="77777777">
        <w:trPr>
          <w:trHeight w:val="300"/>
        </w:trPr>
        <w:tc>
          <w:tcPr>
            <w:tcW w:w="1140" w:type="dxa"/>
            <w:shd w:val="clear" w:color="auto" w:fill="C6EFCE"/>
            <w:tcMar>
              <w:left w:w="108" w:type="dxa"/>
              <w:right w:w="108" w:type="dxa"/>
            </w:tcMar>
            <w:vAlign w:val="center"/>
          </w:tcPr>
          <w:p w14:paraId="4C746B1E" w14:textId="77777777" w:rsidR="00327FF1" w:rsidRDefault="00E406C7">
            <w:pPr>
              <w:pStyle w:val="P68B1DB1-Normal121"/>
              <w:spacing w:after="0" w:line="240" w:lineRule="auto"/>
              <w:jc w:val="center"/>
              <w:rPr>
                <w:noProof/>
              </w:rPr>
            </w:pPr>
            <w:r>
              <w:rPr>
                <w:noProof/>
              </w:rPr>
              <w:t>M2C1–18</w:t>
            </w:r>
          </w:p>
        </w:tc>
        <w:tc>
          <w:tcPr>
            <w:tcW w:w="3665" w:type="dxa"/>
            <w:shd w:val="clear" w:color="auto" w:fill="C6EFCE"/>
            <w:tcMar>
              <w:left w:w="108" w:type="dxa"/>
              <w:right w:w="108" w:type="dxa"/>
            </w:tcMar>
            <w:vAlign w:val="center"/>
          </w:tcPr>
          <w:p w14:paraId="293E2921" w14:textId="77777777" w:rsidR="00327FF1" w:rsidRDefault="00E406C7">
            <w:pPr>
              <w:pStyle w:val="P68B1DB1-Normal121"/>
              <w:spacing w:after="0" w:line="240" w:lineRule="auto"/>
              <w:rPr>
                <w:noProof/>
              </w:rPr>
            </w:pPr>
            <w:r>
              <w:rPr>
                <w:noProof/>
              </w:rPr>
              <w:t>Investīcija Nr. 3.1: Zaļās salas</w:t>
            </w:r>
          </w:p>
        </w:tc>
        <w:tc>
          <w:tcPr>
            <w:tcW w:w="1125" w:type="dxa"/>
            <w:shd w:val="clear" w:color="auto" w:fill="C6EFCE"/>
            <w:tcMar>
              <w:left w:w="108" w:type="dxa"/>
              <w:right w:w="108" w:type="dxa"/>
            </w:tcMar>
            <w:vAlign w:val="center"/>
          </w:tcPr>
          <w:p w14:paraId="50BC988D" w14:textId="77777777" w:rsidR="00327FF1" w:rsidRDefault="00E406C7">
            <w:pPr>
              <w:pStyle w:val="P68B1DB1-Normal121"/>
              <w:spacing w:after="0" w:line="240" w:lineRule="auto"/>
              <w:jc w:val="center"/>
              <w:rPr>
                <w:noProof/>
              </w:rPr>
            </w:pPr>
            <w:r>
              <w:rPr>
                <w:noProof/>
              </w:rPr>
              <w:t>Atskaites punkts</w:t>
            </w:r>
          </w:p>
        </w:tc>
        <w:tc>
          <w:tcPr>
            <w:tcW w:w="3426" w:type="dxa"/>
            <w:shd w:val="clear" w:color="auto" w:fill="C6EFCE"/>
            <w:tcMar>
              <w:left w:w="108" w:type="dxa"/>
              <w:right w:w="108" w:type="dxa"/>
            </w:tcMar>
            <w:vAlign w:val="center"/>
          </w:tcPr>
          <w:p w14:paraId="6E353096" w14:textId="77777777" w:rsidR="00327FF1" w:rsidRDefault="00E406C7">
            <w:pPr>
              <w:pStyle w:val="P68B1DB1-Normal121"/>
              <w:spacing w:after="0" w:line="240" w:lineRule="auto"/>
              <w:rPr>
                <w:noProof/>
              </w:rPr>
            </w:pPr>
            <w:r>
              <w:rPr>
                <w:noProof/>
              </w:rPr>
              <w:t xml:space="preserve">Direktora dekrēta stāšanās </w:t>
            </w:r>
            <w:r>
              <w:rPr>
                <w:noProof/>
              </w:rPr>
              <w:t>spēkā</w:t>
            </w:r>
          </w:p>
        </w:tc>
      </w:tr>
      <w:tr w:rsidR="00327FF1" w14:paraId="18C8F707" w14:textId="77777777">
        <w:trPr>
          <w:trHeight w:val="300"/>
        </w:trPr>
        <w:tc>
          <w:tcPr>
            <w:tcW w:w="1140" w:type="dxa"/>
            <w:shd w:val="clear" w:color="auto" w:fill="C6EFCE"/>
            <w:tcMar>
              <w:left w:w="108" w:type="dxa"/>
              <w:right w:w="108" w:type="dxa"/>
            </w:tcMar>
            <w:vAlign w:val="center"/>
          </w:tcPr>
          <w:p w14:paraId="5628CE1E" w14:textId="77777777" w:rsidR="00327FF1" w:rsidRDefault="00E406C7">
            <w:pPr>
              <w:pStyle w:val="P68B1DB1-Normal121"/>
              <w:spacing w:after="0" w:line="240" w:lineRule="auto"/>
              <w:jc w:val="center"/>
              <w:rPr>
                <w:noProof/>
              </w:rPr>
            </w:pPr>
            <w:r>
              <w:rPr>
                <w:noProof/>
              </w:rPr>
              <w:t>M2C1–20</w:t>
            </w:r>
          </w:p>
        </w:tc>
        <w:tc>
          <w:tcPr>
            <w:tcW w:w="3665" w:type="dxa"/>
            <w:shd w:val="clear" w:color="auto" w:fill="C6EFCE"/>
            <w:tcMar>
              <w:left w:w="108" w:type="dxa"/>
              <w:right w:w="108" w:type="dxa"/>
            </w:tcMar>
            <w:vAlign w:val="center"/>
          </w:tcPr>
          <w:p w14:paraId="76784417" w14:textId="77777777" w:rsidR="00327FF1" w:rsidRDefault="00E406C7">
            <w:pPr>
              <w:pStyle w:val="P68B1DB1-Normal121"/>
              <w:spacing w:after="0" w:line="240" w:lineRule="auto"/>
              <w:rPr>
                <w:noProof/>
              </w:rPr>
            </w:pPr>
            <w:r>
              <w:rPr>
                <w:noProof/>
              </w:rPr>
              <w:t>“Investīcija Nr. 3.2. Zaļās kopienas</w:t>
            </w:r>
          </w:p>
        </w:tc>
        <w:tc>
          <w:tcPr>
            <w:tcW w:w="1125" w:type="dxa"/>
            <w:shd w:val="clear" w:color="auto" w:fill="C6EFCE"/>
            <w:tcMar>
              <w:left w:w="108" w:type="dxa"/>
              <w:right w:w="108" w:type="dxa"/>
            </w:tcMar>
            <w:vAlign w:val="center"/>
          </w:tcPr>
          <w:p w14:paraId="7ED91578" w14:textId="77777777" w:rsidR="00327FF1" w:rsidRDefault="00E406C7">
            <w:pPr>
              <w:pStyle w:val="P68B1DB1-Normal121"/>
              <w:spacing w:after="0" w:line="240" w:lineRule="auto"/>
              <w:jc w:val="center"/>
              <w:rPr>
                <w:noProof/>
              </w:rPr>
            </w:pPr>
            <w:r>
              <w:rPr>
                <w:noProof/>
              </w:rPr>
              <w:t>Atskaites punkts</w:t>
            </w:r>
          </w:p>
        </w:tc>
        <w:tc>
          <w:tcPr>
            <w:tcW w:w="3426" w:type="dxa"/>
            <w:shd w:val="clear" w:color="auto" w:fill="C6EFCE"/>
            <w:tcMar>
              <w:left w:w="108" w:type="dxa"/>
              <w:right w:w="108" w:type="dxa"/>
            </w:tcMar>
            <w:vAlign w:val="center"/>
          </w:tcPr>
          <w:p w14:paraId="6919AB2E" w14:textId="77777777" w:rsidR="00327FF1" w:rsidRDefault="00E406C7">
            <w:pPr>
              <w:pStyle w:val="P68B1DB1-Normal121"/>
              <w:spacing w:after="0" w:line="240" w:lineRule="auto"/>
              <w:rPr>
                <w:noProof/>
              </w:rPr>
            </w:pPr>
            <w:r>
              <w:rPr>
                <w:noProof/>
              </w:rPr>
              <w:t>(Visu) publisko līgumu slēgšanas tiesību piešķiršana zaļo kopienu atlasei</w:t>
            </w:r>
          </w:p>
        </w:tc>
      </w:tr>
      <w:tr w:rsidR="00327FF1" w14:paraId="4AF1E29F" w14:textId="77777777">
        <w:trPr>
          <w:trHeight w:val="300"/>
        </w:trPr>
        <w:tc>
          <w:tcPr>
            <w:tcW w:w="1140" w:type="dxa"/>
            <w:shd w:val="clear" w:color="auto" w:fill="C6EFCE"/>
            <w:tcMar>
              <w:left w:w="108" w:type="dxa"/>
              <w:right w:w="108" w:type="dxa"/>
            </w:tcMar>
            <w:vAlign w:val="center"/>
          </w:tcPr>
          <w:p w14:paraId="70B98FEC" w14:textId="77777777" w:rsidR="00327FF1" w:rsidRDefault="00E406C7">
            <w:pPr>
              <w:pStyle w:val="P68B1DB1-Normal121"/>
              <w:spacing w:after="0" w:line="240" w:lineRule="auto"/>
              <w:jc w:val="center"/>
              <w:rPr>
                <w:noProof/>
              </w:rPr>
            </w:pPr>
            <w:r>
              <w:rPr>
                <w:noProof/>
              </w:rPr>
              <w:t>M5C2–17</w:t>
            </w:r>
          </w:p>
        </w:tc>
        <w:tc>
          <w:tcPr>
            <w:tcW w:w="3665" w:type="dxa"/>
            <w:shd w:val="clear" w:color="auto" w:fill="C6EFCE"/>
            <w:tcMar>
              <w:left w:w="108" w:type="dxa"/>
              <w:right w:w="108" w:type="dxa"/>
            </w:tcMar>
            <w:vAlign w:val="center"/>
          </w:tcPr>
          <w:p w14:paraId="19D33C69" w14:textId="77777777" w:rsidR="00327FF1" w:rsidRDefault="00E406C7">
            <w:pPr>
              <w:pStyle w:val="P68B1DB1-Normal121"/>
              <w:spacing w:after="0" w:line="240" w:lineRule="auto"/>
              <w:rPr>
                <w:noProof/>
              </w:rPr>
            </w:pPr>
            <w:r>
              <w:rPr>
                <w:noProof/>
              </w:rPr>
              <w:t>Investīcija Nr. 5 — integrētie pilsētu plāni — EIB fonds — no fonda</w:t>
            </w:r>
          </w:p>
        </w:tc>
        <w:tc>
          <w:tcPr>
            <w:tcW w:w="1125" w:type="dxa"/>
            <w:shd w:val="clear" w:color="auto" w:fill="C6EFCE"/>
            <w:tcMar>
              <w:left w:w="108" w:type="dxa"/>
              <w:right w:w="108" w:type="dxa"/>
            </w:tcMar>
            <w:vAlign w:val="center"/>
          </w:tcPr>
          <w:p w14:paraId="57C13C5E" w14:textId="77777777" w:rsidR="00327FF1" w:rsidRDefault="00E406C7">
            <w:pPr>
              <w:pStyle w:val="P68B1DB1-Normal121"/>
              <w:spacing w:after="0" w:line="240" w:lineRule="auto"/>
              <w:jc w:val="center"/>
              <w:rPr>
                <w:noProof/>
              </w:rPr>
            </w:pPr>
            <w:r>
              <w:rPr>
                <w:noProof/>
              </w:rPr>
              <w:t>Atskaites punkts</w:t>
            </w:r>
          </w:p>
        </w:tc>
        <w:tc>
          <w:tcPr>
            <w:tcW w:w="3426" w:type="dxa"/>
            <w:shd w:val="clear" w:color="auto" w:fill="C6EFCE"/>
            <w:tcMar>
              <w:left w:w="108" w:type="dxa"/>
              <w:right w:w="108" w:type="dxa"/>
            </w:tcMar>
            <w:vAlign w:val="center"/>
          </w:tcPr>
          <w:p w14:paraId="2B35D324" w14:textId="77777777" w:rsidR="00327FF1" w:rsidRDefault="00E406C7">
            <w:pPr>
              <w:pStyle w:val="P68B1DB1-Normal121"/>
              <w:spacing w:after="0" w:line="240" w:lineRule="auto"/>
              <w:rPr>
                <w:noProof/>
              </w:rPr>
            </w:pPr>
            <w:r>
              <w:rPr>
                <w:noProof/>
              </w:rPr>
              <w:t xml:space="preserve">Fonda ieguldījumu </w:t>
            </w:r>
            <w:r>
              <w:rPr>
                <w:noProof/>
              </w:rPr>
              <w:t>stratēģiju apstiprina Finanšu ministrija (MEF).</w:t>
            </w:r>
          </w:p>
        </w:tc>
      </w:tr>
      <w:tr w:rsidR="00327FF1" w14:paraId="634CE3AE" w14:textId="77777777">
        <w:trPr>
          <w:trHeight w:val="300"/>
        </w:trPr>
        <w:tc>
          <w:tcPr>
            <w:tcW w:w="1140" w:type="dxa"/>
            <w:shd w:val="clear" w:color="auto" w:fill="C6EFCE"/>
            <w:tcMar>
              <w:left w:w="108" w:type="dxa"/>
              <w:right w:w="108" w:type="dxa"/>
            </w:tcMar>
            <w:vAlign w:val="center"/>
          </w:tcPr>
          <w:p w14:paraId="3C8FBFBC" w14:textId="77777777" w:rsidR="00327FF1" w:rsidRDefault="00E406C7">
            <w:pPr>
              <w:pStyle w:val="P68B1DB1-Normal121"/>
              <w:spacing w:after="0" w:line="240" w:lineRule="auto"/>
              <w:jc w:val="center"/>
              <w:rPr>
                <w:noProof/>
              </w:rPr>
            </w:pPr>
            <w:r>
              <w:rPr>
                <w:noProof/>
              </w:rPr>
              <w:t>M1C1–123</w:t>
            </w:r>
          </w:p>
        </w:tc>
        <w:tc>
          <w:tcPr>
            <w:tcW w:w="3665" w:type="dxa"/>
            <w:shd w:val="clear" w:color="auto" w:fill="C6EFCE"/>
            <w:tcMar>
              <w:left w:w="108" w:type="dxa"/>
              <w:right w:w="108" w:type="dxa"/>
            </w:tcMar>
            <w:vAlign w:val="center"/>
          </w:tcPr>
          <w:p w14:paraId="71BB5E32" w14:textId="77777777" w:rsidR="00327FF1" w:rsidRDefault="00E406C7">
            <w:pPr>
              <w:pStyle w:val="P68B1DB1-Normal121"/>
              <w:spacing w:after="0" w:line="240" w:lineRule="auto"/>
              <w:rPr>
                <w:noProof/>
              </w:rPr>
            </w:pPr>
            <w:r>
              <w:rPr>
                <w:noProof/>
              </w:rPr>
              <w:t>Investīcija — Valsts sociālā nodrošinājuma institūta (INPS) un Valsts apdrošināšanas pret nelaimes gadījumiem darbā (INAIL) digitalizācija</w:t>
            </w:r>
          </w:p>
        </w:tc>
        <w:tc>
          <w:tcPr>
            <w:tcW w:w="1125" w:type="dxa"/>
            <w:shd w:val="clear" w:color="auto" w:fill="C6EFCE"/>
            <w:tcMar>
              <w:left w:w="108" w:type="dxa"/>
              <w:right w:w="108" w:type="dxa"/>
            </w:tcMar>
            <w:vAlign w:val="center"/>
          </w:tcPr>
          <w:p w14:paraId="3C198845" w14:textId="77777777" w:rsidR="00327FF1" w:rsidRDefault="00E406C7">
            <w:pPr>
              <w:pStyle w:val="P68B1DB1-Normal121"/>
              <w:spacing w:after="0" w:line="240" w:lineRule="auto"/>
              <w:jc w:val="center"/>
              <w:rPr>
                <w:noProof/>
              </w:rPr>
            </w:pPr>
            <w:r>
              <w:rPr>
                <w:noProof/>
              </w:rPr>
              <w:t>Mērķa</w:t>
            </w:r>
          </w:p>
        </w:tc>
        <w:tc>
          <w:tcPr>
            <w:tcW w:w="3426" w:type="dxa"/>
            <w:shd w:val="clear" w:color="auto" w:fill="C6EFCE"/>
            <w:tcMar>
              <w:left w:w="108" w:type="dxa"/>
              <w:right w:w="108" w:type="dxa"/>
            </w:tcMar>
            <w:vAlign w:val="center"/>
          </w:tcPr>
          <w:p w14:paraId="3A8D8C51" w14:textId="77777777" w:rsidR="00327FF1" w:rsidRDefault="00E406C7">
            <w:pPr>
              <w:pStyle w:val="P68B1DB1-Normal121"/>
              <w:spacing w:after="0" w:line="240" w:lineRule="auto"/>
              <w:rPr>
                <w:noProof/>
              </w:rPr>
            </w:pPr>
            <w:r>
              <w:rPr>
                <w:noProof/>
              </w:rPr>
              <w:t>INPS — “Viens klikšķis pēc dizaina” pakalpojumi/satur</w:t>
            </w:r>
            <w:r>
              <w:rPr>
                <w:noProof/>
              </w:rPr>
              <w:t xml:space="preserve"> T1</w:t>
            </w:r>
          </w:p>
        </w:tc>
      </w:tr>
      <w:tr w:rsidR="00327FF1" w14:paraId="7ACD5CF3" w14:textId="77777777">
        <w:trPr>
          <w:trHeight w:val="300"/>
        </w:trPr>
        <w:tc>
          <w:tcPr>
            <w:tcW w:w="1140" w:type="dxa"/>
            <w:shd w:val="clear" w:color="auto" w:fill="C6EFCE"/>
            <w:tcMar>
              <w:left w:w="108" w:type="dxa"/>
              <w:right w:w="108" w:type="dxa"/>
            </w:tcMar>
            <w:vAlign w:val="center"/>
          </w:tcPr>
          <w:p w14:paraId="17C76567" w14:textId="77777777" w:rsidR="00327FF1" w:rsidRDefault="00E406C7">
            <w:pPr>
              <w:pStyle w:val="P68B1DB1-Normal121"/>
              <w:spacing w:after="0" w:line="240" w:lineRule="auto"/>
              <w:jc w:val="center"/>
              <w:rPr>
                <w:noProof/>
              </w:rPr>
            </w:pPr>
            <w:r>
              <w:rPr>
                <w:noProof/>
              </w:rPr>
              <w:t>M1C1–124</w:t>
            </w:r>
          </w:p>
        </w:tc>
        <w:tc>
          <w:tcPr>
            <w:tcW w:w="3665" w:type="dxa"/>
            <w:shd w:val="clear" w:color="auto" w:fill="C6EFCE"/>
            <w:tcMar>
              <w:left w:w="108" w:type="dxa"/>
              <w:right w:w="108" w:type="dxa"/>
            </w:tcMar>
            <w:vAlign w:val="center"/>
          </w:tcPr>
          <w:p w14:paraId="5789D611" w14:textId="77777777" w:rsidR="00327FF1" w:rsidRDefault="00E406C7">
            <w:pPr>
              <w:pStyle w:val="P68B1DB1-Normal121"/>
              <w:spacing w:after="0" w:line="240" w:lineRule="auto"/>
              <w:rPr>
                <w:noProof/>
              </w:rPr>
            </w:pPr>
            <w:r>
              <w:rPr>
                <w:noProof/>
              </w:rPr>
              <w:t>Investīcija — Valsts sociālā nodrošinājuma institūta (INPS) un Valsts apdrošināšanas pret nelaimes gadījumiem darbā (INAIL) digitalizācija</w:t>
            </w:r>
          </w:p>
        </w:tc>
        <w:tc>
          <w:tcPr>
            <w:tcW w:w="1125" w:type="dxa"/>
            <w:shd w:val="clear" w:color="auto" w:fill="C6EFCE"/>
            <w:tcMar>
              <w:left w:w="108" w:type="dxa"/>
              <w:right w:w="108" w:type="dxa"/>
            </w:tcMar>
            <w:vAlign w:val="center"/>
          </w:tcPr>
          <w:p w14:paraId="5DE6261C" w14:textId="77777777" w:rsidR="00327FF1" w:rsidRDefault="00E406C7">
            <w:pPr>
              <w:pStyle w:val="P68B1DB1-Normal121"/>
              <w:spacing w:after="0" w:line="240" w:lineRule="auto"/>
              <w:jc w:val="center"/>
              <w:rPr>
                <w:noProof/>
              </w:rPr>
            </w:pPr>
            <w:r>
              <w:rPr>
                <w:noProof/>
              </w:rPr>
              <w:t>Mērķa</w:t>
            </w:r>
          </w:p>
        </w:tc>
        <w:tc>
          <w:tcPr>
            <w:tcW w:w="3426" w:type="dxa"/>
            <w:shd w:val="clear" w:color="auto" w:fill="C6EFCE"/>
            <w:tcMar>
              <w:left w:w="108" w:type="dxa"/>
              <w:right w:w="108" w:type="dxa"/>
            </w:tcMar>
            <w:vAlign w:val="center"/>
          </w:tcPr>
          <w:p w14:paraId="6150FB81" w14:textId="77777777" w:rsidR="00327FF1" w:rsidRDefault="00E406C7">
            <w:pPr>
              <w:pStyle w:val="P68B1DB1-Normal121"/>
              <w:spacing w:after="0" w:line="240" w:lineRule="auto"/>
              <w:rPr>
                <w:noProof/>
              </w:rPr>
            </w:pPr>
            <w:r>
              <w:rPr>
                <w:noProof/>
              </w:rPr>
              <w:t>INPS — Darba ņēmēji ar uzlabotām informācijas un komunikācijas tehnoloģiju (IKT) prasmēm T1</w:t>
            </w:r>
          </w:p>
        </w:tc>
      </w:tr>
      <w:tr w:rsidR="00327FF1" w14:paraId="6EAB0752" w14:textId="77777777">
        <w:trPr>
          <w:trHeight w:val="300"/>
        </w:trPr>
        <w:tc>
          <w:tcPr>
            <w:tcW w:w="1140" w:type="dxa"/>
            <w:shd w:val="clear" w:color="auto" w:fill="C6EFCE"/>
            <w:tcMar>
              <w:left w:w="108" w:type="dxa"/>
              <w:right w:w="108" w:type="dxa"/>
            </w:tcMar>
            <w:vAlign w:val="center"/>
          </w:tcPr>
          <w:p w14:paraId="3373D55B" w14:textId="77777777" w:rsidR="00327FF1" w:rsidRDefault="00E406C7">
            <w:pPr>
              <w:pStyle w:val="P68B1DB1-Normal121"/>
              <w:spacing w:after="0" w:line="240" w:lineRule="auto"/>
              <w:jc w:val="center"/>
              <w:rPr>
                <w:noProof/>
              </w:rPr>
            </w:pPr>
            <w:r>
              <w:rPr>
                <w:noProof/>
              </w:rPr>
              <w:t>M1C3</w:t>
            </w:r>
            <w:r>
              <w:rPr>
                <w:noProof/>
              </w:rPr>
              <w:t>–30</w:t>
            </w:r>
          </w:p>
        </w:tc>
        <w:tc>
          <w:tcPr>
            <w:tcW w:w="3665" w:type="dxa"/>
            <w:shd w:val="clear" w:color="auto" w:fill="C6EFCE"/>
            <w:tcMar>
              <w:left w:w="108" w:type="dxa"/>
              <w:right w:w="108" w:type="dxa"/>
            </w:tcMar>
            <w:vAlign w:val="center"/>
          </w:tcPr>
          <w:p w14:paraId="7DCCE04B" w14:textId="77777777" w:rsidR="00327FF1" w:rsidRDefault="00E406C7">
            <w:pPr>
              <w:pStyle w:val="P68B1DB1-Normal121"/>
              <w:spacing w:after="0" w:line="240" w:lineRule="auto"/>
              <w:rPr>
                <w:noProof/>
              </w:rPr>
            </w:pPr>
            <w:r>
              <w:rPr>
                <w:noProof/>
              </w:rPr>
              <w:t>Ieguldījums 4.2.:  Līdzekļi tūrisma uzņēmumu konkurētspējai</w:t>
            </w:r>
          </w:p>
        </w:tc>
        <w:tc>
          <w:tcPr>
            <w:tcW w:w="1125" w:type="dxa"/>
            <w:shd w:val="clear" w:color="auto" w:fill="C6EFCE"/>
            <w:tcMar>
              <w:left w:w="108" w:type="dxa"/>
              <w:right w:w="108" w:type="dxa"/>
            </w:tcMar>
            <w:vAlign w:val="center"/>
          </w:tcPr>
          <w:p w14:paraId="37C58E17" w14:textId="77777777" w:rsidR="00327FF1" w:rsidRDefault="00E406C7">
            <w:pPr>
              <w:pStyle w:val="P68B1DB1-Normal121"/>
              <w:spacing w:after="0" w:line="240" w:lineRule="auto"/>
              <w:jc w:val="center"/>
              <w:rPr>
                <w:noProof/>
              </w:rPr>
            </w:pPr>
            <w:r>
              <w:rPr>
                <w:noProof/>
              </w:rPr>
              <w:t>Mērķa</w:t>
            </w:r>
          </w:p>
        </w:tc>
        <w:tc>
          <w:tcPr>
            <w:tcW w:w="3426" w:type="dxa"/>
            <w:shd w:val="clear" w:color="auto" w:fill="C6EFCE"/>
            <w:tcMar>
              <w:left w:w="108" w:type="dxa"/>
              <w:right w:w="108" w:type="dxa"/>
            </w:tcMar>
            <w:vAlign w:val="center"/>
          </w:tcPr>
          <w:p w14:paraId="30E8D11D" w14:textId="77777777" w:rsidR="00327FF1" w:rsidRDefault="00E406C7">
            <w:pPr>
              <w:pStyle w:val="P68B1DB1-Normal8"/>
              <w:spacing w:after="0" w:line="240" w:lineRule="auto"/>
              <w:rPr>
                <w:noProof/>
              </w:rPr>
            </w:pPr>
            <w:r>
              <w:rPr>
                <w:noProof/>
                <w:color w:val="006100"/>
                <w:sz w:val="20"/>
                <w:szCs w:val="20"/>
              </w:rPr>
              <w:t>Eiropas Investīciju bankas tematiskie fondi: Fonda kopējā izmaksa 350 000 000 EUR</w:t>
            </w:r>
            <w:r>
              <w:rPr>
                <w:noProof/>
                <w:sz w:val="23"/>
                <w:szCs w:val="23"/>
              </w:rPr>
              <w:t xml:space="preserve"> </w:t>
            </w:r>
            <w:r>
              <w:rPr>
                <w:noProof/>
                <w:color w:val="006100"/>
                <w:sz w:val="20"/>
                <w:szCs w:val="20"/>
              </w:rPr>
              <w:t>apmērā.</w:t>
            </w:r>
          </w:p>
        </w:tc>
      </w:tr>
      <w:tr w:rsidR="00327FF1" w14:paraId="6B24EC1D" w14:textId="77777777">
        <w:trPr>
          <w:trHeight w:val="300"/>
        </w:trPr>
        <w:tc>
          <w:tcPr>
            <w:tcW w:w="1140" w:type="dxa"/>
            <w:shd w:val="clear" w:color="auto" w:fill="C6EFCE"/>
            <w:tcMar>
              <w:left w:w="108" w:type="dxa"/>
              <w:right w:w="108" w:type="dxa"/>
            </w:tcMar>
            <w:vAlign w:val="center"/>
          </w:tcPr>
          <w:p w14:paraId="3244C110" w14:textId="77777777" w:rsidR="00327FF1" w:rsidRDefault="00E406C7">
            <w:pPr>
              <w:pStyle w:val="P68B1DB1-Normal121"/>
              <w:spacing w:after="0" w:line="240" w:lineRule="auto"/>
              <w:jc w:val="center"/>
              <w:rPr>
                <w:noProof/>
              </w:rPr>
            </w:pPr>
            <w:r>
              <w:rPr>
                <w:noProof/>
              </w:rPr>
              <w:t>M1C3–31</w:t>
            </w:r>
          </w:p>
        </w:tc>
        <w:tc>
          <w:tcPr>
            <w:tcW w:w="3665" w:type="dxa"/>
            <w:shd w:val="clear" w:color="auto" w:fill="C6EFCE"/>
            <w:tcMar>
              <w:left w:w="108" w:type="dxa"/>
              <w:right w:w="108" w:type="dxa"/>
            </w:tcMar>
            <w:vAlign w:val="center"/>
          </w:tcPr>
          <w:p w14:paraId="12AF486D" w14:textId="77777777" w:rsidR="00327FF1" w:rsidRDefault="00E406C7">
            <w:pPr>
              <w:pStyle w:val="P68B1DB1-Normal121"/>
              <w:spacing w:after="0" w:line="240" w:lineRule="auto"/>
              <w:rPr>
                <w:noProof/>
              </w:rPr>
            </w:pPr>
            <w:r>
              <w:rPr>
                <w:noProof/>
              </w:rPr>
              <w:t>Ieguldījums 4.2.:  Līdzekļi tūrisma uzņēmumu konkurētspējai</w:t>
            </w:r>
          </w:p>
        </w:tc>
        <w:tc>
          <w:tcPr>
            <w:tcW w:w="1125" w:type="dxa"/>
            <w:shd w:val="clear" w:color="auto" w:fill="C6EFCE"/>
            <w:tcMar>
              <w:left w:w="108" w:type="dxa"/>
              <w:right w:w="108" w:type="dxa"/>
            </w:tcMar>
            <w:vAlign w:val="center"/>
          </w:tcPr>
          <w:p w14:paraId="697A2741" w14:textId="77777777" w:rsidR="00327FF1" w:rsidRDefault="00E406C7">
            <w:pPr>
              <w:pStyle w:val="P68B1DB1-Normal121"/>
              <w:spacing w:after="0" w:line="240" w:lineRule="auto"/>
              <w:jc w:val="center"/>
              <w:rPr>
                <w:noProof/>
              </w:rPr>
            </w:pPr>
            <w:r>
              <w:rPr>
                <w:noProof/>
              </w:rPr>
              <w:t>Mērķa</w:t>
            </w:r>
          </w:p>
        </w:tc>
        <w:tc>
          <w:tcPr>
            <w:tcW w:w="3426" w:type="dxa"/>
            <w:shd w:val="clear" w:color="auto" w:fill="C6EFCE"/>
            <w:tcMar>
              <w:left w:w="108" w:type="dxa"/>
              <w:right w:w="108" w:type="dxa"/>
            </w:tcMar>
            <w:vAlign w:val="center"/>
          </w:tcPr>
          <w:p w14:paraId="0E40E885" w14:textId="77777777" w:rsidR="00327FF1" w:rsidRDefault="00E406C7">
            <w:pPr>
              <w:pStyle w:val="P68B1DB1-Normal8"/>
              <w:spacing w:after="0" w:line="240" w:lineRule="auto"/>
              <w:rPr>
                <w:noProof/>
              </w:rPr>
            </w:pPr>
            <w:r>
              <w:rPr>
                <w:noProof/>
                <w:color w:val="006100"/>
                <w:sz w:val="20"/>
                <w:szCs w:val="20"/>
              </w:rPr>
              <w:t>Valsts tūrisma fonds:</w:t>
            </w:r>
            <w:r>
              <w:rPr>
                <w:noProof/>
                <w:color w:val="006100"/>
                <w:sz w:val="20"/>
                <w:szCs w:val="20"/>
              </w:rPr>
              <w:t xml:space="preserve"> Izmaksāt fondam kopumā EUR 150000000</w:t>
            </w:r>
            <w:r>
              <w:rPr>
                <w:noProof/>
                <w:sz w:val="23"/>
                <w:szCs w:val="23"/>
              </w:rPr>
              <w:t xml:space="preserve"> </w:t>
            </w:r>
            <w:r>
              <w:rPr>
                <w:noProof/>
                <w:color w:val="006100"/>
                <w:sz w:val="20"/>
                <w:szCs w:val="20"/>
              </w:rPr>
              <w:t>pašu</w:t>
            </w:r>
            <w:r>
              <w:rPr>
                <w:noProof/>
                <w:sz w:val="23"/>
                <w:szCs w:val="23"/>
              </w:rPr>
              <w:t xml:space="preserve"> </w:t>
            </w:r>
            <w:r>
              <w:rPr>
                <w:noProof/>
                <w:color w:val="006100"/>
                <w:sz w:val="20"/>
                <w:szCs w:val="20"/>
              </w:rPr>
              <w:t>kapitāla atbalstam.</w:t>
            </w:r>
          </w:p>
        </w:tc>
      </w:tr>
      <w:tr w:rsidR="00327FF1" w14:paraId="68573C68" w14:textId="77777777">
        <w:trPr>
          <w:trHeight w:val="300"/>
        </w:trPr>
        <w:tc>
          <w:tcPr>
            <w:tcW w:w="1140" w:type="dxa"/>
            <w:shd w:val="clear" w:color="auto" w:fill="C6EFCE"/>
            <w:tcMar>
              <w:left w:w="108" w:type="dxa"/>
              <w:right w:w="108" w:type="dxa"/>
            </w:tcMar>
            <w:vAlign w:val="center"/>
          </w:tcPr>
          <w:p w14:paraId="0282FE6A" w14:textId="77777777" w:rsidR="00327FF1" w:rsidRDefault="00E406C7">
            <w:pPr>
              <w:pStyle w:val="P68B1DB1-Normal121"/>
              <w:spacing w:after="0" w:line="240" w:lineRule="auto"/>
              <w:jc w:val="center"/>
              <w:rPr>
                <w:noProof/>
              </w:rPr>
            </w:pPr>
            <w:r>
              <w:rPr>
                <w:noProof/>
              </w:rPr>
              <w:t>M2C3–9</w:t>
            </w:r>
          </w:p>
        </w:tc>
        <w:tc>
          <w:tcPr>
            <w:tcW w:w="3665" w:type="dxa"/>
            <w:shd w:val="clear" w:color="auto" w:fill="C6EFCE"/>
            <w:tcMar>
              <w:left w:w="108" w:type="dxa"/>
              <w:right w:w="108" w:type="dxa"/>
            </w:tcMar>
            <w:vAlign w:val="center"/>
          </w:tcPr>
          <w:p w14:paraId="7666CEF1" w14:textId="77777777" w:rsidR="00327FF1" w:rsidRDefault="00E406C7">
            <w:pPr>
              <w:pStyle w:val="P68B1DB1-Normal121"/>
              <w:spacing w:after="0" w:line="240" w:lineRule="auto"/>
              <w:rPr>
                <w:noProof/>
              </w:rPr>
            </w:pPr>
            <w:r>
              <w:rPr>
                <w:noProof/>
              </w:rPr>
              <w:t>Investīcija Nr. 3.1: Efektīvas centralizētās siltumapgādes veicināšana</w:t>
            </w:r>
          </w:p>
        </w:tc>
        <w:tc>
          <w:tcPr>
            <w:tcW w:w="1125" w:type="dxa"/>
            <w:shd w:val="clear" w:color="auto" w:fill="C6EFCE"/>
            <w:tcMar>
              <w:left w:w="108" w:type="dxa"/>
              <w:right w:w="108" w:type="dxa"/>
            </w:tcMar>
            <w:vAlign w:val="center"/>
          </w:tcPr>
          <w:p w14:paraId="611DFAB9" w14:textId="77777777" w:rsidR="00327FF1" w:rsidRDefault="00E406C7">
            <w:pPr>
              <w:pStyle w:val="P68B1DB1-Normal121"/>
              <w:spacing w:after="0" w:line="240" w:lineRule="auto"/>
              <w:jc w:val="center"/>
              <w:rPr>
                <w:noProof/>
              </w:rPr>
            </w:pPr>
            <w:r>
              <w:rPr>
                <w:noProof/>
              </w:rPr>
              <w:t>Atskaites punkts</w:t>
            </w:r>
          </w:p>
        </w:tc>
        <w:tc>
          <w:tcPr>
            <w:tcW w:w="3426" w:type="dxa"/>
            <w:shd w:val="clear" w:color="auto" w:fill="C6EFCE"/>
            <w:tcMar>
              <w:left w:w="108" w:type="dxa"/>
              <w:right w:w="108" w:type="dxa"/>
            </w:tcMar>
            <w:vAlign w:val="center"/>
          </w:tcPr>
          <w:p w14:paraId="56286FD6" w14:textId="77777777" w:rsidR="00327FF1" w:rsidRDefault="00E406C7">
            <w:pPr>
              <w:pStyle w:val="P68B1DB1-Normal121"/>
              <w:spacing w:after="0" w:line="240" w:lineRule="auto"/>
              <w:rPr>
                <w:noProof/>
              </w:rPr>
            </w:pPr>
            <w:r>
              <w:rPr>
                <w:noProof/>
              </w:rPr>
              <w:t xml:space="preserve">Līgumus par siltumapgādes tīklu uzlabošanu piešķir Ekoloģiskās pārejas ministrija pēc publiskā iepirkuma procedūras. </w:t>
            </w:r>
          </w:p>
        </w:tc>
      </w:tr>
      <w:tr w:rsidR="00327FF1" w14:paraId="32C6BCA9" w14:textId="77777777">
        <w:trPr>
          <w:trHeight w:val="300"/>
        </w:trPr>
        <w:tc>
          <w:tcPr>
            <w:tcW w:w="1140" w:type="dxa"/>
            <w:shd w:val="clear" w:color="auto" w:fill="C6EFCE"/>
            <w:tcMar>
              <w:left w:w="108" w:type="dxa"/>
              <w:right w:w="108" w:type="dxa"/>
            </w:tcMar>
            <w:vAlign w:val="center"/>
          </w:tcPr>
          <w:p w14:paraId="75B54F8C" w14:textId="77777777" w:rsidR="00327FF1" w:rsidRDefault="00E406C7">
            <w:pPr>
              <w:pStyle w:val="P68B1DB1-Normal121"/>
              <w:spacing w:after="0" w:line="240" w:lineRule="auto"/>
              <w:jc w:val="center"/>
              <w:rPr>
                <w:noProof/>
              </w:rPr>
            </w:pPr>
            <w:r>
              <w:rPr>
                <w:noProof/>
              </w:rPr>
              <w:t>M2C4–19</w:t>
            </w:r>
          </w:p>
        </w:tc>
        <w:tc>
          <w:tcPr>
            <w:tcW w:w="3665" w:type="dxa"/>
            <w:shd w:val="clear" w:color="auto" w:fill="C6EFCE"/>
            <w:tcMar>
              <w:left w:w="108" w:type="dxa"/>
              <w:right w:w="108" w:type="dxa"/>
            </w:tcMar>
            <w:vAlign w:val="center"/>
          </w:tcPr>
          <w:p w14:paraId="47B9B208" w14:textId="77777777" w:rsidR="00327FF1" w:rsidRDefault="00E406C7">
            <w:pPr>
              <w:pStyle w:val="P68B1DB1-Normal121"/>
              <w:spacing w:after="0" w:line="240" w:lineRule="auto"/>
              <w:rPr>
                <w:noProof/>
              </w:rPr>
            </w:pPr>
            <w:r>
              <w:rPr>
                <w:noProof/>
              </w:rPr>
              <w:t>Investīcijas. 3.1. PUNKTĀ: Pilsētu un piepilsētu mežu aizsardzība un uzlabošana</w:t>
            </w:r>
          </w:p>
        </w:tc>
        <w:tc>
          <w:tcPr>
            <w:tcW w:w="1125" w:type="dxa"/>
            <w:shd w:val="clear" w:color="auto" w:fill="C6EFCE"/>
            <w:tcMar>
              <w:left w:w="108" w:type="dxa"/>
              <w:right w:w="108" w:type="dxa"/>
            </w:tcMar>
            <w:vAlign w:val="center"/>
          </w:tcPr>
          <w:p w14:paraId="39EFC6A1" w14:textId="77777777" w:rsidR="00327FF1" w:rsidRDefault="00E406C7">
            <w:pPr>
              <w:pStyle w:val="P68B1DB1-Normal121"/>
              <w:spacing w:after="0" w:line="240" w:lineRule="auto"/>
              <w:jc w:val="center"/>
              <w:rPr>
                <w:noProof/>
              </w:rPr>
            </w:pPr>
            <w:r>
              <w:rPr>
                <w:noProof/>
              </w:rPr>
              <w:t>Mērķa</w:t>
            </w:r>
          </w:p>
        </w:tc>
        <w:tc>
          <w:tcPr>
            <w:tcW w:w="3426" w:type="dxa"/>
            <w:shd w:val="clear" w:color="auto" w:fill="C6EFCE"/>
            <w:tcMar>
              <w:left w:w="108" w:type="dxa"/>
              <w:right w:w="108" w:type="dxa"/>
            </w:tcMar>
            <w:vAlign w:val="center"/>
          </w:tcPr>
          <w:p w14:paraId="3EA3F3A4" w14:textId="77777777" w:rsidR="00327FF1" w:rsidRDefault="00E406C7">
            <w:pPr>
              <w:pStyle w:val="P68B1DB1-Normal121"/>
              <w:spacing w:after="0" w:line="240" w:lineRule="auto"/>
              <w:rPr>
                <w:noProof/>
              </w:rPr>
            </w:pPr>
            <w:r>
              <w:rPr>
                <w:noProof/>
              </w:rPr>
              <w:t>Koki pilsētu un piepilsētu zaļo zonu aizsar</w:t>
            </w:r>
            <w:r>
              <w:rPr>
                <w:noProof/>
              </w:rPr>
              <w:t>dzībai un valorizācijai T1</w:t>
            </w:r>
          </w:p>
        </w:tc>
      </w:tr>
      <w:tr w:rsidR="00327FF1" w14:paraId="33800F84" w14:textId="77777777">
        <w:trPr>
          <w:trHeight w:val="300"/>
        </w:trPr>
        <w:tc>
          <w:tcPr>
            <w:tcW w:w="1140" w:type="dxa"/>
            <w:shd w:val="clear" w:color="auto" w:fill="C6EFCE"/>
            <w:tcMar>
              <w:left w:w="108" w:type="dxa"/>
              <w:right w:w="108" w:type="dxa"/>
            </w:tcMar>
            <w:vAlign w:val="center"/>
          </w:tcPr>
          <w:p w14:paraId="0D407052" w14:textId="77777777" w:rsidR="00327FF1" w:rsidRDefault="00E406C7">
            <w:pPr>
              <w:pStyle w:val="P68B1DB1-Normal121"/>
              <w:spacing w:after="0" w:line="240" w:lineRule="auto"/>
              <w:jc w:val="center"/>
              <w:rPr>
                <w:noProof/>
              </w:rPr>
            </w:pPr>
            <w:r>
              <w:rPr>
                <w:noProof/>
              </w:rPr>
              <w:t>M2C4–24</w:t>
            </w:r>
          </w:p>
        </w:tc>
        <w:tc>
          <w:tcPr>
            <w:tcW w:w="3665" w:type="dxa"/>
            <w:shd w:val="clear" w:color="auto" w:fill="C6EFCE"/>
            <w:tcMar>
              <w:left w:w="108" w:type="dxa"/>
              <w:right w:w="108" w:type="dxa"/>
            </w:tcMar>
            <w:vAlign w:val="center"/>
          </w:tcPr>
          <w:p w14:paraId="7C21B3DB" w14:textId="77777777" w:rsidR="00327FF1" w:rsidRDefault="00E406C7">
            <w:pPr>
              <w:pStyle w:val="P68B1DB1-Normal121"/>
              <w:spacing w:after="0" w:line="240" w:lineRule="auto"/>
              <w:rPr>
                <w:noProof/>
              </w:rPr>
            </w:pPr>
            <w:r>
              <w:rPr>
                <w:noProof/>
              </w:rPr>
              <w:t>Ieguldījums 3.4. “Retzemju teritoriju augsnes” sanācija</w:t>
            </w:r>
          </w:p>
        </w:tc>
        <w:tc>
          <w:tcPr>
            <w:tcW w:w="1125" w:type="dxa"/>
            <w:shd w:val="clear" w:color="auto" w:fill="C6EFCE"/>
            <w:tcMar>
              <w:left w:w="108" w:type="dxa"/>
              <w:right w:w="108" w:type="dxa"/>
            </w:tcMar>
            <w:vAlign w:val="center"/>
          </w:tcPr>
          <w:p w14:paraId="33FDCFFF" w14:textId="77777777" w:rsidR="00327FF1" w:rsidRDefault="00E406C7">
            <w:pPr>
              <w:pStyle w:val="P68B1DB1-Normal121"/>
              <w:spacing w:after="0" w:line="240" w:lineRule="auto"/>
              <w:jc w:val="center"/>
              <w:rPr>
                <w:noProof/>
              </w:rPr>
            </w:pPr>
            <w:r>
              <w:rPr>
                <w:noProof/>
              </w:rPr>
              <w:t>Atskaites punkts</w:t>
            </w:r>
          </w:p>
        </w:tc>
        <w:tc>
          <w:tcPr>
            <w:tcW w:w="3426" w:type="dxa"/>
            <w:shd w:val="clear" w:color="auto" w:fill="C6EFCE"/>
            <w:tcMar>
              <w:left w:w="108" w:type="dxa"/>
              <w:right w:w="108" w:type="dxa"/>
            </w:tcMar>
            <w:vAlign w:val="center"/>
          </w:tcPr>
          <w:p w14:paraId="2B2131CB" w14:textId="77777777" w:rsidR="00327FF1" w:rsidRDefault="00E406C7">
            <w:pPr>
              <w:pStyle w:val="P68B1DB1-Normal121"/>
              <w:spacing w:after="0" w:line="240" w:lineRule="auto"/>
              <w:rPr>
                <w:noProof/>
              </w:rPr>
            </w:pPr>
            <w:r>
              <w:rPr>
                <w:noProof/>
              </w:rPr>
              <w:t>Bāreņu attīrīšanas tiesiskais regulējums</w:t>
            </w:r>
          </w:p>
        </w:tc>
      </w:tr>
      <w:tr w:rsidR="00327FF1" w14:paraId="38297A94" w14:textId="77777777">
        <w:trPr>
          <w:trHeight w:val="300"/>
        </w:trPr>
        <w:tc>
          <w:tcPr>
            <w:tcW w:w="1140" w:type="dxa"/>
            <w:shd w:val="clear" w:color="auto" w:fill="C6EFCE"/>
            <w:tcMar>
              <w:left w:w="108" w:type="dxa"/>
              <w:right w:w="108" w:type="dxa"/>
            </w:tcMar>
            <w:vAlign w:val="center"/>
          </w:tcPr>
          <w:p w14:paraId="52DFFB77" w14:textId="77777777" w:rsidR="00327FF1" w:rsidRDefault="00E406C7">
            <w:pPr>
              <w:pStyle w:val="P68B1DB1-Normal121"/>
              <w:spacing w:after="0" w:line="240" w:lineRule="auto"/>
              <w:jc w:val="center"/>
              <w:rPr>
                <w:noProof/>
              </w:rPr>
            </w:pPr>
            <w:r>
              <w:rPr>
                <w:noProof/>
              </w:rPr>
              <w:t>M3C1–3</w:t>
            </w:r>
          </w:p>
        </w:tc>
        <w:tc>
          <w:tcPr>
            <w:tcW w:w="3665" w:type="dxa"/>
            <w:shd w:val="clear" w:color="auto" w:fill="C6EFCE"/>
            <w:tcMar>
              <w:left w:w="108" w:type="dxa"/>
              <w:right w:w="108" w:type="dxa"/>
            </w:tcMar>
            <w:vAlign w:val="center"/>
          </w:tcPr>
          <w:p w14:paraId="75BEED21" w14:textId="77777777" w:rsidR="00327FF1" w:rsidRDefault="00E406C7">
            <w:pPr>
              <w:pStyle w:val="P68B1DB1-Normal121"/>
              <w:spacing w:after="0" w:line="240" w:lineRule="auto"/>
              <w:rPr>
                <w:noProof/>
              </w:rPr>
            </w:pPr>
            <w:r>
              <w:rPr>
                <w:noProof/>
              </w:rPr>
              <w:t>Investīcija. Ātrgaitas dzelzceļa savienojumi ar dienvidiem pasažieru un kravu pārvadājumiem</w:t>
            </w:r>
          </w:p>
        </w:tc>
        <w:tc>
          <w:tcPr>
            <w:tcW w:w="1125" w:type="dxa"/>
            <w:shd w:val="clear" w:color="auto" w:fill="C6EFCE"/>
            <w:tcMar>
              <w:left w:w="108" w:type="dxa"/>
              <w:right w:w="108" w:type="dxa"/>
            </w:tcMar>
            <w:vAlign w:val="center"/>
          </w:tcPr>
          <w:p w14:paraId="389BF038" w14:textId="77777777" w:rsidR="00327FF1" w:rsidRDefault="00E406C7">
            <w:pPr>
              <w:pStyle w:val="P68B1DB1-Normal121"/>
              <w:spacing w:after="0" w:line="240" w:lineRule="auto"/>
              <w:jc w:val="center"/>
              <w:rPr>
                <w:noProof/>
              </w:rPr>
            </w:pPr>
            <w:r>
              <w:rPr>
                <w:noProof/>
              </w:rPr>
              <w:t>Atskaites punkts</w:t>
            </w:r>
          </w:p>
        </w:tc>
        <w:tc>
          <w:tcPr>
            <w:tcW w:w="3426" w:type="dxa"/>
            <w:shd w:val="clear" w:color="auto" w:fill="C6EFCE"/>
            <w:tcMar>
              <w:left w:w="108" w:type="dxa"/>
              <w:right w:w="108" w:type="dxa"/>
            </w:tcMar>
            <w:vAlign w:val="center"/>
          </w:tcPr>
          <w:p w14:paraId="515B571B" w14:textId="77777777" w:rsidR="00327FF1" w:rsidRDefault="00E406C7">
            <w:pPr>
              <w:pStyle w:val="P68B1DB1-Normal121"/>
              <w:spacing w:after="0" w:line="240" w:lineRule="auto"/>
              <w:rPr>
                <w:noProof/>
              </w:rPr>
            </w:pPr>
            <w:r>
              <w:rPr>
                <w:noProof/>
              </w:rPr>
              <w:t>Līguma slēgšanas tiesību piešķiršana ātrgaitas dzelzceļa būvniecībai līnijās Napoli-Bari un Palermo-Katania</w:t>
            </w:r>
          </w:p>
        </w:tc>
      </w:tr>
      <w:tr w:rsidR="00327FF1" w14:paraId="04BACB44" w14:textId="77777777">
        <w:trPr>
          <w:trHeight w:val="300"/>
        </w:trPr>
        <w:tc>
          <w:tcPr>
            <w:tcW w:w="1140" w:type="dxa"/>
            <w:shd w:val="clear" w:color="auto" w:fill="C6EFCE"/>
            <w:tcMar>
              <w:left w:w="108" w:type="dxa"/>
              <w:right w:w="108" w:type="dxa"/>
            </w:tcMar>
            <w:vAlign w:val="center"/>
          </w:tcPr>
          <w:p w14:paraId="2A505C74" w14:textId="77777777" w:rsidR="00327FF1" w:rsidRDefault="00E406C7">
            <w:pPr>
              <w:pStyle w:val="P68B1DB1-Normal121"/>
              <w:spacing w:after="0" w:line="240" w:lineRule="auto"/>
              <w:jc w:val="center"/>
              <w:rPr>
                <w:noProof/>
              </w:rPr>
            </w:pPr>
            <w:r>
              <w:rPr>
                <w:noProof/>
              </w:rPr>
              <w:t>M3C1–12</w:t>
            </w:r>
          </w:p>
        </w:tc>
        <w:tc>
          <w:tcPr>
            <w:tcW w:w="3665" w:type="dxa"/>
            <w:shd w:val="clear" w:color="auto" w:fill="C6EFCE"/>
            <w:tcMar>
              <w:left w:w="108" w:type="dxa"/>
              <w:right w:w="108" w:type="dxa"/>
            </w:tcMar>
            <w:vAlign w:val="center"/>
          </w:tcPr>
          <w:p w14:paraId="67F79C10" w14:textId="77777777" w:rsidR="00327FF1" w:rsidRDefault="00E406C7">
            <w:pPr>
              <w:pStyle w:val="P68B1DB1-Normal121"/>
              <w:spacing w:after="0" w:line="240" w:lineRule="auto"/>
              <w:rPr>
                <w:noProof/>
              </w:rPr>
            </w:pPr>
            <w:r>
              <w:rPr>
                <w:noProof/>
              </w:rPr>
              <w:t>Investīcija Nr. 1.4. Eiropas Dzelzceļa transporta vadības sistēmas (ERTMS) ieviešana</w:t>
            </w:r>
          </w:p>
        </w:tc>
        <w:tc>
          <w:tcPr>
            <w:tcW w:w="1125" w:type="dxa"/>
            <w:shd w:val="clear" w:color="auto" w:fill="C6EFCE"/>
            <w:tcMar>
              <w:left w:w="108" w:type="dxa"/>
              <w:right w:w="108" w:type="dxa"/>
            </w:tcMar>
            <w:vAlign w:val="center"/>
          </w:tcPr>
          <w:p w14:paraId="212B0E6C" w14:textId="77777777" w:rsidR="00327FF1" w:rsidRDefault="00E406C7">
            <w:pPr>
              <w:pStyle w:val="P68B1DB1-Normal121"/>
              <w:spacing w:after="0" w:line="240" w:lineRule="auto"/>
              <w:jc w:val="center"/>
              <w:rPr>
                <w:noProof/>
              </w:rPr>
            </w:pPr>
            <w:r>
              <w:rPr>
                <w:noProof/>
              </w:rPr>
              <w:t>Atskaites punkts</w:t>
            </w:r>
          </w:p>
        </w:tc>
        <w:tc>
          <w:tcPr>
            <w:tcW w:w="3426" w:type="dxa"/>
            <w:shd w:val="clear" w:color="auto" w:fill="C6EFCE"/>
            <w:tcMar>
              <w:left w:w="108" w:type="dxa"/>
              <w:right w:w="108" w:type="dxa"/>
            </w:tcMar>
            <w:vAlign w:val="center"/>
          </w:tcPr>
          <w:p w14:paraId="0BD4FB56" w14:textId="77777777" w:rsidR="00327FF1" w:rsidRDefault="00E406C7">
            <w:pPr>
              <w:pStyle w:val="P68B1DB1-Normal121"/>
              <w:spacing w:after="0" w:line="240" w:lineRule="auto"/>
              <w:rPr>
                <w:noProof/>
              </w:rPr>
            </w:pPr>
            <w:r>
              <w:rPr>
                <w:noProof/>
              </w:rPr>
              <w:t>Līgumu slēgšanas tie</w:t>
            </w:r>
            <w:r>
              <w:rPr>
                <w:noProof/>
              </w:rPr>
              <w:t>sību piešķiršana par Eiropas Dzelzceļa transporta vadības sistēmu</w:t>
            </w:r>
          </w:p>
        </w:tc>
      </w:tr>
      <w:tr w:rsidR="00327FF1" w14:paraId="701D372A" w14:textId="77777777">
        <w:trPr>
          <w:trHeight w:val="300"/>
        </w:trPr>
        <w:tc>
          <w:tcPr>
            <w:tcW w:w="1140" w:type="dxa"/>
            <w:shd w:val="clear" w:color="auto" w:fill="C6EFCE"/>
            <w:tcMar>
              <w:left w:w="108" w:type="dxa"/>
              <w:right w:w="108" w:type="dxa"/>
            </w:tcMar>
            <w:vAlign w:val="center"/>
          </w:tcPr>
          <w:p w14:paraId="0D14ABF3" w14:textId="77777777" w:rsidR="00327FF1" w:rsidRDefault="00E406C7">
            <w:pPr>
              <w:pStyle w:val="P68B1DB1-Normal121"/>
              <w:spacing w:after="0" w:line="240" w:lineRule="auto"/>
              <w:jc w:val="center"/>
              <w:rPr>
                <w:noProof/>
              </w:rPr>
            </w:pPr>
            <w:r>
              <w:rPr>
                <w:noProof/>
              </w:rPr>
              <w:t>M3C2–8</w:t>
            </w:r>
          </w:p>
        </w:tc>
        <w:tc>
          <w:tcPr>
            <w:tcW w:w="3665" w:type="dxa"/>
            <w:shd w:val="clear" w:color="auto" w:fill="C6EFCE"/>
            <w:tcMar>
              <w:left w:w="108" w:type="dxa"/>
              <w:right w:w="108" w:type="dxa"/>
            </w:tcMar>
            <w:vAlign w:val="center"/>
          </w:tcPr>
          <w:p w14:paraId="6D153E40" w14:textId="77777777" w:rsidR="00327FF1" w:rsidRDefault="00E406C7">
            <w:pPr>
              <w:pStyle w:val="P68B1DB1-Normal121"/>
              <w:spacing w:after="0" w:line="240" w:lineRule="auto"/>
              <w:rPr>
                <w:noProof/>
              </w:rPr>
            </w:pPr>
            <w:r>
              <w:rPr>
                <w:noProof/>
              </w:rPr>
              <w:t>Investīcija 1.1: Zaļās ostas: atjaunīgās enerģijas un energoefektivitātes intervences ostās</w:t>
            </w:r>
          </w:p>
        </w:tc>
        <w:tc>
          <w:tcPr>
            <w:tcW w:w="1125" w:type="dxa"/>
            <w:shd w:val="clear" w:color="auto" w:fill="C6EFCE"/>
            <w:tcMar>
              <w:left w:w="108" w:type="dxa"/>
              <w:right w:w="108" w:type="dxa"/>
            </w:tcMar>
            <w:vAlign w:val="center"/>
          </w:tcPr>
          <w:p w14:paraId="63020732" w14:textId="77777777" w:rsidR="00327FF1" w:rsidRDefault="00E406C7">
            <w:pPr>
              <w:pStyle w:val="P68B1DB1-Normal121"/>
              <w:spacing w:after="0" w:line="240" w:lineRule="auto"/>
              <w:jc w:val="center"/>
              <w:rPr>
                <w:noProof/>
              </w:rPr>
            </w:pPr>
            <w:r>
              <w:rPr>
                <w:noProof/>
              </w:rPr>
              <w:t>Mērķa</w:t>
            </w:r>
          </w:p>
        </w:tc>
        <w:tc>
          <w:tcPr>
            <w:tcW w:w="3426" w:type="dxa"/>
            <w:shd w:val="clear" w:color="auto" w:fill="C6EFCE"/>
            <w:tcMar>
              <w:left w:w="108" w:type="dxa"/>
              <w:right w:w="108" w:type="dxa"/>
            </w:tcMar>
            <w:vAlign w:val="center"/>
          </w:tcPr>
          <w:p w14:paraId="5FDB035F" w14:textId="77777777" w:rsidR="00327FF1" w:rsidRDefault="00E406C7">
            <w:pPr>
              <w:pStyle w:val="P68B1DB1-Normal121"/>
              <w:spacing w:after="0" w:line="240" w:lineRule="auto"/>
              <w:rPr>
                <w:noProof/>
              </w:rPr>
            </w:pPr>
            <w:r>
              <w:rPr>
                <w:noProof/>
              </w:rPr>
              <w:t>Zaļās ostas: darbu piešķiršana</w:t>
            </w:r>
          </w:p>
        </w:tc>
      </w:tr>
      <w:tr w:rsidR="00327FF1" w14:paraId="52799645" w14:textId="77777777">
        <w:trPr>
          <w:trHeight w:val="300"/>
        </w:trPr>
        <w:tc>
          <w:tcPr>
            <w:tcW w:w="1140" w:type="dxa"/>
            <w:shd w:val="clear" w:color="auto" w:fill="C6EFCE"/>
            <w:tcMar>
              <w:left w:w="108" w:type="dxa"/>
              <w:right w:w="108" w:type="dxa"/>
            </w:tcMar>
            <w:vAlign w:val="center"/>
          </w:tcPr>
          <w:p w14:paraId="2BDA366D" w14:textId="77777777" w:rsidR="00327FF1" w:rsidRDefault="00E406C7">
            <w:pPr>
              <w:pStyle w:val="P68B1DB1-Normal121"/>
              <w:spacing w:after="0" w:line="240" w:lineRule="auto"/>
              <w:jc w:val="center"/>
              <w:rPr>
                <w:noProof/>
              </w:rPr>
            </w:pPr>
            <w:r>
              <w:rPr>
                <w:noProof/>
              </w:rPr>
              <w:t>M4C1–29</w:t>
            </w:r>
          </w:p>
        </w:tc>
        <w:tc>
          <w:tcPr>
            <w:tcW w:w="3665" w:type="dxa"/>
            <w:shd w:val="clear" w:color="auto" w:fill="C6EFCE"/>
            <w:tcMar>
              <w:left w:w="108" w:type="dxa"/>
              <w:right w:w="108" w:type="dxa"/>
            </w:tcMar>
            <w:vAlign w:val="center"/>
          </w:tcPr>
          <w:p w14:paraId="6D66CA4A" w14:textId="77777777" w:rsidR="00327FF1" w:rsidRDefault="00E406C7">
            <w:pPr>
              <w:pStyle w:val="P68B1DB1-Normal121"/>
              <w:spacing w:after="0" w:line="240" w:lineRule="auto"/>
              <w:rPr>
                <w:noProof/>
              </w:rPr>
            </w:pPr>
            <w:r>
              <w:rPr>
                <w:noProof/>
              </w:rPr>
              <w:t xml:space="preserve">Reforma Nr. 1.7: Studentu mājokļu regulējuma reforma un ieguldījumi studentu mājokļos </w:t>
            </w:r>
          </w:p>
        </w:tc>
        <w:tc>
          <w:tcPr>
            <w:tcW w:w="1125" w:type="dxa"/>
            <w:shd w:val="clear" w:color="auto" w:fill="C6EFCE"/>
            <w:tcMar>
              <w:left w:w="108" w:type="dxa"/>
              <w:right w:w="108" w:type="dxa"/>
            </w:tcMar>
            <w:vAlign w:val="center"/>
          </w:tcPr>
          <w:p w14:paraId="1B6B58CB" w14:textId="77777777" w:rsidR="00327FF1" w:rsidRDefault="00E406C7">
            <w:pPr>
              <w:pStyle w:val="P68B1DB1-Normal121"/>
              <w:spacing w:after="0" w:line="240" w:lineRule="auto"/>
              <w:jc w:val="center"/>
              <w:rPr>
                <w:noProof/>
              </w:rPr>
            </w:pPr>
            <w:r>
              <w:rPr>
                <w:noProof/>
              </w:rPr>
              <w:t>Atskaites punkts</w:t>
            </w:r>
          </w:p>
        </w:tc>
        <w:tc>
          <w:tcPr>
            <w:tcW w:w="3426" w:type="dxa"/>
            <w:shd w:val="clear" w:color="auto" w:fill="C6EFCE"/>
            <w:tcMar>
              <w:left w:w="108" w:type="dxa"/>
              <w:right w:w="108" w:type="dxa"/>
            </w:tcMar>
            <w:vAlign w:val="center"/>
          </w:tcPr>
          <w:p w14:paraId="003A2A68" w14:textId="77777777" w:rsidR="00327FF1" w:rsidRDefault="00E406C7">
            <w:pPr>
              <w:pStyle w:val="P68B1DB1-Normal121"/>
              <w:spacing w:after="0" w:line="240" w:lineRule="auto"/>
              <w:rPr>
                <w:noProof/>
              </w:rPr>
            </w:pPr>
            <w:r>
              <w:rPr>
                <w:noProof/>
              </w:rPr>
              <w:t xml:space="preserve">Stājas spēkā studentu mājokļu tiesību aktu reforma.    </w:t>
            </w:r>
          </w:p>
        </w:tc>
      </w:tr>
      <w:tr w:rsidR="00327FF1" w14:paraId="6EF6EB48" w14:textId="77777777">
        <w:trPr>
          <w:trHeight w:val="300"/>
        </w:trPr>
        <w:tc>
          <w:tcPr>
            <w:tcW w:w="1140" w:type="dxa"/>
            <w:shd w:val="clear" w:color="auto" w:fill="C6EFCE"/>
            <w:tcMar>
              <w:left w:w="108" w:type="dxa"/>
              <w:right w:w="108" w:type="dxa"/>
            </w:tcMar>
            <w:vAlign w:val="center"/>
          </w:tcPr>
          <w:p w14:paraId="1D86C1A4" w14:textId="77777777" w:rsidR="00327FF1" w:rsidRDefault="00E406C7">
            <w:pPr>
              <w:pStyle w:val="P68B1DB1-Normal121"/>
              <w:spacing w:after="0" w:line="240" w:lineRule="auto"/>
              <w:jc w:val="center"/>
              <w:rPr>
                <w:noProof/>
              </w:rPr>
            </w:pPr>
            <w:r>
              <w:rPr>
                <w:noProof/>
              </w:rPr>
              <w:t>M5C2–13</w:t>
            </w:r>
          </w:p>
        </w:tc>
        <w:tc>
          <w:tcPr>
            <w:tcW w:w="3665" w:type="dxa"/>
            <w:shd w:val="clear" w:color="auto" w:fill="C6EFCE"/>
            <w:tcMar>
              <w:left w:w="108" w:type="dxa"/>
              <w:right w:w="108" w:type="dxa"/>
            </w:tcMar>
            <w:vAlign w:val="center"/>
          </w:tcPr>
          <w:p w14:paraId="55BF7A02" w14:textId="77777777" w:rsidR="00327FF1" w:rsidRDefault="00E406C7">
            <w:pPr>
              <w:pStyle w:val="P68B1DB1-Normal121"/>
              <w:spacing w:after="0" w:line="240" w:lineRule="auto"/>
              <w:rPr>
                <w:noProof/>
              </w:rPr>
            </w:pPr>
            <w:r>
              <w:rPr>
                <w:noProof/>
              </w:rPr>
              <w:t>Investīcija Nr. 5 “Integrētie pilsētu plāni — vispārīgi projekti”</w:t>
            </w:r>
          </w:p>
        </w:tc>
        <w:tc>
          <w:tcPr>
            <w:tcW w:w="1125" w:type="dxa"/>
            <w:shd w:val="clear" w:color="auto" w:fill="C6EFCE"/>
            <w:tcMar>
              <w:left w:w="108" w:type="dxa"/>
              <w:right w:w="108" w:type="dxa"/>
            </w:tcMar>
            <w:vAlign w:val="center"/>
          </w:tcPr>
          <w:p w14:paraId="2DB878DE" w14:textId="77777777" w:rsidR="00327FF1" w:rsidRDefault="00E406C7">
            <w:pPr>
              <w:pStyle w:val="P68B1DB1-Normal121"/>
              <w:spacing w:after="0" w:line="240" w:lineRule="auto"/>
              <w:jc w:val="center"/>
              <w:rPr>
                <w:noProof/>
              </w:rPr>
            </w:pPr>
            <w:r>
              <w:rPr>
                <w:noProof/>
              </w:rPr>
              <w:t>Atskaites punkts</w:t>
            </w:r>
          </w:p>
        </w:tc>
        <w:tc>
          <w:tcPr>
            <w:tcW w:w="3426" w:type="dxa"/>
            <w:shd w:val="clear" w:color="auto" w:fill="C6EFCE"/>
            <w:tcMar>
              <w:left w:w="108" w:type="dxa"/>
              <w:right w:w="108" w:type="dxa"/>
            </w:tcMar>
            <w:vAlign w:val="center"/>
          </w:tcPr>
          <w:p w14:paraId="1901A3D5" w14:textId="77777777" w:rsidR="00327FF1" w:rsidRDefault="00E406C7">
            <w:pPr>
              <w:pStyle w:val="P68B1DB1-Normal121"/>
              <w:spacing w:after="0" w:line="240" w:lineRule="auto"/>
              <w:rPr>
                <w:noProof/>
              </w:rPr>
            </w:pPr>
            <w:r>
              <w:rPr>
                <w:noProof/>
              </w:rPr>
              <w:t>Stāj</w:t>
            </w:r>
            <w:r>
              <w:rPr>
                <w:noProof/>
              </w:rPr>
              <w:t>as spēkā investīciju plāns pilsētu atjaunošanas projektiem lielpilsētu teritorijās</w:t>
            </w:r>
          </w:p>
        </w:tc>
      </w:tr>
      <w:tr w:rsidR="00327FF1" w14:paraId="350583FE" w14:textId="77777777">
        <w:trPr>
          <w:trHeight w:val="300"/>
        </w:trPr>
        <w:tc>
          <w:tcPr>
            <w:tcW w:w="1140" w:type="dxa"/>
            <w:shd w:val="clear" w:color="auto" w:fill="C6EFCE"/>
            <w:tcMar>
              <w:left w:w="108" w:type="dxa"/>
              <w:right w:w="108" w:type="dxa"/>
            </w:tcMar>
            <w:vAlign w:val="center"/>
          </w:tcPr>
          <w:p w14:paraId="11AD1F3F" w14:textId="77777777" w:rsidR="00327FF1" w:rsidRDefault="00E406C7">
            <w:pPr>
              <w:pStyle w:val="P68B1DB1-Normal121"/>
              <w:spacing w:after="0" w:line="240" w:lineRule="auto"/>
              <w:jc w:val="center"/>
              <w:rPr>
                <w:noProof/>
              </w:rPr>
            </w:pPr>
            <w:r>
              <w:rPr>
                <w:noProof/>
              </w:rPr>
              <w:t>M6C2–7</w:t>
            </w:r>
          </w:p>
        </w:tc>
        <w:tc>
          <w:tcPr>
            <w:tcW w:w="3665" w:type="dxa"/>
            <w:shd w:val="clear" w:color="auto" w:fill="C6EFCE"/>
            <w:tcMar>
              <w:left w:w="108" w:type="dxa"/>
              <w:right w:w="108" w:type="dxa"/>
            </w:tcMar>
            <w:vAlign w:val="center"/>
          </w:tcPr>
          <w:p w14:paraId="3994718E" w14:textId="77777777" w:rsidR="00327FF1" w:rsidRDefault="00E406C7">
            <w:pPr>
              <w:pStyle w:val="P68B1DB1-Normal123"/>
              <w:spacing w:after="0" w:line="240" w:lineRule="auto"/>
              <w:rPr>
                <w:noProof/>
              </w:rPr>
            </w:pPr>
            <w:r>
              <w:rPr>
                <w:noProof/>
              </w:rPr>
              <w:t>Investīcija 1.1: Slimnīcu tehnoloģiskā aprīkojuma digitālā atjaunināšana</w:t>
            </w:r>
          </w:p>
        </w:tc>
        <w:tc>
          <w:tcPr>
            <w:tcW w:w="1125" w:type="dxa"/>
            <w:shd w:val="clear" w:color="auto" w:fill="C6EFCE"/>
            <w:tcMar>
              <w:left w:w="108" w:type="dxa"/>
              <w:right w:w="108" w:type="dxa"/>
            </w:tcMar>
            <w:vAlign w:val="center"/>
          </w:tcPr>
          <w:p w14:paraId="0ED51ADF" w14:textId="77777777" w:rsidR="00327FF1" w:rsidRDefault="00E406C7">
            <w:pPr>
              <w:pStyle w:val="P68B1DB1-Normal123"/>
              <w:spacing w:after="0" w:line="240" w:lineRule="auto"/>
              <w:jc w:val="center"/>
              <w:rPr>
                <w:noProof/>
              </w:rPr>
            </w:pPr>
            <w:r>
              <w:rPr>
                <w:noProof/>
              </w:rPr>
              <w:t>Atskaites punkts</w:t>
            </w:r>
          </w:p>
        </w:tc>
        <w:tc>
          <w:tcPr>
            <w:tcW w:w="3426" w:type="dxa"/>
            <w:shd w:val="clear" w:color="auto" w:fill="C6EFCE"/>
            <w:tcMar>
              <w:left w:w="108" w:type="dxa"/>
              <w:right w:w="108" w:type="dxa"/>
            </w:tcMar>
            <w:vAlign w:val="center"/>
          </w:tcPr>
          <w:p w14:paraId="20749F07" w14:textId="77777777" w:rsidR="00327FF1" w:rsidRDefault="00E406C7">
            <w:pPr>
              <w:pStyle w:val="P68B1DB1-Normal123"/>
              <w:spacing w:after="0" w:line="240" w:lineRule="auto"/>
              <w:rPr>
                <w:noProof/>
              </w:rPr>
            </w:pPr>
            <w:r>
              <w:rPr>
                <w:noProof/>
              </w:rPr>
              <w:t>Visu publiskā iepirkuma līgumu slēgšanas tiesību piešķiršana</w:t>
            </w:r>
          </w:p>
        </w:tc>
      </w:tr>
      <w:tr w:rsidR="00327FF1" w14:paraId="7F483249" w14:textId="77777777">
        <w:trPr>
          <w:trHeight w:val="300"/>
        </w:trPr>
        <w:tc>
          <w:tcPr>
            <w:tcW w:w="1140" w:type="dxa"/>
            <w:shd w:val="clear" w:color="auto" w:fill="C6EFCE"/>
            <w:tcMar>
              <w:left w:w="108" w:type="dxa"/>
              <w:right w:w="108" w:type="dxa"/>
            </w:tcMar>
            <w:vAlign w:val="center"/>
          </w:tcPr>
          <w:p w14:paraId="2FA586CF" w14:textId="77777777" w:rsidR="00327FF1" w:rsidRDefault="00327FF1">
            <w:pPr>
              <w:spacing w:after="0" w:line="240" w:lineRule="auto"/>
              <w:jc w:val="center"/>
              <w:rPr>
                <w:rFonts w:ascii="Times New Roman" w:eastAsia="Times New Roman" w:hAnsi="Times New Roman" w:cs="Times New Roman"/>
                <w:noProof/>
              </w:rPr>
            </w:pPr>
          </w:p>
        </w:tc>
        <w:tc>
          <w:tcPr>
            <w:tcW w:w="3665" w:type="dxa"/>
            <w:shd w:val="clear" w:color="auto" w:fill="C6EFCE"/>
            <w:tcMar>
              <w:left w:w="108" w:type="dxa"/>
              <w:right w:w="108" w:type="dxa"/>
            </w:tcMar>
            <w:vAlign w:val="center"/>
          </w:tcPr>
          <w:p w14:paraId="7C317D60" w14:textId="77777777" w:rsidR="00327FF1" w:rsidRDefault="00E406C7">
            <w:pPr>
              <w:pStyle w:val="P68B1DB1-Normal121"/>
              <w:spacing w:after="0" w:line="240" w:lineRule="auto"/>
              <w:rPr>
                <w:noProof/>
              </w:rPr>
            </w:pPr>
            <w:r>
              <w:rPr>
                <w:noProof/>
              </w:rPr>
              <w:t xml:space="preserve"> </w:t>
            </w:r>
          </w:p>
        </w:tc>
        <w:tc>
          <w:tcPr>
            <w:tcW w:w="1125" w:type="dxa"/>
            <w:shd w:val="clear" w:color="auto" w:fill="C6EFCE"/>
            <w:tcMar>
              <w:left w:w="108" w:type="dxa"/>
              <w:right w:w="108" w:type="dxa"/>
            </w:tcMar>
            <w:vAlign w:val="center"/>
          </w:tcPr>
          <w:p w14:paraId="11A3C556" w14:textId="77777777" w:rsidR="00327FF1" w:rsidRDefault="00E406C7">
            <w:pPr>
              <w:pStyle w:val="P68B1DB1-Normal121"/>
              <w:spacing w:after="0" w:line="240" w:lineRule="auto"/>
              <w:jc w:val="center"/>
              <w:rPr>
                <w:noProof/>
              </w:rPr>
            </w:pPr>
            <w:r>
              <w:rPr>
                <w:noProof/>
              </w:rPr>
              <w:t xml:space="preserve">Maksājuma </w:t>
            </w:r>
            <w:r>
              <w:rPr>
                <w:noProof/>
              </w:rPr>
              <w:t>summa</w:t>
            </w:r>
          </w:p>
        </w:tc>
        <w:tc>
          <w:tcPr>
            <w:tcW w:w="3426" w:type="dxa"/>
            <w:shd w:val="clear" w:color="auto" w:fill="C6EFCE"/>
            <w:tcMar>
              <w:left w:w="108" w:type="dxa"/>
              <w:right w:w="108" w:type="dxa"/>
            </w:tcMar>
            <w:vAlign w:val="center"/>
          </w:tcPr>
          <w:p w14:paraId="52D638A7"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9825328389</w:t>
            </w:r>
            <w:r>
              <w:rPr>
                <w:noProof/>
                <w:sz w:val="23"/>
                <w:szCs w:val="23"/>
              </w:rPr>
              <w:t xml:space="preserve"> </w:t>
            </w:r>
          </w:p>
        </w:tc>
      </w:tr>
    </w:tbl>
    <w:p w14:paraId="0FBE0FA3" w14:textId="77777777" w:rsidR="00327FF1" w:rsidRDefault="00E406C7">
      <w:pPr>
        <w:pStyle w:val="P68B1DB1-Normal8"/>
        <w:spacing w:after="200" w:line="276" w:lineRule="auto"/>
        <w:rPr>
          <w:noProof/>
        </w:rPr>
      </w:pPr>
      <w:r>
        <w:rPr>
          <w:noProof/>
        </w:rPr>
        <w:t xml:space="preserve"> </w:t>
      </w:r>
    </w:p>
    <w:p w14:paraId="096A9019" w14:textId="77777777" w:rsidR="00327FF1" w:rsidRDefault="00E406C7">
      <w:pPr>
        <w:pStyle w:val="P68B1DB1-Normal8"/>
        <w:rPr>
          <w:noProof/>
        </w:rPr>
      </w:pPr>
      <w:r>
        <w:rPr>
          <w:noProof/>
        </w:rPr>
        <w:br w:type="page"/>
      </w:r>
    </w:p>
    <w:p w14:paraId="5826C52E" w14:textId="77777777" w:rsidR="00327FF1" w:rsidRDefault="00E406C7">
      <w:pPr>
        <w:pStyle w:val="P68B1DB1-Heading34"/>
        <w:numPr>
          <w:ilvl w:val="1"/>
          <w:numId w:val="179"/>
        </w:numPr>
        <w:tabs>
          <w:tab w:val="clear" w:pos="850"/>
          <w:tab w:val="num" w:pos="1440"/>
        </w:tabs>
        <w:ind w:left="1440" w:hanging="360"/>
        <w:rPr>
          <w:noProof/>
        </w:rPr>
      </w:pPr>
      <w:r>
        <w:rPr>
          <w:noProof/>
        </w:rPr>
        <w:t>Ceturtā daļa (aizdevuma atbalsts):</w:t>
      </w:r>
    </w:p>
    <w:tbl>
      <w:tblPr>
        <w:tblW w:w="935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0"/>
        <w:gridCol w:w="3171"/>
        <w:gridCol w:w="1230"/>
        <w:gridCol w:w="3666"/>
      </w:tblGrid>
      <w:tr w:rsidR="00327FF1" w14:paraId="624C3D1D" w14:textId="77777777">
        <w:trPr>
          <w:trHeight w:val="900"/>
          <w:tblHeader/>
        </w:trPr>
        <w:tc>
          <w:tcPr>
            <w:tcW w:w="1290" w:type="dxa"/>
            <w:vMerge w:val="restart"/>
            <w:shd w:val="clear" w:color="auto" w:fill="BDD7EE"/>
            <w:tcMar>
              <w:left w:w="108" w:type="dxa"/>
              <w:right w:w="108" w:type="dxa"/>
            </w:tcMar>
            <w:vAlign w:val="center"/>
          </w:tcPr>
          <w:p w14:paraId="62675518" w14:textId="77777777" w:rsidR="00327FF1" w:rsidRDefault="00E406C7">
            <w:pPr>
              <w:pStyle w:val="P68B1DB1-Normal120"/>
              <w:spacing w:after="0" w:line="240" w:lineRule="auto"/>
              <w:jc w:val="center"/>
              <w:rPr>
                <w:noProof/>
              </w:rPr>
            </w:pPr>
            <w:r>
              <w:rPr>
                <w:noProof/>
              </w:rPr>
              <w:t>Kārtas numurs</w:t>
            </w:r>
          </w:p>
        </w:tc>
        <w:tc>
          <w:tcPr>
            <w:tcW w:w="3171" w:type="dxa"/>
            <w:vMerge w:val="restart"/>
            <w:shd w:val="clear" w:color="auto" w:fill="BDD7EE"/>
            <w:tcMar>
              <w:left w:w="108" w:type="dxa"/>
              <w:right w:w="108" w:type="dxa"/>
            </w:tcMar>
            <w:vAlign w:val="center"/>
          </w:tcPr>
          <w:p w14:paraId="31385C53" w14:textId="77777777" w:rsidR="00327FF1" w:rsidRDefault="00E406C7">
            <w:pPr>
              <w:pStyle w:val="P68B1DB1-Normal120"/>
              <w:spacing w:after="0" w:line="240" w:lineRule="auto"/>
              <w:jc w:val="center"/>
              <w:rPr>
                <w:noProof/>
              </w:rPr>
            </w:pPr>
            <w:r>
              <w:rPr>
                <w:noProof/>
              </w:rPr>
              <w:t>Saistītais pasākums (reforma vai ieguldījums)</w:t>
            </w:r>
          </w:p>
        </w:tc>
        <w:tc>
          <w:tcPr>
            <w:tcW w:w="1230" w:type="dxa"/>
            <w:vMerge w:val="restart"/>
            <w:shd w:val="clear" w:color="auto" w:fill="BDD7EE"/>
            <w:tcMar>
              <w:left w:w="108" w:type="dxa"/>
              <w:right w:w="108" w:type="dxa"/>
            </w:tcMar>
            <w:vAlign w:val="center"/>
          </w:tcPr>
          <w:p w14:paraId="5A3AB77D" w14:textId="77777777" w:rsidR="00327FF1" w:rsidRDefault="00E406C7">
            <w:pPr>
              <w:pStyle w:val="P68B1DB1-Normal120"/>
              <w:spacing w:after="0" w:line="240" w:lineRule="auto"/>
              <w:jc w:val="center"/>
              <w:rPr>
                <w:noProof/>
              </w:rPr>
            </w:pPr>
            <w:r>
              <w:rPr>
                <w:noProof/>
              </w:rPr>
              <w:t>Atskaites punkts/mērķrādītājs</w:t>
            </w:r>
          </w:p>
        </w:tc>
        <w:tc>
          <w:tcPr>
            <w:tcW w:w="3666" w:type="dxa"/>
            <w:vMerge w:val="restart"/>
            <w:shd w:val="clear" w:color="auto" w:fill="BDD7EE"/>
            <w:tcMar>
              <w:left w:w="108" w:type="dxa"/>
              <w:right w:w="108" w:type="dxa"/>
            </w:tcMar>
            <w:vAlign w:val="center"/>
          </w:tcPr>
          <w:p w14:paraId="199E205D" w14:textId="77777777" w:rsidR="00327FF1" w:rsidRDefault="00E406C7">
            <w:pPr>
              <w:pStyle w:val="P68B1DB1-Normal120"/>
              <w:spacing w:after="0" w:line="240" w:lineRule="auto"/>
              <w:jc w:val="center"/>
              <w:rPr>
                <w:noProof/>
              </w:rPr>
            </w:pPr>
            <w:r>
              <w:rPr>
                <w:noProof/>
              </w:rPr>
              <w:t>Nosaukums</w:t>
            </w:r>
          </w:p>
        </w:tc>
      </w:tr>
      <w:tr w:rsidR="00327FF1" w14:paraId="6929BF71" w14:textId="77777777">
        <w:trPr>
          <w:trHeight w:val="510"/>
        </w:trPr>
        <w:tc>
          <w:tcPr>
            <w:tcW w:w="1290" w:type="dxa"/>
            <w:vMerge/>
            <w:vAlign w:val="center"/>
          </w:tcPr>
          <w:p w14:paraId="21D17D9E" w14:textId="77777777" w:rsidR="00327FF1" w:rsidRDefault="00327FF1">
            <w:pPr>
              <w:spacing w:after="0" w:line="240" w:lineRule="auto"/>
              <w:jc w:val="center"/>
              <w:rPr>
                <w:rFonts w:ascii="Times New Roman" w:eastAsia="Times New Roman" w:hAnsi="Times New Roman" w:cs="Times New Roman"/>
                <w:noProof/>
              </w:rPr>
            </w:pPr>
          </w:p>
        </w:tc>
        <w:tc>
          <w:tcPr>
            <w:tcW w:w="3171" w:type="dxa"/>
            <w:vMerge/>
            <w:vAlign w:val="center"/>
          </w:tcPr>
          <w:p w14:paraId="7CCCE871" w14:textId="77777777" w:rsidR="00327FF1" w:rsidRDefault="00327FF1">
            <w:pPr>
              <w:spacing w:after="0" w:line="240" w:lineRule="auto"/>
              <w:rPr>
                <w:rFonts w:ascii="Times New Roman" w:eastAsia="Times New Roman" w:hAnsi="Times New Roman" w:cs="Times New Roman"/>
                <w:noProof/>
              </w:rPr>
            </w:pPr>
          </w:p>
        </w:tc>
        <w:tc>
          <w:tcPr>
            <w:tcW w:w="1230" w:type="dxa"/>
            <w:vMerge/>
            <w:vAlign w:val="center"/>
          </w:tcPr>
          <w:p w14:paraId="5BFE3348" w14:textId="77777777" w:rsidR="00327FF1" w:rsidRDefault="00327FF1">
            <w:pPr>
              <w:spacing w:after="0" w:line="240" w:lineRule="auto"/>
              <w:jc w:val="center"/>
              <w:rPr>
                <w:rFonts w:ascii="Times New Roman" w:eastAsia="Times New Roman" w:hAnsi="Times New Roman" w:cs="Times New Roman"/>
                <w:noProof/>
              </w:rPr>
            </w:pPr>
          </w:p>
        </w:tc>
        <w:tc>
          <w:tcPr>
            <w:tcW w:w="3666" w:type="dxa"/>
            <w:vMerge/>
            <w:vAlign w:val="center"/>
          </w:tcPr>
          <w:p w14:paraId="4202314A" w14:textId="77777777" w:rsidR="00327FF1" w:rsidRDefault="00327FF1">
            <w:pPr>
              <w:spacing w:after="0" w:line="240" w:lineRule="auto"/>
              <w:rPr>
                <w:rFonts w:ascii="Times New Roman" w:eastAsia="Times New Roman" w:hAnsi="Times New Roman" w:cs="Times New Roman"/>
                <w:noProof/>
              </w:rPr>
            </w:pPr>
          </w:p>
        </w:tc>
      </w:tr>
      <w:tr w:rsidR="00327FF1" w14:paraId="4FFA4456" w14:textId="77777777">
        <w:trPr>
          <w:trHeight w:val="300"/>
        </w:trPr>
        <w:tc>
          <w:tcPr>
            <w:tcW w:w="1290" w:type="dxa"/>
            <w:shd w:val="clear" w:color="auto" w:fill="C6EFCE"/>
            <w:tcMar>
              <w:left w:w="108" w:type="dxa"/>
              <w:right w:w="108" w:type="dxa"/>
            </w:tcMar>
            <w:vAlign w:val="center"/>
          </w:tcPr>
          <w:p w14:paraId="01A250E9" w14:textId="77777777" w:rsidR="00327FF1" w:rsidRDefault="00E406C7">
            <w:pPr>
              <w:pStyle w:val="P68B1DB1-Normal121"/>
              <w:spacing w:after="0" w:line="240" w:lineRule="auto"/>
              <w:jc w:val="center"/>
              <w:rPr>
                <w:noProof/>
              </w:rPr>
            </w:pPr>
            <w:r>
              <w:rPr>
                <w:noProof/>
              </w:rPr>
              <w:t>M1C1–125</w:t>
            </w:r>
          </w:p>
        </w:tc>
        <w:tc>
          <w:tcPr>
            <w:tcW w:w="3171" w:type="dxa"/>
            <w:shd w:val="clear" w:color="auto" w:fill="C6EFCE"/>
            <w:tcMar>
              <w:left w:w="108" w:type="dxa"/>
              <w:right w:w="108" w:type="dxa"/>
            </w:tcMar>
            <w:vAlign w:val="center"/>
          </w:tcPr>
          <w:p w14:paraId="4B069B9D" w14:textId="77777777" w:rsidR="00327FF1" w:rsidRDefault="00E406C7">
            <w:pPr>
              <w:pStyle w:val="P68B1DB1-Normal121"/>
              <w:spacing w:after="0" w:line="240" w:lineRule="auto"/>
              <w:rPr>
                <w:noProof/>
              </w:rPr>
            </w:pPr>
            <w:r>
              <w:rPr>
                <w:noProof/>
              </w:rPr>
              <w:t>Investīcija 1.2. — Mākoņdatošanas veicināšana vietējai PN</w:t>
            </w:r>
          </w:p>
        </w:tc>
        <w:tc>
          <w:tcPr>
            <w:tcW w:w="1230" w:type="dxa"/>
            <w:shd w:val="clear" w:color="auto" w:fill="C6EFCE"/>
            <w:tcMar>
              <w:left w:w="108" w:type="dxa"/>
              <w:right w:w="108" w:type="dxa"/>
            </w:tcMar>
            <w:vAlign w:val="center"/>
          </w:tcPr>
          <w:p w14:paraId="578CACE1" w14:textId="77777777" w:rsidR="00327FF1" w:rsidRDefault="00E406C7">
            <w:pPr>
              <w:pStyle w:val="P68B1DB1-Normal121"/>
              <w:spacing w:after="0" w:line="240" w:lineRule="auto"/>
              <w:jc w:val="center"/>
              <w:rPr>
                <w:noProof/>
              </w:rPr>
            </w:pPr>
            <w:r>
              <w:rPr>
                <w:noProof/>
              </w:rPr>
              <w:t>Atskaites punkts</w:t>
            </w:r>
          </w:p>
        </w:tc>
        <w:tc>
          <w:tcPr>
            <w:tcW w:w="3666" w:type="dxa"/>
            <w:shd w:val="clear" w:color="auto" w:fill="C6EFCE"/>
            <w:tcMar>
              <w:left w:w="108" w:type="dxa"/>
              <w:right w:w="108" w:type="dxa"/>
            </w:tcMar>
            <w:vAlign w:val="center"/>
          </w:tcPr>
          <w:p w14:paraId="4AD106AF" w14:textId="77777777" w:rsidR="00327FF1" w:rsidRDefault="00E406C7">
            <w:pPr>
              <w:pStyle w:val="P68B1DB1-Normal121"/>
              <w:spacing w:after="0" w:line="240" w:lineRule="auto"/>
              <w:rPr>
                <w:noProof/>
              </w:rPr>
            </w:pPr>
            <w:r>
              <w:rPr>
                <w:noProof/>
              </w:rPr>
              <w:t>(Visu) publisku konkursu piešķiršana par mākoņdatošanas iespējošanu vietējās publiskās pārvaldes iestāžu konkursos</w:t>
            </w:r>
          </w:p>
        </w:tc>
      </w:tr>
      <w:tr w:rsidR="00327FF1" w14:paraId="17B48D7E" w14:textId="77777777">
        <w:trPr>
          <w:trHeight w:val="300"/>
        </w:trPr>
        <w:tc>
          <w:tcPr>
            <w:tcW w:w="1290" w:type="dxa"/>
            <w:shd w:val="clear" w:color="auto" w:fill="C6EFCE"/>
            <w:tcMar>
              <w:left w:w="108" w:type="dxa"/>
              <w:right w:w="108" w:type="dxa"/>
            </w:tcMar>
            <w:vAlign w:val="center"/>
          </w:tcPr>
          <w:p w14:paraId="4F1C6C23" w14:textId="77777777" w:rsidR="00327FF1" w:rsidRDefault="00E406C7">
            <w:pPr>
              <w:pStyle w:val="P68B1DB1-Normal121"/>
              <w:spacing w:after="0" w:line="240" w:lineRule="auto"/>
              <w:jc w:val="center"/>
              <w:rPr>
                <w:noProof/>
              </w:rPr>
            </w:pPr>
            <w:r>
              <w:rPr>
                <w:noProof/>
              </w:rPr>
              <w:t>M1C2–22</w:t>
            </w:r>
          </w:p>
        </w:tc>
        <w:tc>
          <w:tcPr>
            <w:tcW w:w="3171" w:type="dxa"/>
            <w:shd w:val="clear" w:color="auto" w:fill="C6EFCE"/>
            <w:tcMar>
              <w:left w:w="108" w:type="dxa"/>
              <w:right w:w="108" w:type="dxa"/>
            </w:tcMar>
            <w:vAlign w:val="center"/>
          </w:tcPr>
          <w:p w14:paraId="106D4CD7" w14:textId="77777777" w:rsidR="00327FF1" w:rsidRDefault="00E406C7">
            <w:pPr>
              <w:pStyle w:val="P68B1DB1-Normal121"/>
              <w:spacing w:after="0" w:line="240" w:lineRule="auto"/>
              <w:rPr>
                <w:noProof/>
              </w:rPr>
            </w:pPr>
            <w:r>
              <w:rPr>
                <w:noProof/>
              </w:rPr>
              <w:t>Ieguldījums Nr. 4: Satelītu tehnoloģijas un kosmosa ekonomika</w:t>
            </w:r>
          </w:p>
        </w:tc>
        <w:tc>
          <w:tcPr>
            <w:tcW w:w="1230" w:type="dxa"/>
            <w:shd w:val="clear" w:color="auto" w:fill="C6EFCE"/>
            <w:tcMar>
              <w:left w:w="108" w:type="dxa"/>
              <w:right w:w="108" w:type="dxa"/>
            </w:tcMar>
            <w:vAlign w:val="center"/>
          </w:tcPr>
          <w:p w14:paraId="4C298A94" w14:textId="77777777" w:rsidR="00327FF1" w:rsidRDefault="00E406C7">
            <w:pPr>
              <w:pStyle w:val="P68B1DB1-Normal121"/>
              <w:spacing w:after="0" w:line="240" w:lineRule="auto"/>
              <w:jc w:val="center"/>
              <w:rPr>
                <w:noProof/>
              </w:rPr>
            </w:pPr>
            <w:r>
              <w:rPr>
                <w:noProof/>
              </w:rPr>
              <w:t>Atskaites punkts</w:t>
            </w:r>
          </w:p>
        </w:tc>
        <w:tc>
          <w:tcPr>
            <w:tcW w:w="3666" w:type="dxa"/>
            <w:shd w:val="clear" w:color="auto" w:fill="C6EFCE"/>
            <w:tcMar>
              <w:left w:w="108" w:type="dxa"/>
              <w:right w:w="108" w:type="dxa"/>
            </w:tcMar>
            <w:vAlign w:val="center"/>
          </w:tcPr>
          <w:p w14:paraId="70B62BA0" w14:textId="77777777" w:rsidR="00327FF1" w:rsidRDefault="00E406C7">
            <w:pPr>
              <w:pStyle w:val="P68B1DB1-Normal121"/>
              <w:spacing w:after="0" w:line="240" w:lineRule="auto"/>
              <w:rPr>
                <w:noProof/>
              </w:rPr>
            </w:pPr>
            <w:r>
              <w:rPr>
                <w:noProof/>
              </w:rPr>
              <w:t xml:space="preserve">Visu publisko līgumu slēgšanas tiesību piešķiršana </w:t>
            </w:r>
            <w:r>
              <w:rPr>
                <w:noProof/>
              </w:rPr>
              <w:t>satelīttehnoloģiju un kosmosa projektiem</w:t>
            </w:r>
          </w:p>
        </w:tc>
      </w:tr>
      <w:tr w:rsidR="00327FF1" w14:paraId="52C323EC" w14:textId="77777777">
        <w:trPr>
          <w:trHeight w:val="300"/>
        </w:trPr>
        <w:tc>
          <w:tcPr>
            <w:tcW w:w="1290" w:type="dxa"/>
            <w:shd w:val="clear" w:color="auto" w:fill="C6EFCE"/>
            <w:tcMar>
              <w:left w:w="108" w:type="dxa"/>
              <w:right w:w="108" w:type="dxa"/>
            </w:tcMar>
            <w:vAlign w:val="center"/>
          </w:tcPr>
          <w:p w14:paraId="04A4D1B3" w14:textId="77777777" w:rsidR="00327FF1" w:rsidRDefault="00E406C7">
            <w:pPr>
              <w:pStyle w:val="P68B1DB1-Normal121"/>
              <w:spacing w:after="0" w:line="240" w:lineRule="auto"/>
              <w:jc w:val="center"/>
              <w:rPr>
                <w:noProof/>
              </w:rPr>
            </w:pPr>
            <w:r>
              <w:rPr>
                <w:noProof/>
              </w:rPr>
              <w:t>M2C2–48</w:t>
            </w:r>
          </w:p>
        </w:tc>
        <w:tc>
          <w:tcPr>
            <w:tcW w:w="3171" w:type="dxa"/>
            <w:shd w:val="clear" w:color="auto" w:fill="C6EFCE"/>
            <w:tcMar>
              <w:left w:w="108" w:type="dxa"/>
              <w:right w:w="108" w:type="dxa"/>
            </w:tcMar>
            <w:vAlign w:val="center"/>
          </w:tcPr>
          <w:p w14:paraId="420D78F9" w14:textId="77777777" w:rsidR="00327FF1" w:rsidRDefault="00E406C7">
            <w:pPr>
              <w:pStyle w:val="P68B1DB1-Normal121"/>
              <w:spacing w:after="0" w:line="240" w:lineRule="auto"/>
              <w:rPr>
                <w:noProof/>
              </w:rPr>
            </w:pPr>
            <w:r>
              <w:rPr>
                <w:noProof/>
              </w:rPr>
              <w:t>Investīcija 3.1. Ūdeņraža ražošana degradētās teritorijās (Ūdeņraža ielejas)</w:t>
            </w:r>
          </w:p>
        </w:tc>
        <w:tc>
          <w:tcPr>
            <w:tcW w:w="1230" w:type="dxa"/>
            <w:shd w:val="clear" w:color="auto" w:fill="C6EFCE"/>
            <w:tcMar>
              <w:left w:w="108" w:type="dxa"/>
              <w:right w:w="108" w:type="dxa"/>
            </w:tcMar>
            <w:vAlign w:val="center"/>
          </w:tcPr>
          <w:p w14:paraId="19E6C419" w14:textId="77777777" w:rsidR="00327FF1" w:rsidRDefault="00E406C7">
            <w:pPr>
              <w:pStyle w:val="P68B1DB1-Normal121"/>
              <w:spacing w:after="0" w:line="240" w:lineRule="auto"/>
              <w:jc w:val="center"/>
              <w:rPr>
                <w:noProof/>
              </w:rPr>
            </w:pPr>
            <w:r>
              <w:rPr>
                <w:noProof/>
              </w:rPr>
              <w:t>Atskaites punkts</w:t>
            </w:r>
          </w:p>
        </w:tc>
        <w:tc>
          <w:tcPr>
            <w:tcW w:w="3666" w:type="dxa"/>
            <w:shd w:val="clear" w:color="auto" w:fill="C6EFCE"/>
            <w:tcMar>
              <w:left w:w="108" w:type="dxa"/>
              <w:right w:w="108" w:type="dxa"/>
            </w:tcMar>
            <w:vAlign w:val="center"/>
          </w:tcPr>
          <w:p w14:paraId="44FDAC2D" w14:textId="77777777" w:rsidR="00327FF1" w:rsidRDefault="00E406C7">
            <w:pPr>
              <w:pStyle w:val="P68B1DB1-Normal121"/>
              <w:spacing w:after="0" w:line="240" w:lineRule="auto"/>
              <w:rPr>
                <w:noProof/>
              </w:rPr>
            </w:pPr>
            <w:r>
              <w:rPr>
                <w:noProof/>
              </w:rPr>
              <w:t>Visu publiskā iepirkuma līgumu slēgšanas tiesību piešķiršana projektiem par ūdeņraža ražošanu pamestu rūpniecisk</w:t>
            </w:r>
            <w:r>
              <w:rPr>
                <w:noProof/>
              </w:rPr>
              <w:t>o teritoriju centros</w:t>
            </w:r>
          </w:p>
        </w:tc>
      </w:tr>
      <w:tr w:rsidR="00327FF1" w14:paraId="0B4BC7E0" w14:textId="77777777">
        <w:trPr>
          <w:trHeight w:val="300"/>
        </w:trPr>
        <w:tc>
          <w:tcPr>
            <w:tcW w:w="1290" w:type="dxa"/>
            <w:shd w:val="clear" w:color="auto" w:fill="C6EFCE"/>
            <w:tcMar>
              <w:left w:w="108" w:type="dxa"/>
              <w:right w:w="108" w:type="dxa"/>
            </w:tcMar>
            <w:vAlign w:val="center"/>
          </w:tcPr>
          <w:p w14:paraId="2345EBF4" w14:textId="77777777" w:rsidR="00327FF1" w:rsidRDefault="00E406C7">
            <w:pPr>
              <w:pStyle w:val="P68B1DB1-Normal121"/>
              <w:spacing w:after="0" w:line="240" w:lineRule="auto"/>
              <w:jc w:val="center"/>
              <w:rPr>
                <w:noProof/>
              </w:rPr>
            </w:pPr>
            <w:r>
              <w:rPr>
                <w:noProof/>
              </w:rPr>
              <w:t>M2C2–50</w:t>
            </w:r>
          </w:p>
        </w:tc>
        <w:tc>
          <w:tcPr>
            <w:tcW w:w="3171" w:type="dxa"/>
            <w:shd w:val="clear" w:color="auto" w:fill="C6EFCE"/>
            <w:tcMar>
              <w:left w:w="108" w:type="dxa"/>
              <w:right w:w="108" w:type="dxa"/>
            </w:tcMar>
            <w:vAlign w:val="center"/>
          </w:tcPr>
          <w:p w14:paraId="4C79B39A" w14:textId="77777777" w:rsidR="00327FF1" w:rsidRDefault="00E406C7">
            <w:pPr>
              <w:pStyle w:val="P68B1DB1-Normal121"/>
              <w:spacing w:after="0" w:line="240" w:lineRule="auto"/>
              <w:rPr>
                <w:noProof/>
              </w:rPr>
            </w:pPr>
            <w:r>
              <w:rPr>
                <w:noProof/>
              </w:rPr>
              <w:t>Investīcija 3.2. Ūdeņraža izmantošana grūti dekarbonizējamā rūpniecībā</w:t>
            </w:r>
          </w:p>
        </w:tc>
        <w:tc>
          <w:tcPr>
            <w:tcW w:w="1230" w:type="dxa"/>
            <w:shd w:val="clear" w:color="auto" w:fill="C6EFCE"/>
            <w:tcMar>
              <w:left w:w="108" w:type="dxa"/>
              <w:right w:w="108" w:type="dxa"/>
            </w:tcMar>
            <w:vAlign w:val="center"/>
          </w:tcPr>
          <w:p w14:paraId="73EBEB1E" w14:textId="77777777" w:rsidR="00327FF1" w:rsidRDefault="00E406C7">
            <w:pPr>
              <w:pStyle w:val="P68B1DB1-Normal121"/>
              <w:spacing w:after="0" w:line="240" w:lineRule="auto"/>
              <w:jc w:val="center"/>
              <w:rPr>
                <w:noProof/>
              </w:rPr>
            </w:pPr>
            <w:r>
              <w:rPr>
                <w:noProof/>
              </w:rPr>
              <w:t>Atskaites punkts</w:t>
            </w:r>
          </w:p>
        </w:tc>
        <w:tc>
          <w:tcPr>
            <w:tcW w:w="3666" w:type="dxa"/>
            <w:shd w:val="clear" w:color="auto" w:fill="C6EFCE"/>
            <w:tcMar>
              <w:left w:w="108" w:type="dxa"/>
              <w:right w:w="108" w:type="dxa"/>
            </w:tcMar>
            <w:vAlign w:val="center"/>
          </w:tcPr>
          <w:p w14:paraId="3CA7C560" w14:textId="77777777" w:rsidR="00327FF1" w:rsidRDefault="00E406C7">
            <w:pPr>
              <w:pStyle w:val="P68B1DB1-Normal121"/>
              <w:spacing w:after="0" w:line="240" w:lineRule="auto"/>
              <w:rPr>
                <w:noProof/>
              </w:rPr>
            </w:pPr>
            <w:r>
              <w:rPr>
                <w:noProof/>
              </w:rPr>
              <w:t>Vienošanās veicināt pāreju no metāna uz zaļo ūdeņradi</w:t>
            </w:r>
          </w:p>
        </w:tc>
      </w:tr>
      <w:tr w:rsidR="00327FF1" w14:paraId="261BD29D" w14:textId="77777777">
        <w:trPr>
          <w:trHeight w:val="300"/>
        </w:trPr>
        <w:tc>
          <w:tcPr>
            <w:tcW w:w="1290" w:type="dxa"/>
            <w:shd w:val="clear" w:color="auto" w:fill="C6EFCE"/>
            <w:tcMar>
              <w:left w:w="108" w:type="dxa"/>
              <w:right w:w="108" w:type="dxa"/>
            </w:tcMar>
            <w:vAlign w:val="center"/>
          </w:tcPr>
          <w:p w14:paraId="753F813D" w14:textId="77777777" w:rsidR="00327FF1" w:rsidRDefault="00E406C7">
            <w:pPr>
              <w:pStyle w:val="P68B1DB1-Normal121"/>
              <w:spacing w:after="0" w:line="240" w:lineRule="auto"/>
              <w:jc w:val="center"/>
              <w:rPr>
                <w:noProof/>
              </w:rPr>
            </w:pPr>
            <w:r>
              <w:rPr>
                <w:noProof/>
              </w:rPr>
              <w:t>M5C2–21</w:t>
            </w:r>
          </w:p>
        </w:tc>
        <w:tc>
          <w:tcPr>
            <w:tcW w:w="3171" w:type="dxa"/>
            <w:shd w:val="clear" w:color="auto" w:fill="C6EFCE"/>
            <w:tcMar>
              <w:left w:w="108" w:type="dxa"/>
              <w:right w:w="108" w:type="dxa"/>
            </w:tcMar>
            <w:vAlign w:val="center"/>
          </w:tcPr>
          <w:p w14:paraId="204DE917" w14:textId="77777777" w:rsidR="00327FF1" w:rsidRDefault="00E406C7">
            <w:pPr>
              <w:pStyle w:val="P68B1DB1-Normal121"/>
              <w:spacing w:after="0" w:line="240" w:lineRule="auto"/>
              <w:rPr>
                <w:noProof/>
              </w:rPr>
            </w:pPr>
            <w:r>
              <w:rPr>
                <w:noProof/>
              </w:rPr>
              <w:t>Investīcija Nr. 7 — Sporta un sociālās iekļaušanas projekts</w:t>
            </w:r>
          </w:p>
        </w:tc>
        <w:tc>
          <w:tcPr>
            <w:tcW w:w="1230" w:type="dxa"/>
            <w:shd w:val="clear" w:color="auto" w:fill="C6EFCE"/>
            <w:tcMar>
              <w:left w:w="108" w:type="dxa"/>
              <w:right w:w="108" w:type="dxa"/>
            </w:tcMar>
            <w:vAlign w:val="center"/>
          </w:tcPr>
          <w:p w14:paraId="67F3C86E" w14:textId="77777777" w:rsidR="00327FF1" w:rsidRDefault="00E406C7">
            <w:pPr>
              <w:pStyle w:val="P68B1DB1-Normal121"/>
              <w:spacing w:after="0" w:line="240" w:lineRule="auto"/>
              <w:jc w:val="center"/>
              <w:rPr>
                <w:noProof/>
              </w:rPr>
            </w:pPr>
            <w:r>
              <w:rPr>
                <w:noProof/>
              </w:rPr>
              <w:t xml:space="preserve">Atskaites </w:t>
            </w:r>
            <w:r>
              <w:rPr>
                <w:noProof/>
              </w:rPr>
              <w:t>punkts</w:t>
            </w:r>
          </w:p>
        </w:tc>
        <w:tc>
          <w:tcPr>
            <w:tcW w:w="3666" w:type="dxa"/>
            <w:shd w:val="clear" w:color="auto" w:fill="C6EFCE"/>
            <w:tcMar>
              <w:left w:w="108" w:type="dxa"/>
              <w:right w:w="108" w:type="dxa"/>
            </w:tcMar>
            <w:vAlign w:val="center"/>
          </w:tcPr>
          <w:p w14:paraId="0E5D2331" w14:textId="77777777" w:rsidR="00327FF1" w:rsidRDefault="00E406C7">
            <w:pPr>
              <w:pStyle w:val="P68B1DB1-Normal121"/>
              <w:spacing w:after="0" w:line="240" w:lineRule="auto"/>
              <w:rPr>
                <w:noProof/>
              </w:rPr>
            </w:pPr>
            <w:r>
              <w:rPr>
                <w:noProof/>
              </w:rPr>
              <w:t>Visu sporta un sociālās iekļaušanas projektu publiskā iepirkuma līgumu slēgšanas tiesību piešķiršana pēc publiska uzaicinājuma iesniegt priekšlikumus</w:t>
            </w:r>
          </w:p>
        </w:tc>
      </w:tr>
      <w:tr w:rsidR="00327FF1" w14:paraId="4217AE15" w14:textId="77777777">
        <w:trPr>
          <w:trHeight w:val="300"/>
        </w:trPr>
        <w:tc>
          <w:tcPr>
            <w:tcW w:w="1290" w:type="dxa"/>
            <w:shd w:val="clear" w:color="auto" w:fill="C6EFCE"/>
            <w:tcMar>
              <w:left w:w="108" w:type="dxa"/>
              <w:right w:w="108" w:type="dxa"/>
            </w:tcMar>
            <w:vAlign w:val="center"/>
          </w:tcPr>
          <w:p w14:paraId="146B9346" w14:textId="77777777" w:rsidR="00327FF1" w:rsidRDefault="00E406C7">
            <w:pPr>
              <w:pStyle w:val="P68B1DB1-Normal121"/>
              <w:spacing w:after="0" w:line="240" w:lineRule="auto"/>
              <w:jc w:val="center"/>
              <w:rPr>
                <w:noProof/>
              </w:rPr>
            </w:pPr>
            <w:r>
              <w:rPr>
                <w:noProof/>
              </w:rPr>
              <w:t>M1C3–20</w:t>
            </w:r>
          </w:p>
        </w:tc>
        <w:tc>
          <w:tcPr>
            <w:tcW w:w="3171" w:type="dxa"/>
            <w:shd w:val="clear" w:color="auto" w:fill="C6EFCE"/>
            <w:tcMar>
              <w:left w:w="108" w:type="dxa"/>
              <w:right w:w="108" w:type="dxa"/>
            </w:tcMar>
            <w:vAlign w:val="center"/>
          </w:tcPr>
          <w:p w14:paraId="7DFDADC8" w14:textId="77777777" w:rsidR="00327FF1" w:rsidRDefault="00E406C7">
            <w:pPr>
              <w:pStyle w:val="P68B1DB1-Normal121"/>
              <w:spacing w:after="0" w:line="240" w:lineRule="auto"/>
              <w:rPr>
                <w:noProof/>
              </w:rPr>
            </w:pPr>
            <w:r>
              <w:rPr>
                <w:noProof/>
              </w:rPr>
              <w:t>Investīcija Nr. 3.2. Kino industrijas attīstība (projekts “Cinecittà”)</w:t>
            </w:r>
          </w:p>
        </w:tc>
        <w:tc>
          <w:tcPr>
            <w:tcW w:w="1230" w:type="dxa"/>
            <w:shd w:val="clear" w:color="auto" w:fill="C6EFCE"/>
            <w:tcMar>
              <w:left w:w="108" w:type="dxa"/>
              <w:right w:w="108" w:type="dxa"/>
            </w:tcMar>
            <w:vAlign w:val="center"/>
          </w:tcPr>
          <w:p w14:paraId="0800CB32" w14:textId="77777777" w:rsidR="00327FF1" w:rsidRDefault="00E406C7">
            <w:pPr>
              <w:pStyle w:val="P68B1DB1-Normal121"/>
              <w:spacing w:after="0" w:line="240" w:lineRule="auto"/>
              <w:jc w:val="center"/>
              <w:rPr>
                <w:noProof/>
              </w:rPr>
            </w:pPr>
            <w:r>
              <w:rPr>
                <w:noProof/>
              </w:rPr>
              <w:t>Atskaites punkts</w:t>
            </w:r>
          </w:p>
        </w:tc>
        <w:tc>
          <w:tcPr>
            <w:tcW w:w="3666" w:type="dxa"/>
            <w:shd w:val="clear" w:color="auto" w:fill="C6EFCE"/>
            <w:tcMar>
              <w:left w:w="108" w:type="dxa"/>
              <w:right w:w="108" w:type="dxa"/>
            </w:tcMar>
            <w:vAlign w:val="center"/>
          </w:tcPr>
          <w:p w14:paraId="217FE241" w14:textId="77777777" w:rsidR="00327FF1" w:rsidRDefault="00E406C7">
            <w:pPr>
              <w:pStyle w:val="P68B1DB1-Normal121"/>
              <w:spacing w:after="0" w:line="240" w:lineRule="auto"/>
              <w:rPr>
                <w:noProof/>
              </w:rPr>
            </w:pPr>
            <w:r>
              <w:rPr>
                <w:noProof/>
              </w:rPr>
              <w:t>Līgumu parakstīšana starp īstenotāju struktūru Cinecittà SPA un uzņēmumiem par deviņu studiju būvniecību</w:t>
            </w:r>
          </w:p>
        </w:tc>
      </w:tr>
      <w:tr w:rsidR="00327FF1" w14:paraId="4A7D8A7A" w14:textId="77777777">
        <w:trPr>
          <w:trHeight w:val="300"/>
        </w:trPr>
        <w:tc>
          <w:tcPr>
            <w:tcW w:w="1290" w:type="dxa"/>
            <w:shd w:val="clear" w:color="auto" w:fill="C6EFCE"/>
            <w:tcMar>
              <w:left w:w="108" w:type="dxa"/>
              <w:right w:w="108" w:type="dxa"/>
            </w:tcMar>
            <w:vAlign w:val="center"/>
          </w:tcPr>
          <w:p w14:paraId="217E26A2" w14:textId="77777777" w:rsidR="00327FF1" w:rsidRDefault="00E406C7">
            <w:pPr>
              <w:pStyle w:val="P68B1DB1-Normal121"/>
              <w:spacing w:after="0" w:line="240" w:lineRule="auto"/>
              <w:jc w:val="center"/>
              <w:rPr>
                <w:noProof/>
              </w:rPr>
            </w:pPr>
            <w:r>
              <w:rPr>
                <w:noProof/>
              </w:rPr>
              <w:t>M2C4–21</w:t>
            </w:r>
          </w:p>
        </w:tc>
        <w:tc>
          <w:tcPr>
            <w:tcW w:w="3171" w:type="dxa"/>
            <w:shd w:val="clear" w:color="auto" w:fill="C6EFCE"/>
            <w:tcMar>
              <w:left w:w="108" w:type="dxa"/>
              <w:right w:w="108" w:type="dxa"/>
            </w:tcMar>
            <w:vAlign w:val="center"/>
          </w:tcPr>
          <w:p w14:paraId="7F9CE7DE" w14:textId="77777777" w:rsidR="00327FF1" w:rsidRDefault="00E406C7">
            <w:pPr>
              <w:pStyle w:val="P68B1DB1-Normal121"/>
              <w:spacing w:after="0" w:line="240" w:lineRule="auto"/>
              <w:rPr>
                <w:noProof/>
              </w:rPr>
            </w:pPr>
            <w:r>
              <w:rPr>
                <w:noProof/>
              </w:rPr>
              <w:t>Investīcija Nr. 3.3. Po apgabala pārveidošana</w:t>
            </w:r>
          </w:p>
        </w:tc>
        <w:tc>
          <w:tcPr>
            <w:tcW w:w="1230" w:type="dxa"/>
            <w:shd w:val="clear" w:color="auto" w:fill="C6EFCE"/>
            <w:tcMar>
              <w:left w:w="108" w:type="dxa"/>
              <w:right w:w="108" w:type="dxa"/>
            </w:tcMar>
            <w:vAlign w:val="center"/>
          </w:tcPr>
          <w:p w14:paraId="417839BE" w14:textId="77777777" w:rsidR="00327FF1" w:rsidRDefault="00E406C7">
            <w:pPr>
              <w:pStyle w:val="P68B1DB1-Normal121"/>
              <w:spacing w:after="0" w:line="240" w:lineRule="auto"/>
              <w:jc w:val="center"/>
              <w:rPr>
                <w:noProof/>
              </w:rPr>
            </w:pPr>
            <w:r>
              <w:rPr>
                <w:noProof/>
              </w:rPr>
              <w:t>Atskaites punkts</w:t>
            </w:r>
          </w:p>
        </w:tc>
        <w:tc>
          <w:tcPr>
            <w:tcW w:w="3666" w:type="dxa"/>
            <w:shd w:val="clear" w:color="auto" w:fill="C6EFCE"/>
            <w:tcMar>
              <w:left w:w="108" w:type="dxa"/>
              <w:right w:w="108" w:type="dxa"/>
            </w:tcMar>
            <w:vAlign w:val="center"/>
          </w:tcPr>
          <w:p w14:paraId="3C4BFEDF" w14:textId="77777777" w:rsidR="00327FF1" w:rsidRDefault="00E406C7">
            <w:pPr>
              <w:pStyle w:val="P68B1DB1-Normal121"/>
              <w:spacing w:after="0" w:line="240" w:lineRule="auto"/>
              <w:rPr>
                <w:noProof/>
              </w:rPr>
            </w:pPr>
            <w:r>
              <w:rPr>
                <w:noProof/>
              </w:rPr>
              <w:t>Tiesiskā regulējuma pārskatīšana attiecībā uz intervencēm Po apgabala pārveidoš</w:t>
            </w:r>
            <w:r>
              <w:rPr>
                <w:noProof/>
              </w:rPr>
              <w:t xml:space="preserve">anai </w:t>
            </w:r>
          </w:p>
        </w:tc>
      </w:tr>
      <w:tr w:rsidR="00327FF1" w14:paraId="55BA4A71" w14:textId="77777777">
        <w:trPr>
          <w:trHeight w:val="300"/>
        </w:trPr>
        <w:tc>
          <w:tcPr>
            <w:tcW w:w="1290" w:type="dxa"/>
            <w:shd w:val="clear" w:color="auto" w:fill="C6EFCE"/>
            <w:tcMar>
              <w:left w:w="108" w:type="dxa"/>
              <w:right w:w="108" w:type="dxa"/>
            </w:tcMar>
            <w:vAlign w:val="center"/>
          </w:tcPr>
          <w:p w14:paraId="4D363F83" w14:textId="77777777" w:rsidR="00327FF1" w:rsidRDefault="00E406C7">
            <w:pPr>
              <w:pStyle w:val="P68B1DB1-Normal121"/>
              <w:spacing w:after="0" w:line="240" w:lineRule="auto"/>
              <w:jc w:val="center"/>
              <w:rPr>
                <w:noProof/>
              </w:rPr>
            </w:pPr>
            <w:r>
              <w:rPr>
                <w:noProof/>
              </w:rPr>
              <w:t>M4C1–28</w:t>
            </w:r>
          </w:p>
        </w:tc>
        <w:tc>
          <w:tcPr>
            <w:tcW w:w="3171" w:type="dxa"/>
            <w:shd w:val="clear" w:color="auto" w:fill="C6EFCE"/>
            <w:tcMar>
              <w:left w:w="108" w:type="dxa"/>
              <w:right w:w="108" w:type="dxa"/>
            </w:tcMar>
            <w:vAlign w:val="center"/>
          </w:tcPr>
          <w:p w14:paraId="352F7296" w14:textId="77777777" w:rsidR="00327FF1" w:rsidRDefault="00E406C7">
            <w:pPr>
              <w:pStyle w:val="P68B1DB1-Normal121"/>
              <w:spacing w:after="0" w:line="240" w:lineRule="auto"/>
              <w:rPr>
                <w:noProof/>
              </w:rPr>
            </w:pPr>
            <w:r>
              <w:rPr>
                <w:noProof/>
              </w:rPr>
              <w:t>Reforma Nr. 1.7: Studentu mājokļu regulējuma reforma un ieguldījumi studentu mājokļos</w:t>
            </w:r>
          </w:p>
        </w:tc>
        <w:tc>
          <w:tcPr>
            <w:tcW w:w="1230" w:type="dxa"/>
            <w:shd w:val="clear" w:color="auto" w:fill="C6EFCE"/>
            <w:tcMar>
              <w:left w:w="108" w:type="dxa"/>
              <w:right w:w="108" w:type="dxa"/>
            </w:tcMar>
            <w:vAlign w:val="center"/>
          </w:tcPr>
          <w:p w14:paraId="784BB0D7" w14:textId="77777777" w:rsidR="00327FF1" w:rsidRDefault="00E406C7">
            <w:pPr>
              <w:pStyle w:val="P68B1DB1-Normal121"/>
              <w:spacing w:after="0" w:line="240" w:lineRule="auto"/>
              <w:jc w:val="center"/>
              <w:rPr>
                <w:noProof/>
              </w:rPr>
            </w:pPr>
            <w:r>
              <w:rPr>
                <w:noProof/>
              </w:rPr>
              <w:t>Atskaites punkts</w:t>
            </w:r>
          </w:p>
        </w:tc>
        <w:tc>
          <w:tcPr>
            <w:tcW w:w="3666" w:type="dxa"/>
            <w:shd w:val="clear" w:color="auto" w:fill="C6EFCE"/>
            <w:tcMar>
              <w:left w:w="108" w:type="dxa"/>
              <w:right w:w="108" w:type="dxa"/>
            </w:tcMar>
            <w:vAlign w:val="center"/>
          </w:tcPr>
          <w:p w14:paraId="0ACC2BD5" w14:textId="77777777" w:rsidR="00327FF1" w:rsidRDefault="00E406C7">
            <w:pPr>
              <w:pStyle w:val="P68B1DB1-Normal121"/>
              <w:spacing w:after="0" w:line="240" w:lineRule="auto"/>
              <w:rPr>
                <w:noProof/>
              </w:rPr>
            </w:pPr>
            <w:r>
              <w:rPr>
                <w:noProof/>
              </w:rPr>
              <w:t xml:space="preserve"> Sākotnējo līgumu slēgšanas tiesību piešķiršana papildu guļamvietu (gultu) izveidei</w:t>
            </w:r>
          </w:p>
        </w:tc>
      </w:tr>
      <w:tr w:rsidR="00327FF1" w14:paraId="2929F51C" w14:textId="77777777">
        <w:trPr>
          <w:trHeight w:val="300"/>
        </w:trPr>
        <w:tc>
          <w:tcPr>
            <w:tcW w:w="1290" w:type="dxa"/>
            <w:shd w:val="clear" w:color="auto" w:fill="C6EFCE"/>
            <w:tcMar>
              <w:left w:w="108" w:type="dxa"/>
              <w:right w:w="108" w:type="dxa"/>
            </w:tcMar>
            <w:vAlign w:val="center"/>
          </w:tcPr>
          <w:p w14:paraId="66C6B680" w14:textId="77777777" w:rsidR="00327FF1" w:rsidRDefault="00E406C7">
            <w:pPr>
              <w:pStyle w:val="P68B1DB1-Normal121"/>
              <w:spacing w:after="0" w:line="240" w:lineRule="auto"/>
              <w:jc w:val="center"/>
              <w:rPr>
                <w:noProof/>
              </w:rPr>
            </w:pPr>
            <w:r>
              <w:rPr>
                <w:noProof/>
              </w:rPr>
              <w:t>M4C2–12</w:t>
            </w:r>
          </w:p>
        </w:tc>
        <w:tc>
          <w:tcPr>
            <w:tcW w:w="3171" w:type="dxa"/>
            <w:shd w:val="clear" w:color="auto" w:fill="C6EFCE"/>
            <w:tcMar>
              <w:left w:w="108" w:type="dxa"/>
              <w:right w:w="108" w:type="dxa"/>
            </w:tcMar>
            <w:vAlign w:val="center"/>
          </w:tcPr>
          <w:p w14:paraId="70544A74" w14:textId="77777777" w:rsidR="00327FF1" w:rsidRDefault="00E406C7">
            <w:pPr>
              <w:pStyle w:val="P68B1DB1-Normal121"/>
              <w:spacing w:after="0" w:line="240" w:lineRule="auto"/>
              <w:rPr>
                <w:noProof/>
              </w:rPr>
            </w:pPr>
            <w:r>
              <w:rPr>
                <w:noProof/>
              </w:rPr>
              <w:t>Investīcija 2.1: IPCEI</w:t>
            </w:r>
          </w:p>
        </w:tc>
        <w:tc>
          <w:tcPr>
            <w:tcW w:w="1230" w:type="dxa"/>
            <w:shd w:val="clear" w:color="auto" w:fill="C6EFCE"/>
            <w:tcMar>
              <w:left w:w="108" w:type="dxa"/>
              <w:right w:w="108" w:type="dxa"/>
            </w:tcMar>
            <w:vAlign w:val="center"/>
          </w:tcPr>
          <w:p w14:paraId="6CB92AF1" w14:textId="77777777" w:rsidR="00327FF1" w:rsidRDefault="00E406C7">
            <w:pPr>
              <w:pStyle w:val="P68B1DB1-Normal121"/>
              <w:spacing w:after="0" w:line="240" w:lineRule="auto"/>
              <w:jc w:val="center"/>
              <w:rPr>
                <w:noProof/>
              </w:rPr>
            </w:pPr>
            <w:r>
              <w:rPr>
                <w:noProof/>
              </w:rPr>
              <w:t>Atskaites punkts</w:t>
            </w:r>
          </w:p>
        </w:tc>
        <w:tc>
          <w:tcPr>
            <w:tcW w:w="3666" w:type="dxa"/>
            <w:shd w:val="clear" w:color="auto" w:fill="C6EFCE"/>
            <w:tcMar>
              <w:left w:w="108" w:type="dxa"/>
              <w:right w:w="108" w:type="dxa"/>
            </w:tcMar>
            <w:vAlign w:val="center"/>
          </w:tcPr>
          <w:p w14:paraId="16B1417C" w14:textId="77777777" w:rsidR="00327FF1" w:rsidRDefault="00E406C7">
            <w:pPr>
              <w:pStyle w:val="P68B1DB1-Normal121"/>
              <w:spacing w:after="0" w:line="240" w:lineRule="auto"/>
              <w:rPr>
                <w:noProof/>
              </w:rPr>
            </w:pPr>
            <w:r>
              <w:rPr>
                <w:noProof/>
              </w:rPr>
              <w:t>IPCEI</w:t>
            </w:r>
            <w:r>
              <w:rPr>
                <w:noProof/>
              </w:rPr>
              <w:t xml:space="preserve"> projektu dalībnieku saraksts ir pabeigts līdz 2023. gada 30. jūnijam.</w:t>
            </w:r>
          </w:p>
        </w:tc>
      </w:tr>
      <w:tr w:rsidR="00327FF1" w14:paraId="17DE369B" w14:textId="77777777">
        <w:trPr>
          <w:trHeight w:val="300"/>
        </w:trPr>
        <w:tc>
          <w:tcPr>
            <w:tcW w:w="1290" w:type="dxa"/>
            <w:shd w:val="clear" w:color="auto" w:fill="C6EFCE"/>
            <w:tcMar>
              <w:left w:w="108" w:type="dxa"/>
              <w:right w:w="108" w:type="dxa"/>
            </w:tcMar>
            <w:vAlign w:val="center"/>
          </w:tcPr>
          <w:p w14:paraId="49ACFC74" w14:textId="77777777" w:rsidR="00327FF1" w:rsidRDefault="00E406C7">
            <w:pPr>
              <w:pStyle w:val="P68B1DB1-Normal121"/>
              <w:spacing w:after="0" w:line="240" w:lineRule="auto"/>
              <w:jc w:val="center"/>
              <w:rPr>
                <w:noProof/>
              </w:rPr>
            </w:pPr>
            <w:r>
              <w:rPr>
                <w:noProof/>
              </w:rPr>
              <w:t>M4C2–16</w:t>
            </w:r>
          </w:p>
        </w:tc>
        <w:tc>
          <w:tcPr>
            <w:tcW w:w="3171" w:type="dxa"/>
            <w:shd w:val="clear" w:color="auto" w:fill="C6EFCE"/>
            <w:tcMar>
              <w:left w:w="108" w:type="dxa"/>
              <w:right w:w="108" w:type="dxa"/>
            </w:tcMar>
            <w:vAlign w:val="center"/>
          </w:tcPr>
          <w:p w14:paraId="0C5DBA59" w14:textId="77777777" w:rsidR="00327FF1" w:rsidRDefault="00E406C7">
            <w:pPr>
              <w:pStyle w:val="P68B1DB1-Normal121"/>
              <w:spacing w:after="0" w:line="240" w:lineRule="auto"/>
              <w:rPr>
                <w:noProof/>
              </w:rPr>
            </w:pPr>
            <w:r>
              <w:rPr>
                <w:noProof/>
              </w:rPr>
              <w:t>Investīcija 3.1. Pētniecības un inovācijas infrastruktūras</w:t>
            </w:r>
          </w:p>
        </w:tc>
        <w:tc>
          <w:tcPr>
            <w:tcW w:w="1230" w:type="dxa"/>
            <w:shd w:val="clear" w:color="auto" w:fill="C6EFCE"/>
            <w:tcMar>
              <w:left w:w="108" w:type="dxa"/>
              <w:right w:w="108" w:type="dxa"/>
            </w:tcMar>
            <w:vAlign w:val="center"/>
          </w:tcPr>
          <w:p w14:paraId="02C29166" w14:textId="77777777" w:rsidR="00327FF1" w:rsidRDefault="00E406C7">
            <w:pPr>
              <w:pStyle w:val="P68B1DB1-Normal121"/>
              <w:spacing w:after="0" w:line="240" w:lineRule="auto"/>
              <w:jc w:val="center"/>
              <w:rPr>
                <w:noProof/>
              </w:rPr>
            </w:pPr>
            <w:r>
              <w:rPr>
                <w:noProof/>
              </w:rPr>
              <w:t>Mērķa</w:t>
            </w:r>
          </w:p>
        </w:tc>
        <w:tc>
          <w:tcPr>
            <w:tcW w:w="3666" w:type="dxa"/>
            <w:shd w:val="clear" w:color="auto" w:fill="C6EFCE"/>
            <w:tcMar>
              <w:left w:w="108" w:type="dxa"/>
              <w:right w:w="108" w:type="dxa"/>
            </w:tcMar>
            <w:vAlign w:val="center"/>
          </w:tcPr>
          <w:p w14:paraId="7D5097D8" w14:textId="77777777" w:rsidR="00327FF1" w:rsidRDefault="00E406C7">
            <w:pPr>
              <w:pStyle w:val="P68B1DB1-Normal121"/>
              <w:spacing w:after="0" w:line="240" w:lineRule="auto"/>
              <w:rPr>
                <w:noProof/>
              </w:rPr>
            </w:pPr>
            <w:r>
              <w:rPr>
                <w:noProof/>
              </w:rPr>
              <w:t>Finansēto infrastruktūru skaits</w:t>
            </w:r>
          </w:p>
        </w:tc>
      </w:tr>
      <w:tr w:rsidR="00327FF1" w14:paraId="687C0FB9" w14:textId="77777777">
        <w:trPr>
          <w:trHeight w:val="300"/>
        </w:trPr>
        <w:tc>
          <w:tcPr>
            <w:tcW w:w="1290" w:type="dxa"/>
            <w:shd w:val="clear" w:color="auto" w:fill="C6EFCE"/>
            <w:tcMar>
              <w:left w:w="108" w:type="dxa"/>
              <w:right w:w="108" w:type="dxa"/>
            </w:tcMar>
            <w:vAlign w:val="center"/>
          </w:tcPr>
          <w:p w14:paraId="42E18989" w14:textId="77777777" w:rsidR="00327FF1" w:rsidRDefault="00E406C7">
            <w:pPr>
              <w:pStyle w:val="P68B1DB1-Normal121"/>
              <w:spacing w:after="0" w:line="240" w:lineRule="auto"/>
              <w:jc w:val="center"/>
              <w:rPr>
                <w:noProof/>
              </w:rPr>
            </w:pPr>
            <w:r>
              <w:rPr>
                <w:noProof/>
              </w:rPr>
              <w:t>M5C1–18</w:t>
            </w:r>
          </w:p>
        </w:tc>
        <w:tc>
          <w:tcPr>
            <w:tcW w:w="3171" w:type="dxa"/>
            <w:shd w:val="clear" w:color="auto" w:fill="C6EFCE"/>
            <w:tcMar>
              <w:left w:w="108" w:type="dxa"/>
              <w:right w:w="108" w:type="dxa"/>
            </w:tcMar>
            <w:vAlign w:val="center"/>
          </w:tcPr>
          <w:p w14:paraId="61663392" w14:textId="77777777" w:rsidR="00327FF1" w:rsidRDefault="00E406C7">
            <w:pPr>
              <w:pStyle w:val="P68B1DB1-Normal121"/>
              <w:spacing w:after="0" w:line="240" w:lineRule="auto"/>
              <w:rPr>
                <w:noProof/>
              </w:rPr>
            </w:pPr>
            <w:r>
              <w:rPr>
                <w:noProof/>
              </w:rPr>
              <w:t>Investīcija Nr. 5. Sieviešu uzņēmumu izveide</w:t>
            </w:r>
          </w:p>
        </w:tc>
        <w:tc>
          <w:tcPr>
            <w:tcW w:w="1230" w:type="dxa"/>
            <w:shd w:val="clear" w:color="auto" w:fill="C6EFCE"/>
            <w:tcMar>
              <w:left w:w="108" w:type="dxa"/>
              <w:right w:w="108" w:type="dxa"/>
            </w:tcMar>
            <w:vAlign w:val="center"/>
          </w:tcPr>
          <w:p w14:paraId="28D549F9" w14:textId="77777777" w:rsidR="00327FF1" w:rsidRDefault="00E406C7">
            <w:pPr>
              <w:pStyle w:val="P68B1DB1-Normal121"/>
              <w:spacing w:after="0" w:line="240" w:lineRule="auto"/>
              <w:jc w:val="center"/>
              <w:rPr>
                <w:noProof/>
              </w:rPr>
            </w:pPr>
            <w:r>
              <w:rPr>
                <w:noProof/>
              </w:rPr>
              <w:t>Mērķa</w:t>
            </w:r>
          </w:p>
        </w:tc>
        <w:tc>
          <w:tcPr>
            <w:tcW w:w="3666" w:type="dxa"/>
            <w:shd w:val="clear" w:color="auto" w:fill="C6EFCE"/>
            <w:tcMar>
              <w:left w:w="108" w:type="dxa"/>
              <w:right w:w="108" w:type="dxa"/>
            </w:tcMar>
            <w:vAlign w:val="center"/>
          </w:tcPr>
          <w:p w14:paraId="19839872" w14:textId="77777777" w:rsidR="00327FF1" w:rsidRDefault="00E406C7">
            <w:pPr>
              <w:pStyle w:val="P68B1DB1-Normal121"/>
              <w:spacing w:after="0" w:line="240" w:lineRule="auto"/>
              <w:rPr>
                <w:noProof/>
              </w:rPr>
            </w:pPr>
            <w:r>
              <w:rPr>
                <w:noProof/>
              </w:rPr>
              <w:t xml:space="preserve">Uzņēmumiem ir piešķirts finansiāls atbalsts </w:t>
            </w:r>
          </w:p>
        </w:tc>
      </w:tr>
      <w:tr w:rsidR="00327FF1" w14:paraId="15266174" w14:textId="77777777">
        <w:trPr>
          <w:trHeight w:val="300"/>
        </w:trPr>
        <w:tc>
          <w:tcPr>
            <w:tcW w:w="1290" w:type="dxa"/>
            <w:shd w:val="clear" w:color="auto" w:fill="C6EFCE"/>
            <w:tcMar>
              <w:left w:w="108" w:type="dxa"/>
              <w:right w:w="108" w:type="dxa"/>
            </w:tcMar>
            <w:vAlign w:val="center"/>
          </w:tcPr>
          <w:p w14:paraId="7A7422E4" w14:textId="77777777" w:rsidR="00327FF1" w:rsidRDefault="00E406C7">
            <w:pPr>
              <w:pStyle w:val="P68B1DB1-Normal121"/>
              <w:spacing w:after="0" w:line="240" w:lineRule="auto"/>
              <w:jc w:val="center"/>
              <w:rPr>
                <w:noProof/>
              </w:rPr>
            </w:pPr>
            <w:r>
              <w:rPr>
                <w:noProof/>
              </w:rPr>
              <w:t>M6C2–14</w:t>
            </w:r>
          </w:p>
        </w:tc>
        <w:tc>
          <w:tcPr>
            <w:tcW w:w="3171" w:type="dxa"/>
            <w:shd w:val="clear" w:color="auto" w:fill="C6EFCE"/>
            <w:tcMar>
              <w:left w:w="108" w:type="dxa"/>
              <w:right w:w="108" w:type="dxa"/>
            </w:tcMar>
            <w:vAlign w:val="center"/>
          </w:tcPr>
          <w:p w14:paraId="546B7A3D" w14:textId="77777777" w:rsidR="00327FF1" w:rsidRDefault="00E406C7">
            <w:pPr>
              <w:pStyle w:val="P68B1DB1-Normal123"/>
              <w:spacing w:after="0" w:line="240" w:lineRule="auto"/>
              <w:rPr>
                <w:noProof/>
              </w:rPr>
            </w:pPr>
            <w:r>
              <w:rPr>
                <w:noProof/>
              </w:rPr>
              <w:t>Ieguldījums 2.2.: Veselības aprūpes sistēmas speciālistu tehnisko, profesionālo, digitālo un vadības prasmju attīstīšana</w:t>
            </w:r>
          </w:p>
        </w:tc>
        <w:tc>
          <w:tcPr>
            <w:tcW w:w="1230" w:type="dxa"/>
            <w:shd w:val="clear" w:color="auto" w:fill="C6EFCE"/>
            <w:tcMar>
              <w:left w:w="108" w:type="dxa"/>
              <w:right w:w="108" w:type="dxa"/>
            </w:tcMar>
            <w:vAlign w:val="center"/>
          </w:tcPr>
          <w:p w14:paraId="3A3D6847" w14:textId="77777777" w:rsidR="00327FF1" w:rsidRDefault="00E406C7">
            <w:pPr>
              <w:pStyle w:val="P68B1DB1-Normal123"/>
              <w:spacing w:after="0" w:line="240" w:lineRule="auto"/>
              <w:jc w:val="center"/>
              <w:rPr>
                <w:noProof/>
              </w:rPr>
            </w:pPr>
            <w:r>
              <w:rPr>
                <w:noProof/>
              </w:rPr>
              <w:t>Mērķa</w:t>
            </w:r>
          </w:p>
        </w:tc>
        <w:tc>
          <w:tcPr>
            <w:tcW w:w="3666" w:type="dxa"/>
            <w:shd w:val="clear" w:color="auto" w:fill="C6EFCE"/>
            <w:tcMar>
              <w:left w:w="108" w:type="dxa"/>
              <w:right w:w="108" w:type="dxa"/>
            </w:tcMar>
            <w:vAlign w:val="center"/>
          </w:tcPr>
          <w:p w14:paraId="60D637C5" w14:textId="77777777" w:rsidR="00327FF1" w:rsidRDefault="00E406C7">
            <w:pPr>
              <w:pStyle w:val="P68B1DB1-Normal123"/>
              <w:spacing w:after="0" w:line="240" w:lineRule="auto"/>
              <w:rPr>
                <w:noProof/>
              </w:rPr>
            </w:pPr>
            <w:r>
              <w:rPr>
                <w:noProof/>
              </w:rPr>
              <w:t>Tiek piešķirtas stipendijas īpašai apmācībai vispārējā medicīnas praksē.</w:t>
            </w:r>
          </w:p>
        </w:tc>
      </w:tr>
      <w:tr w:rsidR="00327FF1" w14:paraId="7AC50261" w14:textId="77777777">
        <w:trPr>
          <w:trHeight w:val="300"/>
        </w:trPr>
        <w:tc>
          <w:tcPr>
            <w:tcW w:w="1290" w:type="dxa"/>
            <w:shd w:val="clear" w:color="auto" w:fill="C6EFCE"/>
            <w:tcMar>
              <w:left w:w="108" w:type="dxa"/>
              <w:right w:w="108" w:type="dxa"/>
            </w:tcMar>
            <w:vAlign w:val="center"/>
          </w:tcPr>
          <w:p w14:paraId="7C754D4B" w14:textId="77777777" w:rsidR="00327FF1" w:rsidRDefault="00327FF1">
            <w:pPr>
              <w:spacing w:after="0" w:line="240" w:lineRule="auto"/>
              <w:jc w:val="center"/>
              <w:rPr>
                <w:rFonts w:ascii="Times New Roman" w:eastAsia="Times New Roman" w:hAnsi="Times New Roman" w:cs="Times New Roman"/>
                <w:noProof/>
              </w:rPr>
            </w:pPr>
          </w:p>
        </w:tc>
        <w:tc>
          <w:tcPr>
            <w:tcW w:w="3171" w:type="dxa"/>
            <w:shd w:val="clear" w:color="auto" w:fill="C6EFCE"/>
            <w:tcMar>
              <w:left w:w="108" w:type="dxa"/>
              <w:right w:w="108" w:type="dxa"/>
            </w:tcMar>
            <w:vAlign w:val="center"/>
          </w:tcPr>
          <w:p w14:paraId="3B233241" w14:textId="77777777" w:rsidR="00327FF1" w:rsidRDefault="00E406C7">
            <w:pPr>
              <w:pStyle w:val="P68B1DB1-Normal121"/>
              <w:spacing w:after="0" w:line="240" w:lineRule="auto"/>
              <w:rPr>
                <w:noProof/>
              </w:rPr>
            </w:pPr>
            <w:r>
              <w:rPr>
                <w:noProof/>
              </w:rPr>
              <w:t xml:space="preserve"> </w:t>
            </w:r>
          </w:p>
        </w:tc>
        <w:tc>
          <w:tcPr>
            <w:tcW w:w="1230" w:type="dxa"/>
            <w:shd w:val="clear" w:color="auto" w:fill="C6EFCE"/>
            <w:tcMar>
              <w:left w:w="108" w:type="dxa"/>
              <w:right w:w="108" w:type="dxa"/>
            </w:tcMar>
            <w:vAlign w:val="center"/>
          </w:tcPr>
          <w:p w14:paraId="504BB2C4" w14:textId="77777777" w:rsidR="00327FF1" w:rsidRDefault="00E406C7">
            <w:pPr>
              <w:pStyle w:val="P68B1DB1-Normal121"/>
              <w:spacing w:after="0" w:line="240" w:lineRule="auto"/>
              <w:jc w:val="center"/>
              <w:rPr>
                <w:noProof/>
              </w:rPr>
            </w:pPr>
            <w:r>
              <w:rPr>
                <w:noProof/>
              </w:rPr>
              <w:t>Maksājuma summa</w:t>
            </w:r>
          </w:p>
        </w:tc>
        <w:tc>
          <w:tcPr>
            <w:tcW w:w="3666" w:type="dxa"/>
            <w:shd w:val="clear" w:color="auto" w:fill="C6EFCE"/>
            <w:tcMar>
              <w:left w:w="108" w:type="dxa"/>
              <w:right w:w="108" w:type="dxa"/>
            </w:tcMar>
            <w:vAlign w:val="center"/>
          </w:tcPr>
          <w:p w14:paraId="0315EA2A"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16611453220</w:t>
            </w:r>
            <w:r>
              <w:rPr>
                <w:noProof/>
                <w:sz w:val="23"/>
                <w:szCs w:val="23"/>
              </w:rPr>
              <w:t xml:space="preserve"> </w:t>
            </w:r>
          </w:p>
        </w:tc>
      </w:tr>
    </w:tbl>
    <w:p w14:paraId="72F93B20" w14:textId="77777777" w:rsidR="00327FF1" w:rsidRDefault="00E406C7">
      <w:pPr>
        <w:pStyle w:val="P68B1DB1-Normal8"/>
        <w:spacing w:before="120" w:after="120" w:line="240" w:lineRule="auto"/>
        <w:jc w:val="both"/>
        <w:rPr>
          <w:noProof/>
        </w:rPr>
      </w:pPr>
      <w:r>
        <w:rPr>
          <w:noProof/>
        </w:rPr>
        <w:t xml:space="preserve"> </w:t>
      </w:r>
    </w:p>
    <w:p w14:paraId="5E5E1D27" w14:textId="77777777" w:rsidR="00327FF1" w:rsidRDefault="00E406C7">
      <w:pPr>
        <w:pStyle w:val="P68B1DB1-Heading34"/>
        <w:numPr>
          <w:ilvl w:val="1"/>
          <w:numId w:val="179"/>
        </w:numPr>
        <w:tabs>
          <w:tab w:val="clear" w:pos="850"/>
          <w:tab w:val="num" w:pos="1440"/>
        </w:tabs>
        <w:ind w:left="1440" w:hanging="360"/>
        <w:rPr>
          <w:noProof/>
        </w:rPr>
      </w:pPr>
      <w:r>
        <w:rPr>
          <w:noProof/>
        </w:rPr>
        <w:t>Piektā daļa (aizdevuma atbalsts):</w:t>
      </w:r>
    </w:p>
    <w:tbl>
      <w:tblPr>
        <w:tblW w:w="9358" w:type="dxa"/>
        <w:tblInd w:w="120" w:type="dxa"/>
        <w:tblLayout w:type="fixed"/>
        <w:tblLook w:val="04A0" w:firstRow="1" w:lastRow="0" w:firstColumn="1" w:lastColumn="0" w:noHBand="0" w:noVBand="1"/>
      </w:tblPr>
      <w:tblGrid>
        <w:gridCol w:w="1320"/>
        <w:gridCol w:w="2770"/>
        <w:gridCol w:w="1200"/>
        <w:gridCol w:w="4068"/>
      </w:tblGrid>
      <w:tr w:rsidR="00327FF1" w14:paraId="4658538F" w14:textId="77777777">
        <w:trPr>
          <w:trHeight w:val="900"/>
          <w:tblHeader/>
        </w:trPr>
        <w:tc>
          <w:tcPr>
            <w:tcW w:w="132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5B915BF9" w14:textId="77777777" w:rsidR="00327FF1" w:rsidRDefault="00E406C7">
            <w:pPr>
              <w:pStyle w:val="P68B1DB1-Normal120"/>
              <w:spacing w:after="0" w:line="240" w:lineRule="auto"/>
              <w:jc w:val="center"/>
              <w:rPr>
                <w:noProof/>
              </w:rPr>
            </w:pPr>
            <w:r>
              <w:rPr>
                <w:noProof/>
              </w:rPr>
              <w:t>Kārtas numurs</w:t>
            </w:r>
          </w:p>
        </w:tc>
        <w:tc>
          <w:tcPr>
            <w:tcW w:w="277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7282547E" w14:textId="77777777" w:rsidR="00327FF1" w:rsidRDefault="00E406C7">
            <w:pPr>
              <w:pStyle w:val="P68B1DB1-Normal120"/>
              <w:spacing w:after="0" w:line="240" w:lineRule="auto"/>
              <w:jc w:val="center"/>
              <w:rPr>
                <w:noProof/>
              </w:rPr>
            </w:pPr>
            <w:r>
              <w:rPr>
                <w:noProof/>
              </w:rPr>
              <w:t>Saistītais pasākums (reforma vai ieguldījums)</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0CF05B57" w14:textId="77777777" w:rsidR="00327FF1" w:rsidRDefault="00E406C7">
            <w:pPr>
              <w:pStyle w:val="P68B1DB1-Normal120"/>
              <w:spacing w:after="0" w:line="240" w:lineRule="auto"/>
              <w:jc w:val="center"/>
              <w:rPr>
                <w:noProof/>
              </w:rPr>
            </w:pPr>
            <w:r>
              <w:rPr>
                <w:noProof/>
              </w:rPr>
              <w:t>Atskaites punkts/mērķrādītājs</w:t>
            </w:r>
          </w:p>
        </w:tc>
        <w:tc>
          <w:tcPr>
            <w:tcW w:w="4068"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7BECCBEE" w14:textId="77777777" w:rsidR="00327FF1" w:rsidRDefault="00E406C7">
            <w:pPr>
              <w:pStyle w:val="P68B1DB1-Normal120"/>
              <w:spacing w:after="0" w:line="240" w:lineRule="auto"/>
              <w:jc w:val="center"/>
              <w:rPr>
                <w:noProof/>
              </w:rPr>
            </w:pPr>
            <w:r>
              <w:rPr>
                <w:noProof/>
              </w:rPr>
              <w:t>Nosaukums</w:t>
            </w:r>
          </w:p>
        </w:tc>
      </w:tr>
      <w:tr w:rsidR="00327FF1" w14:paraId="788665DB" w14:textId="77777777">
        <w:trPr>
          <w:trHeight w:val="510"/>
        </w:trPr>
        <w:tc>
          <w:tcPr>
            <w:tcW w:w="1320" w:type="dxa"/>
            <w:vMerge/>
            <w:tcBorders>
              <w:top w:val="single" w:sz="4" w:space="0" w:color="auto"/>
              <w:left w:val="single" w:sz="4" w:space="0" w:color="auto"/>
              <w:bottom w:val="single" w:sz="4" w:space="0" w:color="auto"/>
              <w:right w:val="single" w:sz="4" w:space="0" w:color="auto"/>
            </w:tcBorders>
            <w:vAlign w:val="center"/>
          </w:tcPr>
          <w:p w14:paraId="458A7695" w14:textId="77777777" w:rsidR="00327FF1" w:rsidRDefault="00327FF1">
            <w:pPr>
              <w:spacing w:after="0" w:line="240" w:lineRule="auto"/>
              <w:jc w:val="center"/>
              <w:rPr>
                <w:rFonts w:ascii="Times New Roman" w:eastAsia="Times New Roman" w:hAnsi="Times New Roman" w:cs="Times New Roman"/>
                <w:noProof/>
              </w:rPr>
            </w:pPr>
          </w:p>
        </w:tc>
        <w:tc>
          <w:tcPr>
            <w:tcW w:w="2770" w:type="dxa"/>
            <w:vMerge/>
            <w:tcBorders>
              <w:top w:val="single" w:sz="4" w:space="0" w:color="auto"/>
              <w:left w:val="single" w:sz="4" w:space="0" w:color="auto"/>
              <w:bottom w:val="single" w:sz="4" w:space="0" w:color="auto"/>
              <w:right w:val="single" w:sz="4" w:space="0" w:color="auto"/>
            </w:tcBorders>
            <w:vAlign w:val="center"/>
          </w:tcPr>
          <w:p w14:paraId="6BF3FF9A" w14:textId="77777777" w:rsidR="00327FF1" w:rsidRDefault="00327FF1">
            <w:pPr>
              <w:spacing w:after="0" w:line="240" w:lineRule="auto"/>
              <w:rPr>
                <w:rFonts w:ascii="Times New Roman" w:eastAsia="Times New Roman" w:hAnsi="Times New Roman" w:cs="Times New Roman"/>
                <w:noProof/>
              </w:rPr>
            </w:pPr>
          </w:p>
        </w:tc>
        <w:tc>
          <w:tcPr>
            <w:tcW w:w="1200" w:type="dxa"/>
            <w:vMerge/>
            <w:tcBorders>
              <w:top w:val="single" w:sz="4" w:space="0" w:color="auto"/>
              <w:left w:val="single" w:sz="4" w:space="0" w:color="auto"/>
              <w:bottom w:val="single" w:sz="4" w:space="0" w:color="auto"/>
              <w:right w:val="single" w:sz="4" w:space="0" w:color="auto"/>
            </w:tcBorders>
            <w:vAlign w:val="center"/>
          </w:tcPr>
          <w:p w14:paraId="0AA1B01C" w14:textId="77777777" w:rsidR="00327FF1" w:rsidRDefault="00327FF1">
            <w:pPr>
              <w:spacing w:after="0" w:line="240" w:lineRule="auto"/>
              <w:jc w:val="center"/>
              <w:rPr>
                <w:rFonts w:ascii="Times New Roman" w:eastAsia="Times New Roman" w:hAnsi="Times New Roman" w:cs="Times New Roman"/>
                <w:noProof/>
              </w:rPr>
            </w:pPr>
          </w:p>
        </w:tc>
        <w:tc>
          <w:tcPr>
            <w:tcW w:w="4068" w:type="dxa"/>
            <w:vMerge/>
            <w:tcBorders>
              <w:top w:val="single" w:sz="4" w:space="0" w:color="auto"/>
              <w:left w:val="single" w:sz="4" w:space="0" w:color="auto"/>
              <w:bottom w:val="single" w:sz="4" w:space="0" w:color="auto"/>
              <w:right w:val="single" w:sz="4" w:space="0" w:color="auto"/>
            </w:tcBorders>
            <w:vAlign w:val="center"/>
          </w:tcPr>
          <w:p w14:paraId="77EDCAB4" w14:textId="77777777" w:rsidR="00327FF1" w:rsidRDefault="00327FF1">
            <w:pPr>
              <w:spacing w:after="0" w:line="240" w:lineRule="auto"/>
              <w:rPr>
                <w:rFonts w:ascii="Times New Roman" w:eastAsia="Times New Roman" w:hAnsi="Times New Roman" w:cs="Times New Roman"/>
                <w:noProof/>
              </w:rPr>
            </w:pPr>
          </w:p>
        </w:tc>
      </w:tr>
      <w:tr w:rsidR="00327FF1" w14:paraId="385E3EDA"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FE762C" w14:textId="77777777" w:rsidR="00327FF1" w:rsidRDefault="00E406C7">
            <w:pPr>
              <w:pStyle w:val="P68B1DB1-Normal121"/>
              <w:spacing w:after="0" w:line="240" w:lineRule="auto"/>
              <w:jc w:val="center"/>
              <w:rPr>
                <w:noProof/>
              </w:rPr>
            </w:pPr>
            <w:r>
              <w:rPr>
                <w:noProof/>
              </w:rPr>
              <w:t>M2C3–5</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085A4F" w14:textId="77777777" w:rsidR="00327FF1" w:rsidRDefault="00E406C7">
            <w:pPr>
              <w:pStyle w:val="P68B1DB1-Normal121"/>
              <w:spacing w:after="0" w:line="240" w:lineRule="auto"/>
              <w:rPr>
                <w:noProof/>
              </w:rPr>
            </w:pPr>
            <w:r>
              <w:rPr>
                <w:noProof/>
              </w:rPr>
              <w:t xml:space="preserve">Investīcija 1.1: Jaunu skolu būvniecība, aizstājot ēkas </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7D9139" w14:textId="77777777" w:rsidR="00327FF1" w:rsidRDefault="00E406C7">
            <w:pPr>
              <w:pStyle w:val="P68B1DB1-Normal121"/>
              <w:spacing w:after="0" w:line="240" w:lineRule="auto"/>
              <w:jc w:val="center"/>
              <w:rPr>
                <w:noProof/>
              </w:rPr>
            </w:pPr>
            <w:r>
              <w:rPr>
                <w:noProof/>
              </w:rPr>
              <w:t xml:space="preserve">Atskaites </w:t>
            </w:r>
            <w:r>
              <w:rPr>
                <w:noProof/>
              </w:rPr>
              <w:t>punkts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38E963" w14:textId="77777777" w:rsidR="00327FF1" w:rsidRDefault="00E406C7">
            <w:pPr>
              <w:pStyle w:val="P68B1DB1-Normal121"/>
              <w:spacing w:after="0" w:line="240" w:lineRule="auto"/>
              <w:rPr>
                <w:noProof/>
              </w:rPr>
            </w:pPr>
            <w:r>
              <w:rPr>
                <w:noProof/>
              </w:rPr>
              <w:t xml:space="preserve">Visu publiskā iepirkuma līgumu slēgšanas tiesību piešķiršana jaunu skolu būvniecībai, aizstājot ēkas, lai modernizētu enerģiju skolu ēkās, saskaņā ar publiskā iepirkuma procedūru </w:t>
            </w:r>
          </w:p>
        </w:tc>
      </w:tr>
      <w:tr w:rsidR="00327FF1" w14:paraId="67F12C20"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9DFA67" w14:textId="77777777" w:rsidR="00327FF1" w:rsidRDefault="00E406C7">
            <w:pPr>
              <w:pStyle w:val="P68B1DB1-Normal121"/>
              <w:spacing w:after="0" w:line="240" w:lineRule="auto"/>
              <w:jc w:val="center"/>
              <w:rPr>
                <w:noProof/>
              </w:rPr>
            </w:pPr>
            <w:r>
              <w:rPr>
                <w:noProof/>
              </w:rPr>
              <w:t>M2C4–28</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9C06A7" w14:textId="77777777" w:rsidR="00327FF1" w:rsidRDefault="00E406C7">
            <w:pPr>
              <w:pStyle w:val="P68B1DB1-Normal121"/>
              <w:spacing w:after="0" w:line="240" w:lineRule="auto"/>
              <w:rPr>
                <w:noProof/>
              </w:rPr>
            </w:pPr>
            <w:r>
              <w:rPr>
                <w:noProof/>
              </w:rPr>
              <w:t xml:space="preserve">Ieguldījums 4.1. Investīcijas primārajā ūdensapgādes </w:t>
            </w:r>
            <w:r>
              <w:rPr>
                <w:noProof/>
              </w:rPr>
              <w:t>infrastruktūrā ūdensapgādes drošībai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B80836" w14:textId="77777777" w:rsidR="00327FF1" w:rsidRDefault="00E406C7">
            <w:pPr>
              <w:pStyle w:val="P68B1DB1-Normal121"/>
              <w:spacing w:after="0" w:line="240" w:lineRule="auto"/>
              <w:jc w:val="center"/>
              <w:rPr>
                <w:noProof/>
              </w:rPr>
            </w:pPr>
            <w:r>
              <w:rPr>
                <w:noProof/>
              </w:rPr>
              <w:t>Atskaites punkts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1FEDC3" w14:textId="1E4156CE" w:rsidR="00327FF1" w:rsidRDefault="00E406C7">
            <w:pPr>
              <w:pStyle w:val="P68B1DB1-Normal121"/>
              <w:spacing w:after="0" w:line="240" w:lineRule="auto"/>
              <w:rPr>
                <w:noProof/>
              </w:rPr>
            </w:pPr>
            <w:r>
              <w:rPr>
                <w:noProof/>
              </w:rPr>
              <w:t xml:space="preserve">Finansējuma piešķiršana visiem projektiem (investīcijām primārajā ūdens infrastruktūrā un ūdensapgādes drošībā) </w:t>
            </w:r>
          </w:p>
        </w:tc>
      </w:tr>
      <w:tr w:rsidR="00327FF1" w14:paraId="445EBE87"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A36C31C" w14:textId="77777777" w:rsidR="00327FF1" w:rsidRDefault="00E406C7">
            <w:pPr>
              <w:pStyle w:val="P68B1DB1-Normal121"/>
              <w:spacing w:after="0" w:line="240" w:lineRule="auto"/>
              <w:jc w:val="center"/>
              <w:rPr>
                <w:noProof/>
              </w:rPr>
            </w:pPr>
            <w:r>
              <w:rPr>
                <w:noProof/>
              </w:rPr>
              <w:t>M2C4–30</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E7C9D7" w14:textId="77777777" w:rsidR="00327FF1" w:rsidRDefault="00E406C7">
            <w:pPr>
              <w:pStyle w:val="P68B1DB1-Normal121"/>
              <w:spacing w:after="0" w:line="240" w:lineRule="auto"/>
              <w:rPr>
                <w:noProof/>
              </w:rPr>
            </w:pPr>
            <w:r>
              <w:rPr>
                <w:noProof/>
              </w:rPr>
              <w:t>Investīciju 4.2: Zudumu samazināšana ūdens sadales tīklos, tostarp tīklu digital</w:t>
            </w:r>
            <w:r>
              <w:rPr>
                <w:noProof/>
              </w:rPr>
              <w:t>izācija un monitorings</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36E738" w14:textId="77777777" w:rsidR="00327FF1" w:rsidRDefault="00E406C7">
            <w:pPr>
              <w:pStyle w:val="P68B1DB1-Normal121"/>
              <w:spacing w:after="0" w:line="240" w:lineRule="auto"/>
              <w:jc w:val="center"/>
              <w:rPr>
                <w:noProof/>
              </w:rPr>
            </w:pPr>
            <w:r>
              <w:rPr>
                <w:noProof/>
              </w:rPr>
              <w:t>Atskaites punkts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95105F7" w14:textId="77777777" w:rsidR="00327FF1" w:rsidRDefault="00E406C7">
            <w:pPr>
              <w:pStyle w:val="P68B1DB1-Normal121"/>
              <w:spacing w:after="0" w:line="240" w:lineRule="auto"/>
              <w:rPr>
                <w:noProof/>
              </w:rPr>
            </w:pPr>
            <w:r>
              <w:rPr>
                <w:noProof/>
              </w:rPr>
              <w:t>Finansējuma piešķiršana visiem projektiem, kas paredzēti intervencei ūdens sadales tīklos, tostarp tīklu digitalizācijai un uzraudzībai</w:t>
            </w:r>
          </w:p>
        </w:tc>
      </w:tr>
      <w:tr w:rsidR="00327FF1" w14:paraId="2AFAED8A"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C02D2B" w14:textId="77777777" w:rsidR="00327FF1" w:rsidRDefault="00E406C7">
            <w:pPr>
              <w:pStyle w:val="P68B1DB1-Normal121"/>
              <w:spacing w:after="0" w:line="240" w:lineRule="auto"/>
              <w:jc w:val="center"/>
              <w:rPr>
                <w:noProof/>
              </w:rPr>
            </w:pPr>
            <w:r>
              <w:rPr>
                <w:noProof/>
              </w:rPr>
              <w:t>M1C1–14</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918238" w14:textId="77777777" w:rsidR="00327FF1" w:rsidRDefault="00E406C7">
            <w:pPr>
              <w:pStyle w:val="P68B1DB1-Normal121"/>
              <w:spacing w:after="0" w:line="240" w:lineRule="auto"/>
              <w:rPr>
                <w:noProof/>
              </w:rPr>
            </w:pPr>
            <w:r>
              <w:rPr>
                <w:noProof/>
              </w:rPr>
              <w:t>Ieguldījums 1.6.5.: Valsts padomes 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3D6FA5"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F0DA7E" w14:textId="77777777" w:rsidR="00327FF1" w:rsidRDefault="00E406C7">
            <w:pPr>
              <w:pStyle w:val="P68B1DB1-Normal121"/>
              <w:spacing w:after="0" w:line="240" w:lineRule="auto"/>
              <w:rPr>
                <w:noProof/>
              </w:rPr>
            </w:pPr>
            <w:r>
              <w:rPr>
                <w:noProof/>
              </w:rPr>
              <w:t>Valsts padome —</w:t>
            </w:r>
            <w:r>
              <w:rPr>
                <w:noProof/>
              </w:rPr>
              <w:t xml:space="preserve"> Tiesas dokumenti, kas pieejami analīzei datu noliktavā T1</w:t>
            </w:r>
          </w:p>
        </w:tc>
      </w:tr>
      <w:tr w:rsidR="00327FF1" w14:paraId="0378F873"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7791D5" w14:textId="77777777" w:rsidR="00327FF1" w:rsidRDefault="00E406C7">
            <w:pPr>
              <w:pStyle w:val="P68B1DB1-Normal121"/>
              <w:spacing w:after="0" w:line="240" w:lineRule="auto"/>
              <w:jc w:val="center"/>
              <w:rPr>
                <w:noProof/>
              </w:rPr>
            </w:pPr>
            <w:r>
              <w:rPr>
                <w:noProof/>
              </w:rPr>
              <w:t>M1C1–16</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229C41" w14:textId="77777777" w:rsidR="00327FF1" w:rsidRDefault="00E406C7">
            <w:pPr>
              <w:pStyle w:val="P68B1DB1-Normal121"/>
              <w:spacing w:after="0" w:line="240" w:lineRule="auto"/>
              <w:rPr>
                <w:noProof/>
              </w:rPr>
            </w:pPr>
            <w:r>
              <w:rPr>
                <w:noProof/>
              </w:rPr>
              <w:t>Ieguldījums 1.6.5.: Valsts padomes 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D13776"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499F81" w14:textId="77777777" w:rsidR="00327FF1" w:rsidRDefault="00E406C7">
            <w:pPr>
              <w:pStyle w:val="P68B1DB1-Normal121"/>
              <w:spacing w:after="0" w:line="240" w:lineRule="auto"/>
              <w:rPr>
                <w:noProof/>
              </w:rPr>
            </w:pPr>
            <w:r>
              <w:rPr>
                <w:noProof/>
              </w:rPr>
              <w:t>Valsts padome — Tiesas dokumenti, kas pieejami analīzei datu noliktavā T2</w:t>
            </w:r>
          </w:p>
        </w:tc>
      </w:tr>
      <w:tr w:rsidR="00327FF1" w14:paraId="56252DF7"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E00C6C" w14:textId="77777777" w:rsidR="00327FF1" w:rsidRDefault="00E406C7">
            <w:pPr>
              <w:pStyle w:val="P68B1DB1-Normal121"/>
              <w:spacing w:after="0" w:line="240" w:lineRule="auto"/>
              <w:jc w:val="center"/>
              <w:rPr>
                <w:noProof/>
              </w:rPr>
            </w:pPr>
            <w:r>
              <w:rPr>
                <w:noProof/>
              </w:rPr>
              <w:t>M1C1–126</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849715C" w14:textId="77777777" w:rsidR="00327FF1" w:rsidRDefault="00E406C7">
            <w:pPr>
              <w:pStyle w:val="P68B1DB1-Normal121"/>
              <w:spacing w:after="0" w:line="240" w:lineRule="auto"/>
              <w:rPr>
                <w:noProof/>
              </w:rPr>
            </w:pPr>
            <w:r>
              <w:rPr>
                <w:noProof/>
              </w:rPr>
              <w:t>Investīcija 1.4.3. PagoPA platformas pakalpojumu</w:t>
            </w:r>
            <w:r>
              <w:rPr>
                <w:noProof/>
              </w:rPr>
              <w:t xml:space="preserve"> un lietotnes “IO” pieņemšana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8EC65E"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5CC602" w14:textId="77777777" w:rsidR="00327FF1" w:rsidRDefault="00E406C7">
            <w:pPr>
              <w:pStyle w:val="P68B1DB1-Normal121"/>
              <w:spacing w:after="0" w:line="240" w:lineRule="auto"/>
              <w:rPr>
                <w:noProof/>
              </w:rPr>
            </w:pPr>
            <w:r>
              <w:rPr>
                <w:noProof/>
              </w:rPr>
              <w:t>PagoPA platformas pakalpojumu T1 ieviešana</w:t>
            </w:r>
          </w:p>
        </w:tc>
      </w:tr>
      <w:tr w:rsidR="00327FF1" w14:paraId="03C31488"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614481" w14:textId="77777777" w:rsidR="00327FF1" w:rsidRDefault="00E406C7">
            <w:pPr>
              <w:pStyle w:val="P68B1DB1-Normal121"/>
              <w:spacing w:after="0" w:line="240" w:lineRule="auto"/>
              <w:jc w:val="center"/>
              <w:rPr>
                <w:noProof/>
              </w:rPr>
            </w:pPr>
            <w:r>
              <w:rPr>
                <w:noProof/>
              </w:rPr>
              <w:t>M1C1–127</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8DF8A9" w14:textId="77777777" w:rsidR="00327FF1" w:rsidRDefault="00E406C7">
            <w:pPr>
              <w:pStyle w:val="P68B1DB1-Normal121"/>
              <w:spacing w:after="0" w:line="240" w:lineRule="auto"/>
              <w:rPr>
                <w:noProof/>
              </w:rPr>
            </w:pPr>
            <w:r>
              <w:rPr>
                <w:noProof/>
              </w:rPr>
              <w:t>Investīcija 1.4.3. PagoPA platformas pakalpojumu un lietotnes “IO” pieņemšana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891F2C"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7DA22B" w14:textId="77777777" w:rsidR="00327FF1" w:rsidRDefault="00E406C7">
            <w:pPr>
              <w:pStyle w:val="P68B1DB1-Normal121"/>
              <w:spacing w:after="0" w:line="240" w:lineRule="auto"/>
              <w:rPr>
                <w:noProof/>
              </w:rPr>
            </w:pPr>
            <w:r>
              <w:rPr>
                <w:noProof/>
              </w:rPr>
              <w:t>“IO” lietotnes T1 pieņemšana</w:t>
            </w:r>
          </w:p>
        </w:tc>
      </w:tr>
      <w:tr w:rsidR="00327FF1" w14:paraId="18BBA449"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F74EC4" w14:textId="77777777" w:rsidR="00327FF1" w:rsidRDefault="00E406C7">
            <w:pPr>
              <w:pStyle w:val="P68B1DB1-Normal121"/>
              <w:spacing w:after="0" w:line="240" w:lineRule="auto"/>
              <w:jc w:val="center"/>
              <w:rPr>
                <w:noProof/>
              </w:rPr>
            </w:pPr>
            <w:r>
              <w:rPr>
                <w:noProof/>
              </w:rPr>
              <w:t>M1C1–128</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95993C" w14:textId="77777777" w:rsidR="00327FF1" w:rsidRDefault="00E406C7">
            <w:pPr>
              <w:pStyle w:val="P68B1DB1-Normal121"/>
              <w:spacing w:after="0" w:line="240" w:lineRule="auto"/>
              <w:rPr>
                <w:noProof/>
              </w:rPr>
            </w:pPr>
            <w:r>
              <w:rPr>
                <w:noProof/>
              </w:rPr>
              <w:t xml:space="preserve">Investīcija 1.4.5. Publisko paziņojumu </w:t>
            </w:r>
            <w:r>
              <w:rPr>
                <w:noProof/>
              </w:rPr>
              <w:t>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245927"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7D1C83" w14:textId="77777777" w:rsidR="00327FF1" w:rsidRDefault="00E406C7">
            <w:pPr>
              <w:pStyle w:val="P68B1DB1-Normal121"/>
              <w:spacing w:after="0" w:line="240" w:lineRule="auto"/>
              <w:rPr>
                <w:noProof/>
              </w:rPr>
            </w:pPr>
            <w:r>
              <w:rPr>
                <w:noProof/>
              </w:rPr>
              <w:t>Digitālo publisko paziņojumu T1 ieviešana</w:t>
            </w:r>
          </w:p>
        </w:tc>
      </w:tr>
      <w:tr w:rsidR="00327FF1" w14:paraId="5A4E2DA9"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9A3E10" w14:textId="77777777" w:rsidR="00327FF1" w:rsidRDefault="00E406C7">
            <w:pPr>
              <w:pStyle w:val="P68B1DB1-Normal121"/>
              <w:spacing w:after="0" w:line="240" w:lineRule="auto"/>
              <w:jc w:val="center"/>
              <w:rPr>
                <w:noProof/>
              </w:rPr>
            </w:pPr>
            <w:r>
              <w:rPr>
                <w:noProof/>
              </w:rPr>
              <w:t>M1C1–129</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4BD8D5" w14:textId="77777777" w:rsidR="00327FF1" w:rsidRDefault="00E406C7">
            <w:pPr>
              <w:pStyle w:val="P68B1DB1-Normal121"/>
              <w:spacing w:after="0" w:line="240" w:lineRule="auto"/>
              <w:rPr>
                <w:noProof/>
              </w:rPr>
            </w:pPr>
            <w:r>
              <w:rPr>
                <w:noProof/>
              </w:rPr>
              <w:t>Investīcija 1.6.1. — Iekšlietu ministrijas 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9CA4850"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044CBE0" w14:textId="77777777" w:rsidR="00327FF1" w:rsidRDefault="00E406C7">
            <w:pPr>
              <w:pStyle w:val="P68B1DB1-Normal121"/>
              <w:spacing w:after="0" w:line="240" w:lineRule="auto"/>
              <w:rPr>
                <w:noProof/>
              </w:rPr>
            </w:pPr>
            <w:r>
              <w:rPr>
                <w:noProof/>
              </w:rPr>
              <w:t>Iekšlietu ministrija — pilnībā pārveidoti un digitalizēti procesi T1</w:t>
            </w:r>
          </w:p>
        </w:tc>
      </w:tr>
      <w:tr w:rsidR="00327FF1" w14:paraId="097B739F"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3A8BB5" w14:textId="77777777" w:rsidR="00327FF1" w:rsidRDefault="00E406C7">
            <w:pPr>
              <w:pStyle w:val="P68B1DB1-Normal121"/>
              <w:spacing w:after="0" w:line="240" w:lineRule="auto"/>
              <w:jc w:val="center"/>
              <w:rPr>
                <w:noProof/>
              </w:rPr>
            </w:pPr>
            <w:r>
              <w:rPr>
                <w:noProof/>
              </w:rPr>
              <w:t>M1C1–130</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0E5407" w14:textId="77777777" w:rsidR="00327FF1" w:rsidRDefault="00E406C7">
            <w:pPr>
              <w:pStyle w:val="P68B1DB1-Normal121"/>
              <w:spacing w:after="0" w:line="240" w:lineRule="auto"/>
              <w:rPr>
                <w:noProof/>
              </w:rPr>
            </w:pPr>
            <w:r>
              <w:rPr>
                <w:noProof/>
              </w:rPr>
              <w:t xml:space="preserve">Investīcija 1.6.2. — Tieslietu </w:t>
            </w:r>
            <w:r>
              <w:rPr>
                <w:noProof/>
              </w:rPr>
              <w:t>ministrijas 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BA7001"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679994" w14:textId="77777777" w:rsidR="00327FF1" w:rsidRDefault="00E406C7">
            <w:pPr>
              <w:pStyle w:val="P68B1DB1-Normal121"/>
              <w:spacing w:after="0" w:line="240" w:lineRule="auto"/>
              <w:rPr>
                <w:noProof/>
              </w:rPr>
            </w:pPr>
            <w:r>
              <w:rPr>
                <w:noProof/>
              </w:rPr>
              <w:t>Digitalizētas tiesvedības lietas T1</w:t>
            </w:r>
          </w:p>
        </w:tc>
      </w:tr>
      <w:tr w:rsidR="00327FF1" w14:paraId="05A6CEAE"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0F5EB8" w14:textId="77777777" w:rsidR="00327FF1" w:rsidRDefault="00E406C7">
            <w:pPr>
              <w:pStyle w:val="P68B1DB1-Normal121"/>
              <w:spacing w:after="0" w:line="240" w:lineRule="auto"/>
              <w:jc w:val="center"/>
              <w:rPr>
                <w:noProof/>
              </w:rPr>
            </w:pPr>
            <w:r>
              <w:rPr>
                <w:noProof/>
              </w:rPr>
              <w:t>M1C1–131</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B1AF61" w14:textId="77777777" w:rsidR="00327FF1" w:rsidRDefault="00E406C7">
            <w:pPr>
              <w:pStyle w:val="P68B1DB1-Normal121"/>
              <w:spacing w:after="0" w:line="240" w:lineRule="auto"/>
              <w:rPr>
                <w:noProof/>
              </w:rPr>
            </w:pPr>
            <w:r>
              <w:rPr>
                <w:noProof/>
              </w:rPr>
              <w:t>Investīcija 1.6.2. — Tieslietu ministrijas 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A203B6" w14:textId="77777777" w:rsidR="00327FF1" w:rsidRDefault="00E406C7">
            <w:pPr>
              <w:pStyle w:val="P68B1DB1-Normal121"/>
              <w:spacing w:after="0" w:line="240" w:lineRule="auto"/>
              <w:jc w:val="center"/>
              <w:rPr>
                <w:noProof/>
              </w:rPr>
            </w:pPr>
            <w:r>
              <w:rPr>
                <w:noProof/>
              </w:rPr>
              <w:t>Atskaites punkts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755766" w14:textId="77777777" w:rsidR="00327FF1" w:rsidRDefault="00E406C7">
            <w:pPr>
              <w:pStyle w:val="P68B1DB1-Normal121"/>
              <w:spacing w:after="0" w:line="240" w:lineRule="auto"/>
              <w:rPr>
                <w:noProof/>
              </w:rPr>
            </w:pPr>
            <w:r>
              <w:rPr>
                <w:noProof/>
              </w:rPr>
              <w:t>“Tiesiskums” datu ezera zināšanu sistēmas T1</w:t>
            </w:r>
          </w:p>
        </w:tc>
      </w:tr>
      <w:tr w:rsidR="00327FF1" w14:paraId="0A94E2F2"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53AEE4" w14:textId="77777777" w:rsidR="00327FF1" w:rsidRDefault="00E406C7">
            <w:pPr>
              <w:pStyle w:val="P68B1DB1-Normal121"/>
              <w:spacing w:after="0" w:line="240" w:lineRule="auto"/>
              <w:jc w:val="center"/>
              <w:rPr>
                <w:noProof/>
              </w:rPr>
            </w:pPr>
            <w:r>
              <w:rPr>
                <w:noProof/>
              </w:rPr>
              <w:t>M1C1–132</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695E30" w14:textId="77777777" w:rsidR="00327FF1" w:rsidRDefault="00E406C7">
            <w:pPr>
              <w:pStyle w:val="P68B1DB1-Normal121"/>
              <w:spacing w:after="0" w:line="240" w:lineRule="auto"/>
              <w:rPr>
                <w:noProof/>
              </w:rPr>
            </w:pPr>
            <w:r>
              <w:rPr>
                <w:noProof/>
              </w:rPr>
              <w:t>Investīcija — Valsts sociālā nodrošinājuma inst</w:t>
            </w:r>
            <w:r>
              <w:rPr>
                <w:noProof/>
              </w:rPr>
              <w:t>itūta (INPS) un Valsts apdrošināšanas pret nelaimes gadījumiem darbā (INAIL) 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4F0691"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7BBCC2E" w14:textId="77777777" w:rsidR="00327FF1" w:rsidRDefault="00E406C7">
            <w:pPr>
              <w:pStyle w:val="P68B1DB1-Normal121"/>
              <w:spacing w:after="0" w:line="240" w:lineRule="auto"/>
              <w:rPr>
                <w:noProof/>
              </w:rPr>
            </w:pPr>
            <w:r>
              <w:rPr>
                <w:noProof/>
              </w:rPr>
              <w:t>INPS — “Viens klikšķis pēc dizaina” pakalpojumi/satur T2</w:t>
            </w:r>
          </w:p>
        </w:tc>
      </w:tr>
      <w:tr w:rsidR="00327FF1" w14:paraId="7F3D1B0F"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D3166A" w14:textId="77777777" w:rsidR="00327FF1" w:rsidRDefault="00E406C7">
            <w:pPr>
              <w:pStyle w:val="P68B1DB1-Normal121"/>
              <w:spacing w:after="0" w:line="240" w:lineRule="auto"/>
              <w:jc w:val="center"/>
              <w:rPr>
                <w:noProof/>
              </w:rPr>
            </w:pPr>
            <w:r>
              <w:rPr>
                <w:noProof/>
              </w:rPr>
              <w:t>M1C1–133</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0F9256" w14:textId="77777777" w:rsidR="00327FF1" w:rsidRDefault="00E406C7">
            <w:pPr>
              <w:pStyle w:val="P68B1DB1-Normal121"/>
              <w:spacing w:after="0" w:line="240" w:lineRule="auto"/>
              <w:rPr>
                <w:noProof/>
              </w:rPr>
            </w:pPr>
            <w:r>
              <w:rPr>
                <w:noProof/>
              </w:rPr>
              <w:t xml:space="preserve">Investīcija — Valsts sociālā nodrošinājuma institūta (INPS) un Valsts apdrošināšanas pret </w:t>
            </w:r>
            <w:r>
              <w:rPr>
                <w:noProof/>
              </w:rPr>
              <w:t>nelaimes gadījumiem darbā (INAIL) 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6DBF11"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47B023" w14:textId="77777777" w:rsidR="00327FF1" w:rsidRDefault="00E406C7">
            <w:pPr>
              <w:pStyle w:val="P68B1DB1-Normal121"/>
              <w:spacing w:after="0" w:line="240" w:lineRule="auto"/>
              <w:rPr>
                <w:noProof/>
              </w:rPr>
            </w:pPr>
            <w:r>
              <w:rPr>
                <w:noProof/>
              </w:rPr>
              <w:t>INPS — Darba ņēmēji ar uzlabotām informācijas un komunikācijas tehnoloģiju (IKT) prasmēm T2</w:t>
            </w:r>
          </w:p>
        </w:tc>
      </w:tr>
      <w:tr w:rsidR="00327FF1" w14:paraId="37A0068F"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6440150" w14:textId="77777777" w:rsidR="00327FF1" w:rsidRDefault="00E406C7">
            <w:pPr>
              <w:pStyle w:val="P68B1DB1-Normal121"/>
              <w:spacing w:after="0" w:line="240" w:lineRule="auto"/>
              <w:jc w:val="center"/>
              <w:rPr>
                <w:noProof/>
              </w:rPr>
            </w:pPr>
            <w:r>
              <w:rPr>
                <w:noProof/>
              </w:rPr>
              <w:t>M1C1–134</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F3456F" w14:textId="77777777" w:rsidR="00327FF1" w:rsidRDefault="00E406C7">
            <w:pPr>
              <w:pStyle w:val="P68B1DB1-Normal121"/>
              <w:spacing w:after="0" w:line="240" w:lineRule="auto"/>
              <w:rPr>
                <w:noProof/>
              </w:rPr>
            </w:pPr>
            <w:r>
              <w:rPr>
                <w:noProof/>
              </w:rPr>
              <w:t xml:space="preserve">Investīcija — Valsts sociālā nodrošinājuma institūta (INPS) un Valsts apdrošināšanas pret nelaimes </w:t>
            </w:r>
            <w:r>
              <w:rPr>
                <w:noProof/>
              </w:rPr>
              <w:t>gadījumiem darbā (INAIL) 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BB9853"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CFA2AA" w14:textId="77777777" w:rsidR="00327FF1" w:rsidRDefault="00E406C7">
            <w:pPr>
              <w:pStyle w:val="P68B1DB1-Normal121"/>
              <w:spacing w:after="0" w:line="240" w:lineRule="auto"/>
              <w:rPr>
                <w:noProof/>
              </w:rPr>
            </w:pPr>
            <w:r>
              <w:rPr>
                <w:noProof/>
              </w:rPr>
              <w:t>INAIL — pilnībā pārveidoti un digitalizēti procesi/pakalpojumi T1</w:t>
            </w:r>
          </w:p>
        </w:tc>
      </w:tr>
      <w:tr w:rsidR="00327FF1" w14:paraId="7D025D64"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287BA3" w14:textId="77777777" w:rsidR="00327FF1" w:rsidRDefault="00E406C7">
            <w:pPr>
              <w:pStyle w:val="P68B1DB1-Normal121"/>
              <w:spacing w:after="0" w:line="240" w:lineRule="auto"/>
              <w:jc w:val="center"/>
              <w:rPr>
                <w:noProof/>
              </w:rPr>
            </w:pPr>
            <w:r>
              <w:rPr>
                <w:noProof/>
              </w:rPr>
              <w:t>M1C1–135</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1BCDF7" w14:textId="77777777" w:rsidR="00327FF1" w:rsidRDefault="00E406C7">
            <w:pPr>
              <w:pStyle w:val="P68B1DB1-Normal121"/>
              <w:spacing w:after="0" w:line="240" w:lineRule="auto"/>
              <w:rPr>
                <w:noProof/>
              </w:rPr>
            </w:pPr>
            <w:r>
              <w:rPr>
                <w:noProof/>
              </w:rPr>
              <w:t>Investīcija 1.6.4. — Aizsardzības ministrijas 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B96DF3"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BBC85C" w14:textId="77777777" w:rsidR="00327FF1" w:rsidRDefault="00E406C7">
            <w:pPr>
              <w:pStyle w:val="P68B1DB1-Normal121"/>
              <w:spacing w:after="0" w:line="240" w:lineRule="auto"/>
              <w:rPr>
                <w:noProof/>
              </w:rPr>
            </w:pPr>
            <w:r>
              <w:rPr>
                <w:noProof/>
              </w:rPr>
              <w:t>Aizsardzības ministrija — Procedūru digitalizācija T1</w:t>
            </w:r>
          </w:p>
        </w:tc>
      </w:tr>
      <w:tr w:rsidR="00327FF1" w14:paraId="62F61564"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C5BBB7" w14:textId="77777777" w:rsidR="00327FF1" w:rsidRDefault="00E406C7">
            <w:pPr>
              <w:pStyle w:val="P68B1DB1-Normal121"/>
              <w:spacing w:after="0" w:line="240" w:lineRule="auto"/>
              <w:jc w:val="center"/>
              <w:rPr>
                <w:noProof/>
              </w:rPr>
            </w:pPr>
            <w:r>
              <w:rPr>
                <w:noProof/>
              </w:rPr>
              <w:t>M1C1–136</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BF3505" w14:textId="77777777" w:rsidR="00327FF1" w:rsidRDefault="00E406C7">
            <w:pPr>
              <w:pStyle w:val="P68B1DB1-Normal121"/>
              <w:spacing w:after="0" w:line="240" w:lineRule="auto"/>
              <w:rPr>
                <w:noProof/>
              </w:rPr>
            </w:pPr>
            <w:r>
              <w:rPr>
                <w:noProof/>
              </w:rPr>
              <w:t>Investīcija 1.6.4. — Aizsardzības ministrijas 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61DCFA"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674CB2" w14:textId="77777777" w:rsidR="00327FF1" w:rsidRDefault="00E406C7">
            <w:pPr>
              <w:pStyle w:val="P68B1DB1-Normal121"/>
              <w:spacing w:after="0" w:line="240" w:lineRule="auto"/>
              <w:rPr>
                <w:noProof/>
              </w:rPr>
            </w:pPr>
            <w:r>
              <w:rPr>
                <w:noProof/>
              </w:rPr>
              <w:t>Aizsardzības ministrija — sertifikātu T1 digitalizācija</w:t>
            </w:r>
          </w:p>
        </w:tc>
      </w:tr>
      <w:tr w:rsidR="00327FF1" w14:paraId="7356E5CD"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9F772C" w14:textId="77777777" w:rsidR="00327FF1" w:rsidRDefault="00E406C7">
            <w:pPr>
              <w:pStyle w:val="P68B1DB1-Normal121"/>
              <w:spacing w:after="0" w:line="240" w:lineRule="auto"/>
              <w:jc w:val="center"/>
              <w:rPr>
                <w:noProof/>
              </w:rPr>
            </w:pPr>
            <w:r>
              <w:rPr>
                <w:noProof/>
              </w:rPr>
              <w:t>M1C1–137</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AB7E4C" w14:textId="77777777" w:rsidR="00327FF1" w:rsidRDefault="00E406C7">
            <w:pPr>
              <w:pStyle w:val="P68B1DB1-Normal121"/>
              <w:spacing w:after="0" w:line="240" w:lineRule="auto"/>
              <w:rPr>
                <w:noProof/>
              </w:rPr>
            </w:pPr>
            <w:r>
              <w:rPr>
                <w:noProof/>
              </w:rPr>
              <w:t>Investīcija 1.6.4. — Aizsardzības ministrijas 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18DCA3" w14:textId="77777777" w:rsidR="00327FF1" w:rsidRDefault="00E406C7">
            <w:pPr>
              <w:pStyle w:val="P68B1DB1-Normal121"/>
              <w:spacing w:after="0" w:line="240" w:lineRule="auto"/>
              <w:jc w:val="center"/>
              <w:rPr>
                <w:noProof/>
              </w:rPr>
            </w:pPr>
            <w:r>
              <w:rPr>
                <w:noProof/>
              </w:rPr>
              <w:t>Atskaites punkts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D52771" w14:textId="77777777" w:rsidR="00327FF1" w:rsidRDefault="00E406C7">
            <w:pPr>
              <w:pStyle w:val="P68B1DB1-Normal121"/>
              <w:spacing w:after="0" w:line="240" w:lineRule="auto"/>
              <w:rPr>
                <w:noProof/>
              </w:rPr>
            </w:pPr>
            <w:r>
              <w:rPr>
                <w:noProof/>
              </w:rPr>
              <w:t>Aizsardzības ministrija — Institucionālo tīme</w:t>
            </w:r>
            <w:r>
              <w:rPr>
                <w:noProof/>
              </w:rPr>
              <w:t>kļa portālu un iekštīkla portālu pilnvarošana</w:t>
            </w:r>
          </w:p>
        </w:tc>
      </w:tr>
      <w:tr w:rsidR="00327FF1" w14:paraId="046EAD15"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BADBD0" w14:textId="77777777" w:rsidR="00327FF1" w:rsidRDefault="00E406C7">
            <w:pPr>
              <w:pStyle w:val="P68B1DB1-Normal121"/>
              <w:spacing w:after="0" w:line="240" w:lineRule="auto"/>
              <w:jc w:val="center"/>
              <w:rPr>
                <w:noProof/>
              </w:rPr>
            </w:pPr>
            <w:r>
              <w:rPr>
                <w:noProof/>
              </w:rPr>
              <w:t>M1C1–138</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8F9B99" w14:textId="77777777" w:rsidR="00327FF1" w:rsidRDefault="00E406C7">
            <w:pPr>
              <w:pStyle w:val="P68B1DB1-Normal121"/>
              <w:spacing w:after="0" w:line="240" w:lineRule="auto"/>
              <w:rPr>
                <w:noProof/>
              </w:rPr>
            </w:pPr>
            <w:r>
              <w:rPr>
                <w:noProof/>
              </w:rPr>
              <w:t>Investīcija 1.6.4. — Aizsardzības ministrijas digitalizācija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50F8AD"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60D240" w14:textId="77777777" w:rsidR="00327FF1" w:rsidRDefault="00E406C7">
            <w:pPr>
              <w:pStyle w:val="P68B1DB1-Normal121"/>
              <w:spacing w:after="0" w:line="240" w:lineRule="auto"/>
              <w:rPr>
                <w:noProof/>
              </w:rPr>
            </w:pPr>
            <w:r>
              <w:rPr>
                <w:noProof/>
              </w:rPr>
              <w:t xml:space="preserve">Aizsardzības ministrija — Nemisijas kritiski svarīgu lietojumu migrācija uz risinājumu pilnīgai informācijas aizsardzībai ar </w:t>
            </w:r>
            <w:r>
              <w:rPr>
                <w:noProof/>
              </w:rPr>
              <w:t>infrastruktūras atklātību (S.C.I.P.I.O.) T1</w:t>
            </w:r>
          </w:p>
        </w:tc>
      </w:tr>
      <w:tr w:rsidR="00327FF1" w14:paraId="67332DCB"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F2AB37" w14:textId="77777777" w:rsidR="00327FF1" w:rsidRDefault="00E406C7">
            <w:pPr>
              <w:pStyle w:val="P68B1DB1-Normal121"/>
              <w:spacing w:after="0" w:line="240" w:lineRule="auto"/>
              <w:jc w:val="center"/>
              <w:rPr>
                <w:noProof/>
              </w:rPr>
            </w:pPr>
            <w:r>
              <w:rPr>
                <w:noProof/>
              </w:rPr>
              <w:t>M1C2–29</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9F1362" w14:textId="77777777" w:rsidR="00327FF1" w:rsidRDefault="00E406C7">
            <w:pPr>
              <w:pStyle w:val="P68B1DB1-Normal121"/>
              <w:spacing w:after="0" w:line="240" w:lineRule="auto"/>
              <w:rPr>
                <w:noProof/>
              </w:rPr>
            </w:pPr>
            <w:r>
              <w:rPr>
                <w:noProof/>
              </w:rPr>
              <w:t>Investīcija 5.2.: Piegādes ķēžu konkurētspēja un noturība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B74522"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E3FB7A" w14:textId="77777777" w:rsidR="00327FF1" w:rsidRDefault="00E406C7">
            <w:pPr>
              <w:pStyle w:val="P68B1DB1-Normal121"/>
              <w:spacing w:after="0" w:line="240" w:lineRule="auto"/>
              <w:rPr>
                <w:noProof/>
              </w:rPr>
            </w:pPr>
            <w:r>
              <w:rPr>
                <w:noProof/>
              </w:rPr>
              <w:t>Apstiprinātie attīstības līgumi</w:t>
            </w:r>
          </w:p>
        </w:tc>
      </w:tr>
      <w:tr w:rsidR="00327FF1" w14:paraId="2DCAD820"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70A09C" w14:textId="77777777" w:rsidR="00327FF1" w:rsidRDefault="00E406C7">
            <w:pPr>
              <w:pStyle w:val="P68B1DB1-Normal121"/>
              <w:spacing w:after="0" w:line="240" w:lineRule="auto"/>
              <w:jc w:val="center"/>
              <w:rPr>
                <w:noProof/>
              </w:rPr>
            </w:pPr>
            <w:r>
              <w:rPr>
                <w:noProof/>
              </w:rPr>
              <w:t>M2C1–15bis</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CE4EAC" w14:textId="77777777" w:rsidR="00327FF1" w:rsidRDefault="00E406C7">
            <w:pPr>
              <w:pStyle w:val="P68B1DB1-Normal121"/>
              <w:spacing w:after="0" w:line="240" w:lineRule="auto"/>
              <w:rPr>
                <w:noProof/>
              </w:rPr>
            </w:pPr>
            <w:r>
              <w:rPr>
                <w:noProof/>
              </w:rPr>
              <w:t>Reforma Nr. 1.2. Valsts atkritumu apsaimniekošanas programma:  Investīcija 1.1. — Jaunu atkritu</w:t>
            </w:r>
            <w:r>
              <w:rPr>
                <w:noProof/>
              </w:rPr>
              <w:t>mu apsaimniekošanas iekārtu ieviešana un esošo iekārtu modernizācija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ACF9B2"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F3FA01" w14:textId="77777777" w:rsidR="00327FF1" w:rsidRDefault="00E406C7">
            <w:pPr>
              <w:pStyle w:val="P68B1DB1-Normal121"/>
              <w:spacing w:after="0" w:line="240" w:lineRule="auto"/>
              <w:rPr>
                <w:noProof/>
              </w:rPr>
            </w:pPr>
            <w:r>
              <w:rPr>
                <w:noProof/>
              </w:rPr>
              <w:t>Neregulāro poligonu skaita samazināšana (T2)</w:t>
            </w:r>
          </w:p>
        </w:tc>
      </w:tr>
      <w:tr w:rsidR="00327FF1" w14:paraId="1F6564C2"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D1FC58" w14:textId="77777777" w:rsidR="00327FF1" w:rsidRDefault="00E406C7">
            <w:pPr>
              <w:pStyle w:val="P68B1DB1-Normal121"/>
              <w:spacing w:after="0" w:line="240" w:lineRule="auto"/>
              <w:jc w:val="center"/>
              <w:rPr>
                <w:noProof/>
              </w:rPr>
            </w:pPr>
            <w:r>
              <w:rPr>
                <w:noProof/>
              </w:rPr>
              <w:t>M2C1–15ter</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CAA910" w14:textId="77777777" w:rsidR="00327FF1" w:rsidRDefault="00E406C7">
            <w:pPr>
              <w:pStyle w:val="P68B1DB1-Normal121"/>
              <w:spacing w:after="0" w:line="240" w:lineRule="auto"/>
              <w:rPr>
                <w:noProof/>
              </w:rPr>
            </w:pPr>
            <w:r>
              <w:rPr>
                <w:noProof/>
              </w:rPr>
              <w:t>Reforma Nr. 1.2. Valsts atkritumu apsaimniekošanas programma:  Investīcija 1.1. — Jaunu atkritumu apsaimniekošanas iekārtu i</w:t>
            </w:r>
            <w:r>
              <w:rPr>
                <w:noProof/>
              </w:rPr>
              <w:t>eviešana un esošo iekārtu modernizācija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C4B6A2"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9F4D4D" w14:textId="77777777" w:rsidR="00327FF1" w:rsidRDefault="00E406C7">
            <w:pPr>
              <w:pStyle w:val="P68B1DB1-Normal121"/>
              <w:spacing w:after="0" w:line="240" w:lineRule="auto"/>
              <w:rPr>
                <w:noProof/>
              </w:rPr>
            </w:pPr>
            <w:r>
              <w:rPr>
                <w:noProof/>
              </w:rPr>
              <w:t>Reģionālās atšķirības dalītās savākšanas jomā</w:t>
            </w:r>
          </w:p>
        </w:tc>
      </w:tr>
      <w:tr w:rsidR="00327FF1" w14:paraId="3E1355A6"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D71B87" w14:textId="77777777" w:rsidR="00327FF1" w:rsidRDefault="00E406C7">
            <w:pPr>
              <w:pStyle w:val="P68B1DB1-Normal121"/>
              <w:spacing w:after="0" w:line="240" w:lineRule="auto"/>
              <w:jc w:val="center"/>
              <w:rPr>
                <w:noProof/>
              </w:rPr>
            </w:pPr>
            <w:r>
              <w:rPr>
                <w:noProof/>
              </w:rPr>
              <w:t>M2C1–15 quater</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47D499" w14:textId="77777777" w:rsidR="00327FF1" w:rsidRDefault="00E406C7">
            <w:pPr>
              <w:pStyle w:val="P68B1DB1-Normal121"/>
              <w:spacing w:after="0" w:line="240" w:lineRule="auto"/>
              <w:rPr>
                <w:noProof/>
              </w:rPr>
            </w:pPr>
            <w:r>
              <w:rPr>
                <w:noProof/>
              </w:rPr>
              <w:t>Investīcija 1.1. — Jaunu atkritumu apsaimniekošanas iekārtu ieviešana un esošo iekārtu modernizācija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B3C128" w14:textId="77777777" w:rsidR="00327FF1" w:rsidRDefault="00E406C7">
            <w:pPr>
              <w:pStyle w:val="P68B1DB1-Normal121"/>
              <w:spacing w:after="0" w:line="240" w:lineRule="auto"/>
              <w:jc w:val="center"/>
              <w:rPr>
                <w:noProof/>
              </w:rPr>
            </w:pPr>
            <w:r>
              <w:rPr>
                <w:noProof/>
              </w:rPr>
              <w:t>Atskaites punkts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05F1A0" w14:textId="77777777" w:rsidR="00327FF1" w:rsidRDefault="00E406C7">
            <w:pPr>
              <w:pStyle w:val="P68B1DB1-Normal121"/>
              <w:spacing w:after="0" w:line="240" w:lineRule="auto"/>
              <w:rPr>
                <w:noProof/>
              </w:rPr>
            </w:pPr>
            <w:r>
              <w:rPr>
                <w:noProof/>
              </w:rPr>
              <w:t xml:space="preserve">Bioatkritumu dalītas </w:t>
            </w:r>
            <w:r>
              <w:rPr>
                <w:noProof/>
              </w:rPr>
              <w:t>savākšanas pienākuma stāšanās spēkā</w:t>
            </w:r>
          </w:p>
        </w:tc>
      </w:tr>
      <w:tr w:rsidR="00327FF1" w14:paraId="7B12B243"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C9A8EF" w14:textId="77777777" w:rsidR="00327FF1" w:rsidRDefault="00E406C7">
            <w:pPr>
              <w:pStyle w:val="P68B1DB1-Normal121"/>
              <w:spacing w:after="0" w:line="240" w:lineRule="auto"/>
              <w:jc w:val="center"/>
              <w:rPr>
                <w:noProof/>
              </w:rPr>
            </w:pPr>
            <w:r>
              <w:rPr>
                <w:noProof/>
              </w:rPr>
              <w:t>M2C2–24</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629452" w14:textId="77777777" w:rsidR="00327FF1" w:rsidRDefault="00E406C7">
            <w:pPr>
              <w:pStyle w:val="P68B1DB1-Normal121"/>
              <w:spacing w:after="0" w:line="240" w:lineRule="auto"/>
              <w:rPr>
                <w:noProof/>
              </w:rPr>
            </w:pPr>
            <w:r>
              <w:rPr>
                <w:noProof/>
              </w:rPr>
              <w:t xml:space="preserve">Investīcija 4.2. Ātrā masu transporta sistēmu attīstība </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E0C9CF" w14:textId="77777777" w:rsidR="00327FF1" w:rsidRDefault="00E406C7">
            <w:pPr>
              <w:pStyle w:val="P68B1DB1-Normal121"/>
              <w:spacing w:after="0" w:line="240" w:lineRule="auto"/>
              <w:jc w:val="center"/>
              <w:rPr>
                <w:noProof/>
              </w:rPr>
            </w:pPr>
            <w:r>
              <w:rPr>
                <w:noProof/>
              </w:rPr>
              <w:t>Atskaites punkts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3AAD0A1" w14:textId="77777777" w:rsidR="00327FF1" w:rsidRDefault="00E406C7">
            <w:pPr>
              <w:pStyle w:val="P68B1DB1-Normal122"/>
              <w:spacing w:after="0" w:line="240" w:lineRule="auto"/>
              <w:rPr>
                <w:noProof/>
              </w:rPr>
            </w:pPr>
            <w:r>
              <w:rPr>
                <w:noProof/>
                <w:color w:val="006100"/>
              </w:rPr>
              <w:t>Visu publisko līgumu slēgšanas tiesību piešķiršana metro, tramvaju, trolejbusu un trošu ceļu lielpilsētu celtniecībai</w:t>
            </w:r>
          </w:p>
        </w:tc>
      </w:tr>
      <w:tr w:rsidR="00327FF1" w14:paraId="0469521C"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4DA542" w14:textId="77777777" w:rsidR="00327FF1" w:rsidRDefault="00E406C7">
            <w:pPr>
              <w:pStyle w:val="P68B1DB1-Normal121"/>
              <w:spacing w:after="0" w:line="240" w:lineRule="auto"/>
              <w:jc w:val="center"/>
              <w:rPr>
                <w:noProof/>
              </w:rPr>
            </w:pPr>
            <w:r>
              <w:rPr>
                <w:noProof/>
              </w:rPr>
              <w:t>M2C2–32</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C9A4A1" w14:textId="77777777" w:rsidR="00327FF1" w:rsidRDefault="00E406C7">
            <w:pPr>
              <w:pStyle w:val="P68B1DB1-Normal121"/>
              <w:spacing w:after="0" w:line="240" w:lineRule="auto"/>
              <w:rPr>
                <w:noProof/>
              </w:rPr>
            </w:pPr>
            <w:r>
              <w:rPr>
                <w:noProof/>
              </w:rPr>
              <w:t>Investīcija 4.4.1.: Reģionālā sabiedriskā transporta autobusu parka stiprināšana ar bezemisiju autobusiem</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BD6B31" w14:textId="77777777" w:rsidR="00327FF1" w:rsidRDefault="00E406C7">
            <w:pPr>
              <w:pStyle w:val="P68B1DB1-Normal121"/>
              <w:spacing w:after="0" w:line="240" w:lineRule="auto"/>
              <w:jc w:val="center"/>
              <w:rPr>
                <w:noProof/>
              </w:rPr>
            </w:pPr>
            <w:r>
              <w:rPr>
                <w:noProof/>
              </w:rPr>
              <w:t>Atskaites punkts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C5DAD8" w14:textId="77777777" w:rsidR="00327FF1" w:rsidRDefault="00E406C7">
            <w:pPr>
              <w:pStyle w:val="P68B1DB1-Normal121"/>
              <w:spacing w:after="0" w:line="240" w:lineRule="auto"/>
              <w:rPr>
                <w:noProof/>
              </w:rPr>
            </w:pPr>
            <w:r>
              <w:rPr>
                <w:noProof/>
              </w:rPr>
              <w:t>Visu publiskā iepirkuma līgumu slēgšanas tiesību piešķiršana reģionālā sabiedriskā transporta autobusu parka stiprināšanai ar bezemis</w:t>
            </w:r>
            <w:r>
              <w:rPr>
                <w:noProof/>
              </w:rPr>
              <w:t>iju mazemisiju autobusiem</w:t>
            </w:r>
          </w:p>
        </w:tc>
      </w:tr>
      <w:tr w:rsidR="00327FF1" w14:paraId="54B0F95C"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77FB424" w14:textId="77777777" w:rsidR="00327FF1" w:rsidRDefault="00E406C7">
            <w:pPr>
              <w:pStyle w:val="P68B1DB1-Normal121"/>
              <w:spacing w:after="0" w:line="240" w:lineRule="auto"/>
              <w:jc w:val="center"/>
              <w:rPr>
                <w:noProof/>
              </w:rPr>
            </w:pPr>
            <w:r>
              <w:rPr>
                <w:noProof/>
              </w:rPr>
              <w:t>M2C3–7</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2EBD37" w14:textId="77777777" w:rsidR="00327FF1" w:rsidRDefault="00E406C7">
            <w:pPr>
              <w:pStyle w:val="P68B1DB1-Normal121"/>
              <w:spacing w:after="0" w:line="240" w:lineRule="auto"/>
              <w:rPr>
                <w:noProof/>
              </w:rPr>
            </w:pPr>
            <w:r>
              <w:rPr>
                <w:noProof/>
              </w:rPr>
              <w:t>Investīcija 1.2. — Ēku būvniecība, tiesvedības nekustamā īpašuma aktīvu pārkvalificēšana un stiprināšana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1DD5A6" w14:textId="77777777" w:rsidR="00327FF1" w:rsidRDefault="00E406C7">
            <w:pPr>
              <w:pStyle w:val="P68B1DB1-Normal121"/>
              <w:spacing w:after="0" w:line="240" w:lineRule="auto"/>
              <w:jc w:val="center"/>
              <w:rPr>
                <w:noProof/>
              </w:rPr>
            </w:pPr>
            <w:r>
              <w:rPr>
                <w:noProof/>
              </w:rPr>
              <w:t>Atskaites punkts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9A2603" w14:textId="77777777" w:rsidR="00327FF1" w:rsidRDefault="00E406C7">
            <w:pPr>
              <w:pStyle w:val="P68B1DB1-Normal121"/>
              <w:spacing w:after="0" w:line="240" w:lineRule="auto"/>
              <w:rPr>
                <w:noProof/>
              </w:rPr>
            </w:pPr>
            <w:r>
              <w:rPr>
                <w:noProof/>
              </w:rPr>
              <w:t>Visu publiskā iepirkuma līgumu slēgšanas tiesības jaunu ēku būvniecībai, pārklasificēšanai un tiesve</w:t>
            </w:r>
            <w:r>
              <w:rPr>
                <w:noProof/>
              </w:rPr>
              <w:t>dības nekustamā īpašuma aktīvu nostiprināšanai paraksta līgumslēdzēja iestāde publiskā iepirkuma procedūrā.</w:t>
            </w:r>
          </w:p>
        </w:tc>
      </w:tr>
      <w:tr w:rsidR="00327FF1" w14:paraId="5DE79554"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5B2813" w14:textId="77777777" w:rsidR="00327FF1" w:rsidRDefault="00E406C7">
            <w:pPr>
              <w:pStyle w:val="P68B1DB1-Normal121"/>
              <w:spacing w:after="0" w:line="240" w:lineRule="auto"/>
              <w:jc w:val="center"/>
              <w:rPr>
                <w:noProof/>
              </w:rPr>
            </w:pPr>
            <w:r>
              <w:rPr>
                <w:noProof/>
              </w:rPr>
              <w:t>M2C4–33</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1D18B9" w14:textId="77777777" w:rsidR="00327FF1" w:rsidRDefault="00E406C7">
            <w:pPr>
              <w:pStyle w:val="P68B1DB1-Normal121"/>
              <w:spacing w:after="0" w:line="240" w:lineRule="auto"/>
              <w:rPr>
                <w:noProof/>
              </w:rPr>
            </w:pPr>
            <w:r>
              <w:rPr>
                <w:noProof/>
              </w:rPr>
              <w:t>Investīcija 4.3. Ieguldījumi apūdeņošanas agrosistēmas noturībā labākai ūdens resursu pārvaldībai</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4A5768" w14:textId="77777777" w:rsidR="00327FF1" w:rsidRDefault="00E406C7">
            <w:pPr>
              <w:pStyle w:val="P68B1DB1-Normal121"/>
              <w:spacing w:after="0" w:line="240" w:lineRule="auto"/>
              <w:jc w:val="center"/>
              <w:rPr>
                <w:noProof/>
              </w:rPr>
            </w:pPr>
            <w:r>
              <w:rPr>
                <w:noProof/>
              </w:rPr>
              <w:t>Atskaites punkts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0827B2" w14:textId="77777777" w:rsidR="00327FF1" w:rsidRDefault="00E406C7">
            <w:pPr>
              <w:pStyle w:val="P68B1DB1-Normal121"/>
              <w:spacing w:after="0" w:line="240" w:lineRule="auto"/>
              <w:rPr>
                <w:noProof/>
              </w:rPr>
            </w:pPr>
            <w:r>
              <w:rPr>
                <w:noProof/>
              </w:rPr>
              <w:t xml:space="preserve">Finansējuma piešķiršana </w:t>
            </w:r>
            <w:r>
              <w:rPr>
                <w:noProof/>
              </w:rPr>
              <w:t>visiem projektiem, kuru mērķis ir apūdeņošanas agrosistēmas noturība ūdens resursu labākai apsaimniekošanai</w:t>
            </w:r>
          </w:p>
        </w:tc>
      </w:tr>
      <w:tr w:rsidR="00327FF1" w14:paraId="03B1C09D"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58A42A" w14:textId="77777777" w:rsidR="00327FF1" w:rsidRDefault="00E406C7">
            <w:pPr>
              <w:pStyle w:val="P68B1DB1-Normal121"/>
              <w:spacing w:after="0" w:line="240" w:lineRule="auto"/>
              <w:jc w:val="center"/>
              <w:rPr>
                <w:noProof/>
              </w:rPr>
            </w:pPr>
            <w:r>
              <w:rPr>
                <w:noProof/>
              </w:rPr>
              <w:t>M2C4–36</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9EA146" w14:textId="77777777" w:rsidR="00327FF1" w:rsidRDefault="00E406C7">
            <w:pPr>
              <w:pStyle w:val="P68B1DB1-Normal121"/>
              <w:spacing w:after="0" w:line="240" w:lineRule="auto"/>
              <w:rPr>
                <w:noProof/>
              </w:rPr>
            </w:pPr>
            <w:r>
              <w:rPr>
                <w:noProof/>
              </w:rPr>
              <w:t>Investīcija 4.4. Ieguldījumi kanalizācijā un attīrīšanā</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9DAEE1" w14:textId="77777777" w:rsidR="00327FF1" w:rsidRDefault="00E406C7">
            <w:pPr>
              <w:pStyle w:val="P68B1DB1-Normal121"/>
              <w:spacing w:after="0" w:line="240" w:lineRule="auto"/>
              <w:jc w:val="center"/>
              <w:rPr>
                <w:noProof/>
              </w:rPr>
            </w:pPr>
            <w:r>
              <w:rPr>
                <w:noProof/>
              </w:rPr>
              <w:t>Atskaites punkts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4ACD45" w14:textId="77777777" w:rsidR="00327FF1" w:rsidRDefault="00E406C7">
            <w:pPr>
              <w:pStyle w:val="P68B1DB1-Normal121"/>
              <w:spacing w:after="0" w:line="240" w:lineRule="auto"/>
              <w:rPr>
                <w:noProof/>
              </w:rPr>
            </w:pPr>
            <w:r>
              <w:rPr>
                <w:noProof/>
              </w:rPr>
              <w:t xml:space="preserve">Visu valsts līgumu slēgšanas tiesību piešķiršana kanalizācijas un </w:t>
            </w:r>
            <w:r>
              <w:rPr>
                <w:noProof/>
              </w:rPr>
              <w:t>attīrīšanas jomā</w:t>
            </w:r>
          </w:p>
        </w:tc>
      </w:tr>
      <w:tr w:rsidR="00327FF1" w14:paraId="5655D170"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36F3C4" w14:textId="77777777" w:rsidR="00327FF1" w:rsidRDefault="00E406C7">
            <w:pPr>
              <w:pStyle w:val="P68B1DB1-Normal121"/>
              <w:spacing w:after="0" w:line="240" w:lineRule="auto"/>
              <w:jc w:val="center"/>
              <w:rPr>
                <w:noProof/>
              </w:rPr>
            </w:pPr>
            <w:r>
              <w:rPr>
                <w:noProof/>
              </w:rPr>
              <w:t>M3C1–4</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3290E7" w14:textId="77777777" w:rsidR="00327FF1" w:rsidRDefault="00E406C7">
            <w:pPr>
              <w:pStyle w:val="P68B1DB1-Normal121"/>
              <w:spacing w:after="0" w:line="240" w:lineRule="auto"/>
              <w:rPr>
                <w:noProof/>
              </w:rPr>
            </w:pPr>
            <w:r>
              <w:rPr>
                <w:noProof/>
              </w:rPr>
              <w:t>Investīcija. Ātrgaitas dzelzceļa savienojumi ar dienvidiem pasažieru un kravu pārvadājumiem</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EDBA93" w14:textId="77777777" w:rsidR="00327FF1" w:rsidRDefault="00E406C7">
            <w:pPr>
              <w:pStyle w:val="P68B1DB1-Normal121"/>
              <w:spacing w:after="0" w:line="240" w:lineRule="auto"/>
              <w:jc w:val="center"/>
              <w:rPr>
                <w:noProof/>
              </w:rPr>
            </w:pPr>
            <w:r>
              <w:rPr>
                <w:noProof/>
              </w:rPr>
              <w:t>Atskaites punkts</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1B45E8" w14:textId="77777777" w:rsidR="00327FF1" w:rsidRDefault="00E406C7">
            <w:pPr>
              <w:pStyle w:val="P68B1DB1-Normal121"/>
              <w:spacing w:after="0" w:line="240" w:lineRule="auto"/>
              <w:rPr>
                <w:noProof/>
              </w:rPr>
            </w:pPr>
            <w:r>
              <w:rPr>
                <w:noProof/>
              </w:rPr>
              <w:t>Līguma slēgšanas tiesību piešķiršana ātrgaitas dzelzceļa būvniecībai Salerno Reggio Calabria līnijās</w:t>
            </w:r>
          </w:p>
        </w:tc>
      </w:tr>
      <w:tr w:rsidR="00327FF1" w14:paraId="24554B99"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5508EB4" w14:textId="77777777" w:rsidR="00327FF1" w:rsidRDefault="00E406C7">
            <w:pPr>
              <w:pStyle w:val="P68B1DB1-Normal121"/>
              <w:spacing w:after="0" w:line="240" w:lineRule="auto"/>
              <w:jc w:val="center"/>
              <w:rPr>
                <w:noProof/>
              </w:rPr>
            </w:pPr>
            <w:r>
              <w:rPr>
                <w:noProof/>
              </w:rPr>
              <w:t>M3C1–17</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7F6123" w14:textId="77777777" w:rsidR="00327FF1" w:rsidRDefault="00E406C7">
            <w:pPr>
              <w:pStyle w:val="P68B1DB1-Normal121"/>
              <w:spacing w:after="0" w:line="240" w:lineRule="auto"/>
              <w:rPr>
                <w:noProof/>
              </w:rPr>
            </w:pPr>
            <w:r>
              <w:rPr>
                <w:noProof/>
              </w:rPr>
              <w:t xml:space="preserve">Investīcija </w:t>
            </w:r>
            <w:r>
              <w:rPr>
                <w:noProof/>
              </w:rPr>
              <w:t>Nr. 1.7 — Dzelzceļu modernizācija, elektrifikācija un noturība dienvidos</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BE5C13"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DF0F28" w14:textId="77777777" w:rsidR="00327FF1" w:rsidRDefault="00E406C7">
            <w:pPr>
              <w:pStyle w:val="P68B1DB1-Normal121"/>
              <w:spacing w:after="0" w:line="240" w:lineRule="auto"/>
              <w:rPr>
                <w:noProof/>
              </w:rPr>
            </w:pPr>
            <w:r>
              <w:rPr>
                <w:noProof/>
              </w:rPr>
              <w:t>Pabeigti 150 km darbi, kas saistīti ar dienvidu dzelzceļu modernizāciju, elektrifikāciju un noturību, gatavi atļaujas piešķiršanai un ekspluatācijas posmiem.</w:t>
            </w:r>
          </w:p>
        </w:tc>
      </w:tr>
      <w:tr w:rsidR="00327FF1" w14:paraId="567148AC"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41ECCB" w14:textId="77777777" w:rsidR="00327FF1" w:rsidRDefault="00E406C7">
            <w:pPr>
              <w:pStyle w:val="P68B1DB1-Normal121"/>
              <w:spacing w:after="0" w:line="240" w:lineRule="auto"/>
              <w:jc w:val="center"/>
              <w:rPr>
                <w:noProof/>
              </w:rPr>
            </w:pPr>
            <w:r>
              <w:rPr>
                <w:noProof/>
              </w:rPr>
              <w:t>M4C2–5</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7261B23" w14:textId="77777777" w:rsidR="00327FF1" w:rsidRDefault="00E406C7">
            <w:pPr>
              <w:pStyle w:val="P68B1DB1-Normal121"/>
              <w:spacing w:after="0" w:line="240" w:lineRule="auto"/>
              <w:rPr>
                <w:noProof/>
              </w:rPr>
            </w:pPr>
            <w:r>
              <w:rPr>
                <w:noProof/>
              </w:rPr>
              <w:t xml:space="preserve">Investīcija 1.1: Valsts nozīmes pētniecības projekti (PRIN) </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EBDD10"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28C965D" w14:textId="77777777" w:rsidR="00327FF1" w:rsidRDefault="00E406C7">
            <w:pPr>
              <w:pStyle w:val="P68B1DB1-Normal121"/>
              <w:spacing w:after="0" w:line="240" w:lineRule="auto"/>
              <w:rPr>
                <w:noProof/>
              </w:rPr>
            </w:pPr>
            <w:r>
              <w:rPr>
                <w:noProof/>
              </w:rPr>
              <w:t xml:space="preserve">Piešķirto pētniecības projektu skaits </w:t>
            </w:r>
          </w:p>
        </w:tc>
      </w:tr>
      <w:tr w:rsidR="00327FF1" w14:paraId="59322C8F"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FDD4FC" w14:textId="77777777" w:rsidR="00327FF1" w:rsidRDefault="00E406C7">
            <w:pPr>
              <w:pStyle w:val="P68B1DB1-Normal121"/>
              <w:spacing w:after="0" w:line="240" w:lineRule="auto"/>
              <w:jc w:val="center"/>
              <w:rPr>
                <w:noProof/>
              </w:rPr>
            </w:pPr>
            <w:r>
              <w:rPr>
                <w:noProof/>
              </w:rPr>
              <w:t>M6C1–8</w:t>
            </w: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E0B3F7" w14:textId="77777777" w:rsidR="00327FF1" w:rsidRDefault="00E406C7">
            <w:pPr>
              <w:pStyle w:val="P68B1DB1-Normal121"/>
              <w:spacing w:after="0" w:line="240" w:lineRule="auto"/>
              <w:rPr>
                <w:noProof/>
              </w:rPr>
            </w:pPr>
            <w:r>
              <w:rPr>
                <w:noProof/>
              </w:rPr>
              <w:t>Ieguldījums 1.2. Mājas kā pirmā aprūpes un telemedicīnas vieta</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650490" w14:textId="77777777" w:rsidR="00327FF1" w:rsidRDefault="00E406C7">
            <w:pPr>
              <w:pStyle w:val="P68B1DB1-Normal121"/>
              <w:spacing w:after="0" w:line="240" w:lineRule="auto"/>
              <w:jc w:val="center"/>
              <w:rPr>
                <w:noProof/>
              </w:rPr>
            </w:pPr>
            <w:r>
              <w:rPr>
                <w:noProof/>
              </w:rPr>
              <w:t>Mērķa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6CEFA3" w14:textId="77777777" w:rsidR="00327FF1" w:rsidRDefault="00E406C7">
            <w:pPr>
              <w:pStyle w:val="P68B1DB1-Normal121"/>
              <w:spacing w:after="0" w:line="240" w:lineRule="auto"/>
              <w:rPr>
                <w:noProof/>
              </w:rPr>
            </w:pPr>
            <w:r>
              <w:rPr>
                <w:noProof/>
              </w:rPr>
              <w:t>Katram reģionam piešķirts vismaz viens telemedicīnas projekts (ņemot vērā</w:t>
            </w:r>
            <w:r>
              <w:rPr>
                <w:noProof/>
              </w:rPr>
              <w:t xml:space="preserve"> gan projektus, kas tiks īstenoti konkrētajā reģionā, gan projektus, kurus var izstrādāt kā daļu no konsorcijiem starp reģioniem)</w:t>
            </w:r>
          </w:p>
        </w:tc>
      </w:tr>
      <w:tr w:rsidR="00327FF1" w14:paraId="5A11C9BA" w14:textId="7777777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E45CD0" w14:textId="77777777" w:rsidR="00327FF1" w:rsidRDefault="00327FF1">
            <w:pPr>
              <w:spacing w:after="0" w:line="240" w:lineRule="auto"/>
              <w:jc w:val="center"/>
              <w:rPr>
                <w:rFonts w:ascii="Times New Roman" w:eastAsia="Times New Roman" w:hAnsi="Times New Roman" w:cs="Times New Roman"/>
                <w:noProof/>
              </w:rPr>
            </w:pPr>
          </w:p>
        </w:tc>
        <w:tc>
          <w:tcPr>
            <w:tcW w:w="277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C982DB" w14:textId="77777777" w:rsidR="00327FF1" w:rsidRDefault="00E406C7">
            <w:pPr>
              <w:pStyle w:val="P68B1DB1-Normal121"/>
              <w:spacing w:after="0" w:line="240" w:lineRule="auto"/>
              <w:rPr>
                <w:noProof/>
              </w:rPr>
            </w:pPr>
            <w:r>
              <w:rPr>
                <w:noProof/>
              </w:rPr>
              <w:t xml:space="preserve"> </w:t>
            </w:r>
          </w:p>
        </w:tc>
        <w:tc>
          <w:tcPr>
            <w:tcW w:w="120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AE0FF6" w14:textId="77777777" w:rsidR="00327FF1" w:rsidRDefault="00E406C7">
            <w:pPr>
              <w:pStyle w:val="P68B1DB1-Normal121"/>
              <w:spacing w:after="0" w:line="240" w:lineRule="auto"/>
              <w:jc w:val="center"/>
              <w:rPr>
                <w:noProof/>
              </w:rPr>
            </w:pPr>
            <w:r>
              <w:rPr>
                <w:noProof/>
              </w:rPr>
              <w:t>Maksājuma summa</w:t>
            </w:r>
          </w:p>
        </w:tc>
        <w:tc>
          <w:tcPr>
            <w:tcW w:w="40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A70259"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9030593086</w:t>
            </w:r>
            <w:r>
              <w:rPr>
                <w:noProof/>
                <w:sz w:val="23"/>
                <w:szCs w:val="23"/>
              </w:rPr>
              <w:t xml:space="preserve"> </w:t>
            </w:r>
          </w:p>
        </w:tc>
      </w:tr>
    </w:tbl>
    <w:p w14:paraId="7774C3A7" w14:textId="77777777" w:rsidR="00327FF1" w:rsidRDefault="00327FF1">
      <w:pPr>
        <w:spacing w:after="0"/>
        <w:ind w:left="850"/>
        <w:contextualSpacing/>
        <w:jc w:val="both"/>
        <w:rPr>
          <w:rFonts w:ascii="Times New Roman" w:eastAsia="Times New Roman" w:hAnsi="Times New Roman" w:cs="Times New Roman"/>
          <w:noProof/>
        </w:rPr>
      </w:pPr>
    </w:p>
    <w:p w14:paraId="5582CAC3" w14:textId="77777777" w:rsidR="00327FF1" w:rsidRDefault="00E406C7">
      <w:pPr>
        <w:pStyle w:val="P68B1DB1-Normal8"/>
        <w:rPr>
          <w:noProof/>
        </w:rPr>
      </w:pPr>
      <w:r>
        <w:rPr>
          <w:noProof/>
        </w:rPr>
        <w:br w:type="page"/>
      </w:r>
    </w:p>
    <w:p w14:paraId="15A986AA" w14:textId="77777777" w:rsidR="00327FF1" w:rsidRDefault="00E406C7">
      <w:pPr>
        <w:pStyle w:val="P68B1DB1-Heading34"/>
        <w:numPr>
          <w:ilvl w:val="1"/>
          <w:numId w:val="179"/>
        </w:numPr>
        <w:tabs>
          <w:tab w:val="clear" w:pos="850"/>
          <w:tab w:val="num" w:pos="1440"/>
        </w:tabs>
        <w:ind w:left="1440" w:hanging="360"/>
        <w:rPr>
          <w:noProof/>
        </w:rPr>
      </w:pPr>
      <w:r>
        <w:rPr>
          <w:noProof/>
        </w:rPr>
        <w:t>Sestā daļa (aizdevuma atbalsts):</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5"/>
        <w:gridCol w:w="4209"/>
        <w:gridCol w:w="1110"/>
        <w:gridCol w:w="2884"/>
      </w:tblGrid>
      <w:tr w:rsidR="00327FF1" w14:paraId="390F7BA3" w14:textId="77777777">
        <w:trPr>
          <w:trHeight w:val="900"/>
          <w:tblHeader/>
        </w:trPr>
        <w:tc>
          <w:tcPr>
            <w:tcW w:w="1155" w:type="dxa"/>
            <w:vMerge w:val="restart"/>
            <w:shd w:val="clear" w:color="auto" w:fill="BDD7EE"/>
            <w:tcMar>
              <w:left w:w="108" w:type="dxa"/>
              <w:right w:w="108" w:type="dxa"/>
            </w:tcMar>
            <w:vAlign w:val="center"/>
          </w:tcPr>
          <w:p w14:paraId="239FE9D9" w14:textId="77777777" w:rsidR="00327FF1" w:rsidRDefault="00E406C7">
            <w:pPr>
              <w:pStyle w:val="P68B1DB1-Normal120"/>
              <w:spacing w:after="0" w:line="240" w:lineRule="auto"/>
              <w:jc w:val="center"/>
              <w:rPr>
                <w:noProof/>
              </w:rPr>
            </w:pPr>
            <w:r>
              <w:rPr>
                <w:noProof/>
              </w:rPr>
              <w:t>Kārtas numurs</w:t>
            </w:r>
          </w:p>
        </w:tc>
        <w:tc>
          <w:tcPr>
            <w:tcW w:w="4209" w:type="dxa"/>
            <w:vMerge w:val="restart"/>
            <w:shd w:val="clear" w:color="auto" w:fill="BDD7EE"/>
            <w:tcMar>
              <w:left w:w="108" w:type="dxa"/>
              <w:right w:w="108" w:type="dxa"/>
            </w:tcMar>
            <w:vAlign w:val="center"/>
          </w:tcPr>
          <w:p w14:paraId="48DAE540" w14:textId="77777777" w:rsidR="00327FF1" w:rsidRDefault="00E406C7">
            <w:pPr>
              <w:pStyle w:val="P68B1DB1-Normal120"/>
              <w:spacing w:after="0" w:line="240" w:lineRule="auto"/>
              <w:jc w:val="center"/>
              <w:rPr>
                <w:noProof/>
              </w:rPr>
            </w:pPr>
            <w:r>
              <w:rPr>
                <w:noProof/>
              </w:rPr>
              <w:t xml:space="preserve">Saistītais pasākums (reforma vai </w:t>
            </w:r>
            <w:r>
              <w:rPr>
                <w:noProof/>
              </w:rPr>
              <w:t>ieguldījums)</w:t>
            </w:r>
          </w:p>
        </w:tc>
        <w:tc>
          <w:tcPr>
            <w:tcW w:w="1110" w:type="dxa"/>
            <w:vMerge w:val="restart"/>
            <w:shd w:val="clear" w:color="auto" w:fill="BDD7EE"/>
            <w:tcMar>
              <w:left w:w="108" w:type="dxa"/>
              <w:right w:w="108" w:type="dxa"/>
            </w:tcMar>
            <w:vAlign w:val="center"/>
          </w:tcPr>
          <w:p w14:paraId="1099A3AA" w14:textId="77777777" w:rsidR="00327FF1" w:rsidRDefault="00E406C7">
            <w:pPr>
              <w:pStyle w:val="P68B1DB1-Normal120"/>
              <w:spacing w:after="0" w:line="240" w:lineRule="auto"/>
              <w:jc w:val="center"/>
              <w:rPr>
                <w:noProof/>
              </w:rPr>
            </w:pPr>
            <w:r>
              <w:rPr>
                <w:noProof/>
              </w:rPr>
              <w:t>Atskaites punkts/mērķrādītājs</w:t>
            </w:r>
          </w:p>
        </w:tc>
        <w:tc>
          <w:tcPr>
            <w:tcW w:w="2884" w:type="dxa"/>
            <w:vMerge w:val="restart"/>
            <w:shd w:val="clear" w:color="auto" w:fill="BDD7EE"/>
            <w:tcMar>
              <w:left w:w="108" w:type="dxa"/>
              <w:right w:w="108" w:type="dxa"/>
            </w:tcMar>
            <w:vAlign w:val="center"/>
          </w:tcPr>
          <w:p w14:paraId="71287B4F" w14:textId="77777777" w:rsidR="00327FF1" w:rsidRDefault="00E406C7">
            <w:pPr>
              <w:pStyle w:val="P68B1DB1-Normal120"/>
              <w:spacing w:after="0" w:line="240" w:lineRule="auto"/>
              <w:jc w:val="center"/>
              <w:rPr>
                <w:noProof/>
              </w:rPr>
            </w:pPr>
            <w:r>
              <w:rPr>
                <w:noProof/>
              </w:rPr>
              <w:t>Nosaukums</w:t>
            </w:r>
          </w:p>
        </w:tc>
      </w:tr>
      <w:tr w:rsidR="00327FF1" w14:paraId="0F9D504A" w14:textId="77777777">
        <w:trPr>
          <w:trHeight w:val="510"/>
        </w:trPr>
        <w:tc>
          <w:tcPr>
            <w:tcW w:w="1155" w:type="dxa"/>
            <w:vMerge/>
            <w:vAlign w:val="center"/>
          </w:tcPr>
          <w:p w14:paraId="2206F276" w14:textId="77777777" w:rsidR="00327FF1" w:rsidRDefault="00327FF1">
            <w:pPr>
              <w:spacing w:after="0" w:line="240" w:lineRule="auto"/>
              <w:jc w:val="center"/>
              <w:rPr>
                <w:rFonts w:ascii="Times New Roman" w:eastAsia="Times New Roman" w:hAnsi="Times New Roman" w:cs="Times New Roman"/>
                <w:noProof/>
              </w:rPr>
            </w:pPr>
          </w:p>
        </w:tc>
        <w:tc>
          <w:tcPr>
            <w:tcW w:w="4209" w:type="dxa"/>
            <w:vMerge/>
            <w:vAlign w:val="center"/>
          </w:tcPr>
          <w:p w14:paraId="7F904EF6" w14:textId="77777777" w:rsidR="00327FF1" w:rsidRDefault="00327FF1">
            <w:pPr>
              <w:spacing w:after="0" w:line="240" w:lineRule="auto"/>
              <w:rPr>
                <w:rFonts w:ascii="Times New Roman" w:eastAsia="Times New Roman" w:hAnsi="Times New Roman" w:cs="Times New Roman"/>
                <w:noProof/>
              </w:rPr>
            </w:pPr>
          </w:p>
        </w:tc>
        <w:tc>
          <w:tcPr>
            <w:tcW w:w="1110" w:type="dxa"/>
            <w:vMerge/>
            <w:vAlign w:val="center"/>
          </w:tcPr>
          <w:p w14:paraId="5E32391D" w14:textId="77777777" w:rsidR="00327FF1" w:rsidRDefault="00327FF1">
            <w:pPr>
              <w:spacing w:after="0" w:line="240" w:lineRule="auto"/>
              <w:jc w:val="center"/>
              <w:rPr>
                <w:rFonts w:ascii="Times New Roman" w:eastAsia="Times New Roman" w:hAnsi="Times New Roman" w:cs="Times New Roman"/>
                <w:noProof/>
              </w:rPr>
            </w:pPr>
          </w:p>
        </w:tc>
        <w:tc>
          <w:tcPr>
            <w:tcW w:w="2884" w:type="dxa"/>
            <w:vMerge/>
            <w:vAlign w:val="center"/>
          </w:tcPr>
          <w:p w14:paraId="47C5F037" w14:textId="77777777" w:rsidR="00327FF1" w:rsidRDefault="00327FF1">
            <w:pPr>
              <w:spacing w:after="0" w:line="240" w:lineRule="auto"/>
              <w:rPr>
                <w:rFonts w:ascii="Times New Roman" w:eastAsia="Times New Roman" w:hAnsi="Times New Roman" w:cs="Times New Roman"/>
                <w:noProof/>
              </w:rPr>
            </w:pPr>
          </w:p>
        </w:tc>
      </w:tr>
      <w:tr w:rsidR="00327FF1" w14:paraId="6A9532D9" w14:textId="77777777">
        <w:trPr>
          <w:trHeight w:val="300"/>
        </w:trPr>
        <w:tc>
          <w:tcPr>
            <w:tcW w:w="1155" w:type="dxa"/>
            <w:shd w:val="clear" w:color="auto" w:fill="C6EFCE"/>
            <w:tcMar>
              <w:left w:w="108" w:type="dxa"/>
              <w:right w:w="108" w:type="dxa"/>
            </w:tcMar>
            <w:vAlign w:val="center"/>
          </w:tcPr>
          <w:p w14:paraId="211DE659" w14:textId="77777777" w:rsidR="00327FF1" w:rsidRDefault="00E406C7">
            <w:pPr>
              <w:pStyle w:val="P68B1DB1-Normal121"/>
              <w:spacing w:after="0" w:line="240" w:lineRule="auto"/>
              <w:jc w:val="center"/>
              <w:rPr>
                <w:noProof/>
              </w:rPr>
            </w:pPr>
            <w:r>
              <w:rPr>
                <w:noProof/>
              </w:rPr>
              <w:t>M3C1–10</w:t>
            </w:r>
          </w:p>
        </w:tc>
        <w:tc>
          <w:tcPr>
            <w:tcW w:w="4209" w:type="dxa"/>
            <w:shd w:val="clear" w:color="auto" w:fill="C6EFCE"/>
            <w:tcMar>
              <w:left w:w="108" w:type="dxa"/>
              <w:right w:w="108" w:type="dxa"/>
            </w:tcMar>
            <w:vAlign w:val="center"/>
          </w:tcPr>
          <w:p w14:paraId="131AB868" w14:textId="77777777" w:rsidR="00327FF1" w:rsidRDefault="00E406C7">
            <w:pPr>
              <w:pStyle w:val="P68B1DB1-Normal121"/>
              <w:spacing w:after="0" w:line="240" w:lineRule="auto"/>
              <w:rPr>
                <w:noProof/>
              </w:rPr>
            </w:pPr>
            <w:r>
              <w:rPr>
                <w:noProof/>
              </w:rPr>
              <w:t>Investīcija. Diagonālie savienojumi</w:t>
            </w:r>
          </w:p>
        </w:tc>
        <w:tc>
          <w:tcPr>
            <w:tcW w:w="1110" w:type="dxa"/>
            <w:shd w:val="clear" w:color="auto" w:fill="C6EFCE"/>
            <w:tcMar>
              <w:left w:w="108" w:type="dxa"/>
              <w:right w:w="108" w:type="dxa"/>
            </w:tcMar>
            <w:vAlign w:val="center"/>
          </w:tcPr>
          <w:p w14:paraId="0321199E" w14:textId="77777777" w:rsidR="00327FF1" w:rsidRDefault="00E406C7">
            <w:pPr>
              <w:pStyle w:val="P68B1DB1-Normal121"/>
              <w:spacing w:after="0" w:line="240" w:lineRule="auto"/>
              <w:jc w:val="center"/>
              <w:rPr>
                <w:noProof/>
              </w:rPr>
            </w:pPr>
            <w:r>
              <w:rPr>
                <w:noProof/>
              </w:rPr>
              <w:t>Atskaites punkts</w:t>
            </w:r>
          </w:p>
        </w:tc>
        <w:tc>
          <w:tcPr>
            <w:tcW w:w="2884" w:type="dxa"/>
            <w:shd w:val="clear" w:color="auto" w:fill="C6EFCE"/>
            <w:tcMar>
              <w:left w:w="108" w:type="dxa"/>
              <w:right w:w="108" w:type="dxa"/>
            </w:tcMar>
            <w:vAlign w:val="center"/>
          </w:tcPr>
          <w:p w14:paraId="27E07FD7" w14:textId="77777777" w:rsidR="00327FF1" w:rsidRDefault="00E406C7">
            <w:pPr>
              <w:pStyle w:val="P68B1DB1-Normal121"/>
              <w:spacing w:after="0" w:line="240" w:lineRule="auto"/>
              <w:rPr>
                <w:noProof/>
              </w:rPr>
            </w:pPr>
            <w:r>
              <w:rPr>
                <w:noProof/>
              </w:rPr>
              <w:t>Līguma(-u) piešķiršana savienojumu būvniecībai līnijās Orte-Falconara un Taranto-Metaponto-Potenza-Battipaglia</w:t>
            </w:r>
          </w:p>
        </w:tc>
      </w:tr>
      <w:tr w:rsidR="00327FF1" w14:paraId="128EA5F3" w14:textId="77777777">
        <w:trPr>
          <w:trHeight w:val="300"/>
        </w:trPr>
        <w:tc>
          <w:tcPr>
            <w:tcW w:w="1155" w:type="dxa"/>
            <w:shd w:val="clear" w:color="auto" w:fill="C6EFCE"/>
            <w:tcMar>
              <w:left w:w="108" w:type="dxa"/>
              <w:right w:w="108" w:type="dxa"/>
            </w:tcMar>
            <w:vAlign w:val="center"/>
          </w:tcPr>
          <w:p w14:paraId="78CC9435" w14:textId="77777777" w:rsidR="00327FF1" w:rsidRDefault="00E406C7">
            <w:pPr>
              <w:pStyle w:val="P68B1DB1-Normal121"/>
              <w:spacing w:after="0" w:line="240" w:lineRule="auto"/>
              <w:jc w:val="center"/>
              <w:rPr>
                <w:noProof/>
              </w:rPr>
            </w:pPr>
            <w:r>
              <w:rPr>
                <w:noProof/>
              </w:rPr>
              <w:t>M7–35</w:t>
            </w:r>
          </w:p>
        </w:tc>
        <w:tc>
          <w:tcPr>
            <w:tcW w:w="4209" w:type="dxa"/>
            <w:shd w:val="clear" w:color="auto" w:fill="C6EFCE"/>
            <w:tcMar>
              <w:left w:w="108" w:type="dxa"/>
              <w:right w:w="108" w:type="dxa"/>
            </w:tcMar>
            <w:vAlign w:val="center"/>
          </w:tcPr>
          <w:p w14:paraId="5B5EAC3D" w14:textId="77777777" w:rsidR="00327FF1" w:rsidRDefault="00E406C7">
            <w:pPr>
              <w:pStyle w:val="P68B1DB1-Normal121"/>
              <w:spacing w:after="0" w:line="240" w:lineRule="auto"/>
              <w:rPr>
                <w:noProof/>
              </w:rPr>
            </w:pPr>
            <w:r>
              <w:rPr>
                <w:noProof/>
              </w:rPr>
              <w:t xml:space="preserve">Investīcija Nr. </w:t>
            </w:r>
            <w:r>
              <w:rPr>
                <w:noProof/>
              </w:rPr>
              <w:t>13: Adrijas jūras līnijas 1. posms (Sulmonas kompresoru stacija un Sestino-Minerbio gāzes cauruļvads)</w:t>
            </w:r>
          </w:p>
        </w:tc>
        <w:tc>
          <w:tcPr>
            <w:tcW w:w="1110" w:type="dxa"/>
            <w:shd w:val="clear" w:color="auto" w:fill="C6EFCE"/>
            <w:tcMar>
              <w:left w:w="108" w:type="dxa"/>
              <w:right w:w="108" w:type="dxa"/>
            </w:tcMar>
            <w:vAlign w:val="center"/>
          </w:tcPr>
          <w:p w14:paraId="5A028B15" w14:textId="77777777" w:rsidR="00327FF1" w:rsidRDefault="00E406C7">
            <w:pPr>
              <w:pStyle w:val="P68B1DB1-Normal121"/>
              <w:spacing w:after="0" w:line="240" w:lineRule="auto"/>
              <w:jc w:val="center"/>
              <w:rPr>
                <w:noProof/>
              </w:rPr>
            </w:pPr>
            <w:r>
              <w:rPr>
                <w:noProof/>
              </w:rPr>
              <w:t>Atskaites punkts</w:t>
            </w:r>
          </w:p>
        </w:tc>
        <w:tc>
          <w:tcPr>
            <w:tcW w:w="2884" w:type="dxa"/>
            <w:shd w:val="clear" w:color="auto" w:fill="C6EFCE"/>
            <w:tcMar>
              <w:left w:w="108" w:type="dxa"/>
              <w:right w:w="108" w:type="dxa"/>
            </w:tcMar>
            <w:vAlign w:val="center"/>
          </w:tcPr>
          <w:p w14:paraId="2E9E8630" w14:textId="77777777" w:rsidR="00327FF1" w:rsidRDefault="00E406C7">
            <w:pPr>
              <w:pStyle w:val="P68B1DB1-Normal121"/>
              <w:spacing w:after="0" w:line="240" w:lineRule="auto"/>
              <w:rPr>
                <w:noProof/>
              </w:rPr>
            </w:pPr>
            <w:r>
              <w:rPr>
                <w:noProof/>
              </w:rPr>
              <w:t>Attiecīgo ietekmes uz vidi novērtējumu pieņemšana un atjaunināšana (VIncA)</w:t>
            </w:r>
          </w:p>
        </w:tc>
      </w:tr>
      <w:tr w:rsidR="00327FF1" w14:paraId="59C031DF" w14:textId="77777777">
        <w:trPr>
          <w:trHeight w:val="300"/>
        </w:trPr>
        <w:tc>
          <w:tcPr>
            <w:tcW w:w="1155" w:type="dxa"/>
            <w:shd w:val="clear" w:color="auto" w:fill="C6EFCE"/>
            <w:tcMar>
              <w:left w:w="108" w:type="dxa"/>
              <w:right w:w="108" w:type="dxa"/>
            </w:tcMar>
            <w:vAlign w:val="center"/>
          </w:tcPr>
          <w:p w14:paraId="05810BD6" w14:textId="77777777" w:rsidR="00327FF1" w:rsidRDefault="00E406C7">
            <w:pPr>
              <w:pStyle w:val="P68B1DB1-Normal121"/>
              <w:spacing w:after="0" w:line="240" w:lineRule="auto"/>
              <w:jc w:val="center"/>
              <w:rPr>
                <w:noProof/>
              </w:rPr>
            </w:pPr>
            <w:r>
              <w:rPr>
                <w:noProof/>
              </w:rPr>
              <w:t>M7–40</w:t>
            </w:r>
          </w:p>
        </w:tc>
        <w:tc>
          <w:tcPr>
            <w:tcW w:w="4209" w:type="dxa"/>
            <w:shd w:val="clear" w:color="auto" w:fill="C6EFCE"/>
            <w:tcMar>
              <w:left w:w="108" w:type="dxa"/>
              <w:right w:w="108" w:type="dxa"/>
            </w:tcMar>
            <w:vAlign w:val="center"/>
          </w:tcPr>
          <w:p w14:paraId="42AFB8D4" w14:textId="77777777" w:rsidR="00327FF1" w:rsidRDefault="00E406C7">
            <w:pPr>
              <w:pStyle w:val="P68B1DB1-Normal121"/>
              <w:spacing w:after="0" w:line="240" w:lineRule="auto"/>
              <w:rPr>
                <w:noProof/>
              </w:rPr>
            </w:pPr>
            <w:r>
              <w:rPr>
                <w:noProof/>
              </w:rPr>
              <w:t xml:space="preserve">Investīcija Nr. 15: Transizione 5.0 </w:t>
            </w:r>
          </w:p>
        </w:tc>
        <w:tc>
          <w:tcPr>
            <w:tcW w:w="1110" w:type="dxa"/>
            <w:shd w:val="clear" w:color="auto" w:fill="C6EFCE"/>
            <w:tcMar>
              <w:left w:w="108" w:type="dxa"/>
              <w:right w:w="108" w:type="dxa"/>
            </w:tcMar>
            <w:vAlign w:val="center"/>
          </w:tcPr>
          <w:p w14:paraId="6A527DAC" w14:textId="77777777" w:rsidR="00327FF1" w:rsidRDefault="00E406C7">
            <w:pPr>
              <w:pStyle w:val="P68B1DB1-Normal121"/>
              <w:spacing w:after="0" w:line="240" w:lineRule="auto"/>
              <w:jc w:val="center"/>
              <w:rPr>
                <w:noProof/>
              </w:rPr>
            </w:pPr>
            <w:r>
              <w:rPr>
                <w:noProof/>
              </w:rPr>
              <w:t>Atskaites punkts</w:t>
            </w:r>
          </w:p>
        </w:tc>
        <w:tc>
          <w:tcPr>
            <w:tcW w:w="2884" w:type="dxa"/>
            <w:shd w:val="clear" w:color="auto" w:fill="C6EFCE"/>
            <w:tcMar>
              <w:left w:w="108" w:type="dxa"/>
              <w:right w:w="108" w:type="dxa"/>
            </w:tcMar>
            <w:vAlign w:val="center"/>
          </w:tcPr>
          <w:p w14:paraId="79AC1575" w14:textId="77777777" w:rsidR="00327FF1" w:rsidRDefault="00E406C7">
            <w:pPr>
              <w:pStyle w:val="P68B1DB1-Normal121"/>
              <w:spacing w:after="0" w:line="240" w:lineRule="auto"/>
              <w:rPr>
                <w:noProof/>
              </w:rPr>
            </w:pPr>
            <w:r>
              <w:rPr>
                <w:noProof/>
              </w:rPr>
              <w:t>Tiesību akta, ar ko nosaka atbalsttiesīgo intervenču kritērijus, stāšanās spēkā</w:t>
            </w:r>
          </w:p>
        </w:tc>
      </w:tr>
      <w:tr w:rsidR="00327FF1" w14:paraId="3473FA60" w14:textId="77777777">
        <w:trPr>
          <w:trHeight w:val="300"/>
        </w:trPr>
        <w:tc>
          <w:tcPr>
            <w:tcW w:w="1155" w:type="dxa"/>
            <w:shd w:val="clear" w:color="auto" w:fill="C6EFCE"/>
            <w:tcMar>
              <w:left w:w="108" w:type="dxa"/>
              <w:right w:w="108" w:type="dxa"/>
            </w:tcMar>
            <w:vAlign w:val="center"/>
          </w:tcPr>
          <w:p w14:paraId="3D462854" w14:textId="77777777" w:rsidR="00327FF1" w:rsidRDefault="00E406C7">
            <w:pPr>
              <w:pStyle w:val="P68B1DB1-Normal121"/>
              <w:spacing w:after="0" w:line="240" w:lineRule="auto"/>
              <w:jc w:val="center"/>
              <w:rPr>
                <w:noProof/>
              </w:rPr>
            </w:pPr>
            <w:r>
              <w:rPr>
                <w:noProof/>
              </w:rPr>
              <w:t>M2C1–15</w:t>
            </w:r>
          </w:p>
        </w:tc>
        <w:tc>
          <w:tcPr>
            <w:tcW w:w="4209" w:type="dxa"/>
            <w:shd w:val="clear" w:color="auto" w:fill="C6EFCE"/>
            <w:tcMar>
              <w:left w:w="108" w:type="dxa"/>
              <w:right w:w="108" w:type="dxa"/>
            </w:tcMar>
            <w:vAlign w:val="center"/>
          </w:tcPr>
          <w:p w14:paraId="47860312" w14:textId="77777777" w:rsidR="00327FF1" w:rsidRDefault="00E406C7">
            <w:pPr>
              <w:pStyle w:val="P68B1DB1-Normal121"/>
              <w:spacing w:after="0" w:line="240" w:lineRule="auto"/>
              <w:rPr>
                <w:noProof/>
              </w:rPr>
            </w:pPr>
            <w:r>
              <w:rPr>
                <w:noProof/>
              </w:rPr>
              <w:t>Reforma Nr. 1.2. Valsts atkritumu apsaimniekošanas programma</w:t>
            </w:r>
          </w:p>
        </w:tc>
        <w:tc>
          <w:tcPr>
            <w:tcW w:w="1110" w:type="dxa"/>
            <w:shd w:val="clear" w:color="auto" w:fill="C6EFCE"/>
            <w:tcMar>
              <w:left w:w="108" w:type="dxa"/>
              <w:right w:w="108" w:type="dxa"/>
            </w:tcMar>
            <w:vAlign w:val="center"/>
          </w:tcPr>
          <w:p w14:paraId="7B309A3C" w14:textId="77777777" w:rsidR="00327FF1" w:rsidRDefault="00E406C7">
            <w:pPr>
              <w:pStyle w:val="P68B1DB1-Normal121"/>
              <w:spacing w:after="0" w:line="240" w:lineRule="auto"/>
              <w:jc w:val="center"/>
              <w:rPr>
                <w:noProof/>
              </w:rPr>
            </w:pPr>
            <w:r>
              <w:rPr>
                <w:noProof/>
              </w:rPr>
              <w:t>Mērķa</w:t>
            </w:r>
          </w:p>
        </w:tc>
        <w:tc>
          <w:tcPr>
            <w:tcW w:w="2884" w:type="dxa"/>
            <w:shd w:val="clear" w:color="auto" w:fill="C6EFCE"/>
            <w:tcMar>
              <w:left w:w="108" w:type="dxa"/>
              <w:right w:w="108" w:type="dxa"/>
            </w:tcMar>
            <w:vAlign w:val="center"/>
          </w:tcPr>
          <w:p w14:paraId="1299E1B1" w14:textId="77777777" w:rsidR="00327FF1" w:rsidRDefault="00E406C7">
            <w:pPr>
              <w:pStyle w:val="P68B1DB1-Normal121"/>
              <w:spacing w:after="0" w:line="240" w:lineRule="auto"/>
              <w:rPr>
                <w:noProof/>
              </w:rPr>
            </w:pPr>
            <w:r>
              <w:rPr>
                <w:noProof/>
              </w:rPr>
              <w:t xml:space="preserve">Neregulāro poligonu skaita samazināšana (T1)  </w:t>
            </w:r>
          </w:p>
        </w:tc>
      </w:tr>
      <w:tr w:rsidR="00327FF1" w14:paraId="6B601ABE" w14:textId="77777777">
        <w:trPr>
          <w:trHeight w:val="300"/>
        </w:trPr>
        <w:tc>
          <w:tcPr>
            <w:tcW w:w="1155" w:type="dxa"/>
            <w:shd w:val="clear" w:color="auto" w:fill="C6EFCE"/>
            <w:tcMar>
              <w:left w:w="108" w:type="dxa"/>
              <w:right w:w="108" w:type="dxa"/>
            </w:tcMar>
            <w:vAlign w:val="center"/>
          </w:tcPr>
          <w:p w14:paraId="6058FBC1" w14:textId="77777777" w:rsidR="00327FF1" w:rsidRDefault="00E406C7">
            <w:pPr>
              <w:pStyle w:val="P68B1DB1-Normal121"/>
              <w:spacing w:after="0" w:line="240" w:lineRule="auto"/>
              <w:jc w:val="center"/>
              <w:rPr>
                <w:noProof/>
              </w:rPr>
            </w:pPr>
            <w:r>
              <w:rPr>
                <w:noProof/>
              </w:rPr>
              <w:t>M2C1–16bis</w:t>
            </w:r>
          </w:p>
        </w:tc>
        <w:tc>
          <w:tcPr>
            <w:tcW w:w="4209" w:type="dxa"/>
            <w:shd w:val="clear" w:color="auto" w:fill="C6EFCE"/>
            <w:tcMar>
              <w:left w:w="108" w:type="dxa"/>
              <w:right w:w="108" w:type="dxa"/>
            </w:tcMar>
            <w:vAlign w:val="center"/>
          </w:tcPr>
          <w:p w14:paraId="50BF14DF" w14:textId="77777777" w:rsidR="00327FF1" w:rsidRDefault="00E406C7">
            <w:pPr>
              <w:pStyle w:val="P68B1DB1-Normal121"/>
              <w:spacing w:after="0" w:line="240" w:lineRule="auto"/>
              <w:rPr>
                <w:noProof/>
              </w:rPr>
            </w:pPr>
            <w:r>
              <w:rPr>
                <w:noProof/>
              </w:rPr>
              <w:t xml:space="preserve">Reforma Nr. 1.2. Valsts atkritumu </w:t>
            </w:r>
            <w:r>
              <w:rPr>
                <w:noProof/>
              </w:rPr>
              <w:t>apsaimniekošanas programma</w:t>
            </w:r>
          </w:p>
        </w:tc>
        <w:tc>
          <w:tcPr>
            <w:tcW w:w="1110" w:type="dxa"/>
            <w:shd w:val="clear" w:color="auto" w:fill="C6EFCE"/>
            <w:tcMar>
              <w:left w:w="108" w:type="dxa"/>
              <w:right w:w="108" w:type="dxa"/>
            </w:tcMar>
            <w:vAlign w:val="center"/>
          </w:tcPr>
          <w:p w14:paraId="4D908F38" w14:textId="77777777" w:rsidR="00327FF1" w:rsidRDefault="00E406C7">
            <w:pPr>
              <w:pStyle w:val="P68B1DB1-Normal121"/>
              <w:spacing w:after="0" w:line="240" w:lineRule="auto"/>
              <w:jc w:val="center"/>
              <w:rPr>
                <w:noProof/>
              </w:rPr>
            </w:pPr>
            <w:r>
              <w:rPr>
                <w:noProof/>
              </w:rPr>
              <w:t>Mērķa</w:t>
            </w:r>
          </w:p>
        </w:tc>
        <w:tc>
          <w:tcPr>
            <w:tcW w:w="2884" w:type="dxa"/>
            <w:shd w:val="clear" w:color="auto" w:fill="C6EFCE"/>
            <w:tcMar>
              <w:left w:w="108" w:type="dxa"/>
              <w:right w:w="108" w:type="dxa"/>
            </w:tcMar>
            <w:vAlign w:val="center"/>
          </w:tcPr>
          <w:p w14:paraId="3DD339E0" w14:textId="77777777" w:rsidR="00327FF1" w:rsidRDefault="00E406C7">
            <w:pPr>
              <w:pStyle w:val="P68B1DB1-Normal121"/>
              <w:spacing w:after="0" w:line="240" w:lineRule="auto"/>
              <w:rPr>
                <w:noProof/>
              </w:rPr>
            </w:pPr>
            <w:r>
              <w:rPr>
                <w:noProof/>
              </w:rPr>
              <w:t>Neregulāri atkritumu poligoni</w:t>
            </w:r>
          </w:p>
        </w:tc>
      </w:tr>
      <w:tr w:rsidR="00327FF1" w14:paraId="178767F5" w14:textId="77777777">
        <w:trPr>
          <w:trHeight w:val="300"/>
        </w:trPr>
        <w:tc>
          <w:tcPr>
            <w:tcW w:w="1155" w:type="dxa"/>
            <w:shd w:val="clear" w:color="auto" w:fill="C6EFCE"/>
            <w:tcMar>
              <w:left w:w="108" w:type="dxa"/>
              <w:right w:w="108" w:type="dxa"/>
            </w:tcMar>
            <w:vAlign w:val="center"/>
          </w:tcPr>
          <w:p w14:paraId="60EED917" w14:textId="77777777" w:rsidR="00327FF1" w:rsidRDefault="00E406C7">
            <w:pPr>
              <w:pStyle w:val="P68B1DB1-Normal121"/>
              <w:spacing w:after="0" w:line="240" w:lineRule="auto"/>
              <w:jc w:val="center"/>
              <w:rPr>
                <w:noProof/>
              </w:rPr>
            </w:pPr>
            <w:r>
              <w:rPr>
                <w:noProof/>
              </w:rPr>
              <w:t>M2C1–22</w:t>
            </w:r>
          </w:p>
        </w:tc>
        <w:tc>
          <w:tcPr>
            <w:tcW w:w="4209" w:type="dxa"/>
            <w:shd w:val="clear" w:color="auto" w:fill="C6EFCE"/>
            <w:tcMar>
              <w:left w:w="108" w:type="dxa"/>
              <w:right w:w="108" w:type="dxa"/>
            </w:tcMar>
            <w:vAlign w:val="center"/>
          </w:tcPr>
          <w:p w14:paraId="460B411D" w14:textId="77777777" w:rsidR="00327FF1" w:rsidRDefault="00E406C7">
            <w:pPr>
              <w:pStyle w:val="P68B1DB1-Normal121"/>
              <w:spacing w:after="0" w:line="240" w:lineRule="auto"/>
              <w:rPr>
                <w:noProof/>
              </w:rPr>
            </w:pPr>
            <w:r>
              <w:rPr>
                <w:noProof/>
              </w:rPr>
              <w:t>Investīcija 3.4: Fondo Contratti di Filiera (FCF), lai atbalstītu piegādes ķēžu līgumus lauksaimniecības pārtikas, zvejniecības un akvakultūras, mežsaimniecības, puķkopības un stādaudz</w:t>
            </w:r>
            <w:r>
              <w:rPr>
                <w:noProof/>
              </w:rPr>
              <w:t>ētavas nozarē</w:t>
            </w:r>
          </w:p>
        </w:tc>
        <w:tc>
          <w:tcPr>
            <w:tcW w:w="1110" w:type="dxa"/>
            <w:shd w:val="clear" w:color="auto" w:fill="C6EFCE"/>
            <w:tcMar>
              <w:left w:w="108" w:type="dxa"/>
              <w:right w:w="108" w:type="dxa"/>
            </w:tcMar>
            <w:vAlign w:val="center"/>
          </w:tcPr>
          <w:p w14:paraId="38CDD5BE" w14:textId="77777777" w:rsidR="00327FF1" w:rsidRDefault="00E406C7">
            <w:pPr>
              <w:pStyle w:val="P68B1DB1-Normal121"/>
              <w:spacing w:after="0" w:line="240" w:lineRule="auto"/>
              <w:jc w:val="center"/>
              <w:rPr>
                <w:noProof/>
              </w:rPr>
            </w:pPr>
            <w:r>
              <w:rPr>
                <w:noProof/>
              </w:rPr>
              <w:t>Atskaites punkts</w:t>
            </w:r>
          </w:p>
        </w:tc>
        <w:tc>
          <w:tcPr>
            <w:tcW w:w="2884" w:type="dxa"/>
            <w:shd w:val="clear" w:color="auto" w:fill="C6EFCE"/>
            <w:tcMar>
              <w:left w:w="108" w:type="dxa"/>
              <w:right w:w="108" w:type="dxa"/>
            </w:tcMar>
            <w:vAlign w:val="center"/>
          </w:tcPr>
          <w:p w14:paraId="4B8DBC8E" w14:textId="77777777" w:rsidR="00327FF1" w:rsidRDefault="00E406C7">
            <w:pPr>
              <w:pStyle w:val="P68B1DB1-Normal121"/>
              <w:spacing w:after="0" w:line="240" w:lineRule="auto"/>
              <w:rPr>
                <w:noProof/>
              </w:rPr>
            </w:pPr>
            <w:r>
              <w:rPr>
                <w:noProof/>
              </w:rPr>
              <w:t>Īstenošanas nolīgums</w:t>
            </w:r>
          </w:p>
        </w:tc>
      </w:tr>
      <w:tr w:rsidR="00327FF1" w14:paraId="02053AE6" w14:textId="77777777">
        <w:trPr>
          <w:trHeight w:val="300"/>
        </w:trPr>
        <w:tc>
          <w:tcPr>
            <w:tcW w:w="1155" w:type="dxa"/>
            <w:shd w:val="clear" w:color="auto" w:fill="C6EFCE"/>
            <w:tcMar>
              <w:left w:w="108" w:type="dxa"/>
              <w:right w:w="108" w:type="dxa"/>
            </w:tcMar>
            <w:vAlign w:val="center"/>
          </w:tcPr>
          <w:p w14:paraId="40ABE9B6" w14:textId="77777777" w:rsidR="00327FF1" w:rsidRDefault="00E406C7">
            <w:pPr>
              <w:pStyle w:val="P68B1DB1-Normal121"/>
              <w:spacing w:after="0" w:line="240" w:lineRule="auto"/>
              <w:jc w:val="center"/>
              <w:rPr>
                <w:noProof/>
              </w:rPr>
            </w:pPr>
            <w:r>
              <w:rPr>
                <w:noProof/>
              </w:rPr>
              <w:t>M2C2–31</w:t>
            </w:r>
          </w:p>
        </w:tc>
        <w:tc>
          <w:tcPr>
            <w:tcW w:w="4209" w:type="dxa"/>
            <w:shd w:val="clear" w:color="auto" w:fill="C6EFCE"/>
            <w:tcMar>
              <w:left w:w="108" w:type="dxa"/>
              <w:right w:w="108" w:type="dxa"/>
            </w:tcMar>
            <w:vAlign w:val="center"/>
          </w:tcPr>
          <w:p w14:paraId="1E31BE71" w14:textId="77777777" w:rsidR="00327FF1" w:rsidRDefault="00E406C7">
            <w:pPr>
              <w:pStyle w:val="P68B1DB1-Normal121"/>
              <w:spacing w:after="0" w:line="240" w:lineRule="auto"/>
              <w:rPr>
                <w:noProof/>
              </w:rPr>
            </w:pPr>
            <w:r>
              <w:rPr>
                <w:noProof/>
              </w:rPr>
              <w:t>Investīciju 4.4.3: Valsts ugunsdzēsēju komandas atjaunošanas flote</w:t>
            </w:r>
          </w:p>
        </w:tc>
        <w:tc>
          <w:tcPr>
            <w:tcW w:w="1110" w:type="dxa"/>
            <w:shd w:val="clear" w:color="auto" w:fill="C6EFCE"/>
            <w:tcMar>
              <w:left w:w="108" w:type="dxa"/>
              <w:right w:w="108" w:type="dxa"/>
            </w:tcMar>
            <w:vAlign w:val="center"/>
          </w:tcPr>
          <w:p w14:paraId="7563A7ED" w14:textId="77777777" w:rsidR="00327FF1" w:rsidRDefault="00E406C7">
            <w:pPr>
              <w:pStyle w:val="P68B1DB1-Normal121"/>
              <w:spacing w:after="0" w:line="240" w:lineRule="auto"/>
              <w:jc w:val="center"/>
              <w:rPr>
                <w:noProof/>
              </w:rPr>
            </w:pPr>
            <w:r>
              <w:rPr>
                <w:noProof/>
              </w:rPr>
              <w:t>Atskaites punkts</w:t>
            </w:r>
          </w:p>
        </w:tc>
        <w:tc>
          <w:tcPr>
            <w:tcW w:w="2884" w:type="dxa"/>
            <w:shd w:val="clear" w:color="auto" w:fill="C6EFCE"/>
            <w:tcMar>
              <w:left w:w="108" w:type="dxa"/>
              <w:right w:w="108" w:type="dxa"/>
            </w:tcMar>
            <w:vAlign w:val="center"/>
          </w:tcPr>
          <w:p w14:paraId="0B2E15C1" w14:textId="77777777" w:rsidR="00327FF1" w:rsidRDefault="00E406C7">
            <w:pPr>
              <w:pStyle w:val="P68B1DB1-Normal121"/>
              <w:spacing w:after="0" w:line="240" w:lineRule="auto"/>
              <w:rPr>
                <w:noProof/>
              </w:rPr>
            </w:pPr>
            <w:r>
              <w:rPr>
                <w:noProof/>
              </w:rPr>
              <w:t>Visu valsts līgumu slēgšanas tiesību piešķiršana par valsts ugunsdzēsēju komandas atjaunošanas floti</w:t>
            </w:r>
          </w:p>
        </w:tc>
      </w:tr>
      <w:tr w:rsidR="00327FF1" w14:paraId="155EC458" w14:textId="77777777">
        <w:trPr>
          <w:trHeight w:val="300"/>
        </w:trPr>
        <w:tc>
          <w:tcPr>
            <w:tcW w:w="1155" w:type="dxa"/>
            <w:shd w:val="clear" w:color="auto" w:fill="C6EFCE"/>
            <w:tcMar>
              <w:left w:w="108" w:type="dxa"/>
              <w:right w:w="108" w:type="dxa"/>
            </w:tcMar>
            <w:vAlign w:val="center"/>
          </w:tcPr>
          <w:p w14:paraId="1DB13C5C" w14:textId="77777777" w:rsidR="00327FF1" w:rsidRDefault="00E406C7">
            <w:pPr>
              <w:pStyle w:val="P68B1DB1-Normal121"/>
              <w:spacing w:after="0" w:line="240" w:lineRule="auto"/>
              <w:jc w:val="center"/>
              <w:rPr>
                <w:noProof/>
              </w:rPr>
            </w:pPr>
            <w:r>
              <w:rPr>
                <w:noProof/>
              </w:rPr>
              <w:t>M2C4–6</w:t>
            </w:r>
          </w:p>
        </w:tc>
        <w:tc>
          <w:tcPr>
            <w:tcW w:w="4209" w:type="dxa"/>
            <w:shd w:val="clear" w:color="auto" w:fill="C6EFCE"/>
            <w:tcMar>
              <w:left w:w="108" w:type="dxa"/>
              <w:right w:w="108" w:type="dxa"/>
            </w:tcMar>
            <w:vAlign w:val="center"/>
          </w:tcPr>
          <w:p w14:paraId="33654EBF" w14:textId="77777777" w:rsidR="00327FF1" w:rsidRDefault="00E406C7">
            <w:pPr>
              <w:pStyle w:val="P68B1DB1-Normal121"/>
              <w:spacing w:after="0" w:line="240" w:lineRule="auto"/>
              <w:rPr>
                <w:noProof/>
              </w:rPr>
            </w:pPr>
            <w:r>
              <w:rPr>
                <w:noProof/>
              </w:rPr>
              <w:t>“Investīcija Nr. 3.2. Nacionālo parku digitalizācija</w:t>
            </w:r>
          </w:p>
        </w:tc>
        <w:tc>
          <w:tcPr>
            <w:tcW w:w="1110" w:type="dxa"/>
            <w:shd w:val="clear" w:color="auto" w:fill="C6EFCE"/>
            <w:tcMar>
              <w:left w:w="108" w:type="dxa"/>
              <w:right w:w="108" w:type="dxa"/>
            </w:tcMar>
            <w:vAlign w:val="center"/>
          </w:tcPr>
          <w:p w14:paraId="508ABE24" w14:textId="77777777" w:rsidR="00327FF1" w:rsidRDefault="00E406C7">
            <w:pPr>
              <w:pStyle w:val="P68B1DB1-Normal121"/>
              <w:spacing w:after="0" w:line="240" w:lineRule="auto"/>
              <w:jc w:val="center"/>
              <w:rPr>
                <w:noProof/>
              </w:rPr>
            </w:pPr>
            <w:r>
              <w:rPr>
                <w:noProof/>
              </w:rPr>
              <w:t>Mērķa</w:t>
            </w:r>
          </w:p>
        </w:tc>
        <w:tc>
          <w:tcPr>
            <w:tcW w:w="2884" w:type="dxa"/>
            <w:shd w:val="clear" w:color="auto" w:fill="C6EFCE"/>
            <w:tcMar>
              <w:left w:w="108" w:type="dxa"/>
              <w:right w:w="108" w:type="dxa"/>
            </w:tcMar>
            <w:vAlign w:val="center"/>
          </w:tcPr>
          <w:p w14:paraId="75AD533A" w14:textId="77777777" w:rsidR="00327FF1" w:rsidRDefault="00E406C7">
            <w:pPr>
              <w:pStyle w:val="P68B1DB1-Normal121"/>
              <w:spacing w:after="0" w:line="240" w:lineRule="auto"/>
              <w:rPr>
                <w:noProof/>
              </w:rPr>
            </w:pPr>
            <w:r>
              <w:rPr>
                <w:noProof/>
              </w:rPr>
              <w:t xml:space="preserve">Administratīvo vienkāršošanu un digitālo pakalpojumu izstrādi nacionālo parku un aizsargājamo jūras teritoriju apmeklētājiem </w:t>
            </w:r>
          </w:p>
        </w:tc>
      </w:tr>
      <w:tr w:rsidR="00327FF1" w14:paraId="5EF0E810" w14:textId="77777777">
        <w:trPr>
          <w:trHeight w:val="300"/>
        </w:trPr>
        <w:tc>
          <w:tcPr>
            <w:tcW w:w="1155" w:type="dxa"/>
            <w:shd w:val="clear" w:color="auto" w:fill="C6EFCE"/>
            <w:tcMar>
              <w:left w:w="108" w:type="dxa"/>
              <w:right w:w="108" w:type="dxa"/>
            </w:tcMar>
            <w:vAlign w:val="center"/>
          </w:tcPr>
          <w:p w14:paraId="6F9F2993" w14:textId="77777777" w:rsidR="00327FF1" w:rsidRDefault="00E406C7">
            <w:pPr>
              <w:pStyle w:val="P68B1DB1-Normal121"/>
              <w:spacing w:after="0" w:line="240" w:lineRule="auto"/>
              <w:jc w:val="center"/>
              <w:rPr>
                <w:noProof/>
              </w:rPr>
            </w:pPr>
            <w:r>
              <w:rPr>
                <w:noProof/>
              </w:rPr>
              <w:t>M3C2–10</w:t>
            </w:r>
          </w:p>
        </w:tc>
        <w:tc>
          <w:tcPr>
            <w:tcW w:w="4209" w:type="dxa"/>
            <w:shd w:val="clear" w:color="auto" w:fill="C6EFCE"/>
            <w:tcMar>
              <w:left w:w="108" w:type="dxa"/>
              <w:right w:w="108" w:type="dxa"/>
            </w:tcMar>
            <w:vAlign w:val="center"/>
          </w:tcPr>
          <w:p w14:paraId="480AE2CA" w14:textId="77777777" w:rsidR="00327FF1" w:rsidRDefault="00E406C7">
            <w:pPr>
              <w:pStyle w:val="P68B1DB1-Normal121"/>
              <w:spacing w:after="0" w:line="240" w:lineRule="auto"/>
              <w:rPr>
                <w:noProof/>
              </w:rPr>
            </w:pPr>
            <w:r>
              <w:rPr>
                <w:noProof/>
              </w:rPr>
              <w:t xml:space="preserve">Reforma Nr. 2.2: Valsts digitālās loģistikas platformas </w:t>
            </w:r>
            <w:r>
              <w:rPr>
                <w:noProof/>
              </w:rPr>
              <w:t>izveide, lai ieviestu kravu un/vai pasažieru pārvadājumu pakalpojumu digitalizāciju</w:t>
            </w:r>
          </w:p>
        </w:tc>
        <w:tc>
          <w:tcPr>
            <w:tcW w:w="1110" w:type="dxa"/>
            <w:shd w:val="clear" w:color="auto" w:fill="C6EFCE"/>
            <w:tcMar>
              <w:left w:w="108" w:type="dxa"/>
              <w:right w:w="108" w:type="dxa"/>
            </w:tcMar>
            <w:vAlign w:val="center"/>
          </w:tcPr>
          <w:p w14:paraId="64AB38EC" w14:textId="77777777" w:rsidR="00327FF1" w:rsidRDefault="00E406C7">
            <w:pPr>
              <w:pStyle w:val="P68B1DB1-Normal121"/>
              <w:spacing w:after="0" w:line="240" w:lineRule="auto"/>
              <w:jc w:val="center"/>
              <w:rPr>
                <w:noProof/>
              </w:rPr>
            </w:pPr>
            <w:r>
              <w:rPr>
                <w:noProof/>
              </w:rPr>
              <w:t>Atskaites punkts</w:t>
            </w:r>
          </w:p>
        </w:tc>
        <w:tc>
          <w:tcPr>
            <w:tcW w:w="2884" w:type="dxa"/>
            <w:shd w:val="clear" w:color="auto" w:fill="C6EFCE"/>
            <w:tcMar>
              <w:left w:w="108" w:type="dxa"/>
              <w:right w:w="108" w:type="dxa"/>
            </w:tcMar>
            <w:vAlign w:val="center"/>
          </w:tcPr>
          <w:p w14:paraId="17B391E6" w14:textId="77777777" w:rsidR="00327FF1" w:rsidRDefault="00E406C7">
            <w:pPr>
              <w:pStyle w:val="P68B1DB1-Normal121"/>
              <w:spacing w:after="0" w:line="240" w:lineRule="auto"/>
              <w:rPr>
                <w:noProof/>
              </w:rPr>
            </w:pPr>
            <w:r>
              <w:rPr>
                <w:noProof/>
              </w:rPr>
              <w:t xml:space="preserve">Valsts digitālās loģistikas platforma </w:t>
            </w:r>
          </w:p>
        </w:tc>
      </w:tr>
      <w:tr w:rsidR="00327FF1" w14:paraId="03E5C265" w14:textId="77777777">
        <w:trPr>
          <w:trHeight w:val="300"/>
        </w:trPr>
        <w:tc>
          <w:tcPr>
            <w:tcW w:w="1155" w:type="dxa"/>
            <w:shd w:val="clear" w:color="auto" w:fill="C6EFCE"/>
            <w:tcMar>
              <w:left w:w="108" w:type="dxa"/>
              <w:right w:w="108" w:type="dxa"/>
            </w:tcMar>
            <w:vAlign w:val="center"/>
          </w:tcPr>
          <w:p w14:paraId="5B03A0E7" w14:textId="77777777" w:rsidR="00327FF1" w:rsidRDefault="00E406C7">
            <w:pPr>
              <w:pStyle w:val="P68B1DB1-Normal121"/>
              <w:spacing w:after="0" w:line="240" w:lineRule="auto"/>
              <w:jc w:val="center"/>
              <w:rPr>
                <w:noProof/>
              </w:rPr>
            </w:pPr>
            <w:r>
              <w:rPr>
                <w:noProof/>
              </w:rPr>
              <w:t>M6C2–15</w:t>
            </w:r>
          </w:p>
        </w:tc>
        <w:tc>
          <w:tcPr>
            <w:tcW w:w="4209" w:type="dxa"/>
            <w:shd w:val="clear" w:color="auto" w:fill="C6EFCE"/>
            <w:tcMar>
              <w:left w:w="108" w:type="dxa"/>
              <w:right w:w="108" w:type="dxa"/>
            </w:tcMar>
            <w:vAlign w:val="center"/>
          </w:tcPr>
          <w:p w14:paraId="354097C2" w14:textId="77777777" w:rsidR="00327FF1" w:rsidRDefault="00E406C7">
            <w:pPr>
              <w:pStyle w:val="P68B1DB1-Normal123"/>
              <w:spacing w:after="0" w:line="240" w:lineRule="auto"/>
              <w:rPr>
                <w:noProof/>
              </w:rPr>
            </w:pPr>
            <w:r>
              <w:rPr>
                <w:noProof/>
              </w:rPr>
              <w:t>Ieguldījums 2.2.: Veselības aprūpes sistēmas speciālistu tehnisko, profesionālo, digitālo un vadības prasmj</w:t>
            </w:r>
            <w:r>
              <w:rPr>
                <w:noProof/>
              </w:rPr>
              <w:t>u attīstīšana</w:t>
            </w:r>
          </w:p>
        </w:tc>
        <w:tc>
          <w:tcPr>
            <w:tcW w:w="1110" w:type="dxa"/>
            <w:shd w:val="clear" w:color="auto" w:fill="C6EFCE"/>
            <w:tcMar>
              <w:left w:w="108" w:type="dxa"/>
              <w:right w:w="108" w:type="dxa"/>
            </w:tcMar>
            <w:vAlign w:val="center"/>
          </w:tcPr>
          <w:p w14:paraId="0A0ABF27" w14:textId="77777777" w:rsidR="00327FF1" w:rsidRDefault="00E406C7">
            <w:pPr>
              <w:pStyle w:val="P68B1DB1-Normal123"/>
              <w:spacing w:after="0" w:line="240" w:lineRule="auto"/>
              <w:jc w:val="center"/>
              <w:rPr>
                <w:noProof/>
              </w:rPr>
            </w:pPr>
            <w:r>
              <w:rPr>
                <w:noProof/>
              </w:rPr>
              <w:t>Mērķa</w:t>
            </w:r>
          </w:p>
        </w:tc>
        <w:tc>
          <w:tcPr>
            <w:tcW w:w="2884" w:type="dxa"/>
            <w:shd w:val="clear" w:color="auto" w:fill="C6EFCE"/>
            <w:tcMar>
              <w:left w:w="108" w:type="dxa"/>
              <w:right w:w="108" w:type="dxa"/>
            </w:tcMar>
            <w:vAlign w:val="center"/>
          </w:tcPr>
          <w:p w14:paraId="5953EE31" w14:textId="77777777" w:rsidR="00327FF1" w:rsidRDefault="00E406C7">
            <w:pPr>
              <w:pStyle w:val="P68B1DB1-Normal123"/>
              <w:spacing w:after="0" w:line="240" w:lineRule="auto"/>
              <w:rPr>
                <w:noProof/>
              </w:rPr>
            </w:pPr>
            <w:r>
              <w:rPr>
                <w:noProof/>
              </w:rPr>
              <w:t>Tiek piešķirtas papildu stipendijas par īpašu apmācību vispārējās medicīnas praksē.</w:t>
            </w:r>
          </w:p>
        </w:tc>
      </w:tr>
      <w:tr w:rsidR="00327FF1" w14:paraId="2C27F0E6" w14:textId="77777777">
        <w:trPr>
          <w:trHeight w:val="300"/>
        </w:trPr>
        <w:tc>
          <w:tcPr>
            <w:tcW w:w="1155" w:type="dxa"/>
            <w:shd w:val="clear" w:color="auto" w:fill="C6EFCE"/>
            <w:tcMar>
              <w:left w:w="108" w:type="dxa"/>
              <w:right w:w="108" w:type="dxa"/>
            </w:tcMar>
            <w:vAlign w:val="center"/>
          </w:tcPr>
          <w:p w14:paraId="205F4215" w14:textId="77777777" w:rsidR="00327FF1" w:rsidRDefault="00E406C7">
            <w:pPr>
              <w:pStyle w:val="P68B1DB1-Normal121"/>
              <w:spacing w:after="0" w:line="240" w:lineRule="auto"/>
              <w:jc w:val="center"/>
              <w:rPr>
                <w:noProof/>
              </w:rPr>
            </w:pPr>
            <w:r>
              <w:rPr>
                <w:noProof/>
              </w:rPr>
              <w:t>M7–36</w:t>
            </w:r>
          </w:p>
        </w:tc>
        <w:tc>
          <w:tcPr>
            <w:tcW w:w="4209" w:type="dxa"/>
            <w:shd w:val="clear" w:color="auto" w:fill="C6EFCE"/>
            <w:tcMar>
              <w:left w:w="108" w:type="dxa"/>
              <w:right w:w="108" w:type="dxa"/>
            </w:tcMar>
            <w:vAlign w:val="center"/>
          </w:tcPr>
          <w:p w14:paraId="0176EB9C" w14:textId="77777777" w:rsidR="00327FF1" w:rsidRDefault="00E406C7">
            <w:pPr>
              <w:pStyle w:val="P68B1DB1-Normal121"/>
              <w:spacing w:after="0" w:line="240" w:lineRule="auto"/>
              <w:rPr>
                <w:noProof/>
              </w:rPr>
            </w:pPr>
            <w:r>
              <w:rPr>
                <w:noProof/>
              </w:rPr>
              <w:t>Investīcija Nr. 13: Adrijas jūras līnijas 1. posms (Sulmonas kompresoru stacija un Sestino-Minerbio gāzes cauruļvads)</w:t>
            </w:r>
          </w:p>
        </w:tc>
        <w:tc>
          <w:tcPr>
            <w:tcW w:w="1110" w:type="dxa"/>
            <w:shd w:val="clear" w:color="auto" w:fill="C6EFCE"/>
            <w:tcMar>
              <w:left w:w="108" w:type="dxa"/>
              <w:right w:w="108" w:type="dxa"/>
            </w:tcMar>
            <w:vAlign w:val="center"/>
          </w:tcPr>
          <w:p w14:paraId="4A397A31" w14:textId="77777777" w:rsidR="00327FF1" w:rsidRDefault="00E406C7">
            <w:pPr>
              <w:pStyle w:val="P68B1DB1-Normal121"/>
              <w:spacing w:after="0" w:line="240" w:lineRule="auto"/>
              <w:jc w:val="center"/>
              <w:rPr>
                <w:noProof/>
              </w:rPr>
            </w:pPr>
            <w:r>
              <w:rPr>
                <w:noProof/>
              </w:rPr>
              <w:t>Atskaites punkts</w:t>
            </w:r>
          </w:p>
        </w:tc>
        <w:tc>
          <w:tcPr>
            <w:tcW w:w="2884" w:type="dxa"/>
            <w:shd w:val="clear" w:color="auto" w:fill="C6EFCE"/>
            <w:tcMar>
              <w:left w:w="108" w:type="dxa"/>
              <w:right w:w="108" w:type="dxa"/>
            </w:tcMar>
            <w:vAlign w:val="center"/>
          </w:tcPr>
          <w:p w14:paraId="1A117E53" w14:textId="77777777" w:rsidR="00327FF1" w:rsidRDefault="00E406C7">
            <w:pPr>
              <w:pStyle w:val="P68B1DB1-Normal121"/>
              <w:spacing w:after="0" w:line="240" w:lineRule="auto"/>
              <w:rPr>
                <w:noProof/>
              </w:rPr>
            </w:pPr>
            <w:r>
              <w:rPr>
                <w:noProof/>
              </w:rPr>
              <w:t xml:space="preserve">Līgumu </w:t>
            </w:r>
            <w:r>
              <w:rPr>
                <w:noProof/>
              </w:rPr>
              <w:t>piešķiršana</w:t>
            </w:r>
          </w:p>
        </w:tc>
      </w:tr>
      <w:tr w:rsidR="00327FF1" w14:paraId="290ED4FB" w14:textId="77777777">
        <w:trPr>
          <w:trHeight w:val="300"/>
        </w:trPr>
        <w:tc>
          <w:tcPr>
            <w:tcW w:w="1155" w:type="dxa"/>
            <w:shd w:val="clear" w:color="auto" w:fill="C6EFCE"/>
            <w:tcMar>
              <w:left w:w="108" w:type="dxa"/>
              <w:right w:w="108" w:type="dxa"/>
            </w:tcMar>
            <w:vAlign w:val="center"/>
          </w:tcPr>
          <w:p w14:paraId="13516A9E" w14:textId="77777777" w:rsidR="00327FF1" w:rsidRDefault="00E406C7">
            <w:pPr>
              <w:pStyle w:val="P68B1DB1-Normal121"/>
              <w:spacing w:after="0" w:line="240" w:lineRule="auto"/>
              <w:jc w:val="center"/>
              <w:rPr>
                <w:noProof/>
              </w:rPr>
            </w:pPr>
            <w:r>
              <w:rPr>
                <w:noProof/>
              </w:rPr>
              <w:t>M7–38</w:t>
            </w:r>
          </w:p>
        </w:tc>
        <w:tc>
          <w:tcPr>
            <w:tcW w:w="4209" w:type="dxa"/>
            <w:shd w:val="clear" w:color="auto" w:fill="C6EFCE"/>
            <w:tcMar>
              <w:left w:w="108" w:type="dxa"/>
              <w:right w:w="108" w:type="dxa"/>
            </w:tcMar>
            <w:vAlign w:val="center"/>
          </w:tcPr>
          <w:p w14:paraId="3573F8AE" w14:textId="77777777" w:rsidR="00327FF1" w:rsidRDefault="00E406C7">
            <w:pPr>
              <w:pStyle w:val="P68B1DB1-Normal121"/>
              <w:spacing w:after="0" w:line="240" w:lineRule="auto"/>
              <w:rPr>
                <w:noProof/>
              </w:rPr>
            </w:pPr>
            <w:r>
              <w:rPr>
                <w:noProof/>
              </w:rPr>
              <w:t>Investīcija Nr. 14: Pārrobežu gāzes eksporta infrastruktūra</w:t>
            </w:r>
          </w:p>
        </w:tc>
        <w:tc>
          <w:tcPr>
            <w:tcW w:w="1110" w:type="dxa"/>
            <w:shd w:val="clear" w:color="auto" w:fill="C6EFCE"/>
            <w:tcMar>
              <w:left w:w="108" w:type="dxa"/>
              <w:right w:w="108" w:type="dxa"/>
            </w:tcMar>
            <w:vAlign w:val="center"/>
          </w:tcPr>
          <w:p w14:paraId="3D17F76A" w14:textId="77777777" w:rsidR="00327FF1" w:rsidRDefault="00E406C7">
            <w:pPr>
              <w:pStyle w:val="P68B1DB1-Normal121"/>
              <w:spacing w:after="0" w:line="240" w:lineRule="auto"/>
              <w:jc w:val="center"/>
              <w:rPr>
                <w:noProof/>
              </w:rPr>
            </w:pPr>
            <w:r>
              <w:rPr>
                <w:noProof/>
              </w:rPr>
              <w:t>Atskaites punkts</w:t>
            </w:r>
          </w:p>
        </w:tc>
        <w:tc>
          <w:tcPr>
            <w:tcW w:w="2884" w:type="dxa"/>
            <w:shd w:val="clear" w:color="auto" w:fill="C6EFCE"/>
            <w:tcMar>
              <w:left w:w="108" w:type="dxa"/>
              <w:right w:w="108" w:type="dxa"/>
            </w:tcMar>
            <w:vAlign w:val="center"/>
          </w:tcPr>
          <w:p w14:paraId="5B7B6CEE" w14:textId="77777777" w:rsidR="00327FF1" w:rsidRDefault="00E406C7">
            <w:pPr>
              <w:pStyle w:val="P68B1DB1-Normal121"/>
              <w:spacing w:after="0" w:line="240" w:lineRule="auto"/>
              <w:rPr>
                <w:noProof/>
              </w:rPr>
            </w:pPr>
            <w:r>
              <w:rPr>
                <w:noProof/>
              </w:rPr>
              <w:t>Līgumu piešķiršana</w:t>
            </w:r>
          </w:p>
        </w:tc>
      </w:tr>
      <w:tr w:rsidR="00327FF1" w14:paraId="04D2AA79" w14:textId="77777777">
        <w:trPr>
          <w:trHeight w:val="300"/>
        </w:trPr>
        <w:tc>
          <w:tcPr>
            <w:tcW w:w="1155" w:type="dxa"/>
            <w:shd w:val="clear" w:color="auto" w:fill="C6EFCE"/>
            <w:tcMar>
              <w:left w:w="108" w:type="dxa"/>
              <w:right w:w="108" w:type="dxa"/>
            </w:tcMar>
            <w:vAlign w:val="center"/>
          </w:tcPr>
          <w:p w14:paraId="390D77F4" w14:textId="77777777" w:rsidR="00327FF1" w:rsidRDefault="00327FF1">
            <w:pPr>
              <w:spacing w:after="0" w:line="240" w:lineRule="auto"/>
              <w:jc w:val="center"/>
              <w:rPr>
                <w:rFonts w:ascii="Times New Roman" w:eastAsia="Times New Roman" w:hAnsi="Times New Roman" w:cs="Times New Roman"/>
                <w:noProof/>
              </w:rPr>
            </w:pPr>
          </w:p>
        </w:tc>
        <w:tc>
          <w:tcPr>
            <w:tcW w:w="4209" w:type="dxa"/>
            <w:shd w:val="clear" w:color="auto" w:fill="C6EFCE"/>
            <w:tcMar>
              <w:left w:w="108" w:type="dxa"/>
              <w:right w:w="108" w:type="dxa"/>
            </w:tcMar>
            <w:vAlign w:val="center"/>
          </w:tcPr>
          <w:p w14:paraId="54BF8C27" w14:textId="77777777" w:rsidR="00327FF1" w:rsidRDefault="00E406C7">
            <w:pPr>
              <w:pStyle w:val="P68B1DB1-Normal121"/>
              <w:spacing w:after="0" w:line="240" w:lineRule="auto"/>
              <w:rPr>
                <w:noProof/>
              </w:rPr>
            </w:pPr>
            <w:r>
              <w:rPr>
                <w:noProof/>
              </w:rPr>
              <w:t xml:space="preserve"> </w:t>
            </w:r>
          </w:p>
        </w:tc>
        <w:tc>
          <w:tcPr>
            <w:tcW w:w="1110" w:type="dxa"/>
            <w:shd w:val="clear" w:color="auto" w:fill="C6EFCE"/>
            <w:tcMar>
              <w:left w:w="108" w:type="dxa"/>
              <w:right w:w="108" w:type="dxa"/>
            </w:tcMar>
            <w:vAlign w:val="center"/>
          </w:tcPr>
          <w:p w14:paraId="53709D11" w14:textId="77777777" w:rsidR="00327FF1" w:rsidRDefault="00E406C7">
            <w:pPr>
              <w:pStyle w:val="P68B1DB1-Normal121"/>
              <w:spacing w:after="0" w:line="240" w:lineRule="auto"/>
              <w:jc w:val="center"/>
              <w:rPr>
                <w:noProof/>
              </w:rPr>
            </w:pPr>
            <w:r>
              <w:rPr>
                <w:noProof/>
              </w:rPr>
              <w:t>Maksājuma summa</w:t>
            </w:r>
          </w:p>
        </w:tc>
        <w:tc>
          <w:tcPr>
            <w:tcW w:w="2884" w:type="dxa"/>
            <w:shd w:val="clear" w:color="auto" w:fill="C6EFCE"/>
            <w:tcMar>
              <w:left w:w="108" w:type="dxa"/>
              <w:right w:w="108" w:type="dxa"/>
            </w:tcMar>
            <w:vAlign w:val="center"/>
          </w:tcPr>
          <w:p w14:paraId="22467A68"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7908481227</w:t>
            </w:r>
            <w:r>
              <w:rPr>
                <w:noProof/>
                <w:sz w:val="23"/>
                <w:szCs w:val="23"/>
              </w:rPr>
              <w:t xml:space="preserve"> </w:t>
            </w:r>
          </w:p>
        </w:tc>
      </w:tr>
    </w:tbl>
    <w:p w14:paraId="20E28A66" w14:textId="77777777" w:rsidR="00327FF1" w:rsidRDefault="00327FF1">
      <w:pPr>
        <w:spacing w:after="0"/>
        <w:ind w:left="850"/>
        <w:contextualSpacing/>
        <w:jc w:val="both"/>
        <w:rPr>
          <w:rFonts w:ascii="Times New Roman" w:eastAsia="Times New Roman" w:hAnsi="Times New Roman" w:cs="Times New Roman"/>
          <w:noProof/>
        </w:rPr>
      </w:pPr>
    </w:p>
    <w:p w14:paraId="2DE42580" w14:textId="77777777" w:rsidR="00327FF1" w:rsidRDefault="00E406C7">
      <w:pPr>
        <w:pStyle w:val="P68B1DB1-Heading34"/>
        <w:numPr>
          <w:ilvl w:val="1"/>
          <w:numId w:val="179"/>
        </w:numPr>
        <w:tabs>
          <w:tab w:val="clear" w:pos="850"/>
          <w:tab w:val="num" w:pos="1440"/>
        </w:tabs>
        <w:ind w:left="1440" w:hanging="360"/>
        <w:rPr>
          <w:noProof/>
        </w:rPr>
      </w:pPr>
      <w:r>
        <w:rPr>
          <w:noProof/>
        </w:rPr>
        <w:t>Septītā daļa (aizdevuma atbalsts):</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3628"/>
        <w:gridCol w:w="1110"/>
        <w:gridCol w:w="3480"/>
      </w:tblGrid>
      <w:tr w:rsidR="00327FF1" w14:paraId="758E6735" w14:textId="77777777">
        <w:trPr>
          <w:trHeight w:val="900"/>
          <w:tblHeader/>
        </w:trPr>
        <w:tc>
          <w:tcPr>
            <w:tcW w:w="1140" w:type="dxa"/>
            <w:vMerge w:val="restart"/>
            <w:shd w:val="clear" w:color="auto" w:fill="BDD7EE"/>
            <w:tcMar>
              <w:left w:w="108" w:type="dxa"/>
              <w:right w:w="108" w:type="dxa"/>
            </w:tcMar>
            <w:vAlign w:val="center"/>
          </w:tcPr>
          <w:p w14:paraId="247F6D0E" w14:textId="77777777" w:rsidR="00327FF1" w:rsidRDefault="00E406C7">
            <w:pPr>
              <w:pStyle w:val="P68B1DB1-Normal120"/>
              <w:spacing w:after="0" w:line="240" w:lineRule="auto"/>
              <w:jc w:val="center"/>
              <w:rPr>
                <w:noProof/>
              </w:rPr>
            </w:pPr>
            <w:r>
              <w:rPr>
                <w:noProof/>
              </w:rPr>
              <w:t>Kārtas numurs</w:t>
            </w:r>
          </w:p>
        </w:tc>
        <w:tc>
          <w:tcPr>
            <w:tcW w:w="3628" w:type="dxa"/>
            <w:vMerge w:val="restart"/>
            <w:shd w:val="clear" w:color="auto" w:fill="BDD7EE"/>
            <w:tcMar>
              <w:left w:w="108" w:type="dxa"/>
              <w:right w:w="108" w:type="dxa"/>
            </w:tcMar>
            <w:vAlign w:val="center"/>
          </w:tcPr>
          <w:p w14:paraId="4787657D" w14:textId="77777777" w:rsidR="00327FF1" w:rsidRDefault="00E406C7">
            <w:pPr>
              <w:pStyle w:val="P68B1DB1-Normal120"/>
              <w:spacing w:after="0" w:line="240" w:lineRule="auto"/>
              <w:jc w:val="center"/>
              <w:rPr>
                <w:noProof/>
              </w:rPr>
            </w:pPr>
            <w:r>
              <w:rPr>
                <w:noProof/>
              </w:rPr>
              <w:t>Saistītais pasākums (reforma vai ieguldījums)</w:t>
            </w:r>
          </w:p>
        </w:tc>
        <w:tc>
          <w:tcPr>
            <w:tcW w:w="1110" w:type="dxa"/>
            <w:vMerge w:val="restart"/>
            <w:shd w:val="clear" w:color="auto" w:fill="BDD7EE"/>
            <w:tcMar>
              <w:left w:w="108" w:type="dxa"/>
              <w:right w:w="108" w:type="dxa"/>
            </w:tcMar>
            <w:vAlign w:val="center"/>
          </w:tcPr>
          <w:p w14:paraId="304D371D" w14:textId="77777777" w:rsidR="00327FF1" w:rsidRDefault="00E406C7">
            <w:pPr>
              <w:pStyle w:val="P68B1DB1-Normal120"/>
              <w:spacing w:after="0" w:line="240" w:lineRule="auto"/>
              <w:jc w:val="center"/>
              <w:rPr>
                <w:noProof/>
              </w:rPr>
            </w:pPr>
            <w:r>
              <w:rPr>
                <w:noProof/>
              </w:rPr>
              <w:t>Atskaites punkts/mērķrādītājs</w:t>
            </w:r>
          </w:p>
        </w:tc>
        <w:tc>
          <w:tcPr>
            <w:tcW w:w="3480" w:type="dxa"/>
            <w:vMerge w:val="restart"/>
            <w:shd w:val="clear" w:color="auto" w:fill="BDD7EE"/>
            <w:tcMar>
              <w:left w:w="108" w:type="dxa"/>
              <w:right w:w="108" w:type="dxa"/>
            </w:tcMar>
            <w:vAlign w:val="center"/>
          </w:tcPr>
          <w:p w14:paraId="1D48310C" w14:textId="77777777" w:rsidR="00327FF1" w:rsidRDefault="00E406C7">
            <w:pPr>
              <w:pStyle w:val="P68B1DB1-Normal120"/>
              <w:spacing w:after="0" w:line="240" w:lineRule="auto"/>
              <w:jc w:val="center"/>
              <w:rPr>
                <w:noProof/>
              </w:rPr>
            </w:pPr>
            <w:r>
              <w:rPr>
                <w:noProof/>
              </w:rPr>
              <w:t>Nosaukums</w:t>
            </w:r>
          </w:p>
        </w:tc>
      </w:tr>
      <w:tr w:rsidR="00327FF1" w14:paraId="4375487C" w14:textId="77777777">
        <w:trPr>
          <w:trHeight w:val="510"/>
        </w:trPr>
        <w:tc>
          <w:tcPr>
            <w:tcW w:w="1140" w:type="dxa"/>
            <w:vMerge/>
            <w:vAlign w:val="center"/>
          </w:tcPr>
          <w:p w14:paraId="731A51E3" w14:textId="77777777" w:rsidR="00327FF1" w:rsidRDefault="00327FF1">
            <w:pPr>
              <w:spacing w:after="0" w:line="240" w:lineRule="auto"/>
              <w:jc w:val="center"/>
              <w:rPr>
                <w:rFonts w:ascii="Times New Roman" w:eastAsia="Times New Roman" w:hAnsi="Times New Roman" w:cs="Times New Roman"/>
                <w:noProof/>
              </w:rPr>
            </w:pPr>
          </w:p>
        </w:tc>
        <w:tc>
          <w:tcPr>
            <w:tcW w:w="3628" w:type="dxa"/>
            <w:vMerge/>
            <w:vAlign w:val="center"/>
          </w:tcPr>
          <w:p w14:paraId="53C4788F" w14:textId="77777777" w:rsidR="00327FF1" w:rsidRDefault="00327FF1">
            <w:pPr>
              <w:spacing w:after="0" w:line="240" w:lineRule="auto"/>
              <w:rPr>
                <w:rFonts w:ascii="Times New Roman" w:eastAsia="Times New Roman" w:hAnsi="Times New Roman" w:cs="Times New Roman"/>
                <w:noProof/>
              </w:rPr>
            </w:pPr>
          </w:p>
        </w:tc>
        <w:tc>
          <w:tcPr>
            <w:tcW w:w="1110" w:type="dxa"/>
            <w:vMerge/>
            <w:vAlign w:val="center"/>
          </w:tcPr>
          <w:p w14:paraId="3351F2F9" w14:textId="77777777" w:rsidR="00327FF1" w:rsidRDefault="00327FF1">
            <w:pPr>
              <w:spacing w:after="0" w:line="240" w:lineRule="auto"/>
              <w:jc w:val="center"/>
              <w:rPr>
                <w:rFonts w:ascii="Times New Roman" w:eastAsia="Times New Roman" w:hAnsi="Times New Roman" w:cs="Times New Roman"/>
                <w:noProof/>
              </w:rPr>
            </w:pPr>
          </w:p>
        </w:tc>
        <w:tc>
          <w:tcPr>
            <w:tcW w:w="3480" w:type="dxa"/>
            <w:vMerge/>
            <w:vAlign w:val="center"/>
          </w:tcPr>
          <w:p w14:paraId="69E2F8F2" w14:textId="77777777" w:rsidR="00327FF1" w:rsidRDefault="00327FF1">
            <w:pPr>
              <w:spacing w:after="0" w:line="240" w:lineRule="auto"/>
              <w:rPr>
                <w:rFonts w:ascii="Times New Roman" w:eastAsia="Times New Roman" w:hAnsi="Times New Roman" w:cs="Times New Roman"/>
                <w:noProof/>
              </w:rPr>
            </w:pPr>
          </w:p>
        </w:tc>
      </w:tr>
      <w:tr w:rsidR="00327FF1" w14:paraId="2263CB4B" w14:textId="77777777">
        <w:trPr>
          <w:trHeight w:val="300"/>
        </w:trPr>
        <w:tc>
          <w:tcPr>
            <w:tcW w:w="1140" w:type="dxa"/>
            <w:shd w:val="clear" w:color="auto" w:fill="C6EFCE"/>
            <w:tcMar>
              <w:left w:w="108" w:type="dxa"/>
              <w:right w:w="108" w:type="dxa"/>
            </w:tcMar>
            <w:vAlign w:val="center"/>
          </w:tcPr>
          <w:p w14:paraId="056A9E75" w14:textId="77777777" w:rsidR="00327FF1" w:rsidRDefault="00E406C7">
            <w:pPr>
              <w:pStyle w:val="P68B1DB1-Normal121"/>
              <w:spacing w:after="0" w:line="240" w:lineRule="auto"/>
              <w:jc w:val="center"/>
              <w:rPr>
                <w:noProof/>
              </w:rPr>
            </w:pPr>
            <w:r>
              <w:rPr>
                <w:noProof/>
              </w:rPr>
              <w:t>M1C1–139</w:t>
            </w:r>
          </w:p>
        </w:tc>
        <w:tc>
          <w:tcPr>
            <w:tcW w:w="3628" w:type="dxa"/>
            <w:shd w:val="clear" w:color="auto" w:fill="C6EFCE"/>
            <w:tcMar>
              <w:left w:w="108" w:type="dxa"/>
              <w:right w:w="108" w:type="dxa"/>
            </w:tcMar>
            <w:vAlign w:val="center"/>
          </w:tcPr>
          <w:p w14:paraId="664DA713" w14:textId="77777777" w:rsidR="00327FF1" w:rsidRDefault="00E406C7">
            <w:pPr>
              <w:pStyle w:val="P68B1DB1-Normal121"/>
              <w:spacing w:after="0" w:line="240" w:lineRule="auto"/>
              <w:rPr>
                <w:noProof/>
              </w:rPr>
            </w:pPr>
            <w:r>
              <w:rPr>
                <w:noProof/>
              </w:rPr>
              <w:t>Investīcija 1.2. — Mākoņdatošanas veicināšana vietējai PN</w:t>
            </w:r>
          </w:p>
        </w:tc>
        <w:tc>
          <w:tcPr>
            <w:tcW w:w="1110" w:type="dxa"/>
            <w:shd w:val="clear" w:color="auto" w:fill="C6EFCE"/>
            <w:tcMar>
              <w:left w:w="108" w:type="dxa"/>
              <w:right w:w="108" w:type="dxa"/>
            </w:tcMar>
            <w:vAlign w:val="center"/>
          </w:tcPr>
          <w:p w14:paraId="4C0F6310"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05582A84" w14:textId="77777777" w:rsidR="00327FF1" w:rsidRDefault="00E406C7">
            <w:pPr>
              <w:pStyle w:val="P68B1DB1-Normal121"/>
              <w:spacing w:after="0" w:line="240" w:lineRule="auto"/>
              <w:rPr>
                <w:noProof/>
              </w:rPr>
            </w:pPr>
            <w:r>
              <w:rPr>
                <w:noProof/>
              </w:rPr>
              <w:t>Mākoņdatošanas iespējošana vietējai valsts pārvaldei T1</w:t>
            </w:r>
          </w:p>
        </w:tc>
      </w:tr>
      <w:tr w:rsidR="00327FF1" w14:paraId="73797587" w14:textId="77777777">
        <w:trPr>
          <w:trHeight w:val="300"/>
        </w:trPr>
        <w:tc>
          <w:tcPr>
            <w:tcW w:w="1140" w:type="dxa"/>
            <w:shd w:val="clear" w:color="auto" w:fill="C6EFCE"/>
            <w:tcMar>
              <w:left w:w="108" w:type="dxa"/>
              <w:right w:w="108" w:type="dxa"/>
            </w:tcMar>
            <w:vAlign w:val="center"/>
          </w:tcPr>
          <w:p w14:paraId="697ABEB5" w14:textId="77777777" w:rsidR="00327FF1" w:rsidRDefault="00E406C7">
            <w:pPr>
              <w:pStyle w:val="P68B1DB1-Normal121"/>
              <w:spacing w:after="0" w:line="240" w:lineRule="auto"/>
              <w:jc w:val="center"/>
              <w:rPr>
                <w:noProof/>
              </w:rPr>
            </w:pPr>
            <w:r>
              <w:rPr>
                <w:noProof/>
              </w:rPr>
              <w:t>M2C2–25</w:t>
            </w:r>
          </w:p>
        </w:tc>
        <w:tc>
          <w:tcPr>
            <w:tcW w:w="3628" w:type="dxa"/>
            <w:shd w:val="clear" w:color="auto" w:fill="C6EFCE"/>
            <w:tcMar>
              <w:left w:w="108" w:type="dxa"/>
              <w:right w:w="108" w:type="dxa"/>
            </w:tcMar>
            <w:vAlign w:val="center"/>
          </w:tcPr>
          <w:p w14:paraId="24F30404" w14:textId="77777777" w:rsidR="00327FF1" w:rsidRDefault="00E406C7">
            <w:pPr>
              <w:pStyle w:val="P68B1DB1-Normal121"/>
              <w:spacing w:after="0" w:line="240" w:lineRule="auto"/>
              <w:rPr>
                <w:noProof/>
              </w:rPr>
            </w:pPr>
            <w:r>
              <w:rPr>
                <w:noProof/>
              </w:rPr>
              <w:t xml:space="preserve">Investīcija 4.2. Ātrā masu transporta sistēmu attīstība </w:t>
            </w:r>
          </w:p>
        </w:tc>
        <w:tc>
          <w:tcPr>
            <w:tcW w:w="1110" w:type="dxa"/>
            <w:shd w:val="clear" w:color="auto" w:fill="C6EFCE"/>
            <w:tcMar>
              <w:left w:w="108" w:type="dxa"/>
              <w:right w:w="108" w:type="dxa"/>
            </w:tcMar>
            <w:vAlign w:val="center"/>
          </w:tcPr>
          <w:p w14:paraId="19EDD443" w14:textId="77777777" w:rsidR="00327FF1" w:rsidRDefault="00E406C7">
            <w:pPr>
              <w:pStyle w:val="P68B1DB1-Normal121"/>
              <w:spacing w:after="0" w:line="240" w:lineRule="auto"/>
              <w:jc w:val="center"/>
              <w:rPr>
                <w:noProof/>
              </w:rPr>
            </w:pPr>
            <w:r>
              <w:rPr>
                <w:noProof/>
              </w:rPr>
              <w:t xml:space="preserve">Atskaites </w:t>
            </w:r>
            <w:r>
              <w:rPr>
                <w:noProof/>
              </w:rPr>
              <w:t>punkts</w:t>
            </w:r>
          </w:p>
        </w:tc>
        <w:tc>
          <w:tcPr>
            <w:tcW w:w="3480" w:type="dxa"/>
            <w:shd w:val="clear" w:color="auto" w:fill="C6EFCE"/>
            <w:tcMar>
              <w:left w:w="108" w:type="dxa"/>
              <w:right w:w="108" w:type="dxa"/>
            </w:tcMar>
            <w:vAlign w:val="center"/>
          </w:tcPr>
          <w:p w14:paraId="53F4DAC4" w14:textId="77777777" w:rsidR="00327FF1" w:rsidRDefault="00E406C7">
            <w:pPr>
              <w:pStyle w:val="P68B1DB1-Normal122"/>
              <w:spacing w:after="0" w:line="240" w:lineRule="auto"/>
              <w:rPr>
                <w:noProof/>
              </w:rPr>
            </w:pPr>
            <w:r>
              <w:rPr>
                <w:noProof/>
                <w:color w:val="006100"/>
              </w:rPr>
              <w:t>Visu publisko līgumu slēgšanas tiesību piešķiršana bezemisiju ritošā sastāva iegādei un intervences ātrās masas transporta sistēmu infrastruktūras modernizācijai</w:t>
            </w:r>
          </w:p>
        </w:tc>
      </w:tr>
      <w:tr w:rsidR="00327FF1" w14:paraId="1A5F5993" w14:textId="77777777">
        <w:trPr>
          <w:trHeight w:val="300"/>
        </w:trPr>
        <w:tc>
          <w:tcPr>
            <w:tcW w:w="1140" w:type="dxa"/>
            <w:shd w:val="clear" w:color="auto" w:fill="C6EFCE"/>
            <w:tcMar>
              <w:left w:w="108" w:type="dxa"/>
              <w:right w:w="108" w:type="dxa"/>
            </w:tcMar>
            <w:vAlign w:val="center"/>
          </w:tcPr>
          <w:p w14:paraId="159EC491" w14:textId="77777777" w:rsidR="00327FF1" w:rsidRDefault="00E406C7">
            <w:pPr>
              <w:pStyle w:val="P68B1DB1-Normal121"/>
              <w:spacing w:after="0" w:line="240" w:lineRule="auto"/>
              <w:jc w:val="center"/>
              <w:rPr>
                <w:noProof/>
              </w:rPr>
            </w:pPr>
            <w:r>
              <w:rPr>
                <w:noProof/>
              </w:rPr>
              <w:t>M2C4–11</w:t>
            </w:r>
          </w:p>
        </w:tc>
        <w:tc>
          <w:tcPr>
            <w:tcW w:w="3628" w:type="dxa"/>
            <w:shd w:val="clear" w:color="auto" w:fill="C6EFCE"/>
            <w:tcMar>
              <w:left w:w="108" w:type="dxa"/>
              <w:right w:w="108" w:type="dxa"/>
            </w:tcMar>
            <w:vAlign w:val="center"/>
          </w:tcPr>
          <w:p w14:paraId="06E7A05B" w14:textId="77777777" w:rsidR="00327FF1" w:rsidRDefault="00E406C7">
            <w:pPr>
              <w:pStyle w:val="P68B1DB1-Normal121"/>
              <w:spacing w:after="0" w:line="240" w:lineRule="auto"/>
              <w:rPr>
                <w:noProof/>
              </w:rPr>
            </w:pPr>
            <w:r>
              <w:rPr>
                <w:noProof/>
              </w:rPr>
              <w:t>Investīcija 2.1.a. Pasākumi plūdu un hidroģeoloģiskā riska mazināšanai — inter</w:t>
            </w:r>
            <w:r>
              <w:rPr>
                <w:noProof/>
              </w:rPr>
              <w:t>vences pasākumi Emīlijā-Romanjā, Toskānā un Markē</w:t>
            </w:r>
          </w:p>
        </w:tc>
        <w:tc>
          <w:tcPr>
            <w:tcW w:w="1110" w:type="dxa"/>
            <w:shd w:val="clear" w:color="auto" w:fill="C6EFCE"/>
            <w:tcMar>
              <w:left w:w="108" w:type="dxa"/>
              <w:right w:w="108" w:type="dxa"/>
            </w:tcMar>
            <w:vAlign w:val="center"/>
          </w:tcPr>
          <w:p w14:paraId="7EFF86F1" w14:textId="77777777" w:rsidR="00327FF1" w:rsidRDefault="00E406C7">
            <w:pPr>
              <w:pStyle w:val="P68B1DB1-Normal121"/>
              <w:spacing w:after="0" w:line="240" w:lineRule="auto"/>
              <w:jc w:val="center"/>
              <w:rPr>
                <w:noProof/>
              </w:rPr>
            </w:pPr>
            <w:r>
              <w:rPr>
                <w:noProof/>
              </w:rPr>
              <w:t>Atskaites punkts</w:t>
            </w:r>
          </w:p>
        </w:tc>
        <w:tc>
          <w:tcPr>
            <w:tcW w:w="3480" w:type="dxa"/>
            <w:shd w:val="clear" w:color="auto" w:fill="C6EFCE"/>
            <w:tcMar>
              <w:left w:w="108" w:type="dxa"/>
              <w:right w:w="108" w:type="dxa"/>
            </w:tcMar>
            <w:vAlign w:val="center"/>
          </w:tcPr>
          <w:p w14:paraId="2BE8BB1F" w14:textId="77777777" w:rsidR="00327FF1" w:rsidRDefault="00E406C7">
            <w:pPr>
              <w:pStyle w:val="P68B1DB1-Normal121"/>
              <w:spacing w:after="0" w:line="240" w:lineRule="auto"/>
              <w:rPr>
                <w:noProof/>
              </w:rPr>
            </w:pPr>
            <w:r>
              <w:rPr>
                <w:noProof/>
              </w:rPr>
              <w:t>Ārkārtas komisāra rīkojumā(-os) veikto pasākumu identifikācija</w:t>
            </w:r>
          </w:p>
        </w:tc>
      </w:tr>
      <w:tr w:rsidR="00327FF1" w14:paraId="4EC85EB6" w14:textId="77777777">
        <w:trPr>
          <w:trHeight w:val="300"/>
        </w:trPr>
        <w:tc>
          <w:tcPr>
            <w:tcW w:w="1140" w:type="dxa"/>
            <w:shd w:val="clear" w:color="auto" w:fill="C6EFCE"/>
            <w:tcMar>
              <w:left w:w="108" w:type="dxa"/>
              <w:right w:w="108" w:type="dxa"/>
            </w:tcMar>
            <w:vAlign w:val="center"/>
          </w:tcPr>
          <w:p w14:paraId="56FC108D" w14:textId="77777777" w:rsidR="00327FF1" w:rsidRDefault="00E406C7">
            <w:pPr>
              <w:pStyle w:val="P68B1DB1-Normal121"/>
              <w:spacing w:after="0" w:line="240" w:lineRule="auto"/>
              <w:jc w:val="center"/>
              <w:rPr>
                <w:noProof/>
              </w:rPr>
            </w:pPr>
            <w:r>
              <w:rPr>
                <w:noProof/>
              </w:rPr>
              <w:t>M7–46</w:t>
            </w:r>
          </w:p>
        </w:tc>
        <w:tc>
          <w:tcPr>
            <w:tcW w:w="3628" w:type="dxa"/>
            <w:shd w:val="clear" w:color="auto" w:fill="C6EFCE"/>
            <w:tcMar>
              <w:left w:w="108" w:type="dxa"/>
              <w:right w:w="108" w:type="dxa"/>
            </w:tcMar>
            <w:vAlign w:val="center"/>
          </w:tcPr>
          <w:p w14:paraId="1F13DB40" w14:textId="77777777" w:rsidR="00327FF1" w:rsidRDefault="00E406C7">
            <w:pPr>
              <w:pStyle w:val="P68B1DB1-Normal121"/>
              <w:spacing w:after="0" w:line="240" w:lineRule="auto"/>
              <w:rPr>
                <w:noProof/>
              </w:rPr>
            </w:pPr>
            <w:r>
              <w:rPr>
                <w:noProof/>
              </w:rPr>
              <w:t>Investīcija Nr. 17: Finanšu instruments publisko dzīvojamo māju energorenovācijai</w:t>
            </w:r>
          </w:p>
        </w:tc>
        <w:tc>
          <w:tcPr>
            <w:tcW w:w="1110" w:type="dxa"/>
            <w:shd w:val="clear" w:color="auto" w:fill="C6EFCE"/>
            <w:tcMar>
              <w:left w:w="108" w:type="dxa"/>
              <w:right w:w="108" w:type="dxa"/>
            </w:tcMar>
            <w:vAlign w:val="center"/>
          </w:tcPr>
          <w:p w14:paraId="57CEDA8C" w14:textId="77777777" w:rsidR="00327FF1" w:rsidRDefault="00E406C7">
            <w:pPr>
              <w:pStyle w:val="P68B1DB1-Normal121"/>
              <w:spacing w:after="0" w:line="240" w:lineRule="auto"/>
              <w:jc w:val="center"/>
              <w:rPr>
                <w:noProof/>
              </w:rPr>
            </w:pPr>
            <w:r>
              <w:rPr>
                <w:noProof/>
              </w:rPr>
              <w:t>Atskaites punkts</w:t>
            </w:r>
          </w:p>
        </w:tc>
        <w:tc>
          <w:tcPr>
            <w:tcW w:w="3480" w:type="dxa"/>
            <w:shd w:val="clear" w:color="auto" w:fill="C6EFCE"/>
            <w:tcMar>
              <w:left w:w="108" w:type="dxa"/>
              <w:right w:w="108" w:type="dxa"/>
            </w:tcMar>
            <w:vAlign w:val="center"/>
          </w:tcPr>
          <w:p w14:paraId="35A324D2" w14:textId="77777777" w:rsidR="00327FF1" w:rsidRDefault="00E406C7">
            <w:pPr>
              <w:pStyle w:val="P68B1DB1-Normal121"/>
              <w:spacing w:after="0" w:line="240" w:lineRule="auto"/>
              <w:rPr>
                <w:noProof/>
              </w:rPr>
            </w:pPr>
            <w:r>
              <w:rPr>
                <w:noProof/>
              </w:rPr>
              <w:t>Darba uzdevuma mērķa</w:t>
            </w:r>
            <w:r>
              <w:rPr>
                <w:noProof/>
              </w:rPr>
              <w:t xml:space="preserve"> definīcija</w:t>
            </w:r>
          </w:p>
        </w:tc>
      </w:tr>
      <w:tr w:rsidR="00327FF1" w14:paraId="2051B19A" w14:textId="77777777">
        <w:trPr>
          <w:trHeight w:val="300"/>
        </w:trPr>
        <w:tc>
          <w:tcPr>
            <w:tcW w:w="1140" w:type="dxa"/>
            <w:shd w:val="clear" w:color="auto" w:fill="C6EFCE"/>
            <w:tcMar>
              <w:left w:w="108" w:type="dxa"/>
              <w:right w:w="108" w:type="dxa"/>
            </w:tcMar>
            <w:vAlign w:val="center"/>
          </w:tcPr>
          <w:p w14:paraId="77E63E76" w14:textId="77777777" w:rsidR="00327FF1" w:rsidRDefault="00E406C7">
            <w:pPr>
              <w:pStyle w:val="P68B1DB1-Normal121"/>
              <w:spacing w:after="0" w:line="240" w:lineRule="auto"/>
              <w:jc w:val="center"/>
              <w:rPr>
                <w:noProof/>
              </w:rPr>
            </w:pPr>
            <w:r>
              <w:rPr>
                <w:noProof/>
              </w:rPr>
              <w:t>M1C1–140</w:t>
            </w:r>
          </w:p>
        </w:tc>
        <w:tc>
          <w:tcPr>
            <w:tcW w:w="3628" w:type="dxa"/>
            <w:shd w:val="clear" w:color="auto" w:fill="C6EFCE"/>
            <w:tcMar>
              <w:left w:w="108" w:type="dxa"/>
              <w:right w:w="108" w:type="dxa"/>
            </w:tcMar>
            <w:vAlign w:val="center"/>
          </w:tcPr>
          <w:p w14:paraId="56F7269B" w14:textId="77777777" w:rsidR="00327FF1" w:rsidRDefault="00E406C7">
            <w:pPr>
              <w:pStyle w:val="P68B1DB1-Normal121"/>
              <w:spacing w:after="0" w:line="240" w:lineRule="auto"/>
              <w:rPr>
                <w:noProof/>
              </w:rPr>
            </w:pPr>
            <w:r>
              <w:rPr>
                <w:noProof/>
              </w:rPr>
              <w:t>Investīcija — Iedzīvotāju pieredze — digitālo publisko pakalpojumu kvalitātes un izmantojamības uzlabošana</w:t>
            </w:r>
          </w:p>
        </w:tc>
        <w:tc>
          <w:tcPr>
            <w:tcW w:w="1110" w:type="dxa"/>
            <w:shd w:val="clear" w:color="auto" w:fill="C6EFCE"/>
            <w:tcMar>
              <w:left w:w="108" w:type="dxa"/>
              <w:right w:w="108" w:type="dxa"/>
            </w:tcMar>
            <w:vAlign w:val="center"/>
          </w:tcPr>
          <w:p w14:paraId="6290FE52"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6F796CD9" w14:textId="77777777" w:rsidR="00327FF1" w:rsidRDefault="00E406C7">
            <w:pPr>
              <w:pStyle w:val="P68B1DB1-Normal121"/>
              <w:spacing w:after="0" w:line="240" w:lineRule="auto"/>
              <w:rPr>
                <w:noProof/>
              </w:rPr>
            </w:pPr>
            <w:r>
              <w:rPr>
                <w:noProof/>
              </w:rPr>
              <w:t>Digitālo publisko pakalpojumu T1 kvalitātes un izmantojamības uzlabošana</w:t>
            </w:r>
          </w:p>
        </w:tc>
      </w:tr>
      <w:tr w:rsidR="00327FF1" w14:paraId="144346FB" w14:textId="77777777">
        <w:trPr>
          <w:trHeight w:val="300"/>
        </w:trPr>
        <w:tc>
          <w:tcPr>
            <w:tcW w:w="1140" w:type="dxa"/>
            <w:shd w:val="clear" w:color="auto" w:fill="C6EFCE"/>
            <w:tcMar>
              <w:left w:w="108" w:type="dxa"/>
              <w:right w:w="108" w:type="dxa"/>
            </w:tcMar>
            <w:vAlign w:val="center"/>
          </w:tcPr>
          <w:p w14:paraId="791722A7" w14:textId="77777777" w:rsidR="00327FF1" w:rsidRDefault="00E406C7">
            <w:pPr>
              <w:pStyle w:val="P68B1DB1-Normal121"/>
              <w:spacing w:after="0" w:line="240" w:lineRule="auto"/>
              <w:jc w:val="center"/>
              <w:rPr>
                <w:noProof/>
              </w:rPr>
            </w:pPr>
            <w:r>
              <w:rPr>
                <w:noProof/>
              </w:rPr>
              <w:t>M1C1–141</w:t>
            </w:r>
          </w:p>
        </w:tc>
        <w:tc>
          <w:tcPr>
            <w:tcW w:w="3628" w:type="dxa"/>
            <w:shd w:val="clear" w:color="auto" w:fill="C6EFCE"/>
            <w:tcMar>
              <w:left w:w="108" w:type="dxa"/>
              <w:right w:w="108" w:type="dxa"/>
            </w:tcMar>
            <w:vAlign w:val="center"/>
          </w:tcPr>
          <w:p w14:paraId="07996C57" w14:textId="77777777" w:rsidR="00327FF1" w:rsidRDefault="00E406C7">
            <w:pPr>
              <w:pStyle w:val="P68B1DB1-Normal121"/>
              <w:spacing w:after="0" w:line="240" w:lineRule="auto"/>
              <w:rPr>
                <w:noProof/>
              </w:rPr>
            </w:pPr>
            <w:r>
              <w:rPr>
                <w:noProof/>
              </w:rPr>
              <w:t xml:space="preserve">Investīcija 1.6.4. — Aizsardzības </w:t>
            </w:r>
            <w:r>
              <w:rPr>
                <w:noProof/>
              </w:rPr>
              <w:t>ministrijas digitalizācija</w:t>
            </w:r>
          </w:p>
        </w:tc>
        <w:tc>
          <w:tcPr>
            <w:tcW w:w="1110" w:type="dxa"/>
            <w:shd w:val="clear" w:color="auto" w:fill="C6EFCE"/>
            <w:tcMar>
              <w:left w:w="108" w:type="dxa"/>
              <w:right w:w="108" w:type="dxa"/>
            </w:tcMar>
            <w:vAlign w:val="center"/>
          </w:tcPr>
          <w:p w14:paraId="23DDE8E6"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133C883D" w14:textId="77777777" w:rsidR="00327FF1" w:rsidRDefault="00E406C7">
            <w:pPr>
              <w:pStyle w:val="P68B1DB1-Normal121"/>
              <w:spacing w:after="0" w:line="240" w:lineRule="auto"/>
              <w:rPr>
                <w:noProof/>
              </w:rPr>
            </w:pPr>
            <w:r>
              <w:rPr>
                <w:noProof/>
              </w:rPr>
              <w:t>Aizsardzības ministrijas procedūru digitalizācija T2</w:t>
            </w:r>
          </w:p>
        </w:tc>
      </w:tr>
      <w:tr w:rsidR="00327FF1" w14:paraId="4B8F99A1" w14:textId="77777777">
        <w:trPr>
          <w:trHeight w:val="300"/>
        </w:trPr>
        <w:tc>
          <w:tcPr>
            <w:tcW w:w="1140" w:type="dxa"/>
            <w:shd w:val="clear" w:color="auto" w:fill="C6EFCE"/>
            <w:tcMar>
              <w:left w:w="108" w:type="dxa"/>
              <w:right w:w="108" w:type="dxa"/>
            </w:tcMar>
            <w:vAlign w:val="center"/>
          </w:tcPr>
          <w:p w14:paraId="7406D536" w14:textId="77777777" w:rsidR="00327FF1" w:rsidRDefault="00E406C7">
            <w:pPr>
              <w:pStyle w:val="P68B1DB1-Normal121"/>
              <w:spacing w:after="0" w:line="240" w:lineRule="auto"/>
              <w:jc w:val="center"/>
              <w:rPr>
                <w:noProof/>
              </w:rPr>
            </w:pPr>
            <w:r>
              <w:rPr>
                <w:noProof/>
              </w:rPr>
              <w:t>M1C1–142</w:t>
            </w:r>
          </w:p>
        </w:tc>
        <w:tc>
          <w:tcPr>
            <w:tcW w:w="3628" w:type="dxa"/>
            <w:shd w:val="clear" w:color="auto" w:fill="C6EFCE"/>
            <w:tcMar>
              <w:left w:w="108" w:type="dxa"/>
              <w:right w:w="108" w:type="dxa"/>
            </w:tcMar>
            <w:vAlign w:val="center"/>
          </w:tcPr>
          <w:p w14:paraId="452E6424" w14:textId="77777777" w:rsidR="00327FF1" w:rsidRDefault="00E406C7">
            <w:pPr>
              <w:pStyle w:val="P68B1DB1-Normal121"/>
              <w:spacing w:after="0" w:line="240" w:lineRule="auto"/>
              <w:rPr>
                <w:noProof/>
              </w:rPr>
            </w:pPr>
            <w:r>
              <w:rPr>
                <w:noProof/>
              </w:rPr>
              <w:t>Investīcija 1.6.4. — Aizsardzības ministrijas digitalizācija</w:t>
            </w:r>
          </w:p>
        </w:tc>
        <w:tc>
          <w:tcPr>
            <w:tcW w:w="1110" w:type="dxa"/>
            <w:shd w:val="clear" w:color="auto" w:fill="C6EFCE"/>
            <w:tcMar>
              <w:left w:w="108" w:type="dxa"/>
              <w:right w:w="108" w:type="dxa"/>
            </w:tcMar>
            <w:vAlign w:val="center"/>
          </w:tcPr>
          <w:p w14:paraId="1FC485BB"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514B29CE" w14:textId="77777777" w:rsidR="00327FF1" w:rsidRDefault="00E406C7">
            <w:pPr>
              <w:pStyle w:val="P68B1DB1-Normal121"/>
              <w:spacing w:after="0" w:line="240" w:lineRule="auto"/>
              <w:rPr>
                <w:noProof/>
              </w:rPr>
            </w:pPr>
            <w:r>
              <w:rPr>
                <w:noProof/>
              </w:rPr>
              <w:t>Aizsardzības ministrijas sertifikātu digitalizācija T2</w:t>
            </w:r>
          </w:p>
        </w:tc>
      </w:tr>
      <w:tr w:rsidR="00327FF1" w14:paraId="1C259CF6" w14:textId="77777777">
        <w:trPr>
          <w:trHeight w:val="300"/>
        </w:trPr>
        <w:tc>
          <w:tcPr>
            <w:tcW w:w="1140" w:type="dxa"/>
            <w:shd w:val="clear" w:color="auto" w:fill="C6EFCE"/>
            <w:tcMar>
              <w:left w:w="108" w:type="dxa"/>
              <w:right w:w="108" w:type="dxa"/>
            </w:tcMar>
            <w:vAlign w:val="center"/>
          </w:tcPr>
          <w:p w14:paraId="5F058E80" w14:textId="77777777" w:rsidR="00327FF1" w:rsidRDefault="00E406C7">
            <w:pPr>
              <w:pStyle w:val="P68B1DB1-Normal121"/>
              <w:spacing w:after="0" w:line="240" w:lineRule="auto"/>
              <w:jc w:val="center"/>
              <w:rPr>
                <w:noProof/>
              </w:rPr>
            </w:pPr>
            <w:r>
              <w:rPr>
                <w:noProof/>
              </w:rPr>
              <w:t>M1C1–143</w:t>
            </w:r>
          </w:p>
        </w:tc>
        <w:tc>
          <w:tcPr>
            <w:tcW w:w="3628" w:type="dxa"/>
            <w:shd w:val="clear" w:color="auto" w:fill="C6EFCE"/>
            <w:tcMar>
              <w:left w:w="108" w:type="dxa"/>
              <w:right w:w="108" w:type="dxa"/>
            </w:tcMar>
            <w:vAlign w:val="center"/>
          </w:tcPr>
          <w:p w14:paraId="7338BC9B" w14:textId="77777777" w:rsidR="00327FF1" w:rsidRDefault="00E406C7">
            <w:pPr>
              <w:pStyle w:val="P68B1DB1-Normal121"/>
              <w:spacing w:after="0" w:line="240" w:lineRule="auto"/>
              <w:rPr>
                <w:noProof/>
              </w:rPr>
            </w:pPr>
            <w:r>
              <w:rPr>
                <w:noProof/>
              </w:rPr>
              <w:t>Investīcija 1.6.4. — Aizsard</w:t>
            </w:r>
            <w:r>
              <w:rPr>
                <w:noProof/>
              </w:rPr>
              <w:t>zības ministrijas digitalizācija</w:t>
            </w:r>
          </w:p>
        </w:tc>
        <w:tc>
          <w:tcPr>
            <w:tcW w:w="1110" w:type="dxa"/>
            <w:shd w:val="clear" w:color="auto" w:fill="C6EFCE"/>
            <w:tcMar>
              <w:left w:w="108" w:type="dxa"/>
              <w:right w:w="108" w:type="dxa"/>
            </w:tcMar>
            <w:vAlign w:val="center"/>
          </w:tcPr>
          <w:p w14:paraId="62A88D07"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77373628" w14:textId="77777777" w:rsidR="00327FF1" w:rsidRDefault="00E406C7">
            <w:pPr>
              <w:pStyle w:val="P68B1DB1-Normal121"/>
              <w:spacing w:after="0" w:line="240" w:lineRule="auto"/>
              <w:rPr>
                <w:noProof/>
              </w:rPr>
            </w:pPr>
            <w:r>
              <w:rPr>
                <w:noProof/>
              </w:rPr>
              <w:t>Aizsardzības ministrija — Kritisku un ar misiju nesaistītu kritiski svarīgu lietojumu migrācija uz risinājumu pilnīgai informācijas aizsardzībai ar infrastruktūras atklātību (S.C.I.P.I.O.) T2</w:t>
            </w:r>
          </w:p>
        </w:tc>
      </w:tr>
      <w:tr w:rsidR="00327FF1" w14:paraId="35849683" w14:textId="77777777">
        <w:trPr>
          <w:trHeight w:val="300"/>
        </w:trPr>
        <w:tc>
          <w:tcPr>
            <w:tcW w:w="1140" w:type="dxa"/>
            <w:shd w:val="clear" w:color="auto" w:fill="C6EFCE"/>
            <w:tcMar>
              <w:left w:w="108" w:type="dxa"/>
              <w:right w:w="108" w:type="dxa"/>
            </w:tcMar>
            <w:vAlign w:val="center"/>
          </w:tcPr>
          <w:p w14:paraId="6A0349BA" w14:textId="77777777" w:rsidR="00327FF1" w:rsidRDefault="00E406C7">
            <w:pPr>
              <w:pStyle w:val="P68B1DB1-Normal121"/>
              <w:spacing w:after="0" w:line="240" w:lineRule="auto"/>
              <w:jc w:val="center"/>
              <w:rPr>
                <w:noProof/>
              </w:rPr>
            </w:pPr>
            <w:r>
              <w:rPr>
                <w:noProof/>
              </w:rPr>
              <w:t>M1C2–19</w:t>
            </w:r>
          </w:p>
        </w:tc>
        <w:tc>
          <w:tcPr>
            <w:tcW w:w="3628" w:type="dxa"/>
            <w:shd w:val="clear" w:color="auto" w:fill="C6EFCE"/>
            <w:tcMar>
              <w:left w:w="108" w:type="dxa"/>
              <w:right w:w="108" w:type="dxa"/>
            </w:tcMar>
            <w:vAlign w:val="center"/>
          </w:tcPr>
          <w:p w14:paraId="1B3065E6" w14:textId="77777777" w:rsidR="00327FF1" w:rsidRDefault="00E406C7">
            <w:pPr>
              <w:pStyle w:val="P68B1DB1-Normal121"/>
              <w:spacing w:after="0" w:line="240" w:lineRule="auto"/>
              <w:rPr>
                <w:noProof/>
              </w:rPr>
            </w:pPr>
            <w:r>
              <w:rPr>
                <w:noProof/>
              </w:rPr>
              <w:t xml:space="preserve">Ieguldījums Nr. </w:t>
            </w:r>
            <w:r>
              <w:rPr>
                <w:noProof/>
              </w:rPr>
              <w:t>3: Ātrs interneta pieslēgums (Ultra-Broadband un 5G)</w:t>
            </w:r>
          </w:p>
        </w:tc>
        <w:tc>
          <w:tcPr>
            <w:tcW w:w="1110" w:type="dxa"/>
            <w:shd w:val="clear" w:color="auto" w:fill="C6EFCE"/>
            <w:tcMar>
              <w:left w:w="108" w:type="dxa"/>
              <w:right w:w="108" w:type="dxa"/>
            </w:tcMar>
            <w:vAlign w:val="center"/>
          </w:tcPr>
          <w:p w14:paraId="2AC1EFAA"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6D140EB1" w14:textId="77777777" w:rsidR="00327FF1" w:rsidRDefault="00E406C7">
            <w:pPr>
              <w:pStyle w:val="P68B1DB1-Normal121"/>
              <w:spacing w:after="0" w:line="240" w:lineRule="auto"/>
              <w:rPr>
                <w:noProof/>
              </w:rPr>
            </w:pPr>
            <w:r>
              <w:rPr>
                <w:noProof/>
              </w:rPr>
              <w:t>Salas ar ultraplatjoslas savienojamību</w:t>
            </w:r>
          </w:p>
        </w:tc>
      </w:tr>
      <w:tr w:rsidR="00327FF1" w14:paraId="53698349" w14:textId="77777777">
        <w:trPr>
          <w:trHeight w:val="300"/>
        </w:trPr>
        <w:tc>
          <w:tcPr>
            <w:tcW w:w="1140" w:type="dxa"/>
            <w:shd w:val="clear" w:color="auto" w:fill="C6EFCE"/>
            <w:tcMar>
              <w:left w:w="108" w:type="dxa"/>
              <w:right w:w="108" w:type="dxa"/>
            </w:tcMar>
            <w:vAlign w:val="center"/>
          </w:tcPr>
          <w:p w14:paraId="3A8EDCF5" w14:textId="77777777" w:rsidR="00327FF1" w:rsidRDefault="00E406C7">
            <w:pPr>
              <w:pStyle w:val="P68B1DB1-Normal121"/>
              <w:spacing w:after="0" w:line="240" w:lineRule="auto"/>
              <w:jc w:val="center"/>
              <w:rPr>
                <w:noProof/>
              </w:rPr>
            </w:pPr>
            <w:r>
              <w:rPr>
                <w:noProof/>
              </w:rPr>
              <w:t>M1C3–27</w:t>
            </w:r>
          </w:p>
        </w:tc>
        <w:tc>
          <w:tcPr>
            <w:tcW w:w="3628" w:type="dxa"/>
            <w:shd w:val="clear" w:color="auto" w:fill="C6EFCE"/>
            <w:tcMar>
              <w:left w:w="108" w:type="dxa"/>
              <w:right w:w="108" w:type="dxa"/>
            </w:tcMar>
            <w:vAlign w:val="center"/>
          </w:tcPr>
          <w:p w14:paraId="15BF73C8" w14:textId="77777777" w:rsidR="00327FF1" w:rsidRDefault="00E406C7">
            <w:pPr>
              <w:pStyle w:val="P68B1DB1-Normal121"/>
              <w:spacing w:after="0" w:line="240" w:lineRule="auto"/>
              <w:rPr>
                <w:noProof/>
              </w:rPr>
            </w:pPr>
            <w:r>
              <w:rPr>
                <w:noProof/>
              </w:rPr>
              <w:t>Ieguldījums — 4.3. Caput Mundi-Next Generation EU tūrisma lieliskiem pasākumiem</w:t>
            </w:r>
          </w:p>
        </w:tc>
        <w:tc>
          <w:tcPr>
            <w:tcW w:w="1110" w:type="dxa"/>
            <w:shd w:val="clear" w:color="auto" w:fill="C6EFCE"/>
            <w:tcMar>
              <w:left w:w="108" w:type="dxa"/>
              <w:right w:w="108" w:type="dxa"/>
            </w:tcMar>
            <w:vAlign w:val="center"/>
          </w:tcPr>
          <w:p w14:paraId="6CC96BC9"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0638FDB4" w14:textId="77777777" w:rsidR="00327FF1" w:rsidRDefault="00E406C7">
            <w:pPr>
              <w:pStyle w:val="P68B1DB1-Normal121"/>
              <w:spacing w:after="0" w:line="240" w:lineRule="auto"/>
              <w:rPr>
                <w:noProof/>
              </w:rPr>
            </w:pPr>
            <w:r>
              <w:rPr>
                <w:noProof/>
              </w:rPr>
              <w:t>To kultūras un tūrisma objektu skaits, kuru pārkvalificēšana sa</w:t>
            </w:r>
            <w:r>
              <w:rPr>
                <w:noProof/>
              </w:rPr>
              <w:t xml:space="preserve">sniedza vidēji 50 % no Stato Avanzamento Lavori (SAL) (pirmā partija) </w:t>
            </w:r>
          </w:p>
        </w:tc>
      </w:tr>
      <w:tr w:rsidR="00327FF1" w14:paraId="37FDEABB" w14:textId="77777777">
        <w:trPr>
          <w:trHeight w:val="300"/>
        </w:trPr>
        <w:tc>
          <w:tcPr>
            <w:tcW w:w="1140" w:type="dxa"/>
            <w:shd w:val="clear" w:color="auto" w:fill="C6EFCE"/>
            <w:tcMar>
              <w:left w:w="108" w:type="dxa"/>
              <w:right w:w="108" w:type="dxa"/>
            </w:tcMar>
            <w:vAlign w:val="center"/>
          </w:tcPr>
          <w:p w14:paraId="11DE5765" w14:textId="77777777" w:rsidR="00327FF1" w:rsidRDefault="00E406C7">
            <w:pPr>
              <w:pStyle w:val="P68B1DB1-Normal121"/>
              <w:spacing w:after="0" w:line="240" w:lineRule="auto"/>
              <w:jc w:val="center"/>
              <w:rPr>
                <w:noProof/>
              </w:rPr>
            </w:pPr>
            <w:r>
              <w:rPr>
                <w:noProof/>
              </w:rPr>
              <w:t>M2C1–16ter</w:t>
            </w:r>
          </w:p>
        </w:tc>
        <w:tc>
          <w:tcPr>
            <w:tcW w:w="3628" w:type="dxa"/>
            <w:shd w:val="clear" w:color="auto" w:fill="C6EFCE"/>
            <w:tcMar>
              <w:left w:w="108" w:type="dxa"/>
              <w:right w:w="108" w:type="dxa"/>
            </w:tcMar>
            <w:vAlign w:val="center"/>
          </w:tcPr>
          <w:p w14:paraId="19CB894C" w14:textId="77777777" w:rsidR="00327FF1" w:rsidRDefault="00E406C7">
            <w:pPr>
              <w:pStyle w:val="P68B1DB1-Normal121"/>
              <w:spacing w:after="0" w:line="240" w:lineRule="auto"/>
              <w:rPr>
                <w:noProof/>
              </w:rPr>
            </w:pPr>
            <w:r>
              <w:rPr>
                <w:noProof/>
              </w:rPr>
              <w:t>Investīcija 1.1. — Jaunu atkritumu apsaimniekošanas iekārtu ieviešana un esošo iekārtu modernizācija</w:t>
            </w:r>
          </w:p>
        </w:tc>
        <w:tc>
          <w:tcPr>
            <w:tcW w:w="1110" w:type="dxa"/>
            <w:shd w:val="clear" w:color="auto" w:fill="C6EFCE"/>
            <w:tcMar>
              <w:left w:w="108" w:type="dxa"/>
              <w:right w:w="108" w:type="dxa"/>
            </w:tcMar>
            <w:vAlign w:val="center"/>
          </w:tcPr>
          <w:p w14:paraId="305EE6A7"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43C3576E" w14:textId="77777777" w:rsidR="00327FF1" w:rsidRDefault="00E406C7">
            <w:pPr>
              <w:pStyle w:val="P68B1DB1-Normal121"/>
              <w:spacing w:after="0" w:line="240" w:lineRule="auto"/>
              <w:rPr>
                <w:noProof/>
              </w:rPr>
            </w:pPr>
            <w:r>
              <w:rPr>
                <w:noProof/>
              </w:rPr>
              <w:t>Dalītās savākšanas rādītāju reģionālās atšķirības</w:t>
            </w:r>
          </w:p>
        </w:tc>
      </w:tr>
      <w:tr w:rsidR="00327FF1" w14:paraId="0045435F" w14:textId="77777777">
        <w:trPr>
          <w:trHeight w:val="300"/>
        </w:trPr>
        <w:tc>
          <w:tcPr>
            <w:tcW w:w="1140" w:type="dxa"/>
            <w:shd w:val="clear" w:color="auto" w:fill="C6EFCE"/>
            <w:tcMar>
              <w:left w:w="108" w:type="dxa"/>
              <w:right w:w="108" w:type="dxa"/>
            </w:tcMar>
            <w:vAlign w:val="center"/>
          </w:tcPr>
          <w:p w14:paraId="2322E49F" w14:textId="77777777" w:rsidR="00327FF1" w:rsidRDefault="00E406C7">
            <w:pPr>
              <w:pStyle w:val="P68B1DB1-Normal121"/>
              <w:spacing w:after="0" w:line="240" w:lineRule="auto"/>
              <w:jc w:val="center"/>
              <w:rPr>
                <w:noProof/>
              </w:rPr>
            </w:pPr>
            <w:r>
              <w:rPr>
                <w:noProof/>
              </w:rPr>
              <w:t>M2C1–25</w:t>
            </w:r>
          </w:p>
        </w:tc>
        <w:tc>
          <w:tcPr>
            <w:tcW w:w="3628" w:type="dxa"/>
            <w:shd w:val="clear" w:color="auto" w:fill="C6EFCE"/>
            <w:tcMar>
              <w:left w:w="108" w:type="dxa"/>
              <w:right w:w="108" w:type="dxa"/>
            </w:tcMar>
            <w:vAlign w:val="center"/>
          </w:tcPr>
          <w:p w14:paraId="0CA975B1" w14:textId="77777777" w:rsidR="00327FF1" w:rsidRDefault="00E406C7">
            <w:pPr>
              <w:pStyle w:val="P68B1DB1-Normal121"/>
              <w:spacing w:after="0" w:line="240" w:lineRule="auto"/>
              <w:rPr>
                <w:noProof/>
              </w:rPr>
            </w:pPr>
            <w:r>
              <w:rPr>
                <w:noProof/>
              </w:rPr>
              <w:t>Investīcija 3.4: Fondo Contratti di Filiera (FCF), lai atbalstītu piegādes ķēžu līgumus lauksaimniecības pārtikas, zvejniecības un akvakultūras, mežsaimniecības, puķkopības un stādaudzētavas nozarē</w:t>
            </w:r>
          </w:p>
        </w:tc>
        <w:tc>
          <w:tcPr>
            <w:tcW w:w="1110" w:type="dxa"/>
            <w:shd w:val="clear" w:color="auto" w:fill="C6EFCE"/>
            <w:tcMar>
              <w:left w:w="108" w:type="dxa"/>
              <w:right w:w="108" w:type="dxa"/>
            </w:tcMar>
            <w:vAlign w:val="center"/>
          </w:tcPr>
          <w:p w14:paraId="5C14B72E" w14:textId="77777777" w:rsidR="00327FF1" w:rsidRDefault="00E406C7">
            <w:pPr>
              <w:pStyle w:val="P68B1DB1-Normal121"/>
              <w:spacing w:after="0" w:line="240" w:lineRule="auto"/>
              <w:jc w:val="center"/>
              <w:rPr>
                <w:noProof/>
              </w:rPr>
            </w:pPr>
            <w:r>
              <w:rPr>
                <w:noProof/>
              </w:rPr>
              <w:t>Atskaites punkts</w:t>
            </w:r>
          </w:p>
        </w:tc>
        <w:tc>
          <w:tcPr>
            <w:tcW w:w="3480" w:type="dxa"/>
            <w:shd w:val="clear" w:color="auto" w:fill="C6EFCE"/>
            <w:tcMar>
              <w:left w:w="108" w:type="dxa"/>
              <w:right w:w="108" w:type="dxa"/>
            </w:tcMar>
            <w:vAlign w:val="center"/>
          </w:tcPr>
          <w:p w14:paraId="21C43C2D" w14:textId="77777777" w:rsidR="00327FF1" w:rsidRDefault="00E406C7">
            <w:pPr>
              <w:pStyle w:val="P68B1DB1-Normal121"/>
              <w:spacing w:after="0" w:line="240" w:lineRule="auto"/>
              <w:rPr>
                <w:noProof/>
              </w:rPr>
            </w:pPr>
            <w:r>
              <w:rPr>
                <w:noProof/>
              </w:rPr>
              <w:t>Ministrija ir pārskaitījusi kopējo resurs</w:t>
            </w:r>
            <w:r>
              <w:rPr>
                <w:noProof/>
              </w:rPr>
              <w:t>u summu</w:t>
            </w:r>
          </w:p>
        </w:tc>
      </w:tr>
      <w:tr w:rsidR="00327FF1" w14:paraId="1FEC5152" w14:textId="77777777">
        <w:trPr>
          <w:trHeight w:val="300"/>
        </w:trPr>
        <w:tc>
          <w:tcPr>
            <w:tcW w:w="1140" w:type="dxa"/>
            <w:shd w:val="clear" w:color="auto" w:fill="C6EFCE"/>
            <w:tcMar>
              <w:left w:w="108" w:type="dxa"/>
              <w:right w:w="108" w:type="dxa"/>
            </w:tcMar>
            <w:vAlign w:val="center"/>
          </w:tcPr>
          <w:p w14:paraId="7C364FC0" w14:textId="77777777" w:rsidR="00327FF1" w:rsidRDefault="00E406C7">
            <w:pPr>
              <w:pStyle w:val="P68B1DB1-Normal121"/>
              <w:spacing w:after="0" w:line="240" w:lineRule="auto"/>
              <w:jc w:val="center"/>
              <w:rPr>
                <w:noProof/>
              </w:rPr>
            </w:pPr>
            <w:r>
              <w:rPr>
                <w:noProof/>
              </w:rPr>
              <w:t>M2C2–9</w:t>
            </w:r>
          </w:p>
        </w:tc>
        <w:tc>
          <w:tcPr>
            <w:tcW w:w="3628" w:type="dxa"/>
            <w:shd w:val="clear" w:color="auto" w:fill="C6EFCE"/>
            <w:tcMar>
              <w:left w:w="108" w:type="dxa"/>
              <w:right w:w="108" w:type="dxa"/>
            </w:tcMar>
            <w:vAlign w:val="center"/>
          </w:tcPr>
          <w:p w14:paraId="4A9E7A74" w14:textId="77777777" w:rsidR="00327FF1" w:rsidRDefault="00E406C7">
            <w:pPr>
              <w:pStyle w:val="P68B1DB1-Normal121"/>
              <w:spacing w:after="0" w:line="240" w:lineRule="auto"/>
              <w:rPr>
                <w:noProof/>
              </w:rPr>
            </w:pPr>
            <w:r>
              <w:rPr>
                <w:noProof/>
              </w:rPr>
              <w:t>Investīcija 2.1. Viedo tīklu stiprināšana</w:t>
            </w:r>
          </w:p>
        </w:tc>
        <w:tc>
          <w:tcPr>
            <w:tcW w:w="1110" w:type="dxa"/>
            <w:shd w:val="clear" w:color="auto" w:fill="C6EFCE"/>
            <w:tcMar>
              <w:left w:w="108" w:type="dxa"/>
              <w:right w:w="108" w:type="dxa"/>
            </w:tcMar>
            <w:vAlign w:val="center"/>
          </w:tcPr>
          <w:p w14:paraId="3CCC8630"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0D44B54F" w14:textId="77777777" w:rsidR="00327FF1" w:rsidRDefault="00E406C7">
            <w:pPr>
              <w:pStyle w:val="P68B1DB1-Normal121"/>
              <w:spacing w:after="0" w:line="240" w:lineRule="auto"/>
              <w:rPr>
                <w:noProof/>
              </w:rPr>
            </w:pPr>
            <w:r>
              <w:rPr>
                <w:noProof/>
              </w:rPr>
              <w:t>Viedie tīkli — tīkla jaudas palielināšana atjaunojamo energoresursu sadalei</w:t>
            </w:r>
          </w:p>
        </w:tc>
      </w:tr>
      <w:tr w:rsidR="00327FF1" w14:paraId="28AA07FF" w14:textId="77777777">
        <w:trPr>
          <w:trHeight w:val="300"/>
        </w:trPr>
        <w:tc>
          <w:tcPr>
            <w:tcW w:w="1140" w:type="dxa"/>
            <w:shd w:val="clear" w:color="auto" w:fill="C6EFCE"/>
            <w:tcMar>
              <w:left w:w="108" w:type="dxa"/>
              <w:right w:w="108" w:type="dxa"/>
            </w:tcMar>
            <w:vAlign w:val="center"/>
          </w:tcPr>
          <w:p w14:paraId="47F8846A" w14:textId="77777777" w:rsidR="00327FF1" w:rsidRDefault="00E406C7">
            <w:pPr>
              <w:pStyle w:val="P68B1DB1-Normal121"/>
              <w:spacing w:after="0" w:line="240" w:lineRule="auto"/>
              <w:jc w:val="center"/>
              <w:rPr>
                <w:noProof/>
              </w:rPr>
            </w:pPr>
            <w:r>
              <w:rPr>
                <w:noProof/>
              </w:rPr>
              <w:t>M2C2–34</w:t>
            </w:r>
          </w:p>
        </w:tc>
        <w:tc>
          <w:tcPr>
            <w:tcW w:w="3628" w:type="dxa"/>
            <w:shd w:val="clear" w:color="auto" w:fill="C6EFCE"/>
            <w:tcMar>
              <w:left w:w="108" w:type="dxa"/>
              <w:right w:w="108" w:type="dxa"/>
            </w:tcMar>
            <w:vAlign w:val="center"/>
          </w:tcPr>
          <w:p w14:paraId="23FCB73E" w14:textId="77777777" w:rsidR="00327FF1" w:rsidRDefault="00E406C7">
            <w:pPr>
              <w:pStyle w:val="P68B1DB1-Normal121"/>
              <w:spacing w:after="0" w:line="240" w:lineRule="auto"/>
              <w:rPr>
                <w:noProof/>
              </w:rPr>
            </w:pPr>
            <w:r>
              <w:rPr>
                <w:noProof/>
              </w:rPr>
              <w:t>Investīcija 4.4.1.: Reģionālā sabiedriskā transporta autobusu parka stiprināšana ar bezemisiju autobusiem</w:t>
            </w:r>
          </w:p>
        </w:tc>
        <w:tc>
          <w:tcPr>
            <w:tcW w:w="1110" w:type="dxa"/>
            <w:shd w:val="clear" w:color="auto" w:fill="C6EFCE"/>
            <w:tcMar>
              <w:left w:w="108" w:type="dxa"/>
              <w:right w:w="108" w:type="dxa"/>
            </w:tcMar>
            <w:vAlign w:val="center"/>
          </w:tcPr>
          <w:p w14:paraId="310E8C1B"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1621C5B2" w14:textId="77777777" w:rsidR="00327FF1" w:rsidRDefault="00E406C7">
            <w:pPr>
              <w:pStyle w:val="P68B1DB1-Normal121"/>
              <w:spacing w:after="0" w:line="240" w:lineRule="auto"/>
              <w:rPr>
                <w:noProof/>
              </w:rPr>
            </w:pPr>
            <w:r>
              <w:rPr>
                <w:noProof/>
              </w:rPr>
              <w:t>Reģistrēto T1 bezemisiju mazemisiju autobusu skaits</w:t>
            </w:r>
          </w:p>
        </w:tc>
      </w:tr>
      <w:tr w:rsidR="00327FF1" w14:paraId="1C1459CD" w14:textId="77777777">
        <w:trPr>
          <w:trHeight w:val="300"/>
        </w:trPr>
        <w:tc>
          <w:tcPr>
            <w:tcW w:w="1140" w:type="dxa"/>
            <w:shd w:val="clear" w:color="auto" w:fill="C6EFCE"/>
            <w:tcMar>
              <w:left w:w="108" w:type="dxa"/>
              <w:right w:w="108" w:type="dxa"/>
            </w:tcMar>
            <w:vAlign w:val="center"/>
          </w:tcPr>
          <w:p w14:paraId="1E017C4F" w14:textId="77777777" w:rsidR="00327FF1" w:rsidRDefault="00E406C7">
            <w:pPr>
              <w:pStyle w:val="P68B1DB1-Normal121"/>
              <w:spacing w:after="0" w:line="240" w:lineRule="auto"/>
              <w:jc w:val="center"/>
              <w:rPr>
                <w:noProof/>
              </w:rPr>
            </w:pPr>
            <w:r>
              <w:rPr>
                <w:noProof/>
              </w:rPr>
              <w:t>M2C2–34a</w:t>
            </w:r>
          </w:p>
        </w:tc>
        <w:tc>
          <w:tcPr>
            <w:tcW w:w="3628" w:type="dxa"/>
            <w:shd w:val="clear" w:color="auto" w:fill="C6EFCE"/>
            <w:tcMar>
              <w:left w:w="108" w:type="dxa"/>
              <w:right w:w="108" w:type="dxa"/>
            </w:tcMar>
            <w:vAlign w:val="center"/>
          </w:tcPr>
          <w:p w14:paraId="3A0A9ECB" w14:textId="77777777" w:rsidR="00327FF1" w:rsidRDefault="00E406C7">
            <w:pPr>
              <w:pStyle w:val="P68B1DB1-Normal121"/>
              <w:spacing w:after="0" w:line="240" w:lineRule="auto"/>
              <w:rPr>
                <w:noProof/>
              </w:rPr>
            </w:pPr>
            <w:r>
              <w:rPr>
                <w:noProof/>
              </w:rPr>
              <w:t>Investīcija Nr. 4.4.2.  Reģionālā sabiedriskā transporta dzelzceļa parka stiprināšana ar bezemisiju vilcieniem un universālo pakalpojumu</w:t>
            </w:r>
          </w:p>
        </w:tc>
        <w:tc>
          <w:tcPr>
            <w:tcW w:w="1110" w:type="dxa"/>
            <w:shd w:val="clear" w:color="auto" w:fill="C6EFCE"/>
            <w:tcMar>
              <w:left w:w="108" w:type="dxa"/>
              <w:right w:w="108" w:type="dxa"/>
            </w:tcMar>
            <w:vAlign w:val="center"/>
          </w:tcPr>
          <w:p w14:paraId="447A9F26"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2F3840A2" w14:textId="77777777" w:rsidR="00327FF1" w:rsidRDefault="00E406C7">
            <w:pPr>
              <w:pStyle w:val="P68B1DB1-Normal121"/>
              <w:spacing w:after="0" w:line="240" w:lineRule="auto"/>
              <w:rPr>
                <w:noProof/>
              </w:rPr>
            </w:pPr>
            <w:r>
              <w:rPr>
                <w:noProof/>
              </w:rPr>
              <w:t>Bezemisiju vilcienu skaits</w:t>
            </w:r>
          </w:p>
        </w:tc>
      </w:tr>
      <w:tr w:rsidR="00327FF1" w14:paraId="77C96979" w14:textId="77777777">
        <w:trPr>
          <w:trHeight w:val="300"/>
        </w:trPr>
        <w:tc>
          <w:tcPr>
            <w:tcW w:w="1140" w:type="dxa"/>
            <w:shd w:val="clear" w:color="auto" w:fill="C6EFCE"/>
            <w:tcMar>
              <w:left w:w="108" w:type="dxa"/>
              <w:right w:w="108" w:type="dxa"/>
            </w:tcMar>
            <w:vAlign w:val="center"/>
          </w:tcPr>
          <w:p w14:paraId="53C5C3DF" w14:textId="77777777" w:rsidR="00327FF1" w:rsidRDefault="00E406C7">
            <w:pPr>
              <w:pStyle w:val="P68B1DB1-Normal121"/>
              <w:spacing w:after="0" w:line="240" w:lineRule="auto"/>
              <w:jc w:val="center"/>
              <w:rPr>
                <w:noProof/>
              </w:rPr>
            </w:pPr>
            <w:r>
              <w:rPr>
                <w:noProof/>
              </w:rPr>
              <w:t>M2C2–38bis</w:t>
            </w:r>
          </w:p>
        </w:tc>
        <w:tc>
          <w:tcPr>
            <w:tcW w:w="3628" w:type="dxa"/>
            <w:shd w:val="clear" w:color="auto" w:fill="C6EFCE"/>
            <w:tcMar>
              <w:left w:w="108" w:type="dxa"/>
              <w:right w:w="108" w:type="dxa"/>
            </w:tcMar>
            <w:vAlign w:val="center"/>
          </w:tcPr>
          <w:p w14:paraId="64F816E7" w14:textId="77777777" w:rsidR="00327FF1" w:rsidRDefault="00E406C7">
            <w:pPr>
              <w:pStyle w:val="P68B1DB1-Normal121"/>
              <w:spacing w:after="0" w:line="240" w:lineRule="auto"/>
              <w:rPr>
                <w:noProof/>
              </w:rPr>
            </w:pPr>
            <w:r>
              <w:rPr>
                <w:noProof/>
              </w:rPr>
              <w:t>Ieguldījums 5.1.: Atbalsts ražošanas sistēmai ekoloģiskajai pārejai, neto nulles emisiju tehnoloģijām un stratēģisko piegādes ķēžu konkurētspējai un noturībai</w:t>
            </w:r>
          </w:p>
        </w:tc>
        <w:tc>
          <w:tcPr>
            <w:tcW w:w="1110" w:type="dxa"/>
            <w:shd w:val="clear" w:color="auto" w:fill="C6EFCE"/>
            <w:tcMar>
              <w:left w:w="108" w:type="dxa"/>
              <w:right w:w="108" w:type="dxa"/>
            </w:tcMar>
            <w:vAlign w:val="center"/>
          </w:tcPr>
          <w:p w14:paraId="1C939468" w14:textId="77777777" w:rsidR="00327FF1" w:rsidRDefault="00E406C7">
            <w:pPr>
              <w:pStyle w:val="P68B1DB1-Normal121"/>
              <w:spacing w:after="0" w:line="240" w:lineRule="auto"/>
              <w:jc w:val="center"/>
              <w:rPr>
                <w:noProof/>
              </w:rPr>
            </w:pPr>
            <w:r>
              <w:rPr>
                <w:noProof/>
              </w:rPr>
              <w:t>Atskaites punkts</w:t>
            </w:r>
          </w:p>
        </w:tc>
        <w:tc>
          <w:tcPr>
            <w:tcW w:w="3480" w:type="dxa"/>
            <w:shd w:val="clear" w:color="auto" w:fill="C6EFCE"/>
            <w:tcMar>
              <w:left w:w="108" w:type="dxa"/>
              <w:right w:w="108" w:type="dxa"/>
            </w:tcMar>
            <w:vAlign w:val="center"/>
          </w:tcPr>
          <w:p w14:paraId="64B11041" w14:textId="77777777" w:rsidR="00327FF1" w:rsidRDefault="00E406C7">
            <w:pPr>
              <w:pStyle w:val="P68B1DB1-Normal121"/>
              <w:spacing w:after="0" w:line="240" w:lineRule="auto"/>
              <w:rPr>
                <w:noProof/>
              </w:rPr>
            </w:pPr>
            <w:r>
              <w:rPr>
                <w:noProof/>
              </w:rPr>
              <w:t>Īstenošanas nolīgums</w:t>
            </w:r>
          </w:p>
        </w:tc>
      </w:tr>
      <w:tr w:rsidR="00327FF1" w14:paraId="15B74A13" w14:textId="77777777">
        <w:trPr>
          <w:trHeight w:val="300"/>
        </w:trPr>
        <w:tc>
          <w:tcPr>
            <w:tcW w:w="1140" w:type="dxa"/>
            <w:shd w:val="clear" w:color="auto" w:fill="C6EFCE"/>
            <w:tcMar>
              <w:left w:w="108" w:type="dxa"/>
              <w:right w:w="108" w:type="dxa"/>
            </w:tcMar>
            <w:vAlign w:val="center"/>
          </w:tcPr>
          <w:p w14:paraId="04E03B53" w14:textId="77777777" w:rsidR="00327FF1" w:rsidRDefault="00E406C7">
            <w:pPr>
              <w:pStyle w:val="P68B1DB1-Normal121"/>
              <w:spacing w:after="0" w:line="240" w:lineRule="auto"/>
              <w:jc w:val="center"/>
              <w:rPr>
                <w:noProof/>
              </w:rPr>
            </w:pPr>
            <w:r>
              <w:rPr>
                <w:noProof/>
              </w:rPr>
              <w:t>M2C2–39</w:t>
            </w:r>
          </w:p>
        </w:tc>
        <w:tc>
          <w:tcPr>
            <w:tcW w:w="3628" w:type="dxa"/>
            <w:shd w:val="clear" w:color="auto" w:fill="C6EFCE"/>
            <w:tcMar>
              <w:left w:w="108" w:type="dxa"/>
              <w:right w:w="108" w:type="dxa"/>
            </w:tcMar>
            <w:vAlign w:val="center"/>
          </w:tcPr>
          <w:p w14:paraId="29509614" w14:textId="77777777" w:rsidR="00327FF1" w:rsidRDefault="00E406C7">
            <w:pPr>
              <w:pStyle w:val="P68B1DB1-Normal121"/>
              <w:spacing w:after="0" w:line="240" w:lineRule="auto"/>
              <w:rPr>
                <w:noProof/>
              </w:rPr>
            </w:pPr>
            <w:r>
              <w:rPr>
                <w:noProof/>
              </w:rPr>
              <w:t>Ieguldījums 5.1. Atbalsts ražošanas sistēmai ekolo</w:t>
            </w:r>
            <w:r>
              <w:rPr>
                <w:noProof/>
              </w:rPr>
              <w:t>ģiskajai pārejai, neto nulles emisiju tehnoloģijām un stratēģisko piegāžu konkurētspējai un noturībai</w:t>
            </w:r>
          </w:p>
        </w:tc>
        <w:tc>
          <w:tcPr>
            <w:tcW w:w="1110" w:type="dxa"/>
            <w:shd w:val="clear" w:color="auto" w:fill="C6EFCE"/>
            <w:tcMar>
              <w:left w:w="108" w:type="dxa"/>
              <w:right w:w="108" w:type="dxa"/>
            </w:tcMar>
            <w:vAlign w:val="center"/>
          </w:tcPr>
          <w:p w14:paraId="139A3637" w14:textId="77777777" w:rsidR="00327FF1" w:rsidRDefault="00E406C7">
            <w:pPr>
              <w:pStyle w:val="P68B1DB1-Normal121"/>
              <w:spacing w:after="0" w:line="240" w:lineRule="auto"/>
              <w:jc w:val="center"/>
              <w:rPr>
                <w:noProof/>
              </w:rPr>
            </w:pPr>
            <w:r>
              <w:rPr>
                <w:noProof/>
              </w:rPr>
              <w:t>Atskaites punkts</w:t>
            </w:r>
          </w:p>
        </w:tc>
        <w:tc>
          <w:tcPr>
            <w:tcW w:w="3480" w:type="dxa"/>
            <w:shd w:val="clear" w:color="auto" w:fill="C6EFCE"/>
            <w:tcMar>
              <w:left w:w="108" w:type="dxa"/>
              <w:right w:w="108" w:type="dxa"/>
            </w:tcMar>
            <w:vAlign w:val="center"/>
          </w:tcPr>
          <w:p w14:paraId="1E1E9142" w14:textId="77777777" w:rsidR="00327FF1" w:rsidRDefault="00E406C7">
            <w:pPr>
              <w:pStyle w:val="P68B1DB1-Normal121"/>
              <w:spacing w:after="0" w:line="240" w:lineRule="auto"/>
              <w:rPr>
                <w:noProof/>
              </w:rPr>
            </w:pPr>
            <w:r>
              <w:rPr>
                <w:noProof/>
              </w:rPr>
              <w:t>Itālijas Uzņēmumu un ražotāju ministrija ir pabeigusi līdzekļu pārskaitīšanu Invitalia S.p.A.</w:t>
            </w:r>
          </w:p>
        </w:tc>
      </w:tr>
      <w:tr w:rsidR="00327FF1" w14:paraId="3F191E61" w14:textId="77777777">
        <w:trPr>
          <w:trHeight w:val="300"/>
        </w:trPr>
        <w:tc>
          <w:tcPr>
            <w:tcW w:w="1140" w:type="dxa"/>
            <w:shd w:val="clear" w:color="auto" w:fill="C6EFCE"/>
            <w:tcMar>
              <w:left w:w="108" w:type="dxa"/>
              <w:right w:w="108" w:type="dxa"/>
            </w:tcMar>
            <w:vAlign w:val="center"/>
          </w:tcPr>
          <w:p w14:paraId="33A17E1D" w14:textId="77777777" w:rsidR="00327FF1" w:rsidRDefault="00E406C7">
            <w:pPr>
              <w:pStyle w:val="P68B1DB1-Normal121"/>
              <w:spacing w:after="0" w:line="240" w:lineRule="auto"/>
              <w:jc w:val="center"/>
              <w:rPr>
                <w:noProof/>
              </w:rPr>
            </w:pPr>
            <w:r>
              <w:rPr>
                <w:noProof/>
              </w:rPr>
              <w:t>M2C2–42bis</w:t>
            </w:r>
          </w:p>
        </w:tc>
        <w:tc>
          <w:tcPr>
            <w:tcW w:w="3628" w:type="dxa"/>
            <w:shd w:val="clear" w:color="auto" w:fill="C6EFCE"/>
            <w:tcMar>
              <w:left w:w="108" w:type="dxa"/>
              <w:right w:w="108" w:type="dxa"/>
            </w:tcMar>
            <w:vAlign w:val="center"/>
          </w:tcPr>
          <w:p w14:paraId="556FF5C0" w14:textId="77777777" w:rsidR="00327FF1" w:rsidRDefault="00E406C7">
            <w:pPr>
              <w:pStyle w:val="P68B1DB1-Normal121"/>
              <w:spacing w:after="0" w:line="240" w:lineRule="auto"/>
              <w:rPr>
                <w:noProof/>
              </w:rPr>
            </w:pPr>
            <w:r>
              <w:rPr>
                <w:noProof/>
              </w:rPr>
              <w:t xml:space="preserve">Investīcija 5.4. Kapitāla </w:t>
            </w:r>
            <w:r>
              <w:rPr>
                <w:noProof/>
              </w:rPr>
              <w:t>iepludināšana Zaļās pārkārtošanās fondā (“GTF”)</w:t>
            </w:r>
          </w:p>
        </w:tc>
        <w:tc>
          <w:tcPr>
            <w:tcW w:w="1110" w:type="dxa"/>
            <w:shd w:val="clear" w:color="auto" w:fill="C6EFCE"/>
            <w:tcMar>
              <w:left w:w="108" w:type="dxa"/>
              <w:right w:w="108" w:type="dxa"/>
            </w:tcMar>
            <w:vAlign w:val="center"/>
          </w:tcPr>
          <w:p w14:paraId="4333B113" w14:textId="77777777" w:rsidR="00327FF1" w:rsidRDefault="00E406C7">
            <w:pPr>
              <w:pStyle w:val="P68B1DB1-Normal121"/>
              <w:spacing w:after="0" w:line="240" w:lineRule="auto"/>
              <w:jc w:val="center"/>
              <w:rPr>
                <w:noProof/>
              </w:rPr>
            </w:pPr>
            <w:r>
              <w:rPr>
                <w:noProof/>
              </w:rPr>
              <w:t>Atskaites punkts</w:t>
            </w:r>
          </w:p>
        </w:tc>
        <w:tc>
          <w:tcPr>
            <w:tcW w:w="3480" w:type="dxa"/>
            <w:shd w:val="clear" w:color="auto" w:fill="C6EFCE"/>
            <w:tcMar>
              <w:left w:w="108" w:type="dxa"/>
              <w:right w:w="108" w:type="dxa"/>
            </w:tcMar>
            <w:vAlign w:val="center"/>
          </w:tcPr>
          <w:p w14:paraId="311CF614" w14:textId="77777777" w:rsidR="00327FF1" w:rsidRDefault="00E406C7">
            <w:pPr>
              <w:pStyle w:val="P68B1DB1-Normal121"/>
              <w:spacing w:after="0" w:line="240" w:lineRule="auto"/>
              <w:rPr>
                <w:noProof/>
              </w:rPr>
            </w:pPr>
            <w:r>
              <w:rPr>
                <w:noProof/>
              </w:rPr>
              <w:t>Kapitāla iepludināšana Zaļās pārkārtošanās fondā</w:t>
            </w:r>
          </w:p>
        </w:tc>
      </w:tr>
      <w:tr w:rsidR="00327FF1" w14:paraId="47B94D9E" w14:textId="77777777">
        <w:trPr>
          <w:trHeight w:val="300"/>
        </w:trPr>
        <w:tc>
          <w:tcPr>
            <w:tcW w:w="1140" w:type="dxa"/>
            <w:shd w:val="clear" w:color="auto" w:fill="C6EFCE"/>
            <w:tcMar>
              <w:left w:w="108" w:type="dxa"/>
              <w:right w:w="108" w:type="dxa"/>
            </w:tcMar>
            <w:vAlign w:val="center"/>
          </w:tcPr>
          <w:p w14:paraId="41AF4328" w14:textId="77777777" w:rsidR="00327FF1" w:rsidRDefault="00E406C7">
            <w:pPr>
              <w:pStyle w:val="P68B1DB1-Normal121"/>
              <w:spacing w:after="0" w:line="240" w:lineRule="auto"/>
              <w:jc w:val="center"/>
              <w:rPr>
                <w:noProof/>
              </w:rPr>
            </w:pPr>
            <w:r>
              <w:rPr>
                <w:noProof/>
              </w:rPr>
              <w:t>M2C2–44</w:t>
            </w:r>
          </w:p>
        </w:tc>
        <w:tc>
          <w:tcPr>
            <w:tcW w:w="3628" w:type="dxa"/>
            <w:shd w:val="clear" w:color="auto" w:fill="C6EFCE"/>
            <w:tcMar>
              <w:left w:w="108" w:type="dxa"/>
              <w:right w:w="108" w:type="dxa"/>
            </w:tcMar>
            <w:vAlign w:val="center"/>
          </w:tcPr>
          <w:p w14:paraId="7BB04027" w14:textId="77777777" w:rsidR="00327FF1" w:rsidRDefault="00E406C7">
            <w:pPr>
              <w:pStyle w:val="P68B1DB1-Normal121"/>
              <w:spacing w:after="0" w:line="240" w:lineRule="auto"/>
              <w:rPr>
                <w:noProof/>
              </w:rPr>
            </w:pPr>
            <w:r>
              <w:rPr>
                <w:noProof/>
              </w:rPr>
              <w:t>Investīcija 1.1. Agrovoltaisko sistēmu attīstība</w:t>
            </w:r>
          </w:p>
        </w:tc>
        <w:tc>
          <w:tcPr>
            <w:tcW w:w="1110" w:type="dxa"/>
            <w:shd w:val="clear" w:color="auto" w:fill="C6EFCE"/>
            <w:tcMar>
              <w:left w:w="108" w:type="dxa"/>
              <w:right w:w="108" w:type="dxa"/>
            </w:tcMar>
            <w:vAlign w:val="center"/>
          </w:tcPr>
          <w:p w14:paraId="339A0437" w14:textId="77777777" w:rsidR="00327FF1" w:rsidRDefault="00E406C7">
            <w:pPr>
              <w:pStyle w:val="P68B1DB1-Normal121"/>
              <w:spacing w:after="0" w:line="240" w:lineRule="auto"/>
              <w:jc w:val="center"/>
              <w:rPr>
                <w:noProof/>
              </w:rPr>
            </w:pPr>
            <w:r>
              <w:rPr>
                <w:noProof/>
              </w:rPr>
              <w:t>Atskaites punkts</w:t>
            </w:r>
          </w:p>
        </w:tc>
        <w:tc>
          <w:tcPr>
            <w:tcW w:w="3480" w:type="dxa"/>
            <w:shd w:val="clear" w:color="auto" w:fill="C6EFCE"/>
            <w:tcMar>
              <w:left w:w="108" w:type="dxa"/>
              <w:right w:w="108" w:type="dxa"/>
            </w:tcMar>
            <w:vAlign w:val="center"/>
          </w:tcPr>
          <w:p w14:paraId="36A0891F" w14:textId="77777777" w:rsidR="00327FF1" w:rsidRDefault="00E406C7">
            <w:pPr>
              <w:pStyle w:val="P68B1DB1-Normal121"/>
              <w:spacing w:after="0" w:line="240" w:lineRule="auto"/>
              <w:rPr>
                <w:noProof/>
              </w:rPr>
            </w:pPr>
            <w:r>
              <w:rPr>
                <w:noProof/>
              </w:rPr>
              <w:t>Visu publiskā iepirkuma līgumu slēgšanas tiesību piešķiršana saules</w:t>
            </w:r>
            <w:r>
              <w:rPr>
                <w:noProof/>
              </w:rPr>
              <w:t xml:space="preserve"> fotoelementu paneļu uzstādīšanai agrovoltuālās sistēmās</w:t>
            </w:r>
          </w:p>
        </w:tc>
      </w:tr>
      <w:tr w:rsidR="00327FF1" w14:paraId="204D2A24" w14:textId="77777777">
        <w:trPr>
          <w:trHeight w:val="300"/>
        </w:trPr>
        <w:tc>
          <w:tcPr>
            <w:tcW w:w="1140" w:type="dxa"/>
            <w:shd w:val="clear" w:color="auto" w:fill="C6EFCE"/>
            <w:tcMar>
              <w:left w:w="108" w:type="dxa"/>
              <w:right w:w="108" w:type="dxa"/>
            </w:tcMar>
            <w:vAlign w:val="center"/>
          </w:tcPr>
          <w:p w14:paraId="2AE37AB2" w14:textId="77777777" w:rsidR="00327FF1" w:rsidRDefault="00E406C7">
            <w:pPr>
              <w:pStyle w:val="P68B1DB1-Normal121"/>
              <w:spacing w:after="0" w:line="240" w:lineRule="auto"/>
              <w:jc w:val="center"/>
              <w:rPr>
                <w:noProof/>
              </w:rPr>
            </w:pPr>
            <w:r>
              <w:rPr>
                <w:noProof/>
              </w:rPr>
              <w:t>M2C4–22</w:t>
            </w:r>
          </w:p>
        </w:tc>
        <w:tc>
          <w:tcPr>
            <w:tcW w:w="3628" w:type="dxa"/>
            <w:shd w:val="clear" w:color="auto" w:fill="C6EFCE"/>
            <w:tcMar>
              <w:left w:w="108" w:type="dxa"/>
              <w:right w:w="108" w:type="dxa"/>
            </w:tcMar>
            <w:vAlign w:val="center"/>
          </w:tcPr>
          <w:p w14:paraId="73E6BF66" w14:textId="77777777" w:rsidR="00327FF1" w:rsidRDefault="00E406C7">
            <w:pPr>
              <w:pStyle w:val="P68B1DB1-Normal121"/>
              <w:spacing w:after="0" w:line="240" w:lineRule="auto"/>
              <w:rPr>
                <w:noProof/>
              </w:rPr>
            </w:pPr>
            <w:r>
              <w:rPr>
                <w:noProof/>
              </w:rPr>
              <w:t>Investīcija Nr. 3.3. Po apgabala pārveidošana</w:t>
            </w:r>
          </w:p>
        </w:tc>
        <w:tc>
          <w:tcPr>
            <w:tcW w:w="1110" w:type="dxa"/>
            <w:shd w:val="clear" w:color="auto" w:fill="C6EFCE"/>
            <w:tcMar>
              <w:left w:w="108" w:type="dxa"/>
              <w:right w:w="108" w:type="dxa"/>
            </w:tcMar>
            <w:vAlign w:val="center"/>
          </w:tcPr>
          <w:p w14:paraId="7649A9DB"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030635DE" w14:textId="77777777" w:rsidR="00327FF1" w:rsidRDefault="00E406C7">
            <w:pPr>
              <w:pStyle w:val="P68B1DB1-Normal121"/>
              <w:spacing w:after="0" w:line="240" w:lineRule="auto"/>
              <w:rPr>
                <w:noProof/>
              </w:rPr>
            </w:pPr>
            <w:r>
              <w:rPr>
                <w:noProof/>
              </w:rPr>
              <w:t xml:space="preserve">Upes gultnes mākslīguma samazināšana Po apgabala T1 atjaunošanai </w:t>
            </w:r>
          </w:p>
        </w:tc>
      </w:tr>
      <w:tr w:rsidR="00327FF1" w14:paraId="532D4097" w14:textId="77777777">
        <w:trPr>
          <w:trHeight w:val="300"/>
        </w:trPr>
        <w:tc>
          <w:tcPr>
            <w:tcW w:w="1140" w:type="dxa"/>
            <w:shd w:val="clear" w:color="auto" w:fill="C6EFCE"/>
            <w:tcMar>
              <w:left w:w="108" w:type="dxa"/>
              <w:right w:w="108" w:type="dxa"/>
            </w:tcMar>
            <w:vAlign w:val="center"/>
          </w:tcPr>
          <w:p w14:paraId="4B566C2A" w14:textId="77777777" w:rsidR="00327FF1" w:rsidRDefault="00E406C7">
            <w:pPr>
              <w:pStyle w:val="P68B1DB1-Normal121"/>
              <w:spacing w:after="0" w:line="240" w:lineRule="auto"/>
              <w:jc w:val="center"/>
              <w:rPr>
                <w:noProof/>
              </w:rPr>
            </w:pPr>
            <w:r>
              <w:rPr>
                <w:noProof/>
              </w:rPr>
              <w:t>M2C4–31</w:t>
            </w:r>
          </w:p>
        </w:tc>
        <w:tc>
          <w:tcPr>
            <w:tcW w:w="3628" w:type="dxa"/>
            <w:shd w:val="clear" w:color="auto" w:fill="C6EFCE"/>
            <w:tcMar>
              <w:left w:w="108" w:type="dxa"/>
              <w:right w:w="108" w:type="dxa"/>
            </w:tcMar>
            <w:vAlign w:val="center"/>
          </w:tcPr>
          <w:p w14:paraId="4D8063DE" w14:textId="77777777" w:rsidR="00327FF1" w:rsidRDefault="00E406C7">
            <w:pPr>
              <w:pStyle w:val="P68B1DB1-Normal121"/>
              <w:spacing w:after="0" w:line="240" w:lineRule="auto"/>
              <w:rPr>
                <w:noProof/>
              </w:rPr>
            </w:pPr>
            <w:r>
              <w:rPr>
                <w:noProof/>
              </w:rPr>
              <w:t xml:space="preserve">Investīciju 4.2: Zudumu samazināšana ūdens sadales tīklos, </w:t>
            </w:r>
            <w:r>
              <w:rPr>
                <w:noProof/>
              </w:rPr>
              <w:t>tostarp tīklu digitalizācija un monitorings</w:t>
            </w:r>
          </w:p>
        </w:tc>
        <w:tc>
          <w:tcPr>
            <w:tcW w:w="1110" w:type="dxa"/>
            <w:shd w:val="clear" w:color="auto" w:fill="C6EFCE"/>
            <w:tcMar>
              <w:left w:w="108" w:type="dxa"/>
              <w:right w:w="108" w:type="dxa"/>
            </w:tcMar>
            <w:vAlign w:val="center"/>
          </w:tcPr>
          <w:p w14:paraId="518428F8"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56248C75" w14:textId="77777777" w:rsidR="00327FF1" w:rsidRDefault="00E406C7">
            <w:pPr>
              <w:pStyle w:val="P68B1DB1-Normal121"/>
              <w:spacing w:after="0" w:line="240" w:lineRule="auto"/>
              <w:rPr>
                <w:noProof/>
              </w:rPr>
            </w:pPr>
            <w:r>
              <w:rPr>
                <w:noProof/>
              </w:rPr>
              <w:t>Intervences ūdens sadales tīklos, tostarp T1 tīklu digitalizācija un monitorings</w:t>
            </w:r>
          </w:p>
        </w:tc>
      </w:tr>
      <w:tr w:rsidR="00327FF1" w14:paraId="4BD323AB" w14:textId="77777777">
        <w:trPr>
          <w:trHeight w:val="300"/>
        </w:trPr>
        <w:tc>
          <w:tcPr>
            <w:tcW w:w="1140" w:type="dxa"/>
            <w:shd w:val="clear" w:color="auto" w:fill="C6EFCE"/>
            <w:tcMar>
              <w:left w:w="108" w:type="dxa"/>
              <w:right w:w="108" w:type="dxa"/>
            </w:tcMar>
            <w:vAlign w:val="center"/>
          </w:tcPr>
          <w:p w14:paraId="0A13C3C4" w14:textId="77777777" w:rsidR="00327FF1" w:rsidRDefault="00E406C7">
            <w:pPr>
              <w:pStyle w:val="P68B1DB1-Normal121"/>
              <w:spacing w:after="0" w:line="240" w:lineRule="auto"/>
              <w:jc w:val="center"/>
              <w:rPr>
                <w:noProof/>
              </w:rPr>
            </w:pPr>
            <w:r>
              <w:rPr>
                <w:noProof/>
              </w:rPr>
              <w:t>M2C4–34</w:t>
            </w:r>
          </w:p>
        </w:tc>
        <w:tc>
          <w:tcPr>
            <w:tcW w:w="3628" w:type="dxa"/>
            <w:shd w:val="clear" w:color="auto" w:fill="C6EFCE"/>
            <w:tcMar>
              <w:left w:w="108" w:type="dxa"/>
              <w:right w:w="108" w:type="dxa"/>
            </w:tcMar>
            <w:vAlign w:val="center"/>
          </w:tcPr>
          <w:p w14:paraId="3349E0B0" w14:textId="77777777" w:rsidR="00327FF1" w:rsidRDefault="00E406C7">
            <w:pPr>
              <w:pStyle w:val="P68B1DB1-Normal121"/>
              <w:spacing w:after="0" w:line="240" w:lineRule="auto"/>
              <w:rPr>
                <w:noProof/>
              </w:rPr>
            </w:pPr>
            <w:r>
              <w:rPr>
                <w:noProof/>
              </w:rPr>
              <w:t>Investīcija 4.3. Ieguldījumi apūdeņošanas agrosistēmas noturībā labākai ūdens resursu pārvaldībai</w:t>
            </w:r>
          </w:p>
        </w:tc>
        <w:tc>
          <w:tcPr>
            <w:tcW w:w="1110" w:type="dxa"/>
            <w:shd w:val="clear" w:color="auto" w:fill="C6EFCE"/>
            <w:tcMar>
              <w:left w:w="108" w:type="dxa"/>
              <w:right w:w="108" w:type="dxa"/>
            </w:tcMar>
            <w:vAlign w:val="center"/>
          </w:tcPr>
          <w:p w14:paraId="343D9967"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3A32D99D" w14:textId="77777777" w:rsidR="00327FF1" w:rsidRDefault="00E406C7">
            <w:pPr>
              <w:pStyle w:val="P68B1DB1-Normal121"/>
              <w:spacing w:after="0" w:line="240" w:lineRule="auto"/>
              <w:rPr>
                <w:noProof/>
              </w:rPr>
            </w:pPr>
            <w:r>
              <w:rPr>
                <w:noProof/>
              </w:rPr>
              <w:t xml:space="preserve">Intervences </w:t>
            </w:r>
            <w:r>
              <w:rPr>
                <w:noProof/>
              </w:rPr>
              <w:t>apūdeņošanas agrosistēmas izturētspējai ūdens resursu labākai apsaimniekošanai T1</w:t>
            </w:r>
          </w:p>
        </w:tc>
      </w:tr>
      <w:tr w:rsidR="00327FF1" w14:paraId="4D30A6E5" w14:textId="77777777">
        <w:trPr>
          <w:trHeight w:val="300"/>
        </w:trPr>
        <w:tc>
          <w:tcPr>
            <w:tcW w:w="1140" w:type="dxa"/>
            <w:shd w:val="clear" w:color="auto" w:fill="C6EFCE"/>
            <w:tcMar>
              <w:left w:w="108" w:type="dxa"/>
              <w:right w:w="108" w:type="dxa"/>
            </w:tcMar>
            <w:vAlign w:val="center"/>
          </w:tcPr>
          <w:p w14:paraId="7E0C2378" w14:textId="77777777" w:rsidR="00327FF1" w:rsidRDefault="00E406C7">
            <w:pPr>
              <w:pStyle w:val="P68B1DB1-Normal121"/>
              <w:spacing w:after="0" w:line="240" w:lineRule="auto"/>
              <w:jc w:val="center"/>
              <w:rPr>
                <w:noProof/>
              </w:rPr>
            </w:pPr>
            <w:r>
              <w:rPr>
                <w:noProof/>
              </w:rPr>
              <w:t>M2C4–35</w:t>
            </w:r>
          </w:p>
        </w:tc>
        <w:tc>
          <w:tcPr>
            <w:tcW w:w="3628" w:type="dxa"/>
            <w:shd w:val="clear" w:color="auto" w:fill="C6EFCE"/>
            <w:tcMar>
              <w:left w:w="108" w:type="dxa"/>
              <w:right w:w="108" w:type="dxa"/>
            </w:tcMar>
            <w:vAlign w:val="center"/>
          </w:tcPr>
          <w:p w14:paraId="32B9B652" w14:textId="77777777" w:rsidR="00327FF1" w:rsidRDefault="00E406C7">
            <w:pPr>
              <w:pStyle w:val="P68B1DB1-Normal121"/>
              <w:spacing w:after="0" w:line="240" w:lineRule="auto"/>
              <w:rPr>
                <w:noProof/>
              </w:rPr>
            </w:pPr>
            <w:r>
              <w:rPr>
                <w:noProof/>
              </w:rPr>
              <w:t>Investīcija 4.3. Ieguldījumi apūdeņošanas agrosistēmas noturībā labākai ūdens resursu pārvaldībai</w:t>
            </w:r>
          </w:p>
        </w:tc>
        <w:tc>
          <w:tcPr>
            <w:tcW w:w="1110" w:type="dxa"/>
            <w:shd w:val="clear" w:color="auto" w:fill="C6EFCE"/>
            <w:tcMar>
              <w:left w:w="108" w:type="dxa"/>
              <w:right w:w="108" w:type="dxa"/>
            </w:tcMar>
            <w:vAlign w:val="center"/>
          </w:tcPr>
          <w:p w14:paraId="199427DB"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63C9BBA5" w14:textId="77777777" w:rsidR="00327FF1" w:rsidRDefault="00E406C7">
            <w:pPr>
              <w:pStyle w:val="P68B1DB1-Normal121"/>
              <w:spacing w:after="0" w:line="240" w:lineRule="auto"/>
              <w:rPr>
                <w:noProof/>
              </w:rPr>
            </w:pPr>
            <w:r>
              <w:rPr>
                <w:noProof/>
              </w:rPr>
              <w:t xml:space="preserve">Intervences apūdeņošanas agrosistēmas izturētspējai ūdens </w:t>
            </w:r>
            <w:r>
              <w:rPr>
                <w:noProof/>
              </w:rPr>
              <w:t>resursu labākai apsaimniekošanai T1</w:t>
            </w:r>
          </w:p>
        </w:tc>
      </w:tr>
      <w:tr w:rsidR="00327FF1" w14:paraId="6FC9E110" w14:textId="77777777">
        <w:trPr>
          <w:trHeight w:val="300"/>
        </w:trPr>
        <w:tc>
          <w:tcPr>
            <w:tcW w:w="1140" w:type="dxa"/>
            <w:shd w:val="clear" w:color="auto" w:fill="C6EFCE"/>
            <w:tcMar>
              <w:left w:w="108" w:type="dxa"/>
              <w:right w:w="108" w:type="dxa"/>
            </w:tcMar>
            <w:vAlign w:val="center"/>
          </w:tcPr>
          <w:p w14:paraId="5E7F85FE" w14:textId="77777777" w:rsidR="00327FF1" w:rsidRDefault="00E406C7">
            <w:pPr>
              <w:pStyle w:val="P68B1DB1-Normal121"/>
              <w:spacing w:after="0" w:line="240" w:lineRule="auto"/>
              <w:jc w:val="center"/>
              <w:rPr>
                <w:noProof/>
              </w:rPr>
            </w:pPr>
            <w:r>
              <w:rPr>
                <w:noProof/>
              </w:rPr>
              <w:t>M3C1–15</w:t>
            </w:r>
          </w:p>
        </w:tc>
        <w:tc>
          <w:tcPr>
            <w:tcW w:w="3628" w:type="dxa"/>
            <w:shd w:val="clear" w:color="auto" w:fill="C6EFCE"/>
            <w:tcMar>
              <w:left w:w="108" w:type="dxa"/>
              <w:right w:w="108" w:type="dxa"/>
            </w:tcMar>
            <w:vAlign w:val="center"/>
          </w:tcPr>
          <w:p w14:paraId="5D444334" w14:textId="77777777" w:rsidR="00327FF1" w:rsidRDefault="00E406C7">
            <w:pPr>
              <w:pStyle w:val="P68B1DB1-Normal121"/>
              <w:spacing w:after="0" w:line="240" w:lineRule="auto"/>
              <w:rPr>
                <w:noProof/>
              </w:rPr>
            </w:pPr>
            <w:r>
              <w:rPr>
                <w:noProof/>
              </w:rPr>
              <w:t>Investīcija 1.5. “Lielpilsētu mezglu un galveno valstu savienojumu stiprināšana”</w:t>
            </w:r>
          </w:p>
        </w:tc>
        <w:tc>
          <w:tcPr>
            <w:tcW w:w="1110" w:type="dxa"/>
            <w:shd w:val="clear" w:color="auto" w:fill="C6EFCE"/>
            <w:tcMar>
              <w:left w:w="108" w:type="dxa"/>
              <w:right w:w="108" w:type="dxa"/>
            </w:tcMar>
            <w:vAlign w:val="center"/>
          </w:tcPr>
          <w:p w14:paraId="1ED30B3E"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21630BD6" w14:textId="77777777" w:rsidR="00327FF1" w:rsidRDefault="00E406C7">
            <w:pPr>
              <w:pStyle w:val="P68B1DB1-Normal121"/>
              <w:spacing w:after="0" w:line="240" w:lineRule="auto"/>
              <w:rPr>
                <w:noProof/>
              </w:rPr>
            </w:pPr>
            <w:r>
              <w:rPr>
                <w:noProof/>
              </w:rPr>
              <w:t>700 km modernizētu līniju posmu, kas būvēti lielpilsētu mezglos un galvenajos valstu savienojumos</w:t>
            </w:r>
          </w:p>
        </w:tc>
      </w:tr>
      <w:tr w:rsidR="00327FF1" w14:paraId="0266AC1C" w14:textId="77777777">
        <w:trPr>
          <w:trHeight w:val="300"/>
        </w:trPr>
        <w:tc>
          <w:tcPr>
            <w:tcW w:w="1140" w:type="dxa"/>
            <w:shd w:val="clear" w:color="auto" w:fill="C6EFCE"/>
            <w:tcMar>
              <w:left w:w="108" w:type="dxa"/>
              <w:right w:w="108" w:type="dxa"/>
            </w:tcMar>
            <w:vAlign w:val="center"/>
          </w:tcPr>
          <w:p w14:paraId="2ECC183A" w14:textId="77777777" w:rsidR="00327FF1" w:rsidRDefault="00E406C7">
            <w:pPr>
              <w:pStyle w:val="P68B1DB1-Normal121"/>
              <w:spacing w:after="0" w:line="240" w:lineRule="auto"/>
              <w:jc w:val="center"/>
              <w:rPr>
                <w:noProof/>
              </w:rPr>
            </w:pPr>
            <w:r>
              <w:rPr>
                <w:noProof/>
              </w:rPr>
              <w:t>M3C1–19</w:t>
            </w:r>
          </w:p>
        </w:tc>
        <w:tc>
          <w:tcPr>
            <w:tcW w:w="3628" w:type="dxa"/>
            <w:shd w:val="clear" w:color="auto" w:fill="C6EFCE"/>
            <w:tcMar>
              <w:left w:w="108" w:type="dxa"/>
              <w:right w:w="108" w:type="dxa"/>
            </w:tcMar>
            <w:vAlign w:val="center"/>
          </w:tcPr>
          <w:p w14:paraId="66CA34D2" w14:textId="77777777" w:rsidR="00327FF1" w:rsidRDefault="00E406C7">
            <w:pPr>
              <w:pStyle w:val="P68B1DB1-Normal121"/>
              <w:spacing w:after="0" w:line="240" w:lineRule="auto"/>
              <w:rPr>
                <w:noProof/>
              </w:rPr>
            </w:pPr>
            <w:r>
              <w:rPr>
                <w:noProof/>
              </w:rPr>
              <w:t>Investīcija. Dzel</w:t>
            </w:r>
            <w:r>
              <w:rPr>
                <w:noProof/>
              </w:rPr>
              <w:t>zceļa staciju modernizācija (RFI pārvaldība; dienvidos)</w:t>
            </w:r>
          </w:p>
        </w:tc>
        <w:tc>
          <w:tcPr>
            <w:tcW w:w="1110" w:type="dxa"/>
            <w:shd w:val="clear" w:color="auto" w:fill="C6EFCE"/>
            <w:tcMar>
              <w:left w:w="108" w:type="dxa"/>
              <w:right w:w="108" w:type="dxa"/>
            </w:tcMar>
            <w:vAlign w:val="center"/>
          </w:tcPr>
          <w:p w14:paraId="76594EA0"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5B2A575F" w14:textId="77777777" w:rsidR="00327FF1" w:rsidRDefault="00E406C7">
            <w:pPr>
              <w:pStyle w:val="P68B1DB1-Normal121"/>
              <w:spacing w:after="0" w:line="240" w:lineRule="auto"/>
              <w:rPr>
                <w:noProof/>
              </w:rPr>
            </w:pPr>
            <w:r>
              <w:rPr>
                <w:noProof/>
              </w:rPr>
              <w:t>Modernizētas un pieejamas dzelzceļa stacijas</w:t>
            </w:r>
          </w:p>
        </w:tc>
      </w:tr>
      <w:tr w:rsidR="00327FF1" w14:paraId="5855CE2D" w14:textId="77777777">
        <w:trPr>
          <w:trHeight w:val="300"/>
        </w:trPr>
        <w:tc>
          <w:tcPr>
            <w:tcW w:w="1140" w:type="dxa"/>
            <w:shd w:val="clear" w:color="auto" w:fill="C6EFCE"/>
            <w:tcMar>
              <w:left w:w="108" w:type="dxa"/>
              <w:right w:w="108" w:type="dxa"/>
            </w:tcMar>
            <w:vAlign w:val="center"/>
          </w:tcPr>
          <w:p w14:paraId="37E5646C" w14:textId="77777777" w:rsidR="00327FF1" w:rsidRDefault="00E406C7">
            <w:pPr>
              <w:pStyle w:val="P68B1DB1-Normal121"/>
              <w:spacing w:after="0" w:line="240" w:lineRule="auto"/>
              <w:jc w:val="center"/>
              <w:rPr>
                <w:noProof/>
              </w:rPr>
            </w:pPr>
            <w:r>
              <w:rPr>
                <w:noProof/>
              </w:rPr>
              <w:t>M4C2–21bis</w:t>
            </w:r>
          </w:p>
        </w:tc>
        <w:tc>
          <w:tcPr>
            <w:tcW w:w="3628" w:type="dxa"/>
            <w:shd w:val="clear" w:color="auto" w:fill="C6EFCE"/>
            <w:tcMar>
              <w:left w:w="108" w:type="dxa"/>
              <w:right w:w="108" w:type="dxa"/>
            </w:tcMar>
            <w:vAlign w:val="center"/>
          </w:tcPr>
          <w:p w14:paraId="764A4A31" w14:textId="77777777" w:rsidR="00327FF1" w:rsidRDefault="00E406C7">
            <w:pPr>
              <w:pStyle w:val="P68B1DB1-Normal121"/>
              <w:spacing w:after="0" w:line="240" w:lineRule="auto"/>
              <w:rPr>
                <w:noProof/>
              </w:rPr>
            </w:pPr>
            <w:r>
              <w:rPr>
                <w:noProof/>
              </w:rPr>
              <w:t>Investīcija 3.2. Kapitāla iepludināšana Digitālās pārkārtošanās fondā (“DTF”)</w:t>
            </w:r>
          </w:p>
        </w:tc>
        <w:tc>
          <w:tcPr>
            <w:tcW w:w="1110" w:type="dxa"/>
            <w:shd w:val="clear" w:color="auto" w:fill="C6EFCE"/>
            <w:tcMar>
              <w:left w:w="108" w:type="dxa"/>
              <w:right w:w="108" w:type="dxa"/>
            </w:tcMar>
            <w:vAlign w:val="center"/>
          </w:tcPr>
          <w:p w14:paraId="1B0D2B2B" w14:textId="77777777" w:rsidR="00327FF1" w:rsidRDefault="00E406C7">
            <w:pPr>
              <w:pStyle w:val="P68B1DB1-Normal121"/>
              <w:spacing w:after="0" w:line="240" w:lineRule="auto"/>
              <w:jc w:val="center"/>
              <w:rPr>
                <w:noProof/>
              </w:rPr>
            </w:pPr>
            <w:r>
              <w:rPr>
                <w:noProof/>
              </w:rPr>
              <w:t>Atskaites punkts</w:t>
            </w:r>
          </w:p>
        </w:tc>
        <w:tc>
          <w:tcPr>
            <w:tcW w:w="3480" w:type="dxa"/>
            <w:shd w:val="clear" w:color="auto" w:fill="C6EFCE"/>
            <w:tcMar>
              <w:left w:w="108" w:type="dxa"/>
              <w:right w:w="108" w:type="dxa"/>
            </w:tcMar>
            <w:vAlign w:val="center"/>
          </w:tcPr>
          <w:p w14:paraId="633DE3B7" w14:textId="77777777" w:rsidR="00327FF1" w:rsidRDefault="00E406C7">
            <w:pPr>
              <w:pStyle w:val="P68B1DB1-Normal121"/>
              <w:spacing w:after="0" w:line="240" w:lineRule="auto"/>
              <w:rPr>
                <w:noProof/>
              </w:rPr>
            </w:pPr>
            <w:r>
              <w:rPr>
                <w:noProof/>
              </w:rPr>
              <w:t xml:space="preserve">Kapitāla iepludināšana Digitālās </w:t>
            </w:r>
            <w:r>
              <w:rPr>
                <w:noProof/>
              </w:rPr>
              <w:t>pārkārtošanās fondā</w:t>
            </w:r>
          </w:p>
        </w:tc>
      </w:tr>
      <w:tr w:rsidR="00327FF1" w14:paraId="19EE13A7" w14:textId="77777777">
        <w:trPr>
          <w:trHeight w:val="300"/>
        </w:trPr>
        <w:tc>
          <w:tcPr>
            <w:tcW w:w="1140" w:type="dxa"/>
            <w:shd w:val="clear" w:color="auto" w:fill="C6EFCE"/>
            <w:tcMar>
              <w:left w:w="108" w:type="dxa"/>
              <w:right w:w="108" w:type="dxa"/>
            </w:tcMar>
            <w:vAlign w:val="center"/>
          </w:tcPr>
          <w:p w14:paraId="6ED3875C" w14:textId="77777777" w:rsidR="00327FF1" w:rsidRDefault="00E406C7">
            <w:pPr>
              <w:pStyle w:val="P68B1DB1-Normal121"/>
              <w:spacing w:after="0" w:line="240" w:lineRule="auto"/>
              <w:jc w:val="center"/>
              <w:rPr>
                <w:noProof/>
              </w:rPr>
            </w:pPr>
            <w:r>
              <w:rPr>
                <w:noProof/>
              </w:rPr>
              <w:t>M5C3–12</w:t>
            </w:r>
          </w:p>
        </w:tc>
        <w:tc>
          <w:tcPr>
            <w:tcW w:w="3628" w:type="dxa"/>
            <w:shd w:val="clear" w:color="auto" w:fill="C6EFCE"/>
            <w:tcMar>
              <w:left w:w="108" w:type="dxa"/>
              <w:right w:w="108" w:type="dxa"/>
            </w:tcMar>
            <w:vAlign w:val="center"/>
          </w:tcPr>
          <w:p w14:paraId="43FCCDA8" w14:textId="77777777" w:rsidR="00327FF1" w:rsidRDefault="00E406C7">
            <w:pPr>
              <w:pStyle w:val="P68B1DB1-Normal121"/>
              <w:spacing w:after="0" w:line="240" w:lineRule="auto"/>
              <w:rPr>
                <w:noProof/>
              </w:rPr>
            </w:pPr>
            <w:r>
              <w:rPr>
                <w:noProof/>
              </w:rPr>
              <w:t>Investīcija Nr. 1.4: Ieguldījumi speciālajā ekonomiskajā zonā infrastruktūrā</w:t>
            </w:r>
          </w:p>
        </w:tc>
        <w:tc>
          <w:tcPr>
            <w:tcW w:w="1110" w:type="dxa"/>
            <w:shd w:val="clear" w:color="auto" w:fill="C6EFCE"/>
            <w:tcMar>
              <w:left w:w="108" w:type="dxa"/>
              <w:right w:w="108" w:type="dxa"/>
            </w:tcMar>
            <w:vAlign w:val="center"/>
          </w:tcPr>
          <w:p w14:paraId="546A7BF9"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1422E669" w14:textId="77777777" w:rsidR="00327FF1" w:rsidRDefault="00E406C7">
            <w:pPr>
              <w:pStyle w:val="P68B1DB1-Normal121"/>
              <w:spacing w:after="0" w:line="240" w:lineRule="auto"/>
              <w:rPr>
                <w:noProof/>
              </w:rPr>
            </w:pPr>
            <w:r>
              <w:rPr>
                <w:noProof/>
              </w:rPr>
              <w:t>Darbu sākšana infrastruktūras intervences projektiem speciālajās ekonomiskajās zonās</w:t>
            </w:r>
          </w:p>
        </w:tc>
      </w:tr>
      <w:tr w:rsidR="00327FF1" w14:paraId="0B735BB3" w14:textId="77777777">
        <w:trPr>
          <w:trHeight w:val="300"/>
        </w:trPr>
        <w:tc>
          <w:tcPr>
            <w:tcW w:w="1140" w:type="dxa"/>
            <w:shd w:val="clear" w:color="auto" w:fill="C6EFCE"/>
            <w:tcMar>
              <w:left w:w="108" w:type="dxa"/>
              <w:right w:w="108" w:type="dxa"/>
            </w:tcMar>
            <w:vAlign w:val="center"/>
          </w:tcPr>
          <w:p w14:paraId="5D74A869" w14:textId="77777777" w:rsidR="00327FF1" w:rsidRDefault="00E406C7">
            <w:pPr>
              <w:pStyle w:val="P68B1DB1-Normal121"/>
              <w:spacing w:after="0" w:line="240" w:lineRule="auto"/>
              <w:jc w:val="center"/>
              <w:rPr>
                <w:noProof/>
              </w:rPr>
            </w:pPr>
            <w:r>
              <w:rPr>
                <w:noProof/>
              </w:rPr>
              <w:t>M6C1–7</w:t>
            </w:r>
          </w:p>
        </w:tc>
        <w:tc>
          <w:tcPr>
            <w:tcW w:w="3628" w:type="dxa"/>
            <w:shd w:val="clear" w:color="auto" w:fill="C6EFCE"/>
            <w:tcMar>
              <w:left w:w="108" w:type="dxa"/>
              <w:right w:w="108" w:type="dxa"/>
            </w:tcMar>
            <w:vAlign w:val="center"/>
          </w:tcPr>
          <w:p w14:paraId="5F6DAD91" w14:textId="77777777" w:rsidR="00327FF1" w:rsidRDefault="00E406C7">
            <w:pPr>
              <w:pStyle w:val="P68B1DB1-Normal121"/>
              <w:spacing w:after="0" w:line="240" w:lineRule="auto"/>
              <w:rPr>
                <w:noProof/>
              </w:rPr>
            </w:pPr>
            <w:r>
              <w:rPr>
                <w:noProof/>
              </w:rPr>
              <w:t xml:space="preserve">Ieguldījums 1.2. Mājas kā pirmā aprūpes un </w:t>
            </w:r>
            <w:r>
              <w:rPr>
                <w:noProof/>
              </w:rPr>
              <w:t>telemedicīnas vieta</w:t>
            </w:r>
          </w:p>
        </w:tc>
        <w:tc>
          <w:tcPr>
            <w:tcW w:w="1110" w:type="dxa"/>
            <w:shd w:val="clear" w:color="auto" w:fill="C6EFCE"/>
            <w:tcMar>
              <w:left w:w="108" w:type="dxa"/>
              <w:right w:w="108" w:type="dxa"/>
            </w:tcMar>
            <w:vAlign w:val="center"/>
          </w:tcPr>
          <w:p w14:paraId="0DA88353"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14C2ACFE" w14:textId="77777777" w:rsidR="00327FF1" w:rsidRDefault="00E406C7">
            <w:pPr>
              <w:pStyle w:val="P68B1DB1-Normal121"/>
              <w:spacing w:after="0" w:line="240" w:lineRule="auto"/>
              <w:rPr>
                <w:noProof/>
              </w:rPr>
            </w:pPr>
            <w:r>
              <w:rPr>
                <w:noProof/>
              </w:rPr>
              <w:t>Pilnībā darboties spējīgi koordinācijas centri (otrā grupa)</w:t>
            </w:r>
          </w:p>
        </w:tc>
      </w:tr>
      <w:tr w:rsidR="00327FF1" w14:paraId="2B5E75DC" w14:textId="77777777">
        <w:trPr>
          <w:trHeight w:val="300"/>
        </w:trPr>
        <w:tc>
          <w:tcPr>
            <w:tcW w:w="1140" w:type="dxa"/>
            <w:shd w:val="clear" w:color="auto" w:fill="C6EFCE"/>
            <w:tcMar>
              <w:left w:w="108" w:type="dxa"/>
              <w:right w:w="108" w:type="dxa"/>
            </w:tcMar>
            <w:vAlign w:val="center"/>
          </w:tcPr>
          <w:p w14:paraId="6391AA2E" w14:textId="77777777" w:rsidR="00327FF1" w:rsidRDefault="00E406C7">
            <w:pPr>
              <w:pStyle w:val="P68B1DB1-Normal121"/>
              <w:spacing w:after="0" w:line="240" w:lineRule="auto"/>
              <w:jc w:val="center"/>
              <w:rPr>
                <w:noProof/>
              </w:rPr>
            </w:pPr>
            <w:r>
              <w:rPr>
                <w:noProof/>
              </w:rPr>
              <w:t>M7–43</w:t>
            </w:r>
          </w:p>
        </w:tc>
        <w:tc>
          <w:tcPr>
            <w:tcW w:w="3628" w:type="dxa"/>
            <w:shd w:val="clear" w:color="auto" w:fill="C6EFCE"/>
            <w:tcMar>
              <w:left w:w="108" w:type="dxa"/>
              <w:right w:w="108" w:type="dxa"/>
            </w:tcMar>
            <w:vAlign w:val="center"/>
          </w:tcPr>
          <w:p w14:paraId="663AA3D7" w14:textId="77777777" w:rsidR="00327FF1" w:rsidRDefault="00E406C7">
            <w:pPr>
              <w:pStyle w:val="P68B1DB1-Normal121"/>
              <w:spacing w:after="0" w:line="240" w:lineRule="auto"/>
              <w:rPr>
                <w:noProof/>
              </w:rPr>
            </w:pPr>
            <w:r>
              <w:rPr>
                <w:noProof/>
              </w:rPr>
              <w:t>Ieguldījums Nr. 16: Atbalsts MVU pašražošanai no atjaunojamiem enerģijas avotiem</w:t>
            </w:r>
          </w:p>
        </w:tc>
        <w:tc>
          <w:tcPr>
            <w:tcW w:w="1110" w:type="dxa"/>
            <w:shd w:val="clear" w:color="auto" w:fill="C6EFCE"/>
            <w:tcMar>
              <w:left w:w="108" w:type="dxa"/>
              <w:right w:w="108" w:type="dxa"/>
            </w:tcMar>
            <w:vAlign w:val="center"/>
          </w:tcPr>
          <w:p w14:paraId="72AC55FB" w14:textId="77777777" w:rsidR="00327FF1" w:rsidRDefault="00E406C7">
            <w:pPr>
              <w:pStyle w:val="P68B1DB1-Normal121"/>
              <w:spacing w:after="0" w:line="240" w:lineRule="auto"/>
              <w:jc w:val="center"/>
              <w:rPr>
                <w:noProof/>
              </w:rPr>
            </w:pPr>
            <w:r>
              <w:rPr>
                <w:noProof/>
              </w:rPr>
              <w:t>Atskaites punkts</w:t>
            </w:r>
          </w:p>
        </w:tc>
        <w:tc>
          <w:tcPr>
            <w:tcW w:w="3480" w:type="dxa"/>
            <w:shd w:val="clear" w:color="auto" w:fill="C6EFCE"/>
            <w:tcMar>
              <w:left w:w="108" w:type="dxa"/>
              <w:right w:w="108" w:type="dxa"/>
            </w:tcMar>
            <w:vAlign w:val="center"/>
          </w:tcPr>
          <w:p w14:paraId="586B6715" w14:textId="77777777" w:rsidR="00327FF1" w:rsidRDefault="00E406C7">
            <w:pPr>
              <w:pStyle w:val="P68B1DB1-Normal121"/>
              <w:spacing w:after="0" w:line="240" w:lineRule="auto"/>
              <w:rPr>
                <w:noProof/>
              </w:rPr>
            </w:pPr>
            <w:r>
              <w:rPr>
                <w:noProof/>
              </w:rPr>
              <w:t>Īstenošanas nolīgums</w:t>
            </w:r>
          </w:p>
        </w:tc>
      </w:tr>
      <w:tr w:rsidR="00327FF1" w14:paraId="2C3C5FE1" w14:textId="77777777">
        <w:trPr>
          <w:trHeight w:val="300"/>
        </w:trPr>
        <w:tc>
          <w:tcPr>
            <w:tcW w:w="1140" w:type="dxa"/>
            <w:shd w:val="clear" w:color="auto" w:fill="C6EFCE"/>
            <w:tcMar>
              <w:left w:w="108" w:type="dxa"/>
              <w:right w:w="108" w:type="dxa"/>
            </w:tcMar>
            <w:vAlign w:val="center"/>
          </w:tcPr>
          <w:p w14:paraId="61DC3B9B" w14:textId="77777777" w:rsidR="00327FF1" w:rsidRDefault="00E406C7">
            <w:pPr>
              <w:pStyle w:val="P68B1DB1-Normal121"/>
              <w:spacing w:after="0" w:line="240" w:lineRule="auto"/>
              <w:jc w:val="center"/>
              <w:rPr>
                <w:noProof/>
              </w:rPr>
            </w:pPr>
            <w:r>
              <w:rPr>
                <w:noProof/>
              </w:rPr>
              <w:t>M7–44</w:t>
            </w:r>
          </w:p>
        </w:tc>
        <w:tc>
          <w:tcPr>
            <w:tcW w:w="3628" w:type="dxa"/>
            <w:shd w:val="clear" w:color="auto" w:fill="C6EFCE"/>
            <w:tcMar>
              <w:left w:w="108" w:type="dxa"/>
              <w:right w:w="108" w:type="dxa"/>
            </w:tcMar>
            <w:vAlign w:val="center"/>
          </w:tcPr>
          <w:p w14:paraId="58E79C79" w14:textId="77777777" w:rsidR="00327FF1" w:rsidRDefault="00E406C7">
            <w:pPr>
              <w:pStyle w:val="P68B1DB1-Normal121"/>
              <w:spacing w:after="0" w:line="240" w:lineRule="auto"/>
              <w:rPr>
                <w:noProof/>
              </w:rPr>
            </w:pPr>
            <w:r>
              <w:rPr>
                <w:noProof/>
              </w:rPr>
              <w:t xml:space="preserve">Ieguldījums Nr. 16: Atbalsts MVU </w:t>
            </w:r>
            <w:r>
              <w:rPr>
                <w:noProof/>
              </w:rPr>
              <w:t>pašražošanai no atjaunojamiem enerģijas avotiem</w:t>
            </w:r>
          </w:p>
        </w:tc>
        <w:tc>
          <w:tcPr>
            <w:tcW w:w="1110" w:type="dxa"/>
            <w:shd w:val="clear" w:color="auto" w:fill="C6EFCE"/>
            <w:tcMar>
              <w:left w:w="108" w:type="dxa"/>
              <w:right w:w="108" w:type="dxa"/>
            </w:tcMar>
            <w:vAlign w:val="center"/>
          </w:tcPr>
          <w:p w14:paraId="486AAEC4" w14:textId="77777777" w:rsidR="00327FF1" w:rsidRDefault="00E406C7">
            <w:pPr>
              <w:pStyle w:val="P68B1DB1-Normal121"/>
              <w:spacing w:after="0" w:line="240" w:lineRule="auto"/>
              <w:jc w:val="center"/>
              <w:rPr>
                <w:noProof/>
              </w:rPr>
            </w:pPr>
            <w:r>
              <w:rPr>
                <w:noProof/>
              </w:rPr>
              <w:t>Atskaites punkts</w:t>
            </w:r>
          </w:p>
        </w:tc>
        <w:tc>
          <w:tcPr>
            <w:tcW w:w="3480" w:type="dxa"/>
            <w:shd w:val="clear" w:color="auto" w:fill="C6EFCE"/>
            <w:tcMar>
              <w:left w:w="108" w:type="dxa"/>
              <w:right w:w="108" w:type="dxa"/>
            </w:tcMar>
            <w:vAlign w:val="center"/>
          </w:tcPr>
          <w:p w14:paraId="3FBF62C1" w14:textId="77777777" w:rsidR="00327FF1" w:rsidRDefault="00E406C7">
            <w:pPr>
              <w:pStyle w:val="P68B1DB1-Normal121"/>
              <w:spacing w:after="0" w:line="240" w:lineRule="auto"/>
              <w:rPr>
                <w:noProof/>
              </w:rPr>
            </w:pPr>
            <w:r>
              <w:rPr>
                <w:noProof/>
              </w:rPr>
              <w:t>Itālijas Uzņēmumu un ražotāju ministrija ir pabeigusi līdzekļu pārskaitīšanu Invitalia</w:t>
            </w:r>
          </w:p>
        </w:tc>
      </w:tr>
      <w:tr w:rsidR="00327FF1" w14:paraId="0B29B6FE" w14:textId="77777777">
        <w:trPr>
          <w:trHeight w:val="300"/>
        </w:trPr>
        <w:tc>
          <w:tcPr>
            <w:tcW w:w="1140" w:type="dxa"/>
            <w:shd w:val="clear" w:color="auto" w:fill="C6EFCE"/>
            <w:tcMar>
              <w:left w:w="108" w:type="dxa"/>
              <w:right w:w="108" w:type="dxa"/>
            </w:tcMar>
            <w:vAlign w:val="center"/>
          </w:tcPr>
          <w:p w14:paraId="23370572" w14:textId="77777777" w:rsidR="00327FF1" w:rsidRDefault="00E406C7">
            <w:pPr>
              <w:pStyle w:val="P68B1DB1-Normal121"/>
              <w:spacing w:after="0" w:line="240" w:lineRule="auto"/>
              <w:jc w:val="center"/>
              <w:rPr>
                <w:noProof/>
              </w:rPr>
            </w:pPr>
            <w:r>
              <w:rPr>
                <w:noProof/>
              </w:rPr>
              <w:t>M2C4–20</w:t>
            </w:r>
          </w:p>
        </w:tc>
        <w:tc>
          <w:tcPr>
            <w:tcW w:w="3628" w:type="dxa"/>
            <w:shd w:val="clear" w:color="auto" w:fill="C6EFCE"/>
            <w:tcMar>
              <w:left w:w="108" w:type="dxa"/>
              <w:right w:w="108" w:type="dxa"/>
            </w:tcMar>
            <w:vAlign w:val="center"/>
          </w:tcPr>
          <w:p w14:paraId="10D89D91" w14:textId="77777777" w:rsidR="00327FF1" w:rsidRDefault="00E406C7">
            <w:pPr>
              <w:pStyle w:val="P68B1DB1-Normal121"/>
              <w:spacing w:after="0" w:line="240" w:lineRule="auto"/>
              <w:rPr>
                <w:noProof/>
              </w:rPr>
            </w:pPr>
            <w:r>
              <w:rPr>
                <w:noProof/>
              </w:rPr>
              <w:t>Investīcijas. 3.1. PUNKTĀ: Pilsētu un piepilsētu mežu aizsardzība un uzlabošana</w:t>
            </w:r>
          </w:p>
        </w:tc>
        <w:tc>
          <w:tcPr>
            <w:tcW w:w="1110" w:type="dxa"/>
            <w:shd w:val="clear" w:color="auto" w:fill="C6EFCE"/>
            <w:tcMar>
              <w:left w:w="108" w:type="dxa"/>
              <w:right w:w="108" w:type="dxa"/>
            </w:tcMar>
            <w:vAlign w:val="center"/>
          </w:tcPr>
          <w:p w14:paraId="61216B29" w14:textId="77777777" w:rsidR="00327FF1" w:rsidRDefault="00E406C7">
            <w:pPr>
              <w:pStyle w:val="P68B1DB1-Normal121"/>
              <w:spacing w:after="0" w:line="240" w:lineRule="auto"/>
              <w:jc w:val="center"/>
              <w:rPr>
                <w:noProof/>
              </w:rPr>
            </w:pPr>
            <w:r>
              <w:rPr>
                <w:noProof/>
              </w:rPr>
              <w:t>Mērķa</w:t>
            </w:r>
          </w:p>
        </w:tc>
        <w:tc>
          <w:tcPr>
            <w:tcW w:w="3480" w:type="dxa"/>
            <w:shd w:val="clear" w:color="auto" w:fill="C6EFCE"/>
            <w:tcMar>
              <w:left w:w="108" w:type="dxa"/>
              <w:right w:w="108" w:type="dxa"/>
            </w:tcMar>
            <w:vAlign w:val="center"/>
          </w:tcPr>
          <w:p w14:paraId="5A18F988" w14:textId="77777777" w:rsidR="00327FF1" w:rsidRDefault="00E406C7">
            <w:pPr>
              <w:pStyle w:val="P68B1DB1-Normal121"/>
              <w:spacing w:after="0" w:line="240" w:lineRule="auto"/>
              <w:rPr>
                <w:noProof/>
              </w:rPr>
            </w:pPr>
            <w:r>
              <w:rPr>
                <w:noProof/>
              </w:rPr>
              <w:t>Koki pils</w:t>
            </w:r>
            <w:r>
              <w:rPr>
                <w:noProof/>
              </w:rPr>
              <w:t xml:space="preserve">ētu un piepilsētu zaļo zonu aizsardzībai un valorizācijai T2 </w:t>
            </w:r>
          </w:p>
        </w:tc>
      </w:tr>
      <w:tr w:rsidR="00327FF1" w14:paraId="0E27E8EA" w14:textId="77777777">
        <w:trPr>
          <w:trHeight w:val="300"/>
        </w:trPr>
        <w:tc>
          <w:tcPr>
            <w:tcW w:w="1140" w:type="dxa"/>
            <w:shd w:val="clear" w:color="auto" w:fill="C6EFCE"/>
            <w:tcMar>
              <w:left w:w="108" w:type="dxa"/>
              <w:right w:w="108" w:type="dxa"/>
            </w:tcMar>
            <w:vAlign w:val="center"/>
          </w:tcPr>
          <w:p w14:paraId="5A5DE6EB" w14:textId="77777777" w:rsidR="00327FF1" w:rsidRDefault="00327FF1">
            <w:pPr>
              <w:spacing w:after="0" w:line="240" w:lineRule="auto"/>
              <w:jc w:val="center"/>
              <w:rPr>
                <w:rFonts w:ascii="Times New Roman" w:eastAsia="Times New Roman" w:hAnsi="Times New Roman" w:cs="Times New Roman"/>
                <w:noProof/>
              </w:rPr>
            </w:pPr>
          </w:p>
        </w:tc>
        <w:tc>
          <w:tcPr>
            <w:tcW w:w="3628" w:type="dxa"/>
            <w:shd w:val="clear" w:color="auto" w:fill="C6EFCE"/>
            <w:tcMar>
              <w:left w:w="108" w:type="dxa"/>
              <w:right w:w="108" w:type="dxa"/>
            </w:tcMar>
            <w:vAlign w:val="center"/>
          </w:tcPr>
          <w:p w14:paraId="5F70AB7F" w14:textId="77777777" w:rsidR="00327FF1" w:rsidRDefault="00E406C7">
            <w:pPr>
              <w:pStyle w:val="P68B1DB1-Normal121"/>
              <w:spacing w:after="0" w:line="240" w:lineRule="auto"/>
              <w:rPr>
                <w:noProof/>
              </w:rPr>
            </w:pPr>
            <w:r>
              <w:rPr>
                <w:noProof/>
              </w:rPr>
              <w:t xml:space="preserve"> </w:t>
            </w:r>
          </w:p>
        </w:tc>
        <w:tc>
          <w:tcPr>
            <w:tcW w:w="1110" w:type="dxa"/>
            <w:shd w:val="clear" w:color="auto" w:fill="C6EFCE"/>
            <w:tcMar>
              <w:left w:w="108" w:type="dxa"/>
              <w:right w:w="108" w:type="dxa"/>
            </w:tcMar>
            <w:vAlign w:val="center"/>
          </w:tcPr>
          <w:p w14:paraId="00701715" w14:textId="77777777" w:rsidR="00327FF1" w:rsidRDefault="00E406C7">
            <w:pPr>
              <w:pStyle w:val="P68B1DB1-Normal121"/>
              <w:spacing w:after="0" w:line="240" w:lineRule="auto"/>
              <w:jc w:val="center"/>
              <w:rPr>
                <w:noProof/>
              </w:rPr>
            </w:pPr>
            <w:r>
              <w:rPr>
                <w:noProof/>
              </w:rPr>
              <w:t>Maksājuma summa</w:t>
            </w:r>
          </w:p>
        </w:tc>
        <w:tc>
          <w:tcPr>
            <w:tcW w:w="3480" w:type="dxa"/>
            <w:shd w:val="clear" w:color="auto" w:fill="C6EFCE"/>
            <w:tcMar>
              <w:left w:w="108" w:type="dxa"/>
              <w:right w:w="108" w:type="dxa"/>
            </w:tcMar>
            <w:vAlign w:val="center"/>
          </w:tcPr>
          <w:p w14:paraId="67324257"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15715972025</w:t>
            </w:r>
            <w:r>
              <w:rPr>
                <w:noProof/>
                <w:sz w:val="23"/>
                <w:szCs w:val="23"/>
              </w:rPr>
              <w:t xml:space="preserve"> </w:t>
            </w:r>
          </w:p>
        </w:tc>
      </w:tr>
    </w:tbl>
    <w:p w14:paraId="2C1F07C4" w14:textId="77777777" w:rsidR="00327FF1" w:rsidRDefault="00327FF1">
      <w:pPr>
        <w:spacing w:after="0"/>
        <w:ind w:left="850"/>
        <w:contextualSpacing/>
        <w:jc w:val="both"/>
        <w:rPr>
          <w:rFonts w:ascii="Times New Roman" w:eastAsia="Times New Roman" w:hAnsi="Times New Roman" w:cs="Times New Roman"/>
          <w:noProof/>
        </w:rPr>
      </w:pPr>
    </w:p>
    <w:p w14:paraId="3D79AADE" w14:textId="77777777" w:rsidR="00327FF1" w:rsidRDefault="00327FF1">
      <w:pPr>
        <w:spacing w:after="0"/>
        <w:ind w:left="850"/>
        <w:contextualSpacing/>
        <w:jc w:val="both"/>
        <w:rPr>
          <w:rFonts w:ascii="Times New Roman" w:eastAsia="Times New Roman" w:hAnsi="Times New Roman" w:cs="Times New Roman"/>
          <w:noProof/>
        </w:rPr>
      </w:pPr>
    </w:p>
    <w:p w14:paraId="7F9CD71E" w14:textId="77777777" w:rsidR="00327FF1" w:rsidRDefault="00327FF1">
      <w:pPr>
        <w:spacing w:after="0"/>
        <w:ind w:left="850"/>
        <w:contextualSpacing/>
        <w:jc w:val="both"/>
        <w:rPr>
          <w:rFonts w:ascii="Times New Roman" w:eastAsia="Times New Roman" w:hAnsi="Times New Roman" w:cs="Times New Roman"/>
          <w:noProof/>
        </w:rPr>
      </w:pPr>
    </w:p>
    <w:p w14:paraId="3EF59D40" w14:textId="77777777" w:rsidR="00327FF1" w:rsidRDefault="00E406C7">
      <w:pPr>
        <w:pStyle w:val="P68B1DB1-Normal8"/>
        <w:rPr>
          <w:noProof/>
        </w:rPr>
      </w:pPr>
      <w:r>
        <w:rPr>
          <w:noProof/>
        </w:rPr>
        <w:br w:type="page"/>
      </w:r>
    </w:p>
    <w:p w14:paraId="6F9E63C2" w14:textId="77777777" w:rsidR="00327FF1" w:rsidRDefault="00E406C7">
      <w:pPr>
        <w:pStyle w:val="P68B1DB1-Heading34"/>
        <w:numPr>
          <w:ilvl w:val="1"/>
          <w:numId w:val="179"/>
        </w:numPr>
        <w:tabs>
          <w:tab w:val="clear" w:pos="850"/>
          <w:tab w:val="num" w:pos="1440"/>
        </w:tabs>
        <w:ind w:left="1440" w:hanging="360"/>
        <w:rPr>
          <w:noProof/>
        </w:rPr>
      </w:pPr>
      <w:r>
        <w:rPr>
          <w:noProof/>
        </w:rPr>
        <w:t>Astotā daļa (aizdevuma atbalsts):</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5"/>
        <w:gridCol w:w="3784"/>
        <w:gridCol w:w="1260"/>
        <w:gridCol w:w="2979"/>
      </w:tblGrid>
      <w:tr w:rsidR="00327FF1" w14:paraId="2053FE2E" w14:textId="77777777">
        <w:trPr>
          <w:trHeight w:val="900"/>
          <w:tblHeader/>
        </w:trPr>
        <w:tc>
          <w:tcPr>
            <w:tcW w:w="1335" w:type="dxa"/>
            <w:vMerge w:val="restart"/>
            <w:shd w:val="clear" w:color="auto" w:fill="BDD7EE"/>
            <w:tcMar>
              <w:left w:w="108" w:type="dxa"/>
              <w:right w:w="108" w:type="dxa"/>
            </w:tcMar>
            <w:vAlign w:val="center"/>
          </w:tcPr>
          <w:p w14:paraId="2A65FC91" w14:textId="77777777" w:rsidR="00327FF1" w:rsidRDefault="00E406C7">
            <w:pPr>
              <w:pStyle w:val="P68B1DB1-Normal120"/>
              <w:spacing w:after="0" w:line="240" w:lineRule="auto"/>
              <w:jc w:val="center"/>
              <w:rPr>
                <w:noProof/>
              </w:rPr>
            </w:pPr>
            <w:r>
              <w:rPr>
                <w:noProof/>
              </w:rPr>
              <w:t>Kārtas numurs</w:t>
            </w:r>
          </w:p>
        </w:tc>
        <w:tc>
          <w:tcPr>
            <w:tcW w:w="3784" w:type="dxa"/>
            <w:vMerge w:val="restart"/>
            <w:shd w:val="clear" w:color="auto" w:fill="BDD7EE"/>
            <w:tcMar>
              <w:left w:w="108" w:type="dxa"/>
              <w:right w:w="108" w:type="dxa"/>
            </w:tcMar>
            <w:vAlign w:val="center"/>
          </w:tcPr>
          <w:p w14:paraId="25972084" w14:textId="77777777" w:rsidR="00327FF1" w:rsidRDefault="00E406C7">
            <w:pPr>
              <w:pStyle w:val="P68B1DB1-Normal120"/>
              <w:spacing w:after="0" w:line="240" w:lineRule="auto"/>
              <w:jc w:val="center"/>
              <w:rPr>
                <w:noProof/>
              </w:rPr>
            </w:pPr>
            <w:r>
              <w:rPr>
                <w:noProof/>
              </w:rPr>
              <w:t>Saistītais pasākums (reforma vai ieguldījums)</w:t>
            </w:r>
          </w:p>
        </w:tc>
        <w:tc>
          <w:tcPr>
            <w:tcW w:w="1260" w:type="dxa"/>
            <w:vMerge w:val="restart"/>
            <w:shd w:val="clear" w:color="auto" w:fill="BDD7EE"/>
            <w:tcMar>
              <w:left w:w="108" w:type="dxa"/>
              <w:right w:w="108" w:type="dxa"/>
            </w:tcMar>
            <w:vAlign w:val="center"/>
          </w:tcPr>
          <w:p w14:paraId="31C739A0" w14:textId="77777777" w:rsidR="00327FF1" w:rsidRDefault="00E406C7">
            <w:pPr>
              <w:pStyle w:val="P68B1DB1-Normal120"/>
              <w:spacing w:after="0" w:line="240" w:lineRule="auto"/>
              <w:jc w:val="center"/>
              <w:rPr>
                <w:noProof/>
              </w:rPr>
            </w:pPr>
            <w:r>
              <w:rPr>
                <w:noProof/>
              </w:rPr>
              <w:t>Atskaites punkts/mērķrādītājs</w:t>
            </w:r>
          </w:p>
        </w:tc>
        <w:tc>
          <w:tcPr>
            <w:tcW w:w="2979" w:type="dxa"/>
            <w:vMerge w:val="restart"/>
            <w:shd w:val="clear" w:color="auto" w:fill="BDD7EE"/>
            <w:tcMar>
              <w:left w:w="108" w:type="dxa"/>
              <w:right w:w="108" w:type="dxa"/>
            </w:tcMar>
            <w:vAlign w:val="center"/>
          </w:tcPr>
          <w:p w14:paraId="42FA8884" w14:textId="77777777" w:rsidR="00327FF1" w:rsidRDefault="00E406C7">
            <w:pPr>
              <w:pStyle w:val="P68B1DB1-Normal120"/>
              <w:spacing w:after="0" w:line="240" w:lineRule="auto"/>
              <w:jc w:val="center"/>
              <w:rPr>
                <w:noProof/>
              </w:rPr>
            </w:pPr>
            <w:r>
              <w:rPr>
                <w:noProof/>
              </w:rPr>
              <w:t>Nosaukums</w:t>
            </w:r>
          </w:p>
        </w:tc>
      </w:tr>
      <w:tr w:rsidR="00327FF1" w14:paraId="5F699770" w14:textId="77777777">
        <w:trPr>
          <w:trHeight w:val="510"/>
        </w:trPr>
        <w:tc>
          <w:tcPr>
            <w:tcW w:w="1335" w:type="dxa"/>
            <w:vMerge/>
            <w:vAlign w:val="center"/>
          </w:tcPr>
          <w:p w14:paraId="514AF676" w14:textId="77777777" w:rsidR="00327FF1" w:rsidRDefault="00327FF1">
            <w:pPr>
              <w:spacing w:after="0" w:line="240" w:lineRule="auto"/>
              <w:jc w:val="center"/>
              <w:rPr>
                <w:rFonts w:ascii="Times New Roman" w:eastAsia="Times New Roman" w:hAnsi="Times New Roman" w:cs="Times New Roman"/>
                <w:noProof/>
              </w:rPr>
            </w:pPr>
          </w:p>
        </w:tc>
        <w:tc>
          <w:tcPr>
            <w:tcW w:w="3784" w:type="dxa"/>
            <w:vMerge/>
            <w:vAlign w:val="center"/>
          </w:tcPr>
          <w:p w14:paraId="43DDFF35" w14:textId="77777777" w:rsidR="00327FF1" w:rsidRDefault="00327FF1">
            <w:pPr>
              <w:spacing w:after="0" w:line="240" w:lineRule="auto"/>
              <w:rPr>
                <w:rFonts w:ascii="Times New Roman" w:eastAsia="Times New Roman" w:hAnsi="Times New Roman" w:cs="Times New Roman"/>
                <w:noProof/>
              </w:rPr>
            </w:pPr>
          </w:p>
        </w:tc>
        <w:tc>
          <w:tcPr>
            <w:tcW w:w="1260" w:type="dxa"/>
            <w:vMerge/>
            <w:vAlign w:val="center"/>
          </w:tcPr>
          <w:p w14:paraId="36947523" w14:textId="77777777" w:rsidR="00327FF1" w:rsidRDefault="00327FF1">
            <w:pPr>
              <w:spacing w:after="0" w:line="240" w:lineRule="auto"/>
              <w:jc w:val="center"/>
              <w:rPr>
                <w:rFonts w:ascii="Times New Roman" w:eastAsia="Times New Roman" w:hAnsi="Times New Roman" w:cs="Times New Roman"/>
                <w:noProof/>
              </w:rPr>
            </w:pPr>
          </w:p>
        </w:tc>
        <w:tc>
          <w:tcPr>
            <w:tcW w:w="2979" w:type="dxa"/>
            <w:vMerge/>
            <w:vAlign w:val="center"/>
          </w:tcPr>
          <w:p w14:paraId="785E943B" w14:textId="77777777" w:rsidR="00327FF1" w:rsidRDefault="00327FF1">
            <w:pPr>
              <w:spacing w:after="0" w:line="240" w:lineRule="auto"/>
              <w:rPr>
                <w:rFonts w:ascii="Times New Roman" w:eastAsia="Times New Roman" w:hAnsi="Times New Roman" w:cs="Times New Roman"/>
                <w:noProof/>
              </w:rPr>
            </w:pPr>
          </w:p>
        </w:tc>
      </w:tr>
      <w:tr w:rsidR="00327FF1" w14:paraId="7905C74B" w14:textId="77777777">
        <w:trPr>
          <w:trHeight w:val="300"/>
        </w:trPr>
        <w:tc>
          <w:tcPr>
            <w:tcW w:w="1335" w:type="dxa"/>
            <w:shd w:val="clear" w:color="auto" w:fill="C6EFCE"/>
            <w:tcMar>
              <w:left w:w="108" w:type="dxa"/>
              <w:right w:w="108" w:type="dxa"/>
            </w:tcMar>
            <w:vAlign w:val="center"/>
          </w:tcPr>
          <w:p w14:paraId="70E39534" w14:textId="77777777" w:rsidR="00327FF1" w:rsidRDefault="00E406C7">
            <w:pPr>
              <w:pStyle w:val="P68B1DB1-Normal121"/>
              <w:spacing w:after="0" w:line="240" w:lineRule="auto"/>
              <w:jc w:val="center"/>
              <w:rPr>
                <w:noProof/>
              </w:rPr>
            </w:pPr>
            <w:r>
              <w:rPr>
                <w:noProof/>
              </w:rPr>
              <w:t>M7–47</w:t>
            </w:r>
          </w:p>
        </w:tc>
        <w:tc>
          <w:tcPr>
            <w:tcW w:w="3784" w:type="dxa"/>
            <w:shd w:val="clear" w:color="auto" w:fill="C6EFCE"/>
            <w:tcMar>
              <w:left w:w="108" w:type="dxa"/>
              <w:right w:w="108" w:type="dxa"/>
            </w:tcMar>
            <w:vAlign w:val="center"/>
          </w:tcPr>
          <w:p w14:paraId="65DFCCD9" w14:textId="77777777" w:rsidR="00327FF1" w:rsidRDefault="00E406C7">
            <w:pPr>
              <w:pStyle w:val="P68B1DB1-Normal121"/>
              <w:spacing w:after="0" w:line="240" w:lineRule="auto"/>
              <w:rPr>
                <w:noProof/>
              </w:rPr>
            </w:pPr>
            <w:r>
              <w:rPr>
                <w:noProof/>
              </w:rPr>
              <w:t>Investīcija Nr. 17: Finanšu instruments publisko dzīvojamo māju energorenovācijai</w:t>
            </w:r>
          </w:p>
        </w:tc>
        <w:tc>
          <w:tcPr>
            <w:tcW w:w="1260" w:type="dxa"/>
            <w:shd w:val="clear" w:color="auto" w:fill="C6EFCE"/>
            <w:tcMar>
              <w:left w:w="108" w:type="dxa"/>
              <w:right w:w="108" w:type="dxa"/>
            </w:tcMar>
            <w:vAlign w:val="center"/>
          </w:tcPr>
          <w:p w14:paraId="55C27C78" w14:textId="77777777" w:rsidR="00327FF1" w:rsidRDefault="00E406C7">
            <w:pPr>
              <w:pStyle w:val="P68B1DB1-Normal121"/>
              <w:spacing w:after="0" w:line="240" w:lineRule="auto"/>
              <w:jc w:val="center"/>
              <w:rPr>
                <w:noProof/>
              </w:rPr>
            </w:pPr>
            <w:r>
              <w:rPr>
                <w:noProof/>
              </w:rPr>
              <w:t>Atskaites punkts</w:t>
            </w:r>
          </w:p>
        </w:tc>
        <w:tc>
          <w:tcPr>
            <w:tcW w:w="2979" w:type="dxa"/>
            <w:shd w:val="clear" w:color="auto" w:fill="C6EFCE"/>
            <w:tcMar>
              <w:left w:w="108" w:type="dxa"/>
              <w:right w:w="108" w:type="dxa"/>
            </w:tcMar>
            <w:vAlign w:val="center"/>
          </w:tcPr>
          <w:p w14:paraId="212DE70E" w14:textId="77777777" w:rsidR="00327FF1" w:rsidRDefault="00E406C7">
            <w:pPr>
              <w:pStyle w:val="P68B1DB1-Normal121"/>
              <w:spacing w:after="0" w:line="240" w:lineRule="auto"/>
              <w:rPr>
                <w:noProof/>
              </w:rPr>
            </w:pPr>
            <w:r>
              <w:rPr>
                <w:noProof/>
              </w:rPr>
              <w:t>Īstenošanas nolīgums</w:t>
            </w:r>
          </w:p>
        </w:tc>
      </w:tr>
      <w:tr w:rsidR="00327FF1" w14:paraId="407DF1B6" w14:textId="77777777">
        <w:trPr>
          <w:trHeight w:val="300"/>
        </w:trPr>
        <w:tc>
          <w:tcPr>
            <w:tcW w:w="1335" w:type="dxa"/>
            <w:shd w:val="clear" w:color="auto" w:fill="C6EFCE"/>
            <w:tcMar>
              <w:left w:w="108" w:type="dxa"/>
              <w:right w:w="108" w:type="dxa"/>
            </w:tcMar>
            <w:vAlign w:val="center"/>
          </w:tcPr>
          <w:p w14:paraId="6DBB85D3" w14:textId="77777777" w:rsidR="00327FF1" w:rsidRDefault="00E406C7">
            <w:pPr>
              <w:pStyle w:val="P68B1DB1-Normal121"/>
              <w:spacing w:after="0" w:line="240" w:lineRule="auto"/>
              <w:jc w:val="center"/>
              <w:rPr>
                <w:noProof/>
              </w:rPr>
            </w:pPr>
            <w:r>
              <w:rPr>
                <w:noProof/>
              </w:rPr>
              <w:t>M7–48</w:t>
            </w:r>
          </w:p>
        </w:tc>
        <w:tc>
          <w:tcPr>
            <w:tcW w:w="3784" w:type="dxa"/>
            <w:shd w:val="clear" w:color="auto" w:fill="C6EFCE"/>
            <w:tcMar>
              <w:left w:w="108" w:type="dxa"/>
              <w:right w:w="108" w:type="dxa"/>
            </w:tcMar>
            <w:vAlign w:val="center"/>
          </w:tcPr>
          <w:p w14:paraId="4E09D9FA" w14:textId="77777777" w:rsidR="00327FF1" w:rsidRDefault="00E406C7">
            <w:pPr>
              <w:pStyle w:val="P68B1DB1-Normal121"/>
              <w:spacing w:after="0" w:line="240" w:lineRule="auto"/>
              <w:rPr>
                <w:noProof/>
              </w:rPr>
            </w:pPr>
            <w:r>
              <w:rPr>
                <w:noProof/>
              </w:rPr>
              <w:t>Investīcija Nr. 17: Finanšu instruments publisko dzīvojamo māju energorenovācijai</w:t>
            </w:r>
          </w:p>
        </w:tc>
        <w:tc>
          <w:tcPr>
            <w:tcW w:w="1260" w:type="dxa"/>
            <w:shd w:val="clear" w:color="auto" w:fill="C6EFCE"/>
            <w:tcMar>
              <w:left w:w="108" w:type="dxa"/>
              <w:right w:w="108" w:type="dxa"/>
            </w:tcMar>
            <w:vAlign w:val="center"/>
          </w:tcPr>
          <w:p w14:paraId="6AFC1C11" w14:textId="77777777" w:rsidR="00327FF1" w:rsidRDefault="00E406C7">
            <w:pPr>
              <w:pStyle w:val="P68B1DB1-Normal121"/>
              <w:spacing w:after="0" w:line="240" w:lineRule="auto"/>
              <w:jc w:val="center"/>
              <w:rPr>
                <w:noProof/>
              </w:rPr>
            </w:pPr>
            <w:r>
              <w:rPr>
                <w:noProof/>
              </w:rPr>
              <w:t>Atskaites punkts</w:t>
            </w:r>
          </w:p>
        </w:tc>
        <w:tc>
          <w:tcPr>
            <w:tcW w:w="2979" w:type="dxa"/>
            <w:shd w:val="clear" w:color="auto" w:fill="C6EFCE"/>
            <w:tcMar>
              <w:left w:w="108" w:type="dxa"/>
              <w:right w:w="108" w:type="dxa"/>
            </w:tcMar>
            <w:vAlign w:val="center"/>
          </w:tcPr>
          <w:p w14:paraId="64CDA69E" w14:textId="77777777" w:rsidR="00327FF1" w:rsidRDefault="00E406C7">
            <w:pPr>
              <w:pStyle w:val="P68B1DB1-Normal121"/>
              <w:spacing w:after="0" w:line="240" w:lineRule="auto"/>
              <w:rPr>
                <w:noProof/>
              </w:rPr>
            </w:pPr>
            <w:r>
              <w:rPr>
                <w:noProof/>
              </w:rPr>
              <w:t xml:space="preserve">Ministrija ir pabeigusi </w:t>
            </w:r>
            <w:r>
              <w:rPr>
                <w:noProof/>
              </w:rPr>
              <w:t>ieguldījumu</w:t>
            </w:r>
          </w:p>
        </w:tc>
      </w:tr>
      <w:tr w:rsidR="00327FF1" w14:paraId="5EB47AEC" w14:textId="77777777">
        <w:trPr>
          <w:trHeight w:val="300"/>
        </w:trPr>
        <w:tc>
          <w:tcPr>
            <w:tcW w:w="1335" w:type="dxa"/>
            <w:shd w:val="clear" w:color="auto" w:fill="C6EFCE"/>
            <w:tcMar>
              <w:left w:w="108" w:type="dxa"/>
              <w:right w:w="108" w:type="dxa"/>
            </w:tcMar>
            <w:vAlign w:val="center"/>
          </w:tcPr>
          <w:p w14:paraId="3AAEA5B0" w14:textId="77777777" w:rsidR="00327FF1" w:rsidRDefault="00E406C7">
            <w:pPr>
              <w:pStyle w:val="P68B1DB1-Normal121"/>
              <w:spacing w:after="0" w:line="240" w:lineRule="auto"/>
              <w:jc w:val="center"/>
              <w:rPr>
                <w:noProof/>
              </w:rPr>
            </w:pPr>
            <w:r>
              <w:rPr>
                <w:noProof/>
              </w:rPr>
              <w:t>M1C1–146</w:t>
            </w:r>
          </w:p>
        </w:tc>
        <w:tc>
          <w:tcPr>
            <w:tcW w:w="3784" w:type="dxa"/>
            <w:shd w:val="clear" w:color="auto" w:fill="C6EFCE"/>
            <w:tcMar>
              <w:left w:w="108" w:type="dxa"/>
              <w:right w:w="108" w:type="dxa"/>
            </w:tcMar>
            <w:vAlign w:val="center"/>
          </w:tcPr>
          <w:p w14:paraId="59173138" w14:textId="77777777" w:rsidR="00327FF1" w:rsidRDefault="00E406C7">
            <w:pPr>
              <w:pStyle w:val="P68B1DB1-Normal121"/>
              <w:spacing w:after="0" w:line="240" w:lineRule="auto"/>
              <w:rPr>
                <w:noProof/>
              </w:rPr>
            </w:pPr>
            <w:r>
              <w:rPr>
                <w:noProof/>
              </w:rPr>
              <w:t>Investīcija 1.4.4. Valsts digitālās identitātes platformu (SPID, CIE) un nacionālā reģistra (ANPR) izvēršana</w:t>
            </w:r>
          </w:p>
        </w:tc>
        <w:tc>
          <w:tcPr>
            <w:tcW w:w="1260" w:type="dxa"/>
            <w:shd w:val="clear" w:color="auto" w:fill="C6EFCE"/>
            <w:tcMar>
              <w:left w:w="108" w:type="dxa"/>
              <w:right w:w="108" w:type="dxa"/>
            </w:tcMar>
            <w:vAlign w:val="center"/>
          </w:tcPr>
          <w:p w14:paraId="69C81AD7" w14:textId="77777777" w:rsidR="00327FF1" w:rsidRDefault="00E406C7">
            <w:pPr>
              <w:pStyle w:val="P68B1DB1-Normal121"/>
              <w:spacing w:after="0" w:line="240" w:lineRule="auto"/>
              <w:jc w:val="center"/>
              <w:rPr>
                <w:noProof/>
              </w:rPr>
            </w:pPr>
            <w:r>
              <w:rPr>
                <w:noProof/>
              </w:rPr>
              <w:t>Mērķa</w:t>
            </w:r>
          </w:p>
        </w:tc>
        <w:tc>
          <w:tcPr>
            <w:tcW w:w="2979" w:type="dxa"/>
            <w:shd w:val="clear" w:color="auto" w:fill="C6EFCE"/>
            <w:tcMar>
              <w:left w:w="108" w:type="dxa"/>
              <w:right w:w="108" w:type="dxa"/>
            </w:tcMar>
            <w:vAlign w:val="center"/>
          </w:tcPr>
          <w:p w14:paraId="3CBAA0B8" w14:textId="77777777" w:rsidR="00327FF1" w:rsidRDefault="00E406C7">
            <w:pPr>
              <w:pStyle w:val="P68B1DB1-Normal121"/>
              <w:spacing w:after="0" w:line="240" w:lineRule="auto"/>
              <w:rPr>
                <w:noProof/>
              </w:rPr>
            </w:pPr>
            <w:r>
              <w:rPr>
                <w:noProof/>
              </w:rPr>
              <w:t>Valsts digitālās identitātes platforma (CIE)</w:t>
            </w:r>
          </w:p>
        </w:tc>
      </w:tr>
      <w:tr w:rsidR="00327FF1" w14:paraId="2918C631" w14:textId="77777777">
        <w:trPr>
          <w:trHeight w:val="300"/>
        </w:trPr>
        <w:tc>
          <w:tcPr>
            <w:tcW w:w="1335" w:type="dxa"/>
            <w:shd w:val="clear" w:color="auto" w:fill="C6EFCE"/>
            <w:tcMar>
              <w:left w:w="108" w:type="dxa"/>
              <w:right w:w="108" w:type="dxa"/>
            </w:tcMar>
            <w:vAlign w:val="center"/>
          </w:tcPr>
          <w:p w14:paraId="4CDCA5E5" w14:textId="77777777" w:rsidR="00327FF1" w:rsidRDefault="00E406C7">
            <w:pPr>
              <w:pStyle w:val="P68B1DB1-Normal121"/>
              <w:spacing w:after="0" w:line="240" w:lineRule="auto"/>
              <w:jc w:val="center"/>
              <w:rPr>
                <w:noProof/>
              </w:rPr>
            </w:pPr>
            <w:r>
              <w:rPr>
                <w:noProof/>
              </w:rPr>
              <w:t>M1C3–16</w:t>
            </w:r>
          </w:p>
        </w:tc>
        <w:tc>
          <w:tcPr>
            <w:tcW w:w="3784" w:type="dxa"/>
            <w:shd w:val="clear" w:color="auto" w:fill="C6EFCE"/>
            <w:tcMar>
              <w:left w:w="108" w:type="dxa"/>
              <w:right w:w="108" w:type="dxa"/>
            </w:tcMar>
            <w:vAlign w:val="center"/>
          </w:tcPr>
          <w:p w14:paraId="47D52D30" w14:textId="77777777" w:rsidR="00327FF1" w:rsidRDefault="00E406C7">
            <w:pPr>
              <w:pStyle w:val="P68B1DB1-Normal121"/>
              <w:spacing w:after="0" w:line="240" w:lineRule="auto"/>
              <w:rPr>
                <w:noProof/>
              </w:rPr>
            </w:pPr>
            <w:r>
              <w:rPr>
                <w:noProof/>
              </w:rPr>
              <w:t>Ieguldījumi — 2.1. Mazo vēsturisko pilsētu pievilcīgums</w:t>
            </w:r>
          </w:p>
        </w:tc>
        <w:tc>
          <w:tcPr>
            <w:tcW w:w="1260" w:type="dxa"/>
            <w:shd w:val="clear" w:color="auto" w:fill="C6EFCE"/>
            <w:tcMar>
              <w:left w:w="108" w:type="dxa"/>
              <w:right w:w="108" w:type="dxa"/>
            </w:tcMar>
            <w:vAlign w:val="center"/>
          </w:tcPr>
          <w:p w14:paraId="583372F6" w14:textId="77777777" w:rsidR="00327FF1" w:rsidRDefault="00E406C7">
            <w:pPr>
              <w:pStyle w:val="P68B1DB1-Normal121"/>
              <w:spacing w:after="0" w:line="240" w:lineRule="auto"/>
              <w:jc w:val="center"/>
              <w:rPr>
                <w:noProof/>
              </w:rPr>
            </w:pPr>
            <w:r>
              <w:rPr>
                <w:noProof/>
              </w:rPr>
              <w:t>Atskaites</w:t>
            </w:r>
            <w:r>
              <w:rPr>
                <w:noProof/>
              </w:rPr>
              <w:t xml:space="preserve"> punkts</w:t>
            </w:r>
          </w:p>
        </w:tc>
        <w:tc>
          <w:tcPr>
            <w:tcW w:w="2979" w:type="dxa"/>
            <w:shd w:val="clear" w:color="auto" w:fill="C6EFCE"/>
            <w:tcMar>
              <w:left w:w="108" w:type="dxa"/>
              <w:right w:w="108" w:type="dxa"/>
            </w:tcMar>
            <w:vAlign w:val="center"/>
          </w:tcPr>
          <w:p w14:paraId="48CE301E" w14:textId="77777777" w:rsidR="00327FF1" w:rsidRDefault="00E406C7">
            <w:pPr>
              <w:pStyle w:val="P68B1DB1-Normal121"/>
              <w:spacing w:after="0" w:line="240" w:lineRule="auto"/>
              <w:rPr>
                <w:noProof/>
              </w:rPr>
            </w:pPr>
            <w:r>
              <w:rPr>
                <w:noProof/>
              </w:rPr>
              <w:t>Dekrēta(-u) pieņemšana, kurā uzskaitīti uzņēmumi, kas saņem atbalstu mazās vēsturiskās pilsētās</w:t>
            </w:r>
          </w:p>
        </w:tc>
      </w:tr>
      <w:tr w:rsidR="00327FF1" w14:paraId="6C99B528" w14:textId="77777777">
        <w:trPr>
          <w:trHeight w:val="300"/>
        </w:trPr>
        <w:tc>
          <w:tcPr>
            <w:tcW w:w="1335" w:type="dxa"/>
            <w:shd w:val="clear" w:color="auto" w:fill="C6EFCE"/>
            <w:tcMar>
              <w:left w:w="108" w:type="dxa"/>
              <w:right w:w="108" w:type="dxa"/>
            </w:tcMar>
            <w:vAlign w:val="center"/>
          </w:tcPr>
          <w:p w14:paraId="367810BB" w14:textId="77777777" w:rsidR="00327FF1" w:rsidRDefault="00E406C7">
            <w:pPr>
              <w:pStyle w:val="P68B1DB1-Normal121"/>
              <w:spacing w:after="0" w:line="240" w:lineRule="auto"/>
              <w:jc w:val="center"/>
              <w:rPr>
                <w:noProof/>
              </w:rPr>
            </w:pPr>
            <w:r>
              <w:rPr>
                <w:noProof/>
              </w:rPr>
              <w:t>M2C4–9</w:t>
            </w:r>
          </w:p>
        </w:tc>
        <w:tc>
          <w:tcPr>
            <w:tcW w:w="3784" w:type="dxa"/>
            <w:shd w:val="clear" w:color="auto" w:fill="C6EFCE"/>
            <w:tcMar>
              <w:left w:w="108" w:type="dxa"/>
              <w:right w:w="108" w:type="dxa"/>
            </w:tcMar>
            <w:vAlign w:val="center"/>
          </w:tcPr>
          <w:p w14:paraId="3726A1FD" w14:textId="77777777" w:rsidR="00327FF1" w:rsidRDefault="00E406C7">
            <w:pPr>
              <w:pStyle w:val="P68B1DB1-Normal121"/>
              <w:spacing w:after="0" w:line="240" w:lineRule="auto"/>
              <w:rPr>
                <w:noProof/>
              </w:rPr>
            </w:pPr>
            <w:r>
              <w:rPr>
                <w:noProof/>
              </w:rPr>
              <w:t>Investīcijas Nr. 1.1. Progresīvas un integrētas uzraudzības un prognozēšanas sistēmas ieviešana</w:t>
            </w:r>
          </w:p>
        </w:tc>
        <w:tc>
          <w:tcPr>
            <w:tcW w:w="1260" w:type="dxa"/>
            <w:shd w:val="clear" w:color="auto" w:fill="C6EFCE"/>
            <w:tcMar>
              <w:left w:w="108" w:type="dxa"/>
              <w:right w:w="108" w:type="dxa"/>
            </w:tcMar>
            <w:vAlign w:val="center"/>
          </w:tcPr>
          <w:p w14:paraId="60212865" w14:textId="77777777" w:rsidR="00327FF1" w:rsidRDefault="00E406C7">
            <w:pPr>
              <w:pStyle w:val="P68B1DB1-Normal121"/>
              <w:spacing w:after="0" w:line="240" w:lineRule="auto"/>
              <w:jc w:val="center"/>
              <w:rPr>
                <w:noProof/>
              </w:rPr>
            </w:pPr>
            <w:r>
              <w:rPr>
                <w:noProof/>
              </w:rPr>
              <w:t>Atskaites punkts</w:t>
            </w:r>
          </w:p>
        </w:tc>
        <w:tc>
          <w:tcPr>
            <w:tcW w:w="2979" w:type="dxa"/>
            <w:shd w:val="clear" w:color="auto" w:fill="C6EFCE"/>
            <w:tcMar>
              <w:left w:w="108" w:type="dxa"/>
              <w:right w:w="108" w:type="dxa"/>
            </w:tcMar>
            <w:vAlign w:val="center"/>
          </w:tcPr>
          <w:p w14:paraId="7317A173" w14:textId="77777777" w:rsidR="00327FF1" w:rsidRDefault="00E406C7">
            <w:pPr>
              <w:pStyle w:val="P68B1DB1-Normal121"/>
              <w:spacing w:after="0" w:line="240" w:lineRule="auto"/>
              <w:rPr>
                <w:noProof/>
              </w:rPr>
            </w:pPr>
            <w:r>
              <w:rPr>
                <w:noProof/>
              </w:rPr>
              <w:t>Uzraudzības un prognozēšanas si</w:t>
            </w:r>
            <w:r>
              <w:rPr>
                <w:noProof/>
              </w:rPr>
              <w:t xml:space="preserve">stēma ir pieejama  </w:t>
            </w:r>
          </w:p>
        </w:tc>
      </w:tr>
      <w:tr w:rsidR="00327FF1" w14:paraId="580B8559" w14:textId="77777777">
        <w:trPr>
          <w:trHeight w:val="300"/>
        </w:trPr>
        <w:tc>
          <w:tcPr>
            <w:tcW w:w="1335" w:type="dxa"/>
            <w:shd w:val="clear" w:color="auto" w:fill="C6EFCE"/>
            <w:tcMar>
              <w:left w:w="108" w:type="dxa"/>
              <w:right w:w="108" w:type="dxa"/>
            </w:tcMar>
            <w:vAlign w:val="center"/>
          </w:tcPr>
          <w:p w14:paraId="5FC7AD73" w14:textId="77777777" w:rsidR="00327FF1" w:rsidRDefault="00E406C7">
            <w:pPr>
              <w:pStyle w:val="P68B1DB1-Normal121"/>
              <w:spacing w:after="0" w:line="240" w:lineRule="auto"/>
              <w:jc w:val="center"/>
              <w:rPr>
                <w:noProof/>
              </w:rPr>
            </w:pPr>
            <w:r>
              <w:rPr>
                <w:noProof/>
              </w:rPr>
              <w:t>M2C4–26</w:t>
            </w:r>
          </w:p>
        </w:tc>
        <w:tc>
          <w:tcPr>
            <w:tcW w:w="3784" w:type="dxa"/>
            <w:shd w:val="clear" w:color="auto" w:fill="C6EFCE"/>
            <w:tcMar>
              <w:left w:w="108" w:type="dxa"/>
              <w:right w:w="108" w:type="dxa"/>
            </w:tcMar>
            <w:vAlign w:val="center"/>
          </w:tcPr>
          <w:p w14:paraId="0A56009A" w14:textId="77777777" w:rsidR="00327FF1" w:rsidRDefault="00E406C7">
            <w:pPr>
              <w:pStyle w:val="P68B1DB1-Normal121"/>
              <w:spacing w:after="0" w:line="240" w:lineRule="auto"/>
              <w:rPr>
                <w:noProof/>
              </w:rPr>
            </w:pPr>
            <w:r>
              <w:rPr>
                <w:noProof/>
              </w:rPr>
              <w:t>Ieguldījums 3.5. Jūras gultnes un jūras dzīvotņu atjaunošana un aizsardzība</w:t>
            </w:r>
          </w:p>
        </w:tc>
        <w:tc>
          <w:tcPr>
            <w:tcW w:w="1260" w:type="dxa"/>
            <w:shd w:val="clear" w:color="auto" w:fill="C6EFCE"/>
            <w:tcMar>
              <w:left w:w="108" w:type="dxa"/>
              <w:right w:w="108" w:type="dxa"/>
            </w:tcMar>
            <w:vAlign w:val="center"/>
          </w:tcPr>
          <w:p w14:paraId="2061D609" w14:textId="77777777" w:rsidR="00327FF1" w:rsidRDefault="00E406C7">
            <w:pPr>
              <w:pStyle w:val="P68B1DB1-Normal121"/>
              <w:spacing w:after="0" w:line="240" w:lineRule="auto"/>
              <w:jc w:val="center"/>
              <w:rPr>
                <w:noProof/>
              </w:rPr>
            </w:pPr>
            <w:r>
              <w:rPr>
                <w:noProof/>
              </w:rPr>
              <w:t>Mērķa</w:t>
            </w:r>
          </w:p>
        </w:tc>
        <w:tc>
          <w:tcPr>
            <w:tcW w:w="2979" w:type="dxa"/>
            <w:shd w:val="clear" w:color="auto" w:fill="C6EFCE"/>
            <w:tcMar>
              <w:left w:w="108" w:type="dxa"/>
              <w:right w:w="108" w:type="dxa"/>
            </w:tcMar>
            <w:vAlign w:val="center"/>
          </w:tcPr>
          <w:p w14:paraId="645CD2B0" w14:textId="77777777" w:rsidR="00327FF1" w:rsidRDefault="00E406C7">
            <w:pPr>
              <w:pStyle w:val="P68B1DB1-Normal121"/>
              <w:spacing w:after="0" w:line="240" w:lineRule="auto"/>
              <w:rPr>
                <w:noProof/>
              </w:rPr>
            </w:pPr>
            <w:r>
              <w:rPr>
                <w:noProof/>
              </w:rPr>
              <w:t xml:space="preserve">Jūras gultnes un jūras dzīvotņu atjaunošana un aizsardzība </w:t>
            </w:r>
          </w:p>
        </w:tc>
      </w:tr>
      <w:tr w:rsidR="00327FF1" w14:paraId="5D709545" w14:textId="77777777">
        <w:trPr>
          <w:trHeight w:val="300"/>
        </w:trPr>
        <w:tc>
          <w:tcPr>
            <w:tcW w:w="1335" w:type="dxa"/>
            <w:shd w:val="clear" w:color="auto" w:fill="C6EFCE"/>
            <w:tcMar>
              <w:left w:w="108" w:type="dxa"/>
              <w:right w:w="108" w:type="dxa"/>
            </w:tcMar>
            <w:vAlign w:val="center"/>
          </w:tcPr>
          <w:p w14:paraId="4D079840" w14:textId="77777777" w:rsidR="00327FF1" w:rsidRDefault="00E406C7">
            <w:pPr>
              <w:pStyle w:val="P68B1DB1-Normal121"/>
              <w:spacing w:after="0" w:line="240" w:lineRule="auto"/>
              <w:jc w:val="center"/>
              <w:rPr>
                <w:noProof/>
              </w:rPr>
            </w:pPr>
            <w:r>
              <w:rPr>
                <w:noProof/>
              </w:rPr>
              <w:t>M4C2–6</w:t>
            </w:r>
          </w:p>
        </w:tc>
        <w:tc>
          <w:tcPr>
            <w:tcW w:w="3784" w:type="dxa"/>
            <w:shd w:val="clear" w:color="auto" w:fill="C6EFCE"/>
            <w:tcMar>
              <w:left w:w="108" w:type="dxa"/>
              <w:right w:w="108" w:type="dxa"/>
            </w:tcMar>
            <w:vAlign w:val="center"/>
          </w:tcPr>
          <w:p w14:paraId="37689ED3" w14:textId="77777777" w:rsidR="00327FF1" w:rsidRDefault="00E406C7">
            <w:pPr>
              <w:pStyle w:val="P68B1DB1-Normal121"/>
              <w:spacing w:after="0" w:line="240" w:lineRule="auto"/>
              <w:rPr>
                <w:noProof/>
              </w:rPr>
            </w:pPr>
            <w:r>
              <w:rPr>
                <w:noProof/>
              </w:rPr>
              <w:t>Investīcija 1.1: Valsts nozīmes pētniecības projekti (PRIN)</w:t>
            </w:r>
          </w:p>
        </w:tc>
        <w:tc>
          <w:tcPr>
            <w:tcW w:w="1260" w:type="dxa"/>
            <w:shd w:val="clear" w:color="auto" w:fill="C6EFCE"/>
            <w:tcMar>
              <w:left w:w="108" w:type="dxa"/>
              <w:right w:w="108" w:type="dxa"/>
            </w:tcMar>
            <w:vAlign w:val="center"/>
          </w:tcPr>
          <w:p w14:paraId="43A1DABF" w14:textId="77777777" w:rsidR="00327FF1" w:rsidRDefault="00E406C7">
            <w:pPr>
              <w:pStyle w:val="P68B1DB1-Normal121"/>
              <w:spacing w:after="0" w:line="240" w:lineRule="auto"/>
              <w:jc w:val="center"/>
              <w:rPr>
                <w:noProof/>
              </w:rPr>
            </w:pPr>
            <w:r>
              <w:rPr>
                <w:noProof/>
              </w:rPr>
              <w:t>Atskaites punkts</w:t>
            </w:r>
          </w:p>
        </w:tc>
        <w:tc>
          <w:tcPr>
            <w:tcW w:w="2979" w:type="dxa"/>
            <w:shd w:val="clear" w:color="auto" w:fill="C6EFCE"/>
            <w:tcMar>
              <w:left w:w="108" w:type="dxa"/>
              <w:right w:w="108" w:type="dxa"/>
            </w:tcMar>
            <w:vAlign w:val="center"/>
          </w:tcPr>
          <w:p w14:paraId="33519FEA" w14:textId="77777777" w:rsidR="00327FF1" w:rsidRDefault="00E406C7">
            <w:pPr>
              <w:pStyle w:val="P68B1DB1-Normal121"/>
              <w:spacing w:after="0" w:line="240" w:lineRule="auto"/>
              <w:rPr>
                <w:noProof/>
              </w:rPr>
            </w:pPr>
            <w:r>
              <w:rPr>
                <w:noProof/>
              </w:rPr>
              <w:t xml:space="preserve">Dekrēta(-u) par projektu piešķiršanu publicēšana </w:t>
            </w:r>
          </w:p>
        </w:tc>
      </w:tr>
      <w:tr w:rsidR="00327FF1" w14:paraId="1DD089AA" w14:textId="77777777">
        <w:trPr>
          <w:trHeight w:val="300"/>
        </w:trPr>
        <w:tc>
          <w:tcPr>
            <w:tcW w:w="1335" w:type="dxa"/>
            <w:shd w:val="clear" w:color="auto" w:fill="C6EFCE"/>
            <w:tcMar>
              <w:left w:w="108" w:type="dxa"/>
              <w:right w:w="108" w:type="dxa"/>
            </w:tcMar>
            <w:vAlign w:val="center"/>
          </w:tcPr>
          <w:p w14:paraId="431B59EC" w14:textId="77777777" w:rsidR="00327FF1" w:rsidRDefault="00E406C7">
            <w:pPr>
              <w:pStyle w:val="P68B1DB1-Normal121"/>
              <w:spacing w:after="0" w:line="240" w:lineRule="auto"/>
              <w:jc w:val="center"/>
              <w:rPr>
                <w:noProof/>
              </w:rPr>
            </w:pPr>
            <w:r>
              <w:rPr>
                <w:noProof/>
              </w:rPr>
              <w:t>M4C2–7</w:t>
            </w:r>
          </w:p>
        </w:tc>
        <w:tc>
          <w:tcPr>
            <w:tcW w:w="3784" w:type="dxa"/>
            <w:shd w:val="clear" w:color="auto" w:fill="C6EFCE"/>
            <w:tcMar>
              <w:left w:w="108" w:type="dxa"/>
              <w:right w:w="108" w:type="dxa"/>
            </w:tcMar>
            <w:vAlign w:val="center"/>
          </w:tcPr>
          <w:p w14:paraId="0B55951E" w14:textId="77777777" w:rsidR="00327FF1" w:rsidRDefault="00E406C7">
            <w:pPr>
              <w:pStyle w:val="P68B1DB1-Normal121"/>
              <w:spacing w:after="0" w:line="240" w:lineRule="auto"/>
              <w:rPr>
                <w:noProof/>
              </w:rPr>
            </w:pPr>
            <w:r>
              <w:rPr>
                <w:noProof/>
              </w:rPr>
              <w:t>Investīcija 1.1: Valsts nozīmes pētniecības projekti (PRIN)</w:t>
            </w:r>
          </w:p>
        </w:tc>
        <w:tc>
          <w:tcPr>
            <w:tcW w:w="1260" w:type="dxa"/>
            <w:shd w:val="clear" w:color="auto" w:fill="C6EFCE"/>
            <w:tcMar>
              <w:left w:w="108" w:type="dxa"/>
              <w:right w:w="108" w:type="dxa"/>
            </w:tcMar>
            <w:vAlign w:val="center"/>
          </w:tcPr>
          <w:p w14:paraId="6D466654" w14:textId="77777777" w:rsidR="00327FF1" w:rsidRDefault="00E406C7">
            <w:pPr>
              <w:pStyle w:val="P68B1DB1-Normal121"/>
              <w:spacing w:after="0" w:line="240" w:lineRule="auto"/>
              <w:jc w:val="center"/>
              <w:rPr>
                <w:noProof/>
              </w:rPr>
            </w:pPr>
            <w:r>
              <w:rPr>
                <w:noProof/>
              </w:rPr>
              <w:t>Mērķa</w:t>
            </w:r>
          </w:p>
        </w:tc>
        <w:tc>
          <w:tcPr>
            <w:tcW w:w="2979" w:type="dxa"/>
            <w:shd w:val="clear" w:color="auto" w:fill="C6EFCE"/>
            <w:tcMar>
              <w:left w:w="108" w:type="dxa"/>
              <w:right w:w="108" w:type="dxa"/>
            </w:tcMar>
            <w:vAlign w:val="center"/>
          </w:tcPr>
          <w:p w14:paraId="40D09AD4" w14:textId="4BABE478" w:rsidR="00327FF1" w:rsidRDefault="00E406C7">
            <w:pPr>
              <w:pStyle w:val="P68B1DB1-Normal121"/>
              <w:spacing w:after="0" w:line="240" w:lineRule="auto"/>
              <w:rPr>
                <w:noProof/>
              </w:rPr>
            </w:pPr>
            <w:r>
              <w:rPr>
                <w:noProof/>
              </w:rPr>
              <w:t>Darbā pieņemto pētnieku skaits uz noteiktu laiku</w:t>
            </w:r>
          </w:p>
        </w:tc>
      </w:tr>
      <w:tr w:rsidR="00327FF1" w14:paraId="0B53CCBC" w14:textId="77777777">
        <w:trPr>
          <w:trHeight w:val="300"/>
        </w:trPr>
        <w:tc>
          <w:tcPr>
            <w:tcW w:w="1335" w:type="dxa"/>
            <w:shd w:val="clear" w:color="auto" w:fill="C6EFCE"/>
            <w:tcMar>
              <w:left w:w="108" w:type="dxa"/>
              <w:right w:w="108" w:type="dxa"/>
            </w:tcMar>
            <w:vAlign w:val="center"/>
          </w:tcPr>
          <w:p w14:paraId="643DFFA5" w14:textId="77777777" w:rsidR="00327FF1" w:rsidRDefault="00E406C7">
            <w:pPr>
              <w:pStyle w:val="P68B1DB1-Normal121"/>
              <w:spacing w:after="0" w:line="240" w:lineRule="auto"/>
              <w:jc w:val="center"/>
              <w:rPr>
                <w:noProof/>
              </w:rPr>
            </w:pPr>
            <w:r>
              <w:rPr>
                <w:noProof/>
              </w:rPr>
              <w:t>M4C2–8</w:t>
            </w:r>
          </w:p>
        </w:tc>
        <w:tc>
          <w:tcPr>
            <w:tcW w:w="3784" w:type="dxa"/>
            <w:shd w:val="clear" w:color="auto" w:fill="C6EFCE"/>
            <w:tcMar>
              <w:left w:w="108" w:type="dxa"/>
              <w:right w:w="108" w:type="dxa"/>
            </w:tcMar>
            <w:vAlign w:val="center"/>
          </w:tcPr>
          <w:p w14:paraId="39854252" w14:textId="77777777" w:rsidR="00327FF1" w:rsidRDefault="00E406C7">
            <w:pPr>
              <w:pStyle w:val="P68B1DB1-Normal121"/>
              <w:spacing w:after="0" w:line="240" w:lineRule="auto"/>
              <w:rPr>
                <w:noProof/>
              </w:rPr>
            </w:pPr>
            <w:r>
              <w:rPr>
                <w:noProof/>
              </w:rPr>
              <w:t xml:space="preserve">Investīcija Nr. 1.3. Partnerības, kas attiecas uz universitātēm, </w:t>
            </w:r>
            <w:r>
              <w:rPr>
                <w:noProof/>
              </w:rPr>
              <w:t>pētniecības centriem, uzņēmumiem un fundamentālo pētījumu projektu finansēšana</w:t>
            </w:r>
          </w:p>
        </w:tc>
        <w:tc>
          <w:tcPr>
            <w:tcW w:w="1260" w:type="dxa"/>
            <w:shd w:val="clear" w:color="auto" w:fill="C6EFCE"/>
            <w:tcMar>
              <w:left w:w="108" w:type="dxa"/>
              <w:right w:w="108" w:type="dxa"/>
            </w:tcMar>
            <w:vAlign w:val="center"/>
          </w:tcPr>
          <w:p w14:paraId="484E1469" w14:textId="77777777" w:rsidR="00327FF1" w:rsidRDefault="00E406C7">
            <w:pPr>
              <w:pStyle w:val="P68B1DB1-Normal121"/>
              <w:spacing w:after="0" w:line="240" w:lineRule="auto"/>
              <w:jc w:val="center"/>
              <w:rPr>
                <w:noProof/>
              </w:rPr>
            </w:pPr>
            <w:r>
              <w:rPr>
                <w:noProof/>
              </w:rPr>
              <w:t>Mērķa</w:t>
            </w:r>
          </w:p>
        </w:tc>
        <w:tc>
          <w:tcPr>
            <w:tcW w:w="2979" w:type="dxa"/>
            <w:shd w:val="clear" w:color="auto" w:fill="C6EFCE"/>
            <w:tcMar>
              <w:left w:w="108" w:type="dxa"/>
              <w:right w:w="108" w:type="dxa"/>
            </w:tcMar>
            <w:vAlign w:val="center"/>
          </w:tcPr>
          <w:p w14:paraId="7671EB10" w14:textId="77777777" w:rsidR="00327FF1" w:rsidRDefault="00E406C7">
            <w:pPr>
              <w:pStyle w:val="P68B1DB1-Normal121"/>
              <w:spacing w:after="0" w:line="240" w:lineRule="auto"/>
              <w:rPr>
                <w:noProof/>
              </w:rPr>
            </w:pPr>
            <w:r>
              <w:rPr>
                <w:noProof/>
              </w:rPr>
              <w:t xml:space="preserve">Parakstīto pētniecības partnerību skaits </w:t>
            </w:r>
          </w:p>
        </w:tc>
      </w:tr>
      <w:tr w:rsidR="00327FF1" w14:paraId="79B6E3CE" w14:textId="77777777">
        <w:trPr>
          <w:trHeight w:val="300"/>
        </w:trPr>
        <w:tc>
          <w:tcPr>
            <w:tcW w:w="1335" w:type="dxa"/>
            <w:shd w:val="clear" w:color="auto" w:fill="C6EFCE"/>
            <w:tcMar>
              <w:left w:w="108" w:type="dxa"/>
              <w:right w:w="108" w:type="dxa"/>
            </w:tcMar>
            <w:vAlign w:val="center"/>
          </w:tcPr>
          <w:p w14:paraId="28E20EF5" w14:textId="77777777" w:rsidR="00327FF1" w:rsidRDefault="00E406C7">
            <w:pPr>
              <w:pStyle w:val="P68B1DB1-Normal121"/>
              <w:spacing w:after="0" w:line="240" w:lineRule="auto"/>
              <w:jc w:val="center"/>
              <w:rPr>
                <w:noProof/>
              </w:rPr>
            </w:pPr>
            <w:r>
              <w:rPr>
                <w:noProof/>
              </w:rPr>
              <w:t>M4C2–22</w:t>
            </w:r>
          </w:p>
        </w:tc>
        <w:tc>
          <w:tcPr>
            <w:tcW w:w="3784" w:type="dxa"/>
            <w:shd w:val="clear" w:color="auto" w:fill="C6EFCE"/>
            <w:tcMar>
              <w:left w:w="108" w:type="dxa"/>
              <w:right w:w="108" w:type="dxa"/>
            </w:tcMar>
            <w:vAlign w:val="center"/>
          </w:tcPr>
          <w:p w14:paraId="03648B80" w14:textId="77777777" w:rsidR="00327FF1" w:rsidRDefault="00E406C7">
            <w:pPr>
              <w:pStyle w:val="P68B1DB1-Normal121"/>
              <w:spacing w:after="0" w:line="240" w:lineRule="auto"/>
              <w:rPr>
                <w:noProof/>
              </w:rPr>
            </w:pPr>
            <w:r>
              <w:rPr>
                <w:noProof/>
              </w:rPr>
              <w:t>Investīcija 2.1: IPCEI</w:t>
            </w:r>
          </w:p>
        </w:tc>
        <w:tc>
          <w:tcPr>
            <w:tcW w:w="1260" w:type="dxa"/>
            <w:shd w:val="clear" w:color="auto" w:fill="C6EFCE"/>
            <w:tcMar>
              <w:left w:w="108" w:type="dxa"/>
              <w:right w:w="108" w:type="dxa"/>
            </w:tcMar>
            <w:vAlign w:val="center"/>
          </w:tcPr>
          <w:p w14:paraId="43484D58" w14:textId="77777777" w:rsidR="00327FF1" w:rsidRDefault="00E406C7">
            <w:pPr>
              <w:pStyle w:val="P68B1DB1-Normal121"/>
              <w:spacing w:after="0" w:line="240" w:lineRule="auto"/>
              <w:jc w:val="center"/>
              <w:rPr>
                <w:noProof/>
              </w:rPr>
            </w:pPr>
            <w:r>
              <w:rPr>
                <w:noProof/>
              </w:rPr>
              <w:t>Mērķa</w:t>
            </w:r>
          </w:p>
        </w:tc>
        <w:tc>
          <w:tcPr>
            <w:tcW w:w="2979" w:type="dxa"/>
            <w:shd w:val="clear" w:color="auto" w:fill="C6EFCE"/>
            <w:tcMar>
              <w:left w:w="108" w:type="dxa"/>
              <w:right w:w="108" w:type="dxa"/>
            </w:tcMar>
            <w:vAlign w:val="center"/>
          </w:tcPr>
          <w:p w14:paraId="47CC0A60" w14:textId="77777777" w:rsidR="00327FF1" w:rsidRDefault="00E406C7">
            <w:pPr>
              <w:pStyle w:val="P68B1DB1-Normal121"/>
              <w:spacing w:after="0" w:line="240" w:lineRule="auto"/>
              <w:rPr>
                <w:noProof/>
              </w:rPr>
            </w:pPr>
            <w:r>
              <w:rPr>
                <w:noProof/>
              </w:rPr>
              <w:t>Atbalstīto projektu skaits</w:t>
            </w:r>
          </w:p>
        </w:tc>
      </w:tr>
      <w:tr w:rsidR="00327FF1" w14:paraId="4C3915DB" w14:textId="77777777">
        <w:trPr>
          <w:trHeight w:val="300"/>
        </w:trPr>
        <w:tc>
          <w:tcPr>
            <w:tcW w:w="1335" w:type="dxa"/>
            <w:shd w:val="clear" w:color="auto" w:fill="C6EFCE"/>
            <w:tcMar>
              <w:left w:w="108" w:type="dxa"/>
              <w:right w:w="108" w:type="dxa"/>
            </w:tcMar>
            <w:vAlign w:val="center"/>
          </w:tcPr>
          <w:p w14:paraId="5D0DEB73" w14:textId="77777777" w:rsidR="00327FF1" w:rsidRDefault="00E406C7">
            <w:pPr>
              <w:pStyle w:val="P68B1DB1-Normal121"/>
              <w:spacing w:after="0" w:line="240" w:lineRule="auto"/>
              <w:jc w:val="center"/>
              <w:rPr>
                <w:noProof/>
              </w:rPr>
            </w:pPr>
            <w:r>
              <w:rPr>
                <w:noProof/>
              </w:rPr>
              <w:t>M6C1–6</w:t>
            </w:r>
          </w:p>
        </w:tc>
        <w:tc>
          <w:tcPr>
            <w:tcW w:w="3784" w:type="dxa"/>
            <w:shd w:val="clear" w:color="auto" w:fill="C6EFCE"/>
            <w:tcMar>
              <w:left w:w="108" w:type="dxa"/>
              <w:right w:w="108" w:type="dxa"/>
            </w:tcMar>
            <w:vAlign w:val="center"/>
          </w:tcPr>
          <w:p w14:paraId="7A0E8792" w14:textId="77777777" w:rsidR="00327FF1" w:rsidRDefault="00E406C7">
            <w:pPr>
              <w:pStyle w:val="P68B1DB1-Normal121"/>
              <w:spacing w:after="0" w:line="240" w:lineRule="auto"/>
              <w:rPr>
                <w:noProof/>
              </w:rPr>
            </w:pPr>
            <w:r>
              <w:rPr>
                <w:noProof/>
              </w:rPr>
              <w:t>Ieguldījums 1.2. Mājas kā pirmā aprūpes un telemedicīnas</w:t>
            </w:r>
            <w:r>
              <w:rPr>
                <w:noProof/>
              </w:rPr>
              <w:t xml:space="preserve"> vieta</w:t>
            </w:r>
          </w:p>
        </w:tc>
        <w:tc>
          <w:tcPr>
            <w:tcW w:w="1260" w:type="dxa"/>
            <w:shd w:val="clear" w:color="auto" w:fill="C6EFCE"/>
            <w:tcMar>
              <w:left w:w="108" w:type="dxa"/>
              <w:right w:w="108" w:type="dxa"/>
            </w:tcMar>
            <w:vAlign w:val="center"/>
          </w:tcPr>
          <w:p w14:paraId="1A73E25A" w14:textId="77777777" w:rsidR="00327FF1" w:rsidRDefault="00E406C7">
            <w:pPr>
              <w:pStyle w:val="P68B1DB1-Normal121"/>
              <w:spacing w:after="0" w:line="240" w:lineRule="auto"/>
              <w:jc w:val="center"/>
              <w:rPr>
                <w:noProof/>
              </w:rPr>
            </w:pPr>
            <w:r>
              <w:rPr>
                <w:noProof/>
              </w:rPr>
              <w:t>Mērķa</w:t>
            </w:r>
          </w:p>
        </w:tc>
        <w:tc>
          <w:tcPr>
            <w:tcW w:w="2979" w:type="dxa"/>
            <w:shd w:val="clear" w:color="auto" w:fill="C6EFCE"/>
            <w:tcMar>
              <w:left w:w="108" w:type="dxa"/>
              <w:right w:w="108" w:type="dxa"/>
            </w:tcMar>
            <w:vAlign w:val="center"/>
          </w:tcPr>
          <w:p w14:paraId="6ABF6957" w14:textId="77777777" w:rsidR="00327FF1" w:rsidRDefault="00E406C7">
            <w:pPr>
              <w:pStyle w:val="P68B1DB1-Normal121"/>
              <w:spacing w:after="0" w:line="240" w:lineRule="auto"/>
              <w:rPr>
                <w:noProof/>
              </w:rPr>
            </w:pPr>
            <w:r>
              <w:rPr>
                <w:noProof/>
              </w:rPr>
              <w:t>Aprūpe mājās</w:t>
            </w:r>
          </w:p>
        </w:tc>
      </w:tr>
      <w:tr w:rsidR="00327FF1" w14:paraId="1F5C26BF" w14:textId="77777777">
        <w:trPr>
          <w:trHeight w:val="300"/>
        </w:trPr>
        <w:tc>
          <w:tcPr>
            <w:tcW w:w="1335" w:type="dxa"/>
            <w:shd w:val="clear" w:color="auto" w:fill="C6EFCE"/>
            <w:tcMar>
              <w:left w:w="108" w:type="dxa"/>
              <w:right w:w="108" w:type="dxa"/>
            </w:tcMar>
            <w:vAlign w:val="center"/>
          </w:tcPr>
          <w:p w14:paraId="450857F0" w14:textId="77777777" w:rsidR="00327FF1" w:rsidRDefault="00327FF1">
            <w:pPr>
              <w:spacing w:after="0" w:line="240" w:lineRule="auto"/>
              <w:jc w:val="center"/>
              <w:rPr>
                <w:rFonts w:ascii="Times New Roman" w:eastAsia="Times New Roman" w:hAnsi="Times New Roman" w:cs="Times New Roman"/>
                <w:noProof/>
              </w:rPr>
            </w:pPr>
          </w:p>
        </w:tc>
        <w:tc>
          <w:tcPr>
            <w:tcW w:w="3784" w:type="dxa"/>
            <w:shd w:val="clear" w:color="auto" w:fill="C6EFCE"/>
            <w:tcMar>
              <w:left w:w="108" w:type="dxa"/>
              <w:right w:w="108" w:type="dxa"/>
            </w:tcMar>
            <w:vAlign w:val="center"/>
          </w:tcPr>
          <w:p w14:paraId="6C2262CF" w14:textId="77777777" w:rsidR="00327FF1" w:rsidRDefault="00327FF1">
            <w:pPr>
              <w:spacing w:after="0" w:line="240" w:lineRule="auto"/>
              <w:rPr>
                <w:rFonts w:ascii="Times New Roman" w:eastAsia="Times New Roman" w:hAnsi="Times New Roman" w:cs="Times New Roman"/>
                <w:noProof/>
              </w:rPr>
            </w:pPr>
          </w:p>
        </w:tc>
        <w:tc>
          <w:tcPr>
            <w:tcW w:w="1260" w:type="dxa"/>
            <w:shd w:val="clear" w:color="auto" w:fill="C6EFCE"/>
            <w:tcMar>
              <w:left w:w="108" w:type="dxa"/>
              <w:right w:w="108" w:type="dxa"/>
            </w:tcMar>
            <w:vAlign w:val="center"/>
          </w:tcPr>
          <w:p w14:paraId="7E358A1E" w14:textId="77777777" w:rsidR="00327FF1" w:rsidRDefault="00E406C7">
            <w:pPr>
              <w:pStyle w:val="P68B1DB1-Normal121"/>
              <w:spacing w:after="0" w:line="240" w:lineRule="auto"/>
              <w:jc w:val="center"/>
              <w:rPr>
                <w:noProof/>
              </w:rPr>
            </w:pPr>
            <w:r>
              <w:rPr>
                <w:noProof/>
              </w:rPr>
              <w:t>Maksājuma summa</w:t>
            </w:r>
          </w:p>
        </w:tc>
        <w:tc>
          <w:tcPr>
            <w:tcW w:w="2979" w:type="dxa"/>
            <w:shd w:val="clear" w:color="auto" w:fill="C6EFCE"/>
            <w:tcMar>
              <w:left w:w="108" w:type="dxa"/>
              <w:right w:w="108" w:type="dxa"/>
            </w:tcMar>
            <w:vAlign w:val="center"/>
          </w:tcPr>
          <w:p w14:paraId="6700A8E4" w14:textId="77777777" w:rsidR="00327FF1" w:rsidRDefault="00E406C7">
            <w:pPr>
              <w:pStyle w:val="P68B1DB1-Normal8"/>
              <w:spacing w:after="0" w:line="240" w:lineRule="auto"/>
              <w:rPr>
                <w:noProof/>
                <w:highlight w:val="yellow"/>
              </w:rPr>
            </w:pPr>
            <w:r>
              <w:rPr>
                <w:noProof/>
                <w:color w:val="006100"/>
                <w:sz w:val="20"/>
                <w:szCs w:val="20"/>
              </w:rPr>
              <w:t>EUR</w:t>
            </w:r>
            <w:r>
              <w:rPr>
                <w:noProof/>
                <w:sz w:val="23"/>
                <w:szCs w:val="23"/>
              </w:rPr>
              <w:t xml:space="preserve">  </w:t>
            </w:r>
            <w:r>
              <w:rPr>
                <w:noProof/>
                <w:color w:val="006100"/>
                <w:sz w:val="20"/>
                <w:szCs w:val="20"/>
              </w:rPr>
              <w:t>11184566013</w:t>
            </w:r>
            <w:r>
              <w:rPr>
                <w:noProof/>
                <w:sz w:val="23"/>
                <w:szCs w:val="23"/>
              </w:rPr>
              <w:t xml:space="preserve"> </w:t>
            </w:r>
          </w:p>
        </w:tc>
      </w:tr>
    </w:tbl>
    <w:p w14:paraId="1CC1B017" w14:textId="0EF91158" w:rsidR="00327FF1" w:rsidRDefault="00E406C7">
      <w:pPr>
        <w:pStyle w:val="P68B1DB1-Normal8"/>
        <w:spacing w:before="120" w:after="120" w:line="240" w:lineRule="auto"/>
        <w:jc w:val="both"/>
        <w:rPr>
          <w:noProof/>
        </w:rPr>
      </w:pPr>
      <w:r>
        <w:rPr>
          <w:noProof/>
        </w:rPr>
        <w:t xml:space="preserve"> </w:t>
      </w:r>
    </w:p>
    <w:p w14:paraId="4D8D1981" w14:textId="77777777" w:rsidR="00327FF1" w:rsidRDefault="00E406C7">
      <w:pPr>
        <w:pStyle w:val="P68B1DB1-Heading34"/>
        <w:numPr>
          <w:ilvl w:val="1"/>
          <w:numId w:val="179"/>
        </w:numPr>
        <w:tabs>
          <w:tab w:val="clear" w:pos="850"/>
          <w:tab w:val="num" w:pos="1440"/>
        </w:tabs>
        <w:ind w:left="1440" w:hanging="360"/>
        <w:rPr>
          <w:noProof/>
        </w:rPr>
      </w:pPr>
      <w:r>
        <w:rPr>
          <w:noProof/>
        </w:rPr>
        <w:t>Devītais maksājums (aizdevuma atbalsts):</w:t>
      </w:r>
    </w:p>
    <w:tbl>
      <w:tblPr>
        <w:tblW w:w="923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4"/>
        <w:gridCol w:w="3541"/>
        <w:gridCol w:w="1276"/>
        <w:gridCol w:w="3260"/>
      </w:tblGrid>
      <w:tr w:rsidR="00327FF1" w14:paraId="0C5D457C" w14:textId="77777777">
        <w:trPr>
          <w:trHeight w:val="900"/>
          <w:tblHeader/>
        </w:trPr>
        <w:tc>
          <w:tcPr>
            <w:tcW w:w="1154" w:type="dxa"/>
            <w:vMerge w:val="restart"/>
            <w:shd w:val="clear" w:color="auto" w:fill="BDD7EE"/>
            <w:tcMar>
              <w:left w:w="108" w:type="dxa"/>
              <w:right w:w="108" w:type="dxa"/>
            </w:tcMar>
            <w:vAlign w:val="center"/>
          </w:tcPr>
          <w:p w14:paraId="391837B7" w14:textId="77777777" w:rsidR="00327FF1" w:rsidRDefault="00E406C7">
            <w:pPr>
              <w:pStyle w:val="P68B1DB1-Normal120"/>
              <w:spacing w:after="0" w:line="240" w:lineRule="auto"/>
              <w:jc w:val="center"/>
              <w:rPr>
                <w:noProof/>
              </w:rPr>
            </w:pPr>
            <w:r>
              <w:rPr>
                <w:noProof/>
              </w:rPr>
              <w:t>Kārtas numurs</w:t>
            </w:r>
          </w:p>
        </w:tc>
        <w:tc>
          <w:tcPr>
            <w:tcW w:w="3541" w:type="dxa"/>
            <w:vMerge w:val="restart"/>
            <w:shd w:val="clear" w:color="auto" w:fill="BDD7EE"/>
            <w:tcMar>
              <w:left w:w="108" w:type="dxa"/>
              <w:right w:w="108" w:type="dxa"/>
            </w:tcMar>
            <w:vAlign w:val="center"/>
          </w:tcPr>
          <w:p w14:paraId="711E36C0" w14:textId="77777777" w:rsidR="00327FF1" w:rsidRDefault="00E406C7">
            <w:pPr>
              <w:pStyle w:val="P68B1DB1-Normal120"/>
              <w:spacing w:after="0" w:line="240" w:lineRule="auto"/>
              <w:jc w:val="center"/>
              <w:rPr>
                <w:noProof/>
              </w:rPr>
            </w:pPr>
            <w:r>
              <w:rPr>
                <w:noProof/>
              </w:rPr>
              <w:t>Saistītais pasākums (reforma vai ieguldījums)</w:t>
            </w:r>
          </w:p>
        </w:tc>
        <w:tc>
          <w:tcPr>
            <w:tcW w:w="1276" w:type="dxa"/>
            <w:vMerge w:val="restart"/>
            <w:shd w:val="clear" w:color="auto" w:fill="BDD7EE"/>
            <w:tcMar>
              <w:left w:w="108" w:type="dxa"/>
              <w:right w:w="108" w:type="dxa"/>
            </w:tcMar>
            <w:vAlign w:val="center"/>
          </w:tcPr>
          <w:p w14:paraId="2F276AB2" w14:textId="77777777" w:rsidR="00327FF1" w:rsidRDefault="00E406C7">
            <w:pPr>
              <w:pStyle w:val="P68B1DB1-Normal120"/>
              <w:spacing w:after="0" w:line="240" w:lineRule="auto"/>
              <w:jc w:val="center"/>
              <w:rPr>
                <w:noProof/>
              </w:rPr>
            </w:pPr>
            <w:r>
              <w:rPr>
                <w:noProof/>
              </w:rPr>
              <w:t>Atskaites punkts/mērķrādītājs</w:t>
            </w:r>
          </w:p>
        </w:tc>
        <w:tc>
          <w:tcPr>
            <w:tcW w:w="3260" w:type="dxa"/>
            <w:vMerge w:val="restart"/>
            <w:shd w:val="clear" w:color="auto" w:fill="BDD7EE"/>
            <w:tcMar>
              <w:left w:w="108" w:type="dxa"/>
              <w:right w:w="108" w:type="dxa"/>
            </w:tcMar>
            <w:vAlign w:val="center"/>
          </w:tcPr>
          <w:p w14:paraId="16350DC0" w14:textId="77777777" w:rsidR="00327FF1" w:rsidRDefault="00E406C7">
            <w:pPr>
              <w:pStyle w:val="P68B1DB1-Normal120"/>
              <w:spacing w:after="0" w:line="240" w:lineRule="auto"/>
              <w:jc w:val="center"/>
              <w:rPr>
                <w:noProof/>
              </w:rPr>
            </w:pPr>
            <w:r>
              <w:rPr>
                <w:noProof/>
              </w:rPr>
              <w:t>Nosaukums</w:t>
            </w:r>
          </w:p>
        </w:tc>
      </w:tr>
      <w:tr w:rsidR="00327FF1" w14:paraId="29280B70" w14:textId="77777777">
        <w:trPr>
          <w:trHeight w:val="510"/>
        </w:trPr>
        <w:tc>
          <w:tcPr>
            <w:tcW w:w="1154" w:type="dxa"/>
            <w:vMerge/>
            <w:vAlign w:val="center"/>
          </w:tcPr>
          <w:p w14:paraId="713F6B81" w14:textId="77777777" w:rsidR="00327FF1" w:rsidRDefault="00327FF1">
            <w:pPr>
              <w:spacing w:after="0" w:line="240" w:lineRule="auto"/>
              <w:jc w:val="center"/>
              <w:rPr>
                <w:rFonts w:ascii="Times New Roman" w:eastAsia="Times New Roman" w:hAnsi="Times New Roman" w:cs="Times New Roman"/>
                <w:noProof/>
              </w:rPr>
            </w:pPr>
          </w:p>
        </w:tc>
        <w:tc>
          <w:tcPr>
            <w:tcW w:w="3541" w:type="dxa"/>
            <w:vMerge/>
            <w:vAlign w:val="center"/>
          </w:tcPr>
          <w:p w14:paraId="290C1C51" w14:textId="77777777" w:rsidR="00327FF1" w:rsidRDefault="00327FF1">
            <w:pPr>
              <w:spacing w:after="0" w:line="240" w:lineRule="auto"/>
              <w:rPr>
                <w:rFonts w:ascii="Times New Roman" w:eastAsia="Times New Roman" w:hAnsi="Times New Roman" w:cs="Times New Roman"/>
                <w:noProof/>
              </w:rPr>
            </w:pPr>
          </w:p>
        </w:tc>
        <w:tc>
          <w:tcPr>
            <w:tcW w:w="1276" w:type="dxa"/>
            <w:vMerge/>
            <w:vAlign w:val="center"/>
          </w:tcPr>
          <w:p w14:paraId="50A70AFE" w14:textId="77777777" w:rsidR="00327FF1" w:rsidRDefault="00327FF1">
            <w:pPr>
              <w:spacing w:after="0" w:line="240" w:lineRule="auto"/>
              <w:jc w:val="center"/>
              <w:rPr>
                <w:rFonts w:ascii="Times New Roman" w:eastAsia="Times New Roman" w:hAnsi="Times New Roman" w:cs="Times New Roman"/>
                <w:noProof/>
              </w:rPr>
            </w:pPr>
          </w:p>
        </w:tc>
        <w:tc>
          <w:tcPr>
            <w:tcW w:w="3260" w:type="dxa"/>
            <w:vMerge/>
            <w:vAlign w:val="center"/>
          </w:tcPr>
          <w:p w14:paraId="335D9BA0" w14:textId="77777777" w:rsidR="00327FF1" w:rsidRDefault="00327FF1">
            <w:pPr>
              <w:spacing w:after="0" w:line="240" w:lineRule="auto"/>
              <w:rPr>
                <w:rFonts w:ascii="Times New Roman" w:eastAsia="Times New Roman" w:hAnsi="Times New Roman" w:cs="Times New Roman"/>
                <w:noProof/>
              </w:rPr>
            </w:pPr>
          </w:p>
        </w:tc>
      </w:tr>
      <w:tr w:rsidR="00327FF1" w14:paraId="20CD8E39" w14:textId="77777777">
        <w:trPr>
          <w:trHeight w:val="300"/>
        </w:trPr>
        <w:tc>
          <w:tcPr>
            <w:tcW w:w="1154" w:type="dxa"/>
            <w:shd w:val="clear" w:color="auto" w:fill="C6EFCE"/>
            <w:tcMar>
              <w:left w:w="108" w:type="dxa"/>
              <w:right w:w="108" w:type="dxa"/>
            </w:tcMar>
            <w:vAlign w:val="center"/>
          </w:tcPr>
          <w:p w14:paraId="004B9804" w14:textId="77777777" w:rsidR="00327FF1" w:rsidRDefault="00E406C7">
            <w:pPr>
              <w:pStyle w:val="P68B1DB1-Normal121"/>
              <w:spacing w:after="0" w:line="240" w:lineRule="auto"/>
              <w:jc w:val="center"/>
              <w:rPr>
                <w:noProof/>
              </w:rPr>
            </w:pPr>
            <w:r>
              <w:rPr>
                <w:noProof/>
              </w:rPr>
              <w:t>M1C1–145</w:t>
            </w:r>
          </w:p>
        </w:tc>
        <w:tc>
          <w:tcPr>
            <w:tcW w:w="3541" w:type="dxa"/>
            <w:shd w:val="clear" w:color="auto" w:fill="C6EFCE"/>
            <w:tcMar>
              <w:left w:w="108" w:type="dxa"/>
              <w:right w:w="108" w:type="dxa"/>
            </w:tcMar>
            <w:vAlign w:val="center"/>
          </w:tcPr>
          <w:p w14:paraId="6F137A23" w14:textId="77777777" w:rsidR="00327FF1" w:rsidRDefault="00E406C7">
            <w:pPr>
              <w:pStyle w:val="P68B1DB1-Normal121"/>
              <w:spacing w:after="0" w:line="240" w:lineRule="auto"/>
              <w:rPr>
                <w:noProof/>
              </w:rPr>
            </w:pPr>
            <w:r>
              <w:rPr>
                <w:noProof/>
              </w:rPr>
              <w:t xml:space="preserve">Investīcija 1.4.4. Valsts </w:t>
            </w:r>
            <w:r>
              <w:rPr>
                <w:noProof/>
              </w:rPr>
              <w:t>digitālās identitātes platformas (SPID, CIE) un nacionālā reģistra (ANPR) izvēršana</w:t>
            </w:r>
          </w:p>
        </w:tc>
        <w:tc>
          <w:tcPr>
            <w:tcW w:w="1276" w:type="dxa"/>
            <w:shd w:val="clear" w:color="auto" w:fill="C6EFCE"/>
            <w:tcMar>
              <w:left w:w="108" w:type="dxa"/>
              <w:right w:w="108" w:type="dxa"/>
            </w:tcMar>
            <w:vAlign w:val="center"/>
          </w:tcPr>
          <w:p w14:paraId="594182C2" w14:textId="77777777" w:rsidR="00327FF1" w:rsidRDefault="00E406C7">
            <w:pPr>
              <w:pStyle w:val="P68B1DB1-Normal121"/>
              <w:spacing w:after="0" w:line="240" w:lineRule="auto"/>
              <w:jc w:val="center"/>
              <w:rPr>
                <w:noProof/>
              </w:rPr>
            </w:pPr>
            <w:r>
              <w:rPr>
                <w:noProof/>
              </w:rPr>
              <w:t>Mērķa</w:t>
            </w:r>
          </w:p>
        </w:tc>
        <w:tc>
          <w:tcPr>
            <w:tcW w:w="3260" w:type="dxa"/>
            <w:shd w:val="clear" w:color="auto" w:fill="C6EFCE"/>
            <w:tcMar>
              <w:left w:w="108" w:type="dxa"/>
              <w:right w:w="108" w:type="dxa"/>
            </w:tcMar>
            <w:vAlign w:val="center"/>
          </w:tcPr>
          <w:p w14:paraId="41421FDF" w14:textId="77777777" w:rsidR="00327FF1" w:rsidRDefault="00E406C7">
            <w:pPr>
              <w:pStyle w:val="P68B1DB1-Normal121"/>
              <w:spacing w:after="0" w:line="240" w:lineRule="auto"/>
              <w:rPr>
                <w:noProof/>
              </w:rPr>
            </w:pPr>
            <w:r>
              <w:rPr>
                <w:noProof/>
              </w:rPr>
              <w:t>Valsts digitālās identitātes platforma (CIE) un valsts reģistrs (ANPR)</w:t>
            </w:r>
          </w:p>
        </w:tc>
      </w:tr>
      <w:tr w:rsidR="00327FF1" w14:paraId="658708DF" w14:textId="77777777">
        <w:trPr>
          <w:trHeight w:val="300"/>
        </w:trPr>
        <w:tc>
          <w:tcPr>
            <w:tcW w:w="1154" w:type="dxa"/>
            <w:shd w:val="clear" w:color="auto" w:fill="C6EFCE"/>
            <w:tcMar>
              <w:left w:w="108" w:type="dxa"/>
              <w:right w:w="108" w:type="dxa"/>
            </w:tcMar>
            <w:vAlign w:val="center"/>
          </w:tcPr>
          <w:p w14:paraId="08D5DCE1" w14:textId="77777777" w:rsidR="00327FF1" w:rsidRDefault="00E406C7">
            <w:pPr>
              <w:pStyle w:val="P68B1DB1-Normal121"/>
              <w:spacing w:after="0" w:line="240" w:lineRule="auto"/>
              <w:jc w:val="center"/>
              <w:rPr>
                <w:noProof/>
              </w:rPr>
            </w:pPr>
            <w:r>
              <w:rPr>
                <w:noProof/>
              </w:rPr>
              <w:t>M1C3–28</w:t>
            </w:r>
          </w:p>
        </w:tc>
        <w:tc>
          <w:tcPr>
            <w:tcW w:w="3541" w:type="dxa"/>
            <w:shd w:val="clear" w:color="auto" w:fill="C6EFCE"/>
            <w:tcMar>
              <w:left w:w="108" w:type="dxa"/>
              <w:right w:w="108" w:type="dxa"/>
            </w:tcMar>
            <w:vAlign w:val="center"/>
          </w:tcPr>
          <w:p w14:paraId="0F8751BF" w14:textId="77777777" w:rsidR="00327FF1" w:rsidRDefault="00E406C7">
            <w:pPr>
              <w:pStyle w:val="P68B1DB1-Normal121"/>
              <w:spacing w:after="0" w:line="240" w:lineRule="auto"/>
              <w:rPr>
                <w:noProof/>
              </w:rPr>
            </w:pPr>
            <w:r>
              <w:rPr>
                <w:noProof/>
              </w:rPr>
              <w:t>Ieguldījums 4.2.:  Līdzekļi tūrisma uzņēmumu konkurētspējai</w:t>
            </w:r>
          </w:p>
        </w:tc>
        <w:tc>
          <w:tcPr>
            <w:tcW w:w="1276" w:type="dxa"/>
            <w:shd w:val="clear" w:color="auto" w:fill="C6EFCE"/>
            <w:tcMar>
              <w:left w:w="108" w:type="dxa"/>
              <w:right w:w="108" w:type="dxa"/>
            </w:tcMar>
            <w:vAlign w:val="center"/>
          </w:tcPr>
          <w:p w14:paraId="5557D418" w14:textId="77777777" w:rsidR="00327FF1" w:rsidRDefault="00E406C7">
            <w:pPr>
              <w:pStyle w:val="P68B1DB1-Normal121"/>
              <w:spacing w:after="0" w:line="240" w:lineRule="auto"/>
              <w:jc w:val="center"/>
              <w:rPr>
                <w:noProof/>
              </w:rPr>
            </w:pPr>
            <w:r>
              <w:rPr>
                <w:noProof/>
              </w:rPr>
              <w:t>Mērķa</w:t>
            </w:r>
          </w:p>
        </w:tc>
        <w:tc>
          <w:tcPr>
            <w:tcW w:w="3260" w:type="dxa"/>
            <w:shd w:val="clear" w:color="auto" w:fill="C6EFCE"/>
            <w:tcMar>
              <w:left w:w="108" w:type="dxa"/>
              <w:right w:w="108" w:type="dxa"/>
            </w:tcMar>
            <w:vAlign w:val="center"/>
          </w:tcPr>
          <w:p w14:paraId="2570700A" w14:textId="77777777" w:rsidR="00327FF1" w:rsidRDefault="00E406C7">
            <w:pPr>
              <w:pStyle w:val="P68B1DB1-Normal121"/>
              <w:spacing w:after="0" w:line="240" w:lineRule="auto"/>
              <w:rPr>
                <w:noProof/>
              </w:rPr>
            </w:pPr>
            <w:r>
              <w:rPr>
                <w:noProof/>
              </w:rPr>
              <w:t xml:space="preserve">To tūrisma uzņēmumu skaits, kurus atbalsta ar dotāciju un/vai nodokļu kredītu infrastruktūrai un/vai pakalpojumiem; </w:t>
            </w:r>
          </w:p>
        </w:tc>
      </w:tr>
      <w:tr w:rsidR="00327FF1" w14:paraId="6C607EC5" w14:textId="77777777">
        <w:trPr>
          <w:trHeight w:val="300"/>
        </w:trPr>
        <w:tc>
          <w:tcPr>
            <w:tcW w:w="1154" w:type="dxa"/>
            <w:shd w:val="clear" w:color="auto" w:fill="C6EFCE"/>
            <w:tcMar>
              <w:left w:w="108" w:type="dxa"/>
              <w:right w:w="108" w:type="dxa"/>
            </w:tcMar>
            <w:vAlign w:val="center"/>
          </w:tcPr>
          <w:p w14:paraId="086C39AB" w14:textId="77777777" w:rsidR="00327FF1" w:rsidRDefault="00E406C7">
            <w:pPr>
              <w:pStyle w:val="P68B1DB1-Normal121"/>
              <w:spacing w:after="0" w:line="240" w:lineRule="auto"/>
              <w:jc w:val="center"/>
              <w:rPr>
                <w:noProof/>
              </w:rPr>
            </w:pPr>
            <w:r>
              <w:rPr>
                <w:noProof/>
              </w:rPr>
              <w:t>M1C3–32</w:t>
            </w:r>
          </w:p>
        </w:tc>
        <w:tc>
          <w:tcPr>
            <w:tcW w:w="3541" w:type="dxa"/>
            <w:shd w:val="clear" w:color="auto" w:fill="C6EFCE"/>
            <w:tcMar>
              <w:left w:w="108" w:type="dxa"/>
              <w:right w:w="108" w:type="dxa"/>
            </w:tcMar>
            <w:vAlign w:val="center"/>
          </w:tcPr>
          <w:p w14:paraId="3AED02C1" w14:textId="77777777" w:rsidR="00327FF1" w:rsidRDefault="00E406C7">
            <w:pPr>
              <w:pStyle w:val="P68B1DB1-Normal121"/>
              <w:spacing w:after="0" w:line="240" w:lineRule="auto"/>
              <w:rPr>
                <w:noProof/>
              </w:rPr>
            </w:pPr>
            <w:r>
              <w:rPr>
                <w:noProof/>
              </w:rPr>
              <w:t xml:space="preserve">Ieguldījums 4.2.:  Līdzekļi tūrisma uzņēmumu konkurētspējai </w:t>
            </w:r>
          </w:p>
        </w:tc>
        <w:tc>
          <w:tcPr>
            <w:tcW w:w="1276" w:type="dxa"/>
            <w:shd w:val="clear" w:color="auto" w:fill="C6EFCE"/>
            <w:tcMar>
              <w:left w:w="108" w:type="dxa"/>
              <w:right w:w="108" w:type="dxa"/>
            </w:tcMar>
            <w:vAlign w:val="center"/>
          </w:tcPr>
          <w:p w14:paraId="318F7158" w14:textId="77777777" w:rsidR="00327FF1" w:rsidRDefault="00E406C7">
            <w:pPr>
              <w:pStyle w:val="P68B1DB1-Normal121"/>
              <w:spacing w:after="0" w:line="240" w:lineRule="auto"/>
              <w:jc w:val="center"/>
              <w:rPr>
                <w:noProof/>
              </w:rPr>
            </w:pPr>
            <w:r>
              <w:rPr>
                <w:noProof/>
              </w:rPr>
              <w:t>Mērķa</w:t>
            </w:r>
          </w:p>
        </w:tc>
        <w:tc>
          <w:tcPr>
            <w:tcW w:w="3260" w:type="dxa"/>
            <w:shd w:val="clear" w:color="auto" w:fill="C6EFCE"/>
            <w:tcMar>
              <w:left w:w="108" w:type="dxa"/>
              <w:right w:w="108" w:type="dxa"/>
            </w:tcMar>
            <w:vAlign w:val="center"/>
          </w:tcPr>
          <w:p w14:paraId="66FBFE87" w14:textId="1C689BF3" w:rsidR="00327FF1" w:rsidRDefault="00E406C7">
            <w:pPr>
              <w:pStyle w:val="P68B1DB1-Normal121"/>
              <w:spacing w:after="0" w:line="240" w:lineRule="auto"/>
              <w:rPr>
                <w:noProof/>
              </w:rPr>
            </w:pPr>
            <w:r>
              <w:rPr>
                <w:noProof/>
              </w:rPr>
              <w:t xml:space="preserve"> No MVU garantiju fonda atbalstāmo uzņēmumu skaits </w:t>
            </w:r>
          </w:p>
        </w:tc>
      </w:tr>
      <w:tr w:rsidR="00327FF1" w14:paraId="178D909F" w14:textId="77777777">
        <w:trPr>
          <w:trHeight w:val="300"/>
        </w:trPr>
        <w:tc>
          <w:tcPr>
            <w:tcW w:w="1154" w:type="dxa"/>
            <w:shd w:val="clear" w:color="auto" w:fill="C6EFCE"/>
            <w:tcMar>
              <w:left w:w="108" w:type="dxa"/>
              <w:right w:w="108" w:type="dxa"/>
            </w:tcMar>
            <w:vAlign w:val="center"/>
          </w:tcPr>
          <w:p w14:paraId="4CEC43D3" w14:textId="77777777" w:rsidR="00327FF1" w:rsidRDefault="00E406C7">
            <w:pPr>
              <w:pStyle w:val="P68B1DB1-Normal121"/>
              <w:spacing w:after="0" w:line="240" w:lineRule="auto"/>
              <w:jc w:val="center"/>
              <w:rPr>
                <w:noProof/>
              </w:rPr>
            </w:pPr>
            <w:r>
              <w:rPr>
                <w:noProof/>
              </w:rPr>
              <w:t>M3C1–5</w:t>
            </w:r>
          </w:p>
        </w:tc>
        <w:tc>
          <w:tcPr>
            <w:tcW w:w="3541" w:type="dxa"/>
            <w:shd w:val="clear" w:color="auto" w:fill="C6EFCE"/>
            <w:tcMar>
              <w:left w:w="108" w:type="dxa"/>
              <w:right w:w="108" w:type="dxa"/>
            </w:tcMar>
            <w:vAlign w:val="center"/>
          </w:tcPr>
          <w:p w14:paraId="1EF2E406" w14:textId="77777777" w:rsidR="00327FF1" w:rsidRDefault="00E406C7">
            <w:pPr>
              <w:pStyle w:val="P68B1DB1-Normal124"/>
              <w:spacing w:after="0" w:line="240" w:lineRule="auto"/>
              <w:rPr>
                <w:rFonts w:eastAsia="Times New Roman" w:hAnsi="Times New Roman" w:cs="Times New Roman"/>
                <w:noProof/>
              </w:rPr>
            </w:pPr>
            <w:r>
              <w:rPr>
                <w:noProof/>
              </w:rPr>
              <w:t>Invest</w:t>
            </w:r>
            <w:r>
              <w:rPr>
                <w:noProof/>
              </w:rPr>
              <w:t>ī</w:t>
            </w:r>
            <w:r>
              <w:rPr>
                <w:noProof/>
              </w:rPr>
              <w:t xml:space="preserve">cija. </w:t>
            </w:r>
            <w:r>
              <w:rPr>
                <w:noProof/>
              </w:rPr>
              <w:t>Ā</w:t>
            </w:r>
            <w:r>
              <w:rPr>
                <w:noProof/>
              </w:rPr>
              <w:t>trgaitas dzelzce</w:t>
            </w:r>
            <w:r>
              <w:rPr>
                <w:noProof/>
              </w:rPr>
              <w:t>ļ</w:t>
            </w:r>
            <w:r>
              <w:rPr>
                <w:noProof/>
              </w:rPr>
              <w:t>a savienojumi ar dienvidiem pasa</w:t>
            </w:r>
            <w:r>
              <w:rPr>
                <w:noProof/>
              </w:rPr>
              <w:t>ž</w:t>
            </w:r>
            <w:r>
              <w:rPr>
                <w:noProof/>
              </w:rPr>
              <w:t>ieru un kravu p</w:t>
            </w:r>
            <w:r>
              <w:rPr>
                <w:noProof/>
              </w:rPr>
              <w:t>ā</w:t>
            </w:r>
            <w:r>
              <w:rPr>
                <w:noProof/>
              </w:rPr>
              <w:t>rvad</w:t>
            </w:r>
            <w:r>
              <w:rPr>
                <w:noProof/>
              </w:rPr>
              <w:t>ā</w:t>
            </w:r>
            <w:r>
              <w:rPr>
                <w:noProof/>
              </w:rPr>
              <w:t>jumiem</w:t>
            </w:r>
            <w:r>
              <w:rPr>
                <w:noProof/>
              </w:rPr>
              <w:t> </w:t>
            </w:r>
          </w:p>
        </w:tc>
        <w:tc>
          <w:tcPr>
            <w:tcW w:w="1276" w:type="dxa"/>
            <w:shd w:val="clear" w:color="auto" w:fill="C6EFCE"/>
            <w:tcMar>
              <w:left w:w="108" w:type="dxa"/>
              <w:right w:w="108" w:type="dxa"/>
            </w:tcMar>
            <w:vAlign w:val="center"/>
          </w:tcPr>
          <w:p w14:paraId="67228302" w14:textId="77777777" w:rsidR="00327FF1" w:rsidRDefault="00E406C7">
            <w:pPr>
              <w:pStyle w:val="P68B1DB1-Normal121"/>
              <w:spacing w:after="0" w:line="240" w:lineRule="auto"/>
              <w:jc w:val="center"/>
              <w:rPr>
                <w:noProof/>
              </w:rPr>
            </w:pPr>
            <w:r>
              <w:rPr>
                <w:noProof/>
              </w:rPr>
              <w:t>Mērķa</w:t>
            </w:r>
          </w:p>
        </w:tc>
        <w:tc>
          <w:tcPr>
            <w:tcW w:w="3260" w:type="dxa"/>
            <w:shd w:val="clear" w:color="auto" w:fill="C6EFCE"/>
            <w:tcMar>
              <w:left w:w="108" w:type="dxa"/>
              <w:right w:w="108" w:type="dxa"/>
            </w:tcMar>
            <w:vAlign w:val="center"/>
          </w:tcPr>
          <w:p w14:paraId="3208D2D9" w14:textId="77777777" w:rsidR="00327FF1" w:rsidRDefault="00E406C7">
            <w:pPr>
              <w:pStyle w:val="P68B1DB1-Normal121"/>
              <w:spacing w:after="0" w:line="240" w:lineRule="auto"/>
              <w:rPr>
                <w:noProof/>
              </w:rPr>
            </w:pPr>
            <w:r>
              <w:rPr>
                <w:noProof/>
              </w:rPr>
              <w:t>Ātrgaitas dzelzceļš līnijās Napoli-Bari un Palermo-Katania</w:t>
            </w:r>
          </w:p>
        </w:tc>
      </w:tr>
      <w:tr w:rsidR="00327FF1" w14:paraId="3C0D876C" w14:textId="77777777">
        <w:trPr>
          <w:trHeight w:val="300"/>
        </w:trPr>
        <w:tc>
          <w:tcPr>
            <w:tcW w:w="1154" w:type="dxa"/>
            <w:shd w:val="clear" w:color="auto" w:fill="C6EFCE"/>
            <w:tcMar>
              <w:left w:w="108" w:type="dxa"/>
              <w:right w:w="108" w:type="dxa"/>
            </w:tcMar>
            <w:vAlign w:val="center"/>
          </w:tcPr>
          <w:p w14:paraId="2CF1E9AC" w14:textId="77777777" w:rsidR="00327FF1" w:rsidRDefault="00E406C7">
            <w:pPr>
              <w:pStyle w:val="P68B1DB1-Normal121"/>
              <w:spacing w:after="0" w:line="240" w:lineRule="auto"/>
              <w:jc w:val="center"/>
              <w:rPr>
                <w:noProof/>
              </w:rPr>
            </w:pPr>
            <w:r>
              <w:rPr>
                <w:noProof/>
              </w:rPr>
              <w:t>M6C1–9</w:t>
            </w:r>
          </w:p>
        </w:tc>
        <w:tc>
          <w:tcPr>
            <w:tcW w:w="3541" w:type="dxa"/>
            <w:shd w:val="clear" w:color="auto" w:fill="C6EFCE"/>
            <w:tcMar>
              <w:left w:w="108" w:type="dxa"/>
              <w:right w:w="108" w:type="dxa"/>
            </w:tcMar>
            <w:vAlign w:val="center"/>
          </w:tcPr>
          <w:p w14:paraId="579E3104" w14:textId="77777777" w:rsidR="00327FF1" w:rsidRDefault="00E406C7">
            <w:pPr>
              <w:pStyle w:val="P68B1DB1-Normal121"/>
              <w:spacing w:after="0" w:line="240" w:lineRule="auto"/>
              <w:rPr>
                <w:noProof/>
              </w:rPr>
            </w:pPr>
            <w:r>
              <w:rPr>
                <w:noProof/>
              </w:rPr>
              <w:t>Ieguldījums 1.2. Mājas kā pirmā aprūpes un telemedicīnas vieta</w:t>
            </w:r>
          </w:p>
        </w:tc>
        <w:tc>
          <w:tcPr>
            <w:tcW w:w="1276" w:type="dxa"/>
            <w:shd w:val="clear" w:color="auto" w:fill="C6EFCE"/>
            <w:tcMar>
              <w:left w:w="108" w:type="dxa"/>
              <w:right w:w="108" w:type="dxa"/>
            </w:tcMar>
            <w:vAlign w:val="center"/>
          </w:tcPr>
          <w:p w14:paraId="6ACB55DF" w14:textId="77777777" w:rsidR="00327FF1" w:rsidRDefault="00E406C7">
            <w:pPr>
              <w:pStyle w:val="P68B1DB1-Normal121"/>
              <w:spacing w:after="0" w:line="240" w:lineRule="auto"/>
              <w:jc w:val="center"/>
              <w:rPr>
                <w:noProof/>
              </w:rPr>
            </w:pPr>
            <w:r>
              <w:rPr>
                <w:noProof/>
              </w:rPr>
              <w:t>Mērķa</w:t>
            </w:r>
          </w:p>
        </w:tc>
        <w:tc>
          <w:tcPr>
            <w:tcW w:w="3260" w:type="dxa"/>
            <w:shd w:val="clear" w:color="auto" w:fill="C6EFCE"/>
            <w:tcMar>
              <w:left w:w="108" w:type="dxa"/>
              <w:right w:w="108" w:type="dxa"/>
            </w:tcMar>
            <w:vAlign w:val="center"/>
          </w:tcPr>
          <w:p w14:paraId="15AA29AD" w14:textId="77777777" w:rsidR="00327FF1" w:rsidRDefault="00E406C7">
            <w:pPr>
              <w:pStyle w:val="P68B1DB1-Normal121"/>
              <w:spacing w:after="0" w:line="240" w:lineRule="auto"/>
              <w:rPr>
                <w:noProof/>
              </w:rPr>
            </w:pPr>
            <w:r>
              <w:rPr>
                <w:noProof/>
              </w:rPr>
              <w:t>Telemedicīnas rīku pa</w:t>
            </w:r>
            <w:r>
              <w:rPr>
                <w:noProof/>
              </w:rPr>
              <w:t xml:space="preserve">līdzība </w:t>
            </w:r>
          </w:p>
        </w:tc>
      </w:tr>
      <w:tr w:rsidR="00327FF1" w14:paraId="6EA9121D" w14:textId="77777777">
        <w:trPr>
          <w:trHeight w:val="300"/>
        </w:trPr>
        <w:tc>
          <w:tcPr>
            <w:tcW w:w="1154" w:type="dxa"/>
            <w:shd w:val="clear" w:color="auto" w:fill="C6EFCE"/>
            <w:tcMar>
              <w:left w:w="108" w:type="dxa"/>
              <w:right w:w="108" w:type="dxa"/>
            </w:tcMar>
            <w:vAlign w:val="center"/>
          </w:tcPr>
          <w:p w14:paraId="6E110F33" w14:textId="77777777" w:rsidR="00327FF1" w:rsidRDefault="00E406C7">
            <w:pPr>
              <w:pStyle w:val="P68B1DB1-Normal121"/>
              <w:spacing w:after="0" w:line="240" w:lineRule="auto"/>
              <w:jc w:val="center"/>
              <w:rPr>
                <w:noProof/>
              </w:rPr>
            </w:pPr>
            <w:r>
              <w:rPr>
                <w:noProof/>
              </w:rPr>
              <w:t>M6C2–8</w:t>
            </w:r>
          </w:p>
        </w:tc>
        <w:tc>
          <w:tcPr>
            <w:tcW w:w="3541" w:type="dxa"/>
            <w:shd w:val="clear" w:color="auto" w:fill="C6EFCE"/>
            <w:tcMar>
              <w:left w:w="108" w:type="dxa"/>
              <w:right w:w="108" w:type="dxa"/>
            </w:tcMar>
            <w:vAlign w:val="center"/>
          </w:tcPr>
          <w:p w14:paraId="1F8116FC" w14:textId="77777777" w:rsidR="00327FF1" w:rsidRDefault="00E406C7">
            <w:pPr>
              <w:pStyle w:val="P68B1DB1-Normal123"/>
              <w:spacing w:after="0" w:line="240" w:lineRule="auto"/>
              <w:rPr>
                <w:noProof/>
              </w:rPr>
            </w:pPr>
            <w:r>
              <w:rPr>
                <w:noProof/>
              </w:rPr>
              <w:t>Investīcija 1.1: Slimnīcu tehnoloģiskā aprīkojuma digitālā atjaunināšana</w:t>
            </w:r>
          </w:p>
        </w:tc>
        <w:tc>
          <w:tcPr>
            <w:tcW w:w="1276" w:type="dxa"/>
            <w:shd w:val="clear" w:color="auto" w:fill="C6EFCE"/>
            <w:tcMar>
              <w:left w:w="108" w:type="dxa"/>
              <w:right w:w="108" w:type="dxa"/>
            </w:tcMar>
            <w:vAlign w:val="center"/>
          </w:tcPr>
          <w:p w14:paraId="365B73F9" w14:textId="77777777" w:rsidR="00327FF1" w:rsidRDefault="00E406C7">
            <w:pPr>
              <w:pStyle w:val="P68B1DB1-Normal123"/>
              <w:spacing w:after="0" w:line="240" w:lineRule="auto"/>
              <w:jc w:val="center"/>
              <w:rPr>
                <w:noProof/>
              </w:rPr>
            </w:pPr>
            <w:r>
              <w:rPr>
                <w:noProof/>
              </w:rPr>
              <w:t>Mērķa</w:t>
            </w:r>
          </w:p>
        </w:tc>
        <w:tc>
          <w:tcPr>
            <w:tcW w:w="3260" w:type="dxa"/>
            <w:shd w:val="clear" w:color="auto" w:fill="C6EFCE"/>
            <w:tcMar>
              <w:left w:w="108" w:type="dxa"/>
              <w:right w:w="108" w:type="dxa"/>
            </w:tcMar>
            <w:vAlign w:val="center"/>
          </w:tcPr>
          <w:p w14:paraId="6D7CFAA9" w14:textId="77777777" w:rsidR="00327FF1" w:rsidRDefault="00E406C7">
            <w:pPr>
              <w:pStyle w:val="P68B1DB1-Normal123"/>
              <w:spacing w:after="0" w:line="240" w:lineRule="auto"/>
              <w:rPr>
                <w:noProof/>
              </w:rPr>
            </w:pPr>
            <w:r>
              <w:rPr>
                <w:noProof/>
              </w:rPr>
              <w:t>Slimnīcu digitalizācija (DEA — Ārkārtas situāciju un uzņemšanas departamenti — I un II līmenis)</w:t>
            </w:r>
          </w:p>
        </w:tc>
      </w:tr>
      <w:tr w:rsidR="00327FF1" w14:paraId="709F538B" w14:textId="77777777">
        <w:trPr>
          <w:trHeight w:val="300"/>
        </w:trPr>
        <w:tc>
          <w:tcPr>
            <w:tcW w:w="1154" w:type="dxa"/>
            <w:shd w:val="clear" w:color="auto" w:fill="C6EFCE"/>
            <w:tcMar>
              <w:left w:w="108" w:type="dxa"/>
              <w:right w:w="108" w:type="dxa"/>
            </w:tcMar>
            <w:vAlign w:val="center"/>
          </w:tcPr>
          <w:p w14:paraId="6728D1F4" w14:textId="77777777" w:rsidR="00327FF1" w:rsidRDefault="00E406C7">
            <w:pPr>
              <w:pStyle w:val="P68B1DB1-Normal121"/>
              <w:spacing w:after="0" w:line="240" w:lineRule="auto"/>
              <w:jc w:val="center"/>
              <w:rPr>
                <w:noProof/>
              </w:rPr>
            </w:pPr>
            <w:r>
              <w:rPr>
                <w:noProof/>
              </w:rPr>
              <w:t>M6C2–11</w:t>
            </w:r>
          </w:p>
        </w:tc>
        <w:tc>
          <w:tcPr>
            <w:tcW w:w="3541" w:type="dxa"/>
            <w:shd w:val="clear" w:color="auto" w:fill="C6EFCE"/>
            <w:tcMar>
              <w:left w:w="108" w:type="dxa"/>
              <w:right w:w="108" w:type="dxa"/>
            </w:tcMar>
            <w:vAlign w:val="center"/>
          </w:tcPr>
          <w:p w14:paraId="240B5B61" w14:textId="77777777" w:rsidR="00327FF1" w:rsidRDefault="00E406C7">
            <w:pPr>
              <w:pStyle w:val="P68B1DB1-Normal123"/>
              <w:spacing w:after="0" w:line="240" w:lineRule="auto"/>
              <w:rPr>
                <w:noProof/>
              </w:rPr>
            </w:pPr>
            <w:r>
              <w:rPr>
                <w:noProof/>
              </w:rPr>
              <w:t xml:space="preserve">Investīcija Nr. 1.3. Tehnoloģiskās infrastruktūras un </w:t>
            </w:r>
            <w:r>
              <w:rPr>
                <w:noProof/>
              </w:rPr>
              <w:t>datu vākšanas, datu apstrādes, datu analīzes un simulācijas rīku stiprināšana</w:t>
            </w:r>
          </w:p>
        </w:tc>
        <w:tc>
          <w:tcPr>
            <w:tcW w:w="1276" w:type="dxa"/>
            <w:shd w:val="clear" w:color="auto" w:fill="C6EFCE"/>
            <w:tcMar>
              <w:left w:w="108" w:type="dxa"/>
              <w:right w:w="108" w:type="dxa"/>
            </w:tcMar>
            <w:vAlign w:val="center"/>
          </w:tcPr>
          <w:p w14:paraId="62BD54A1" w14:textId="77777777" w:rsidR="00327FF1" w:rsidRDefault="00E406C7">
            <w:pPr>
              <w:pStyle w:val="P68B1DB1-Normal123"/>
              <w:spacing w:after="0" w:line="240" w:lineRule="auto"/>
              <w:jc w:val="center"/>
              <w:rPr>
                <w:noProof/>
              </w:rPr>
            </w:pPr>
            <w:r>
              <w:rPr>
                <w:noProof/>
              </w:rPr>
              <w:t>Mērķa</w:t>
            </w:r>
          </w:p>
        </w:tc>
        <w:tc>
          <w:tcPr>
            <w:tcW w:w="3260" w:type="dxa"/>
            <w:shd w:val="clear" w:color="auto" w:fill="C6EFCE"/>
            <w:tcMar>
              <w:left w:w="108" w:type="dxa"/>
              <w:right w:w="108" w:type="dxa"/>
            </w:tcMar>
            <w:vAlign w:val="center"/>
          </w:tcPr>
          <w:p w14:paraId="14648DC4" w14:textId="77777777" w:rsidR="00327FF1" w:rsidRDefault="00E406C7">
            <w:pPr>
              <w:pStyle w:val="P68B1DB1-Normal123"/>
              <w:spacing w:after="0" w:line="240" w:lineRule="auto"/>
              <w:rPr>
                <w:noProof/>
              </w:rPr>
            </w:pPr>
            <w:r>
              <w:rPr>
                <w:noProof/>
              </w:rPr>
              <w:t>Ģimenes ārsti, kas ievada e-veselības pacienta kartē.</w:t>
            </w:r>
          </w:p>
        </w:tc>
      </w:tr>
      <w:tr w:rsidR="00327FF1" w14:paraId="6FF04E35" w14:textId="77777777">
        <w:trPr>
          <w:trHeight w:val="300"/>
        </w:trPr>
        <w:tc>
          <w:tcPr>
            <w:tcW w:w="1154" w:type="dxa"/>
            <w:shd w:val="clear" w:color="auto" w:fill="C6EFCE"/>
            <w:tcMar>
              <w:left w:w="108" w:type="dxa"/>
              <w:right w:w="108" w:type="dxa"/>
            </w:tcMar>
            <w:vAlign w:val="center"/>
          </w:tcPr>
          <w:p w14:paraId="2B54F64E" w14:textId="77777777" w:rsidR="00327FF1" w:rsidRDefault="00E406C7">
            <w:pPr>
              <w:pStyle w:val="P68B1DB1-Normal121"/>
              <w:spacing w:after="0" w:line="240" w:lineRule="auto"/>
              <w:jc w:val="center"/>
              <w:rPr>
                <w:noProof/>
              </w:rPr>
            </w:pPr>
            <w:r>
              <w:rPr>
                <w:noProof/>
              </w:rPr>
              <w:t>M1C3–33</w:t>
            </w:r>
          </w:p>
        </w:tc>
        <w:tc>
          <w:tcPr>
            <w:tcW w:w="3541" w:type="dxa"/>
            <w:shd w:val="clear" w:color="auto" w:fill="C6EFCE"/>
            <w:tcMar>
              <w:left w:w="108" w:type="dxa"/>
              <w:right w:w="108" w:type="dxa"/>
            </w:tcMar>
            <w:vAlign w:val="center"/>
          </w:tcPr>
          <w:p w14:paraId="7579DD15" w14:textId="77777777" w:rsidR="00327FF1" w:rsidRDefault="00E406C7">
            <w:pPr>
              <w:pStyle w:val="P68B1DB1-Normal121"/>
              <w:spacing w:after="0" w:line="240" w:lineRule="auto"/>
              <w:rPr>
                <w:noProof/>
              </w:rPr>
            </w:pPr>
            <w:r>
              <w:rPr>
                <w:noProof/>
              </w:rPr>
              <w:t>Investīcija 4.2. Fonds tūrisma uzņēmumu konkurētspējai</w:t>
            </w:r>
          </w:p>
        </w:tc>
        <w:tc>
          <w:tcPr>
            <w:tcW w:w="1276" w:type="dxa"/>
            <w:shd w:val="clear" w:color="auto" w:fill="C6EFCE"/>
            <w:tcMar>
              <w:left w:w="108" w:type="dxa"/>
              <w:right w:w="108" w:type="dxa"/>
            </w:tcMar>
            <w:vAlign w:val="center"/>
          </w:tcPr>
          <w:p w14:paraId="5F236B28" w14:textId="77777777" w:rsidR="00327FF1" w:rsidRDefault="00E406C7">
            <w:pPr>
              <w:pStyle w:val="P68B1DB1-Normal121"/>
              <w:spacing w:after="0" w:line="240" w:lineRule="auto"/>
              <w:jc w:val="center"/>
              <w:rPr>
                <w:noProof/>
              </w:rPr>
            </w:pPr>
            <w:r>
              <w:rPr>
                <w:noProof/>
              </w:rPr>
              <w:t>Mērķa</w:t>
            </w:r>
          </w:p>
        </w:tc>
        <w:tc>
          <w:tcPr>
            <w:tcW w:w="3260" w:type="dxa"/>
            <w:shd w:val="clear" w:color="auto" w:fill="C6EFCE"/>
            <w:tcMar>
              <w:left w:w="108" w:type="dxa"/>
              <w:right w:w="108" w:type="dxa"/>
            </w:tcMar>
            <w:vAlign w:val="center"/>
          </w:tcPr>
          <w:p w14:paraId="6CD2D989" w14:textId="77777777" w:rsidR="00327FF1" w:rsidRDefault="00E406C7">
            <w:pPr>
              <w:pStyle w:val="P68B1DB1-Normal121"/>
              <w:spacing w:after="0" w:line="240" w:lineRule="auto"/>
              <w:rPr>
                <w:noProof/>
              </w:rPr>
            </w:pPr>
            <w:r>
              <w:rPr>
                <w:noProof/>
              </w:rPr>
              <w:t xml:space="preserve">Fondo Rotativo: Ar galasaņēmējiem parakstīts juridisks nolīgums  </w:t>
            </w:r>
          </w:p>
        </w:tc>
      </w:tr>
      <w:tr w:rsidR="00327FF1" w14:paraId="3589CFF0"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F547C1" w14:textId="77777777" w:rsidR="00327FF1" w:rsidRDefault="00E406C7">
            <w:pPr>
              <w:pStyle w:val="P68B1DB1-Normal121"/>
              <w:spacing w:after="0" w:line="240" w:lineRule="auto"/>
              <w:jc w:val="center"/>
              <w:rPr>
                <w:noProof/>
              </w:rPr>
            </w:pPr>
            <w:r>
              <w:rPr>
                <w:noProof/>
              </w:rPr>
              <w:t>M1C3–9bis</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CEA4BD" w14:textId="77777777" w:rsidR="00327FF1" w:rsidRDefault="00E406C7">
            <w:pPr>
              <w:pStyle w:val="P68B1DB1-Normal121"/>
              <w:spacing w:after="0" w:line="240" w:lineRule="auto"/>
              <w:rPr>
                <w:noProof/>
              </w:rPr>
            </w:pPr>
            <w:r>
              <w:rPr>
                <w:noProof/>
              </w:rPr>
              <w:t>Investīcija 4.1. Digitālais tūrisma centrs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92903E" w14:textId="77777777" w:rsidR="00327FF1" w:rsidRDefault="00E406C7">
            <w:pPr>
              <w:pStyle w:val="P68B1DB1-Normal121"/>
              <w:spacing w:after="0" w:line="240" w:lineRule="auto"/>
              <w:jc w:val="center"/>
              <w:rPr>
                <w:noProof/>
              </w:rPr>
            </w:pPr>
            <w:r>
              <w:rPr>
                <w:noProof/>
              </w:rPr>
              <w:t>Mērķa</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B49376" w14:textId="77777777" w:rsidR="00327FF1" w:rsidRDefault="00E406C7">
            <w:pPr>
              <w:pStyle w:val="P68B1DB1-Normal121"/>
              <w:spacing w:after="0" w:line="240" w:lineRule="auto"/>
              <w:rPr>
                <w:noProof/>
              </w:rPr>
            </w:pPr>
            <w:r>
              <w:rPr>
                <w:noProof/>
              </w:rPr>
              <w:t xml:space="preserve">Tūrisma operatoru reģistrācija digitālajā tūrisma centrā un piekļuve Centra sniegtajiem pakalpojumiem  </w:t>
            </w:r>
          </w:p>
        </w:tc>
      </w:tr>
      <w:tr w:rsidR="00327FF1" w14:paraId="36345369" w14:textId="77777777">
        <w:trPr>
          <w:trHeight w:val="300"/>
        </w:trPr>
        <w:tc>
          <w:tcPr>
            <w:tcW w:w="1154" w:type="dxa"/>
            <w:shd w:val="clear" w:color="auto" w:fill="C6EFCE"/>
            <w:tcMar>
              <w:left w:w="108" w:type="dxa"/>
              <w:right w:w="108" w:type="dxa"/>
            </w:tcMar>
            <w:vAlign w:val="center"/>
          </w:tcPr>
          <w:p w14:paraId="02FAFB44" w14:textId="77777777" w:rsidR="00327FF1" w:rsidRDefault="00E406C7">
            <w:pPr>
              <w:pStyle w:val="P68B1DB1-Normal121"/>
              <w:spacing w:after="0" w:line="240" w:lineRule="auto"/>
              <w:jc w:val="center"/>
              <w:rPr>
                <w:noProof/>
              </w:rPr>
            </w:pPr>
            <w:r>
              <w:rPr>
                <w:noProof/>
              </w:rPr>
              <w:t>M1C3–18</w:t>
            </w:r>
          </w:p>
        </w:tc>
        <w:tc>
          <w:tcPr>
            <w:tcW w:w="3541" w:type="dxa"/>
            <w:shd w:val="clear" w:color="auto" w:fill="C6EFCE"/>
            <w:tcMar>
              <w:left w:w="108" w:type="dxa"/>
              <w:right w:w="108" w:type="dxa"/>
            </w:tcMar>
            <w:vAlign w:val="center"/>
          </w:tcPr>
          <w:p w14:paraId="71860158" w14:textId="77777777" w:rsidR="00327FF1" w:rsidRDefault="00E406C7">
            <w:pPr>
              <w:pStyle w:val="P68B1DB1-Normal121"/>
              <w:spacing w:after="0" w:line="240" w:lineRule="auto"/>
              <w:rPr>
                <w:noProof/>
              </w:rPr>
            </w:pPr>
            <w:r>
              <w:rPr>
                <w:noProof/>
              </w:rPr>
              <w:t xml:space="preserve">Investīcija 2.3. </w:t>
            </w:r>
            <w:r>
              <w:rPr>
                <w:noProof/>
              </w:rPr>
              <w:t>Programmas vietu, parku un vēsturisko dārzu identitātes uzlabošanai</w:t>
            </w:r>
          </w:p>
        </w:tc>
        <w:tc>
          <w:tcPr>
            <w:tcW w:w="1276" w:type="dxa"/>
            <w:shd w:val="clear" w:color="auto" w:fill="C6EFCE"/>
            <w:tcMar>
              <w:left w:w="108" w:type="dxa"/>
              <w:right w:w="108" w:type="dxa"/>
            </w:tcMar>
            <w:vAlign w:val="center"/>
          </w:tcPr>
          <w:p w14:paraId="3CEE7C2A" w14:textId="77777777" w:rsidR="00327FF1" w:rsidRDefault="00E406C7">
            <w:pPr>
              <w:pStyle w:val="P68B1DB1-Normal121"/>
              <w:spacing w:after="0" w:line="240" w:lineRule="auto"/>
              <w:jc w:val="center"/>
              <w:rPr>
                <w:noProof/>
              </w:rPr>
            </w:pPr>
            <w:r>
              <w:rPr>
                <w:noProof/>
              </w:rPr>
              <w:t>Mērķa</w:t>
            </w:r>
          </w:p>
        </w:tc>
        <w:tc>
          <w:tcPr>
            <w:tcW w:w="3260" w:type="dxa"/>
            <w:shd w:val="clear" w:color="auto" w:fill="C6EFCE"/>
            <w:tcMar>
              <w:left w:w="108" w:type="dxa"/>
              <w:right w:w="108" w:type="dxa"/>
            </w:tcMar>
            <w:vAlign w:val="center"/>
          </w:tcPr>
          <w:p w14:paraId="241E3718" w14:textId="77777777" w:rsidR="00327FF1" w:rsidRDefault="00E406C7">
            <w:pPr>
              <w:pStyle w:val="P68B1DB1-Normal121"/>
              <w:spacing w:after="0" w:line="240" w:lineRule="auto"/>
              <w:rPr>
                <w:noProof/>
              </w:rPr>
            </w:pPr>
            <w:r>
              <w:rPr>
                <w:noProof/>
              </w:rPr>
              <w:t>Pārveidoto parku un vēsturisko dārzu skaits</w:t>
            </w:r>
          </w:p>
        </w:tc>
      </w:tr>
      <w:tr w:rsidR="00327FF1" w14:paraId="1F23300C" w14:textId="77777777">
        <w:trPr>
          <w:trHeight w:val="300"/>
        </w:trPr>
        <w:tc>
          <w:tcPr>
            <w:tcW w:w="1154" w:type="dxa"/>
            <w:shd w:val="clear" w:color="auto" w:fill="C6EFCE"/>
            <w:tcMar>
              <w:left w:w="108" w:type="dxa"/>
              <w:right w:w="108" w:type="dxa"/>
            </w:tcMar>
            <w:vAlign w:val="center"/>
          </w:tcPr>
          <w:p w14:paraId="1070A5C2" w14:textId="77777777" w:rsidR="00327FF1" w:rsidRDefault="00E406C7">
            <w:pPr>
              <w:pStyle w:val="P68B1DB1-Normal121"/>
              <w:spacing w:after="0" w:line="240" w:lineRule="auto"/>
              <w:jc w:val="center"/>
              <w:rPr>
                <w:noProof/>
              </w:rPr>
            </w:pPr>
            <w:r>
              <w:rPr>
                <w:noProof/>
              </w:rPr>
              <w:t>M2C1–23</w:t>
            </w:r>
          </w:p>
        </w:tc>
        <w:tc>
          <w:tcPr>
            <w:tcW w:w="3541" w:type="dxa"/>
            <w:shd w:val="clear" w:color="auto" w:fill="C6EFCE"/>
            <w:tcMar>
              <w:left w:w="108" w:type="dxa"/>
              <w:right w:w="108" w:type="dxa"/>
            </w:tcMar>
            <w:vAlign w:val="center"/>
          </w:tcPr>
          <w:p w14:paraId="4C93C94F" w14:textId="77777777" w:rsidR="00327FF1" w:rsidRDefault="00E406C7">
            <w:pPr>
              <w:pStyle w:val="P68B1DB1-Normal121"/>
              <w:spacing w:after="0" w:line="240" w:lineRule="auto"/>
              <w:rPr>
                <w:noProof/>
              </w:rPr>
            </w:pPr>
            <w:r>
              <w:rPr>
                <w:noProof/>
              </w:rPr>
              <w:t xml:space="preserve">Investīcija 3.4: Fondo Contratti di Filiera (FCF), lai atbalstītu piegādes ķēžu līgumus lauksaimniecības pārtikas, zvejniecības </w:t>
            </w:r>
            <w:r>
              <w:rPr>
                <w:noProof/>
              </w:rPr>
              <w:t>un akvakultūras, mežsaimniecības, puķkopības un stādaudzētavas nozarē</w:t>
            </w:r>
          </w:p>
        </w:tc>
        <w:tc>
          <w:tcPr>
            <w:tcW w:w="1276" w:type="dxa"/>
            <w:shd w:val="clear" w:color="auto" w:fill="C6EFCE"/>
            <w:tcMar>
              <w:left w:w="108" w:type="dxa"/>
              <w:right w:w="108" w:type="dxa"/>
            </w:tcMar>
            <w:vAlign w:val="center"/>
          </w:tcPr>
          <w:p w14:paraId="5C9EC0A0" w14:textId="77777777" w:rsidR="00327FF1" w:rsidRDefault="00E406C7">
            <w:pPr>
              <w:pStyle w:val="P68B1DB1-Normal121"/>
              <w:spacing w:after="0" w:line="240" w:lineRule="auto"/>
              <w:jc w:val="center"/>
              <w:rPr>
                <w:noProof/>
              </w:rPr>
            </w:pPr>
            <w:r>
              <w:rPr>
                <w:noProof/>
              </w:rPr>
              <w:t>Atskaites punkts</w:t>
            </w:r>
          </w:p>
        </w:tc>
        <w:tc>
          <w:tcPr>
            <w:tcW w:w="3260" w:type="dxa"/>
            <w:shd w:val="clear" w:color="auto" w:fill="C6EFCE"/>
            <w:tcMar>
              <w:left w:w="108" w:type="dxa"/>
              <w:right w:w="108" w:type="dxa"/>
            </w:tcMar>
            <w:vAlign w:val="center"/>
          </w:tcPr>
          <w:p w14:paraId="5150ADAA" w14:textId="77777777" w:rsidR="00327FF1" w:rsidRDefault="00E406C7">
            <w:pPr>
              <w:pStyle w:val="P68B1DB1-Normal121"/>
              <w:spacing w:after="0" w:line="240" w:lineRule="auto"/>
              <w:rPr>
                <w:noProof/>
              </w:rPr>
            </w:pPr>
            <w:r>
              <w:rPr>
                <w:noProof/>
              </w:rPr>
              <w:t>Resursi, kas pārvietoti uz ISMEA, un grozījumi īstenošanas nolīgumā</w:t>
            </w:r>
          </w:p>
        </w:tc>
      </w:tr>
      <w:tr w:rsidR="00327FF1" w14:paraId="310AA06C"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F6F54F" w14:textId="77777777" w:rsidR="00327FF1" w:rsidRDefault="00E406C7">
            <w:pPr>
              <w:pStyle w:val="P68B1DB1-Normal121"/>
              <w:spacing w:after="0" w:line="240" w:lineRule="auto"/>
              <w:jc w:val="center"/>
              <w:rPr>
                <w:noProof/>
              </w:rPr>
            </w:pPr>
            <w:r>
              <w:rPr>
                <w:noProof/>
              </w:rPr>
              <w:t>M4C1–31</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2D8CF9" w14:textId="77777777" w:rsidR="00327FF1" w:rsidRDefault="00E406C7">
            <w:pPr>
              <w:pStyle w:val="P68B1DB1-Normal121"/>
              <w:spacing w:after="0" w:line="240" w:lineRule="auto"/>
              <w:rPr>
                <w:noProof/>
              </w:rPr>
            </w:pPr>
            <w:r>
              <w:rPr>
                <w:noProof/>
              </w:rPr>
              <w:t>Ieguldījums Nr. 5: Studentu mājokļu fonds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860BEA" w14:textId="77777777" w:rsidR="00327FF1" w:rsidRDefault="00E406C7">
            <w:pPr>
              <w:pStyle w:val="P68B1DB1-Normal121"/>
              <w:spacing w:after="0" w:line="240" w:lineRule="auto"/>
              <w:jc w:val="center"/>
              <w:rPr>
                <w:noProof/>
              </w:rPr>
            </w:pPr>
            <w:r>
              <w:rPr>
                <w:noProof/>
              </w:rPr>
              <w:t>Atskaites punkts</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83F996" w14:textId="77777777" w:rsidR="00327FF1" w:rsidRDefault="00E406C7">
            <w:pPr>
              <w:pStyle w:val="P68B1DB1-Normal121"/>
              <w:spacing w:after="0" w:line="240" w:lineRule="auto"/>
              <w:rPr>
                <w:noProof/>
              </w:rPr>
            </w:pPr>
            <w:r>
              <w:rPr>
                <w:noProof/>
              </w:rPr>
              <w:t>Īstenošanas nolīgums</w:t>
            </w:r>
          </w:p>
        </w:tc>
      </w:tr>
      <w:tr w:rsidR="00327FF1" w14:paraId="21275B8B"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FB91A29" w14:textId="77777777" w:rsidR="00327FF1" w:rsidRDefault="00E406C7">
            <w:pPr>
              <w:pStyle w:val="P68B1DB1-Normal121"/>
              <w:spacing w:after="0" w:line="240" w:lineRule="auto"/>
              <w:jc w:val="center"/>
              <w:rPr>
                <w:noProof/>
              </w:rPr>
            </w:pPr>
            <w:r>
              <w:rPr>
                <w:noProof/>
              </w:rPr>
              <w:t>M5C1–19bis</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2D894F" w14:textId="77777777" w:rsidR="00327FF1" w:rsidRDefault="00E406C7">
            <w:pPr>
              <w:pStyle w:val="P68B1DB1-Normal121"/>
              <w:spacing w:after="0" w:line="240" w:lineRule="auto"/>
              <w:rPr>
                <w:noProof/>
              </w:rPr>
            </w:pPr>
            <w:r>
              <w:rPr>
                <w:noProof/>
              </w:rPr>
              <w:t>Investīcija Nr. 5. Sieviešu uzņēmumu izveide</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F983A1" w14:textId="77777777" w:rsidR="00327FF1" w:rsidRDefault="00E406C7">
            <w:pPr>
              <w:pStyle w:val="P68B1DB1-Normal121"/>
              <w:spacing w:after="0" w:line="240" w:lineRule="auto"/>
              <w:jc w:val="center"/>
              <w:rPr>
                <w:noProof/>
              </w:rPr>
            </w:pPr>
            <w:r>
              <w:rPr>
                <w:noProof/>
              </w:rPr>
              <w:t>Atskaites punkts</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3B6891" w14:textId="77777777" w:rsidR="00327FF1" w:rsidRDefault="00E406C7">
            <w:pPr>
              <w:pStyle w:val="P68B1DB1-Normal121"/>
              <w:spacing w:after="0" w:line="240" w:lineRule="auto"/>
              <w:rPr>
                <w:noProof/>
              </w:rPr>
            </w:pPr>
            <w:r>
              <w:rPr>
                <w:noProof/>
              </w:rPr>
              <w:t>Īstenošanas nolīgums un nodošana Invitalia</w:t>
            </w:r>
          </w:p>
        </w:tc>
      </w:tr>
      <w:tr w:rsidR="00327FF1" w14:paraId="2F47054C"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DEFA74E" w14:textId="77777777" w:rsidR="00327FF1" w:rsidRDefault="00E406C7">
            <w:pPr>
              <w:pStyle w:val="P68B1DB1-Normal121"/>
              <w:spacing w:after="0" w:line="240" w:lineRule="auto"/>
              <w:jc w:val="center"/>
              <w:rPr>
                <w:noProof/>
              </w:rPr>
            </w:pPr>
            <w:r>
              <w:rPr>
                <w:noProof/>
              </w:rPr>
              <w:t>M1C2–30</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F243EF" w14:textId="77777777" w:rsidR="00327FF1" w:rsidRDefault="00E406C7">
            <w:pPr>
              <w:pStyle w:val="P68B1DB1-Normal121"/>
              <w:spacing w:after="0" w:line="240" w:lineRule="auto"/>
              <w:rPr>
                <w:noProof/>
              </w:rPr>
            </w:pPr>
            <w:r>
              <w:rPr>
                <w:noProof/>
              </w:rPr>
              <w:t>Investīcija Nr. 7 — Valsts savienojamības fonds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25178C" w14:textId="77777777" w:rsidR="00327FF1" w:rsidRDefault="00E406C7">
            <w:pPr>
              <w:pStyle w:val="P68B1DB1-Normal121"/>
              <w:spacing w:after="0" w:line="240" w:lineRule="auto"/>
              <w:jc w:val="center"/>
              <w:rPr>
                <w:noProof/>
              </w:rPr>
            </w:pPr>
            <w:r>
              <w:rPr>
                <w:noProof/>
              </w:rPr>
              <w:t>Atskaites punkts</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0502BD" w14:textId="77777777" w:rsidR="00327FF1" w:rsidRDefault="00E406C7">
            <w:pPr>
              <w:pStyle w:val="P68B1DB1-Normal121"/>
              <w:spacing w:after="0" w:line="240" w:lineRule="auto"/>
              <w:rPr>
                <w:noProof/>
              </w:rPr>
            </w:pPr>
            <w:r>
              <w:rPr>
                <w:noProof/>
              </w:rPr>
              <w:t>Īstenošanas nolīgums</w:t>
            </w:r>
          </w:p>
        </w:tc>
      </w:tr>
      <w:tr w:rsidR="00327FF1" w14:paraId="1B6AB2E3"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63BF030B" w14:textId="3CD3D37C" w:rsidR="00327FF1" w:rsidRDefault="00E406C7">
            <w:pPr>
              <w:pStyle w:val="P68B1DB1-Normal121"/>
              <w:spacing w:after="0" w:line="240" w:lineRule="auto"/>
              <w:jc w:val="center"/>
              <w:rPr>
                <w:noProof/>
              </w:rPr>
            </w:pPr>
            <w:r>
              <w:rPr>
                <w:noProof/>
              </w:rPr>
              <w:t>M2C1–26</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E4A48C" w14:textId="2564FFEF" w:rsidR="00327FF1" w:rsidRDefault="00E406C7">
            <w:pPr>
              <w:pStyle w:val="P68B1DB1-Normal121"/>
              <w:spacing w:after="0" w:line="240" w:lineRule="auto"/>
              <w:rPr>
                <w:noProof/>
              </w:rPr>
            </w:pPr>
            <w:r>
              <w:rPr>
                <w:noProof/>
              </w:rPr>
              <w:t xml:space="preserve">Ieguldījums Nr. 4: Lauksaimniecības un saules </w:t>
            </w:r>
            <w:r>
              <w:rPr>
                <w:noProof/>
              </w:rPr>
              <w:t>parka mehānisms</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8969C0" w14:textId="2EBB3D08" w:rsidR="00327FF1" w:rsidRDefault="00E406C7">
            <w:pPr>
              <w:pStyle w:val="P68B1DB1-Normal121"/>
              <w:spacing w:after="0" w:line="240" w:lineRule="auto"/>
              <w:jc w:val="center"/>
              <w:rPr>
                <w:noProof/>
              </w:rPr>
            </w:pPr>
            <w:r>
              <w:rPr>
                <w:noProof/>
              </w:rPr>
              <w:t>Atskaites punkts</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AAAAE3" w14:textId="60212123" w:rsidR="00327FF1" w:rsidRDefault="00E406C7">
            <w:pPr>
              <w:pStyle w:val="P68B1DB1-Normal121"/>
              <w:spacing w:after="0" w:line="240" w:lineRule="auto"/>
              <w:rPr>
                <w:noProof/>
              </w:rPr>
            </w:pPr>
            <w:r>
              <w:rPr>
                <w:noProof/>
              </w:rPr>
              <w:t>Īstenošanas nolīgums</w:t>
            </w:r>
          </w:p>
        </w:tc>
      </w:tr>
      <w:tr w:rsidR="00327FF1" w14:paraId="19A3807B" w14:textId="77777777">
        <w:trPr>
          <w:trHeight w:val="300"/>
        </w:trPr>
        <w:tc>
          <w:tcPr>
            <w:tcW w:w="11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E7CEFE" w14:textId="3FEC8602" w:rsidR="00327FF1" w:rsidRDefault="00E406C7">
            <w:pPr>
              <w:pStyle w:val="P68B1DB1-Normal121"/>
              <w:spacing w:after="0" w:line="240" w:lineRule="auto"/>
              <w:jc w:val="center"/>
              <w:rPr>
                <w:noProof/>
              </w:rPr>
            </w:pPr>
            <w:r>
              <w:rPr>
                <w:noProof/>
              </w:rPr>
              <w:t>M5C2–18</w:t>
            </w:r>
          </w:p>
        </w:tc>
        <w:tc>
          <w:tcPr>
            <w:tcW w:w="354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FCB2ED" w14:textId="6FDDC8A6" w:rsidR="00327FF1" w:rsidRDefault="00E406C7">
            <w:pPr>
              <w:pStyle w:val="P68B1DB1-Normal121"/>
              <w:spacing w:after="0" w:line="240" w:lineRule="auto"/>
              <w:rPr>
                <w:noProof/>
              </w:rPr>
            </w:pPr>
            <w:r>
              <w:rPr>
                <w:noProof/>
              </w:rPr>
              <w:t>Investīcija Nr. 5 — integrētie pilsētu plāni — EIB fonds — no fonda</w:t>
            </w:r>
          </w:p>
        </w:tc>
        <w:tc>
          <w:tcPr>
            <w:tcW w:w="127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6900F9" w14:textId="2A6784E9" w:rsidR="00327FF1" w:rsidRDefault="00E406C7">
            <w:pPr>
              <w:pStyle w:val="P68B1DB1-Normal121"/>
              <w:spacing w:after="0" w:line="240" w:lineRule="auto"/>
              <w:jc w:val="center"/>
              <w:rPr>
                <w:noProof/>
              </w:rPr>
            </w:pPr>
            <w:r>
              <w:rPr>
                <w:noProof/>
              </w:rPr>
              <w:t>Mērķa</w:t>
            </w:r>
          </w:p>
        </w:tc>
        <w:tc>
          <w:tcPr>
            <w:tcW w:w="326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56FFE2" w14:textId="6062BB2E" w:rsidR="00327FF1" w:rsidRDefault="00E406C7">
            <w:pPr>
              <w:pStyle w:val="P68B1DB1-Normal121"/>
              <w:spacing w:after="0" w:line="240" w:lineRule="auto"/>
              <w:rPr>
                <w:noProof/>
              </w:rPr>
            </w:pPr>
            <w:r>
              <w:rPr>
                <w:noProof/>
              </w:rPr>
              <w:t>Juridiski nolīgumi, kas parakstīti ar galīgajiem saņēmējiem par pamatā esošo projektu ieguldījumu vērtību vismaz 545 00</w:t>
            </w:r>
            <w:r>
              <w:rPr>
                <w:noProof/>
              </w:rPr>
              <w:t xml:space="preserve">0 000 EUR apmērā   </w:t>
            </w:r>
          </w:p>
        </w:tc>
      </w:tr>
      <w:tr w:rsidR="00327FF1" w14:paraId="598C50AE" w14:textId="77777777">
        <w:trPr>
          <w:trHeight w:val="300"/>
        </w:trPr>
        <w:tc>
          <w:tcPr>
            <w:tcW w:w="1154" w:type="dxa"/>
            <w:shd w:val="clear" w:color="auto" w:fill="C6EFCE"/>
            <w:tcMar>
              <w:left w:w="108" w:type="dxa"/>
              <w:right w:w="108" w:type="dxa"/>
            </w:tcMar>
            <w:vAlign w:val="center"/>
          </w:tcPr>
          <w:p w14:paraId="127A4682" w14:textId="77777777" w:rsidR="00327FF1" w:rsidRDefault="00327FF1">
            <w:pPr>
              <w:spacing w:after="0" w:line="240" w:lineRule="auto"/>
              <w:jc w:val="center"/>
              <w:rPr>
                <w:rFonts w:ascii="Times New Roman" w:eastAsia="Times New Roman" w:hAnsi="Times New Roman" w:cs="Times New Roman"/>
                <w:noProof/>
              </w:rPr>
            </w:pPr>
          </w:p>
        </w:tc>
        <w:tc>
          <w:tcPr>
            <w:tcW w:w="3541" w:type="dxa"/>
            <w:shd w:val="clear" w:color="auto" w:fill="C6EFCE"/>
            <w:tcMar>
              <w:left w:w="108" w:type="dxa"/>
              <w:right w:w="108" w:type="dxa"/>
            </w:tcMar>
            <w:vAlign w:val="center"/>
          </w:tcPr>
          <w:p w14:paraId="77EFA4B7" w14:textId="77777777" w:rsidR="00327FF1" w:rsidRDefault="00E406C7">
            <w:pPr>
              <w:pStyle w:val="P68B1DB1-Normal121"/>
              <w:spacing w:after="0" w:line="240" w:lineRule="auto"/>
              <w:rPr>
                <w:noProof/>
              </w:rPr>
            </w:pPr>
            <w:r>
              <w:rPr>
                <w:noProof/>
              </w:rPr>
              <w:t xml:space="preserve"> </w:t>
            </w:r>
          </w:p>
        </w:tc>
        <w:tc>
          <w:tcPr>
            <w:tcW w:w="1276" w:type="dxa"/>
            <w:shd w:val="clear" w:color="auto" w:fill="C6EFCE"/>
            <w:tcMar>
              <w:left w:w="108" w:type="dxa"/>
              <w:right w:w="108" w:type="dxa"/>
            </w:tcMar>
            <w:vAlign w:val="center"/>
          </w:tcPr>
          <w:p w14:paraId="3F8F093A" w14:textId="77777777" w:rsidR="00327FF1" w:rsidRDefault="00E406C7">
            <w:pPr>
              <w:pStyle w:val="P68B1DB1-Normal121"/>
              <w:spacing w:after="0" w:line="240" w:lineRule="auto"/>
              <w:jc w:val="center"/>
              <w:rPr>
                <w:noProof/>
              </w:rPr>
            </w:pPr>
            <w:r>
              <w:rPr>
                <w:noProof/>
              </w:rPr>
              <w:t>Maksājuma summa</w:t>
            </w:r>
          </w:p>
        </w:tc>
        <w:tc>
          <w:tcPr>
            <w:tcW w:w="3260" w:type="dxa"/>
            <w:shd w:val="clear" w:color="auto" w:fill="C6EFCE"/>
            <w:tcMar>
              <w:left w:w="108" w:type="dxa"/>
              <w:right w:w="108" w:type="dxa"/>
            </w:tcMar>
            <w:vAlign w:val="center"/>
          </w:tcPr>
          <w:p w14:paraId="6D61BC93" w14:textId="77777777" w:rsidR="00327FF1" w:rsidRDefault="00E406C7">
            <w:pPr>
              <w:pStyle w:val="P68B1DB1-Normal8"/>
              <w:spacing w:after="0" w:line="240" w:lineRule="auto"/>
              <w:rPr>
                <w:noProof/>
              </w:rPr>
            </w:pPr>
            <w:r>
              <w:rPr>
                <w:noProof/>
                <w:color w:val="006100"/>
                <w:sz w:val="20"/>
                <w:szCs w:val="20"/>
              </w:rPr>
              <w:t>EUR</w:t>
            </w:r>
            <w:r>
              <w:rPr>
                <w:noProof/>
                <w:sz w:val="23"/>
                <w:szCs w:val="23"/>
              </w:rPr>
              <w:t xml:space="preserve">  </w:t>
            </w:r>
            <w:r>
              <w:rPr>
                <w:noProof/>
                <w:color w:val="006100"/>
                <w:sz w:val="20"/>
                <w:szCs w:val="20"/>
              </w:rPr>
              <w:t>7118464154</w:t>
            </w:r>
            <w:r>
              <w:rPr>
                <w:noProof/>
                <w:sz w:val="23"/>
                <w:szCs w:val="23"/>
              </w:rPr>
              <w:t xml:space="preserve"> </w:t>
            </w:r>
          </w:p>
        </w:tc>
      </w:tr>
    </w:tbl>
    <w:p w14:paraId="77001805" w14:textId="77777777" w:rsidR="00327FF1" w:rsidRDefault="00327FF1">
      <w:pPr>
        <w:rPr>
          <w:rFonts w:ascii="Times New Roman" w:eastAsia="Times New Roman" w:hAnsi="Times New Roman" w:cs="Times New Roman"/>
          <w:noProof/>
        </w:rPr>
      </w:pPr>
    </w:p>
    <w:p w14:paraId="59A67ED6" w14:textId="77777777" w:rsidR="00327FF1" w:rsidRDefault="00E406C7">
      <w:pPr>
        <w:pStyle w:val="P68B1DB1-Heading34"/>
        <w:numPr>
          <w:ilvl w:val="1"/>
          <w:numId w:val="179"/>
        </w:numPr>
        <w:tabs>
          <w:tab w:val="clear" w:pos="850"/>
          <w:tab w:val="num" w:pos="1440"/>
        </w:tabs>
        <w:ind w:left="1440" w:hanging="360"/>
        <w:rPr>
          <w:noProof/>
        </w:rPr>
      </w:pPr>
      <w:r>
        <w:rPr>
          <w:noProof/>
        </w:rPr>
        <w:t>Desmitā daļa (aizdevuma atbalsts):</w:t>
      </w:r>
    </w:p>
    <w:tbl>
      <w:tblPr>
        <w:tblW w:w="923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6"/>
        <w:gridCol w:w="3449"/>
        <w:gridCol w:w="1134"/>
        <w:gridCol w:w="3402"/>
      </w:tblGrid>
      <w:tr w:rsidR="00327FF1" w14:paraId="3EA114BB" w14:textId="77777777">
        <w:trPr>
          <w:trHeight w:val="900"/>
          <w:tblHeader/>
        </w:trPr>
        <w:tc>
          <w:tcPr>
            <w:tcW w:w="1246" w:type="dxa"/>
            <w:vMerge w:val="restart"/>
            <w:shd w:val="clear" w:color="auto" w:fill="BDD7EE"/>
            <w:tcMar>
              <w:left w:w="108" w:type="dxa"/>
              <w:right w:w="108" w:type="dxa"/>
            </w:tcMar>
            <w:vAlign w:val="center"/>
          </w:tcPr>
          <w:p w14:paraId="635CBDDE" w14:textId="77777777" w:rsidR="00327FF1" w:rsidRDefault="00E406C7">
            <w:pPr>
              <w:pStyle w:val="P68B1DB1-Normal120"/>
              <w:spacing w:after="0" w:line="240" w:lineRule="auto"/>
              <w:jc w:val="center"/>
              <w:rPr>
                <w:noProof/>
              </w:rPr>
            </w:pPr>
            <w:r>
              <w:rPr>
                <w:noProof/>
              </w:rPr>
              <w:t>Kārtas numurs</w:t>
            </w:r>
          </w:p>
        </w:tc>
        <w:tc>
          <w:tcPr>
            <w:tcW w:w="3449" w:type="dxa"/>
            <w:vMerge w:val="restart"/>
            <w:shd w:val="clear" w:color="auto" w:fill="BDD7EE"/>
            <w:tcMar>
              <w:left w:w="108" w:type="dxa"/>
              <w:right w:w="108" w:type="dxa"/>
            </w:tcMar>
            <w:vAlign w:val="center"/>
          </w:tcPr>
          <w:p w14:paraId="77ECDD97" w14:textId="77777777" w:rsidR="00327FF1" w:rsidRDefault="00E406C7">
            <w:pPr>
              <w:pStyle w:val="P68B1DB1-Normal120"/>
              <w:spacing w:after="0" w:line="240" w:lineRule="auto"/>
              <w:jc w:val="center"/>
              <w:rPr>
                <w:noProof/>
              </w:rPr>
            </w:pPr>
            <w:r>
              <w:rPr>
                <w:noProof/>
              </w:rPr>
              <w:t>Saistītais pasākums (reforma vai ieguldījums)</w:t>
            </w:r>
          </w:p>
        </w:tc>
        <w:tc>
          <w:tcPr>
            <w:tcW w:w="1134" w:type="dxa"/>
            <w:vMerge w:val="restart"/>
            <w:shd w:val="clear" w:color="auto" w:fill="BDD7EE"/>
            <w:tcMar>
              <w:left w:w="108" w:type="dxa"/>
              <w:right w:w="108" w:type="dxa"/>
            </w:tcMar>
            <w:vAlign w:val="center"/>
          </w:tcPr>
          <w:p w14:paraId="54FDD1EE" w14:textId="77777777" w:rsidR="00327FF1" w:rsidRDefault="00E406C7">
            <w:pPr>
              <w:pStyle w:val="P68B1DB1-Normal120"/>
              <w:spacing w:after="0" w:line="240" w:lineRule="auto"/>
              <w:jc w:val="center"/>
              <w:rPr>
                <w:noProof/>
              </w:rPr>
            </w:pPr>
            <w:r>
              <w:rPr>
                <w:noProof/>
              </w:rPr>
              <w:t>Atskaites punkts/mērķrādītājs</w:t>
            </w:r>
          </w:p>
        </w:tc>
        <w:tc>
          <w:tcPr>
            <w:tcW w:w="3402" w:type="dxa"/>
            <w:vMerge w:val="restart"/>
            <w:shd w:val="clear" w:color="auto" w:fill="BDD7EE"/>
            <w:tcMar>
              <w:left w:w="108" w:type="dxa"/>
              <w:right w:w="108" w:type="dxa"/>
            </w:tcMar>
            <w:vAlign w:val="center"/>
          </w:tcPr>
          <w:p w14:paraId="286B7CD7" w14:textId="77777777" w:rsidR="00327FF1" w:rsidRDefault="00E406C7">
            <w:pPr>
              <w:pStyle w:val="P68B1DB1-Normal120"/>
              <w:spacing w:after="0" w:line="240" w:lineRule="auto"/>
              <w:jc w:val="center"/>
              <w:rPr>
                <w:noProof/>
              </w:rPr>
            </w:pPr>
            <w:r>
              <w:rPr>
                <w:noProof/>
              </w:rPr>
              <w:t>Nosaukums</w:t>
            </w:r>
          </w:p>
        </w:tc>
      </w:tr>
      <w:tr w:rsidR="00327FF1" w14:paraId="2DDC408E" w14:textId="77777777">
        <w:trPr>
          <w:trHeight w:val="510"/>
        </w:trPr>
        <w:tc>
          <w:tcPr>
            <w:tcW w:w="1246" w:type="dxa"/>
            <w:vMerge/>
            <w:vAlign w:val="center"/>
          </w:tcPr>
          <w:p w14:paraId="44A50E7E" w14:textId="77777777" w:rsidR="00327FF1" w:rsidRDefault="00327FF1">
            <w:pPr>
              <w:spacing w:after="0" w:line="240" w:lineRule="auto"/>
              <w:jc w:val="center"/>
              <w:rPr>
                <w:rFonts w:ascii="Times New Roman" w:eastAsia="Times New Roman" w:hAnsi="Times New Roman" w:cs="Times New Roman"/>
                <w:noProof/>
              </w:rPr>
            </w:pPr>
          </w:p>
        </w:tc>
        <w:tc>
          <w:tcPr>
            <w:tcW w:w="3449" w:type="dxa"/>
            <w:vMerge/>
            <w:vAlign w:val="center"/>
          </w:tcPr>
          <w:p w14:paraId="0B29D955" w14:textId="77777777" w:rsidR="00327FF1" w:rsidRDefault="00327FF1">
            <w:pPr>
              <w:spacing w:after="0" w:line="240" w:lineRule="auto"/>
              <w:rPr>
                <w:rFonts w:ascii="Times New Roman" w:eastAsia="Times New Roman" w:hAnsi="Times New Roman" w:cs="Times New Roman"/>
                <w:noProof/>
              </w:rPr>
            </w:pPr>
          </w:p>
        </w:tc>
        <w:tc>
          <w:tcPr>
            <w:tcW w:w="1134" w:type="dxa"/>
            <w:vMerge/>
            <w:vAlign w:val="center"/>
          </w:tcPr>
          <w:p w14:paraId="5F835863" w14:textId="77777777" w:rsidR="00327FF1" w:rsidRDefault="00327FF1">
            <w:pPr>
              <w:spacing w:after="0" w:line="240" w:lineRule="auto"/>
              <w:jc w:val="center"/>
              <w:rPr>
                <w:rFonts w:ascii="Times New Roman" w:eastAsia="Times New Roman" w:hAnsi="Times New Roman" w:cs="Times New Roman"/>
                <w:noProof/>
              </w:rPr>
            </w:pPr>
          </w:p>
        </w:tc>
        <w:tc>
          <w:tcPr>
            <w:tcW w:w="3402" w:type="dxa"/>
            <w:vMerge/>
            <w:vAlign w:val="center"/>
          </w:tcPr>
          <w:p w14:paraId="4CE2A4E2" w14:textId="77777777" w:rsidR="00327FF1" w:rsidRDefault="00327FF1">
            <w:pPr>
              <w:spacing w:after="0" w:line="240" w:lineRule="auto"/>
              <w:rPr>
                <w:rFonts w:ascii="Times New Roman" w:eastAsia="Times New Roman" w:hAnsi="Times New Roman" w:cs="Times New Roman"/>
                <w:noProof/>
              </w:rPr>
            </w:pPr>
          </w:p>
        </w:tc>
      </w:tr>
      <w:tr w:rsidR="00327FF1" w14:paraId="5A6FEF3A" w14:textId="77777777">
        <w:trPr>
          <w:trHeight w:val="300"/>
        </w:trPr>
        <w:tc>
          <w:tcPr>
            <w:tcW w:w="1246" w:type="dxa"/>
            <w:shd w:val="clear" w:color="auto" w:fill="C6EFCE"/>
            <w:tcMar>
              <w:left w:w="108" w:type="dxa"/>
              <w:right w:w="108" w:type="dxa"/>
            </w:tcMar>
            <w:vAlign w:val="center"/>
          </w:tcPr>
          <w:p w14:paraId="75A541E1" w14:textId="77777777" w:rsidR="00327FF1" w:rsidRDefault="00E406C7">
            <w:pPr>
              <w:pStyle w:val="P68B1DB1-Normal121"/>
              <w:spacing w:after="0" w:line="240" w:lineRule="auto"/>
              <w:jc w:val="center"/>
              <w:rPr>
                <w:noProof/>
              </w:rPr>
            </w:pPr>
            <w:r>
              <w:rPr>
                <w:noProof/>
              </w:rPr>
              <w:t>M2C3–6</w:t>
            </w:r>
          </w:p>
        </w:tc>
        <w:tc>
          <w:tcPr>
            <w:tcW w:w="3449" w:type="dxa"/>
            <w:shd w:val="clear" w:color="auto" w:fill="C6EFCE"/>
            <w:tcMar>
              <w:left w:w="108" w:type="dxa"/>
              <w:right w:w="108" w:type="dxa"/>
            </w:tcMar>
            <w:vAlign w:val="center"/>
          </w:tcPr>
          <w:p w14:paraId="5FDD3AB7" w14:textId="77777777" w:rsidR="00327FF1" w:rsidRDefault="00E406C7">
            <w:pPr>
              <w:pStyle w:val="P68B1DB1-Normal121"/>
              <w:spacing w:after="0" w:line="240" w:lineRule="auto"/>
              <w:rPr>
                <w:noProof/>
              </w:rPr>
            </w:pPr>
            <w:r>
              <w:rPr>
                <w:noProof/>
              </w:rPr>
              <w:t xml:space="preserve">Investīcija 1.1: Jaunu skolu būvniecība, </w:t>
            </w:r>
            <w:r>
              <w:rPr>
                <w:noProof/>
              </w:rPr>
              <w:t>aizstājot ēkas</w:t>
            </w:r>
          </w:p>
        </w:tc>
        <w:tc>
          <w:tcPr>
            <w:tcW w:w="1134" w:type="dxa"/>
            <w:shd w:val="clear" w:color="auto" w:fill="C6EFCE"/>
            <w:tcMar>
              <w:left w:w="108" w:type="dxa"/>
              <w:right w:w="108" w:type="dxa"/>
            </w:tcMar>
            <w:vAlign w:val="center"/>
          </w:tcPr>
          <w:p w14:paraId="45226090"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52DF453C" w14:textId="77777777" w:rsidR="00327FF1" w:rsidRDefault="00E406C7">
            <w:pPr>
              <w:pStyle w:val="P68B1DB1-Normal121"/>
              <w:spacing w:after="0" w:line="240" w:lineRule="auto"/>
              <w:rPr>
                <w:noProof/>
              </w:rPr>
            </w:pPr>
            <w:r>
              <w:rPr>
                <w:noProof/>
              </w:rPr>
              <w:t>Nomaiņas ceļā tiek būvētas vismaz 166 jaunas skolas.</w:t>
            </w:r>
          </w:p>
        </w:tc>
      </w:tr>
      <w:tr w:rsidR="00327FF1" w14:paraId="2ABF07AD" w14:textId="77777777">
        <w:trPr>
          <w:trHeight w:val="300"/>
        </w:trPr>
        <w:tc>
          <w:tcPr>
            <w:tcW w:w="1246" w:type="dxa"/>
            <w:shd w:val="clear" w:color="auto" w:fill="C6EFCE"/>
            <w:tcMar>
              <w:left w:w="108" w:type="dxa"/>
              <w:right w:w="108" w:type="dxa"/>
            </w:tcMar>
            <w:vAlign w:val="center"/>
          </w:tcPr>
          <w:p w14:paraId="13397B82" w14:textId="77777777" w:rsidR="00327FF1" w:rsidRDefault="00E406C7">
            <w:pPr>
              <w:pStyle w:val="P68B1DB1-Normal121"/>
              <w:spacing w:after="0" w:line="240" w:lineRule="auto"/>
              <w:jc w:val="center"/>
              <w:rPr>
                <w:noProof/>
              </w:rPr>
            </w:pPr>
            <w:r>
              <w:rPr>
                <w:noProof/>
              </w:rPr>
              <w:t>M2C3–8</w:t>
            </w:r>
          </w:p>
        </w:tc>
        <w:tc>
          <w:tcPr>
            <w:tcW w:w="3449" w:type="dxa"/>
            <w:shd w:val="clear" w:color="auto" w:fill="C6EFCE"/>
            <w:tcMar>
              <w:left w:w="108" w:type="dxa"/>
              <w:right w:w="108" w:type="dxa"/>
            </w:tcMar>
            <w:vAlign w:val="center"/>
          </w:tcPr>
          <w:p w14:paraId="1F43F23C" w14:textId="77777777" w:rsidR="00327FF1" w:rsidRDefault="00E406C7">
            <w:pPr>
              <w:pStyle w:val="P68B1DB1-Normal121"/>
              <w:spacing w:after="0" w:line="240" w:lineRule="auto"/>
              <w:rPr>
                <w:noProof/>
              </w:rPr>
            </w:pPr>
            <w:r>
              <w:rPr>
                <w:noProof/>
              </w:rPr>
              <w:t>Investīcija 1.2. — Publiskā nekustamā īpašuma aktīvu, ko daļēji vai pilnībā izmanto tiesas spriešana, pārkvalificēšana</w:t>
            </w:r>
          </w:p>
        </w:tc>
        <w:tc>
          <w:tcPr>
            <w:tcW w:w="1134" w:type="dxa"/>
            <w:shd w:val="clear" w:color="auto" w:fill="C6EFCE"/>
            <w:tcMar>
              <w:left w:w="108" w:type="dxa"/>
              <w:right w:w="108" w:type="dxa"/>
            </w:tcMar>
            <w:vAlign w:val="center"/>
          </w:tcPr>
          <w:p w14:paraId="0CB0B0A1"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7174D93E" w14:textId="77777777" w:rsidR="00327FF1" w:rsidRDefault="00E406C7">
            <w:pPr>
              <w:pStyle w:val="P68B1DB1-Normal121"/>
              <w:spacing w:after="0" w:line="240" w:lineRule="auto"/>
              <w:rPr>
                <w:noProof/>
              </w:rPr>
            </w:pPr>
            <w:r>
              <w:rPr>
                <w:noProof/>
              </w:rPr>
              <w:t xml:space="preserve">Veikti darbi vismaz 289000 m2m valsts nekustamā </w:t>
            </w:r>
            <w:r>
              <w:rPr>
                <w:noProof/>
              </w:rPr>
              <w:t>īpašuma aktīvu</w:t>
            </w:r>
          </w:p>
        </w:tc>
      </w:tr>
      <w:tr w:rsidR="00327FF1" w14:paraId="379989C1" w14:textId="77777777">
        <w:trPr>
          <w:trHeight w:val="300"/>
        </w:trPr>
        <w:tc>
          <w:tcPr>
            <w:tcW w:w="1246" w:type="dxa"/>
            <w:shd w:val="clear" w:color="auto" w:fill="C6EFCE"/>
            <w:tcMar>
              <w:left w:w="108" w:type="dxa"/>
              <w:right w:w="108" w:type="dxa"/>
            </w:tcMar>
            <w:vAlign w:val="center"/>
          </w:tcPr>
          <w:p w14:paraId="7D963DE7" w14:textId="77777777" w:rsidR="00327FF1" w:rsidRDefault="00E406C7">
            <w:pPr>
              <w:pStyle w:val="P68B1DB1-Normal121"/>
              <w:spacing w:after="0" w:line="240" w:lineRule="auto"/>
              <w:jc w:val="center"/>
              <w:rPr>
                <w:noProof/>
              </w:rPr>
            </w:pPr>
            <w:r>
              <w:rPr>
                <w:noProof/>
              </w:rPr>
              <w:t>M2C3–10</w:t>
            </w:r>
          </w:p>
        </w:tc>
        <w:tc>
          <w:tcPr>
            <w:tcW w:w="3449" w:type="dxa"/>
            <w:shd w:val="clear" w:color="auto" w:fill="C6EFCE"/>
            <w:tcMar>
              <w:left w:w="108" w:type="dxa"/>
              <w:right w:w="108" w:type="dxa"/>
            </w:tcMar>
            <w:vAlign w:val="center"/>
          </w:tcPr>
          <w:p w14:paraId="07D1C0C1" w14:textId="77777777" w:rsidR="00327FF1" w:rsidRDefault="00E406C7">
            <w:pPr>
              <w:pStyle w:val="P68B1DB1-Normal121"/>
              <w:spacing w:after="0" w:line="240" w:lineRule="auto"/>
              <w:rPr>
                <w:noProof/>
              </w:rPr>
            </w:pPr>
            <w:r>
              <w:rPr>
                <w:noProof/>
              </w:rPr>
              <w:t>Investīcija Nr. 3.1: Efektīvas centralizētās siltumapgādes veicināšana</w:t>
            </w:r>
          </w:p>
        </w:tc>
        <w:tc>
          <w:tcPr>
            <w:tcW w:w="1134" w:type="dxa"/>
            <w:shd w:val="clear" w:color="auto" w:fill="C6EFCE"/>
            <w:tcMar>
              <w:left w:w="108" w:type="dxa"/>
              <w:right w:w="108" w:type="dxa"/>
            </w:tcMar>
            <w:vAlign w:val="center"/>
          </w:tcPr>
          <w:p w14:paraId="14DC6D14"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67515E3F" w14:textId="77777777" w:rsidR="00327FF1" w:rsidRDefault="00E406C7">
            <w:pPr>
              <w:pStyle w:val="P68B1DB1-Normal121"/>
              <w:spacing w:after="0" w:line="240" w:lineRule="auto"/>
              <w:rPr>
                <w:noProof/>
              </w:rPr>
            </w:pPr>
            <w:r>
              <w:rPr>
                <w:noProof/>
              </w:rPr>
              <w:t xml:space="preserve">Centralizētās siltumapgādes tīklu izveide vai paplašināšana, lai samazinātu enerģijas patēriņu </w:t>
            </w:r>
          </w:p>
        </w:tc>
      </w:tr>
      <w:tr w:rsidR="00327FF1" w14:paraId="530933F3" w14:textId="77777777">
        <w:trPr>
          <w:trHeight w:val="300"/>
        </w:trPr>
        <w:tc>
          <w:tcPr>
            <w:tcW w:w="1246" w:type="dxa"/>
            <w:shd w:val="clear" w:color="auto" w:fill="C6EFCE"/>
            <w:tcMar>
              <w:left w:w="108" w:type="dxa"/>
              <w:right w:w="108" w:type="dxa"/>
            </w:tcMar>
            <w:vAlign w:val="center"/>
          </w:tcPr>
          <w:p w14:paraId="1846760D" w14:textId="77777777" w:rsidR="00327FF1" w:rsidRDefault="00E406C7">
            <w:pPr>
              <w:pStyle w:val="P68B1DB1-Normal121"/>
              <w:spacing w:after="0" w:line="240" w:lineRule="auto"/>
              <w:jc w:val="center"/>
              <w:rPr>
                <w:noProof/>
              </w:rPr>
            </w:pPr>
            <w:r>
              <w:rPr>
                <w:noProof/>
              </w:rPr>
              <w:t>M2C4–23</w:t>
            </w:r>
          </w:p>
        </w:tc>
        <w:tc>
          <w:tcPr>
            <w:tcW w:w="3449" w:type="dxa"/>
            <w:shd w:val="clear" w:color="auto" w:fill="C6EFCE"/>
            <w:tcMar>
              <w:left w:w="108" w:type="dxa"/>
              <w:right w:w="108" w:type="dxa"/>
            </w:tcMar>
            <w:vAlign w:val="center"/>
          </w:tcPr>
          <w:p w14:paraId="622B8865" w14:textId="77777777" w:rsidR="00327FF1" w:rsidRDefault="00E406C7">
            <w:pPr>
              <w:pStyle w:val="P68B1DB1-Normal121"/>
              <w:spacing w:after="0" w:line="240" w:lineRule="auto"/>
              <w:rPr>
                <w:noProof/>
              </w:rPr>
            </w:pPr>
            <w:r>
              <w:rPr>
                <w:noProof/>
              </w:rPr>
              <w:t>Investīcija Nr. 3.3. Po apgabala pārveidošana</w:t>
            </w:r>
          </w:p>
        </w:tc>
        <w:tc>
          <w:tcPr>
            <w:tcW w:w="1134" w:type="dxa"/>
            <w:shd w:val="clear" w:color="auto" w:fill="C6EFCE"/>
            <w:tcMar>
              <w:left w:w="108" w:type="dxa"/>
              <w:right w:w="108" w:type="dxa"/>
            </w:tcMar>
            <w:vAlign w:val="center"/>
          </w:tcPr>
          <w:p w14:paraId="3B1C62F5"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4B0D29CB" w14:textId="77777777" w:rsidR="00327FF1" w:rsidRDefault="00E406C7">
            <w:pPr>
              <w:pStyle w:val="P68B1DB1-Normal121"/>
              <w:spacing w:after="0" w:line="240" w:lineRule="auto"/>
              <w:rPr>
                <w:noProof/>
              </w:rPr>
            </w:pPr>
            <w:r>
              <w:rPr>
                <w:noProof/>
              </w:rPr>
              <w:t>Upes gultnes mākslīguma samazināšana Po apgabala T2 pārveidošanai</w:t>
            </w:r>
          </w:p>
        </w:tc>
      </w:tr>
      <w:tr w:rsidR="00327FF1" w14:paraId="5A01352D" w14:textId="77777777">
        <w:trPr>
          <w:trHeight w:val="300"/>
        </w:trPr>
        <w:tc>
          <w:tcPr>
            <w:tcW w:w="1246" w:type="dxa"/>
            <w:shd w:val="clear" w:color="auto" w:fill="C6EFCE"/>
            <w:tcMar>
              <w:left w:w="108" w:type="dxa"/>
              <w:right w:w="108" w:type="dxa"/>
            </w:tcMar>
            <w:vAlign w:val="center"/>
          </w:tcPr>
          <w:p w14:paraId="231ADE00" w14:textId="77777777" w:rsidR="00327FF1" w:rsidRDefault="00E406C7">
            <w:pPr>
              <w:pStyle w:val="P68B1DB1-Normal121"/>
              <w:spacing w:after="0" w:line="240" w:lineRule="auto"/>
              <w:jc w:val="center"/>
              <w:rPr>
                <w:noProof/>
              </w:rPr>
            </w:pPr>
            <w:r>
              <w:rPr>
                <w:noProof/>
              </w:rPr>
              <w:t>M2C4–25</w:t>
            </w:r>
          </w:p>
        </w:tc>
        <w:tc>
          <w:tcPr>
            <w:tcW w:w="3449" w:type="dxa"/>
            <w:shd w:val="clear" w:color="auto" w:fill="C6EFCE"/>
            <w:tcMar>
              <w:left w:w="108" w:type="dxa"/>
              <w:right w:w="108" w:type="dxa"/>
            </w:tcMar>
            <w:vAlign w:val="center"/>
          </w:tcPr>
          <w:p w14:paraId="58C36EFB" w14:textId="77777777" w:rsidR="00327FF1" w:rsidRDefault="00E406C7">
            <w:pPr>
              <w:pStyle w:val="P68B1DB1-Normal121"/>
              <w:spacing w:after="0" w:line="240" w:lineRule="auto"/>
              <w:rPr>
                <w:noProof/>
              </w:rPr>
            </w:pPr>
            <w:r>
              <w:rPr>
                <w:noProof/>
              </w:rPr>
              <w:t>Ieguldījums 3.4. “Retzemju teritoriju augsnes” sanācija</w:t>
            </w:r>
          </w:p>
        </w:tc>
        <w:tc>
          <w:tcPr>
            <w:tcW w:w="1134" w:type="dxa"/>
            <w:shd w:val="clear" w:color="auto" w:fill="C6EFCE"/>
            <w:tcMar>
              <w:left w:w="108" w:type="dxa"/>
              <w:right w:w="108" w:type="dxa"/>
            </w:tcMar>
            <w:vAlign w:val="center"/>
          </w:tcPr>
          <w:p w14:paraId="5C8569E0"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053B964A" w14:textId="77777777" w:rsidR="00327FF1" w:rsidRDefault="00E406C7">
            <w:pPr>
              <w:pStyle w:val="P68B1DB1-Normal121"/>
              <w:spacing w:after="0" w:line="240" w:lineRule="auto"/>
              <w:rPr>
                <w:noProof/>
              </w:rPr>
            </w:pPr>
            <w:r>
              <w:rPr>
                <w:noProof/>
              </w:rPr>
              <w:t xml:space="preserve">Bāreņu objektu atdzīvināšana </w:t>
            </w:r>
          </w:p>
        </w:tc>
      </w:tr>
      <w:tr w:rsidR="00327FF1" w14:paraId="343DE3E4" w14:textId="77777777">
        <w:trPr>
          <w:trHeight w:val="300"/>
        </w:trPr>
        <w:tc>
          <w:tcPr>
            <w:tcW w:w="1246" w:type="dxa"/>
            <w:shd w:val="clear" w:color="auto" w:fill="C6EFCE"/>
            <w:tcMar>
              <w:left w:w="108" w:type="dxa"/>
              <w:right w:w="108" w:type="dxa"/>
            </w:tcMar>
            <w:vAlign w:val="center"/>
          </w:tcPr>
          <w:p w14:paraId="7B61E433" w14:textId="77777777" w:rsidR="00327FF1" w:rsidRDefault="00E406C7">
            <w:pPr>
              <w:pStyle w:val="P68B1DB1-Normal121"/>
              <w:spacing w:after="0" w:line="240" w:lineRule="auto"/>
              <w:jc w:val="center"/>
              <w:rPr>
                <w:noProof/>
              </w:rPr>
            </w:pPr>
            <w:r>
              <w:rPr>
                <w:noProof/>
              </w:rPr>
              <w:t>M2C4–29</w:t>
            </w:r>
          </w:p>
        </w:tc>
        <w:tc>
          <w:tcPr>
            <w:tcW w:w="3449" w:type="dxa"/>
            <w:shd w:val="clear" w:color="auto" w:fill="C6EFCE"/>
            <w:tcMar>
              <w:left w:w="108" w:type="dxa"/>
              <w:right w:w="108" w:type="dxa"/>
            </w:tcMar>
            <w:vAlign w:val="center"/>
          </w:tcPr>
          <w:p w14:paraId="757C6518" w14:textId="77777777" w:rsidR="00327FF1" w:rsidRDefault="00E406C7">
            <w:pPr>
              <w:pStyle w:val="P68B1DB1-Normal121"/>
              <w:spacing w:after="0" w:line="240" w:lineRule="auto"/>
              <w:rPr>
                <w:noProof/>
              </w:rPr>
            </w:pPr>
            <w:r>
              <w:rPr>
                <w:noProof/>
              </w:rPr>
              <w:t>Ieguldījums 4.1. Investīcijas primārajā ūdensapgādes infrastruktūrā ūdensa</w:t>
            </w:r>
            <w:r>
              <w:rPr>
                <w:noProof/>
              </w:rPr>
              <w:t>pgādes drošībai</w:t>
            </w:r>
          </w:p>
        </w:tc>
        <w:tc>
          <w:tcPr>
            <w:tcW w:w="1134" w:type="dxa"/>
            <w:shd w:val="clear" w:color="auto" w:fill="C6EFCE"/>
            <w:tcMar>
              <w:left w:w="108" w:type="dxa"/>
              <w:right w:w="108" w:type="dxa"/>
            </w:tcMar>
            <w:vAlign w:val="center"/>
          </w:tcPr>
          <w:p w14:paraId="403F5190"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5828E74A" w14:textId="77777777" w:rsidR="00327FF1" w:rsidRDefault="00E406C7">
            <w:pPr>
              <w:pStyle w:val="P68B1DB1-Normal121"/>
              <w:spacing w:after="0" w:line="240" w:lineRule="auto"/>
              <w:rPr>
                <w:noProof/>
              </w:rPr>
            </w:pPr>
            <w:r>
              <w:rPr>
                <w:noProof/>
              </w:rPr>
              <w:t>Ūdens infrastruktūras darbu pabeigšana</w:t>
            </w:r>
          </w:p>
        </w:tc>
      </w:tr>
      <w:tr w:rsidR="00327FF1" w14:paraId="4C44B813" w14:textId="77777777">
        <w:trPr>
          <w:trHeight w:val="300"/>
        </w:trPr>
        <w:tc>
          <w:tcPr>
            <w:tcW w:w="1246" w:type="dxa"/>
            <w:shd w:val="clear" w:color="auto" w:fill="C6EFCE"/>
            <w:tcMar>
              <w:left w:w="108" w:type="dxa"/>
              <w:right w:w="108" w:type="dxa"/>
            </w:tcMar>
            <w:vAlign w:val="center"/>
          </w:tcPr>
          <w:p w14:paraId="455C6BC8" w14:textId="77777777" w:rsidR="00327FF1" w:rsidRDefault="00E406C7">
            <w:pPr>
              <w:pStyle w:val="P68B1DB1-Normal121"/>
              <w:spacing w:after="0" w:line="240" w:lineRule="auto"/>
              <w:jc w:val="center"/>
              <w:rPr>
                <w:noProof/>
              </w:rPr>
            </w:pPr>
            <w:r>
              <w:rPr>
                <w:noProof/>
              </w:rPr>
              <w:t>M2C4–38</w:t>
            </w:r>
          </w:p>
        </w:tc>
        <w:tc>
          <w:tcPr>
            <w:tcW w:w="3449" w:type="dxa"/>
            <w:shd w:val="clear" w:color="auto" w:fill="C6EFCE"/>
            <w:tcMar>
              <w:left w:w="108" w:type="dxa"/>
              <w:right w:w="108" w:type="dxa"/>
            </w:tcMar>
            <w:vAlign w:val="center"/>
          </w:tcPr>
          <w:p w14:paraId="059FBC37" w14:textId="77777777" w:rsidR="00327FF1" w:rsidRDefault="00E406C7">
            <w:pPr>
              <w:pStyle w:val="P68B1DB1-Normal121"/>
              <w:spacing w:after="0" w:line="240" w:lineRule="auto"/>
              <w:rPr>
                <w:noProof/>
              </w:rPr>
            </w:pPr>
            <w:r>
              <w:rPr>
                <w:noProof/>
              </w:rPr>
              <w:t>Investīcija 4.4. Ieguldījumi kanalizācijā un attīrīšanā</w:t>
            </w:r>
          </w:p>
        </w:tc>
        <w:tc>
          <w:tcPr>
            <w:tcW w:w="1134" w:type="dxa"/>
            <w:shd w:val="clear" w:color="auto" w:fill="C6EFCE"/>
            <w:tcMar>
              <w:left w:w="108" w:type="dxa"/>
              <w:right w:w="108" w:type="dxa"/>
            </w:tcMar>
            <w:vAlign w:val="center"/>
          </w:tcPr>
          <w:p w14:paraId="5C043450"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2857D2F5" w14:textId="77777777" w:rsidR="00327FF1" w:rsidRDefault="00E406C7">
            <w:pPr>
              <w:pStyle w:val="P68B1DB1-Normal121"/>
              <w:spacing w:after="0" w:line="240" w:lineRule="auto"/>
              <w:rPr>
                <w:noProof/>
              </w:rPr>
            </w:pPr>
            <w:r>
              <w:rPr>
                <w:noProof/>
              </w:rPr>
              <w:t>Iejaukšanās kanalizācijā un attīrīšanā T2</w:t>
            </w:r>
          </w:p>
        </w:tc>
      </w:tr>
      <w:tr w:rsidR="00327FF1" w14:paraId="6747EA62" w14:textId="77777777">
        <w:trPr>
          <w:trHeight w:val="300"/>
        </w:trPr>
        <w:tc>
          <w:tcPr>
            <w:tcW w:w="1246" w:type="dxa"/>
            <w:shd w:val="clear" w:color="auto" w:fill="C6EFCE"/>
            <w:tcMar>
              <w:left w:w="108" w:type="dxa"/>
              <w:right w:w="108" w:type="dxa"/>
            </w:tcMar>
            <w:vAlign w:val="center"/>
          </w:tcPr>
          <w:p w14:paraId="03569E27" w14:textId="77777777" w:rsidR="00327FF1" w:rsidRDefault="00E406C7">
            <w:pPr>
              <w:pStyle w:val="P68B1DB1-Normal121"/>
              <w:spacing w:after="0" w:line="240" w:lineRule="auto"/>
              <w:jc w:val="center"/>
              <w:rPr>
                <w:noProof/>
              </w:rPr>
            </w:pPr>
            <w:r>
              <w:rPr>
                <w:noProof/>
              </w:rPr>
              <w:t>M5C2–20</w:t>
            </w:r>
          </w:p>
        </w:tc>
        <w:tc>
          <w:tcPr>
            <w:tcW w:w="3449" w:type="dxa"/>
            <w:shd w:val="clear" w:color="auto" w:fill="C6EFCE"/>
            <w:tcMar>
              <w:left w:w="108" w:type="dxa"/>
              <w:right w:w="108" w:type="dxa"/>
            </w:tcMar>
            <w:vAlign w:val="center"/>
          </w:tcPr>
          <w:p w14:paraId="2CFDEB34" w14:textId="77777777" w:rsidR="00327FF1" w:rsidRDefault="00E406C7">
            <w:pPr>
              <w:pStyle w:val="P68B1DB1-Normal121"/>
              <w:spacing w:after="0" w:line="240" w:lineRule="auto"/>
              <w:rPr>
                <w:noProof/>
              </w:rPr>
            </w:pPr>
            <w:r>
              <w:rPr>
                <w:noProof/>
              </w:rPr>
              <w:t>Investīcija Nr. 6 — Mājokļu kvalitātes inovācijas programma</w:t>
            </w:r>
          </w:p>
        </w:tc>
        <w:tc>
          <w:tcPr>
            <w:tcW w:w="1134" w:type="dxa"/>
            <w:shd w:val="clear" w:color="auto" w:fill="C6EFCE"/>
            <w:tcMar>
              <w:left w:w="108" w:type="dxa"/>
              <w:right w:w="108" w:type="dxa"/>
            </w:tcMar>
            <w:vAlign w:val="center"/>
          </w:tcPr>
          <w:p w14:paraId="2434E3BD"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1C1185D5" w14:textId="77777777" w:rsidR="00327FF1" w:rsidRDefault="00E406C7">
            <w:pPr>
              <w:pStyle w:val="P68B1DB1-Normal121"/>
              <w:spacing w:after="0" w:line="240" w:lineRule="auto"/>
              <w:rPr>
                <w:noProof/>
              </w:rPr>
            </w:pPr>
            <w:r>
              <w:rPr>
                <w:noProof/>
              </w:rPr>
              <w:t xml:space="preserve">Uzbūvēto, iegādāto vai renovēto dzīvojamo vienību skaits </w:t>
            </w:r>
          </w:p>
        </w:tc>
      </w:tr>
      <w:tr w:rsidR="00327FF1" w14:paraId="4BCAC295" w14:textId="77777777">
        <w:trPr>
          <w:trHeight w:val="300"/>
        </w:trPr>
        <w:tc>
          <w:tcPr>
            <w:tcW w:w="1246" w:type="dxa"/>
            <w:shd w:val="clear" w:color="auto" w:fill="C6EFCE"/>
            <w:tcMar>
              <w:left w:w="108" w:type="dxa"/>
              <w:right w:w="108" w:type="dxa"/>
            </w:tcMar>
            <w:vAlign w:val="center"/>
          </w:tcPr>
          <w:p w14:paraId="4CF79FAC" w14:textId="77777777" w:rsidR="00327FF1" w:rsidRDefault="00E406C7">
            <w:pPr>
              <w:pStyle w:val="P68B1DB1-Normal121"/>
              <w:spacing w:after="0" w:line="240" w:lineRule="auto"/>
              <w:jc w:val="center"/>
              <w:rPr>
                <w:noProof/>
              </w:rPr>
            </w:pPr>
            <w:r>
              <w:rPr>
                <w:noProof/>
              </w:rPr>
              <w:t>M1C1–151</w:t>
            </w:r>
          </w:p>
        </w:tc>
        <w:tc>
          <w:tcPr>
            <w:tcW w:w="3449" w:type="dxa"/>
            <w:shd w:val="clear" w:color="auto" w:fill="C6EFCE"/>
            <w:tcMar>
              <w:left w:w="108" w:type="dxa"/>
              <w:right w:w="108" w:type="dxa"/>
            </w:tcMar>
            <w:vAlign w:val="center"/>
          </w:tcPr>
          <w:p w14:paraId="52B55CCE" w14:textId="77777777" w:rsidR="00327FF1" w:rsidRDefault="00E406C7">
            <w:pPr>
              <w:pStyle w:val="P68B1DB1-Normal121"/>
              <w:spacing w:after="0" w:line="240" w:lineRule="auto"/>
              <w:rPr>
                <w:noProof/>
              </w:rPr>
            </w:pPr>
            <w:r>
              <w:rPr>
                <w:noProof/>
              </w:rPr>
              <w:t>Investīcija 1.4.5. Publisko paziņojumu digitalizācija</w:t>
            </w:r>
          </w:p>
        </w:tc>
        <w:tc>
          <w:tcPr>
            <w:tcW w:w="1134" w:type="dxa"/>
            <w:shd w:val="clear" w:color="auto" w:fill="C6EFCE"/>
            <w:tcMar>
              <w:left w:w="108" w:type="dxa"/>
              <w:right w:w="108" w:type="dxa"/>
            </w:tcMar>
            <w:vAlign w:val="center"/>
          </w:tcPr>
          <w:p w14:paraId="12B62414"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7092D38D" w14:textId="77777777" w:rsidR="00327FF1" w:rsidRDefault="00E406C7">
            <w:pPr>
              <w:pStyle w:val="P68B1DB1-Normal121"/>
              <w:spacing w:after="0" w:line="240" w:lineRule="auto"/>
              <w:rPr>
                <w:noProof/>
              </w:rPr>
            </w:pPr>
            <w:r>
              <w:rPr>
                <w:noProof/>
              </w:rPr>
              <w:t>Digitālo publisko paziņojumu T2 ieviešana</w:t>
            </w:r>
          </w:p>
        </w:tc>
      </w:tr>
      <w:tr w:rsidR="00327FF1" w14:paraId="51D602BB" w14:textId="77777777">
        <w:trPr>
          <w:trHeight w:val="300"/>
        </w:trPr>
        <w:tc>
          <w:tcPr>
            <w:tcW w:w="1246" w:type="dxa"/>
            <w:shd w:val="clear" w:color="auto" w:fill="C6EFCE"/>
            <w:tcMar>
              <w:left w:w="108" w:type="dxa"/>
              <w:right w:w="108" w:type="dxa"/>
            </w:tcMar>
            <w:vAlign w:val="center"/>
          </w:tcPr>
          <w:p w14:paraId="3C97996F" w14:textId="77777777" w:rsidR="00327FF1" w:rsidRDefault="00E406C7">
            <w:pPr>
              <w:pStyle w:val="P68B1DB1-Normal121"/>
              <w:spacing w:after="0" w:line="240" w:lineRule="auto"/>
              <w:jc w:val="center"/>
              <w:rPr>
                <w:noProof/>
              </w:rPr>
            </w:pPr>
            <w:r>
              <w:rPr>
                <w:noProof/>
              </w:rPr>
              <w:t>M1C1–155</w:t>
            </w:r>
          </w:p>
        </w:tc>
        <w:tc>
          <w:tcPr>
            <w:tcW w:w="3449" w:type="dxa"/>
            <w:shd w:val="clear" w:color="auto" w:fill="C6EFCE"/>
            <w:tcMar>
              <w:left w:w="108" w:type="dxa"/>
              <w:right w:w="108" w:type="dxa"/>
            </w:tcMar>
            <w:vAlign w:val="center"/>
          </w:tcPr>
          <w:p w14:paraId="1EE5FFDB" w14:textId="77777777" w:rsidR="00327FF1" w:rsidRDefault="00E406C7">
            <w:pPr>
              <w:pStyle w:val="P68B1DB1-Normal121"/>
              <w:spacing w:after="0" w:line="240" w:lineRule="auto"/>
              <w:rPr>
                <w:noProof/>
              </w:rPr>
            </w:pPr>
            <w:r>
              <w:rPr>
                <w:noProof/>
              </w:rPr>
              <w:t xml:space="preserve">Investīcija — Valsts sociālā nodrošinājuma institūta (INPS) un Valsts </w:t>
            </w:r>
            <w:r>
              <w:rPr>
                <w:noProof/>
              </w:rPr>
              <w:t>apdrošināšanas pret nelaimes gadījumiem darbā (INAIL) digitalizācija</w:t>
            </w:r>
          </w:p>
        </w:tc>
        <w:tc>
          <w:tcPr>
            <w:tcW w:w="1134" w:type="dxa"/>
            <w:shd w:val="clear" w:color="auto" w:fill="C6EFCE"/>
            <w:tcMar>
              <w:left w:w="108" w:type="dxa"/>
              <w:right w:w="108" w:type="dxa"/>
            </w:tcMar>
            <w:vAlign w:val="center"/>
          </w:tcPr>
          <w:p w14:paraId="789547CD"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11F07C1C" w14:textId="77777777" w:rsidR="00327FF1" w:rsidRDefault="00E406C7">
            <w:pPr>
              <w:pStyle w:val="P68B1DB1-Normal121"/>
              <w:spacing w:after="0" w:line="240" w:lineRule="auto"/>
              <w:rPr>
                <w:noProof/>
              </w:rPr>
            </w:pPr>
            <w:r>
              <w:rPr>
                <w:noProof/>
              </w:rPr>
              <w:t>INAIL — pārstrādāti un digitalizēti procesi/pakalpojumi T2</w:t>
            </w:r>
          </w:p>
        </w:tc>
      </w:tr>
      <w:tr w:rsidR="00327FF1" w14:paraId="1DCA2A6E" w14:textId="77777777">
        <w:trPr>
          <w:trHeight w:val="300"/>
        </w:trPr>
        <w:tc>
          <w:tcPr>
            <w:tcW w:w="1246" w:type="dxa"/>
            <w:shd w:val="clear" w:color="auto" w:fill="C6EFCE"/>
            <w:tcMar>
              <w:left w:w="108" w:type="dxa"/>
              <w:right w:w="108" w:type="dxa"/>
            </w:tcMar>
            <w:vAlign w:val="center"/>
          </w:tcPr>
          <w:p w14:paraId="1A33A17E" w14:textId="77777777" w:rsidR="00327FF1" w:rsidRDefault="00E406C7">
            <w:pPr>
              <w:pStyle w:val="P68B1DB1-Normal121"/>
              <w:spacing w:after="0" w:line="240" w:lineRule="auto"/>
              <w:jc w:val="center"/>
              <w:rPr>
                <w:noProof/>
              </w:rPr>
            </w:pPr>
            <w:r>
              <w:rPr>
                <w:noProof/>
              </w:rPr>
              <w:t>M1C2–15</w:t>
            </w:r>
          </w:p>
        </w:tc>
        <w:tc>
          <w:tcPr>
            <w:tcW w:w="3449" w:type="dxa"/>
            <w:shd w:val="clear" w:color="auto" w:fill="C6EFCE"/>
            <w:tcMar>
              <w:left w:w="108" w:type="dxa"/>
              <w:right w:w="108" w:type="dxa"/>
            </w:tcMar>
            <w:vAlign w:val="center"/>
          </w:tcPr>
          <w:p w14:paraId="49C72548" w14:textId="77777777" w:rsidR="00327FF1" w:rsidRDefault="00E406C7">
            <w:pPr>
              <w:pStyle w:val="P68B1DB1-Normal121"/>
              <w:spacing w:after="0" w:line="240" w:lineRule="auto"/>
              <w:rPr>
                <w:noProof/>
              </w:rPr>
            </w:pPr>
            <w:r>
              <w:rPr>
                <w:noProof/>
              </w:rPr>
              <w:t>Ieguldījums Nr. 2: Mikroelektronikas inovācija un tehnoloģija</w:t>
            </w:r>
          </w:p>
        </w:tc>
        <w:tc>
          <w:tcPr>
            <w:tcW w:w="1134" w:type="dxa"/>
            <w:shd w:val="clear" w:color="auto" w:fill="C6EFCE"/>
            <w:tcMar>
              <w:left w:w="108" w:type="dxa"/>
              <w:right w:w="108" w:type="dxa"/>
            </w:tcMar>
            <w:vAlign w:val="center"/>
          </w:tcPr>
          <w:p w14:paraId="77EE1212"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0338315B" w14:textId="77777777" w:rsidR="00327FF1" w:rsidRDefault="00E406C7">
            <w:pPr>
              <w:pStyle w:val="P68B1DB1-Normal121"/>
              <w:spacing w:after="0" w:line="240" w:lineRule="auto"/>
              <w:rPr>
                <w:noProof/>
              </w:rPr>
            </w:pPr>
            <w:r>
              <w:rPr>
                <w:noProof/>
              </w:rPr>
              <w:t>Silīcija karbīda substrātu ražošanas jauda</w:t>
            </w:r>
          </w:p>
        </w:tc>
      </w:tr>
      <w:tr w:rsidR="00327FF1" w14:paraId="4CF9B07A" w14:textId="77777777">
        <w:trPr>
          <w:trHeight w:val="300"/>
        </w:trPr>
        <w:tc>
          <w:tcPr>
            <w:tcW w:w="1246" w:type="dxa"/>
            <w:shd w:val="clear" w:color="auto" w:fill="C6EFCE"/>
            <w:tcMar>
              <w:left w:w="108" w:type="dxa"/>
              <w:right w:w="108" w:type="dxa"/>
            </w:tcMar>
            <w:vAlign w:val="center"/>
          </w:tcPr>
          <w:p w14:paraId="6FCA848B" w14:textId="77777777" w:rsidR="00327FF1" w:rsidRDefault="00E406C7">
            <w:pPr>
              <w:pStyle w:val="P68B1DB1-Normal121"/>
              <w:spacing w:after="0" w:line="240" w:lineRule="auto"/>
              <w:jc w:val="center"/>
              <w:rPr>
                <w:noProof/>
              </w:rPr>
            </w:pPr>
            <w:r>
              <w:rPr>
                <w:noProof/>
              </w:rPr>
              <w:t>M1C2–17</w:t>
            </w:r>
          </w:p>
        </w:tc>
        <w:tc>
          <w:tcPr>
            <w:tcW w:w="3449" w:type="dxa"/>
            <w:shd w:val="clear" w:color="auto" w:fill="C6EFCE"/>
            <w:tcMar>
              <w:left w:w="108" w:type="dxa"/>
              <w:right w:w="108" w:type="dxa"/>
            </w:tcMar>
            <w:vAlign w:val="center"/>
          </w:tcPr>
          <w:p w14:paraId="474BBD62" w14:textId="77777777" w:rsidR="00327FF1" w:rsidRDefault="00E406C7">
            <w:pPr>
              <w:pStyle w:val="P68B1DB1-Normal121"/>
              <w:spacing w:after="0" w:line="240" w:lineRule="auto"/>
              <w:rPr>
                <w:noProof/>
              </w:rPr>
            </w:pPr>
            <w:r>
              <w:rPr>
                <w:noProof/>
              </w:rPr>
              <w:t>Ieguldījums Nr. 3: Ātrs interneta pieslēgums (Ultra-Broadband un 5G)</w:t>
            </w:r>
          </w:p>
        </w:tc>
        <w:tc>
          <w:tcPr>
            <w:tcW w:w="1134" w:type="dxa"/>
            <w:shd w:val="clear" w:color="auto" w:fill="C6EFCE"/>
            <w:tcMar>
              <w:left w:w="108" w:type="dxa"/>
              <w:right w:w="108" w:type="dxa"/>
            </w:tcMar>
            <w:vAlign w:val="center"/>
          </w:tcPr>
          <w:p w14:paraId="3FAD403A"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7485D2EC" w14:textId="77777777" w:rsidR="00327FF1" w:rsidRDefault="00E406C7">
            <w:pPr>
              <w:pStyle w:val="P68B1DB1-Normal121"/>
              <w:spacing w:after="0" w:line="240" w:lineRule="auto"/>
              <w:rPr>
                <w:noProof/>
              </w:rPr>
            </w:pPr>
            <w:r>
              <w:rPr>
                <w:noProof/>
              </w:rPr>
              <w:t>Mājokļu numuri ar 1 Gb/s savienojamību</w:t>
            </w:r>
          </w:p>
        </w:tc>
      </w:tr>
      <w:tr w:rsidR="00327FF1" w14:paraId="511B510B" w14:textId="77777777">
        <w:trPr>
          <w:trHeight w:val="300"/>
        </w:trPr>
        <w:tc>
          <w:tcPr>
            <w:tcW w:w="1246" w:type="dxa"/>
            <w:shd w:val="clear" w:color="auto" w:fill="C6EFCE"/>
            <w:tcMar>
              <w:left w:w="108" w:type="dxa"/>
              <w:right w:w="108" w:type="dxa"/>
            </w:tcMar>
            <w:vAlign w:val="center"/>
          </w:tcPr>
          <w:p w14:paraId="21F42531" w14:textId="77777777" w:rsidR="00327FF1" w:rsidRDefault="00E406C7">
            <w:pPr>
              <w:pStyle w:val="P68B1DB1-Normal121"/>
              <w:spacing w:after="0" w:line="240" w:lineRule="auto"/>
              <w:jc w:val="center"/>
              <w:rPr>
                <w:noProof/>
              </w:rPr>
            </w:pPr>
            <w:r>
              <w:rPr>
                <w:noProof/>
              </w:rPr>
              <w:t>M1C2–18</w:t>
            </w:r>
          </w:p>
        </w:tc>
        <w:tc>
          <w:tcPr>
            <w:tcW w:w="3449" w:type="dxa"/>
            <w:shd w:val="clear" w:color="auto" w:fill="C6EFCE"/>
            <w:tcMar>
              <w:left w:w="108" w:type="dxa"/>
              <w:right w:w="108" w:type="dxa"/>
            </w:tcMar>
            <w:vAlign w:val="center"/>
          </w:tcPr>
          <w:p w14:paraId="2E439FB8" w14:textId="77777777" w:rsidR="00327FF1" w:rsidRDefault="00E406C7">
            <w:pPr>
              <w:pStyle w:val="P68B1DB1-Normal121"/>
              <w:spacing w:after="0" w:line="240" w:lineRule="auto"/>
              <w:rPr>
                <w:noProof/>
              </w:rPr>
            </w:pPr>
            <w:r>
              <w:rPr>
                <w:noProof/>
              </w:rPr>
              <w:t>Ieguldījums Nr. 3: Ātrs interneta pieslēgums (Ultra-Broadband un 5G)</w:t>
            </w:r>
          </w:p>
        </w:tc>
        <w:tc>
          <w:tcPr>
            <w:tcW w:w="1134" w:type="dxa"/>
            <w:shd w:val="clear" w:color="auto" w:fill="C6EFCE"/>
            <w:tcMar>
              <w:left w:w="108" w:type="dxa"/>
              <w:right w:w="108" w:type="dxa"/>
            </w:tcMar>
            <w:vAlign w:val="center"/>
          </w:tcPr>
          <w:p w14:paraId="7353244A"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57A431E7" w14:textId="77777777" w:rsidR="00327FF1" w:rsidRDefault="00E406C7">
            <w:pPr>
              <w:pStyle w:val="P68B1DB1-Normal121"/>
              <w:spacing w:after="0" w:line="240" w:lineRule="auto"/>
              <w:rPr>
                <w:noProof/>
              </w:rPr>
            </w:pPr>
            <w:r>
              <w:rPr>
                <w:noProof/>
              </w:rPr>
              <w:t>Skolu ēkas un veselības aprūpes iestādes ar 1 Gb/s</w:t>
            </w:r>
            <w:r>
              <w:rPr>
                <w:noProof/>
              </w:rPr>
              <w:t xml:space="preserve"> savienojamību</w:t>
            </w:r>
          </w:p>
        </w:tc>
      </w:tr>
      <w:tr w:rsidR="00327FF1" w14:paraId="5977F143" w14:textId="77777777">
        <w:trPr>
          <w:trHeight w:val="300"/>
        </w:trPr>
        <w:tc>
          <w:tcPr>
            <w:tcW w:w="1246" w:type="dxa"/>
            <w:shd w:val="clear" w:color="auto" w:fill="C6EFCE"/>
            <w:tcMar>
              <w:left w:w="108" w:type="dxa"/>
              <w:right w:w="108" w:type="dxa"/>
            </w:tcMar>
            <w:vAlign w:val="center"/>
          </w:tcPr>
          <w:p w14:paraId="200102F1" w14:textId="77777777" w:rsidR="00327FF1" w:rsidRDefault="00E406C7">
            <w:pPr>
              <w:pStyle w:val="P68B1DB1-Normal121"/>
              <w:spacing w:after="0" w:line="240" w:lineRule="auto"/>
              <w:jc w:val="center"/>
              <w:rPr>
                <w:noProof/>
              </w:rPr>
            </w:pPr>
            <w:r>
              <w:rPr>
                <w:noProof/>
              </w:rPr>
              <w:t>M1C2–20</w:t>
            </w:r>
          </w:p>
        </w:tc>
        <w:tc>
          <w:tcPr>
            <w:tcW w:w="3449" w:type="dxa"/>
            <w:shd w:val="clear" w:color="auto" w:fill="C6EFCE"/>
            <w:tcMar>
              <w:left w:w="108" w:type="dxa"/>
              <w:right w:w="108" w:type="dxa"/>
            </w:tcMar>
            <w:vAlign w:val="center"/>
          </w:tcPr>
          <w:p w14:paraId="61DA9943" w14:textId="77777777" w:rsidR="00327FF1" w:rsidRDefault="00E406C7">
            <w:pPr>
              <w:pStyle w:val="P68B1DB1-Normal121"/>
              <w:spacing w:after="0" w:line="240" w:lineRule="auto"/>
              <w:rPr>
                <w:noProof/>
              </w:rPr>
            </w:pPr>
            <w:r>
              <w:rPr>
                <w:noProof/>
              </w:rPr>
              <w:t>Ieguldījums Nr. 3: Ātrs interneta pieslēgums (Ultra-Broadband un 5G)</w:t>
            </w:r>
          </w:p>
        </w:tc>
        <w:tc>
          <w:tcPr>
            <w:tcW w:w="1134" w:type="dxa"/>
            <w:shd w:val="clear" w:color="auto" w:fill="C6EFCE"/>
            <w:tcMar>
              <w:left w:w="108" w:type="dxa"/>
              <w:right w:w="108" w:type="dxa"/>
            </w:tcMar>
            <w:vAlign w:val="center"/>
          </w:tcPr>
          <w:p w14:paraId="1A3684A5"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388B7799" w14:textId="77777777" w:rsidR="00327FF1" w:rsidRDefault="00E406C7">
            <w:pPr>
              <w:pStyle w:val="P68B1DB1-Normal121"/>
              <w:spacing w:after="0" w:line="240" w:lineRule="auto"/>
              <w:rPr>
                <w:noProof/>
              </w:rPr>
            </w:pPr>
            <w:r>
              <w:rPr>
                <w:noProof/>
              </w:rPr>
              <w:t>Ārpuspilsētas ceļi un koridori, kuros ir 5G pārklājums</w:t>
            </w:r>
          </w:p>
        </w:tc>
      </w:tr>
      <w:tr w:rsidR="00327FF1" w14:paraId="212E895D" w14:textId="77777777">
        <w:trPr>
          <w:trHeight w:val="300"/>
        </w:trPr>
        <w:tc>
          <w:tcPr>
            <w:tcW w:w="1246" w:type="dxa"/>
            <w:shd w:val="clear" w:color="auto" w:fill="C6EFCE"/>
            <w:tcMar>
              <w:left w:w="108" w:type="dxa"/>
              <w:right w:w="108" w:type="dxa"/>
            </w:tcMar>
            <w:vAlign w:val="center"/>
          </w:tcPr>
          <w:p w14:paraId="696F7885" w14:textId="77777777" w:rsidR="00327FF1" w:rsidRDefault="00E406C7">
            <w:pPr>
              <w:pStyle w:val="P68B1DB1-Normal121"/>
              <w:spacing w:after="0" w:line="240" w:lineRule="auto"/>
              <w:jc w:val="center"/>
              <w:rPr>
                <w:noProof/>
              </w:rPr>
            </w:pPr>
            <w:r>
              <w:rPr>
                <w:noProof/>
              </w:rPr>
              <w:t>M1C2–21</w:t>
            </w:r>
          </w:p>
        </w:tc>
        <w:tc>
          <w:tcPr>
            <w:tcW w:w="3449" w:type="dxa"/>
            <w:shd w:val="clear" w:color="auto" w:fill="C6EFCE"/>
            <w:tcMar>
              <w:left w:w="108" w:type="dxa"/>
              <w:right w:w="108" w:type="dxa"/>
            </w:tcMar>
            <w:vAlign w:val="center"/>
          </w:tcPr>
          <w:p w14:paraId="746F76B5" w14:textId="77777777" w:rsidR="00327FF1" w:rsidRDefault="00E406C7">
            <w:pPr>
              <w:pStyle w:val="P68B1DB1-Normal121"/>
              <w:spacing w:after="0" w:line="240" w:lineRule="auto"/>
              <w:rPr>
                <w:noProof/>
              </w:rPr>
            </w:pPr>
            <w:r>
              <w:rPr>
                <w:noProof/>
              </w:rPr>
              <w:t>Ieguldījums Nr. 3: Ātrs interneta pieslēgums (Ultra-Broadband un 5G)</w:t>
            </w:r>
          </w:p>
        </w:tc>
        <w:tc>
          <w:tcPr>
            <w:tcW w:w="1134" w:type="dxa"/>
            <w:shd w:val="clear" w:color="auto" w:fill="C6EFCE"/>
            <w:tcMar>
              <w:left w:w="108" w:type="dxa"/>
              <w:right w:w="108" w:type="dxa"/>
            </w:tcMar>
            <w:vAlign w:val="center"/>
          </w:tcPr>
          <w:p w14:paraId="7329E946"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29E71572" w14:textId="77777777" w:rsidR="00327FF1" w:rsidRDefault="00E406C7">
            <w:pPr>
              <w:pStyle w:val="P68B1DB1-Normal121"/>
              <w:spacing w:after="0" w:line="240" w:lineRule="auto"/>
              <w:rPr>
                <w:noProof/>
              </w:rPr>
            </w:pPr>
            <w:r>
              <w:rPr>
                <w:noProof/>
              </w:rPr>
              <w:t xml:space="preserve">Tirgus nepilnību </w:t>
            </w:r>
            <w:r>
              <w:rPr>
                <w:noProof/>
              </w:rPr>
              <w:t>jomas, kurās ir 5G pārklājums</w:t>
            </w:r>
          </w:p>
        </w:tc>
      </w:tr>
      <w:tr w:rsidR="00327FF1" w14:paraId="4FD531CA" w14:textId="77777777">
        <w:trPr>
          <w:trHeight w:val="300"/>
        </w:trPr>
        <w:tc>
          <w:tcPr>
            <w:tcW w:w="1246" w:type="dxa"/>
            <w:shd w:val="clear" w:color="auto" w:fill="C6EFCE"/>
            <w:tcMar>
              <w:left w:w="108" w:type="dxa"/>
              <w:right w:w="108" w:type="dxa"/>
            </w:tcMar>
            <w:vAlign w:val="center"/>
          </w:tcPr>
          <w:p w14:paraId="11586B30" w14:textId="77777777" w:rsidR="00327FF1" w:rsidRDefault="00E406C7">
            <w:pPr>
              <w:pStyle w:val="P68B1DB1-Normal121"/>
              <w:spacing w:after="0" w:line="240" w:lineRule="auto"/>
              <w:jc w:val="center"/>
              <w:rPr>
                <w:noProof/>
              </w:rPr>
            </w:pPr>
            <w:r>
              <w:rPr>
                <w:noProof/>
              </w:rPr>
              <w:t>M1C3–21</w:t>
            </w:r>
          </w:p>
        </w:tc>
        <w:tc>
          <w:tcPr>
            <w:tcW w:w="3449" w:type="dxa"/>
            <w:shd w:val="clear" w:color="auto" w:fill="C6EFCE"/>
            <w:tcMar>
              <w:left w:w="108" w:type="dxa"/>
              <w:right w:w="108" w:type="dxa"/>
            </w:tcMar>
            <w:vAlign w:val="center"/>
          </w:tcPr>
          <w:p w14:paraId="0814BEF9" w14:textId="77777777" w:rsidR="00327FF1" w:rsidRDefault="00E406C7">
            <w:pPr>
              <w:pStyle w:val="P68B1DB1-Normal121"/>
              <w:spacing w:after="0" w:line="240" w:lineRule="auto"/>
              <w:rPr>
                <w:noProof/>
              </w:rPr>
            </w:pPr>
            <w:r>
              <w:rPr>
                <w:noProof/>
              </w:rPr>
              <w:t>Investīcija Nr. 3.2. Kino industrijas attīstība (projekts “Cinecittà”)</w:t>
            </w:r>
          </w:p>
        </w:tc>
        <w:tc>
          <w:tcPr>
            <w:tcW w:w="1134" w:type="dxa"/>
            <w:shd w:val="clear" w:color="auto" w:fill="C6EFCE"/>
            <w:tcMar>
              <w:left w:w="108" w:type="dxa"/>
              <w:right w:w="108" w:type="dxa"/>
            </w:tcMar>
            <w:vAlign w:val="center"/>
          </w:tcPr>
          <w:p w14:paraId="1EEF0238"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5234D4D1" w14:textId="77777777" w:rsidR="00327FF1" w:rsidRDefault="00E406C7">
            <w:pPr>
              <w:pStyle w:val="P68B1DB1-Normal121"/>
              <w:spacing w:after="0" w:line="240" w:lineRule="auto"/>
              <w:rPr>
                <w:noProof/>
              </w:rPr>
            </w:pPr>
            <w:r>
              <w:rPr>
                <w:noProof/>
              </w:rPr>
              <w:t>Uzbūvēto vai renovēto studiju skaits</w:t>
            </w:r>
          </w:p>
        </w:tc>
      </w:tr>
      <w:tr w:rsidR="00327FF1" w14:paraId="32CE3766" w14:textId="77777777">
        <w:trPr>
          <w:trHeight w:val="300"/>
        </w:trPr>
        <w:tc>
          <w:tcPr>
            <w:tcW w:w="1246" w:type="dxa"/>
            <w:shd w:val="clear" w:color="auto" w:fill="C6EFCE"/>
            <w:tcMar>
              <w:left w:w="108" w:type="dxa"/>
              <w:right w:w="108" w:type="dxa"/>
            </w:tcMar>
            <w:vAlign w:val="center"/>
          </w:tcPr>
          <w:p w14:paraId="40E3E062" w14:textId="77777777" w:rsidR="00327FF1" w:rsidRDefault="00E406C7">
            <w:pPr>
              <w:pStyle w:val="P68B1DB1-Normal121"/>
              <w:spacing w:after="0" w:line="240" w:lineRule="auto"/>
              <w:jc w:val="center"/>
              <w:rPr>
                <w:noProof/>
              </w:rPr>
            </w:pPr>
            <w:r>
              <w:rPr>
                <w:noProof/>
              </w:rPr>
              <w:t>M1C3–36</w:t>
            </w:r>
          </w:p>
        </w:tc>
        <w:tc>
          <w:tcPr>
            <w:tcW w:w="3449" w:type="dxa"/>
            <w:shd w:val="clear" w:color="auto" w:fill="C6EFCE"/>
            <w:tcMar>
              <w:left w:w="108" w:type="dxa"/>
              <w:right w:w="108" w:type="dxa"/>
            </w:tcMar>
            <w:vAlign w:val="center"/>
          </w:tcPr>
          <w:p w14:paraId="0123ECD1" w14:textId="77777777" w:rsidR="00327FF1" w:rsidRDefault="00E406C7">
            <w:pPr>
              <w:pStyle w:val="P68B1DB1-Normal121"/>
              <w:spacing w:after="0" w:line="240" w:lineRule="auto"/>
              <w:rPr>
                <w:noProof/>
              </w:rPr>
            </w:pPr>
            <w:r>
              <w:rPr>
                <w:noProof/>
              </w:rPr>
              <w:t>Ieguldījumi — 4.3. Caput Mundi-Next Generation EU tūrisma lieliskiem pasākumiem</w:t>
            </w:r>
          </w:p>
        </w:tc>
        <w:tc>
          <w:tcPr>
            <w:tcW w:w="1134" w:type="dxa"/>
            <w:shd w:val="clear" w:color="auto" w:fill="C6EFCE"/>
            <w:tcMar>
              <w:left w:w="108" w:type="dxa"/>
              <w:right w:w="108" w:type="dxa"/>
            </w:tcMar>
            <w:vAlign w:val="center"/>
          </w:tcPr>
          <w:p w14:paraId="5A40BFE7"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010EE0AF" w14:textId="77777777" w:rsidR="00327FF1" w:rsidRDefault="00E406C7">
            <w:pPr>
              <w:pStyle w:val="P68B1DB1-Normal121"/>
              <w:spacing w:after="0" w:line="240" w:lineRule="auto"/>
              <w:rPr>
                <w:noProof/>
              </w:rPr>
            </w:pPr>
            <w:r>
              <w:rPr>
                <w:noProof/>
              </w:rPr>
              <w:t xml:space="preserve">Intervences pasākumu skaits kultūras un tūrisma objektos </w:t>
            </w:r>
          </w:p>
        </w:tc>
      </w:tr>
      <w:tr w:rsidR="00327FF1" w14:paraId="1196D524" w14:textId="77777777">
        <w:trPr>
          <w:trHeight w:val="300"/>
        </w:trPr>
        <w:tc>
          <w:tcPr>
            <w:tcW w:w="1246" w:type="dxa"/>
            <w:shd w:val="clear" w:color="auto" w:fill="C6EFCE"/>
            <w:tcMar>
              <w:left w:w="108" w:type="dxa"/>
              <w:right w:w="108" w:type="dxa"/>
            </w:tcMar>
            <w:vAlign w:val="center"/>
          </w:tcPr>
          <w:p w14:paraId="2C3002C6" w14:textId="77777777" w:rsidR="00327FF1" w:rsidRDefault="00E406C7">
            <w:pPr>
              <w:pStyle w:val="P68B1DB1-Normal121"/>
              <w:spacing w:after="0" w:line="240" w:lineRule="auto"/>
              <w:jc w:val="center"/>
              <w:rPr>
                <w:noProof/>
              </w:rPr>
            </w:pPr>
            <w:r>
              <w:rPr>
                <w:noProof/>
              </w:rPr>
              <w:t>M2C1–16</w:t>
            </w:r>
          </w:p>
        </w:tc>
        <w:tc>
          <w:tcPr>
            <w:tcW w:w="3449" w:type="dxa"/>
            <w:shd w:val="clear" w:color="auto" w:fill="C6EFCE"/>
            <w:tcMar>
              <w:left w:w="108" w:type="dxa"/>
              <w:right w:w="108" w:type="dxa"/>
            </w:tcMar>
            <w:vAlign w:val="center"/>
          </w:tcPr>
          <w:p w14:paraId="48E7262E" w14:textId="77777777" w:rsidR="00327FF1" w:rsidRDefault="00E406C7">
            <w:pPr>
              <w:pStyle w:val="P68B1DB1-Normal121"/>
              <w:spacing w:after="0" w:line="240" w:lineRule="auto"/>
              <w:rPr>
                <w:noProof/>
              </w:rPr>
            </w:pPr>
            <w:r>
              <w:rPr>
                <w:noProof/>
              </w:rPr>
              <w:t xml:space="preserve">  Investīcija 1.1. — Jaunu atkritumu apsaimniekošanas iekārtu ieviešana un esošo iekārtu modernizācija</w:t>
            </w:r>
          </w:p>
        </w:tc>
        <w:tc>
          <w:tcPr>
            <w:tcW w:w="1134" w:type="dxa"/>
            <w:shd w:val="clear" w:color="auto" w:fill="C6EFCE"/>
            <w:tcMar>
              <w:left w:w="108" w:type="dxa"/>
              <w:right w:w="108" w:type="dxa"/>
            </w:tcMar>
            <w:vAlign w:val="center"/>
          </w:tcPr>
          <w:p w14:paraId="66B09667"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1F86CDEE" w14:textId="77777777" w:rsidR="00327FF1" w:rsidRDefault="00E406C7">
            <w:pPr>
              <w:pStyle w:val="P68B1DB1-Normal121"/>
              <w:spacing w:after="0" w:line="240" w:lineRule="auto"/>
              <w:rPr>
                <w:noProof/>
              </w:rPr>
            </w:pPr>
            <w:r>
              <w:rPr>
                <w:noProof/>
              </w:rPr>
              <w:t>Neregulāri atkritumu poligoni</w:t>
            </w:r>
          </w:p>
        </w:tc>
      </w:tr>
      <w:tr w:rsidR="00327FF1" w14:paraId="2962EB70" w14:textId="77777777">
        <w:trPr>
          <w:trHeight w:val="300"/>
        </w:trPr>
        <w:tc>
          <w:tcPr>
            <w:tcW w:w="1246" w:type="dxa"/>
            <w:shd w:val="clear" w:color="auto" w:fill="C6EFCE"/>
            <w:tcMar>
              <w:left w:w="108" w:type="dxa"/>
              <w:right w:w="108" w:type="dxa"/>
            </w:tcMar>
            <w:vAlign w:val="center"/>
          </w:tcPr>
          <w:p w14:paraId="627B89F6" w14:textId="77777777" w:rsidR="00327FF1" w:rsidRDefault="00E406C7">
            <w:pPr>
              <w:pStyle w:val="P68B1DB1-Normal121"/>
              <w:spacing w:after="0" w:line="240" w:lineRule="auto"/>
              <w:jc w:val="center"/>
              <w:rPr>
                <w:noProof/>
              </w:rPr>
            </w:pPr>
            <w:r>
              <w:rPr>
                <w:noProof/>
              </w:rPr>
              <w:t>M2C1–19</w:t>
            </w:r>
          </w:p>
        </w:tc>
        <w:tc>
          <w:tcPr>
            <w:tcW w:w="3449" w:type="dxa"/>
            <w:shd w:val="clear" w:color="auto" w:fill="C6EFCE"/>
            <w:tcMar>
              <w:left w:w="108" w:type="dxa"/>
              <w:right w:w="108" w:type="dxa"/>
            </w:tcMar>
            <w:vAlign w:val="center"/>
          </w:tcPr>
          <w:p w14:paraId="386891F0" w14:textId="77777777" w:rsidR="00327FF1" w:rsidRDefault="00E406C7">
            <w:pPr>
              <w:pStyle w:val="P68B1DB1-Normal121"/>
              <w:spacing w:after="0" w:line="240" w:lineRule="auto"/>
              <w:rPr>
                <w:noProof/>
              </w:rPr>
            </w:pPr>
            <w:r>
              <w:rPr>
                <w:noProof/>
              </w:rPr>
              <w:t>Investīcija Nr. 3.1: Zaļās salas</w:t>
            </w:r>
          </w:p>
        </w:tc>
        <w:tc>
          <w:tcPr>
            <w:tcW w:w="1134" w:type="dxa"/>
            <w:shd w:val="clear" w:color="auto" w:fill="C6EFCE"/>
            <w:tcMar>
              <w:left w:w="108" w:type="dxa"/>
              <w:right w:w="108" w:type="dxa"/>
            </w:tcMar>
            <w:vAlign w:val="center"/>
          </w:tcPr>
          <w:p w14:paraId="1EB3696C"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63E027C7" w14:textId="77777777" w:rsidR="00327FF1" w:rsidRDefault="00E406C7">
            <w:pPr>
              <w:pStyle w:val="P68B1DB1-Normal121"/>
              <w:spacing w:after="0" w:line="240" w:lineRule="auto"/>
              <w:rPr>
                <w:noProof/>
              </w:rPr>
            </w:pPr>
            <w:r>
              <w:rPr>
                <w:noProof/>
              </w:rPr>
              <w:t>Integrēto projektu īstenošana mazās salās</w:t>
            </w:r>
          </w:p>
        </w:tc>
      </w:tr>
      <w:tr w:rsidR="00327FF1" w14:paraId="4336EB20" w14:textId="77777777">
        <w:trPr>
          <w:trHeight w:val="300"/>
        </w:trPr>
        <w:tc>
          <w:tcPr>
            <w:tcW w:w="1246" w:type="dxa"/>
            <w:shd w:val="clear" w:color="auto" w:fill="C6EFCE"/>
            <w:tcMar>
              <w:left w:w="108" w:type="dxa"/>
              <w:right w:w="108" w:type="dxa"/>
            </w:tcMar>
            <w:vAlign w:val="center"/>
          </w:tcPr>
          <w:p w14:paraId="52EF01FA" w14:textId="77777777" w:rsidR="00327FF1" w:rsidRDefault="00E406C7">
            <w:pPr>
              <w:pStyle w:val="P68B1DB1-Normal121"/>
              <w:spacing w:after="0" w:line="240" w:lineRule="auto"/>
              <w:jc w:val="center"/>
              <w:rPr>
                <w:noProof/>
              </w:rPr>
            </w:pPr>
            <w:r>
              <w:rPr>
                <w:noProof/>
              </w:rPr>
              <w:t>M2C1–21</w:t>
            </w:r>
          </w:p>
        </w:tc>
        <w:tc>
          <w:tcPr>
            <w:tcW w:w="3449" w:type="dxa"/>
            <w:shd w:val="clear" w:color="auto" w:fill="C6EFCE"/>
            <w:tcMar>
              <w:left w:w="108" w:type="dxa"/>
              <w:right w:w="108" w:type="dxa"/>
            </w:tcMar>
            <w:vAlign w:val="center"/>
          </w:tcPr>
          <w:p w14:paraId="362BA8F1" w14:textId="77777777" w:rsidR="00327FF1" w:rsidRDefault="00E406C7">
            <w:pPr>
              <w:pStyle w:val="P68B1DB1-Normal121"/>
              <w:spacing w:after="0" w:line="240" w:lineRule="auto"/>
              <w:rPr>
                <w:noProof/>
              </w:rPr>
            </w:pPr>
            <w:r>
              <w:rPr>
                <w:noProof/>
              </w:rPr>
              <w:t>“Investīcija Nr. 3.2. Zaļās kopienas</w:t>
            </w:r>
          </w:p>
        </w:tc>
        <w:tc>
          <w:tcPr>
            <w:tcW w:w="1134" w:type="dxa"/>
            <w:shd w:val="clear" w:color="auto" w:fill="C6EFCE"/>
            <w:tcMar>
              <w:left w:w="108" w:type="dxa"/>
              <w:right w:w="108" w:type="dxa"/>
            </w:tcMar>
            <w:vAlign w:val="center"/>
          </w:tcPr>
          <w:p w14:paraId="43FCE637"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58189C74" w14:textId="77777777" w:rsidR="00327FF1" w:rsidRDefault="00E406C7">
            <w:pPr>
              <w:pStyle w:val="P68B1DB1-Normal121"/>
              <w:spacing w:after="0" w:line="240" w:lineRule="auto"/>
              <w:rPr>
                <w:noProof/>
              </w:rPr>
            </w:pPr>
            <w:r>
              <w:rPr>
                <w:noProof/>
              </w:rPr>
              <w:t>Īstenošanas projekti zaļajās kopienās</w:t>
            </w:r>
          </w:p>
        </w:tc>
      </w:tr>
      <w:tr w:rsidR="00327FF1" w14:paraId="31EE0673" w14:textId="77777777">
        <w:trPr>
          <w:trHeight w:val="300"/>
        </w:trPr>
        <w:tc>
          <w:tcPr>
            <w:tcW w:w="1246" w:type="dxa"/>
            <w:shd w:val="clear" w:color="auto" w:fill="C6EFCE"/>
            <w:tcMar>
              <w:left w:w="108" w:type="dxa"/>
              <w:right w:w="108" w:type="dxa"/>
            </w:tcMar>
            <w:vAlign w:val="center"/>
          </w:tcPr>
          <w:p w14:paraId="2CE7146D" w14:textId="77777777" w:rsidR="00327FF1" w:rsidRDefault="00E406C7">
            <w:pPr>
              <w:pStyle w:val="P68B1DB1-Normal121"/>
              <w:spacing w:after="0" w:line="240" w:lineRule="auto"/>
              <w:jc w:val="center"/>
              <w:rPr>
                <w:noProof/>
              </w:rPr>
            </w:pPr>
            <w:r>
              <w:rPr>
                <w:noProof/>
              </w:rPr>
              <w:t>M2C1–24</w:t>
            </w:r>
          </w:p>
        </w:tc>
        <w:tc>
          <w:tcPr>
            <w:tcW w:w="3449" w:type="dxa"/>
            <w:shd w:val="clear" w:color="auto" w:fill="C6EFCE"/>
            <w:tcMar>
              <w:left w:w="108" w:type="dxa"/>
              <w:right w:w="108" w:type="dxa"/>
            </w:tcMar>
            <w:vAlign w:val="center"/>
          </w:tcPr>
          <w:p w14:paraId="38075F5B" w14:textId="77777777" w:rsidR="00327FF1" w:rsidRDefault="00E406C7">
            <w:pPr>
              <w:pStyle w:val="P68B1DB1-Normal121"/>
              <w:spacing w:after="0" w:line="240" w:lineRule="auto"/>
              <w:rPr>
                <w:noProof/>
              </w:rPr>
            </w:pPr>
            <w:r>
              <w:rPr>
                <w:noProof/>
              </w:rPr>
              <w:t xml:space="preserve">Investīcija 3.4: Fondo Contratti di Filiera (FCF), lai atbalstītu piegādes ķēžu līgumus lauksaimniecības pārtikas, </w:t>
            </w:r>
            <w:r>
              <w:rPr>
                <w:noProof/>
              </w:rPr>
              <w:t>zvejniecības un akvakultūras, mežsaimniecības, puķkopības un stādaudzētavas nozarē</w:t>
            </w:r>
          </w:p>
        </w:tc>
        <w:tc>
          <w:tcPr>
            <w:tcW w:w="1134" w:type="dxa"/>
            <w:shd w:val="clear" w:color="auto" w:fill="C6EFCE"/>
            <w:tcMar>
              <w:left w:w="108" w:type="dxa"/>
              <w:right w:w="108" w:type="dxa"/>
            </w:tcMar>
            <w:vAlign w:val="center"/>
          </w:tcPr>
          <w:p w14:paraId="0DE20406"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32C1051D" w14:textId="77777777" w:rsidR="00327FF1" w:rsidRDefault="00E406C7">
            <w:pPr>
              <w:pStyle w:val="P68B1DB1-Normal121"/>
              <w:spacing w:after="0" w:line="240" w:lineRule="auto"/>
              <w:rPr>
                <w:noProof/>
              </w:rPr>
            </w:pPr>
            <w:r>
              <w:rPr>
                <w:noProof/>
              </w:rPr>
              <w:t>Juridiski nolīgumi ar galīgajiem saņēmējiem</w:t>
            </w:r>
          </w:p>
        </w:tc>
      </w:tr>
      <w:tr w:rsidR="00327FF1" w14:paraId="24D04C0C" w14:textId="77777777">
        <w:trPr>
          <w:trHeight w:val="300"/>
        </w:trPr>
        <w:tc>
          <w:tcPr>
            <w:tcW w:w="1246" w:type="dxa"/>
            <w:shd w:val="clear" w:color="auto" w:fill="C6EFCE"/>
            <w:tcMar>
              <w:left w:w="108" w:type="dxa"/>
              <w:right w:w="108" w:type="dxa"/>
            </w:tcMar>
            <w:vAlign w:val="center"/>
          </w:tcPr>
          <w:p w14:paraId="137A263F" w14:textId="77777777" w:rsidR="00327FF1" w:rsidRDefault="00E406C7">
            <w:pPr>
              <w:pStyle w:val="P68B1DB1-Normal121"/>
              <w:spacing w:after="0" w:line="240" w:lineRule="auto"/>
              <w:jc w:val="center"/>
              <w:rPr>
                <w:noProof/>
              </w:rPr>
            </w:pPr>
            <w:r>
              <w:rPr>
                <w:noProof/>
              </w:rPr>
              <w:t>M2C2–5</w:t>
            </w:r>
          </w:p>
        </w:tc>
        <w:tc>
          <w:tcPr>
            <w:tcW w:w="3449" w:type="dxa"/>
            <w:shd w:val="clear" w:color="auto" w:fill="C6EFCE"/>
            <w:tcMar>
              <w:left w:w="108" w:type="dxa"/>
              <w:right w:w="108" w:type="dxa"/>
            </w:tcMar>
            <w:vAlign w:val="center"/>
          </w:tcPr>
          <w:p w14:paraId="501A08C4" w14:textId="77777777" w:rsidR="00327FF1" w:rsidRDefault="00E406C7">
            <w:pPr>
              <w:pStyle w:val="P68B1DB1-Normal121"/>
              <w:spacing w:after="0" w:line="240" w:lineRule="auto"/>
              <w:rPr>
                <w:noProof/>
              </w:rPr>
            </w:pPr>
            <w:r>
              <w:rPr>
                <w:noProof/>
              </w:rPr>
              <w:t>Investīcija 1.4. Biometāna attīstība saskaņā ar aprites ekonomikas veicināšanas kritērijiem</w:t>
            </w:r>
          </w:p>
        </w:tc>
        <w:tc>
          <w:tcPr>
            <w:tcW w:w="1134" w:type="dxa"/>
            <w:shd w:val="clear" w:color="auto" w:fill="C6EFCE"/>
            <w:tcMar>
              <w:left w:w="108" w:type="dxa"/>
              <w:right w:w="108" w:type="dxa"/>
            </w:tcMar>
            <w:vAlign w:val="center"/>
          </w:tcPr>
          <w:p w14:paraId="11CF24CB" w14:textId="77777777"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52C32E33" w14:textId="77777777" w:rsidR="00327FF1" w:rsidRDefault="00E406C7">
            <w:pPr>
              <w:pStyle w:val="P68B1DB1-Normal121"/>
              <w:spacing w:after="0" w:line="240" w:lineRule="auto"/>
              <w:rPr>
                <w:noProof/>
              </w:rPr>
            </w:pPr>
            <w:r>
              <w:rPr>
                <w:noProof/>
              </w:rPr>
              <w:t>Īsteno</w:t>
            </w:r>
            <w:r>
              <w:rPr>
                <w:noProof/>
              </w:rPr>
              <w:t xml:space="preserve">šanas nolīgums, ar galīgajiem saņēmējiem parakstītie juridiskie nolīgumi un ieguldījumu pabeigšana </w:t>
            </w:r>
          </w:p>
        </w:tc>
      </w:tr>
      <w:tr w:rsidR="00327FF1" w14:paraId="2CB00E77" w14:textId="77777777">
        <w:trPr>
          <w:trHeight w:val="300"/>
        </w:trPr>
        <w:tc>
          <w:tcPr>
            <w:tcW w:w="1246" w:type="dxa"/>
            <w:shd w:val="clear" w:color="auto" w:fill="C6EFCE"/>
            <w:tcMar>
              <w:left w:w="108" w:type="dxa"/>
              <w:right w:w="108" w:type="dxa"/>
            </w:tcMar>
            <w:vAlign w:val="center"/>
          </w:tcPr>
          <w:p w14:paraId="660222F4" w14:textId="77777777" w:rsidR="00327FF1" w:rsidRDefault="00E406C7">
            <w:pPr>
              <w:pStyle w:val="P68B1DB1-Normal121"/>
              <w:spacing w:after="0" w:line="240" w:lineRule="auto"/>
              <w:jc w:val="center"/>
              <w:rPr>
                <w:noProof/>
              </w:rPr>
            </w:pPr>
            <w:r>
              <w:rPr>
                <w:noProof/>
              </w:rPr>
              <w:t>M2C2–17</w:t>
            </w:r>
          </w:p>
        </w:tc>
        <w:tc>
          <w:tcPr>
            <w:tcW w:w="3449" w:type="dxa"/>
            <w:shd w:val="clear" w:color="auto" w:fill="C6EFCE"/>
            <w:tcMar>
              <w:left w:w="108" w:type="dxa"/>
              <w:right w:w="108" w:type="dxa"/>
            </w:tcMar>
            <w:vAlign w:val="center"/>
          </w:tcPr>
          <w:p w14:paraId="7B03C620" w14:textId="77777777" w:rsidR="00327FF1" w:rsidRDefault="00E406C7">
            <w:pPr>
              <w:pStyle w:val="P68B1DB1-Normal121"/>
              <w:spacing w:after="0" w:line="240" w:lineRule="auto"/>
              <w:rPr>
                <w:noProof/>
              </w:rPr>
            </w:pPr>
            <w:r>
              <w:rPr>
                <w:noProof/>
              </w:rPr>
              <w:t xml:space="preserve">Investīcija 3.4. Ūdeņraža testēšana dzelzceļa mobilitātē un autotransportā </w:t>
            </w:r>
          </w:p>
        </w:tc>
        <w:tc>
          <w:tcPr>
            <w:tcW w:w="1134" w:type="dxa"/>
            <w:shd w:val="clear" w:color="auto" w:fill="C6EFCE"/>
            <w:tcMar>
              <w:left w:w="108" w:type="dxa"/>
              <w:right w:w="108" w:type="dxa"/>
            </w:tcMar>
            <w:vAlign w:val="center"/>
          </w:tcPr>
          <w:p w14:paraId="5AD4B182"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2CAABA0B" w14:textId="77777777" w:rsidR="00327FF1" w:rsidRDefault="00E406C7">
            <w:pPr>
              <w:pStyle w:val="P68B1DB1-Normal121"/>
              <w:spacing w:after="0" w:line="240" w:lineRule="auto"/>
              <w:rPr>
                <w:noProof/>
              </w:rPr>
            </w:pPr>
            <w:r>
              <w:rPr>
                <w:noProof/>
              </w:rPr>
              <w:t xml:space="preserve">Uzbūvēto ūdeņraža uzpildes staciju skaits </w:t>
            </w:r>
          </w:p>
        </w:tc>
      </w:tr>
      <w:tr w:rsidR="00327FF1" w14:paraId="44EFDD55" w14:textId="77777777">
        <w:trPr>
          <w:trHeight w:val="300"/>
        </w:trPr>
        <w:tc>
          <w:tcPr>
            <w:tcW w:w="1246" w:type="dxa"/>
            <w:shd w:val="clear" w:color="auto" w:fill="C6EFCE"/>
            <w:tcMar>
              <w:left w:w="108" w:type="dxa"/>
              <w:right w:w="108" w:type="dxa"/>
            </w:tcMar>
            <w:vAlign w:val="center"/>
          </w:tcPr>
          <w:p w14:paraId="7927B63B" w14:textId="77777777" w:rsidR="00327FF1" w:rsidRDefault="00E406C7">
            <w:pPr>
              <w:pStyle w:val="P68B1DB1-Normal121"/>
              <w:spacing w:after="0" w:line="240" w:lineRule="auto"/>
              <w:jc w:val="center"/>
              <w:rPr>
                <w:noProof/>
              </w:rPr>
            </w:pPr>
            <w:r>
              <w:rPr>
                <w:noProof/>
              </w:rPr>
              <w:t>M2C2–19</w:t>
            </w:r>
          </w:p>
        </w:tc>
        <w:tc>
          <w:tcPr>
            <w:tcW w:w="3449" w:type="dxa"/>
            <w:shd w:val="clear" w:color="auto" w:fill="C6EFCE"/>
            <w:tcMar>
              <w:left w:w="108" w:type="dxa"/>
              <w:right w:w="108" w:type="dxa"/>
            </w:tcMar>
            <w:vAlign w:val="center"/>
          </w:tcPr>
          <w:p w14:paraId="0386EED2" w14:textId="77777777" w:rsidR="00327FF1" w:rsidRDefault="00E406C7">
            <w:pPr>
              <w:pStyle w:val="P68B1DB1-Normal121"/>
              <w:spacing w:after="0" w:line="240" w:lineRule="auto"/>
              <w:rPr>
                <w:noProof/>
              </w:rPr>
            </w:pPr>
            <w:r>
              <w:rPr>
                <w:noProof/>
              </w:rPr>
              <w:t xml:space="preserve">Investīcija </w:t>
            </w:r>
            <w:r>
              <w:rPr>
                <w:noProof/>
              </w:rPr>
              <w:t>3.5. Ūdeņraža pētniecība un izstrāde</w:t>
            </w:r>
          </w:p>
        </w:tc>
        <w:tc>
          <w:tcPr>
            <w:tcW w:w="1134" w:type="dxa"/>
            <w:shd w:val="clear" w:color="auto" w:fill="C6EFCE"/>
            <w:tcMar>
              <w:left w:w="108" w:type="dxa"/>
              <w:right w:w="108" w:type="dxa"/>
            </w:tcMar>
            <w:vAlign w:val="center"/>
          </w:tcPr>
          <w:p w14:paraId="6A84ABA7"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7EBA1CCD" w14:textId="77777777" w:rsidR="00327FF1" w:rsidRDefault="00E406C7">
            <w:pPr>
              <w:pStyle w:val="P68B1DB1-Normal121"/>
              <w:spacing w:after="0" w:line="240" w:lineRule="auto"/>
              <w:rPr>
                <w:noProof/>
              </w:rPr>
            </w:pPr>
            <w:r>
              <w:rPr>
                <w:noProof/>
              </w:rPr>
              <w:t>Ūdeņraža pētniecības un izstrādes projektu skaits</w:t>
            </w:r>
          </w:p>
        </w:tc>
      </w:tr>
      <w:tr w:rsidR="00327FF1" w14:paraId="0572EFB5" w14:textId="77777777">
        <w:trPr>
          <w:trHeight w:val="300"/>
        </w:trPr>
        <w:tc>
          <w:tcPr>
            <w:tcW w:w="1246" w:type="dxa"/>
            <w:shd w:val="clear" w:color="auto" w:fill="C6EFCE"/>
            <w:tcMar>
              <w:left w:w="108" w:type="dxa"/>
              <w:right w:w="108" w:type="dxa"/>
            </w:tcMar>
            <w:vAlign w:val="center"/>
          </w:tcPr>
          <w:p w14:paraId="410ADF45" w14:textId="77777777" w:rsidR="00327FF1" w:rsidRDefault="00E406C7">
            <w:pPr>
              <w:pStyle w:val="P68B1DB1-Normal121"/>
              <w:spacing w:after="0" w:line="240" w:lineRule="auto"/>
              <w:jc w:val="center"/>
              <w:rPr>
                <w:noProof/>
              </w:rPr>
            </w:pPr>
            <w:r>
              <w:rPr>
                <w:noProof/>
              </w:rPr>
              <w:t>M2C2–26</w:t>
            </w:r>
          </w:p>
        </w:tc>
        <w:tc>
          <w:tcPr>
            <w:tcW w:w="3449" w:type="dxa"/>
            <w:shd w:val="clear" w:color="auto" w:fill="C6EFCE"/>
            <w:tcMar>
              <w:left w:w="108" w:type="dxa"/>
              <w:right w:w="108" w:type="dxa"/>
            </w:tcMar>
            <w:vAlign w:val="center"/>
          </w:tcPr>
          <w:p w14:paraId="5924284A" w14:textId="77777777" w:rsidR="00327FF1" w:rsidRDefault="00E406C7">
            <w:pPr>
              <w:pStyle w:val="P68B1DB1-Normal121"/>
              <w:spacing w:after="0" w:line="240" w:lineRule="auto"/>
              <w:rPr>
                <w:noProof/>
              </w:rPr>
            </w:pPr>
            <w:r>
              <w:rPr>
                <w:noProof/>
              </w:rPr>
              <w:t xml:space="preserve">Investīcija 4.2. Ātrā masu transporta sistēmu attīstība </w:t>
            </w:r>
          </w:p>
        </w:tc>
        <w:tc>
          <w:tcPr>
            <w:tcW w:w="1134" w:type="dxa"/>
            <w:shd w:val="clear" w:color="auto" w:fill="C6EFCE"/>
            <w:tcMar>
              <w:left w:w="108" w:type="dxa"/>
              <w:right w:w="108" w:type="dxa"/>
            </w:tcMar>
            <w:vAlign w:val="center"/>
          </w:tcPr>
          <w:p w14:paraId="5B2A90FF" w14:textId="77777777"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0B0978FB" w14:textId="77777777" w:rsidR="00327FF1" w:rsidRDefault="00E406C7">
            <w:pPr>
              <w:pStyle w:val="P68B1DB1-Normal121"/>
              <w:spacing w:after="0" w:line="240" w:lineRule="auto"/>
              <w:rPr>
                <w:noProof/>
              </w:rPr>
            </w:pPr>
            <w:r>
              <w:rPr>
                <w:noProof/>
              </w:rPr>
              <w:t>Uzbūvēta vai modernizēta publiskā infrastruktūra ātrai masu transporta attīstība</w:t>
            </w:r>
            <w:r>
              <w:rPr>
                <w:noProof/>
              </w:rPr>
              <w:t xml:space="preserve">i, iegādātais ritošais sastāvs </w:t>
            </w:r>
          </w:p>
        </w:tc>
      </w:tr>
      <w:tr w:rsidR="00327FF1" w14:paraId="6D0406AA" w14:textId="77777777">
        <w:trPr>
          <w:trHeight w:val="300"/>
        </w:trPr>
        <w:tc>
          <w:tcPr>
            <w:tcW w:w="1246" w:type="dxa"/>
            <w:shd w:val="clear" w:color="auto" w:fill="C6EFCE"/>
            <w:tcMar>
              <w:left w:w="108" w:type="dxa"/>
              <w:right w:w="108" w:type="dxa"/>
            </w:tcMar>
            <w:vAlign w:val="center"/>
          </w:tcPr>
          <w:p w14:paraId="2562A0E9" w14:textId="77777777" w:rsidR="00327FF1" w:rsidRDefault="00E406C7">
            <w:pPr>
              <w:pStyle w:val="P68B1DB1-Normal121"/>
              <w:spacing w:after="0" w:line="240" w:lineRule="auto"/>
              <w:jc w:val="center"/>
              <w:rPr>
                <w:noProof/>
              </w:rPr>
            </w:pPr>
            <w:r>
              <w:rPr>
                <w:noProof/>
              </w:rPr>
              <w:t>M2C2–35 bis</w:t>
            </w:r>
          </w:p>
        </w:tc>
        <w:tc>
          <w:tcPr>
            <w:tcW w:w="3449" w:type="dxa"/>
            <w:shd w:val="clear" w:color="auto" w:fill="C6EFCE"/>
            <w:tcMar>
              <w:left w:w="108" w:type="dxa"/>
              <w:right w:w="108" w:type="dxa"/>
            </w:tcMar>
            <w:vAlign w:val="center"/>
          </w:tcPr>
          <w:p w14:paraId="53C3E049" w14:textId="77777777" w:rsidR="00327FF1" w:rsidRDefault="00E406C7">
            <w:pPr>
              <w:pStyle w:val="P68B1DB1-Normal121"/>
              <w:spacing w:after="0" w:line="240" w:lineRule="auto"/>
              <w:rPr>
                <w:noProof/>
              </w:rPr>
            </w:pPr>
            <w:r>
              <w:rPr>
                <w:noProof/>
              </w:rPr>
              <w:t>Investīcija Nr. 4.4.2.  Reģionālā sabiedriskā transporta dzelzceļa parka stiprināšana ar bezemisiju vilcieniem un universālo pakalpojumu</w:t>
            </w:r>
          </w:p>
        </w:tc>
        <w:tc>
          <w:tcPr>
            <w:tcW w:w="1134" w:type="dxa"/>
            <w:shd w:val="clear" w:color="auto" w:fill="C6EFCE"/>
            <w:tcMar>
              <w:left w:w="108" w:type="dxa"/>
              <w:right w:w="108" w:type="dxa"/>
            </w:tcMar>
            <w:vAlign w:val="center"/>
          </w:tcPr>
          <w:p w14:paraId="1C8041F7"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7F6F545A" w14:textId="77777777" w:rsidR="00327FF1" w:rsidRDefault="00E406C7">
            <w:pPr>
              <w:pStyle w:val="P68B1DB1-Normal121"/>
              <w:spacing w:after="0" w:line="240" w:lineRule="auto"/>
              <w:rPr>
                <w:noProof/>
              </w:rPr>
            </w:pPr>
            <w:r>
              <w:rPr>
                <w:noProof/>
              </w:rPr>
              <w:t xml:space="preserve">Reģistrēto vilcienu skaits </w:t>
            </w:r>
          </w:p>
        </w:tc>
      </w:tr>
      <w:tr w:rsidR="00327FF1" w14:paraId="071C21F0" w14:textId="77777777">
        <w:trPr>
          <w:trHeight w:val="300"/>
        </w:trPr>
        <w:tc>
          <w:tcPr>
            <w:tcW w:w="1246" w:type="dxa"/>
            <w:shd w:val="clear" w:color="auto" w:fill="C6EFCE"/>
            <w:tcMar>
              <w:left w:w="108" w:type="dxa"/>
              <w:right w:w="108" w:type="dxa"/>
            </w:tcMar>
            <w:vAlign w:val="center"/>
          </w:tcPr>
          <w:p w14:paraId="4E809F45" w14:textId="77777777" w:rsidR="00327FF1" w:rsidRDefault="00E406C7">
            <w:pPr>
              <w:pStyle w:val="P68B1DB1-Normal121"/>
              <w:spacing w:after="0" w:line="240" w:lineRule="auto"/>
              <w:jc w:val="center"/>
              <w:rPr>
                <w:noProof/>
              </w:rPr>
            </w:pPr>
            <w:r>
              <w:rPr>
                <w:noProof/>
              </w:rPr>
              <w:t>M2C2–40</w:t>
            </w:r>
          </w:p>
        </w:tc>
        <w:tc>
          <w:tcPr>
            <w:tcW w:w="3449" w:type="dxa"/>
            <w:shd w:val="clear" w:color="auto" w:fill="C6EFCE"/>
            <w:tcMar>
              <w:left w:w="108" w:type="dxa"/>
              <w:right w:w="108" w:type="dxa"/>
            </w:tcMar>
            <w:vAlign w:val="center"/>
          </w:tcPr>
          <w:p w14:paraId="376AE91E" w14:textId="77777777" w:rsidR="00327FF1" w:rsidRDefault="00E406C7">
            <w:pPr>
              <w:pStyle w:val="P68B1DB1-Normal121"/>
              <w:spacing w:after="0" w:line="240" w:lineRule="auto"/>
              <w:rPr>
                <w:noProof/>
              </w:rPr>
            </w:pPr>
            <w:r>
              <w:rPr>
                <w:noProof/>
              </w:rPr>
              <w:t xml:space="preserve">Ieguldījums 5.1. Atbalsts </w:t>
            </w:r>
            <w:r>
              <w:rPr>
                <w:noProof/>
              </w:rPr>
              <w:t>ražošanas sistēmai ekoloģiskajai pārejai, neto nulles emisiju tehnoloģijām un stratēģisko piegādes ķēžu konkurētspējai un noturībai</w:t>
            </w:r>
          </w:p>
        </w:tc>
        <w:tc>
          <w:tcPr>
            <w:tcW w:w="1134" w:type="dxa"/>
            <w:shd w:val="clear" w:color="auto" w:fill="C6EFCE"/>
            <w:tcMar>
              <w:left w:w="108" w:type="dxa"/>
              <w:right w:w="108" w:type="dxa"/>
            </w:tcMar>
            <w:vAlign w:val="center"/>
          </w:tcPr>
          <w:p w14:paraId="1B7DEF94"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495CC5C6" w14:textId="77777777" w:rsidR="00327FF1" w:rsidRDefault="00E406C7">
            <w:pPr>
              <w:pStyle w:val="P68B1DB1-Normal121"/>
              <w:spacing w:after="0" w:line="240" w:lineRule="auto"/>
              <w:rPr>
                <w:noProof/>
              </w:rPr>
            </w:pPr>
            <w:r>
              <w:rPr>
                <w:noProof/>
              </w:rPr>
              <w:t>Īstenošanas nolīguma grozījums, juridiski nolīgumi, kas parakstīti ar galīgajiem saņēmējiem</w:t>
            </w:r>
          </w:p>
        </w:tc>
      </w:tr>
      <w:tr w:rsidR="00327FF1" w14:paraId="3580A672" w14:textId="77777777">
        <w:trPr>
          <w:trHeight w:val="300"/>
        </w:trPr>
        <w:tc>
          <w:tcPr>
            <w:tcW w:w="1246" w:type="dxa"/>
            <w:shd w:val="clear" w:color="auto" w:fill="C6EFCE"/>
            <w:tcMar>
              <w:left w:w="108" w:type="dxa"/>
              <w:right w:w="108" w:type="dxa"/>
            </w:tcMar>
            <w:vAlign w:val="center"/>
          </w:tcPr>
          <w:p w14:paraId="5D4EA1F8" w14:textId="77777777" w:rsidR="00327FF1" w:rsidRDefault="00E406C7">
            <w:pPr>
              <w:pStyle w:val="P68B1DB1-Normal121"/>
              <w:spacing w:after="0" w:line="240" w:lineRule="auto"/>
              <w:jc w:val="center"/>
              <w:rPr>
                <w:noProof/>
              </w:rPr>
            </w:pPr>
            <w:r>
              <w:rPr>
                <w:noProof/>
              </w:rPr>
              <w:t>M2C2–43</w:t>
            </w:r>
          </w:p>
        </w:tc>
        <w:tc>
          <w:tcPr>
            <w:tcW w:w="3449" w:type="dxa"/>
            <w:shd w:val="clear" w:color="auto" w:fill="C6EFCE"/>
            <w:tcMar>
              <w:left w:w="108" w:type="dxa"/>
              <w:right w:w="108" w:type="dxa"/>
            </w:tcMar>
            <w:vAlign w:val="center"/>
          </w:tcPr>
          <w:p w14:paraId="2CA88043" w14:textId="77777777" w:rsidR="00327FF1" w:rsidRDefault="00E406C7">
            <w:pPr>
              <w:pStyle w:val="P68B1DB1-Normal121"/>
              <w:spacing w:after="0" w:line="240" w:lineRule="auto"/>
              <w:rPr>
                <w:noProof/>
              </w:rPr>
            </w:pPr>
            <w:r>
              <w:rPr>
                <w:noProof/>
              </w:rPr>
              <w:t xml:space="preserve">Investīcija 5.4. </w:t>
            </w:r>
            <w:r>
              <w:rPr>
                <w:noProof/>
              </w:rPr>
              <w:t>Kapitāla iepludināšana Zaļās pārkārtošanās fondā (“GTF”)</w:t>
            </w:r>
          </w:p>
        </w:tc>
        <w:tc>
          <w:tcPr>
            <w:tcW w:w="1134" w:type="dxa"/>
            <w:shd w:val="clear" w:color="auto" w:fill="C6EFCE"/>
            <w:tcMar>
              <w:left w:w="108" w:type="dxa"/>
              <w:right w:w="108" w:type="dxa"/>
            </w:tcMar>
            <w:vAlign w:val="center"/>
          </w:tcPr>
          <w:p w14:paraId="574D43A9" w14:textId="77777777"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4A298283" w14:textId="77777777" w:rsidR="00327FF1" w:rsidRDefault="00E406C7">
            <w:pPr>
              <w:pStyle w:val="P68B1DB1-Normal121"/>
              <w:spacing w:after="0" w:line="240" w:lineRule="auto"/>
              <w:rPr>
                <w:noProof/>
              </w:rPr>
            </w:pPr>
            <w:r>
              <w:rPr>
                <w:noProof/>
              </w:rPr>
              <w:t>Ziņojuma pieņemšana</w:t>
            </w:r>
          </w:p>
        </w:tc>
      </w:tr>
      <w:tr w:rsidR="00327FF1" w14:paraId="19A06E8E" w14:textId="77777777">
        <w:trPr>
          <w:trHeight w:val="300"/>
        </w:trPr>
        <w:tc>
          <w:tcPr>
            <w:tcW w:w="1246" w:type="dxa"/>
            <w:shd w:val="clear" w:color="auto" w:fill="C6EFCE"/>
            <w:tcMar>
              <w:left w:w="108" w:type="dxa"/>
              <w:right w:w="108" w:type="dxa"/>
            </w:tcMar>
            <w:vAlign w:val="center"/>
          </w:tcPr>
          <w:p w14:paraId="237E2880" w14:textId="77777777" w:rsidR="00327FF1" w:rsidRDefault="00E406C7">
            <w:pPr>
              <w:pStyle w:val="P68B1DB1-Normal121"/>
              <w:spacing w:after="0" w:line="240" w:lineRule="auto"/>
              <w:jc w:val="center"/>
              <w:rPr>
                <w:noProof/>
              </w:rPr>
            </w:pPr>
            <w:r>
              <w:rPr>
                <w:noProof/>
              </w:rPr>
              <w:t>M2C2–47</w:t>
            </w:r>
          </w:p>
        </w:tc>
        <w:tc>
          <w:tcPr>
            <w:tcW w:w="3449" w:type="dxa"/>
            <w:shd w:val="clear" w:color="auto" w:fill="C6EFCE"/>
            <w:tcMar>
              <w:left w:w="108" w:type="dxa"/>
              <w:right w:w="108" w:type="dxa"/>
            </w:tcMar>
            <w:vAlign w:val="center"/>
          </w:tcPr>
          <w:p w14:paraId="39E47C1C" w14:textId="77777777" w:rsidR="00327FF1" w:rsidRDefault="00E406C7">
            <w:pPr>
              <w:pStyle w:val="P68B1DB1-Normal121"/>
              <w:spacing w:after="0" w:line="240" w:lineRule="auto"/>
              <w:rPr>
                <w:noProof/>
              </w:rPr>
            </w:pPr>
            <w:r>
              <w:rPr>
                <w:noProof/>
              </w:rPr>
              <w:t>Investīcija 1.2. AER veicināšana energokopienām un atjaunojamo energoresursu enerģijas pašpatērētāju kopīgai rīcībai</w:t>
            </w:r>
          </w:p>
        </w:tc>
        <w:tc>
          <w:tcPr>
            <w:tcW w:w="1134" w:type="dxa"/>
            <w:shd w:val="clear" w:color="auto" w:fill="C6EFCE"/>
            <w:tcMar>
              <w:left w:w="108" w:type="dxa"/>
              <w:right w:w="108" w:type="dxa"/>
            </w:tcMar>
            <w:vAlign w:val="center"/>
          </w:tcPr>
          <w:p w14:paraId="0D7A0E33"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1E7F6DB5" w14:textId="74337046" w:rsidR="00327FF1" w:rsidRDefault="00E406C7">
            <w:pPr>
              <w:pStyle w:val="P68B1DB1-Normal121"/>
              <w:spacing w:after="0" w:line="240" w:lineRule="auto"/>
              <w:rPr>
                <w:noProof/>
              </w:rPr>
            </w:pPr>
            <w:r>
              <w:rPr>
                <w:noProof/>
              </w:rPr>
              <w:t>Jaunas elektroenerģijas ražoša</w:t>
            </w:r>
            <w:r>
              <w:rPr>
                <w:noProof/>
              </w:rPr>
              <w:t>nas jaudas no atjaunojamiem energoresursiem uzstādīšana energokopienās un no atjaunojamajiem energoresursiem iegūtas enerģijas pašpatērētāju kopīgā darbībā</w:t>
            </w:r>
          </w:p>
        </w:tc>
      </w:tr>
      <w:tr w:rsidR="00327FF1" w14:paraId="35D795BA" w14:textId="77777777">
        <w:trPr>
          <w:trHeight w:val="300"/>
        </w:trPr>
        <w:tc>
          <w:tcPr>
            <w:tcW w:w="1246" w:type="dxa"/>
            <w:shd w:val="clear" w:color="auto" w:fill="C6EFCE"/>
            <w:tcMar>
              <w:left w:w="108" w:type="dxa"/>
              <w:right w:w="108" w:type="dxa"/>
            </w:tcMar>
            <w:vAlign w:val="center"/>
          </w:tcPr>
          <w:p w14:paraId="3ABE0119" w14:textId="77777777" w:rsidR="00327FF1" w:rsidRDefault="00E406C7">
            <w:pPr>
              <w:pStyle w:val="P68B1DB1-Normal121"/>
              <w:spacing w:after="0" w:line="240" w:lineRule="auto"/>
              <w:jc w:val="center"/>
              <w:rPr>
                <w:noProof/>
              </w:rPr>
            </w:pPr>
            <w:r>
              <w:rPr>
                <w:noProof/>
              </w:rPr>
              <w:t>M2C2–49</w:t>
            </w:r>
          </w:p>
        </w:tc>
        <w:tc>
          <w:tcPr>
            <w:tcW w:w="3449" w:type="dxa"/>
            <w:shd w:val="clear" w:color="auto" w:fill="C6EFCE"/>
            <w:tcMar>
              <w:left w:w="108" w:type="dxa"/>
              <w:right w:w="108" w:type="dxa"/>
            </w:tcMar>
            <w:vAlign w:val="center"/>
          </w:tcPr>
          <w:p w14:paraId="263CE8CF" w14:textId="77777777" w:rsidR="00327FF1" w:rsidRDefault="00E406C7">
            <w:pPr>
              <w:pStyle w:val="P68B1DB1-Normal121"/>
              <w:spacing w:after="0" w:line="240" w:lineRule="auto"/>
              <w:rPr>
                <w:noProof/>
              </w:rPr>
            </w:pPr>
            <w:r>
              <w:rPr>
                <w:noProof/>
              </w:rPr>
              <w:t>Investīcija 3.1. Ūdeņraža ražošana degradētās teritorijās (Ūdeņraža ielejas)</w:t>
            </w:r>
          </w:p>
        </w:tc>
        <w:tc>
          <w:tcPr>
            <w:tcW w:w="1134" w:type="dxa"/>
            <w:shd w:val="clear" w:color="auto" w:fill="C6EFCE"/>
            <w:tcMar>
              <w:left w:w="108" w:type="dxa"/>
              <w:right w:w="108" w:type="dxa"/>
            </w:tcMar>
            <w:vAlign w:val="center"/>
          </w:tcPr>
          <w:p w14:paraId="09BC270B"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12327C4F" w14:textId="77777777" w:rsidR="00327FF1" w:rsidRDefault="00E406C7">
            <w:pPr>
              <w:pStyle w:val="P68B1DB1-Normal121"/>
              <w:spacing w:after="0" w:line="240" w:lineRule="auto"/>
              <w:rPr>
                <w:noProof/>
              </w:rPr>
            </w:pPr>
            <w:r>
              <w:rPr>
                <w:noProof/>
              </w:rPr>
              <w:t xml:space="preserve">Īstenotais projekts </w:t>
            </w:r>
          </w:p>
        </w:tc>
      </w:tr>
      <w:tr w:rsidR="00327FF1" w14:paraId="556B773A" w14:textId="77777777">
        <w:trPr>
          <w:trHeight w:val="300"/>
        </w:trPr>
        <w:tc>
          <w:tcPr>
            <w:tcW w:w="1246" w:type="dxa"/>
            <w:shd w:val="clear" w:color="auto" w:fill="C6EFCE"/>
            <w:tcMar>
              <w:left w:w="108" w:type="dxa"/>
              <w:right w:w="108" w:type="dxa"/>
            </w:tcMar>
            <w:vAlign w:val="center"/>
          </w:tcPr>
          <w:p w14:paraId="2A97CECC" w14:textId="77777777" w:rsidR="00327FF1" w:rsidRDefault="00E406C7">
            <w:pPr>
              <w:pStyle w:val="P68B1DB1-Normal121"/>
              <w:spacing w:after="0" w:line="240" w:lineRule="auto"/>
              <w:jc w:val="center"/>
              <w:rPr>
                <w:noProof/>
              </w:rPr>
            </w:pPr>
            <w:r>
              <w:rPr>
                <w:noProof/>
              </w:rPr>
              <w:t>M2C2–53</w:t>
            </w:r>
          </w:p>
        </w:tc>
        <w:tc>
          <w:tcPr>
            <w:tcW w:w="3449" w:type="dxa"/>
            <w:shd w:val="clear" w:color="auto" w:fill="C6EFCE"/>
            <w:tcMar>
              <w:left w:w="108" w:type="dxa"/>
              <w:right w:w="108" w:type="dxa"/>
            </w:tcMar>
            <w:vAlign w:val="center"/>
          </w:tcPr>
          <w:p w14:paraId="1CE533DD" w14:textId="77777777" w:rsidR="00327FF1" w:rsidRDefault="00E406C7">
            <w:pPr>
              <w:pStyle w:val="P68B1DB1-Normal121"/>
              <w:spacing w:after="0" w:line="240" w:lineRule="auto"/>
              <w:rPr>
                <w:noProof/>
              </w:rPr>
            </w:pPr>
            <w:r>
              <w:rPr>
                <w:noProof/>
              </w:rPr>
              <w:t>Investīcija 5.2. Ūdeņradis</w:t>
            </w:r>
          </w:p>
        </w:tc>
        <w:tc>
          <w:tcPr>
            <w:tcW w:w="1134" w:type="dxa"/>
            <w:shd w:val="clear" w:color="auto" w:fill="C6EFCE"/>
            <w:tcMar>
              <w:left w:w="108" w:type="dxa"/>
              <w:right w:w="108" w:type="dxa"/>
            </w:tcMar>
            <w:vAlign w:val="center"/>
          </w:tcPr>
          <w:p w14:paraId="20037144"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3F1CF839" w14:textId="77777777" w:rsidR="00327FF1" w:rsidRDefault="00E406C7">
            <w:pPr>
              <w:pStyle w:val="P68B1DB1-Normal121"/>
              <w:spacing w:after="0" w:line="240" w:lineRule="auto"/>
              <w:rPr>
                <w:noProof/>
              </w:rPr>
            </w:pPr>
            <w:r>
              <w:rPr>
                <w:noProof/>
              </w:rPr>
              <w:t xml:space="preserve">Būvēta rūpniecības iekārta </w:t>
            </w:r>
          </w:p>
        </w:tc>
      </w:tr>
      <w:tr w:rsidR="00327FF1" w14:paraId="00208443" w14:textId="77777777">
        <w:trPr>
          <w:trHeight w:val="300"/>
        </w:trPr>
        <w:tc>
          <w:tcPr>
            <w:tcW w:w="1246" w:type="dxa"/>
            <w:shd w:val="clear" w:color="auto" w:fill="C6EFCE"/>
            <w:tcMar>
              <w:left w:w="108" w:type="dxa"/>
              <w:right w:w="108" w:type="dxa"/>
            </w:tcMar>
            <w:vAlign w:val="center"/>
          </w:tcPr>
          <w:p w14:paraId="16C9C1B7" w14:textId="77777777" w:rsidR="00327FF1" w:rsidRDefault="00E406C7">
            <w:pPr>
              <w:pStyle w:val="P68B1DB1-Normal121"/>
              <w:spacing w:after="0" w:line="240" w:lineRule="auto"/>
              <w:jc w:val="center"/>
              <w:rPr>
                <w:noProof/>
              </w:rPr>
            </w:pPr>
            <w:r>
              <w:rPr>
                <w:noProof/>
              </w:rPr>
              <w:t>M2C4–6bis</w:t>
            </w:r>
          </w:p>
        </w:tc>
        <w:tc>
          <w:tcPr>
            <w:tcW w:w="3449" w:type="dxa"/>
            <w:shd w:val="clear" w:color="auto" w:fill="C6EFCE"/>
            <w:tcMar>
              <w:left w:w="108" w:type="dxa"/>
              <w:right w:w="108" w:type="dxa"/>
            </w:tcMar>
            <w:vAlign w:val="center"/>
          </w:tcPr>
          <w:p w14:paraId="5519548F" w14:textId="77777777" w:rsidR="00327FF1" w:rsidRDefault="00E406C7">
            <w:pPr>
              <w:pStyle w:val="P68B1DB1-Normal121"/>
              <w:spacing w:after="0" w:line="240" w:lineRule="auto"/>
              <w:rPr>
                <w:noProof/>
              </w:rPr>
            </w:pPr>
            <w:r>
              <w:rPr>
                <w:noProof/>
              </w:rPr>
              <w:t>“Investīcija Nr. 3.2. Nacionālo parku digitalizācija</w:t>
            </w:r>
          </w:p>
        </w:tc>
        <w:tc>
          <w:tcPr>
            <w:tcW w:w="1134" w:type="dxa"/>
            <w:shd w:val="clear" w:color="auto" w:fill="C6EFCE"/>
            <w:tcMar>
              <w:left w:w="108" w:type="dxa"/>
              <w:right w:w="108" w:type="dxa"/>
            </w:tcMar>
            <w:vAlign w:val="center"/>
          </w:tcPr>
          <w:p w14:paraId="47CDCBF0" w14:textId="77777777"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3D1595CC" w14:textId="77777777" w:rsidR="00327FF1" w:rsidRDefault="00E406C7">
            <w:pPr>
              <w:pStyle w:val="P68B1DB1-Normal121"/>
              <w:spacing w:after="0" w:line="240" w:lineRule="auto"/>
              <w:rPr>
                <w:noProof/>
              </w:rPr>
            </w:pPr>
            <w:r>
              <w:rPr>
                <w:noProof/>
              </w:rPr>
              <w:t>Intervences, kas saistītas ar dabas rezervāciju un piegādāto dabas resursu uzraudzīb</w:t>
            </w:r>
            <w:r>
              <w:rPr>
                <w:noProof/>
              </w:rPr>
              <w:t>u</w:t>
            </w:r>
          </w:p>
        </w:tc>
      </w:tr>
      <w:tr w:rsidR="00327FF1" w14:paraId="37EA69B9" w14:textId="77777777">
        <w:trPr>
          <w:trHeight w:val="300"/>
        </w:trPr>
        <w:tc>
          <w:tcPr>
            <w:tcW w:w="1246" w:type="dxa"/>
            <w:shd w:val="clear" w:color="auto" w:fill="C6EFCE"/>
            <w:tcMar>
              <w:left w:w="108" w:type="dxa"/>
              <w:right w:w="108" w:type="dxa"/>
            </w:tcMar>
            <w:vAlign w:val="center"/>
          </w:tcPr>
          <w:p w14:paraId="7A7EA6F3" w14:textId="77777777" w:rsidR="00327FF1" w:rsidRDefault="00E406C7">
            <w:pPr>
              <w:pStyle w:val="P68B1DB1-Normal121"/>
              <w:spacing w:after="0" w:line="240" w:lineRule="auto"/>
              <w:jc w:val="center"/>
              <w:rPr>
                <w:noProof/>
              </w:rPr>
            </w:pPr>
            <w:r>
              <w:rPr>
                <w:noProof/>
              </w:rPr>
              <w:t>M2C4–11bis</w:t>
            </w:r>
          </w:p>
        </w:tc>
        <w:tc>
          <w:tcPr>
            <w:tcW w:w="3449" w:type="dxa"/>
            <w:shd w:val="clear" w:color="auto" w:fill="C6EFCE"/>
            <w:tcMar>
              <w:left w:w="108" w:type="dxa"/>
              <w:right w:w="108" w:type="dxa"/>
            </w:tcMar>
            <w:vAlign w:val="center"/>
          </w:tcPr>
          <w:p w14:paraId="67D7A359" w14:textId="77777777" w:rsidR="00327FF1" w:rsidRDefault="00E406C7">
            <w:pPr>
              <w:pStyle w:val="P68B1DB1-Normal121"/>
              <w:spacing w:after="0" w:line="240" w:lineRule="auto"/>
              <w:rPr>
                <w:noProof/>
              </w:rPr>
            </w:pPr>
            <w:r>
              <w:rPr>
                <w:noProof/>
              </w:rPr>
              <w:t>Investīcija 2.1.a. Pasākumi plūdu un hidroģeoloģiskā riska mazināšanai — intervences pasākumi Emīlijā-Romanjā, Toskānā un Markē</w:t>
            </w:r>
          </w:p>
        </w:tc>
        <w:tc>
          <w:tcPr>
            <w:tcW w:w="1134" w:type="dxa"/>
            <w:shd w:val="clear" w:color="auto" w:fill="C6EFCE"/>
            <w:tcMar>
              <w:left w:w="108" w:type="dxa"/>
              <w:right w:w="108" w:type="dxa"/>
            </w:tcMar>
            <w:vAlign w:val="center"/>
          </w:tcPr>
          <w:p w14:paraId="56A28B49"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34C65652" w14:textId="77777777" w:rsidR="00327FF1" w:rsidRDefault="00E406C7">
            <w:pPr>
              <w:pStyle w:val="P68B1DB1-Normal121"/>
              <w:spacing w:after="0" w:line="240" w:lineRule="auto"/>
              <w:rPr>
                <w:noProof/>
              </w:rPr>
            </w:pPr>
            <w:r>
              <w:rPr>
                <w:noProof/>
              </w:rPr>
              <w:t>Īstenotie projekti</w:t>
            </w:r>
          </w:p>
        </w:tc>
      </w:tr>
      <w:tr w:rsidR="00327FF1" w14:paraId="089CCD08" w14:textId="77777777">
        <w:trPr>
          <w:trHeight w:val="300"/>
        </w:trPr>
        <w:tc>
          <w:tcPr>
            <w:tcW w:w="1246" w:type="dxa"/>
            <w:shd w:val="clear" w:color="auto" w:fill="C6EFCE"/>
            <w:tcMar>
              <w:left w:w="108" w:type="dxa"/>
              <w:right w:w="108" w:type="dxa"/>
            </w:tcMar>
            <w:vAlign w:val="center"/>
          </w:tcPr>
          <w:p w14:paraId="36E6A132" w14:textId="77777777" w:rsidR="00327FF1" w:rsidRDefault="00E406C7">
            <w:pPr>
              <w:pStyle w:val="P68B1DB1-Normal121"/>
              <w:spacing w:after="0" w:line="240" w:lineRule="auto"/>
              <w:jc w:val="center"/>
              <w:rPr>
                <w:noProof/>
              </w:rPr>
            </w:pPr>
            <w:r>
              <w:rPr>
                <w:noProof/>
              </w:rPr>
              <w:t>M2C4–13</w:t>
            </w:r>
          </w:p>
        </w:tc>
        <w:tc>
          <w:tcPr>
            <w:tcW w:w="3449" w:type="dxa"/>
            <w:shd w:val="clear" w:color="auto" w:fill="C6EFCE"/>
            <w:tcMar>
              <w:left w:w="108" w:type="dxa"/>
              <w:right w:w="108" w:type="dxa"/>
            </w:tcMar>
            <w:vAlign w:val="center"/>
          </w:tcPr>
          <w:p w14:paraId="48C2BD7A" w14:textId="77777777" w:rsidR="00327FF1" w:rsidRDefault="00E406C7">
            <w:pPr>
              <w:pStyle w:val="P68B1DB1-Normal121"/>
              <w:spacing w:after="0" w:line="240" w:lineRule="auto"/>
              <w:rPr>
                <w:noProof/>
              </w:rPr>
            </w:pPr>
            <w:r>
              <w:rPr>
                <w:noProof/>
              </w:rPr>
              <w:t>Investīcija 2.1.b — Pasākumi plūdu un hidroģeoloģiskā riska mazināšanai</w:t>
            </w:r>
          </w:p>
        </w:tc>
        <w:tc>
          <w:tcPr>
            <w:tcW w:w="1134" w:type="dxa"/>
            <w:shd w:val="clear" w:color="auto" w:fill="C6EFCE"/>
            <w:tcMar>
              <w:left w:w="108" w:type="dxa"/>
              <w:right w:w="108" w:type="dxa"/>
            </w:tcMar>
            <w:vAlign w:val="center"/>
          </w:tcPr>
          <w:p w14:paraId="71EBC1A4"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7C70A5FD" w14:textId="77777777" w:rsidR="00327FF1" w:rsidRDefault="00E406C7">
            <w:pPr>
              <w:pStyle w:val="P68B1DB1-Normal121"/>
              <w:spacing w:after="0" w:line="240" w:lineRule="auto"/>
              <w:rPr>
                <w:noProof/>
              </w:rPr>
            </w:pPr>
            <w:r>
              <w:rPr>
                <w:noProof/>
              </w:rPr>
              <w:t>Veiktās D un E tipa intervences</w:t>
            </w:r>
          </w:p>
        </w:tc>
      </w:tr>
      <w:tr w:rsidR="00327FF1" w14:paraId="312C481C" w14:textId="77777777">
        <w:trPr>
          <w:trHeight w:val="300"/>
        </w:trPr>
        <w:tc>
          <w:tcPr>
            <w:tcW w:w="1246" w:type="dxa"/>
            <w:shd w:val="clear" w:color="auto" w:fill="C6EFCE"/>
            <w:tcMar>
              <w:left w:w="108" w:type="dxa"/>
              <w:right w:w="108" w:type="dxa"/>
            </w:tcMar>
            <w:vAlign w:val="center"/>
          </w:tcPr>
          <w:p w14:paraId="02725199" w14:textId="77777777" w:rsidR="00327FF1" w:rsidRDefault="00E406C7">
            <w:pPr>
              <w:pStyle w:val="P68B1DB1-Normal121"/>
              <w:spacing w:after="0" w:line="240" w:lineRule="auto"/>
              <w:jc w:val="center"/>
              <w:rPr>
                <w:noProof/>
              </w:rPr>
            </w:pPr>
            <w:r>
              <w:rPr>
                <w:noProof/>
              </w:rPr>
              <w:t>M2C4–20bis</w:t>
            </w:r>
          </w:p>
        </w:tc>
        <w:tc>
          <w:tcPr>
            <w:tcW w:w="3449" w:type="dxa"/>
            <w:shd w:val="clear" w:color="auto" w:fill="C6EFCE"/>
            <w:tcMar>
              <w:left w:w="108" w:type="dxa"/>
              <w:right w:w="108" w:type="dxa"/>
            </w:tcMar>
            <w:vAlign w:val="center"/>
          </w:tcPr>
          <w:p w14:paraId="76B11C11" w14:textId="77777777" w:rsidR="00327FF1" w:rsidRDefault="00E406C7">
            <w:pPr>
              <w:pStyle w:val="P68B1DB1-Normal121"/>
              <w:spacing w:after="0" w:line="240" w:lineRule="auto"/>
              <w:rPr>
                <w:noProof/>
              </w:rPr>
            </w:pPr>
            <w:r>
              <w:rPr>
                <w:noProof/>
              </w:rPr>
              <w:t>Investīcijas. 3.1. PUNKTĀ: Pilsētu un piepilsētu mežu aizsardzība un uzlabošana</w:t>
            </w:r>
          </w:p>
        </w:tc>
        <w:tc>
          <w:tcPr>
            <w:tcW w:w="1134" w:type="dxa"/>
            <w:shd w:val="clear" w:color="auto" w:fill="C6EFCE"/>
            <w:tcMar>
              <w:left w:w="108" w:type="dxa"/>
              <w:right w:w="108" w:type="dxa"/>
            </w:tcMar>
            <w:vAlign w:val="center"/>
          </w:tcPr>
          <w:p w14:paraId="038EAEF2"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13DA1A36" w14:textId="77777777" w:rsidR="00327FF1" w:rsidRDefault="00E406C7">
            <w:pPr>
              <w:pStyle w:val="P68B1DB1-Normal121"/>
              <w:spacing w:after="0" w:line="240" w:lineRule="auto"/>
              <w:rPr>
                <w:noProof/>
              </w:rPr>
            </w:pPr>
            <w:r>
              <w:rPr>
                <w:noProof/>
              </w:rPr>
              <w:t xml:space="preserve">Koki pilsētu un piepilsētu zaļo zonu aizsardzībai un valorizācijai T3 </w:t>
            </w:r>
          </w:p>
        </w:tc>
      </w:tr>
      <w:tr w:rsidR="00327FF1" w14:paraId="11396F58" w14:textId="77777777">
        <w:trPr>
          <w:trHeight w:val="300"/>
        </w:trPr>
        <w:tc>
          <w:tcPr>
            <w:tcW w:w="1246" w:type="dxa"/>
            <w:shd w:val="clear" w:color="auto" w:fill="C6EFCE"/>
            <w:tcMar>
              <w:left w:w="108" w:type="dxa"/>
              <w:right w:w="108" w:type="dxa"/>
            </w:tcMar>
            <w:vAlign w:val="center"/>
          </w:tcPr>
          <w:p w14:paraId="0AD72062" w14:textId="77777777" w:rsidR="00327FF1" w:rsidRDefault="00E406C7">
            <w:pPr>
              <w:pStyle w:val="P68B1DB1-Normal121"/>
              <w:spacing w:after="0" w:line="240" w:lineRule="auto"/>
              <w:jc w:val="center"/>
              <w:rPr>
                <w:noProof/>
              </w:rPr>
            </w:pPr>
            <w:r>
              <w:rPr>
                <w:noProof/>
              </w:rPr>
              <w:t>M2C4–34bis</w:t>
            </w:r>
          </w:p>
        </w:tc>
        <w:tc>
          <w:tcPr>
            <w:tcW w:w="3449" w:type="dxa"/>
            <w:shd w:val="clear" w:color="auto" w:fill="C6EFCE"/>
            <w:tcMar>
              <w:left w:w="108" w:type="dxa"/>
              <w:right w:w="108" w:type="dxa"/>
            </w:tcMar>
            <w:vAlign w:val="center"/>
          </w:tcPr>
          <w:p w14:paraId="7A020AA4" w14:textId="77777777" w:rsidR="00327FF1" w:rsidRDefault="00E406C7">
            <w:pPr>
              <w:pStyle w:val="P68B1DB1-Normal121"/>
              <w:spacing w:after="0" w:line="240" w:lineRule="auto"/>
              <w:rPr>
                <w:noProof/>
              </w:rPr>
            </w:pPr>
            <w:r>
              <w:rPr>
                <w:noProof/>
              </w:rPr>
              <w:t xml:space="preserve">Investīcija 4.3. Ieguldījumi apūdeņošanas </w:t>
            </w:r>
            <w:r>
              <w:rPr>
                <w:noProof/>
              </w:rPr>
              <w:t>agrosistēmas noturībā labākai ūdens resursu pārvaldībai</w:t>
            </w:r>
          </w:p>
        </w:tc>
        <w:tc>
          <w:tcPr>
            <w:tcW w:w="1134" w:type="dxa"/>
            <w:shd w:val="clear" w:color="auto" w:fill="C6EFCE"/>
            <w:tcMar>
              <w:left w:w="108" w:type="dxa"/>
              <w:right w:w="108" w:type="dxa"/>
            </w:tcMar>
            <w:vAlign w:val="center"/>
          </w:tcPr>
          <w:p w14:paraId="3B5F3AE0"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4F62829C" w14:textId="77777777" w:rsidR="00327FF1" w:rsidRDefault="00E406C7">
            <w:pPr>
              <w:pStyle w:val="P68B1DB1-Normal121"/>
              <w:spacing w:after="0" w:line="240" w:lineRule="auto"/>
              <w:rPr>
                <w:noProof/>
              </w:rPr>
            </w:pPr>
            <w:r>
              <w:rPr>
                <w:noProof/>
              </w:rPr>
              <w:t>Intervences apūdeņošanas agrosistēmas izturētspējai ūdens resursu labākai apsaimniekošanai T1</w:t>
            </w:r>
          </w:p>
        </w:tc>
      </w:tr>
      <w:tr w:rsidR="00327FF1" w14:paraId="7196FDBC" w14:textId="77777777">
        <w:trPr>
          <w:trHeight w:val="300"/>
        </w:trPr>
        <w:tc>
          <w:tcPr>
            <w:tcW w:w="1246" w:type="dxa"/>
            <w:shd w:val="clear" w:color="auto" w:fill="C6EFCE"/>
            <w:tcMar>
              <w:left w:w="108" w:type="dxa"/>
              <w:right w:w="108" w:type="dxa"/>
            </w:tcMar>
            <w:vAlign w:val="center"/>
          </w:tcPr>
          <w:p w14:paraId="6371402F" w14:textId="77777777" w:rsidR="00327FF1" w:rsidRDefault="00E406C7">
            <w:pPr>
              <w:pStyle w:val="P68B1DB1-Normal121"/>
              <w:spacing w:after="0" w:line="240" w:lineRule="auto"/>
              <w:jc w:val="center"/>
              <w:rPr>
                <w:noProof/>
              </w:rPr>
            </w:pPr>
            <w:r>
              <w:rPr>
                <w:noProof/>
              </w:rPr>
              <w:t>M3C1–6</w:t>
            </w:r>
          </w:p>
        </w:tc>
        <w:tc>
          <w:tcPr>
            <w:tcW w:w="3449" w:type="dxa"/>
            <w:shd w:val="clear" w:color="auto" w:fill="C6EFCE"/>
            <w:tcMar>
              <w:left w:w="108" w:type="dxa"/>
              <w:right w:w="108" w:type="dxa"/>
            </w:tcMar>
            <w:vAlign w:val="center"/>
          </w:tcPr>
          <w:p w14:paraId="0AB83447" w14:textId="77777777" w:rsidR="00327FF1" w:rsidRDefault="00E406C7">
            <w:pPr>
              <w:pStyle w:val="P68B1DB1-Normal121"/>
              <w:spacing w:after="0" w:line="240" w:lineRule="auto"/>
              <w:rPr>
                <w:noProof/>
              </w:rPr>
            </w:pPr>
            <w:r>
              <w:rPr>
                <w:noProof/>
              </w:rPr>
              <w:t>Investīcija. Ātrgaitas dzelzceļa savienojumi ar dienvidiem pasažieru un kravu pārvadājumiem</w:t>
            </w:r>
          </w:p>
        </w:tc>
        <w:tc>
          <w:tcPr>
            <w:tcW w:w="1134" w:type="dxa"/>
            <w:shd w:val="clear" w:color="auto" w:fill="C6EFCE"/>
            <w:tcMar>
              <w:left w:w="108" w:type="dxa"/>
              <w:right w:w="108" w:type="dxa"/>
            </w:tcMar>
            <w:vAlign w:val="center"/>
          </w:tcPr>
          <w:p w14:paraId="57BA3C2B"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1EA31630" w14:textId="77777777" w:rsidR="00327FF1" w:rsidRDefault="00E406C7">
            <w:pPr>
              <w:pStyle w:val="P68B1DB1-Normal121"/>
              <w:spacing w:after="0" w:line="240" w:lineRule="auto"/>
              <w:rPr>
                <w:noProof/>
              </w:rPr>
            </w:pPr>
            <w:r>
              <w:rPr>
                <w:noProof/>
              </w:rPr>
              <w:t>Ātrgaitas dzelzceļš līnijās Napoli-Bari, Salerno-Reggio Calabria, Palermo-Katania</w:t>
            </w:r>
          </w:p>
        </w:tc>
      </w:tr>
      <w:tr w:rsidR="00327FF1" w14:paraId="38C32FE3" w14:textId="77777777">
        <w:trPr>
          <w:trHeight w:val="300"/>
        </w:trPr>
        <w:tc>
          <w:tcPr>
            <w:tcW w:w="1246" w:type="dxa"/>
            <w:shd w:val="clear" w:color="auto" w:fill="C6EFCE"/>
            <w:tcMar>
              <w:left w:w="108" w:type="dxa"/>
              <w:right w:w="108" w:type="dxa"/>
            </w:tcMar>
            <w:vAlign w:val="center"/>
          </w:tcPr>
          <w:p w14:paraId="48910E61" w14:textId="77777777" w:rsidR="00327FF1" w:rsidRDefault="00E406C7">
            <w:pPr>
              <w:pStyle w:val="P68B1DB1-Normal121"/>
              <w:spacing w:after="0" w:line="240" w:lineRule="auto"/>
              <w:jc w:val="center"/>
              <w:rPr>
                <w:noProof/>
              </w:rPr>
            </w:pPr>
            <w:r>
              <w:rPr>
                <w:noProof/>
              </w:rPr>
              <w:t>M3C1–9</w:t>
            </w:r>
          </w:p>
        </w:tc>
        <w:tc>
          <w:tcPr>
            <w:tcW w:w="3449" w:type="dxa"/>
            <w:shd w:val="clear" w:color="auto" w:fill="C6EFCE"/>
            <w:tcMar>
              <w:left w:w="108" w:type="dxa"/>
              <w:right w:w="108" w:type="dxa"/>
            </w:tcMar>
            <w:vAlign w:val="center"/>
          </w:tcPr>
          <w:p w14:paraId="7FE18D74" w14:textId="77777777" w:rsidR="00327FF1" w:rsidRDefault="00E406C7">
            <w:pPr>
              <w:pStyle w:val="P68B1DB1-Normal121"/>
              <w:spacing w:after="0" w:line="240" w:lineRule="auto"/>
              <w:rPr>
                <w:noProof/>
              </w:rPr>
            </w:pPr>
            <w:r>
              <w:rPr>
                <w:noProof/>
              </w:rPr>
              <w:t>Investīcija. Ātrgaitas līnijas ziemeļos, kas savieno ar pārējo Eiropu</w:t>
            </w:r>
          </w:p>
        </w:tc>
        <w:tc>
          <w:tcPr>
            <w:tcW w:w="1134" w:type="dxa"/>
            <w:shd w:val="clear" w:color="auto" w:fill="C6EFCE"/>
            <w:tcMar>
              <w:left w:w="108" w:type="dxa"/>
              <w:right w:w="108" w:type="dxa"/>
            </w:tcMar>
            <w:vAlign w:val="center"/>
          </w:tcPr>
          <w:p w14:paraId="0AFCA2C4"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18FCE3FD" w14:textId="77777777" w:rsidR="00327FF1" w:rsidRDefault="00E406C7">
            <w:pPr>
              <w:pStyle w:val="P68B1DB1-Normal121"/>
              <w:spacing w:after="0" w:line="240" w:lineRule="auto"/>
              <w:rPr>
                <w:noProof/>
              </w:rPr>
            </w:pPr>
            <w:r>
              <w:rPr>
                <w:noProof/>
              </w:rPr>
              <w:t>Ātrgaitas dzelzceļš līnijās Breša-Verona-Vicenza-Padova; Ligūrija-Alpi.</w:t>
            </w:r>
          </w:p>
        </w:tc>
      </w:tr>
      <w:tr w:rsidR="00327FF1" w14:paraId="75D27351" w14:textId="77777777">
        <w:trPr>
          <w:trHeight w:val="300"/>
        </w:trPr>
        <w:tc>
          <w:tcPr>
            <w:tcW w:w="1246" w:type="dxa"/>
            <w:shd w:val="clear" w:color="auto" w:fill="C6EFCE"/>
            <w:tcMar>
              <w:left w:w="108" w:type="dxa"/>
              <w:right w:w="108" w:type="dxa"/>
            </w:tcMar>
            <w:vAlign w:val="center"/>
          </w:tcPr>
          <w:p w14:paraId="3310DC2D" w14:textId="77777777" w:rsidR="00327FF1" w:rsidRDefault="00E406C7">
            <w:pPr>
              <w:pStyle w:val="P68B1DB1-Normal121"/>
              <w:spacing w:after="0" w:line="240" w:lineRule="auto"/>
              <w:jc w:val="center"/>
              <w:rPr>
                <w:noProof/>
              </w:rPr>
            </w:pPr>
            <w:r>
              <w:rPr>
                <w:noProof/>
              </w:rPr>
              <w:t>M3C1–11</w:t>
            </w:r>
          </w:p>
        </w:tc>
        <w:tc>
          <w:tcPr>
            <w:tcW w:w="3449" w:type="dxa"/>
            <w:shd w:val="clear" w:color="auto" w:fill="C6EFCE"/>
            <w:tcMar>
              <w:left w:w="108" w:type="dxa"/>
              <w:right w:w="108" w:type="dxa"/>
            </w:tcMar>
            <w:vAlign w:val="center"/>
          </w:tcPr>
          <w:p w14:paraId="28DB737B" w14:textId="77777777" w:rsidR="00327FF1" w:rsidRDefault="00E406C7">
            <w:pPr>
              <w:pStyle w:val="P68B1DB1-Normal121"/>
              <w:spacing w:after="0" w:line="240" w:lineRule="auto"/>
              <w:rPr>
                <w:noProof/>
              </w:rPr>
            </w:pPr>
            <w:r>
              <w:rPr>
                <w:noProof/>
              </w:rPr>
              <w:t>Investīcija. Diagonālie savienojumi</w:t>
            </w:r>
          </w:p>
        </w:tc>
        <w:tc>
          <w:tcPr>
            <w:tcW w:w="1134" w:type="dxa"/>
            <w:shd w:val="clear" w:color="auto" w:fill="C6EFCE"/>
            <w:tcMar>
              <w:left w:w="108" w:type="dxa"/>
              <w:right w:w="108" w:type="dxa"/>
            </w:tcMar>
            <w:vAlign w:val="center"/>
          </w:tcPr>
          <w:p w14:paraId="05E9F3F4"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7B4088F1" w14:textId="77777777" w:rsidR="00327FF1" w:rsidRDefault="00E406C7">
            <w:pPr>
              <w:pStyle w:val="P68B1DB1-Normal121"/>
              <w:spacing w:after="0" w:line="240" w:lineRule="auto"/>
              <w:rPr>
                <w:noProof/>
              </w:rPr>
            </w:pPr>
            <w:r>
              <w:rPr>
                <w:noProof/>
              </w:rPr>
              <w:t>Ātrgaitas dzelzceļš Orte-Falconara un Taranto-Metaponto-Potenza-Battipaglia līnijās</w:t>
            </w:r>
          </w:p>
        </w:tc>
      </w:tr>
      <w:tr w:rsidR="00327FF1" w14:paraId="6D526144" w14:textId="77777777">
        <w:trPr>
          <w:trHeight w:val="300"/>
        </w:trPr>
        <w:tc>
          <w:tcPr>
            <w:tcW w:w="1246" w:type="dxa"/>
            <w:shd w:val="clear" w:color="auto" w:fill="C6EFCE"/>
            <w:tcMar>
              <w:left w:w="108" w:type="dxa"/>
              <w:right w:w="108" w:type="dxa"/>
            </w:tcMar>
            <w:vAlign w:val="center"/>
          </w:tcPr>
          <w:p w14:paraId="259EEEAD" w14:textId="77777777" w:rsidR="00327FF1" w:rsidRDefault="00E406C7">
            <w:pPr>
              <w:pStyle w:val="P68B1DB1-Normal121"/>
              <w:spacing w:after="0" w:line="240" w:lineRule="auto"/>
              <w:jc w:val="center"/>
              <w:rPr>
                <w:noProof/>
              </w:rPr>
            </w:pPr>
            <w:r>
              <w:rPr>
                <w:noProof/>
              </w:rPr>
              <w:t>M3C1–14</w:t>
            </w:r>
          </w:p>
        </w:tc>
        <w:tc>
          <w:tcPr>
            <w:tcW w:w="3449" w:type="dxa"/>
            <w:shd w:val="clear" w:color="auto" w:fill="C6EFCE"/>
            <w:tcMar>
              <w:left w:w="108" w:type="dxa"/>
              <w:right w:w="108" w:type="dxa"/>
            </w:tcMar>
            <w:vAlign w:val="center"/>
          </w:tcPr>
          <w:p w14:paraId="5D372D40" w14:textId="77777777" w:rsidR="00327FF1" w:rsidRDefault="00E406C7">
            <w:pPr>
              <w:pStyle w:val="P68B1DB1-Normal121"/>
              <w:spacing w:after="0" w:line="240" w:lineRule="auto"/>
              <w:rPr>
                <w:noProof/>
              </w:rPr>
            </w:pPr>
            <w:r>
              <w:rPr>
                <w:noProof/>
              </w:rPr>
              <w:t>Investīcija Nr. 1.4. Eiropas Dzelzceļa transporta vadības sistēmas (ERTMS) ieviešana</w:t>
            </w:r>
          </w:p>
        </w:tc>
        <w:tc>
          <w:tcPr>
            <w:tcW w:w="1134" w:type="dxa"/>
            <w:shd w:val="clear" w:color="auto" w:fill="C6EFCE"/>
            <w:tcMar>
              <w:left w:w="108" w:type="dxa"/>
              <w:right w:w="108" w:type="dxa"/>
            </w:tcMar>
            <w:vAlign w:val="center"/>
          </w:tcPr>
          <w:p w14:paraId="28CFD841"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48A7ED96" w14:textId="77777777" w:rsidR="00327FF1" w:rsidRDefault="00E406C7">
            <w:pPr>
              <w:pStyle w:val="P68B1DB1-Normal8"/>
              <w:spacing w:after="0" w:line="240" w:lineRule="auto"/>
              <w:rPr>
                <w:noProof/>
              </w:rPr>
            </w:pPr>
            <w:r>
              <w:rPr>
                <w:noProof/>
                <w:color w:val="006100"/>
                <w:sz w:val="20"/>
                <w:szCs w:val="20"/>
              </w:rPr>
              <w:t>27885</w:t>
            </w:r>
            <w:r>
              <w:rPr>
                <w:noProof/>
                <w:sz w:val="23"/>
                <w:szCs w:val="23"/>
              </w:rPr>
              <w:t xml:space="preserve"> </w:t>
            </w:r>
            <w:r>
              <w:rPr>
                <w:noProof/>
                <w:color w:val="006100"/>
                <w:sz w:val="20"/>
                <w:szCs w:val="20"/>
              </w:rPr>
              <w:t>km dzelzceļa līniju, kas</w:t>
            </w:r>
            <w:r>
              <w:rPr>
                <w:noProof/>
                <w:color w:val="006100"/>
                <w:sz w:val="20"/>
                <w:szCs w:val="20"/>
              </w:rPr>
              <w:t xml:space="preserve"> aprīkotas ar Eiropas Dzelzceļa transporta vadības sistēmu</w:t>
            </w:r>
          </w:p>
        </w:tc>
      </w:tr>
      <w:tr w:rsidR="00327FF1" w14:paraId="7AB7D4F5" w14:textId="77777777">
        <w:trPr>
          <w:trHeight w:val="300"/>
        </w:trPr>
        <w:tc>
          <w:tcPr>
            <w:tcW w:w="1246" w:type="dxa"/>
            <w:shd w:val="clear" w:color="auto" w:fill="C6EFCE"/>
            <w:tcMar>
              <w:left w:w="108" w:type="dxa"/>
              <w:right w:w="108" w:type="dxa"/>
            </w:tcMar>
            <w:vAlign w:val="center"/>
          </w:tcPr>
          <w:p w14:paraId="0C6A5C60" w14:textId="77777777" w:rsidR="00327FF1" w:rsidRDefault="00E406C7">
            <w:pPr>
              <w:pStyle w:val="P68B1DB1-Normal121"/>
              <w:spacing w:after="0" w:line="240" w:lineRule="auto"/>
              <w:jc w:val="center"/>
              <w:rPr>
                <w:noProof/>
              </w:rPr>
            </w:pPr>
            <w:r>
              <w:rPr>
                <w:noProof/>
              </w:rPr>
              <w:t>M3C1–20</w:t>
            </w:r>
          </w:p>
        </w:tc>
        <w:tc>
          <w:tcPr>
            <w:tcW w:w="3449" w:type="dxa"/>
            <w:shd w:val="clear" w:color="auto" w:fill="C6EFCE"/>
            <w:tcMar>
              <w:left w:w="108" w:type="dxa"/>
              <w:right w:w="108" w:type="dxa"/>
            </w:tcMar>
            <w:vAlign w:val="center"/>
          </w:tcPr>
          <w:p w14:paraId="67668D4A" w14:textId="77777777" w:rsidR="00327FF1" w:rsidRDefault="00E406C7">
            <w:pPr>
              <w:pStyle w:val="P68B1DB1-Normal121"/>
              <w:spacing w:after="0" w:line="240" w:lineRule="auto"/>
              <w:rPr>
                <w:noProof/>
              </w:rPr>
            </w:pPr>
            <w:r>
              <w:rPr>
                <w:noProof/>
              </w:rPr>
              <w:t>Investīcija. Dzelzceļa staciju modernizācija (RFI pārvaldība; dienvidos)</w:t>
            </w:r>
          </w:p>
        </w:tc>
        <w:tc>
          <w:tcPr>
            <w:tcW w:w="1134" w:type="dxa"/>
            <w:shd w:val="clear" w:color="auto" w:fill="C6EFCE"/>
            <w:tcMar>
              <w:left w:w="108" w:type="dxa"/>
              <w:right w:w="108" w:type="dxa"/>
            </w:tcMar>
            <w:vAlign w:val="center"/>
          </w:tcPr>
          <w:p w14:paraId="6447357C"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1ADBBB94" w14:textId="77777777" w:rsidR="00327FF1" w:rsidRDefault="00E406C7">
            <w:pPr>
              <w:pStyle w:val="P68B1DB1-Normal121"/>
              <w:spacing w:after="0" w:line="240" w:lineRule="auto"/>
              <w:rPr>
                <w:noProof/>
              </w:rPr>
            </w:pPr>
            <w:r>
              <w:rPr>
                <w:noProof/>
              </w:rPr>
              <w:t>Modernizētas un pieejamas dzelzceļa stacijas</w:t>
            </w:r>
          </w:p>
        </w:tc>
      </w:tr>
      <w:tr w:rsidR="00327FF1" w14:paraId="0156779B" w14:textId="77777777">
        <w:trPr>
          <w:trHeight w:val="300"/>
        </w:trPr>
        <w:tc>
          <w:tcPr>
            <w:tcW w:w="1246" w:type="dxa"/>
            <w:shd w:val="clear" w:color="auto" w:fill="C6EFCE"/>
            <w:tcMar>
              <w:left w:w="108" w:type="dxa"/>
              <w:right w:w="108" w:type="dxa"/>
            </w:tcMar>
            <w:vAlign w:val="center"/>
          </w:tcPr>
          <w:p w14:paraId="7971C40B" w14:textId="77777777" w:rsidR="00327FF1" w:rsidRDefault="00E406C7">
            <w:pPr>
              <w:pStyle w:val="P68B1DB1-Normal121"/>
              <w:spacing w:after="0" w:line="240" w:lineRule="auto"/>
              <w:jc w:val="center"/>
              <w:rPr>
                <w:noProof/>
              </w:rPr>
            </w:pPr>
            <w:r>
              <w:rPr>
                <w:noProof/>
              </w:rPr>
              <w:t>M3C1–26</w:t>
            </w:r>
          </w:p>
        </w:tc>
        <w:tc>
          <w:tcPr>
            <w:tcW w:w="3449" w:type="dxa"/>
            <w:shd w:val="clear" w:color="auto" w:fill="C6EFCE"/>
            <w:tcMar>
              <w:left w:w="108" w:type="dxa"/>
              <w:right w:w="108" w:type="dxa"/>
            </w:tcMar>
            <w:vAlign w:val="center"/>
          </w:tcPr>
          <w:p w14:paraId="1C7AE2BE" w14:textId="77777777" w:rsidR="00327FF1" w:rsidRDefault="00E406C7">
            <w:pPr>
              <w:pStyle w:val="P68B1DB1-Normal121"/>
              <w:spacing w:after="0" w:line="240" w:lineRule="auto"/>
              <w:rPr>
                <w:noProof/>
              </w:rPr>
            </w:pPr>
            <w:r>
              <w:rPr>
                <w:noProof/>
              </w:rPr>
              <w:t xml:space="preserve">Reforma Nr. 1.3. Dzelzceļa infrastruktūras </w:t>
            </w:r>
            <w:r>
              <w:rPr>
                <w:noProof/>
              </w:rPr>
              <w:t>efektivitātes uzlabošana Itālijā</w:t>
            </w:r>
          </w:p>
        </w:tc>
        <w:tc>
          <w:tcPr>
            <w:tcW w:w="1134" w:type="dxa"/>
            <w:shd w:val="clear" w:color="auto" w:fill="C6EFCE"/>
            <w:tcMar>
              <w:left w:w="108" w:type="dxa"/>
              <w:right w:w="108" w:type="dxa"/>
            </w:tcMar>
            <w:vAlign w:val="center"/>
          </w:tcPr>
          <w:p w14:paraId="31595988" w14:textId="77777777"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4BCC8D53" w14:textId="746713B4" w:rsidR="00327FF1" w:rsidRDefault="00E406C7">
            <w:pPr>
              <w:pStyle w:val="P68B1DB1-Normal121"/>
              <w:spacing w:after="0" w:line="240" w:lineRule="auto"/>
              <w:rPr>
                <w:noProof/>
              </w:rPr>
            </w:pPr>
            <w:r>
              <w:rPr>
                <w:noProof/>
              </w:rPr>
              <w:t>Primāro un sekundāro tiesību aktu stāšanās spēkā (un īstenošanas aktu pieņemšana)</w:t>
            </w:r>
          </w:p>
        </w:tc>
      </w:tr>
      <w:tr w:rsidR="00327FF1" w14:paraId="7137054B" w14:textId="77777777">
        <w:trPr>
          <w:trHeight w:val="814"/>
        </w:trPr>
        <w:tc>
          <w:tcPr>
            <w:tcW w:w="1246" w:type="dxa"/>
            <w:shd w:val="clear" w:color="auto" w:fill="C6EFCE"/>
            <w:tcMar>
              <w:left w:w="108" w:type="dxa"/>
              <w:right w:w="108" w:type="dxa"/>
            </w:tcMar>
            <w:vAlign w:val="center"/>
          </w:tcPr>
          <w:p w14:paraId="6D372F9A" w14:textId="77777777" w:rsidR="00327FF1" w:rsidRDefault="00E406C7">
            <w:pPr>
              <w:pStyle w:val="P68B1DB1-Normal121"/>
              <w:spacing w:after="0" w:line="240" w:lineRule="auto"/>
              <w:jc w:val="center"/>
              <w:rPr>
                <w:noProof/>
              </w:rPr>
            </w:pPr>
            <w:r>
              <w:rPr>
                <w:noProof/>
              </w:rPr>
              <w:t>M4C1–30</w:t>
            </w:r>
          </w:p>
        </w:tc>
        <w:tc>
          <w:tcPr>
            <w:tcW w:w="3449" w:type="dxa"/>
            <w:shd w:val="clear" w:color="auto" w:fill="C6EFCE"/>
            <w:tcMar>
              <w:left w:w="108" w:type="dxa"/>
              <w:right w:w="108" w:type="dxa"/>
            </w:tcMar>
            <w:vAlign w:val="center"/>
          </w:tcPr>
          <w:p w14:paraId="792A0CEC" w14:textId="77777777" w:rsidR="00327FF1" w:rsidRDefault="00E406C7">
            <w:pPr>
              <w:pStyle w:val="P68B1DB1-Normal121"/>
              <w:spacing w:after="0" w:line="240" w:lineRule="auto"/>
              <w:rPr>
                <w:noProof/>
              </w:rPr>
            </w:pPr>
            <w:r>
              <w:rPr>
                <w:noProof/>
              </w:rPr>
              <w:t>Reforma Nr. 1.7: Studentu mājokļu regulējuma reforma un ieguldījumi studentu mājokļos</w:t>
            </w:r>
          </w:p>
        </w:tc>
        <w:tc>
          <w:tcPr>
            <w:tcW w:w="1134" w:type="dxa"/>
            <w:shd w:val="clear" w:color="auto" w:fill="C6EFCE"/>
            <w:tcMar>
              <w:left w:w="108" w:type="dxa"/>
              <w:right w:w="108" w:type="dxa"/>
            </w:tcMar>
            <w:vAlign w:val="center"/>
          </w:tcPr>
          <w:p w14:paraId="5D3EA75A"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47A71E02" w14:textId="77777777" w:rsidR="00327FF1" w:rsidRDefault="00E406C7">
            <w:pPr>
              <w:pStyle w:val="P68B1DB1-Normal121"/>
              <w:spacing w:after="0" w:line="240" w:lineRule="auto"/>
              <w:rPr>
                <w:noProof/>
              </w:rPr>
            </w:pPr>
            <w:r>
              <w:rPr>
                <w:noProof/>
              </w:rPr>
              <w:t>Izveidotas studentu guļ</w:t>
            </w:r>
            <w:r>
              <w:rPr>
                <w:noProof/>
              </w:rPr>
              <w:t>amvietu vienības</w:t>
            </w:r>
          </w:p>
        </w:tc>
      </w:tr>
      <w:tr w:rsidR="00327FF1" w14:paraId="0AA80999" w14:textId="77777777">
        <w:trPr>
          <w:trHeight w:val="300"/>
        </w:trPr>
        <w:tc>
          <w:tcPr>
            <w:tcW w:w="1246" w:type="dxa"/>
            <w:shd w:val="clear" w:color="auto" w:fill="C6EFCE"/>
            <w:tcMar>
              <w:left w:w="108" w:type="dxa"/>
              <w:right w:w="108" w:type="dxa"/>
            </w:tcMar>
            <w:vAlign w:val="center"/>
          </w:tcPr>
          <w:p w14:paraId="66D314E4" w14:textId="77777777" w:rsidR="00327FF1" w:rsidRDefault="00E406C7">
            <w:pPr>
              <w:pStyle w:val="P68B1DB1-Normal121"/>
              <w:spacing w:after="0" w:line="240" w:lineRule="auto"/>
              <w:jc w:val="center"/>
              <w:rPr>
                <w:noProof/>
              </w:rPr>
            </w:pPr>
            <w:r>
              <w:rPr>
                <w:noProof/>
              </w:rPr>
              <w:t>M4C2–9</w:t>
            </w:r>
          </w:p>
        </w:tc>
        <w:tc>
          <w:tcPr>
            <w:tcW w:w="3449" w:type="dxa"/>
            <w:shd w:val="clear" w:color="auto" w:fill="C6EFCE"/>
            <w:tcMar>
              <w:left w:w="108" w:type="dxa"/>
              <w:right w:w="108" w:type="dxa"/>
            </w:tcMar>
            <w:vAlign w:val="center"/>
          </w:tcPr>
          <w:p w14:paraId="4AD55867" w14:textId="77777777" w:rsidR="00327FF1" w:rsidRDefault="00E406C7">
            <w:pPr>
              <w:pStyle w:val="P68B1DB1-Normal121"/>
              <w:spacing w:after="0" w:line="240" w:lineRule="auto"/>
              <w:rPr>
                <w:noProof/>
              </w:rPr>
            </w:pPr>
            <w:r>
              <w:rPr>
                <w:noProof/>
              </w:rPr>
              <w:t>Investīcija Nr. 1.4: “Valstu pētniecības un attīstības līderu” izveide attiecībā uz dažām svarīgām pamattehnoloģijām</w:t>
            </w:r>
          </w:p>
        </w:tc>
        <w:tc>
          <w:tcPr>
            <w:tcW w:w="1134" w:type="dxa"/>
            <w:shd w:val="clear" w:color="auto" w:fill="C6EFCE"/>
            <w:tcMar>
              <w:left w:w="108" w:type="dxa"/>
              <w:right w:w="108" w:type="dxa"/>
            </w:tcMar>
            <w:vAlign w:val="center"/>
          </w:tcPr>
          <w:p w14:paraId="75AD3EA2"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1248B72E" w14:textId="77777777" w:rsidR="00327FF1" w:rsidRDefault="00E406C7">
            <w:pPr>
              <w:pStyle w:val="P68B1DB1-Normal121"/>
              <w:spacing w:after="0" w:line="240" w:lineRule="auto"/>
              <w:rPr>
                <w:noProof/>
              </w:rPr>
            </w:pPr>
            <w:r>
              <w:rPr>
                <w:noProof/>
              </w:rPr>
              <w:t xml:space="preserve">Valstu centri ir pabeiguši pētniecības darbības </w:t>
            </w:r>
          </w:p>
        </w:tc>
      </w:tr>
      <w:tr w:rsidR="00327FF1" w14:paraId="1ED1EE50" w14:textId="77777777">
        <w:trPr>
          <w:trHeight w:val="300"/>
        </w:trPr>
        <w:tc>
          <w:tcPr>
            <w:tcW w:w="1246" w:type="dxa"/>
            <w:shd w:val="clear" w:color="auto" w:fill="C6EFCE"/>
            <w:tcMar>
              <w:left w:w="108" w:type="dxa"/>
              <w:right w:w="108" w:type="dxa"/>
            </w:tcMar>
            <w:vAlign w:val="center"/>
          </w:tcPr>
          <w:p w14:paraId="6B84FAA9" w14:textId="77777777" w:rsidR="00327FF1" w:rsidRDefault="00E406C7">
            <w:pPr>
              <w:pStyle w:val="P68B1DB1-Normal121"/>
              <w:spacing w:after="0" w:line="240" w:lineRule="auto"/>
              <w:jc w:val="center"/>
              <w:rPr>
                <w:noProof/>
              </w:rPr>
            </w:pPr>
            <w:r>
              <w:rPr>
                <w:noProof/>
              </w:rPr>
              <w:t>M4C2–14</w:t>
            </w:r>
          </w:p>
        </w:tc>
        <w:tc>
          <w:tcPr>
            <w:tcW w:w="3449" w:type="dxa"/>
            <w:shd w:val="clear" w:color="auto" w:fill="C6EFCE"/>
            <w:tcMar>
              <w:left w:w="108" w:type="dxa"/>
              <w:right w:w="108" w:type="dxa"/>
            </w:tcMar>
            <w:vAlign w:val="center"/>
          </w:tcPr>
          <w:p w14:paraId="67911B8E" w14:textId="77777777" w:rsidR="00327FF1" w:rsidRDefault="00E406C7">
            <w:pPr>
              <w:pStyle w:val="P68B1DB1-Normal121"/>
              <w:spacing w:after="0" w:line="240" w:lineRule="auto"/>
              <w:rPr>
                <w:noProof/>
              </w:rPr>
            </w:pPr>
            <w:r>
              <w:rPr>
                <w:noProof/>
              </w:rPr>
              <w:t xml:space="preserve">Investīcija 2.3.: /Tehnoloģiju pārneses centri </w:t>
            </w:r>
          </w:p>
        </w:tc>
        <w:tc>
          <w:tcPr>
            <w:tcW w:w="1134" w:type="dxa"/>
            <w:shd w:val="clear" w:color="auto" w:fill="C6EFCE"/>
            <w:tcMar>
              <w:left w:w="108" w:type="dxa"/>
              <w:right w:w="108" w:type="dxa"/>
            </w:tcMar>
            <w:vAlign w:val="center"/>
          </w:tcPr>
          <w:p w14:paraId="44DB01A9"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20DB7987" w14:textId="77777777" w:rsidR="00327FF1" w:rsidRDefault="00E406C7">
            <w:pPr>
              <w:pStyle w:val="P68B1DB1-Normal8"/>
              <w:spacing w:after="0" w:line="240" w:lineRule="auto"/>
              <w:rPr>
                <w:noProof/>
              </w:rPr>
            </w:pPr>
            <w:r>
              <w:rPr>
                <w:noProof/>
                <w:color w:val="006100"/>
                <w:sz w:val="20"/>
                <w:szCs w:val="20"/>
              </w:rPr>
              <w:t>Finansiālās vērtības 330 000 000 EUR apmērā izmaksa</w:t>
            </w:r>
            <w:r>
              <w:rPr>
                <w:noProof/>
                <w:sz w:val="23"/>
                <w:szCs w:val="23"/>
              </w:rPr>
              <w:t xml:space="preserve"> </w:t>
            </w:r>
            <w:r>
              <w:rPr>
                <w:noProof/>
                <w:color w:val="006100"/>
                <w:sz w:val="20"/>
                <w:szCs w:val="20"/>
              </w:rPr>
              <w:t xml:space="preserve">. </w:t>
            </w:r>
          </w:p>
        </w:tc>
      </w:tr>
      <w:tr w:rsidR="00327FF1" w14:paraId="19F34F8E" w14:textId="77777777">
        <w:trPr>
          <w:trHeight w:val="300"/>
        </w:trPr>
        <w:tc>
          <w:tcPr>
            <w:tcW w:w="1246" w:type="dxa"/>
            <w:shd w:val="clear" w:color="auto" w:fill="C6EFCE"/>
            <w:tcMar>
              <w:left w:w="108" w:type="dxa"/>
              <w:right w:w="108" w:type="dxa"/>
            </w:tcMar>
            <w:vAlign w:val="center"/>
          </w:tcPr>
          <w:p w14:paraId="76B0245D" w14:textId="77777777" w:rsidR="00327FF1" w:rsidRDefault="00E406C7">
            <w:pPr>
              <w:pStyle w:val="P68B1DB1-Normal121"/>
              <w:spacing w:after="0" w:line="240" w:lineRule="auto"/>
              <w:jc w:val="center"/>
              <w:rPr>
                <w:noProof/>
              </w:rPr>
            </w:pPr>
            <w:r>
              <w:rPr>
                <w:noProof/>
              </w:rPr>
              <w:t>M4C2–16 bis</w:t>
            </w:r>
          </w:p>
        </w:tc>
        <w:tc>
          <w:tcPr>
            <w:tcW w:w="3449" w:type="dxa"/>
            <w:shd w:val="clear" w:color="auto" w:fill="C6EFCE"/>
            <w:tcMar>
              <w:left w:w="108" w:type="dxa"/>
              <w:right w:w="108" w:type="dxa"/>
            </w:tcMar>
            <w:vAlign w:val="center"/>
          </w:tcPr>
          <w:p w14:paraId="5E6FF18E" w14:textId="77777777" w:rsidR="00327FF1" w:rsidRDefault="00E406C7">
            <w:pPr>
              <w:pStyle w:val="P68B1DB1-Normal121"/>
              <w:spacing w:after="0" w:line="240" w:lineRule="auto"/>
              <w:rPr>
                <w:noProof/>
              </w:rPr>
            </w:pPr>
            <w:r>
              <w:rPr>
                <w:noProof/>
              </w:rPr>
              <w:t>Investīcija Nr. 3.1: Pētniecības un inovācijas infrastruktūras</w:t>
            </w:r>
          </w:p>
        </w:tc>
        <w:tc>
          <w:tcPr>
            <w:tcW w:w="1134" w:type="dxa"/>
            <w:shd w:val="clear" w:color="auto" w:fill="C6EFCE"/>
            <w:tcMar>
              <w:left w:w="108" w:type="dxa"/>
              <w:right w:w="108" w:type="dxa"/>
            </w:tcMar>
            <w:vAlign w:val="center"/>
          </w:tcPr>
          <w:p w14:paraId="0792B27A"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21D5964A" w14:textId="77777777" w:rsidR="00327FF1" w:rsidRDefault="00E406C7">
            <w:pPr>
              <w:pStyle w:val="P68B1DB1-Normal121"/>
              <w:spacing w:after="0" w:line="240" w:lineRule="auto"/>
              <w:rPr>
                <w:noProof/>
              </w:rPr>
            </w:pPr>
            <w:r>
              <w:rPr>
                <w:noProof/>
              </w:rPr>
              <w:t xml:space="preserve">To pētniecības un inovācijas infrastruktūru skaits, kas pabeigušas savas darbības </w:t>
            </w:r>
          </w:p>
        </w:tc>
      </w:tr>
      <w:tr w:rsidR="00327FF1" w14:paraId="3D9A9932" w14:textId="77777777">
        <w:trPr>
          <w:trHeight w:val="300"/>
        </w:trPr>
        <w:tc>
          <w:tcPr>
            <w:tcW w:w="1246" w:type="dxa"/>
            <w:shd w:val="clear" w:color="auto" w:fill="C6EFCE"/>
            <w:tcMar>
              <w:left w:w="108" w:type="dxa"/>
              <w:right w:w="108" w:type="dxa"/>
            </w:tcMar>
            <w:vAlign w:val="center"/>
          </w:tcPr>
          <w:p w14:paraId="263FB6AE" w14:textId="77777777" w:rsidR="00327FF1" w:rsidRDefault="00E406C7">
            <w:pPr>
              <w:pStyle w:val="P68B1DB1-Normal121"/>
              <w:spacing w:after="0" w:line="240" w:lineRule="auto"/>
              <w:jc w:val="center"/>
              <w:rPr>
                <w:noProof/>
              </w:rPr>
            </w:pPr>
            <w:r>
              <w:rPr>
                <w:noProof/>
              </w:rPr>
              <w:t>M4C2–18 bis</w:t>
            </w:r>
          </w:p>
        </w:tc>
        <w:tc>
          <w:tcPr>
            <w:tcW w:w="3449" w:type="dxa"/>
            <w:shd w:val="clear" w:color="auto" w:fill="C6EFCE"/>
            <w:tcMar>
              <w:left w:w="108" w:type="dxa"/>
              <w:right w:w="108" w:type="dxa"/>
            </w:tcMar>
            <w:vAlign w:val="center"/>
          </w:tcPr>
          <w:p w14:paraId="754FFE9C" w14:textId="77777777" w:rsidR="00327FF1" w:rsidRDefault="00E406C7">
            <w:pPr>
              <w:pStyle w:val="P68B1DB1-Normal121"/>
              <w:spacing w:after="0" w:line="240" w:lineRule="auto"/>
              <w:rPr>
                <w:noProof/>
              </w:rPr>
            </w:pPr>
            <w:r>
              <w:rPr>
                <w:noProof/>
              </w:rPr>
              <w:t xml:space="preserve">Ieviešana1.5: </w:t>
            </w:r>
            <w:r>
              <w:rPr>
                <w:noProof/>
              </w:rPr>
              <w:t>“Inovācijas ekosistēmas ilgtspējai”, veidojot “pētniecības un izstrādes teritoriālos līderus”</w:t>
            </w:r>
          </w:p>
        </w:tc>
        <w:tc>
          <w:tcPr>
            <w:tcW w:w="1134" w:type="dxa"/>
            <w:shd w:val="clear" w:color="auto" w:fill="C6EFCE"/>
            <w:tcMar>
              <w:left w:w="108" w:type="dxa"/>
              <w:right w:w="108" w:type="dxa"/>
            </w:tcMar>
            <w:vAlign w:val="center"/>
          </w:tcPr>
          <w:p w14:paraId="18E798DE"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07E0293C" w14:textId="316BDE59" w:rsidR="00327FF1" w:rsidRDefault="00E406C7">
            <w:pPr>
              <w:pStyle w:val="P68B1DB1-Normal121"/>
              <w:spacing w:after="0" w:line="240" w:lineRule="auto"/>
              <w:rPr>
                <w:noProof/>
              </w:rPr>
            </w:pPr>
            <w:r>
              <w:rPr>
                <w:noProof/>
              </w:rPr>
              <w:t>Inovācijas ekosistēmu īstenotās darbības</w:t>
            </w:r>
          </w:p>
        </w:tc>
      </w:tr>
      <w:tr w:rsidR="00327FF1" w14:paraId="5CFCAD4F" w14:textId="77777777">
        <w:trPr>
          <w:trHeight w:val="300"/>
        </w:trPr>
        <w:tc>
          <w:tcPr>
            <w:tcW w:w="1246" w:type="dxa"/>
            <w:shd w:val="clear" w:color="auto" w:fill="C6EFCE"/>
            <w:tcMar>
              <w:left w:w="108" w:type="dxa"/>
              <w:right w:w="108" w:type="dxa"/>
            </w:tcMar>
            <w:vAlign w:val="center"/>
          </w:tcPr>
          <w:p w14:paraId="6EF3E80E" w14:textId="77777777" w:rsidR="00327FF1" w:rsidRDefault="00E406C7">
            <w:pPr>
              <w:pStyle w:val="P68B1DB1-Normal121"/>
              <w:spacing w:after="0" w:line="240" w:lineRule="auto"/>
              <w:jc w:val="center"/>
              <w:rPr>
                <w:noProof/>
              </w:rPr>
            </w:pPr>
            <w:r>
              <w:rPr>
                <w:noProof/>
              </w:rPr>
              <w:t>M4C2–21</w:t>
            </w:r>
          </w:p>
        </w:tc>
        <w:tc>
          <w:tcPr>
            <w:tcW w:w="3449" w:type="dxa"/>
            <w:shd w:val="clear" w:color="auto" w:fill="C6EFCE"/>
            <w:tcMar>
              <w:left w:w="108" w:type="dxa"/>
              <w:right w:w="108" w:type="dxa"/>
            </w:tcMar>
            <w:vAlign w:val="center"/>
          </w:tcPr>
          <w:p w14:paraId="1E1A5993" w14:textId="77777777" w:rsidR="00327FF1" w:rsidRDefault="00E406C7">
            <w:pPr>
              <w:pStyle w:val="P68B1DB1-Normal121"/>
              <w:spacing w:after="0" w:line="240" w:lineRule="auto"/>
              <w:rPr>
                <w:noProof/>
              </w:rPr>
            </w:pPr>
            <w:r>
              <w:rPr>
                <w:noProof/>
              </w:rPr>
              <w:t>Investīcija 3.2. Kapitāla iepludināšana Digitālās pārkārtošanās fondā (“DTF”)</w:t>
            </w:r>
          </w:p>
        </w:tc>
        <w:tc>
          <w:tcPr>
            <w:tcW w:w="1134" w:type="dxa"/>
            <w:shd w:val="clear" w:color="auto" w:fill="C6EFCE"/>
            <w:tcMar>
              <w:left w:w="108" w:type="dxa"/>
              <w:right w:w="108" w:type="dxa"/>
            </w:tcMar>
            <w:vAlign w:val="center"/>
          </w:tcPr>
          <w:p w14:paraId="73EB12DF" w14:textId="77777777"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1C3FF73D" w14:textId="77777777" w:rsidR="00327FF1" w:rsidRDefault="00E406C7">
            <w:pPr>
              <w:pStyle w:val="P68B1DB1-Normal121"/>
              <w:spacing w:after="0" w:line="240" w:lineRule="auto"/>
              <w:rPr>
                <w:noProof/>
              </w:rPr>
            </w:pPr>
            <w:r>
              <w:rPr>
                <w:noProof/>
              </w:rPr>
              <w:t>Ziņojuma pi</w:t>
            </w:r>
            <w:r>
              <w:rPr>
                <w:noProof/>
              </w:rPr>
              <w:t>eņemšana</w:t>
            </w:r>
          </w:p>
        </w:tc>
      </w:tr>
      <w:tr w:rsidR="00327FF1" w14:paraId="2ADE749A" w14:textId="77777777">
        <w:trPr>
          <w:trHeight w:val="300"/>
        </w:trPr>
        <w:tc>
          <w:tcPr>
            <w:tcW w:w="1246" w:type="dxa"/>
            <w:shd w:val="clear" w:color="auto" w:fill="C6EFCE"/>
            <w:tcMar>
              <w:left w:w="108" w:type="dxa"/>
              <w:right w:w="108" w:type="dxa"/>
            </w:tcMar>
            <w:vAlign w:val="center"/>
          </w:tcPr>
          <w:p w14:paraId="64919AD8" w14:textId="77777777" w:rsidR="00327FF1" w:rsidRDefault="00E406C7">
            <w:pPr>
              <w:pStyle w:val="P68B1DB1-Normal121"/>
              <w:spacing w:after="0" w:line="240" w:lineRule="auto"/>
              <w:jc w:val="center"/>
              <w:rPr>
                <w:noProof/>
              </w:rPr>
            </w:pPr>
            <w:r>
              <w:rPr>
                <w:noProof/>
              </w:rPr>
              <w:t>M5C2–12</w:t>
            </w:r>
          </w:p>
        </w:tc>
        <w:tc>
          <w:tcPr>
            <w:tcW w:w="3449" w:type="dxa"/>
            <w:shd w:val="clear" w:color="auto" w:fill="C6EFCE"/>
            <w:tcMar>
              <w:left w:w="108" w:type="dxa"/>
              <w:right w:w="108" w:type="dxa"/>
            </w:tcMar>
            <w:vAlign w:val="center"/>
          </w:tcPr>
          <w:p w14:paraId="40EE46EE" w14:textId="77777777" w:rsidR="00327FF1" w:rsidRDefault="00E406C7">
            <w:pPr>
              <w:pStyle w:val="P68B1DB1-Normal121"/>
              <w:spacing w:after="0" w:line="240" w:lineRule="auto"/>
              <w:rPr>
                <w:noProof/>
              </w:rPr>
            </w:pPr>
            <w:r>
              <w:rPr>
                <w:noProof/>
              </w:rPr>
              <w:t>Investīcija Nr. 4 — Ieguldījumi pilsētvides atjaunošanas projektos, kuru mērķis ir mazināt marginalizācijas un sociālās degradācijas situācijas</w:t>
            </w:r>
          </w:p>
        </w:tc>
        <w:tc>
          <w:tcPr>
            <w:tcW w:w="1134" w:type="dxa"/>
            <w:shd w:val="clear" w:color="auto" w:fill="C6EFCE"/>
            <w:tcMar>
              <w:left w:w="108" w:type="dxa"/>
              <w:right w:w="108" w:type="dxa"/>
            </w:tcMar>
            <w:vAlign w:val="center"/>
          </w:tcPr>
          <w:p w14:paraId="1023F8F9"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4F131A22" w14:textId="77777777" w:rsidR="00327FF1" w:rsidRDefault="00E406C7">
            <w:pPr>
              <w:pStyle w:val="P68B1DB1-Normal121"/>
              <w:spacing w:after="0" w:line="240" w:lineRule="auto"/>
              <w:rPr>
                <w:noProof/>
              </w:rPr>
            </w:pPr>
            <w:r>
              <w:rPr>
                <w:noProof/>
              </w:rPr>
              <w:t>Pilsētu atjaunošanas intervenču projekti, kas aptver pašvaldības</w:t>
            </w:r>
          </w:p>
        </w:tc>
      </w:tr>
      <w:tr w:rsidR="00327FF1" w14:paraId="589BEEE1" w14:textId="77777777">
        <w:trPr>
          <w:trHeight w:val="300"/>
        </w:trPr>
        <w:tc>
          <w:tcPr>
            <w:tcW w:w="1246" w:type="dxa"/>
            <w:shd w:val="clear" w:color="auto" w:fill="C6EFCE"/>
            <w:tcMar>
              <w:left w:w="108" w:type="dxa"/>
              <w:right w:w="108" w:type="dxa"/>
            </w:tcMar>
            <w:vAlign w:val="center"/>
          </w:tcPr>
          <w:p w14:paraId="332C0127" w14:textId="77777777" w:rsidR="00327FF1" w:rsidRDefault="00E406C7">
            <w:pPr>
              <w:pStyle w:val="P68B1DB1-Normal121"/>
              <w:spacing w:after="0" w:line="240" w:lineRule="auto"/>
              <w:jc w:val="center"/>
              <w:rPr>
                <w:noProof/>
              </w:rPr>
            </w:pPr>
            <w:r>
              <w:rPr>
                <w:noProof/>
              </w:rPr>
              <w:t>M5C2–14</w:t>
            </w:r>
          </w:p>
        </w:tc>
        <w:tc>
          <w:tcPr>
            <w:tcW w:w="3449" w:type="dxa"/>
            <w:shd w:val="clear" w:color="auto" w:fill="C6EFCE"/>
            <w:tcMar>
              <w:left w:w="108" w:type="dxa"/>
              <w:right w:w="108" w:type="dxa"/>
            </w:tcMar>
            <w:vAlign w:val="center"/>
          </w:tcPr>
          <w:p w14:paraId="3A34FA67" w14:textId="77777777" w:rsidR="00327FF1" w:rsidRDefault="00E406C7">
            <w:pPr>
              <w:pStyle w:val="P68B1DB1-Normal121"/>
              <w:spacing w:after="0" w:line="240" w:lineRule="auto"/>
              <w:rPr>
                <w:noProof/>
              </w:rPr>
            </w:pPr>
            <w:r>
              <w:rPr>
                <w:noProof/>
              </w:rPr>
              <w:t xml:space="preserve">Investīcija </w:t>
            </w:r>
            <w:r>
              <w:rPr>
                <w:noProof/>
              </w:rPr>
              <w:t>Nr. 5 “Integrētie pilsētu plāni — vispārīgi projekti”</w:t>
            </w:r>
          </w:p>
        </w:tc>
        <w:tc>
          <w:tcPr>
            <w:tcW w:w="1134" w:type="dxa"/>
            <w:shd w:val="clear" w:color="auto" w:fill="C6EFCE"/>
            <w:tcMar>
              <w:left w:w="108" w:type="dxa"/>
              <w:right w:w="108" w:type="dxa"/>
            </w:tcMar>
            <w:vAlign w:val="center"/>
          </w:tcPr>
          <w:p w14:paraId="1D7714F7"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7C6C0F82" w14:textId="77777777" w:rsidR="00327FF1" w:rsidRDefault="00E406C7">
            <w:pPr>
              <w:pStyle w:val="P68B1DB1-Normal121"/>
              <w:spacing w:after="0" w:line="240" w:lineRule="auto"/>
              <w:rPr>
                <w:noProof/>
              </w:rPr>
            </w:pPr>
            <w:r>
              <w:rPr>
                <w:noProof/>
              </w:rPr>
              <w:t>Integrētas plānošanas projektu pabeigšana lielpilsētās</w:t>
            </w:r>
          </w:p>
        </w:tc>
      </w:tr>
      <w:tr w:rsidR="00327FF1" w14:paraId="1E9AE1A7" w14:textId="77777777">
        <w:trPr>
          <w:trHeight w:val="300"/>
        </w:trPr>
        <w:tc>
          <w:tcPr>
            <w:tcW w:w="1246" w:type="dxa"/>
            <w:shd w:val="clear" w:color="auto" w:fill="C6EFCE"/>
            <w:tcMar>
              <w:left w:w="108" w:type="dxa"/>
              <w:right w:w="108" w:type="dxa"/>
            </w:tcMar>
            <w:vAlign w:val="center"/>
          </w:tcPr>
          <w:p w14:paraId="712802EE" w14:textId="77777777" w:rsidR="00327FF1" w:rsidRDefault="00E406C7">
            <w:pPr>
              <w:pStyle w:val="P68B1DB1-Normal121"/>
              <w:spacing w:after="0" w:line="240" w:lineRule="auto"/>
              <w:jc w:val="center"/>
              <w:rPr>
                <w:noProof/>
              </w:rPr>
            </w:pPr>
            <w:r>
              <w:rPr>
                <w:noProof/>
              </w:rPr>
              <w:t>M5C2–16</w:t>
            </w:r>
          </w:p>
        </w:tc>
        <w:tc>
          <w:tcPr>
            <w:tcW w:w="3449" w:type="dxa"/>
            <w:shd w:val="clear" w:color="auto" w:fill="C6EFCE"/>
            <w:tcMar>
              <w:left w:w="108" w:type="dxa"/>
              <w:right w:w="108" w:type="dxa"/>
            </w:tcMar>
            <w:vAlign w:val="center"/>
          </w:tcPr>
          <w:p w14:paraId="27055275" w14:textId="77777777" w:rsidR="00327FF1" w:rsidRDefault="00E406C7">
            <w:pPr>
              <w:pStyle w:val="P68B1DB1-Normal121"/>
              <w:spacing w:after="0" w:line="240" w:lineRule="auto"/>
              <w:rPr>
                <w:noProof/>
              </w:rPr>
            </w:pPr>
            <w:r>
              <w:rPr>
                <w:noProof/>
              </w:rPr>
              <w:t>Investīcija Nr. 5 — integrētie pilsētu plāni — nelikumīgu apmetņu pārvarēšana, lai cīnītos pret darbaspēka ekspluatāciju lauksaimnie</w:t>
            </w:r>
            <w:r>
              <w:rPr>
                <w:noProof/>
              </w:rPr>
              <w:t>cībā</w:t>
            </w:r>
          </w:p>
        </w:tc>
        <w:tc>
          <w:tcPr>
            <w:tcW w:w="1134" w:type="dxa"/>
            <w:shd w:val="clear" w:color="auto" w:fill="C6EFCE"/>
            <w:tcMar>
              <w:left w:w="108" w:type="dxa"/>
              <w:right w:w="108" w:type="dxa"/>
            </w:tcMar>
            <w:vAlign w:val="center"/>
          </w:tcPr>
          <w:p w14:paraId="12391EDC"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346194EC" w14:textId="77777777" w:rsidR="00327FF1" w:rsidRDefault="00E406C7">
            <w:pPr>
              <w:pStyle w:val="P68B1DB1-Normal121"/>
              <w:spacing w:after="0" w:line="240" w:lineRule="auto"/>
              <w:rPr>
                <w:noProof/>
              </w:rPr>
            </w:pPr>
            <w:r>
              <w:rPr>
                <w:noProof/>
              </w:rPr>
              <w:t>Projekti par mājokļiem lauksaimniecībā nodarbinātajiem un platformas izveide</w:t>
            </w:r>
          </w:p>
        </w:tc>
      </w:tr>
      <w:tr w:rsidR="00327FF1" w14:paraId="032F0736" w14:textId="77777777">
        <w:trPr>
          <w:trHeight w:val="300"/>
        </w:trPr>
        <w:tc>
          <w:tcPr>
            <w:tcW w:w="1246" w:type="dxa"/>
            <w:shd w:val="clear" w:color="auto" w:fill="C6EFCE"/>
            <w:tcMar>
              <w:left w:w="108" w:type="dxa"/>
              <w:right w:w="108" w:type="dxa"/>
            </w:tcMar>
            <w:vAlign w:val="center"/>
          </w:tcPr>
          <w:p w14:paraId="12B05429" w14:textId="77777777" w:rsidR="00327FF1" w:rsidRDefault="00E406C7">
            <w:pPr>
              <w:pStyle w:val="P68B1DB1-Normal121"/>
              <w:spacing w:after="0" w:line="240" w:lineRule="auto"/>
              <w:jc w:val="center"/>
              <w:rPr>
                <w:noProof/>
              </w:rPr>
            </w:pPr>
            <w:r>
              <w:rPr>
                <w:noProof/>
              </w:rPr>
              <w:t>M5C2–22</w:t>
            </w:r>
          </w:p>
        </w:tc>
        <w:tc>
          <w:tcPr>
            <w:tcW w:w="3449" w:type="dxa"/>
            <w:shd w:val="clear" w:color="auto" w:fill="C6EFCE"/>
            <w:tcMar>
              <w:left w:w="108" w:type="dxa"/>
              <w:right w:w="108" w:type="dxa"/>
            </w:tcMar>
            <w:vAlign w:val="center"/>
          </w:tcPr>
          <w:p w14:paraId="11997626" w14:textId="77777777" w:rsidR="00327FF1" w:rsidRDefault="00E406C7">
            <w:pPr>
              <w:pStyle w:val="P68B1DB1-Normal121"/>
              <w:spacing w:after="0" w:line="240" w:lineRule="auto"/>
              <w:rPr>
                <w:noProof/>
              </w:rPr>
            </w:pPr>
            <w:r>
              <w:rPr>
                <w:noProof/>
              </w:rPr>
              <w:t xml:space="preserve">Investīcija Nr. 7 — Sports un sociālā integrācija </w:t>
            </w:r>
          </w:p>
        </w:tc>
        <w:tc>
          <w:tcPr>
            <w:tcW w:w="1134" w:type="dxa"/>
            <w:shd w:val="clear" w:color="auto" w:fill="C6EFCE"/>
            <w:tcMar>
              <w:left w:w="108" w:type="dxa"/>
              <w:right w:w="108" w:type="dxa"/>
            </w:tcMar>
            <w:vAlign w:val="center"/>
          </w:tcPr>
          <w:p w14:paraId="47564DB2"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54EF80DA" w14:textId="77777777" w:rsidR="00327FF1" w:rsidRDefault="00E406C7">
            <w:pPr>
              <w:pStyle w:val="P68B1DB1-Normal121"/>
              <w:spacing w:after="0" w:line="240" w:lineRule="auto"/>
              <w:rPr>
                <w:noProof/>
              </w:rPr>
            </w:pPr>
            <w:r>
              <w:rPr>
                <w:noProof/>
              </w:rPr>
              <w:t>Izsniegtie sertifikāti par darbu pabeigšanu</w:t>
            </w:r>
          </w:p>
        </w:tc>
      </w:tr>
      <w:tr w:rsidR="00327FF1" w14:paraId="7EBACB0E" w14:textId="77777777">
        <w:trPr>
          <w:trHeight w:val="300"/>
        </w:trPr>
        <w:tc>
          <w:tcPr>
            <w:tcW w:w="1246" w:type="dxa"/>
            <w:shd w:val="clear" w:color="auto" w:fill="C6EFCE"/>
            <w:tcMar>
              <w:left w:w="108" w:type="dxa"/>
              <w:right w:w="108" w:type="dxa"/>
            </w:tcMar>
            <w:vAlign w:val="center"/>
          </w:tcPr>
          <w:p w14:paraId="3E345831" w14:textId="77777777" w:rsidR="00327FF1" w:rsidRDefault="00E406C7">
            <w:pPr>
              <w:pStyle w:val="P68B1DB1-Normal121"/>
              <w:spacing w:after="0" w:line="240" w:lineRule="auto"/>
              <w:jc w:val="center"/>
              <w:rPr>
                <w:noProof/>
              </w:rPr>
            </w:pPr>
            <w:r>
              <w:rPr>
                <w:noProof/>
              </w:rPr>
              <w:t>M5C3–13</w:t>
            </w:r>
          </w:p>
        </w:tc>
        <w:tc>
          <w:tcPr>
            <w:tcW w:w="3449" w:type="dxa"/>
            <w:shd w:val="clear" w:color="auto" w:fill="C6EFCE"/>
            <w:tcMar>
              <w:left w:w="108" w:type="dxa"/>
              <w:right w:w="108" w:type="dxa"/>
            </w:tcMar>
            <w:vAlign w:val="center"/>
          </w:tcPr>
          <w:p w14:paraId="792824C5" w14:textId="77777777" w:rsidR="00327FF1" w:rsidRDefault="00E406C7">
            <w:pPr>
              <w:pStyle w:val="P68B1DB1-Normal121"/>
              <w:spacing w:after="0" w:line="240" w:lineRule="auto"/>
              <w:rPr>
                <w:noProof/>
              </w:rPr>
            </w:pPr>
            <w:r>
              <w:rPr>
                <w:noProof/>
              </w:rPr>
              <w:t xml:space="preserve">Investīcija Nr. 1.4: Ieguldījumi speciālajā </w:t>
            </w:r>
            <w:r>
              <w:rPr>
                <w:noProof/>
              </w:rPr>
              <w:t>ekonomiskajā zonā infrastruktūrā</w:t>
            </w:r>
          </w:p>
        </w:tc>
        <w:tc>
          <w:tcPr>
            <w:tcW w:w="1134" w:type="dxa"/>
            <w:shd w:val="clear" w:color="auto" w:fill="C6EFCE"/>
            <w:tcMar>
              <w:left w:w="108" w:type="dxa"/>
              <w:right w:w="108" w:type="dxa"/>
            </w:tcMar>
            <w:vAlign w:val="center"/>
          </w:tcPr>
          <w:p w14:paraId="141789AA"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6608E80B" w14:textId="77777777" w:rsidR="00327FF1" w:rsidRDefault="00E406C7">
            <w:pPr>
              <w:pStyle w:val="P68B1DB1-Normal121"/>
              <w:spacing w:after="0" w:line="240" w:lineRule="auto"/>
              <w:rPr>
                <w:noProof/>
              </w:rPr>
            </w:pPr>
            <w:r>
              <w:rPr>
                <w:noProof/>
              </w:rPr>
              <w:t>Infrastruktūras intervences pabeigšana speciālajās ekonomiskajās zonās.</w:t>
            </w:r>
          </w:p>
        </w:tc>
      </w:tr>
      <w:tr w:rsidR="00327FF1" w14:paraId="30F5AB4E" w14:textId="77777777">
        <w:trPr>
          <w:trHeight w:val="300"/>
        </w:trPr>
        <w:tc>
          <w:tcPr>
            <w:tcW w:w="1246" w:type="dxa"/>
            <w:shd w:val="clear" w:color="auto" w:fill="C6EFCE"/>
            <w:tcMar>
              <w:left w:w="108" w:type="dxa"/>
              <w:right w:w="108" w:type="dxa"/>
            </w:tcMar>
            <w:vAlign w:val="center"/>
          </w:tcPr>
          <w:p w14:paraId="5F0CC8DA" w14:textId="77777777" w:rsidR="00327FF1" w:rsidRDefault="00E406C7">
            <w:pPr>
              <w:pStyle w:val="P68B1DB1-Normal121"/>
              <w:spacing w:after="0" w:line="240" w:lineRule="auto"/>
              <w:jc w:val="center"/>
              <w:rPr>
                <w:noProof/>
              </w:rPr>
            </w:pPr>
            <w:r>
              <w:rPr>
                <w:noProof/>
              </w:rPr>
              <w:t>M6C1–3</w:t>
            </w:r>
          </w:p>
        </w:tc>
        <w:tc>
          <w:tcPr>
            <w:tcW w:w="3449" w:type="dxa"/>
            <w:shd w:val="clear" w:color="auto" w:fill="C6EFCE"/>
            <w:tcMar>
              <w:left w:w="108" w:type="dxa"/>
              <w:right w:w="108" w:type="dxa"/>
            </w:tcMar>
            <w:vAlign w:val="center"/>
          </w:tcPr>
          <w:p w14:paraId="08823B46" w14:textId="77777777" w:rsidR="00327FF1" w:rsidRDefault="00E406C7">
            <w:pPr>
              <w:pStyle w:val="P68B1DB1-Normal121"/>
              <w:spacing w:after="0" w:line="240" w:lineRule="auto"/>
              <w:rPr>
                <w:noProof/>
              </w:rPr>
            </w:pPr>
            <w:r>
              <w:rPr>
                <w:noProof/>
              </w:rPr>
              <w:t>Investīcija 1.1: Kopienu veselības aprūpes nami, lai uzlabotu teritoriālo palīdzību veselības jomā</w:t>
            </w:r>
          </w:p>
        </w:tc>
        <w:tc>
          <w:tcPr>
            <w:tcW w:w="1134" w:type="dxa"/>
            <w:shd w:val="clear" w:color="auto" w:fill="C6EFCE"/>
            <w:tcMar>
              <w:left w:w="108" w:type="dxa"/>
              <w:right w:w="108" w:type="dxa"/>
            </w:tcMar>
            <w:vAlign w:val="center"/>
          </w:tcPr>
          <w:p w14:paraId="0728AB60"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3E43252B" w14:textId="77777777" w:rsidR="00327FF1" w:rsidRDefault="00E406C7">
            <w:pPr>
              <w:pStyle w:val="P68B1DB1-Normal121"/>
              <w:spacing w:after="0" w:line="240" w:lineRule="auto"/>
              <w:rPr>
                <w:noProof/>
              </w:rPr>
            </w:pPr>
            <w:r>
              <w:rPr>
                <w:noProof/>
              </w:rPr>
              <w:t xml:space="preserve">Ir aktivizēti Kopienas veselības aprūpes iestāžu pakalpojumi </w:t>
            </w:r>
          </w:p>
        </w:tc>
      </w:tr>
      <w:tr w:rsidR="00327FF1" w14:paraId="71FF1C8A" w14:textId="77777777">
        <w:trPr>
          <w:trHeight w:val="300"/>
        </w:trPr>
        <w:tc>
          <w:tcPr>
            <w:tcW w:w="1246" w:type="dxa"/>
            <w:shd w:val="clear" w:color="auto" w:fill="C6EFCE"/>
            <w:tcMar>
              <w:left w:w="108" w:type="dxa"/>
              <w:right w:w="108" w:type="dxa"/>
            </w:tcMar>
            <w:vAlign w:val="center"/>
          </w:tcPr>
          <w:p w14:paraId="5BB98A27" w14:textId="77777777" w:rsidR="00327FF1" w:rsidRDefault="00E406C7">
            <w:pPr>
              <w:pStyle w:val="P68B1DB1-Normal121"/>
              <w:spacing w:after="0" w:line="240" w:lineRule="auto"/>
              <w:jc w:val="center"/>
              <w:rPr>
                <w:noProof/>
              </w:rPr>
            </w:pPr>
            <w:r>
              <w:rPr>
                <w:noProof/>
              </w:rPr>
              <w:t>M6C1–11</w:t>
            </w:r>
          </w:p>
        </w:tc>
        <w:tc>
          <w:tcPr>
            <w:tcW w:w="3449" w:type="dxa"/>
            <w:shd w:val="clear" w:color="auto" w:fill="C6EFCE"/>
            <w:tcMar>
              <w:left w:w="108" w:type="dxa"/>
              <w:right w:w="108" w:type="dxa"/>
            </w:tcMar>
            <w:vAlign w:val="center"/>
          </w:tcPr>
          <w:p w14:paraId="77F5EA8F" w14:textId="77777777" w:rsidR="00327FF1" w:rsidRDefault="00E406C7">
            <w:pPr>
              <w:pStyle w:val="P68B1DB1-Normal121"/>
              <w:spacing w:after="0" w:line="240" w:lineRule="auto"/>
              <w:rPr>
                <w:noProof/>
              </w:rPr>
            </w:pPr>
            <w:r>
              <w:rPr>
                <w:noProof/>
              </w:rPr>
              <w:t>Investīcija Nr. 1.3. Starpniecības veselības aprūpes un tās telpu stiprināšana (Kopienas slimnīcas)</w:t>
            </w:r>
          </w:p>
        </w:tc>
        <w:tc>
          <w:tcPr>
            <w:tcW w:w="1134" w:type="dxa"/>
            <w:shd w:val="clear" w:color="auto" w:fill="C6EFCE"/>
            <w:tcMar>
              <w:left w:w="108" w:type="dxa"/>
              <w:right w:w="108" w:type="dxa"/>
            </w:tcMar>
            <w:vAlign w:val="center"/>
          </w:tcPr>
          <w:p w14:paraId="30345B79"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63A5FD9B" w14:textId="123DBCD9" w:rsidR="00327FF1" w:rsidRDefault="00E406C7">
            <w:pPr>
              <w:pStyle w:val="P68B1DB1-Normal121"/>
              <w:spacing w:after="0" w:line="240" w:lineRule="auto"/>
              <w:rPr>
                <w:noProof/>
              </w:rPr>
            </w:pPr>
            <w:r>
              <w:rPr>
                <w:noProof/>
              </w:rPr>
              <w:t>Atjaunotas, savstarpēji savienotas un tehnoloģiski aprīkotas kopienas slimnīcas</w:t>
            </w:r>
            <w:r>
              <w:rPr>
                <w:noProof/>
              </w:rPr>
              <w:t xml:space="preserve"> </w:t>
            </w:r>
          </w:p>
        </w:tc>
      </w:tr>
      <w:tr w:rsidR="00327FF1" w14:paraId="60D40B2F" w14:textId="77777777">
        <w:trPr>
          <w:trHeight w:val="300"/>
        </w:trPr>
        <w:tc>
          <w:tcPr>
            <w:tcW w:w="1246" w:type="dxa"/>
            <w:shd w:val="clear" w:color="auto" w:fill="C6EFCE"/>
            <w:tcMar>
              <w:left w:w="108" w:type="dxa"/>
              <w:right w:w="108" w:type="dxa"/>
            </w:tcMar>
            <w:vAlign w:val="center"/>
          </w:tcPr>
          <w:p w14:paraId="62F6D64A" w14:textId="77777777" w:rsidR="00327FF1" w:rsidRDefault="00E406C7">
            <w:pPr>
              <w:pStyle w:val="P68B1DB1-Normal121"/>
              <w:spacing w:after="0" w:line="240" w:lineRule="auto"/>
              <w:jc w:val="center"/>
              <w:rPr>
                <w:noProof/>
              </w:rPr>
            </w:pPr>
            <w:r>
              <w:rPr>
                <w:noProof/>
              </w:rPr>
              <w:t>M6C2–6</w:t>
            </w:r>
          </w:p>
        </w:tc>
        <w:tc>
          <w:tcPr>
            <w:tcW w:w="3449" w:type="dxa"/>
            <w:shd w:val="clear" w:color="auto" w:fill="C6EFCE"/>
            <w:tcMar>
              <w:left w:w="108" w:type="dxa"/>
              <w:right w:w="108" w:type="dxa"/>
            </w:tcMar>
            <w:vAlign w:val="center"/>
          </w:tcPr>
          <w:p w14:paraId="3287ADF9" w14:textId="77777777" w:rsidR="00327FF1" w:rsidRDefault="00E406C7">
            <w:pPr>
              <w:pStyle w:val="P68B1DB1-Normal123"/>
              <w:spacing w:after="0" w:line="240" w:lineRule="auto"/>
              <w:rPr>
                <w:noProof/>
              </w:rPr>
            </w:pPr>
            <w:r>
              <w:rPr>
                <w:noProof/>
              </w:rPr>
              <w:t>Investīcija 1.1: Slimnīcu tehnoloģiskā aprīkojuma digitālā atjaunināšana</w:t>
            </w:r>
          </w:p>
        </w:tc>
        <w:tc>
          <w:tcPr>
            <w:tcW w:w="1134" w:type="dxa"/>
            <w:shd w:val="clear" w:color="auto" w:fill="C6EFCE"/>
            <w:tcMar>
              <w:left w:w="108" w:type="dxa"/>
              <w:right w:w="108" w:type="dxa"/>
            </w:tcMar>
            <w:vAlign w:val="center"/>
          </w:tcPr>
          <w:p w14:paraId="1A2A022D" w14:textId="77777777" w:rsidR="00327FF1" w:rsidRDefault="00E406C7">
            <w:pPr>
              <w:pStyle w:val="P68B1DB1-Normal123"/>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58A22E38" w14:textId="77777777" w:rsidR="00327FF1" w:rsidRDefault="00E406C7">
            <w:pPr>
              <w:pStyle w:val="P68B1DB1-Normal123"/>
              <w:spacing w:after="0" w:line="240" w:lineRule="auto"/>
              <w:rPr>
                <w:noProof/>
              </w:rPr>
            </w:pPr>
            <w:r>
              <w:rPr>
                <w:noProof/>
              </w:rPr>
              <w:t>Lielu diagnostikas iekārtu piegāde</w:t>
            </w:r>
          </w:p>
        </w:tc>
      </w:tr>
      <w:tr w:rsidR="00327FF1" w14:paraId="627BC4CB" w14:textId="77777777">
        <w:trPr>
          <w:trHeight w:val="300"/>
        </w:trPr>
        <w:tc>
          <w:tcPr>
            <w:tcW w:w="1246" w:type="dxa"/>
            <w:shd w:val="clear" w:color="auto" w:fill="C6EFCE"/>
            <w:tcMar>
              <w:left w:w="108" w:type="dxa"/>
              <w:right w:w="108" w:type="dxa"/>
            </w:tcMar>
            <w:vAlign w:val="center"/>
          </w:tcPr>
          <w:p w14:paraId="41BDF90B" w14:textId="77777777" w:rsidR="00327FF1" w:rsidRDefault="00E406C7">
            <w:pPr>
              <w:pStyle w:val="P68B1DB1-Normal121"/>
              <w:spacing w:after="0" w:line="240" w:lineRule="auto"/>
              <w:jc w:val="center"/>
              <w:rPr>
                <w:noProof/>
              </w:rPr>
            </w:pPr>
            <w:r>
              <w:rPr>
                <w:noProof/>
              </w:rPr>
              <w:t>M6C2–9</w:t>
            </w:r>
          </w:p>
        </w:tc>
        <w:tc>
          <w:tcPr>
            <w:tcW w:w="3449" w:type="dxa"/>
            <w:shd w:val="clear" w:color="auto" w:fill="C6EFCE"/>
            <w:tcMar>
              <w:left w:w="108" w:type="dxa"/>
              <w:right w:w="108" w:type="dxa"/>
            </w:tcMar>
            <w:vAlign w:val="center"/>
          </w:tcPr>
          <w:p w14:paraId="3007F536" w14:textId="77777777" w:rsidR="00327FF1" w:rsidRDefault="00E406C7">
            <w:pPr>
              <w:pStyle w:val="P68B1DB1-Normal123"/>
              <w:spacing w:after="0" w:line="240" w:lineRule="auto"/>
              <w:rPr>
                <w:noProof/>
              </w:rPr>
            </w:pPr>
            <w:r>
              <w:rPr>
                <w:noProof/>
              </w:rPr>
              <w:t>Investīcija 1.1: Slimnīcu tehnoloģiskā aprīkojuma digitālā atjaunināšana</w:t>
            </w:r>
          </w:p>
        </w:tc>
        <w:tc>
          <w:tcPr>
            <w:tcW w:w="1134" w:type="dxa"/>
            <w:shd w:val="clear" w:color="auto" w:fill="C6EFCE"/>
            <w:tcMar>
              <w:left w:w="108" w:type="dxa"/>
              <w:right w:w="108" w:type="dxa"/>
            </w:tcMar>
            <w:vAlign w:val="center"/>
          </w:tcPr>
          <w:p w14:paraId="3C56E6C5" w14:textId="77777777" w:rsidR="00327FF1" w:rsidRDefault="00E406C7">
            <w:pPr>
              <w:pStyle w:val="P68B1DB1-Normal123"/>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6CDFD859" w14:textId="77777777" w:rsidR="00327FF1" w:rsidRDefault="00E406C7">
            <w:pPr>
              <w:pStyle w:val="P68B1DB1-Normal123"/>
              <w:spacing w:after="0" w:line="240" w:lineRule="auto"/>
              <w:rPr>
                <w:noProof/>
              </w:rPr>
            </w:pPr>
            <w:r>
              <w:rPr>
                <w:noProof/>
              </w:rPr>
              <w:t xml:space="preserve">Papildu gultasvietas, ko nodrošina ICU un </w:t>
            </w:r>
            <w:r>
              <w:rPr>
                <w:noProof/>
              </w:rPr>
              <w:t>apakšintensīvā aprūpe</w:t>
            </w:r>
          </w:p>
        </w:tc>
      </w:tr>
      <w:tr w:rsidR="00327FF1" w14:paraId="6277A35E" w14:textId="77777777">
        <w:trPr>
          <w:trHeight w:val="300"/>
        </w:trPr>
        <w:tc>
          <w:tcPr>
            <w:tcW w:w="1246" w:type="dxa"/>
            <w:shd w:val="clear" w:color="auto" w:fill="C6EFCE"/>
            <w:tcMar>
              <w:left w:w="108" w:type="dxa"/>
              <w:right w:w="108" w:type="dxa"/>
            </w:tcMar>
            <w:vAlign w:val="center"/>
          </w:tcPr>
          <w:p w14:paraId="41398054" w14:textId="77777777" w:rsidR="00327FF1" w:rsidRDefault="00E406C7">
            <w:pPr>
              <w:pStyle w:val="P68B1DB1-Normal121"/>
              <w:spacing w:after="0" w:line="240" w:lineRule="auto"/>
              <w:jc w:val="center"/>
              <w:rPr>
                <w:noProof/>
              </w:rPr>
            </w:pPr>
            <w:r>
              <w:rPr>
                <w:noProof/>
              </w:rPr>
              <w:t>M6C2–10</w:t>
            </w:r>
          </w:p>
        </w:tc>
        <w:tc>
          <w:tcPr>
            <w:tcW w:w="3449" w:type="dxa"/>
            <w:shd w:val="clear" w:color="auto" w:fill="C6EFCE"/>
            <w:tcMar>
              <w:left w:w="108" w:type="dxa"/>
              <w:right w:w="108" w:type="dxa"/>
            </w:tcMar>
            <w:vAlign w:val="center"/>
          </w:tcPr>
          <w:p w14:paraId="55FCF586" w14:textId="77777777" w:rsidR="00327FF1" w:rsidRDefault="00E406C7">
            <w:pPr>
              <w:pStyle w:val="P68B1DB1-Normal123"/>
              <w:spacing w:after="0" w:line="240" w:lineRule="auto"/>
              <w:rPr>
                <w:noProof/>
              </w:rPr>
            </w:pPr>
            <w:r>
              <w:rPr>
                <w:noProof/>
              </w:rPr>
              <w:t>Ieguldījums 1.2. Ceļā uz drošu un ilgtspējīgu slimnīcu</w:t>
            </w:r>
          </w:p>
        </w:tc>
        <w:tc>
          <w:tcPr>
            <w:tcW w:w="1134" w:type="dxa"/>
            <w:shd w:val="clear" w:color="auto" w:fill="C6EFCE"/>
            <w:tcMar>
              <w:left w:w="108" w:type="dxa"/>
              <w:right w:w="108" w:type="dxa"/>
            </w:tcMar>
            <w:vAlign w:val="center"/>
          </w:tcPr>
          <w:p w14:paraId="6463FBCE" w14:textId="77777777" w:rsidR="00327FF1" w:rsidRDefault="00E406C7">
            <w:pPr>
              <w:pStyle w:val="P68B1DB1-Normal123"/>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6ABFFDC7" w14:textId="77777777" w:rsidR="00327FF1" w:rsidRDefault="00E406C7">
            <w:pPr>
              <w:pStyle w:val="P68B1DB1-Normal123"/>
              <w:spacing w:after="0" w:line="240" w:lineRule="auto"/>
              <w:rPr>
                <w:noProof/>
              </w:rPr>
            </w:pPr>
            <w:r>
              <w:rPr>
                <w:noProof/>
              </w:rPr>
              <w:t>Ir pabeigta seismiskā iejaukšanās slimnīcās</w:t>
            </w:r>
          </w:p>
        </w:tc>
      </w:tr>
      <w:tr w:rsidR="00327FF1" w14:paraId="1297A5B5" w14:textId="77777777">
        <w:trPr>
          <w:trHeight w:val="300"/>
        </w:trPr>
        <w:tc>
          <w:tcPr>
            <w:tcW w:w="1246" w:type="dxa"/>
            <w:shd w:val="clear" w:color="auto" w:fill="C6EFCE"/>
            <w:tcMar>
              <w:left w:w="108" w:type="dxa"/>
              <w:right w:w="108" w:type="dxa"/>
            </w:tcMar>
            <w:vAlign w:val="center"/>
          </w:tcPr>
          <w:p w14:paraId="22C33274" w14:textId="77777777" w:rsidR="00327FF1" w:rsidRDefault="00E406C7">
            <w:pPr>
              <w:pStyle w:val="P68B1DB1-Normal121"/>
              <w:spacing w:after="0" w:line="240" w:lineRule="auto"/>
              <w:jc w:val="center"/>
              <w:rPr>
                <w:noProof/>
              </w:rPr>
            </w:pPr>
            <w:r>
              <w:rPr>
                <w:noProof/>
              </w:rPr>
              <w:t>M6C2–10 bis</w:t>
            </w:r>
          </w:p>
        </w:tc>
        <w:tc>
          <w:tcPr>
            <w:tcW w:w="3449" w:type="dxa"/>
            <w:shd w:val="clear" w:color="auto" w:fill="C6EFCE"/>
            <w:tcMar>
              <w:left w:w="108" w:type="dxa"/>
              <w:right w:w="108" w:type="dxa"/>
            </w:tcMar>
            <w:vAlign w:val="center"/>
          </w:tcPr>
          <w:p w14:paraId="357355CC" w14:textId="77777777" w:rsidR="00327FF1" w:rsidRDefault="00E406C7">
            <w:pPr>
              <w:pStyle w:val="P68B1DB1-Normal123"/>
              <w:spacing w:after="0" w:line="240" w:lineRule="auto"/>
              <w:rPr>
                <w:noProof/>
              </w:rPr>
            </w:pPr>
            <w:r>
              <w:rPr>
                <w:noProof/>
              </w:rPr>
              <w:t>Ieguldījums 1.2. Ceļā uz drošu un ilgtspējīgu slimnīcu</w:t>
            </w:r>
          </w:p>
        </w:tc>
        <w:tc>
          <w:tcPr>
            <w:tcW w:w="1134" w:type="dxa"/>
            <w:shd w:val="clear" w:color="auto" w:fill="C6EFCE"/>
            <w:tcMar>
              <w:left w:w="108" w:type="dxa"/>
              <w:right w:w="108" w:type="dxa"/>
            </w:tcMar>
            <w:vAlign w:val="center"/>
          </w:tcPr>
          <w:p w14:paraId="24AF3BCB" w14:textId="77777777" w:rsidR="00327FF1" w:rsidRDefault="00E406C7">
            <w:pPr>
              <w:pStyle w:val="P68B1DB1-Normal123"/>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71959590" w14:textId="77777777" w:rsidR="00327FF1" w:rsidRDefault="00E406C7">
            <w:pPr>
              <w:pStyle w:val="P68B1DB1-Normal123"/>
              <w:spacing w:after="0" w:line="240" w:lineRule="auto"/>
              <w:rPr>
                <w:noProof/>
              </w:rPr>
            </w:pPr>
            <w:r>
              <w:rPr>
                <w:noProof/>
              </w:rPr>
              <w:t xml:space="preserve">ANM resursu izmaksa projektiem saskaņā ar </w:t>
            </w:r>
            <w:r>
              <w:rPr>
                <w:noProof/>
              </w:rPr>
              <w:t>Finanšu likuma Nr. 67/88 20. pantu “Veselības aprūpes ēka”</w:t>
            </w:r>
          </w:p>
        </w:tc>
      </w:tr>
      <w:tr w:rsidR="00327FF1" w14:paraId="348ACAF3" w14:textId="77777777">
        <w:trPr>
          <w:trHeight w:val="300"/>
        </w:trPr>
        <w:tc>
          <w:tcPr>
            <w:tcW w:w="1246" w:type="dxa"/>
            <w:shd w:val="clear" w:color="auto" w:fill="C6EFCE"/>
            <w:tcMar>
              <w:left w:w="108" w:type="dxa"/>
              <w:right w:w="108" w:type="dxa"/>
            </w:tcMar>
            <w:vAlign w:val="center"/>
          </w:tcPr>
          <w:p w14:paraId="5EBCD5E9" w14:textId="77777777" w:rsidR="00327FF1" w:rsidRDefault="00E406C7">
            <w:pPr>
              <w:pStyle w:val="P68B1DB1-Normal121"/>
              <w:spacing w:after="0" w:line="240" w:lineRule="auto"/>
              <w:jc w:val="center"/>
              <w:rPr>
                <w:noProof/>
              </w:rPr>
            </w:pPr>
            <w:r>
              <w:rPr>
                <w:noProof/>
              </w:rPr>
              <w:t>M6C2–12</w:t>
            </w:r>
          </w:p>
        </w:tc>
        <w:tc>
          <w:tcPr>
            <w:tcW w:w="3449" w:type="dxa"/>
            <w:shd w:val="clear" w:color="auto" w:fill="C6EFCE"/>
            <w:tcMar>
              <w:left w:w="108" w:type="dxa"/>
              <w:right w:w="108" w:type="dxa"/>
            </w:tcMar>
            <w:vAlign w:val="center"/>
          </w:tcPr>
          <w:p w14:paraId="0D673E97" w14:textId="77777777" w:rsidR="00327FF1" w:rsidRDefault="00E406C7">
            <w:pPr>
              <w:pStyle w:val="P68B1DB1-Normal123"/>
              <w:spacing w:after="0" w:line="240" w:lineRule="auto"/>
              <w:rPr>
                <w:noProof/>
              </w:rPr>
            </w:pPr>
            <w:r>
              <w:rPr>
                <w:noProof/>
              </w:rPr>
              <w:t>Investīcija Nr. 1.3. Tehnoloģiskās infrastruktūras un datu vākšanas, datu apstrādes, datu analīzes un simulācijas rīku stiprināšana</w:t>
            </w:r>
          </w:p>
        </w:tc>
        <w:tc>
          <w:tcPr>
            <w:tcW w:w="1134" w:type="dxa"/>
            <w:shd w:val="clear" w:color="auto" w:fill="C6EFCE"/>
            <w:tcMar>
              <w:left w:w="108" w:type="dxa"/>
              <w:right w:w="108" w:type="dxa"/>
            </w:tcMar>
            <w:vAlign w:val="center"/>
          </w:tcPr>
          <w:p w14:paraId="4CD8CC65" w14:textId="77777777" w:rsidR="00327FF1" w:rsidRDefault="00E406C7">
            <w:pPr>
              <w:pStyle w:val="P68B1DB1-Normal123"/>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3426189B" w14:textId="77777777" w:rsidR="00327FF1" w:rsidRDefault="00E406C7">
            <w:pPr>
              <w:pStyle w:val="P68B1DB1-Normal123"/>
              <w:spacing w:after="0" w:line="240" w:lineRule="auto"/>
              <w:rPr>
                <w:noProof/>
              </w:rPr>
            </w:pPr>
            <w:r>
              <w:rPr>
                <w:noProof/>
              </w:rPr>
              <w:t>Darbojas veselības apdrošināšanas karšu</w:t>
            </w:r>
            <w:r>
              <w:rPr>
                <w:noProof/>
              </w:rPr>
              <w:t xml:space="preserve"> sistēma un infrastruktūra e-veselības pacienta karšu sadarbspējai.</w:t>
            </w:r>
          </w:p>
        </w:tc>
      </w:tr>
      <w:tr w:rsidR="00327FF1" w14:paraId="5136ADAE" w14:textId="77777777">
        <w:trPr>
          <w:trHeight w:val="300"/>
        </w:trPr>
        <w:tc>
          <w:tcPr>
            <w:tcW w:w="1246" w:type="dxa"/>
            <w:shd w:val="clear" w:color="auto" w:fill="C6EFCE"/>
            <w:tcMar>
              <w:left w:w="108" w:type="dxa"/>
              <w:right w:w="108" w:type="dxa"/>
            </w:tcMar>
            <w:vAlign w:val="center"/>
          </w:tcPr>
          <w:p w14:paraId="4B98A18C" w14:textId="77777777" w:rsidR="00327FF1" w:rsidRDefault="00E406C7">
            <w:pPr>
              <w:pStyle w:val="P68B1DB1-Normal121"/>
              <w:spacing w:after="0" w:line="240" w:lineRule="auto"/>
              <w:jc w:val="center"/>
              <w:rPr>
                <w:noProof/>
              </w:rPr>
            </w:pPr>
            <w:r>
              <w:rPr>
                <w:noProof/>
              </w:rPr>
              <w:t>M6C2–13</w:t>
            </w:r>
          </w:p>
        </w:tc>
        <w:tc>
          <w:tcPr>
            <w:tcW w:w="3449" w:type="dxa"/>
            <w:shd w:val="clear" w:color="auto" w:fill="C6EFCE"/>
            <w:tcMar>
              <w:left w:w="108" w:type="dxa"/>
              <w:right w:w="108" w:type="dxa"/>
            </w:tcMar>
            <w:vAlign w:val="center"/>
          </w:tcPr>
          <w:p w14:paraId="397A4676" w14:textId="77777777" w:rsidR="00327FF1" w:rsidRDefault="00E406C7">
            <w:pPr>
              <w:pStyle w:val="P68B1DB1-Normal123"/>
              <w:spacing w:after="0" w:line="240" w:lineRule="auto"/>
              <w:rPr>
                <w:noProof/>
              </w:rPr>
            </w:pPr>
            <w:r>
              <w:rPr>
                <w:noProof/>
              </w:rPr>
              <w:t>Investīcija Nr. 1.3. Tehnoloģiskās infrastruktūras un datu vākšanas, datu apstrādes, datu analīzes un simulācijas rīku stiprināšana</w:t>
            </w:r>
          </w:p>
        </w:tc>
        <w:tc>
          <w:tcPr>
            <w:tcW w:w="1134" w:type="dxa"/>
            <w:shd w:val="clear" w:color="auto" w:fill="C6EFCE"/>
            <w:tcMar>
              <w:left w:w="108" w:type="dxa"/>
              <w:right w:w="108" w:type="dxa"/>
            </w:tcMar>
            <w:vAlign w:val="center"/>
          </w:tcPr>
          <w:p w14:paraId="22EDE51A" w14:textId="77777777" w:rsidR="00327FF1" w:rsidRDefault="00E406C7">
            <w:pPr>
              <w:pStyle w:val="P68B1DB1-Normal123"/>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1B7ACDD2" w14:textId="77777777" w:rsidR="00327FF1" w:rsidRDefault="00E406C7">
            <w:pPr>
              <w:pStyle w:val="P68B1DB1-Normal123"/>
              <w:spacing w:after="0" w:line="240" w:lineRule="auto"/>
              <w:rPr>
                <w:noProof/>
              </w:rPr>
            </w:pPr>
            <w:r>
              <w:rPr>
                <w:noProof/>
              </w:rPr>
              <w:t>Lielākajai daļai veselības karšu tiek izm</w:t>
            </w:r>
            <w:r>
              <w:rPr>
                <w:noProof/>
              </w:rPr>
              <w:t>antota e-veselības pacienta karte</w:t>
            </w:r>
          </w:p>
        </w:tc>
      </w:tr>
      <w:tr w:rsidR="00327FF1" w14:paraId="16B66833" w14:textId="77777777">
        <w:trPr>
          <w:trHeight w:val="300"/>
        </w:trPr>
        <w:tc>
          <w:tcPr>
            <w:tcW w:w="1246" w:type="dxa"/>
            <w:shd w:val="clear" w:color="auto" w:fill="C6EFCE"/>
            <w:tcMar>
              <w:left w:w="108" w:type="dxa"/>
              <w:right w:w="108" w:type="dxa"/>
            </w:tcMar>
            <w:vAlign w:val="center"/>
          </w:tcPr>
          <w:p w14:paraId="39B1D57C" w14:textId="77777777" w:rsidR="00327FF1" w:rsidRDefault="00E406C7">
            <w:pPr>
              <w:pStyle w:val="P68B1DB1-Normal121"/>
              <w:spacing w:after="0" w:line="240" w:lineRule="auto"/>
              <w:jc w:val="center"/>
              <w:rPr>
                <w:noProof/>
              </w:rPr>
            </w:pPr>
            <w:r>
              <w:rPr>
                <w:noProof/>
              </w:rPr>
              <w:t>M7–37</w:t>
            </w:r>
          </w:p>
        </w:tc>
        <w:tc>
          <w:tcPr>
            <w:tcW w:w="3449" w:type="dxa"/>
            <w:shd w:val="clear" w:color="auto" w:fill="C6EFCE"/>
            <w:tcMar>
              <w:left w:w="108" w:type="dxa"/>
              <w:right w:w="108" w:type="dxa"/>
            </w:tcMar>
            <w:vAlign w:val="center"/>
          </w:tcPr>
          <w:p w14:paraId="7657D7C0" w14:textId="77777777" w:rsidR="00327FF1" w:rsidRDefault="00E406C7">
            <w:pPr>
              <w:pStyle w:val="P68B1DB1-Normal121"/>
              <w:spacing w:after="0" w:line="240" w:lineRule="auto"/>
              <w:rPr>
                <w:noProof/>
              </w:rPr>
            </w:pPr>
            <w:r>
              <w:rPr>
                <w:noProof/>
              </w:rPr>
              <w:t>Investīcija Nr. 13: Adrijas jūras līnijas 1. posms (Sulmonas kompresoru stacija un Sestino-Minerbio gāzes cauruļvads)</w:t>
            </w:r>
          </w:p>
        </w:tc>
        <w:tc>
          <w:tcPr>
            <w:tcW w:w="1134" w:type="dxa"/>
            <w:shd w:val="clear" w:color="auto" w:fill="C6EFCE"/>
            <w:tcMar>
              <w:left w:w="108" w:type="dxa"/>
              <w:right w:w="108" w:type="dxa"/>
            </w:tcMar>
            <w:vAlign w:val="center"/>
          </w:tcPr>
          <w:p w14:paraId="22FCDB8F" w14:textId="77777777"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597FCBB3" w14:textId="77777777" w:rsidR="00327FF1" w:rsidRDefault="00E406C7">
            <w:pPr>
              <w:pStyle w:val="P68B1DB1-Normal121"/>
              <w:spacing w:after="0" w:line="240" w:lineRule="auto"/>
              <w:rPr>
                <w:noProof/>
              </w:rPr>
            </w:pPr>
            <w:r>
              <w:rPr>
                <w:noProof/>
              </w:rPr>
              <w:t>Izsniegtie sertifikāti par darbu pabeigšanu</w:t>
            </w:r>
          </w:p>
        </w:tc>
      </w:tr>
      <w:tr w:rsidR="00327FF1" w14:paraId="2EC60B44" w14:textId="77777777">
        <w:trPr>
          <w:trHeight w:val="300"/>
        </w:trPr>
        <w:tc>
          <w:tcPr>
            <w:tcW w:w="1246" w:type="dxa"/>
            <w:shd w:val="clear" w:color="auto" w:fill="C6EFCE"/>
            <w:tcMar>
              <w:left w:w="108" w:type="dxa"/>
              <w:right w:w="108" w:type="dxa"/>
            </w:tcMar>
            <w:vAlign w:val="center"/>
          </w:tcPr>
          <w:p w14:paraId="6EC81BA8" w14:textId="77777777" w:rsidR="00327FF1" w:rsidRDefault="00E406C7">
            <w:pPr>
              <w:pStyle w:val="P68B1DB1-Normal121"/>
              <w:spacing w:after="0" w:line="240" w:lineRule="auto"/>
              <w:jc w:val="center"/>
              <w:rPr>
                <w:noProof/>
              </w:rPr>
            </w:pPr>
            <w:r>
              <w:rPr>
                <w:noProof/>
              </w:rPr>
              <w:t>M7–39</w:t>
            </w:r>
          </w:p>
        </w:tc>
        <w:tc>
          <w:tcPr>
            <w:tcW w:w="3449" w:type="dxa"/>
            <w:shd w:val="clear" w:color="auto" w:fill="C6EFCE"/>
            <w:tcMar>
              <w:left w:w="108" w:type="dxa"/>
              <w:right w:w="108" w:type="dxa"/>
            </w:tcMar>
            <w:vAlign w:val="center"/>
          </w:tcPr>
          <w:p w14:paraId="0DD9DF8A" w14:textId="77777777" w:rsidR="00327FF1" w:rsidRDefault="00E406C7">
            <w:pPr>
              <w:pStyle w:val="P68B1DB1-Normal121"/>
              <w:spacing w:after="0" w:line="240" w:lineRule="auto"/>
              <w:rPr>
                <w:noProof/>
              </w:rPr>
            </w:pPr>
            <w:r>
              <w:rPr>
                <w:noProof/>
              </w:rPr>
              <w:t>Investīcija Nr. 14: Pārrobežu</w:t>
            </w:r>
            <w:r>
              <w:rPr>
                <w:noProof/>
              </w:rPr>
              <w:t xml:space="preserve"> gāzes eksporta infrastruktūra</w:t>
            </w:r>
          </w:p>
        </w:tc>
        <w:tc>
          <w:tcPr>
            <w:tcW w:w="1134" w:type="dxa"/>
            <w:shd w:val="clear" w:color="auto" w:fill="C6EFCE"/>
            <w:tcMar>
              <w:left w:w="108" w:type="dxa"/>
              <w:right w:w="108" w:type="dxa"/>
            </w:tcMar>
            <w:vAlign w:val="center"/>
          </w:tcPr>
          <w:p w14:paraId="7A616CFF" w14:textId="77777777"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069F77DD" w14:textId="77777777" w:rsidR="00327FF1" w:rsidRDefault="00E406C7">
            <w:pPr>
              <w:pStyle w:val="P68B1DB1-Normal121"/>
              <w:spacing w:after="0" w:line="240" w:lineRule="auto"/>
              <w:rPr>
                <w:noProof/>
              </w:rPr>
            </w:pPr>
            <w:r>
              <w:rPr>
                <w:noProof/>
              </w:rPr>
              <w:t>Izsniegtie sertifikāti par darbu pabeigšanu</w:t>
            </w:r>
          </w:p>
        </w:tc>
      </w:tr>
      <w:tr w:rsidR="00327FF1" w14:paraId="11EB092B" w14:textId="77777777">
        <w:trPr>
          <w:trHeight w:val="300"/>
        </w:trPr>
        <w:tc>
          <w:tcPr>
            <w:tcW w:w="1246" w:type="dxa"/>
            <w:shd w:val="clear" w:color="auto" w:fill="C6EFCE"/>
            <w:tcMar>
              <w:left w:w="108" w:type="dxa"/>
              <w:right w:w="108" w:type="dxa"/>
            </w:tcMar>
            <w:vAlign w:val="center"/>
          </w:tcPr>
          <w:p w14:paraId="7EAAE918" w14:textId="77777777" w:rsidR="00327FF1" w:rsidRDefault="00E406C7">
            <w:pPr>
              <w:pStyle w:val="P68B1DB1-Normal121"/>
              <w:spacing w:after="0" w:line="240" w:lineRule="auto"/>
              <w:jc w:val="center"/>
              <w:rPr>
                <w:noProof/>
              </w:rPr>
            </w:pPr>
            <w:r>
              <w:rPr>
                <w:noProof/>
              </w:rPr>
              <w:t>M7–41</w:t>
            </w:r>
          </w:p>
        </w:tc>
        <w:tc>
          <w:tcPr>
            <w:tcW w:w="3449" w:type="dxa"/>
            <w:shd w:val="clear" w:color="auto" w:fill="C6EFCE"/>
            <w:tcMar>
              <w:left w:w="108" w:type="dxa"/>
              <w:right w:w="108" w:type="dxa"/>
            </w:tcMar>
            <w:vAlign w:val="center"/>
          </w:tcPr>
          <w:p w14:paraId="7DBD432A" w14:textId="77777777" w:rsidR="00327FF1" w:rsidRDefault="00E406C7">
            <w:pPr>
              <w:pStyle w:val="P68B1DB1-Normal121"/>
              <w:spacing w:after="0" w:line="240" w:lineRule="auto"/>
              <w:rPr>
                <w:noProof/>
              </w:rPr>
            </w:pPr>
            <w:r>
              <w:rPr>
                <w:noProof/>
              </w:rPr>
              <w:t xml:space="preserve">Investīcija Nr. 15: Transizione 5.0 </w:t>
            </w:r>
          </w:p>
        </w:tc>
        <w:tc>
          <w:tcPr>
            <w:tcW w:w="1134" w:type="dxa"/>
            <w:shd w:val="clear" w:color="auto" w:fill="C6EFCE"/>
            <w:tcMar>
              <w:left w:w="108" w:type="dxa"/>
              <w:right w:w="108" w:type="dxa"/>
            </w:tcMar>
            <w:vAlign w:val="center"/>
          </w:tcPr>
          <w:p w14:paraId="60C68F6D"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3C793B77" w14:textId="77777777" w:rsidR="00327FF1" w:rsidRDefault="00E406C7">
            <w:pPr>
              <w:pStyle w:val="P68B1DB1-Normal121"/>
              <w:spacing w:after="0" w:line="240" w:lineRule="auto"/>
              <w:rPr>
                <w:noProof/>
              </w:rPr>
            </w:pPr>
            <w:r>
              <w:rPr>
                <w:noProof/>
              </w:rPr>
              <w:t>ANM resursu piešķiršana</w:t>
            </w:r>
          </w:p>
        </w:tc>
      </w:tr>
      <w:tr w:rsidR="00327FF1" w14:paraId="3A9E54E2" w14:textId="77777777">
        <w:trPr>
          <w:trHeight w:val="300"/>
        </w:trPr>
        <w:tc>
          <w:tcPr>
            <w:tcW w:w="1246" w:type="dxa"/>
            <w:shd w:val="clear" w:color="auto" w:fill="C6EFCE"/>
            <w:tcMar>
              <w:left w:w="108" w:type="dxa"/>
              <w:right w:w="108" w:type="dxa"/>
            </w:tcMar>
            <w:vAlign w:val="center"/>
          </w:tcPr>
          <w:p w14:paraId="00CB6E4C" w14:textId="77777777" w:rsidR="00327FF1" w:rsidRDefault="00E406C7">
            <w:pPr>
              <w:pStyle w:val="P68B1DB1-Normal121"/>
              <w:spacing w:after="0" w:line="240" w:lineRule="auto"/>
              <w:jc w:val="center"/>
              <w:rPr>
                <w:noProof/>
              </w:rPr>
            </w:pPr>
            <w:r>
              <w:rPr>
                <w:noProof/>
              </w:rPr>
              <w:t>M7–42</w:t>
            </w:r>
          </w:p>
        </w:tc>
        <w:tc>
          <w:tcPr>
            <w:tcW w:w="3449" w:type="dxa"/>
            <w:shd w:val="clear" w:color="auto" w:fill="C6EFCE"/>
            <w:tcMar>
              <w:left w:w="108" w:type="dxa"/>
              <w:right w:w="108" w:type="dxa"/>
            </w:tcMar>
            <w:vAlign w:val="center"/>
          </w:tcPr>
          <w:p w14:paraId="17530B84" w14:textId="77777777" w:rsidR="00327FF1" w:rsidRDefault="00E406C7">
            <w:pPr>
              <w:pStyle w:val="P68B1DB1-Normal121"/>
              <w:spacing w:after="0" w:line="240" w:lineRule="auto"/>
              <w:rPr>
                <w:noProof/>
              </w:rPr>
            </w:pPr>
            <w:r>
              <w:rPr>
                <w:noProof/>
              </w:rPr>
              <w:t>Investīcija Nr. 15: Transizione 5.0</w:t>
            </w:r>
          </w:p>
        </w:tc>
        <w:tc>
          <w:tcPr>
            <w:tcW w:w="1134" w:type="dxa"/>
            <w:shd w:val="clear" w:color="auto" w:fill="C6EFCE"/>
            <w:tcMar>
              <w:left w:w="108" w:type="dxa"/>
              <w:right w:w="108" w:type="dxa"/>
            </w:tcMar>
            <w:vAlign w:val="center"/>
          </w:tcPr>
          <w:p w14:paraId="67ED7961"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1C566CF3" w14:textId="77777777" w:rsidR="00327FF1" w:rsidRDefault="00E406C7">
            <w:pPr>
              <w:pStyle w:val="P68B1DB1-Normal121"/>
              <w:spacing w:after="0" w:line="240" w:lineRule="auto"/>
              <w:rPr>
                <w:noProof/>
              </w:rPr>
            </w:pPr>
            <w:r>
              <w:rPr>
                <w:noProof/>
              </w:rPr>
              <w:t xml:space="preserve">0,4 Mtoe enerģijas ietaupījums enerģijas </w:t>
            </w:r>
            <w:r>
              <w:rPr>
                <w:noProof/>
              </w:rPr>
              <w:t>galapatēriņā 2024.–2026. gada periodā</w:t>
            </w:r>
          </w:p>
        </w:tc>
      </w:tr>
      <w:tr w:rsidR="00327FF1" w14:paraId="0C15D73B" w14:textId="77777777">
        <w:trPr>
          <w:trHeight w:val="300"/>
        </w:trPr>
        <w:tc>
          <w:tcPr>
            <w:tcW w:w="1246" w:type="dxa"/>
            <w:shd w:val="clear" w:color="auto" w:fill="C6EFCE"/>
            <w:tcMar>
              <w:left w:w="108" w:type="dxa"/>
              <w:right w:w="108" w:type="dxa"/>
            </w:tcMar>
            <w:vAlign w:val="center"/>
          </w:tcPr>
          <w:p w14:paraId="672B3B30" w14:textId="77777777" w:rsidR="00327FF1" w:rsidRDefault="00E406C7">
            <w:pPr>
              <w:pStyle w:val="P68B1DB1-Normal121"/>
              <w:spacing w:after="0" w:line="240" w:lineRule="auto"/>
              <w:jc w:val="center"/>
              <w:rPr>
                <w:noProof/>
              </w:rPr>
            </w:pPr>
            <w:r>
              <w:rPr>
                <w:noProof/>
              </w:rPr>
              <w:t>M7–45</w:t>
            </w:r>
          </w:p>
        </w:tc>
        <w:tc>
          <w:tcPr>
            <w:tcW w:w="3449" w:type="dxa"/>
            <w:shd w:val="clear" w:color="auto" w:fill="C6EFCE"/>
            <w:tcMar>
              <w:left w:w="108" w:type="dxa"/>
              <w:right w:w="108" w:type="dxa"/>
            </w:tcMar>
            <w:vAlign w:val="center"/>
          </w:tcPr>
          <w:p w14:paraId="008A9F85" w14:textId="77777777" w:rsidR="00327FF1" w:rsidRDefault="00E406C7">
            <w:pPr>
              <w:pStyle w:val="P68B1DB1-Normal121"/>
              <w:spacing w:after="0" w:line="240" w:lineRule="auto"/>
              <w:rPr>
                <w:noProof/>
              </w:rPr>
            </w:pPr>
            <w:r>
              <w:rPr>
                <w:noProof/>
              </w:rPr>
              <w:t>Ieguldījums Nr. 16: Atbalsts MVU pašražošanai no atjaunojamiem enerģijas avotiem</w:t>
            </w:r>
          </w:p>
        </w:tc>
        <w:tc>
          <w:tcPr>
            <w:tcW w:w="1134" w:type="dxa"/>
            <w:shd w:val="clear" w:color="auto" w:fill="C6EFCE"/>
            <w:tcMar>
              <w:left w:w="108" w:type="dxa"/>
              <w:right w:w="108" w:type="dxa"/>
            </w:tcMar>
            <w:vAlign w:val="center"/>
          </w:tcPr>
          <w:p w14:paraId="61166730"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33818D48" w14:textId="77777777" w:rsidR="00327FF1" w:rsidRDefault="00E406C7">
            <w:pPr>
              <w:pStyle w:val="P68B1DB1-Normal121"/>
              <w:spacing w:after="0" w:line="240" w:lineRule="auto"/>
              <w:rPr>
                <w:noProof/>
              </w:rPr>
            </w:pPr>
            <w:r>
              <w:rPr>
                <w:noProof/>
              </w:rPr>
              <w:t>Juridiski nolīgumi ar galīgajiem saņēmējiem</w:t>
            </w:r>
          </w:p>
        </w:tc>
      </w:tr>
      <w:tr w:rsidR="00327FF1" w14:paraId="4974B148" w14:textId="77777777">
        <w:trPr>
          <w:trHeight w:val="300"/>
        </w:trPr>
        <w:tc>
          <w:tcPr>
            <w:tcW w:w="1246" w:type="dxa"/>
            <w:shd w:val="clear" w:color="auto" w:fill="C6EFCE"/>
            <w:tcMar>
              <w:left w:w="108" w:type="dxa"/>
              <w:right w:w="108" w:type="dxa"/>
            </w:tcMar>
            <w:vAlign w:val="center"/>
          </w:tcPr>
          <w:p w14:paraId="3CEE9E44" w14:textId="77777777" w:rsidR="00327FF1" w:rsidRDefault="00E406C7">
            <w:pPr>
              <w:pStyle w:val="P68B1DB1-Normal121"/>
              <w:spacing w:after="0" w:line="240" w:lineRule="auto"/>
              <w:jc w:val="center"/>
              <w:rPr>
                <w:noProof/>
              </w:rPr>
            </w:pPr>
            <w:r>
              <w:rPr>
                <w:noProof/>
              </w:rPr>
              <w:t>M7–49</w:t>
            </w:r>
          </w:p>
        </w:tc>
        <w:tc>
          <w:tcPr>
            <w:tcW w:w="3449" w:type="dxa"/>
            <w:shd w:val="clear" w:color="auto" w:fill="C6EFCE"/>
            <w:tcMar>
              <w:left w:w="108" w:type="dxa"/>
              <w:right w:w="108" w:type="dxa"/>
            </w:tcMar>
            <w:vAlign w:val="center"/>
          </w:tcPr>
          <w:p w14:paraId="293A7A82" w14:textId="77777777" w:rsidR="00327FF1" w:rsidRDefault="00E406C7">
            <w:pPr>
              <w:pStyle w:val="P68B1DB1-Normal121"/>
              <w:spacing w:after="0" w:line="240" w:lineRule="auto"/>
              <w:rPr>
                <w:noProof/>
              </w:rPr>
            </w:pPr>
            <w:r>
              <w:rPr>
                <w:noProof/>
              </w:rPr>
              <w:t>Investīcija Nr. 17: Finanšu instruments publisko dzīvojamo māju</w:t>
            </w:r>
            <w:r>
              <w:rPr>
                <w:noProof/>
              </w:rPr>
              <w:t xml:space="preserve"> energorenovācijai</w:t>
            </w:r>
          </w:p>
        </w:tc>
        <w:tc>
          <w:tcPr>
            <w:tcW w:w="1134" w:type="dxa"/>
            <w:shd w:val="clear" w:color="auto" w:fill="C6EFCE"/>
            <w:tcMar>
              <w:left w:w="108" w:type="dxa"/>
              <w:right w:w="108" w:type="dxa"/>
            </w:tcMar>
            <w:vAlign w:val="center"/>
          </w:tcPr>
          <w:p w14:paraId="437AA4F8"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53178C78" w14:textId="77777777" w:rsidR="00327FF1" w:rsidRDefault="00E406C7">
            <w:pPr>
              <w:pStyle w:val="P68B1DB1-Normal121"/>
              <w:spacing w:after="0" w:line="240" w:lineRule="auto"/>
              <w:rPr>
                <w:noProof/>
              </w:rPr>
            </w:pPr>
            <w:r>
              <w:rPr>
                <w:noProof/>
              </w:rPr>
              <w:t>Ar galīgajiem saņēmējiem parakstītie juridiskie nolīgumi</w:t>
            </w:r>
          </w:p>
        </w:tc>
      </w:tr>
      <w:tr w:rsidR="00327FF1" w14:paraId="485736F4" w14:textId="77777777">
        <w:trPr>
          <w:trHeight w:val="300"/>
        </w:trPr>
        <w:tc>
          <w:tcPr>
            <w:tcW w:w="1246" w:type="dxa"/>
            <w:shd w:val="clear" w:color="auto" w:fill="C6EFCE"/>
            <w:tcMar>
              <w:left w:w="108" w:type="dxa"/>
              <w:right w:w="108" w:type="dxa"/>
            </w:tcMar>
            <w:vAlign w:val="center"/>
          </w:tcPr>
          <w:p w14:paraId="1CC20142" w14:textId="77777777" w:rsidR="00327FF1" w:rsidRDefault="00E406C7">
            <w:pPr>
              <w:pStyle w:val="P68B1DB1-Normal121"/>
              <w:spacing w:after="0" w:line="240" w:lineRule="auto"/>
              <w:jc w:val="center"/>
              <w:rPr>
                <w:noProof/>
              </w:rPr>
            </w:pPr>
            <w:r>
              <w:rPr>
                <w:noProof/>
              </w:rPr>
              <w:t>M1C3–29</w:t>
            </w:r>
          </w:p>
        </w:tc>
        <w:tc>
          <w:tcPr>
            <w:tcW w:w="3449" w:type="dxa"/>
            <w:shd w:val="clear" w:color="auto" w:fill="C6EFCE"/>
            <w:tcMar>
              <w:left w:w="108" w:type="dxa"/>
              <w:right w:w="108" w:type="dxa"/>
            </w:tcMar>
            <w:vAlign w:val="center"/>
          </w:tcPr>
          <w:p w14:paraId="59B6FC3E" w14:textId="77777777" w:rsidR="00327FF1" w:rsidRDefault="00E406C7">
            <w:pPr>
              <w:pStyle w:val="P68B1DB1-Normal121"/>
              <w:spacing w:after="0" w:line="240" w:lineRule="auto"/>
              <w:rPr>
                <w:noProof/>
              </w:rPr>
            </w:pPr>
            <w:r>
              <w:rPr>
                <w:noProof/>
              </w:rPr>
              <w:t>Ieguldījums 4.2.:  Līdzekļi tūrisma uzņēmumu konkurētspējai</w:t>
            </w:r>
          </w:p>
        </w:tc>
        <w:tc>
          <w:tcPr>
            <w:tcW w:w="1134" w:type="dxa"/>
            <w:shd w:val="clear" w:color="auto" w:fill="C6EFCE"/>
            <w:tcMar>
              <w:left w:w="108" w:type="dxa"/>
              <w:right w:w="108" w:type="dxa"/>
            </w:tcMar>
            <w:vAlign w:val="center"/>
          </w:tcPr>
          <w:p w14:paraId="5BF7CA5C"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4C1B2495" w14:textId="77777777" w:rsidR="00327FF1" w:rsidRDefault="00E406C7">
            <w:pPr>
              <w:pStyle w:val="P68B1DB1-Normal121"/>
              <w:spacing w:after="0" w:line="240" w:lineRule="auto"/>
              <w:rPr>
                <w:noProof/>
              </w:rPr>
            </w:pPr>
            <w:r>
              <w:rPr>
                <w:noProof/>
              </w:rPr>
              <w:t xml:space="preserve">No Eiropas Investīciju bankas tematiskajiem fondiem atbalstāmo tūrisma projektu skaits </w:t>
            </w:r>
          </w:p>
        </w:tc>
      </w:tr>
      <w:tr w:rsidR="00327FF1" w14:paraId="266DBC5A" w14:textId="77777777">
        <w:trPr>
          <w:trHeight w:val="300"/>
        </w:trPr>
        <w:tc>
          <w:tcPr>
            <w:tcW w:w="1246" w:type="dxa"/>
            <w:shd w:val="clear" w:color="auto" w:fill="C6EFCE"/>
            <w:tcMar>
              <w:left w:w="108" w:type="dxa"/>
              <w:right w:w="108" w:type="dxa"/>
            </w:tcMar>
            <w:vAlign w:val="center"/>
          </w:tcPr>
          <w:p w14:paraId="54E40BC7" w14:textId="77777777" w:rsidR="00327FF1" w:rsidRDefault="00E406C7">
            <w:pPr>
              <w:pStyle w:val="P68B1DB1-Normal121"/>
              <w:spacing w:after="0" w:line="240" w:lineRule="auto"/>
              <w:jc w:val="center"/>
              <w:rPr>
                <w:noProof/>
              </w:rPr>
            </w:pPr>
            <w:r>
              <w:rPr>
                <w:noProof/>
              </w:rPr>
              <w:t>M3C2–9</w:t>
            </w:r>
          </w:p>
        </w:tc>
        <w:tc>
          <w:tcPr>
            <w:tcW w:w="3449" w:type="dxa"/>
            <w:shd w:val="clear" w:color="auto" w:fill="C6EFCE"/>
            <w:tcMar>
              <w:left w:w="108" w:type="dxa"/>
              <w:right w:w="108" w:type="dxa"/>
            </w:tcMar>
            <w:vAlign w:val="center"/>
          </w:tcPr>
          <w:p w14:paraId="4BA4A2AA" w14:textId="77777777" w:rsidR="00327FF1" w:rsidRDefault="00E406C7">
            <w:pPr>
              <w:pStyle w:val="P68B1DB1-Normal121"/>
              <w:spacing w:after="0" w:line="240" w:lineRule="auto"/>
              <w:rPr>
                <w:noProof/>
              </w:rPr>
            </w:pPr>
            <w:r>
              <w:rPr>
                <w:noProof/>
              </w:rPr>
              <w:t>Inv</w:t>
            </w:r>
            <w:r>
              <w:rPr>
                <w:noProof/>
              </w:rPr>
              <w:t xml:space="preserve">estīcija 1.1: Zaļās ostas: atjaunīgās enerģijas un energoefektivitātes intervences ostās </w:t>
            </w:r>
          </w:p>
        </w:tc>
        <w:tc>
          <w:tcPr>
            <w:tcW w:w="1134" w:type="dxa"/>
            <w:shd w:val="clear" w:color="auto" w:fill="C6EFCE"/>
            <w:tcMar>
              <w:left w:w="108" w:type="dxa"/>
              <w:right w:w="108" w:type="dxa"/>
            </w:tcMar>
            <w:vAlign w:val="center"/>
          </w:tcPr>
          <w:p w14:paraId="060137A4"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77C046EC" w14:textId="77777777" w:rsidR="00327FF1" w:rsidRDefault="00E406C7">
            <w:pPr>
              <w:pStyle w:val="P68B1DB1-Normal121"/>
              <w:spacing w:after="0" w:line="240" w:lineRule="auto"/>
              <w:rPr>
                <w:noProof/>
              </w:rPr>
            </w:pPr>
            <w:r>
              <w:rPr>
                <w:noProof/>
              </w:rPr>
              <w:t>Zaļās ostas: darbu pabeigšana</w:t>
            </w:r>
          </w:p>
        </w:tc>
      </w:tr>
      <w:tr w:rsidR="00327FF1" w14:paraId="53707D05" w14:textId="77777777">
        <w:trPr>
          <w:trHeight w:val="300"/>
        </w:trPr>
        <w:tc>
          <w:tcPr>
            <w:tcW w:w="1246" w:type="dxa"/>
            <w:shd w:val="clear" w:color="auto" w:fill="C6EFCE"/>
            <w:tcMar>
              <w:left w:w="108" w:type="dxa"/>
              <w:right w:w="108" w:type="dxa"/>
            </w:tcMar>
            <w:vAlign w:val="center"/>
          </w:tcPr>
          <w:p w14:paraId="5ADFA2D5" w14:textId="77777777" w:rsidR="00327FF1" w:rsidRDefault="00E406C7">
            <w:pPr>
              <w:pStyle w:val="P68B1DB1-Normal121"/>
              <w:spacing w:after="0" w:line="240" w:lineRule="auto"/>
              <w:jc w:val="center"/>
              <w:rPr>
                <w:noProof/>
              </w:rPr>
            </w:pPr>
            <w:r>
              <w:rPr>
                <w:noProof/>
              </w:rPr>
              <w:t>M1C2–23bis</w:t>
            </w:r>
          </w:p>
        </w:tc>
        <w:tc>
          <w:tcPr>
            <w:tcW w:w="3449" w:type="dxa"/>
            <w:shd w:val="clear" w:color="auto" w:fill="C6EFCE"/>
            <w:tcMar>
              <w:left w:w="108" w:type="dxa"/>
              <w:right w:w="108" w:type="dxa"/>
            </w:tcMar>
            <w:vAlign w:val="center"/>
          </w:tcPr>
          <w:p w14:paraId="5076B2EC" w14:textId="77777777" w:rsidR="00327FF1" w:rsidRDefault="00E406C7">
            <w:pPr>
              <w:pStyle w:val="P68B1DB1-Normal121"/>
              <w:spacing w:after="0" w:line="240" w:lineRule="auto"/>
              <w:rPr>
                <w:noProof/>
              </w:rPr>
            </w:pPr>
            <w:r>
              <w:rPr>
                <w:noProof/>
              </w:rPr>
              <w:t xml:space="preserve">Ieguldījums Nr. 4: Satelītu tehnoloģijas un kosmosa ekonomika </w:t>
            </w:r>
          </w:p>
        </w:tc>
        <w:tc>
          <w:tcPr>
            <w:tcW w:w="1134" w:type="dxa"/>
            <w:shd w:val="clear" w:color="auto" w:fill="C6EFCE"/>
            <w:tcMar>
              <w:left w:w="108" w:type="dxa"/>
              <w:right w:w="108" w:type="dxa"/>
            </w:tcMar>
            <w:vAlign w:val="center"/>
          </w:tcPr>
          <w:p w14:paraId="74BAF700" w14:textId="77777777"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43A2B116" w14:textId="77777777" w:rsidR="00327FF1" w:rsidRDefault="00E406C7">
            <w:pPr>
              <w:pStyle w:val="P68B1DB1-Normal121"/>
              <w:spacing w:after="0" w:line="240" w:lineRule="auto"/>
              <w:rPr>
                <w:noProof/>
              </w:rPr>
            </w:pPr>
            <w:r>
              <w:rPr>
                <w:noProof/>
              </w:rPr>
              <w:t xml:space="preserve">Satelītu tehnoloģiju un kosmosa </w:t>
            </w:r>
            <w:r>
              <w:rPr>
                <w:noProof/>
              </w:rPr>
              <w:t>projektu pabeigšana</w:t>
            </w:r>
          </w:p>
        </w:tc>
      </w:tr>
      <w:tr w:rsidR="00327FF1" w14:paraId="48E43B79" w14:textId="77777777">
        <w:trPr>
          <w:trHeight w:val="300"/>
        </w:trPr>
        <w:tc>
          <w:tcPr>
            <w:tcW w:w="1246" w:type="dxa"/>
            <w:shd w:val="clear" w:color="auto" w:fill="C6EFCE"/>
            <w:tcMar>
              <w:left w:w="108" w:type="dxa"/>
              <w:right w:w="108" w:type="dxa"/>
            </w:tcMar>
            <w:vAlign w:val="center"/>
          </w:tcPr>
          <w:p w14:paraId="1D791577" w14:textId="77777777" w:rsidR="00327FF1" w:rsidRDefault="00E406C7">
            <w:pPr>
              <w:pStyle w:val="P68B1DB1-Normal121"/>
              <w:spacing w:after="0" w:line="240" w:lineRule="auto"/>
              <w:jc w:val="center"/>
              <w:rPr>
                <w:noProof/>
              </w:rPr>
            </w:pPr>
            <w:r>
              <w:rPr>
                <w:noProof/>
              </w:rPr>
              <w:t>M1C3–16bis</w:t>
            </w:r>
          </w:p>
        </w:tc>
        <w:tc>
          <w:tcPr>
            <w:tcW w:w="3449" w:type="dxa"/>
            <w:shd w:val="clear" w:color="auto" w:fill="C6EFCE"/>
            <w:tcMar>
              <w:left w:w="108" w:type="dxa"/>
              <w:right w:w="108" w:type="dxa"/>
            </w:tcMar>
            <w:vAlign w:val="center"/>
          </w:tcPr>
          <w:p w14:paraId="4939383E" w14:textId="77777777" w:rsidR="00327FF1" w:rsidRDefault="00E406C7">
            <w:pPr>
              <w:pStyle w:val="P68B1DB1-Normal121"/>
              <w:spacing w:after="0" w:line="240" w:lineRule="auto"/>
              <w:rPr>
                <w:noProof/>
              </w:rPr>
            </w:pPr>
            <w:r>
              <w:rPr>
                <w:noProof/>
              </w:rPr>
              <w:t xml:space="preserve">Ieguldījums-2.1: Mazo vēsturisko pilsētu pievilcība </w:t>
            </w:r>
          </w:p>
        </w:tc>
        <w:tc>
          <w:tcPr>
            <w:tcW w:w="1134" w:type="dxa"/>
            <w:shd w:val="clear" w:color="auto" w:fill="C6EFCE"/>
            <w:tcMar>
              <w:left w:w="108" w:type="dxa"/>
              <w:right w:w="108" w:type="dxa"/>
            </w:tcMar>
            <w:vAlign w:val="center"/>
          </w:tcPr>
          <w:p w14:paraId="332F7D56"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3FE82BC7" w14:textId="77777777" w:rsidR="00327FF1" w:rsidRDefault="00E406C7">
            <w:pPr>
              <w:pStyle w:val="P68B1DB1-Normal121"/>
              <w:spacing w:after="0" w:line="240" w:lineRule="auto"/>
              <w:rPr>
                <w:noProof/>
              </w:rPr>
            </w:pPr>
            <w:r>
              <w:rPr>
                <w:noProof/>
              </w:rPr>
              <w:t>Mazo vēsturisko pilsētu kultūras atjaunošanas projekti</w:t>
            </w:r>
          </w:p>
        </w:tc>
      </w:tr>
      <w:tr w:rsidR="00327FF1" w14:paraId="1781DC30" w14:textId="77777777">
        <w:trPr>
          <w:trHeight w:val="1065"/>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6CA640D" w14:textId="77777777" w:rsidR="00327FF1" w:rsidRDefault="00E406C7">
            <w:pPr>
              <w:pStyle w:val="P68B1DB1-Normal121"/>
              <w:spacing w:after="0" w:line="240" w:lineRule="auto"/>
              <w:jc w:val="center"/>
              <w:rPr>
                <w:noProof/>
              </w:rPr>
            </w:pPr>
            <w:r>
              <w:rPr>
                <w:noProof/>
              </w:rPr>
              <w:t>M1C3–17</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6D316C" w14:textId="77777777" w:rsidR="00327FF1" w:rsidRDefault="00E406C7">
            <w:pPr>
              <w:pStyle w:val="P68B1DB1-Normal121"/>
              <w:spacing w:after="0" w:line="240" w:lineRule="auto"/>
              <w:rPr>
                <w:noProof/>
              </w:rPr>
            </w:pPr>
            <w:r>
              <w:rPr>
                <w:noProof/>
              </w:rPr>
              <w:t>Investīcijas — 2.2. Lauku arhitektūras un ainavas aizsardzība un uzlabošana</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0DC8E2" w14:textId="77777777" w:rsidR="00327FF1" w:rsidRDefault="00E406C7">
            <w:pPr>
              <w:pStyle w:val="P68B1DB1-Normal121"/>
              <w:spacing w:after="0" w:line="240" w:lineRule="auto"/>
              <w:jc w:val="center"/>
              <w:rPr>
                <w:noProof/>
              </w:rPr>
            </w:pPr>
            <w:r>
              <w:rPr>
                <w:noProof/>
              </w:rPr>
              <w:t>Mērķa</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E07F56" w14:textId="77777777" w:rsidR="00327FF1" w:rsidRDefault="00E406C7">
            <w:pPr>
              <w:pStyle w:val="P68B1DB1-Normal121"/>
              <w:spacing w:after="0" w:line="240" w:lineRule="auto"/>
              <w:rPr>
                <w:noProof/>
              </w:rPr>
            </w:pPr>
            <w:r>
              <w:rPr>
                <w:noProof/>
              </w:rPr>
              <w:t xml:space="preserve">Pabeigtas </w:t>
            </w:r>
            <w:r>
              <w:rPr>
                <w:noProof/>
              </w:rPr>
              <w:t>intervences lauku arhitektūras un ainavas aizsardzībai un uzlabošanai</w:t>
            </w:r>
          </w:p>
        </w:tc>
      </w:tr>
      <w:tr w:rsidR="00327FF1" w14:paraId="5DEEA733" w14:textId="77777777">
        <w:trPr>
          <w:trHeight w:val="300"/>
        </w:trPr>
        <w:tc>
          <w:tcPr>
            <w:tcW w:w="1246" w:type="dxa"/>
            <w:shd w:val="clear" w:color="auto" w:fill="C6EFCE"/>
            <w:tcMar>
              <w:left w:w="108" w:type="dxa"/>
              <w:right w:w="108" w:type="dxa"/>
            </w:tcMar>
            <w:vAlign w:val="center"/>
          </w:tcPr>
          <w:p w14:paraId="6BE8DE06" w14:textId="77777777" w:rsidR="00327FF1" w:rsidRDefault="00E406C7">
            <w:pPr>
              <w:pStyle w:val="P68B1DB1-Normal121"/>
              <w:spacing w:after="0" w:line="240" w:lineRule="auto"/>
              <w:jc w:val="center"/>
              <w:rPr>
                <w:noProof/>
              </w:rPr>
            </w:pPr>
            <w:r>
              <w:rPr>
                <w:noProof/>
              </w:rPr>
              <w:t>M1C3–19</w:t>
            </w:r>
          </w:p>
        </w:tc>
        <w:tc>
          <w:tcPr>
            <w:tcW w:w="3449" w:type="dxa"/>
            <w:shd w:val="clear" w:color="auto" w:fill="C6EFCE"/>
            <w:tcMar>
              <w:left w:w="108" w:type="dxa"/>
              <w:right w:w="108" w:type="dxa"/>
            </w:tcMar>
            <w:vAlign w:val="center"/>
          </w:tcPr>
          <w:p w14:paraId="5F9A7C0C" w14:textId="77777777" w:rsidR="00327FF1" w:rsidRDefault="00E406C7">
            <w:pPr>
              <w:pStyle w:val="P68B1DB1-Normal121"/>
              <w:spacing w:after="0" w:line="240" w:lineRule="auto"/>
              <w:rPr>
                <w:noProof/>
              </w:rPr>
            </w:pPr>
            <w:r>
              <w:rPr>
                <w:noProof/>
              </w:rPr>
              <w:t>Ieguldījums — 2.4. kulta vietu seismiskā drošība, FEC (Fondo Edifici di Culto) mantojuma atjaunošana un mākslas darbu patversmes (Recovery Art)</w:t>
            </w:r>
          </w:p>
        </w:tc>
        <w:tc>
          <w:tcPr>
            <w:tcW w:w="1134" w:type="dxa"/>
            <w:shd w:val="clear" w:color="auto" w:fill="C6EFCE"/>
            <w:tcMar>
              <w:left w:w="108" w:type="dxa"/>
              <w:right w:w="108" w:type="dxa"/>
            </w:tcMar>
            <w:vAlign w:val="center"/>
          </w:tcPr>
          <w:p w14:paraId="4495B98B"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3EFBD387" w14:textId="6582935E" w:rsidR="00327FF1" w:rsidRDefault="00E406C7">
            <w:pPr>
              <w:pStyle w:val="P68B1DB1-Normal121"/>
              <w:spacing w:after="0" w:line="240" w:lineRule="auto"/>
              <w:rPr>
                <w:noProof/>
              </w:rPr>
            </w:pPr>
            <w:r>
              <w:rPr>
                <w:noProof/>
              </w:rPr>
              <w:t xml:space="preserve">Pabeigta seismiskā drošība </w:t>
            </w:r>
            <w:r>
              <w:rPr>
                <w:noProof/>
              </w:rPr>
              <w:t>kulta vietās, FEC (Fondo Edifici di Culto) mantojuma atjaunošana un mākslas darbu patversmes</w:t>
            </w:r>
          </w:p>
        </w:tc>
      </w:tr>
      <w:tr w:rsidR="00327FF1" w14:paraId="2CB5BB0E" w14:textId="77777777">
        <w:trPr>
          <w:trHeight w:val="300"/>
        </w:trPr>
        <w:tc>
          <w:tcPr>
            <w:tcW w:w="1246" w:type="dxa"/>
            <w:shd w:val="clear" w:color="auto" w:fill="C6EFCE"/>
            <w:tcMar>
              <w:left w:w="108" w:type="dxa"/>
              <w:right w:w="108" w:type="dxa"/>
            </w:tcMar>
            <w:vAlign w:val="center"/>
          </w:tcPr>
          <w:p w14:paraId="27914278" w14:textId="77777777" w:rsidR="00327FF1" w:rsidRDefault="00E406C7">
            <w:pPr>
              <w:pStyle w:val="P68B1DB1-Normal121"/>
              <w:spacing w:after="0" w:line="240" w:lineRule="auto"/>
              <w:jc w:val="center"/>
              <w:rPr>
                <w:noProof/>
              </w:rPr>
            </w:pPr>
            <w:r>
              <w:rPr>
                <w:noProof/>
              </w:rPr>
              <w:t>M2C1–10</w:t>
            </w:r>
          </w:p>
        </w:tc>
        <w:tc>
          <w:tcPr>
            <w:tcW w:w="3449" w:type="dxa"/>
            <w:shd w:val="clear" w:color="auto" w:fill="C6EFCE"/>
            <w:tcMar>
              <w:left w:w="108" w:type="dxa"/>
              <w:right w:w="108" w:type="dxa"/>
            </w:tcMar>
            <w:vAlign w:val="center"/>
          </w:tcPr>
          <w:p w14:paraId="0AAFC180" w14:textId="77777777" w:rsidR="00327FF1" w:rsidRDefault="00E406C7">
            <w:pPr>
              <w:pStyle w:val="P68B1DB1-Normal121"/>
              <w:spacing w:after="0" w:line="240" w:lineRule="auto"/>
              <w:rPr>
                <w:noProof/>
              </w:rPr>
            </w:pPr>
            <w:r>
              <w:rPr>
                <w:noProof/>
              </w:rPr>
              <w:t>Investīcija 2.1: Loģistikas plāns lauksaimniecības pārtikas, zvejniecības un akvakultūras, mežsaimniecības, puķkopības un stādaudzētavas nozarei</w:t>
            </w:r>
          </w:p>
        </w:tc>
        <w:tc>
          <w:tcPr>
            <w:tcW w:w="1134" w:type="dxa"/>
            <w:shd w:val="clear" w:color="auto" w:fill="C6EFCE"/>
            <w:tcMar>
              <w:left w:w="108" w:type="dxa"/>
              <w:right w:w="108" w:type="dxa"/>
            </w:tcMar>
            <w:vAlign w:val="center"/>
          </w:tcPr>
          <w:p w14:paraId="139EFF0E"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55AB6E5D" w14:textId="77777777" w:rsidR="00327FF1" w:rsidRDefault="00E406C7">
            <w:pPr>
              <w:pStyle w:val="P68B1DB1-Normal121"/>
              <w:spacing w:after="0" w:line="240" w:lineRule="auto"/>
              <w:rPr>
                <w:noProof/>
              </w:rPr>
            </w:pPr>
            <w:r>
              <w:rPr>
                <w:noProof/>
              </w:rPr>
              <w:t>Intervences, kuru mērķis ir uzlabot loģistiku lauksaimniecības pārtikas, zvejniecības un akvakultūras, mežsaimniecības, puķkopības un stādaudzētavas nozarē</w:t>
            </w:r>
          </w:p>
        </w:tc>
      </w:tr>
      <w:tr w:rsidR="00327FF1" w14:paraId="58BCCAB5" w14:textId="77777777">
        <w:trPr>
          <w:trHeight w:val="300"/>
        </w:trPr>
        <w:tc>
          <w:tcPr>
            <w:tcW w:w="1246" w:type="dxa"/>
            <w:shd w:val="clear" w:color="auto" w:fill="C6EFCE"/>
            <w:tcMar>
              <w:left w:w="108" w:type="dxa"/>
              <w:right w:w="108" w:type="dxa"/>
            </w:tcMar>
            <w:vAlign w:val="center"/>
          </w:tcPr>
          <w:p w14:paraId="52D5D6AF" w14:textId="179BB4C2" w:rsidR="00327FF1" w:rsidRDefault="00E406C7">
            <w:pPr>
              <w:pStyle w:val="P68B1DB1-Normal121"/>
              <w:spacing w:after="0" w:line="240" w:lineRule="auto"/>
              <w:jc w:val="center"/>
              <w:rPr>
                <w:noProof/>
              </w:rPr>
            </w:pPr>
            <w:r>
              <w:rPr>
                <w:noProof/>
              </w:rPr>
              <w:t>M2C1–16quater</w:t>
            </w:r>
          </w:p>
        </w:tc>
        <w:tc>
          <w:tcPr>
            <w:tcW w:w="3449" w:type="dxa"/>
            <w:shd w:val="clear" w:color="auto" w:fill="C6EFCE"/>
            <w:tcMar>
              <w:left w:w="108" w:type="dxa"/>
              <w:right w:w="108" w:type="dxa"/>
            </w:tcMar>
            <w:vAlign w:val="center"/>
          </w:tcPr>
          <w:p w14:paraId="7099E62A" w14:textId="77777777" w:rsidR="00327FF1" w:rsidRDefault="00E406C7">
            <w:pPr>
              <w:pStyle w:val="P68B1DB1-Normal121"/>
              <w:spacing w:after="0" w:line="240" w:lineRule="auto"/>
              <w:rPr>
                <w:noProof/>
              </w:rPr>
            </w:pPr>
            <w:r>
              <w:rPr>
                <w:noProof/>
              </w:rPr>
              <w:t>Investīcija 1.1. — Jaunu atkritumu apsaimniekošanas iekārtu ieviešana un esošo iekārt</w:t>
            </w:r>
            <w:r>
              <w:rPr>
                <w:noProof/>
              </w:rPr>
              <w:t>u modernizācija un aprites ekonomikas “pamatprojekti”</w:t>
            </w:r>
          </w:p>
        </w:tc>
        <w:tc>
          <w:tcPr>
            <w:tcW w:w="1134" w:type="dxa"/>
            <w:shd w:val="clear" w:color="auto" w:fill="C6EFCE"/>
            <w:tcMar>
              <w:left w:w="108" w:type="dxa"/>
              <w:right w:w="108" w:type="dxa"/>
            </w:tcMar>
            <w:vAlign w:val="center"/>
          </w:tcPr>
          <w:p w14:paraId="5B1FDD5B"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707BCEE3" w14:textId="44208526" w:rsidR="00327FF1" w:rsidRDefault="00E406C7">
            <w:pPr>
              <w:pStyle w:val="P68B1DB1-Normal121"/>
              <w:spacing w:after="0" w:line="240" w:lineRule="auto"/>
              <w:rPr>
                <w:noProof/>
              </w:rPr>
            </w:pPr>
            <w:r>
              <w:rPr>
                <w:noProof/>
              </w:rPr>
              <w:t xml:space="preserve">Projec pabeigts  </w:t>
            </w:r>
          </w:p>
        </w:tc>
      </w:tr>
      <w:tr w:rsidR="00327FF1" w14:paraId="422FD69E"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4EF7DC" w14:textId="77777777" w:rsidR="00327FF1" w:rsidRDefault="00E406C7">
            <w:pPr>
              <w:pStyle w:val="P68B1DB1-Normal121"/>
              <w:spacing w:after="0" w:line="240" w:lineRule="auto"/>
              <w:jc w:val="center"/>
              <w:rPr>
                <w:noProof/>
              </w:rPr>
            </w:pPr>
            <w:r>
              <w:rPr>
                <w:noProof/>
              </w:rPr>
              <w:t>M2C2–45</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878220" w14:textId="77777777" w:rsidR="00327FF1" w:rsidRDefault="00E406C7">
            <w:pPr>
              <w:pStyle w:val="P68B1DB1-Normal121"/>
              <w:spacing w:after="0" w:line="240" w:lineRule="auto"/>
              <w:rPr>
                <w:noProof/>
              </w:rPr>
            </w:pPr>
            <w:r>
              <w:rPr>
                <w:noProof/>
              </w:rPr>
              <w:t>Investīcija 1.1: Agrovoltaisko sistēmu attīstība</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97B8E1" w14:textId="77777777" w:rsidR="00327FF1" w:rsidRDefault="00E406C7">
            <w:pPr>
              <w:pStyle w:val="P68B1DB1-Normal121"/>
              <w:spacing w:after="0" w:line="240" w:lineRule="auto"/>
              <w:jc w:val="center"/>
              <w:rPr>
                <w:noProof/>
              </w:rPr>
            </w:pPr>
            <w:r>
              <w:rPr>
                <w:noProof/>
              </w:rPr>
              <w:t>Atskaites punkts</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9C4C81" w14:textId="77777777" w:rsidR="00327FF1" w:rsidRDefault="00E406C7">
            <w:pPr>
              <w:pStyle w:val="P68B1DB1-Normal121"/>
              <w:spacing w:after="0" w:line="240" w:lineRule="auto"/>
              <w:rPr>
                <w:noProof/>
              </w:rPr>
            </w:pPr>
            <w:r>
              <w:rPr>
                <w:noProof/>
              </w:rPr>
              <w:t xml:space="preserve">Īstenošanas nolīgums, ar galīgajiem saņēmējiem parakstītie juridiskie nolīgumi un ieguldījumu </w:t>
            </w:r>
            <w:r>
              <w:rPr>
                <w:noProof/>
              </w:rPr>
              <w:t>pabeigšana</w:t>
            </w:r>
          </w:p>
        </w:tc>
      </w:tr>
      <w:tr w:rsidR="00327FF1" w14:paraId="274C2514"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EF2ED3" w14:textId="77777777" w:rsidR="00327FF1" w:rsidRDefault="00E406C7">
            <w:pPr>
              <w:pStyle w:val="P68B1DB1-Normal121"/>
              <w:spacing w:after="0" w:line="240" w:lineRule="auto"/>
              <w:jc w:val="center"/>
              <w:rPr>
                <w:noProof/>
              </w:rPr>
            </w:pPr>
            <w:r>
              <w:rPr>
                <w:noProof/>
              </w:rPr>
              <w:t>M4C1–18</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E42EDE" w14:textId="77777777" w:rsidR="00327FF1" w:rsidRDefault="00E406C7">
            <w:pPr>
              <w:pStyle w:val="P68B1DB1-Normal121"/>
              <w:spacing w:after="0" w:line="240" w:lineRule="auto"/>
              <w:rPr>
                <w:noProof/>
              </w:rPr>
            </w:pPr>
            <w:r>
              <w:rPr>
                <w:noProof/>
              </w:rPr>
              <w:t>Investīcija 1.1: Bērnudārzu un pirmsskolas izglītības un aprūpes pakalpojumu plāns</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E6C8CD" w14:textId="77777777" w:rsidR="00327FF1" w:rsidRDefault="00E406C7">
            <w:pPr>
              <w:pStyle w:val="P68B1DB1-Normal121"/>
              <w:spacing w:after="0" w:line="240" w:lineRule="auto"/>
              <w:jc w:val="center"/>
              <w:rPr>
                <w:noProof/>
              </w:rPr>
            </w:pPr>
            <w:r>
              <w:rPr>
                <w:noProof/>
              </w:rPr>
              <w:t>Mērķa</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B22542" w14:textId="77777777" w:rsidR="00327FF1" w:rsidRDefault="00E406C7">
            <w:pPr>
              <w:pStyle w:val="P68B1DB1-Normal121"/>
              <w:spacing w:after="0" w:line="240" w:lineRule="auto"/>
              <w:rPr>
                <w:noProof/>
              </w:rPr>
            </w:pPr>
            <w:r>
              <w:rPr>
                <w:noProof/>
              </w:rPr>
              <w:t>Jaunas vietas, kas aktivizētas izglītības un agrīnās pirmsskolas aprūpes pakalpojumu sniegšanai (no nulles līdz sešu gadu vecumam)</w:t>
            </w:r>
          </w:p>
        </w:tc>
      </w:tr>
      <w:tr w:rsidR="00327FF1" w14:paraId="506A8E65"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372A69" w14:textId="77777777" w:rsidR="00327FF1" w:rsidRDefault="00E406C7">
            <w:pPr>
              <w:pStyle w:val="P68B1DB1-Normal121"/>
              <w:spacing w:after="0" w:line="240" w:lineRule="auto"/>
              <w:jc w:val="center"/>
              <w:rPr>
                <w:noProof/>
              </w:rPr>
            </w:pPr>
            <w:r>
              <w:rPr>
                <w:noProof/>
              </w:rPr>
              <w:t>M4C1–21</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62D62F" w14:textId="77777777" w:rsidR="00327FF1" w:rsidRDefault="00E406C7">
            <w:pPr>
              <w:pStyle w:val="P68B1DB1-Normal121"/>
              <w:spacing w:after="0" w:line="240" w:lineRule="auto"/>
              <w:rPr>
                <w:noProof/>
              </w:rPr>
            </w:pPr>
            <w:r>
              <w:rPr>
                <w:noProof/>
              </w:rPr>
              <w:t>Ieguldī</w:t>
            </w:r>
            <w:r>
              <w:rPr>
                <w:noProof/>
              </w:rPr>
              <w:t>jums 1.2. Plāns pilna laika pagarināšanai</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BFB352" w14:textId="77777777" w:rsidR="00327FF1" w:rsidRDefault="00E406C7">
            <w:pPr>
              <w:pStyle w:val="P68B1DB1-Normal121"/>
              <w:spacing w:after="0" w:line="240" w:lineRule="auto"/>
              <w:jc w:val="center"/>
              <w:rPr>
                <w:noProof/>
              </w:rPr>
            </w:pPr>
            <w:r>
              <w:rPr>
                <w:noProof/>
              </w:rPr>
              <w:t>Mērķa</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4F4082" w14:textId="77777777" w:rsidR="00327FF1" w:rsidRDefault="00E406C7">
            <w:pPr>
              <w:pStyle w:val="P68B1DB1-Normal121"/>
              <w:spacing w:after="0" w:line="240" w:lineRule="auto"/>
              <w:rPr>
                <w:noProof/>
              </w:rPr>
            </w:pPr>
            <w:r>
              <w:rPr>
                <w:noProof/>
              </w:rPr>
              <w:t>Struktūras skolēnu uzņemšanai pēc skolas laika</w:t>
            </w:r>
          </w:p>
        </w:tc>
      </w:tr>
      <w:tr w:rsidR="00327FF1" w14:paraId="0C812F13"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E5AA5C" w14:textId="77777777" w:rsidR="00327FF1" w:rsidRDefault="00E406C7">
            <w:pPr>
              <w:pStyle w:val="P68B1DB1-Normal121"/>
              <w:spacing w:after="0" w:line="240" w:lineRule="auto"/>
              <w:jc w:val="center"/>
              <w:rPr>
                <w:noProof/>
              </w:rPr>
            </w:pPr>
            <w:r>
              <w:rPr>
                <w:noProof/>
              </w:rPr>
              <w:t>M4C1–26</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C553F3" w14:textId="77777777" w:rsidR="00327FF1" w:rsidRDefault="00E406C7">
            <w:pPr>
              <w:pStyle w:val="P68B1DB1-Normal121"/>
              <w:spacing w:after="0" w:line="240" w:lineRule="auto"/>
              <w:rPr>
                <w:noProof/>
              </w:rPr>
            </w:pPr>
            <w:r>
              <w:rPr>
                <w:noProof/>
              </w:rPr>
              <w:t>Investīcija 3.3.: Skolu ēku drošības un strukturālās rehabilitācijas plāns</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0328AE3" w14:textId="77777777" w:rsidR="00327FF1" w:rsidRDefault="00E406C7">
            <w:pPr>
              <w:pStyle w:val="P68B1DB1-Normal121"/>
              <w:spacing w:after="0" w:line="240" w:lineRule="auto"/>
              <w:jc w:val="center"/>
              <w:rPr>
                <w:noProof/>
              </w:rPr>
            </w:pPr>
            <w:r>
              <w:rPr>
                <w:noProof/>
              </w:rPr>
              <w:t>Mērķa</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06F8BD" w14:textId="77777777" w:rsidR="00327FF1" w:rsidRDefault="00E406C7">
            <w:pPr>
              <w:pStyle w:val="P68B1DB1-Normal121"/>
              <w:spacing w:after="0" w:line="240" w:lineRule="auto"/>
              <w:rPr>
                <w:noProof/>
              </w:rPr>
            </w:pPr>
            <w:r>
              <w:rPr>
                <w:noProof/>
              </w:rPr>
              <w:t>Atjaunoto skolu ēku qm</w:t>
            </w:r>
          </w:p>
        </w:tc>
      </w:tr>
      <w:tr w:rsidR="00327FF1" w14:paraId="0C1D6002"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F79929" w14:textId="77777777" w:rsidR="00327FF1" w:rsidRDefault="00E406C7">
            <w:pPr>
              <w:pStyle w:val="P68B1DB1-Normal121"/>
              <w:spacing w:after="0" w:line="240" w:lineRule="auto"/>
              <w:jc w:val="center"/>
              <w:rPr>
                <w:noProof/>
              </w:rPr>
            </w:pPr>
            <w:r>
              <w:rPr>
                <w:noProof/>
              </w:rPr>
              <w:t>M4C1–32</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FBB88A4" w14:textId="77777777" w:rsidR="00327FF1" w:rsidRDefault="00E406C7">
            <w:pPr>
              <w:pStyle w:val="P68B1DB1-Normal121"/>
              <w:spacing w:after="0" w:line="240" w:lineRule="auto"/>
              <w:rPr>
                <w:noProof/>
              </w:rPr>
            </w:pPr>
            <w:r>
              <w:rPr>
                <w:noProof/>
              </w:rPr>
              <w:t xml:space="preserve">Ieguldījums Nr. 5: Studentu mājokļu </w:t>
            </w:r>
            <w:r>
              <w:rPr>
                <w:noProof/>
              </w:rPr>
              <w:t>fonds</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75F81C" w14:textId="77777777" w:rsidR="00327FF1" w:rsidRDefault="00E406C7">
            <w:pPr>
              <w:pStyle w:val="P68B1DB1-Normal121"/>
              <w:spacing w:after="0" w:line="240" w:lineRule="auto"/>
              <w:jc w:val="center"/>
              <w:rPr>
                <w:noProof/>
              </w:rPr>
            </w:pPr>
            <w:r>
              <w:rPr>
                <w:noProof/>
              </w:rPr>
              <w:t>Mērķa</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BC1FD1" w14:textId="77777777" w:rsidR="00327FF1" w:rsidRDefault="00E406C7">
            <w:pPr>
              <w:pStyle w:val="P68B1DB1-Normal121"/>
              <w:spacing w:after="0" w:line="240" w:lineRule="auto"/>
              <w:rPr>
                <w:noProof/>
              </w:rPr>
            </w:pPr>
            <w:r>
              <w:rPr>
                <w:noProof/>
              </w:rPr>
              <w:t>Ar galīgajiem saņēmējiem parakstītie juridiskie nolīgumi un ieguldījumu pabeigšana</w:t>
            </w:r>
          </w:p>
        </w:tc>
      </w:tr>
      <w:tr w:rsidR="00327FF1" w14:paraId="0879F3E5"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F8E05A" w14:textId="77777777" w:rsidR="00327FF1" w:rsidRDefault="00E406C7">
            <w:pPr>
              <w:pStyle w:val="P68B1DB1-Normal121"/>
              <w:spacing w:after="0" w:line="240" w:lineRule="auto"/>
              <w:jc w:val="center"/>
              <w:rPr>
                <w:noProof/>
              </w:rPr>
            </w:pPr>
            <w:r>
              <w:rPr>
                <w:noProof/>
              </w:rPr>
              <w:t>M5C1–20</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C3BC4E" w14:textId="77777777" w:rsidR="00327FF1" w:rsidRDefault="00E406C7">
            <w:pPr>
              <w:pStyle w:val="P68B1DB1-Normal121"/>
              <w:spacing w:after="0" w:line="240" w:lineRule="auto"/>
              <w:rPr>
                <w:noProof/>
              </w:rPr>
            </w:pPr>
            <w:r>
              <w:rPr>
                <w:noProof/>
              </w:rPr>
              <w:t>Ieguldījums Nr. 5: Sieviešu uzņēmumu izveide</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1BCD7D" w14:textId="77777777" w:rsidR="00327FF1" w:rsidRDefault="00E406C7">
            <w:pPr>
              <w:pStyle w:val="P68B1DB1-Normal121"/>
              <w:spacing w:after="0" w:line="240" w:lineRule="auto"/>
              <w:jc w:val="center"/>
              <w:rPr>
                <w:noProof/>
              </w:rPr>
            </w:pPr>
            <w:r>
              <w:rPr>
                <w:noProof/>
              </w:rPr>
              <w:t>Mērķa</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A6DD05" w14:textId="77777777" w:rsidR="00327FF1" w:rsidRDefault="00E406C7">
            <w:pPr>
              <w:pStyle w:val="P68B1DB1-Normal121"/>
              <w:spacing w:after="0" w:line="240" w:lineRule="auto"/>
              <w:rPr>
                <w:noProof/>
              </w:rPr>
            </w:pPr>
            <w:r>
              <w:rPr>
                <w:noProof/>
              </w:rPr>
              <w:t xml:space="preserve">Ar galīgajiem saņēmējiem parakstītie juridiskie nolīgumi </w:t>
            </w:r>
          </w:p>
        </w:tc>
      </w:tr>
      <w:tr w:rsidR="00327FF1" w14:paraId="6D9B6D2B"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98E51F6" w14:textId="77777777" w:rsidR="00327FF1" w:rsidRDefault="00E406C7">
            <w:pPr>
              <w:pStyle w:val="P68B1DB1-Normal121"/>
              <w:spacing w:after="0" w:line="240" w:lineRule="auto"/>
              <w:jc w:val="center"/>
              <w:rPr>
                <w:noProof/>
              </w:rPr>
            </w:pPr>
            <w:r>
              <w:rPr>
                <w:noProof/>
              </w:rPr>
              <w:t>M5C2–6</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3EB25ED" w14:textId="77777777" w:rsidR="00327FF1" w:rsidRDefault="00E406C7">
            <w:pPr>
              <w:pStyle w:val="P68B1DB1-Normal121"/>
              <w:spacing w:after="0" w:line="240" w:lineRule="auto"/>
              <w:rPr>
                <w:noProof/>
              </w:rPr>
            </w:pPr>
            <w:r>
              <w:rPr>
                <w:noProof/>
              </w:rPr>
              <w:t xml:space="preserve">Investīcija Nr. 1 — Atbalsts </w:t>
            </w:r>
            <w:r>
              <w:rPr>
                <w:noProof/>
              </w:rPr>
              <w:t>neaizsargātām personām un institucionalizācijas novēršana</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1AF3F4" w14:textId="77777777" w:rsidR="00327FF1" w:rsidRDefault="00E406C7">
            <w:pPr>
              <w:pStyle w:val="P68B1DB1-Normal121"/>
              <w:spacing w:after="0" w:line="240" w:lineRule="auto"/>
              <w:jc w:val="center"/>
              <w:rPr>
                <w:noProof/>
              </w:rPr>
            </w:pPr>
            <w:r>
              <w:rPr>
                <w:noProof/>
              </w:rPr>
              <w:t>Mērķa</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0D9F0C" w14:textId="77777777" w:rsidR="00327FF1" w:rsidRDefault="00E406C7">
            <w:pPr>
              <w:pStyle w:val="P68B1DB1-Normal121"/>
              <w:spacing w:after="0" w:line="240" w:lineRule="auto"/>
              <w:rPr>
                <w:noProof/>
              </w:rPr>
            </w:pPr>
            <w:r>
              <w:rPr>
                <w:noProof/>
              </w:rPr>
              <w:t>Sociālajos rajonos pabeigti pasākumi neaizsargātu personu atbalstam</w:t>
            </w:r>
          </w:p>
        </w:tc>
      </w:tr>
      <w:tr w:rsidR="00327FF1" w14:paraId="59E94139"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B7F457" w14:textId="77777777" w:rsidR="00327FF1" w:rsidRDefault="00E406C7">
            <w:pPr>
              <w:pStyle w:val="P68B1DB1-Normal121"/>
              <w:spacing w:after="0" w:line="240" w:lineRule="auto"/>
              <w:jc w:val="center"/>
              <w:rPr>
                <w:noProof/>
              </w:rPr>
            </w:pPr>
            <w:r>
              <w:rPr>
                <w:noProof/>
              </w:rPr>
              <w:t>M5C2–8</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25B932" w14:textId="77777777" w:rsidR="00327FF1" w:rsidRDefault="00E406C7">
            <w:pPr>
              <w:pStyle w:val="P68B1DB1-Normal121"/>
              <w:spacing w:after="0" w:line="240" w:lineRule="auto"/>
              <w:rPr>
                <w:noProof/>
              </w:rPr>
            </w:pPr>
            <w:r>
              <w:rPr>
                <w:noProof/>
              </w:rPr>
              <w:t>Investīcija Nr. 2 “Invalīdu autonomijas modeļi”</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3E9C4A" w14:textId="77777777" w:rsidR="00327FF1" w:rsidRDefault="00E406C7">
            <w:pPr>
              <w:pStyle w:val="P68B1DB1-Normal121"/>
              <w:spacing w:after="0" w:line="240" w:lineRule="auto"/>
              <w:jc w:val="center"/>
              <w:rPr>
                <w:noProof/>
              </w:rPr>
            </w:pPr>
            <w:r>
              <w:rPr>
                <w:noProof/>
              </w:rPr>
              <w:t>Mērķa</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8FE96B9" w14:textId="77777777" w:rsidR="00327FF1" w:rsidRDefault="00E406C7">
            <w:pPr>
              <w:pStyle w:val="P68B1DB1-Normal121"/>
              <w:spacing w:after="0" w:line="240" w:lineRule="auto"/>
              <w:rPr>
                <w:noProof/>
              </w:rPr>
            </w:pPr>
            <w:r>
              <w:rPr>
                <w:noProof/>
              </w:rPr>
              <w:t>Saņēmēji ir atjaunojuši mājas telpu un/vai IKT ierīces, kā arī</w:t>
            </w:r>
            <w:r>
              <w:rPr>
                <w:noProof/>
              </w:rPr>
              <w:t xml:space="preserve"> apmācījuši digitālās prasmes</w:t>
            </w:r>
          </w:p>
        </w:tc>
      </w:tr>
      <w:tr w:rsidR="00327FF1" w14:paraId="4AEC28A3" w14:textId="77777777">
        <w:trPr>
          <w:trHeight w:val="300"/>
        </w:trPr>
        <w:tc>
          <w:tcPr>
            <w:tcW w:w="1246" w:type="dxa"/>
            <w:shd w:val="clear" w:color="auto" w:fill="C6EFCE"/>
            <w:tcMar>
              <w:left w:w="108" w:type="dxa"/>
              <w:right w:w="108" w:type="dxa"/>
            </w:tcMar>
            <w:vAlign w:val="center"/>
          </w:tcPr>
          <w:p w14:paraId="64781806" w14:textId="77777777" w:rsidR="00327FF1" w:rsidRDefault="00E406C7">
            <w:pPr>
              <w:pStyle w:val="P68B1DB1-Normal121"/>
              <w:spacing w:after="0" w:line="240" w:lineRule="auto"/>
              <w:jc w:val="center"/>
              <w:rPr>
                <w:noProof/>
              </w:rPr>
            </w:pPr>
            <w:r>
              <w:rPr>
                <w:noProof/>
              </w:rPr>
              <w:t>M5C2–10</w:t>
            </w:r>
          </w:p>
        </w:tc>
        <w:tc>
          <w:tcPr>
            <w:tcW w:w="3449" w:type="dxa"/>
            <w:shd w:val="clear" w:color="auto" w:fill="C6EFCE"/>
            <w:tcMar>
              <w:left w:w="108" w:type="dxa"/>
              <w:right w:w="108" w:type="dxa"/>
            </w:tcMar>
            <w:vAlign w:val="center"/>
          </w:tcPr>
          <w:p w14:paraId="6E3E82BB" w14:textId="77777777" w:rsidR="00327FF1" w:rsidRDefault="00E406C7">
            <w:pPr>
              <w:pStyle w:val="P68B1DB1-Normal121"/>
              <w:spacing w:after="0" w:line="240" w:lineRule="auto"/>
              <w:rPr>
                <w:noProof/>
              </w:rPr>
            </w:pPr>
            <w:r>
              <w:rPr>
                <w:noProof/>
              </w:rPr>
              <w:t>Investīcija Nr. 3 “Mājokļi pirmajās un post stacijās”</w:t>
            </w:r>
          </w:p>
        </w:tc>
        <w:tc>
          <w:tcPr>
            <w:tcW w:w="1134" w:type="dxa"/>
            <w:shd w:val="clear" w:color="auto" w:fill="C6EFCE"/>
            <w:tcMar>
              <w:left w:w="108" w:type="dxa"/>
              <w:right w:w="108" w:type="dxa"/>
            </w:tcMar>
            <w:vAlign w:val="center"/>
          </w:tcPr>
          <w:p w14:paraId="6F2A36FE"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418CA03D" w14:textId="77777777" w:rsidR="00327FF1" w:rsidRDefault="00E406C7">
            <w:pPr>
              <w:pStyle w:val="P68B1DB1-Normal121"/>
              <w:spacing w:after="0" w:line="240" w:lineRule="auto"/>
              <w:rPr>
                <w:noProof/>
              </w:rPr>
            </w:pPr>
            <w:r>
              <w:rPr>
                <w:noProof/>
              </w:rPr>
              <w:t>Cilvēki, kuri dzīvo smagā materiālā nenodrošinātībā un kurus vismaz sešus mēnešus vada projekti “Mājoklis vispirms” un “Pastacijas”</w:t>
            </w:r>
          </w:p>
        </w:tc>
      </w:tr>
      <w:tr w:rsidR="00327FF1" w14:paraId="2CB4D7B9" w14:textId="77777777">
        <w:trPr>
          <w:trHeight w:val="300"/>
        </w:trPr>
        <w:tc>
          <w:tcPr>
            <w:tcW w:w="1246" w:type="dxa"/>
            <w:shd w:val="clear" w:color="auto" w:fill="C6EFCE"/>
            <w:tcMar>
              <w:left w:w="108" w:type="dxa"/>
              <w:right w:w="108" w:type="dxa"/>
            </w:tcMar>
            <w:vAlign w:val="center"/>
          </w:tcPr>
          <w:p w14:paraId="60DFE54E" w14:textId="77777777" w:rsidR="00327FF1" w:rsidRDefault="00E406C7">
            <w:pPr>
              <w:pStyle w:val="P68B1DB1-Normal121"/>
              <w:spacing w:after="0" w:line="240" w:lineRule="auto"/>
              <w:jc w:val="center"/>
              <w:rPr>
                <w:noProof/>
              </w:rPr>
            </w:pPr>
            <w:r>
              <w:rPr>
                <w:noProof/>
              </w:rPr>
              <w:t>M1C2–31</w:t>
            </w:r>
          </w:p>
        </w:tc>
        <w:tc>
          <w:tcPr>
            <w:tcW w:w="3449" w:type="dxa"/>
            <w:shd w:val="clear" w:color="auto" w:fill="C6EFCE"/>
            <w:tcMar>
              <w:left w:w="108" w:type="dxa"/>
              <w:right w:w="108" w:type="dxa"/>
            </w:tcMar>
            <w:vAlign w:val="center"/>
          </w:tcPr>
          <w:p w14:paraId="086CD75A" w14:textId="77777777" w:rsidR="00327FF1" w:rsidRDefault="00E406C7">
            <w:pPr>
              <w:pStyle w:val="P68B1DB1-Normal121"/>
              <w:spacing w:after="0" w:line="240" w:lineRule="auto"/>
              <w:rPr>
                <w:noProof/>
              </w:rPr>
            </w:pPr>
            <w:r>
              <w:rPr>
                <w:noProof/>
              </w:rPr>
              <w:t xml:space="preserve">Investīcija Nr. </w:t>
            </w:r>
            <w:r>
              <w:rPr>
                <w:noProof/>
              </w:rPr>
              <w:t>7 — Valsts savienojamības fonds</w:t>
            </w:r>
          </w:p>
        </w:tc>
        <w:tc>
          <w:tcPr>
            <w:tcW w:w="1134" w:type="dxa"/>
            <w:shd w:val="clear" w:color="auto" w:fill="C6EFCE"/>
            <w:tcMar>
              <w:left w:w="108" w:type="dxa"/>
              <w:right w:w="108" w:type="dxa"/>
            </w:tcMar>
            <w:vAlign w:val="center"/>
          </w:tcPr>
          <w:p w14:paraId="528E4E64" w14:textId="77777777"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38624319" w14:textId="77777777" w:rsidR="00327FF1" w:rsidRDefault="00E406C7">
            <w:pPr>
              <w:pStyle w:val="P68B1DB1-Normal121"/>
              <w:spacing w:after="0" w:line="240" w:lineRule="auto"/>
              <w:rPr>
                <w:noProof/>
              </w:rPr>
            </w:pPr>
            <w:r>
              <w:rPr>
                <w:noProof/>
              </w:rPr>
              <w:t>Ar galīgajiem saņēmējiem parakstītie juridiskie nolīgumi un ieguldījumu pabeigšana</w:t>
            </w:r>
          </w:p>
        </w:tc>
      </w:tr>
      <w:tr w:rsidR="00327FF1" w14:paraId="4673D794" w14:textId="77777777">
        <w:trPr>
          <w:trHeight w:val="300"/>
        </w:trPr>
        <w:tc>
          <w:tcPr>
            <w:tcW w:w="1246" w:type="dxa"/>
            <w:shd w:val="clear" w:color="auto" w:fill="C6EFCE"/>
            <w:tcMar>
              <w:left w:w="108" w:type="dxa"/>
              <w:right w:w="108" w:type="dxa"/>
            </w:tcMar>
            <w:vAlign w:val="center"/>
          </w:tcPr>
          <w:p w14:paraId="30C48C2E" w14:textId="77777777" w:rsidR="00327FF1" w:rsidRDefault="00E406C7">
            <w:pPr>
              <w:pStyle w:val="P68B1DB1-Normal121"/>
              <w:spacing w:after="0" w:line="240" w:lineRule="auto"/>
              <w:jc w:val="center"/>
              <w:rPr>
                <w:noProof/>
              </w:rPr>
            </w:pPr>
            <w:r>
              <w:rPr>
                <w:noProof/>
              </w:rPr>
              <w:t>M1C2–32</w:t>
            </w:r>
          </w:p>
        </w:tc>
        <w:tc>
          <w:tcPr>
            <w:tcW w:w="3449" w:type="dxa"/>
            <w:shd w:val="clear" w:color="auto" w:fill="C6EFCE"/>
            <w:tcMar>
              <w:left w:w="108" w:type="dxa"/>
              <w:right w:w="108" w:type="dxa"/>
            </w:tcMar>
            <w:vAlign w:val="center"/>
          </w:tcPr>
          <w:p w14:paraId="7F428E7C" w14:textId="77777777" w:rsidR="00327FF1" w:rsidRDefault="00E406C7">
            <w:pPr>
              <w:pStyle w:val="P68B1DB1-Normal121"/>
              <w:spacing w:after="0" w:line="240" w:lineRule="auto"/>
              <w:rPr>
                <w:noProof/>
              </w:rPr>
            </w:pPr>
            <w:r>
              <w:rPr>
                <w:noProof/>
              </w:rPr>
              <w:t xml:space="preserve">Investīcija Nr. 8 — InvestEU dalībvalsts nodalījums </w:t>
            </w:r>
          </w:p>
        </w:tc>
        <w:tc>
          <w:tcPr>
            <w:tcW w:w="1134" w:type="dxa"/>
            <w:shd w:val="clear" w:color="auto" w:fill="C6EFCE"/>
            <w:tcMar>
              <w:left w:w="108" w:type="dxa"/>
              <w:right w:w="108" w:type="dxa"/>
            </w:tcMar>
            <w:vAlign w:val="center"/>
          </w:tcPr>
          <w:p w14:paraId="376119B8" w14:textId="77777777"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23246643" w14:textId="77777777" w:rsidR="00327FF1" w:rsidRDefault="00E406C7">
            <w:pPr>
              <w:pStyle w:val="P68B1DB1-Normal121"/>
              <w:spacing w:after="0" w:line="240" w:lineRule="auto"/>
              <w:rPr>
                <w:noProof/>
              </w:rPr>
            </w:pPr>
            <w:r>
              <w:rPr>
                <w:noProof/>
              </w:rPr>
              <w:t>Itālijas valdības un Eiropas Komisijas iemaks</w:t>
            </w:r>
            <w:r>
              <w:rPr>
                <w:noProof/>
              </w:rPr>
              <w:t xml:space="preserve">u nolīguma parakstīšana </w:t>
            </w:r>
          </w:p>
        </w:tc>
      </w:tr>
      <w:tr w:rsidR="00327FF1" w14:paraId="200509C1" w14:textId="77777777">
        <w:trPr>
          <w:trHeight w:val="300"/>
        </w:trPr>
        <w:tc>
          <w:tcPr>
            <w:tcW w:w="1246" w:type="dxa"/>
            <w:shd w:val="clear" w:color="auto" w:fill="C6EFCE"/>
            <w:tcMar>
              <w:left w:w="108" w:type="dxa"/>
              <w:right w:w="108" w:type="dxa"/>
            </w:tcMar>
            <w:vAlign w:val="center"/>
          </w:tcPr>
          <w:p w14:paraId="65222E4B" w14:textId="77777777" w:rsidR="00327FF1" w:rsidRDefault="00E406C7">
            <w:pPr>
              <w:pStyle w:val="P68B1DB1-Normal121"/>
              <w:spacing w:after="0" w:line="240" w:lineRule="auto"/>
              <w:jc w:val="center"/>
              <w:rPr>
                <w:noProof/>
              </w:rPr>
            </w:pPr>
            <w:r>
              <w:rPr>
                <w:noProof/>
              </w:rPr>
              <w:t>M1C2–33</w:t>
            </w:r>
          </w:p>
        </w:tc>
        <w:tc>
          <w:tcPr>
            <w:tcW w:w="3449" w:type="dxa"/>
            <w:shd w:val="clear" w:color="auto" w:fill="C6EFCE"/>
            <w:tcMar>
              <w:left w:w="108" w:type="dxa"/>
              <w:right w:w="108" w:type="dxa"/>
            </w:tcMar>
            <w:vAlign w:val="center"/>
          </w:tcPr>
          <w:p w14:paraId="6B56D1CE" w14:textId="77777777" w:rsidR="00327FF1" w:rsidRDefault="00E406C7">
            <w:pPr>
              <w:pStyle w:val="P68B1DB1-Normal121"/>
              <w:spacing w:after="0" w:line="240" w:lineRule="auto"/>
              <w:rPr>
                <w:noProof/>
              </w:rPr>
            </w:pPr>
            <w:r>
              <w:rPr>
                <w:noProof/>
              </w:rPr>
              <w:t>Investīcija Nr. 8 — InvestEU dalībvalsts nodalījums</w:t>
            </w:r>
          </w:p>
        </w:tc>
        <w:tc>
          <w:tcPr>
            <w:tcW w:w="1134" w:type="dxa"/>
            <w:shd w:val="clear" w:color="auto" w:fill="C6EFCE"/>
            <w:tcMar>
              <w:left w:w="108" w:type="dxa"/>
              <w:right w:w="108" w:type="dxa"/>
            </w:tcMar>
            <w:vAlign w:val="center"/>
          </w:tcPr>
          <w:p w14:paraId="7CBBAE83"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4722E055" w14:textId="77777777" w:rsidR="00327FF1" w:rsidRDefault="00E406C7">
            <w:pPr>
              <w:pStyle w:val="P68B1DB1-Normal121"/>
              <w:spacing w:after="0" w:line="240" w:lineRule="auto"/>
              <w:rPr>
                <w:noProof/>
              </w:rPr>
            </w:pPr>
            <w:r>
              <w:rPr>
                <w:noProof/>
              </w:rPr>
              <w:t xml:space="preserve">InvestEU Investīciju komitejas apstiprinātās finansēšanas vai investīciju darbības </w:t>
            </w:r>
          </w:p>
        </w:tc>
      </w:tr>
      <w:tr w:rsidR="00327FF1" w14:paraId="53F04979" w14:textId="77777777">
        <w:trPr>
          <w:trHeight w:val="300"/>
        </w:trPr>
        <w:tc>
          <w:tcPr>
            <w:tcW w:w="1246" w:type="dxa"/>
            <w:shd w:val="clear" w:color="auto" w:fill="C6EFCE"/>
            <w:tcMar>
              <w:left w:w="108" w:type="dxa"/>
              <w:right w:w="108" w:type="dxa"/>
            </w:tcMar>
            <w:vAlign w:val="center"/>
          </w:tcPr>
          <w:p w14:paraId="7C53E1AA" w14:textId="6A4FB837" w:rsidR="00327FF1" w:rsidRDefault="00E406C7">
            <w:pPr>
              <w:pStyle w:val="P68B1DB1-Normal121"/>
              <w:spacing w:after="0" w:line="240" w:lineRule="auto"/>
              <w:jc w:val="center"/>
              <w:rPr>
                <w:noProof/>
              </w:rPr>
            </w:pPr>
            <w:r>
              <w:rPr>
                <w:noProof/>
              </w:rPr>
              <w:t>M3C1–27</w:t>
            </w:r>
          </w:p>
        </w:tc>
        <w:tc>
          <w:tcPr>
            <w:tcW w:w="3449" w:type="dxa"/>
            <w:shd w:val="clear" w:color="auto" w:fill="C6EFCE"/>
            <w:tcMar>
              <w:left w:w="108" w:type="dxa"/>
              <w:right w:w="108" w:type="dxa"/>
            </w:tcMar>
            <w:vAlign w:val="center"/>
          </w:tcPr>
          <w:p w14:paraId="39052B92" w14:textId="3DF28477" w:rsidR="00327FF1" w:rsidRDefault="00E406C7">
            <w:pPr>
              <w:pStyle w:val="P68B1DB1-Normal121"/>
              <w:spacing w:after="0" w:line="240" w:lineRule="auto"/>
              <w:rPr>
                <w:noProof/>
              </w:rPr>
            </w:pPr>
            <w:r>
              <w:rPr>
                <w:noProof/>
              </w:rPr>
              <w:t xml:space="preserve">Reforma Nr. 1.3. Dzelzceļa infrastruktūras efektivitātes uzlabošana Itālijā </w:t>
            </w:r>
          </w:p>
        </w:tc>
        <w:tc>
          <w:tcPr>
            <w:tcW w:w="1134" w:type="dxa"/>
            <w:shd w:val="clear" w:color="auto" w:fill="C6EFCE"/>
            <w:tcMar>
              <w:left w:w="108" w:type="dxa"/>
              <w:right w:w="108" w:type="dxa"/>
            </w:tcMar>
            <w:vAlign w:val="center"/>
          </w:tcPr>
          <w:p w14:paraId="166560C6" w14:textId="77777777"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4A3E5283" w14:textId="77777777" w:rsidR="00327FF1" w:rsidRDefault="00E406C7">
            <w:pPr>
              <w:pStyle w:val="P68B1DB1-Normal121"/>
              <w:spacing w:after="0" w:line="240" w:lineRule="auto"/>
              <w:rPr>
                <w:noProof/>
              </w:rPr>
            </w:pPr>
            <w:r>
              <w:rPr>
                <w:noProof/>
              </w:rPr>
              <w:t xml:space="preserve">ROSCO statūtu finanšu un uzņēmējdarbības plāns un resursu un aktīvu nodošana </w:t>
            </w:r>
          </w:p>
        </w:tc>
      </w:tr>
      <w:tr w:rsidR="00327FF1" w14:paraId="6A1F20C9" w14:textId="77777777">
        <w:trPr>
          <w:trHeight w:val="300"/>
        </w:trPr>
        <w:tc>
          <w:tcPr>
            <w:tcW w:w="1246" w:type="dxa"/>
            <w:shd w:val="clear" w:color="auto" w:fill="C6EFCE"/>
            <w:tcMar>
              <w:left w:w="108" w:type="dxa"/>
              <w:right w:w="108" w:type="dxa"/>
            </w:tcMar>
            <w:vAlign w:val="center"/>
          </w:tcPr>
          <w:p w14:paraId="443F97A6" w14:textId="77777777" w:rsidR="00327FF1" w:rsidRDefault="00E406C7">
            <w:pPr>
              <w:pStyle w:val="P68B1DB1-Normal121"/>
              <w:spacing w:after="0" w:line="240" w:lineRule="auto"/>
              <w:jc w:val="center"/>
              <w:rPr>
                <w:noProof/>
              </w:rPr>
            </w:pPr>
            <w:r>
              <w:rPr>
                <w:noProof/>
              </w:rPr>
              <w:t>M5C3–14</w:t>
            </w:r>
          </w:p>
        </w:tc>
        <w:tc>
          <w:tcPr>
            <w:tcW w:w="3449" w:type="dxa"/>
            <w:shd w:val="clear" w:color="auto" w:fill="C6EFCE"/>
            <w:tcMar>
              <w:left w:w="108" w:type="dxa"/>
              <w:right w:w="108" w:type="dxa"/>
            </w:tcMar>
            <w:vAlign w:val="center"/>
          </w:tcPr>
          <w:p w14:paraId="56A99C56" w14:textId="77777777" w:rsidR="00327FF1" w:rsidRDefault="00E406C7">
            <w:pPr>
              <w:pStyle w:val="P68B1DB1-Normal121"/>
              <w:spacing w:after="0" w:line="240" w:lineRule="auto"/>
              <w:rPr>
                <w:noProof/>
              </w:rPr>
            </w:pPr>
            <w:r>
              <w:rPr>
                <w:noProof/>
              </w:rPr>
              <w:t>Investīcija Nr. 1.5 — Nodokļu kredītu shēma ieguldījumiem Dienviditālijā un</w:t>
            </w:r>
            <w:r>
              <w:rPr>
                <w:noProof/>
              </w:rPr>
              <w:t xml:space="preserve"> speciālajā ekonomiskajā zonā (SEZ)</w:t>
            </w:r>
          </w:p>
        </w:tc>
        <w:tc>
          <w:tcPr>
            <w:tcW w:w="1134" w:type="dxa"/>
            <w:shd w:val="clear" w:color="auto" w:fill="C6EFCE"/>
            <w:tcMar>
              <w:left w:w="108" w:type="dxa"/>
              <w:right w:w="108" w:type="dxa"/>
            </w:tcMar>
            <w:vAlign w:val="center"/>
          </w:tcPr>
          <w:p w14:paraId="43DF71B3"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6E19AD6D" w14:textId="77777777" w:rsidR="00327FF1" w:rsidRDefault="00E406C7">
            <w:pPr>
              <w:pStyle w:val="P68B1DB1-Normal121"/>
              <w:spacing w:after="0" w:line="240" w:lineRule="auto"/>
              <w:rPr>
                <w:noProof/>
              </w:rPr>
            </w:pPr>
            <w:r>
              <w:rPr>
                <w:noProof/>
              </w:rPr>
              <w:t>Nodokļu atlaides Dienviditālijā un speciālajā ekonomiskajā zonā (SEZ), kas piešķirtas uzņēmumiem, pamatojoties uz 2023.–2025. gadā iesniegtajām nodokļu deklarācijām</w:t>
            </w:r>
          </w:p>
        </w:tc>
      </w:tr>
      <w:tr w:rsidR="00327FF1" w14:paraId="7C3BF548" w14:textId="77777777">
        <w:trPr>
          <w:trHeight w:val="300"/>
        </w:trPr>
        <w:tc>
          <w:tcPr>
            <w:tcW w:w="1246" w:type="dxa"/>
            <w:shd w:val="clear" w:color="auto" w:fill="C6EFCE"/>
            <w:tcMar>
              <w:left w:w="108" w:type="dxa"/>
              <w:right w:w="108" w:type="dxa"/>
            </w:tcMar>
            <w:vAlign w:val="center"/>
          </w:tcPr>
          <w:p w14:paraId="4739B854" w14:textId="77777777" w:rsidR="00327FF1" w:rsidRDefault="00E406C7">
            <w:pPr>
              <w:pStyle w:val="P68B1DB1-Normal121"/>
              <w:spacing w:after="0" w:line="240" w:lineRule="auto"/>
              <w:jc w:val="center"/>
              <w:rPr>
                <w:noProof/>
              </w:rPr>
            </w:pPr>
            <w:r>
              <w:rPr>
                <w:noProof/>
              </w:rPr>
              <w:t>M3C1–28</w:t>
            </w:r>
          </w:p>
        </w:tc>
        <w:tc>
          <w:tcPr>
            <w:tcW w:w="3449" w:type="dxa"/>
            <w:shd w:val="clear" w:color="auto" w:fill="C6EFCE"/>
            <w:tcMar>
              <w:left w:w="108" w:type="dxa"/>
              <w:right w:w="108" w:type="dxa"/>
            </w:tcMar>
            <w:vAlign w:val="center"/>
          </w:tcPr>
          <w:p w14:paraId="0C614B48" w14:textId="77777777" w:rsidR="00327FF1" w:rsidRDefault="00E406C7">
            <w:pPr>
              <w:pStyle w:val="P68B1DB1-Normal121"/>
              <w:spacing w:after="0" w:line="240" w:lineRule="auto"/>
              <w:rPr>
                <w:noProof/>
              </w:rPr>
            </w:pPr>
            <w:r>
              <w:rPr>
                <w:noProof/>
              </w:rPr>
              <w:t xml:space="preserve">Investīcija — lielpilsētu mezglu, </w:t>
            </w:r>
            <w:r>
              <w:rPr>
                <w:noProof/>
              </w:rPr>
              <w:t>starpreģionālo un reģionālo dzelzceļa līniju stiprināšana</w:t>
            </w:r>
          </w:p>
        </w:tc>
        <w:tc>
          <w:tcPr>
            <w:tcW w:w="1134" w:type="dxa"/>
            <w:shd w:val="clear" w:color="auto" w:fill="C6EFCE"/>
            <w:tcMar>
              <w:left w:w="108" w:type="dxa"/>
              <w:right w:w="108" w:type="dxa"/>
            </w:tcMar>
            <w:vAlign w:val="center"/>
          </w:tcPr>
          <w:p w14:paraId="0B91B7B1"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7040AD0E" w14:textId="77777777" w:rsidR="00327FF1" w:rsidRDefault="00E406C7">
            <w:pPr>
              <w:pStyle w:val="P68B1DB1-Normal121"/>
              <w:spacing w:after="0" w:line="240" w:lineRule="auto"/>
              <w:rPr>
                <w:noProof/>
              </w:rPr>
            </w:pPr>
            <w:r>
              <w:rPr>
                <w:noProof/>
              </w:rPr>
              <w:t>Uzbūvēti 3 309 km modernizētu līniju posmu</w:t>
            </w:r>
          </w:p>
        </w:tc>
      </w:tr>
      <w:tr w:rsidR="00327FF1" w14:paraId="078DEB77" w14:textId="77777777">
        <w:trPr>
          <w:trHeight w:val="300"/>
        </w:trPr>
        <w:tc>
          <w:tcPr>
            <w:tcW w:w="1246" w:type="dxa"/>
            <w:shd w:val="clear" w:color="auto" w:fill="C6EFCE"/>
            <w:tcMar>
              <w:left w:w="108" w:type="dxa"/>
              <w:right w:w="108" w:type="dxa"/>
            </w:tcMar>
            <w:vAlign w:val="center"/>
          </w:tcPr>
          <w:p w14:paraId="233DCD75" w14:textId="77777777" w:rsidR="00327FF1" w:rsidRDefault="00E406C7">
            <w:pPr>
              <w:pStyle w:val="P68B1DB1-Normal121"/>
              <w:spacing w:after="0" w:line="240" w:lineRule="auto"/>
              <w:jc w:val="center"/>
              <w:rPr>
                <w:noProof/>
              </w:rPr>
            </w:pPr>
            <w:r>
              <w:rPr>
                <w:noProof/>
              </w:rPr>
              <w:t>M2C4–40</w:t>
            </w:r>
          </w:p>
        </w:tc>
        <w:tc>
          <w:tcPr>
            <w:tcW w:w="3449" w:type="dxa"/>
            <w:shd w:val="clear" w:color="auto" w:fill="C6EFCE"/>
            <w:tcMar>
              <w:left w:w="108" w:type="dxa"/>
              <w:right w:w="108" w:type="dxa"/>
            </w:tcMar>
            <w:vAlign w:val="center"/>
          </w:tcPr>
          <w:p w14:paraId="14FFD68D" w14:textId="77777777" w:rsidR="00327FF1" w:rsidRDefault="00E406C7">
            <w:pPr>
              <w:pStyle w:val="P68B1DB1-Normal121"/>
              <w:spacing w:after="0" w:line="240" w:lineRule="auto"/>
              <w:rPr>
                <w:noProof/>
              </w:rPr>
            </w:pPr>
            <w:r>
              <w:rPr>
                <w:noProof/>
              </w:rPr>
              <w:t>Investīcija 4.5. Dotāciju shēma ieguldījumiem ūdens infrastruktūrā</w:t>
            </w:r>
          </w:p>
        </w:tc>
        <w:tc>
          <w:tcPr>
            <w:tcW w:w="1134" w:type="dxa"/>
            <w:shd w:val="clear" w:color="auto" w:fill="C6EFCE"/>
            <w:tcMar>
              <w:left w:w="108" w:type="dxa"/>
              <w:right w:w="108" w:type="dxa"/>
            </w:tcMar>
            <w:vAlign w:val="center"/>
          </w:tcPr>
          <w:p w14:paraId="35D698EB"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04B543F8" w14:textId="77777777" w:rsidR="00327FF1" w:rsidRDefault="00E406C7">
            <w:pPr>
              <w:pStyle w:val="P68B1DB1-Normal121"/>
              <w:spacing w:after="0" w:line="240" w:lineRule="auto"/>
              <w:rPr>
                <w:noProof/>
              </w:rPr>
            </w:pPr>
            <w:r>
              <w:rPr>
                <w:noProof/>
              </w:rPr>
              <w:t>Invitalia S.p.A. ir noslēgusi juridiskus dotāciju nolīgumus ar galī</w:t>
            </w:r>
            <w:r>
              <w:rPr>
                <w:noProof/>
              </w:rPr>
              <w:t>gajiem saņēmējiem par summu, kas nepieciešama, lai shēmā izmantotu 100 % no ANM ieguldījuma (ņemot vērā pārvaldības maksas). Vismaz 40 % no šā finansējuma veicina klimata mērķu sasniegšanu, izmantojot ANM regulas VI pielikumā izklāstīto metodiku.</w:t>
            </w:r>
          </w:p>
          <w:p w14:paraId="38FD3758" w14:textId="77777777" w:rsidR="00327FF1" w:rsidRDefault="00327FF1">
            <w:pPr>
              <w:spacing w:after="0" w:line="240" w:lineRule="auto"/>
              <w:rPr>
                <w:rFonts w:ascii="Times New Roman" w:eastAsia="Times New Roman" w:hAnsi="Times New Roman" w:cs="Times New Roman"/>
                <w:noProof/>
                <w:color w:val="006100"/>
                <w:sz w:val="20"/>
                <w:szCs w:val="20"/>
              </w:rPr>
            </w:pPr>
          </w:p>
          <w:p w14:paraId="6540F1ED" w14:textId="4D371548" w:rsidR="00327FF1" w:rsidRDefault="00E406C7">
            <w:pPr>
              <w:pStyle w:val="P68B1DB1-Normal121"/>
              <w:spacing w:after="0" w:line="240" w:lineRule="auto"/>
              <w:rPr>
                <w:noProof/>
              </w:rPr>
            </w:pPr>
            <w:r>
              <w:rPr>
                <w:noProof/>
              </w:rPr>
              <w:t xml:space="preserve">Itālija </w:t>
            </w:r>
            <w:r>
              <w:rPr>
                <w:noProof/>
              </w:rPr>
              <w:t>pārvieto EUR 1200000000 uz Invitalia S.p.A. mehānisma vajadzībām.</w:t>
            </w:r>
          </w:p>
        </w:tc>
      </w:tr>
      <w:tr w:rsidR="00327FF1" w14:paraId="2E32898A" w14:textId="77777777">
        <w:trPr>
          <w:trHeight w:val="300"/>
        </w:trPr>
        <w:tc>
          <w:tcPr>
            <w:tcW w:w="1246" w:type="dxa"/>
            <w:shd w:val="clear" w:color="auto" w:fill="C6EFCE"/>
            <w:tcMar>
              <w:left w:w="108" w:type="dxa"/>
              <w:right w:w="108" w:type="dxa"/>
            </w:tcMar>
            <w:vAlign w:val="center"/>
          </w:tcPr>
          <w:p w14:paraId="6A8EE9F4" w14:textId="77777777" w:rsidR="00327FF1" w:rsidRDefault="00E406C7">
            <w:pPr>
              <w:pStyle w:val="P68B1DB1-Normal121"/>
              <w:spacing w:after="0" w:line="240" w:lineRule="auto"/>
              <w:jc w:val="center"/>
              <w:rPr>
                <w:noProof/>
              </w:rPr>
            </w:pPr>
            <w:r>
              <w:rPr>
                <w:noProof/>
              </w:rPr>
              <w:t>M1C2–34</w:t>
            </w:r>
          </w:p>
        </w:tc>
        <w:tc>
          <w:tcPr>
            <w:tcW w:w="3449" w:type="dxa"/>
            <w:shd w:val="clear" w:color="auto" w:fill="C6EFCE"/>
            <w:tcMar>
              <w:left w:w="108" w:type="dxa"/>
              <w:right w:w="108" w:type="dxa"/>
            </w:tcMar>
            <w:vAlign w:val="center"/>
          </w:tcPr>
          <w:p w14:paraId="07B2188D" w14:textId="77777777" w:rsidR="00327FF1" w:rsidRDefault="00E406C7">
            <w:pPr>
              <w:pStyle w:val="P68B1DB1-Normal121"/>
              <w:spacing w:after="0" w:line="240" w:lineRule="auto"/>
              <w:rPr>
                <w:noProof/>
              </w:rPr>
            </w:pPr>
            <w:r>
              <w:rPr>
                <w:noProof/>
              </w:rPr>
              <w:t>Investīcija Nr. 9 — Pāreja 4.0 — paplašināšana</w:t>
            </w:r>
          </w:p>
        </w:tc>
        <w:tc>
          <w:tcPr>
            <w:tcW w:w="1134" w:type="dxa"/>
            <w:shd w:val="clear" w:color="auto" w:fill="C6EFCE"/>
            <w:tcMar>
              <w:left w:w="108" w:type="dxa"/>
              <w:right w:w="108" w:type="dxa"/>
            </w:tcMar>
            <w:vAlign w:val="center"/>
          </w:tcPr>
          <w:p w14:paraId="566483B5" w14:textId="77777777" w:rsidR="00327FF1" w:rsidRDefault="00E406C7">
            <w:pPr>
              <w:pStyle w:val="P68B1DB1-Normal121"/>
              <w:spacing w:after="0" w:line="240" w:lineRule="auto"/>
              <w:jc w:val="center"/>
              <w:rPr>
                <w:noProof/>
              </w:rPr>
            </w:pPr>
            <w:r>
              <w:rPr>
                <w:noProof/>
              </w:rPr>
              <w:t>Mērķa</w:t>
            </w:r>
          </w:p>
        </w:tc>
        <w:tc>
          <w:tcPr>
            <w:tcW w:w="3402" w:type="dxa"/>
            <w:shd w:val="clear" w:color="auto" w:fill="C6EFCE"/>
            <w:tcMar>
              <w:left w:w="108" w:type="dxa"/>
              <w:right w:w="108" w:type="dxa"/>
            </w:tcMar>
            <w:vAlign w:val="center"/>
          </w:tcPr>
          <w:p w14:paraId="691D9037" w14:textId="77777777" w:rsidR="00327FF1" w:rsidRDefault="00E406C7">
            <w:pPr>
              <w:pStyle w:val="P68B1DB1-Normal121"/>
              <w:spacing w:after="0" w:line="240" w:lineRule="auto"/>
              <w:rPr>
                <w:noProof/>
              </w:rPr>
            </w:pPr>
            <w:r>
              <w:rPr>
                <w:noProof/>
              </w:rPr>
              <w:t>Pāreja 4.0 nodokļu kredīti, kas piešķirti uzņēmumiem, pamatojoties uz 2021.–2026. gadā iesniegtajiem dokumentiem</w:t>
            </w:r>
          </w:p>
        </w:tc>
      </w:tr>
      <w:tr w:rsidR="00327FF1" w14:paraId="0AD5C3F7" w14:textId="77777777">
        <w:trPr>
          <w:trHeight w:val="300"/>
        </w:trPr>
        <w:tc>
          <w:tcPr>
            <w:tcW w:w="1246" w:type="dxa"/>
            <w:shd w:val="clear" w:color="auto" w:fill="C6EFCE"/>
            <w:tcMar>
              <w:left w:w="108" w:type="dxa"/>
              <w:right w:w="108" w:type="dxa"/>
            </w:tcMar>
            <w:vAlign w:val="center"/>
          </w:tcPr>
          <w:p w14:paraId="32B9D695" w14:textId="06BF488F" w:rsidR="00327FF1" w:rsidRDefault="00E406C7">
            <w:pPr>
              <w:pStyle w:val="P68B1DB1-Normal121"/>
              <w:spacing w:after="0" w:line="240" w:lineRule="auto"/>
              <w:jc w:val="center"/>
              <w:rPr>
                <w:noProof/>
              </w:rPr>
            </w:pPr>
            <w:r>
              <w:rPr>
                <w:noProof/>
              </w:rPr>
              <w:t>M2C1–27</w:t>
            </w:r>
          </w:p>
        </w:tc>
        <w:tc>
          <w:tcPr>
            <w:tcW w:w="3449" w:type="dxa"/>
            <w:shd w:val="clear" w:color="auto" w:fill="C6EFCE"/>
            <w:tcMar>
              <w:left w:w="108" w:type="dxa"/>
              <w:right w:w="108" w:type="dxa"/>
            </w:tcMar>
            <w:vAlign w:val="center"/>
          </w:tcPr>
          <w:p w14:paraId="1E69DEDC" w14:textId="734F4381" w:rsidR="00327FF1" w:rsidRDefault="00E406C7">
            <w:pPr>
              <w:pStyle w:val="P68B1DB1-Normal121"/>
              <w:spacing w:after="0" w:line="240" w:lineRule="auto"/>
              <w:rPr>
                <w:noProof/>
              </w:rPr>
            </w:pPr>
            <w:r>
              <w:rPr>
                <w:noProof/>
              </w:rPr>
              <w:t>Ieguld</w:t>
            </w:r>
            <w:r>
              <w:rPr>
                <w:noProof/>
              </w:rPr>
              <w:t>ījums Nr. 4: Lauksaimniecības un saules parka mehānisms</w:t>
            </w:r>
          </w:p>
        </w:tc>
        <w:tc>
          <w:tcPr>
            <w:tcW w:w="1134" w:type="dxa"/>
            <w:shd w:val="clear" w:color="auto" w:fill="C6EFCE"/>
            <w:tcMar>
              <w:left w:w="108" w:type="dxa"/>
              <w:right w:w="108" w:type="dxa"/>
            </w:tcMar>
            <w:vAlign w:val="center"/>
          </w:tcPr>
          <w:p w14:paraId="5E975165" w14:textId="42DD967D" w:rsidR="00327FF1" w:rsidRDefault="00E406C7">
            <w:pPr>
              <w:pStyle w:val="P68B1DB1-Normal121"/>
              <w:spacing w:after="0" w:line="240" w:lineRule="auto"/>
              <w:jc w:val="center"/>
              <w:rPr>
                <w:noProof/>
              </w:rPr>
            </w:pPr>
            <w:r>
              <w:rPr>
                <w:noProof/>
              </w:rPr>
              <w:t>Atskaites punkts</w:t>
            </w:r>
          </w:p>
        </w:tc>
        <w:tc>
          <w:tcPr>
            <w:tcW w:w="3402" w:type="dxa"/>
            <w:shd w:val="clear" w:color="auto" w:fill="C6EFCE"/>
            <w:tcMar>
              <w:left w:w="108" w:type="dxa"/>
              <w:right w:w="108" w:type="dxa"/>
            </w:tcMar>
            <w:vAlign w:val="center"/>
          </w:tcPr>
          <w:p w14:paraId="6E1A87B9" w14:textId="49E2FF2B" w:rsidR="00327FF1" w:rsidRDefault="00E406C7">
            <w:pPr>
              <w:pStyle w:val="P68B1DB1-Normal121"/>
              <w:spacing w:after="0" w:line="240" w:lineRule="auto"/>
              <w:rPr>
                <w:noProof/>
              </w:rPr>
            </w:pPr>
            <w:r>
              <w:rPr>
                <w:noProof/>
              </w:rPr>
              <w:t>Ar galīgajiem saņēmējiem parakstītie juridiskie nolīgumi un ieguldījumu pabeigšana</w:t>
            </w:r>
          </w:p>
        </w:tc>
      </w:tr>
      <w:tr w:rsidR="00327FF1" w14:paraId="7DD767F6" w14:textId="77777777">
        <w:trPr>
          <w:trHeight w:val="300"/>
        </w:trPr>
        <w:tc>
          <w:tcPr>
            <w:tcW w:w="124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273B96" w14:textId="77777777" w:rsidR="00327FF1" w:rsidRDefault="00E406C7">
            <w:pPr>
              <w:pStyle w:val="P68B1DB1-Normal121"/>
              <w:spacing w:after="0" w:line="240" w:lineRule="auto"/>
              <w:jc w:val="center"/>
              <w:rPr>
                <w:noProof/>
              </w:rPr>
            </w:pPr>
            <w:r>
              <w:rPr>
                <w:noProof/>
              </w:rPr>
              <w:t>M2C4–39</w:t>
            </w:r>
          </w:p>
        </w:tc>
        <w:tc>
          <w:tcPr>
            <w:tcW w:w="344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259567" w14:textId="77777777" w:rsidR="00327FF1" w:rsidRDefault="00E406C7">
            <w:pPr>
              <w:pStyle w:val="P68B1DB1-Normal121"/>
              <w:spacing w:after="0" w:line="240" w:lineRule="auto"/>
              <w:rPr>
                <w:noProof/>
              </w:rPr>
            </w:pPr>
            <w:r>
              <w:rPr>
                <w:noProof/>
              </w:rPr>
              <w:t>Investīcija 4.5. — Dotāciju shēma ieguldījumiem ūdens infrastruktūrā</w:t>
            </w:r>
          </w:p>
        </w:tc>
        <w:tc>
          <w:tcPr>
            <w:tcW w:w="113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E154D4" w14:textId="77777777" w:rsidR="00327FF1" w:rsidRDefault="00E406C7">
            <w:pPr>
              <w:pStyle w:val="P68B1DB1-Normal121"/>
              <w:spacing w:after="0" w:line="240" w:lineRule="auto"/>
              <w:jc w:val="center"/>
              <w:rPr>
                <w:noProof/>
              </w:rPr>
            </w:pPr>
            <w:r>
              <w:rPr>
                <w:noProof/>
              </w:rPr>
              <w:t>Atskaites punkts</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801CA2" w14:textId="77777777" w:rsidR="00327FF1" w:rsidRDefault="00E406C7">
            <w:pPr>
              <w:pStyle w:val="P68B1DB1-Normal121"/>
              <w:spacing w:after="0" w:line="240" w:lineRule="auto"/>
              <w:rPr>
                <w:noProof/>
              </w:rPr>
            </w:pPr>
            <w:r>
              <w:rPr>
                <w:noProof/>
              </w:rPr>
              <w:t xml:space="preserve">Īstenošanas nolīguma stāšanās spēkā </w:t>
            </w:r>
          </w:p>
        </w:tc>
      </w:tr>
      <w:tr w:rsidR="00327FF1" w14:paraId="4CC1E651" w14:textId="77777777">
        <w:trPr>
          <w:trHeight w:val="300"/>
        </w:trPr>
        <w:tc>
          <w:tcPr>
            <w:tcW w:w="1246" w:type="dxa"/>
            <w:shd w:val="clear" w:color="auto" w:fill="C6EFCE"/>
            <w:tcMar>
              <w:left w:w="108" w:type="dxa"/>
              <w:right w:w="108" w:type="dxa"/>
            </w:tcMar>
            <w:vAlign w:val="center"/>
          </w:tcPr>
          <w:p w14:paraId="63D33AC3" w14:textId="77777777" w:rsidR="00327FF1" w:rsidRDefault="00327FF1">
            <w:pPr>
              <w:spacing w:after="0" w:line="240" w:lineRule="auto"/>
              <w:jc w:val="center"/>
              <w:rPr>
                <w:rFonts w:ascii="Times New Roman" w:eastAsia="Times New Roman" w:hAnsi="Times New Roman" w:cs="Times New Roman"/>
                <w:noProof/>
                <w:color w:val="006100"/>
                <w:sz w:val="20"/>
                <w:szCs w:val="20"/>
              </w:rPr>
            </w:pPr>
          </w:p>
        </w:tc>
        <w:tc>
          <w:tcPr>
            <w:tcW w:w="3449" w:type="dxa"/>
            <w:shd w:val="clear" w:color="auto" w:fill="C6EFCE"/>
            <w:tcMar>
              <w:left w:w="108" w:type="dxa"/>
              <w:right w:w="108" w:type="dxa"/>
            </w:tcMar>
            <w:vAlign w:val="center"/>
          </w:tcPr>
          <w:p w14:paraId="39823D8E" w14:textId="77777777" w:rsidR="00327FF1" w:rsidRDefault="00327FF1">
            <w:pPr>
              <w:spacing w:after="0" w:line="240" w:lineRule="auto"/>
              <w:rPr>
                <w:rFonts w:ascii="Times New Roman" w:eastAsia="Times New Roman" w:hAnsi="Times New Roman" w:cs="Times New Roman"/>
                <w:noProof/>
                <w:color w:val="006100"/>
                <w:sz w:val="20"/>
                <w:szCs w:val="20"/>
              </w:rPr>
            </w:pPr>
          </w:p>
        </w:tc>
        <w:tc>
          <w:tcPr>
            <w:tcW w:w="1134" w:type="dxa"/>
            <w:shd w:val="clear" w:color="auto" w:fill="C6EFCE"/>
            <w:tcMar>
              <w:left w:w="108" w:type="dxa"/>
              <w:right w:w="108" w:type="dxa"/>
            </w:tcMar>
            <w:vAlign w:val="center"/>
          </w:tcPr>
          <w:p w14:paraId="54804DF2" w14:textId="77777777" w:rsidR="00327FF1" w:rsidRDefault="00E406C7">
            <w:pPr>
              <w:pStyle w:val="P68B1DB1-Normal121"/>
              <w:spacing w:after="0" w:line="240" w:lineRule="auto"/>
              <w:jc w:val="center"/>
              <w:rPr>
                <w:noProof/>
              </w:rPr>
            </w:pPr>
            <w:r>
              <w:rPr>
                <w:noProof/>
              </w:rPr>
              <w:t>Maksājuma summa</w:t>
            </w:r>
          </w:p>
        </w:tc>
        <w:tc>
          <w:tcPr>
            <w:tcW w:w="3402" w:type="dxa"/>
            <w:shd w:val="clear" w:color="auto" w:fill="C6EFCE"/>
            <w:tcMar>
              <w:left w:w="108" w:type="dxa"/>
              <w:right w:w="108" w:type="dxa"/>
            </w:tcMar>
            <w:vAlign w:val="center"/>
          </w:tcPr>
          <w:p w14:paraId="593B2331" w14:textId="77777777" w:rsidR="00327FF1" w:rsidRDefault="00E406C7">
            <w:pPr>
              <w:pStyle w:val="P68B1DB1-Normal8"/>
              <w:spacing w:after="0" w:line="240" w:lineRule="auto"/>
              <w:rPr>
                <w:noProof/>
                <w:color w:val="006100"/>
                <w:sz w:val="20"/>
                <w:szCs w:val="20"/>
              </w:rPr>
            </w:pPr>
            <w:r>
              <w:rPr>
                <w:noProof/>
                <w:color w:val="006100"/>
                <w:sz w:val="20"/>
                <w:szCs w:val="20"/>
              </w:rPr>
              <w:t>EUR</w:t>
            </w:r>
            <w:r>
              <w:rPr>
                <w:noProof/>
                <w:sz w:val="23"/>
                <w:szCs w:val="23"/>
              </w:rPr>
              <w:t xml:space="preserve">  </w:t>
            </w:r>
            <w:r>
              <w:rPr>
                <w:noProof/>
                <w:color w:val="006100"/>
                <w:sz w:val="20"/>
                <w:szCs w:val="20"/>
              </w:rPr>
              <w:t>19919595964</w:t>
            </w:r>
            <w:r>
              <w:rPr>
                <w:noProof/>
                <w:sz w:val="23"/>
                <w:szCs w:val="23"/>
              </w:rPr>
              <w:t xml:space="preserve"> </w:t>
            </w:r>
          </w:p>
        </w:tc>
      </w:tr>
    </w:tbl>
    <w:p w14:paraId="45AD9142" w14:textId="77777777" w:rsidR="00327FF1" w:rsidRDefault="00327FF1">
      <w:pPr>
        <w:pStyle w:val="Heading2"/>
        <w:rPr>
          <w:rFonts w:ascii="Times New Roman" w:hAnsi="Times New Roman" w:cs="Times New Roman"/>
          <w:b/>
          <w:bCs/>
          <w:noProof/>
          <w:color w:val="auto"/>
          <w:sz w:val="24"/>
          <w:szCs w:val="24"/>
        </w:rPr>
      </w:pPr>
    </w:p>
    <w:p w14:paraId="2EAA7708" w14:textId="77777777" w:rsidR="00327FF1" w:rsidRDefault="00E406C7">
      <w:pPr>
        <w:pStyle w:val="P68B1DB1-Normal7"/>
        <w:rPr>
          <w:rFonts w:eastAsiaTheme="majorEastAsia"/>
          <w:b/>
          <w:bCs/>
          <w:noProof/>
        </w:rPr>
      </w:pPr>
      <w:r>
        <w:rPr>
          <w:noProof/>
        </w:rPr>
        <w:br w:type="page"/>
      </w:r>
    </w:p>
    <w:p w14:paraId="5CA53084" w14:textId="77777777" w:rsidR="00327FF1" w:rsidRDefault="00E406C7">
      <w:pPr>
        <w:pStyle w:val="P68B1DB1-Heading2117"/>
        <w:rPr>
          <w:bCs/>
          <w:noProof/>
        </w:rPr>
      </w:pPr>
      <w:r>
        <w:rPr>
          <w:noProof/>
        </w:rPr>
        <w:t xml:space="preserve">3. IEDAĻA. PAPILDU PASĀKUMI </w:t>
      </w:r>
    </w:p>
    <w:p w14:paraId="48432426" w14:textId="77777777" w:rsidR="00327FF1" w:rsidRDefault="00E406C7">
      <w:pPr>
        <w:pStyle w:val="P68B1DB1-Normal125"/>
        <w:numPr>
          <w:ilvl w:val="0"/>
          <w:numId w:val="178"/>
        </w:numPr>
        <w:spacing w:before="120" w:after="120" w:line="240" w:lineRule="auto"/>
        <w:jc w:val="both"/>
        <w:rPr>
          <w:noProof/>
        </w:rPr>
      </w:pPr>
      <w:r>
        <w:rPr>
          <w:noProof/>
        </w:rPr>
        <w:t>Atveseļošanas un noturības plāna uzraudzības un īstenošanas kārtība</w:t>
      </w:r>
    </w:p>
    <w:p w14:paraId="52CEAABB" w14:textId="77777777" w:rsidR="00327FF1" w:rsidRDefault="00E406C7">
      <w:pPr>
        <w:pStyle w:val="P68B1DB1-Normal38"/>
        <w:spacing w:before="120" w:after="120" w:line="240" w:lineRule="auto"/>
        <w:jc w:val="both"/>
        <w:rPr>
          <w:noProof/>
        </w:rPr>
      </w:pPr>
      <w:r>
        <w:rPr>
          <w:noProof/>
        </w:rPr>
        <w:t>Itālijas atveseļošanas un noturības plāna uzraudzība un īstenošana notiek saskaņā</w:t>
      </w:r>
      <w:r>
        <w:rPr>
          <w:noProof/>
        </w:rPr>
        <w:t xml:space="preserve"> ar turpmāk izklāstīto kārtību.</w:t>
      </w:r>
    </w:p>
    <w:p w14:paraId="5D78BB79" w14:textId="77777777" w:rsidR="00327FF1" w:rsidRDefault="00E406C7">
      <w:pPr>
        <w:pStyle w:val="P68B1DB1-Normal38"/>
        <w:spacing w:before="120" w:after="120" w:line="240" w:lineRule="auto"/>
        <w:jc w:val="both"/>
        <w:rPr>
          <w:noProof/>
        </w:rPr>
      </w:pPr>
      <w:r>
        <w:rPr>
          <w:noProof/>
        </w:rPr>
        <w:t>Kā noteikts 2021. gada 31. maija Dekrētlikumā Nr. 77, kas grozīts ar 2023. gada 24. februāra Dekrētlikumu Nr. 13, plāna uzraudzībai un īstenošanai ir izveidotas vairākas koordinācijas struktūras. Tie galvenokārt ir šādi: aug</w:t>
      </w:r>
      <w:r>
        <w:rPr>
          <w:noProof/>
        </w:rPr>
        <w:t>sta līmeņa koordinācijas komiteja (“cabina di regia”), kas izveidota Ministru padomes prezidentūras laikā un kuras galvenais uzdevums ir vadīt un koordinēt plāna īstenošanu; II) misijas struktūra, kas izveidota Ministru padomes prezidentūras laikā vismaz u</w:t>
      </w:r>
      <w:r>
        <w:rPr>
          <w:noProof/>
        </w:rPr>
        <w:t>z plāna darbības laiku un kas ir pilnvarota darboties kā centrālā koordinācijas struktūra plāna īstenošanai un uzraudzībai; III) Ekonomikas un finanšu ministrijas tehniskā struktūra, kas veic plāna īstenošanas operatīvo uzraudzību, procedūru un izdevumu pa</w:t>
      </w:r>
      <w:r>
        <w:rPr>
          <w:noProof/>
        </w:rPr>
        <w:t>reizības kontroli un ziņošanu, kā arī tehnisko un operatīvo atbalstu īstenošanas posmam. Ministru padomes prezidentūras laikā izveidotā misiju struktūra darbojas Eiropas Komisijas uzdevumā kā vienots kontaktpunkts valstu līmenī. Plāna rezultātu novērtēšanu</w:t>
      </w:r>
      <w:r>
        <w:rPr>
          <w:noProof/>
        </w:rPr>
        <w:t xml:space="preserve"> nodrošina Ekonomikas un finanšu ministrija. Lai nodrošinātu iesaistīšanos plāna īstenošanā, speciālās “cabina di regia” sanāksmēs piedalās sociālie partneri un citas ieinteresētās personas. Turklāt katras centrālās administrācijas līmenī, kas atbild par p</w:t>
      </w:r>
      <w:r>
        <w:rPr>
          <w:noProof/>
        </w:rPr>
        <w:t>lānā iekļautajiem pasākumiem, ir noteiktas koordinācijas struktūras, kuru uzdevums ir attiecīgo intervenču pārvaldība, uzraudzība, ziņošana un kontrole, tajā skaitā saistībā ar īstenošanas un progresa uzraudzību atskaites punktu un mērķrādītāju sasniegšanā</w:t>
      </w:r>
      <w:r>
        <w:rPr>
          <w:noProof/>
        </w:rPr>
        <w:t>. Visbeidzot, īstenošanas problēmu gadījumā ir paredzēti izpildes mehānismi, tajā skaitā aktivizējot aizstāšanas pilnvaras attiecībā uz administrācijām, kas atbild par plāna pasākumiem, lai garantētu projektu savlaicīgu un efektīvu īstenošanu, un ir ievies</w:t>
      </w:r>
      <w:r>
        <w:rPr>
          <w:noProof/>
        </w:rPr>
        <w:t>ti ex ante mehānismi konfliktu risināšanai.</w:t>
      </w:r>
    </w:p>
    <w:p w14:paraId="7BBCEE3D" w14:textId="615582C2" w:rsidR="00327FF1" w:rsidRDefault="00E406C7">
      <w:pPr>
        <w:pStyle w:val="P68B1DB1-Normal38"/>
        <w:spacing w:before="120" w:after="120" w:line="240" w:lineRule="auto"/>
        <w:jc w:val="both"/>
        <w:rPr>
          <w:noProof/>
        </w:rPr>
      </w:pPr>
      <w:r>
        <w:rPr>
          <w:noProof/>
        </w:rPr>
        <w:t>Lai stiprinātu uzraudzības un īstenošanas administratīvo spēju, ir paredzēta pagaidu darbinieku pieņemšana darbā, cita starpā saistībā ar centrālajām pārvaldes iestādēm, kas atbild par plāna intervences pasākumie</w:t>
      </w:r>
      <w:r>
        <w:rPr>
          <w:noProof/>
        </w:rPr>
        <w:t>m, un Ekonomikas un finanšu ministriju (tajā skaitā saistībā ar centrālo koordinācijas struktūru un Valsts grāmatvedības departamentu), kā noteikts 2021. gada 9. jūnija Dekrētlikumā Nr. 80, kā arī saistībā ar Itālijas dienvidu pārvaldes iestādēm, kuras, sa</w:t>
      </w:r>
      <w:r>
        <w:rPr>
          <w:noProof/>
        </w:rPr>
        <w:t>gaidāms, stiprinās ES līdzekļu plānošanā un izlietošanā iesaistīto cilvēkkapitālu, kā noteikts konkrēti 2020. gada Likumā Nr. 178. Turklāt resursi ir piešķirti Ministru padomes prezidentūras laikā izveidotajai misijas struktūrai, lai nodrošinātu tās efektī</w:t>
      </w:r>
      <w:r>
        <w:rPr>
          <w:noProof/>
        </w:rPr>
        <w:t xml:space="preserve">vu darbību, kā paredzēts 2023. gada 24. februāra Dekrētlikumā Nr. 13. Visbeidzot, projektu īstenošanā ir paredzēts tehniskais un operatīvais atbalsts centrālajām un vietējām pārvaldes iestādēm, tajā skaitā izmantojot valsts kapitāla sabiedrības, tehniskās </w:t>
      </w:r>
      <w:r>
        <w:rPr>
          <w:noProof/>
        </w:rPr>
        <w:t>palīdzības ekspertu grupu un iespēju piesaistīt ārējus ekspertus. Līdztekus šīm darbībām īsteno pasākumus birokrātijas mazināšanai un administratīvo procedūru vienkāršošanai, kas paredzēti 2021. gada 31. maija Dekrētlikumā Nr. 77 un 2023. gada 24. februāra</w:t>
      </w:r>
      <w:r>
        <w:rPr>
          <w:noProof/>
        </w:rPr>
        <w:t xml:space="preserve"> Dekrētlikumā Nr. 13. </w:t>
      </w:r>
    </w:p>
    <w:p w14:paraId="715C8A03" w14:textId="1E462A85" w:rsidR="00327FF1" w:rsidRDefault="00E406C7">
      <w:pPr>
        <w:pStyle w:val="P68B1DB1-Normal38"/>
        <w:spacing w:before="120" w:after="120" w:line="240" w:lineRule="auto"/>
        <w:jc w:val="both"/>
        <w:rPr>
          <w:noProof/>
        </w:rPr>
      </w:pPr>
      <w:r>
        <w:rPr>
          <w:noProof/>
        </w:rPr>
        <w:t xml:space="preserve">Konkrētā kārtība paredz arī integrētas IT sistēmas (“ReGiS”) izmantošanu. Pašreizējai Ekonomikas un finanšu ministrijas Revīzijas departamenta Ģenerālinspekcijai, kas atbild par finansiālajām attiecībām ar Eiropas Savienību (IGRUE), </w:t>
      </w:r>
      <w:r>
        <w:rPr>
          <w:noProof/>
        </w:rPr>
        <w:t>ir uzdots koordinēt revīzijas sistēmas un veikt kontroli ar Valsts teritoriālo kontu biroja (RTS) atbalstu. Paliek spēkā stingrāka kārtība darbā ar Guardia di Finanza un attiecīgām neatkarīgām iestādēm, piemēram, valsts korupcijas apkarošanas aģentūru ANAC</w:t>
      </w:r>
      <w:r>
        <w:rPr>
          <w:noProof/>
        </w:rPr>
        <w:t>, tādējādi pastiprinot nozīmi, ko Itālijas tiesību sistēma jau piešķir šīm iestādēm saistībā ar publisko finanšu, tajā skaitā ES finanšu, aizsardzību.</w:t>
      </w:r>
    </w:p>
    <w:p w14:paraId="04D9E5E5" w14:textId="77777777" w:rsidR="00327FF1" w:rsidRDefault="00E406C7">
      <w:pPr>
        <w:pStyle w:val="P68B1DB1-Normal38"/>
        <w:rPr>
          <w:noProof/>
        </w:rPr>
      </w:pPr>
      <w:r>
        <w:rPr>
          <w:noProof/>
        </w:rPr>
        <w:br w:type="page"/>
      </w:r>
    </w:p>
    <w:p w14:paraId="60FE7E75" w14:textId="77777777" w:rsidR="00327FF1" w:rsidRDefault="00327FF1">
      <w:pPr>
        <w:spacing w:before="120" w:after="120" w:line="240" w:lineRule="auto"/>
        <w:jc w:val="both"/>
        <w:rPr>
          <w:rFonts w:ascii="Times New Roman" w:eastAsia="Calibri" w:hAnsi="Times New Roman" w:cs="Times New Roman"/>
          <w:noProof/>
        </w:rPr>
      </w:pPr>
    </w:p>
    <w:p w14:paraId="06279AEA" w14:textId="77777777" w:rsidR="00327FF1" w:rsidRDefault="00E406C7">
      <w:pPr>
        <w:pStyle w:val="P68B1DB1-Normal29"/>
        <w:numPr>
          <w:ilvl w:val="0"/>
          <w:numId w:val="178"/>
        </w:numPr>
        <w:spacing w:before="120" w:after="120" w:line="240" w:lineRule="auto"/>
        <w:jc w:val="both"/>
        <w:rPr>
          <w:noProof/>
        </w:rPr>
      </w:pPr>
      <w:r>
        <w:rPr>
          <w:noProof/>
        </w:rPr>
        <w:t>Kārtība, kādā Komisija nodrošina pilnīgu piekļuvi pamatā esošajiem datiem</w:t>
      </w:r>
    </w:p>
    <w:p w14:paraId="386EC65E" w14:textId="77777777" w:rsidR="00327FF1" w:rsidRDefault="00E406C7">
      <w:pPr>
        <w:pStyle w:val="P68B1DB1-Normal38"/>
        <w:spacing w:before="120" w:after="120" w:line="240" w:lineRule="auto"/>
        <w:jc w:val="both"/>
        <w:rPr>
          <w:noProof/>
        </w:rPr>
      </w:pPr>
      <w:r>
        <w:rPr>
          <w:noProof/>
        </w:rPr>
        <w:t xml:space="preserve">Lai nodrošinātu Komisijai </w:t>
      </w:r>
      <w:r>
        <w:rPr>
          <w:noProof/>
        </w:rPr>
        <w:t>pilnīgu piekļuvi attiecīgajiem pamatā esošajiem datiem, Itālijai ir šāda kārtība.</w:t>
      </w:r>
    </w:p>
    <w:p w14:paraId="0CBCE94E" w14:textId="77777777" w:rsidR="00327FF1" w:rsidRDefault="00E406C7">
      <w:pPr>
        <w:pStyle w:val="P68B1DB1-Normal38"/>
        <w:spacing w:before="120" w:after="120" w:line="240" w:lineRule="auto"/>
        <w:jc w:val="both"/>
        <w:rPr>
          <w:noProof/>
        </w:rPr>
      </w:pPr>
      <w:r>
        <w:rPr>
          <w:noProof/>
        </w:rPr>
        <w:t>Ekonomikas un finanšu ministrija darbojas kā tehniska struktūra, kas uzrauga cita starpā progresu atskaites punktu un mērķrādītāju sasniegšanā, attiecīgā gadījumā īsteno kont</w:t>
      </w:r>
      <w:r>
        <w:rPr>
          <w:noProof/>
        </w:rPr>
        <w:t>roles un revīzijas darbības un nodrošina ziņojumus un maksājumu pieprasījumus. Tas koordinē ziņošanu par starpposma un galīgajiem mērķrādītājiem, attiecīgajiem rādītājiem, kā arī kvalitatīvu finanšu informāciju un citiem datiem, piemēram, par galasaņēmējie</w:t>
      </w:r>
      <w:r>
        <w:rPr>
          <w:noProof/>
        </w:rPr>
        <w:t>m. Datu kodēšana notiek par plāna pasākumiem atbildīgo centrālo administrāciju līmenī, kuras paziņo vajadzīgos datus Ekonomikas un finanšu ministrijai. Kā paredzēts Regulas (ES) 2021/241 24. panta 2. punktā, Itālija pēc tam, kad ir izpildīti attiecīgie sas</w:t>
      </w:r>
      <w:r>
        <w:rPr>
          <w:noProof/>
        </w:rPr>
        <w:t xml:space="preserve">kaņotie atskaites punkti un mērķrādītāji, kas izklāstīti šā pielikuma 2.1. iedaļā, iesniedz Komisijai pienācīgi pamatotu finanšu iemaksas un, attiecīgā gadījumā, aizdevuma maksājuma pieprasījumu. Itālija nodrošina, ka pēc pieprasījuma Komisijai ir pilnīga </w:t>
      </w:r>
      <w:r>
        <w:rPr>
          <w:noProof/>
        </w:rPr>
        <w:t>piekļuve attiecīgajiem pamatā esošajiem datiem, kas pamato maksājuma pieprasījuma pienācīgu pamatojumu gan maksājuma pieprasījuma novērtēšanai saskaņā ar Regulas (ES) 2021/241 24. panta 3. punktu, gan revīzijas un kontroles vajadzībām.</w:t>
      </w:r>
    </w:p>
    <w:p w14:paraId="3E350CC9" w14:textId="77777777" w:rsidR="00327FF1" w:rsidRDefault="00327FF1">
      <w:pPr>
        <w:rPr>
          <w:noProof/>
        </w:rPr>
      </w:pPr>
    </w:p>
    <w:sectPr w:rsidR="00327FF1">
      <w:headerReference w:type="default" r:id="rId332"/>
      <w:footerReference w:type="default" r:id="rId3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7D71AE" w14:textId="77777777" w:rsidR="00425208" w:rsidRDefault="00425208">
      <w:pPr>
        <w:spacing w:after="0" w:line="240" w:lineRule="auto"/>
      </w:pPr>
      <w:r>
        <w:separator/>
      </w:r>
    </w:p>
  </w:endnote>
  <w:endnote w:type="continuationSeparator" w:id="0">
    <w:p w14:paraId="5FA8404B" w14:textId="77777777" w:rsidR="00425208" w:rsidRDefault="00425208">
      <w:pPr>
        <w:spacing w:after="0" w:line="240" w:lineRule="auto"/>
      </w:pPr>
      <w:r>
        <w:continuationSeparator/>
      </w:r>
    </w:p>
  </w:endnote>
  <w:endnote w:type="continuationNotice" w:id="1">
    <w:p w14:paraId="1D23C429" w14:textId="77777777" w:rsidR="00425208" w:rsidRDefault="004252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quot;Times New Roman&quot;,serif">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EC Square Sans Pro">
    <w:altName w:val="Segoe UI"/>
    <w:charset w:val="00"/>
    <w:family w:val="swiss"/>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19042" w14:textId="713DCC6A" w:rsidR="00E406C7" w:rsidRPr="00E406C7" w:rsidRDefault="00E406C7" w:rsidP="00E406C7">
    <w:pPr>
      <w:pStyle w:val="FooterCoverPage"/>
      <w:rPr>
        <w:rFonts w:ascii="Arial" w:hAnsi="Arial" w:cs="Arial"/>
        <w:b/>
        <w:sz w:val="48"/>
      </w:rPr>
    </w:pPr>
    <w:r w:rsidRPr="00E406C7">
      <w:rPr>
        <w:rFonts w:ascii="Arial" w:hAnsi="Arial" w:cs="Arial"/>
        <w:b/>
        <w:sz w:val="48"/>
      </w:rPr>
      <w:t>LV</w:t>
    </w:r>
    <w:r w:rsidRPr="00E406C7">
      <w:rPr>
        <w:rFonts w:ascii="Arial" w:hAnsi="Arial" w:cs="Arial"/>
        <w:b/>
        <w:sz w:val="48"/>
      </w:rPr>
      <w:tab/>
    </w:r>
    <w:r w:rsidRPr="00E406C7">
      <w:rPr>
        <w:rFonts w:ascii="Arial" w:hAnsi="Arial" w:cs="Arial"/>
        <w:b/>
        <w:sz w:val="48"/>
      </w:rPr>
      <w:tab/>
    </w:r>
    <w:r w:rsidRPr="00E406C7">
      <w:tab/>
    </w:r>
    <w:r w:rsidRPr="00E406C7">
      <w:rPr>
        <w:rFonts w:ascii="Arial" w:hAnsi="Arial" w:cs="Arial"/>
        <w:b/>
        <w:sz w:val="48"/>
      </w:rPr>
      <w:t>LV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F8CC4" w14:textId="232C6897" w:rsidR="00E406C7" w:rsidRPr="00E406C7" w:rsidRDefault="00E406C7" w:rsidP="00E406C7">
    <w:pPr>
      <w:pStyle w:val="FooterCoverPage"/>
      <w:rPr>
        <w:rFonts w:ascii="Arial" w:hAnsi="Arial" w:cs="Arial"/>
        <w:b/>
        <w:sz w:val="48"/>
      </w:rPr>
    </w:pPr>
    <w:r w:rsidRPr="00E406C7">
      <w:rPr>
        <w:rFonts w:ascii="Arial" w:hAnsi="Arial" w:cs="Arial"/>
        <w:b/>
        <w:sz w:val="48"/>
      </w:rPr>
      <w:t>LV</w:t>
    </w:r>
    <w:r w:rsidRPr="00E406C7">
      <w:rPr>
        <w:rFonts w:ascii="Arial" w:hAnsi="Arial" w:cs="Arial"/>
        <w:b/>
        <w:sz w:val="48"/>
      </w:rPr>
      <w:tab/>
    </w:r>
    <w:r w:rsidRPr="00E406C7">
      <w:rPr>
        <w:rFonts w:ascii="Arial" w:hAnsi="Arial" w:cs="Arial"/>
        <w:b/>
        <w:sz w:val="48"/>
      </w:rPr>
      <w:tab/>
    </w:r>
    <w:r w:rsidRPr="00E406C7">
      <w:tab/>
    </w:r>
    <w:r w:rsidRPr="00E406C7">
      <w:rPr>
        <w:rFonts w:ascii="Arial" w:hAnsi="Arial" w:cs="Arial"/>
        <w:b/>
        <w:sz w:val="48"/>
      </w:rPr>
      <w:t>LV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59030" w14:textId="77777777" w:rsidR="00E406C7" w:rsidRPr="00E406C7" w:rsidRDefault="00E406C7" w:rsidP="00E406C7">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F60F7" w14:textId="77777777" w:rsidR="00327FF1" w:rsidRDefault="00327FF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44638651"/>
      <w:docPartObj>
        <w:docPartGallery w:val="Page Numbers (Bottom of Page)"/>
        <w:docPartUnique/>
      </w:docPartObj>
    </w:sdtPr>
    <w:sdtEndPr/>
    <w:sdtContent>
      <w:p w14:paraId="15AFD4EF" w14:textId="44F456E0" w:rsidR="00327FF1" w:rsidRDefault="00E406C7">
        <w:pPr>
          <w:pStyle w:val="Footer"/>
          <w:jc w:val="center"/>
        </w:pPr>
        <w:r>
          <w:fldChar w:fldCharType="begin"/>
        </w:r>
        <w:r>
          <w:instrText xml:space="preserve"> PAGE   \</w:instrText>
        </w:r>
        <w:r>
          <w:instrText xml:space="preserve">* MERGEFORMAT </w:instrText>
        </w:r>
        <w:r>
          <w:fldChar w:fldCharType="separate"/>
        </w:r>
        <w:r>
          <w:rPr>
            <w:noProof/>
          </w:rPr>
          <w:t>7</w:t>
        </w:r>
        <w:r>
          <w:fldChar w:fldCharType="end"/>
        </w:r>
      </w:p>
    </w:sdtContent>
  </w:sdt>
  <w:p w14:paraId="158885D5" w14:textId="77777777" w:rsidR="00327FF1" w:rsidRDefault="00327FF1">
    <w:pPr>
      <w:pStyle w:val="FooterCouncil"/>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6CD63" w14:textId="77777777" w:rsidR="00327FF1" w:rsidRDefault="00327FF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84E9A" w14:textId="77777777" w:rsidR="00327FF1" w:rsidRDefault="00327FF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22449238"/>
      <w:docPartObj>
        <w:docPartGallery w:val="Page Numbers (Bottom of Page)"/>
        <w:docPartUnique/>
      </w:docPartObj>
    </w:sdtPr>
    <w:sdtEndPr/>
    <w:sdtContent>
      <w:p w14:paraId="637B417B" w14:textId="6DF9946D" w:rsidR="00327FF1" w:rsidRDefault="00E406C7">
        <w:pPr>
          <w:pStyle w:val="Footer"/>
          <w:jc w:val="center"/>
        </w:pPr>
        <w:r>
          <w:fldChar w:fldCharType="begin"/>
        </w:r>
        <w:r>
          <w:instrText xml:space="preserve"> PAGE   \* MERGEFORMAT </w:instrText>
        </w:r>
        <w:r>
          <w:fldChar w:fldCharType="separate"/>
        </w:r>
        <w:r>
          <w:rPr>
            <w:noProof/>
          </w:rPr>
          <w:t>10</w:t>
        </w:r>
        <w:r>
          <w:fldChar w:fldCharType="end"/>
        </w:r>
      </w:p>
    </w:sdtContent>
  </w:sdt>
  <w:p w14:paraId="0A8C0572" w14:textId="77777777" w:rsidR="00327FF1" w:rsidRDefault="00327FF1">
    <w:pPr>
      <w:pStyle w:val="FooterCouncil"/>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9FE4B" w14:textId="77777777" w:rsidR="00327FF1" w:rsidRDefault="00327FF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AC862" w14:textId="77777777" w:rsidR="00327FF1" w:rsidRDefault="00327FF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30924729"/>
      <w:docPartObj>
        <w:docPartGallery w:val="Page Numbers (Bottom of Page)"/>
        <w:docPartUnique/>
      </w:docPartObj>
    </w:sdtPr>
    <w:sdtEndPr/>
    <w:sdtContent>
      <w:p w14:paraId="1A49A47D" w14:textId="77777777" w:rsidR="00327FF1" w:rsidRDefault="00E406C7">
        <w:pPr>
          <w:pStyle w:val="Footer"/>
          <w:jc w:val="center"/>
        </w:pPr>
        <w:r>
          <w:fldChar w:fldCharType="begin"/>
        </w:r>
        <w:r>
          <w:instrText xml:space="preserve"> PAGE   \* MERGEFORMAT </w:instrText>
        </w:r>
        <w:r>
          <w:fldChar w:fldCharType="separate"/>
        </w:r>
        <w:r>
          <w:t>125</w:t>
        </w:r>
        <w:r>
          <w:fldChar w:fldCharType="end"/>
        </w:r>
      </w:p>
    </w:sdtContent>
  </w:sdt>
  <w:p w14:paraId="1637FED8" w14:textId="77777777" w:rsidR="00327FF1" w:rsidRDefault="00327FF1">
    <w:pPr>
      <w:pStyle w:val="FooterCouncil"/>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D710A" w14:textId="77777777" w:rsidR="00327FF1" w:rsidRDefault="00327FF1">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373073347"/>
      <w:docPartObj>
        <w:docPartGallery w:val="Page Numbers (Bottom of Page)"/>
        <w:docPartUnique/>
      </w:docPartObj>
    </w:sdtPr>
    <w:sdtEndPr/>
    <w:sdtContent>
      <w:p w14:paraId="63FEFD9B" w14:textId="77777777" w:rsidR="00D500E7" w:rsidRDefault="00D500E7">
        <w:pPr>
          <w:pStyle w:val="Footer"/>
          <w:jc w:val="center"/>
        </w:pPr>
        <w:r>
          <w:fldChar w:fldCharType="begin"/>
        </w:r>
        <w:r>
          <w:instrText xml:space="preserve"> PAGE   \* MERGEFORMAT </w:instrText>
        </w:r>
        <w:r>
          <w:fldChar w:fldCharType="separate"/>
        </w:r>
        <w:r>
          <w:t>125</w:t>
        </w:r>
        <w:r>
          <w:fldChar w:fldCharType="end"/>
        </w:r>
      </w:p>
    </w:sdtContent>
  </w:sdt>
  <w:p w14:paraId="48541A98" w14:textId="77777777" w:rsidR="00D500E7" w:rsidRDefault="00D500E7">
    <w:pPr>
      <w:pStyle w:val="FooterCouncil"/>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806056732"/>
      <w:docPartObj>
        <w:docPartGallery w:val="Page Numbers (Bottom of Page)"/>
        <w:docPartUnique/>
      </w:docPartObj>
    </w:sdtPr>
    <w:sdtEndPr/>
    <w:sdtContent>
      <w:p w14:paraId="204AB746" w14:textId="77777777" w:rsidR="00D500E7" w:rsidRDefault="00D500E7">
        <w:pPr>
          <w:pStyle w:val="Footer"/>
          <w:jc w:val="center"/>
        </w:pPr>
        <w:r>
          <w:fldChar w:fldCharType="begin"/>
        </w:r>
        <w:r>
          <w:instrText xml:space="preserve"> PAGE   \* MERGEFORMAT </w:instrText>
        </w:r>
        <w:r>
          <w:fldChar w:fldCharType="separate"/>
        </w:r>
        <w:r>
          <w:t>125</w:t>
        </w:r>
        <w:r>
          <w:fldChar w:fldCharType="end"/>
        </w:r>
      </w:p>
    </w:sdtContent>
  </w:sdt>
  <w:p w14:paraId="6D65AC34" w14:textId="77777777" w:rsidR="00D500E7" w:rsidRDefault="00D500E7">
    <w:pPr>
      <w:pStyle w:val="FooterCouncil"/>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6284C" w14:textId="77777777" w:rsidR="00327FF1" w:rsidRDefault="00327FF1">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69438783"/>
      <w:docPartObj>
        <w:docPartGallery w:val="Page Numbers (Bottom of Page)"/>
        <w:docPartUnique/>
      </w:docPartObj>
    </w:sdtPr>
    <w:sdtEndPr/>
    <w:sdtContent>
      <w:p w14:paraId="0C14A3A0"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0ED5EF8B" w14:textId="77777777" w:rsidR="00327FF1" w:rsidRDefault="00327FF1">
    <w:pPr>
      <w:pStyle w:val="FooterCouncil"/>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8BA4C" w14:textId="77777777" w:rsidR="00327FF1" w:rsidRDefault="00327FF1">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14F1A" w14:textId="77777777" w:rsidR="00327FF1" w:rsidRDefault="00327FF1">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06992641"/>
      <w:docPartObj>
        <w:docPartGallery w:val="Page Numbers (Bottom of Page)"/>
        <w:docPartUnique/>
      </w:docPartObj>
    </w:sdtPr>
    <w:sdtEndPr/>
    <w:sdtContent>
      <w:p w14:paraId="7902460E" w14:textId="77777777" w:rsidR="00327FF1" w:rsidRDefault="00E406C7">
        <w:pPr>
          <w:pStyle w:val="Footer"/>
          <w:jc w:val="center"/>
        </w:pPr>
        <w:r>
          <w:fldChar w:fldCharType="begin"/>
        </w:r>
        <w:r>
          <w:instrText xml:space="preserve"> PAGE   \* MERGEFORMAT </w:instrText>
        </w:r>
        <w:r>
          <w:fldChar w:fldCharType="separate"/>
        </w:r>
        <w:r>
          <w:t>1</w:t>
        </w:r>
        <w:r>
          <w:t>50</w:t>
        </w:r>
        <w:r>
          <w:fldChar w:fldCharType="end"/>
        </w:r>
      </w:p>
    </w:sdtContent>
  </w:sdt>
  <w:p w14:paraId="67467335" w14:textId="77777777" w:rsidR="00327FF1" w:rsidRDefault="00327FF1">
    <w:pPr>
      <w:pStyle w:val="FooterCouncil"/>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2617F" w14:textId="77777777" w:rsidR="00327FF1" w:rsidRDefault="00327FF1">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1CCD6" w14:textId="77777777" w:rsidR="00327FF1" w:rsidRDefault="00327FF1">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71273559"/>
      <w:docPartObj>
        <w:docPartGallery w:val="Page Numbers (Bottom of Page)"/>
        <w:docPartUnique/>
      </w:docPartObj>
    </w:sdtPr>
    <w:sdtEndPr/>
    <w:sdtContent>
      <w:p w14:paraId="6D2843FF"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3CC5750A" w14:textId="77777777" w:rsidR="00327FF1" w:rsidRDefault="00327FF1">
    <w:pPr>
      <w:pStyle w:val="FooterCouncil"/>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DE4D3" w14:textId="77777777" w:rsidR="00327FF1" w:rsidRDefault="00327FF1">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37469400"/>
      <w:docPartObj>
        <w:docPartGallery w:val="Page Numbers (Bottom of Page)"/>
        <w:docPartUnique/>
      </w:docPartObj>
    </w:sdtPr>
    <w:sdtEndPr/>
    <w:sdtContent>
      <w:p w14:paraId="2FA8CF14" w14:textId="77777777" w:rsidR="00D500E7" w:rsidRDefault="00D500E7">
        <w:pPr>
          <w:pStyle w:val="Footer"/>
          <w:jc w:val="center"/>
        </w:pPr>
        <w:r>
          <w:fldChar w:fldCharType="begin"/>
        </w:r>
        <w:r>
          <w:instrText xml:space="preserve"> PAGE   \* MERGEFORMAT </w:instrText>
        </w:r>
        <w:r>
          <w:fldChar w:fldCharType="separate"/>
        </w:r>
        <w:r>
          <w:t>150</w:t>
        </w:r>
        <w:r>
          <w:fldChar w:fldCharType="end"/>
        </w:r>
      </w:p>
    </w:sdtContent>
  </w:sdt>
  <w:p w14:paraId="7A1CF8A9" w14:textId="77777777" w:rsidR="00D500E7" w:rsidRDefault="00D500E7">
    <w:pPr>
      <w:pStyle w:val="FooterCouncil"/>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20757558"/>
      <w:docPartObj>
        <w:docPartGallery w:val="Page Numbers (Bottom of Page)"/>
        <w:docPartUnique/>
      </w:docPartObj>
    </w:sdtPr>
    <w:sdtEndPr/>
    <w:sdtContent>
      <w:p w14:paraId="2DAE1122"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09D417B4" w14:textId="77777777" w:rsidR="00327FF1" w:rsidRDefault="00327FF1">
    <w:pPr>
      <w:pStyle w:val="FooterCouncil"/>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EB488" w14:textId="77777777" w:rsidR="00327FF1" w:rsidRDefault="00327FF1">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73375581"/>
      <w:docPartObj>
        <w:docPartGallery w:val="Page Numbers (Bottom of Page)"/>
        <w:docPartUnique/>
      </w:docPartObj>
    </w:sdtPr>
    <w:sdtEndPr/>
    <w:sdtContent>
      <w:p w14:paraId="4B15B08D" w14:textId="77777777" w:rsidR="00327FF1" w:rsidRDefault="00E406C7">
        <w:pPr>
          <w:pStyle w:val="Footer"/>
          <w:jc w:val="center"/>
        </w:pPr>
        <w:r>
          <w:fldChar w:fldCharType="begin"/>
        </w:r>
        <w:r>
          <w:instrText xml:space="preserve"> PAGE   \* MERGEFORMAT </w:instrText>
        </w:r>
        <w:r>
          <w:fldChar w:fldCharType="separate"/>
        </w:r>
        <w:r>
          <w:t>188</w:t>
        </w:r>
        <w:r>
          <w:fldChar w:fldCharType="end"/>
        </w:r>
      </w:p>
    </w:sdtContent>
  </w:sdt>
  <w:p w14:paraId="1A22EFA3" w14:textId="77777777" w:rsidR="00327FF1" w:rsidRDefault="00327FF1">
    <w:pPr>
      <w:pStyle w:val="FooterCouncil"/>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CF846" w14:textId="77777777" w:rsidR="00327FF1" w:rsidRDefault="00327FF1">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4F8D3" w14:textId="77777777" w:rsidR="00327FF1" w:rsidRDefault="00327FF1">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17821140"/>
      <w:docPartObj>
        <w:docPartGallery w:val="Page Numbers (Bottom of Page)"/>
        <w:docPartUnique/>
      </w:docPartObj>
    </w:sdtPr>
    <w:sdtEndPr/>
    <w:sdtContent>
      <w:p w14:paraId="4AB8E351" w14:textId="77777777" w:rsidR="00327FF1" w:rsidRDefault="00E406C7">
        <w:pPr>
          <w:pStyle w:val="Footer"/>
          <w:jc w:val="center"/>
        </w:pPr>
        <w:r>
          <w:fldChar w:fldCharType="begin"/>
        </w:r>
        <w:r>
          <w:instrText xml:space="preserve"> PAGE   \* MERGEFORMAT </w:instrText>
        </w:r>
        <w:r>
          <w:fldChar w:fldCharType="separate"/>
        </w:r>
        <w:r>
          <w:t>252</w:t>
        </w:r>
        <w:r>
          <w:fldChar w:fldCharType="end"/>
        </w:r>
      </w:p>
    </w:sdtContent>
  </w:sdt>
  <w:p w14:paraId="31F56FB2" w14:textId="77777777" w:rsidR="00327FF1" w:rsidRDefault="00327FF1">
    <w:pPr>
      <w:pStyle w:val="FooterCouncil"/>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C44B5" w14:textId="77777777" w:rsidR="00327FF1" w:rsidRDefault="00327FF1">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029171394"/>
      <w:docPartObj>
        <w:docPartGallery w:val="Page Numbers (Bottom of Page)"/>
        <w:docPartUnique/>
      </w:docPartObj>
    </w:sdtPr>
    <w:sdtEndPr/>
    <w:sdtContent>
      <w:p w14:paraId="4817346A" w14:textId="77777777" w:rsidR="00D500E7" w:rsidRDefault="00D500E7">
        <w:pPr>
          <w:pStyle w:val="Footer"/>
          <w:jc w:val="center"/>
        </w:pPr>
        <w:r>
          <w:fldChar w:fldCharType="begin"/>
        </w:r>
        <w:r>
          <w:instrText xml:space="preserve"> PAGE   \* MERGEFORMAT </w:instrText>
        </w:r>
        <w:r>
          <w:fldChar w:fldCharType="separate"/>
        </w:r>
        <w:r>
          <w:t>252</w:t>
        </w:r>
        <w:r>
          <w:fldChar w:fldCharType="end"/>
        </w:r>
      </w:p>
    </w:sdtContent>
  </w:sdt>
  <w:p w14:paraId="3D428FA3" w14:textId="77777777" w:rsidR="00D500E7" w:rsidRDefault="00D500E7">
    <w:pPr>
      <w:pStyle w:val="FooterCouncil"/>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6191421"/>
      <w:docPartObj>
        <w:docPartGallery w:val="Page Numbers (Bottom of Page)"/>
        <w:docPartUnique/>
      </w:docPartObj>
    </w:sdtPr>
    <w:sdtEndPr/>
    <w:sdtContent>
      <w:p w14:paraId="2A5D9D19" w14:textId="77777777" w:rsidR="00D500E7" w:rsidRDefault="00D500E7">
        <w:pPr>
          <w:pStyle w:val="Footer"/>
          <w:jc w:val="center"/>
        </w:pPr>
        <w:r>
          <w:fldChar w:fldCharType="begin"/>
        </w:r>
        <w:r>
          <w:instrText xml:space="preserve"> PAGE   \* MERGEFORMAT </w:instrText>
        </w:r>
        <w:r>
          <w:fldChar w:fldCharType="separate"/>
        </w:r>
        <w:r>
          <w:t>252</w:t>
        </w:r>
        <w:r>
          <w:fldChar w:fldCharType="end"/>
        </w:r>
      </w:p>
    </w:sdtContent>
  </w:sdt>
  <w:p w14:paraId="6460A212" w14:textId="77777777" w:rsidR="00D500E7" w:rsidRDefault="00D500E7">
    <w:pPr>
      <w:pStyle w:val="FooterCouncil"/>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145930858"/>
      <w:docPartObj>
        <w:docPartGallery w:val="Page Numbers (Bottom of Page)"/>
        <w:docPartUnique/>
      </w:docPartObj>
    </w:sdtPr>
    <w:sdtEndPr/>
    <w:sdtContent>
      <w:p w14:paraId="4B4D1DDC" w14:textId="77777777" w:rsidR="00D500E7" w:rsidRDefault="00D500E7">
        <w:pPr>
          <w:pStyle w:val="Footer"/>
          <w:jc w:val="center"/>
        </w:pPr>
        <w:r>
          <w:fldChar w:fldCharType="begin"/>
        </w:r>
        <w:r>
          <w:instrText xml:space="preserve"> PAGE   \* MERGEFORMAT </w:instrText>
        </w:r>
        <w:r>
          <w:fldChar w:fldCharType="separate"/>
        </w:r>
        <w:r>
          <w:t>252</w:t>
        </w:r>
        <w:r>
          <w:fldChar w:fldCharType="end"/>
        </w:r>
      </w:p>
    </w:sdtContent>
  </w:sdt>
  <w:p w14:paraId="687F6AA5" w14:textId="77777777" w:rsidR="00D500E7" w:rsidRDefault="00D500E7">
    <w:pPr>
      <w:pStyle w:val="FooterCouncil"/>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84645037"/>
      <w:docPartObj>
        <w:docPartGallery w:val="Page Numbers (Bottom of Page)"/>
        <w:docPartUnique/>
      </w:docPartObj>
    </w:sdtPr>
    <w:sdtEndPr/>
    <w:sdtContent>
      <w:p w14:paraId="62EC82D5" w14:textId="77777777" w:rsidR="00D500E7" w:rsidRDefault="00D500E7">
        <w:pPr>
          <w:pStyle w:val="Footer"/>
          <w:jc w:val="center"/>
        </w:pPr>
        <w:r>
          <w:fldChar w:fldCharType="begin"/>
        </w:r>
        <w:r>
          <w:instrText xml:space="preserve"> PAGE   \* MERGEFORMAT </w:instrText>
        </w:r>
        <w:r>
          <w:fldChar w:fldCharType="separate"/>
        </w:r>
        <w:r>
          <w:t>252</w:t>
        </w:r>
        <w:r>
          <w:fldChar w:fldCharType="end"/>
        </w:r>
      </w:p>
    </w:sdtContent>
  </w:sdt>
  <w:p w14:paraId="2664000B" w14:textId="77777777" w:rsidR="00D500E7" w:rsidRDefault="00D500E7">
    <w:pPr>
      <w:pStyle w:val="FooterCouncil"/>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394934134"/>
      <w:docPartObj>
        <w:docPartGallery w:val="Page Numbers (Bottom of Page)"/>
        <w:docPartUnique/>
      </w:docPartObj>
    </w:sdtPr>
    <w:sdtEndPr/>
    <w:sdtContent>
      <w:p w14:paraId="3054FC40" w14:textId="77777777" w:rsidR="00D500E7" w:rsidRDefault="00D500E7">
        <w:pPr>
          <w:pStyle w:val="Footer"/>
          <w:jc w:val="center"/>
        </w:pPr>
        <w:r>
          <w:fldChar w:fldCharType="begin"/>
        </w:r>
        <w:r>
          <w:instrText xml:space="preserve"> PAGE   \* MERGEFORMAT </w:instrText>
        </w:r>
        <w:r>
          <w:fldChar w:fldCharType="separate"/>
        </w:r>
        <w:r>
          <w:t>252</w:t>
        </w:r>
        <w:r>
          <w:fldChar w:fldCharType="end"/>
        </w:r>
      </w:p>
    </w:sdtContent>
  </w:sdt>
  <w:p w14:paraId="475DF3E0" w14:textId="77777777" w:rsidR="00D500E7" w:rsidRDefault="00D500E7">
    <w:pPr>
      <w:pStyle w:val="FooterCouncil"/>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0515B" w14:textId="77777777" w:rsidR="00327FF1" w:rsidRDefault="00327FF1">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104251616"/>
      <w:docPartObj>
        <w:docPartGallery w:val="Page Numbers (Bottom of Page)"/>
        <w:docPartUnique/>
      </w:docPartObj>
    </w:sdtPr>
    <w:sdtEndPr/>
    <w:sdtContent>
      <w:p w14:paraId="0037A069"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711182E1" w14:textId="77777777" w:rsidR="00327FF1" w:rsidRDefault="00327FF1">
    <w:pPr>
      <w:pStyle w:val="FooterCouncil"/>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3EEC8" w14:textId="77777777" w:rsidR="00327FF1" w:rsidRDefault="00327FF1">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65E31" w14:textId="77777777" w:rsidR="00327FF1" w:rsidRDefault="00327FF1">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53387456"/>
      <w:docPartObj>
        <w:docPartGallery w:val="Page Numbers (Bottom of Page)"/>
        <w:docPartUnique/>
      </w:docPartObj>
    </w:sdtPr>
    <w:sdtEndPr/>
    <w:sdtContent>
      <w:p w14:paraId="7FC8B172"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514C6D41" w14:textId="77777777" w:rsidR="00327FF1" w:rsidRDefault="00327FF1">
    <w:pPr>
      <w:pStyle w:val="FooterCouncil"/>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22A4A" w14:textId="77777777" w:rsidR="00327FF1" w:rsidRDefault="00327FF1">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08437440"/>
      <w:docPartObj>
        <w:docPartGallery w:val="Page Numbers (Bottom of Page)"/>
        <w:docPartUnique/>
      </w:docPartObj>
    </w:sdtPr>
    <w:sdtEndPr/>
    <w:sdtContent>
      <w:p w14:paraId="0D1E9511" w14:textId="77777777" w:rsidR="00327FF1" w:rsidRDefault="00E406C7">
        <w:pPr>
          <w:pStyle w:val="Footer"/>
          <w:jc w:val="center"/>
        </w:pPr>
        <w:r>
          <w:fldChar w:fldCharType="begin"/>
        </w:r>
        <w:r>
          <w:instrText xml:space="preserve"> PAGE   \* MERGEFORMAT </w:instrText>
        </w:r>
        <w:r>
          <w:fldChar w:fldCharType="separate"/>
        </w:r>
        <w:r>
          <w:t>301</w:t>
        </w:r>
        <w:r>
          <w:fldChar w:fldCharType="end"/>
        </w:r>
      </w:p>
    </w:sdtContent>
  </w:sdt>
  <w:p w14:paraId="69496CCA" w14:textId="77777777" w:rsidR="00327FF1" w:rsidRDefault="00327FF1">
    <w:pPr>
      <w:pStyle w:val="FooterCouncil"/>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6951657"/>
      <w:docPartObj>
        <w:docPartGallery w:val="Page Numbers (Bottom of Page)"/>
        <w:docPartUnique/>
      </w:docPartObj>
    </w:sdtPr>
    <w:sdtEndPr/>
    <w:sdtContent>
      <w:p w14:paraId="624F732B" w14:textId="77777777" w:rsidR="00D500E7" w:rsidRDefault="00D500E7">
        <w:pPr>
          <w:pStyle w:val="Footer"/>
          <w:jc w:val="center"/>
        </w:pPr>
        <w:r>
          <w:fldChar w:fldCharType="begin"/>
        </w:r>
        <w:r>
          <w:instrText xml:space="preserve"> PAGE   \* MERGEFORMAT </w:instrText>
        </w:r>
        <w:r>
          <w:fldChar w:fldCharType="separate"/>
        </w:r>
        <w:r>
          <w:t>301</w:t>
        </w:r>
        <w:r>
          <w:fldChar w:fldCharType="end"/>
        </w:r>
      </w:p>
    </w:sdtContent>
  </w:sdt>
  <w:p w14:paraId="1D02123D" w14:textId="77777777" w:rsidR="00D500E7" w:rsidRDefault="00D500E7">
    <w:pPr>
      <w:pStyle w:val="FooterCouncil"/>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9C194" w14:textId="77777777" w:rsidR="00327FF1" w:rsidRDefault="00327FF1">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83844078"/>
      <w:docPartObj>
        <w:docPartGallery w:val="Page Numbers (Bottom of Page)"/>
        <w:docPartUnique/>
      </w:docPartObj>
    </w:sdtPr>
    <w:sdtEndPr/>
    <w:sdtContent>
      <w:p w14:paraId="4C95E0B3" w14:textId="77777777" w:rsidR="00327FF1" w:rsidRDefault="00E406C7">
        <w:pPr>
          <w:pStyle w:val="Footer"/>
          <w:jc w:val="center"/>
        </w:pPr>
        <w:r>
          <w:fldChar w:fldCharType="begin"/>
        </w:r>
        <w:r>
          <w:instrText xml:space="preserve"> PAGE   \* MERGEFORMAT </w:instrText>
        </w:r>
        <w:r>
          <w:fldChar w:fldCharType="separate"/>
        </w:r>
        <w:r>
          <w:t>303</w:t>
        </w:r>
        <w:r>
          <w:fldChar w:fldCharType="end"/>
        </w:r>
      </w:p>
    </w:sdtContent>
  </w:sdt>
  <w:p w14:paraId="2CDA133D" w14:textId="77777777" w:rsidR="00327FF1" w:rsidRDefault="00327FF1">
    <w:pPr>
      <w:pStyle w:val="FooterCouncil"/>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DA44F" w14:textId="77777777" w:rsidR="00327FF1" w:rsidRDefault="00327FF1">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5D96B" w14:textId="77777777" w:rsidR="00327FF1" w:rsidRDefault="00327FF1">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83001240"/>
      <w:docPartObj>
        <w:docPartGallery w:val="Page Numbers (Bottom of Page)"/>
        <w:docPartUnique/>
      </w:docPartObj>
    </w:sdtPr>
    <w:sdtEndPr/>
    <w:sdtContent>
      <w:p w14:paraId="732E22B6" w14:textId="77777777" w:rsidR="00327FF1" w:rsidRDefault="00E406C7">
        <w:pPr>
          <w:pStyle w:val="Footer"/>
          <w:jc w:val="center"/>
        </w:pPr>
        <w:r>
          <w:fldChar w:fldCharType="begin"/>
        </w:r>
        <w:r>
          <w:instrText xml:space="preserve"> PAGE   \* MERGEFORMAT </w:instrText>
        </w:r>
        <w:r>
          <w:fldChar w:fldCharType="separate"/>
        </w:r>
        <w:r>
          <w:t>305</w:t>
        </w:r>
        <w:r>
          <w:fldChar w:fldCharType="end"/>
        </w:r>
      </w:p>
    </w:sdtContent>
  </w:sdt>
  <w:p w14:paraId="4BF68858" w14:textId="77777777" w:rsidR="00327FF1" w:rsidRDefault="00327FF1">
    <w:pPr>
      <w:pStyle w:val="FooterCouncil"/>
    </w:pP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D49D7" w14:textId="77777777" w:rsidR="00327FF1" w:rsidRDefault="00327FF1">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F72C7" w14:textId="77777777" w:rsidR="00327FF1" w:rsidRDefault="00327FF1">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71768562"/>
      <w:docPartObj>
        <w:docPartGallery w:val="Page Numbers (Bottom of Page)"/>
        <w:docPartUnique/>
      </w:docPartObj>
    </w:sdtPr>
    <w:sdtEndPr/>
    <w:sdtContent>
      <w:p w14:paraId="7D2ED769" w14:textId="77777777" w:rsidR="00327FF1" w:rsidRDefault="00E406C7">
        <w:pPr>
          <w:pStyle w:val="Footer"/>
          <w:jc w:val="center"/>
        </w:pPr>
        <w:r>
          <w:fldChar w:fldCharType="begin"/>
        </w:r>
        <w:r>
          <w:instrText xml:space="preserve"> PAGE   \* MERGEFORMAT </w:instrText>
        </w:r>
        <w:r>
          <w:fldChar w:fldCharType="separate"/>
        </w:r>
        <w:r>
          <w:t>311</w:t>
        </w:r>
        <w:r>
          <w:fldChar w:fldCharType="end"/>
        </w:r>
      </w:p>
    </w:sdtContent>
  </w:sdt>
  <w:p w14:paraId="090ACE95" w14:textId="77777777" w:rsidR="00327FF1" w:rsidRDefault="00327FF1">
    <w:pPr>
      <w:pStyle w:val="FooterCouncil"/>
    </w:pP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EDF68" w14:textId="77777777" w:rsidR="00327FF1" w:rsidRDefault="00327FF1">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582947984"/>
      <w:docPartObj>
        <w:docPartGallery w:val="Page Numbers (Bottom of Page)"/>
        <w:docPartUnique/>
      </w:docPartObj>
    </w:sdtPr>
    <w:sdtEndPr/>
    <w:sdtContent>
      <w:p w14:paraId="4FA5C615" w14:textId="77777777" w:rsidR="00D500E7" w:rsidRDefault="00D500E7">
        <w:pPr>
          <w:pStyle w:val="Footer"/>
          <w:jc w:val="center"/>
        </w:pPr>
        <w:r>
          <w:fldChar w:fldCharType="begin"/>
        </w:r>
        <w:r>
          <w:instrText xml:space="preserve"> PAGE   \* MERGEFORMAT </w:instrText>
        </w:r>
        <w:r>
          <w:fldChar w:fldCharType="separate"/>
        </w:r>
        <w:r>
          <w:t>311</w:t>
        </w:r>
        <w:r>
          <w:fldChar w:fldCharType="end"/>
        </w:r>
      </w:p>
    </w:sdtContent>
  </w:sdt>
  <w:p w14:paraId="25ACEE5E" w14:textId="77777777" w:rsidR="00D500E7" w:rsidRDefault="00D500E7">
    <w:pPr>
      <w:pStyle w:val="FooterCouncil"/>
    </w:pP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AE054" w14:textId="77777777" w:rsidR="00327FF1" w:rsidRDefault="00327FF1">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20093231"/>
      <w:docPartObj>
        <w:docPartGallery w:val="Page Numbers (Bottom of Page)"/>
        <w:docPartUnique/>
      </w:docPartObj>
    </w:sdtPr>
    <w:sdtEndPr/>
    <w:sdtContent>
      <w:p w14:paraId="3654EAC1" w14:textId="77777777" w:rsidR="00327FF1" w:rsidRDefault="00E406C7">
        <w:pPr>
          <w:pStyle w:val="Footer"/>
          <w:jc w:val="center"/>
        </w:pPr>
        <w:r>
          <w:fldChar w:fldCharType="begin"/>
        </w:r>
        <w:r>
          <w:instrText xml:space="preserve"> PAGE   \* MERGEFORMAT </w:instrText>
        </w:r>
        <w:r>
          <w:fldChar w:fldCharType="separate"/>
        </w:r>
        <w:r>
          <w:t>316</w:t>
        </w:r>
        <w:r>
          <w:fldChar w:fldCharType="end"/>
        </w:r>
      </w:p>
    </w:sdtContent>
  </w:sdt>
  <w:p w14:paraId="72BEB777" w14:textId="77777777" w:rsidR="00327FF1" w:rsidRDefault="00327FF1">
    <w:pPr>
      <w:pStyle w:val="FooterCouncil"/>
    </w:pP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C77A8" w14:textId="77777777" w:rsidR="00327FF1" w:rsidRDefault="00327FF1">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2B878" w14:textId="77777777" w:rsidR="00327FF1" w:rsidRDefault="00327FF1">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88578604"/>
      <w:docPartObj>
        <w:docPartGallery w:val="Page Numbers (Bottom of Page)"/>
        <w:docPartUnique/>
      </w:docPartObj>
    </w:sdtPr>
    <w:sdtEndPr/>
    <w:sdtContent>
      <w:p w14:paraId="42B3B8C4" w14:textId="77777777" w:rsidR="00327FF1" w:rsidRDefault="00E406C7">
        <w:pPr>
          <w:pStyle w:val="Footer"/>
          <w:jc w:val="center"/>
        </w:pPr>
        <w:r>
          <w:fldChar w:fldCharType="begin"/>
        </w:r>
        <w:r>
          <w:instrText xml:space="preserve"> PAGE   \* MERGEFORMAT </w:instrText>
        </w:r>
        <w:r>
          <w:fldChar w:fldCharType="separate"/>
        </w:r>
        <w:r>
          <w:t>321</w:t>
        </w:r>
        <w:r>
          <w:fldChar w:fldCharType="end"/>
        </w:r>
      </w:p>
    </w:sdtContent>
  </w:sdt>
  <w:p w14:paraId="03C407FB" w14:textId="77777777" w:rsidR="00327FF1" w:rsidRDefault="00327FF1">
    <w:pPr>
      <w:pStyle w:val="FooterCouncil"/>
    </w:pPr>
  </w:p>
</w:ftr>
</file>

<file path=word/footer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BDA08" w14:textId="77777777" w:rsidR="00327FF1" w:rsidRDefault="00327FF1">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08CF8" w14:textId="77777777" w:rsidR="00327FF1" w:rsidRDefault="00327FF1">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02795532"/>
      <w:docPartObj>
        <w:docPartGallery w:val="Page Numbers (Bottom of Page)"/>
        <w:docPartUnique/>
      </w:docPartObj>
    </w:sdtPr>
    <w:sdtEndPr/>
    <w:sdtContent>
      <w:p w14:paraId="12914846" w14:textId="77777777" w:rsidR="00327FF1" w:rsidRDefault="00E406C7">
        <w:pPr>
          <w:pStyle w:val="Footer"/>
          <w:jc w:val="center"/>
        </w:pPr>
        <w:r>
          <w:fldChar w:fldCharType="begin"/>
        </w:r>
        <w:r>
          <w:instrText xml:space="preserve"> PAGE   \* MERGEFORMAT </w:instrText>
        </w:r>
        <w:r>
          <w:fldChar w:fldCharType="separate"/>
        </w:r>
        <w:r>
          <w:t>329</w:t>
        </w:r>
        <w:r>
          <w:fldChar w:fldCharType="end"/>
        </w:r>
      </w:p>
    </w:sdtContent>
  </w:sdt>
  <w:p w14:paraId="6A8E4DD0" w14:textId="77777777" w:rsidR="00327FF1" w:rsidRDefault="00327FF1">
    <w:pPr>
      <w:pStyle w:val="FooterCouncil"/>
    </w:pPr>
  </w:p>
</w:ftr>
</file>

<file path=word/footer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6995D" w14:textId="77777777" w:rsidR="00327FF1" w:rsidRDefault="00327FF1">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2D269" w14:textId="77777777" w:rsidR="00327FF1" w:rsidRDefault="00327FF1">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420231685"/>
      <w:docPartObj>
        <w:docPartGallery w:val="Page Numbers (Bottom of Page)"/>
        <w:docPartUnique/>
      </w:docPartObj>
    </w:sdtPr>
    <w:sdtEndPr/>
    <w:sdtContent>
      <w:p w14:paraId="3571F17F" w14:textId="77777777" w:rsidR="00327FF1" w:rsidRDefault="00E406C7">
        <w:pPr>
          <w:pStyle w:val="Footer"/>
          <w:jc w:val="center"/>
        </w:pPr>
        <w:r>
          <w:fldChar w:fldCharType="begin"/>
        </w:r>
        <w:r>
          <w:instrText xml:space="preserve"> PAGE   \* MERGEFORMAT </w:instrText>
        </w:r>
        <w:r>
          <w:fldChar w:fldCharType="separate"/>
        </w:r>
        <w:r>
          <w:t>333</w:t>
        </w:r>
        <w:r>
          <w:fldChar w:fldCharType="end"/>
        </w:r>
      </w:p>
    </w:sdtContent>
  </w:sdt>
  <w:p w14:paraId="6F4A6CCD" w14:textId="77777777" w:rsidR="00327FF1" w:rsidRDefault="00327FF1">
    <w:pPr>
      <w:pStyle w:val="FooterCouncil"/>
    </w:pPr>
  </w:p>
</w:ftr>
</file>

<file path=word/footer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D82FD" w14:textId="77777777" w:rsidR="00327FF1" w:rsidRDefault="00327FF1">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A9ACB" w14:textId="77777777" w:rsidR="00327FF1" w:rsidRDefault="00327FF1">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099909044"/>
      <w:docPartObj>
        <w:docPartGallery w:val="Page Numbers (Bottom of Page)"/>
        <w:docPartUnique/>
      </w:docPartObj>
    </w:sdtPr>
    <w:sdtEndPr/>
    <w:sdtContent>
      <w:p w14:paraId="126C709C" w14:textId="77777777" w:rsidR="00327FF1" w:rsidRDefault="00E406C7">
        <w:pPr>
          <w:pStyle w:val="Footer"/>
          <w:jc w:val="center"/>
        </w:pPr>
        <w:r>
          <w:fldChar w:fldCharType="begin"/>
        </w:r>
        <w:r>
          <w:instrText xml:space="preserve"> PAGE   \* MERGEFORMAT </w:instrText>
        </w:r>
        <w:r>
          <w:fldChar w:fldCharType="separate"/>
        </w:r>
        <w:r>
          <w:t>346</w:t>
        </w:r>
        <w:r>
          <w:fldChar w:fldCharType="end"/>
        </w:r>
      </w:p>
    </w:sdtContent>
  </w:sdt>
  <w:p w14:paraId="6528BDA0" w14:textId="77777777" w:rsidR="00327FF1" w:rsidRDefault="00327FF1">
    <w:pPr>
      <w:pStyle w:val="FooterCouncil"/>
    </w:pPr>
  </w:p>
</w:ftr>
</file>

<file path=word/footer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E8AB3" w14:textId="77777777" w:rsidR="00327FF1" w:rsidRDefault="00327FF1">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FDFE" w14:textId="77777777" w:rsidR="00327FF1" w:rsidRDefault="00327FF1">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33151712"/>
      <w:docPartObj>
        <w:docPartGallery w:val="Page Numbers (Bottom of Page)"/>
        <w:docPartUnique/>
      </w:docPartObj>
    </w:sdtPr>
    <w:sdtEndPr/>
    <w:sdtContent>
      <w:p w14:paraId="496D1DD3" w14:textId="77777777" w:rsidR="00327FF1" w:rsidRDefault="00E406C7">
        <w:pPr>
          <w:pStyle w:val="Footer"/>
          <w:jc w:val="center"/>
        </w:pPr>
        <w:r>
          <w:fldChar w:fldCharType="begin"/>
        </w:r>
        <w:r>
          <w:instrText xml:space="preserve"> PAGE</w:instrText>
        </w:r>
        <w:r>
          <w:instrText xml:space="preserve">   \* MERGEFORMAT </w:instrText>
        </w:r>
        <w:r>
          <w:fldChar w:fldCharType="separate"/>
        </w:r>
        <w:r>
          <w:t>348</w:t>
        </w:r>
        <w:r>
          <w:fldChar w:fldCharType="end"/>
        </w:r>
      </w:p>
    </w:sdtContent>
  </w:sdt>
  <w:p w14:paraId="7A1E035D" w14:textId="77777777" w:rsidR="00327FF1" w:rsidRDefault="00327FF1">
    <w:pPr>
      <w:pStyle w:val="FooterCouncil"/>
    </w:pPr>
  </w:p>
</w:ftr>
</file>

<file path=word/footer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B8A8D" w14:textId="77777777" w:rsidR="00327FF1" w:rsidRDefault="00327FF1">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CC578" w14:textId="77777777" w:rsidR="00327FF1" w:rsidRDefault="00327FF1">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129649965"/>
      <w:docPartObj>
        <w:docPartGallery w:val="Page Numbers (Bottom of Page)"/>
        <w:docPartUnique/>
      </w:docPartObj>
    </w:sdtPr>
    <w:sdtEndPr/>
    <w:sdtContent>
      <w:p w14:paraId="21D91727"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2059EBF7" w14:textId="77777777" w:rsidR="00327FF1" w:rsidRDefault="00327FF1">
    <w:pPr>
      <w:pStyle w:val="FooterCouncil"/>
    </w:pPr>
  </w:p>
</w:ftr>
</file>

<file path=word/footer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1B9AE" w14:textId="77777777" w:rsidR="00327FF1" w:rsidRDefault="00327FF1">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23601" w14:textId="77777777" w:rsidR="00327FF1" w:rsidRDefault="00327FF1">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372535438"/>
      <w:docPartObj>
        <w:docPartGallery w:val="Page Numbers (Bottom of Page)"/>
        <w:docPartUnique/>
      </w:docPartObj>
    </w:sdtPr>
    <w:sdtEndPr/>
    <w:sdtContent>
      <w:p w14:paraId="4269E7DA"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73F066D1" w14:textId="77777777" w:rsidR="00327FF1" w:rsidRDefault="00327FF1">
    <w:pPr>
      <w:pStyle w:val="FooterCouncil"/>
    </w:pPr>
  </w:p>
</w:ftr>
</file>

<file path=word/footer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2548D" w14:textId="77777777" w:rsidR="00327FF1" w:rsidRDefault="00327FF1">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EA315" w14:textId="77777777" w:rsidR="00327FF1" w:rsidRDefault="00327FF1">
    <w:pPr>
      <w:pStyle w:val="Footer"/>
    </w:pPr>
  </w:p>
</w:ftr>
</file>

<file path=word/footer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38553045"/>
      <w:docPartObj>
        <w:docPartGallery w:val="Page Numbers (Bottom of Page)"/>
        <w:docPartUnique/>
      </w:docPartObj>
    </w:sdtPr>
    <w:sdtEndPr/>
    <w:sdtContent>
      <w:p w14:paraId="15941337"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6CB1D8C1" w14:textId="77777777" w:rsidR="00327FF1" w:rsidRDefault="00327FF1">
    <w:pPr>
      <w:pStyle w:val="FooterCouncil"/>
    </w:pPr>
  </w:p>
</w:ftr>
</file>

<file path=word/footer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02A6C" w14:textId="77777777" w:rsidR="00327FF1" w:rsidRDefault="00327FF1">
    <w:pPr>
      <w:pStyle w:val="Footer"/>
    </w:pPr>
  </w:p>
</w:ftr>
</file>

<file path=word/footer8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85130282"/>
      <w:docPartObj>
        <w:docPartGallery w:val="Page Numbers (Bottom of Page)"/>
        <w:docPartUnique/>
      </w:docPartObj>
    </w:sdtPr>
    <w:sdtEndPr/>
    <w:sdtContent>
      <w:p w14:paraId="61AA9838" w14:textId="77777777" w:rsidR="00D500E7" w:rsidRDefault="00D500E7">
        <w:pPr>
          <w:pStyle w:val="Footer"/>
          <w:jc w:val="center"/>
        </w:pPr>
        <w:r>
          <w:fldChar w:fldCharType="begin"/>
        </w:r>
        <w:r>
          <w:instrText xml:space="preserve"> PAGE   \* MERGEFORMAT </w:instrText>
        </w:r>
        <w:r>
          <w:fldChar w:fldCharType="separate"/>
        </w:r>
        <w:r>
          <w:t>150</w:t>
        </w:r>
        <w:r>
          <w:fldChar w:fldCharType="end"/>
        </w:r>
      </w:p>
    </w:sdtContent>
  </w:sdt>
  <w:p w14:paraId="689E99B2" w14:textId="77777777" w:rsidR="00D500E7" w:rsidRDefault="00D500E7">
    <w:pPr>
      <w:pStyle w:val="FooterCouncil"/>
    </w:pPr>
  </w:p>
</w:ftr>
</file>

<file path=word/footer8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FBEAB" w14:textId="77777777" w:rsidR="00327FF1" w:rsidRDefault="00327FF1">
    <w:pPr>
      <w:pStyle w:val="Footer"/>
    </w:pPr>
  </w:p>
</w:ftr>
</file>

<file path=word/footer8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70300025"/>
      <w:docPartObj>
        <w:docPartGallery w:val="Page Numbers (Bottom of Page)"/>
        <w:docPartUnique/>
      </w:docPartObj>
    </w:sdtPr>
    <w:sdtEndPr/>
    <w:sdtContent>
      <w:p w14:paraId="497E0612"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02BBBA9B" w14:textId="77777777" w:rsidR="00327FF1" w:rsidRDefault="00327FF1">
    <w:pPr>
      <w:pStyle w:val="FooterCouncil"/>
    </w:pPr>
  </w:p>
</w:ftr>
</file>

<file path=word/footer8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C5D2B" w14:textId="77777777" w:rsidR="00327FF1" w:rsidRDefault="00327FF1">
    <w:pPr>
      <w:pStyle w:val="Footer"/>
    </w:pPr>
  </w:p>
</w:ftr>
</file>

<file path=word/footer8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42337" w14:textId="77777777" w:rsidR="00327FF1" w:rsidRDefault="00327FF1">
    <w:pPr>
      <w:pStyle w:val="Footer"/>
    </w:pPr>
  </w:p>
</w:ftr>
</file>

<file path=word/footer8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6409279"/>
      <w:docPartObj>
        <w:docPartGallery w:val="Page Numbers (Bottom of Page)"/>
        <w:docPartUnique/>
      </w:docPartObj>
    </w:sdtPr>
    <w:sdtEndPr/>
    <w:sdtContent>
      <w:p w14:paraId="2708DEBA"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1A5547A9" w14:textId="77777777" w:rsidR="00327FF1" w:rsidRDefault="00327FF1">
    <w:pPr>
      <w:pStyle w:val="FooterCouncil"/>
    </w:pPr>
  </w:p>
</w:ftr>
</file>

<file path=word/footer8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FC273" w14:textId="77777777" w:rsidR="00327FF1" w:rsidRDefault="00327FF1">
    <w:pPr>
      <w:pStyle w:val="Footer"/>
    </w:pPr>
  </w:p>
</w:ftr>
</file>

<file path=word/footer8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42AB8" w14:textId="77777777" w:rsidR="00327FF1" w:rsidRDefault="00327FF1">
    <w:pPr>
      <w:pStyle w:val="Footer"/>
    </w:pPr>
  </w:p>
</w:ftr>
</file>

<file path=word/footer9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472487318"/>
      <w:docPartObj>
        <w:docPartGallery w:val="Page Numbers (Bottom of Page)"/>
        <w:docPartUnique/>
      </w:docPartObj>
    </w:sdtPr>
    <w:sdtEndPr/>
    <w:sdtContent>
      <w:p w14:paraId="015A18CA"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78759F2C" w14:textId="77777777" w:rsidR="00327FF1" w:rsidRDefault="00327FF1">
    <w:pPr>
      <w:pStyle w:val="FooterCouncil"/>
    </w:pPr>
  </w:p>
</w:ftr>
</file>

<file path=word/footer9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75E63" w14:textId="77777777" w:rsidR="00327FF1" w:rsidRDefault="00327FF1">
    <w:pPr>
      <w:pStyle w:val="Footer"/>
    </w:pPr>
  </w:p>
</w:ftr>
</file>

<file path=word/footer9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FBA72" w14:textId="77777777" w:rsidR="00327FF1" w:rsidRDefault="00327FF1">
    <w:pPr>
      <w:pStyle w:val="Footer"/>
    </w:pPr>
  </w:p>
</w:ftr>
</file>

<file path=word/footer9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30604405"/>
      <w:docPartObj>
        <w:docPartGallery w:val="Page Numbers (Bottom of Page)"/>
        <w:docPartUnique/>
      </w:docPartObj>
    </w:sdtPr>
    <w:sdtEndPr/>
    <w:sdtContent>
      <w:p w14:paraId="0FED1D7D" w14:textId="77777777" w:rsidR="00327FF1" w:rsidRDefault="00E406C7">
        <w:pPr>
          <w:pStyle w:val="Footer"/>
          <w:jc w:val="center"/>
        </w:pPr>
        <w:r>
          <w:fldChar w:fldCharType="begin"/>
        </w:r>
        <w:r>
          <w:instrText xml:space="preserve"> PAGE  </w:instrText>
        </w:r>
        <w:r>
          <w:instrText xml:space="preserve"> \* MERGEFORMAT </w:instrText>
        </w:r>
        <w:r>
          <w:fldChar w:fldCharType="separate"/>
        </w:r>
        <w:r>
          <w:t>150</w:t>
        </w:r>
        <w:r>
          <w:fldChar w:fldCharType="end"/>
        </w:r>
      </w:p>
    </w:sdtContent>
  </w:sdt>
  <w:p w14:paraId="16910274" w14:textId="77777777" w:rsidR="00327FF1" w:rsidRDefault="00327FF1">
    <w:pPr>
      <w:pStyle w:val="FooterCouncil"/>
    </w:pPr>
  </w:p>
</w:ftr>
</file>

<file path=word/footer9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1A30D" w14:textId="77777777" w:rsidR="00327FF1" w:rsidRDefault="00327FF1">
    <w:pPr>
      <w:pStyle w:val="Footer"/>
    </w:pPr>
  </w:p>
</w:ftr>
</file>

<file path=word/footer9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5984869"/>
      <w:docPartObj>
        <w:docPartGallery w:val="Page Numbers (Bottom of Page)"/>
        <w:docPartUnique/>
      </w:docPartObj>
    </w:sdtPr>
    <w:sdtEndPr/>
    <w:sdtContent>
      <w:p w14:paraId="0673C3AF"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2226C58D" w14:textId="77777777" w:rsidR="00327FF1" w:rsidRDefault="00327FF1">
    <w:pPr>
      <w:pStyle w:val="FooterCouncil"/>
    </w:pPr>
  </w:p>
</w:ftr>
</file>

<file path=word/footer9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6C09A" w14:textId="77777777" w:rsidR="00327FF1" w:rsidRDefault="00327FF1">
    <w:pPr>
      <w:pStyle w:val="Footer"/>
    </w:pPr>
  </w:p>
</w:ftr>
</file>

<file path=word/footer9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10333636"/>
      <w:docPartObj>
        <w:docPartGallery w:val="Page Numbers (Bottom of Page)"/>
        <w:docPartUnique/>
      </w:docPartObj>
    </w:sdtPr>
    <w:sdtEndPr/>
    <w:sdtContent>
      <w:p w14:paraId="409DFC8F"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07EEC089" w14:textId="77777777" w:rsidR="00327FF1" w:rsidRDefault="00327FF1">
    <w:pPr>
      <w:pStyle w:val="FooterCouncil"/>
    </w:pPr>
  </w:p>
</w:ftr>
</file>

<file path=word/footer9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D46C7" w14:textId="77777777" w:rsidR="00327FF1" w:rsidRDefault="00327FF1">
    <w:pPr>
      <w:pStyle w:val="Footer"/>
    </w:pPr>
  </w:p>
</w:ftr>
</file>

<file path=word/footer9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030218303"/>
      <w:docPartObj>
        <w:docPartGallery w:val="Page Numbers (Bottom of Page)"/>
        <w:docPartUnique/>
      </w:docPartObj>
    </w:sdtPr>
    <w:sdtEndPr/>
    <w:sdtContent>
      <w:p w14:paraId="286B2416"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31541DBC" w14:textId="77777777" w:rsidR="00327FF1" w:rsidRDefault="00327FF1">
    <w:pPr>
      <w:pStyle w:val="FooterCouncil"/>
    </w:pPr>
  </w:p>
</w:ftr>
</file>

<file path=word/footer10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B20DD" w14:textId="77777777" w:rsidR="00327FF1" w:rsidRDefault="00327FF1">
    <w:pPr>
      <w:pStyle w:val="Footer"/>
    </w:pPr>
  </w:p>
</w:ftr>
</file>

<file path=word/footer10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85582437"/>
      <w:docPartObj>
        <w:docPartGallery w:val="Page Numbers (Bottom of Page)"/>
        <w:docPartUnique/>
      </w:docPartObj>
    </w:sdtPr>
    <w:sdtEndPr/>
    <w:sdtContent>
      <w:p w14:paraId="2671F551" w14:textId="77777777" w:rsidR="00327FF1" w:rsidRDefault="00E406C7">
        <w:pPr>
          <w:pStyle w:val="Footer"/>
          <w:jc w:val="center"/>
        </w:pPr>
        <w:r>
          <w:fldChar w:fldCharType="begin"/>
        </w:r>
        <w:r>
          <w:instrText xml:space="preserve"> PAGE   \*</w:instrText>
        </w:r>
        <w:r>
          <w:instrText xml:space="preserve"> MERGEFORMAT </w:instrText>
        </w:r>
        <w:r>
          <w:fldChar w:fldCharType="separate"/>
        </w:r>
        <w:r>
          <w:t>150</w:t>
        </w:r>
        <w:r>
          <w:fldChar w:fldCharType="end"/>
        </w:r>
      </w:p>
    </w:sdtContent>
  </w:sdt>
  <w:p w14:paraId="7CDCDE31" w14:textId="77777777" w:rsidR="00327FF1" w:rsidRDefault="00327FF1">
    <w:pPr>
      <w:pStyle w:val="FooterCouncil"/>
    </w:pPr>
  </w:p>
</w:ftr>
</file>

<file path=word/footer10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20211" w14:textId="77777777" w:rsidR="00327FF1" w:rsidRDefault="00327FF1">
    <w:pPr>
      <w:pStyle w:val="Footer"/>
    </w:pPr>
  </w:p>
</w:ftr>
</file>

<file path=word/footer10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FF179" w14:textId="77777777" w:rsidR="00327FF1" w:rsidRDefault="00327FF1">
    <w:pPr>
      <w:pStyle w:val="Footer"/>
    </w:pPr>
  </w:p>
</w:ftr>
</file>

<file path=word/footer10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473987498"/>
      <w:docPartObj>
        <w:docPartGallery w:val="Page Numbers (Bottom of Page)"/>
        <w:docPartUnique/>
      </w:docPartObj>
    </w:sdtPr>
    <w:sdtEndPr/>
    <w:sdtContent>
      <w:p w14:paraId="4EAFFB8B"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5051DA43" w14:textId="77777777" w:rsidR="00327FF1" w:rsidRDefault="00327FF1">
    <w:pPr>
      <w:pStyle w:val="FooterCouncil"/>
    </w:pPr>
  </w:p>
</w:ftr>
</file>

<file path=word/footer10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51DDA" w14:textId="77777777" w:rsidR="00327FF1" w:rsidRDefault="00327FF1">
    <w:pPr>
      <w:pStyle w:val="Footer"/>
    </w:pPr>
  </w:p>
</w:ftr>
</file>

<file path=word/footer10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CE2C1" w14:textId="77777777" w:rsidR="00327FF1" w:rsidRDefault="00327FF1">
    <w:pPr>
      <w:pStyle w:val="Footer"/>
    </w:pPr>
  </w:p>
</w:ftr>
</file>

<file path=word/footer10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77548900"/>
      <w:docPartObj>
        <w:docPartGallery w:val="Page Numbers (Bottom of Page)"/>
        <w:docPartUnique/>
      </w:docPartObj>
    </w:sdtPr>
    <w:sdtEndPr/>
    <w:sdtContent>
      <w:p w14:paraId="0BA6BD50"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16B96CCC" w14:textId="77777777" w:rsidR="00327FF1" w:rsidRDefault="00327FF1">
    <w:pPr>
      <w:pStyle w:val="FooterCouncil"/>
    </w:pPr>
  </w:p>
</w:ftr>
</file>

<file path=word/footer10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52431" w14:textId="77777777" w:rsidR="00327FF1" w:rsidRDefault="00327FF1">
    <w:pPr>
      <w:pStyle w:val="Footer"/>
    </w:pPr>
  </w:p>
</w:ftr>
</file>

<file path=word/footer10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35D04" w14:textId="77777777" w:rsidR="00327FF1" w:rsidRDefault="00327FF1">
    <w:pPr>
      <w:pStyle w:val="Footer"/>
    </w:pPr>
  </w:p>
</w:ftr>
</file>

<file path=word/footer1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977180683"/>
      <w:docPartObj>
        <w:docPartGallery w:val="Page Numbers (Bottom of Page)"/>
        <w:docPartUnique/>
      </w:docPartObj>
    </w:sdtPr>
    <w:sdtEndPr/>
    <w:sdtContent>
      <w:p w14:paraId="5AC18C2C"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4E2B6A4C" w14:textId="77777777" w:rsidR="00327FF1" w:rsidRDefault="00327FF1">
    <w:pPr>
      <w:pStyle w:val="FooterCouncil"/>
    </w:pPr>
  </w:p>
</w:ftr>
</file>

<file path=word/footer1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14D0D" w14:textId="77777777" w:rsidR="00327FF1" w:rsidRDefault="00327FF1">
    <w:pPr>
      <w:pStyle w:val="Footer"/>
    </w:pPr>
  </w:p>
</w:ftr>
</file>

<file path=word/footer1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D272B" w14:textId="77777777" w:rsidR="00327FF1" w:rsidRDefault="00327FF1">
    <w:pPr>
      <w:pStyle w:val="Footer"/>
    </w:pPr>
  </w:p>
</w:ftr>
</file>

<file path=word/footer1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569031883"/>
      <w:docPartObj>
        <w:docPartGallery w:val="Page Numbers (Bottom of Page)"/>
        <w:docPartUnique/>
      </w:docPartObj>
    </w:sdtPr>
    <w:sdtEndPr/>
    <w:sdtContent>
      <w:p w14:paraId="4936FD2C"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5D9B6550" w14:textId="77777777" w:rsidR="00327FF1" w:rsidRDefault="00327FF1">
    <w:pPr>
      <w:pStyle w:val="FooterCouncil"/>
    </w:pPr>
  </w:p>
</w:ftr>
</file>

<file path=word/footer1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A219F" w14:textId="77777777" w:rsidR="00327FF1" w:rsidRDefault="00327FF1">
    <w:pPr>
      <w:pStyle w:val="Footer"/>
    </w:pPr>
  </w:p>
</w:ftr>
</file>

<file path=word/footer1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F7DAD" w14:textId="77777777" w:rsidR="00327FF1" w:rsidRDefault="00327FF1">
    <w:pPr>
      <w:pStyle w:val="Footer"/>
    </w:pPr>
  </w:p>
</w:ftr>
</file>

<file path=word/footer1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29578663"/>
      <w:docPartObj>
        <w:docPartGallery w:val="Page Numbers (Bottom of Page)"/>
        <w:docPartUnique/>
      </w:docPartObj>
    </w:sdtPr>
    <w:sdtEndPr/>
    <w:sdtContent>
      <w:p w14:paraId="73AA753C"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6D60672B" w14:textId="77777777" w:rsidR="00327FF1" w:rsidRDefault="00327FF1">
    <w:pPr>
      <w:pStyle w:val="FooterCouncil"/>
    </w:pPr>
  </w:p>
</w:ftr>
</file>

<file path=word/footer1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C3073" w14:textId="77777777" w:rsidR="00327FF1" w:rsidRDefault="00327FF1">
    <w:pPr>
      <w:pStyle w:val="Footer"/>
    </w:pPr>
  </w:p>
</w:ftr>
</file>

<file path=word/footer1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48428" w14:textId="77777777" w:rsidR="00327FF1" w:rsidRDefault="00327FF1">
    <w:pPr>
      <w:pStyle w:val="Footer"/>
    </w:pPr>
  </w:p>
</w:ftr>
</file>

<file path=word/footer1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86676152"/>
      <w:docPartObj>
        <w:docPartGallery w:val="Page Numbers (Bottom of Page)"/>
        <w:docPartUnique/>
      </w:docPartObj>
    </w:sdtPr>
    <w:sdtEndPr/>
    <w:sdtContent>
      <w:p w14:paraId="0C65622B"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2873CBB0" w14:textId="77777777" w:rsidR="00327FF1" w:rsidRDefault="00327FF1">
    <w:pPr>
      <w:pStyle w:val="FooterCouncil"/>
    </w:pPr>
  </w:p>
</w:ftr>
</file>

<file path=word/footer1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6970B" w14:textId="77777777" w:rsidR="00327FF1" w:rsidRDefault="00327FF1">
    <w:pPr>
      <w:pStyle w:val="Footer"/>
    </w:pPr>
  </w:p>
</w:ftr>
</file>

<file path=word/footer1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C8D67" w14:textId="77777777" w:rsidR="00327FF1" w:rsidRDefault="00327FF1">
    <w:pPr>
      <w:pStyle w:val="Footer"/>
    </w:pPr>
  </w:p>
</w:ftr>
</file>

<file path=word/footer1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4835686"/>
      <w:docPartObj>
        <w:docPartGallery w:val="Page Numbers (Bottom of Page)"/>
        <w:docPartUnique/>
      </w:docPartObj>
    </w:sdtPr>
    <w:sdtEndPr/>
    <w:sdtContent>
      <w:p w14:paraId="73676C06"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61A821A2" w14:textId="77777777" w:rsidR="00327FF1" w:rsidRDefault="00327FF1">
    <w:pPr>
      <w:pStyle w:val="FooterCouncil"/>
    </w:pPr>
  </w:p>
</w:ftr>
</file>

<file path=word/footer1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1B537" w14:textId="77777777" w:rsidR="00327FF1" w:rsidRDefault="00327FF1">
    <w:pPr>
      <w:pStyle w:val="Footer"/>
    </w:pPr>
  </w:p>
</w:ftr>
</file>

<file path=word/footer1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794D1" w14:textId="77777777" w:rsidR="00327FF1" w:rsidRDefault="00327FF1">
    <w:pPr>
      <w:pStyle w:val="Footer"/>
    </w:pPr>
  </w:p>
</w:ftr>
</file>

<file path=word/footer1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0979719"/>
      <w:docPartObj>
        <w:docPartGallery w:val="Page Numbers (Bottom of Page)"/>
        <w:docPartUnique/>
      </w:docPartObj>
    </w:sdtPr>
    <w:sdtEndPr/>
    <w:sdtContent>
      <w:p w14:paraId="655EDE84"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038B4C4B" w14:textId="77777777" w:rsidR="00327FF1" w:rsidRDefault="00327FF1">
    <w:pPr>
      <w:pStyle w:val="FooterCouncil"/>
    </w:pPr>
  </w:p>
</w:ftr>
</file>

<file path=word/footer1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F1292" w14:textId="77777777" w:rsidR="00327FF1" w:rsidRDefault="00327FF1">
    <w:pPr>
      <w:pStyle w:val="Footer"/>
    </w:pPr>
  </w:p>
</w:ftr>
</file>

<file path=word/footer1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A4A9D" w14:textId="77777777" w:rsidR="00327FF1" w:rsidRDefault="00327FF1">
    <w:pPr>
      <w:pStyle w:val="Footer"/>
    </w:pPr>
  </w:p>
</w:ftr>
</file>

<file path=word/footer1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14969950"/>
      <w:docPartObj>
        <w:docPartGallery w:val="Page Numbers (Bottom of Page)"/>
        <w:docPartUnique/>
      </w:docPartObj>
    </w:sdtPr>
    <w:sdtEndPr/>
    <w:sdtContent>
      <w:p w14:paraId="0C2DC4F2"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52E91CEE" w14:textId="77777777" w:rsidR="00327FF1" w:rsidRDefault="00327FF1">
    <w:pPr>
      <w:pStyle w:val="FooterCouncil"/>
    </w:pPr>
  </w:p>
</w:ftr>
</file>

<file path=word/footer1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39920" w14:textId="77777777" w:rsidR="00327FF1" w:rsidRDefault="00327FF1">
    <w:pPr>
      <w:pStyle w:val="Footer"/>
    </w:pPr>
  </w:p>
</w:ftr>
</file>

<file path=word/footer1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FE8AA" w14:textId="77777777" w:rsidR="00327FF1" w:rsidRDefault="00327FF1">
    <w:pPr>
      <w:pStyle w:val="Footer"/>
    </w:pPr>
  </w:p>
</w:ftr>
</file>

<file path=word/footer1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74695283"/>
      <w:docPartObj>
        <w:docPartGallery w:val="Page Numbers (Bottom of Page)"/>
        <w:docPartUnique/>
      </w:docPartObj>
    </w:sdtPr>
    <w:sdtEndPr/>
    <w:sdtContent>
      <w:p w14:paraId="6FC1DFB2"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7BAF95A3" w14:textId="77777777" w:rsidR="00327FF1" w:rsidRDefault="00327FF1">
    <w:pPr>
      <w:pStyle w:val="FooterCouncil"/>
    </w:pPr>
  </w:p>
</w:ftr>
</file>

<file path=word/footer1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17BE2" w14:textId="77777777" w:rsidR="00327FF1" w:rsidRDefault="00327FF1">
    <w:pPr>
      <w:pStyle w:val="Footer"/>
    </w:pPr>
  </w:p>
</w:ftr>
</file>

<file path=word/footer1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54511586"/>
      <w:docPartObj>
        <w:docPartGallery w:val="Page Numbers (Bottom of Page)"/>
        <w:docPartUnique/>
      </w:docPartObj>
    </w:sdtPr>
    <w:sdtEndPr/>
    <w:sdtContent>
      <w:p w14:paraId="713BEEE0"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23480867" w14:textId="77777777" w:rsidR="00327FF1" w:rsidRDefault="00327FF1">
    <w:pPr>
      <w:pStyle w:val="FooterCouncil"/>
    </w:pPr>
  </w:p>
</w:ftr>
</file>

<file path=word/footer1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9EC3C" w14:textId="77777777" w:rsidR="00327FF1" w:rsidRDefault="00327FF1">
    <w:pPr>
      <w:pStyle w:val="Footer"/>
    </w:pPr>
  </w:p>
</w:ftr>
</file>

<file path=word/footer1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4108887"/>
      <w:docPartObj>
        <w:docPartGallery w:val="Page Numbers (Bottom of Page)"/>
        <w:docPartUnique/>
      </w:docPartObj>
    </w:sdtPr>
    <w:sdtEndPr/>
    <w:sdtContent>
      <w:p w14:paraId="1D450129"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7B4A47CD" w14:textId="77777777" w:rsidR="00327FF1" w:rsidRDefault="00327FF1">
    <w:pPr>
      <w:pStyle w:val="FooterCouncil"/>
    </w:pPr>
  </w:p>
</w:ftr>
</file>

<file path=word/footer1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4EEE6" w14:textId="77777777" w:rsidR="00327FF1" w:rsidRDefault="00327FF1">
    <w:pPr>
      <w:pStyle w:val="Footer"/>
    </w:pPr>
  </w:p>
</w:ftr>
</file>

<file path=word/footer1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14FF9" w14:textId="77777777" w:rsidR="00327FF1" w:rsidRDefault="00327FF1">
    <w:pPr>
      <w:pStyle w:val="Footer"/>
    </w:pPr>
  </w:p>
</w:ftr>
</file>

<file path=word/footer1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384245955"/>
      <w:docPartObj>
        <w:docPartGallery w:val="Page Numbers (Bottom of Page)"/>
        <w:docPartUnique/>
      </w:docPartObj>
    </w:sdtPr>
    <w:sdtEndPr/>
    <w:sdtContent>
      <w:p w14:paraId="7CDF7A54"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2464DBE8" w14:textId="77777777" w:rsidR="00327FF1" w:rsidRDefault="00327FF1">
    <w:pPr>
      <w:pStyle w:val="FooterCouncil"/>
    </w:pPr>
  </w:p>
</w:ftr>
</file>

<file path=word/footer1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878E5" w14:textId="77777777" w:rsidR="00327FF1" w:rsidRDefault="00327FF1">
    <w:pPr>
      <w:pStyle w:val="Footer"/>
    </w:pPr>
  </w:p>
</w:ftr>
</file>

<file path=word/footer1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28630" w14:textId="77777777" w:rsidR="00327FF1" w:rsidRDefault="00327FF1">
    <w:pPr>
      <w:pStyle w:val="Footer"/>
    </w:pPr>
  </w:p>
</w:ftr>
</file>

<file path=word/footer1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91572551"/>
      <w:docPartObj>
        <w:docPartGallery w:val="Page Numbers (Bottom of Page)"/>
        <w:docPartUnique/>
      </w:docPartObj>
    </w:sdtPr>
    <w:sdtEndPr/>
    <w:sdtContent>
      <w:p w14:paraId="1D52D1F4"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0D4D32D8" w14:textId="77777777" w:rsidR="00327FF1" w:rsidRDefault="00327FF1">
    <w:pPr>
      <w:pStyle w:val="FooterCouncil"/>
    </w:pPr>
  </w:p>
</w:ftr>
</file>

<file path=word/footer1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FD3AE" w14:textId="77777777" w:rsidR="00327FF1" w:rsidRDefault="00327FF1">
    <w:pPr>
      <w:pStyle w:val="Footer"/>
    </w:pPr>
  </w:p>
</w:ftr>
</file>

<file path=word/footer1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8E949" w14:textId="77777777" w:rsidR="00327FF1" w:rsidRDefault="00327FF1">
    <w:pPr>
      <w:pStyle w:val="Footer"/>
    </w:pPr>
  </w:p>
</w:ftr>
</file>

<file path=word/footer1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504122785"/>
      <w:docPartObj>
        <w:docPartGallery w:val="Page Numbers (Bottom of Page)"/>
        <w:docPartUnique/>
      </w:docPartObj>
    </w:sdtPr>
    <w:sdtEndPr/>
    <w:sdtContent>
      <w:p w14:paraId="2F9B1B9E"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6C7F4E98" w14:textId="77777777" w:rsidR="00327FF1" w:rsidRDefault="00327FF1">
    <w:pPr>
      <w:pStyle w:val="FooterCouncil"/>
    </w:pPr>
  </w:p>
</w:ftr>
</file>

<file path=word/footer1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951BB" w14:textId="77777777" w:rsidR="00327FF1" w:rsidRDefault="00327FF1">
    <w:pPr>
      <w:pStyle w:val="Footer"/>
    </w:pPr>
  </w:p>
</w:ftr>
</file>

<file path=word/footer1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CC395" w14:textId="77777777" w:rsidR="00327FF1" w:rsidRDefault="00327FF1">
    <w:pPr>
      <w:pStyle w:val="Footer"/>
    </w:pPr>
  </w:p>
</w:ftr>
</file>

<file path=word/footer1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878580418"/>
      <w:docPartObj>
        <w:docPartGallery w:val="Page Numbers (Bottom of Page)"/>
        <w:docPartUnique/>
      </w:docPartObj>
    </w:sdtPr>
    <w:sdtEndPr/>
    <w:sdtContent>
      <w:p w14:paraId="725D276A"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7ABE0E4E" w14:textId="77777777" w:rsidR="00327FF1" w:rsidRDefault="00327FF1">
    <w:pPr>
      <w:pStyle w:val="FooterCouncil"/>
    </w:pPr>
  </w:p>
</w:ftr>
</file>

<file path=word/footer1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B2F55" w14:textId="77777777" w:rsidR="00327FF1" w:rsidRDefault="00327FF1">
    <w:pPr>
      <w:pStyle w:val="Footer"/>
    </w:pPr>
  </w:p>
</w:ftr>
</file>

<file path=word/footer1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E26CF" w14:textId="77777777" w:rsidR="00327FF1" w:rsidRDefault="00327FF1">
    <w:pPr>
      <w:pStyle w:val="Footer"/>
    </w:pPr>
  </w:p>
</w:ftr>
</file>

<file path=word/footer1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835876722"/>
      <w:docPartObj>
        <w:docPartGallery w:val="Page Numbers (Bottom of Page)"/>
        <w:docPartUnique/>
      </w:docPartObj>
    </w:sdtPr>
    <w:sdtEndPr/>
    <w:sdtContent>
      <w:p w14:paraId="6157DFA4"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032B8BC5" w14:textId="77777777" w:rsidR="00327FF1" w:rsidRDefault="00327FF1">
    <w:pPr>
      <w:pStyle w:val="Footer"/>
    </w:pPr>
  </w:p>
</w:ftr>
</file>

<file path=word/footer1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BAD08" w14:textId="77777777" w:rsidR="00327FF1" w:rsidRDefault="00327FF1">
    <w:pPr>
      <w:pStyle w:val="Footer"/>
    </w:pPr>
  </w:p>
</w:ftr>
</file>

<file path=word/footer1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5F132" w14:textId="77777777" w:rsidR="00327FF1" w:rsidRDefault="00327FF1">
    <w:pPr>
      <w:pStyle w:val="Footer"/>
    </w:pPr>
  </w:p>
</w:ftr>
</file>

<file path=word/footer1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17611416"/>
      <w:docPartObj>
        <w:docPartGallery w:val="Page Numbers (Bottom of Page)"/>
        <w:docPartUnique/>
      </w:docPartObj>
    </w:sdtPr>
    <w:sdtEndPr/>
    <w:sdtContent>
      <w:p w14:paraId="528D6C66"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16845681" w14:textId="77777777" w:rsidR="00327FF1" w:rsidRDefault="00327FF1">
    <w:pPr>
      <w:pStyle w:val="FooterCouncil"/>
    </w:pPr>
  </w:p>
</w:ftr>
</file>

<file path=word/footer1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89133" w14:textId="77777777" w:rsidR="00327FF1" w:rsidRDefault="00327FF1">
    <w:pPr>
      <w:pStyle w:val="Footer"/>
    </w:pPr>
  </w:p>
</w:ftr>
</file>

<file path=word/footer1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65493268"/>
      <w:docPartObj>
        <w:docPartGallery w:val="Page Numbers (Bottom of Page)"/>
        <w:docPartUnique/>
      </w:docPartObj>
    </w:sdtPr>
    <w:sdtEndPr/>
    <w:sdtContent>
      <w:p w14:paraId="1FBA63FF"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4C9AED66" w14:textId="77777777" w:rsidR="00327FF1" w:rsidRDefault="00327FF1">
    <w:pPr>
      <w:pStyle w:val="FooterCouncil"/>
    </w:pPr>
  </w:p>
</w:ftr>
</file>

<file path=word/footer1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912C3" w14:textId="77777777" w:rsidR="00327FF1" w:rsidRDefault="00327FF1">
    <w:pPr>
      <w:pStyle w:val="Footer"/>
    </w:pPr>
  </w:p>
</w:ftr>
</file>

<file path=word/footer1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77860876"/>
      <w:docPartObj>
        <w:docPartGallery w:val="Page Numbers (Bottom of Page)"/>
        <w:docPartUnique/>
      </w:docPartObj>
    </w:sdtPr>
    <w:sdtEndPr/>
    <w:sdtContent>
      <w:p w14:paraId="062A5B08" w14:textId="77777777" w:rsidR="00327FF1" w:rsidRDefault="00E406C7">
        <w:pPr>
          <w:pStyle w:val="Footer"/>
          <w:jc w:val="center"/>
        </w:pPr>
        <w:r>
          <w:fldChar w:fldCharType="begin"/>
        </w:r>
        <w:r>
          <w:instrText xml:space="preserve"> PAGE   \* MERGEFORMAT </w:instrText>
        </w:r>
        <w:r>
          <w:fldChar w:fldCharType="separate"/>
        </w:r>
        <w:r>
          <w:t>150</w:t>
        </w:r>
        <w:r>
          <w:fldChar w:fldCharType="end"/>
        </w:r>
      </w:p>
    </w:sdtContent>
  </w:sdt>
  <w:p w14:paraId="21F2EF04" w14:textId="77777777" w:rsidR="00327FF1" w:rsidRDefault="00327FF1">
    <w:pPr>
      <w:pStyle w:val="FooterCouncil"/>
    </w:pPr>
  </w:p>
</w:ftr>
</file>

<file path=word/footer1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18F57" w14:textId="77777777" w:rsidR="00327FF1" w:rsidRDefault="00327FF1">
    <w:pPr>
      <w:pStyle w:val="Footer"/>
    </w:pPr>
  </w:p>
</w:ftr>
</file>

<file path=word/footer1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572743291"/>
      <w:docPartObj>
        <w:docPartGallery w:val="Page Numbers (Bottom of Page)"/>
        <w:docPartUnique/>
      </w:docPartObj>
    </w:sdtPr>
    <w:sdtEndPr/>
    <w:sdtContent>
      <w:p w14:paraId="6CE78B0B" w14:textId="77777777" w:rsidR="00D500E7" w:rsidRDefault="00D500E7">
        <w:pPr>
          <w:pStyle w:val="Footer"/>
          <w:jc w:val="center"/>
        </w:pPr>
        <w:r>
          <w:fldChar w:fldCharType="begin"/>
        </w:r>
        <w:r>
          <w:instrText xml:space="preserve"> PAGE   \* MERGEFORMAT </w:instrText>
        </w:r>
        <w:r>
          <w:fldChar w:fldCharType="separate"/>
        </w:r>
        <w:r>
          <w:t>150</w:t>
        </w:r>
        <w:r>
          <w:fldChar w:fldCharType="end"/>
        </w:r>
      </w:p>
    </w:sdtContent>
  </w:sdt>
  <w:p w14:paraId="09CE0DE6" w14:textId="77777777" w:rsidR="00D500E7" w:rsidRDefault="00D500E7">
    <w:pPr>
      <w:pStyle w:val="FooterCouncil"/>
    </w:pPr>
  </w:p>
</w:ftr>
</file>

<file path=word/footer1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65108023"/>
      <w:docPartObj>
        <w:docPartGallery w:val="Page Numbers (Bottom of Page)"/>
        <w:docPartUnique/>
      </w:docPartObj>
    </w:sdtPr>
    <w:sdtEndPr/>
    <w:sdtContent>
      <w:p w14:paraId="163D7DEC" w14:textId="77777777" w:rsidR="00327FF1" w:rsidRDefault="00E406C7">
        <w:pPr>
          <w:pStyle w:val="Footer"/>
          <w:jc w:val="center"/>
        </w:pPr>
        <w:r>
          <w:fldChar w:fldCharType="begin"/>
        </w:r>
        <w:r>
          <w:instrText xml:space="preserve"> PAGE   \* MERGEFO</w:instrText>
        </w:r>
        <w:r>
          <w:instrText xml:space="preserve">RMAT </w:instrText>
        </w:r>
        <w:r>
          <w:fldChar w:fldCharType="separate"/>
        </w:r>
        <w:r>
          <w:t>150</w:t>
        </w:r>
        <w:r>
          <w:fldChar w:fldCharType="end"/>
        </w:r>
      </w:p>
    </w:sdtContent>
  </w:sdt>
  <w:p w14:paraId="5014921D" w14:textId="77777777" w:rsidR="00327FF1" w:rsidRDefault="00327FF1">
    <w:pPr>
      <w:pStyle w:val="FooterCounci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A54C98" w14:textId="77777777" w:rsidR="00425208" w:rsidRDefault="00425208">
      <w:pPr>
        <w:spacing w:after="0" w:line="240" w:lineRule="auto"/>
      </w:pPr>
      <w:r>
        <w:separator/>
      </w:r>
    </w:p>
  </w:footnote>
  <w:footnote w:type="continuationSeparator" w:id="0">
    <w:p w14:paraId="2C1BB680" w14:textId="77777777" w:rsidR="00425208" w:rsidRDefault="00425208">
      <w:pPr>
        <w:spacing w:after="0" w:line="240" w:lineRule="auto"/>
      </w:pPr>
      <w:r>
        <w:continuationSeparator/>
      </w:r>
    </w:p>
  </w:footnote>
  <w:footnote w:type="continuationNotice" w:id="1">
    <w:p w14:paraId="17F5AA51" w14:textId="77777777" w:rsidR="00425208" w:rsidRDefault="00425208">
      <w:pPr>
        <w:spacing w:after="0" w:line="240" w:lineRule="auto"/>
      </w:pPr>
    </w:p>
  </w:footnote>
  <w:footnote w:id="2">
    <w:p w14:paraId="364F768C" w14:textId="77777777" w:rsidR="00327FF1" w:rsidRDefault="00E406C7">
      <w:pPr>
        <w:spacing w:after="0" w:line="240" w:lineRule="auto"/>
        <w:jc w:val="both"/>
        <w:rPr>
          <w:rFonts w:ascii="Times New Roman" w:hAnsi="Times New Roman" w:cs="Times New Roman"/>
          <w:sz w:val="20"/>
          <w:szCs w:val="20"/>
        </w:rPr>
      </w:pPr>
      <w:r>
        <w:footnoteRef/>
      </w:r>
      <w:r>
        <w:t xml:space="preserve"> </w:t>
      </w:r>
      <w:r>
        <w:rPr>
          <w:rFonts w:ascii="Times New Roman" w:hAnsi="Times New Roman" w:cs="Times New Roman"/>
          <w:sz w:val="20"/>
          <w:szCs w:val="20"/>
        </w:rPr>
        <w:t xml:space="preserve">Izņemot projektus saskaņā ar šo pasākumu elektroenerģijas un/vai siltuma ražošanā, kā arī saistītajā pārvades un sadales infrastruktūrā, izmantojot dabasgāzi, kas atbilst tehnisko vadlīniju “Nenodari būtisku kaitējumu” (2021/C58/01) </w:t>
      </w:r>
      <w:r>
        <w:rPr>
          <w:rFonts w:ascii="Times New Roman" w:hAnsi="Times New Roman" w:cs="Times New Roman"/>
          <w:sz w:val="20"/>
          <w:szCs w:val="20"/>
        </w:rPr>
        <w:t>III pielikumā izklāstītajiem nosacījumiem.</w:t>
      </w:r>
    </w:p>
  </w:footnote>
  <w:footnote w:id="3">
    <w:p w14:paraId="21839C26" w14:textId="77777777" w:rsidR="00327FF1" w:rsidRDefault="00E406C7">
      <w:pPr>
        <w:pStyle w:val="P68B1DB1-Normal113"/>
        <w:spacing w:after="0" w:line="240" w:lineRule="auto"/>
        <w:jc w:val="both"/>
        <w:rPr>
          <w:szCs w:val="20"/>
        </w:rPr>
      </w:pPr>
      <w:r>
        <w:rPr>
          <w:rFonts w:ascii="Times New Roman" w:hAnsi="Times New Roman" w:cs="Times New Roman"/>
          <w:szCs w:val="20"/>
        </w:rPr>
        <w:footnoteRef/>
      </w:r>
      <w:r>
        <w:rPr>
          <w:rFonts w:ascii="Times New Roman" w:hAnsi="Times New Roman" w:cs="Times New Roman"/>
          <w:szCs w:val="20"/>
        </w:rPr>
        <w:t xml:space="preserve"> Ja atbalstītā darbība sasniedz prognozētās siltumnīcefekta gāzu emisijas, kas nav ievērojami zemākas par attiecīgajām līmeņatzīmēm, būtu jāsniedz paskaidrojums par iemesliem, kāpēc tas nav iespējams. Līmeņatzīme</w:t>
      </w:r>
      <w:r>
        <w:rPr>
          <w:rFonts w:ascii="Times New Roman" w:hAnsi="Times New Roman" w:cs="Times New Roman"/>
          <w:szCs w:val="20"/>
        </w:rPr>
        <w:t>s, kas noteiktas bezmaksas kvotu piešķiršanai darbībām, kuras ietilpst emisijas kvotu tirdzniecības sistēmas darbības jomā, kā noteikts Komisijas Īstenošanas regulā (ES) 2021/447.</w:t>
      </w:r>
    </w:p>
  </w:footnote>
  <w:footnote w:id="4">
    <w:p w14:paraId="510A15A0" w14:textId="77777777" w:rsidR="00327FF1" w:rsidRDefault="00E406C7">
      <w:pPr>
        <w:spacing w:after="0" w:line="240" w:lineRule="auto"/>
        <w:jc w:val="both"/>
        <w:rPr>
          <w:rFonts w:ascii="Times New Roman" w:hAnsi="Times New Roman" w:cs="Times New Roman"/>
          <w:sz w:val="20"/>
          <w:szCs w:val="20"/>
        </w:rPr>
      </w:pPr>
      <w:r>
        <w:footnoteRef/>
      </w:r>
      <w:r>
        <w:t xml:space="preserve"> </w:t>
      </w:r>
      <w:r>
        <w:rPr>
          <w:rFonts w:ascii="Times New Roman" w:hAnsi="Times New Roman" w:cs="Times New Roman"/>
          <w:sz w:val="20"/>
          <w:szCs w:val="20"/>
        </w:rPr>
        <w:t>Šis izņēmums neattiecas uz darbībām saskaņā ar šo pasākumu iekārtās, kas p</w:t>
      </w:r>
      <w:r>
        <w:rPr>
          <w:rFonts w:ascii="Times New Roman" w:hAnsi="Times New Roman" w:cs="Times New Roman"/>
          <w:sz w:val="20"/>
          <w:szCs w:val="20"/>
        </w:rPr>
        <w:t>aredzētas tikai nepārstrādājamu bīstamo atkritumu apstrādei, un esošām iekārtām, ja darbības saskaņā ar šo pasākumu ir paredzētas, lai palielinātu energoefektivitāti, uztvertu dūmgāzes glabāšanai vai izmantošanai, vai reģenerētu materiālus no sadedzināšana</w:t>
      </w:r>
      <w:r>
        <w:rPr>
          <w:rFonts w:ascii="Times New Roman" w:hAnsi="Times New Roman" w:cs="Times New Roman"/>
          <w:sz w:val="20"/>
          <w:szCs w:val="20"/>
        </w:rPr>
        <w:t>s pelniem, ar noteikumu, ka šādas darbības saskaņā ar šo pasākumu nepalielina iekārtu atkritumu pārstrādes jaudu vai nepagarina iekārtu darbmūžu; par ko ir sniegti pierādījumi iekārtas līmenī.</w:t>
      </w:r>
    </w:p>
  </w:footnote>
  <w:footnote w:id="5">
    <w:p w14:paraId="0AEC8155" w14:textId="77777777" w:rsidR="00327FF1" w:rsidRDefault="00E406C7">
      <w:pPr>
        <w:pStyle w:val="P68B1DB1-Normal126"/>
        <w:spacing w:after="0" w:line="240" w:lineRule="auto"/>
        <w:jc w:val="both"/>
      </w:pPr>
      <w:r>
        <w:footnoteRef/>
      </w:r>
      <w:r>
        <w:t xml:space="preserve"> Šis izņēmums neattiecas uz darbībām saskaņā ar šo pasākumu es</w:t>
      </w:r>
      <w:r>
        <w:t>ošajās mehāniski bioloģiskās apstrādes iekārtās, ja saskaņā ar šo pasākumu veikto darbību mērķis ir palielināt energoefektivitāti vai modernizēt atdalīto atkritumu pārstrādes darbības, lai kompostētu bioatkritumus un bioatkritumu anaerobo noārdīšanu, ar no</w:t>
      </w:r>
      <w:r>
        <w:t>sacījumu, ka šādas darbības saskaņā ar šo pasākumu nepalielina iekārtu atkritumu pārstrādes jaudu vai nepagarina iekārtu darbmūžu; par ko ir sniegti pierādījumi iekārtas līmenī.</w:t>
      </w:r>
    </w:p>
  </w:footnote>
  <w:footnote w:id="6">
    <w:p w14:paraId="2E2A4411" w14:textId="77777777" w:rsidR="00327FF1" w:rsidRDefault="00E406C7">
      <w:pPr>
        <w:pStyle w:val="FootnoteText"/>
        <w:ind w:left="0" w:firstLine="0"/>
      </w:pPr>
      <w:r>
        <w:rPr>
          <w:rStyle w:val="FootnoteReference"/>
        </w:rPr>
        <w:footnoteRef/>
      </w:r>
      <w:r>
        <w:t xml:space="preserve"> Izņemot a) aktīvus un darbības elektroenerģijas un/vai siltuma ražošanā, kā </w:t>
      </w:r>
      <w:r>
        <w:t xml:space="preserve">arī saistīto pārvades un sadales infrastruktūru, kurā izmanto dabasgāzi, kas atbilst Tehnisko norādījumu “nenodari būtisku kaitējumu” (2021/C58/01) III pielikumā izklāstītajiem nosacījumiem, un b) darbībām un aktīviem saskaņā ar ii) apakšpunktu, attiecībā </w:t>
      </w:r>
      <w:r>
        <w:t>uz kuriem fosilā kurināmā izmantošana ir pagaidu un tehniski nenovēršama, lai laikus pārietu uz darbību, kas brīva no fosilā kurināmā.</w:t>
      </w:r>
    </w:p>
  </w:footnote>
  <w:footnote w:id="7">
    <w:p w14:paraId="2681FDC5" w14:textId="77777777" w:rsidR="00327FF1" w:rsidRDefault="00E406C7">
      <w:pPr>
        <w:pStyle w:val="FootnoteText"/>
        <w:ind w:left="0" w:firstLine="0"/>
        <w:rPr>
          <w:rFonts w:eastAsia="EC Square Sans Pro"/>
        </w:rPr>
      </w:pPr>
      <w:r>
        <w:rPr>
          <w:rStyle w:val="FootnoteReference"/>
        </w:rPr>
        <w:footnoteRef/>
      </w:r>
      <w:r>
        <w:t xml:space="preserve"> </w:t>
      </w:r>
      <w:r>
        <w:rPr>
          <w:rFonts w:eastAsia="EC Square Sans Pro"/>
        </w:rPr>
        <w:t>Ja atbalstītā darbība panāk tādu prognozēto siltumnīcefekta gāzu emisiju līmeni, kas nav ievērojami zemāks par attiecīg</w:t>
      </w:r>
      <w:r>
        <w:rPr>
          <w:rFonts w:eastAsia="EC Square Sans Pro"/>
        </w:rPr>
        <w:t xml:space="preserve">ajām līmeņatzīmēm, būtu jāsniedz paskaidrojums par iemesliem, kāpēc tas nav iespējams. Līmeņatzīmes, kas noteiktas bezmaksas kvotu piešķiršanai darbībām, kuras ietilpst emisijas kvotu tirdzniecības sistēmas darbības jomā, kā noteikts Komisijas Īstenošanas </w:t>
      </w:r>
      <w:r>
        <w:rPr>
          <w:rFonts w:eastAsia="EC Square Sans Pro"/>
        </w:rPr>
        <w:t xml:space="preserve">regulā (ES) 2021/447. </w:t>
      </w:r>
    </w:p>
  </w:footnote>
  <w:footnote w:id="8">
    <w:p w14:paraId="63F12DE1" w14:textId="77777777" w:rsidR="00327FF1" w:rsidRDefault="00E406C7">
      <w:pPr>
        <w:pStyle w:val="FootnoteText"/>
        <w:ind w:left="0" w:firstLine="0"/>
      </w:pPr>
      <w:r>
        <w:rPr>
          <w:rStyle w:val="FootnoteReference"/>
        </w:rPr>
        <w:footnoteRef/>
      </w:r>
      <w:r>
        <w:t xml:space="preserve"> Šis izņēmums neattiecas uz darbībām saskaņā ar šo pasākumu iekārtās, kas paredzētas tikai nepārstrādājamu bīstamo atkritumu apstrādei, un esošām iekārtām, ja darbības saskaņā ar šo pasākumu ir paredzētas, lai palielinātu energoefek</w:t>
      </w:r>
      <w:r>
        <w:t>tivitāti, uztvertu dūmgāzes glabāšanai vai izmantošanai, vai reģenerētu materiālus no sadedzināšanas pelniem, ar noteikumu, ka šādas darbības saskaņā ar šo pasākumu nepalielina iekārtu atkritumu pārstrādes jaudu vai nepagarina iekārtu darbmūžu; par ko ir s</w:t>
      </w:r>
      <w:r>
        <w:t>niegti pierādījumi iekārtas līmenī. </w:t>
      </w:r>
    </w:p>
  </w:footnote>
  <w:footnote w:id="9">
    <w:p w14:paraId="3679FD3C" w14:textId="77777777" w:rsidR="00327FF1" w:rsidRDefault="00E406C7">
      <w:pPr>
        <w:pStyle w:val="FootnoteText"/>
        <w:ind w:left="0" w:firstLine="0"/>
      </w:pPr>
      <w:r>
        <w:rPr>
          <w:rStyle w:val="FootnoteReference"/>
        </w:rPr>
        <w:footnoteRef/>
      </w:r>
      <w:r>
        <w:t xml:space="preserve"> Šis izņēmums neattiecas uz darbībām saskaņā ar šo pasākumu esošajās mehāniski bioloģiskās apstrādes iekārtās, ja saskaņā ar šo pasākumu veikto darbību mērķis ir palielināt energoefektivitāti vai modernizēt atdalīto at</w:t>
      </w:r>
      <w:r>
        <w:t>kritumu pārstrādes darbības, lai kompostētu bioatkritumus un bioatkritumu anaerobo noārdīšanu, ar nosacījumu, ka šādas darbības saskaņā ar šo pasākumu nepalielina iekārtu atkritumu pārstrādes jaudu vai nepagarina iekārtu darbmūžu; par ko ir sniegti pierādī</w:t>
      </w:r>
      <w:r>
        <w:t>jumi iekārtas līmenī. </w:t>
      </w:r>
    </w:p>
  </w:footnote>
  <w:footnote w:id="10">
    <w:p w14:paraId="00F4C13D" w14:textId="77777777" w:rsidR="00327FF1" w:rsidRDefault="00E406C7">
      <w:pPr>
        <w:spacing w:after="0"/>
        <w:jc w:val="both"/>
        <w:rPr>
          <w:rFonts w:ascii="Times New Roman" w:hAnsi="Times New Roman" w:cs="Times New Roman"/>
          <w:sz w:val="20"/>
          <w:szCs w:val="20"/>
        </w:rPr>
      </w:pPr>
      <w:r>
        <w:rPr>
          <w:rStyle w:val="FootnoteReference"/>
        </w:rPr>
        <w:footnoteRef/>
      </w:r>
      <w:r>
        <w:rPr>
          <w:rFonts w:ascii="Times New Roman" w:hAnsi="Times New Roman" w:cs="Times New Roman"/>
          <w:sz w:val="20"/>
          <w:szCs w:val="20"/>
        </w:rPr>
        <w:t xml:space="preserve">Izņemot a) elektroenerģijas un/vai siltuma ražošanas projektus, kā arī saistīto pārvades un sadales infrastruktūru, kurā izmanto dabasgāzi, kas atbilst Tehnisko norādījumu “nenodari būtisku kaitējumu” (2021/C58/01) III pielikumā </w:t>
      </w:r>
      <w:r>
        <w:rPr>
          <w:rFonts w:ascii="Times New Roman" w:hAnsi="Times New Roman" w:cs="Times New Roman"/>
          <w:sz w:val="20"/>
          <w:szCs w:val="20"/>
        </w:rPr>
        <w:t>izklāstītajiem nosacījumiem, un b) darbības un aktīvus saskaņā ar ii) punktu, kuriem fosilā kurināmā izmantošana ir īslaicīga un tehniski nenovēršama, lai laikus pārietu uz ekspluatāciju bez fosilā kurināmā.</w:t>
      </w:r>
    </w:p>
  </w:footnote>
  <w:footnote w:id="11">
    <w:p w14:paraId="230872FC" w14:textId="50692238" w:rsidR="00327FF1" w:rsidRDefault="00E406C7">
      <w:pPr>
        <w:pStyle w:val="FootnoteText"/>
        <w:ind w:left="0" w:firstLine="0"/>
      </w:pPr>
      <w:r>
        <w:rPr>
          <w:rStyle w:val="FootnoteReference"/>
        </w:rPr>
        <w:footnoteRef/>
      </w:r>
      <w:r>
        <w:t xml:space="preserve"> Ja atbalstītā darbība panāk tādu prognozēto si</w:t>
      </w:r>
      <w:r>
        <w:t xml:space="preserve">ltumnīcefekta gāzu emisiju līmeni, kas nav ievērojami zemāks par attiecīgajām līmeņatzīmēm, būtu jāsniedz paskaidrojums par iemesliem, kāpēc tas nav iespējams. Līmeņatzīmes, kas noteiktas bezmaksas kvotu iedalei par darbībām, kuras ietilpst emisijas kvotu </w:t>
      </w:r>
      <w:r>
        <w:t>tirdzniecības sistēmas darbības jomā, kā noteikts Komisijas Īstenošanas regulā (ES) 2021/447</w:t>
      </w:r>
    </w:p>
  </w:footnote>
  <w:footnote w:id="12">
    <w:p w14:paraId="4645AFF0" w14:textId="6C52A571" w:rsidR="00327FF1" w:rsidRDefault="00E406C7">
      <w:pPr>
        <w:pStyle w:val="FootnoteText"/>
        <w:ind w:left="0" w:firstLine="0"/>
      </w:pPr>
      <w:r>
        <w:rPr>
          <w:rStyle w:val="FootnoteReference"/>
        </w:rPr>
        <w:footnoteRef/>
      </w:r>
      <w:r>
        <w:t xml:space="preserve"> Šis izņēmums neattiecas uz darbībām iekārtās, kas paredzētas tikai nereciklējamu bīstamo atkritumu apstrādei, un esošajās iekārtās, ja to mērķis ir palielināt en</w:t>
      </w:r>
      <w:r>
        <w:t>ergoefektivitāti, uztvert izplūdes gāzes uzglabāšanai vai izmantošanai vai reģenerēt materiālus no incinerācijas pelniem, ar noteikumu, ka šādas darbības nepalielina iekārtu atkritumu pārstrādes jaudu vai nepagarina iekārtu darbmūžu; par kuriem pierādījumi</w:t>
      </w:r>
      <w:r>
        <w:t xml:space="preserve"> ir sniegti iekārtas līmenī</w:t>
      </w:r>
    </w:p>
  </w:footnote>
  <w:footnote w:id="13">
    <w:p w14:paraId="7A7B606D" w14:textId="77777777" w:rsidR="00327FF1" w:rsidRDefault="00E406C7">
      <w:pPr>
        <w:pStyle w:val="FootnoteText"/>
        <w:ind w:left="0" w:firstLine="0"/>
      </w:pPr>
      <w:r>
        <w:rPr>
          <w:rStyle w:val="FootnoteReference"/>
        </w:rPr>
        <w:footnoteRef/>
      </w:r>
      <w:r>
        <w:t xml:space="preserve"> Šis izņēmums neattiecas uz darbībām esošajās mehāniski bioloģiskās apstrādes iekārtās, ja to mērķis ir palielināt energoefektivitāti vai modernizēt dalīto atkritumu reciklēšanas darbības uz komposta bioatkritumiem un bioatkrit</w:t>
      </w:r>
      <w:r>
        <w:t>umu anaerobo noārdīšanu, ar noteikumu, ka šādas darbības nepalielina iekārtu atkritumu pārstrādes jaudu vai nepagarina iekārtu darbmūžu; par kuriem pierādījumi ir sniegti iekārtas līmenī</w:t>
      </w:r>
    </w:p>
  </w:footnote>
  <w:footnote w:id="14">
    <w:p w14:paraId="368C5BB4" w14:textId="77777777" w:rsidR="00327FF1" w:rsidRDefault="00E406C7">
      <w:pPr>
        <w:pStyle w:val="FootnoteText"/>
        <w:ind w:left="0" w:firstLine="0"/>
      </w:pPr>
      <w:r>
        <w:rPr>
          <w:rStyle w:val="FootnoteReference"/>
        </w:rPr>
        <w:footnoteRef/>
      </w:r>
      <w:r>
        <w:t xml:space="preserve"> Izņemot a) šā pasākuma projektus elektroenerģijas un/vai siltuma ra</w:t>
      </w:r>
      <w:r>
        <w:t>žošanas jomā, kā arī saistīto pārvades un sadales infrastruktūru, kurā izmanto dabasgāzi, kas atbilst nosacījumiem, kuri izklāstīti Tehnisko norādījumu “nenodari būtisku kaitējumu” (2021/C58/01) III pielikumā, un b) darbības un aktīvus saskaņā ar ii) punkt</w:t>
      </w:r>
      <w:r>
        <w:t>u, kuriem fosilā kurināmā izmantošana ir īslaicīga un tehniski nenovēršama, lai laikus pārietu uz ekspluatāciju bez fosilā kurināmā.</w:t>
      </w:r>
    </w:p>
  </w:footnote>
  <w:footnote w:id="15">
    <w:p w14:paraId="41A6E0F5" w14:textId="77777777" w:rsidR="00327FF1" w:rsidRDefault="00E406C7">
      <w:pPr>
        <w:pStyle w:val="FootnoteText"/>
        <w:ind w:left="0" w:firstLine="0"/>
      </w:pPr>
      <w:r>
        <w:rPr>
          <w:rStyle w:val="FootnoteReference"/>
        </w:rPr>
        <w:footnoteRef/>
      </w:r>
      <w:r>
        <w:t xml:space="preserve"> Ja atbalstītā darbība sasniedz prognozētās siltumnīcefekta gāzu emisijas, kas nav ievērojami zemākas par attiecīgajām līm</w:t>
      </w:r>
      <w:r>
        <w:t>eņatzīmēm, būtu jāsniedz paskaidrojums par iemesliem, kāpēc tas nav iespējams. Līmeņatzīmes, kas noteiktas bezmaksas kvotu piešķiršanai darbībām, kuras ietilpst emisijas kvotu tirdzniecības sistēmas darbības jomā, kā noteikts Komisijas Īstenošanas regulā (</w:t>
      </w:r>
      <w:r>
        <w:t>ES) 2021/447.</w:t>
      </w:r>
    </w:p>
  </w:footnote>
  <w:footnote w:id="16">
    <w:p w14:paraId="3A10E54E" w14:textId="77777777" w:rsidR="00327FF1" w:rsidRDefault="00E406C7">
      <w:pPr>
        <w:pStyle w:val="FootnoteText"/>
        <w:ind w:left="0" w:firstLine="0"/>
      </w:pPr>
      <w:r>
        <w:rPr>
          <w:rStyle w:val="FootnoteReference"/>
        </w:rPr>
        <w:footnoteRef/>
      </w:r>
      <w:r>
        <w:t xml:space="preserve"> Šis izņēmums neattiecas uz darbībām saskaņā ar šo pasākumu iekārtās, kas paredzētas tikai nepārstrādājamu bīstamo atkritumu apstrādei, un esošām iekārtām, ja darbības saskaņā ar šo pasākumu ir paredzētas, lai palielinātu energoefektivitāti,</w:t>
      </w:r>
      <w:r>
        <w:t xml:space="preserve"> uztvertu dūmgāzes glabāšanai vai izmantošanai, vai reģenerētu materiālus no sadedzināšanas pelniem, ar noteikumu, ka šādas darbības saskaņā ar šo pasākumu nepalielina iekārtu atkritumu pārstrādes jaudu vai nepagarina iekārtu darbmūžu; par ko ir sniegti pi</w:t>
      </w:r>
      <w:r>
        <w:t>erādījumi iekārtas līmenī.</w:t>
      </w:r>
    </w:p>
  </w:footnote>
  <w:footnote w:id="17">
    <w:p w14:paraId="3539B40F" w14:textId="77777777" w:rsidR="00327FF1" w:rsidRDefault="00E406C7">
      <w:pPr>
        <w:pStyle w:val="FootnoteText"/>
        <w:ind w:left="0" w:firstLine="0"/>
      </w:pPr>
      <w:r>
        <w:rPr>
          <w:rStyle w:val="FootnoteReference"/>
        </w:rPr>
        <w:footnoteRef/>
      </w:r>
      <w:r>
        <w:t xml:space="preserve"> Šis izņēmums neattiecas uz darbībām saskaņā ar šo pasākumu esošajās mehāniski bioloģiskās apstrādes iekārtās, ja saskaņā ar šo pasākumu veikto darbību mērķis ir palielināt energoefektivitāti vai modernizēt atdalīto atkritumu pā</w:t>
      </w:r>
      <w:r>
        <w:t>rstrādes darbības, lai kompostētu bioatkritumus un bioatkritumu anaerobo noārdīšanu, ar nosacījumu, ka šādas darbības saskaņā ar šo pasākumu nepalielina iekārtu atkritumu pārstrādes jaudu vai nepagarina iekārtu darbmūžu; par ko ir sniegti pierādījumi iekār</w:t>
      </w:r>
      <w:r>
        <w:t>tas līmenī.</w:t>
      </w:r>
    </w:p>
  </w:footnote>
  <w:footnote w:id="18">
    <w:p w14:paraId="01BD6B4F" w14:textId="42D72CD5" w:rsidR="00327FF1" w:rsidRDefault="00E406C7">
      <w:pPr>
        <w:pStyle w:val="FootnoteText"/>
        <w:ind w:left="0" w:firstLine="0"/>
      </w:pPr>
      <w:r>
        <w:rPr>
          <w:rStyle w:val="FootnoteReference"/>
        </w:rPr>
        <w:footnoteRef/>
      </w:r>
      <w:r>
        <w:t xml:space="preserve"> Izņemot a) šā pasākuma projektus elektroenerģijas un/vai siltuma ražošanas jomā, kā arī saistīto pārvades un sadales infrastruktūru, kurā izmanto dabasgāzi, kas atbilst nosacījumiem, kuri izklāstīti Tehnisko norādījumu “nenodari būtisku kaitē</w:t>
      </w:r>
      <w:r>
        <w:t>jumu” (2021/C58/01) III pielikumā, un b) darbības un aktīvus saskaņā ar ii) punktu, kuriem fosilā kurināmā izmantošana ir īslaicīga un tehniski nenovēršama, lai laikus pārietu uz ekspluatāciju bez fosilā kurināmā.</w:t>
      </w:r>
    </w:p>
  </w:footnote>
  <w:footnote w:id="19">
    <w:p w14:paraId="5ACA7097" w14:textId="77777777" w:rsidR="00327FF1" w:rsidRDefault="00E406C7">
      <w:pPr>
        <w:pStyle w:val="FootnoteText"/>
        <w:ind w:left="0" w:firstLine="0"/>
      </w:pPr>
      <w:r>
        <w:rPr>
          <w:rStyle w:val="FootnoteReference"/>
        </w:rPr>
        <w:footnoteRef/>
      </w:r>
      <w:r>
        <w:t xml:space="preserve"> Ja atbalstītā darbība sasniedz prognozēt</w:t>
      </w:r>
      <w:r>
        <w:t>ās siltumnīcefekta gāzu emisijas, kas nav ievērojami zemākas par attiecīgajām līmeņatzīmēm, būtu jāsniedz paskaidrojums par iemesliem, kāpēc tas nav iespējams. Līmeņatzīmes, kas noteiktas bezmaksas kvotu piešķiršanai darbībām, kuras ietilpst emisijas kvotu</w:t>
      </w:r>
      <w:r>
        <w:t xml:space="preserve"> tirdzniecības sistēmas darbības jomā, kā noteikts Komisijas Īstenošanas regulā (ES) 2021/447.</w:t>
      </w:r>
    </w:p>
  </w:footnote>
  <w:footnote w:id="20">
    <w:p w14:paraId="234E4838" w14:textId="09192011" w:rsidR="00327FF1" w:rsidRDefault="00E406C7">
      <w:pPr>
        <w:pStyle w:val="FootnoteText"/>
        <w:ind w:left="0" w:firstLine="0"/>
      </w:pPr>
      <w:r>
        <w:rPr>
          <w:rStyle w:val="FootnoteReference"/>
        </w:rPr>
        <w:footnoteRef/>
      </w:r>
      <w:r>
        <w:t xml:space="preserve"> Šis izņēmums neattiecas uz darbībām saskaņā ar šo pasākumu iekārtās, kas paredzētas tikai nepārstrādājamu bīstamo atkritumu apstrādei, un esošām iekārtām, ja d</w:t>
      </w:r>
      <w:r>
        <w:t>arbības saskaņā ar šo pasākumu ir paredzētas, lai palielinātu energoefektivitāti, uztvertu dūmgāzes glabāšanai vai izmantošanai, vai reģenerētu materiālus no sadedzināšanas pelniem, ar noteikumu, ka šādas darbības saskaņā ar šo pasākumu nepalielina iekārtu</w:t>
      </w:r>
      <w:r>
        <w:t xml:space="preserve"> atkritumu pārstrādes jaudu vai nepagarina iekārtu darbmūžu; par ko ir sniegti pierādījumi iekārtas līmenī.</w:t>
      </w:r>
    </w:p>
  </w:footnote>
  <w:footnote w:id="21">
    <w:p w14:paraId="0D356463" w14:textId="77777777" w:rsidR="00327FF1" w:rsidRDefault="00E406C7">
      <w:pPr>
        <w:pStyle w:val="FootnoteText"/>
        <w:ind w:left="0" w:firstLine="0"/>
      </w:pPr>
      <w:r>
        <w:rPr>
          <w:rStyle w:val="FootnoteReference"/>
        </w:rPr>
        <w:footnoteRef/>
      </w:r>
      <w:r>
        <w:t xml:space="preserve"> Šis izņēmums neattiecas uz darbībām saskaņā ar šo pasākumu esošajās mehāniski bioloģiskās apstrādes iekārtās, ja saskaņā ar šo pasākumu veikto dar</w:t>
      </w:r>
      <w:r>
        <w:t>bību mērķis ir palielināt energoefektivitāti vai modernizēt atdalīto atkritumu pārstrādes darbības, lai kompostētu bioatkritumus un bioatkritumu anaerobo noārdīšanu, ar nosacījumu, ka šādas darbības saskaņā ar šo pasākumu nepalielina iekārtu atkritumu pārs</w:t>
      </w:r>
      <w:r>
        <w:t>trādes jaudu vai nepagarina iekārtu darbmūžu; par ko ir sniegti pierādījumi iekārtas līmenī.</w:t>
      </w:r>
    </w:p>
  </w:footnote>
  <w:footnote w:id="22">
    <w:p w14:paraId="59A3E652" w14:textId="017732FB" w:rsidR="00327FF1" w:rsidRDefault="00E406C7">
      <w:pPr>
        <w:pStyle w:val="FootnoteText"/>
        <w:ind w:left="0" w:firstLine="0"/>
      </w:pPr>
      <w:r>
        <w:rPr>
          <w:rStyle w:val="FootnoteReference"/>
        </w:rPr>
        <w:footnoteRef/>
      </w:r>
      <w:r>
        <w:t xml:space="preserve"> Izņemot a) aktīvus un darbības elektroenerģijas un/vai siltuma ražošanā, kā arī saistīto pārvades un sadales infrastruktūru, kurā izmanto dabasgāzi, kas atbilst </w:t>
      </w:r>
      <w:r>
        <w:t xml:space="preserve">Tehnisko norādījumu “nenodari būtisku kaitējumu” (2021/C58/01) III pielikumā izklāstītajiem nosacījumiem, un b) darbībām un aktīviem saskaņā ar ii) apakšpunktu, attiecībā uz kuriem fosilā kurināmā izmantošana ir pagaidu un tehniski nenovēršama, lai laikus </w:t>
      </w:r>
      <w:r>
        <w:t>pārietu uz darbību, kas brīva no fosilā kurināmā.</w:t>
      </w:r>
    </w:p>
  </w:footnote>
  <w:footnote w:id="23">
    <w:p w14:paraId="5EDBC356" w14:textId="43276090" w:rsidR="00327FF1" w:rsidRDefault="00E406C7">
      <w:pPr>
        <w:pStyle w:val="FootnoteText"/>
        <w:ind w:left="0" w:firstLine="0"/>
      </w:pPr>
      <w:r>
        <w:rPr>
          <w:rStyle w:val="FootnoteReference"/>
        </w:rPr>
        <w:footnoteRef/>
      </w:r>
      <w:r>
        <w:t xml:space="preserve"> Ja atbalstītā darbība panāk tādu prognozēto siltumnīcefekta gāzu emisiju līmeni, kas nav ievērojami zemāks par attiecīgajām līmeņatzīmēm, būtu jāsniedz paskaidrojums par iemesliem, kāpēc tas nav iespējams. Līmeņatzīmes, kas noteiktas bezmaksas kvotu iedal</w:t>
      </w:r>
      <w:r>
        <w:t>ei par darbībām, kuras ietilpst emisijas kvotu tirdzniecības sistēmas darbības jomā, kā noteikts Komisijas Īstenošanas regulā (ES) 2021/447</w:t>
      </w:r>
    </w:p>
  </w:footnote>
  <w:footnote w:id="24">
    <w:p w14:paraId="4F5613C7" w14:textId="67FD14AF" w:rsidR="00327FF1" w:rsidRDefault="00E406C7">
      <w:pPr>
        <w:pStyle w:val="FootnoteText"/>
        <w:ind w:left="0" w:firstLine="0"/>
      </w:pPr>
      <w:r>
        <w:rPr>
          <w:rStyle w:val="FootnoteReference"/>
        </w:rPr>
        <w:footnoteRef/>
      </w:r>
      <w:r>
        <w:t xml:space="preserve"> Šis izņēmums neattiecas uz darbībām saskaņā ar šo pasākumu iekārtās, kas paredzētas tikai nepārstrādājamu bīstamo </w:t>
      </w:r>
      <w:r>
        <w:t>atkritumu apstrādei, un esošām iekārtām, ja darbības saskaņā ar šo pasākumu ir paredzētas, lai palielinātu energoefektivitāti, uztvertu dūmgāzes glabāšanai vai izmantošanai, vai reģenerētu materiālus no sadedzināšanas pelniem, ar noteikumu, ka šādas darbīb</w:t>
      </w:r>
      <w:r>
        <w:t>as saskaņā ar šo pasākumu nepalielina iekārtu atkritumu pārstrādes jaudu vai nepagarina iekārtu darbmūžu; par ko ir sniegti pierādījumi iekārtas līmenī. </w:t>
      </w:r>
    </w:p>
  </w:footnote>
  <w:footnote w:id="25">
    <w:p w14:paraId="2358574C" w14:textId="72CD2514" w:rsidR="00327FF1" w:rsidRDefault="00E406C7">
      <w:pPr>
        <w:pStyle w:val="FootnoteText"/>
        <w:ind w:left="0" w:firstLine="0"/>
      </w:pPr>
      <w:r>
        <w:rPr>
          <w:rStyle w:val="FootnoteReference"/>
        </w:rPr>
        <w:footnoteRef/>
      </w:r>
      <w:r>
        <w:t xml:space="preserve"> Šis izņēmums neattiecas uz darbībām saskaņā ar šo pasākumu esošajās mehāniski bioloģiskās apstrādes </w:t>
      </w:r>
      <w:r>
        <w:t xml:space="preserve">iekārtās, ja saskaņā ar šo pasākumu veikto darbību mērķis ir palielināt energoefektivitāti vai modernizēt atdalīto atkritumu pārstrādes darbības, lai kompostētu bioatkritumus un bioatkritumu anaerobo noārdīšanu, ar nosacījumu, ka šādas darbības saskaņā ar </w:t>
      </w:r>
      <w:r>
        <w:t>šo pasākumu nepalielina iekārtu atkritumu pārstrādes jaudu vai nepagarina iekārtu darbmūžu; par ko ir sniegti pierādījumi iekārtas līmenī. </w:t>
      </w:r>
    </w:p>
  </w:footnote>
  <w:footnote w:id="26">
    <w:p w14:paraId="085F4836" w14:textId="24C59B28" w:rsidR="00327FF1" w:rsidRDefault="00E406C7">
      <w:pPr>
        <w:pStyle w:val="FootnoteText"/>
        <w:ind w:left="0" w:firstLine="0"/>
      </w:pPr>
      <w:r>
        <w:rPr>
          <w:rStyle w:val="FootnoteReference"/>
        </w:rPr>
        <w:footnoteRef/>
      </w:r>
      <w:r>
        <w:t xml:space="preserve"> Lai aprēķinātu ieguldījumu klimata jomā, galīgajiem saņēmējiem, kas saistīti ar konkrētiem projektiem, katram atba</w:t>
      </w:r>
      <w:r>
        <w:t>lstītajam projektam ir jāsniedz izvēlētās intervences jomas pamatojums, kā arī projekta apraksts. Lai aprēķinātu ieguldījumu klimata jomā, galasaņēmēji no pašu kapitāla, kvazikapitāla, uzņēmumu obligācijām vai līdzvērtīgiem instrumentiem, kas nav paredzēti</w:t>
      </w:r>
      <w:r>
        <w:t xml:space="preserve"> konkrētiem projektiem, sniedz pamatojumu izvēlētajai(-ajām) intervences jomai(-ām). Īstenošanas partnerim ir arī jāiesniedz dalībvalstij pusgada ziņojums par katra projekta/darbības īstenošanu.</w:t>
      </w:r>
    </w:p>
  </w:footnote>
  <w:footnote w:id="27">
    <w:p w14:paraId="39AD15BC" w14:textId="6001C0E1" w:rsidR="00327FF1" w:rsidRDefault="00E406C7">
      <w:pPr>
        <w:pStyle w:val="FootnoteText"/>
        <w:ind w:left="0" w:firstLine="0"/>
      </w:pPr>
      <w:r>
        <w:rPr>
          <w:rStyle w:val="FootnoteReference"/>
        </w:rPr>
        <w:footnoteRef/>
      </w:r>
      <w:r>
        <w:t xml:space="preserve"> Izņemot a) aktīvus un darbības elektroenerģijas un/vai silt</w:t>
      </w:r>
      <w:r>
        <w:t>uma ražošanā, kā arī saistīto pārvades un sadales infrastruktūru, kurā izmanto dabasgāzi, kas atbilst Tehnisko norādījumu “nenodari būtisku kaitējumu” (2021/C58/01) III pielikumā izklāstītajiem nosacījumiem, un b) darbībām un aktīviem saskaņā ar ii) apakšp</w:t>
      </w:r>
      <w:r>
        <w:t>unktu, attiecībā uz kuriem fosilā kurināmā izmantošana ir pagaidu un tehniski nenovēršama, lai laikus pārietu uz darbību, kas brīva no fosilā kurināmā.</w:t>
      </w:r>
    </w:p>
  </w:footnote>
  <w:footnote w:id="28">
    <w:p w14:paraId="39EA8B56" w14:textId="6E27082C" w:rsidR="00327FF1" w:rsidRDefault="00E406C7">
      <w:pPr>
        <w:pStyle w:val="FootnoteText"/>
        <w:ind w:left="0" w:firstLine="0"/>
      </w:pPr>
      <w:r>
        <w:rPr>
          <w:rStyle w:val="FootnoteReference"/>
        </w:rPr>
        <w:footnoteRef/>
      </w:r>
      <w:r>
        <w:t xml:space="preserve"> Ja atbalstītā darbība panāk tādu prognozēto siltumnīcefekta gāzu emisiju līmeni, kas nav ievērojami ze</w:t>
      </w:r>
      <w:r>
        <w:t>māks par attiecīgajām līmeņatzīmēm, būtu jāsniedz paskaidrojums par iemesliem, kāpēc tas nav iespējams. Līmeņatzīmes, kas noteiktas bezmaksas kvotu iedalei par darbībām, kuras ietilpst emisijas kvotu tirdzniecības sistēmas darbības jomā, kā noteikts Komisi</w:t>
      </w:r>
      <w:r>
        <w:t>jas Īstenošanas regulā (ES) 2021/447</w:t>
      </w:r>
    </w:p>
  </w:footnote>
  <w:footnote w:id="29">
    <w:p w14:paraId="270AFB94" w14:textId="4762D7C7" w:rsidR="00327FF1" w:rsidRDefault="00E406C7">
      <w:pPr>
        <w:pStyle w:val="FootnoteText"/>
        <w:ind w:left="0" w:firstLine="0"/>
      </w:pPr>
      <w:r>
        <w:rPr>
          <w:rStyle w:val="FootnoteReference"/>
        </w:rPr>
        <w:footnoteRef/>
      </w:r>
      <w:r>
        <w:t xml:space="preserve"> Šis izņēmums neattiecas uz darbībām saskaņā ar šo pasākumu iekārtās, kas paredzētas tikai nepārstrādājamu bīstamo atkritumu apstrādei, un esošām iekārtām, ja darbības saskaņā ar šo pasākumu ir paredzētas, lai palielin</w:t>
      </w:r>
      <w:r>
        <w:t>ātu energoefektivitāti, uztvertu dūmgāzes glabāšanai vai izmantošanai, vai reģenerētu materiālus no sadedzināšanas pelniem, ar noteikumu, ka šādas darbības saskaņā ar šo pasākumu nepalielina iekārtu atkritumu pārstrādes jaudu vai nepagarina iekārtu darbmūž</w:t>
      </w:r>
      <w:r>
        <w:t>u; par ko ir sniegti pierādījumi iekārtas līmenī. </w:t>
      </w:r>
    </w:p>
  </w:footnote>
  <w:footnote w:id="30">
    <w:p w14:paraId="712803BE" w14:textId="0176D412" w:rsidR="00327FF1" w:rsidRDefault="00E406C7">
      <w:pPr>
        <w:pStyle w:val="FootnoteText"/>
        <w:ind w:left="0" w:firstLine="0"/>
      </w:pPr>
      <w:r>
        <w:rPr>
          <w:rStyle w:val="FootnoteReference"/>
        </w:rPr>
        <w:footnoteRef/>
      </w:r>
      <w:r>
        <w:t xml:space="preserve"> Šis izņēmums neattiecas uz darbībām saskaņā ar šo pasākumu esošajās mehāniski bioloģiskās apstrādes iekārtās, ja saskaņā ar šo pasākumu veikto darbību mērķis ir palielināt energoefektivitāti vai moderniz</w:t>
      </w:r>
      <w:r>
        <w:t>ēt atdalīto atkritumu pārstrādes darbības, lai kompostētu bioatkritumus un bioatkritumu anaerobo noārdīšanu, ar nosacījumu, ka šādas darbības saskaņā ar šo pasākumu nepalielina iekārtu atkritumu pārstrādes jaudu vai nepagarina iekārtu darbmūžu; par ko ir s</w:t>
      </w:r>
      <w:r>
        <w:t xml:space="preserve">niegti pierādījumi iekārtas līmenī.  </w:t>
      </w:r>
    </w:p>
  </w:footnote>
  <w:footnote w:id="31">
    <w:p w14:paraId="6FBE0893" w14:textId="4BDE0727" w:rsidR="00327FF1" w:rsidRDefault="00E406C7">
      <w:pPr>
        <w:pStyle w:val="FootnoteText"/>
        <w:ind w:left="0" w:firstLine="0"/>
      </w:pPr>
      <w:r>
        <w:rPr>
          <w:rStyle w:val="FootnoteReference"/>
        </w:rPr>
        <w:footnoteRef/>
      </w:r>
      <w:r>
        <w:t xml:space="preserve"> Lai aprēķinātu ieguldījumu klimata jomā, galīgajiem saņēmējiem, kas saistīti ar konkrētiem projektiem, katram atbalstītajam projektam ir jāsniedz izvēlētās intervences jomas pamatojums, kā arī projekta apraksts. Lai </w:t>
      </w:r>
      <w:r>
        <w:t>aprēķinātu ieguldījumu klimata jomā, galasaņēmēji no pašu kapitāla, kvazikapitāla, uzņēmumu obligācijām vai līdzvērtīgiem instrumentiem, kas nav paredzēti konkrētiem projektiem, sniedz pamatojumu izvēlētajai(-ajām) intervences jomai(-ām). Īstenošanas partn</w:t>
      </w:r>
      <w:r>
        <w:t>erim ir arī jāiesniedz dalībvalstij pusgada ziņojums par katra projekta/darbības īstenošanu.</w:t>
      </w:r>
    </w:p>
  </w:footnote>
  <w:footnote w:id="32">
    <w:p w14:paraId="5FEF3435" w14:textId="77777777" w:rsidR="00327FF1" w:rsidRDefault="00E406C7">
      <w:pPr>
        <w:pStyle w:val="FootnoteText"/>
        <w:ind w:left="0" w:firstLine="0"/>
        <w:rPr>
          <w:rStyle w:val="FootnoteReference"/>
          <w:vertAlign w:val="baseline"/>
        </w:rPr>
      </w:pPr>
      <w:r>
        <w:rPr>
          <w:rStyle w:val="FootnoteReference"/>
        </w:rPr>
        <w:footnoteRef/>
      </w:r>
      <w:r>
        <w:rPr>
          <w:rStyle w:val="FootnoteReference"/>
        </w:rPr>
        <w:t xml:space="preserve"> </w:t>
      </w:r>
      <w:r>
        <w:t>Konkrētāk, maksimālā robežvērtība 13 % apmērā neietver segtās ieinteresētās personas maksas par rezultātiem, kas saistītas ar GTF, un visas izmaksas un pārvaldīb</w:t>
      </w:r>
      <w:r>
        <w:t>as maksas, kas saistītas ar trešo personu līdzekļiem.</w:t>
      </w:r>
    </w:p>
  </w:footnote>
  <w:footnote w:id="33">
    <w:p w14:paraId="76B2B589" w14:textId="77777777" w:rsidR="00327FF1" w:rsidRDefault="00E406C7">
      <w:pPr>
        <w:pStyle w:val="FootnoteText"/>
        <w:ind w:left="0" w:firstLine="0"/>
        <w:rPr>
          <w:rStyle w:val="FootnoteReference"/>
        </w:rPr>
      </w:pPr>
      <w:r>
        <w:rPr>
          <w:rStyle w:val="FootnoteReference"/>
        </w:rPr>
        <w:footnoteRef/>
      </w:r>
      <w:r>
        <w:rPr>
          <w:rStyle w:val="FootnoteReference"/>
        </w:rPr>
        <w:t xml:space="preserve"> </w:t>
      </w:r>
      <w:r>
        <w:rPr>
          <w:rStyle w:val="FootnoteReference"/>
          <w:vertAlign w:val="baseline"/>
        </w:rPr>
        <w:t>Jo īpaši tiešo ieguldījumu gadījumā GTF darbojas, sniedzot pašu kapitāla vai kvazikapitāla atbalstu; netiešo ieguldījumu gadījumā GTF darbojas, finansējot trešo personu fondus, kas darbojas, nodrošino</w:t>
      </w:r>
      <w:r>
        <w:rPr>
          <w:rStyle w:val="FootnoteReference"/>
          <w:vertAlign w:val="baseline"/>
        </w:rPr>
        <w:t>t vismaz vienu no turpmāk minētajiem: pašu kapitāla vai kvazikapitāla, vai parāda, vai kvaziparāda instrumenti.</w:t>
      </w:r>
    </w:p>
  </w:footnote>
  <w:footnote w:id="34">
    <w:p w14:paraId="40EB3245" w14:textId="77777777" w:rsidR="00327FF1" w:rsidRDefault="00E406C7">
      <w:pPr>
        <w:pStyle w:val="FootnoteText"/>
        <w:ind w:left="0" w:firstLine="0"/>
        <w:rPr>
          <w:rStyle w:val="FootnoteReference"/>
        </w:rPr>
      </w:pPr>
      <w:r>
        <w:rPr>
          <w:rStyle w:val="FootnoteReference"/>
        </w:rPr>
        <w:footnoteRef/>
      </w:r>
      <w:r>
        <w:rPr>
          <w:rStyle w:val="FootnoteReference"/>
        </w:rPr>
        <w:t xml:space="preserve"> </w:t>
      </w:r>
      <w:r>
        <w:rPr>
          <w:rStyle w:val="FootnoteReference"/>
          <w:vertAlign w:val="baseline"/>
        </w:rPr>
        <w:t>Tiek uzskatīts, ka galīgais saņēmējs “būtiski koncentrējas” uz nozari vai uzņēmējdarbību, ja ir konstatēts, ka šāda nozare vai darbība ir būti</w:t>
      </w:r>
      <w:r>
        <w:rPr>
          <w:rStyle w:val="FootnoteReference"/>
          <w:vertAlign w:val="baseline"/>
        </w:rPr>
        <w:t>ska galīgā saņēmēja uzņēmējdarbības daļa attiecīgi attiecībā uz galīgā saņēmēja bruto ieņēmumiem, peļņu vai klientu bāzi. Bruto ieņēmumi no ierobežotās nozares vai darbības nekādā gadījumā nepārsniedz 50 % no bruto ieņēmumiem.</w:t>
      </w:r>
    </w:p>
  </w:footnote>
  <w:footnote w:id="35">
    <w:p w14:paraId="19F45151" w14:textId="77777777" w:rsidR="00327FF1" w:rsidRDefault="00E406C7">
      <w:pPr>
        <w:pStyle w:val="FootnoteText"/>
        <w:ind w:left="0" w:firstLine="0"/>
        <w:rPr>
          <w:rStyle w:val="FootnoteReference"/>
        </w:rPr>
      </w:pPr>
      <w:r>
        <w:rPr>
          <w:rStyle w:val="FootnoteReference"/>
        </w:rPr>
        <w:footnoteRef/>
      </w:r>
      <w:r>
        <w:rPr>
          <w:rStyle w:val="FootnoteReference"/>
        </w:rPr>
        <w:t xml:space="preserve"> </w:t>
      </w:r>
      <w:r>
        <w:t>Izņemot a) aktīvus un darbī</w:t>
      </w:r>
      <w:r>
        <w:t>bas elektroenerģijas un/vai siltuma ražošanā, kā arī saistīto pārvades un sadales infrastruktūru, kurā izmanto dabasgāzi, kas atbilst Tehnisko norādījumu “nenodari būtisku kaitējumu” (2021/C58/01) III pielikumā izklāstītajiem nosacījumiem, un b) darbībām u</w:t>
      </w:r>
      <w:r>
        <w:t>n aktīviem saskaņā ar ii) apakšpunktu, attiecībā uz kuriem fosilā kurināmā izmantošana ir pagaidu un tehniski nenovēršama, lai laikus pārietu uz darbību, kas brīva no fosilā kurināmā.</w:t>
      </w:r>
    </w:p>
  </w:footnote>
  <w:footnote w:id="36">
    <w:p w14:paraId="4CE05882" w14:textId="77777777" w:rsidR="00327FF1" w:rsidRDefault="00E406C7">
      <w:pPr>
        <w:pStyle w:val="FootnoteText"/>
        <w:ind w:left="0" w:firstLine="0"/>
        <w:rPr>
          <w:rStyle w:val="FootnoteReference"/>
        </w:rPr>
      </w:pPr>
      <w:r>
        <w:rPr>
          <w:rStyle w:val="FootnoteReference"/>
        </w:rPr>
        <w:footnoteRef/>
      </w:r>
      <w:r>
        <w:rPr>
          <w:rStyle w:val="FootnoteReference"/>
        </w:rPr>
        <w:t xml:space="preserve"> </w:t>
      </w:r>
      <w:r>
        <w:rPr>
          <w:rFonts w:eastAsia="EC Square Sans Pro"/>
        </w:rPr>
        <w:t>Ietverot darbības un aktīvus saskaņā ar ES emisijas kvotu tirdzniecība</w:t>
      </w:r>
      <w:r>
        <w:rPr>
          <w:rFonts w:eastAsia="EC Square Sans Pro"/>
        </w:rPr>
        <w:t xml:space="preserve">s sistēmu (ETS), sasniedzot prognozētās siltumnīcefekta gāzu emisijas, kas nav zemākas par attiecīgajām līmeņatzīmēm. Ja atbalstītā darbība panāk tādu prognozēto siltumnīcefekta gāzu emisiju līmeni, kas nav ievērojami zemāks par attiecīgajām līmeņatzīmēm, </w:t>
      </w:r>
      <w:r>
        <w:rPr>
          <w:rFonts w:eastAsia="EC Square Sans Pro"/>
        </w:rPr>
        <w:t>būtu jāsniedz paskaidrojums par iemesliem, kāpēc tas nav iespējams. Līmeņatzīmes, kas noteiktas bezmaksas kvotu piešķiršanai darbībām, kuras ietilpst emisijas kvotu tirdzniecības sistēmas darbības jomā, kā noteikts Komisijas Īstenošanas regulā (ES) 2021/44</w:t>
      </w:r>
      <w:r>
        <w:rPr>
          <w:rFonts w:eastAsia="EC Square Sans Pro"/>
        </w:rPr>
        <w:t>7.</w:t>
      </w:r>
    </w:p>
  </w:footnote>
  <w:footnote w:id="37">
    <w:p w14:paraId="55B04306" w14:textId="77777777" w:rsidR="00327FF1" w:rsidRDefault="00E406C7">
      <w:pPr>
        <w:pStyle w:val="FootnoteText"/>
        <w:ind w:left="0" w:firstLine="0"/>
        <w:rPr>
          <w:rStyle w:val="FootnoteReference"/>
        </w:rPr>
      </w:pPr>
      <w:r>
        <w:rPr>
          <w:rStyle w:val="FootnoteReference"/>
        </w:rPr>
        <w:footnoteRef/>
      </w:r>
      <w:r>
        <w:rPr>
          <w:rStyle w:val="FootnoteReference"/>
        </w:rPr>
        <w:t xml:space="preserve"> </w:t>
      </w:r>
      <w:r>
        <w:rPr>
          <w:rFonts w:eastAsia="EC Square Sans Pro"/>
        </w:rPr>
        <w:t>Piesārņojošus transportlīdzekļus definē kā transportlīdzekļus, kas nav bezemisiju transportlīdzekļi.</w:t>
      </w:r>
    </w:p>
  </w:footnote>
  <w:footnote w:id="38">
    <w:p w14:paraId="6608282D" w14:textId="77777777" w:rsidR="00327FF1" w:rsidRDefault="00E406C7">
      <w:pPr>
        <w:pStyle w:val="FootnoteText"/>
        <w:ind w:left="0" w:firstLine="0"/>
      </w:pPr>
      <w:r>
        <w:rPr>
          <w:rStyle w:val="FootnoteReference"/>
        </w:rPr>
        <w:footnoteRef/>
      </w:r>
      <w:r>
        <w:rPr>
          <w:rStyle w:val="FootnoteReference"/>
        </w:rPr>
        <w:t xml:space="preserve"> </w:t>
      </w:r>
      <w:r>
        <w:rPr>
          <w:rFonts w:eastAsia="EC Square Sans Pro"/>
        </w:rPr>
        <w:t>Šis izņēmums neattiecas uz darbībām iekārtās,</w:t>
      </w:r>
      <w:r>
        <w:rPr>
          <w:rFonts w:eastAsia="EC Square Sans Pro"/>
        </w:rPr>
        <w:t xml:space="preserve"> kas paredzētas tikai nepārstrādājamu bīstamo atkritumu apstrādei, un uz esošām iekārtām, ja darbības saskaņā ar šo pasākumu ir paredzētas, lai palielinātu energoefektivitāti, uztvertu izplūdes gāzes uzglabāšanai vai izmantošanai vai reģenerētu materiālus </w:t>
      </w:r>
      <w:r>
        <w:rPr>
          <w:rFonts w:eastAsia="EC Square Sans Pro"/>
        </w:rPr>
        <w:t>no sadedzināšanas pelniem, ar noteikumu, ka šādas darbības saskaņā ar šo pasākumu nepalielina iekārtu atkritumu pārstrādes jaudu vai nepagarina iekārtu darbmūžu; par ko ir sniegti pierādījumi iekārtas līmenī.</w:t>
      </w:r>
    </w:p>
  </w:footnote>
  <w:footnote w:id="39">
    <w:p w14:paraId="473DA147" w14:textId="77777777" w:rsidR="00327FF1" w:rsidRDefault="00E406C7">
      <w:pPr>
        <w:pStyle w:val="FootnoteText"/>
      </w:pPr>
      <w:r>
        <w:rPr>
          <w:rStyle w:val="FootnoteReference"/>
        </w:rPr>
        <w:footnoteRef/>
      </w:r>
      <w:r>
        <w:t xml:space="preserve"> Saskaņā ar Regulas (ES) 2021/241 VI pielikuma</w:t>
      </w:r>
      <w:r>
        <w:t xml:space="preserve"> 72.a intervences jomu tā attiecas arī uz divrežīmu vilcieniem.</w:t>
      </w:r>
    </w:p>
  </w:footnote>
  <w:footnote w:id="40">
    <w:p w14:paraId="31AC05CF" w14:textId="25C74B52" w:rsidR="00327FF1" w:rsidRDefault="00E406C7">
      <w:pPr>
        <w:pStyle w:val="FootnoteText"/>
        <w:ind w:left="0" w:firstLine="0"/>
      </w:pPr>
      <w:r>
        <w:rPr>
          <w:rStyle w:val="FootnoteReference"/>
        </w:rPr>
        <w:footnoteRef/>
      </w:r>
      <w:r>
        <w:t xml:space="preserve"> Lai aprēķinātu ieguldījumu klimata jomā, galīgajiem saņēmējiem, kas saistīti ar konkrētiem projektiem, katram atbalstītajam projektam ir jāsniedz izvēlētās intervences jomas pamatojums, kā a</w:t>
      </w:r>
      <w:r>
        <w:t>rī projekta apraksts. Lai aprēķinātu ieguldījumu klimata jomā, galasaņēmēji no pašu kapitāla, kvazikapitāla, uzņēmumu obligācijām vai līdzvērtīgiem instrumentiem, kas nav paredzēti konkrētiem projektiem, sniedz pamatojumu izvēlētajai(-ajām) intervences jom</w:t>
      </w:r>
      <w:r>
        <w:t>ai(-ām). Īstenošanas partnerim ir arī jāiesniedz dalībvalstij pusgada ziņojums par katra projekta/darbības īstenošanu.</w:t>
      </w:r>
    </w:p>
  </w:footnote>
  <w:footnote w:id="41">
    <w:p w14:paraId="2260F10B" w14:textId="77777777" w:rsidR="00327FF1" w:rsidRDefault="00E406C7">
      <w:pPr>
        <w:pStyle w:val="FootnoteText"/>
        <w:ind w:left="0" w:firstLine="0"/>
      </w:pPr>
      <w:r>
        <w:rPr>
          <w:rStyle w:val="FootnoteReference"/>
          <w:rFonts w:eastAsia="Yu Gothic Light"/>
        </w:rPr>
        <w:footnoteRef/>
      </w:r>
      <w:r>
        <w:t xml:space="preserve"> Izņemot a) aktīvus un darbības elektroenerģijas un/vai siltuma ražošanā, kā arī saistīto pārvades un sadales infrastruktūru, kurā izman</w:t>
      </w:r>
      <w:r>
        <w:t>to dabasgāzi, kas atbilst Tehnisko norādījumu “nenodari būtisku kaitējumu” (2021/C58/01) III pielikumā izklāstītajiem nosacījumiem, un b) darbībām un aktīviem saskaņā ar ii) apakšpunktu, attiecībā uz kuriem fosilā kurināmā izmantošana ir pagaidu un tehnisk</w:t>
      </w:r>
      <w:r>
        <w:t>i nenovēršama, lai laikus pārietu uz darbību, kas brīva no fosilā kurināmā.</w:t>
      </w:r>
    </w:p>
  </w:footnote>
  <w:footnote w:id="42">
    <w:p w14:paraId="7C0BFB13" w14:textId="77777777" w:rsidR="00327FF1" w:rsidRDefault="00E406C7">
      <w:pPr>
        <w:pStyle w:val="FootnoteText"/>
        <w:ind w:left="0" w:firstLine="0"/>
        <w:rPr>
          <w:rFonts w:eastAsia="EC Square Sans Pro"/>
        </w:rPr>
      </w:pPr>
      <w:r>
        <w:rPr>
          <w:rStyle w:val="FootnoteReference"/>
          <w:rFonts w:eastAsia="Yu Gothic Light"/>
        </w:rPr>
        <w:footnoteRef/>
      </w:r>
      <w:r>
        <w:t xml:space="preserve"> </w:t>
      </w:r>
      <w:r>
        <w:rPr>
          <w:rFonts w:eastAsia="EC Square Sans Pro"/>
        </w:rPr>
        <w:t>Ja atbalstītā darbība panāk tādu prognozēto siltumnīcefekta gāzu emisiju līmeni, kas nav ievērojami zemāks par attiecīgajām līmeņatzīmēm, būtu jāsniedz paskaidrojums par iemeslie</w:t>
      </w:r>
      <w:r>
        <w:rPr>
          <w:rFonts w:eastAsia="EC Square Sans Pro"/>
        </w:rPr>
        <w:t xml:space="preserve">m, kāpēc tas nav iespējams. Līmeņatzīmes, kas noteiktas bezmaksas kvotu piešķiršanai darbībām, kuras ietilpst emisijas kvotu tirdzniecības sistēmas darbības jomā, kā noteikts Komisijas Īstenošanas regulā (ES) 2021/447. </w:t>
      </w:r>
    </w:p>
  </w:footnote>
  <w:footnote w:id="43">
    <w:p w14:paraId="72ABFE10" w14:textId="77777777" w:rsidR="00327FF1" w:rsidRDefault="00E406C7">
      <w:pPr>
        <w:pStyle w:val="FootnoteText"/>
        <w:ind w:left="0" w:firstLine="0"/>
      </w:pPr>
      <w:r>
        <w:rPr>
          <w:rStyle w:val="FootnoteReference"/>
          <w:rFonts w:eastAsia="Yu Gothic Light"/>
        </w:rPr>
        <w:footnoteRef/>
      </w:r>
      <w:r>
        <w:t xml:space="preserve"> Šis izņēmums neattiecas uz darbībā</w:t>
      </w:r>
      <w:r>
        <w:t>m saskaņā ar šo pasākumu iekārtās, kas paredzētas tikai nepārstrādājamu bīstamo atkritumu apstrādei, un esošām iekārtām, ja darbības saskaņā ar šo pasākumu ir paredzētas, lai palielinātu energoefektivitāti, uztvertu dūmgāzes glabāšanai vai izmantošanai, va</w:t>
      </w:r>
      <w:r>
        <w:t>i reģenerētu materiālus no sadedzināšanas pelniem, ar noteikumu, ka šādas darbības saskaņā ar šo pasākumu nepalielina iekārtu atkritumu pārstrādes jaudu vai nepagarina iekārtu darbmūžu; par ko ir sniegti pierādījumi iekārtas līmenī. </w:t>
      </w:r>
    </w:p>
  </w:footnote>
  <w:footnote w:id="44">
    <w:p w14:paraId="4B3E96E2" w14:textId="77777777" w:rsidR="00327FF1" w:rsidRDefault="00E406C7">
      <w:pPr>
        <w:pStyle w:val="FootnoteText"/>
        <w:ind w:left="0" w:firstLine="0"/>
      </w:pPr>
      <w:r>
        <w:rPr>
          <w:rStyle w:val="FootnoteReference"/>
          <w:rFonts w:eastAsia="Yu Gothic Light"/>
        </w:rPr>
        <w:footnoteRef/>
      </w:r>
      <w:r>
        <w:t xml:space="preserve"> Šis izņēmums neattie</w:t>
      </w:r>
      <w:r>
        <w:t>cas uz darbībām saskaņā ar šo pasākumu esošajās mehāniski bioloģiskās apstrādes iekārtās, ja saskaņā ar šo pasākumu veikto darbību mērķis ir palielināt energoefektivitāti vai modernizēt atdalīto atkritumu pārstrādes darbības, lai kompostētu bioatkritumus u</w:t>
      </w:r>
      <w:r>
        <w:t>n bioatkritumu anaerobo noārdīšanu, ar nosacījumu, ka šādas darbības saskaņā ar šo pasākumu nepalielina iekārtu atkritumu pārstrādes jaudu vai nepagarina iekārtu darbmūžu; par ko ir sniegti pierādījumi iekārtas līmenī. </w:t>
      </w:r>
    </w:p>
  </w:footnote>
  <w:footnote w:id="45">
    <w:p w14:paraId="2B1C95AF" w14:textId="77777777" w:rsidR="00327FF1" w:rsidRDefault="00E406C7">
      <w:pPr>
        <w:pStyle w:val="FootnoteText"/>
        <w:ind w:left="0" w:firstLine="0"/>
      </w:pPr>
      <w:r>
        <w:rPr>
          <w:rStyle w:val="FootnoteReference"/>
        </w:rPr>
        <w:footnoteRef/>
      </w:r>
      <w:r>
        <w:t xml:space="preserve"> Lai aprēķinātu ieguldījumu klimata</w:t>
      </w:r>
      <w:r>
        <w:t xml:space="preserve"> jomā, galīgajiem saņēmējiem, kas saistīti ar konkrētiem projektiem, katram atbalstītajam projektam ir jāsniedz izvēlētās intervences jomas pamatojums, kā arī projekta apraksts. Lai aprēķinātu ieguldījumu klimata jomā, galasaņēmēji no pašu kapitāla, kvazik</w:t>
      </w:r>
      <w:r>
        <w:t>apitāla, uzņēmumu obligācijām vai līdzvērtīgiem instrumentiem, kas nav paredzēti konkrētiem projektiem, sniedz pamatojumu izvēlētajai(-ajām) intervences jomai(-ām). Īstenošanas partnerim ir arī jāiesniedz dalībvalstij pusgada ziņojums par katra projekta/da</w:t>
      </w:r>
      <w:r>
        <w:t>rbības īstenošanu.</w:t>
      </w:r>
    </w:p>
  </w:footnote>
  <w:footnote w:id="46">
    <w:p w14:paraId="2076CAB8" w14:textId="0FB6856E" w:rsidR="00327FF1" w:rsidRDefault="00E406C7">
      <w:pPr>
        <w:spacing w:after="0"/>
        <w:jc w:val="both"/>
        <w:rPr>
          <w:rFonts w:ascii="Times New Roman" w:hAnsi="Times New Roman" w:cs="Times New Roman"/>
          <w:sz w:val="20"/>
          <w:szCs w:val="20"/>
        </w:rPr>
      </w:pPr>
      <w:r>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Izņemot a) aktīvus un darbības elektroenerģijas un/vai siltuma ražošanas jomā, kā arī saistīto pārvades un sadales infrastruktūru, kurā izmanto dabasgāzi, kas atbilst Tehnisko norādījumu “nenodari būtisku kaitējumu” (2021/C58/01) III p</w:t>
      </w:r>
      <w:r>
        <w:rPr>
          <w:rFonts w:ascii="Times New Roman" w:hAnsi="Times New Roman" w:cs="Times New Roman"/>
          <w:sz w:val="20"/>
          <w:szCs w:val="20"/>
        </w:rPr>
        <w:t>ielikumā izklāstītajiem nosacījumiem, un b) darbības un aktīvus saskaņā ar ii) punktu, attiecībā uz kuriem fosilā kurināmā izmantošana ir īslaicīga un tehniski nenovēršama savlaicīgai pārejai uz ekspluatāciju bez fosilā kurināmā.</w:t>
      </w:r>
    </w:p>
  </w:footnote>
  <w:footnote w:id="47">
    <w:p w14:paraId="084BC864" w14:textId="678612A7" w:rsidR="00327FF1" w:rsidRDefault="00E406C7">
      <w:pPr>
        <w:spacing w:after="0"/>
        <w:jc w:val="both"/>
        <w:rPr>
          <w:rFonts w:ascii="Times New Roman" w:eastAsia="Aptos" w:hAnsi="Times New Roman" w:cs="Times New Roman"/>
          <w:sz w:val="20"/>
          <w:szCs w:val="20"/>
        </w:rPr>
      </w:pPr>
      <w:r>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Ja atbalstītā darbība pa</w:t>
      </w:r>
      <w:r>
        <w:rPr>
          <w:rFonts w:ascii="Times New Roman" w:hAnsi="Times New Roman" w:cs="Times New Roman"/>
          <w:sz w:val="20"/>
          <w:szCs w:val="20"/>
        </w:rPr>
        <w:t>nāk tādu prognozēto siltumnīcefekta gāzu emisiju līmeni, kas nav ievērojami zemāks par attiecīgajām līmeņatzīmēm, būtu jāsniedz paskaidrojums par iemesliem, kāpēc tas nav iespējams. Līmeņatzīmes, kas noteiktas bezmaksas kvotu iedalei par darbībām, kuras ie</w:t>
      </w:r>
      <w:r>
        <w:rPr>
          <w:rFonts w:ascii="Times New Roman" w:hAnsi="Times New Roman" w:cs="Times New Roman"/>
          <w:sz w:val="20"/>
          <w:szCs w:val="20"/>
        </w:rPr>
        <w:t>tilpst emisijas kvotu tirdzniecības sistēmas darbības jomā, kā noteikts Komisijas Īstenošanas regulā (ES) 2021/447</w:t>
      </w:r>
    </w:p>
  </w:footnote>
  <w:footnote w:id="48">
    <w:p w14:paraId="5E536C1C" w14:textId="68298A53" w:rsidR="00327FF1" w:rsidRDefault="00E406C7">
      <w:pPr>
        <w:spacing w:after="0"/>
        <w:jc w:val="both"/>
        <w:rPr>
          <w:rFonts w:ascii="Times New Roman" w:eastAsia="Aptos" w:hAnsi="Times New Roman" w:cs="Times New Roman"/>
          <w:sz w:val="20"/>
          <w:szCs w:val="20"/>
        </w:rPr>
      </w:pPr>
      <w:r>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Šis izņēmums neattiecas uz darbībām saskaņā ar šo pasākumu iekārtās, kas paredzētas tikai nepārstrādājamu bīstamo atkritumu apstrādei, un e</w:t>
      </w:r>
      <w:r>
        <w:rPr>
          <w:rFonts w:ascii="Times New Roman" w:hAnsi="Times New Roman" w:cs="Times New Roman"/>
          <w:sz w:val="20"/>
          <w:szCs w:val="20"/>
        </w:rPr>
        <w:t>sošām iekārtām, ja darbības saskaņā ar šo pasākumu ir paredzētas, lai palielinātu energoefektivitāti, uztvertu dūmgāzes glabāšanai vai izmantošanai, vai reģenerētu materiālus no sadedzināšanas pelniem, ar noteikumu, ka šādas darbības saskaņā ar šo pasākumu</w:t>
      </w:r>
      <w:r>
        <w:rPr>
          <w:rFonts w:ascii="Times New Roman" w:hAnsi="Times New Roman" w:cs="Times New Roman"/>
          <w:sz w:val="20"/>
          <w:szCs w:val="20"/>
        </w:rPr>
        <w:t xml:space="preserve"> nepalielina iekārtu atkritumu pārstrādes jaudu vai nepagarina iekārtu darbmūžu; par ko ir sniegti pierādījumi iekārtas līmenī.</w:t>
      </w:r>
    </w:p>
  </w:footnote>
  <w:footnote w:id="49">
    <w:p w14:paraId="41674876" w14:textId="1CAC894A" w:rsidR="00327FF1" w:rsidRDefault="00E406C7">
      <w:pPr>
        <w:spacing w:after="0"/>
        <w:jc w:val="both"/>
        <w:rPr>
          <w:rFonts w:ascii="Aptos" w:eastAsia="Aptos" w:hAnsi="Aptos" w:cs="Aptos"/>
        </w:rPr>
      </w:pPr>
      <w:r>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Šis izņēmums neattiecas uz darbībām saskaņā ar šo pasākumu esošajās mehāniski bioloģiskās apstrādes iekārtās, ja saskaņā ar šo</w:t>
      </w:r>
      <w:r>
        <w:rPr>
          <w:rFonts w:ascii="Times New Roman" w:hAnsi="Times New Roman" w:cs="Times New Roman"/>
          <w:sz w:val="20"/>
          <w:szCs w:val="20"/>
        </w:rPr>
        <w:t xml:space="preserve"> pasākumu veikto darbību mērķis ir palielināt energoefektivitāti vai modernizēt atdalīto atkritumu pārstrādes darbības, lai kompostētu bioatkritumus un bioatkritumu anaerobo noārdīšanu, ar nosacījumu, ka šādas darbības saskaņā ar šo pasākumu nepalielina ie</w:t>
      </w:r>
      <w:r>
        <w:rPr>
          <w:rFonts w:ascii="Times New Roman" w:hAnsi="Times New Roman" w:cs="Times New Roman"/>
          <w:sz w:val="20"/>
          <w:szCs w:val="20"/>
        </w:rPr>
        <w:t>kārtu atkritumu pārstrādes jaudu vai nepagarina iekārtu darbmūžu; par ko ir sniegti pierādījumi iekārtas līmenī.</w:t>
      </w:r>
      <w:r>
        <w:rPr>
          <w:rFonts w:ascii="Calibri" w:eastAsia="Calibri" w:hAnsi="Calibri" w:cs="Calibri"/>
        </w:rPr>
        <w:t> </w:t>
      </w:r>
    </w:p>
  </w:footnote>
  <w:footnote w:id="50">
    <w:p w14:paraId="59EE7A40" w14:textId="77777777" w:rsidR="00327FF1" w:rsidRDefault="00327FF1">
      <w:pPr>
        <w:pStyle w:val="FootnoteText"/>
        <w:ind w:left="0" w:firstLine="0"/>
      </w:pPr>
    </w:p>
    <w:p w14:paraId="2CD4D05A" w14:textId="0732CD84" w:rsidR="00327FF1" w:rsidRDefault="00E406C7">
      <w:pPr>
        <w:pStyle w:val="FootnoteText"/>
        <w:ind w:left="0" w:firstLine="0"/>
      </w:pPr>
      <w:r>
        <w:rPr>
          <w:rStyle w:val="FootnoteReference"/>
        </w:rPr>
        <w:footnoteRef/>
      </w:r>
      <w:r>
        <w:t xml:space="preserve"> Lai aprēķinātu ieguldījumu klimata jomā, galīgajiem saņēmējiem, kas saistīti ar konkrētiem projektiem, katram atbalstītajam projektam ir jā</w:t>
      </w:r>
      <w:r>
        <w:t>sniedz izvēlētās intervences jomas pamatojums, kā arī projekta apraksts. Lai aprēķinātu ieguldījumu klimata jomā, galasaņēmēji no pašu kapitāla, kvazikapitāla, uzņēmumu obligācijām vai līdzvērtīgiem instrumentiem, kas nav paredzēti konkrētiem projektiem, s</w:t>
      </w:r>
      <w:r>
        <w:t>niedz pamatojumu izvēlētajai(-ajām) intervences jomai(-ām). Īstenošanas partnerim ir arī jāiesniedz dalībvalstij pusgada ziņojums par katra projekta/darbības īstenošanu.</w:t>
      </w:r>
    </w:p>
  </w:footnote>
  <w:footnote w:id="51">
    <w:p w14:paraId="4EF9C993" w14:textId="77777777" w:rsidR="00327FF1" w:rsidRDefault="00E406C7">
      <w:pPr>
        <w:pStyle w:val="FootnoteText"/>
        <w:ind w:left="0" w:firstLine="0"/>
      </w:pPr>
      <w:r>
        <w:rPr>
          <w:rStyle w:val="FootnoteReference"/>
        </w:rPr>
        <w:footnoteRef/>
      </w:r>
      <w:r>
        <w:t>Izņemot a) aktīvus un darbības elektroenerģijas un/vai siltuma ražošanā, kā arī saist</w:t>
      </w:r>
      <w:r>
        <w:t>īto pārvades un sadales infrastruktūru, kurā izmanto dabasgāzi, kas atbilst Tehnisko norādījumu “nenodari būtisku kaitējumu” (2021/C58/01) III pielikumā izklāstītajiem nosacījumiem, un b) darbībām un aktīviem saskaņā ar ii) apakšpunktu, attiecībā uz kuriem</w:t>
      </w:r>
      <w:r>
        <w:t xml:space="preserve"> fosilā kurināmā izmantošana ir pagaidu un tehniski nenovēršama, lai laikus pārietu uz darbību, kas brīva no fosilā kurināmā.</w:t>
      </w:r>
    </w:p>
  </w:footnote>
  <w:footnote w:id="52">
    <w:p w14:paraId="5FB6DCE0" w14:textId="77777777" w:rsidR="00327FF1" w:rsidRDefault="00E406C7">
      <w:pPr>
        <w:pStyle w:val="FootnoteText"/>
        <w:ind w:left="0" w:firstLine="0"/>
      </w:pPr>
      <w:r>
        <w:rPr>
          <w:rStyle w:val="FootnoteReference"/>
        </w:rPr>
        <w:footnoteRef/>
      </w:r>
      <w:r>
        <w:t xml:space="preserve"> Ja atbalstītā darbība panāk tādu prognozēto siltumnīcefekta gāzu emisiju līmeni, kas nav ievērojami zemāks par attiecīgajām līme</w:t>
      </w:r>
      <w:r>
        <w:t>ņatzīmēm, būtu jāsniedz paskaidrojums par iemesliem, kāpēc tas nav iespējams. Līmeņatzīmes, kas noteiktas bezmaksas kvotu iedalei par darbībām, kuras ietilpst emisijas kvotu tirdzniecības sistēmas darbības jomā, kā noteikts Komisijas Īstenošanas regulā (ES</w:t>
      </w:r>
      <w:r>
        <w:t>) 2021/447</w:t>
      </w:r>
    </w:p>
  </w:footnote>
  <w:footnote w:id="53">
    <w:p w14:paraId="05445A5D" w14:textId="77777777" w:rsidR="00327FF1" w:rsidRDefault="00E406C7">
      <w:pPr>
        <w:pStyle w:val="FootnoteText"/>
        <w:ind w:left="0" w:firstLine="0"/>
      </w:pPr>
      <w:r>
        <w:rPr>
          <w:rStyle w:val="FootnoteReference"/>
        </w:rPr>
        <w:footnoteRef/>
      </w:r>
      <w:r>
        <w:t xml:space="preserve"> Šis izņēmums neattiecas uz darbībām saskaņā ar šo pasākumu iekārtās, kas paredzētas tikai nepārstrādājamu bīstamo atkritumu apstrādei, un esošām iekārtām, ja darbības saskaņā ar šo pasākumu ir paredzētas, lai palielinātu energoefektivitāti, uz</w:t>
      </w:r>
      <w:r>
        <w:t>tvertu dūmgāzes glabāšanai vai izmantošanai, vai reģenerētu materiālus no sadedzināšanas pelniem, ar noteikumu, ka šādas darbības saskaņā ar šo pasākumu nepalielina iekārtu atkritumu pārstrādes jaudu vai nepagarina iekārtu darbmūžu; par ko ir sniegti pierā</w:t>
      </w:r>
      <w:r>
        <w:t>dījumi iekārtas līmenī.</w:t>
      </w:r>
    </w:p>
  </w:footnote>
  <w:footnote w:id="54">
    <w:p w14:paraId="2A4B6539" w14:textId="77777777" w:rsidR="00327FF1" w:rsidRDefault="00E406C7">
      <w:pPr>
        <w:pStyle w:val="FootnoteText"/>
        <w:ind w:left="0" w:firstLine="0"/>
      </w:pPr>
      <w:r>
        <w:rPr>
          <w:rStyle w:val="FootnoteReference"/>
        </w:rPr>
        <w:footnoteRef/>
      </w:r>
      <w:r>
        <w:t xml:space="preserve"> Šis izņēmums neattiecas uz darbībām saskaņā ar šo pasākumu esošajās mehāniski bioloģiskās apstrādes iekārtās, ja saskaņā ar šo pasākumu veikto darbību mērķis ir palielināt energoefektivitāti vai modernizēt atdalīto atkritumu pārst</w:t>
      </w:r>
      <w:r>
        <w:t>rādes darbības, lai kompostētu bioatkritumus un bioatkritumu anaerobo noārdīšanu, ar nosacījumu, ka šādas darbības saskaņā ar šo pasākumu nepalielina iekārtu atkritumu pārstrādes jaudu vai nepagarina iekārtu darbmūžu; par ko ir sniegti pierādījumi iekārtas</w:t>
      </w:r>
      <w:r>
        <w:t xml:space="preserve"> līmenī. </w:t>
      </w:r>
    </w:p>
  </w:footnote>
  <w:footnote w:id="55">
    <w:p w14:paraId="2CF9F919" w14:textId="77777777" w:rsidR="00327FF1" w:rsidRDefault="00E406C7">
      <w:pPr>
        <w:pStyle w:val="FootnoteText"/>
        <w:ind w:left="0" w:firstLine="0"/>
      </w:pPr>
      <w:r>
        <w:rPr>
          <w:rStyle w:val="FootnoteReference"/>
        </w:rPr>
        <w:footnoteRef/>
      </w:r>
      <w:r>
        <w:t xml:space="preserve"> Izņemot a) aktīvus un darbības elektroenerģijas un/vai siltuma ražošanā, kā arī saistīto pārvades un sadales infrastruktūru, kurā izmanto dabasgāzi, kas atbilst Tehnisko norādījumu “nenodari būtisku kaitējumu” (2021/C58/01) III pielikumā izklās</w:t>
      </w:r>
      <w:r>
        <w:t>tītajiem nosacījumiem, un b) darbībām un aktīviem saskaņā ar ii) apakšpunktu, attiecībā uz kuriem fosilā kurināmā izmantošana ir pagaidu un tehniski nenovēršama, lai laikus pārietu uz darbību, kas brīva no fosilā kurināmā.</w:t>
      </w:r>
    </w:p>
  </w:footnote>
  <w:footnote w:id="56">
    <w:p w14:paraId="0CD610FF" w14:textId="77777777" w:rsidR="00327FF1" w:rsidRDefault="00E406C7">
      <w:pPr>
        <w:pStyle w:val="FootnoteText"/>
        <w:ind w:left="0" w:firstLine="0"/>
      </w:pPr>
      <w:r>
        <w:rPr>
          <w:rStyle w:val="FootnoteReference"/>
        </w:rPr>
        <w:footnoteRef/>
      </w:r>
      <w:r>
        <w:t xml:space="preserve"> Ja atbalstītā darbība panāk tād</w:t>
      </w:r>
      <w:r>
        <w:t>u prognozēto siltumnīcefekta gāzu emisiju līmeni, kas nav ievērojami zemāks par attiecīgajām līmeņatzīmēm, būtu jāsniedz paskaidrojums par iemesliem, kāpēc tas nav iespējams. Līmeņatzīmes, kas noteiktas bezmaksas kvotu piešķiršanai darbībām, kuras ietilpst</w:t>
      </w:r>
      <w:r>
        <w:t xml:space="preserve"> emisijas kvotu tirdzniecības sistēmas darbības jomā, kā noteikts Komisijas Īstenošanas regulā (ES) 2021/447.</w:t>
      </w:r>
    </w:p>
  </w:footnote>
  <w:footnote w:id="57">
    <w:p w14:paraId="0B56C31B" w14:textId="77777777" w:rsidR="00327FF1" w:rsidRDefault="00E406C7">
      <w:pPr>
        <w:pStyle w:val="FootnoteText"/>
        <w:ind w:left="0" w:firstLine="0"/>
      </w:pPr>
      <w:r>
        <w:rPr>
          <w:rStyle w:val="FootnoteReference"/>
        </w:rPr>
        <w:footnoteRef/>
      </w:r>
      <w:r>
        <w:t xml:space="preserve"> Šis izņēmums neattiecas uz darbībām saskaņā ar šo pasākumu iekārtās, kas paredzētas tikai nepārstrādājamu bīstamo atkritumu apstrādei, un esošām</w:t>
      </w:r>
      <w:r>
        <w:t xml:space="preserve"> iekārtām, ja darbības saskaņā ar šo pasākumu ir paredzētas, lai palielinātu energoefektivitāti, uztvertu dūmgāzes glabāšanai vai izmantošanai, vai reģenerētu materiālus no sadedzināšanas pelniem, ar noteikumu, ka šādas darbības saskaņā ar šo pasākumu nepa</w:t>
      </w:r>
      <w:r>
        <w:t>lielina iekārtu atkritumu pārstrādes jaudu vai nepagarina iekārtu darbmūžu; par ko ir sniegti pierādījumi iekārtas līmenī. </w:t>
      </w:r>
    </w:p>
  </w:footnote>
  <w:footnote w:id="58">
    <w:p w14:paraId="1A87ACB1" w14:textId="77777777" w:rsidR="00327FF1" w:rsidRDefault="00E406C7">
      <w:pPr>
        <w:pStyle w:val="FootnoteText"/>
        <w:ind w:left="0" w:firstLine="0"/>
      </w:pPr>
      <w:r>
        <w:rPr>
          <w:rStyle w:val="FootnoteReference"/>
        </w:rPr>
        <w:footnoteRef/>
      </w:r>
      <w:r>
        <w:t xml:space="preserve"> Šis izņēmums neattiecas uz darbībām saskaņā ar šo pasākumu esošajās mehāniski bioloģiskās apstrādes iekārtās, ja saskaņā ar šo pas</w:t>
      </w:r>
      <w:r>
        <w:t>ākumu veikto darbību mērķis ir palielināt energoefektivitāti vai modernizēt atdalīto atkritumu pārstrādes darbības, lai kompostētu bioatkritumus un bioatkritumu anaerobo noārdīšanu, ar nosacījumu, ka šādas darbības saskaņā ar šo pasākumu nepalielina iekārt</w:t>
      </w:r>
      <w:r>
        <w:t>u atkritumu pārstrādes jaudu vai nepagarina iekārtu darbmūžu; par ko ir sniegti pierādījumi iekārtas līmenī. </w:t>
      </w:r>
    </w:p>
  </w:footnote>
  <w:footnote w:id="59">
    <w:p w14:paraId="61F8B985" w14:textId="77777777" w:rsidR="00327FF1" w:rsidRDefault="00E406C7">
      <w:pPr>
        <w:pStyle w:val="FootnoteText"/>
        <w:ind w:left="0" w:firstLine="0"/>
      </w:pPr>
      <w:r>
        <w:rPr>
          <w:rStyle w:val="FootnoteReference"/>
        </w:rPr>
        <w:footnoteRef/>
      </w:r>
      <w:r>
        <w:t xml:space="preserve"> Lai aprēķinātu ieguldījumu klimata jomā, galīgajiem saņēmējiem, kas saistīti ar konkrētiem projektiem, katram atbalstītajam projektam ir jāsnied</w:t>
      </w:r>
      <w:r>
        <w:t>z izvēlētās intervences jomas pamatojums, kā arī projekta apraksts. Lai aprēķinātu ieguldījumu klimata jomā, galasaņēmēji no pašu kapitāla, kvazikapitāla, uzņēmumu obligācijām vai līdzvērtīgiem instrumentiem, kas nav paredzēti konkrētiem projektiem, sniedz</w:t>
      </w:r>
      <w:r>
        <w:t xml:space="preserve"> pamatojumu izvēlētajai(-ajām) intervences jomai(-ām). Īstenošanas partnerim ir arī jāiesniedz dalībvalstij pusgada ziņojums par katra projekta/darbības īstenošanu.</w:t>
      </w:r>
    </w:p>
  </w:footnote>
  <w:footnote w:id="60">
    <w:p w14:paraId="1DF21E80" w14:textId="77777777" w:rsidR="00327FF1" w:rsidRDefault="00E406C7">
      <w:pPr>
        <w:pStyle w:val="FootnoteText"/>
        <w:ind w:left="0" w:firstLine="0"/>
      </w:pPr>
      <w:r>
        <w:rPr>
          <w:rStyle w:val="FootnoteReference"/>
        </w:rPr>
        <w:footnoteRef/>
      </w:r>
      <w:r>
        <w:t xml:space="preserve"> Izņemot a) aktīvus un darbības elektroenerģijas un/vai siltuma ražošanā, kā arī saistīto </w:t>
      </w:r>
      <w:r>
        <w:t>pārvades un sadales infrastruktūru, kurā izmanto dabasgāzi, kas atbilst Tehnisko norādījumu “nenodari būtisku kaitējumu” (2021/C58/01) III pielikumā izklāstītajiem nosacījumiem, un b) darbībām un aktīviem saskaņā ar ii) apakšpunktu, attiecībā uz kuriem fos</w:t>
      </w:r>
      <w:r>
        <w:t>ilā kurināmā izmantošana ir pagaidu un tehniski nenovēršama, lai laikus pārietu uz darbību, kas brīva no fosilā kurināmā.</w:t>
      </w:r>
    </w:p>
  </w:footnote>
  <w:footnote w:id="61">
    <w:p w14:paraId="6C88DFA7" w14:textId="77777777" w:rsidR="00327FF1" w:rsidRDefault="00E406C7">
      <w:pPr>
        <w:pStyle w:val="FootnoteText"/>
        <w:ind w:left="0" w:firstLine="0"/>
      </w:pPr>
      <w:r>
        <w:rPr>
          <w:rStyle w:val="FootnoteReference"/>
        </w:rPr>
        <w:footnoteRef/>
      </w:r>
      <w:r>
        <w:t xml:space="preserve"> Ja atbalstītā darbība panāk tādu prognozēto siltumnīcefekta gāzu emisiju līmeni, kas nav ievērojami zemāks par attiecīgajām līmeņatz</w:t>
      </w:r>
      <w:r>
        <w:t>īmēm, būtu jāsniedz paskaidrojums par iemesliem, kāpēc tas nav iespējams. Līmeņatzīmes, kas noteiktas bezmaksas kvotu piešķiršanai darbībām, kuras ietilpst emisijas kvotu tirdzniecības sistēmas darbības jomā, kā noteikts Komisijas Īstenošanas regulā (ES) 2</w:t>
      </w:r>
      <w:r>
        <w:t>021/447.</w:t>
      </w:r>
    </w:p>
  </w:footnote>
  <w:footnote w:id="62">
    <w:p w14:paraId="59F8EAA0" w14:textId="77777777" w:rsidR="00327FF1" w:rsidRDefault="00E406C7">
      <w:pPr>
        <w:pStyle w:val="FootnoteText"/>
        <w:ind w:left="0" w:firstLine="0"/>
      </w:pPr>
      <w:r>
        <w:rPr>
          <w:rStyle w:val="FootnoteReference"/>
        </w:rPr>
        <w:footnoteRef/>
      </w:r>
      <w:r>
        <w:t xml:space="preserve"> Šis izņēmums neattiecas uz darbībām saskaņā ar šo pasākumu iekārtās, kas paredzētas tikai nepārstrādājamu bīstamo atkritumu apstrādei, un esošām iekārtām, ja darbības saskaņā ar šo pasākumu ir paredzētas, lai palielinātu energoefektivitāti, uztv</w:t>
      </w:r>
      <w:r>
        <w:t>ertu dūmgāzes glabāšanai vai izmantošanai, vai reģenerētu materiālus no sadedzināšanas pelniem, ar noteikumu, ka šādas darbības saskaņā ar šo pasākumu nepalielina iekārtu atkritumu pārstrādes jaudu vai nepagarina iekārtu darbmūžu; par ko ir sniegti pierādī</w:t>
      </w:r>
      <w:r>
        <w:t>jumi iekārtas līmenī.</w:t>
      </w:r>
    </w:p>
  </w:footnote>
  <w:footnote w:id="63">
    <w:p w14:paraId="3D4DD7C3" w14:textId="77777777" w:rsidR="00327FF1" w:rsidRDefault="00E406C7">
      <w:pPr>
        <w:pStyle w:val="FootnoteText"/>
        <w:ind w:left="0" w:firstLine="0"/>
      </w:pPr>
      <w:r>
        <w:rPr>
          <w:rStyle w:val="FootnoteReference"/>
        </w:rPr>
        <w:footnoteRef/>
      </w:r>
      <w:r>
        <w:t xml:space="preserve"> Šis izņēmums neattiecas uz darbībām saskaņā ar šo pasākumu esošajās mehāniski bioloģiskās apstrādes iekārtās, ja saskaņā ar šo pasākumu veikto darbību mērķis ir palielināt energoefektivitāti vai modernizēt atdalīto atkritumu pārstrādes darbības, lai kompo</w:t>
      </w:r>
      <w:r>
        <w:t>stētu bioatkritumus un bioatkritumu anaerobo noārdīšanu, ar nosacījumu, ka šādas darbības saskaņā ar šo pasākumu nepalielina iekārtu atkritumu pārstrādes jaudu vai nepagarina iekārtu darbmūžu; par ko ir sniegti pierādījumi iekārtas līmenī.</w:t>
      </w:r>
    </w:p>
  </w:footnote>
  <w:footnote w:id="64">
    <w:p w14:paraId="6E5B334C" w14:textId="77777777" w:rsidR="00327FF1" w:rsidRDefault="00E406C7">
      <w:pPr>
        <w:pStyle w:val="FootnoteText"/>
        <w:ind w:left="0" w:firstLine="0"/>
        <w:rPr>
          <w:rStyle w:val="FootnoteReference"/>
          <w:vertAlign w:val="baseline"/>
        </w:rPr>
      </w:pPr>
      <w:r>
        <w:rPr>
          <w:rStyle w:val="FootnoteReference"/>
        </w:rPr>
        <w:footnoteRef/>
      </w:r>
      <w:r>
        <w:rPr>
          <w:rStyle w:val="FootnoteReference"/>
        </w:rPr>
        <w:t xml:space="preserve"> </w:t>
      </w:r>
      <w:r>
        <w:t>Konkrētāk, mak</w:t>
      </w:r>
      <w:r>
        <w:t>simālā robežvērtība 13 % apmērā neietver segtās ieinteresētās personas maksas par rezultātiem, kas saistītas ar GTF, un visas izmaksas un pārvaldības maksas, kas saistītas ar trešo personu līdzekļiem.</w:t>
      </w:r>
    </w:p>
  </w:footnote>
  <w:footnote w:id="65">
    <w:p w14:paraId="3BCBD42F" w14:textId="77777777" w:rsidR="00327FF1" w:rsidRDefault="00E406C7">
      <w:pPr>
        <w:pStyle w:val="FootnoteText"/>
        <w:ind w:left="0" w:firstLine="0"/>
        <w:rPr>
          <w:rStyle w:val="FootnoteReference"/>
        </w:rPr>
      </w:pPr>
      <w:r>
        <w:rPr>
          <w:rStyle w:val="FootnoteReference"/>
        </w:rPr>
        <w:footnoteRef/>
      </w:r>
      <w:r>
        <w:rPr>
          <w:rStyle w:val="FootnoteReference"/>
        </w:rPr>
        <w:t xml:space="preserve"> </w:t>
      </w:r>
      <w:r>
        <w:rPr>
          <w:rStyle w:val="FootnoteReference"/>
          <w:vertAlign w:val="baseline"/>
        </w:rPr>
        <w:t>Jo īpaši tiešo ieguldījumu gadījumā GTF darbojas, sni</w:t>
      </w:r>
      <w:r>
        <w:rPr>
          <w:rStyle w:val="FootnoteReference"/>
          <w:vertAlign w:val="baseline"/>
        </w:rPr>
        <w:t>edzot pašu kapitāla vai kvazikapitāla atbalstu; netiešo ieguldījumu gadījumā GTF darbojas, finansējot trešo personu fondus, kas darbojas, nodrošinot vismaz vienu no turpmāk minētajiem: pašu kapitāla vai kvazikapitāla, vai parāda, vai kvaziparāda instrument</w:t>
      </w:r>
      <w:r>
        <w:rPr>
          <w:rStyle w:val="FootnoteReference"/>
          <w:vertAlign w:val="baseline"/>
        </w:rPr>
        <w:t>i.</w:t>
      </w:r>
    </w:p>
  </w:footnote>
  <w:footnote w:id="66">
    <w:p w14:paraId="1597E65E" w14:textId="77777777" w:rsidR="00327FF1" w:rsidRDefault="00E406C7">
      <w:pPr>
        <w:pStyle w:val="FootnoteText"/>
        <w:ind w:left="0" w:firstLine="0"/>
        <w:rPr>
          <w:rStyle w:val="FootnoteReference"/>
        </w:rPr>
      </w:pPr>
      <w:r>
        <w:rPr>
          <w:rStyle w:val="FootnoteReference"/>
        </w:rPr>
        <w:footnoteRef/>
      </w:r>
      <w:r>
        <w:rPr>
          <w:rStyle w:val="FootnoteReference"/>
        </w:rPr>
        <w:t xml:space="preserve"> </w:t>
      </w:r>
      <w:r>
        <w:rPr>
          <w:rStyle w:val="FootnoteReference"/>
          <w:vertAlign w:val="baseline"/>
        </w:rPr>
        <w:t>Tiek uzskatīts, ka galīgais saņēmējs “būtiski koncentrējas” uz nozari vai uzņēmējdarbību, ja ir konstatēts, ka šāda nozare vai darbība ir būtiska galīgā saņēmēja uzņēmējdarbības daļa attiecīgi attiecībā uz galīgā saņēmēja bruto ieņēmumiem, peļņu vai k</w:t>
      </w:r>
      <w:r>
        <w:rPr>
          <w:rStyle w:val="FootnoteReference"/>
          <w:vertAlign w:val="baseline"/>
        </w:rPr>
        <w:t>lientu bāzi. Bruto ieņēmumi no ierobežotās nozares vai darbības nekādā gadījumā nepārsniedz 50 % no bruto ieņēmumiem.</w:t>
      </w:r>
    </w:p>
  </w:footnote>
  <w:footnote w:id="67">
    <w:p w14:paraId="7F6D6F13" w14:textId="77777777" w:rsidR="00327FF1" w:rsidRDefault="00E406C7">
      <w:pPr>
        <w:pStyle w:val="FootnoteText"/>
        <w:ind w:left="0" w:firstLine="0"/>
        <w:rPr>
          <w:rStyle w:val="FootnoteReference"/>
        </w:rPr>
      </w:pPr>
      <w:r>
        <w:rPr>
          <w:rStyle w:val="FootnoteReference"/>
        </w:rPr>
        <w:footnoteRef/>
      </w:r>
      <w:r>
        <w:rPr>
          <w:rStyle w:val="FootnoteReference"/>
        </w:rPr>
        <w:t xml:space="preserve"> </w:t>
      </w:r>
      <w:r>
        <w:t>Izņemot a) aktīvus un darbības elektroenerģijas un/vai siltuma ražošanā, kā arī saistīto pārvades un sadales infrastruktūru, kurā izmant</w:t>
      </w:r>
      <w:r>
        <w:t>o dabasgāzi, kas atbilst Tehnisko norādījumu “nenodari būtisku kaitējumu” (2021/C58/01) III pielikumā izklāstītajiem nosacījumiem, un b) darbībām un aktīviem saskaņā ar ii) apakšpunktu, attiecībā uz kuriem fosilā kurināmā izmantošana ir pagaidu un tehniski</w:t>
      </w:r>
      <w:r>
        <w:t xml:space="preserve"> nenovēršama, lai laikus pārietu uz darbību, kas brīva no fosilā kurināmā.</w:t>
      </w:r>
    </w:p>
  </w:footnote>
  <w:footnote w:id="68">
    <w:p w14:paraId="244B1E52" w14:textId="77777777" w:rsidR="00327FF1" w:rsidRDefault="00E406C7">
      <w:pPr>
        <w:pStyle w:val="FootnoteText"/>
        <w:ind w:left="0" w:firstLine="0"/>
        <w:rPr>
          <w:rStyle w:val="FootnoteReference"/>
        </w:rPr>
      </w:pPr>
      <w:r>
        <w:rPr>
          <w:rStyle w:val="FootnoteReference"/>
        </w:rPr>
        <w:footnoteRef/>
      </w:r>
      <w:r>
        <w:rPr>
          <w:rStyle w:val="FootnoteReference"/>
        </w:rPr>
        <w:t xml:space="preserve"> </w:t>
      </w:r>
      <w:r>
        <w:rPr>
          <w:rFonts w:eastAsia="EC Square Sans Pro"/>
        </w:rPr>
        <w:t>Ietverot darbības un aktīvus saskaņā ar ES emisijas kvotu tirdzniecības sistēmu (ETS), sasniedzot prognozētās siltumnīcefekta gāzu emisijas, kas nav zemākas par attiecīgajām līmeņ</w:t>
      </w:r>
      <w:r>
        <w:rPr>
          <w:rFonts w:eastAsia="EC Square Sans Pro"/>
        </w:rPr>
        <w:t>atzīmēm. Ja atbalstītā darbība panāk tādu prognozēto siltumnīcefekta gāzu emisiju līmeni, kas nav ievērojami zemāks par attiecīgajām līmeņatzīmēm, būtu jāsniedz paskaidrojums par iemesliem, kāpēc tas nav iespējams. Līmeņatzīmes, kas noteiktas bezmaksas kvo</w:t>
      </w:r>
      <w:r>
        <w:rPr>
          <w:rFonts w:eastAsia="EC Square Sans Pro"/>
        </w:rPr>
        <w:t>tu piešķiršanai darbībām, kuras ietilpst emisijas kvotu tirdzniecības sistēmas darbības jomā, kā noteikts Komisijas Īstenošanas regulā (ES) 2021/447.</w:t>
      </w:r>
    </w:p>
  </w:footnote>
  <w:footnote w:id="69">
    <w:p w14:paraId="70D6F159" w14:textId="77777777" w:rsidR="00327FF1" w:rsidRDefault="00E406C7">
      <w:pPr>
        <w:pStyle w:val="FootnoteText"/>
        <w:ind w:left="0" w:firstLine="0"/>
        <w:rPr>
          <w:rStyle w:val="FootnoteReference"/>
        </w:rPr>
      </w:pPr>
      <w:r>
        <w:rPr>
          <w:rStyle w:val="FootnoteReference"/>
        </w:rPr>
        <w:footnoteRef/>
      </w:r>
      <w:r>
        <w:rPr>
          <w:rStyle w:val="FootnoteReference"/>
        </w:rPr>
        <w:t xml:space="preserve"> </w:t>
      </w:r>
      <w:r>
        <w:rPr>
          <w:rFonts w:eastAsia="EC Square Sans Pro"/>
        </w:rPr>
        <w:t>Piesārņojošus transportlīdzekļus definē kā transportlīdzekļus, kas nav bezemisiju transportlīdzekļi.</w:t>
      </w:r>
    </w:p>
  </w:footnote>
  <w:footnote w:id="70">
    <w:p w14:paraId="00F5E111" w14:textId="77777777" w:rsidR="00327FF1" w:rsidRDefault="00E406C7">
      <w:pPr>
        <w:pStyle w:val="FootnoteText"/>
        <w:ind w:left="0" w:firstLine="0"/>
      </w:pPr>
      <w:r>
        <w:rPr>
          <w:rStyle w:val="FootnoteReference"/>
        </w:rPr>
        <w:footnoteRef/>
      </w:r>
      <w:r>
        <w:rPr>
          <w:rStyle w:val="FootnoteReference"/>
        </w:rPr>
        <w:t xml:space="preserve"> </w:t>
      </w:r>
      <w:r>
        <w:rPr>
          <w:rFonts w:eastAsia="EC Square Sans Pro"/>
        </w:rPr>
        <w:t>Š</w:t>
      </w:r>
      <w:r>
        <w:rPr>
          <w:rFonts w:eastAsia="EC Square Sans Pro"/>
        </w:rPr>
        <w:t>is izņēmums neattiecas uz darbībām iekārtās, kas paredzētas tikai nepārstrādājamu bīstamo atkritumu apstrādei, un uz esošām iekārtām, ja darbības saskaņā ar šo pasākumu ir paredzētas, lai palielinātu energoefektivitāti, uztvertu izplūdes gāzes uzglabāšanai</w:t>
      </w:r>
      <w:r>
        <w:rPr>
          <w:rFonts w:eastAsia="EC Square Sans Pro"/>
        </w:rPr>
        <w:t xml:space="preserve"> vai izmantošanai vai reģenerētu materiālus no sadedzināšanas pelniem, ar noteikumu, ka šādas darbības saskaņā ar šo pasākumu nepalielina iekārtu atkritumu pārstrādes jaudu vai nepagarina iekārtu darbmūžu; par ko ir sniegti pierādījumi iekārtas līmenī.</w:t>
      </w:r>
    </w:p>
  </w:footnote>
  <w:footnote w:id="71">
    <w:p w14:paraId="57F8253E" w14:textId="77777777" w:rsidR="00327FF1" w:rsidRDefault="00E406C7">
      <w:pPr>
        <w:pStyle w:val="FootnoteText"/>
        <w:ind w:left="0" w:firstLine="0"/>
      </w:pPr>
      <w:r>
        <w:rPr>
          <w:rStyle w:val="FootnoteReference"/>
          <w:rFonts w:eastAsiaTheme="majorEastAsia"/>
        </w:rPr>
        <w:footnoteRef/>
      </w:r>
      <w:r>
        <w:t xml:space="preserve"> I</w:t>
      </w:r>
      <w:r>
        <w:t>zņemot a) aktīvus un darbības elektroenerģijas un/vai siltuma ražošanas jomā, kā arī saistīto pārvades un sadales infrastruktūru, izmantojot dabasgāzi, kas atbilst nosacījumiem, kuri izklāstīti Tehnisko norādījumu “nenodari būtisku kaitējumu” (2021/C58/01)</w:t>
      </w:r>
      <w:r>
        <w:t xml:space="preserve"> III pielikumā.</w:t>
      </w:r>
    </w:p>
  </w:footnote>
  <w:footnote w:id="72">
    <w:p w14:paraId="5666D2DB" w14:textId="6E0FC9E3" w:rsidR="00327FF1" w:rsidRDefault="00E406C7">
      <w:pPr>
        <w:pStyle w:val="FootnoteText"/>
        <w:ind w:left="0" w:firstLine="0"/>
      </w:pPr>
      <w:r>
        <w:rPr>
          <w:rStyle w:val="FootnoteReference"/>
        </w:rPr>
        <w:footnoteRef/>
      </w:r>
      <w:r>
        <w:t xml:space="preserve"> Lai aprēķinātu ieguldījumu klimata jomā, galīgajiem saņēmējiem, kas saistīti ar konkrētiem projektiem, katram atbalstītajam projektam ir jāsniedz izvēlētās intervences jomas pamatojums, kā arī projekta apraksts. Lai aprēķinātu ieguldījumu</w:t>
      </w:r>
      <w:r>
        <w:t xml:space="preserve"> klimata jomā, galasaņēmēji no pašu kapitāla, kvazikapitāla, uzņēmumu obligācijām vai līdzvērtīgiem instrumentiem, kas nav paredzēti konkrētiem projektiem, neņem vērā pamatojumu izvēlētajai(-ajām) intervences jomai(-ām). Īstenošanas partnerim ir arī jāiesn</w:t>
      </w:r>
      <w:r>
        <w:t>iedz dalībvalstij pusgada ziņojums par katra projekta/darbības īstenošanu.</w:t>
      </w:r>
    </w:p>
  </w:footnote>
  <w:footnote w:id="73">
    <w:p w14:paraId="2D53AB2B" w14:textId="77777777" w:rsidR="00327FF1" w:rsidRDefault="00E406C7">
      <w:pPr>
        <w:pStyle w:val="FootnoteText"/>
        <w:ind w:left="0" w:firstLine="0"/>
      </w:pPr>
      <w:r>
        <w:rPr>
          <w:rStyle w:val="FootnoteReference"/>
          <w:rFonts w:eastAsiaTheme="majorEastAsia"/>
        </w:rPr>
        <w:footnoteRef/>
      </w:r>
      <w:r>
        <w:t xml:space="preserve"> Izņemot a) aktīvus un darbības elektroenerģijas un/vai siltuma ražošanā, kā arī saistīto pārvades un sadales infrastruktūru, kurā izmanto dabasgāzi, kas atbilst Tehnisko norādījum</w:t>
      </w:r>
      <w:r>
        <w:t>u “nenodari būtisku kaitējumu” (2021/C58/01) III pielikumā izklāstītajiem nosacījumiem, un b) darbībām un aktīviem saskaņā ar ii) apakšpunktu, attiecībā uz kuriem fosilā kurināmā izmantošana ir pagaidu un tehniski nenovēršama, lai laikus pārietu uz darbību</w:t>
      </w:r>
      <w:r>
        <w:t>, kas brīva no fosilā kurināmā.</w:t>
      </w:r>
    </w:p>
  </w:footnote>
  <w:footnote w:id="74">
    <w:p w14:paraId="7DDA649D" w14:textId="77777777" w:rsidR="00327FF1" w:rsidRDefault="00E406C7">
      <w:pPr>
        <w:pStyle w:val="FootnoteText"/>
        <w:ind w:left="0" w:firstLine="0"/>
        <w:rPr>
          <w:rFonts w:eastAsia="EC Square Sans Pro"/>
        </w:rPr>
      </w:pPr>
      <w:r>
        <w:rPr>
          <w:rStyle w:val="FootnoteReference"/>
          <w:rFonts w:eastAsiaTheme="majorEastAsia"/>
        </w:rPr>
        <w:footnoteRef/>
      </w:r>
      <w:r>
        <w:t xml:space="preserve"> </w:t>
      </w:r>
      <w:r>
        <w:rPr>
          <w:rFonts w:eastAsia="EC Square Sans Pro"/>
        </w:rPr>
        <w:t>Ja atbalstītā darbība panāk tādu prognozēto siltumnīcefekta gāzu emisiju līmeni, kas nav ievērojami zemāks par attiecīgajām līmeņatzīmēm, būtu jāsniedz paskaidrojums par iemesliem, kāpēc tas nav iespējams. Līmeņatzīmes, ka</w:t>
      </w:r>
      <w:r>
        <w:rPr>
          <w:rFonts w:eastAsia="EC Square Sans Pro"/>
        </w:rPr>
        <w:t xml:space="preserve">s noteiktas bezmaksas kvotu piešķiršanai darbībām, kuras ietilpst emisijas kvotu tirdzniecības sistēmas darbības jomā, kā noteikts Komisijas Īstenošanas regulā (ES) 2021/447. </w:t>
      </w:r>
    </w:p>
  </w:footnote>
  <w:footnote w:id="75">
    <w:p w14:paraId="3E52CCA0" w14:textId="77777777" w:rsidR="00327FF1" w:rsidRDefault="00E406C7">
      <w:pPr>
        <w:pStyle w:val="FootnoteText"/>
        <w:ind w:left="0" w:firstLine="0"/>
      </w:pPr>
      <w:r>
        <w:rPr>
          <w:rStyle w:val="FootnoteReference"/>
          <w:rFonts w:eastAsiaTheme="majorEastAsia"/>
        </w:rPr>
        <w:footnoteRef/>
      </w:r>
      <w:r>
        <w:t xml:space="preserve"> Šis izņēmums neattiecas uz darbībām saskaņā ar šo pasākumu iekārtās, kas pared</w:t>
      </w:r>
      <w:r>
        <w:t>zētas tikai nepārstrādājamu bīstamo atkritumu apstrādei, un esošām iekārtām, ja darbības saskaņā ar šo pasākumu ir paredzētas, lai palielinātu energoefektivitāti, uztvertu dūmgāzes glabāšanai vai izmantošanai, vai reģenerētu materiālus no sadedzināšanas pe</w:t>
      </w:r>
      <w:r>
        <w:t>lniem, ar noteikumu, ka šādas darbības saskaņā ar šo pasākumu nepalielina iekārtu atkritumu pārstrādes jaudu vai nepagarina iekārtu darbmūžu; par ko ir sniegti pierādījumi iekārtas līmenī. </w:t>
      </w:r>
    </w:p>
  </w:footnote>
  <w:footnote w:id="76">
    <w:p w14:paraId="0980FE0E" w14:textId="77777777" w:rsidR="00327FF1" w:rsidRDefault="00E406C7">
      <w:pPr>
        <w:pStyle w:val="FootnoteText"/>
        <w:ind w:left="0" w:firstLine="0"/>
      </w:pPr>
      <w:r>
        <w:rPr>
          <w:rStyle w:val="FootnoteReference"/>
          <w:rFonts w:eastAsiaTheme="majorEastAsia"/>
        </w:rPr>
        <w:footnoteRef/>
      </w:r>
      <w:r>
        <w:t xml:space="preserve"> Šis izņēmums neattiecas uz darbībām saskaņā ar šo pasākumu esoša</w:t>
      </w:r>
      <w:r>
        <w:t>jās mehāniski bioloģiskās apstrādes iekārtās, ja saskaņā ar šo pasākumu veikto darbību mērķis ir palielināt energoefektivitāti vai modernizēt atdalīto atkritumu pārstrādes darbības, lai kompostētu bioatkritumus un bioatkritumu anaerobo noārdīšanu, ar nosac</w:t>
      </w:r>
      <w:r>
        <w:t>ījumu, ka šādas darbības saskaņā ar šo pasākumu nepalielina iekārtu atkritumu pārstrādes jaudu vai nepagarina iekārtu darbmūžu; par ko ir sniegti pierādījumi iekārtas līmenī. </w:t>
      </w:r>
    </w:p>
  </w:footnote>
  <w:footnote w:id="77">
    <w:p w14:paraId="5F40F9FE" w14:textId="57637972" w:rsidR="00327FF1" w:rsidRDefault="00E406C7">
      <w:pPr>
        <w:pStyle w:val="FootnoteText"/>
        <w:ind w:left="0" w:firstLine="0"/>
        <w:jc w:val="left"/>
      </w:pPr>
      <w:r>
        <w:rPr>
          <w:rStyle w:val="FootnoteReference"/>
        </w:rPr>
        <w:footnoteRef/>
      </w:r>
      <w:r>
        <w:t xml:space="preserve"> Izņemot a) aktīvus un darbības elektroenerģijas un/vai siltuma ražošanā, kā ar</w:t>
      </w:r>
      <w:r>
        <w:t>ī saistīto pārvades un sadales infrastruktūru, kurā izmanto dabasgāzi, kas atbilst Tehnisko norādījumu “nenodari būtisku kaitējumu” (2021/C58/01) III pielikumā izklāstītajiem nosacījumiem, un b) darbībām un aktīviem saskaņā ar ii) apakšpunktu, attiecībā uz</w:t>
      </w:r>
      <w:r>
        <w:t xml:space="preserve"> kuriem fosilā kurināmā izmantošana ir pagaidu un tehniski nenovēršama, lai laikus pārietu uz darbību, kas brīva no fosilā kurināmā.</w:t>
      </w:r>
    </w:p>
  </w:footnote>
  <w:footnote w:id="78">
    <w:p w14:paraId="5F67219E" w14:textId="2FDE4722" w:rsidR="00327FF1" w:rsidRDefault="00E406C7">
      <w:pPr>
        <w:pStyle w:val="FootnoteText"/>
        <w:ind w:left="0" w:firstLine="0"/>
      </w:pPr>
      <w:r>
        <w:rPr>
          <w:rStyle w:val="FootnoteReference"/>
        </w:rPr>
        <w:footnoteRef/>
      </w:r>
      <w:r>
        <w:t xml:space="preserve"> Ja atbalstītā darbība panāk tādu prognozēto siltumnīcefekta gāzu emisiju līmeni, kas nav ievērojami zemāks par attiecīgaj</w:t>
      </w:r>
      <w:r>
        <w:t>ām līmeņatzīmēm, būtu jāsniedz paskaidrojums par iemesliem, kāpēc tas nav iespējams. Līmeņatzīmes, kas noteiktas bezmaksas kvotu piešķiršanai darbībām, kuras ietilpst emisijas kvotu tirdzniecības sistēmas darbības jomā, kā noteikts Komisijas Īstenošanas re</w:t>
      </w:r>
      <w:r>
        <w:t>gulā (ES) 2021/447. </w:t>
      </w:r>
    </w:p>
  </w:footnote>
  <w:footnote w:id="79">
    <w:p w14:paraId="12729B67" w14:textId="53775914" w:rsidR="00327FF1" w:rsidRDefault="00E406C7">
      <w:pPr>
        <w:pStyle w:val="FootnoteText"/>
        <w:ind w:left="0" w:firstLine="0"/>
      </w:pPr>
      <w:r>
        <w:rPr>
          <w:rStyle w:val="FootnoteReference"/>
        </w:rPr>
        <w:footnoteRef/>
      </w:r>
      <w:r>
        <w:t xml:space="preserve"> Šis izņēmums neattiecas uz darbībām saskaņā ar šo pasākumu iekārtās, kas paredzētas tikai nepārstrādājamu bīstamo atkritumu apstrādei, un esošām iekārtām, ja darbības saskaņā ar šo pasākumu ir paredzētas, lai palielinātu energoefekti</w:t>
      </w:r>
      <w:r>
        <w:t>vitāti, uztvertu dūmgāzes glabāšanai vai izmantošanai, vai reģenerētu materiālus no sadedzināšanas pelniem, ar noteikumu, ka šādas darbības saskaņā ar šo pasākumu nepalielina iekārtu atkritumu pārstrādes jaudu vai nepagarina iekārtu darbmūžu; par ko ir sni</w:t>
      </w:r>
      <w:r>
        <w:t>egti pierādījumi iekārtas līmenī.</w:t>
      </w:r>
    </w:p>
  </w:footnote>
  <w:footnote w:id="80">
    <w:p w14:paraId="4AD2B9CE" w14:textId="64187F07" w:rsidR="00327FF1" w:rsidRDefault="00E406C7">
      <w:pPr>
        <w:pStyle w:val="FootnoteText"/>
        <w:ind w:left="0" w:firstLine="0"/>
      </w:pPr>
      <w:r>
        <w:rPr>
          <w:rStyle w:val="FootnoteReference"/>
        </w:rPr>
        <w:footnoteRef/>
      </w:r>
      <w:r>
        <w:t xml:space="preserve"> Šis izņēmums neattiecas uz darbībām saskaņā ar šo pasākumu esošajās mehāniski bioloģiskās apstrādes iekārtās, ja saskaņā ar šo pasākumu veikto darbību mērķis ir palielināt energoefektivitāti vai modernizēt atdalīto atkri</w:t>
      </w:r>
      <w:r>
        <w:t>tumu pārstrādes darbības, lai kompostētu bioatkritumus un bioatkritumu anaerobo noārdīšanu, ar nosacījumu, ka šādas darbības saskaņā ar šo pasākumu nepalielina iekārtu atkritumu pārstrādes jaudu vai nepagarina iekārtu darbmūžu; par ko ir sniegti pierādījum</w:t>
      </w:r>
      <w:r>
        <w:t>i iekārtas līmenī.</w:t>
      </w:r>
    </w:p>
  </w:footnote>
  <w:footnote w:id="81">
    <w:p w14:paraId="4733E3CB" w14:textId="77777777" w:rsidR="00327FF1" w:rsidRDefault="00E406C7">
      <w:pPr>
        <w:pStyle w:val="FootnoteText"/>
        <w:ind w:left="0" w:firstLine="0"/>
      </w:pPr>
      <w:r>
        <w:rPr>
          <w:rStyle w:val="FootnoteReference"/>
        </w:rPr>
        <w:footnoteRef/>
      </w:r>
      <w:r>
        <w:t xml:space="preserve"> Darba pakete ir daļa no projekta darbu sadalījuma, piemēram: pirms investīciju, prasmju un apmācības, projektu vadības un koordinācijas pārbaudījumiem. Tā ir projekta darba grupa, kas aprakstīta aktivitātēs un uzdevumos. Darba paketēs </w:t>
      </w:r>
      <w:r>
        <w:t xml:space="preserve">norāda skaidru un loģisku saikni ar projekta mērķiem un citām darba paketēm. Katra darba pakete ir projekta apakšdaļa, kas ir solis, lai sasniegtu projekta vispārējos mērķus. </w:t>
      </w:r>
    </w:p>
  </w:footnote>
  <w:footnote w:id="82">
    <w:p w14:paraId="2CB6BA0A" w14:textId="77777777" w:rsidR="00327FF1" w:rsidRDefault="00E406C7">
      <w:pPr>
        <w:pStyle w:val="FootnoteText"/>
      </w:pPr>
      <w:r>
        <w:rPr>
          <w:rStyle w:val="FootnoteReference"/>
          <w:rFonts w:eastAsiaTheme="majorEastAsia"/>
        </w:rPr>
        <w:footnoteRef/>
      </w:r>
      <w:r>
        <w:t xml:space="preserve"> Proti, maksimālā robežvērtība 13 % apmērā neietver ar DTF saistītās maksas par</w:t>
      </w:r>
      <w:r>
        <w:t xml:space="preserve"> darbības rezultātiem, kas saistītas ar DTF, un</w:t>
      </w:r>
    </w:p>
    <w:p w14:paraId="790BDC8F" w14:textId="77777777" w:rsidR="00327FF1" w:rsidRDefault="00E406C7">
      <w:pPr>
        <w:pStyle w:val="FootnoteText"/>
      </w:pPr>
      <w:r>
        <w:t>visas izmaksas un pārvaldības maksas, kas saistītas ar netiešajiem ieguldījumiem/trešo personu fondiem.</w:t>
      </w:r>
    </w:p>
  </w:footnote>
  <w:footnote w:id="83">
    <w:p w14:paraId="57194C5D" w14:textId="77777777" w:rsidR="00327FF1" w:rsidRDefault="00E406C7">
      <w:pPr>
        <w:pStyle w:val="FootnoteText"/>
        <w:ind w:left="0" w:firstLine="0"/>
        <w:rPr>
          <w:rStyle w:val="FootnoteReference"/>
          <w:vertAlign w:val="baseline"/>
        </w:rPr>
      </w:pPr>
      <w:r>
        <w:rPr>
          <w:rStyle w:val="FootnoteReference"/>
        </w:rPr>
        <w:footnoteRef/>
      </w:r>
      <w:r>
        <w:rPr>
          <w:rStyle w:val="FootnoteReference"/>
        </w:rPr>
        <w:t xml:space="preserve"> </w:t>
      </w:r>
      <w:r>
        <w:rPr>
          <w:rStyle w:val="FootnoteReference"/>
          <w:vertAlign w:val="baseline"/>
        </w:rPr>
        <w:t>Jo īpaši tiešo ieguldījumu gadījumā DTF darbojas, sniedzot pašu kapitāla vai kvazikapitāla atbalstu;</w:t>
      </w:r>
    </w:p>
    <w:p w14:paraId="009373B7" w14:textId="77777777" w:rsidR="00327FF1" w:rsidRDefault="00E406C7">
      <w:pPr>
        <w:pStyle w:val="FootnoteText"/>
        <w:ind w:left="0" w:firstLine="0"/>
        <w:rPr>
          <w:rStyle w:val="FootnoteReference"/>
        </w:rPr>
      </w:pPr>
      <w:r>
        <w:rPr>
          <w:rStyle w:val="FootnoteReference"/>
          <w:vertAlign w:val="baseline"/>
        </w:rPr>
        <w:t>n</w:t>
      </w:r>
      <w:r>
        <w:rPr>
          <w:rStyle w:val="FootnoteReference"/>
          <w:vertAlign w:val="baseline"/>
        </w:rPr>
        <w:t>etiešu ieguldījumu gadījumā DTF darbojas, finansējot trešo personu fondus, kas darbojas, nodrošinot vismaz vienu no šādām darbībām: pašu kapitāla vai kvazikapitāla, vai parāda, vai kvaziparāda instrumenti.</w:t>
      </w:r>
    </w:p>
  </w:footnote>
  <w:footnote w:id="84">
    <w:p w14:paraId="33CAE47C" w14:textId="77777777" w:rsidR="00327FF1" w:rsidRDefault="00E406C7">
      <w:pPr>
        <w:spacing w:after="0" w:line="240" w:lineRule="auto"/>
        <w:jc w:val="both"/>
        <w:rPr>
          <w:rFonts w:ascii="Times New Roman" w:eastAsia="Times New Roman" w:hAnsi="Times New Roman" w:cs="Times New Roman"/>
        </w:rPr>
      </w:pPr>
      <w:r>
        <w:rPr>
          <w:rStyle w:val="FootnoteReference"/>
          <w:sz w:val="20"/>
          <w:szCs w:val="20"/>
        </w:rPr>
        <w:footnoteRef/>
      </w:r>
      <w:r>
        <w:rPr>
          <w:rStyle w:val="FootnoteReference"/>
          <w:sz w:val="20"/>
          <w:szCs w:val="20"/>
        </w:rPr>
        <w:t xml:space="preserve"> </w:t>
      </w:r>
      <w:r>
        <w:rPr>
          <w:rStyle w:val="FootnoteReference"/>
          <w:rFonts w:ascii="Times New Roman" w:hAnsi="Times New Roman" w:cs="Times New Roman"/>
          <w:sz w:val="20"/>
          <w:szCs w:val="20"/>
          <w:vertAlign w:val="baseline"/>
        </w:rPr>
        <w:t xml:space="preserve">Tiek uzskatīts, ka galīgais saņēmējs “būtiski </w:t>
      </w:r>
      <w:r>
        <w:rPr>
          <w:rStyle w:val="FootnoteReference"/>
          <w:rFonts w:ascii="Times New Roman" w:hAnsi="Times New Roman" w:cs="Times New Roman"/>
          <w:sz w:val="20"/>
          <w:szCs w:val="20"/>
          <w:vertAlign w:val="baseline"/>
        </w:rPr>
        <w:t xml:space="preserve">koncentrējas” uz nozari vai uzņēmējdarbību, ja ir konstatēts, ka šāda nozare vai darbība ir būtiska galīgā saņēmēja uzņēmējdarbības daļa attiecīgi attiecībā uz galīgā saņēmēja bruto ieņēmumiem, peļņu vai klientu bāzi. Bruto ieņēmumi no ierobežotās nozares </w:t>
      </w:r>
      <w:r>
        <w:rPr>
          <w:rStyle w:val="FootnoteReference"/>
          <w:rFonts w:ascii="Times New Roman" w:hAnsi="Times New Roman" w:cs="Times New Roman"/>
          <w:sz w:val="20"/>
          <w:szCs w:val="20"/>
          <w:vertAlign w:val="baseline"/>
        </w:rPr>
        <w:t>vai darbības nekādā gadījumā nepārsniedz 50 % no bruto ieņēmumiem.</w:t>
      </w:r>
    </w:p>
  </w:footnote>
  <w:footnote w:id="85">
    <w:p w14:paraId="09AC3AF3" w14:textId="77777777" w:rsidR="00327FF1" w:rsidRDefault="00E406C7">
      <w:pPr>
        <w:spacing w:after="0" w:line="240" w:lineRule="auto"/>
        <w:jc w:val="both"/>
        <w:rPr>
          <w:rFonts w:ascii="Times New Roman" w:eastAsia="Times New Roman" w:hAnsi="Times New Roman" w:cs="Times New Roman"/>
          <w:sz w:val="20"/>
          <w:szCs w:val="20"/>
        </w:rPr>
      </w:pPr>
      <w:r>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Izņemot a) aktīvus un darbības elektroenerģijas un/vai siltuma ražošanas jomā, kā arī saistīto pārvades un sadales infrastruktūru, kurā izmanto dabasgāzi, kas atbilst</w:t>
      </w:r>
      <w:r>
        <w:rPr>
          <w:rFonts w:ascii="Times New Roman" w:eastAsia="Times New Roman" w:hAnsi="Times New Roman" w:cs="Times New Roman"/>
          <w:sz w:val="20"/>
          <w:szCs w:val="20"/>
        </w:rPr>
        <w:t>Tehnisko norādījumu “</w:t>
      </w:r>
      <w:r>
        <w:rPr>
          <w:rFonts w:ascii="Times New Roman" w:eastAsia="Times New Roman" w:hAnsi="Times New Roman" w:cs="Times New Roman"/>
          <w:i/>
          <w:sz w:val="20"/>
          <w:szCs w:val="20"/>
        </w:rPr>
        <w:t>nenodarīt būtisku kaitējumu</w:t>
      </w:r>
      <w:r>
        <w:rPr>
          <w:rFonts w:ascii="Times New Roman" w:eastAsia="Times New Roman" w:hAnsi="Times New Roman" w:cs="Times New Roman"/>
          <w:sz w:val="20"/>
          <w:szCs w:val="20"/>
        </w:rPr>
        <w:t>” (2021/C58/01) III pielikumā izklāstītajiem nosacījumiem, un b) darbības un aktīvus saskaņā ar ii) punktu, attiecībā uz kuriem fosilā kurināmā izmantošana ir īslaicīga un tehniski nenovēršama savlaicīgai pārejai uz ekspluatāciju</w:t>
      </w:r>
      <w:r>
        <w:rPr>
          <w:rFonts w:ascii="Times New Roman" w:eastAsia="Times New Roman" w:hAnsi="Times New Roman" w:cs="Times New Roman"/>
          <w:sz w:val="20"/>
          <w:szCs w:val="20"/>
        </w:rPr>
        <w:t xml:space="preserve"> bez fosilā kurināmā.</w:t>
      </w:r>
    </w:p>
  </w:footnote>
  <w:footnote w:id="86">
    <w:p w14:paraId="2F5E2959" w14:textId="77777777" w:rsidR="00327FF1" w:rsidRDefault="00E406C7">
      <w:pPr>
        <w:spacing w:after="0" w:line="240" w:lineRule="auto"/>
        <w:jc w:val="both"/>
        <w:rPr>
          <w:rStyle w:val="FootnoteReference"/>
          <w:rFonts w:ascii="Times New Roman" w:hAnsi="Times New Roman" w:cs="Times New Roman"/>
          <w:sz w:val="20"/>
          <w:szCs w:val="20"/>
          <w:vertAlign w:val="baseline"/>
        </w:rPr>
      </w:pPr>
      <w:r>
        <w:rPr>
          <w:rStyle w:val="FootnoteReference"/>
          <w:rFonts w:ascii="Times New Roman" w:hAnsi="Times New Roman" w:cs="Times New Roman"/>
          <w:sz w:val="20"/>
          <w:szCs w:val="20"/>
        </w:rPr>
        <w:footnoteRef/>
      </w:r>
      <w:r>
        <w:rPr>
          <w:rStyle w:val="FootnoteReference"/>
          <w:rFonts w:ascii="Times New Roman" w:hAnsi="Times New Roman" w:cs="Times New Roman"/>
          <w:sz w:val="20"/>
          <w:szCs w:val="20"/>
        </w:rPr>
        <w:t xml:space="preserve"> </w:t>
      </w:r>
      <w:r>
        <w:rPr>
          <w:rStyle w:val="FootnoteReference"/>
          <w:rFonts w:ascii="Times New Roman" w:hAnsi="Times New Roman" w:cs="Times New Roman"/>
          <w:sz w:val="20"/>
          <w:szCs w:val="20"/>
          <w:vertAlign w:val="baseline"/>
        </w:rPr>
        <w:t>Ietverot darbības un aktīvus saskaņā ar ES emisijas kvotu tirdzniecības sistēmu (ETS), sasniedzot prognozētās siltumnīcefekta gāzu emisijas, kas nav zemākas par attiecīgajām līmeņatzīmēm. Ja atbalstītā darbība panāk tādu</w:t>
      </w:r>
      <w:r>
        <w:rPr>
          <w:rStyle w:val="FootnoteReference"/>
          <w:rFonts w:ascii="Times New Roman" w:hAnsi="Times New Roman" w:cs="Times New Roman"/>
          <w:sz w:val="20"/>
          <w:szCs w:val="20"/>
          <w:vertAlign w:val="baseline"/>
        </w:rPr>
        <w:t xml:space="preserve"> prognozēto siltumnīcefekta gāzu emisiju līmeni, kas nav ievērojami zemāks par attiecīgajām līmeņatzīmēm, būtu jāsniedz paskaidrojums par iemesliem, kāpēc tas nav iespējams. Līmeņatzīmes, kas noteiktas bezmaksas kvotu piešķiršanai darbībām, kuras ietilpst </w:t>
      </w:r>
      <w:r>
        <w:rPr>
          <w:rStyle w:val="FootnoteReference"/>
          <w:rFonts w:ascii="Times New Roman" w:hAnsi="Times New Roman" w:cs="Times New Roman"/>
          <w:sz w:val="20"/>
          <w:szCs w:val="20"/>
          <w:vertAlign w:val="baseline"/>
        </w:rPr>
        <w:t>emisijas kvotu tirdzniecības sistēmas darbības jomā, kā noteikts Komisijas Īstenošanas regulā (ES) 2021/447.</w:t>
      </w:r>
    </w:p>
  </w:footnote>
  <w:footnote w:id="87">
    <w:p w14:paraId="4A650BD8" w14:textId="77777777" w:rsidR="00327FF1" w:rsidRDefault="00E406C7">
      <w:pPr>
        <w:spacing w:after="0" w:line="240" w:lineRule="auto"/>
        <w:jc w:val="both"/>
        <w:rPr>
          <w:rStyle w:val="FootnoteReference"/>
          <w:rFonts w:ascii="Times New Roman" w:hAnsi="Times New Roman" w:cs="Times New Roman"/>
          <w:sz w:val="20"/>
          <w:szCs w:val="20"/>
          <w:vertAlign w:val="baseline"/>
        </w:rPr>
      </w:pPr>
      <w:r>
        <w:rPr>
          <w:rStyle w:val="FootnoteReference"/>
          <w:rFonts w:ascii="Times New Roman" w:hAnsi="Times New Roman" w:cs="Times New Roman"/>
          <w:sz w:val="20"/>
          <w:szCs w:val="20"/>
        </w:rPr>
        <w:footnoteRef/>
      </w:r>
      <w:r>
        <w:rPr>
          <w:rStyle w:val="FootnoteReference"/>
          <w:rFonts w:ascii="Times New Roman" w:hAnsi="Times New Roman" w:cs="Times New Roman"/>
          <w:sz w:val="20"/>
          <w:szCs w:val="20"/>
          <w:vertAlign w:val="baseline"/>
        </w:rPr>
        <w:t>Piesārņojošus transportlīdzekļus definē kā transportlīdzekļus, kas nav bezemisiju transportlīdzekļi.</w:t>
      </w:r>
    </w:p>
  </w:footnote>
  <w:footnote w:id="88">
    <w:p w14:paraId="21842AC2" w14:textId="77777777" w:rsidR="00327FF1" w:rsidRDefault="00E406C7">
      <w:pPr>
        <w:spacing w:after="0" w:line="240" w:lineRule="auto"/>
        <w:jc w:val="both"/>
        <w:rPr>
          <w:rFonts w:ascii="Times New Roman" w:eastAsia="Times New Roman" w:hAnsi="Times New Roman" w:cs="Times New Roman"/>
        </w:rPr>
      </w:pPr>
      <w:r>
        <w:rPr>
          <w:rStyle w:val="FootnoteReference"/>
          <w:rFonts w:ascii="Times New Roman" w:hAnsi="Times New Roman" w:cs="Times New Roman"/>
          <w:sz w:val="20"/>
          <w:szCs w:val="20"/>
        </w:rPr>
        <w:footnoteRef/>
      </w:r>
      <w:r>
        <w:rPr>
          <w:rStyle w:val="FootnoteReference"/>
          <w:rFonts w:ascii="Times New Roman" w:hAnsi="Times New Roman" w:cs="Times New Roman"/>
          <w:sz w:val="20"/>
          <w:szCs w:val="20"/>
        </w:rPr>
        <w:t xml:space="preserve"> </w:t>
      </w:r>
      <w:r>
        <w:rPr>
          <w:rStyle w:val="FootnoteReference"/>
          <w:rFonts w:ascii="Times New Roman" w:hAnsi="Times New Roman" w:cs="Times New Roman"/>
          <w:sz w:val="20"/>
          <w:szCs w:val="20"/>
          <w:vertAlign w:val="baseline"/>
        </w:rPr>
        <w:t>Šis izņēmums neattiecas uz darbībām iekārtā</w:t>
      </w:r>
      <w:r>
        <w:rPr>
          <w:rStyle w:val="FootnoteReference"/>
          <w:rFonts w:ascii="Times New Roman" w:hAnsi="Times New Roman" w:cs="Times New Roman"/>
          <w:sz w:val="20"/>
          <w:szCs w:val="20"/>
          <w:vertAlign w:val="baseline"/>
        </w:rPr>
        <w:t>s, kas paredzētas tikai nepārstrādājamu bīstamo atkritumu apstrādei, un uz esošām iekārtām, ja darbības saskaņā ar šo pasākumu ir paredzētas, lai palielinātu energoefektivitāti, uztvertu izplūdes gāzes uzglabāšanai vai izmantošanai vai reģenerētu materiālu</w:t>
      </w:r>
      <w:r>
        <w:rPr>
          <w:rStyle w:val="FootnoteReference"/>
          <w:rFonts w:ascii="Times New Roman" w:hAnsi="Times New Roman" w:cs="Times New Roman"/>
          <w:sz w:val="20"/>
          <w:szCs w:val="20"/>
          <w:vertAlign w:val="baseline"/>
        </w:rPr>
        <w:t>s no sadedzināšanas pelniem, ar noteikumu, ka šādas darbības saskaņā ar šo pasākumu nepalielina iekārtu atkritumu pārstrādes jaudu vai nepagarina iekārtu darbmūžu; par ko ir sniegti pierādījumi iekārtas līmenī.</w:t>
      </w:r>
    </w:p>
  </w:footnote>
  <w:footnote w:id="89">
    <w:p w14:paraId="6F9200E1" w14:textId="77777777" w:rsidR="00327FF1" w:rsidRDefault="00E406C7">
      <w:pPr>
        <w:pStyle w:val="FootnoteText"/>
        <w:ind w:left="0" w:firstLine="0"/>
      </w:pPr>
      <w:r>
        <w:rPr>
          <w:rStyle w:val="FootnoteReference"/>
        </w:rPr>
        <w:footnoteRef/>
      </w:r>
      <w:r>
        <w:t xml:space="preserve"> Izņemot a) aktīvus un darbības elektroenerģ</w:t>
      </w:r>
      <w:r>
        <w:t>ijas un/vai siltuma ražošanā, kā arī saistīto pārvades un sadales infrastruktūru, kurā izmanto dabasgāzi, kas atbilst Tehnisko norādījumu “nenodari būtisku kaitējumu” (2021/C58/01) III pielikumā izklāstītajiem nosacījumiem, un b) darbībām un aktīviem saska</w:t>
      </w:r>
      <w:r>
        <w:t>ņā ar ii) apakšpunktu, attiecībā uz kuriem fosilā kurināmā izmantošana ir pagaidu un tehniski nenovēršama, lai laikus pārietu uz darbību, kas brīva no fosilā kurināmā.</w:t>
      </w:r>
    </w:p>
  </w:footnote>
  <w:footnote w:id="90">
    <w:p w14:paraId="4F389F10" w14:textId="77777777" w:rsidR="00327FF1" w:rsidRDefault="00E406C7">
      <w:pPr>
        <w:pStyle w:val="FootnoteText"/>
        <w:ind w:left="0" w:firstLine="0"/>
        <w:rPr>
          <w:rFonts w:eastAsia="EC Square Sans Pro"/>
        </w:rPr>
      </w:pPr>
      <w:r>
        <w:rPr>
          <w:rStyle w:val="FootnoteReference"/>
        </w:rPr>
        <w:footnoteRef/>
      </w:r>
      <w:r>
        <w:t xml:space="preserve"> </w:t>
      </w:r>
      <w:r>
        <w:rPr>
          <w:rFonts w:eastAsia="EC Square Sans Pro"/>
        </w:rPr>
        <w:t>Ja atbalstītā darbība panāk tādu prognozēto siltumnīcefekta gāzu emisiju līmeni, kas n</w:t>
      </w:r>
      <w:r>
        <w:rPr>
          <w:rFonts w:eastAsia="EC Square Sans Pro"/>
        </w:rPr>
        <w:t>av ievērojami zemāks par attiecīgajām līmeņatzīmēm, būtu jāsniedz paskaidrojums par iemesliem, kāpēc tas nav iespējams. Līmeņatzīmes, kas noteiktas bezmaksas kvotu piešķiršanai darbībām, kuras ietilpst emisijas kvotu tirdzniecības sistēmas darbības jomā, k</w:t>
      </w:r>
      <w:r>
        <w:rPr>
          <w:rFonts w:eastAsia="EC Square Sans Pro"/>
        </w:rPr>
        <w:t xml:space="preserve">ā noteikts Komisijas Īstenošanas regulā (ES) 2021/447. </w:t>
      </w:r>
    </w:p>
  </w:footnote>
  <w:footnote w:id="91">
    <w:p w14:paraId="4A3B153C" w14:textId="77777777" w:rsidR="00327FF1" w:rsidRDefault="00E406C7">
      <w:pPr>
        <w:pStyle w:val="FootnoteText"/>
        <w:ind w:left="0" w:firstLine="0"/>
        <w:rPr>
          <w:rFonts w:eastAsiaTheme="minorHAnsi" w:cstheme="minorBidi"/>
        </w:rPr>
      </w:pPr>
      <w:r>
        <w:rPr>
          <w:rStyle w:val="FootnoteReference"/>
        </w:rPr>
        <w:footnoteRef/>
      </w:r>
      <w:r>
        <w:t xml:space="preserve"> Šis izņēmums neattiecas uz darbībām saskaņā ar šo pasākumu iekārtās, kas paredzētas tikai nepārstrādājamu bīstamo atkritumu apstrādei, un esošām iekārtām, ja darbības saskaņā ar šo pasākumu ir pared</w:t>
      </w:r>
      <w:r>
        <w:t>zētas, lai palielinātu energoefektivitāti, uztvertu dūmgāzes glabāšanai vai izmantošanai, vai reģenerētu materiālus no sadedzināšanas pelniem, ar noteikumu, ka šādas darbības saskaņā ar šo pasākumu nepalielina iekārtu atkritumu pārstrādes jaudu vai nepagar</w:t>
      </w:r>
      <w:r>
        <w:t>ina iekārtu darbmūžu; par ko ir sniegti pierādījumi iekārtas līmenī. </w:t>
      </w:r>
    </w:p>
  </w:footnote>
  <w:footnote w:id="92">
    <w:p w14:paraId="57AA7244" w14:textId="77777777" w:rsidR="00327FF1" w:rsidRDefault="00E406C7">
      <w:pPr>
        <w:pStyle w:val="FootnoteText"/>
        <w:ind w:left="0" w:firstLine="0"/>
      </w:pPr>
      <w:r>
        <w:rPr>
          <w:rStyle w:val="FootnoteReference"/>
        </w:rPr>
        <w:footnoteRef/>
      </w:r>
      <w:r>
        <w:t xml:space="preserve"> Šis izņēmums neattiecas uz darbībām saskaņā ar šo pasākumu esošajās mehāniski bioloģiskās apstrādes iekārtās, ja saskaņā ar šo pasākumu veikto darbību mērķis ir palielināt energoefekti</w:t>
      </w:r>
      <w:r>
        <w:t>vitāti vai modernizēt atdalīto atkritumu pārstrādes darbības, lai kompostētu bioatkritumus un bioatkritumu anaerobo noārdīšanu, ar nosacījumu, ka šādas darbības saskaņā ar šo pasākumu nepalielina iekārtu atkritumu pārstrādes jaudu vai nepagarina iekārtu da</w:t>
      </w:r>
      <w:r>
        <w:t>rbmūžu; par ko ir sniegti pierādījumi iekārtas līmenī. </w:t>
      </w:r>
    </w:p>
  </w:footnote>
  <w:footnote w:id="93">
    <w:p w14:paraId="554975A4" w14:textId="77777777" w:rsidR="00327FF1" w:rsidRDefault="00E406C7">
      <w:pPr>
        <w:pStyle w:val="FootnoteText"/>
        <w:ind w:left="0" w:firstLine="0"/>
      </w:pPr>
      <w:r>
        <w:rPr>
          <w:rStyle w:val="FootnoteReference"/>
        </w:rPr>
        <w:footnoteRef/>
      </w:r>
      <w:r>
        <w:t xml:space="preserve"> Izņemot projektus saskaņā ar šo pasākumu elektroenerģijas un/vai siltuma ražošanā, kā arī saistītajā pārvades un sadales infrastruktūrā, izmantojot dabasgāzi, kas atbilst tehnisko vadlīniju “Nenodar</w:t>
      </w:r>
      <w:r>
        <w:t>i būtisku kaitējumu” (2021/C58/01) III pielikumā izklāstītajiem nosacījumiem.</w:t>
      </w:r>
    </w:p>
  </w:footnote>
  <w:footnote w:id="94">
    <w:p w14:paraId="7E32F814" w14:textId="77777777" w:rsidR="00327FF1" w:rsidRDefault="00E406C7">
      <w:pPr>
        <w:pStyle w:val="FootnoteText"/>
        <w:ind w:left="0" w:firstLine="0"/>
      </w:pPr>
      <w:r>
        <w:rPr>
          <w:rStyle w:val="FootnoteReference"/>
        </w:rPr>
        <w:footnoteRef/>
      </w:r>
      <w:r>
        <w:t xml:space="preserve"> Ja atbalstītā darbība sasniedz prognozētās siltumnīcefekta gāzu emisijas, kas nav ievērojami zemākas par attiecīgajām līmeņatzīmēm, būtu jāsniedz paskaidrojums par iemesliem, k</w:t>
      </w:r>
      <w:r>
        <w:t>āpēc tas nav iespējams. Līmeņatzīmes, kas noteiktas bezmaksas kvotu piešķiršanai darbībām, kuras ietilpst emisijas kvotu tirdzniecības sistēmas darbības jomā, kā noteikts Komisijas Īstenošanas regulā (ES) 2021/447.</w:t>
      </w:r>
    </w:p>
  </w:footnote>
  <w:footnote w:id="95">
    <w:p w14:paraId="04641FDD" w14:textId="77777777" w:rsidR="00327FF1" w:rsidRDefault="00E406C7">
      <w:pPr>
        <w:spacing w:after="0" w:line="240" w:lineRule="auto"/>
        <w:jc w:val="both"/>
        <w:rPr>
          <w:rFonts w:ascii="Times New Roman" w:hAnsi="Times New Roman" w:cs="Times New Roman"/>
        </w:rPr>
      </w:pPr>
      <w:r>
        <w:rPr>
          <w:rStyle w:val="FootnoteReference"/>
          <w:rFonts w:ascii="Times New Roman" w:hAnsi="Times New Roman" w:cs="Times New Roman"/>
          <w:sz w:val="20"/>
          <w:szCs w:val="20"/>
        </w:rPr>
        <w:footnoteRef/>
      </w:r>
      <w:r>
        <w:rPr>
          <w:rFonts w:ascii="Times New Roman" w:hAnsi="Times New Roman" w:cs="Times New Roman"/>
          <w:sz w:val="20"/>
        </w:rPr>
        <w:t xml:space="preserve"> Šis izņēmums neattiecas uz darbībām sas</w:t>
      </w:r>
      <w:r>
        <w:rPr>
          <w:rFonts w:ascii="Times New Roman" w:hAnsi="Times New Roman" w:cs="Times New Roman"/>
          <w:sz w:val="20"/>
        </w:rPr>
        <w:t>kaņā ar šo pasākumu iekārtās, kas paredzētas tikai nepārstrādājamu bīstamo atkritumu apstrādei, un esošām iekārtām, ja darbības saskaņā ar šo pasākumu ir paredzētas, lai palielinātu energoefektivitāti, uztvertu dūmgāzes glabāšanai vai izmantošanai, vai reģ</w:t>
      </w:r>
      <w:r>
        <w:rPr>
          <w:rFonts w:ascii="Times New Roman" w:hAnsi="Times New Roman" w:cs="Times New Roman"/>
          <w:sz w:val="20"/>
        </w:rPr>
        <w:t>enerētu materiālus no sadedzināšanas pelniem, ar noteikumu, ka šādas darbības saskaņā ar šo pasākumu nepalielina iekārtu atkritumu pārstrādes jaudu vai nepagarina iekārtu darbmūžu; par ko ir sniegti pierādījumi iekārtas līmenī.</w:t>
      </w:r>
    </w:p>
  </w:footnote>
  <w:footnote w:id="96">
    <w:p w14:paraId="102719DC" w14:textId="77777777" w:rsidR="00327FF1" w:rsidRDefault="00E406C7">
      <w:pPr>
        <w:pStyle w:val="FootnoteText"/>
        <w:ind w:left="0" w:firstLine="0"/>
      </w:pPr>
      <w:r>
        <w:rPr>
          <w:rStyle w:val="FootnoteReference"/>
        </w:rPr>
        <w:footnoteRef/>
      </w:r>
      <w:r>
        <w:t xml:space="preserve"> Šis izņēmums neattiecas uz</w:t>
      </w:r>
      <w:r>
        <w:t xml:space="preserve"> darbībām saskaņā ar šo pasākumu esošajās mehāniski bioloģiskās apstrādes iekārtās, ja saskaņā ar šo pasākumu veikto darbību mērķis ir palielināt energoefektivitāti vai modernizēt atdalīto atkritumu pārstrādes darbības, lai kompostētu bioatkritumus un bioa</w:t>
      </w:r>
      <w:r>
        <w:t>tkritumu anaerobo noārdīšanu, ar nosacījumu, ka šādas darbības saskaņā ar šo pasākumu nepalielina iekārtu atkritumu pārstrādes jaudu vai nepagarina iekārtu darbmūžu; par ko ir sniegti pierādījumi iekārtas līmenī.</w:t>
      </w:r>
    </w:p>
  </w:footnote>
  <w:footnote w:id="97">
    <w:p w14:paraId="1BE840AA" w14:textId="77777777" w:rsidR="00327FF1" w:rsidRDefault="00327FF1"/>
  </w:footnote>
  <w:footnote w:id="98">
    <w:p w14:paraId="4B04E9F4" w14:textId="2BAAE38D" w:rsidR="00327FF1" w:rsidRDefault="00E406C7">
      <w:pPr>
        <w:pStyle w:val="FootnoteText"/>
        <w:ind w:left="0" w:firstLine="0"/>
      </w:pPr>
      <w:r>
        <w:rPr>
          <w:rStyle w:val="FootnoteReference"/>
        </w:rPr>
        <w:footnoteRef/>
      </w:r>
      <w:r>
        <w:t xml:space="preserve"> Lai aprēķinātu ieguldījumu klimata jomā,</w:t>
      </w:r>
      <w:r>
        <w:t xml:space="preserve"> galīgajiem saņēmējiem, kas saistīti ar konkrētiem projektiem, katram atbalstītajam projektam ir jāsniedz izvēlētās intervences jomas pamatojums, kā arī projekta apraksts. Īstenošanas partnerim ir arī jāiesniedz dalībvalstij pusgada ziņojums par katra proj</w:t>
      </w:r>
      <w:r>
        <w:t>ekta/darbības īstenošanu.</w:t>
      </w:r>
    </w:p>
  </w:footnote>
  <w:footnote w:id="99">
    <w:p w14:paraId="38058091" w14:textId="77777777" w:rsidR="00327FF1" w:rsidRDefault="00E406C7">
      <w:pPr>
        <w:pStyle w:val="FootnoteText"/>
        <w:ind w:left="0" w:firstLine="0"/>
      </w:pPr>
      <w:r>
        <w:rPr>
          <w:rStyle w:val="FootnoteReference"/>
          <w:rFonts w:eastAsiaTheme="majorEastAsia"/>
        </w:rPr>
        <w:footnoteRef/>
      </w:r>
      <w:r>
        <w:t xml:space="preserve"> Tiek uzskatīts, ka galīgais saņēmējs “būtiski koncentrējas” uz nozari vai uzņēmējdarbību, ja ir konstatēts, ka šāda nozare vai darbība ir būtiska galīgā saņēmēja uzņēmējdarbības daļa attiecīgi attiecībā uz galīgā saņēmēja bruto </w:t>
      </w:r>
      <w:r>
        <w:t>ieņēmumiem, peļņu vai klientu bāzi. Bruto ieņēmumi no ierobežotās nozares vai darbības nekādā gadījumā nepārsniedz 50 % no bruto ieņēmumiem.</w:t>
      </w:r>
    </w:p>
  </w:footnote>
  <w:footnote w:id="100">
    <w:p w14:paraId="4622071A" w14:textId="77777777" w:rsidR="00327FF1" w:rsidRDefault="00E406C7">
      <w:pPr>
        <w:spacing w:after="0" w:line="240" w:lineRule="auto"/>
        <w:jc w:val="both"/>
        <w:rPr>
          <w:rFonts w:ascii="Times New Roman" w:hAnsi="Times New Roman" w:cs="Times New Roman"/>
          <w:sz w:val="20"/>
          <w:szCs w:val="20"/>
        </w:rPr>
      </w:pPr>
      <w:r>
        <w:rPr>
          <w:rStyle w:val="FootnoteReference"/>
          <w:rFonts w:ascii="Times New Roman" w:eastAsiaTheme="majorEastAsia" w:hAnsi="Times New Roman" w:cs="Times New Roman"/>
          <w:sz w:val="20"/>
          <w:szCs w:val="20"/>
        </w:rPr>
        <w:footnoteRef/>
      </w:r>
      <w:r>
        <w:rPr>
          <w:rFonts w:ascii="Times New Roman" w:hAnsi="Times New Roman" w:cs="Times New Roman"/>
          <w:sz w:val="20"/>
        </w:rPr>
        <w:t xml:space="preserve"> Izņemot a) aktīvus un darbības elektroenerģijas un/vai siltuma ražošanā, kā arī saistīto pārvades un sadales infr</w:t>
      </w:r>
      <w:r>
        <w:rPr>
          <w:rFonts w:ascii="Times New Roman" w:hAnsi="Times New Roman" w:cs="Times New Roman"/>
          <w:sz w:val="20"/>
        </w:rPr>
        <w:t>astruktūru, kurā izmanto dabasgāzi, kas atbilst Tehnisko norādījumu “nenodari būtisku kaitējumu” (2021/C58/01) III pielikumā izklāstītajiem nosacījumiem, un b) darbībām un aktīviem saskaņā ar ii) apakšpunktu, attiecībā uz kuriem fosilā kurināmā izmantošana</w:t>
      </w:r>
      <w:r>
        <w:rPr>
          <w:rFonts w:ascii="Times New Roman" w:hAnsi="Times New Roman" w:cs="Times New Roman"/>
          <w:sz w:val="20"/>
        </w:rPr>
        <w:t xml:space="preserve"> ir pagaidu un tehniski nenovēršama, lai laikus pārietu uz darbību, kas brīva no fosilā kurināmā.</w:t>
      </w:r>
    </w:p>
  </w:footnote>
  <w:footnote w:id="101">
    <w:p w14:paraId="227754C7" w14:textId="77777777" w:rsidR="00327FF1" w:rsidRDefault="00E406C7">
      <w:pPr>
        <w:spacing w:after="0" w:line="240" w:lineRule="auto"/>
        <w:jc w:val="both"/>
        <w:rPr>
          <w:rFonts w:ascii="Times New Roman" w:hAnsi="Times New Roman" w:cs="Times New Roman"/>
          <w:sz w:val="20"/>
          <w:szCs w:val="20"/>
        </w:rPr>
      </w:pPr>
      <w:r>
        <w:rPr>
          <w:rStyle w:val="FootnoteReference"/>
          <w:rFonts w:ascii="Times New Roman" w:eastAsiaTheme="majorEastAsia" w:hAnsi="Times New Roman" w:cs="Times New Roman"/>
          <w:sz w:val="20"/>
          <w:szCs w:val="20"/>
        </w:rPr>
        <w:footnoteRef/>
      </w:r>
      <w:r>
        <w:rPr>
          <w:rFonts w:ascii="Times New Roman" w:hAnsi="Times New Roman" w:cs="Times New Roman"/>
          <w:sz w:val="20"/>
        </w:rPr>
        <w:t xml:space="preserve"> Ietverot darbības un aktīvus saskaņā ar ES emisijas kvotu tirdzniecības sistēmu (ETS), sasniedzot prognozētās siltumnīcefekta gāzu emisijas, kas nav zemākas</w:t>
      </w:r>
      <w:r>
        <w:rPr>
          <w:rFonts w:ascii="Times New Roman" w:hAnsi="Times New Roman" w:cs="Times New Roman"/>
          <w:sz w:val="20"/>
        </w:rPr>
        <w:t xml:space="preserve"> par attiecīgajām līmeņatzīmēm. Ja atbalstītā darbība panāk tādu prognozēto siltumnīcefekta gāzu emisiju līmeni, kas nav ievērojami zemāks par attiecīgajām līmeņatzīmēm, būtu jāsniedz paskaidrojums par iemesliem, kāpēc tas nav iespējams. Līmeņatzīmes, kas </w:t>
      </w:r>
      <w:r>
        <w:rPr>
          <w:rFonts w:ascii="Times New Roman" w:hAnsi="Times New Roman" w:cs="Times New Roman"/>
          <w:sz w:val="20"/>
        </w:rPr>
        <w:t>noteiktas bezmaksas kvotu piešķiršanai darbībām, kuras ietilpst emisijas kvotu tirdzniecības sistēmas darbības jomā, kā noteikts Komisijas Īstenošanas regulā (ES) 2021/447.</w:t>
      </w:r>
    </w:p>
  </w:footnote>
  <w:footnote w:id="102">
    <w:p w14:paraId="56FC1216" w14:textId="77777777" w:rsidR="00327FF1" w:rsidRDefault="00E406C7">
      <w:pPr>
        <w:spacing w:after="0" w:line="240" w:lineRule="auto"/>
        <w:jc w:val="both"/>
        <w:rPr>
          <w:rFonts w:ascii="Times New Roman" w:hAnsi="Times New Roman" w:cs="Times New Roman"/>
          <w:sz w:val="20"/>
          <w:szCs w:val="20"/>
        </w:rPr>
      </w:pPr>
      <w:r>
        <w:rPr>
          <w:rStyle w:val="FootnoteReference"/>
          <w:rFonts w:ascii="Times New Roman" w:eastAsiaTheme="majorEastAsia" w:hAnsi="Times New Roman" w:cs="Times New Roman"/>
          <w:sz w:val="20"/>
          <w:szCs w:val="20"/>
        </w:rPr>
        <w:footnoteRef/>
      </w:r>
      <w:r>
        <w:rPr>
          <w:rFonts w:ascii="Times New Roman" w:hAnsi="Times New Roman" w:cs="Times New Roman"/>
          <w:sz w:val="20"/>
        </w:rPr>
        <w:t xml:space="preserve"> Piesārņojošus transportlīdzekļus definē kā transportlīdzekļus, kas nav bezemisiju</w:t>
      </w:r>
      <w:r>
        <w:rPr>
          <w:rFonts w:ascii="Times New Roman" w:hAnsi="Times New Roman" w:cs="Times New Roman"/>
          <w:sz w:val="20"/>
        </w:rPr>
        <w:t xml:space="preserve"> transportlīdzekļi.</w:t>
      </w:r>
    </w:p>
  </w:footnote>
  <w:footnote w:id="103">
    <w:p w14:paraId="1F4EADE3" w14:textId="77777777" w:rsidR="00327FF1" w:rsidRDefault="00E406C7">
      <w:pPr>
        <w:pStyle w:val="FootnoteText"/>
        <w:ind w:left="0" w:firstLine="0"/>
      </w:pPr>
      <w:r>
        <w:rPr>
          <w:rStyle w:val="FootnoteReference"/>
          <w:rFonts w:eastAsiaTheme="majorEastAsia"/>
        </w:rPr>
        <w:footnoteRef/>
      </w:r>
      <w:r>
        <w:t xml:space="preserve"> Šis izņēmums neattiecas uz darbībām iekārtās, kas paredzētas tikai nepārstrādājamu bīstamo atkritumu apstrādei, un uz esošām iekārtām, ja darbības saskaņā ar šo pasākumu ir paredzētas, lai palielinātu energoefektivitāti, uztvertu izpl</w:t>
      </w:r>
      <w:r>
        <w:t>ūdes gāzes uzglabāšanai vai izmantošanai vai reģenerētu materiālus no sadedzināšanas pelniem, ar noteikumu, ka šādas darbības saskaņā ar šo pasākumu nepalielina iekārtu atkritumu pārstrādes jaudu vai nepagarina iekārtu darbmūžu; par ko ir sniegti pierādīju</w:t>
      </w:r>
      <w:r>
        <w:t>mi iekārtas līmenī.</w:t>
      </w:r>
    </w:p>
  </w:footnote>
  <w:footnote w:id="104">
    <w:p w14:paraId="2118312F" w14:textId="60DBA07F" w:rsidR="00327FF1" w:rsidRDefault="00E406C7">
      <w:pPr>
        <w:pStyle w:val="FootnoteText"/>
        <w:ind w:left="0" w:firstLine="0"/>
      </w:pPr>
      <w:r>
        <w:rPr>
          <w:rStyle w:val="FootnoteReference"/>
        </w:rPr>
        <w:footnoteRef/>
      </w:r>
      <w:r>
        <w:t xml:space="preserve"> Lai aprēķinātu ieguldījumu klimata jomā, galīgajiem saņēmējiem, kas saistīti ar konkrētiem projektiem, katram atbalstītajam projektam ir jāsniedz izvēlētās intervences jomas pamatojums, kā arī projekta apraksts. Īstenošanas partnerim </w:t>
      </w:r>
      <w:r>
        <w:t>ir arī jāiesniedz dalībvalstij pusgada ziņojums par katra projekta/darbības īstenošanu.</w:t>
      </w:r>
    </w:p>
  </w:footnote>
  <w:footnote w:id="105">
    <w:p w14:paraId="091AAF01" w14:textId="77777777" w:rsidR="00327FF1" w:rsidRDefault="00E406C7">
      <w:pPr>
        <w:pStyle w:val="FootnoteText"/>
        <w:ind w:left="0" w:firstLine="0"/>
      </w:pPr>
      <w:r>
        <w:rPr>
          <w:rStyle w:val="FootnoteReference"/>
        </w:rPr>
        <w:footnoteRef/>
      </w:r>
      <w:r>
        <w:t xml:space="preserve"> Izņemot a) aktīvus un darbības elektroenerģijas un/vai siltuma ražošanā, kā arī saistīto pārvades un sadales infrastruktūru, kurā izmanto dabasgāzi, kas atbilst Tehni</w:t>
      </w:r>
      <w:r>
        <w:t>sko norādījumu “nenodari būtisku kaitējumu” (2021/C58/01) III pielikumā izklāstītajiem nosacījumiem, un b) darbībām un aktīviem saskaņā ar ii) apakšpunktu, attiecībā uz kuriem fosilā kurināmā izmantošana ir pagaidu un tehniski nenovēršama, lai laikus pārie</w:t>
      </w:r>
      <w:r>
        <w:t>tu uz darbību, kas brīva no fosilā kurināmā.</w:t>
      </w:r>
    </w:p>
  </w:footnote>
  <w:footnote w:id="106">
    <w:p w14:paraId="5FB85DB4" w14:textId="77777777" w:rsidR="00327FF1" w:rsidRDefault="00E406C7">
      <w:pPr>
        <w:pStyle w:val="FootnoteText"/>
        <w:ind w:left="0" w:firstLine="0"/>
        <w:rPr>
          <w:rFonts w:eastAsia="EC Square Sans Pro"/>
        </w:rPr>
      </w:pPr>
      <w:r>
        <w:rPr>
          <w:rStyle w:val="FootnoteReference"/>
          <w:rFonts w:eastAsiaTheme="majorEastAsia"/>
        </w:rPr>
        <w:footnoteRef/>
      </w:r>
      <w:r>
        <w:t xml:space="preserve"> Ja atbalstītā darbība panāk tādu prognozēto siltumnīcefekta gāzu emisiju līmeni, kas nav ievērojami zemāks par attiecīgajām līmeņatzīmēm, būtu jāsniedz paskaidrojums par iemesliem, kāpēc tas nav iespējams. Līm</w:t>
      </w:r>
      <w:r>
        <w:t>eņatzīmes, kas noteiktas bezmaksas kvotu piešķiršanai darbībām, kuras ietilpst emisijas kvotu tirdzniecības sistēmas darbības jomā, kā noteikts Komisijas Īstenošanas regulā (ES) 2021/447. </w:t>
      </w:r>
    </w:p>
  </w:footnote>
  <w:footnote w:id="107">
    <w:p w14:paraId="3EEF9FE7" w14:textId="77777777" w:rsidR="00327FF1" w:rsidRDefault="00E406C7">
      <w:pPr>
        <w:pStyle w:val="FootnoteText"/>
        <w:ind w:left="0" w:firstLine="0"/>
      </w:pPr>
      <w:r>
        <w:rPr>
          <w:rStyle w:val="FootnoteReference"/>
          <w:rFonts w:eastAsiaTheme="majorEastAsia"/>
        </w:rPr>
        <w:footnoteRef/>
      </w:r>
      <w:r>
        <w:t xml:space="preserve"> Šis izņēmums neattiecas uz darbībām saskaņā ar šo pasākumu iekārt</w:t>
      </w:r>
      <w:r>
        <w:t>ās, kas paredzētas tikai nepārstrādājamu bīstamo atkritumu apstrādei, un esošām iekārtām, ja darbības saskaņā ar šo pasākumu ir paredzētas, lai palielinātu energoefektivitāti, uztvertu dūmgāzes glabāšanai vai izmantošanai, vai reģenerētu materiālus no sade</w:t>
      </w:r>
      <w:r>
        <w:t>dzināšanas pelniem, ar noteikumu, ka šādas darbības saskaņā ar šo pasākumu nepalielina iekārtu atkritumu pārstrādes jaudu vai nepagarina iekārtu darbmūžu; par ko ir sniegti pierādījumi iekārtas līmenī. </w:t>
      </w:r>
    </w:p>
  </w:footnote>
  <w:footnote w:id="108">
    <w:p w14:paraId="09D62EC6" w14:textId="77777777" w:rsidR="00327FF1" w:rsidRDefault="00E406C7">
      <w:pPr>
        <w:pStyle w:val="FootnoteText"/>
        <w:ind w:left="0" w:firstLine="0"/>
      </w:pPr>
      <w:r>
        <w:rPr>
          <w:rStyle w:val="FootnoteReference"/>
          <w:rFonts w:eastAsiaTheme="majorEastAsia"/>
        </w:rPr>
        <w:footnoteRef/>
      </w:r>
      <w:r>
        <w:t xml:space="preserve"> Šis izņēmums neattiecas uz darbībām saskaņā ar šo p</w:t>
      </w:r>
      <w:r>
        <w:t>asākumu esošajās mehāniski bioloģiskās apstrādes iekārtās, ja saskaņā ar šo pasākumu veikto darbību mērķis ir palielināt energoefektivitāti vai modernizēt atdalīto atkritumu pārstrādes darbības, lai kompostētu bioatkritumus un bioatkritumu anaerobo noārdīš</w:t>
      </w:r>
      <w:r>
        <w:t>anu, ar nosacījumu, ka šādas darbības saskaņā ar šo pasākumu nepalielina iekārtu atkritumu pārstrādes jaudu vai nepagarina iekārtu darbmūžu; par ko ir sniegti pierādījumi iekārtas līmenī.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32EE3" w14:textId="77777777" w:rsidR="00E406C7" w:rsidRPr="00E406C7" w:rsidRDefault="00E406C7" w:rsidP="00E406C7">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3852C" w14:textId="77777777" w:rsidR="00E406C7" w:rsidRPr="00E406C7" w:rsidRDefault="00E406C7" w:rsidP="00E406C7">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09F56" w14:textId="77777777" w:rsidR="00E406C7" w:rsidRPr="00E406C7" w:rsidRDefault="00E406C7" w:rsidP="00E406C7">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CF26E" w14:textId="77777777" w:rsidR="00327FF1" w:rsidRDefault="00327FF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B5866" w14:textId="77777777" w:rsidR="00327FF1" w:rsidRDefault="00327FF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7C3F1" w14:textId="77777777" w:rsidR="00327FF1" w:rsidRDefault="00327FF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0E26A" w14:textId="77777777" w:rsidR="00327FF1" w:rsidRDefault="00327FF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335AC" w14:textId="77777777" w:rsidR="00327FF1" w:rsidRDefault="00327FF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5E682" w14:textId="77777777" w:rsidR="00327FF1" w:rsidRDefault="00327FF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F386C" w14:textId="77777777" w:rsidR="00327FF1" w:rsidRDefault="00327FF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75DBF" w14:textId="77777777" w:rsidR="00327FF1" w:rsidRDefault="00327FF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31201" w14:textId="77777777" w:rsidR="00327FF1" w:rsidRDefault="00327FF1">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636E8" w14:textId="77777777" w:rsidR="00D500E7" w:rsidRDefault="00D500E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FFD07" w14:textId="77777777" w:rsidR="00D500E7" w:rsidRDefault="00D500E7">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4F251" w14:textId="77777777" w:rsidR="00327FF1" w:rsidRDefault="00327FF1">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A9229" w14:textId="77777777" w:rsidR="00327FF1" w:rsidRDefault="00327FF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91FD3" w14:textId="77777777" w:rsidR="00327FF1" w:rsidRDefault="00327FF1">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B11D7" w14:textId="77777777" w:rsidR="00327FF1" w:rsidRDefault="00327FF1">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967A1" w14:textId="77777777" w:rsidR="00327FF1" w:rsidRDefault="00327FF1">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86D25" w14:textId="77777777" w:rsidR="00327FF1" w:rsidRDefault="00327FF1">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8EDD9" w14:textId="77777777" w:rsidR="00327FF1" w:rsidRDefault="00327FF1">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26DA6" w14:textId="77777777" w:rsidR="00327FF1" w:rsidRDefault="00327FF1">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6BBDF" w14:textId="77777777" w:rsidR="00327FF1" w:rsidRDefault="00327FF1">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5D7C3" w14:textId="77777777" w:rsidR="00D500E7" w:rsidRDefault="00D500E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3BF9A" w14:textId="77777777" w:rsidR="00327FF1" w:rsidRDefault="00327FF1">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5DA48" w14:textId="77777777" w:rsidR="00327FF1" w:rsidRDefault="00327FF1">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A5BCC" w14:textId="77777777" w:rsidR="00327FF1" w:rsidRDefault="00327FF1">
    <w:pPr>
      <w:pStyle w:val="Header"/>
      <w:rPr>
        <w:rFonts w:eastAsia="Calibri"/>
      </w:rP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127C5" w14:textId="77777777" w:rsidR="00327FF1" w:rsidRDefault="00327FF1">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7F4DB" w14:textId="77777777" w:rsidR="00327FF1" w:rsidRDefault="00327FF1">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F3DE7" w14:textId="77777777" w:rsidR="00327FF1" w:rsidRDefault="00327FF1">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7CEF0" w14:textId="77777777" w:rsidR="00327FF1" w:rsidRDefault="00327FF1">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78178" w14:textId="77777777" w:rsidR="00D500E7" w:rsidRDefault="00D500E7">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10820" w14:textId="77777777" w:rsidR="00D500E7" w:rsidRDefault="00D500E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D659D" w14:textId="77777777" w:rsidR="00D500E7" w:rsidRDefault="00D500E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DC479" w14:textId="77777777" w:rsidR="00D500E7" w:rsidRDefault="00D500E7">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469EC" w14:textId="77777777" w:rsidR="00D500E7" w:rsidRDefault="00D500E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4D977" w14:textId="77777777" w:rsidR="00327FF1" w:rsidRDefault="00327FF1">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38186" w14:textId="77777777" w:rsidR="00327FF1" w:rsidRDefault="00327FF1">
    <w:pPr>
      <w:pStyle w:val="Header"/>
      <w:rPr>
        <w:rFonts w:eastAsia="Calibri"/>
      </w:rPr>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570B1" w14:textId="77777777" w:rsidR="00327FF1" w:rsidRDefault="00327FF1">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02B5E" w14:textId="77777777" w:rsidR="00327FF1" w:rsidRDefault="00327FF1">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AC372" w14:textId="77777777" w:rsidR="00327FF1" w:rsidRDefault="00327FF1">
    <w:pPr>
      <w:pStyle w:val="Header"/>
      <w:rPr>
        <w:rFonts w:eastAsia="Calibri"/>
      </w:rPr>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03D45" w14:textId="77777777" w:rsidR="00327FF1" w:rsidRDefault="00327FF1">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61720" w14:textId="77777777" w:rsidR="00327FF1" w:rsidRDefault="00327FF1">
    <w:pPr>
      <w:pStyle w:val="Header"/>
      <w:rPr>
        <w:rFonts w:eastAsia="Calibri"/>
      </w:rPr>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18A69" w14:textId="77777777" w:rsidR="00D500E7" w:rsidRDefault="00D500E7">
    <w:pPr>
      <w:pStyle w:val="Header"/>
      <w:rPr>
        <w:rFonts w:eastAsia="Calibri"/>
      </w:rPr>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4BD48" w14:textId="77777777" w:rsidR="00327FF1" w:rsidRDefault="00327FF1">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7B1D0" w14:textId="77777777" w:rsidR="00327FF1" w:rsidRDefault="00327FF1">
    <w:pPr>
      <w:pStyle w:val="Header"/>
      <w:rPr>
        <w:rFonts w:eastAsia="Calibri"/>
      </w:rPr>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BB5E3" w14:textId="77777777" w:rsidR="00327FF1" w:rsidRDefault="00327FF1">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C770E" w14:textId="77777777" w:rsidR="00327FF1" w:rsidRDefault="00327FF1">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78DC" w14:textId="77777777" w:rsidR="00327FF1" w:rsidRDefault="00327FF1">
    <w:pPr>
      <w:pStyle w:val="Header"/>
      <w:rPr>
        <w:rFonts w:eastAsia="Calibri"/>
      </w:rPr>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17A1D" w14:textId="77777777" w:rsidR="00327FF1" w:rsidRDefault="00327FF1">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9A94B" w14:textId="77777777" w:rsidR="00327FF1" w:rsidRDefault="00327FF1">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D82D0" w14:textId="77777777" w:rsidR="00327FF1" w:rsidRDefault="00327FF1">
    <w:pPr>
      <w:pStyle w:val="Header"/>
      <w:rPr>
        <w:rFonts w:eastAsia="Calibri"/>
      </w:rPr>
    </w:pP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2B149" w14:textId="77777777" w:rsidR="00327FF1" w:rsidRDefault="00327FF1">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0D772" w14:textId="77777777" w:rsidR="00D500E7" w:rsidRDefault="00D500E7">
    <w:pPr>
      <w:pStyle w:val="Header"/>
      <w:rPr>
        <w:rFonts w:eastAsia="Calibri"/>
      </w:rPr>
    </w:pP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72970" w14:textId="77777777" w:rsidR="00327FF1" w:rsidRDefault="00327FF1">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3052A" w14:textId="77777777" w:rsidR="00327FF1" w:rsidRDefault="00327FF1">
    <w:pPr>
      <w:pStyle w:val="Header"/>
      <w:rPr>
        <w:rFonts w:eastAsia="Calibri"/>
      </w:rPr>
    </w:pPr>
  </w:p>
</w:hdr>
</file>

<file path=word/header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7AFA7" w14:textId="77777777" w:rsidR="00327FF1" w:rsidRDefault="00327FF1">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82F9C" w14:textId="77777777" w:rsidR="00327FF1" w:rsidRDefault="00327FF1">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61867" w14:textId="77777777" w:rsidR="00327FF1" w:rsidRDefault="00327FF1">
    <w:pPr>
      <w:pStyle w:val="Header"/>
      <w:rPr>
        <w:rFonts w:eastAsia="Calibri"/>
      </w:rPr>
    </w:pPr>
  </w:p>
</w:hdr>
</file>

<file path=word/header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800BD" w14:textId="77777777" w:rsidR="00327FF1" w:rsidRDefault="00327FF1">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E9E1" w14:textId="77777777" w:rsidR="00327FF1" w:rsidRDefault="00327FF1">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BB450" w14:textId="77777777" w:rsidR="00327FF1" w:rsidRDefault="00327FF1">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E6B37" w14:textId="77777777" w:rsidR="00327FF1" w:rsidRDefault="00327FF1">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B703F" w14:textId="77777777" w:rsidR="00327FF1" w:rsidRDefault="00327FF1">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396E6" w14:textId="77777777" w:rsidR="00327FF1" w:rsidRDefault="00327FF1">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04268" w14:textId="77777777" w:rsidR="00327FF1" w:rsidRDefault="00327FF1">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EF16B" w14:textId="77777777" w:rsidR="00327FF1" w:rsidRDefault="00327FF1">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287F2" w14:textId="77777777" w:rsidR="00327FF1" w:rsidRDefault="00327FF1">
    <w:pPr>
      <w:pStyle w:val="Header"/>
      <w:rPr>
        <w:rFonts w:eastAsia="Calibri"/>
      </w:rPr>
    </w:pPr>
  </w:p>
</w:hdr>
</file>

<file path=word/header6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2A038" w14:textId="77777777" w:rsidR="00327FF1" w:rsidRDefault="00327FF1">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70C47" w14:textId="77777777" w:rsidR="00327FF1" w:rsidRDefault="00327FF1">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F3F8E" w14:textId="77777777" w:rsidR="00327FF1" w:rsidRDefault="00327FF1">
    <w:pPr>
      <w:pStyle w:val="Header"/>
      <w:rPr>
        <w:rFonts w:eastAsia="Calibri"/>
      </w:rPr>
    </w:pPr>
  </w:p>
</w:hdr>
</file>

<file path=word/header7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01625" w14:textId="77777777" w:rsidR="00327FF1" w:rsidRDefault="00327FF1">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178FC" w14:textId="77777777" w:rsidR="00327FF1" w:rsidRDefault="00327FF1">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778AC" w14:textId="77777777" w:rsidR="00327FF1" w:rsidRDefault="00327FF1">
    <w:pPr>
      <w:pStyle w:val="Header"/>
      <w:rPr>
        <w:rFonts w:eastAsia="Calibri"/>
      </w:rPr>
    </w:pPr>
  </w:p>
</w:hdr>
</file>

<file path=word/header7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4D3A8" w14:textId="77777777" w:rsidR="00327FF1" w:rsidRDefault="00327FF1">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43316" w14:textId="77777777" w:rsidR="00327FF1" w:rsidRDefault="00327FF1">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DED6A" w14:textId="77777777" w:rsidR="00327FF1" w:rsidRDefault="00327FF1">
    <w:pPr>
      <w:pStyle w:val="Header"/>
      <w:rPr>
        <w:rFonts w:eastAsia="Calibri"/>
      </w:rPr>
    </w:pPr>
  </w:p>
</w:hdr>
</file>

<file path=word/header7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54877" w14:textId="77777777" w:rsidR="00327FF1" w:rsidRDefault="00327FF1">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F1017" w14:textId="77777777" w:rsidR="00327FF1" w:rsidRDefault="00327FF1">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AC98C" w14:textId="77777777" w:rsidR="00327FF1" w:rsidRDefault="00327FF1">
    <w:pPr>
      <w:pStyle w:val="Header"/>
      <w:rPr>
        <w:rFonts w:eastAsia="Calibri"/>
      </w:rPr>
    </w:pPr>
  </w:p>
</w:hdr>
</file>

<file path=word/header8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A8972" w14:textId="77777777" w:rsidR="00327FF1" w:rsidRDefault="00327FF1">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F6174" w14:textId="77777777" w:rsidR="00D500E7" w:rsidRDefault="00D500E7">
    <w:pPr>
      <w:pStyle w:val="Header"/>
      <w:rPr>
        <w:rFonts w:eastAsia="Calibri"/>
      </w:rPr>
    </w:pPr>
  </w:p>
</w:hdr>
</file>

<file path=word/header8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0A51E" w14:textId="77777777" w:rsidR="00327FF1" w:rsidRDefault="00327FF1">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7CFC8" w14:textId="77777777" w:rsidR="00327FF1" w:rsidRDefault="00327FF1">
    <w:pPr>
      <w:pStyle w:val="Header"/>
      <w:rPr>
        <w:rFonts w:eastAsia="Calibri"/>
      </w:rPr>
    </w:pPr>
  </w:p>
</w:hdr>
</file>

<file path=word/header8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5BDB5" w14:textId="77777777" w:rsidR="00327FF1" w:rsidRDefault="00327FF1">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ACAA3" w14:textId="77777777" w:rsidR="00327FF1" w:rsidRDefault="00327FF1">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50401" w14:textId="77777777" w:rsidR="00327FF1" w:rsidRDefault="00327FF1">
    <w:pPr>
      <w:pStyle w:val="Header"/>
      <w:rPr>
        <w:rFonts w:eastAsia="Calibri"/>
      </w:rPr>
    </w:pPr>
  </w:p>
</w:hdr>
</file>

<file path=word/header8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2DBFA" w14:textId="77777777" w:rsidR="00327FF1" w:rsidRDefault="00327FF1">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9B889" w14:textId="77777777" w:rsidR="00327FF1" w:rsidRDefault="00327FF1">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CFA0" w14:textId="77777777" w:rsidR="00327FF1" w:rsidRDefault="00327FF1">
    <w:pPr>
      <w:pStyle w:val="Header"/>
      <w:rPr>
        <w:rFonts w:eastAsia="Calibri"/>
      </w:rPr>
    </w:pPr>
  </w:p>
</w:hdr>
</file>

<file path=word/header9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942F3" w14:textId="77777777" w:rsidR="00327FF1" w:rsidRDefault="00327FF1">
    <w:pPr>
      <w:pStyle w:val="Header"/>
    </w:pPr>
  </w:p>
</w:hdr>
</file>

<file path=word/header9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928FE" w14:textId="77777777" w:rsidR="00327FF1" w:rsidRDefault="00327FF1">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3593B" w14:textId="77777777" w:rsidR="00327FF1" w:rsidRDefault="00327FF1">
    <w:pPr>
      <w:pStyle w:val="Header"/>
      <w:rPr>
        <w:rFonts w:eastAsia="Calibri"/>
      </w:rPr>
    </w:pPr>
  </w:p>
</w:hdr>
</file>

<file path=word/header9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F17B0" w14:textId="77777777" w:rsidR="00327FF1" w:rsidRDefault="00327FF1">
    <w:pPr>
      <w:pStyle w:val="Header"/>
    </w:pPr>
  </w:p>
</w:hdr>
</file>

<file path=word/header9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08332" w14:textId="77777777" w:rsidR="00327FF1" w:rsidRDefault="00327FF1">
    <w:pPr>
      <w:pStyle w:val="Header"/>
      <w:rPr>
        <w:rFonts w:eastAsia="Calibri"/>
      </w:rPr>
    </w:pPr>
  </w:p>
</w:hdr>
</file>

<file path=word/header9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559E4" w14:textId="77777777" w:rsidR="00327FF1" w:rsidRDefault="00327FF1">
    <w:pPr>
      <w:pStyle w:val="Header"/>
    </w:pPr>
  </w:p>
</w:hdr>
</file>

<file path=word/header9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C6BB0" w14:textId="77777777" w:rsidR="00327FF1" w:rsidRDefault="00327FF1">
    <w:pPr>
      <w:pStyle w:val="Header"/>
      <w:rPr>
        <w:rFonts w:eastAsia="Calibri"/>
      </w:rPr>
    </w:pPr>
  </w:p>
</w:hdr>
</file>

<file path=word/header9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AAA94" w14:textId="77777777" w:rsidR="00327FF1" w:rsidRDefault="00327FF1">
    <w:pPr>
      <w:pStyle w:val="Header"/>
    </w:pPr>
  </w:p>
</w:hdr>
</file>

<file path=word/header9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DB3BE" w14:textId="77777777" w:rsidR="00327FF1" w:rsidRDefault="00327FF1">
    <w:pPr>
      <w:pStyle w:val="Header"/>
      <w:rPr>
        <w:rFonts w:eastAsia="Calibri"/>
      </w:rPr>
    </w:pPr>
  </w:p>
</w:hdr>
</file>

<file path=word/header10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E81E1" w14:textId="77777777" w:rsidR="00327FF1" w:rsidRDefault="00327FF1">
    <w:pPr>
      <w:pStyle w:val="Header"/>
    </w:pPr>
  </w:p>
</w:hdr>
</file>

<file path=word/header10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34D8D" w14:textId="77777777" w:rsidR="00327FF1" w:rsidRDefault="00327FF1">
    <w:pPr>
      <w:pStyle w:val="Header"/>
      <w:rPr>
        <w:rFonts w:eastAsia="Calibri"/>
      </w:rPr>
    </w:pPr>
  </w:p>
</w:hdr>
</file>

<file path=word/header10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35B36" w14:textId="77777777" w:rsidR="00327FF1" w:rsidRDefault="00327FF1">
    <w:pPr>
      <w:pStyle w:val="Header"/>
    </w:pPr>
  </w:p>
</w:hdr>
</file>

<file path=word/header10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38983" w14:textId="77777777" w:rsidR="00327FF1" w:rsidRDefault="00327FF1">
    <w:pPr>
      <w:pStyle w:val="Header"/>
    </w:pPr>
  </w:p>
</w:hdr>
</file>

<file path=word/header10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D5C2E" w14:textId="77777777" w:rsidR="00327FF1" w:rsidRDefault="00327FF1">
    <w:pPr>
      <w:pStyle w:val="Header"/>
      <w:rPr>
        <w:rFonts w:eastAsia="Calibri"/>
      </w:rPr>
    </w:pPr>
  </w:p>
</w:hdr>
</file>

<file path=word/header10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6DDE0" w14:textId="77777777" w:rsidR="00327FF1" w:rsidRDefault="00327FF1">
    <w:pPr>
      <w:pStyle w:val="Header"/>
    </w:pPr>
  </w:p>
</w:hdr>
</file>

<file path=word/header10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295A" w14:textId="77777777" w:rsidR="00327FF1" w:rsidRDefault="00327FF1">
    <w:pPr>
      <w:pStyle w:val="Header"/>
    </w:pPr>
  </w:p>
</w:hdr>
</file>

<file path=word/header10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A64F3" w14:textId="77777777" w:rsidR="00327FF1" w:rsidRDefault="00327FF1">
    <w:pPr>
      <w:pStyle w:val="Header"/>
      <w:rPr>
        <w:rFonts w:eastAsia="Calibri"/>
      </w:rPr>
    </w:pPr>
  </w:p>
</w:hdr>
</file>

<file path=word/header10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D0A20" w14:textId="77777777" w:rsidR="00327FF1" w:rsidRDefault="00327FF1">
    <w:pPr>
      <w:pStyle w:val="Header"/>
    </w:pPr>
  </w:p>
</w:hdr>
</file>

<file path=word/header10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3CE6C" w14:textId="77777777" w:rsidR="00327FF1" w:rsidRDefault="00327FF1">
    <w:pPr>
      <w:pStyle w:val="Header"/>
    </w:pPr>
  </w:p>
</w:hdr>
</file>

<file path=word/header1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53641" w14:textId="77777777" w:rsidR="00327FF1" w:rsidRDefault="00327FF1">
    <w:pPr>
      <w:pStyle w:val="Header"/>
      <w:rPr>
        <w:rFonts w:eastAsia="Calibri"/>
      </w:rPr>
    </w:pPr>
  </w:p>
</w:hdr>
</file>

<file path=word/header1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B9CFF" w14:textId="77777777" w:rsidR="00327FF1" w:rsidRDefault="00327FF1">
    <w:pPr>
      <w:pStyle w:val="Header"/>
    </w:pPr>
  </w:p>
</w:hdr>
</file>

<file path=word/header1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7C5B8" w14:textId="77777777" w:rsidR="00327FF1" w:rsidRDefault="00327FF1">
    <w:pPr>
      <w:pStyle w:val="Header"/>
    </w:pPr>
  </w:p>
</w:hdr>
</file>

<file path=word/header1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74932" w14:textId="77777777" w:rsidR="00327FF1" w:rsidRDefault="00327FF1">
    <w:pPr>
      <w:pStyle w:val="Header"/>
      <w:rPr>
        <w:rFonts w:eastAsia="Calibri"/>
      </w:rPr>
    </w:pPr>
  </w:p>
</w:hdr>
</file>

<file path=word/header1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B8C3C" w14:textId="77777777" w:rsidR="00327FF1" w:rsidRDefault="00327FF1">
    <w:pPr>
      <w:pStyle w:val="Header"/>
    </w:pPr>
  </w:p>
</w:hdr>
</file>

<file path=word/header1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26C7A" w14:textId="77777777" w:rsidR="00327FF1" w:rsidRDefault="00327FF1">
    <w:pPr>
      <w:pStyle w:val="Header"/>
    </w:pPr>
  </w:p>
</w:hdr>
</file>

<file path=word/header1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9ADD2" w14:textId="77777777" w:rsidR="00327FF1" w:rsidRDefault="00327FF1">
    <w:pPr>
      <w:pStyle w:val="Header"/>
      <w:rPr>
        <w:rFonts w:eastAsia="Calibri"/>
      </w:rPr>
    </w:pPr>
  </w:p>
</w:hdr>
</file>

<file path=word/header1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69A97" w14:textId="77777777" w:rsidR="00327FF1" w:rsidRDefault="00327FF1">
    <w:pPr>
      <w:pStyle w:val="Header"/>
    </w:pPr>
  </w:p>
</w:hdr>
</file>

<file path=word/header1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FD868" w14:textId="77777777" w:rsidR="00327FF1" w:rsidRDefault="00327FF1">
    <w:pPr>
      <w:pStyle w:val="Header"/>
    </w:pPr>
  </w:p>
</w:hdr>
</file>

<file path=word/header1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19CCB" w14:textId="77777777" w:rsidR="00327FF1" w:rsidRDefault="00327FF1">
    <w:pPr>
      <w:pStyle w:val="Header"/>
      <w:rPr>
        <w:rFonts w:eastAsia="Calibri"/>
      </w:rPr>
    </w:pPr>
  </w:p>
</w:hdr>
</file>

<file path=word/header1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78A21" w14:textId="77777777" w:rsidR="00327FF1" w:rsidRDefault="00327FF1">
    <w:pPr>
      <w:pStyle w:val="Header"/>
    </w:pPr>
  </w:p>
</w:hdr>
</file>

<file path=word/header1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2D5BB" w14:textId="77777777" w:rsidR="00327FF1" w:rsidRDefault="00327FF1">
    <w:pPr>
      <w:pStyle w:val="Header"/>
    </w:pPr>
  </w:p>
</w:hdr>
</file>

<file path=word/header1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4D354" w14:textId="77777777" w:rsidR="00327FF1" w:rsidRDefault="00327FF1">
    <w:pPr>
      <w:pStyle w:val="Header"/>
      <w:rPr>
        <w:rFonts w:eastAsia="Calibri"/>
      </w:rPr>
    </w:pPr>
  </w:p>
</w:hdr>
</file>

<file path=word/header1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AA2C8" w14:textId="77777777" w:rsidR="00327FF1" w:rsidRDefault="00327FF1">
    <w:pPr>
      <w:pStyle w:val="Header"/>
    </w:pPr>
  </w:p>
</w:hdr>
</file>

<file path=word/header1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EC541" w14:textId="77777777" w:rsidR="00327FF1" w:rsidRDefault="00327FF1">
    <w:pPr>
      <w:pStyle w:val="Header"/>
    </w:pPr>
  </w:p>
</w:hdr>
</file>

<file path=word/header1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230E4" w14:textId="77777777" w:rsidR="00327FF1" w:rsidRDefault="00327FF1">
    <w:pPr>
      <w:pStyle w:val="Header"/>
      <w:rPr>
        <w:rFonts w:eastAsia="Calibri"/>
      </w:rPr>
    </w:pPr>
  </w:p>
</w:hdr>
</file>

<file path=word/header1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69BB3" w14:textId="77777777" w:rsidR="00327FF1" w:rsidRDefault="00327FF1">
    <w:pPr>
      <w:pStyle w:val="Header"/>
    </w:pPr>
  </w:p>
</w:hdr>
</file>

<file path=word/header1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60457" w14:textId="77777777" w:rsidR="00327FF1" w:rsidRDefault="00327FF1">
    <w:pPr>
      <w:pStyle w:val="Header"/>
    </w:pPr>
  </w:p>
</w:hdr>
</file>

<file path=word/header1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F0EF6" w14:textId="77777777" w:rsidR="00327FF1" w:rsidRDefault="00327FF1">
    <w:pPr>
      <w:pStyle w:val="Header"/>
      <w:rPr>
        <w:rFonts w:eastAsia="Calibri"/>
      </w:rPr>
    </w:pPr>
  </w:p>
</w:hdr>
</file>

<file path=word/header1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69D7E" w14:textId="77777777" w:rsidR="00327FF1" w:rsidRDefault="00327FF1">
    <w:pPr>
      <w:pStyle w:val="Header"/>
    </w:pPr>
  </w:p>
</w:hdr>
</file>

<file path=word/header1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8A734" w14:textId="77777777" w:rsidR="00327FF1" w:rsidRDefault="00327FF1">
    <w:pPr>
      <w:pStyle w:val="Header"/>
    </w:pPr>
  </w:p>
</w:hdr>
</file>

<file path=word/header1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62F56" w14:textId="77777777" w:rsidR="00327FF1" w:rsidRDefault="00327FF1">
    <w:pPr>
      <w:pStyle w:val="Header"/>
      <w:rPr>
        <w:rFonts w:eastAsia="Calibri"/>
      </w:rPr>
    </w:pPr>
  </w:p>
</w:hdr>
</file>

<file path=word/header1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CA264" w14:textId="77777777" w:rsidR="00327FF1" w:rsidRDefault="00327FF1">
    <w:pPr>
      <w:pStyle w:val="Header"/>
    </w:pPr>
  </w:p>
</w:hdr>
</file>

<file path=word/header1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DF924" w14:textId="77777777" w:rsidR="00327FF1" w:rsidRDefault="00327FF1">
    <w:pPr>
      <w:pStyle w:val="Header"/>
      <w:rPr>
        <w:rFonts w:eastAsia="Calibri"/>
      </w:rPr>
    </w:pPr>
  </w:p>
</w:hdr>
</file>

<file path=word/header1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81B82" w14:textId="77777777" w:rsidR="00327FF1" w:rsidRDefault="00327FF1">
    <w:pPr>
      <w:pStyle w:val="Header"/>
    </w:pPr>
  </w:p>
</w:hdr>
</file>

<file path=word/header1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2783D" w14:textId="77777777" w:rsidR="00327FF1" w:rsidRDefault="00327FF1">
    <w:pPr>
      <w:pStyle w:val="Header"/>
      <w:rPr>
        <w:rFonts w:eastAsia="Calibri"/>
      </w:rPr>
    </w:pPr>
  </w:p>
</w:hdr>
</file>

<file path=word/header1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A5892" w14:textId="77777777" w:rsidR="00327FF1" w:rsidRDefault="00327FF1">
    <w:pPr>
      <w:pStyle w:val="Header"/>
    </w:pPr>
  </w:p>
</w:hdr>
</file>

<file path=word/header1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764B9" w14:textId="77777777" w:rsidR="00327FF1" w:rsidRDefault="00327FF1">
    <w:pPr>
      <w:pStyle w:val="Header"/>
    </w:pPr>
  </w:p>
</w:hdr>
</file>

<file path=word/header1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09257" w14:textId="77777777" w:rsidR="00327FF1" w:rsidRDefault="00327FF1">
    <w:pPr>
      <w:pStyle w:val="Header"/>
      <w:rPr>
        <w:rFonts w:eastAsia="Calibri"/>
      </w:rPr>
    </w:pPr>
  </w:p>
</w:hdr>
</file>

<file path=word/header1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E6209" w14:textId="77777777" w:rsidR="00327FF1" w:rsidRDefault="00327FF1">
    <w:pPr>
      <w:pStyle w:val="Header"/>
    </w:pPr>
  </w:p>
</w:hdr>
</file>

<file path=word/header1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551B1" w14:textId="77777777" w:rsidR="00327FF1" w:rsidRDefault="00327FF1">
    <w:pPr>
      <w:pStyle w:val="Header"/>
    </w:pPr>
  </w:p>
</w:hdr>
</file>

<file path=word/header1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7B83B" w14:textId="77777777" w:rsidR="00327FF1" w:rsidRDefault="00327FF1">
    <w:pPr>
      <w:pStyle w:val="Header"/>
      <w:rPr>
        <w:rFonts w:eastAsia="Calibri"/>
      </w:rPr>
    </w:pPr>
  </w:p>
</w:hdr>
</file>

<file path=word/header1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8C6E9" w14:textId="77777777" w:rsidR="00327FF1" w:rsidRDefault="00327FF1">
    <w:pPr>
      <w:pStyle w:val="Header"/>
    </w:pPr>
  </w:p>
</w:hdr>
</file>

<file path=word/header1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877BB" w14:textId="77777777" w:rsidR="00327FF1" w:rsidRDefault="00327FF1">
    <w:pPr>
      <w:pStyle w:val="Header"/>
    </w:pPr>
  </w:p>
</w:hdr>
</file>

<file path=word/header1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E9DA4" w14:textId="77777777" w:rsidR="00327FF1" w:rsidRDefault="00327FF1">
    <w:pPr>
      <w:pStyle w:val="Header"/>
      <w:rPr>
        <w:rFonts w:eastAsia="Calibri"/>
      </w:rPr>
    </w:pPr>
  </w:p>
</w:hdr>
</file>

<file path=word/header1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F1AEC" w14:textId="77777777" w:rsidR="00327FF1" w:rsidRDefault="00327FF1">
    <w:pPr>
      <w:pStyle w:val="Header"/>
    </w:pPr>
  </w:p>
</w:hdr>
</file>

<file path=word/header1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CC4A7" w14:textId="77777777" w:rsidR="00327FF1" w:rsidRDefault="00327FF1">
    <w:pPr>
      <w:pStyle w:val="Header"/>
    </w:pPr>
  </w:p>
</w:hdr>
</file>

<file path=word/header1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B4352" w14:textId="77777777" w:rsidR="00327FF1" w:rsidRDefault="00327FF1">
    <w:pPr>
      <w:pStyle w:val="Header"/>
      <w:rPr>
        <w:rFonts w:eastAsia="Calibri"/>
      </w:rPr>
    </w:pPr>
  </w:p>
</w:hdr>
</file>

<file path=word/header1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CDDD8" w14:textId="77777777" w:rsidR="00327FF1" w:rsidRDefault="00327FF1">
    <w:pPr>
      <w:pStyle w:val="Header"/>
    </w:pPr>
  </w:p>
</w:hdr>
</file>

<file path=word/header1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15A87" w14:textId="77777777" w:rsidR="00327FF1" w:rsidRDefault="00327FF1">
    <w:pPr>
      <w:pStyle w:val="Header"/>
    </w:pPr>
  </w:p>
</w:hdr>
</file>

<file path=word/header1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48F58" w14:textId="77777777" w:rsidR="00327FF1" w:rsidRDefault="00327FF1">
    <w:pPr>
      <w:pStyle w:val="Header"/>
    </w:pPr>
  </w:p>
</w:hdr>
</file>

<file path=word/header1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8C9FC" w14:textId="77777777" w:rsidR="00327FF1" w:rsidRDefault="00327FF1">
    <w:pPr>
      <w:pStyle w:val="Header"/>
    </w:pPr>
  </w:p>
</w:hdr>
</file>

<file path=word/header1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7D105" w14:textId="77777777" w:rsidR="00327FF1" w:rsidRDefault="00327FF1">
    <w:pPr>
      <w:pStyle w:val="Header"/>
    </w:pPr>
  </w:p>
</w:hdr>
</file>

<file path=word/header1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24B57" w14:textId="77777777" w:rsidR="00327FF1" w:rsidRDefault="00327FF1">
    <w:pPr>
      <w:pStyle w:val="Header"/>
      <w:rPr>
        <w:sz w:val="10"/>
      </w:rPr>
    </w:pPr>
  </w:p>
</w:hdr>
</file>

<file path=word/header1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ECBEC" w14:textId="77777777" w:rsidR="00327FF1" w:rsidRDefault="00327FF1">
    <w:pPr>
      <w:pStyle w:val="Header"/>
    </w:pPr>
  </w:p>
</w:hdr>
</file>

<file path=word/header1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B9B83" w14:textId="77777777" w:rsidR="00327FF1" w:rsidRDefault="00327FF1">
    <w:pPr>
      <w:pStyle w:val="Header"/>
      <w:rPr>
        <w:sz w:val="10"/>
      </w:rPr>
    </w:pPr>
  </w:p>
</w:hdr>
</file>

<file path=word/header1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433DA" w14:textId="77777777" w:rsidR="00327FF1" w:rsidRDefault="00327FF1">
    <w:pPr>
      <w:pStyle w:val="Header"/>
    </w:pPr>
  </w:p>
</w:hdr>
</file>

<file path=word/header1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3A500" w14:textId="77777777" w:rsidR="00327FF1" w:rsidRDefault="00327FF1">
    <w:pPr>
      <w:pStyle w:val="Header"/>
      <w:rPr>
        <w:rFonts w:eastAsia="Calibri"/>
      </w:rPr>
    </w:pPr>
  </w:p>
</w:hdr>
</file>

<file path=word/header1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D681D" w14:textId="77777777" w:rsidR="00327FF1" w:rsidRDefault="00327FF1">
    <w:pPr>
      <w:pStyle w:val="Header"/>
    </w:pPr>
  </w:p>
</w:hdr>
</file>

<file path=word/header1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3C2A1" w14:textId="77777777" w:rsidR="00D500E7" w:rsidRDefault="00D500E7">
    <w:pPr>
      <w:pStyle w:val="Header"/>
      <w:rPr>
        <w:rFonts w:eastAsia="Calibri"/>
      </w:rPr>
    </w:pPr>
  </w:p>
</w:hdr>
</file>

<file path=word/header1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648B9" w14:textId="77777777" w:rsidR="00327FF1" w:rsidRDefault="00327FF1">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3E140CA2"/>
    <w:lvl w:ilvl="0">
      <w:start w:val="1"/>
      <w:numFmt w:val="decimal"/>
      <w:pStyle w:val="ListNumber4"/>
      <w:lvlText w:val="%1."/>
      <w:lvlJc w:val="left"/>
      <w:pPr>
        <w:tabs>
          <w:tab w:val="num" w:pos="1056"/>
        </w:tabs>
        <w:ind w:left="1056" w:hanging="360"/>
      </w:pPr>
    </w:lvl>
  </w:abstractNum>
  <w:abstractNum w:abstractNumId="1" w15:restartNumberingAfterBreak="0">
    <w:nsid w:val="FFFFFF7E"/>
    <w:multiLevelType w:val="singleLevel"/>
    <w:tmpl w:val="55A6272C"/>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3C20270C"/>
    <w:lvl w:ilvl="0">
      <w:start w:val="1"/>
      <w:numFmt w:val="decimal"/>
      <w:pStyle w:val="ListNumber2"/>
      <w:lvlText w:val="%1."/>
      <w:lvlJc w:val="left"/>
      <w:pPr>
        <w:tabs>
          <w:tab w:val="num" w:pos="643"/>
        </w:tabs>
        <w:ind w:left="643" w:hanging="360"/>
      </w:pPr>
    </w:lvl>
  </w:abstractNum>
  <w:abstractNum w:abstractNumId="3" w15:restartNumberingAfterBreak="0">
    <w:nsid w:val="FFFFFF88"/>
    <w:multiLevelType w:val="singleLevel"/>
    <w:tmpl w:val="AD788A4A"/>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3FE82790"/>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D81DA2"/>
    <w:multiLevelType w:val="multilevel"/>
    <w:tmpl w:val="0E1CAF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281CA7"/>
    <w:multiLevelType w:val="hybridMultilevel"/>
    <w:tmpl w:val="8B104CD2"/>
    <w:lvl w:ilvl="0" w:tplc="18090019">
      <w:start w:val="1"/>
      <w:numFmt w:val="lowerLetter"/>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7" w15:restartNumberingAfterBreak="0">
    <w:nsid w:val="02003373"/>
    <w:multiLevelType w:val="hybridMultilevel"/>
    <w:tmpl w:val="F3802738"/>
    <w:lvl w:ilvl="0" w:tplc="FC26DA30">
      <w:start w:val="1"/>
      <w:numFmt w:val="bullet"/>
      <w:lvlText w:val="-"/>
      <w:lvlJc w:val="left"/>
      <w:pPr>
        <w:ind w:left="720" w:hanging="360"/>
      </w:pPr>
      <w:rPr>
        <w:rFonts w:ascii="Symbol" w:hAnsi="Symbol" w:hint="default"/>
      </w:rPr>
    </w:lvl>
    <w:lvl w:ilvl="1" w:tplc="0462880E">
      <w:start w:val="1"/>
      <w:numFmt w:val="bullet"/>
      <w:lvlText w:val="o"/>
      <w:lvlJc w:val="left"/>
      <w:pPr>
        <w:ind w:left="1440" w:hanging="360"/>
      </w:pPr>
      <w:rPr>
        <w:rFonts w:ascii="Courier New" w:hAnsi="Courier New" w:cs="Times New Roman" w:hint="default"/>
      </w:rPr>
    </w:lvl>
    <w:lvl w:ilvl="2" w:tplc="F90A8E8E">
      <w:start w:val="1"/>
      <w:numFmt w:val="bullet"/>
      <w:lvlText w:val=""/>
      <w:lvlJc w:val="left"/>
      <w:pPr>
        <w:ind w:left="2160" w:hanging="360"/>
      </w:pPr>
      <w:rPr>
        <w:rFonts w:ascii="Wingdings" w:hAnsi="Wingdings" w:hint="default"/>
      </w:rPr>
    </w:lvl>
    <w:lvl w:ilvl="3" w:tplc="6D4420D6">
      <w:start w:val="1"/>
      <w:numFmt w:val="bullet"/>
      <w:lvlText w:val=""/>
      <w:lvlJc w:val="left"/>
      <w:pPr>
        <w:ind w:left="2880" w:hanging="360"/>
      </w:pPr>
      <w:rPr>
        <w:rFonts w:ascii="Symbol" w:hAnsi="Symbol" w:hint="default"/>
      </w:rPr>
    </w:lvl>
    <w:lvl w:ilvl="4" w:tplc="16727DC8">
      <w:start w:val="1"/>
      <w:numFmt w:val="bullet"/>
      <w:lvlText w:val="o"/>
      <w:lvlJc w:val="left"/>
      <w:pPr>
        <w:ind w:left="3600" w:hanging="360"/>
      </w:pPr>
      <w:rPr>
        <w:rFonts w:ascii="Courier New" w:hAnsi="Courier New" w:cs="Times New Roman" w:hint="default"/>
      </w:rPr>
    </w:lvl>
    <w:lvl w:ilvl="5" w:tplc="C7B4C740">
      <w:start w:val="1"/>
      <w:numFmt w:val="bullet"/>
      <w:lvlText w:val=""/>
      <w:lvlJc w:val="left"/>
      <w:pPr>
        <w:ind w:left="4320" w:hanging="360"/>
      </w:pPr>
      <w:rPr>
        <w:rFonts w:ascii="Wingdings" w:hAnsi="Wingdings" w:hint="default"/>
      </w:rPr>
    </w:lvl>
    <w:lvl w:ilvl="6" w:tplc="6172E3C4">
      <w:start w:val="1"/>
      <w:numFmt w:val="bullet"/>
      <w:lvlText w:val=""/>
      <w:lvlJc w:val="left"/>
      <w:pPr>
        <w:ind w:left="5040" w:hanging="360"/>
      </w:pPr>
      <w:rPr>
        <w:rFonts w:ascii="Symbol" w:hAnsi="Symbol" w:hint="default"/>
      </w:rPr>
    </w:lvl>
    <w:lvl w:ilvl="7" w:tplc="778A8E7C">
      <w:start w:val="1"/>
      <w:numFmt w:val="bullet"/>
      <w:lvlText w:val="o"/>
      <w:lvlJc w:val="left"/>
      <w:pPr>
        <w:ind w:left="5760" w:hanging="360"/>
      </w:pPr>
      <w:rPr>
        <w:rFonts w:ascii="Courier New" w:hAnsi="Courier New" w:cs="Times New Roman" w:hint="default"/>
      </w:rPr>
    </w:lvl>
    <w:lvl w:ilvl="8" w:tplc="B5700FD6">
      <w:start w:val="1"/>
      <w:numFmt w:val="bullet"/>
      <w:lvlText w:val=""/>
      <w:lvlJc w:val="left"/>
      <w:pPr>
        <w:ind w:left="6480" w:hanging="360"/>
      </w:pPr>
      <w:rPr>
        <w:rFonts w:ascii="Wingdings" w:hAnsi="Wingdings" w:hint="default"/>
      </w:rPr>
    </w:lvl>
  </w:abstractNum>
  <w:abstractNum w:abstractNumId="8" w15:restartNumberingAfterBreak="0">
    <w:nsid w:val="02978374"/>
    <w:multiLevelType w:val="hybridMultilevel"/>
    <w:tmpl w:val="FFFFFFFF"/>
    <w:lvl w:ilvl="0" w:tplc="F94C6FB4">
      <w:start w:val="1"/>
      <w:numFmt w:val="bullet"/>
      <w:lvlText w:val="·"/>
      <w:lvlJc w:val="left"/>
      <w:pPr>
        <w:ind w:left="720" w:hanging="360"/>
      </w:pPr>
      <w:rPr>
        <w:rFonts w:ascii="Symbol" w:hAnsi="Symbol" w:hint="default"/>
      </w:rPr>
    </w:lvl>
    <w:lvl w:ilvl="1" w:tplc="A87C51DE">
      <w:start w:val="1"/>
      <w:numFmt w:val="bullet"/>
      <w:lvlText w:val="o"/>
      <w:lvlJc w:val="left"/>
      <w:pPr>
        <w:ind w:left="1440" w:hanging="360"/>
      </w:pPr>
      <w:rPr>
        <w:rFonts w:ascii="Courier New" w:hAnsi="Courier New" w:hint="default"/>
      </w:rPr>
    </w:lvl>
    <w:lvl w:ilvl="2" w:tplc="476A0580">
      <w:start w:val="1"/>
      <w:numFmt w:val="bullet"/>
      <w:lvlText w:val=""/>
      <w:lvlJc w:val="left"/>
      <w:pPr>
        <w:ind w:left="2160" w:hanging="360"/>
      </w:pPr>
      <w:rPr>
        <w:rFonts w:ascii="Wingdings" w:hAnsi="Wingdings" w:hint="default"/>
      </w:rPr>
    </w:lvl>
    <w:lvl w:ilvl="3" w:tplc="720833BA">
      <w:start w:val="1"/>
      <w:numFmt w:val="bullet"/>
      <w:lvlText w:val=""/>
      <w:lvlJc w:val="left"/>
      <w:pPr>
        <w:ind w:left="2880" w:hanging="360"/>
      </w:pPr>
      <w:rPr>
        <w:rFonts w:ascii="Symbol" w:hAnsi="Symbol" w:hint="default"/>
      </w:rPr>
    </w:lvl>
    <w:lvl w:ilvl="4" w:tplc="B88A2602">
      <w:start w:val="1"/>
      <w:numFmt w:val="bullet"/>
      <w:lvlText w:val="o"/>
      <w:lvlJc w:val="left"/>
      <w:pPr>
        <w:ind w:left="3600" w:hanging="360"/>
      </w:pPr>
      <w:rPr>
        <w:rFonts w:ascii="Courier New" w:hAnsi="Courier New" w:hint="default"/>
      </w:rPr>
    </w:lvl>
    <w:lvl w:ilvl="5" w:tplc="75E40A7A">
      <w:start w:val="1"/>
      <w:numFmt w:val="bullet"/>
      <w:lvlText w:val=""/>
      <w:lvlJc w:val="left"/>
      <w:pPr>
        <w:ind w:left="4320" w:hanging="360"/>
      </w:pPr>
      <w:rPr>
        <w:rFonts w:ascii="Wingdings" w:hAnsi="Wingdings" w:hint="default"/>
      </w:rPr>
    </w:lvl>
    <w:lvl w:ilvl="6" w:tplc="30105FF0">
      <w:start w:val="1"/>
      <w:numFmt w:val="bullet"/>
      <w:lvlText w:val=""/>
      <w:lvlJc w:val="left"/>
      <w:pPr>
        <w:ind w:left="5040" w:hanging="360"/>
      </w:pPr>
      <w:rPr>
        <w:rFonts w:ascii="Symbol" w:hAnsi="Symbol" w:hint="default"/>
      </w:rPr>
    </w:lvl>
    <w:lvl w:ilvl="7" w:tplc="E28A437E">
      <w:start w:val="1"/>
      <w:numFmt w:val="bullet"/>
      <w:lvlText w:val="o"/>
      <w:lvlJc w:val="left"/>
      <w:pPr>
        <w:ind w:left="5760" w:hanging="360"/>
      </w:pPr>
      <w:rPr>
        <w:rFonts w:ascii="Courier New" w:hAnsi="Courier New" w:hint="default"/>
      </w:rPr>
    </w:lvl>
    <w:lvl w:ilvl="8" w:tplc="9B36E314">
      <w:start w:val="1"/>
      <w:numFmt w:val="bullet"/>
      <w:lvlText w:val=""/>
      <w:lvlJc w:val="left"/>
      <w:pPr>
        <w:ind w:left="6480" w:hanging="360"/>
      </w:pPr>
      <w:rPr>
        <w:rFonts w:ascii="Wingdings" w:hAnsi="Wingdings" w:hint="default"/>
      </w:rPr>
    </w:lvl>
  </w:abstractNum>
  <w:abstractNum w:abstractNumId="9" w15:restartNumberingAfterBreak="0">
    <w:nsid w:val="04056853"/>
    <w:multiLevelType w:val="multilevel"/>
    <w:tmpl w:val="C77A159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7D2A71"/>
    <w:multiLevelType w:val="hybridMultilevel"/>
    <w:tmpl w:val="ECC83972"/>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06331374"/>
    <w:multiLevelType w:val="hybridMultilevel"/>
    <w:tmpl w:val="F94A11DC"/>
    <w:lvl w:ilvl="0" w:tplc="18090015">
      <w:start w:val="1"/>
      <w:numFmt w:val="upperLetter"/>
      <w:lvlText w:val="%1."/>
      <w:lvlJc w:val="left"/>
      <w:pPr>
        <w:ind w:left="360" w:hanging="360"/>
      </w:pPr>
    </w:lvl>
    <w:lvl w:ilvl="1" w:tplc="18090019">
      <w:start w:val="1"/>
      <w:numFmt w:val="lowerLetter"/>
      <w:lvlText w:val="%2."/>
      <w:lvlJc w:val="left"/>
      <w:pPr>
        <w:ind w:left="1080" w:hanging="360"/>
      </w:pPr>
    </w:lvl>
    <w:lvl w:ilvl="2" w:tplc="1809001B">
      <w:start w:val="1"/>
      <w:numFmt w:val="lowerRoman"/>
      <w:lvlText w:val="%3."/>
      <w:lvlJc w:val="right"/>
      <w:pPr>
        <w:ind w:left="1800" w:hanging="180"/>
      </w:pPr>
    </w:lvl>
    <w:lvl w:ilvl="3" w:tplc="1809000F">
      <w:start w:val="1"/>
      <w:numFmt w:val="decimal"/>
      <w:lvlText w:val="%4."/>
      <w:lvlJc w:val="left"/>
      <w:pPr>
        <w:ind w:left="2520" w:hanging="360"/>
      </w:pPr>
    </w:lvl>
    <w:lvl w:ilvl="4" w:tplc="18090019">
      <w:start w:val="1"/>
      <w:numFmt w:val="lowerLetter"/>
      <w:lvlText w:val="%5."/>
      <w:lvlJc w:val="left"/>
      <w:pPr>
        <w:ind w:left="3240" w:hanging="360"/>
      </w:pPr>
    </w:lvl>
    <w:lvl w:ilvl="5" w:tplc="1809001B">
      <w:start w:val="1"/>
      <w:numFmt w:val="lowerRoman"/>
      <w:lvlText w:val="%6."/>
      <w:lvlJc w:val="right"/>
      <w:pPr>
        <w:ind w:left="3960" w:hanging="180"/>
      </w:pPr>
    </w:lvl>
    <w:lvl w:ilvl="6" w:tplc="1809000F">
      <w:start w:val="1"/>
      <w:numFmt w:val="decimal"/>
      <w:lvlText w:val="%7."/>
      <w:lvlJc w:val="left"/>
      <w:pPr>
        <w:ind w:left="4680" w:hanging="360"/>
      </w:pPr>
    </w:lvl>
    <w:lvl w:ilvl="7" w:tplc="18090019">
      <w:start w:val="1"/>
      <w:numFmt w:val="lowerLetter"/>
      <w:lvlText w:val="%8."/>
      <w:lvlJc w:val="left"/>
      <w:pPr>
        <w:ind w:left="5400" w:hanging="360"/>
      </w:pPr>
    </w:lvl>
    <w:lvl w:ilvl="8" w:tplc="1809001B">
      <w:start w:val="1"/>
      <w:numFmt w:val="lowerRoman"/>
      <w:lvlText w:val="%9."/>
      <w:lvlJc w:val="right"/>
      <w:pPr>
        <w:ind w:left="6120" w:hanging="180"/>
      </w:pPr>
    </w:lvl>
  </w:abstractNum>
  <w:abstractNum w:abstractNumId="12" w15:restartNumberingAfterBreak="0">
    <w:nsid w:val="06F47115"/>
    <w:multiLevelType w:val="hybridMultilevel"/>
    <w:tmpl w:val="523AD6C6"/>
    <w:lvl w:ilvl="0" w:tplc="E4E01FB6">
      <w:start w:val="1"/>
      <w:numFmt w:val="lowerRoman"/>
      <w:lvlText w:val="%1."/>
      <w:lvlJc w:val="right"/>
      <w:pPr>
        <w:ind w:left="720" w:hanging="360"/>
      </w:pPr>
    </w:lvl>
    <w:lvl w:ilvl="1" w:tplc="CC14CE30">
      <w:start w:val="1"/>
      <w:numFmt w:val="lowerLetter"/>
      <w:lvlText w:val="%2."/>
      <w:lvlJc w:val="left"/>
      <w:pPr>
        <w:ind w:left="1440" w:hanging="360"/>
      </w:pPr>
    </w:lvl>
    <w:lvl w:ilvl="2" w:tplc="7C30A1AA">
      <w:start w:val="1"/>
      <w:numFmt w:val="lowerRoman"/>
      <w:lvlText w:val="%3."/>
      <w:lvlJc w:val="right"/>
      <w:pPr>
        <w:ind w:left="2160" w:hanging="180"/>
      </w:pPr>
    </w:lvl>
    <w:lvl w:ilvl="3" w:tplc="A5343F08">
      <w:start w:val="1"/>
      <w:numFmt w:val="decimal"/>
      <w:lvlText w:val="%4."/>
      <w:lvlJc w:val="left"/>
      <w:pPr>
        <w:ind w:left="2880" w:hanging="360"/>
      </w:pPr>
    </w:lvl>
    <w:lvl w:ilvl="4" w:tplc="A412B3A4">
      <w:start w:val="1"/>
      <w:numFmt w:val="lowerLetter"/>
      <w:lvlText w:val="%5."/>
      <w:lvlJc w:val="left"/>
      <w:pPr>
        <w:ind w:left="3600" w:hanging="360"/>
      </w:pPr>
    </w:lvl>
    <w:lvl w:ilvl="5" w:tplc="2D3A5EC6">
      <w:start w:val="1"/>
      <w:numFmt w:val="lowerRoman"/>
      <w:lvlText w:val="%6."/>
      <w:lvlJc w:val="right"/>
      <w:pPr>
        <w:ind w:left="4320" w:hanging="180"/>
      </w:pPr>
    </w:lvl>
    <w:lvl w:ilvl="6" w:tplc="442A8E74">
      <w:start w:val="1"/>
      <w:numFmt w:val="decimal"/>
      <w:lvlText w:val="%7."/>
      <w:lvlJc w:val="left"/>
      <w:pPr>
        <w:ind w:left="5040" w:hanging="360"/>
      </w:pPr>
    </w:lvl>
    <w:lvl w:ilvl="7" w:tplc="978A2838">
      <w:start w:val="1"/>
      <w:numFmt w:val="lowerLetter"/>
      <w:lvlText w:val="%8."/>
      <w:lvlJc w:val="left"/>
      <w:pPr>
        <w:ind w:left="5760" w:hanging="360"/>
      </w:pPr>
    </w:lvl>
    <w:lvl w:ilvl="8" w:tplc="5EC4DE44">
      <w:start w:val="1"/>
      <w:numFmt w:val="lowerRoman"/>
      <w:lvlText w:val="%9."/>
      <w:lvlJc w:val="right"/>
      <w:pPr>
        <w:ind w:left="6480" w:hanging="180"/>
      </w:pPr>
    </w:lvl>
  </w:abstractNum>
  <w:abstractNum w:abstractNumId="13" w15:restartNumberingAfterBreak="0">
    <w:nsid w:val="0816690D"/>
    <w:multiLevelType w:val="multilevel"/>
    <w:tmpl w:val="6D4EB08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83D4687"/>
    <w:multiLevelType w:val="multilevel"/>
    <w:tmpl w:val="0D3C09D4"/>
    <w:lvl w:ilvl="0">
      <w:start w:val="4"/>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0869CDD7"/>
    <w:multiLevelType w:val="hybridMultilevel"/>
    <w:tmpl w:val="E6F60F72"/>
    <w:lvl w:ilvl="0" w:tplc="CC5A35A2">
      <w:start w:val="1"/>
      <w:numFmt w:val="bullet"/>
      <w:lvlText w:val="-"/>
      <w:lvlJc w:val="left"/>
      <w:pPr>
        <w:ind w:left="720" w:hanging="360"/>
      </w:pPr>
      <w:rPr>
        <w:rFonts w:ascii="Symbol" w:hAnsi="Symbol" w:hint="default"/>
      </w:rPr>
    </w:lvl>
    <w:lvl w:ilvl="1" w:tplc="E90CF390">
      <w:start w:val="1"/>
      <w:numFmt w:val="bullet"/>
      <w:lvlText w:val="o"/>
      <w:lvlJc w:val="left"/>
      <w:pPr>
        <w:ind w:left="1440" w:hanging="360"/>
      </w:pPr>
      <w:rPr>
        <w:rFonts w:ascii="Courier New" w:hAnsi="Courier New" w:cs="Times New Roman" w:hint="default"/>
      </w:rPr>
    </w:lvl>
    <w:lvl w:ilvl="2" w:tplc="62C827A8">
      <w:start w:val="1"/>
      <w:numFmt w:val="bullet"/>
      <w:lvlText w:val=""/>
      <w:lvlJc w:val="left"/>
      <w:pPr>
        <w:ind w:left="2160" w:hanging="360"/>
      </w:pPr>
      <w:rPr>
        <w:rFonts w:ascii="Wingdings" w:hAnsi="Wingdings" w:hint="default"/>
      </w:rPr>
    </w:lvl>
    <w:lvl w:ilvl="3" w:tplc="C6AC6B24">
      <w:start w:val="1"/>
      <w:numFmt w:val="bullet"/>
      <w:lvlText w:val=""/>
      <w:lvlJc w:val="left"/>
      <w:pPr>
        <w:ind w:left="2880" w:hanging="360"/>
      </w:pPr>
      <w:rPr>
        <w:rFonts w:ascii="Symbol" w:hAnsi="Symbol" w:hint="default"/>
      </w:rPr>
    </w:lvl>
    <w:lvl w:ilvl="4" w:tplc="DF44F6A4">
      <w:start w:val="1"/>
      <w:numFmt w:val="bullet"/>
      <w:lvlText w:val="o"/>
      <w:lvlJc w:val="left"/>
      <w:pPr>
        <w:ind w:left="3600" w:hanging="360"/>
      </w:pPr>
      <w:rPr>
        <w:rFonts w:ascii="Courier New" w:hAnsi="Courier New" w:cs="Times New Roman" w:hint="default"/>
      </w:rPr>
    </w:lvl>
    <w:lvl w:ilvl="5" w:tplc="8126F19E">
      <w:start w:val="1"/>
      <w:numFmt w:val="bullet"/>
      <w:lvlText w:val=""/>
      <w:lvlJc w:val="left"/>
      <w:pPr>
        <w:ind w:left="4320" w:hanging="360"/>
      </w:pPr>
      <w:rPr>
        <w:rFonts w:ascii="Wingdings" w:hAnsi="Wingdings" w:hint="default"/>
      </w:rPr>
    </w:lvl>
    <w:lvl w:ilvl="6" w:tplc="E4401EFE">
      <w:start w:val="1"/>
      <w:numFmt w:val="bullet"/>
      <w:lvlText w:val=""/>
      <w:lvlJc w:val="left"/>
      <w:pPr>
        <w:ind w:left="5040" w:hanging="360"/>
      </w:pPr>
      <w:rPr>
        <w:rFonts w:ascii="Symbol" w:hAnsi="Symbol" w:hint="default"/>
      </w:rPr>
    </w:lvl>
    <w:lvl w:ilvl="7" w:tplc="57C0F16C">
      <w:start w:val="1"/>
      <w:numFmt w:val="bullet"/>
      <w:lvlText w:val="o"/>
      <w:lvlJc w:val="left"/>
      <w:pPr>
        <w:ind w:left="5760" w:hanging="360"/>
      </w:pPr>
      <w:rPr>
        <w:rFonts w:ascii="Courier New" w:hAnsi="Courier New" w:cs="Times New Roman" w:hint="default"/>
      </w:rPr>
    </w:lvl>
    <w:lvl w:ilvl="8" w:tplc="59DA7ED4">
      <w:start w:val="1"/>
      <w:numFmt w:val="bullet"/>
      <w:lvlText w:val=""/>
      <w:lvlJc w:val="left"/>
      <w:pPr>
        <w:ind w:left="6480" w:hanging="360"/>
      </w:pPr>
      <w:rPr>
        <w:rFonts w:ascii="Wingdings" w:hAnsi="Wingdings" w:hint="default"/>
      </w:rPr>
    </w:lvl>
  </w:abstractNum>
  <w:abstractNum w:abstractNumId="16" w15:restartNumberingAfterBreak="0">
    <w:nsid w:val="09C45F0E"/>
    <w:multiLevelType w:val="multilevel"/>
    <w:tmpl w:val="569C1C5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B41762F"/>
    <w:multiLevelType w:val="hybridMultilevel"/>
    <w:tmpl w:val="758601BC"/>
    <w:lvl w:ilvl="0" w:tplc="D7FEB5D2">
      <w:start w:val="1"/>
      <w:numFmt w:val="bullet"/>
      <w:lvlText w:val=""/>
      <w:lvlJc w:val="left"/>
      <w:pPr>
        <w:ind w:left="720" w:hanging="360"/>
      </w:pPr>
      <w:rPr>
        <w:rFonts w:ascii="Symbol" w:hAnsi="Symbol" w:hint="default"/>
      </w:rPr>
    </w:lvl>
    <w:lvl w:ilvl="1" w:tplc="B6F0C5A4">
      <w:start w:val="1"/>
      <w:numFmt w:val="bullet"/>
      <w:lvlText w:val="o"/>
      <w:lvlJc w:val="left"/>
      <w:pPr>
        <w:ind w:left="1440" w:hanging="360"/>
      </w:pPr>
      <w:rPr>
        <w:rFonts w:ascii="Courier New" w:hAnsi="Courier New" w:hint="default"/>
      </w:rPr>
    </w:lvl>
    <w:lvl w:ilvl="2" w:tplc="B6601F7E">
      <w:start w:val="1"/>
      <w:numFmt w:val="bullet"/>
      <w:lvlText w:val=""/>
      <w:lvlJc w:val="left"/>
      <w:pPr>
        <w:ind w:left="2160" w:hanging="360"/>
      </w:pPr>
      <w:rPr>
        <w:rFonts w:ascii="Wingdings" w:hAnsi="Wingdings" w:hint="default"/>
      </w:rPr>
    </w:lvl>
    <w:lvl w:ilvl="3" w:tplc="A7F26932">
      <w:start w:val="1"/>
      <w:numFmt w:val="bullet"/>
      <w:lvlText w:val=""/>
      <w:lvlJc w:val="left"/>
      <w:pPr>
        <w:ind w:left="2880" w:hanging="360"/>
      </w:pPr>
      <w:rPr>
        <w:rFonts w:ascii="Symbol" w:hAnsi="Symbol" w:hint="default"/>
      </w:rPr>
    </w:lvl>
    <w:lvl w:ilvl="4" w:tplc="0A001BA4">
      <w:start w:val="1"/>
      <w:numFmt w:val="bullet"/>
      <w:lvlText w:val="o"/>
      <w:lvlJc w:val="left"/>
      <w:pPr>
        <w:ind w:left="3600" w:hanging="360"/>
      </w:pPr>
      <w:rPr>
        <w:rFonts w:ascii="Courier New" w:hAnsi="Courier New" w:hint="default"/>
      </w:rPr>
    </w:lvl>
    <w:lvl w:ilvl="5" w:tplc="C5888858">
      <w:start w:val="1"/>
      <w:numFmt w:val="bullet"/>
      <w:lvlText w:val=""/>
      <w:lvlJc w:val="left"/>
      <w:pPr>
        <w:ind w:left="4320" w:hanging="360"/>
      </w:pPr>
      <w:rPr>
        <w:rFonts w:ascii="Wingdings" w:hAnsi="Wingdings" w:hint="default"/>
      </w:rPr>
    </w:lvl>
    <w:lvl w:ilvl="6" w:tplc="4282EB4C">
      <w:start w:val="1"/>
      <w:numFmt w:val="bullet"/>
      <w:lvlText w:val=""/>
      <w:lvlJc w:val="left"/>
      <w:pPr>
        <w:ind w:left="5040" w:hanging="360"/>
      </w:pPr>
      <w:rPr>
        <w:rFonts w:ascii="Symbol" w:hAnsi="Symbol" w:hint="default"/>
      </w:rPr>
    </w:lvl>
    <w:lvl w:ilvl="7" w:tplc="7A544E5C">
      <w:start w:val="1"/>
      <w:numFmt w:val="bullet"/>
      <w:lvlText w:val="o"/>
      <w:lvlJc w:val="left"/>
      <w:pPr>
        <w:ind w:left="5760" w:hanging="360"/>
      </w:pPr>
      <w:rPr>
        <w:rFonts w:ascii="Courier New" w:hAnsi="Courier New" w:hint="default"/>
      </w:rPr>
    </w:lvl>
    <w:lvl w:ilvl="8" w:tplc="A622FBBC">
      <w:start w:val="1"/>
      <w:numFmt w:val="bullet"/>
      <w:lvlText w:val=""/>
      <w:lvlJc w:val="left"/>
      <w:pPr>
        <w:ind w:left="6480" w:hanging="360"/>
      </w:pPr>
      <w:rPr>
        <w:rFonts w:ascii="Wingdings" w:hAnsi="Wingdings" w:hint="default"/>
      </w:rPr>
    </w:lvl>
  </w:abstractNum>
  <w:abstractNum w:abstractNumId="18" w15:restartNumberingAfterBreak="0">
    <w:nsid w:val="0C8B7279"/>
    <w:multiLevelType w:val="hybridMultilevel"/>
    <w:tmpl w:val="6D724774"/>
    <w:lvl w:ilvl="0" w:tplc="FFFFFFFF">
      <w:start w:val="1"/>
      <w:numFmt w:val="decimal"/>
      <w:lvlText w:val="%1."/>
      <w:lvlJc w:val="left"/>
      <w:pPr>
        <w:ind w:left="2345" w:hanging="360"/>
      </w:pPr>
    </w:lvl>
    <w:lvl w:ilvl="1" w:tplc="FFFFFFFF" w:tentative="1">
      <w:start w:val="1"/>
      <w:numFmt w:val="lowerLetter"/>
      <w:lvlText w:val="%2."/>
      <w:lvlJc w:val="left"/>
      <w:pPr>
        <w:ind w:left="3065" w:hanging="360"/>
      </w:pPr>
    </w:lvl>
    <w:lvl w:ilvl="2" w:tplc="FFFFFFFF" w:tentative="1">
      <w:start w:val="1"/>
      <w:numFmt w:val="lowerRoman"/>
      <w:lvlText w:val="%3."/>
      <w:lvlJc w:val="right"/>
      <w:pPr>
        <w:ind w:left="3785" w:hanging="180"/>
      </w:pPr>
    </w:lvl>
    <w:lvl w:ilvl="3" w:tplc="FFFFFFFF" w:tentative="1">
      <w:start w:val="1"/>
      <w:numFmt w:val="decimal"/>
      <w:lvlText w:val="%4."/>
      <w:lvlJc w:val="left"/>
      <w:pPr>
        <w:ind w:left="4505" w:hanging="360"/>
      </w:pPr>
    </w:lvl>
    <w:lvl w:ilvl="4" w:tplc="FFFFFFFF" w:tentative="1">
      <w:start w:val="1"/>
      <w:numFmt w:val="lowerLetter"/>
      <w:lvlText w:val="%5."/>
      <w:lvlJc w:val="left"/>
      <w:pPr>
        <w:ind w:left="5225" w:hanging="360"/>
      </w:pPr>
    </w:lvl>
    <w:lvl w:ilvl="5" w:tplc="FFFFFFFF" w:tentative="1">
      <w:start w:val="1"/>
      <w:numFmt w:val="lowerRoman"/>
      <w:lvlText w:val="%6."/>
      <w:lvlJc w:val="right"/>
      <w:pPr>
        <w:ind w:left="5945" w:hanging="180"/>
      </w:pPr>
    </w:lvl>
    <w:lvl w:ilvl="6" w:tplc="FFFFFFFF" w:tentative="1">
      <w:start w:val="1"/>
      <w:numFmt w:val="decimal"/>
      <w:lvlText w:val="%7."/>
      <w:lvlJc w:val="left"/>
      <w:pPr>
        <w:ind w:left="6665" w:hanging="360"/>
      </w:pPr>
    </w:lvl>
    <w:lvl w:ilvl="7" w:tplc="FFFFFFFF" w:tentative="1">
      <w:start w:val="1"/>
      <w:numFmt w:val="lowerLetter"/>
      <w:lvlText w:val="%8."/>
      <w:lvlJc w:val="left"/>
      <w:pPr>
        <w:ind w:left="7385" w:hanging="360"/>
      </w:pPr>
    </w:lvl>
    <w:lvl w:ilvl="8" w:tplc="FFFFFFFF" w:tentative="1">
      <w:start w:val="1"/>
      <w:numFmt w:val="lowerRoman"/>
      <w:lvlText w:val="%9."/>
      <w:lvlJc w:val="right"/>
      <w:pPr>
        <w:ind w:left="8105" w:hanging="180"/>
      </w:pPr>
    </w:lvl>
  </w:abstractNum>
  <w:abstractNum w:abstractNumId="19" w15:restartNumberingAfterBreak="0">
    <w:nsid w:val="0D860C36"/>
    <w:multiLevelType w:val="multilevel"/>
    <w:tmpl w:val="3A7E7F8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00D6C98"/>
    <w:multiLevelType w:val="hybridMultilevel"/>
    <w:tmpl w:val="C1183510"/>
    <w:lvl w:ilvl="0" w:tplc="F496A694">
      <w:start w:val="1"/>
      <w:numFmt w:val="bullet"/>
      <w:lvlText w:val=""/>
      <w:lvlJc w:val="left"/>
      <w:pPr>
        <w:ind w:left="720" w:hanging="360"/>
      </w:pPr>
      <w:rPr>
        <w:rFonts w:ascii="Symbol" w:hAnsi="Symbol" w:hint="default"/>
      </w:rPr>
    </w:lvl>
    <w:lvl w:ilvl="1" w:tplc="F4865392">
      <w:start w:val="1"/>
      <w:numFmt w:val="bullet"/>
      <w:lvlText w:val="o"/>
      <w:lvlJc w:val="left"/>
      <w:pPr>
        <w:ind w:left="1440" w:hanging="360"/>
      </w:pPr>
      <w:rPr>
        <w:rFonts w:ascii="Courier New" w:hAnsi="Courier New" w:hint="default"/>
      </w:rPr>
    </w:lvl>
    <w:lvl w:ilvl="2" w:tplc="96A008EE">
      <w:start w:val="1"/>
      <w:numFmt w:val="bullet"/>
      <w:lvlText w:val=""/>
      <w:lvlJc w:val="left"/>
      <w:pPr>
        <w:ind w:left="2160" w:hanging="360"/>
      </w:pPr>
      <w:rPr>
        <w:rFonts w:ascii="Wingdings" w:hAnsi="Wingdings" w:hint="default"/>
      </w:rPr>
    </w:lvl>
    <w:lvl w:ilvl="3" w:tplc="EB0A6D76">
      <w:start w:val="1"/>
      <w:numFmt w:val="bullet"/>
      <w:lvlText w:val=""/>
      <w:lvlJc w:val="left"/>
      <w:pPr>
        <w:ind w:left="2880" w:hanging="360"/>
      </w:pPr>
      <w:rPr>
        <w:rFonts w:ascii="Symbol" w:hAnsi="Symbol" w:hint="default"/>
      </w:rPr>
    </w:lvl>
    <w:lvl w:ilvl="4" w:tplc="CE7ACB2A">
      <w:start w:val="1"/>
      <w:numFmt w:val="bullet"/>
      <w:lvlText w:val="o"/>
      <w:lvlJc w:val="left"/>
      <w:pPr>
        <w:ind w:left="3600" w:hanging="360"/>
      </w:pPr>
      <w:rPr>
        <w:rFonts w:ascii="Courier New" w:hAnsi="Courier New" w:hint="default"/>
      </w:rPr>
    </w:lvl>
    <w:lvl w:ilvl="5" w:tplc="B8064BFA">
      <w:start w:val="1"/>
      <w:numFmt w:val="bullet"/>
      <w:lvlText w:val=""/>
      <w:lvlJc w:val="left"/>
      <w:pPr>
        <w:ind w:left="4320" w:hanging="360"/>
      </w:pPr>
      <w:rPr>
        <w:rFonts w:ascii="Wingdings" w:hAnsi="Wingdings" w:hint="default"/>
      </w:rPr>
    </w:lvl>
    <w:lvl w:ilvl="6" w:tplc="04766396">
      <w:start w:val="1"/>
      <w:numFmt w:val="bullet"/>
      <w:lvlText w:val=""/>
      <w:lvlJc w:val="left"/>
      <w:pPr>
        <w:ind w:left="5040" w:hanging="360"/>
      </w:pPr>
      <w:rPr>
        <w:rFonts w:ascii="Symbol" w:hAnsi="Symbol" w:hint="default"/>
      </w:rPr>
    </w:lvl>
    <w:lvl w:ilvl="7" w:tplc="CFB025BA">
      <w:start w:val="1"/>
      <w:numFmt w:val="bullet"/>
      <w:lvlText w:val="o"/>
      <w:lvlJc w:val="left"/>
      <w:pPr>
        <w:ind w:left="5760" w:hanging="360"/>
      </w:pPr>
      <w:rPr>
        <w:rFonts w:ascii="Courier New" w:hAnsi="Courier New" w:hint="default"/>
      </w:rPr>
    </w:lvl>
    <w:lvl w:ilvl="8" w:tplc="D7F680FE">
      <w:start w:val="1"/>
      <w:numFmt w:val="bullet"/>
      <w:lvlText w:val=""/>
      <w:lvlJc w:val="left"/>
      <w:pPr>
        <w:ind w:left="6480" w:hanging="360"/>
      </w:pPr>
      <w:rPr>
        <w:rFonts w:ascii="Wingdings" w:hAnsi="Wingdings" w:hint="default"/>
      </w:rPr>
    </w:lvl>
  </w:abstractNum>
  <w:abstractNum w:abstractNumId="21" w15:restartNumberingAfterBreak="0">
    <w:nsid w:val="1148198B"/>
    <w:multiLevelType w:val="multilevel"/>
    <w:tmpl w:val="378204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18A1EC2"/>
    <w:multiLevelType w:val="multilevel"/>
    <w:tmpl w:val="4EDCD4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13042290"/>
    <w:multiLevelType w:val="hybridMultilevel"/>
    <w:tmpl w:val="26E691E0"/>
    <w:lvl w:ilvl="0" w:tplc="A1747E5E">
      <w:start w:val="1"/>
      <w:numFmt w:val="lowerLetter"/>
      <w:lvlText w:val="%1)"/>
      <w:lvlJc w:val="left"/>
      <w:pPr>
        <w:ind w:left="405" w:hanging="360"/>
      </w:pPr>
      <w:rPr>
        <w:rFonts w:ascii="Arial Narrow" w:eastAsia="Times New Roman" w:hAnsi="Arial Narrow" w:cs="Times New Roman"/>
      </w:rPr>
    </w:lvl>
    <w:lvl w:ilvl="1" w:tplc="04100019">
      <w:start w:val="1"/>
      <w:numFmt w:val="lowerLetter"/>
      <w:lvlText w:val="%2."/>
      <w:lvlJc w:val="left"/>
      <w:pPr>
        <w:ind w:left="1125" w:hanging="360"/>
      </w:pPr>
    </w:lvl>
    <w:lvl w:ilvl="2" w:tplc="0410001B">
      <w:start w:val="1"/>
      <w:numFmt w:val="lowerRoman"/>
      <w:lvlText w:val="%3."/>
      <w:lvlJc w:val="right"/>
      <w:pPr>
        <w:ind w:left="1845" w:hanging="180"/>
      </w:pPr>
    </w:lvl>
    <w:lvl w:ilvl="3" w:tplc="0410000F">
      <w:start w:val="1"/>
      <w:numFmt w:val="decimal"/>
      <w:lvlText w:val="%4."/>
      <w:lvlJc w:val="left"/>
      <w:pPr>
        <w:ind w:left="2565" w:hanging="360"/>
      </w:pPr>
    </w:lvl>
    <w:lvl w:ilvl="4" w:tplc="04100019">
      <w:start w:val="1"/>
      <w:numFmt w:val="lowerLetter"/>
      <w:lvlText w:val="%5."/>
      <w:lvlJc w:val="left"/>
      <w:pPr>
        <w:ind w:left="3285" w:hanging="360"/>
      </w:pPr>
    </w:lvl>
    <w:lvl w:ilvl="5" w:tplc="0410001B">
      <w:start w:val="1"/>
      <w:numFmt w:val="lowerRoman"/>
      <w:lvlText w:val="%6."/>
      <w:lvlJc w:val="right"/>
      <w:pPr>
        <w:ind w:left="4005" w:hanging="180"/>
      </w:pPr>
    </w:lvl>
    <w:lvl w:ilvl="6" w:tplc="0410000F">
      <w:start w:val="1"/>
      <w:numFmt w:val="decimal"/>
      <w:lvlText w:val="%7."/>
      <w:lvlJc w:val="left"/>
      <w:pPr>
        <w:ind w:left="4725" w:hanging="360"/>
      </w:pPr>
    </w:lvl>
    <w:lvl w:ilvl="7" w:tplc="04100019">
      <w:start w:val="1"/>
      <w:numFmt w:val="lowerLetter"/>
      <w:lvlText w:val="%8."/>
      <w:lvlJc w:val="left"/>
      <w:pPr>
        <w:ind w:left="5445" w:hanging="360"/>
      </w:pPr>
    </w:lvl>
    <w:lvl w:ilvl="8" w:tplc="0410001B">
      <w:start w:val="1"/>
      <w:numFmt w:val="lowerRoman"/>
      <w:lvlText w:val="%9."/>
      <w:lvlJc w:val="right"/>
      <w:pPr>
        <w:ind w:left="6165" w:hanging="180"/>
      </w:pPr>
    </w:lvl>
  </w:abstractNum>
  <w:abstractNum w:abstractNumId="24" w15:restartNumberingAfterBreak="0">
    <w:nsid w:val="14ED7B12"/>
    <w:multiLevelType w:val="hybridMultilevel"/>
    <w:tmpl w:val="29EA5478"/>
    <w:lvl w:ilvl="0" w:tplc="7AACA2A8">
      <w:start w:val="1"/>
      <w:numFmt w:val="lowerRoman"/>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5" w15:restartNumberingAfterBreak="0">
    <w:nsid w:val="15D54647"/>
    <w:multiLevelType w:val="hybridMultilevel"/>
    <w:tmpl w:val="CDD2791E"/>
    <w:lvl w:ilvl="0" w:tplc="ECE249C6">
      <w:start w:val="1"/>
      <w:numFmt w:val="bullet"/>
      <w:lvlText w:val=""/>
      <w:lvlJc w:val="right"/>
      <w:pPr>
        <w:ind w:left="720" w:hanging="360"/>
      </w:pPr>
      <w:rPr>
        <w:rFonts w:ascii="Symbol" w:hAnsi="Symbol" w:hint="default"/>
        <w:color w:val="3A7C22" w:themeColor="accent6" w:themeShade="BF"/>
        <w:spacing w:val="6"/>
        <w:position w:val="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15E226B0"/>
    <w:multiLevelType w:val="multilevel"/>
    <w:tmpl w:val="C5D2BA54"/>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Noto Sans Symbols" w:hAnsi="Noto Sans Symbols" w:hint="default"/>
      </w:rPr>
    </w:lvl>
    <w:lvl w:ilvl="3">
      <w:start w:val="1"/>
      <w:numFmt w:val="bullet"/>
      <w:lvlText w:val="●"/>
      <w:lvlJc w:val="left"/>
      <w:pPr>
        <w:ind w:left="2520" w:hanging="360"/>
      </w:pPr>
      <w:rPr>
        <w:rFonts w:ascii="Noto Sans Symbols" w:hAnsi="Noto Sans Symbols"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Noto Sans Symbols" w:hAnsi="Noto Sans Symbols" w:hint="default"/>
      </w:rPr>
    </w:lvl>
    <w:lvl w:ilvl="6">
      <w:start w:val="1"/>
      <w:numFmt w:val="bullet"/>
      <w:lvlText w:val="●"/>
      <w:lvlJc w:val="left"/>
      <w:pPr>
        <w:ind w:left="4680" w:hanging="360"/>
      </w:pPr>
      <w:rPr>
        <w:rFonts w:ascii="Noto Sans Symbols" w:hAnsi="Noto Sans Symbols"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Noto Sans Symbols" w:hAnsi="Noto Sans Symbols" w:hint="default"/>
      </w:rPr>
    </w:lvl>
  </w:abstractNum>
  <w:abstractNum w:abstractNumId="27" w15:restartNumberingAfterBreak="0">
    <w:nsid w:val="16353175"/>
    <w:multiLevelType w:val="multilevel"/>
    <w:tmpl w:val="397A91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165622D8"/>
    <w:multiLevelType w:val="hybridMultilevel"/>
    <w:tmpl w:val="E6E46808"/>
    <w:lvl w:ilvl="0" w:tplc="1809001B">
      <w:start w:val="1"/>
      <w:numFmt w:val="lowerRoman"/>
      <w:lvlText w:val="%1."/>
      <w:lvlJc w:val="righ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29" w15:restartNumberingAfterBreak="0">
    <w:nsid w:val="181C2342"/>
    <w:multiLevelType w:val="multilevel"/>
    <w:tmpl w:val="BA5E2E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19337120"/>
    <w:multiLevelType w:val="multilevel"/>
    <w:tmpl w:val="3A4A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9811323"/>
    <w:multiLevelType w:val="hybridMultilevel"/>
    <w:tmpl w:val="D428AE04"/>
    <w:lvl w:ilvl="0" w:tplc="07F82988">
      <w:start w:val="1"/>
      <w:numFmt w:val="bullet"/>
      <w:lvlText w:val="-"/>
      <w:lvlJc w:val="left"/>
      <w:pPr>
        <w:ind w:left="1429" w:hanging="360"/>
      </w:pPr>
      <w:rPr>
        <w:rFonts w:ascii="Times New Roman" w:hAnsi="Times New Roman" w:hint="default"/>
      </w:rPr>
    </w:lvl>
    <w:lvl w:ilvl="1" w:tplc="9222CE2E">
      <w:start w:val="1"/>
      <w:numFmt w:val="bullet"/>
      <w:lvlText w:val="o"/>
      <w:lvlJc w:val="left"/>
      <w:pPr>
        <w:ind w:left="2149" w:hanging="360"/>
      </w:pPr>
      <w:rPr>
        <w:rFonts w:ascii="Courier New" w:hAnsi="Courier New" w:hint="default"/>
      </w:rPr>
    </w:lvl>
    <w:lvl w:ilvl="2" w:tplc="701E9312">
      <w:start w:val="1"/>
      <w:numFmt w:val="bullet"/>
      <w:lvlText w:val=""/>
      <w:lvlJc w:val="left"/>
      <w:pPr>
        <w:ind w:left="2869" w:hanging="360"/>
      </w:pPr>
      <w:rPr>
        <w:rFonts w:ascii="Wingdings" w:hAnsi="Wingdings" w:hint="default"/>
      </w:rPr>
    </w:lvl>
    <w:lvl w:ilvl="3" w:tplc="C162749A">
      <w:start w:val="1"/>
      <w:numFmt w:val="bullet"/>
      <w:lvlText w:val=""/>
      <w:lvlJc w:val="left"/>
      <w:pPr>
        <w:ind w:left="3589" w:hanging="360"/>
      </w:pPr>
      <w:rPr>
        <w:rFonts w:ascii="Symbol" w:hAnsi="Symbol" w:hint="default"/>
      </w:rPr>
    </w:lvl>
    <w:lvl w:ilvl="4" w:tplc="BD6EA15C">
      <w:start w:val="1"/>
      <w:numFmt w:val="bullet"/>
      <w:lvlText w:val="o"/>
      <w:lvlJc w:val="left"/>
      <w:pPr>
        <w:ind w:left="4309" w:hanging="360"/>
      </w:pPr>
      <w:rPr>
        <w:rFonts w:ascii="Courier New" w:hAnsi="Courier New" w:hint="default"/>
      </w:rPr>
    </w:lvl>
    <w:lvl w:ilvl="5" w:tplc="B1B03284">
      <w:start w:val="1"/>
      <w:numFmt w:val="bullet"/>
      <w:lvlText w:val=""/>
      <w:lvlJc w:val="left"/>
      <w:pPr>
        <w:ind w:left="5029" w:hanging="360"/>
      </w:pPr>
      <w:rPr>
        <w:rFonts w:ascii="Wingdings" w:hAnsi="Wingdings" w:hint="default"/>
      </w:rPr>
    </w:lvl>
    <w:lvl w:ilvl="6" w:tplc="5BFAF6F2">
      <w:start w:val="1"/>
      <w:numFmt w:val="bullet"/>
      <w:lvlText w:val=""/>
      <w:lvlJc w:val="left"/>
      <w:pPr>
        <w:ind w:left="5749" w:hanging="360"/>
      </w:pPr>
      <w:rPr>
        <w:rFonts w:ascii="Symbol" w:hAnsi="Symbol" w:hint="default"/>
      </w:rPr>
    </w:lvl>
    <w:lvl w:ilvl="7" w:tplc="3D4AC7AE">
      <w:start w:val="1"/>
      <w:numFmt w:val="bullet"/>
      <w:lvlText w:val="o"/>
      <w:lvlJc w:val="left"/>
      <w:pPr>
        <w:ind w:left="6469" w:hanging="360"/>
      </w:pPr>
      <w:rPr>
        <w:rFonts w:ascii="Courier New" w:hAnsi="Courier New" w:hint="default"/>
      </w:rPr>
    </w:lvl>
    <w:lvl w:ilvl="8" w:tplc="0366C68C">
      <w:start w:val="1"/>
      <w:numFmt w:val="bullet"/>
      <w:lvlText w:val=""/>
      <w:lvlJc w:val="left"/>
      <w:pPr>
        <w:ind w:left="7189" w:hanging="360"/>
      </w:pPr>
      <w:rPr>
        <w:rFonts w:ascii="Wingdings" w:hAnsi="Wingdings" w:hint="default"/>
      </w:rPr>
    </w:lvl>
  </w:abstractNum>
  <w:abstractNum w:abstractNumId="32" w15:restartNumberingAfterBreak="0">
    <w:nsid w:val="1A747A46"/>
    <w:multiLevelType w:val="multilevel"/>
    <w:tmpl w:val="DAE6534A"/>
    <w:lvl w:ilvl="0">
      <w:start w:val="5"/>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1B3C78B8"/>
    <w:multiLevelType w:val="multilevel"/>
    <w:tmpl w:val="2ED4F4D0"/>
    <w:name w:val="Point"/>
    <w:lvl w:ilvl="0">
      <w:start w:val="1"/>
      <w:numFmt w:val="decimal"/>
      <w:pStyle w:val="Point0number"/>
      <w:lvlText w:val="(%1)"/>
      <w:lvlJc w:val="left"/>
      <w:pPr>
        <w:tabs>
          <w:tab w:val="num" w:pos="850"/>
        </w:tabs>
        <w:ind w:left="850" w:hanging="850"/>
      </w:pPr>
    </w:lvl>
    <w:lvl w:ilvl="1">
      <w:start w:val="1"/>
      <w:numFmt w:val="lowerLetter"/>
      <w:pStyle w:val="Point3number"/>
      <w:lvlText w:val="(%2)"/>
      <w:lvlJc w:val="left"/>
      <w:pPr>
        <w:tabs>
          <w:tab w:val="num" w:pos="850"/>
        </w:tabs>
        <w:ind w:left="850" w:hanging="850"/>
      </w:pPr>
    </w:lvl>
    <w:lvl w:ilvl="2">
      <w:start w:val="1"/>
      <w:numFmt w:val="decimal"/>
      <w:pStyle w:val="Point0number"/>
      <w:lvlText w:val="(%3)"/>
      <w:lvlJc w:val="left"/>
      <w:pPr>
        <w:tabs>
          <w:tab w:val="num" w:pos="1417"/>
        </w:tabs>
        <w:ind w:left="1417" w:hanging="567"/>
      </w:pPr>
    </w:lvl>
    <w:lvl w:ilvl="3">
      <w:start w:val="1"/>
      <w:numFmt w:val="lowerLetter"/>
      <w:pStyle w:val="Point0letter"/>
      <w:lvlText w:val="(%4)"/>
      <w:lvlJc w:val="left"/>
      <w:pPr>
        <w:tabs>
          <w:tab w:val="num" w:pos="1417"/>
        </w:tabs>
        <w:ind w:left="1417" w:hanging="567"/>
      </w:pPr>
    </w:lvl>
    <w:lvl w:ilvl="4">
      <w:start w:val="1"/>
      <w:numFmt w:val="decimal"/>
      <w:pStyle w:val="Point1number"/>
      <w:lvlText w:val="(%5)"/>
      <w:lvlJc w:val="left"/>
      <w:pPr>
        <w:tabs>
          <w:tab w:val="num" w:pos="1984"/>
        </w:tabs>
        <w:ind w:left="1984" w:hanging="567"/>
      </w:pPr>
    </w:lvl>
    <w:lvl w:ilvl="5">
      <w:start w:val="1"/>
      <w:numFmt w:val="lowerLetter"/>
      <w:pStyle w:val="Point1letter"/>
      <w:lvlText w:val="(%6)"/>
      <w:lvlJc w:val="left"/>
      <w:pPr>
        <w:tabs>
          <w:tab w:val="num" w:pos="1984"/>
        </w:tabs>
        <w:ind w:left="1984" w:hanging="567"/>
      </w:pPr>
    </w:lvl>
    <w:lvl w:ilvl="6">
      <w:start w:val="1"/>
      <w:numFmt w:val="decimal"/>
      <w:pStyle w:val="Point2number"/>
      <w:lvlText w:val="(%7)"/>
      <w:lvlJc w:val="left"/>
      <w:pPr>
        <w:tabs>
          <w:tab w:val="num" w:pos="2551"/>
        </w:tabs>
        <w:ind w:left="2551" w:hanging="567"/>
      </w:pPr>
    </w:lvl>
    <w:lvl w:ilvl="7">
      <w:start w:val="1"/>
      <w:numFmt w:val="lowerLetter"/>
      <w:pStyle w:val="Point2letter"/>
      <w:lvlText w:val="(%8)"/>
      <w:lvlJc w:val="left"/>
      <w:pPr>
        <w:tabs>
          <w:tab w:val="num" w:pos="2551"/>
        </w:tabs>
        <w:ind w:left="2551" w:hanging="567"/>
      </w:pPr>
    </w:lvl>
    <w:lvl w:ilvl="8">
      <w:start w:val="1"/>
      <w:numFmt w:val="lowerLetter"/>
      <w:pStyle w:val="Point3letter"/>
      <w:lvlText w:val="(%9)"/>
      <w:lvlJc w:val="left"/>
      <w:pPr>
        <w:tabs>
          <w:tab w:val="num" w:pos="3118"/>
        </w:tabs>
        <w:ind w:left="3118" w:hanging="567"/>
      </w:pPr>
    </w:lvl>
  </w:abstractNum>
  <w:abstractNum w:abstractNumId="34" w15:restartNumberingAfterBreak="0">
    <w:nsid w:val="1E317D26"/>
    <w:multiLevelType w:val="hybridMultilevel"/>
    <w:tmpl w:val="F2566412"/>
    <w:lvl w:ilvl="0" w:tplc="7CC4E43C">
      <w:start w:val="1"/>
      <w:numFmt w:val="decimal"/>
      <w:lvlText w:val="%1."/>
      <w:lvlJc w:val="left"/>
      <w:pPr>
        <w:ind w:left="720" w:hanging="360"/>
      </w:pPr>
    </w:lvl>
    <w:lvl w:ilvl="1" w:tplc="98B4BE10">
      <w:start w:val="1"/>
      <w:numFmt w:val="lowerLetter"/>
      <w:lvlText w:val="%2."/>
      <w:lvlJc w:val="left"/>
      <w:pPr>
        <w:ind w:left="1440" w:hanging="360"/>
      </w:pPr>
    </w:lvl>
    <w:lvl w:ilvl="2" w:tplc="E28A6A02">
      <w:start w:val="1"/>
      <w:numFmt w:val="lowerRoman"/>
      <w:lvlText w:val="%3."/>
      <w:lvlJc w:val="right"/>
      <w:pPr>
        <w:ind w:left="2160" w:hanging="180"/>
      </w:pPr>
    </w:lvl>
    <w:lvl w:ilvl="3" w:tplc="6EB468B2">
      <w:start w:val="1"/>
      <w:numFmt w:val="decimal"/>
      <w:lvlText w:val="%4."/>
      <w:lvlJc w:val="left"/>
      <w:pPr>
        <w:ind w:left="2880" w:hanging="360"/>
      </w:pPr>
    </w:lvl>
    <w:lvl w:ilvl="4" w:tplc="DD965FD8">
      <w:start w:val="1"/>
      <w:numFmt w:val="lowerLetter"/>
      <w:lvlText w:val="%5."/>
      <w:lvlJc w:val="left"/>
      <w:pPr>
        <w:ind w:left="3600" w:hanging="360"/>
      </w:pPr>
    </w:lvl>
    <w:lvl w:ilvl="5" w:tplc="4E466424">
      <w:start w:val="1"/>
      <w:numFmt w:val="lowerRoman"/>
      <w:lvlText w:val="%6."/>
      <w:lvlJc w:val="right"/>
      <w:pPr>
        <w:ind w:left="4320" w:hanging="180"/>
      </w:pPr>
    </w:lvl>
    <w:lvl w:ilvl="6" w:tplc="2174BC9C">
      <w:start w:val="1"/>
      <w:numFmt w:val="decimal"/>
      <w:lvlText w:val="%7."/>
      <w:lvlJc w:val="left"/>
      <w:pPr>
        <w:ind w:left="5040" w:hanging="360"/>
      </w:pPr>
    </w:lvl>
    <w:lvl w:ilvl="7" w:tplc="3EA00D02">
      <w:start w:val="1"/>
      <w:numFmt w:val="lowerLetter"/>
      <w:lvlText w:val="%8."/>
      <w:lvlJc w:val="left"/>
      <w:pPr>
        <w:ind w:left="5760" w:hanging="360"/>
      </w:pPr>
    </w:lvl>
    <w:lvl w:ilvl="8" w:tplc="4616220A">
      <w:start w:val="1"/>
      <w:numFmt w:val="lowerRoman"/>
      <w:lvlText w:val="%9."/>
      <w:lvlJc w:val="right"/>
      <w:pPr>
        <w:ind w:left="6480" w:hanging="180"/>
      </w:pPr>
    </w:lvl>
  </w:abstractNum>
  <w:abstractNum w:abstractNumId="35" w15:restartNumberingAfterBreak="0">
    <w:nsid w:val="1E950445"/>
    <w:multiLevelType w:val="multilevel"/>
    <w:tmpl w:val="610804BC"/>
    <w:lvl w:ilvl="0">
      <w:start w:val="1"/>
      <w:numFmt w:val="decimal"/>
      <w:lvlText w:val="%1."/>
      <w:lvlJc w:val="left"/>
      <w:pPr>
        <w:ind w:left="476" w:hanging="476"/>
      </w:pPr>
      <w:rPr>
        <w:b/>
        <w:bCs/>
      </w:rPr>
    </w:lvl>
    <w:lvl w:ilvl="1">
      <w:start w:val="1"/>
      <w:numFmt w:val="lowerLetter"/>
      <w:lvlText w:val="%2)"/>
      <w:lvlJc w:val="left"/>
      <w:pPr>
        <w:ind w:left="836" w:hanging="360"/>
      </w:pPr>
    </w:lvl>
    <w:lvl w:ilvl="2">
      <w:start w:val="1"/>
      <w:numFmt w:val="lowerRoman"/>
      <w:lvlText w:val="%3."/>
      <w:lvlJc w:val="left"/>
      <w:pPr>
        <w:ind w:left="1429" w:hanging="476"/>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F49CA69"/>
    <w:multiLevelType w:val="hybridMultilevel"/>
    <w:tmpl w:val="FFFFFFFF"/>
    <w:lvl w:ilvl="0" w:tplc="9BA2FBA8">
      <w:start w:val="1"/>
      <w:numFmt w:val="bullet"/>
      <w:lvlText w:val="·"/>
      <w:lvlJc w:val="left"/>
      <w:pPr>
        <w:ind w:left="720" w:hanging="360"/>
      </w:pPr>
      <w:rPr>
        <w:rFonts w:ascii="&quot;Times New Roman&quot;,serif" w:hAnsi="&quot;Times New Roman&quot;,serif" w:hint="default"/>
      </w:rPr>
    </w:lvl>
    <w:lvl w:ilvl="1" w:tplc="275440D2">
      <w:start w:val="1"/>
      <w:numFmt w:val="bullet"/>
      <w:lvlText w:val="o"/>
      <w:lvlJc w:val="left"/>
      <w:pPr>
        <w:ind w:left="1440" w:hanging="360"/>
      </w:pPr>
      <w:rPr>
        <w:rFonts w:ascii="Courier New" w:hAnsi="Courier New" w:hint="default"/>
      </w:rPr>
    </w:lvl>
    <w:lvl w:ilvl="2" w:tplc="0BD676BC">
      <w:start w:val="1"/>
      <w:numFmt w:val="bullet"/>
      <w:lvlText w:val=""/>
      <w:lvlJc w:val="left"/>
      <w:pPr>
        <w:ind w:left="2160" w:hanging="360"/>
      </w:pPr>
      <w:rPr>
        <w:rFonts w:ascii="Wingdings" w:hAnsi="Wingdings" w:hint="default"/>
      </w:rPr>
    </w:lvl>
    <w:lvl w:ilvl="3" w:tplc="9766BE38">
      <w:start w:val="1"/>
      <w:numFmt w:val="bullet"/>
      <w:lvlText w:val=""/>
      <w:lvlJc w:val="left"/>
      <w:pPr>
        <w:ind w:left="2880" w:hanging="360"/>
      </w:pPr>
      <w:rPr>
        <w:rFonts w:ascii="Symbol" w:hAnsi="Symbol" w:hint="default"/>
      </w:rPr>
    </w:lvl>
    <w:lvl w:ilvl="4" w:tplc="04686B50">
      <w:start w:val="1"/>
      <w:numFmt w:val="bullet"/>
      <w:lvlText w:val="o"/>
      <w:lvlJc w:val="left"/>
      <w:pPr>
        <w:ind w:left="3600" w:hanging="360"/>
      </w:pPr>
      <w:rPr>
        <w:rFonts w:ascii="Courier New" w:hAnsi="Courier New" w:hint="default"/>
      </w:rPr>
    </w:lvl>
    <w:lvl w:ilvl="5" w:tplc="57443B5E">
      <w:start w:val="1"/>
      <w:numFmt w:val="bullet"/>
      <w:lvlText w:val=""/>
      <w:lvlJc w:val="left"/>
      <w:pPr>
        <w:ind w:left="4320" w:hanging="360"/>
      </w:pPr>
      <w:rPr>
        <w:rFonts w:ascii="Wingdings" w:hAnsi="Wingdings" w:hint="default"/>
      </w:rPr>
    </w:lvl>
    <w:lvl w:ilvl="6" w:tplc="0FF6A8E4">
      <w:start w:val="1"/>
      <w:numFmt w:val="bullet"/>
      <w:lvlText w:val=""/>
      <w:lvlJc w:val="left"/>
      <w:pPr>
        <w:ind w:left="5040" w:hanging="360"/>
      </w:pPr>
      <w:rPr>
        <w:rFonts w:ascii="Symbol" w:hAnsi="Symbol" w:hint="default"/>
      </w:rPr>
    </w:lvl>
    <w:lvl w:ilvl="7" w:tplc="ABC400F0">
      <w:start w:val="1"/>
      <w:numFmt w:val="bullet"/>
      <w:lvlText w:val="o"/>
      <w:lvlJc w:val="left"/>
      <w:pPr>
        <w:ind w:left="5760" w:hanging="360"/>
      </w:pPr>
      <w:rPr>
        <w:rFonts w:ascii="Courier New" w:hAnsi="Courier New" w:hint="default"/>
      </w:rPr>
    </w:lvl>
    <w:lvl w:ilvl="8" w:tplc="66C02916">
      <w:start w:val="1"/>
      <w:numFmt w:val="bullet"/>
      <w:lvlText w:val=""/>
      <w:lvlJc w:val="left"/>
      <w:pPr>
        <w:ind w:left="6480" w:hanging="360"/>
      </w:pPr>
      <w:rPr>
        <w:rFonts w:ascii="Wingdings" w:hAnsi="Wingdings" w:hint="default"/>
      </w:rPr>
    </w:lvl>
  </w:abstractNum>
  <w:abstractNum w:abstractNumId="37" w15:restartNumberingAfterBreak="0">
    <w:nsid w:val="1FFB1B04"/>
    <w:multiLevelType w:val="multilevel"/>
    <w:tmpl w:val="B56431F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20012FB"/>
    <w:multiLevelType w:val="multilevel"/>
    <w:tmpl w:val="AADC2D4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22B3650B"/>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2E44180"/>
    <w:multiLevelType w:val="multilevel"/>
    <w:tmpl w:val="DFC88CEC"/>
    <w:lvl w:ilvl="0">
      <w:start w:val="1"/>
      <w:numFmt w:val="decimal"/>
      <w:pStyle w:val="NumPar1"/>
      <w:lvlText w:val="%1."/>
      <w:lvlJc w:val="left"/>
      <w:pPr>
        <w:tabs>
          <w:tab w:val="num" w:pos="850"/>
        </w:tabs>
        <w:ind w:left="850" w:hanging="850"/>
      </w:pPr>
    </w:lvl>
    <w:lvl w:ilvl="1">
      <w:start w:val="1"/>
      <w:numFmt w:val="decimal"/>
      <w:pStyle w:val="NumPar1"/>
      <w:lvlText w:val="%1.%2."/>
      <w:lvlJc w:val="left"/>
      <w:pPr>
        <w:tabs>
          <w:tab w:val="num" w:pos="850"/>
        </w:tabs>
        <w:ind w:left="850" w:hanging="850"/>
      </w:pPr>
    </w:lvl>
    <w:lvl w:ilvl="2">
      <w:start w:val="1"/>
      <w:numFmt w:val="decimal"/>
      <w:pStyle w:val="NumPar2"/>
      <w:lvlText w:val="%1.%2.%3."/>
      <w:lvlJc w:val="left"/>
      <w:pPr>
        <w:tabs>
          <w:tab w:val="num" w:pos="850"/>
        </w:tabs>
        <w:ind w:left="850" w:hanging="850"/>
      </w:pPr>
    </w:lvl>
    <w:lvl w:ilvl="3">
      <w:start w:val="1"/>
      <w:numFmt w:val="decimal"/>
      <w:pStyle w:val="NumPar3"/>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3164AFB"/>
    <w:multiLevelType w:val="hybridMultilevel"/>
    <w:tmpl w:val="8B6C2238"/>
    <w:lvl w:ilvl="0" w:tplc="1C2C3C14">
      <w:start w:val="1"/>
      <w:numFmt w:val="decimal"/>
      <w:lvlText w:val="%1."/>
      <w:lvlJc w:val="left"/>
      <w:pPr>
        <w:ind w:left="1080" w:hanging="360"/>
      </w:pPr>
    </w:lvl>
    <w:lvl w:ilvl="1" w:tplc="400CA014">
      <w:start w:val="1"/>
      <w:numFmt w:val="lowerLetter"/>
      <w:lvlText w:val="%2."/>
      <w:lvlJc w:val="left"/>
      <w:pPr>
        <w:ind w:left="1800" w:hanging="360"/>
      </w:pPr>
    </w:lvl>
    <w:lvl w:ilvl="2" w:tplc="9FE250C4">
      <w:start w:val="1"/>
      <w:numFmt w:val="lowerRoman"/>
      <w:lvlText w:val="%3."/>
      <w:lvlJc w:val="right"/>
      <w:pPr>
        <w:ind w:left="2520" w:hanging="180"/>
      </w:pPr>
    </w:lvl>
    <w:lvl w:ilvl="3" w:tplc="0220BE9C">
      <w:start w:val="1"/>
      <w:numFmt w:val="decimal"/>
      <w:lvlText w:val="%4."/>
      <w:lvlJc w:val="left"/>
      <w:pPr>
        <w:ind w:left="3240" w:hanging="360"/>
      </w:pPr>
    </w:lvl>
    <w:lvl w:ilvl="4" w:tplc="194015C8">
      <w:start w:val="1"/>
      <w:numFmt w:val="lowerLetter"/>
      <w:lvlText w:val="%5."/>
      <w:lvlJc w:val="left"/>
      <w:pPr>
        <w:ind w:left="3960" w:hanging="360"/>
      </w:pPr>
    </w:lvl>
    <w:lvl w:ilvl="5" w:tplc="FD30D5EA">
      <w:start w:val="1"/>
      <w:numFmt w:val="lowerRoman"/>
      <w:lvlText w:val="%6."/>
      <w:lvlJc w:val="right"/>
      <w:pPr>
        <w:ind w:left="4680" w:hanging="180"/>
      </w:pPr>
    </w:lvl>
    <w:lvl w:ilvl="6" w:tplc="17522B08">
      <w:start w:val="1"/>
      <w:numFmt w:val="decimal"/>
      <w:lvlText w:val="%7."/>
      <w:lvlJc w:val="left"/>
      <w:pPr>
        <w:ind w:left="5400" w:hanging="360"/>
      </w:pPr>
    </w:lvl>
    <w:lvl w:ilvl="7" w:tplc="1C7E61F4">
      <w:start w:val="1"/>
      <w:numFmt w:val="lowerLetter"/>
      <w:lvlText w:val="%8."/>
      <w:lvlJc w:val="left"/>
      <w:pPr>
        <w:ind w:left="6120" w:hanging="360"/>
      </w:pPr>
    </w:lvl>
    <w:lvl w:ilvl="8" w:tplc="2A36D5F2">
      <w:start w:val="1"/>
      <w:numFmt w:val="lowerRoman"/>
      <w:lvlText w:val="%9."/>
      <w:lvlJc w:val="right"/>
      <w:pPr>
        <w:ind w:left="6840" w:hanging="180"/>
      </w:pPr>
    </w:lvl>
  </w:abstractNum>
  <w:abstractNum w:abstractNumId="42" w15:restartNumberingAfterBreak="0">
    <w:nsid w:val="23646EE9"/>
    <w:multiLevelType w:val="multilevel"/>
    <w:tmpl w:val="6AE2B6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46A2E3F"/>
    <w:multiLevelType w:val="hybridMultilevel"/>
    <w:tmpl w:val="DDC0CB96"/>
    <w:lvl w:ilvl="0" w:tplc="74F0ABD6">
      <w:start w:val="2025"/>
      <w:numFmt w:val="bullet"/>
      <w:lvlText w:val="-"/>
      <w:lvlJc w:val="left"/>
      <w:pPr>
        <w:ind w:left="1080" w:hanging="360"/>
      </w:pPr>
      <w:rPr>
        <w:rFonts w:ascii="Segoe UI" w:hAnsi="Segoe UI" w:hint="default"/>
      </w:rPr>
    </w:lvl>
    <w:lvl w:ilvl="1" w:tplc="CCD83952">
      <w:start w:val="1"/>
      <w:numFmt w:val="bullet"/>
      <w:lvlText w:val="o"/>
      <w:lvlJc w:val="left"/>
      <w:pPr>
        <w:ind w:left="1800" w:hanging="360"/>
      </w:pPr>
      <w:rPr>
        <w:rFonts w:ascii="Courier New" w:hAnsi="Courier New" w:hint="default"/>
      </w:rPr>
    </w:lvl>
    <w:lvl w:ilvl="2" w:tplc="4D3099A2">
      <w:start w:val="1"/>
      <w:numFmt w:val="bullet"/>
      <w:lvlText w:val=""/>
      <w:lvlJc w:val="left"/>
      <w:pPr>
        <w:ind w:left="2520" w:hanging="360"/>
      </w:pPr>
      <w:rPr>
        <w:rFonts w:ascii="Wingdings" w:hAnsi="Wingdings" w:hint="default"/>
      </w:rPr>
    </w:lvl>
    <w:lvl w:ilvl="3" w:tplc="40989C6E">
      <w:start w:val="1"/>
      <w:numFmt w:val="bullet"/>
      <w:lvlText w:val=""/>
      <w:lvlJc w:val="left"/>
      <w:pPr>
        <w:ind w:left="3240" w:hanging="360"/>
      </w:pPr>
      <w:rPr>
        <w:rFonts w:ascii="Symbol" w:hAnsi="Symbol" w:hint="default"/>
      </w:rPr>
    </w:lvl>
    <w:lvl w:ilvl="4" w:tplc="B6C2CE2E">
      <w:start w:val="1"/>
      <w:numFmt w:val="bullet"/>
      <w:lvlText w:val="o"/>
      <w:lvlJc w:val="left"/>
      <w:pPr>
        <w:ind w:left="3960" w:hanging="360"/>
      </w:pPr>
      <w:rPr>
        <w:rFonts w:ascii="Courier New" w:hAnsi="Courier New" w:hint="default"/>
      </w:rPr>
    </w:lvl>
    <w:lvl w:ilvl="5" w:tplc="71E023EC">
      <w:start w:val="1"/>
      <w:numFmt w:val="bullet"/>
      <w:lvlText w:val=""/>
      <w:lvlJc w:val="left"/>
      <w:pPr>
        <w:ind w:left="4680" w:hanging="360"/>
      </w:pPr>
      <w:rPr>
        <w:rFonts w:ascii="Wingdings" w:hAnsi="Wingdings" w:hint="default"/>
      </w:rPr>
    </w:lvl>
    <w:lvl w:ilvl="6" w:tplc="84FC4682">
      <w:start w:val="1"/>
      <w:numFmt w:val="bullet"/>
      <w:lvlText w:val=""/>
      <w:lvlJc w:val="left"/>
      <w:pPr>
        <w:ind w:left="5400" w:hanging="360"/>
      </w:pPr>
      <w:rPr>
        <w:rFonts w:ascii="Symbol" w:hAnsi="Symbol" w:hint="default"/>
      </w:rPr>
    </w:lvl>
    <w:lvl w:ilvl="7" w:tplc="77FC9FDE">
      <w:start w:val="1"/>
      <w:numFmt w:val="bullet"/>
      <w:lvlText w:val="o"/>
      <w:lvlJc w:val="left"/>
      <w:pPr>
        <w:ind w:left="6120" w:hanging="360"/>
      </w:pPr>
      <w:rPr>
        <w:rFonts w:ascii="Courier New" w:hAnsi="Courier New" w:hint="default"/>
      </w:rPr>
    </w:lvl>
    <w:lvl w:ilvl="8" w:tplc="AF5C0566">
      <w:start w:val="1"/>
      <w:numFmt w:val="bullet"/>
      <w:lvlText w:val=""/>
      <w:lvlJc w:val="left"/>
      <w:pPr>
        <w:ind w:left="6840" w:hanging="360"/>
      </w:pPr>
      <w:rPr>
        <w:rFonts w:ascii="Wingdings" w:hAnsi="Wingdings" w:hint="default"/>
      </w:rPr>
    </w:lvl>
  </w:abstractNum>
  <w:abstractNum w:abstractNumId="44" w15:restartNumberingAfterBreak="0">
    <w:nsid w:val="24AF1572"/>
    <w:multiLevelType w:val="singleLevel"/>
    <w:tmpl w:val="3FE82790"/>
    <w:styleLink w:val="Puntielenco0"/>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24BB5D4E"/>
    <w:multiLevelType w:val="multilevel"/>
    <w:tmpl w:val="8A3A51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24EB7D87"/>
    <w:multiLevelType w:val="multilevel"/>
    <w:tmpl w:val="A4A6DBE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6E7148B"/>
    <w:multiLevelType w:val="hybridMultilevel"/>
    <w:tmpl w:val="AE1ABF60"/>
    <w:lvl w:ilvl="0" w:tplc="3EA80E8E">
      <w:start w:val="1"/>
      <w:numFmt w:val="bullet"/>
      <w:lvlText w:val=""/>
      <w:lvlJc w:val="left"/>
      <w:pPr>
        <w:ind w:left="720" w:hanging="360"/>
      </w:pPr>
      <w:rPr>
        <w:rFonts w:ascii="Symbol" w:hAnsi="Symbol" w:hint="default"/>
      </w:rPr>
    </w:lvl>
    <w:lvl w:ilvl="1" w:tplc="A81EF75A">
      <w:start w:val="1"/>
      <w:numFmt w:val="bullet"/>
      <w:lvlText w:val="o"/>
      <w:lvlJc w:val="left"/>
      <w:pPr>
        <w:ind w:left="1440" w:hanging="360"/>
      </w:pPr>
      <w:rPr>
        <w:rFonts w:ascii="Courier New" w:hAnsi="Courier New" w:hint="default"/>
      </w:rPr>
    </w:lvl>
    <w:lvl w:ilvl="2" w:tplc="C010B64C">
      <w:start w:val="1"/>
      <w:numFmt w:val="bullet"/>
      <w:lvlText w:val=""/>
      <w:lvlJc w:val="left"/>
      <w:pPr>
        <w:ind w:left="2160" w:hanging="360"/>
      </w:pPr>
      <w:rPr>
        <w:rFonts w:ascii="Wingdings" w:hAnsi="Wingdings" w:hint="default"/>
      </w:rPr>
    </w:lvl>
    <w:lvl w:ilvl="3" w:tplc="F8DA74A0">
      <w:start w:val="1"/>
      <w:numFmt w:val="bullet"/>
      <w:lvlText w:val=""/>
      <w:lvlJc w:val="left"/>
      <w:pPr>
        <w:ind w:left="2880" w:hanging="360"/>
      </w:pPr>
      <w:rPr>
        <w:rFonts w:ascii="Symbol" w:hAnsi="Symbol" w:hint="default"/>
      </w:rPr>
    </w:lvl>
    <w:lvl w:ilvl="4" w:tplc="835E426C">
      <w:start w:val="1"/>
      <w:numFmt w:val="bullet"/>
      <w:lvlText w:val="o"/>
      <w:lvlJc w:val="left"/>
      <w:pPr>
        <w:ind w:left="3600" w:hanging="360"/>
      </w:pPr>
      <w:rPr>
        <w:rFonts w:ascii="Courier New" w:hAnsi="Courier New" w:hint="default"/>
      </w:rPr>
    </w:lvl>
    <w:lvl w:ilvl="5" w:tplc="8AC4FF18">
      <w:start w:val="1"/>
      <w:numFmt w:val="bullet"/>
      <w:lvlText w:val=""/>
      <w:lvlJc w:val="left"/>
      <w:pPr>
        <w:ind w:left="4320" w:hanging="360"/>
      </w:pPr>
      <w:rPr>
        <w:rFonts w:ascii="Wingdings" w:hAnsi="Wingdings" w:hint="default"/>
      </w:rPr>
    </w:lvl>
    <w:lvl w:ilvl="6" w:tplc="F3745DE0">
      <w:start w:val="1"/>
      <w:numFmt w:val="bullet"/>
      <w:lvlText w:val=""/>
      <w:lvlJc w:val="left"/>
      <w:pPr>
        <w:ind w:left="5040" w:hanging="360"/>
      </w:pPr>
      <w:rPr>
        <w:rFonts w:ascii="Symbol" w:hAnsi="Symbol" w:hint="default"/>
      </w:rPr>
    </w:lvl>
    <w:lvl w:ilvl="7" w:tplc="BC84CD90">
      <w:start w:val="1"/>
      <w:numFmt w:val="bullet"/>
      <w:lvlText w:val="o"/>
      <w:lvlJc w:val="left"/>
      <w:pPr>
        <w:ind w:left="5760" w:hanging="360"/>
      </w:pPr>
      <w:rPr>
        <w:rFonts w:ascii="Courier New" w:hAnsi="Courier New" w:hint="default"/>
      </w:rPr>
    </w:lvl>
    <w:lvl w:ilvl="8" w:tplc="B418948A">
      <w:start w:val="1"/>
      <w:numFmt w:val="bullet"/>
      <w:lvlText w:val=""/>
      <w:lvlJc w:val="left"/>
      <w:pPr>
        <w:ind w:left="6480" w:hanging="360"/>
      </w:pPr>
      <w:rPr>
        <w:rFonts w:ascii="Wingdings" w:hAnsi="Wingdings" w:hint="default"/>
      </w:rPr>
    </w:lvl>
  </w:abstractNum>
  <w:abstractNum w:abstractNumId="48" w15:restartNumberingAfterBreak="0">
    <w:nsid w:val="27C27310"/>
    <w:multiLevelType w:val="multilevel"/>
    <w:tmpl w:val="14A07D5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85C7D04"/>
    <w:multiLevelType w:val="multilevel"/>
    <w:tmpl w:val="788E53A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8BD17F5"/>
    <w:multiLevelType w:val="hybridMultilevel"/>
    <w:tmpl w:val="6E3089F2"/>
    <w:lvl w:ilvl="0" w:tplc="6E24EB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1" w15:restartNumberingAfterBreak="0">
    <w:nsid w:val="29857FBA"/>
    <w:multiLevelType w:val="hybridMultilevel"/>
    <w:tmpl w:val="0526D434"/>
    <w:lvl w:ilvl="0" w:tplc="C9B23F44">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2" w15:restartNumberingAfterBreak="0">
    <w:nsid w:val="298A4C8A"/>
    <w:multiLevelType w:val="hybridMultilevel"/>
    <w:tmpl w:val="2D4623CC"/>
    <w:lvl w:ilvl="0" w:tplc="D8CCA47E">
      <w:start w:val="1"/>
      <w:numFmt w:val="bullet"/>
      <w:lvlText w:val="-"/>
      <w:lvlJc w:val="left"/>
      <w:pPr>
        <w:ind w:left="360" w:hanging="360"/>
      </w:pPr>
      <w:rPr>
        <w:rFonts w:ascii="Times New Roman" w:hAnsi="Times New Roman" w:cs="Times New Roman" w:hint="default"/>
      </w:rPr>
    </w:lvl>
    <w:lvl w:ilvl="1" w:tplc="18090003" w:tentative="1">
      <w:start w:val="1"/>
      <w:numFmt w:val="bullet"/>
      <w:lvlText w:val="o"/>
      <w:lvlJc w:val="left"/>
      <w:pPr>
        <w:ind w:left="371" w:hanging="360"/>
      </w:pPr>
      <w:rPr>
        <w:rFonts w:ascii="Courier New" w:hAnsi="Courier New" w:cs="Courier New" w:hint="default"/>
      </w:rPr>
    </w:lvl>
    <w:lvl w:ilvl="2" w:tplc="18090005" w:tentative="1">
      <w:start w:val="1"/>
      <w:numFmt w:val="bullet"/>
      <w:lvlText w:val=""/>
      <w:lvlJc w:val="left"/>
      <w:pPr>
        <w:ind w:left="1091" w:hanging="360"/>
      </w:pPr>
      <w:rPr>
        <w:rFonts w:ascii="Wingdings" w:hAnsi="Wingdings" w:hint="default"/>
      </w:rPr>
    </w:lvl>
    <w:lvl w:ilvl="3" w:tplc="18090001" w:tentative="1">
      <w:start w:val="1"/>
      <w:numFmt w:val="bullet"/>
      <w:lvlText w:val=""/>
      <w:lvlJc w:val="left"/>
      <w:pPr>
        <w:ind w:left="1811" w:hanging="360"/>
      </w:pPr>
      <w:rPr>
        <w:rFonts w:ascii="Symbol" w:hAnsi="Symbol" w:hint="default"/>
      </w:rPr>
    </w:lvl>
    <w:lvl w:ilvl="4" w:tplc="18090003" w:tentative="1">
      <w:start w:val="1"/>
      <w:numFmt w:val="bullet"/>
      <w:lvlText w:val="o"/>
      <w:lvlJc w:val="left"/>
      <w:pPr>
        <w:ind w:left="2531" w:hanging="360"/>
      </w:pPr>
      <w:rPr>
        <w:rFonts w:ascii="Courier New" w:hAnsi="Courier New" w:cs="Courier New" w:hint="default"/>
      </w:rPr>
    </w:lvl>
    <w:lvl w:ilvl="5" w:tplc="18090005" w:tentative="1">
      <w:start w:val="1"/>
      <w:numFmt w:val="bullet"/>
      <w:lvlText w:val=""/>
      <w:lvlJc w:val="left"/>
      <w:pPr>
        <w:ind w:left="3251" w:hanging="360"/>
      </w:pPr>
      <w:rPr>
        <w:rFonts w:ascii="Wingdings" w:hAnsi="Wingdings" w:hint="default"/>
      </w:rPr>
    </w:lvl>
    <w:lvl w:ilvl="6" w:tplc="18090001" w:tentative="1">
      <w:start w:val="1"/>
      <w:numFmt w:val="bullet"/>
      <w:lvlText w:val=""/>
      <w:lvlJc w:val="left"/>
      <w:pPr>
        <w:ind w:left="3971" w:hanging="360"/>
      </w:pPr>
      <w:rPr>
        <w:rFonts w:ascii="Symbol" w:hAnsi="Symbol" w:hint="default"/>
      </w:rPr>
    </w:lvl>
    <w:lvl w:ilvl="7" w:tplc="18090003" w:tentative="1">
      <w:start w:val="1"/>
      <w:numFmt w:val="bullet"/>
      <w:lvlText w:val="o"/>
      <w:lvlJc w:val="left"/>
      <w:pPr>
        <w:ind w:left="4691" w:hanging="360"/>
      </w:pPr>
      <w:rPr>
        <w:rFonts w:ascii="Courier New" w:hAnsi="Courier New" w:cs="Courier New" w:hint="default"/>
      </w:rPr>
    </w:lvl>
    <w:lvl w:ilvl="8" w:tplc="18090005" w:tentative="1">
      <w:start w:val="1"/>
      <w:numFmt w:val="bullet"/>
      <w:lvlText w:val=""/>
      <w:lvlJc w:val="left"/>
      <w:pPr>
        <w:ind w:left="5411" w:hanging="360"/>
      </w:pPr>
      <w:rPr>
        <w:rFonts w:ascii="Wingdings" w:hAnsi="Wingdings" w:hint="default"/>
      </w:rPr>
    </w:lvl>
  </w:abstractNum>
  <w:abstractNum w:abstractNumId="53" w15:restartNumberingAfterBreak="0">
    <w:nsid w:val="2A1379F2"/>
    <w:multiLevelType w:val="hybridMultilevel"/>
    <w:tmpl w:val="FFFFFFFF"/>
    <w:lvl w:ilvl="0" w:tplc="FB8CE01E">
      <w:start w:val="1"/>
      <w:numFmt w:val="lowerRoman"/>
      <w:lvlText w:val="%1."/>
      <w:lvlJc w:val="right"/>
      <w:pPr>
        <w:ind w:left="720" w:hanging="360"/>
      </w:pPr>
    </w:lvl>
    <w:lvl w:ilvl="1" w:tplc="7A8E242E">
      <w:start w:val="1"/>
      <w:numFmt w:val="lowerLetter"/>
      <w:lvlText w:val="%2."/>
      <w:lvlJc w:val="left"/>
      <w:pPr>
        <w:ind w:left="1440" w:hanging="360"/>
      </w:pPr>
    </w:lvl>
    <w:lvl w:ilvl="2" w:tplc="7B784084">
      <w:start w:val="1"/>
      <w:numFmt w:val="lowerRoman"/>
      <w:lvlText w:val="%3."/>
      <w:lvlJc w:val="right"/>
      <w:pPr>
        <w:ind w:left="2160" w:hanging="180"/>
      </w:pPr>
    </w:lvl>
    <w:lvl w:ilvl="3" w:tplc="6D54AFC8">
      <w:start w:val="1"/>
      <w:numFmt w:val="decimal"/>
      <w:lvlText w:val="%4."/>
      <w:lvlJc w:val="left"/>
      <w:pPr>
        <w:ind w:left="2880" w:hanging="360"/>
      </w:pPr>
    </w:lvl>
    <w:lvl w:ilvl="4" w:tplc="2728A924">
      <w:start w:val="1"/>
      <w:numFmt w:val="lowerLetter"/>
      <w:lvlText w:val="%5."/>
      <w:lvlJc w:val="left"/>
      <w:pPr>
        <w:ind w:left="3600" w:hanging="360"/>
      </w:pPr>
    </w:lvl>
    <w:lvl w:ilvl="5" w:tplc="6AE40ED8">
      <w:start w:val="1"/>
      <w:numFmt w:val="lowerRoman"/>
      <w:lvlText w:val="%6."/>
      <w:lvlJc w:val="right"/>
      <w:pPr>
        <w:ind w:left="4320" w:hanging="180"/>
      </w:pPr>
    </w:lvl>
    <w:lvl w:ilvl="6" w:tplc="B48873E0">
      <w:start w:val="1"/>
      <w:numFmt w:val="decimal"/>
      <w:lvlText w:val="%7."/>
      <w:lvlJc w:val="left"/>
      <w:pPr>
        <w:ind w:left="5040" w:hanging="360"/>
      </w:pPr>
    </w:lvl>
    <w:lvl w:ilvl="7" w:tplc="D27202C2">
      <w:start w:val="1"/>
      <w:numFmt w:val="lowerLetter"/>
      <w:lvlText w:val="%8."/>
      <w:lvlJc w:val="left"/>
      <w:pPr>
        <w:ind w:left="5760" w:hanging="360"/>
      </w:pPr>
    </w:lvl>
    <w:lvl w:ilvl="8" w:tplc="1F0C88F6">
      <w:start w:val="1"/>
      <w:numFmt w:val="lowerRoman"/>
      <w:lvlText w:val="%9."/>
      <w:lvlJc w:val="right"/>
      <w:pPr>
        <w:ind w:left="6480" w:hanging="180"/>
      </w:pPr>
    </w:lvl>
  </w:abstractNum>
  <w:abstractNum w:abstractNumId="54" w15:restartNumberingAfterBreak="0">
    <w:nsid w:val="2A92660E"/>
    <w:multiLevelType w:val="hybridMultilevel"/>
    <w:tmpl w:val="E50C9DBA"/>
    <w:lvl w:ilvl="0" w:tplc="BCAC91D2">
      <w:numFmt w:val="bullet"/>
      <w:lvlText w:val="-"/>
      <w:lvlJc w:val="left"/>
      <w:pPr>
        <w:ind w:left="720" w:hanging="360"/>
      </w:pPr>
      <w:rPr>
        <w:rFonts w:ascii="Calibri" w:hAnsi="Calibri" w:hint="default"/>
      </w:rPr>
    </w:lvl>
    <w:lvl w:ilvl="1" w:tplc="97B44F9C">
      <w:start w:val="1"/>
      <w:numFmt w:val="bullet"/>
      <w:lvlText w:val="o"/>
      <w:lvlJc w:val="left"/>
      <w:pPr>
        <w:ind w:left="1440" w:hanging="360"/>
      </w:pPr>
      <w:rPr>
        <w:rFonts w:ascii="Courier New" w:hAnsi="Courier New" w:hint="default"/>
      </w:rPr>
    </w:lvl>
    <w:lvl w:ilvl="2" w:tplc="79A880CC">
      <w:start w:val="1"/>
      <w:numFmt w:val="bullet"/>
      <w:lvlText w:val=""/>
      <w:lvlJc w:val="left"/>
      <w:pPr>
        <w:ind w:left="2160" w:hanging="360"/>
      </w:pPr>
      <w:rPr>
        <w:rFonts w:ascii="Wingdings" w:hAnsi="Wingdings" w:hint="default"/>
      </w:rPr>
    </w:lvl>
    <w:lvl w:ilvl="3" w:tplc="9A80CFE2">
      <w:start w:val="1"/>
      <w:numFmt w:val="bullet"/>
      <w:lvlText w:val=""/>
      <w:lvlJc w:val="left"/>
      <w:pPr>
        <w:ind w:left="2880" w:hanging="360"/>
      </w:pPr>
      <w:rPr>
        <w:rFonts w:ascii="Symbol" w:hAnsi="Symbol" w:hint="default"/>
      </w:rPr>
    </w:lvl>
    <w:lvl w:ilvl="4" w:tplc="CB983B8A">
      <w:start w:val="1"/>
      <w:numFmt w:val="bullet"/>
      <w:lvlText w:val="o"/>
      <w:lvlJc w:val="left"/>
      <w:pPr>
        <w:ind w:left="3600" w:hanging="360"/>
      </w:pPr>
      <w:rPr>
        <w:rFonts w:ascii="Courier New" w:hAnsi="Courier New" w:hint="default"/>
      </w:rPr>
    </w:lvl>
    <w:lvl w:ilvl="5" w:tplc="7C3A297C">
      <w:start w:val="1"/>
      <w:numFmt w:val="bullet"/>
      <w:lvlText w:val=""/>
      <w:lvlJc w:val="left"/>
      <w:pPr>
        <w:ind w:left="4320" w:hanging="360"/>
      </w:pPr>
      <w:rPr>
        <w:rFonts w:ascii="Wingdings" w:hAnsi="Wingdings" w:hint="default"/>
      </w:rPr>
    </w:lvl>
    <w:lvl w:ilvl="6" w:tplc="CA804ED0">
      <w:start w:val="1"/>
      <w:numFmt w:val="bullet"/>
      <w:lvlText w:val=""/>
      <w:lvlJc w:val="left"/>
      <w:pPr>
        <w:ind w:left="5040" w:hanging="360"/>
      </w:pPr>
      <w:rPr>
        <w:rFonts w:ascii="Symbol" w:hAnsi="Symbol" w:hint="default"/>
      </w:rPr>
    </w:lvl>
    <w:lvl w:ilvl="7" w:tplc="F2762A04">
      <w:start w:val="1"/>
      <w:numFmt w:val="bullet"/>
      <w:lvlText w:val="o"/>
      <w:lvlJc w:val="left"/>
      <w:pPr>
        <w:ind w:left="5760" w:hanging="360"/>
      </w:pPr>
      <w:rPr>
        <w:rFonts w:ascii="Courier New" w:hAnsi="Courier New" w:hint="default"/>
      </w:rPr>
    </w:lvl>
    <w:lvl w:ilvl="8" w:tplc="35EAA85C">
      <w:start w:val="1"/>
      <w:numFmt w:val="bullet"/>
      <w:lvlText w:val=""/>
      <w:lvlJc w:val="left"/>
      <w:pPr>
        <w:ind w:left="6480" w:hanging="360"/>
      </w:pPr>
      <w:rPr>
        <w:rFonts w:ascii="Wingdings" w:hAnsi="Wingdings" w:hint="default"/>
      </w:rPr>
    </w:lvl>
  </w:abstractNum>
  <w:abstractNum w:abstractNumId="55" w15:restartNumberingAfterBreak="0">
    <w:nsid w:val="2AAA6B98"/>
    <w:multiLevelType w:val="multilevel"/>
    <w:tmpl w:val="5CDAAE0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B436764"/>
    <w:multiLevelType w:val="hybridMultilevel"/>
    <w:tmpl w:val="8DE88880"/>
    <w:lvl w:ilvl="0" w:tplc="D83292C0">
      <w:start w:val="1"/>
      <w:numFmt w:val="bullet"/>
      <w:lvlText w:val="-"/>
      <w:lvlJc w:val="left"/>
      <w:pPr>
        <w:ind w:left="360" w:hanging="360"/>
      </w:pPr>
      <w:rPr>
        <w:rFonts w:ascii="Times" w:hAnsi="Times" w:hint="default"/>
      </w:rPr>
    </w:lvl>
    <w:lvl w:ilvl="1" w:tplc="7E78348C">
      <w:start w:val="1"/>
      <w:numFmt w:val="bullet"/>
      <w:lvlText w:val="o"/>
      <w:lvlJc w:val="left"/>
      <w:pPr>
        <w:ind w:left="2149" w:hanging="360"/>
      </w:pPr>
      <w:rPr>
        <w:rFonts w:ascii="Courier New" w:hAnsi="Courier New" w:hint="default"/>
      </w:rPr>
    </w:lvl>
    <w:lvl w:ilvl="2" w:tplc="432AF8A6">
      <w:start w:val="1"/>
      <w:numFmt w:val="bullet"/>
      <w:lvlText w:val=""/>
      <w:lvlJc w:val="left"/>
      <w:pPr>
        <w:ind w:left="2869" w:hanging="360"/>
      </w:pPr>
      <w:rPr>
        <w:rFonts w:ascii="Wingdings" w:hAnsi="Wingdings" w:hint="default"/>
      </w:rPr>
    </w:lvl>
    <w:lvl w:ilvl="3" w:tplc="82CE792C">
      <w:start w:val="1"/>
      <w:numFmt w:val="bullet"/>
      <w:lvlText w:val=""/>
      <w:lvlJc w:val="left"/>
      <w:pPr>
        <w:ind w:left="3589" w:hanging="360"/>
      </w:pPr>
      <w:rPr>
        <w:rFonts w:ascii="Symbol" w:hAnsi="Symbol" w:hint="default"/>
      </w:rPr>
    </w:lvl>
    <w:lvl w:ilvl="4" w:tplc="21E0FDFE">
      <w:start w:val="1"/>
      <w:numFmt w:val="bullet"/>
      <w:lvlText w:val="o"/>
      <w:lvlJc w:val="left"/>
      <w:pPr>
        <w:ind w:left="4309" w:hanging="360"/>
      </w:pPr>
      <w:rPr>
        <w:rFonts w:ascii="Courier New" w:hAnsi="Courier New" w:hint="default"/>
      </w:rPr>
    </w:lvl>
    <w:lvl w:ilvl="5" w:tplc="9E0E093A">
      <w:start w:val="1"/>
      <w:numFmt w:val="bullet"/>
      <w:lvlText w:val=""/>
      <w:lvlJc w:val="left"/>
      <w:pPr>
        <w:ind w:left="5029" w:hanging="360"/>
      </w:pPr>
      <w:rPr>
        <w:rFonts w:ascii="Wingdings" w:hAnsi="Wingdings" w:hint="default"/>
      </w:rPr>
    </w:lvl>
    <w:lvl w:ilvl="6" w:tplc="72E07D7A">
      <w:start w:val="1"/>
      <w:numFmt w:val="bullet"/>
      <w:lvlText w:val=""/>
      <w:lvlJc w:val="left"/>
      <w:pPr>
        <w:ind w:left="5749" w:hanging="360"/>
      </w:pPr>
      <w:rPr>
        <w:rFonts w:ascii="Symbol" w:hAnsi="Symbol" w:hint="default"/>
      </w:rPr>
    </w:lvl>
    <w:lvl w:ilvl="7" w:tplc="2288421C">
      <w:start w:val="1"/>
      <w:numFmt w:val="bullet"/>
      <w:lvlText w:val="o"/>
      <w:lvlJc w:val="left"/>
      <w:pPr>
        <w:ind w:left="6469" w:hanging="360"/>
      </w:pPr>
      <w:rPr>
        <w:rFonts w:ascii="Courier New" w:hAnsi="Courier New" w:hint="default"/>
      </w:rPr>
    </w:lvl>
    <w:lvl w:ilvl="8" w:tplc="9F3082AC">
      <w:start w:val="1"/>
      <w:numFmt w:val="bullet"/>
      <w:lvlText w:val=""/>
      <w:lvlJc w:val="left"/>
      <w:pPr>
        <w:ind w:left="7189" w:hanging="360"/>
      </w:pPr>
      <w:rPr>
        <w:rFonts w:ascii="Wingdings" w:hAnsi="Wingdings" w:hint="default"/>
      </w:rPr>
    </w:lvl>
  </w:abstractNum>
  <w:abstractNum w:abstractNumId="57" w15:restartNumberingAfterBreak="0">
    <w:nsid w:val="2CE9221F"/>
    <w:multiLevelType w:val="singleLevel"/>
    <w:tmpl w:val="9B4AFB48"/>
    <w:name w:val="Tiret 3"/>
    <w:lvl w:ilvl="0">
      <w:start w:val="1"/>
      <w:numFmt w:val="bullet"/>
      <w:pStyle w:val="Tiret3"/>
      <w:lvlText w:val="–"/>
      <w:lvlJc w:val="left"/>
      <w:pPr>
        <w:tabs>
          <w:tab w:val="num" w:pos="2551"/>
        </w:tabs>
        <w:ind w:left="2551" w:hanging="567"/>
      </w:pPr>
    </w:lvl>
  </w:abstractNum>
  <w:abstractNum w:abstractNumId="58" w15:restartNumberingAfterBreak="0">
    <w:nsid w:val="2D7B7DD8"/>
    <w:multiLevelType w:val="hybridMultilevel"/>
    <w:tmpl w:val="B1C8EDC6"/>
    <w:lvl w:ilvl="0" w:tplc="A7A05992">
      <w:start w:val="1"/>
      <w:numFmt w:val="lowerRoman"/>
      <w:lvlText w:val="%1."/>
      <w:lvlJc w:val="right"/>
      <w:pPr>
        <w:ind w:left="1200" w:hanging="360"/>
      </w:pPr>
    </w:lvl>
    <w:lvl w:ilvl="1" w:tplc="AB5209EE">
      <w:start w:val="1"/>
      <w:numFmt w:val="bullet"/>
      <w:lvlText w:val="o"/>
      <w:lvlJc w:val="left"/>
      <w:pPr>
        <w:ind w:left="1920" w:hanging="360"/>
      </w:pPr>
      <w:rPr>
        <w:rFonts w:ascii="Courier New" w:hAnsi="Courier New" w:hint="default"/>
      </w:rPr>
    </w:lvl>
    <w:lvl w:ilvl="2" w:tplc="5BB4A0EA">
      <w:start w:val="1"/>
      <w:numFmt w:val="bullet"/>
      <w:lvlText w:val=""/>
      <w:lvlJc w:val="left"/>
      <w:pPr>
        <w:ind w:left="2640" w:hanging="360"/>
      </w:pPr>
      <w:rPr>
        <w:rFonts w:ascii="Wingdings" w:hAnsi="Wingdings" w:hint="default"/>
      </w:rPr>
    </w:lvl>
    <w:lvl w:ilvl="3" w:tplc="E3DC026C">
      <w:start w:val="1"/>
      <w:numFmt w:val="bullet"/>
      <w:lvlText w:val=""/>
      <w:lvlJc w:val="left"/>
      <w:pPr>
        <w:ind w:left="3360" w:hanging="360"/>
      </w:pPr>
      <w:rPr>
        <w:rFonts w:ascii="Symbol" w:hAnsi="Symbol" w:hint="default"/>
      </w:rPr>
    </w:lvl>
    <w:lvl w:ilvl="4" w:tplc="67B87DA6">
      <w:start w:val="1"/>
      <w:numFmt w:val="bullet"/>
      <w:lvlText w:val="o"/>
      <w:lvlJc w:val="left"/>
      <w:pPr>
        <w:ind w:left="4080" w:hanging="360"/>
      </w:pPr>
      <w:rPr>
        <w:rFonts w:ascii="Courier New" w:hAnsi="Courier New" w:hint="default"/>
      </w:rPr>
    </w:lvl>
    <w:lvl w:ilvl="5" w:tplc="E79866D6">
      <w:start w:val="1"/>
      <w:numFmt w:val="bullet"/>
      <w:lvlText w:val=""/>
      <w:lvlJc w:val="left"/>
      <w:pPr>
        <w:ind w:left="4800" w:hanging="360"/>
      </w:pPr>
      <w:rPr>
        <w:rFonts w:ascii="Wingdings" w:hAnsi="Wingdings" w:hint="default"/>
      </w:rPr>
    </w:lvl>
    <w:lvl w:ilvl="6" w:tplc="8BFE256E">
      <w:start w:val="1"/>
      <w:numFmt w:val="bullet"/>
      <w:lvlText w:val=""/>
      <w:lvlJc w:val="left"/>
      <w:pPr>
        <w:ind w:left="5520" w:hanging="360"/>
      </w:pPr>
      <w:rPr>
        <w:rFonts w:ascii="Symbol" w:hAnsi="Symbol" w:hint="default"/>
      </w:rPr>
    </w:lvl>
    <w:lvl w:ilvl="7" w:tplc="75CC83D6">
      <w:start w:val="1"/>
      <w:numFmt w:val="bullet"/>
      <w:lvlText w:val="o"/>
      <w:lvlJc w:val="left"/>
      <w:pPr>
        <w:ind w:left="6240" w:hanging="360"/>
      </w:pPr>
      <w:rPr>
        <w:rFonts w:ascii="Courier New" w:hAnsi="Courier New" w:hint="default"/>
      </w:rPr>
    </w:lvl>
    <w:lvl w:ilvl="8" w:tplc="3F04D57E">
      <w:start w:val="1"/>
      <w:numFmt w:val="bullet"/>
      <w:lvlText w:val=""/>
      <w:lvlJc w:val="left"/>
      <w:pPr>
        <w:ind w:left="6960" w:hanging="360"/>
      </w:pPr>
      <w:rPr>
        <w:rFonts w:ascii="Wingdings" w:hAnsi="Wingdings" w:hint="default"/>
      </w:rPr>
    </w:lvl>
  </w:abstractNum>
  <w:abstractNum w:abstractNumId="59" w15:restartNumberingAfterBreak="0">
    <w:nsid w:val="2DD20726"/>
    <w:multiLevelType w:val="multilevel"/>
    <w:tmpl w:val="4E9AF61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ECB60E5"/>
    <w:multiLevelType w:val="hybridMultilevel"/>
    <w:tmpl w:val="CCCE8B74"/>
    <w:lvl w:ilvl="0" w:tplc="04100011">
      <w:start w:val="1"/>
      <w:numFmt w:val="decimal"/>
      <w:lvlText w:val="%1)"/>
      <w:lvlJc w:val="left"/>
      <w:pPr>
        <w:ind w:left="72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300562D1"/>
    <w:multiLevelType w:val="hybridMultilevel"/>
    <w:tmpl w:val="59FC8DF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2" w15:restartNumberingAfterBreak="0">
    <w:nsid w:val="30A44BF3"/>
    <w:multiLevelType w:val="multilevel"/>
    <w:tmpl w:val="282C6B7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1FA11EB"/>
    <w:multiLevelType w:val="singleLevel"/>
    <w:tmpl w:val="3E140CA2"/>
    <w:styleLink w:val="Stileimportato9"/>
    <w:lvl w:ilvl="0">
      <w:start w:val="1"/>
      <w:numFmt w:val="decimal"/>
      <w:lvlText w:val="%1."/>
      <w:lvlJc w:val="left"/>
      <w:pPr>
        <w:tabs>
          <w:tab w:val="num" w:pos="1209"/>
        </w:tabs>
        <w:ind w:left="1209" w:hanging="360"/>
      </w:pPr>
    </w:lvl>
  </w:abstractNum>
  <w:abstractNum w:abstractNumId="64" w15:restartNumberingAfterBreak="0">
    <w:nsid w:val="3362703C"/>
    <w:multiLevelType w:val="multilevel"/>
    <w:tmpl w:val="01C4075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34B4179E"/>
    <w:multiLevelType w:val="hybridMultilevel"/>
    <w:tmpl w:val="B08A5420"/>
    <w:lvl w:ilvl="0" w:tplc="D4123CE4">
      <w:numFmt w:val="bullet"/>
      <w:lvlText w:val="-"/>
      <w:lvlJc w:val="left"/>
      <w:pPr>
        <w:ind w:left="720" w:hanging="360"/>
      </w:pPr>
      <w:rPr>
        <w:rFonts w:ascii="Times New Roman" w:hAnsi="Times New Roman" w:hint="default"/>
      </w:rPr>
    </w:lvl>
    <w:lvl w:ilvl="1" w:tplc="7D1E4522">
      <w:start w:val="1"/>
      <w:numFmt w:val="bullet"/>
      <w:lvlText w:val="o"/>
      <w:lvlJc w:val="left"/>
      <w:pPr>
        <w:ind w:left="1440" w:hanging="360"/>
      </w:pPr>
      <w:rPr>
        <w:rFonts w:ascii="Courier New" w:hAnsi="Courier New" w:hint="default"/>
      </w:rPr>
    </w:lvl>
    <w:lvl w:ilvl="2" w:tplc="7B922D4E">
      <w:start w:val="1"/>
      <w:numFmt w:val="bullet"/>
      <w:lvlText w:val=""/>
      <w:lvlJc w:val="left"/>
      <w:pPr>
        <w:ind w:left="2160" w:hanging="360"/>
      </w:pPr>
      <w:rPr>
        <w:rFonts w:ascii="Wingdings" w:hAnsi="Wingdings" w:hint="default"/>
      </w:rPr>
    </w:lvl>
    <w:lvl w:ilvl="3" w:tplc="60CE2C1A">
      <w:start w:val="1"/>
      <w:numFmt w:val="bullet"/>
      <w:lvlText w:val=""/>
      <w:lvlJc w:val="left"/>
      <w:pPr>
        <w:ind w:left="720" w:hanging="360"/>
      </w:pPr>
      <w:rPr>
        <w:rFonts w:ascii="Symbol" w:hAnsi="Symbol" w:hint="default"/>
      </w:rPr>
    </w:lvl>
    <w:lvl w:ilvl="4" w:tplc="35EAD8CA">
      <w:start w:val="1"/>
      <w:numFmt w:val="bullet"/>
      <w:lvlText w:val="o"/>
      <w:lvlJc w:val="left"/>
      <w:pPr>
        <w:ind w:left="3600" w:hanging="360"/>
      </w:pPr>
      <w:rPr>
        <w:rFonts w:ascii="Courier New" w:hAnsi="Courier New" w:hint="default"/>
      </w:rPr>
    </w:lvl>
    <w:lvl w:ilvl="5" w:tplc="5B5C5EE0">
      <w:start w:val="1"/>
      <w:numFmt w:val="bullet"/>
      <w:lvlText w:val=""/>
      <w:lvlJc w:val="left"/>
      <w:pPr>
        <w:ind w:left="4320" w:hanging="360"/>
      </w:pPr>
      <w:rPr>
        <w:rFonts w:ascii="Wingdings" w:hAnsi="Wingdings" w:hint="default"/>
      </w:rPr>
    </w:lvl>
    <w:lvl w:ilvl="6" w:tplc="4B36AAD2">
      <w:start w:val="1"/>
      <w:numFmt w:val="bullet"/>
      <w:lvlText w:val=""/>
      <w:lvlJc w:val="left"/>
      <w:pPr>
        <w:ind w:left="5040" w:hanging="360"/>
      </w:pPr>
      <w:rPr>
        <w:rFonts w:ascii="Symbol" w:hAnsi="Symbol" w:hint="default"/>
      </w:rPr>
    </w:lvl>
    <w:lvl w:ilvl="7" w:tplc="AF340274">
      <w:start w:val="1"/>
      <w:numFmt w:val="bullet"/>
      <w:lvlText w:val="o"/>
      <w:lvlJc w:val="left"/>
      <w:pPr>
        <w:ind w:left="5760" w:hanging="360"/>
      </w:pPr>
      <w:rPr>
        <w:rFonts w:ascii="Courier New" w:hAnsi="Courier New" w:hint="default"/>
      </w:rPr>
    </w:lvl>
    <w:lvl w:ilvl="8" w:tplc="65780F62">
      <w:start w:val="1"/>
      <w:numFmt w:val="bullet"/>
      <w:lvlText w:val=""/>
      <w:lvlJc w:val="left"/>
      <w:pPr>
        <w:ind w:left="6480" w:hanging="360"/>
      </w:pPr>
      <w:rPr>
        <w:rFonts w:ascii="Wingdings" w:hAnsi="Wingdings" w:hint="default"/>
      </w:rPr>
    </w:lvl>
  </w:abstractNum>
  <w:abstractNum w:abstractNumId="66" w15:restartNumberingAfterBreak="0">
    <w:nsid w:val="35052DDB"/>
    <w:multiLevelType w:val="multilevel"/>
    <w:tmpl w:val="7E08834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56518DC"/>
    <w:multiLevelType w:val="multilevel"/>
    <w:tmpl w:val="C5A040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5F535D1"/>
    <w:multiLevelType w:val="multilevel"/>
    <w:tmpl w:val="C11E24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72537F3"/>
    <w:multiLevelType w:val="hybridMultilevel"/>
    <w:tmpl w:val="3E14E07E"/>
    <w:lvl w:ilvl="0" w:tplc="8EBEB170">
      <w:start w:val="1"/>
      <w:numFmt w:val="decimal"/>
      <w:lvlText w:val="%1."/>
      <w:lvlJc w:val="left"/>
      <w:pPr>
        <w:ind w:left="720" w:hanging="360"/>
      </w:pPr>
    </w:lvl>
    <w:lvl w:ilvl="1" w:tplc="18090019">
      <w:start w:val="1"/>
      <w:numFmt w:val="lowerLetter"/>
      <w:lvlText w:val="%2."/>
      <w:lvlJc w:val="left"/>
      <w:pPr>
        <w:ind w:left="-720" w:hanging="360"/>
      </w:pPr>
    </w:lvl>
    <w:lvl w:ilvl="2" w:tplc="1809001B">
      <w:start w:val="1"/>
      <w:numFmt w:val="lowerRoman"/>
      <w:lvlText w:val="%3."/>
      <w:lvlJc w:val="right"/>
      <w:pPr>
        <w:ind w:left="0" w:hanging="180"/>
      </w:pPr>
    </w:lvl>
    <w:lvl w:ilvl="3" w:tplc="1809000F">
      <w:start w:val="1"/>
      <w:numFmt w:val="decimal"/>
      <w:lvlText w:val="%4."/>
      <w:lvlJc w:val="left"/>
      <w:pPr>
        <w:ind w:left="720" w:hanging="360"/>
      </w:pPr>
    </w:lvl>
    <w:lvl w:ilvl="4" w:tplc="18090019">
      <w:start w:val="1"/>
      <w:numFmt w:val="lowerLetter"/>
      <w:lvlText w:val="%5."/>
      <w:lvlJc w:val="left"/>
      <w:pPr>
        <w:ind w:left="1440" w:hanging="360"/>
      </w:pPr>
    </w:lvl>
    <w:lvl w:ilvl="5" w:tplc="1809001B">
      <w:start w:val="1"/>
      <w:numFmt w:val="lowerRoman"/>
      <w:lvlText w:val="%6."/>
      <w:lvlJc w:val="right"/>
      <w:pPr>
        <w:ind w:left="2160" w:hanging="180"/>
      </w:pPr>
    </w:lvl>
    <w:lvl w:ilvl="6" w:tplc="1809000F">
      <w:start w:val="1"/>
      <w:numFmt w:val="decimal"/>
      <w:lvlText w:val="%7."/>
      <w:lvlJc w:val="left"/>
      <w:pPr>
        <w:ind w:left="2880" w:hanging="360"/>
      </w:pPr>
    </w:lvl>
    <w:lvl w:ilvl="7" w:tplc="18090019">
      <w:start w:val="1"/>
      <w:numFmt w:val="lowerLetter"/>
      <w:lvlText w:val="%8."/>
      <w:lvlJc w:val="left"/>
      <w:pPr>
        <w:ind w:left="3600" w:hanging="360"/>
      </w:pPr>
    </w:lvl>
    <w:lvl w:ilvl="8" w:tplc="1809001B">
      <w:start w:val="1"/>
      <w:numFmt w:val="lowerRoman"/>
      <w:lvlText w:val="%9."/>
      <w:lvlJc w:val="right"/>
      <w:pPr>
        <w:ind w:left="4320" w:hanging="180"/>
      </w:pPr>
    </w:lvl>
  </w:abstractNum>
  <w:abstractNum w:abstractNumId="70" w15:restartNumberingAfterBreak="0">
    <w:nsid w:val="3758C3CB"/>
    <w:multiLevelType w:val="hybridMultilevel"/>
    <w:tmpl w:val="4DFC13A4"/>
    <w:lvl w:ilvl="0" w:tplc="BA84E760">
      <w:start w:val="1"/>
      <w:numFmt w:val="bullet"/>
      <w:lvlText w:val=""/>
      <w:lvlJc w:val="left"/>
      <w:pPr>
        <w:ind w:left="720" w:hanging="360"/>
      </w:pPr>
      <w:rPr>
        <w:rFonts w:ascii="Symbol" w:hAnsi="Symbol" w:hint="default"/>
      </w:rPr>
    </w:lvl>
    <w:lvl w:ilvl="1" w:tplc="ED1A8E8E">
      <w:start w:val="1"/>
      <w:numFmt w:val="bullet"/>
      <w:lvlText w:val="o"/>
      <w:lvlJc w:val="left"/>
      <w:pPr>
        <w:ind w:left="1440" w:hanging="360"/>
      </w:pPr>
      <w:rPr>
        <w:rFonts w:ascii="Courier New" w:hAnsi="Courier New" w:hint="default"/>
      </w:rPr>
    </w:lvl>
    <w:lvl w:ilvl="2" w:tplc="67B85CAA">
      <w:start w:val="1"/>
      <w:numFmt w:val="bullet"/>
      <w:lvlText w:val=""/>
      <w:lvlJc w:val="left"/>
      <w:pPr>
        <w:ind w:left="2160" w:hanging="360"/>
      </w:pPr>
      <w:rPr>
        <w:rFonts w:ascii="Wingdings" w:hAnsi="Wingdings" w:hint="default"/>
      </w:rPr>
    </w:lvl>
    <w:lvl w:ilvl="3" w:tplc="39DE89E6">
      <w:start w:val="1"/>
      <w:numFmt w:val="bullet"/>
      <w:lvlText w:val=""/>
      <w:lvlJc w:val="left"/>
      <w:pPr>
        <w:ind w:left="2880" w:hanging="360"/>
      </w:pPr>
      <w:rPr>
        <w:rFonts w:ascii="Symbol" w:hAnsi="Symbol" w:hint="default"/>
      </w:rPr>
    </w:lvl>
    <w:lvl w:ilvl="4" w:tplc="D560473C">
      <w:start w:val="1"/>
      <w:numFmt w:val="bullet"/>
      <w:lvlText w:val="o"/>
      <w:lvlJc w:val="left"/>
      <w:pPr>
        <w:ind w:left="3600" w:hanging="360"/>
      </w:pPr>
      <w:rPr>
        <w:rFonts w:ascii="Courier New" w:hAnsi="Courier New" w:hint="default"/>
      </w:rPr>
    </w:lvl>
    <w:lvl w:ilvl="5" w:tplc="5ACE0484">
      <w:start w:val="1"/>
      <w:numFmt w:val="bullet"/>
      <w:lvlText w:val=""/>
      <w:lvlJc w:val="left"/>
      <w:pPr>
        <w:ind w:left="4320" w:hanging="360"/>
      </w:pPr>
      <w:rPr>
        <w:rFonts w:ascii="Wingdings" w:hAnsi="Wingdings" w:hint="default"/>
      </w:rPr>
    </w:lvl>
    <w:lvl w:ilvl="6" w:tplc="8E560066">
      <w:start w:val="1"/>
      <w:numFmt w:val="bullet"/>
      <w:lvlText w:val=""/>
      <w:lvlJc w:val="left"/>
      <w:pPr>
        <w:ind w:left="5040" w:hanging="360"/>
      </w:pPr>
      <w:rPr>
        <w:rFonts w:ascii="Symbol" w:hAnsi="Symbol" w:hint="default"/>
      </w:rPr>
    </w:lvl>
    <w:lvl w:ilvl="7" w:tplc="8D743554">
      <w:start w:val="1"/>
      <w:numFmt w:val="bullet"/>
      <w:lvlText w:val="o"/>
      <w:lvlJc w:val="left"/>
      <w:pPr>
        <w:ind w:left="5760" w:hanging="360"/>
      </w:pPr>
      <w:rPr>
        <w:rFonts w:ascii="Courier New" w:hAnsi="Courier New" w:hint="default"/>
      </w:rPr>
    </w:lvl>
    <w:lvl w:ilvl="8" w:tplc="40A0AD42">
      <w:start w:val="1"/>
      <w:numFmt w:val="bullet"/>
      <w:lvlText w:val=""/>
      <w:lvlJc w:val="left"/>
      <w:pPr>
        <w:ind w:left="6480" w:hanging="360"/>
      </w:pPr>
      <w:rPr>
        <w:rFonts w:ascii="Wingdings" w:hAnsi="Wingdings" w:hint="default"/>
      </w:rPr>
    </w:lvl>
  </w:abstractNum>
  <w:abstractNum w:abstractNumId="71" w15:restartNumberingAfterBreak="0">
    <w:nsid w:val="388A35A8"/>
    <w:multiLevelType w:val="multilevel"/>
    <w:tmpl w:val="367477D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39135ED7"/>
    <w:multiLevelType w:val="multilevel"/>
    <w:tmpl w:val="9DAAF18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B0034E6"/>
    <w:multiLevelType w:val="hybridMultilevel"/>
    <w:tmpl w:val="27508D34"/>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74" w15:restartNumberingAfterBreak="0">
    <w:nsid w:val="3CDC02B7"/>
    <w:multiLevelType w:val="multilevel"/>
    <w:tmpl w:val="A41AE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CEA2929"/>
    <w:multiLevelType w:val="multilevel"/>
    <w:tmpl w:val="ACAEFF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DF2400B"/>
    <w:multiLevelType w:val="hybridMultilevel"/>
    <w:tmpl w:val="6AE078CE"/>
    <w:lvl w:ilvl="0" w:tplc="EFFAF4EA">
      <w:start w:val="1"/>
      <w:numFmt w:val="decimal"/>
      <w:lvlText w:val="%1."/>
      <w:lvlJc w:val="left"/>
      <w:pPr>
        <w:ind w:left="720" w:hanging="360"/>
      </w:pPr>
    </w:lvl>
    <w:lvl w:ilvl="1" w:tplc="51EC3BF0">
      <w:start w:val="1"/>
      <w:numFmt w:val="lowerLetter"/>
      <w:lvlText w:val="%2."/>
      <w:lvlJc w:val="left"/>
      <w:pPr>
        <w:ind w:left="1440" w:hanging="360"/>
      </w:pPr>
    </w:lvl>
    <w:lvl w:ilvl="2" w:tplc="E40890F6">
      <w:start w:val="1"/>
      <w:numFmt w:val="lowerRoman"/>
      <w:lvlText w:val="%3."/>
      <w:lvlJc w:val="right"/>
      <w:pPr>
        <w:ind w:left="2160" w:hanging="180"/>
      </w:pPr>
    </w:lvl>
    <w:lvl w:ilvl="3" w:tplc="9FA276BA">
      <w:start w:val="1"/>
      <w:numFmt w:val="decimal"/>
      <w:lvlText w:val="%4."/>
      <w:lvlJc w:val="left"/>
      <w:pPr>
        <w:ind w:left="2880" w:hanging="360"/>
      </w:pPr>
    </w:lvl>
    <w:lvl w:ilvl="4" w:tplc="3FAC320E">
      <w:start w:val="1"/>
      <w:numFmt w:val="lowerLetter"/>
      <w:lvlText w:val="%5."/>
      <w:lvlJc w:val="left"/>
      <w:pPr>
        <w:ind w:left="3600" w:hanging="360"/>
      </w:pPr>
    </w:lvl>
    <w:lvl w:ilvl="5" w:tplc="A17A4636">
      <w:start w:val="1"/>
      <w:numFmt w:val="lowerRoman"/>
      <w:lvlText w:val="%6."/>
      <w:lvlJc w:val="right"/>
      <w:pPr>
        <w:ind w:left="4320" w:hanging="180"/>
      </w:pPr>
    </w:lvl>
    <w:lvl w:ilvl="6" w:tplc="06542920">
      <w:start w:val="1"/>
      <w:numFmt w:val="decimal"/>
      <w:lvlText w:val="%7."/>
      <w:lvlJc w:val="left"/>
      <w:pPr>
        <w:ind w:left="5040" w:hanging="360"/>
      </w:pPr>
    </w:lvl>
    <w:lvl w:ilvl="7" w:tplc="38265764">
      <w:start w:val="1"/>
      <w:numFmt w:val="lowerLetter"/>
      <w:lvlText w:val="%8."/>
      <w:lvlJc w:val="left"/>
      <w:pPr>
        <w:ind w:left="5760" w:hanging="360"/>
      </w:pPr>
    </w:lvl>
    <w:lvl w:ilvl="8" w:tplc="E85E00CC">
      <w:start w:val="1"/>
      <w:numFmt w:val="lowerRoman"/>
      <w:lvlText w:val="%9."/>
      <w:lvlJc w:val="right"/>
      <w:pPr>
        <w:ind w:left="6480" w:hanging="180"/>
      </w:pPr>
    </w:lvl>
  </w:abstractNum>
  <w:abstractNum w:abstractNumId="77" w15:restartNumberingAfterBreak="0">
    <w:nsid w:val="3F974E87"/>
    <w:multiLevelType w:val="hybridMultilevel"/>
    <w:tmpl w:val="C9B23A4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8" w15:restartNumberingAfterBreak="0">
    <w:nsid w:val="3FF67517"/>
    <w:multiLevelType w:val="multilevel"/>
    <w:tmpl w:val="636A55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40B53049"/>
    <w:multiLevelType w:val="multilevel"/>
    <w:tmpl w:val="79169D2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1227CF3"/>
    <w:multiLevelType w:val="hybridMultilevel"/>
    <w:tmpl w:val="399A2470"/>
    <w:lvl w:ilvl="0" w:tplc="8250AAD8">
      <w:numFmt w:val="bullet"/>
      <w:lvlText w:val="-"/>
      <w:lvlJc w:val="left"/>
      <w:pPr>
        <w:ind w:left="1069" w:hanging="360"/>
      </w:pPr>
      <w:rPr>
        <w:rFonts w:ascii="Times New Roman" w:hAnsi="Times New Roman" w:hint="default"/>
      </w:rPr>
    </w:lvl>
    <w:lvl w:ilvl="1" w:tplc="94248EB8">
      <w:start w:val="1"/>
      <w:numFmt w:val="bullet"/>
      <w:lvlText w:val="o"/>
      <w:lvlJc w:val="left"/>
      <w:pPr>
        <w:ind w:left="1789" w:hanging="360"/>
      </w:pPr>
      <w:rPr>
        <w:rFonts w:ascii="Courier New" w:hAnsi="Courier New" w:hint="default"/>
      </w:rPr>
    </w:lvl>
    <w:lvl w:ilvl="2" w:tplc="BCDCFBF2">
      <w:start w:val="1"/>
      <w:numFmt w:val="bullet"/>
      <w:lvlText w:val=""/>
      <w:lvlJc w:val="left"/>
      <w:pPr>
        <w:ind w:left="2509" w:hanging="360"/>
      </w:pPr>
      <w:rPr>
        <w:rFonts w:ascii="Wingdings" w:hAnsi="Wingdings" w:hint="default"/>
      </w:rPr>
    </w:lvl>
    <w:lvl w:ilvl="3" w:tplc="1C20484A">
      <w:start w:val="1"/>
      <w:numFmt w:val="bullet"/>
      <w:lvlText w:val=""/>
      <w:lvlJc w:val="left"/>
      <w:pPr>
        <w:ind w:left="3229" w:hanging="360"/>
      </w:pPr>
      <w:rPr>
        <w:rFonts w:ascii="Symbol" w:hAnsi="Symbol" w:hint="default"/>
      </w:rPr>
    </w:lvl>
    <w:lvl w:ilvl="4" w:tplc="BDE8E3B0">
      <w:start w:val="1"/>
      <w:numFmt w:val="bullet"/>
      <w:lvlText w:val="o"/>
      <w:lvlJc w:val="left"/>
      <w:pPr>
        <w:ind w:left="3949" w:hanging="360"/>
      </w:pPr>
      <w:rPr>
        <w:rFonts w:ascii="Courier New" w:hAnsi="Courier New" w:hint="default"/>
      </w:rPr>
    </w:lvl>
    <w:lvl w:ilvl="5" w:tplc="87DA4706">
      <w:start w:val="1"/>
      <w:numFmt w:val="bullet"/>
      <w:lvlText w:val=""/>
      <w:lvlJc w:val="left"/>
      <w:pPr>
        <w:ind w:left="4669" w:hanging="360"/>
      </w:pPr>
      <w:rPr>
        <w:rFonts w:ascii="Wingdings" w:hAnsi="Wingdings" w:hint="default"/>
      </w:rPr>
    </w:lvl>
    <w:lvl w:ilvl="6" w:tplc="11900514">
      <w:start w:val="1"/>
      <w:numFmt w:val="bullet"/>
      <w:lvlText w:val=""/>
      <w:lvlJc w:val="left"/>
      <w:pPr>
        <w:ind w:left="5389" w:hanging="360"/>
      </w:pPr>
      <w:rPr>
        <w:rFonts w:ascii="Symbol" w:hAnsi="Symbol" w:hint="default"/>
      </w:rPr>
    </w:lvl>
    <w:lvl w:ilvl="7" w:tplc="20BE75C4">
      <w:start w:val="1"/>
      <w:numFmt w:val="bullet"/>
      <w:lvlText w:val="o"/>
      <w:lvlJc w:val="left"/>
      <w:pPr>
        <w:ind w:left="6109" w:hanging="360"/>
      </w:pPr>
      <w:rPr>
        <w:rFonts w:ascii="Courier New" w:hAnsi="Courier New" w:hint="default"/>
      </w:rPr>
    </w:lvl>
    <w:lvl w:ilvl="8" w:tplc="48D0C68C">
      <w:start w:val="1"/>
      <w:numFmt w:val="bullet"/>
      <w:lvlText w:val=""/>
      <w:lvlJc w:val="left"/>
      <w:pPr>
        <w:ind w:left="6829" w:hanging="360"/>
      </w:pPr>
      <w:rPr>
        <w:rFonts w:ascii="Wingdings" w:hAnsi="Wingdings" w:hint="default"/>
      </w:rPr>
    </w:lvl>
  </w:abstractNum>
  <w:abstractNum w:abstractNumId="81" w15:restartNumberingAfterBreak="0">
    <w:nsid w:val="414F4186"/>
    <w:multiLevelType w:val="hybridMultilevel"/>
    <w:tmpl w:val="CE1E0CBC"/>
    <w:name w:val="Heading222"/>
    <w:lvl w:ilvl="0" w:tplc="672EB766">
      <w:start w:val="1"/>
      <w:numFmt w:val="bullet"/>
      <w:lvlText w:val=""/>
      <w:lvlJc w:val="left"/>
      <w:pPr>
        <w:ind w:left="360" w:hanging="360"/>
      </w:pPr>
      <w:rPr>
        <w:rFonts w:ascii="Symbol" w:hAnsi="Symbol" w:hint="default"/>
      </w:rPr>
    </w:lvl>
    <w:lvl w:ilvl="1" w:tplc="72D035A2">
      <w:start w:val="1"/>
      <w:numFmt w:val="bullet"/>
      <w:lvlText w:val="o"/>
      <w:lvlJc w:val="left"/>
      <w:pPr>
        <w:ind w:left="1080" w:hanging="360"/>
      </w:pPr>
      <w:rPr>
        <w:rFonts w:ascii="Courier New" w:hAnsi="Courier New" w:hint="default"/>
      </w:rPr>
    </w:lvl>
    <w:lvl w:ilvl="2" w:tplc="E1089CC6">
      <w:start w:val="1"/>
      <w:numFmt w:val="bullet"/>
      <w:lvlText w:val=""/>
      <w:lvlJc w:val="left"/>
      <w:pPr>
        <w:ind w:left="1800" w:hanging="360"/>
      </w:pPr>
      <w:rPr>
        <w:rFonts w:ascii="Wingdings" w:hAnsi="Wingdings" w:hint="default"/>
      </w:rPr>
    </w:lvl>
    <w:lvl w:ilvl="3" w:tplc="FEF6C24E">
      <w:start w:val="1"/>
      <w:numFmt w:val="bullet"/>
      <w:lvlText w:val=""/>
      <w:lvlJc w:val="left"/>
      <w:pPr>
        <w:ind w:left="2520" w:hanging="360"/>
      </w:pPr>
      <w:rPr>
        <w:rFonts w:ascii="Symbol" w:hAnsi="Symbol" w:hint="default"/>
      </w:rPr>
    </w:lvl>
    <w:lvl w:ilvl="4" w:tplc="AC8C17FC">
      <w:start w:val="1"/>
      <w:numFmt w:val="bullet"/>
      <w:lvlText w:val="o"/>
      <w:lvlJc w:val="left"/>
      <w:pPr>
        <w:ind w:left="3240" w:hanging="360"/>
      </w:pPr>
      <w:rPr>
        <w:rFonts w:ascii="Courier New" w:hAnsi="Courier New" w:hint="default"/>
      </w:rPr>
    </w:lvl>
    <w:lvl w:ilvl="5" w:tplc="A5E02B9A">
      <w:start w:val="1"/>
      <w:numFmt w:val="bullet"/>
      <w:lvlText w:val=""/>
      <w:lvlJc w:val="left"/>
      <w:pPr>
        <w:ind w:left="3960" w:hanging="360"/>
      </w:pPr>
      <w:rPr>
        <w:rFonts w:ascii="Wingdings" w:hAnsi="Wingdings" w:hint="default"/>
      </w:rPr>
    </w:lvl>
    <w:lvl w:ilvl="6" w:tplc="3D6A5A62">
      <w:start w:val="1"/>
      <w:numFmt w:val="bullet"/>
      <w:lvlText w:val=""/>
      <w:lvlJc w:val="left"/>
      <w:pPr>
        <w:ind w:left="4680" w:hanging="360"/>
      </w:pPr>
      <w:rPr>
        <w:rFonts w:ascii="Symbol" w:hAnsi="Symbol" w:hint="default"/>
      </w:rPr>
    </w:lvl>
    <w:lvl w:ilvl="7" w:tplc="E6E0BB2C">
      <w:start w:val="1"/>
      <w:numFmt w:val="bullet"/>
      <w:lvlText w:val="o"/>
      <w:lvlJc w:val="left"/>
      <w:pPr>
        <w:ind w:left="5400" w:hanging="360"/>
      </w:pPr>
      <w:rPr>
        <w:rFonts w:ascii="Courier New" w:hAnsi="Courier New" w:hint="default"/>
      </w:rPr>
    </w:lvl>
    <w:lvl w:ilvl="8" w:tplc="FD6A623E">
      <w:start w:val="1"/>
      <w:numFmt w:val="bullet"/>
      <w:lvlText w:val=""/>
      <w:lvlJc w:val="left"/>
      <w:pPr>
        <w:ind w:left="6120" w:hanging="360"/>
      </w:pPr>
      <w:rPr>
        <w:rFonts w:ascii="Wingdings" w:hAnsi="Wingdings" w:hint="default"/>
      </w:rPr>
    </w:lvl>
  </w:abstractNum>
  <w:abstractNum w:abstractNumId="82" w15:restartNumberingAfterBreak="0">
    <w:nsid w:val="41A17B31"/>
    <w:multiLevelType w:val="hybridMultilevel"/>
    <w:tmpl w:val="9816FA8C"/>
    <w:lvl w:ilvl="0" w:tplc="1809000F">
      <w:start w:val="1"/>
      <w:numFmt w:val="decimal"/>
      <w:lvlText w:val="%1."/>
      <w:lvlJc w:val="left"/>
      <w:pPr>
        <w:ind w:left="1080" w:hanging="360"/>
      </w:pPr>
    </w:lvl>
    <w:lvl w:ilvl="1" w:tplc="FFFFFFFF">
      <w:start w:val="1"/>
      <w:numFmt w:val="decimal"/>
      <w:lvlText w:val="%2."/>
      <w:lvlJc w:val="left"/>
      <w:pPr>
        <w:ind w:left="1800" w:hanging="360"/>
      </w:p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83" w15:restartNumberingAfterBreak="0">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84" w15:restartNumberingAfterBreak="0">
    <w:nsid w:val="42737F5F"/>
    <w:multiLevelType w:val="hybridMultilevel"/>
    <w:tmpl w:val="30D47F12"/>
    <w:lvl w:ilvl="0" w:tplc="18090011">
      <w:start w:val="1"/>
      <w:numFmt w:val="decimal"/>
      <w:lvlText w:val="%1)"/>
      <w:lvlJc w:val="left"/>
      <w:pPr>
        <w:ind w:left="1211" w:hanging="360"/>
      </w:pPr>
    </w:lvl>
    <w:lvl w:ilvl="1" w:tplc="7AACA2A8">
      <w:start w:val="1"/>
      <w:numFmt w:val="lowerRoman"/>
      <w:lvlText w:val="%2)"/>
      <w:lvlJc w:val="left"/>
      <w:pPr>
        <w:ind w:left="1931" w:hanging="360"/>
      </w:pPr>
    </w:lvl>
    <w:lvl w:ilvl="2" w:tplc="135C1798">
      <w:start w:val="1"/>
      <w:numFmt w:val="lowerRoman"/>
      <w:lvlText w:val="%3."/>
      <w:lvlJc w:val="right"/>
      <w:pPr>
        <w:ind w:left="2651" w:hanging="180"/>
      </w:pPr>
    </w:lvl>
    <w:lvl w:ilvl="3" w:tplc="8EBEB170">
      <w:start w:val="1"/>
      <w:numFmt w:val="decimal"/>
      <w:lvlText w:val="%4."/>
      <w:lvlJc w:val="left"/>
      <w:pPr>
        <w:ind w:left="3371" w:hanging="360"/>
      </w:pPr>
    </w:lvl>
    <w:lvl w:ilvl="4" w:tplc="C03A1DA6">
      <w:start w:val="1"/>
      <w:numFmt w:val="lowerLetter"/>
      <w:lvlText w:val="%5."/>
      <w:lvlJc w:val="left"/>
      <w:pPr>
        <w:ind w:left="4091" w:hanging="360"/>
      </w:pPr>
    </w:lvl>
    <w:lvl w:ilvl="5" w:tplc="F2E60BEE">
      <w:start w:val="1"/>
      <w:numFmt w:val="lowerRoman"/>
      <w:lvlText w:val="%6."/>
      <w:lvlJc w:val="right"/>
      <w:pPr>
        <w:ind w:left="4811" w:hanging="180"/>
      </w:pPr>
    </w:lvl>
    <w:lvl w:ilvl="6" w:tplc="FF086586">
      <w:start w:val="1"/>
      <w:numFmt w:val="decimal"/>
      <w:lvlText w:val="%7."/>
      <w:lvlJc w:val="left"/>
      <w:pPr>
        <w:ind w:left="5531" w:hanging="360"/>
      </w:pPr>
    </w:lvl>
    <w:lvl w:ilvl="7" w:tplc="4B904216">
      <w:start w:val="1"/>
      <w:numFmt w:val="lowerLetter"/>
      <w:lvlText w:val="%8."/>
      <w:lvlJc w:val="left"/>
      <w:pPr>
        <w:ind w:left="6251" w:hanging="360"/>
      </w:pPr>
    </w:lvl>
    <w:lvl w:ilvl="8" w:tplc="C6CAEAEE">
      <w:start w:val="1"/>
      <w:numFmt w:val="lowerRoman"/>
      <w:lvlText w:val="%9."/>
      <w:lvlJc w:val="right"/>
      <w:pPr>
        <w:ind w:left="6971" w:hanging="180"/>
      </w:pPr>
    </w:lvl>
  </w:abstractNum>
  <w:abstractNum w:abstractNumId="85" w15:restartNumberingAfterBreak="0">
    <w:nsid w:val="42FC0772"/>
    <w:multiLevelType w:val="singleLevel"/>
    <w:tmpl w:val="4128FCF8"/>
    <w:name w:val="Tiret 4"/>
    <w:lvl w:ilvl="0">
      <w:start w:val="1"/>
      <w:numFmt w:val="bullet"/>
      <w:pStyle w:val="Tiret4"/>
      <w:lvlText w:val="–"/>
      <w:lvlJc w:val="left"/>
      <w:pPr>
        <w:tabs>
          <w:tab w:val="num" w:pos="3118"/>
        </w:tabs>
        <w:ind w:left="3118" w:hanging="567"/>
      </w:pPr>
    </w:lvl>
  </w:abstractNum>
  <w:abstractNum w:abstractNumId="86" w15:restartNumberingAfterBreak="0">
    <w:nsid w:val="4380438C"/>
    <w:multiLevelType w:val="hybridMultilevel"/>
    <w:tmpl w:val="37540650"/>
    <w:lvl w:ilvl="0" w:tplc="10C6D140">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7" w15:restartNumberingAfterBreak="0">
    <w:nsid w:val="44757EB7"/>
    <w:multiLevelType w:val="multilevel"/>
    <w:tmpl w:val="FD3C8F8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4953B9D"/>
    <w:multiLevelType w:val="multilevel"/>
    <w:tmpl w:val="739498A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44A52E3A"/>
    <w:multiLevelType w:val="hybridMultilevel"/>
    <w:tmpl w:val="A5FAE91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0" w15:restartNumberingAfterBreak="0">
    <w:nsid w:val="4552127F"/>
    <w:multiLevelType w:val="singleLevel"/>
    <w:tmpl w:val="057A5296"/>
    <w:name w:val="Bullet 0"/>
    <w:lvl w:ilvl="0">
      <w:start w:val="1"/>
      <w:numFmt w:val="bullet"/>
      <w:pStyle w:val="Bullet0"/>
      <w:lvlText w:val=""/>
      <w:lvlJc w:val="left"/>
      <w:pPr>
        <w:tabs>
          <w:tab w:val="num" w:pos="850"/>
        </w:tabs>
        <w:ind w:left="850" w:hanging="850"/>
      </w:pPr>
      <w:rPr>
        <w:rFonts w:ascii="Symbol" w:hAnsi="Symbol" w:hint="default"/>
      </w:rPr>
    </w:lvl>
  </w:abstractNum>
  <w:abstractNum w:abstractNumId="91" w15:restartNumberingAfterBreak="0">
    <w:nsid w:val="455631AC"/>
    <w:multiLevelType w:val="hybridMultilevel"/>
    <w:tmpl w:val="84FA0DAE"/>
    <w:lvl w:ilvl="0" w:tplc="218C80C4">
      <w:start w:val="1"/>
      <w:numFmt w:val="bullet"/>
      <w:lvlText w:val="-"/>
      <w:lvlJc w:val="left"/>
      <w:pPr>
        <w:ind w:left="720" w:hanging="360"/>
      </w:pPr>
      <w:rPr>
        <w:rFonts w:ascii="Calibri" w:hAnsi="Calibri" w:cs="Times New Roman" w:hint="default"/>
      </w:rPr>
    </w:lvl>
    <w:lvl w:ilvl="1" w:tplc="43023A84">
      <w:start w:val="1"/>
      <w:numFmt w:val="bullet"/>
      <w:lvlText w:val="o"/>
      <w:lvlJc w:val="left"/>
      <w:pPr>
        <w:ind w:left="1440" w:hanging="360"/>
      </w:pPr>
      <w:rPr>
        <w:rFonts w:ascii="Courier New" w:hAnsi="Courier New" w:cs="Times New Roman" w:hint="default"/>
      </w:rPr>
    </w:lvl>
    <w:lvl w:ilvl="2" w:tplc="35A8F86E">
      <w:start w:val="1"/>
      <w:numFmt w:val="bullet"/>
      <w:lvlText w:val=""/>
      <w:lvlJc w:val="left"/>
      <w:pPr>
        <w:ind w:left="2160" w:hanging="360"/>
      </w:pPr>
      <w:rPr>
        <w:rFonts w:ascii="Wingdings" w:hAnsi="Wingdings" w:hint="default"/>
      </w:rPr>
    </w:lvl>
    <w:lvl w:ilvl="3" w:tplc="33A0F0A8">
      <w:start w:val="1"/>
      <w:numFmt w:val="bullet"/>
      <w:lvlText w:val=""/>
      <w:lvlJc w:val="left"/>
      <w:pPr>
        <w:ind w:left="2880" w:hanging="360"/>
      </w:pPr>
      <w:rPr>
        <w:rFonts w:ascii="Symbol" w:hAnsi="Symbol" w:hint="default"/>
      </w:rPr>
    </w:lvl>
    <w:lvl w:ilvl="4" w:tplc="F6B04706">
      <w:start w:val="1"/>
      <w:numFmt w:val="bullet"/>
      <w:lvlText w:val="o"/>
      <w:lvlJc w:val="left"/>
      <w:pPr>
        <w:ind w:left="3600" w:hanging="360"/>
      </w:pPr>
      <w:rPr>
        <w:rFonts w:ascii="Courier New" w:hAnsi="Courier New" w:cs="Times New Roman" w:hint="default"/>
      </w:rPr>
    </w:lvl>
    <w:lvl w:ilvl="5" w:tplc="0EAAD594">
      <w:start w:val="1"/>
      <w:numFmt w:val="bullet"/>
      <w:lvlText w:val=""/>
      <w:lvlJc w:val="left"/>
      <w:pPr>
        <w:ind w:left="4320" w:hanging="360"/>
      </w:pPr>
      <w:rPr>
        <w:rFonts w:ascii="Wingdings" w:hAnsi="Wingdings" w:hint="default"/>
      </w:rPr>
    </w:lvl>
    <w:lvl w:ilvl="6" w:tplc="12E066FC">
      <w:start w:val="1"/>
      <w:numFmt w:val="bullet"/>
      <w:lvlText w:val=""/>
      <w:lvlJc w:val="left"/>
      <w:pPr>
        <w:ind w:left="5040" w:hanging="360"/>
      </w:pPr>
      <w:rPr>
        <w:rFonts w:ascii="Symbol" w:hAnsi="Symbol" w:hint="default"/>
      </w:rPr>
    </w:lvl>
    <w:lvl w:ilvl="7" w:tplc="6C9CF37E">
      <w:start w:val="1"/>
      <w:numFmt w:val="bullet"/>
      <w:lvlText w:val="o"/>
      <w:lvlJc w:val="left"/>
      <w:pPr>
        <w:ind w:left="5760" w:hanging="360"/>
      </w:pPr>
      <w:rPr>
        <w:rFonts w:ascii="Courier New" w:hAnsi="Courier New" w:cs="Times New Roman" w:hint="default"/>
      </w:rPr>
    </w:lvl>
    <w:lvl w:ilvl="8" w:tplc="BC06DF1C">
      <w:start w:val="1"/>
      <w:numFmt w:val="bullet"/>
      <w:lvlText w:val=""/>
      <w:lvlJc w:val="left"/>
      <w:pPr>
        <w:ind w:left="6480" w:hanging="360"/>
      </w:pPr>
      <w:rPr>
        <w:rFonts w:ascii="Wingdings" w:hAnsi="Wingdings" w:hint="default"/>
      </w:rPr>
    </w:lvl>
  </w:abstractNum>
  <w:abstractNum w:abstractNumId="92" w15:restartNumberingAfterBreak="0">
    <w:nsid w:val="456F6F11"/>
    <w:multiLevelType w:val="hybridMultilevel"/>
    <w:tmpl w:val="3C90E3F6"/>
    <w:lvl w:ilvl="0" w:tplc="1809001B">
      <w:start w:val="1"/>
      <w:numFmt w:val="lowerRoman"/>
      <w:lvlText w:val="%1."/>
      <w:lvlJc w:val="righ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3" w15:restartNumberingAfterBreak="0">
    <w:nsid w:val="460568B1"/>
    <w:multiLevelType w:val="hybridMultilevel"/>
    <w:tmpl w:val="54887C0C"/>
    <w:lvl w:ilvl="0" w:tplc="0082BFDE">
      <w:numFmt w:val="bullet"/>
      <w:lvlText w:val="-"/>
      <w:lvlJc w:val="left"/>
      <w:pPr>
        <w:ind w:left="360" w:hanging="360"/>
      </w:pPr>
      <w:rPr>
        <w:rFonts w:ascii="Calibri" w:eastAsiaTheme="minorHAnsi" w:hAnsi="Calibri"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4" w15:restartNumberingAfterBreak="0">
    <w:nsid w:val="461C7180"/>
    <w:multiLevelType w:val="multilevel"/>
    <w:tmpl w:val="026A17C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67A0105"/>
    <w:multiLevelType w:val="hybridMultilevel"/>
    <w:tmpl w:val="F94A11DC"/>
    <w:lvl w:ilvl="0" w:tplc="FFFFFFFF">
      <w:start w:val="1"/>
      <w:numFmt w:val="upp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6" w15:restartNumberingAfterBreak="0">
    <w:nsid w:val="468F2093"/>
    <w:multiLevelType w:val="multilevel"/>
    <w:tmpl w:val="C99AB46E"/>
    <w:name w:val="NumPar2"/>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472E682F"/>
    <w:multiLevelType w:val="hybridMultilevel"/>
    <w:tmpl w:val="F46A2E5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8" w15:restartNumberingAfterBreak="0">
    <w:nsid w:val="47542ACE"/>
    <w:multiLevelType w:val="hybridMultilevel"/>
    <w:tmpl w:val="DCE6E23E"/>
    <w:lvl w:ilvl="0" w:tplc="73C0F010">
      <w:start w:val="1"/>
      <w:numFmt w:val="lowerRoman"/>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99" w15:restartNumberingAfterBreak="0">
    <w:nsid w:val="49A175F1"/>
    <w:multiLevelType w:val="multilevel"/>
    <w:tmpl w:val="9AB0CD1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9D773DC"/>
    <w:multiLevelType w:val="hybridMultilevel"/>
    <w:tmpl w:val="E1EE12C2"/>
    <w:lvl w:ilvl="0" w:tplc="1FDA5148">
      <w:numFmt w:val="bullet"/>
      <w:lvlText w:val="-"/>
      <w:lvlJc w:val="left"/>
      <w:pPr>
        <w:ind w:left="720" w:hanging="360"/>
      </w:pPr>
      <w:rPr>
        <w:rFonts w:ascii="Times New Roman" w:hAnsi="Times New Roman" w:hint="default"/>
      </w:rPr>
    </w:lvl>
    <w:lvl w:ilvl="1" w:tplc="899CADC6">
      <w:start w:val="1"/>
      <w:numFmt w:val="bullet"/>
      <w:lvlText w:val="o"/>
      <w:lvlJc w:val="left"/>
      <w:pPr>
        <w:ind w:left="1440" w:hanging="360"/>
      </w:pPr>
      <w:rPr>
        <w:rFonts w:ascii="Courier New" w:hAnsi="Courier New" w:hint="default"/>
      </w:rPr>
    </w:lvl>
    <w:lvl w:ilvl="2" w:tplc="382A1C90">
      <w:start w:val="1"/>
      <w:numFmt w:val="bullet"/>
      <w:lvlText w:val=""/>
      <w:lvlJc w:val="left"/>
      <w:pPr>
        <w:ind w:left="2160" w:hanging="360"/>
      </w:pPr>
      <w:rPr>
        <w:rFonts w:ascii="Wingdings" w:hAnsi="Wingdings" w:hint="default"/>
      </w:rPr>
    </w:lvl>
    <w:lvl w:ilvl="3" w:tplc="4994174E">
      <w:start w:val="1"/>
      <w:numFmt w:val="bullet"/>
      <w:lvlText w:val=""/>
      <w:lvlJc w:val="left"/>
      <w:pPr>
        <w:ind w:left="2880" w:hanging="360"/>
      </w:pPr>
      <w:rPr>
        <w:rFonts w:ascii="Symbol" w:hAnsi="Symbol" w:hint="default"/>
      </w:rPr>
    </w:lvl>
    <w:lvl w:ilvl="4" w:tplc="5C221FCE">
      <w:start w:val="1"/>
      <w:numFmt w:val="bullet"/>
      <w:lvlText w:val="o"/>
      <w:lvlJc w:val="left"/>
      <w:pPr>
        <w:ind w:left="3600" w:hanging="360"/>
      </w:pPr>
      <w:rPr>
        <w:rFonts w:ascii="Courier New" w:hAnsi="Courier New" w:hint="default"/>
      </w:rPr>
    </w:lvl>
    <w:lvl w:ilvl="5" w:tplc="7350498C">
      <w:start w:val="1"/>
      <w:numFmt w:val="bullet"/>
      <w:lvlText w:val=""/>
      <w:lvlJc w:val="left"/>
      <w:pPr>
        <w:ind w:left="4320" w:hanging="360"/>
      </w:pPr>
      <w:rPr>
        <w:rFonts w:ascii="Wingdings" w:hAnsi="Wingdings" w:hint="default"/>
      </w:rPr>
    </w:lvl>
    <w:lvl w:ilvl="6" w:tplc="D7AC6F1E">
      <w:start w:val="1"/>
      <w:numFmt w:val="bullet"/>
      <w:lvlText w:val=""/>
      <w:lvlJc w:val="left"/>
      <w:pPr>
        <w:ind w:left="5040" w:hanging="360"/>
      </w:pPr>
      <w:rPr>
        <w:rFonts w:ascii="Symbol" w:hAnsi="Symbol" w:hint="default"/>
      </w:rPr>
    </w:lvl>
    <w:lvl w:ilvl="7" w:tplc="65E47782">
      <w:start w:val="1"/>
      <w:numFmt w:val="bullet"/>
      <w:lvlText w:val="o"/>
      <w:lvlJc w:val="left"/>
      <w:pPr>
        <w:ind w:left="5760" w:hanging="360"/>
      </w:pPr>
      <w:rPr>
        <w:rFonts w:ascii="Courier New" w:hAnsi="Courier New" w:hint="default"/>
      </w:rPr>
    </w:lvl>
    <w:lvl w:ilvl="8" w:tplc="514AE622">
      <w:start w:val="1"/>
      <w:numFmt w:val="bullet"/>
      <w:lvlText w:val=""/>
      <w:lvlJc w:val="left"/>
      <w:pPr>
        <w:ind w:left="6480" w:hanging="360"/>
      </w:pPr>
      <w:rPr>
        <w:rFonts w:ascii="Wingdings" w:hAnsi="Wingdings" w:hint="default"/>
      </w:rPr>
    </w:lvl>
  </w:abstractNum>
  <w:abstractNum w:abstractNumId="101" w15:restartNumberingAfterBreak="0">
    <w:nsid w:val="4B8D2975"/>
    <w:multiLevelType w:val="hybridMultilevel"/>
    <w:tmpl w:val="424EF87C"/>
    <w:lvl w:ilvl="0" w:tplc="0082BFDE">
      <w:numFmt w:val="bullet"/>
      <w:lvlText w:val="-"/>
      <w:lvlJc w:val="left"/>
      <w:pPr>
        <w:ind w:left="360" w:hanging="360"/>
      </w:pPr>
      <w:rPr>
        <w:rFonts w:ascii="Calibri" w:eastAsiaTheme="minorHAnsi" w:hAnsi="Calibri"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02" w15:restartNumberingAfterBreak="0">
    <w:nsid w:val="4BE97960"/>
    <w:multiLevelType w:val="hybridMultilevel"/>
    <w:tmpl w:val="6D724774"/>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103" w15:restartNumberingAfterBreak="0">
    <w:nsid w:val="4D8F1A52"/>
    <w:multiLevelType w:val="hybridMultilevel"/>
    <w:tmpl w:val="BAA2915A"/>
    <w:lvl w:ilvl="0" w:tplc="04100017">
      <w:start w:val="1"/>
      <w:numFmt w:val="low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04" w15:restartNumberingAfterBreak="0">
    <w:nsid w:val="4DD650F9"/>
    <w:multiLevelType w:val="multilevel"/>
    <w:tmpl w:val="31864E6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4E7234F7"/>
    <w:multiLevelType w:val="multilevel"/>
    <w:tmpl w:val="F208DA6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03604BF"/>
    <w:multiLevelType w:val="hybridMultilevel"/>
    <w:tmpl w:val="CA3E3C90"/>
    <w:lvl w:ilvl="0" w:tplc="E036F444">
      <w:start w:val="1"/>
      <w:numFmt w:val="bullet"/>
      <w:lvlText w:val="·"/>
      <w:lvlJc w:val="left"/>
      <w:pPr>
        <w:ind w:left="720" w:hanging="360"/>
      </w:pPr>
      <w:rPr>
        <w:rFonts w:ascii="Symbol" w:hAnsi="Symbol" w:hint="default"/>
      </w:rPr>
    </w:lvl>
    <w:lvl w:ilvl="1" w:tplc="595EC648">
      <w:start w:val="1"/>
      <w:numFmt w:val="bullet"/>
      <w:lvlText w:val="o"/>
      <w:lvlJc w:val="left"/>
      <w:pPr>
        <w:ind w:left="1440" w:hanging="360"/>
      </w:pPr>
      <w:rPr>
        <w:rFonts w:ascii="Courier New" w:hAnsi="Courier New" w:hint="default"/>
      </w:rPr>
    </w:lvl>
    <w:lvl w:ilvl="2" w:tplc="6E76022C">
      <w:start w:val="1"/>
      <w:numFmt w:val="bullet"/>
      <w:lvlText w:val=""/>
      <w:lvlJc w:val="left"/>
      <w:pPr>
        <w:ind w:left="2160" w:hanging="360"/>
      </w:pPr>
      <w:rPr>
        <w:rFonts w:ascii="Wingdings" w:hAnsi="Wingdings" w:hint="default"/>
      </w:rPr>
    </w:lvl>
    <w:lvl w:ilvl="3" w:tplc="C35E6ECC">
      <w:start w:val="1"/>
      <w:numFmt w:val="bullet"/>
      <w:lvlText w:val=""/>
      <w:lvlJc w:val="left"/>
      <w:pPr>
        <w:ind w:left="2880" w:hanging="360"/>
      </w:pPr>
      <w:rPr>
        <w:rFonts w:ascii="Symbol" w:hAnsi="Symbol" w:hint="default"/>
      </w:rPr>
    </w:lvl>
    <w:lvl w:ilvl="4" w:tplc="DFA6687A">
      <w:start w:val="1"/>
      <w:numFmt w:val="bullet"/>
      <w:lvlText w:val="o"/>
      <w:lvlJc w:val="left"/>
      <w:pPr>
        <w:ind w:left="3600" w:hanging="360"/>
      </w:pPr>
      <w:rPr>
        <w:rFonts w:ascii="Courier New" w:hAnsi="Courier New" w:hint="default"/>
      </w:rPr>
    </w:lvl>
    <w:lvl w:ilvl="5" w:tplc="7278BE22">
      <w:start w:val="1"/>
      <w:numFmt w:val="bullet"/>
      <w:lvlText w:val=""/>
      <w:lvlJc w:val="left"/>
      <w:pPr>
        <w:ind w:left="4320" w:hanging="360"/>
      </w:pPr>
      <w:rPr>
        <w:rFonts w:ascii="Wingdings" w:hAnsi="Wingdings" w:hint="default"/>
      </w:rPr>
    </w:lvl>
    <w:lvl w:ilvl="6" w:tplc="AEB4DA1C">
      <w:start w:val="1"/>
      <w:numFmt w:val="bullet"/>
      <w:lvlText w:val=""/>
      <w:lvlJc w:val="left"/>
      <w:pPr>
        <w:ind w:left="5040" w:hanging="360"/>
      </w:pPr>
      <w:rPr>
        <w:rFonts w:ascii="Symbol" w:hAnsi="Symbol" w:hint="default"/>
      </w:rPr>
    </w:lvl>
    <w:lvl w:ilvl="7" w:tplc="1088AC34">
      <w:start w:val="1"/>
      <w:numFmt w:val="bullet"/>
      <w:lvlText w:val="o"/>
      <w:lvlJc w:val="left"/>
      <w:pPr>
        <w:ind w:left="5760" w:hanging="360"/>
      </w:pPr>
      <w:rPr>
        <w:rFonts w:ascii="Courier New" w:hAnsi="Courier New" w:hint="default"/>
      </w:rPr>
    </w:lvl>
    <w:lvl w:ilvl="8" w:tplc="B0E6FEF4">
      <w:start w:val="1"/>
      <w:numFmt w:val="bullet"/>
      <w:lvlText w:val=""/>
      <w:lvlJc w:val="left"/>
      <w:pPr>
        <w:ind w:left="6480" w:hanging="360"/>
      </w:pPr>
      <w:rPr>
        <w:rFonts w:ascii="Wingdings" w:hAnsi="Wingdings" w:hint="default"/>
      </w:rPr>
    </w:lvl>
  </w:abstractNum>
  <w:abstractNum w:abstractNumId="107" w15:restartNumberingAfterBreak="0">
    <w:nsid w:val="52EC6ECC"/>
    <w:multiLevelType w:val="hybridMultilevel"/>
    <w:tmpl w:val="A5067268"/>
    <w:lvl w:ilvl="0" w:tplc="D4A2D3F0">
      <w:start w:val="1"/>
      <w:numFmt w:val="bullet"/>
      <w:lvlText w:val=""/>
      <w:lvlJc w:val="left"/>
      <w:pPr>
        <w:ind w:left="720" w:hanging="360"/>
      </w:pPr>
      <w:rPr>
        <w:rFonts w:ascii="Symbol" w:hAnsi="Symbol" w:hint="default"/>
      </w:rPr>
    </w:lvl>
    <w:lvl w:ilvl="1" w:tplc="3B6C190A">
      <w:start w:val="1"/>
      <w:numFmt w:val="bullet"/>
      <w:lvlText w:val="o"/>
      <w:lvlJc w:val="left"/>
      <w:pPr>
        <w:ind w:left="1440" w:hanging="360"/>
      </w:pPr>
      <w:rPr>
        <w:rFonts w:ascii="Courier New" w:hAnsi="Courier New" w:hint="default"/>
      </w:rPr>
    </w:lvl>
    <w:lvl w:ilvl="2" w:tplc="ED7E94D6">
      <w:start w:val="1"/>
      <w:numFmt w:val="bullet"/>
      <w:lvlText w:val=""/>
      <w:lvlJc w:val="left"/>
      <w:pPr>
        <w:ind w:left="2160" w:hanging="360"/>
      </w:pPr>
      <w:rPr>
        <w:rFonts w:ascii="Wingdings" w:hAnsi="Wingdings" w:hint="default"/>
      </w:rPr>
    </w:lvl>
    <w:lvl w:ilvl="3" w:tplc="78164F48">
      <w:start w:val="1"/>
      <w:numFmt w:val="bullet"/>
      <w:lvlText w:val=""/>
      <w:lvlJc w:val="left"/>
      <w:pPr>
        <w:ind w:left="2880" w:hanging="360"/>
      </w:pPr>
      <w:rPr>
        <w:rFonts w:ascii="Symbol" w:hAnsi="Symbol" w:hint="default"/>
      </w:rPr>
    </w:lvl>
    <w:lvl w:ilvl="4" w:tplc="133EB486">
      <w:start w:val="1"/>
      <w:numFmt w:val="bullet"/>
      <w:lvlText w:val="o"/>
      <w:lvlJc w:val="left"/>
      <w:pPr>
        <w:ind w:left="3600" w:hanging="360"/>
      </w:pPr>
      <w:rPr>
        <w:rFonts w:ascii="Courier New" w:hAnsi="Courier New" w:hint="default"/>
      </w:rPr>
    </w:lvl>
    <w:lvl w:ilvl="5" w:tplc="260876F0">
      <w:start w:val="1"/>
      <w:numFmt w:val="bullet"/>
      <w:lvlText w:val=""/>
      <w:lvlJc w:val="left"/>
      <w:pPr>
        <w:ind w:left="4320" w:hanging="360"/>
      </w:pPr>
      <w:rPr>
        <w:rFonts w:ascii="Wingdings" w:hAnsi="Wingdings" w:hint="default"/>
      </w:rPr>
    </w:lvl>
    <w:lvl w:ilvl="6" w:tplc="37F4E174">
      <w:start w:val="1"/>
      <w:numFmt w:val="bullet"/>
      <w:lvlText w:val=""/>
      <w:lvlJc w:val="left"/>
      <w:pPr>
        <w:ind w:left="5040" w:hanging="360"/>
      </w:pPr>
      <w:rPr>
        <w:rFonts w:ascii="Symbol" w:hAnsi="Symbol" w:hint="default"/>
      </w:rPr>
    </w:lvl>
    <w:lvl w:ilvl="7" w:tplc="AC40A698">
      <w:start w:val="1"/>
      <w:numFmt w:val="bullet"/>
      <w:lvlText w:val="o"/>
      <w:lvlJc w:val="left"/>
      <w:pPr>
        <w:ind w:left="5760" w:hanging="360"/>
      </w:pPr>
      <w:rPr>
        <w:rFonts w:ascii="Courier New" w:hAnsi="Courier New" w:hint="default"/>
      </w:rPr>
    </w:lvl>
    <w:lvl w:ilvl="8" w:tplc="C680A60A">
      <w:start w:val="1"/>
      <w:numFmt w:val="bullet"/>
      <w:lvlText w:val=""/>
      <w:lvlJc w:val="left"/>
      <w:pPr>
        <w:ind w:left="6480" w:hanging="360"/>
      </w:pPr>
      <w:rPr>
        <w:rFonts w:ascii="Wingdings" w:hAnsi="Wingdings" w:hint="default"/>
      </w:rPr>
    </w:lvl>
  </w:abstractNum>
  <w:abstractNum w:abstractNumId="108" w15:restartNumberingAfterBreak="0">
    <w:nsid w:val="5320465F"/>
    <w:multiLevelType w:val="hybridMultilevel"/>
    <w:tmpl w:val="CDAE407A"/>
    <w:lvl w:ilvl="0" w:tplc="819E0320">
      <w:start w:val="1"/>
      <w:numFmt w:val="bullet"/>
      <w:lvlText w:val=""/>
      <w:lvlJc w:val="left"/>
      <w:pPr>
        <w:ind w:left="720" w:hanging="360"/>
      </w:pPr>
      <w:rPr>
        <w:rFonts w:ascii="Symbol" w:hAnsi="Symbol" w:hint="default"/>
      </w:rPr>
    </w:lvl>
    <w:lvl w:ilvl="1" w:tplc="380C8A0A" w:tentative="1">
      <w:start w:val="1"/>
      <w:numFmt w:val="bullet"/>
      <w:lvlText w:val="o"/>
      <w:lvlJc w:val="left"/>
      <w:pPr>
        <w:ind w:left="1440" w:hanging="360"/>
      </w:pPr>
      <w:rPr>
        <w:rFonts w:ascii="Courier New" w:hAnsi="Courier New" w:hint="default"/>
      </w:rPr>
    </w:lvl>
    <w:lvl w:ilvl="2" w:tplc="09C6717E" w:tentative="1">
      <w:start w:val="1"/>
      <w:numFmt w:val="bullet"/>
      <w:lvlText w:val=""/>
      <w:lvlJc w:val="left"/>
      <w:pPr>
        <w:ind w:left="2160" w:hanging="360"/>
      </w:pPr>
      <w:rPr>
        <w:rFonts w:ascii="Wingdings" w:hAnsi="Wingdings" w:hint="default"/>
      </w:rPr>
    </w:lvl>
    <w:lvl w:ilvl="3" w:tplc="54D4DAFE" w:tentative="1">
      <w:start w:val="1"/>
      <w:numFmt w:val="bullet"/>
      <w:lvlText w:val=""/>
      <w:lvlJc w:val="left"/>
      <w:pPr>
        <w:ind w:left="2880" w:hanging="360"/>
      </w:pPr>
      <w:rPr>
        <w:rFonts w:ascii="Symbol" w:hAnsi="Symbol" w:hint="default"/>
      </w:rPr>
    </w:lvl>
    <w:lvl w:ilvl="4" w:tplc="F5EE77CE" w:tentative="1">
      <w:start w:val="1"/>
      <w:numFmt w:val="bullet"/>
      <w:lvlText w:val="o"/>
      <w:lvlJc w:val="left"/>
      <w:pPr>
        <w:ind w:left="3600" w:hanging="360"/>
      </w:pPr>
      <w:rPr>
        <w:rFonts w:ascii="Courier New" w:hAnsi="Courier New" w:hint="default"/>
      </w:rPr>
    </w:lvl>
    <w:lvl w:ilvl="5" w:tplc="8A707B66" w:tentative="1">
      <w:start w:val="1"/>
      <w:numFmt w:val="bullet"/>
      <w:lvlText w:val=""/>
      <w:lvlJc w:val="left"/>
      <w:pPr>
        <w:ind w:left="4320" w:hanging="360"/>
      </w:pPr>
      <w:rPr>
        <w:rFonts w:ascii="Wingdings" w:hAnsi="Wingdings" w:hint="default"/>
      </w:rPr>
    </w:lvl>
    <w:lvl w:ilvl="6" w:tplc="938A8D7A" w:tentative="1">
      <w:start w:val="1"/>
      <w:numFmt w:val="bullet"/>
      <w:lvlText w:val=""/>
      <w:lvlJc w:val="left"/>
      <w:pPr>
        <w:ind w:left="5040" w:hanging="360"/>
      </w:pPr>
      <w:rPr>
        <w:rFonts w:ascii="Symbol" w:hAnsi="Symbol" w:hint="default"/>
      </w:rPr>
    </w:lvl>
    <w:lvl w:ilvl="7" w:tplc="E7DC73D8" w:tentative="1">
      <w:start w:val="1"/>
      <w:numFmt w:val="bullet"/>
      <w:lvlText w:val="o"/>
      <w:lvlJc w:val="left"/>
      <w:pPr>
        <w:ind w:left="5760" w:hanging="360"/>
      </w:pPr>
      <w:rPr>
        <w:rFonts w:ascii="Courier New" w:hAnsi="Courier New" w:hint="default"/>
      </w:rPr>
    </w:lvl>
    <w:lvl w:ilvl="8" w:tplc="A0849080" w:tentative="1">
      <w:start w:val="1"/>
      <w:numFmt w:val="bullet"/>
      <w:lvlText w:val=""/>
      <w:lvlJc w:val="left"/>
      <w:pPr>
        <w:ind w:left="6480" w:hanging="360"/>
      </w:pPr>
      <w:rPr>
        <w:rFonts w:ascii="Wingdings" w:hAnsi="Wingdings" w:hint="default"/>
      </w:rPr>
    </w:lvl>
  </w:abstractNum>
  <w:abstractNum w:abstractNumId="109" w15:restartNumberingAfterBreak="0">
    <w:nsid w:val="536F1E81"/>
    <w:multiLevelType w:val="multilevel"/>
    <w:tmpl w:val="C45EFDBA"/>
    <w:lvl w:ilvl="0">
      <w:start w:val="6"/>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0" w15:restartNumberingAfterBreak="0">
    <w:nsid w:val="540174FD"/>
    <w:multiLevelType w:val="hybridMultilevel"/>
    <w:tmpl w:val="3836CA74"/>
    <w:lvl w:ilvl="0" w:tplc="43EAD3D8">
      <w:start w:val="1"/>
      <w:numFmt w:val="bullet"/>
      <w:lvlText w:val="-"/>
      <w:lvlJc w:val="left"/>
      <w:pPr>
        <w:ind w:left="720" w:hanging="360"/>
      </w:pPr>
      <w:rPr>
        <w:rFonts w:ascii="Symbol" w:hAnsi="Symbol" w:hint="default"/>
      </w:rPr>
    </w:lvl>
    <w:lvl w:ilvl="1" w:tplc="C33687BC">
      <w:start w:val="1"/>
      <w:numFmt w:val="bullet"/>
      <w:lvlText w:val="o"/>
      <w:lvlJc w:val="left"/>
      <w:pPr>
        <w:ind w:left="1440" w:hanging="360"/>
      </w:pPr>
      <w:rPr>
        <w:rFonts w:ascii="Courier New" w:hAnsi="Courier New" w:cs="Times New Roman" w:hint="default"/>
      </w:rPr>
    </w:lvl>
    <w:lvl w:ilvl="2" w:tplc="B2CCF1B4">
      <w:start w:val="1"/>
      <w:numFmt w:val="bullet"/>
      <w:lvlText w:val=""/>
      <w:lvlJc w:val="left"/>
      <w:pPr>
        <w:ind w:left="2160" w:hanging="360"/>
      </w:pPr>
      <w:rPr>
        <w:rFonts w:ascii="Wingdings" w:hAnsi="Wingdings" w:hint="default"/>
      </w:rPr>
    </w:lvl>
    <w:lvl w:ilvl="3" w:tplc="411657AC">
      <w:start w:val="1"/>
      <w:numFmt w:val="bullet"/>
      <w:lvlText w:val=""/>
      <w:lvlJc w:val="left"/>
      <w:pPr>
        <w:ind w:left="2880" w:hanging="360"/>
      </w:pPr>
      <w:rPr>
        <w:rFonts w:ascii="Symbol" w:hAnsi="Symbol" w:hint="default"/>
      </w:rPr>
    </w:lvl>
    <w:lvl w:ilvl="4" w:tplc="BDC6F242">
      <w:start w:val="1"/>
      <w:numFmt w:val="bullet"/>
      <w:lvlText w:val="o"/>
      <w:lvlJc w:val="left"/>
      <w:pPr>
        <w:ind w:left="3600" w:hanging="360"/>
      </w:pPr>
      <w:rPr>
        <w:rFonts w:ascii="Courier New" w:hAnsi="Courier New" w:cs="Times New Roman" w:hint="default"/>
      </w:rPr>
    </w:lvl>
    <w:lvl w:ilvl="5" w:tplc="77301190">
      <w:start w:val="1"/>
      <w:numFmt w:val="bullet"/>
      <w:lvlText w:val=""/>
      <w:lvlJc w:val="left"/>
      <w:pPr>
        <w:ind w:left="4320" w:hanging="360"/>
      </w:pPr>
      <w:rPr>
        <w:rFonts w:ascii="Wingdings" w:hAnsi="Wingdings" w:hint="default"/>
      </w:rPr>
    </w:lvl>
    <w:lvl w:ilvl="6" w:tplc="3E72EFDA">
      <w:start w:val="1"/>
      <w:numFmt w:val="bullet"/>
      <w:lvlText w:val=""/>
      <w:lvlJc w:val="left"/>
      <w:pPr>
        <w:ind w:left="5040" w:hanging="360"/>
      </w:pPr>
      <w:rPr>
        <w:rFonts w:ascii="Symbol" w:hAnsi="Symbol" w:hint="default"/>
      </w:rPr>
    </w:lvl>
    <w:lvl w:ilvl="7" w:tplc="187CAED0">
      <w:start w:val="1"/>
      <w:numFmt w:val="bullet"/>
      <w:lvlText w:val="o"/>
      <w:lvlJc w:val="left"/>
      <w:pPr>
        <w:ind w:left="5760" w:hanging="360"/>
      </w:pPr>
      <w:rPr>
        <w:rFonts w:ascii="Courier New" w:hAnsi="Courier New" w:cs="Times New Roman" w:hint="default"/>
      </w:rPr>
    </w:lvl>
    <w:lvl w:ilvl="8" w:tplc="FE942D0A">
      <w:start w:val="1"/>
      <w:numFmt w:val="bullet"/>
      <w:lvlText w:val=""/>
      <w:lvlJc w:val="left"/>
      <w:pPr>
        <w:ind w:left="6480" w:hanging="360"/>
      </w:pPr>
      <w:rPr>
        <w:rFonts w:ascii="Wingdings" w:hAnsi="Wingdings" w:hint="default"/>
      </w:rPr>
    </w:lvl>
  </w:abstractNum>
  <w:abstractNum w:abstractNumId="111" w15:restartNumberingAfterBreak="0">
    <w:nsid w:val="546190BD"/>
    <w:multiLevelType w:val="hybridMultilevel"/>
    <w:tmpl w:val="A1E075CA"/>
    <w:lvl w:ilvl="0" w:tplc="2D546194">
      <w:start w:val="1"/>
      <w:numFmt w:val="decimal"/>
      <w:lvlText w:val="%1."/>
      <w:lvlJc w:val="left"/>
      <w:pPr>
        <w:ind w:left="720" w:hanging="360"/>
      </w:pPr>
    </w:lvl>
    <w:lvl w:ilvl="1" w:tplc="D7D0BED8">
      <w:start w:val="1"/>
      <w:numFmt w:val="lowerLetter"/>
      <w:lvlText w:val="%2."/>
      <w:lvlJc w:val="left"/>
      <w:pPr>
        <w:ind w:left="1440" w:hanging="360"/>
      </w:pPr>
    </w:lvl>
    <w:lvl w:ilvl="2" w:tplc="0024CEB8">
      <w:start w:val="1"/>
      <w:numFmt w:val="lowerRoman"/>
      <w:lvlText w:val="%3."/>
      <w:lvlJc w:val="right"/>
      <w:pPr>
        <w:ind w:left="2160" w:hanging="180"/>
      </w:pPr>
    </w:lvl>
    <w:lvl w:ilvl="3" w:tplc="14F45304">
      <w:start w:val="1"/>
      <w:numFmt w:val="decimal"/>
      <w:lvlText w:val="%4."/>
      <w:lvlJc w:val="left"/>
      <w:pPr>
        <w:ind w:left="2880" w:hanging="360"/>
      </w:pPr>
    </w:lvl>
    <w:lvl w:ilvl="4" w:tplc="13CA6DCC">
      <w:start w:val="1"/>
      <w:numFmt w:val="lowerLetter"/>
      <w:lvlText w:val="%5."/>
      <w:lvlJc w:val="left"/>
      <w:pPr>
        <w:ind w:left="3600" w:hanging="360"/>
      </w:pPr>
    </w:lvl>
    <w:lvl w:ilvl="5" w:tplc="BC06D7CC">
      <w:start w:val="1"/>
      <w:numFmt w:val="lowerRoman"/>
      <w:lvlText w:val="%6."/>
      <w:lvlJc w:val="right"/>
      <w:pPr>
        <w:ind w:left="4320" w:hanging="180"/>
      </w:pPr>
    </w:lvl>
    <w:lvl w:ilvl="6" w:tplc="4D6E0A48">
      <w:start w:val="1"/>
      <w:numFmt w:val="decimal"/>
      <w:lvlText w:val="%7."/>
      <w:lvlJc w:val="left"/>
      <w:pPr>
        <w:ind w:left="5040" w:hanging="360"/>
      </w:pPr>
    </w:lvl>
    <w:lvl w:ilvl="7" w:tplc="E29AC2BE">
      <w:start w:val="1"/>
      <w:numFmt w:val="lowerLetter"/>
      <w:lvlText w:val="%8."/>
      <w:lvlJc w:val="left"/>
      <w:pPr>
        <w:ind w:left="5760" w:hanging="360"/>
      </w:pPr>
    </w:lvl>
    <w:lvl w:ilvl="8" w:tplc="8DA2F450">
      <w:start w:val="1"/>
      <w:numFmt w:val="lowerRoman"/>
      <w:lvlText w:val="%9."/>
      <w:lvlJc w:val="right"/>
      <w:pPr>
        <w:ind w:left="6480" w:hanging="180"/>
      </w:pPr>
    </w:lvl>
  </w:abstractNum>
  <w:abstractNum w:abstractNumId="112" w15:restartNumberingAfterBreak="0">
    <w:nsid w:val="5517B409"/>
    <w:multiLevelType w:val="hybridMultilevel"/>
    <w:tmpl w:val="0BD07EFE"/>
    <w:lvl w:ilvl="0" w:tplc="79A05C2E">
      <w:start w:val="1"/>
      <w:numFmt w:val="decimal"/>
      <w:lvlText w:val="%1."/>
      <w:lvlJc w:val="left"/>
      <w:pPr>
        <w:ind w:left="720" w:hanging="360"/>
      </w:pPr>
    </w:lvl>
    <w:lvl w:ilvl="1" w:tplc="D7FA4F02">
      <w:start w:val="1"/>
      <w:numFmt w:val="lowerLetter"/>
      <w:lvlText w:val="%2."/>
      <w:lvlJc w:val="left"/>
      <w:pPr>
        <w:ind w:left="1440" w:hanging="360"/>
      </w:pPr>
    </w:lvl>
    <w:lvl w:ilvl="2" w:tplc="7F5EC75A">
      <w:start w:val="1"/>
      <w:numFmt w:val="lowerRoman"/>
      <w:lvlText w:val="%3."/>
      <w:lvlJc w:val="right"/>
      <w:pPr>
        <w:ind w:left="2160" w:hanging="180"/>
      </w:pPr>
    </w:lvl>
    <w:lvl w:ilvl="3" w:tplc="645CBD7E">
      <w:start w:val="1"/>
      <w:numFmt w:val="decimal"/>
      <w:lvlText w:val="%4."/>
      <w:lvlJc w:val="left"/>
      <w:pPr>
        <w:ind w:left="2880" w:hanging="360"/>
      </w:pPr>
    </w:lvl>
    <w:lvl w:ilvl="4" w:tplc="3C94473C">
      <w:start w:val="1"/>
      <w:numFmt w:val="lowerLetter"/>
      <w:lvlText w:val="%5."/>
      <w:lvlJc w:val="left"/>
      <w:pPr>
        <w:ind w:left="3600" w:hanging="360"/>
      </w:pPr>
    </w:lvl>
    <w:lvl w:ilvl="5" w:tplc="32DC875A">
      <w:start w:val="1"/>
      <w:numFmt w:val="lowerRoman"/>
      <w:lvlText w:val="%6."/>
      <w:lvlJc w:val="right"/>
      <w:pPr>
        <w:ind w:left="4320" w:hanging="180"/>
      </w:pPr>
    </w:lvl>
    <w:lvl w:ilvl="6" w:tplc="F3BE7820">
      <w:start w:val="1"/>
      <w:numFmt w:val="decimal"/>
      <w:lvlText w:val="%7."/>
      <w:lvlJc w:val="left"/>
      <w:pPr>
        <w:ind w:left="5040" w:hanging="360"/>
      </w:pPr>
    </w:lvl>
    <w:lvl w:ilvl="7" w:tplc="F5123FAE">
      <w:start w:val="1"/>
      <w:numFmt w:val="lowerLetter"/>
      <w:lvlText w:val="%8."/>
      <w:lvlJc w:val="left"/>
      <w:pPr>
        <w:ind w:left="5760" w:hanging="360"/>
      </w:pPr>
    </w:lvl>
    <w:lvl w:ilvl="8" w:tplc="46664E36">
      <w:start w:val="1"/>
      <w:numFmt w:val="lowerRoman"/>
      <w:lvlText w:val="%9."/>
      <w:lvlJc w:val="right"/>
      <w:pPr>
        <w:ind w:left="6480" w:hanging="180"/>
      </w:pPr>
    </w:lvl>
  </w:abstractNum>
  <w:abstractNum w:abstractNumId="113" w15:restartNumberingAfterBreak="0">
    <w:nsid w:val="556E1D63"/>
    <w:multiLevelType w:val="singleLevel"/>
    <w:tmpl w:val="493AAFF0"/>
    <w:name w:val="Bullet 4"/>
    <w:lvl w:ilvl="0">
      <w:start w:val="1"/>
      <w:numFmt w:val="bullet"/>
      <w:pStyle w:val="Bullet4"/>
      <w:lvlText w:val=""/>
      <w:lvlJc w:val="left"/>
      <w:pPr>
        <w:tabs>
          <w:tab w:val="num" w:pos="3118"/>
        </w:tabs>
        <w:ind w:left="3118" w:hanging="567"/>
      </w:pPr>
      <w:rPr>
        <w:rFonts w:ascii="Symbol" w:hAnsi="Symbol" w:hint="default"/>
      </w:rPr>
    </w:lvl>
  </w:abstractNum>
  <w:abstractNum w:abstractNumId="114" w15:restartNumberingAfterBreak="0">
    <w:nsid w:val="55C10E65"/>
    <w:multiLevelType w:val="multilevel"/>
    <w:tmpl w:val="0C0A3368"/>
    <w:lvl w:ilvl="0">
      <w:start w:val="1"/>
      <w:numFmt w:val="decimal"/>
      <w:pStyle w:val="LegalNumPar"/>
      <w:lvlText w:val="%1."/>
      <w:lvlJc w:val="left"/>
      <w:pPr>
        <w:ind w:left="901" w:hanging="476"/>
      </w:pPr>
      <w:rPr>
        <w:b w:val="0"/>
        <w:bCs w:val="0"/>
      </w:rPr>
    </w:lvl>
    <w:lvl w:ilvl="1">
      <w:start w:val="1"/>
      <w:numFmt w:val="lowerLetter"/>
      <w:pStyle w:val="LegalNumPar2"/>
      <w:lvlText w:val="%2."/>
      <w:lvlJc w:val="left"/>
      <w:pPr>
        <w:ind w:left="953" w:hanging="477"/>
      </w:pPr>
    </w:lvl>
    <w:lvl w:ilvl="2">
      <w:start w:val="1"/>
      <w:numFmt w:val="lowerRoman"/>
      <w:pStyle w:val="LegalNumPar3"/>
      <w:lvlText w:val="%3."/>
      <w:lvlJc w:val="left"/>
      <w:pPr>
        <w:ind w:left="1429" w:hanging="476"/>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55FE2C69"/>
    <w:multiLevelType w:val="multilevel"/>
    <w:tmpl w:val="5BEA902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6A3B146"/>
    <w:multiLevelType w:val="hybridMultilevel"/>
    <w:tmpl w:val="47A27D4A"/>
    <w:lvl w:ilvl="0" w:tplc="F7869708">
      <w:start w:val="1"/>
      <w:numFmt w:val="bullet"/>
      <w:lvlText w:val=""/>
      <w:lvlJc w:val="left"/>
      <w:pPr>
        <w:ind w:left="720" w:hanging="360"/>
      </w:pPr>
      <w:rPr>
        <w:rFonts w:ascii="Symbol" w:hAnsi="Symbol" w:hint="default"/>
        <w:color w:val="006600"/>
      </w:rPr>
    </w:lvl>
    <w:lvl w:ilvl="1" w:tplc="AEB619B0">
      <w:start w:val="1"/>
      <w:numFmt w:val="bullet"/>
      <w:lvlText w:val="o"/>
      <w:lvlJc w:val="left"/>
      <w:pPr>
        <w:ind w:left="1440" w:hanging="360"/>
      </w:pPr>
      <w:rPr>
        <w:rFonts w:ascii="Courier New" w:hAnsi="Courier New" w:cs="Times New Roman" w:hint="default"/>
      </w:rPr>
    </w:lvl>
    <w:lvl w:ilvl="2" w:tplc="FCB2E71E">
      <w:start w:val="1"/>
      <w:numFmt w:val="bullet"/>
      <w:lvlText w:val=""/>
      <w:lvlJc w:val="left"/>
      <w:pPr>
        <w:ind w:left="2160" w:hanging="360"/>
      </w:pPr>
      <w:rPr>
        <w:rFonts w:ascii="Wingdings" w:hAnsi="Wingdings" w:hint="default"/>
      </w:rPr>
    </w:lvl>
    <w:lvl w:ilvl="3" w:tplc="2A460294">
      <w:start w:val="1"/>
      <w:numFmt w:val="bullet"/>
      <w:lvlText w:val=""/>
      <w:lvlJc w:val="left"/>
      <w:pPr>
        <w:ind w:left="2880" w:hanging="360"/>
      </w:pPr>
      <w:rPr>
        <w:rFonts w:ascii="Symbol" w:hAnsi="Symbol" w:hint="default"/>
      </w:rPr>
    </w:lvl>
    <w:lvl w:ilvl="4" w:tplc="3EBE5880">
      <w:start w:val="1"/>
      <w:numFmt w:val="bullet"/>
      <w:lvlText w:val="o"/>
      <w:lvlJc w:val="left"/>
      <w:pPr>
        <w:ind w:left="3600" w:hanging="360"/>
      </w:pPr>
      <w:rPr>
        <w:rFonts w:ascii="Courier New" w:hAnsi="Courier New" w:cs="Times New Roman" w:hint="default"/>
      </w:rPr>
    </w:lvl>
    <w:lvl w:ilvl="5" w:tplc="7F6853FE">
      <w:start w:val="1"/>
      <w:numFmt w:val="bullet"/>
      <w:lvlText w:val=""/>
      <w:lvlJc w:val="left"/>
      <w:pPr>
        <w:ind w:left="4320" w:hanging="360"/>
      </w:pPr>
      <w:rPr>
        <w:rFonts w:ascii="Wingdings" w:hAnsi="Wingdings" w:hint="default"/>
      </w:rPr>
    </w:lvl>
    <w:lvl w:ilvl="6" w:tplc="A45A9BBE">
      <w:start w:val="1"/>
      <w:numFmt w:val="bullet"/>
      <w:lvlText w:val=""/>
      <w:lvlJc w:val="left"/>
      <w:pPr>
        <w:ind w:left="5040" w:hanging="360"/>
      </w:pPr>
      <w:rPr>
        <w:rFonts w:ascii="Symbol" w:hAnsi="Symbol" w:hint="default"/>
      </w:rPr>
    </w:lvl>
    <w:lvl w:ilvl="7" w:tplc="5DDA074C">
      <w:start w:val="1"/>
      <w:numFmt w:val="bullet"/>
      <w:lvlText w:val="o"/>
      <w:lvlJc w:val="left"/>
      <w:pPr>
        <w:ind w:left="5760" w:hanging="360"/>
      </w:pPr>
      <w:rPr>
        <w:rFonts w:ascii="Courier New" w:hAnsi="Courier New" w:cs="Times New Roman" w:hint="default"/>
      </w:rPr>
    </w:lvl>
    <w:lvl w:ilvl="8" w:tplc="735ABAA8">
      <w:start w:val="1"/>
      <w:numFmt w:val="bullet"/>
      <w:lvlText w:val=""/>
      <w:lvlJc w:val="left"/>
      <w:pPr>
        <w:ind w:left="6480" w:hanging="360"/>
      </w:pPr>
      <w:rPr>
        <w:rFonts w:ascii="Wingdings" w:hAnsi="Wingdings" w:hint="default"/>
      </w:rPr>
    </w:lvl>
  </w:abstractNum>
  <w:abstractNum w:abstractNumId="117" w15:restartNumberingAfterBreak="0">
    <w:nsid w:val="572F6C41"/>
    <w:multiLevelType w:val="multilevel"/>
    <w:tmpl w:val="478E8EEA"/>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72FD515"/>
    <w:multiLevelType w:val="hybridMultilevel"/>
    <w:tmpl w:val="ECD429AE"/>
    <w:lvl w:ilvl="0" w:tplc="4C9087F6">
      <w:start w:val="1"/>
      <w:numFmt w:val="decimal"/>
      <w:lvlText w:val="%1."/>
      <w:lvlJc w:val="left"/>
      <w:pPr>
        <w:ind w:left="720" w:hanging="360"/>
      </w:pPr>
    </w:lvl>
    <w:lvl w:ilvl="1" w:tplc="5C2C5AC2">
      <w:start w:val="1"/>
      <w:numFmt w:val="lowerLetter"/>
      <w:lvlText w:val="%2."/>
      <w:lvlJc w:val="left"/>
      <w:pPr>
        <w:ind w:left="1440" w:hanging="360"/>
      </w:pPr>
    </w:lvl>
    <w:lvl w:ilvl="2" w:tplc="3192151C">
      <w:start w:val="1"/>
      <w:numFmt w:val="lowerRoman"/>
      <w:lvlText w:val="%3."/>
      <w:lvlJc w:val="right"/>
      <w:pPr>
        <w:ind w:left="2160" w:hanging="180"/>
      </w:pPr>
    </w:lvl>
    <w:lvl w:ilvl="3" w:tplc="414A3206">
      <w:start w:val="1"/>
      <w:numFmt w:val="decimal"/>
      <w:lvlText w:val="%4."/>
      <w:lvlJc w:val="left"/>
      <w:pPr>
        <w:ind w:left="2880" w:hanging="360"/>
      </w:pPr>
    </w:lvl>
    <w:lvl w:ilvl="4" w:tplc="87F066EE">
      <w:start w:val="1"/>
      <w:numFmt w:val="lowerLetter"/>
      <w:lvlText w:val="%5."/>
      <w:lvlJc w:val="left"/>
      <w:pPr>
        <w:ind w:left="3600" w:hanging="360"/>
      </w:pPr>
    </w:lvl>
    <w:lvl w:ilvl="5" w:tplc="52365568">
      <w:start w:val="1"/>
      <w:numFmt w:val="lowerRoman"/>
      <w:lvlText w:val="%6."/>
      <w:lvlJc w:val="right"/>
      <w:pPr>
        <w:ind w:left="4320" w:hanging="180"/>
      </w:pPr>
    </w:lvl>
    <w:lvl w:ilvl="6" w:tplc="F24CCDEA">
      <w:start w:val="1"/>
      <w:numFmt w:val="decimal"/>
      <w:lvlText w:val="%7."/>
      <w:lvlJc w:val="left"/>
      <w:pPr>
        <w:ind w:left="5040" w:hanging="360"/>
      </w:pPr>
    </w:lvl>
    <w:lvl w:ilvl="7" w:tplc="0AEC602E">
      <w:start w:val="1"/>
      <w:numFmt w:val="lowerLetter"/>
      <w:lvlText w:val="%8."/>
      <w:lvlJc w:val="left"/>
      <w:pPr>
        <w:ind w:left="5760" w:hanging="360"/>
      </w:pPr>
    </w:lvl>
    <w:lvl w:ilvl="8" w:tplc="2368A3DE">
      <w:start w:val="1"/>
      <w:numFmt w:val="lowerRoman"/>
      <w:lvlText w:val="%9."/>
      <w:lvlJc w:val="right"/>
      <w:pPr>
        <w:ind w:left="6480" w:hanging="180"/>
      </w:pPr>
    </w:lvl>
  </w:abstractNum>
  <w:abstractNum w:abstractNumId="119" w15:restartNumberingAfterBreak="0">
    <w:nsid w:val="57BD2A10"/>
    <w:multiLevelType w:val="multilevel"/>
    <w:tmpl w:val="DAEAED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B395AAA"/>
    <w:multiLevelType w:val="singleLevel"/>
    <w:tmpl w:val="96D02E8A"/>
    <w:name w:val="Bullet 1"/>
    <w:lvl w:ilvl="0">
      <w:start w:val="1"/>
      <w:numFmt w:val="bullet"/>
      <w:pStyle w:val="Bullet1"/>
      <w:lvlText w:val=""/>
      <w:lvlJc w:val="left"/>
      <w:pPr>
        <w:tabs>
          <w:tab w:val="num" w:pos="1417"/>
        </w:tabs>
        <w:ind w:left="1417" w:hanging="567"/>
      </w:pPr>
      <w:rPr>
        <w:rFonts w:ascii="Symbol" w:hAnsi="Symbol" w:hint="default"/>
      </w:rPr>
    </w:lvl>
  </w:abstractNum>
  <w:abstractNum w:abstractNumId="121" w15:restartNumberingAfterBreak="0">
    <w:nsid w:val="5BCE277F"/>
    <w:multiLevelType w:val="multilevel"/>
    <w:tmpl w:val="87FEB42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5C056EE5"/>
    <w:multiLevelType w:val="singleLevel"/>
    <w:tmpl w:val="3378D27C"/>
    <w:name w:val="Bullet 2"/>
    <w:lvl w:ilvl="0">
      <w:start w:val="1"/>
      <w:numFmt w:val="bullet"/>
      <w:pStyle w:val="Bullet2"/>
      <w:lvlText w:val=""/>
      <w:lvlJc w:val="left"/>
      <w:pPr>
        <w:tabs>
          <w:tab w:val="num" w:pos="1984"/>
        </w:tabs>
        <w:ind w:left="1984" w:hanging="567"/>
      </w:pPr>
      <w:rPr>
        <w:rFonts w:ascii="Symbol" w:hAnsi="Symbol" w:hint="default"/>
      </w:rPr>
    </w:lvl>
  </w:abstractNum>
  <w:abstractNum w:abstractNumId="123"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24" w15:restartNumberingAfterBreak="0">
    <w:nsid w:val="5D0A1416"/>
    <w:multiLevelType w:val="multilevel"/>
    <w:tmpl w:val="A2867A0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5E2E53FD"/>
    <w:multiLevelType w:val="hybridMultilevel"/>
    <w:tmpl w:val="CCCE8B74"/>
    <w:lvl w:ilvl="0" w:tplc="04100011">
      <w:start w:val="1"/>
      <w:numFmt w:val="decimal"/>
      <w:lvlText w:val="%1)"/>
      <w:lvlJc w:val="left"/>
      <w:pPr>
        <w:ind w:left="72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6" w15:restartNumberingAfterBreak="0">
    <w:nsid w:val="5E8C59F9"/>
    <w:multiLevelType w:val="multilevel"/>
    <w:tmpl w:val="D73CCF0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5F0D4639"/>
    <w:multiLevelType w:val="hybridMultilevel"/>
    <w:tmpl w:val="7A1CF0CE"/>
    <w:lvl w:ilvl="0" w:tplc="8EBEB170">
      <w:start w:val="1"/>
      <w:numFmt w:val="decimal"/>
      <w:lvlText w:val="%1."/>
      <w:lvlJc w:val="left"/>
      <w:pPr>
        <w:ind w:left="288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28" w15:restartNumberingAfterBreak="0">
    <w:nsid w:val="5F91117A"/>
    <w:multiLevelType w:val="multilevel"/>
    <w:tmpl w:val="399ED48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5FB56B1D"/>
    <w:multiLevelType w:val="multilevel"/>
    <w:tmpl w:val="F65E3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FD00279"/>
    <w:multiLevelType w:val="multilevel"/>
    <w:tmpl w:val="034247E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1" w15:restartNumberingAfterBreak="0">
    <w:nsid w:val="5FF63949"/>
    <w:multiLevelType w:val="hybridMultilevel"/>
    <w:tmpl w:val="C94E34EA"/>
    <w:lvl w:ilvl="0" w:tplc="18090011">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32" w15:restartNumberingAfterBreak="0">
    <w:nsid w:val="63A15AD3"/>
    <w:multiLevelType w:val="hybridMultilevel"/>
    <w:tmpl w:val="13087CA4"/>
    <w:lvl w:ilvl="0" w:tplc="BDD06172">
      <w:start w:val="1"/>
      <w:numFmt w:val="bullet"/>
      <w:pStyle w:val="TOC1"/>
      <w:lvlText w:val=""/>
      <w:lvlJc w:val="left"/>
      <w:pPr>
        <w:ind w:left="1440" w:hanging="360"/>
      </w:pPr>
      <w:rPr>
        <w:rFonts w:ascii="Symbol" w:hAnsi="Symbol" w:hint="default"/>
      </w:rPr>
    </w:lvl>
    <w:lvl w:ilvl="1" w:tplc="A8CC45A2">
      <w:start w:val="1"/>
      <w:numFmt w:val="bullet"/>
      <w:lvlText w:val="o"/>
      <w:lvlJc w:val="left"/>
      <w:pPr>
        <w:ind w:left="2160" w:hanging="360"/>
      </w:pPr>
      <w:rPr>
        <w:rFonts w:ascii="Courier New" w:hAnsi="Courier New" w:hint="default"/>
      </w:rPr>
    </w:lvl>
    <w:lvl w:ilvl="2" w:tplc="CA12AE6E">
      <w:start w:val="1"/>
      <w:numFmt w:val="bullet"/>
      <w:lvlText w:val=""/>
      <w:lvlJc w:val="left"/>
      <w:pPr>
        <w:ind w:left="2880" w:hanging="360"/>
      </w:pPr>
      <w:rPr>
        <w:rFonts w:ascii="Wingdings" w:hAnsi="Wingdings" w:hint="default"/>
      </w:rPr>
    </w:lvl>
    <w:lvl w:ilvl="3" w:tplc="44D059CC">
      <w:start w:val="1"/>
      <w:numFmt w:val="bullet"/>
      <w:lvlText w:val=""/>
      <w:lvlJc w:val="left"/>
      <w:pPr>
        <w:ind w:left="3600" w:hanging="360"/>
      </w:pPr>
      <w:rPr>
        <w:rFonts w:ascii="Symbol" w:hAnsi="Symbol" w:hint="default"/>
      </w:rPr>
    </w:lvl>
    <w:lvl w:ilvl="4" w:tplc="7866830A">
      <w:start w:val="1"/>
      <w:numFmt w:val="bullet"/>
      <w:lvlText w:val="o"/>
      <w:lvlJc w:val="left"/>
      <w:pPr>
        <w:ind w:left="4320" w:hanging="360"/>
      </w:pPr>
      <w:rPr>
        <w:rFonts w:ascii="Courier New" w:hAnsi="Courier New" w:hint="default"/>
      </w:rPr>
    </w:lvl>
    <w:lvl w:ilvl="5" w:tplc="AC222650">
      <w:start w:val="1"/>
      <w:numFmt w:val="bullet"/>
      <w:lvlText w:val=""/>
      <w:lvlJc w:val="left"/>
      <w:pPr>
        <w:ind w:left="5040" w:hanging="360"/>
      </w:pPr>
      <w:rPr>
        <w:rFonts w:ascii="Wingdings" w:hAnsi="Wingdings" w:hint="default"/>
      </w:rPr>
    </w:lvl>
    <w:lvl w:ilvl="6" w:tplc="51246CBC">
      <w:start w:val="1"/>
      <w:numFmt w:val="bullet"/>
      <w:lvlText w:val=""/>
      <w:lvlJc w:val="left"/>
      <w:pPr>
        <w:ind w:left="5760" w:hanging="360"/>
      </w:pPr>
      <w:rPr>
        <w:rFonts w:ascii="Symbol" w:hAnsi="Symbol" w:hint="default"/>
      </w:rPr>
    </w:lvl>
    <w:lvl w:ilvl="7" w:tplc="D4FEC508">
      <w:start w:val="1"/>
      <w:numFmt w:val="bullet"/>
      <w:lvlText w:val="o"/>
      <w:lvlJc w:val="left"/>
      <w:pPr>
        <w:ind w:left="6480" w:hanging="360"/>
      </w:pPr>
      <w:rPr>
        <w:rFonts w:ascii="Courier New" w:hAnsi="Courier New" w:hint="default"/>
      </w:rPr>
    </w:lvl>
    <w:lvl w:ilvl="8" w:tplc="7E364E34">
      <w:start w:val="1"/>
      <w:numFmt w:val="bullet"/>
      <w:lvlText w:val=""/>
      <w:lvlJc w:val="left"/>
      <w:pPr>
        <w:ind w:left="7200" w:hanging="360"/>
      </w:pPr>
      <w:rPr>
        <w:rFonts w:ascii="Wingdings" w:hAnsi="Wingdings" w:hint="default"/>
      </w:rPr>
    </w:lvl>
  </w:abstractNum>
  <w:abstractNum w:abstractNumId="133" w15:restartNumberingAfterBreak="0">
    <w:nsid w:val="64166D02"/>
    <w:multiLevelType w:val="multilevel"/>
    <w:tmpl w:val="C99AB46E"/>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4" w15:restartNumberingAfterBreak="0">
    <w:nsid w:val="64E73F92"/>
    <w:multiLevelType w:val="multilevel"/>
    <w:tmpl w:val="1D968A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4EC091A"/>
    <w:multiLevelType w:val="hybridMultilevel"/>
    <w:tmpl w:val="A5402258"/>
    <w:lvl w:ilvl="0" w:tplc="4EC0B3BA">
      <w:numFmt w:val="bullet"/>
      <w:lvlText w:val="-"/>
      <w:lvlJc w:val="left"/>
      <w:pPr>
        <w:ind w:left="360" w:hanging="360"/>
      </w:pPr>
      <w:rPr>
        <w:rFonts w:ascii="Calibri" w:hAnsi="Calibri" w:hint="default"/>
      </w:rPr>
    </w:lvl>
    <w:lvl w:ilvl="1" w:tplc="6FBE6014">
      <w:start w:val="1"/>
      <w:numFmt w:val="bullet"/>
      <w:lvlText w:val="o"/>
      <w:lvlJc w:val="left"/>
      <w:pPr>
        <w:ind w:left="1080" w:hanging="360"/>
      </w:pPr>
      <w:rPr>
        <w:rFonts w:ascii="Courier New" w:hAnsi="Courier New" w:hint="default"/>
      </w:rPr>
    </w:lvl>
    <w:lvl w:ilvl="2" w:tplc="7E2A8F24">
      <w:start w:val="1"/>
      <w:numFmt w:val="bullet"/>
      <w:lvlText w:val=""/>
      <w:lvlJc w:val="left"/>
      <w:pPr>
        <w:ind w:left="1800" w:hanging="360"/>
      </w:pPr>
      <w:rPr>
        <w:rFonts w:ascii="Wingdings" w:hAnsi="Wingdings" w:hint="default"/>
      </w:rPr>
    </w:lvl>
    <w:lvl w:ilvl="3" w:tplc="BDE2245E">
      <w:start w:val="1"/>
      <w:numFmt w:val="bullet"/>
      <w:lvlText w:val=""/>
      <w:lvlJc w:val="left"/>
      <w:pPr>
        <w:ind w:left="2520" w:hanging="360"/>
      </w:pPr>
      <w:rPr>
        <w:rFonts w:ascii="Symbol" w:hAnsi="Symbol" w:hint="default"/>
      </w:rPr>
    </w:lvl>
    <w:lvl w:ilvl="4" w:tplc="72A254BE">
      <w:start w:val="1"/>
      <w:numFmt w:val="bullet"/>
      <w:lvlText w:val="o"/>
      <w:lvlJc w:val="left"/>
      <w:pPr>
        <w:ind w:left="3240" w:hanging="360"/>
      </w:pPr>
      <w:rPr>
        <w:rFonts w:ascii="Courier New" w:hAnsi="Courier New" w:hint="default"/>
      </w:rPr>
    </w:lvl>
    <w:lvl w:ilvl="5" w:tplc="599072B8">
      <w:start w:val="1"/>
      <w:numFmt w:val="bullet"/>
      <w:lvlText w:val=""/>
      <w:lvlJc w:val="left"/>
      <w:pPr>
        <w:ind w:left="3960" w:hanging="360"/>
      </w:pPr>
      <w:rPr>
        <w:rFonts w:ascii="Wingdings" w:hAnsi="Wingdings" w:hint="default"/>
      </w:rPr>
    </w:lvl>
    <w:lvl w:ilvl="6" w:tplc="904C2150">
      <w:start w:val="1"/>
      <w:numFmt w:val="bullet"/>
      <w:lvlText w:val=""/>
      <w:lvlJc w:val="left"/>
      <w:pPr>
        <w:ind w:left="4680" w:hanging="360"/>
      </w:pPr>
      <w:rPr>
        <w:rFonts w:ascii="Symbol" w:hAnsi="Symbol" w:hint="default"/>
      </w:rPr>
    </w:lvl>
    <w:lvl w:ilvl="7" w:tplc="5BD0BB3E">
      <w:start w:val="1"/>
      <w:numFmt w:val="bullet"/>
      <w:lvlText w:val="o"/>
      <w:lvlJc w:val="left"/>
      <w:pPr>
        <w:ind w:left="5400" w:hanging="360"/>
      </w:pPr>
      <w:rPr>
        <w:rFonts w:ascii="Courier New" w:hAnsi="Courier New" w:hint="default"/>
      </w:rPr>
    </w:lvl>
    <w:lvl w:ilvl="8" w:tplc="F0103530">
      <w:start w:val="1"/>
      <w:numFmt w:val="bullet"/>
      <w:lvlText w:val=""/>
      <w:lvlJc w:val="left"/>
      <w:pPr>
        <w:ind w:left="6120" w:hanging="360"/>
      </w:pPr>
      <w:rPr>
        <w:rFonts w:ascii="Wingdings" w:hAnsi="Wingdings" w:hint="default"/>
      </w:rPr>
    </w:lvl>
  </w:abstractNum>
  <w:abstractNum w:abstractNumId="136" w15:restartNumberingAfterBreak="0">
    <w:nsid w:val="65344C90"/>
    <w:multiLevelType w:val="hybridMultilevel"/>
    <w:tmpl w:val="475E3F6E"/>
    <w:lvl w:ilvl="0" w:tplc="1809000F">
      <w:start w:val="1"/>
      <w:numFmt w:val="decimal"/>
      <w:lvlText w:val="%1."/>
      <w:lvlJc w:val="left"/>
      <w:pPr>
        <w:ind w:left="1080" w:hanging="360"/>
      </w:pPr>
    </w:lvl>
    <w:lvl w:ilvl="1" w:tplc="18090019">
      <w:start w:val="1"/>
      <w:numFmt w:val="lowerLetter"/>
      <w:lvlText w:val="%2."/>
      <w:lvlJc w:val="left"/>
      <w:pPr>
        <w:ind w:left="1800" w:hanging="360"/>
      </w:pPr>
    </w:lvl>
    <w:lvl w:ilvl="2" w:tplc="1809001B">
      <w:start w:val="1"/>
      <w:numFmt w:val="lowerRoman"/>
      <w:lvlText w:val="%3."/>
      <w:lvlJc w:val="right"/>
      <w:pPr>
        <w:ind w:left="2520" w:hanging="180"/>
      </w:pPr>
    </w:lvl>
    <w:lvl w:ilvl="3" w:tplc="1809000F">
      <w:start w:val="1"/>
      <w:numFmt w:val="decimal"/>
      <w:lvlText w:val="%4."/>
      <w:lvlJc w:val="left"/>
      <w:pPr>
        <w:ind w:left="3240" w:hanging="360"/>
      </w:pPr>
    </w:lvl>
    <w:lvl w:ilvl="4" w:tplc="18090019">
      <w:start w:val="1"/>
      <w:numFmt w:val="lowerLetter"/>
      <w:lvlText w:val="%5."/>
      <w:lvlJc w:val="left"/>
      <w:pPr>
        <w:ind w:left="3960" w:hanging="360"/>
      </w:pPr>
    </w:lvl>
    <w:lvl w:ilvl="5" w:tplc="1809001B">
      <w:start w:val="1"/>
      <w:numFmt w:val="lowerRoman"/>
      <w:lvlText w:val="%6."/>
      <w:lvlJc w:val="right"/>
      <w:pPr>
        <w:ind w:left="4680" w:hanging="180"/>
      </w:pPr>
    </w:lvl>
    <w:lvl w:ilvl="6" w:tplc="1809000F">
      <w:start w:val="1"/>
      <w:numFmt w:val="decimal"/>
      <w:lvlText w:val="%7."/>
      <w:lvlJc w:val="left"/>
      <w:pPr>
        <w:ind w:left="5400" w:hanging="360"/>
      </w:pPr>
    </w:lvl>
    <w:lvl w:ilvl="7" w:tplc="18090019">
      <w:start w:val="1"/>
      <w:numFmt w:val="lowerLetter"/>
      <w:lvlText w:val="%8."/>
      <w:lvlJc w:val="left"/>
      <w:pPr>
        <w:ind w:left="6120" w:hanging="360"/>
      </w:pPr>
    </w:lvl>
    <w:lvl w:ilvl="8" w:tplc="1809001B">
      <w:start w:val="1"/>
      <w:numFmt w:val="lowerRoman"/>
      <w:lvlText w:val="%9."/>
      <w:lvlJc w:val="right"/>
      <w:pPr>
        <w:ind w:left="6840" w:hanging="180"/>
      </w:pPr>
    </w:lvl>
  </w:abstractNum>
  <w:abstractNum w:abstractNumId="137" w15:restartNumberingAfterBreak="0">
    <w:nsid w:val="670D2CB2"/>
    <w:multiLevelType w:val="multilevel"/>
    <w:tmpl w:val="D010AB18"/>
    <w:lvl w:ilvl="0">
      <w:start w:val="8"/>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8" w15:restartNumberingAfterBreak="0">
    <w:nsid w:val="67B856F6"/>
    <w:multiLevelType w:val="singleLevel"/>
    <w:tmpl w:val="0AB28E9C"/>
    <w:name w:val="Tiret 2"/>
    <w:lvl w:ilvl="0">
      <w:start w:val="1"/>
      <w:numFmt w:val="bullet"/>
      <w:pStyle w:val="Tiret2"/>
      <w:lvlText w:val="–"/>
      <w:lvlJc w:val="left"/>
      <w:pPr>
        <w:tabs>
          <w:tab w:val="num" w:pos="1984"/>
        </w:tabs>
        <w:ind w:left="1984" w:hanging="567"/>
      </w:pPr>
    </w:lvl>
  </w:abstractNum>
  <w:abstractNum w:abstractNumId="139" w15:restartNumberingAfterBreak="0">
    <w:nsid w:val="68B5403C"/>
    <w:multiLevelType w:val="hybridMultilevel"/>
    <w:tmpl w:val="029C7FA2"/>
    <w:lvl w:ilvl="0" w:tplc="23C2407A">
      <w:start w:val="2"/>
      <w:numFmt w:val="lowerRoman"/>
      <w:lvlText w:val="%1."/>
      <w:lvlJc w:val="left"/>
      <w:pPr>
        <w:ind w:left="720" w:hanging="72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0" w15:restartNumberingAfterBreak="0">
    <w:nsid w:val="69936A2E"/>
    <w:multiLevelType w:val="hybridMultilevel"/>
    <w:tmpl w:val="7DFCC346"/>
    <w:lvl w:ilvl="0" w:tplc="5380BE8C">
      <w:start w:val="1"/>
      <w:numFmt w:val="lowerRoman"/>
      <w:lvlText w:val="%1)"/>
      <w:lvlJc w:val="righ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41" w15:restartNumberingAfterBreak="0">
    <w:nsid w:val="69C5E854"/>
    <w:multiLevelType w:val="hybridMultilevel"/>
    <w:tmpl w:val="FFFFFFFF"/>
    <w:lvl w:ilvl="0" w:tplc="56E28C82">
      <w:start w:val="1"/>
      <w:numFmt w:val="upperRoman"/>
      <w:lvlText w:val="%1)"/>
      <w:lvlJc w:val="left"/>
      <w:pPr>
        <w:ind w:left="720" w:hanging="360"/>
      </w:pPr>
    </w:lvl>
    <w:lvl w:ilvl="1" w:tplc="B838C29A">
      <w:start w:val="1"/>
      <w:numFmt w:val="lowerLetter"/>
      <w:lvlText w:val="%2."/>
      <w:lvlJc w:val="left"/>
      <w:pPr>
        <w:ind w:left="1440" w:hanging="360"/>
      </w:pPr>
    </w:lvl>
    <w:lvl w:ilvl="2" w:tplc="21AAFD04">
      <w:start w:val="1"/>
      <w:numFmt w:val="lowerRoman"/>
      <w:lvlText w:val="%3."/>
      <w:lvlJc w:val="right"/>
      <w:pPr>
        <w:ind w:left="2160" w:hanging="180"/>
      </w:pPr>
    </w:lvl>
    <w:lvl w:ilvl="3" w:tplc="0B9E31B2">
      <w:start w:val="1"/>
      <w:numFmt w:val="decimal"/>
      <w:lvlText w:val="%4."/>
      <w:lvlJc w:val="left"/>
      <w:pPr>
        <w:ind w:left="2880" w:hanging="360"/>
      </w:pPr>
    </w:lvl>
    <w:lvl w:ilvl="4" w:tplc="E384EABE">
      <w:start w:val="1"/>
      <w:numFmt w:val="lowerLetter"/>
      <w:lvlText w:val="%5."/>
      <w:lvlJc w:val="left"/>
      <w:pPr>
        <w:ind w:left="3600" w:hanging="360"/>
      </w:pPr>
    </w:lvl>
    <w:lvl w:ilvl="5" w:tplc="05503056">
      <w:start w:val="1"/>
      <w:numFmt w:val="lowerRoman"/>
      <w:lvlText w:val="%6."/>
      <w:lvlJc w:val="right"/>
      <w:pPr>
        <w:ind w:left="4320" w:hanging="180"/>
      </w:pPr>
    </w:lvl>
    <w:lvl w:ilvl="6" w:tplc="D96C9CD4">
      <w:start w:val="1"/>
      <w:numFmt w:val="decimal"/>
      <w:lvlText w:val="%7."/>
      <w:lvlJc w:val="left"/>
      <w:pPr>
        <w:ind w:left="5040" w:hanging="360"/>
      </w:pPr>
    </w:lvl>
    <w:lvl w:ilvl="7" w:tplc="ECEEECB8">
      <w:start w:val="1"/>
      <w:numFmt w:val="lowerLetter"/>
      <w:lvlText w:val="%8."/>
      <w:lvlJc w:val="left"/>
      <w:pPr>
        <w:ind w:left="5760" w:hanging="360"/>
      </w:pPr>
    </w:lvl>
    <w:lvl w:ilvl="8" w:tplc="1038AEFC">
      <w:start w:val="1"/>
      <w:numFmt w:val="lowerRoman"/>
      <w:lvlText w:val="%9."/>
      <w:lvlJc w:val="right"/>
      <w:pPr>
        <w:ind w:left="6480" w:hanging="180"/>
      </w:pPr>
    </w:lvl>
  </w:abstractNum>
  <w:abstractNum w:abstractNumId="142" w15:restartNumberingAfterBreak="0">
    <w:nsid w:val="6A587128"/>
    <w:multiLevelType w:val="multilevel"/>
    <w:tmpl w:val="5EBCA84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6A5F1BA5"/>
    <w:multiLevelType w:val="multilevel"/>
    <w:tmpl w:val="5EE02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AFE6E83"/>
    <w:multiLevelType w:val="multilevel"/>
    <w:tmpl w:val="3FDA054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6B0E38AD"/>
    <w:multiLevelType w:val="hybridMultilevel"/>
    <w:tmpl w:val="046E43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6" w15:restartNumberingAfterBreak="0">
    <w:nsid w:val="6C37385B"/>
    <w:multiLevelType w:val="hybridMultilevel"/>
    <w:tmpl w:val="57805CB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7" w15:restartNumberingAfterBreak="0">
    <w:nsid w:val="6C3B6935"/>
    <w:multiLevelType w:val="hybridMultilevel"/>
    <w:tmpl w:val="BB86849A"/>
    <w:lvl w:ilvl="0" w:tplc="18090017">
      <w:start w:val="1"/>
      <w:numFmt w:val="lowerLetter"/>
      <w:lvlText w:val="%1)"/>
      <w:lvlJc w:val="left"/>
      <w:pPr>
        <w:ind w:left="1196" w:hanging="360"/>
      </w:pPr>
    </w:lvl>
    <w:lvl w:ilvl="1" w:tplc="18090019" w:tentative="1">
      <w:start w:val="1"/>
      <w:numFmt w:val="lowerLetter"/>
      <w:lvlText w:val="%2."/>
      <w:lvlJc w:val="left"/>
      <w:pPr>
        <w:ind w:left="1916" w:hanging="360"/>
      </w:pPr>
    </w:lvl>
    <w:lvl w:ilvl="2" w:tplc="1809001B" w:tentative="1">
      <w:start w:val="1"/>
      <w:numFmt w:val="lowerRoman"/>
      <w:lvlText w:val="%3."/>
      <w:lvlJc w:val="right"/>
      <w:pPr>
        <w:ind w:left="2636" w:hanging="180"/>
      </w:pPr>
    </w:lvl>
    <w:lvl w:ilvl="3" w:tplc="1809000F" w:tentative="1">
      <w:start w:val="1"/>
      <w:numFmt w:val="decimal"/>
      <w:lvlText w:val="%4."/>
      <w:lvlJc w:val="left"/>
      <w:pPr>
        <w:ind w:left="3356" w:hanging="360"/>
      </w:pPr>
    </w:lvl>
    <w:lvl w:ilvl="4" w:tplc="18090019" w:tentative="1">
      <w:start w:val="1"/>
      <w:numFmt w:val="lowerLetter"/>
      <w:lvlText w:val="%5."/>
      <w:lvlJc w:val="left"/>
      <w:pPr>
        <w:ind w:left="4076" w:hanging="360"/>
      </w:pPr>
    </w:lvl>
    <w:lvl w:ilvl="5" w:tplc="1809001B" w:tentative="1">
      <w:start w:val="1"/>
      <w:numFmt w:val="lowerRoman"/>
      <w:lvlText w:val="%6."/>
      <w:lvlJc w:val="right"/>
      <w:pPr>
        <w:ind w:left="4796" w:hanging="180"/>
      </w:pPr>
    </w:lvl>
    <w:lvl w:ilvl="6" w:tplc="1809000F" w:tentative="1">
      <w:start w:val="1"/>
      <w:numFmt w:val="decimal"/>
      <w:lvlText w:val="%7."/>
      <w:lvlJc w:val="left"/>
      <w:pPr>
        <w:ind w:left="5516" w:hanging="360"/>
      </w:pPr>
    </w:lvl>
    <w:lvl w:ilvl="7" w:tplc="18090019" w:tentative="1">
      <w:start w:val="1"/>
      <w:numFmt w:val="lowerLetter"/>
      <w:lvlText w:val="%8."/>
      <w:lvlJc w:val="left"/>
      <w:pPr>
        <w:ind w:left="6236" w:hanging="360"/>
      </w:pPr>
    </w:lvl>
    <w:lvl w:ilvl="8" w:tplc="1809001B" w:tentative="1">
      <w:start w:val="1"/>
      <w:numFmt w:val="lowerRoman"/>
      <w:lvlText w:val="%9."/>
      <w:lvlJc w:val="right"/>
      <w:pPr>
        <w:ind w:left="6956" w:hanging="180"/>
      </w:pPr>
    </w:lvl>
  </w:abstractNum>
  <w:abstractNum w:abstractNumId="148" w15:restartNumberingAfterBreak="0">
    <w:nsid w:val="6CED03CC"/>
    <w:multiLevelType w:val="multilevel"/>
    <w:tmpl w:val="B25056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9" w15:restartNumberingAfterBreak="0">
    <w:nsid w:val="6DEA7483"/>
    <w:multiLevelType w:val="hybridMultilevel"/>
    <w:tmpl w:val="189A45C8"/>
    <w:lvl w:ilvl="0" w:tplc="DBB8B8C6">
      <w:start w:val="1"/>
      <w:numFmt w:val="bullet"/>
      <w:lvlText w:val=""/>
      <w:lvlJc w:val="left"/>
      <w:pPr>
        <w:ind w:left="720" w:hanging="360"/>
      </w:pPr>
      <w:rPr>
        <w:rFonts w:ascii="Symbol" w:hAnsi="Symbol" w:hint="default"/>
      </w:rPr>
    </w:lvl>
    <w:lvl w:ilvl="1" w:tplc="109EFACA">
      <w:start w:val="1"/>
      <w:numFmt w:val="bullet"/>
      <w:lvlText w:val="o"/>
      <w:lvlJc w:val="left"/>
      <w:pPr>
        <w:ind w:left="1440" w:hanging="360"/>
      </w:pPr>
      <w:rPr>
        <w:rFonts w:ascii="Courier New" w:hAnsi="Courier New" w:hint="default"/>
      </w:rPr>
    </w:lvl>
    <w:lvl w:ilvl="2" w:tplc="C49E924A">
      <w:start w:val="1"/>
      <w:numFmt w:val="bullet"/>
      <w:lvlText w:val=""/>
      <w:lvlJc w:val="left"/>
      <w:pPr>
        <w:ind w:left="2160" w:hanging="360"/>
      </w:pPr>
      <w:rPr>
        <w:rFonts w:ascii="Wingdings" w:hAnsi="Wingdings" w:hint="default"/>
      </w:rPr>
    </w:lvl>
    <w:lvl w:ilvl="3" w:tplc="88B87FA0">
      <w:start w:val="1"/>
      <w:numFmt w:val="bullet"/>
      <w:lvlText w:val=""/>
      <w:lvlJc w:val="left"/>
      <w:pPr>
        <w:ind w:left="2880" w:hanging="360"/>
      </w:pPr>
      <w:rPr>
        <w:rFonts w:ascii="Symbol" w:hAnsi="Symbol" w:hint="default"/>
      </w:rPr>
    </w:lvl>
    <w:lvl w:ilvl="4" w:tplc="8F30CEC4">
      <w:start w:val="1"/>
      <w:numFmt w:val="bullet"/>
      <w:lvlText w:val="o"/>
      <w:lvlJc w:val="left"/>
      <w:pPr>
        <w:ind w:left="3600" w:hanging="360"/>
      </w:pPr>
      <w:rPr>
        <w:rFonts w:ascii="Courier New" w:hAnsi="Courier New" w:hint="default"/>
      </w:rPr>
    </w:lvl>
    <w:lvl w:ilvl="5" w:tplc="D3921536">
      <w:start w:val="1"/>
      <w:numFmt w:val="bullet"/>
      <w:lvlText w:val=""/>
      <w:lvlJc w:val="left"/>
      <w:pPr>
        <w:ind w:left="4320" w:hanging="360"/>
      </w:pPr>
      <w:rPr>
        <w:rFonts w:ascii="Wingdings" w:hAnsi="Wingdings" w:hint="default"/>
      </w:rPr>
    </w:lvl>
    <w:lvl w:ilvl="6" w:tplc="20409612">
      <w:start w:val="1"/>
      <w:numFmt w:val="bullet"/>
      <w:lvlText w:val=""/>
      <w:lvlJc w:val="left"/>
      <w:pPr>
        <w:ind w:left="5040" w:hanging="360"/>
      </w:pPr>
      <w:rPr>
        <w:rFonts w:ascii="Symbol" w:hAnsi="Symbol" w:hint="default"/>
      </w:rPr>
    </w:lvl>
    <w:lvl w:ilvl="7" w:tplc="A10E3872">
      <w:start w:val="1"/>
      <w:numFmt w:val="bullet"/>
      <w:lvlText w:val="o"/>
      <w:lvlJc w:val="left"/>
      <w:pPr>
        <w:ind w:left="5760" w:hanging="360"/>
      </w:pPr>
      <w:rPr>
        <w:rFonts w:ascii="Courier New" w:hAnsi="Courier New" w:hint="default"/>
      </w:rPr>
    </w:lvl>
    <w:lvl w:ilvl="8" w:tplc="CC987EB4">
      <w:start w:val="1"/>
      <w:numFmt w:val="bullet"/>
      <w:lvlText w:val=""/>
      <w:lvlJc w:val="left"/>
      <w:pPr>
        <w:ind w:left="6480" w:hanging="360"/>
      </w:pPr>
      <w:rPr>
        <w:rFonts w:ascii="Wingdings" w:hAnsi="Wingdings" w:hint="default"/>
      </w:rPr>
    </w:lvl>
  </w:abstractNum>
  <w:abstractNum w:abstractNumId="150" w15:restartNumberingAfterBreak="0">
    <w:nsid w:val="6DED619B"/>
    <w:multiLevelType w:val="hybridMultilevel"/>
    <w:tmpl w:val="FD30E5B0"/>
    <w:lvl w:ilvl="0" w:tplc="ADE0F75A">
      <w:start w:val="1"/>
      <w:numFmt w:val="lowerRoman"/>
      <w:lvlText w:val="%1)"/>
      <w:lvlJc w:val="left"/>
      <w:pPr>
        <w:ind w:left="1080" w:hanging="72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51" w15:restartNumberingAfterBreak="0">
    <w:nsid w:val="6E103457"/>
    <w:multiLevelType w:val="multilevel"/>
    <w:tmpl w:val="EF74D13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6E5DD6B0"/>
    <w:multiLevelType w:val="hybridMultilevel"/>
    <w:tmpl w:val="FFFFFFFF"/>
    <w:lvl w:ilvl="0" w:tplc="15B0542E">
      <w:start w:val="1"/>
      <w:numFmt w:val="decimal"/>
      <w:lvlText w:val="%1."/>
      <w:lvlJc w:val="left"/>
      <w:pPr>
        <w:ind w:left="720" w:hanging="360"/>
      </w:pPr>
    </w:lvl>
    <w:lvl w:ilvl="1" w:tplc="CB52A0A0">
      <w:start w:val="1"/>
      <w:numFmt w:val="lowerLetter"/>
      <w:lvlText w:val="%2."/>
      <w:lvlJc w:val="left"/>
      <w:pPr>
        <w:ind w:left="1440" w:hanging="360"/>
      </w:pPr>
    </w:lvl>
    <w:lvl w:ilvl="2" w:tplc="A9E64DAA">
      <w:start w:val="1"/>
      <w:numFmt w:val="lowerRoman"/>
      <w:lvlText w:val="%3."/>
      <w:lvlJc w:val="right"/>
      <w:pPr>
        <w:ind w:left="2160" w:hanging="180"/>
      </w:pPr>
    </w:lvl>
    <w:lvl w:ilvl="3" w:tplc="E714B1C8">
      <w:start w:val="1"/>
      <w:numFmt w:val="decimal"/>
      <w:lvlText w:val="%4."/>
      <w:lvlJc w:val="left"/>
      <w:pPr>
        <w:ind w:left="2880" w:hanging="360"/>
      </w:pPr>
    </w:lvl>
    <w:lvl w:ilvl="4" w:tplc="B6707A26">
      <w:start w:val="1"/>
      <w:numFmt w:val="lowerLetter"/>
      <w:lvlText w:val="%5."/>
      <w:lvlJc w:val="left"/>
      <w:pPr>
        <w:ind w:left="3600" w:hanging="360"/>
      </w:pPr>
    </w:lvl>
    <w:lvl w:ilvl="5" w:tplc="650263B6">
      <w:start w:val="1"/>
      <w:numFmt w:val="lowerRoman"/>
      <w:lvlText w:val="%6."/>
      <w:lvlJc w:val="right"/>
      <w:pPr>
        <w:ind w:left="4320" w:hanging="180"/>
      </w:pPr>
    </w:lvl>
    <w:lvl w:ilvl="6" w:tplc="BD96DB34">
      <w:start w:val="1"/>
      <w:numFmt w:val="decimal"/>
      <w:lvlText w:val="%7."/>
      <w:lvlJc w:val="left"/>
      <w:pPr>
        <w:ind w:left="5040" w:hanging="360"/>
      </w:pPr>
    </w:lvl>
    <w:lvl w:ilvl="7" w:tplc="FF0C3D26">
      <w:start w:val="1"/>
      <w:numFmt w:val="lowerLetter"/>
      <w:lvlText w:val="%8."/>
      <w:lvlJc w:val="left"/>
      <w:pPr>
        <w:ind w:left="5760" w:hanging="360"/>
      </w:pPr>
    </w:lvl>
    <w:lvl w:ilvl="8" w:tplc="31B2E57E">
      <w:start w:val="1"/>
      <w:numFmt w:val="lowerRoman"/>
      <w:lvlText w:val="%9."/>
      <w:lvlJc w:val="right"/>
      <w:pPr>
        <w:ind w:left="6480" w:hanging="180"/>
      </w:pPr>
    </w:lvl>
  </w:abstractNum>
  <w:abstractNum w:abstractNumId="153" w15:restartNumberingAfterBreak="0">
    <w:nsid w:val="6ED65A49"/>
    <w:multiLevelType w:val="hybridMultilevel"/>
    <w:tmpl w:val="0182460E"/>
    <w:lvl w:ilvl="0" w:tplc="9820B010">
      <w:start w:val="1"/>
      <w:numFmt w:val="bullet"/>
      <w:lvlText w:val="o"/>
      <w:lvlJc w:val="left"/>
      <w:pPr>
        <w:ind w:left="720" w:hanging="360"/>
      </w:pPr>
      <w:rPr>
        <w:rFonts w:ascii="Courier New" w:hAnsi="Courier New" w:hint="default"/>
      </w:rPr>
    </w:lvl>
    <w:lvl w:ilvl="1" w:tplc="FDFE7DAA">
      <w:start w:val="1"/>
      <w:numFmt w:val="lowerLetter"/>
      <w:lvlText w:val="%2."/>
      <w:lvlJc w:val="left"/>
      <w:pPr>
        <w:ind w:left="1440" w:hanging="360"/>
      </w:pPr>
    </w:lvl>
    <w:lvl w:ilvl="2" w:tplc="484612EE">
      <w:start w:val="1"/>
      <w:numFmt w:val="lowerRoman"/>
      <w:lvlText w:val="%3."/>
      <w:lvlJc w:val="right"/>
      <w:pPr>
        <w:ind w:left="2160" w:hanging="180"/>
      </w:pPr>
    </w:lvl>
    <w:lvl w:ilvl="3" w:tplc="A802F04C">
      <w:start w:val="1"/>
      <w:numFmt w:val="decimal"/>
      <w:lvlText w:val="%4."/>
      <w:lvlJc w:val="left"/>
      <w:pPr>
        <w:ind w:left="2880" w:hanging="360"/>
      </w:pPr>
    </w:lvl>
    <w:lvl w:ilvl="4" w:tplc="4688283E">
      <w:start w:val="1"/>
      <w:numFmt w:val="lowerLetter"/>
      <w:lvlText w:val="%5."/>
      <w:lvlJc w:val="left"/>
      <w:pPr>
        <w:ind w:left="3600" w:hanging="360"/>
      </w:pPr>
    </w:lvl>
    <w:lvl w:ilvl="5" w:tplc="37029466">
      <w:start w:val="1"/>
      <w:numFmt w:val="lowerRoman"/>
      <w:lvlText w:val="%6."/>
      <w:lvlJc w:val="right"/>
      <w:pPr>
        <w:ind w:left="4320" w:hanging="180"/>
      </w:pPr>
    </w:lvl>
    <w:lvl w:ilvl="6" w:tplc="8F8EA9BE">
      <w:start w:val="1"/>
      <w:numFmt w:val="decimal"/>
      <w:lvlText w:val="%7."/>
      <w:lvlJc w:val="left"/>
      <w:pPr>
        <w:ind w:left="5040" w:hanging="360"/>
      </w:pPr>
    </w:lvl>
    <w:lvl w:ilvl="7" w:tplc="49884062">
      <w:start w:val="1"/>
      <w:numFmt w:val="lowerLetter"/>
      <w:lvlText w:val="%8."/>
      <w:lvlJc w:val="left"/>
      <w:pPr>
        <w:ind w:left="5760" w:hanging="360"/>
      </w:pPr>
    </w:lvl>
    <w:lvl w:ilvl="8" w:tplc="4E1E3F68">
      <w:start w:val="1"/>
      <w:numFmt w:val="lowerRoman"/>
      <w:lvlText w:val="%9."/>
      <w:lvlJc w:val="right"/>
      <w:pPr>
        <w:ind w:left="6480" w:hanging="180"/>
      </w:pPr>
    </w:lvl>
  </w:abstractNum>
  <w:abstractNum w:abstractNumId="154" w15:restartNumberingAfterBreak="0">
    <w:nsid w:val="6FF14727"/>
    <w:multiLevelType w:val="multilevel"/>
    <w:tmpl w:val="A8F8C3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00D7AC7"/>
    <w:multiLevelType w:val="multilevel"/>
    <w:tmpl w:val="E9C600A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6" w15:restartNumberingAfterBreak="0">
    <w:nsid w:val="70257864"/>
    <w:multiLevelType w:val="hybridMultilevel"/>
    <w:tmpl w:val="B2D04A18"/>
    <w:lvl w:ilvl="0" w:tplc="56E64AA8">
      <w:start w:val="1"/>
      <w:numFmt w:val="lowerRoman"/>
      <w:lvlText w:val="%1)"/>
      <w:lvlJc w:val="left"/>
      <w:pPr>
        <w:ind w:left="720" w:hanging="360"/>
      </w:pPr>
    </w:lvl>
    <w:lvl w:ilvl="1" w:tplc="84DEC14A">
      <w:start w:val="1"/>
      <w:numFmt w:val="bullet"/>
      <w:lvlText w:val="o"/>
      <w:lvlJc w:val="left"/>
      <w:pPr>
        <w:ind w:left="1440" w:hanging="360"/>
      </w:pPr>
      <w:rPr>
        <w:rFonts w:ascii="Courier New" w:hAnsi="Courier New" w:hint="default"/>
      </w:rPr>
    </w:lvl>
    <w:lvl w:ilvl="2" w:tplc="ED429472">
      <w:start w:val="1"/>
      <w:numFmt w:val="bullet"/>
      <w:lvlText w:val=""/>
      <w:lvlJc w:val="left"/>
      <w:pPr>
        <w:ind w:left="2160" w:hanging="360"/>
      </w:pPr>
      <w:rPr>
        <w:rFonts w:ascii="Wingdings" w:hAnsi="Wingdings" w:hint="default"/>
      </w:rPr>
    </w:lvl>
    <w:lvl w:ilvl="3" w:tplc="546C0E6C">
      <w:start w:val="1"/>
      <w:numFmt w:val="bullet"/>
      <w:lvlText w:val=""/>
      <w:lvlJc w:val="left"/>
      <w:pPr>
        <w:ind w:left="2880" w:hanging="360"/>
      </w:pPr>
      <w:rPr>
        <w:rFonts w:ascii="Symbol" w:hAnsi="Symbol" w:hint="default"/>
      </w:rPr>
    </w:lvl>
    <w:lvl w:ilvl="4" w:tplc="A1AE18D2">
      <w:start w:val="1"/>
      <w:numFmt w:val="bullet"/>
      <w:lvlText w:val="o"/>
      <w:lvlJc w:val="left"/>
      <w:pPr>
        <w:ind w:left="3600" w:hanging="360"/>
      </w:pPr>
      <w:rPr>
        <w:rFonts w:ascii="Courier New" w:hAnsi="Courier New" w:hint="default"/>
      </w:rPr>
    </w:lvl>
    <w:lvl w:ilvl="5" w:tplc="7F126766">
      <w:start w:val="1"/>
      <w:numFmt w:val="bullet"/>
      <w:lvlText w:val=""/>
      <w:lvlJc w:val="left"/>
      <w:pPr>
        <w:ind w:left="4320" w:hanging="360"/>
      </w:pPr>
      <w:rPr>
        <w:rFonts w:ascii="Wingdings" w:hAnsi="Wingdings" w:hint="default"/>
      </w:rPr>
    </w:lvl>
    <w:lvl w:ilvl="6" w:tplc="1A72FDB0">
      <w:start w:val="1"/>
      <w:numFmt w:val="bullet"/>
      <w:lvlText w:val=""/>
      <w:lvlJc w:val="left"/>
      <w:pPr>
        <w:ind w:left="5040" w:hanging="360"/>
      </w:pPr>
      <w:rPr>
        <w:rFonts w:ascii="Symbol" w:hAnsi="Symbol" w:hint="default"/>
      </w:rPr>
    </w:lvl>
    <w:lvl w:ilvl="7" w:tplc="CEFC3846">
      <w:start w:val="1"/>
      <w:numFmt w:val="bullet"/>
      <w:lvlText w:val="o"/>
      <w:lvlJc w:val="left"/>
      <w:pPr>
        <w:ind w:left="5760" w:hanging="360"/>
      </w:pPr>
      <w:rPr>
        <w:rFonts w:ascii="Courier New" w:hAnsi="Courier New" w:hint="default"/>
      </w:rPr>
    </w:lvl>
    <w:lvl w:ilvl="8" w:tplc="63B6A13C">
      <w:start w:val="1"/>
      <w:numFmt w:val="bullet"/>
      <w:lvlText w:val=""/>
      <w:lvlJc w:val="left"/>
      <w:pPr>
        <w:ind w:left="6480" w:hanging="360"/>
      </w:pPr>
      <w:rPr>
        <w:rFonts w:ascii="Wingdings" w:hAnsi="Wingdings" w:hint="default"/>
      </w:rPr>
    </w:lvl>
  </w:abstractNum>
  <w:abstractNum w:abstractNumId="157" w15:restartNumberingAfterBreak="0">
    <w:nsid w:val="7027604A"/>
    <w:multiLevelType w:val="hybridMultilevel"/>
    <w:tmpl w:val="6894551A"/>
    <w:lvl w:ilvl="0" w:tplc="60C4BCA6">
      <w:start w:val="1"/>
      <w:numFmt w:val="lowerRoman"/>
      <w:lvlText w:val="%1."/>
      <w:lvlJc w:val="right"/>
      <w:pPr>
        <w:ind w:left="720" w:hanging="360"/>
      </w:pPr>
    </w:lvl>
    <w:lvl w:ilvl="1" w:tplc="D0DE7B0A">
      <w:start w:val="1"/>
      <w:numFmt w:val="lowerLetter"/>
      <w:lvlText w:val="%2."/>
      <w:lvlJc w:val="left"/>
      <w:pPr>
        <w:ind w:left="1440" w:hanging="360"/>
      </w:pPr>
    </w:lvl>
    <w:lvl w:ilvl="2" w:tplc="8A403568">
      <w:start w:val="1"/>
      <w:numFmt w:val="lowerRoman"/>
      <w:lvlText w:val="%3."/>
      <w:lvlJc w:val="right"/>
      <w:pPr>
        <w:ind w:left="2160" w:hanging="180"/>
      </w:pPr>
    </w:lvl>
    <w:lvl w:ilvl="3" w:tplc="4AD2D12C">
      <w:start w:val="1"/>
      <w:numFmt w:val="decimal"/>
      <w:lvlText w:val="%4."/>
      <w:lvlJc w:val="left"/>
      <w:pPr>
        <w:ind w:left="2880" w:hanging="360"/>
      </w:pPr>
    </w:lvl>
    <w:lvl w:ilvl="4" w:tplc="184466CE">
      <w:start w:val="1"/>
      <w:numFmt w:val="lowerLetter"/>
      <w:lvlText w:val="%5."/>
      <w:lvlJc w:val="left"/>
      <w:pPr>
        <w:ind w:left="3600" w:hanging="360"/>
      </w:pPr>
    </w:lvl>
    <w:lvl w:ilvl="5" w:tplc="4CE697FC">
      <w:start w:val="1"/>
      <w:numFmt w:val="lowerRoman"/>
      <w:lvlText w:val="%6."/>
      <w:lvlJc w:val="right"/>
      <w:pPr>
        <w:ind w:left="4320" w:hanging="180"/>
      </w:pPr>
    </w:lvl>
    <w:lvl w:ilvl="6" w:tplc="107CB322">
      <w:start w:val="1"/>
      <w:numFmt w:val="decimal"/>
      <w:lvlText w:val="%7."/>
      <w:lvlJc w:val="left"/>
      <w:pPr>
        <w:ind w:left="5040" w:hanging="360"/>
      </w:pPr>
    </w:lvl>
    <w:lvl w:ilvl="7" w:tplc="D5F49DFE">
      <w:start w:val="1"/>
      <w:numFmt w:val="lowerLetter"/>
      <w:lvlText w:val="%8."/>
      <w:lvlJc w:val="left"/>
      <w:pPr>
        <w:ind w:left="5760" w:hanging="360"/>
      </w:pPr>
    </w:lvl>
    <w:lvl w:ilvl="8" w:tplc="C4E07C50">
      <w:start w:val="1"/>
      <w:numFmt w:val="lowerRoman"/>
      <w:lvlText w:val="%9."/>
      <w:lvlJc w:val="right"/>
      <w:pPr>
        <w:ind w:left="6480" w:hanging="180"/>
      </w:pPr>
    </w:lvl>
  </w:abstractNum>
  <w:abstractNum w:abstractNumId="158" w15:restartNumberingAfterBreak="0">
    <w:nsid w:val="70500DE9"/>
    <w:multiLevelType w:val="hybridMultilevel"/>
    <w:tmpl w:val="C332FCB4"/>
    <w:lvl w:ilvl="0" w:tplc="7AACA2A8">
      <w:start w:val="1"/>
      <w:numFmt w:val="lowerRoman"/>
      <w:lvlText w:val="%1)"/>
      <w:lvlJc w:val="left"/>
      <w:pPr>
        <w:ind w:left="1080" w:hanging="360"/>
      </w:pPr>
    </w:lvl>
    <w:lvl w:ilvl="1" w:tplc="FFFFFFFF">
      <w:start w:val="1"/>
      <w:numFmt w:val="lowerRoman"/>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Roman"/>
      <w:lvlText w:val="%5."/>
      <w:lvlJc w:val="righ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59" w15:restartNumberingAfterBreak="0">
    <w:nsid w:val="70EC6B5A"/>
    <w:multiLevelType w:val="multilevel"/>
    <w:tmpl w:val="74184A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0" w15:restartNumberingAfterBreak="0">
    <w:nsid w:val="7147794F"/>
    <w:multiLevelType w:val="multilevel"/>
    <w:tmpl w:val="5BFC6C4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1" w15:restartNumberingAfterBreak="0">
    <w:nsid w:val="726E3DB0"/>
    <w:multiLevelType w:val="hybridMultilevel"/>
    <w:tmpl w:val="A7B0B03C"/>
    <w:lvl w:ilvl="0" w:tplc="2772B242">
      <w:start w:val="1"/>
      <w:numFmt w:val="bullet"/>
      <w:lvlText w:val="-"/>
      <w:lvlJc w:val="left"/>
      <w:pPr>
        <w:ind w:left="720" w:hanging="360"/>
      </w:pPr>
      <w:rPr>
        <w:rFonts w:ascii="Times New Roman" w:hAnsi="Times New Roman" w:hint="default"/>
      </w:rPr>
    </w:lvl>
    <w:lvl w:ilvl="1" w:tplc="2C5C2814">
      <w:start w:val="1"/>
      <w:numFmt w:val="bullet"/>
      <w:lvlText w:val="o"/>
      <w:lvlJc w:val="left"/>
      <w:pPr>
        <w:ind w:left="1440" w:hanging="360"/>
      </w:pPr>
      <w:rPr>
        <w:rFonts w:ascii="Courier New" w:hAnsi="Courier New" w:hint="default"/>
      </w:rPr>
    </w:lvl>
    <w:lvl w:ilvl="2" w:tplc="EF3A4B28">
      <w:start w:val="1"/>
      <w:numFmt w:val="bullet"/>
      <w:lvlText w:val=""/>
      <w:lvlJc w:val="left"/>
      <w:pPr>
        <w:ind w:left="2160" w:hanging="360"/>
      </w:pPr>
      <w:rPr>
        <w:rFonts w:ascii="Wingdings" w:hAnsi="Wingdings" w:hint="default"/>
      </w:rPr>
    </w:lvl>
    <w:lvl w:ilvl="3" w:tplc="942CFA6A">
      <w:start w:val="1"/>
      <w:numFmt w:val="bullet"/>
      <w:lvlText w:val=""/>
      <w:lvlJc w:val="left"/>
      <w:pPr>
        <w:ind w:left="2880" w:hanging="360"/>
      </w:pPr>
      <w:rPr>
        <w:rFonts w:ascii="Symbol" w:hAnsi="Symbol" w:hint="default"/>
      </w:rPr>
    </w:lvl>
    <w:lvl w:ilvl="4" w:tplc="5D54CC84">
      <w:start w:val="1"/>
      <w:numFmt w:val="bullet"/>
      <w:lvlText w:val="o"/>
      <w:lvlJc w:val="left"/>
      <w:pPr>
        <w:ind w:left="3600" w:hanging="360"/>
      </w:pPr>
      <w:rPr>
        <w:rFonts w:ascii="Courier New" w:hAnsi="Courier New" w:hint="default"/>
      </w:rPr>
    </w:lvl>
    <w:lvl w:ilvl="5" w:tplc="95C8C3A0">
      <w:start w:val="1"/>
      <w:numFmt w:val="bullet"/>
      <w:lvlText w:val=""/>
      <w:lvlJc w:val="left"/>
      <w:pPr>
        <w:ind w:left="4320" w:hanging="360"/>
      </w:pPr>
      <w:rPr>
        <w:rFonts w:ascii="Wingdings" w:hAnsi="Wingdings" w:hint="default"/>
      </w:rPr>
    </w:lvl>
    <w:lvl w:ilvl="6" w:tplc="6A747202">
      <w:start w:val="1"/>
      <w:numFmt w:val="bullet"/>
      <w:lvlText w:val=""/>
      <w:lvlJc w:val="left"/>
      <w:pPr>
        <w:ind w:left="5040" w:hanging="360"/>
      </w:pPr>
      <w:rPr>
        <w:rFonts w:ascii="Symbol" w:hAnsi="Symbol" w:hint="default"/>
      </w:rPr>
    </w:lvl>
    <w:lvl w:ilvl="7" w:tplc="57FE375A">
      <w:start w:val="1"/>
      <w:numFmt w:val="bullet"/>
      <w:lvlText w:val="o"/>
      <w:lvlJc w:val="left"/>
      <w:pPr>
        <w:ind w:left="5760" w:hanging="360"/>
      </w:pPr>
      <w:rPr>
        <w:rFonts w:ascii="Courier New" w:hAnsi="Courier New" w:hint="default"/>
      </w:rPr>
    </w:lvl>
    <w:lvl w:ilvl="8" w:tplc="D9FAF818">
      <w:start w:val="1"/>
      <w:numFmt w:val="bullet"/>
      <w:lvlText w:val=""/>
      <w:lvlJc w:val="left"/>
      <w:pPr>
        <w:ind w:left="6480" w:hanging="360"/>
      </w:pPr>
      <w:rPr>
        <w:rFonts w:ascii="Wingdings" w:hAnsi="Wingdings" w:hint="default"/>
      </w:rPr>
    </w:lvl>
  </w:abstractNum>
  <w:abstractNum w:abstractNumId="162" w15:restartNumberingAfterBreak="0">
    <w:nsid w:val="73C1CF8D"/>
    <w:multiLevelType w:val="hybridMultilevel"/>
    <w:tmpl w:val="64CC4E1E"/>
    <w:lvl w:ilvl="0" w:tplc="52261034">
      <w:start w:val="1"/>
      <w:numFmt w:val="decimal"/>
      <w:lvlText w:val="%1."/>
      <w:lvlJc w:val="left"/>
      <w:pPr>
        <w:ind w:left="720" w:hanging="360"/>
      </w:pPr>
      <w:rPr>
        <w:rFonts w:asciiTheme="minorHAnsi" w:eastAsiaTheme="minorEastAsia" w:hAnsiTheme="minorHAnsi" w:cstheme="minorBidi"/>
      </w:rPr>
    </w:lvl>
    <w:lvl w:ilvl="1" w:tplc="FBEE5E8E">
      <w:start w:val="1"/>
      <w:numFmt w:val="lowerLetter"/>
      <w:lvlText w:val="%2."/>
      <w:lvlJc w:val="left"/>
      <w:pPr>
        <w:ind w:left="1440" w:hanging="360"/>
      </w:pPr>
    </w:lvl>
    <w:lvl w:ilvl="2" w:tplc="0CC07B38">
      <w:start w:val="1"/>
      <w:numFmt w:val="lowerRoman"/>
      <w:lvlText w:val="%3."/>
      <w:lvlJc w:val="right"/>
      <w:pPr>
        <w:ind w:left="2160" w:hanging="180"/>
      </w:pPr>
    </w:lvl>
    <w:lvl w:ilvl="3" w:tplc="8D1E583A">
      <w:start w:val="1"/>
      <w:numFmt w:val="decimal"/>
      <w:lvlText w:val="%4."/>
      <w:lvlJc w:val="left"/>
      <w:pPr>
        <w:ind w:left="2880" w:hanging="360"/>
      </w:pPr>
    </w:lvl>
    <w:lvl w:ilvl="4" w:tplc="112C34FC">
      <w:start w:val="1"/>
      <w:numFmt w:val="lowerLetter"/>
      <w:lvlText w:val="%5."/>
      <w:lvlJc w:val="left"/>
      <w:pPr>
        <w:ind w:left="3600" w:hanging="360"/>
      </w:pPr>
    </w:lvl>
    <w:lvl w:ilvl="5" w:tplc="129C42EC">
      <w:start w:val="1"/>
      <w:numFmt w:val="lowerRoman"/>
      <w:lvlText w:val="%6."/>
      <w:lvlJc w:val="right"/>
      <w:pPr>
        <w:ind w:left="4320" w:hanging="180"/>
      </w:pPr>
    </w:lvl>
    <w:lvl w:ilvl="6" w:tplc="CCECFC04">
      <w:start w:val="1"/>
      <w:numFmt w:val="decimal"/>
      <w:lvlText w:val="%7."/>
      <w:lvlJc w:val="left"/>
      <w:pPr>
        <w:ind w:left="5040" w:hanging="360"/>
      </w:pPr>
    </w:lvl>
    <w:lvl w:ilvl="7" w:tplc="E0CC8CB6">
      <w:start w:val="1"/>
      <w:numFmt w:val="lowerLetter"/>
      <w:lvlText w:val="%8."/>
      <w:lvlJc w:val="left"/>
      <w:pPr>
        <w:ind w:left="5760" w:hanging="360"/>
      </w:pPr>
    </w:lvl>
    <w:lvl w:ilvl="8" w:tplc="CB74BC48">
      <w:start w:val="1"/>
      <w:numFmt w:val="lowerRoman"/>
      <w:lvlText w:val="%9."/>
      <w:lvlJc w:val="right"/>
      <w:pPr>
        <w:ind w:left="6480" w:hanging="180"/>
      </w:pPr>
    </w:lvl>
  </w:abstractNum>
  <w:abstractNum w:abstractNumId="163" w15:restartNumberingAfterBreak="0">
    <w:nsid w:val="749962A2"/>
    <w:multiLevelType w:val="multilevel"/>
    <w:tmpl w:val="2A64BEB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4DB51AE"/>
    <w:multiLevelType w:val="multilevel"/>
    <w:tmpl w:val="3D8EE4A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775B42F6"/>
    <w:multiLevelType w:val="multilevel"/>
    <w:tmpl w:val="4108276A"/>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7B4096C"/>
    <w:multiLevelType w:val="multilevel"/>
    <w:tmpl w:val="3AAC5D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78035C2B"/>
    <w:multiLevelType w:val="multilevel"/>
    <w:tmpl w:val="8DD0E414"/>
    <w:lvl w:ilvl="0">
      <w:start w:val="1"/>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8" w15:restartNumberingAfterBreak="0">
    <w:nsid w:val="78F52CEA"/>
    <w:multiLevelType w:val="multilevel"/>
    <w:tmpl w:val="B0AE746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9" w15:restartNumberingAfterBreak="0">
    <w:nsid w:val="7A433833"/>
    <w:multiLevelType w:val="multilevel"/>
    <w:tmpl w:val="07861A5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7A7B1B60"/>
    <w:multiLevelType w:val="multilevel"/>
    <w:tmpl w:val="171A81C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7BAF443A"/>
    <w:multiLevelType w:val="multilevel"/>
    <w:tmpl w:val="50D0A7EE"/>
    <w:lvl w:ilvl="0">
      <w:start w:val="2"/>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2" w15:restartNumberingAfterBreak="0">
    <w:nsid w:val="7CC32008"/>
    <w:multiLevelType w:val="multilevel"/>
    <w:tmpl w:val="C504C8D4"/>
    <w:lvl w:ilvl="0">
      <w:start w:val="3"/>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3" w15:restartNumberingAfterBreak="0">
    <w:nsid w:val="7D074BBF"/>
    <w:multiLevelType w:val="hybridMultilevel"/>
    <w:tmpl w:val="2D7ECAD6"/>
    <w:lvl w:ilvl="0" w:tplc="0082BFDE">
      <w:numFmt w:val="bullet"/>
      <w:lvlText w:val="-"/>
      <w:lvlJc w:val="left"/>
      <w:pPr>
        <w:ind w:left="360" w:hanging="360"/>
      </w:pPr>
      <w:rPr>
        <w:rFonts w:ascii="Calibri" w:eastAsiaTheme="minorHAnsi" w:hAnsi="Calibri"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4" w15:restartNumberingAfterBreak="0">
    <w:nsid w:val="7DD80C13"/>
    <w:multiLevelType w:val="multilevel"/>
    <w:tmpl w:val="ACC0AC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7E305806"/>
    <w:multiLevelType w:val="multilevel"/>
    <w:tmpl w:val="FC8870C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7E4B4F6F"/>
    <w:multiLevelType w:val="multilevel"/>
    <w:tmpl w:val="2786CA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ED343C7"/>
    <w:multiLevelType w:val="multilevel"/>
    <w:tmpl w:val="D930C450"/>
    <w:lvl w:ilvl="0">
      <w:start w:val="7"/>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8" w15:restartNumberingAfterBreak="0">
    <w:nsid w:val="7FBA5B10"/>
    <w:multiLevelType w:val="hybridMultilevel"/>
    <w:tmpl w:val="9D6EFCA6"/>
    <w:lvl w:ilvl="0" w:tplc="AF74AC66">
      <w:start w:val="1"/>
      <w:numFmt w:val="bullet"/>
      <w:lvlText w:val="-"/>
      <w:lvlJc w:val="left"/>
      <w:pPr>
        <w:ind w:left="360" w:hanging="360"/>
      </w:pPr>
      <w:rPr>
        <w:rFonts w:ascii="Times New Roman" w:hAnsi="Times New Roman" w:cs="Times New Roman" w:hint="default"/>
        <w:color w:val="auto"/>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9" w15:restartNumberingAfterBreak="0">
    <w:nsid w:val="7FDB5525"/>
    <w:multiLevelType w:val="multilevel"/>
    <w:tmpl w:val="0088D46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2"/>
  </w:num>
  <w:num w:numId="2">
    <w:abstractNumId w:val="4"/>
  </w:num>
  <w:num w:numId="3">
    <w:abstractNumId w:val="3"/>
    <w:lvlOverride w:ilvl="0">
      <w:startOverride w:val="1"/>
    </w:lvlOverride>
  </w:num>
  <w:num w:numId="4">
    <w:abstractNumId w:val="2"/>
    <w:lvlOverride w:ilvl="0">
      <w:startOverride w:val="1"/>
    </w:lvlOverride>
  </w:num>
  <w:num w:numId="5">
    <w:abstractNumId w:val="1"/>
    <w:lvlOverride w:ilvl="0">
      <w:startOverride w:val="1"/>
    </w:lvlOverride>
  </w:num>
  <w:num w:numId="6">
    <w:abstractNumId w:val="0"/>
    <w:lvlOverride w:ilvl="0">
      <w:startOverride w:val="1"/>
    </w:lvlOverride>
  </w:num>
  <w:num w:numId="7">
    <w:abstractNumId w:val="123"/>
  </w:num>
  <w:num w:numId="8">
    <w:abstractNumId w:val="83"/>
  </w:num>
  <w:num w:numId="9">
    <w:abstractNumId w:val="138"/>
  </w:num>
  <w:num w:numId="10">
    <w:abstractNumId w:val="57"/>
  </w:num>
  <w:num w:numId="11">
    <w:abstractNumId w:val="85"/>
  </w:num>
  <w:num w:numId="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0"/>
  </w:num>
  <w:num w:numId="15">
    <w:abstractNumId w:val="120"/>
  </w:num>
  <w:num w:numId="16">
    <w:abstractNumId w:val="122"/>
  </w:num>
  <w:num w:numId="17">
    <w:abstractNumId w:val="113"/>
  </w:num>
  <w:num w:numId="18">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1"/>
  </w:num>
  <w:num w:numId="20">
    <w:abstractNumId w:val="54"/>
  </w:num>
  <w:num w:numId="21">
    <w:abstractNumId w:val="135"/>
  </w:num>
  <w:num w:numId="22">
    <w:abstractNumId w:val="91"/>
  </w:num>
  <w:num w:numId="23">
    <w:abstractNumId w:val="149"/>
  </w:num>
  <w:num w:numId="24">
    <w:abstractNumId w:val="43"/>
  </w:num>
  <w:num w:numId="25">
    <w:abstractNumId w:val="47"/>
  </w:num>
  <w:num w:numId="26">
    <w:abstractNumId w:val="80"/>
  </w:num>
  <w:num w:numId="27">
    <w:abstractNumId w:val="31"/>
  </w:num>
  <w:num w:numId="28">
    <w:abstractNumId w:val="26"/>
  </w:num>
  <w:num w:numId="29">
    <w:abstractNumId w:val="107"/>
  </w:num>
  <w:num w:numId="30">
    <w:abstractNumId w:val="17"/>
  </w:num>
  <w:num w:numId="31">
    <w:abstractNumId w:val="20"/>
  </w:num>
  <w:num w:numId="32">
    <w:abstractNumId w:val="116"/>
  </w:num>
  <w:num w:numId="33">
    <w:abstractNumId w:val="15"/>
  </w:num>
  <w:num w:numId="34">
    <w:abstractNumId w:val="7"/>
  </w:num>
  <w:num w:numId="35">
    <w:abstractNumId w:val="110"/>
  </w:num>
  <w:num w:numId="36">
    <w:abstractNumId w:val="56"/>
  </w:num>
  <w:num w:numId="37">
    <w:abstractNumId w:val="65"/>
  </w:num>
  <w:num w:numId="38">
    <w:abstractNumId w:val="100"/>
  </w:num>
  <w:num w:numId="39">
    <w:abstractNumId w:val="81"/>
  </w:num>
  <w:num w:numId="40">
    <w:abstractNumId w:val="44"/>
  </w:num>
  <w:num w:numId="41">
    <w:abstractNumId w:val="63"/>
  </w:num>
  <w:num w:numId="42">
    <w:abstractNumId w:val="84"/>
  </w:num>
  <w:num w:numId="43">
    <w:abstractNumId w:val="127"/>
  </w:num>
  <w:num w:numId="44">
    <w:abstractNumId w:val="140"/>
  </w:num>
  <w:num w:numId="45">
    <w:abstractNumId w:val="150"/>
  </w:num>
  <w:num w:numId="46">
    <w:abstractNumId w:val="24"/>
  </w:num>
  <w:num w:numId="47">
    <w:abstractNumId w:val="35"/>
  </w:num>
  <w:num w:numId="48">
    <w:abstractNumId w:val="41"/>
  </w:num>
  <w:num w:numId="49">
    <w:abstractNumId w:val="50"/>
  </w:num>
  <w:num w:numId="50">
    <w:abstractNumId w:val="76"/>
  </w:num>
  <w:num w:numId="51">
    <w:abstractNumId w:val="157"/>
  </w:num>
  <w:num w:numId="52">
    <w:abstractNumId w:val="34"/>
  </w:num>
  <w:num w:numId="53">
    <w:abstractNumId w:val="58"/>
  </w:num>
  <w:num w:numId="54">
    <w:abstractNumId w:val="125"/>
  </w:num>
  <w:num w:numId="55">
    <w:abstractNumId w:val="60"/>
  </w:num>
  <w:num w:numId="56">
    <w:abstractNumId w:val="98"/>
  </w:num>
  <w:num w:numId="57">
    <w:abstractNumId w:val="11"/>
  </w:num>
  <w:num w:numId="58">
    <w:abstractNumId w:val="136"/>
  </w:num>
  <w:num w:numId="59">
    <w:abstractNumId w:val="12"/>
  </w:num>
  <w:num w:numId="60">
    <w:abstractNumId w:val="69"/>
  </w:num>
  <w:num w:numId="61">
    <w:abstractNumId w:val="158"/>
  </w:num>
  <w:num w:numId="62">
    <w:abstractNumId w:val="28"/>
  </w:num>
  <w:num w:numId="63">
    <w:abstractNumId w:val="156"/>
  </w:num>
  <w:num w:numId="64">
    <w:abstractNumId w:val="1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1"/>
  </w:num>
  <w:num w:numId="66">
    <w:abstractNumId w:val="36"/>
  </w:num>
  <w:num w:numId="67">
    <w:abstractNumId w:val="108"/>
  </w:num>
  <w:num w:numId="68">
    <w:abstractNumId w:val="95"/>
  </w:num>
  <w:num w:numId="69">
    <w:abstractNumId w:val="101"/>
  </w:num>
  <w:num w:numId="70">
    <w:abstractNumId w:val="173"/>
  </w:num>
  <w:num w:numId="71">
    <w:abstractNumId w:val="93"/>
  </w:num>
  <w:num w:numId="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0"/>
  </w:num>
  <w:num w:numId="74">
    <w:abstractNumId w:val="102"/>
  </w:num>
  <w:num w:numId="75">
    <w:abstractNumId w:val="86"/>
  </w:num>
  <w:num w:numId="76">
    <w:abstractNumId w:val="145"/>
  </w:num>
  <w:num w:numId="77">
    <w:abstractNumId w:val="152"/>
  </w:num>
  <w:num w:numId="78">
    <w:abstractNumId w:val="162"/>
  </w:num>
  <w:num w:numId="79">
    <w:abstractNumId w:val="8"/>
  </w:num>
  <w:num w:numId="80">
    <w:abstractNumId w:val="111"/>
  </w:num>
  <w:num w:numId="81">
    <w:abstractNumId w:val="118"/>
  </w:num>
  <w:num w:numId="82">
    <w:abstractNumId w:val="112"/>
  </w:num>
  <w:num w:numId="83">
    <w:abstractNumId w:val="106"/>
  </w:num>
  <w:num w:numId="84">
    <w:abstractNumId w:val="52"/>
  </w:num>
  <w:num w:numId="85">
    <w:abstractNumId w:val="114"/>
  </w:num>
  <w:num w:numId="86">
    <w:abstractNumId w:val="178"/>
  </w:num>
  <w:num w:numId="87">
    <w:abstractNumId w:val="92"/>
  </w:num>
  <w:num w:numId="88">
    <w:abstractNumId w:val="10"/>
  </w:num>
  <w:num w:numId="89">
    <w:abstractNumId w:val="53"/>
  </w:num>
  <w:num w:numId="90">
    <w:abstractNumId w:val="131"/>
  </w:num>
  <w:num w:numId="91">
    <w:abstractNumId w:val="82"/>
    <w:lvlOverride w:ilvl="0">
      <w:startOverride w:val="1"/>
    </w:lvlOverride>
    <w:lvlOverride w:ilvl="1">
      <w:startOverride w:val="1"/>
    </w:lvlOverride>
    <w:lvlOverride w:ilvl="2"/>
    <w:lvlOverride w:ilvl="3"/>
    <w:lvlOverride w:ilvl="4"/>
    <w:lvlOverride w:ilvl="5"/>
    <w:lvlOverride w:ilvl="6"/>
    <w:lvlOverride w:ilvl="7"/>
    <w:lvlOverride w:ilvl="8"/>
  </w:num>
  <w:num w:numId="92">
    <w:abstractNumId w:val="97"/>
  </w:num>
  <w:num w:numId="93">
    <w:abstractNumId w:val="103"/>
  </w:num>
  <w:num w:numId="9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7"/>
  </w:num>
  <w:num w:numId="96">
    <w:abstractNumId w:val="139"/>
  </w:num>
  <w:num w:numId="97">
    <w:abstractNumId w:val="51"/>
  </w:num>
  <w:num w:numId="98">
    <w:abstractNumId w:val="129"/>
  </w:num>
  <w:num w:numId="99">
    <w:abstractNumId w:val="134"/>
  </w:num>
  <w:num w:numId="100">
    <w:abstractNumId w:val="78"/>
  </w:num>
  <w:num w:numId="101">
    <w:abstractNumId w:val="64"/>
  </w:num>
  <w:num w:numId="102">
    <w:abstractNumId w:val="130"/>
  </w:num>
  <w:num w:numId="103">
    <w:abstractNumId w:val="88"/>
  </w:num>
  <w:num w:numId="104">
    <w:abstractNumId w:val="21"/>
  </w:num>
  <w:num w:numId="105">
    <w:abstractNumId w:val="154"/>
  </w:num>
  <w:num w:numId="106">
    <w:abstractNumId w:val="143"/>
  </w:num>
  <w:num w:numId="107">
    <w:abstractNumId w:val="119"/>
  </w:num>
  <w:num w:numId="108">
    <w:abstractNumId w:val="67"/>
  </w:num>
  <w:num w:numId="109">
    <w:abstractNumId w:val="5"/>
  </w:num>
  <w:num w:numId="110">
    <w:abstractNumId w:val="68"/>
  </w:num>
  <w:num w:numId="111">
    <w:abstractNumId w:val="30"/>
  </w:num>
  <w:num w:numId="112">
    <w:abstractNumId w:val="159"/>
  </w:num>
  <w:num w:numId="113">
    <w:abstractNumId w:val="27"/>
  </w:num>
  <w:num w:numId="114">
    <w:abstractNumId w:val="22"/>
  </w:num>
  <w:num w:numId="115">
    <w:abstractNumId w:val="45"/>
  </w:num>
  <w:num w:numId="116">
    <w:abstractNumId w:val="74"/>
  </w:num>
  <w:num w:numId="117">
    <w:abstractNumId w:val="75"/>
  </w:num>
  <w:num w:numId="118">
    <w:abstractNumId w:val="148"/>
  </w:num>
  <w:num w:numId="119">
    <w:abstractNumId w:val="155"/>
  </w:num>
  <w:num w:numId="120">
    <w:abstractNumId w:val="160"/>
  </w:num>
  <w:num w:numId="121">
    <w:abstractNumId w:val="71"/>
  </w:num>
  <w:num w:numId="122">
    <w:abstractNumId w:val="166"/>
  </w:num>
  <w:num w:numId="123">
    <w:abstractNumId w:val="176"/>
  </w:num>
  <w:num w:numId="124">
    <w:abstractNumId w:val="29"/>
  </w:num>
  <w:num w:numId="125">
    <w:abstractNumId w:val="19"/>
  </w:num>
  <w:num w:numId="126">
    <w:abstractNumId w:val="168"/>
  </w:num>
  <w:num w:numId="127">
    <w:abstractNumId w:val="38"/>
  </w:num>
  <w:num w:numId="128">
    <w:abstractNumId w:val="42"/>
  </w:num>
  <w:num w:numId="129">
    <w:abstractNumId w:val="167"/>
  </w:num>
  <w:num w:numId="130">
    <w:abstractNumId w:val="171"/>
  </w:num>
  <w:num w:numId="131">
    <w:abstractNumId w:val="172"/>
  </w:num>
  <w:num w:numId="132">
    <w:abstractNumId w:val="14"/>
  </w:num>
  <w:num w:numId="133">
    <w:abstractNumId w:val="32"/>
  </w:num>
  <w:num w:numId="134">
    <w:abstractNumId w:val="109"/>
  </w:num>
  <w:num w:numId="135">
    <w:abstractNumId w:val="177"/>
  </w:num>
  <w:num w:numId="136">
    <w:abstractNumId w:val="137"/>
  </w:num>
  <w:num w:numId="137">
    <w:abstractNumId w:val="121"/>
  </w:num>
  <w:num w:numId="138">
    <w:abstractNumId w:val="105"/>
  </w:num>
  <w:num w:numId="139">
    <w:abstractNumId w:val="128"/>
  </w:num>
  <w:num w:numId="140">
    <w:abstractNumId w:val="46"/>
  </w:num>
  <w:num w:numId="141">
    <w:abstractNumId w:val="164"/>
  </w:num>
  <w:num w:numId="142">
    <w:abstractNumId w:val="55"/>
  </w:num>
  <w:num w:numId="143">
    <w:abstractNumId w:val="144"/>
  </w:num>
  <w:num w:numId="144">
    <w:abstractNumId w:val="175"/>
  </w:num>
  <w:num w:numId="145">
    <w:abstractNumId w:val="124"/>
  </w:num>
  <w:num w:numId="146">
    <w:abstractNumId w:val="179"/>
  </w:num>
  <w:num w:numId="147">
    <w:abstractNumId w:val="49"/>
  </w:num>
  <w:num w:numId="148">
    <w:abstractNumId w:val="99"/>
  </w:num>
  <w:num w:numId="149">
    <w:abstractNumId w:val="165"/>
  </w:num>
  <w:num w:numId="150">
    <w:abstractNumId w:val="37"/>
  </w:num>
  <w:num w:numId="151">
    <w:abstractNumId w:val="94"/>
  </w:num>
  <w:num w:numId="152">
    <w:abstractNumId w:val="104"/>
  </w:num>
  <w:num w:numId="153">
    <w:abstractNumId w:val="170"/>
  </w:num>
  <w:num w:numId="154">
    <w:abstractNumId w:val="13"/>
  </w:num>
  <w:num w:numId="155">
    <w:abstractNumId w:val="115"/>
  </w:num>
  <w:num w:numId="156">
    <w:abstractNumId w:val="151"/>
  </w:num>
  <w:num w:numId="157">
    <w:abstractNumId w:val="16"/>
  </w:num>
  <w:num w:numId="158">
    <w:abstractNumId w:val="66"/>
  </w:num>
  <w:num w:numId="159">
    <w:abstractNumId w:val="62"/>
  </w:num>
  <w:num w:numId="160">
    <w:abstractNumId w:val="117"/>
  </w:num>
  <w:num w:numId="161">
    <w:abstractNumId w:val="87"/>
  </w:num>
  <w:num w:numId="162">
    <w:abstractNumId w:val="48"/>
  </w:num>
  <w:num w:numId="163">
    <w:abstractNumId w:val="59"/>
  </w:num>
  <w:num w:numId="164">
    <w:abstractNumId w:val="163"/>
  </w:num>
  <w:num w:numId="165">
    <w:abstractNumId w:val="169"/>
  </w:num>
  <w:num w:numId="166">
    <w:abstractNumId w:val="126"/>
  </w:num>
  <w:num w:numId="167">
    <w:abstractNumId w:val="9"/>
  </w:num>
  <w:num w:numId="168">
    <w:abstractNumId w:val="79"/>
  </w:num>
  <w:num w:numId="169">
    <w:abstractNumId w:val="142"/>
  </w:num>
  <w:num w:numId="170">
    <w:abstractNumId w:val="72"/>
  </w:num>
  <w:num w:numId="171">
    <w:abstractNumId w:val="146"/>
  </w:num>
  <w:num w:numId="172">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8"/>
  </w:num>
  <w:num w:numId="174">
    <w:abstractNumId w:val="174"/>
  </w:num>
  <w:num w:numId="175">
    <w:abstractNumId w:val="6"/>
  </w:num>
  <w:num w:numId="176">
    <w:abstractNumId w:val="25"/>
  </w:num>
  <w:num w:numId="17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96"/>
  </w:num>
  <w:num w:numId="179">
    <w:abstractNumId w:val="133"/>
  </w:num>
  <w:num w:numId="180">
    <w:abstractNumId w:val="39"/>
  </w:num>
  <w:num w:numId="181">
    <w:abstractNumId w:val="89"/>
  </w:num>
  <w:num w:numId="182">
    <w:abstractNumId w:val="61"/>
  </w:num>
  <w:num w:numId="183">
    <w:abstractNumId w:val="147"/>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docVars>
    <w:docVar w:name="DocStatus" w:val="Green"/>
    <w:docVar w:name="LW_ACCOMPAGNANT.CP" w:val="dokumentam"/>
    <w:docVar w:name="LW_ANNEX_NBR_FIRST" w:val="1"/>
    <w:docVar w:name="LW_ANNEX_NBR_LAST" w:val="1"/>
    <w:docVar w:name="LW_ANNEX_UNIQUE" w:val="1"/>
    <w:docVar w:name="LW_CORRIGENDUM" w:val="&lt;UNUSED&gt;"/>
    <w:docVar w:name="LW_COVERPAGE_EXISTS" w:val="True"/>
    <w:docVar w:name="LW_COVERPAGE_GUID" w:val="9F813ADD-C312-4C30-A30B-3BFD699A6CC2"/>
    <w:docVar w:name="LW_COVERPAGE_TYPE" w:val="1"/>
    <w:docVar w:name="LW_CROSSREFERENCE" w:val="{SWD(2025) 348 final}"/>
    <w:docVar w:name="LW_DATE.ADOPT.CP_ISODATE" w:val="&lt;EMPTY&gt;"/>
    <w:docVar w:name="LW_DocType" w:val="NORMAL"/>
    <w:docVar w:name="LW_EMISSION" w:val="4.11.2025"/>
    <w:docVar w:name="LW_EMISSION_ISODATE" w:val="2025-11-04"/>
    <w:docVar w:name="LW_EMISSION_LOCATION" w:val="BRX"/>
    <w:docVar w:name="LW_EMISSION_PREFIX" w:val="Brisel\u275?, "/>
    <w:docVar w:name="LW_EMISSION_SUFFIX" w:val="."/>
    <w:docVar w:name="LW_ID_DOCTYPE_NONLW" w:val="CP-036"/>
    <w:docVar w:name="LW_INTERETEEE.CP" w:val="&lt;UNUSED&gt;"/>
    <w:docVar w:name="LW_LANGUE" w:val="LV"/>
    <w:docVar w:name="LW_LANGUESFAISANTFOI.CP" w:val="&lt;UNUSED&gt;"/>
    <w:docVar w:name="LW_LEVEL_OF_SENSITIVITY" w:val="Standard treatment"/>
    <w:docVar w:name="LW_NOM.INST" w:val="EIROPAS KOMISIJA"/>
    <w:docVar w:name="LW_NOM.INST_JOINTDOC" w:val="&lt;EMPTY&gt;"/>
    <w:docVar w:name="LW_OBJETACTEPRINCIPAL.CP" w:val="ar ko groza 2021. gada 13. j\u363?lija \u298?steno\u353?anas l\u275?mumu (ES) (ST 10160/21 INIT; ST 10160/21 ADD 1 REV 2) par It\u257?lijas atvese\u316?o\u353?anas un notur\u299?bas pl\u257?na nov\u275?rt\u275?juma apstiprin\u257?\u353?anu"/>
    <w:docVar w:name="LW_PART_NBR" w:val="1"/>
    <w:docVar w:name="LW_PART_NBR_TOTAL" w:val="1"/>
    <w:docVar w:name="LW_REF.II.NEW.CP" w:val="&lt;UNUSED&gt;"/>
    <w:docVar w:name="LW_REF.II.NEW.CP_NUMBER" w:val="&lt;UNUSED&gt;"/>
    <w:docVar w:name="LW_REF.II.NEW.CP_YEAR" w:val="2025"/>
    <w:docVar w:name="LW_REF.INST.NEW" w:val="COM"/>
    <w:docVar w:name="LW_REF.INST.NEW_ADOPTED" w:val="final"/>
    <w:docVar w:name="LW_REF.INST.NEW_TEXT" w:val="(2025) 67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UNUSED&gt;"/>
    <w:docVar w:name="LW_TYPE.DOC.CP" w:val="PIELIKUMS_x000b_"/>
    <w:docVar w:name="LW_TYPEACTEPRINCIPAL.CP" w:val="Priek\u353?likums Padomes \u298?steno\u353?anas l\u275?mumam,"/>
    <w:docVar w:name="LwApiVersions" w:val="LW4CoDe 1.24.5.0; LW 9.0, Build 20240221"/>
  </w:docVars>
  <w:rsids>
    <w:rsidRoot w:val="005F11B9"/>
    <w:rsid w:val="00002D35"/>
    <w:rsid w:val="00003331"/>
    <w:rsid w:val="000045F8"/>
    <w:rsid w:val="000046D1"/>
    <w:rsid w:val="0000520F"/>
    <w:rsid w:val="00005B4E"/>
    <w:rsid w:val="00005CFC"/>
    <w:rsid w:val="00005D93"/>
    <w:rsid w:val="00006F68"/>
    <w:rsid w:val="00007428"/>
    <w:rsid w:val="00010049"/>
    <w:rsid w:val="0001086F"/>
    <w:rsid w:val="00010AAB"/>
    <w:rsid w:val="00011BBC"/>
    <w:rsid w:val="000127E4"/>
    <w:rsid w:val="00012AD5"/>
    <w:rsid w:val="00012AE0"/>
    <w:rsid w:val="000139C1"/>
    <w:rsid w:val="00013B43"/>
    <w:rsid w:val="00013FF7"/>
    <w:rsid w:val="0001501B"/>
    <w:rsid w:val="000151F3"/>
    <w:rsid w:val="00015BE9"/>
    <w:rsid w:val="000160FB"/>
    <w:rsid w:val="00016772"/>
    <w:rsid w:val="00016814"/>
    <w:rsid w:val="00016B85"/>
    <w:rsid w:val="00020304"/>
    <w:rsid w:val="0002168D"/>
    <w:rsid w:val="0002188F"/>
    <w:rsid w:val="000227E5"/>
    <w:rsid w:val="000231F5"/>
    <w:rsid w:val="00023F01"/>
    <w:rsid w:val="00023F6C"/>
    <w:rsid w:val="00024486"/>
    <w:rsid w:val="00024CD7"/>
    <w:rsid w:val="00027C2E"/>
    <w:rsid w:val="00031762"/>
    <w:rsid w:val="00033401"/>
    <w:rsid w:val="00033488"/>
    <w:rsid w:val="00033A8F"/>
    <w:rsid w:val="00033F99"/>
    <w:rsid w:val="00040B0B"/>
    <w:rsid w:val="0004231D"/>
    <w:rsid w:val="000441DF"/>
    <w:rsid w:val="00044906"/>
    <w:rsid w:val="00045D59"/>
    <w:rsid w:val="0004650C"/>
    <w:rsid w:val="00046BB5"/>
    <w:rsid w:val="00046FB7"/>
    <w:rsid w:val="00047AC0"/>
    <w:rsid w:val="0005099B"/>
    <w:rsid w:val="000535D8"/>
    <w:rsid w:val="00054FE6"/>
    <w:rsid w:val="00055022"/>
    <w:rsid w:val="000575C8"/>
    <w:rsid w:val="00062607"/>
    <w:rsid w:val="00063D6B"/>
    <w:rsid w:val="00063F38"/>
    <w:rsid w:val="00064171"/>
    <w:rsid w:val="00064C51"/>
    <w:rsid w:val="00065232"/>
    <w:rsid w:val="000652FA"/>
    <w:rsid w:val="00066684"/>
    <w:rsid w:val="00070F81"/>
    <w:rsid w:val="00071CBC"/>
    <w:rsid w:val="000731AB"/>
    <w:rsid w:val="00073D25"/>
    <w:rsid w:val="00075BC6"/>
    <w:rsid w:val="0007763B"/>
    <w:rsid w:val="00077C92"/>
    <w:rsid w:val="00077FC0"/>
    <w:rsid w:val="00081DBF"/>
    <w:rsid w:val="00083214"/>
    <w:rsid w:val="000836CB"/>
    <w:rsid w:val="00084355"/>
    <w:rsid w:val="00084B52"/>
    <w:rsid w:val="00084CF1"/>
    <w:rsid w:val="00084E39"/>
    <w:rsid w:val="000863B7"/>
    <w:rsid w:val="0008660A"/>
    <w:rsid w:val="00086C32"/>
    <w:rsid w:val="00087106"/>
    <w:rsid w:val="000875B6"/>
    <w:rsid w:val="0008772F"/>
    <w:rsid w:val="00090047"/>
    <w:rsid w:val="00090356"/>
    <w:rsid w:val="00091037"/>
    <w:rsid w:val="000910A5"/>
    <w:rsid w:val="000924AE"/>
    <w:rsid w:val="0009390A"/>
    <w:rsid w:val="00093A7D"/>
    <w:rsid w:val="00093BAE"/>
    <w:rsid w:val="00093FAD"/>
    <w:rsid w:val="00095862"/>
    <w:rsid w:val="00095FD4"/>
    <w:rsid w:val="000960BC"/>
    <w:rsid w:val="00096333"/>
    <w:rsid w:val="0009642D"/>
    <w:rsid w:val="00096A44"/>
    <w:rsid w:val="000A063D"/>
    <w:rsid w:val="000A0C94"/>
    <w:rsid w:val="000A2BFE"/>
    <w:rsid w:val="000A3592"/>
    <w:rsid w:val="000A4766"/>
    <w:rsid w:val="000A49F1"/>
    <w:rsid w:val="000A4B43"/>
    <w:rsid w:val="000A4F4B"/>
    <w:rsid w:val="000A505A"/>
    <w:rsid w:val="000B0B71"/>
    <w:rsid w:val="000B26DD"/>
    <w:rsid w:val="000B29DF"/>
    <w:rsid w:val="000B2B63"/>
    <w:rsid w:val="000B5792"/>
    <w:rsid w:val="000B5C3E"/>
    <w:rsid w:val="000B69B9"/>
    <w:rsid w:val="000B6AFB"/>
    <w:rsid w:val="000B6C74"/>
    <w:rsid w:val="000C0482"/>
    <w:rsid w:val="000C0B5B"/>
    <w:rsid w:val="000C15EE"/>
    <w:rsid w:val="000C5647"/>
    <w:rsid w:val="000C57E1"/>
    <w:rsid w:val="000C6BF2"/>
    <w:rsid w:val="000D0775"/>
    <w:rsid w:val="000D123B"/>
    <w:rsid w:val="000D31C4"/>
    <w:rsid w:val="000D58C5"/>
    <w:rsid w:val="000D5B60"/>
    <w:rsid w:val="000D64EA"/>
    <w:rsid w:val="000E047C"/>
    <w:rsid w:val="000E0A46"/>
    <w:rsid w:val="000E14AE"/>
    <w:rsid w:val="000E1A50"/>
    <w:rsid w:val="000E1F13"/>
    <w:rsid w:val="000E24AD"/>
    <w:rsid w:val="000E280E"/>
    <w:rsid w:val="000E29A8"/>
    <w:rsid w:val="000E36ED"/>
    <w:rsid w:val="000E3B49"/>
    <w:rsid w:val="000E3D0C"/>
    <w:rsid w:val="000E3F50"/>
    <w:rsid w:val="000E4F62"/>
    <w:rsid w:val="000E517B"/>
    <w:rsid w:val="000E646A"/>
    <w:rsid w:val="000E7522"/>
    <w:rsid w:val="000E7981"/>
    <w:rsid w:val="000F1317"/>
    <w:rsid w:val="000F1658"/>
    <w:rsid w:val="000F2603"/>
    <w:rsid w:val="000F45EC"/>
    <w:rsid w:val="000F59CE"/>
    <w:rsid w:val="000F6C23"/>
    <w:rsid w:val="00100536"/>
    <w:rsid w:val="0010071F"/>
    <w:rsid w:val="00100F21"/>
    <w:rsid w:val="00102CD2"/>
    <w:rsid w:val="00103E3B"/>
    <w:rsid w:val="0010432E"/>
    <w:rsid w:val="00105381"/>
    <w:rsid w:val="00106348"/>
    <w:rsid w:val="00106D30"/>
    <w:rsid w:val="00107201"/>
    <w:rsid w:val="00107D28"/>
    <w:rsid w:val="001127F8"/>
    <w:rsid w:val="00112875"/>
    <w:rsid w:val="00112D96"/>
    <w:rsid w:val="001132AD"/>
    <w:rsid w:val="001137FA"/>
    <w:rsid w:val="001142BA"/>
    <w:rsid w:val="00114AC4"/>
    <w:rsid w:val="00115D56"/>
    <w:rsid w:val="00115D6F"/>
    <w:rsid w:val="0011702B"/>
    <w:rsid w:val="00120477"/>
    <w:rsid w:val="00120D3D"/>
    <w:rsid w:val="0012133A"/>
    <w:rsid w:val="00121A7E"/>
    <w:rsid w:val="001233EA"/>
    <w:rsid w:val="00124734"/>
    <w:rsid w:val="00126861"/>
    <w:rsid w:val="00126D06"/>
    <w:rsid w:val="0013049A"/>
    <w:rsid w:val="00131129"/>
    <w:rsid w:val="0013360B"/>
    <w:rsid w:val="001336D1"/>
    <w:rsid w:val="001351F7"/>
    <w:rsid w:val="0013598D"/>
    <w:rsid w:val="00136A98"/>
    <w:rsid w:val="00137C7F"/>
    <w:rsid w:val="00137FD7"/>
    <w:rsid w:val="00142BC2"/>
    <w:rsid w:val="00143AA6"/>
    <w:rsid w:val="00145250"/>
    <w:rsid w:val="00145DF7"/>
    <w:rsid w:val="001474E7"/>
    <w:rsid w:val="001475DD"/>
    <w:rsid w:val="00150409"/>
    <w:rsid w:val="00150A34"/>
    <w:rsid w:val="00151895"/>
    <w:rsid w:val="00151B74"/>
    <w:rsid w:val="001535E9"/>
    <w:rsid w:val="00153C05"/>
    <w:rsid w:val="00155F65"/>
    <w:rsid w:val="00156904"/>
    <w:rsid w:val="0015741A"/>
    <w:rsid w:val="00157861"/>
    <w:rsid w:val="00157D86"/>
    <w:rsid w:val="00160360"/>
    <w:rsid w:val="00163076"/>
    <w:rsid w:val="00163A65"/>
    <w:rsid w:val="00163F99"/>
    <w:rsid w:val="00164199"/>
    <w:rsid w:val="0016424D"/>
    <w:rsid w:val="001644F5"/>
    <w:rsid w:val="001646FF"/>
    <w:rsid w:val="001659D2"/>
    <w:rsid w:val="00166C55"/>
    <w:rsid w:val="00166EB0"/>
    <w:rsid w:val="001717FF"/>
    <w:rsid w:val="00171B17"/>
    <w:rsid w:val="001738FC"/>
    <w:rsid w:val="00173A7A"/>
    <w:rsid w:val="00174934"/>
    <w:rsid w:val="001760BA"/>
    <w:rsid w:val="00176EBF"/>
    <w:rsid w:val="0018115A"/>
    <w:rsid w:val="001814F5"/>
    <w:rsid w:val="0018184F"/>
    <w:rsid w:val="001824FD"/>
    <w:rsid w:val="001828E5"/>
    <w:rsid w:val="00184683"/>
    <w:rsid w:val="001852DE"/>
    <w:rsid w:val="0018594F"/>
    <w:rsid w:val="00186E8C"/>
    <w:rsid w:val="001877E5"/>
    <w:rsid w:val="00187CC7"/>
    <w:rsid w:val="001903F7"/>
    <w:rsid w:val="001910B4"/>
    <w:rsid w:val="0019140D"/>
    <w:rsid w:val="00192D67"/>
    <w:rsid w:val="0019419F"/>
    <w:rsid w:val="0019450F"/>
    <w:rsid w:val="00196CA8"/>
    <w:rsid w:val="00196FD9"/>
    <w:rsid w:val="001976F0"/>
    <w:rsid w:val="00197BBC"/>
    <w:rsid w:val="001A014E"/>
    <w:rsid w:val="001A017D"/>
    <w:rsid w:val="001A13D6"/>
    <w:rsid w:val="001A490D"/>
    <w:rsid w:val="001B05A6"/>
    <w:rsid w:val="001B21A1"/>
    <w:rsid w:val="001B3229"/>
    <w:rsid w:val="001B45C4"/>
    <w:rsid w:val="001B5319"/>
    <w:rsid w:val="001B56C7"/>
    <w:rsid w:val="001B58E2"/>
    <w:rsid w:val="001B610F"/>
    <w:rsid w:val="001B67AE"/>
    <w:rsid w:val="001B6D01"/>
    <w:rsid w:val="001B7936"/>
    <w:rsid w:val="001C302A"/>
    <w:rsid w:val="001C339C"/>
    <w:rsid w:val="001C3688"/>
    <w:rsid w:val="001C3978"/>
    <w:rsid w:val="001C41A7"/>
    <w:rsid w:val="001C4E1E"/>
    <w:rsid w:val="001C4F7D"/>
    <w:rsid w:val="001C5943"/>
    <w:rsid w:val="001C670D"/>
    <w:rsid w:val="001D15C8"/>
    <w:rsid w:val="001D2561"/>
    <w:rsid w:val="001D3216"/>
    <w:rsid w:val="001D57BD"/>
    <w:rsid w:val="001D6F1E"/>
    <w:rsid w:val="001D7C68"/>
    <w:rsid w:val="001E09B8"/>
    <w:rsid w:val="001E1651"/>
    <w:rsid w:val="001E24B7"/>
    <w:rsid w:val="001F0BF8"/>
    <w:rsid w:val="001F2509"/>
    <w:rsid w:val="001F2769"/>
    <w:rsid w:val="001F30B3"/>
    <w:rsid w:val="001F4A11"/>
    <w:rsid w:val="001F585F"/>
    <w:rsid w:val="001F5D7D"/>
    <w:rsid w:val="001F6913"/>
    <w:rsid w:val="001F6DA2"/>
    <w:rsid w:val="001F6FF8"/>
    <w:rsid w:val="002023F7"/>
    <w:rsid w:val="00202BB6"/>
    <w:rsid w:val="002054B2"/>
    <w:rsid w:val="00205538"/>
    <w:rsid w:val="00206F8A"/>
    <w:rsid w:val="0021084A"/>
    <w:rsid w:val="0021198A"/>
    <w:rsid w:val="002164C3"/>
    <w:rsid w:val="002208CF"/>
    <w:rsid w:val="0022140A"/>
    <w:rsid w:val="002219C0"/>
    <w:rsid w:val="00221A96"/>
    <w:rsid w:val="002231BB"/>
    <w:rsid w:val="00223353"/>
    <w:rsid w:val="002239F6"/>
    <w:rsid w:val="0022587E"/>
    <w:rsid w:val="00226185"/>
    <w:rsid w:val="00227385"/>
    <w:rsid w:val="00227B54"/>
    <w:rsid w:val="002305E4"/>
    <w:rsid w:val="0023135B"/>
    <w:rsid w:val="00231E6D"/>
    <w:rsid w:val="002348D4"/>
    <w:rsid w:val="00234B18"/>
    <w:rsid w:val="0023515E"/>
    <w:rsid w:val="00235F7F"/>
    <w:rsid w:val="002363FE"/>
    <w:rsid w:val="002365D5"/>
    <w:rsid w:val="0023683B"/>
    <w:rsid w:val="002375C9"/>
    <w:rsid w:val="002420E2"/>
    <w:rsid w:val="002440A1"/>
    <w:rsid w:val="00247EBF"/>
    <w:rsid w:val="002507F9"/>
    <w:rsid w:val="00250D12"/>
    <w:rsid w:val="00252BAD"/>
    <w:rsid w:val="002551E4"/>
    <w:rsid w:val="00260F2B"/>
    <w:rsid w:val="00261240"/>
    <w:rsid w:val="00261BBA"/>
    <w:rsid w:val="00261FDF"/>
    <w:rsid w:val="00262B29"/>
    <w:rsid w:val="0026327D"/>
    <w:rsid w:val="002640B4"/>
    <w:rsid w:val="00265562"/>
    <w:rsid w:val="00266168"/>
    <w:rsid w:val="002663EA"/>
    <w:rsid w:val="0026655F"/>
    <w:rsid w:val="00270F5A"/>
    <w:rsid w:val="00271AA4"/>
    <w:rsid w:val="00272440"/>
    <w:rsid w:val="00272785"/>
    <w:rsid w:val="00274C70"/>
    <w:rsid w:val="002756BB"/>
    <w:rsid w:val="00276D63"/>
    <w:rsid w:val="00276E4C"/>
    <w:rsid w:val="0027742B"/>
    <w:rsid w:val="00280572"/>
    <w:rsid w:val="00281D1E"/>
    <w:rsid w:val="002829BE"/>
    <w:rsid w:val="00283FF6"/>
    <w:rsid w:val="0028492A"/>
    <w:rsid w:val="002856F8"/>
    <w:rsid w:val="00286C65"/>
    <w:rsid w:val="00286E73"/>
    <w:rsid w:val="002905BA"/>
    <w:rsid w:val="00290892"/>
    <w:rsid w:val="002923C9"/>
    <w:rsid w:val="002923D5"/>
    <w:rsid w:val="00292C68"/>
    <w:rsid w:val="002933F9"/>
    <w:rsid w:val="00293EDD"/>
    <w:rsid w:val="002943A3"/>
    <w:rsid w:val="00295931"/>
    <w:rsid w:val="0029593A"/>
    <w:rsid w:val="00296505"/>
    <w:rsid w:val="0029746E"/>
    <w:rsid w:val="002A0036"/>
    <w:rsid w:val="002A0B27"/>
    <w:rsid w:val="002A515B"/>
    <w:rsid w:val="002A566D"/>
    <w:rsid w:val="002A6595"/>
    <w:rsid w:val="002A67F1"/>
    <w:rsid w:val="002B2462"/>
    <w:rsid w:val="002B383C"/>
    <w:rsid w:val="002B5220"/>
    <w:rsid w:val="002B612E"/>
    <w:rsid w:val="002B6AE6"/>
    <w:rsid w:val="002B6C44"/>
    <w:rsid w:val="002B7E6C"/>
    <w:rsid w:val="002C1450"/>
    <w:rsid w:val="002C20FC"/>
    <w:rsid w:val="002C400C"/>
    <w:rsid w:val="002C47DD"/>
    <w:rsid w:val="002D105D"/>
    <w:rsid w:val="002D25F5"/>
    <w:rsid w:val="002D2A36"/>
    <w:rsid w:val="002D2B12"/>
    <w:rsid w:val="002D2C3D"/>
    <w:rsid w:val="002D3551"/>
    <w:rsid w:val="002D3CAD"/>
    <w:rsid w:val="002D489E"/>
    <w:rsid w:val="002D49E0"/>
    <w:rsid w:val="002D5E45"/>
    <w:rsid w:val="002D5E4E"/>
    <w:rsid w:val="002D635E"/>
    <w:rsid w:val="002D6D90"/>
    <w:rsid w:val="002D7B37"/>
    <w:rsid w:val="002E0105"/>
    <w:rsid w:val="002E0DA9"/>
    <w:rsid w:val="002E105A"/>
    <w:rsid w:val="002E245F"/>
    <w:rsid w:val="002E2916"/>
    <w:rsid w:val="002E4205"/>
    <w:rsid w:val="002E59F7"/>
    <w:rsid w:val="002E7E64"/>
    <w:rsid w:val="002F07C2"/>
    <w:rsid w:val="002F0FEB"/>
    <w:rsid w:val="002F11E8"/>
    <w:rsid w:val="002F1A04"/>
    <w:rsid w:val="002F1C67"/>
    <w:rsid w:val="002F28E4"/>
    <w:rsid w:val="002F29EC"/>
    <w:rsid w:val="002F4345"/>
    <w:rsid w:val="002F7990"/>
    <w:rsid w:val="00300D1B"/>
    <w:rsid w:val="003021E8"/>
    <w:rsid w:val="003039EA"/>
    <w:rsid w:val="00310C92"/>
    <w:rsid w:val="00310FAF"/>
    <w:rsid w:val="00311CD2"/>
    <w:rsid w:val="003132FE"/>
    <w:rsid w:val="003135C2"/>
    <w:rsid w:val="003152BD"/>
    <w:rsid w:val="00315336"/>
    <w:rsid w:val="00315958"/>
    <w:rsid w:val="00316DDD"/>
    <w:rsid w:val="00317595"/>
    <w:rsid w:val="00317CDD"/>
    <w:rsid w:val="00320010"/>
    <w:rsid w:val="0032199A"/>
    <w:rsid w:val="003224D8"/>
    <w:rsid w:val="00323B6F"/>
    <w:rsid w:val="00323E62"/>
    <w:rsid w:val="00325B11"/>
    <w:rsid w:val="00326318"/>
    <w:rsid w:val="00327FF1"/>
    <w:rsid w:val="0033055D"/>
    <w:rsid w:val="00331ACD"/>
    <w:rsid w:val="00331F20"/>
    <w:rsid w:val="003321FD"/>
    <w:rsid w:val="00333CDA"/>
    <w:rsid w:val="00336773"/>
    <w:rsid w:val="00337B2C"/>
    <w:rsid w:val="00337FBC"/>
    <w:rsid w:val="00340A0A"/>
    <w:rsid w:val="00340F17"/>
    <w:rsid w:val="00341045"/>
    <w:rsid w:val="00342827"/>
    <w:rsid w:val="00342D38"/>
    <w:rsid w:val="00343542"/>
    <w:rsid w:val="00345207"/>
    <w:rsid w:val="00350CF0"/>
    <w:rsid w:val="0035330F"/>
    <w:rsid w:val="00353728"/>
    <w:rsid w:val="00355532"/>
    <w:rsid w:val="00355804"/>
    <w:rsid w:val="003612C9"/>
    <w:rsid w:val="0036234D"/>
    <w:rsid w:val="00362473"/>
    <w:rsid w:val="00364B97"/>
    <w:rsid w:val="00365A74"/>
    <w:rsid w:val="003672B9"/>
    <w:rsid w:val="00370833"/>
    <w:rsid w:val="0037197A"/>
    <w:rsid w:val="00372892"/>
    <w:rsid w:val="00372F43"/>
    <w:rsid w:val="003735AD"/>
    <w:rsid w:val="00373A40"/>
    <w:rsid w:val="00374249"/>
    <w:rsid w:val="00374E0E"/>
    <w:rsid w:val="00375D0D"/>
    <w:rsid w:val="00376197"/>
    <w:rsid w:val="003764D4"/>
    <w:rsid w:val="00376A43"/>
    <w:rsid w:val="00380853"/>
    <w:rsid w:val="003814AC"/>
    <w:rsid w:val="00382BC8"/>
    <w:rsid w:val="00383040"/>
    <w:rsid w:val="003832DD"/>
    <w:rsid w:val="003839AE"/>
    <w:rsid w:val="0038491D"/>
    <w:rsid w:val="00384A79"/>
    <w:rsid w:val="003870F8"/>
    <w:rsid w:val="003874AE"/>
    <w:rsid w:val="0038772F"/>
    <w:rsid w:val="0038788A"/>
    <w:rsid w:val="0039073F"/>
    <w:rsid w:val="00390D8B"/>
    <w:rsid w:val="003917F7"/>
    <w:rsid w:val="00391F75"/>
    <w:rsid w:val="00392644"/>
    <w:rsid w:val="00392941"/>
    <w:rsid w:val="00392C19"/>
    <w:rsid w:val="003937BC"/>
    <w:rsid w:val="00394459"/>
    <w:rsid w:val="00395DBE"/>
    <w:rsid w:val="00396786"/>
    <w:rsid w:val="00396E0F"/>
    <w:rsid w:val="003971D7"/>
    <w:rsid w:val="003972ED"/>
    <w:rsid w:val="00397F3D"/>
    <w:rsid w:val="003A0728"/>
    <w:rsid w:val="003A07CE"/>
    <w:rsid w:val="003A1B21"/>
    <w:rsid w:val="003A2A23"/>
    <w:rsid w:val="003A2F0B"/>
    <w:rsid w:val="003A32F0"/>
    <w:rsid w:val="003A48A4"/>
    <w:rsid w:val="003A5519"/>
    <w:rsid w:val="003A5A0B"/>
    <w:rsid w:val="003A5C8B"/>
    <w:rsid w:val="003A61F5"/>
    <w:rsid w:val="003A66B0"/>
    <w:rsid w:val="003A7882"/>
    <w:rsid w:val="003B0AA0"/>
    <w:rsid w:val="003B11C5"/>
    <w:rsid w:val="003B18D2"/>
    <w:rsid w:val="003B295A"/>
    <w:rsid w:val="003B2E78"/>
    <w:rsid w:val="003B30BE"/>
    <w:rsid w:val="003B4078"/>
    <w:rsid w:val="003B5207"/>
    <w:rsid w:val="003B5D01"/>
    <w:rsid w:val="003B6F06"/>
    <w:rsid w:val="003C1AF2"/>
    <w:rsid w:val="003C1E6A"/>
    <w:rsid w:val="003C2176"/>
    <w:rsid w:val="003C3A0B"/>
    <w:rsid w:val="003C42B5"/>
    <w:rsid w:val="003C55E1"/>
    <w:rsid w:val="003C67BE"/>
    <w:rsid w:val="003C6C1A"/>
    <w:rsid w:val="003C76A7"/>
    <w:rsid w:val="003D04FF"/>
    <w:rsid w:val="003D0AC2"/>
    <w:rsid w:val="003D1E3B"/>
    <w:rsid w:val="003D2288"/>
    <w:rsid w:val="003D283C"/>
    <w:rsid w:val="003D2C21"/>
    <w:rsid w:val="003D2F53"/>
    <w:rsid w:val="003D3672"/>
    <w:rsid w:val="003D3968"/>
    <w:rsid w:val="003D5234"/>
    <w:rsid w:val="003D693F"/>
    <w:rsid w:val="003D6FBF"/>
    <w:rsid w:val="003D712C"/>
    <w:rsid w:val="003D7289"/>
    <w:rsid w:val="003D7864"/>
    <w:rsid w:val="003D7A40"/>
    <w:rsid w:val="003E0603"/>
    <w:rsid w:val="003E13D4"/>
    <w:rsid w:val="003E3DE4"/>
    <w:rsid w:val="003E4A03"/>
    <w:rsid w:val="003E5041"/>
    <w:rsid w:val="003E5339"/>
    <w:rsid w:val="003E58B4"/>
    <w:rsid w:val="003E645A"/>
    <w:rsid w:val="003E646D"/>
    <w:rsid w:val="003F253E"/>
    <w:rsid w:val="003F29B7"/>
    <w:rsid w:val="003F5205"/>
    <w:rsid w:val="003F605D"/>
    <w:rsid w:val="003F618D"/>
    <w:rsid w:val="003F6A2B"/>
    <w:rsid w:val="003F763B"/>
    <w:rsid w:val="003F7894"/>
    <w:rsid w:val="00400429"/>
    <w:rsid w:val="00401182"/>
    <w:rsid w:val="00401824"/>
    <w:rsid w:val="004029A3"/>
    <w:rsid w:val="004034EC"/>
    <w:rsid w:val="00405E05"/>
    <w:rsid w:val="00406EBE"/>
    <w:rsid w:val="00411C88"/>
    <w:rsid w:val="0041328F"/>
    <w:rsid w:val="00413994"/>
    <w:rsid w:val="004147D6"/>
    <w:rsid w:val="00414849"/>
    <w:rsid w:val="00414A47"/>
    <w:rsid w:val="00414CA2"/>
    <w:rsid w:val="004153D1"/>
    <w:rsid w:val="004157F2"/>
    <w:rsid w:val="00415845"/>
    <w:rsid w:val="00416CAA"/>
    <w:rsid w:val="00421BA6"/>
    <w:rsid w:val="00423BFE"/>
    <w:rsid w:val="00424458"/>
    <w:rsid w:val="00424577"/>
    <w:rsid w:val="00425208"/>
    <w:rsid w:val="00425A08"/>
    <w:rsid w:val="00425E13"/>
    <w:rsid w:val="00425FD9"/>
    <w:rsid w:val="00426923"/>
    <w:rsid w:val="00426E0B"/>
    <w:rsid w:val="0042763B"/>
    <w:rsid w:val="0043267B"/>
    <w:rsid w:val="00433DEA"/>
    <w:rsid w:val="00433FE0"/>
    <w:rsid w:val="004345FA"/>
    <w:rsid w:val="004348AE"/>
    <w:rsid w:val="00434EE2"/>
    <w:rsid w:val="004365FF"/>
    <w:rsid w:val="004374C0"/>
    <w:rsid w:val="00440C8B"/>
    <w:rsid w:val="00442124"/>
    <w:rsid w:val="00442311"/>
    <w:rsid w:val="004426E4"/>
    <w:rsid w:val="00443141"/>
    <w:rsid w:val="0044331B"/>
    <w:rsid w:val="00443963"/>
    <w:rsid w:val="00443FA6"/>
    <w:rsid w:val="004447E9"/>
    <w:rsid w:val="004454EE"/>
    <w:rsid w:val="004463CC"/>
    <w:rsid w:val="00446B7A"/>
    <w:rsid w:val="00446F6F"/>
    <w:rsid w:val="00447980"/>
    <w:rsid w:val="00450E94"/>
    <w:rsid w:val="004521AA"/>
    <w:rsid w:val="00452C15"/>
    <w:rsid w:val="00453F09"/>
    <w:rsid w:val="00453F67"/>
    <w:rsid w:val="00454F35"/>
    <w:rsid w:val="00455EEF"/>
    <w:rsid w:val="0045609E"/>
    <w:rsid w:val="00456435"/>
    <w:rsid w:val="0045687A"/>
    <w:rsid w:val="00461A22"/>
    <w:rsid w:val="004646DB"/>
    <w:rsid w:val="00464A1C"/>
    <w:rsid w:val="00464D0E"/>
    <w:rsid w:val="00465561"/>
    <w:rsid w:val="00465A22"/>
    <w:rsid w:val="00467925"/>
    <w:rsid w:val="0047147C"/>
    <w:rsid w:val="00471849"/>
    <w:rsid w:val="00471F1C"/>
    <w:rsid w:val="0047224C"/>
    <w:rsid w:val="00473A6A"/>
    <w:rsid w:val="00474997"/>
    <w:rsid w:val="00474DDE"/>
    <w:rsid w:val="00477D98"/>
    <w:rsid w:val="0048008D"/>
    <w:rsid w:val="0048247B"/>
    <w:rsid w:val="00483656"/>
    <w:rsid w:val="0048476F"/>
    <w:rsid w:val="00484B1B"/>
    <w:rsid w:val="00485B03"/>
    <w:rsid w:val="00485B78"/>
    <w:rsid w:val="00485D3D"/>
    <w:rsid w:val="00486C94"/>
    <w:rsid w:val="0048701D"/>
    <w:rsid w:val="004905C4"/>
    <w:rsid w:val="00490813"/>
    <w:rsid w:val="00490D47"/>
    <w:rsid w:val="00490E6E"/>
    <w:rsid w:val="00490F62"/>
    <w:rsid w:val="00491A55"/>
    <w:rsid w:val="00491F0F"/>
    <w:rsid w:val="0049249A"/>
    <w:rsid w:val="004925E5"/>
    <w:rsid w:val="0049282A"/>
    <w:rsid w:val="004947D9"/>
    <w:rsid w:val="00497F25"/>
    <w:rsid w:val="004A00EA"/>
    <w:rsid w:val="004A0169"/>
    <w:rsid w:val="004A117E"/>
    <w:rsid w:val="004A12CC"/>
    <w:rsid w:val="004A1F9B"/>
    <w:rsid w:val="004A2CD4"/>
    <w:rsid w:val="004A32AC"/>
    <w:rsid w:val="004A3E8F"/>
    <w:rsid w:val="004A5725"/>
    <w:rsid w:val="004A5FDF"/>
    <w:rsid w:val="004A7865"/>
    <w:rsid w:val="004B0C7C"/>
    <w:rsid w:val="004B0D63"/>
    <w:rsid w:val="004B1116"/>
    <w:rsid w:val="004B124A"/>
    <w:rsid w:val="004B1565"/>
    <w:rsid w:val="004B17AC"/>
    <w:rsid w:val="004B1CC6"/>
    <w:rsid w:val="004B36EE"/>
    <w:rsid w:val="004B3B0D"/>
    <w:rsid w:val="004B48CA"/>
    <w:rsid w:val="004C0200"/>
    <w:rsid w:val="004C0D26"/>
    <w:rsid w:val="004C1716"/>
    <w:rsid w:val="004C1B25"/>
    <w:rsid w:val="004C3002"/>
    <w:rsid w:val="004C4587"/>
    <w:rsid w:val="004C49CA"/>
    <w:rsid w:val="004C5CD8"/>
    <w:rsid w:val="004C6268"/>
    <w:rsid w:val="004D0482"/>
    <w:rsid w:val="004D1F23"/>
    <w:rsid w:val="004D3CF8"/>
    <w:rsid w:val="004D64FC"/>
    <w:rsid w:val="004D78B9"/>
    <w:rsid w:val="004E142E"/>
    <w:rsid w:val="004E1C1A"/>
    <w:rsid w:val="004E1DC6"/>
    <w:rsid w:val="004E2491"/>
    <w:rsid w:val="004E2601"/>
    <w:rsid w:val="004E60B8"/>
    <w:rsid w:val="004E64E1"/>
    <w:rsid w:val="004E6D34"/>
    <w:rsid w:val="004E6FA7"/>
    <w:rsid w:val="004E75AF"/>
    <w:rsid w:val="004F06FF"/>
    <w:rsid w:val="004F0CEF"/>
    <w:rsid w:val="004F269F"/>
    <w:rsid w:val="004F5EAA"/>
    <w:rsid w:val="004F6FF6"/>
    <w:rsid w:val="004F7915"/>
    <w:rsid w:val="004F7DDE"/>
    <w:rsid w:val="004F7E68"/>
    <w:rsid w:val="00500505"/>
    <w:rsid w:val="005012DE"/>
    <w:rsid w:val="00501562"/>
    <w:rsid w:val="00501F69"/>
    <w:rsid w:val="00502013"/>
    <w:rsid w:val="00503858"/>
    <w:rsid w:val="005038BA"/>
    <w:rsid w:val="00506596"/>
    <w:rsid w:val="00511881"/>
    <w:rsid w:val="00511B9A"/>
    <w:rsid w:val="005128DF"/>
    <w:rsid w:val="0051316C"/>
    <w:rsid w:val="00515050"/>
    <w:rsid w:val="005151A8"/>
    <w:rsid w:val="0051533F"/>
    <w:rsid w:val="00516209"/>
    <w:rsid w:val="00516737"/>
    <w:rsid w:val="00517606"/>
    <w:rsid w:val="00517D42"/>
    <w:rsid w:val="0052074F"/>
    <w:rsid w:val="00520F05"/>
    <w:rsid w:val="005221C1"/>
    <w:rsid w:val="00523FAD"/>
    <w:rsid w:val="00524214"/>
    <w:rsid w:val="00524EBE"/>
    <w:rsid w:val="005262DD"/>
    <w:rsid w:val="00527970"/>
    <w:rsid w:val="00527C64"/>
    <w:rsid w:val="00527D95"/>
    <w:rsid w:val="0053228D"/>
    <w:rsid w:val="00534277"/>
    <w:rsid w:val="00534A7E"/>
    <w:rsid w:val="005358D7"/>
    <w:rsid w:val="00535B30"/>
    <w:rsid w:val="00537264"/>
    <w:rsid w:val="005377C3"/>
    <w:rsid w:val="005416FC"/>
    <w:rsid w:val="0054261E"/>
    <w:rsid w:val="00542ABD"/>
    <w:rsid w:val="00542C06"/>
    <w:rsid w:val="0054439E"/>
    <w:rsid w:val="005463B6"/>
    <w:rsid w:val="00547A27"/>
    <w:rsid w:val="00550938"/>
    <w:rsid w:val="00552078"/>
    <w:rsid w:val="005526C5"/>
    <w:rsid w:val="00552DBB"/>
    <w:rsid w:val="005530C1"/>
    <w:rsid w:val="005533A7"/>
    <w:rsid w:val="0055345F"/>
    <w:rsid w:val="00554CFC"/>
    <w:rsid w:val="00555A97"/>
    <w:rsid w:val="00562627"/>
    <w:rsid w:val="0056373E"/>
    <w:rsid w:val="00564077"/>
    <w:rsid w:val="00565C19"/>
    <w:rsid w:val="00567567"/>
    <w:rsid w:val="00571354"/>
    <w:rsid w:val="00572103"/>
    <w:rsid w:val="0057239A"/>
    <w:rsid w:val="00572E30"/>
    <w:rsid w:val="00573E79"/>
    <w:rsid w:val="00573F5E"/>
    <w:rsid w:val="00575B01"/>
    <w:rsid w:val="00576117"/>
    <w:rsid w:val="00576582"/>
    <w:rsid w:val="00576B2D"/>
    <w:rsid w:val="00577A1D"/>
    <w:rsid w:val="00581E7F"/>
    <w:rsid w:val="00583B3C"/>
    <w:rsid w:val="00584308"/>
    <w:rsid w:val="005846ED"/>
    <w:rsid w:val="00584FE3"/>
    <w:rsid w:val="00585514"/>
    <w:rsid w:val="00585C6D"/>
    <w:rsid w:val="00586774"/>
    <w:rsid w:val="005870B9"/>
    <w:rsid w:val="00591BA4"/>
    <w:rsid w:val="00591EBD"/>
    <w:rsid w:val="00592954"/>
    <w:rsid w:val="00592A17"/>
    <w:rsid w:val="0059477B"/>
    <w:rsid w:val="005956D8"/>
    <w:rsid w:val="00596634"/>
    <w:rsid w:val="0059667F"/>
    <w:rsid w:val="00596E6D"/>
    <w:rsid w:val="0059703C"/>
    <w:rsid w:val="00597A7F"/>
    <w:rsid w:val="00597F29"/>
    <w:rsid w:val="005A0736"/>
    <w:rsid w:val="005A0D34"/>
    <w:rsid w:val="005A10F2"/>
    <w:rsid w:val="005A211E"/>
    <w:rsid w:val="005A3685"/>
    <w:rsid w:val="005A368E"/>
    <w:rsid w:val="005A3D9D"/>
    <w:rsid w:val="005A558B"/>
    <w:rsid w:val="005A5D3F"/>
    <w:rsid w:val="005A623F"/>
    <w:rsid w:val="005A755A"/>
    <w:rsid w:val="005B1D20"/>
    <w:rsid w:val="005B3958"/>
    <w:rsid w:val="005B3B88"/>
    <w:rsid w:val="005B4886"/>
    <w:rsid w:val="005B6924"/>
    <w:rsid w:val="005B7104"/>
    <w:rsid w:val="005C2E1D"/>
    <w:rsid w:val="005C31EA"/>
    <w:rsid w:val="005C31EE"/>
    <w:rsid w:val="005C37B0"/>
    <w:rsid w:val="005C3E1A"/>
    <w:rsid w:val="005C42F4"/>
    <w:rsid w:val="005C5945"/>
    <w:rsid w:val="005C5DED"/>
    <w:rsid w:val="005C6ADC"/>
    <w:rsid w:val="005C7143"/>
    <w:rsid w:val="005C7E40"/>
    <w:rsid w:val="005C7F6E"/>
    <w:rsid w:val="005D0085"/>
    <w:rsid w:val="005D0116"/>
    <w:rsid w:val="005D093A"/>
    <w:rsid w:val="005D0D10"/>
    <w:rsid w:val="005D38E2"/>
    <w:rsid w:val="005D3C61"/>
    <w:rsid w:val="005D3F56"/>
    <w:rsid w:val="005D4410"/>
    <w:rsid w:val="005D52FE"/>
    <w:rsid w:val="005D57A1"/>
    <w:rsid w:val="005E0C3C"/>
    <w:rsid w:val="005E120E"/>
    <w:rsid w:val="005E1EAE"/>
    <w:rsid w:val="005E202C"/>
    <w:rsid w:val="005E4F0B"/>
    <w:rsid w:val="005E64EC"/>
    <w:rsid w:val="005E7BFC"/>
    <w:rsid w:val="005E7D3A"/>
    <w:rsid w:val="005F11B9"/>
    <w:rsid w:val="005F1333"/>
    <w:rsid w:val="005F170B"/>
    <w:rsid w:val="005F2923"/>
    <w:rsid w:val="005F3872"/>
    <w:rsid w:val="005F3E00"/>
    <w:rsid w:val="005F4329"/>
    <w:rsid w:val="005F4B1F"/>
    <w:rsid w:val="005F4C3B"/>
    <w:rsid w:val="005F4F4E"/>
    <w:rsid w:val="005F5684"/>
    <w:rsid w:val="005F60DE"/>
    <w:rsid w:val="005F7341"/>
    <w:rsid w:val="005F7AC3"/>
    <w:rsid w:val="0060026B"/>
    <w:rsid w:val="0060048C"/>
    <w:rsid w:val="00600EEA"/>
    <w:rsid w:val="00601075"/>
    <w:rsid w:val="00601B54"/>
    <w:rsid w:val="00606230"/>
    <w:rsid w:val="006073F9"/>
    <w:rsid w:val="0061080B"/>
    <w:rsid w:val="00611518"/>
    <w:rsid w:val="00612EED"/>
    <w:rsid w:val="00612F34"/>
    <w:rsid w:val="006133F0"/>
    <w:rsid w:val="0061502C"/>
    <w:rsid w:val="006156D1"/>
    <w:rsid w:val="006203D9"/>
    <w:rsid w:val="00622EFF"/>
    <w:rsid w:val="00625FD6"/>
    <w:rsid w:val="00627411"/>
    <w:rsid w:val="006274BA"/>
    <w:rsid w:val="00630B34"/>
    <w:rsid w:val="006323F3"/>
    <w:rsid w:val="00632E45"/>
    <w:rsid w:val="00632F2B"/>
    <w:rsid w:val="006335C5"/>
    <w:rsid w:val="00633762"/>
    <w:rsid w:val="00634192"/>
    <w:rsid w:val="00634AAF"/>
    <w:rsid w:val="0063624C"/>
    <w:rsid w:val="00640BEC"/>
    <w:rsid w:val="00641580"/>
    <w:rsid w:val="00641C0B"/>
    <w:rsid w:val="00642068"/>
    <w:rsid w:val="006421F0"/>
    <w:rsid w:val="0064279C"/>
    <w:rsid w:val="00646CA4"/>
    <w:rsid w:val="00646CCC"/>
    <w:rsid w:val="00647572"/>
    <w:rsid w:val="00650E2E"/>
    <w:rsid w:val="00650FC1"/>
    <w:rsid w:val="00650FFF"/>
    <w:rsid w:val="006524B3"/>
    <w:rsid w:val="00652E42"/>
    <w:rsid w:val="006531E2"/>
    <w:rsid w:val="0065369F"/>
    <w:rsid w:val="00653DCA"/>
    <w:rsid w:val="006558FB"/>
    <w:rsid w:val="00655CD3"/>
    <w:rsid w:val="00656244"/>
    <w:rsid w:val="00656618"/>
    <w:rsid w:val="00656B0B"/>
    <w:rsid w:val="00656B11"/>
    <w:rsid w:val="00656DE9"/>
    <w:rsid w:val="00665492"/>
    <w:rsid w:val="0066599A"/>
    <w:rsid w:val="00665AF6"/>
    <w:rsid w:val="006667C4"/>
    <w:rsid w:val="00667913"/>
    <w:rsid w:val="00672DCF"/>
    <w:rsid w:val="0067370B"/>
    <w:rsid w:val="00674453"/>
    <w:rsid w:val="006754AC"/>
    <w:rsid w:val="0067663A"/>
    <w:rsid w:val="006773BA"/>
    <w:rsid w:val="00680225"/>
    <w:rsid w:val="0068193F"/>
    <w:rsid w:val="0068199E"/>
    <w:rsid w:val="00681CDA"/>
    <w:rsid w:val="00684621"/>
    <w:rsid w:val="00684E24"/>
    <w:rsid w:val="00684F16"/>
    <w:rsid w:val="006869D7"/>
    <w:rsid w:val="00687286"/>
    <w:rsid w:val="00690231"/>
    <w:rsid w:val="00690DA7"/>
    <w:rsid w:val="00694F8B"/>
    <w:rsid w:val="00695BAE"/>
    <w:rsid w:val="00695BF6"/>
    <w:rsid w:val="0069614D"/>
    <w:rsid w:val="006979CB"/>
    <w:rsid w:val="006A17DB"/>
    <w:rsid w:val="006A2E6D"/>
    <w:rsid w:val="006A3600"/>
    <w:rsid w:val="006A566B"/>
    <w:rsid w:val="006A59D8"/>
    <w:rsid w:val="006B164B"/>
    <w:rsid w:val="006B1CE0"/>
    <w:rsid w:val="006B4CED"/>
    <w:rsid w:val="006B4DEC"/>
    <w:rsid w:val="006B6095"/>
    <w:rsid w:val="006B694B"/>
    <w:rsid w:val="006B6B51"/>
    <w:rsid w:val="006B6E9B"/>
    <w:rsid w:val="006B7401"/>
    <w:rsid w:val="006C05F3"/>
    <w:rsid w:val="006C06C1"/>
    <w:rsid w:val="006C0A81"/>
    <w:rsid w:val="006C0AB2"/>
    <w:rsid w:val="006C14B2"/>
    <w:rsid w:val="006C2517"/>
    <w:rsid w:val="006C4CAC"/>
    <w:rsid w:val="006C4FDA"/>
    <w:rsid w:val="006D0F70"/>
    <w:rsid w:val="006D1546"/>
    <w:rsid w:val="006D6082"/>
    <w:rsid w:val="006D7259"/>
    <w:rsid w:val="006D727B"/>
    <w:rsid w:val="006D7301"/>
    <w:rsid w:val="006D7442"/>
    <w:rsid w:val="006D7E5D"/>
    <w:rsid w:val="006E062E"/>
    <w:rsid w:val="006E09AA"/>
    <w:rsid w:val="006E0C17"/>
    <w:rsid w:val="006E100C"/>
    <w:rsid w:val="006E1F42"/>
    <w:rsid w:val="006E38CD"/>
    <w:rsid w:val="006E4A4F"/>
    <w:rsid w:val="006E59F8"/>
    <w:rsid w:val="006E6BE9"/>
    <w:rsid w:val="006F0D75"/>
    <w:rsid w:val="006F18A6"/>
    <w:rsid w:val="006F2927"/>
    <w:rsid w:val="006F3A01"/>
    <w:rsid w:val="006F5B3D"/>
    <w:rsid w:val="006F5F82"/>
    <w:rsid w:val="006F7082"/>
    <w:rsid w:val="006F7E22"/>
    <w:rsid w:val="00700354"/>
    <w:rsid w:val="00700687"/>
    <w:rsid w:val="00700748"/>
    <w:rsid w:val="00704F83"/>
    <w:rsid w:val="0070505D"/>
    <w:rsid w:val="00705537"/>
    <w:rsid w:val="00705DDB"/>
    <w:rsid w:val="007074FE"/>
    <w:rsid w:val="007100BA"/>
    <w:rsid w:val="00710167"/>
    <w:rsid w:val="00712832"/>
    <w:rsid w:val="00712E15"/>
    <w:rsid w:val="007130ED"/>
    <w:rsid w:val="00714419"/>
    <w:rsid w:val="00714CED"/>
    <w:rsid w:val="007204B6"/>
    <w:rsid w:val="00721E62"/>
    <w:rsid w:val="007238E4"/>
    <w:rsid w:val="007243F3"/>
    <w:rsid w:val="00724A44"/>
    <w:rsid w:val="00726960"/>
    <w:rsid w:val="00726AA7"/>
    <w:rsid w:val="00726CF9"/>
    <w:rsid w:val="00726D4E"/>
    <w:rsid w:val="0073051C"/>
    <w:rsid w:val="007319A1"/>
    <w:rsid w:val="00731D5D"/>
    <w:rsid w:val="007328BA"/>
    <w:rsid w:val="007329DF"/>
    <w:rsid w:val="00735166"/>
    <w:rsid w:val="00736A7F"/>
    <w:rsid w:val="007377EB"/>
    <w:rsid w:val="007404ED"/>
    <w:rsid w:val="00741814"/>
    <w:rsid w:val="00742AC5"/>
    <w:rsid w:val="00743336"/>
    <w:rsid w:val="00743927"/>
    <w:rsid w:val="0074512C"/>
    <w:rsid w:val="00745D29"/>
    <w:rsid w:val="0074643C"/>
    <w:rsid w:val="0074691F"/>
    <w:rsid w:val="00746F37"/>
    <w:rsid w:val="0074705C"/>
    <w:rsid w:val="007502BD"/>
    <w:rsid w:val="00750E1D"/>
    <w:rsid w:val="00751E39"/>
    <w:rsid w:val="0075265D"/>
    <w:rsid w:val="0075328E"/>
    <w:rsid w:val="00754138"/>
    <w:rsid w:val="00754D22"/>
    <w:rsid w:val="00754EBF"/>
    <w:rsid w:val="00755459"/>
    <w:rsid w:val="00755BAA"/>
    <w:rsid w:val="007567E9"/>
    <w:rsid w:val="00756EF9"/>
    <w:rsid w:val="007570FF"/>
    <w:rsid w:val="00757371"/>
    <w:rsid w:val="00760A6B"/>
    <w:rsid w:val="0076192A"/>
    <w:rsid w:val="0076265B"/>
    <w:rsid w:val="0076297A"/>
    <w:rsid w:val="007629CE"/>
    <w:rsid w:val="00763372"/>
    <w:rsid w:val="0076426F"/>
    <w:rsid w:val="00764BDB"/>
    <w:rsid w:val="00765267"/>
    <w:rsid w:val="00765C83"/>
    <w:rsid w:val="00767D89"/>
    <w:rsid w:val="00771418"/>
    <w:rsid w:val="00771711"/>
    <w:rsid w:val="00772122"/>
    <w:rsid w:val="007730DC"/>
    <w:rsid w:val="0077431A"/>
    <w:rsid w:val="00774575"/>
    <w:rsid w:val="00774D71"/>
    <w:rsid w:val="00776189"/>
    <w:rsid w:val="007806CB"/>
    <w:rsid w:val="00783684"/>
    <w:rsid w:val="00784A6D"/>
    <w:rsid w:val="00787944"/>
    <w:rsid w:val="00787951"/>
    <w:rsid w:val="00790FB4"/>
    <w:rsid w:val="00792AC1"/>
    <w:rsid w:val="0079352F"/>
    <w:rsid w:val="007A16A2"/>
    <w:rsid w:val="007A1FA1"/>
    <w:rsid w:val="007A337E"/>
    <w:rsid w:val="007A651F"/>
    <w:rsid w:val="007A73DD"/>
    <w:rsid w:val="007B1B45"/>
    <w:rsid w:val="007B1F0E"/>
    <w:rsid w:val="007B353F"/>
    <w:rsid w:val="007B531B"/>
    <w:rsid w:val="007B6AAF"/>
    <w:rsid w:val="007B73E1"/>
    <w:rsid w:val="007B73F9"/>
    <w:rsid w:val="007B79A5"/>
    <w:rsid w:val="007B7B12"/>
    <w:rsid w:val="007C04EB"/>
    <w:rsid w:val="007C1A2F"/>
    <w:rsid w:val="007C2BFF"/>
    <w:rsid w:val="007C36C7"/>
    <w:rsid w:val="007C3B46"/>
    <w:rsid w:val="007C3D7D"/>
    <w:rsid w:val="007C4527"/>
    <w:rsid w:val="007C4A23"/>
    <w:rsid w:val="007C4E7B"/>
    <w:rsid w:val="007C694E"/>
    <w:rsid w:val="007C6C16"/>
    <w:rsid w:val="007C7789"/>
    <w:rsid w:val="007C7F91"/>
    <w:rsid w:val="007D1159"/>
    <w:rsid w:val="007D1598"/>
    <w:rsid w:val="007D2604"/>
    <w:rsid w:val="007D3E5B"/>
    <w:rsid w:val="007D4491"/>
    <w:rsid w:val="007D4DB8"/>
    <w:rsid w:val="007D5023"/>
    <w:rsid w:val="007D51F3"/>
    <w:rsid w:val="007D54A9"/>
    <w:rsid w:val="007D58D8"/>
    <w:rsid w:val="007D5F00"/>
    <w:rsid w:val="007D6214"/>
    <w:rsid w:val="007D6233"/>
    <w:rsid w:val="007D6A0C"/>
    <w:rsid w:val="007D6ADC"/>
    <w:rsid w:val="007D76E4"/>
    <w:rsid w:val="007D7B21"/>
    <w:rsid w:val="007E15F9"/>
    <w:rsid w:val="007E181D"/>
    <w:rsid w:val="007E39FA"/>
    <w:rsid w:val="007E3CAA"/>
    <w:rsid w:val="007E42F6"/>
    <w:rsid w:val="007E5151"/>
    <w:rsid w:val="007E5D5C"/>
    <w:rsid w:val="007E627A"/>
    <w:rsid w:val="007E7E30"/>
    <w:rsid w:val="007F0305"/>
    <w:rsid w:val="007F0AB5"/>
    <w:rsid w:val="007F170A"/>
    <w:rsid w:val="007F3850"/>
    <w:rsid w:val="007F3C40"/>
    <w:rsid w:val="007F41B8"/>
    <w:rsid w:val="007F46AC"/>
    <w:rsid w:val="007F75FB"/>
    <w:rsid w:val="007F7B6E"/>
    <w:rsid w:val="008003B9"/>
    <w:rsid w:val="00800D52"/>
    <w:rsid w:val="00800FD8"/>
    <w:rsid w:val="0080173A"/>
    <w:rsid w:val="00801E54"/>
    <w:rsid w:val="008033FB"/>
    <w:rsid w:val="008043EC"/>
    <w:rsid w:val="008045BC"/>
    <w:rsid w:val="00804C5D"/>
    <w:rsid w:val="0080502B"/>
    <w:rsid w:val="0080612F"/>
    <w:rsid w:val="00806D49"/>
    <w:rsid w:val="00810055"/>
    <w:rsid w:val="00810D0C"/>
    <w:rsid w:val="00812FF7"/>
    <w:rsid w:val="0081404D"/>
    <w:rsid w:val="00817253"/>
    <w:rsid w:val="00820906"/>
    <w:rsid w:val="008213CA"/>
    <w:rsid w:val="00821763"/>
    <w:rsid w:val="00823246"/>
    <w:rsid w:val="00823F59"/>
    <w:rsid w:val="00824B48"/>
    <w:rsid w:val="008264B1"/>
    <w:rsid w:val="008265A2"/>
    <w:rsid w:val="008267C8"/>
    <w:rsid w:val="00831309"/>
    <w:rsid w:val="00832832"/>
    <w:rsid w:val="00832A22"/>
    <w:rsid w:val="0083341F"/>
    <w:rsid w:val="0083433A"/>
    <w:rsid w:val="0083683E"/>
    <w:rsid w:val="008378A8"/>
    <w:rsid w:val="00837B32"/>
    <w:rsid w:val="00843041"/>
    <w:rsid w:val="00843249"/>
    <w:rsid w:val="008438BC"/>
    <w:rsid w:val="00843C39"/>
    <w:rsid w:val="00844E18"/>
    <w:rsid w:val="008452FA"/>
    <w:rsid w:val="0084558D"/>
    <w:rsid w:val="00845D57"/>
    <w:rsid w:val="00845F25"/>
    <w:rsid w:val="00846748"/>
    <w:rsid w:val="00846918"/>
    <w:rsid w:val="00846E0F"/>
    <w:rsid w:val="008501ED"/>
    <w:rsid w:val="00851357"/>
    <w:rsid w:val="00851992"/>
    <w:rsid w:val="00852B22"/>
    <w:rsid w:val="0085350E"/>
    <w:rsid w:val="008538D0"/>
    <w:rsid w:val="0085415D"/>
    <w:rsid w:val="00854950"/>
    <w:rsid w:val="00854F34"/>
    <w:rsid w:val="00855C60"/>
    <w:rsid w:val="00855FBF"/>
    <w:rsid w:val="00856F1F"/>
    <w:rsid w:val="0085701D"/>
    <w:rsid w:val="00857276"/>
    <w:rsid w:val="00861DF8"/>
    <w:rsid w:val="00862B8D"/>
    <w:rsid w:val="00863D96"/>
    <w:rsid w:val="00865BD9"/>
    <w:rsid w:val="008661FD"/>
    <w:rsid w:val="008663BE"/>
    <w:rsid w:val="00866C14"/>
    <w:rsid w:val="00870194"/>
    <w:rsid w:val="00870231"/>
    <w:rsid w:val="00872BA3"/>
    <w:rsid w:val="0087392A"/>
    <w:rsid w:val="00874B03"/>
    <w:rsid w:val="00874CB1"/>
    <w:rsid w:val="00874FEF"/>
    <w:rsid w:val="008751A9"/>
    <w:rsid w:val="008771B3"/>
    <w:rsid w:val="00880695"/>
    <w:rsid w:val="008818D9"/>
    <w:rsid w:val="00881B31"/>
    <w:rsid w:val="00882121"/>
    <w:rsid w:val="00882168"/>
    <w:rsid w:val="008822BD"/>
    <w:rsid w:val="00884B7B"/>
    <w:rsid w:val="0088531A"/>
    <w:rsid w:val="008863A4"/>
    <w:rsid w:val="00886576"/>
    <w:rsid w:val="00886D90"/>
    <w:rsid w:val="00887725"/>
    <w:rsid w:val="008879A2"/>
    <w:rsid w:val="00887C37"/>
    <w:rsid w:val="00890F08"/>
    <w:rsid w:val="0089114D"/>
    <w:rsid w:val="00891B2F"/>
    <w:rsid w:val="00893413"/>
    <w:rsid w:val="00893F33"/>
    <w:rsid w:val="008958EC"/>
    <w:rsid w:val="0089675E"/>
    <w:rsid w:val="008A1FF5"/>
    <w:rsid w:val="008A2E9D"/>
    <w:rsid w:val="008A3368"/>
    <w:rsid w:val="008A551D"/>
    <w:rsid w:val="008A5532"/>
    <w:rsid w:val="008A61BA"/>
    <w:rsid w:val="008A67FC"/>
    <w:rsid w:val="008A78F0"/>
    <w:rsid w:val="008B0F3D"/>
    <w:rsid w:val="008B170E"/>
    <w:rsid w:val="008B248F"/>
    <w:rsid w:val="008B378C"/>
    <w:rsid w:val="008B4F67"/>
    <w:rsid w:val="008B53D9"/>
    <w:rsid w:val="008B64D5"/>
    <w:rsid w:val="008B666F"/>
    <w:rsid w:val="008B7266"/>
    <w:rsid w:val="008B78A9"/>
    <w:rsid w:val="008B7FE2"/>
    <w:rsid w:val="008C01BE"/>
    <w:rsid w:val="008C12F6"/>
    <w:rsid w:val="008C133E"/>
    <w:rsid w:val="008C2625"/>
    <w:rsid w:val="008C385B"/>
    <w:rsid w:val="008C52B6"/>
    <w:rsid w:val="008C721E"/>
    <w:rsid w:val="008D03A1"/>
    <w:rsid w:val="008D1132"/>
    <w:rsid w:val="008D1FAB"/>
    <w:rsid w:val="008D5799"/>
    <w:rsid w:val="008D67EA"/>
    <w:rsid w:val="008D71C5"/>
    <w:rsid w:val="008D7408"/>
    <w:rsid w:val="008D76F6"/>
    <w:rsid w:val="008E1F5D"/>
    <w:rsid w:val="008E25A2"/>
    <w:rsid w:val="008E3BF4"/>
    <w:rsid w:val="008E3E1F"/>
    <w:rsid w:val="008E4383"/>
    <w:rsid w:val="008E4983"/>
    <w:rsid w:val="008E6DF9"/>
    <w:rsid w:val="008F028D"/>
    <w:rsid w:val="008F0315"/>
    <w:rsid w:val="008F04B5"/>
    <w:rsid w:val="008F121C"/>
    <w:rsid w:val="008F12A3"/>
    <w:rsid w:val="008F12D9"/>
    <w:rsid w:val="008F2549"/>
    <w:rsid w:val="008F4930"/>
    <w:rsid w:val="008F57FE"/>
    <w:rsid w:val="008F59C7"/>
    <w:rsid w:val="008F5DFD"/>
    <w:rsid w:val="008F747E"/>
    <w:rsid w:val="009002BD"/>
    <w:rsid w:val="0090104C"/>
    <w:rsid w:val="00901701"/>
    <w:rsid w:val="00901B9A"/>
    <w:rsid w:val="009024E7"/>
    <w:rsid w:val="00902957"/>
    <w:rsid w:val="00903066"/>
    <w:rsid w:val="00904334"/>
    <w:rsid w:val="00905C2E"/>
    <w:rsid w:val="009064CC"/>
    <w:rsid w:val="0090785B"/>
    <w:rsid w:val="0091129C"/>
    <w:rsid w:val="009124F1"/>
    <w:rsid w:val="0091522A"/>
    <w:rsid w:val="00920F45"/>
    <w:rsid w:val="00921964"/>
    <w:rsid w:val="009226D2"/>
    <w:rsid w:val="00922B2F"/>
    <w:rsid w:val="00922BB4"/>
    <w:rsid w:val="00923D46"/>
    <w:rsid w:val="009241C3"/>
    <w:rsid w:val="0092486D"/>
    <w:rsid w:val="00924DB2"/>
    <w:rsid w:val="009254FA"/>
    <w:rsid w:val="00927839"/>
    <w:rsid w:val="009279F7"/>
    <w:rsid w:val="009302B5"/>
    <w:rsid w:val="00933A8C"/>
    <w:rsid w:val="00934107"/>
    <w:rsid w:val="009357A6"/>
    <w:rsid w:val="0093626F"/>
    <w:rsid w:val="00936610"/>
    <w:rsid w:val="0093770E"/>
    <w:rsid w:val="00940968"/>
    <w:rsid w:val="009421C4"/>
    <w:rsid w:val="0094316B"/>
    <w:rsid w:val="00943D71"/>
    <w:rsid w:val="00943DAB"/>
    <w:rsid w:val="009459BF"/>
    <w:rsid w:val="009471DA"/>
    <w:rsid w:val="00947D86"/>
    <w:rsid w:val="00950D6D"/>
    <w:rsid w:val="00952EA7"/>
    <w:rsid w:val="009534A5"/>
    <w:rsid w:val="009537D0"/>
    <w:rsid w:val="00954706"/>
    <w:rsid w:val="0095774B"/>
    <w:rsid w:val="00960CD3"/>
    <w:rsid w:val="009619D3"/>
    <w:rsid w:val="00961C63"/>
    <w:rsid w:val="00962809"/>
    <w:rsid w:val="00964AB0"/>
    <w:rsid w:val="00966553"/>
    <w:rsid w:val="00967925"/>
    <w:rsid w:val="009729E1"/>
    <w:rsid w:val="00974847"/>
    <w:rsid w:val="00975A0E"/>
    <w:rsid w:val="00975E42"/>
    <w:rsid w:val="00976064"/>
    <w:rsid w:val="00976544"/>
    <w:rsid w:val="00977267"/>
    <w:rsid w:val="009776CD"/>
    <w:rsid w:val="00980EA8"/>
    <w:rsid w:val="009814E8"/>
    <w:rsid w:val="009823AA"/>
    <w:rsid w:val="00982591"/>
    <w:rsid w:val="009841B6"/>
    <w:rsid w:val="00984935"/>
    <w:rsid w:val="00984C28"/>
    <w:rsid w:val="009853C3"/>
    <w:rsid w:val="00987240"/>
    <w:rsid w:val="00987E3F"/>
    <w:rsid w:val="00990228"/>
    <w:rsid w:val="00990D52"/>
    <w:rsid w:val="00991623"/>
    <w:rsid w:val="00995CB5"/>
    <w:rsid w:val="00996113"/>
    <w:rsid w:val="009966CB"/>
    <w:rsid w:val="00996DC2"/>
    <w:rsid w:val="00996FB7"/>
    <w:rsid w:val="009974B8"/>
    <w:rsid w:val="009A087B"/>
    <w:rsid w:val="009A1610"/>
    <w:rsid w:val="009A1798"/>
    <w:rsid w:val="009A1D5D"/>
    <w:rsid w:val="009A25F5"/>
    <w:rsid w:val="009A3A85"/>
    <w:rsid w:val="009A4BE2"/>
    <w:rsid w:val="009A5488"/>
    <w:rsid w:val="009A5CD8"/>
    <w:rsid w:val="009A7278"/>
    <w:rsid w:val="009B01A2"/>
    <w:rsid w:val="009B023D"/>
    <w:rsid w:val="009B05D9"/>
    <w:rsid w:val="009B0D19"/>
    <w:rsid w:val="009B1D0D"/>
    <w:rsid w:val="009B2CD5"/>
    <w:rsid w:val="009B3B99"/>
    <w:rsid w:val="009B51BF"/>
    <w:rsid w:val="009B656A"/>
    <w:rsid w:val="009C0EC7"/>
    <w:rsid w:val="009C2593"/>
    <w:rsid w:val="009C41B5"/>
    <w:rsid w:val="009C4744"/>
    <w:rsid w:val="009C5A24"/>
    <w:rsid w:val="009D057C"/>
    <w:rsid w:val="009D1506"/>
    <w:rsid w:val="009D22CD"/>
    <w:rsid w:val="009D27F3"/>
    <w:rsid w:val="009D2D37"/>
    <w:rsid w:val="009D3E7B"/>
    <w:rsid w:val="009D43F3"/>
    <w:rsid w:val="009D5CE0"/>
    <w:rsid w:val="009D687E"/>
    <w:rsid w:val="009D6C31"/>
    <w:rsid w:val="009D747A"/>
    <w:rsid w:val="009E0794"/>
    <w:rsid w:val="009E08A4"/>
    <w:rsid w:val="009E29A9"/>
    <w:rsid w:val="009E35EB"/>
    <w:rsid w:val="009E3651"/>
    <w:rsid w:val="009E4013"/>
    <w:rsid w:val="009E4180"/>
    <w:rsid w:val="009E53D7"/>
    <w:rsid w:val="009E5BD8"/>
    <w:rsid w:val="009E66E7"/>
    <w:rsid w:val="009E6D68"/>
    <w:rsid w:val="009E78D3"/>
    <w:rsid w:val="009F1A8E"/>
    <w:rsid w:val="009F1E69"/>
    <w:rsid w:val="009F2549"/>
    <w:rsid w:val="009F2864"/>
    <w:rsid w:val="009F3781"/>
    <w:rsid w:val="009F3A86"/>
    <w:rsid w:val="009F405E"/>
    <w:rsid w:val="009F4F0D"/>
    <w:rsid w:val="009F5194"/>
    <w:rsid w:val="009F5574"/>
    <w:rsid w:val="009F5AED"/>
    <w:rsid w:val="009F71B7"/>
    <w:rsid w:val="009F73B2"/>
    <w:rsid w:val="009F7510"/>
    <w:rsid w:val="00A00749"/>
    <w:rsid w:val="00A00C71"/>
    <w:rsid w:val="00A049ED"/>
    <w:rsid w:val="00A0549D"/>
    <w:rsid w:val="00A06522"/>
    <w:rsid w:val="00A07548"/>
    <w:rsid w:val="00A07770"/>
    <w:rsid w:val="00A100EA"/>
    <w:rsid w:val="00A1149F"/>
    <w:rsid w:val="00A12998"/>
    <w:rsid w:val="00A13B8A"/>
    <w:rsid w:val="00A13BC5"/>
    <w:rsid w:val="00A13C29"/>
    <w:rsid w:val="00A1430A"/>
    <w:rsid w:val="00A15C1A"/>
    <w:rsid w:val="00A16AD7"/>
    <w:rsid w:val="00A1791B"/>
    <w:rsid w:val="00A20109"/>
    <w:rsid w:val="00A22321"/>
    <w:rsid w:val="00A22E34"/>
    <w:rsid w:val="00A23616"/>
    <w:rsid w:val="00A2385D"/>
    <w:rsid w:val="00A24BC4"/>
    <w:rsid w:val="00A250A1"/>
    <w:rsid w:val="00A262D5"/>
    <w:rsid w:val="00A26497"/>
    <w:rsid w:val="00A27314"/>
    <w:rsid w:val="00A276BA"/>
    <w:rsid w:val="00A27908"/>
    <w:rsid w:val="00A27EC5"/>
    <w:rsid w:val="00A31351"/>
    <w:rsid w:val="00A316EA"/>
    <w:rsid w:val="00A317F1"/>
    <w:rsid w:val="00A31E5F"/>
    <w:rsid w:val="00A31E74"/>
    <w:rsid w:val="00A32056"/>
    <w:rsid w:val="00A3381A"/>
    <w:rsid w:val="00A33850"/>
    <w:rsid w:val="00A34F26"/>
    <w:rsid w:val="00A35B24"/>
    <w:rsid w:val="00A36E89"/>
    <w:rsid w:val="00A3731C"/>
    <w:rsid w:val="00A373B7"/>
    <w:rsid w:val="00A373C3"/>
    <w:rsid w:val="00A37E3B"/>
    <w:rsid w:val="00A40287"/>
    <w:rsid w:val="00A40A1C"/>
    <w:rsid w:val="00A426C1"/>
    <w:rsid w:val="00A434DE"/>
    <w:rsid w:val="00A44EC5"/>
    <w:rsid w:val="00A45339"/>
    <w:rsid w:val="00A463D2"/>
    <w:rsid w:val="00A50445"/>
    <w:rsid w:val="00A5249D"/>
    <w:rsid w:val="00A52A5A"/>
    <w:rsid w:val="00A53D8E"/>
    <w:rsid w:val="00A54149"/>
    <w:rsid w:val="00A54511"/>
    <w:rsid w:val="00A5481D"/>
    <w:rsid w:val="00A5491D"/>
    <w:rsid w:val="00A5533C"/>
    <w:rsid w:val="00A555AA"/>
    <w:rsid w:val="00A5568B"/>
    <w:rsid w:val="00A57318"/>
    <w:rsid w:val="00A6013E"/>
    <w:rsid w:val="00A602D6"/>
    <w:rsid w:val="00A60C47"/>
    <w:rsid w:val="00A61FD2"/>
    <w:rsid w:val="00A629C5"/>
    <w:rsid w:val="00A670EC"/>
    <w:rsid w:val="00A70436"/>
    <w:rsid w:val="00A70AE2"/>
    <w:rsid w:val="00A7127F"/>
    <w:rsid w:val="00A71B43"/>
    <w:rsid w:val="00A71E99"/>
    <w:rsid w:val="00A745CB"/>
    <w:rsid w:val="00A7499B"/>
    <w:rsid w:val="00A75041"/>
    <w:rsid w:val="00A75402"/>
    <w:rsid w:val="00A76D4A"/>
    <w:rsid w:val="00A80B55"/>
    <w:rsid w:val="00A80C00"/>
    <w:rsid w:val="00A81E2B"/>
    <w:rsid w:val="00A831E4"/>
    <w:rsid w:val="00A86892"/>
    <w:rsid w:val="00A90983"/>
    <w:rsid w:val="00A90CE8"/>
    <w:rsid w:val="00A91C5C"/>
    <w:rsid w:val="00A92072"/>
    <w:rsid w:val="00A93AF7"/>
    <w:rsid w:val="00A94203"/>
    <w:rsid w:val="00A962A5"/>
    <w:rsid w:val="00A966AA"/>
    <w:rsid w:val="00A9761D"/>
    <w:rsid w:val="00AA067C"/>
    <w:rsid w:val="00AA1210"/>
    <w:rsid w:val="00AA13A4"/>
    <w:rsid w:val="00AA1CAE"/>
    <w:rsid w:val="00AA35B3"/>
    <w:rsid w:val="00AA5FD3"/>
    <w:rsid w:val="00AA7520"/>
    <w:rsid w:val="00AA7BF4"/>
    <w:rsid w:val="00AB089D"/>
    <w:rsid w:val="00AB0C60"/>
    <w:rsid w:val="00AB1718"/>
    <w:rsid w:val="00AB17B4"/>
    <w:rsid w:val="00AB2C96"/>
    <w:rsid w:val="00AB54F8"/>
    <w:rsid w:val="00AB6053"/>
    <w:rsid w:val="00AC420A"/>
    <w:rsid w:val="00AC5E0D"/>
    <w:rsid w:val="00AC5FE2"/>
    <w:rsid w:val="00AC7106"/>
    <w:rsid w:val="00AC7820"/>
    <w:rsid w:val="00AD33FC"/>
    <w:rsid w:val="00AD42FF"/>
    <w:rsid w:val="00AD5107"/>
    <w:rsid w:val="00AD58D2"/>
    <w:rsid w:val="00AD65EA"/>
    <w:rsid w:val="00AD6719"/>
    <w:rsid w:val="00AD6A15"/>
    <w:rsid w:val="00AD7B23"/>
    <w:rsid w:val="00AE02A1"/>
    <w:rsid w:val="00AE4A07"/>
    <w:rsid w:val="00AE4C39"/>
    <w:rsid w:val="00AE5D60"/>
    <w:rsid w:val="00AE7438"/>
    <w:rsid w:val="00AF1023"/>
    <w:rsid w:val="00AF1766"/>
    <w:rsid w:val="00AF1865"/>
    <w:rsid w:val="00AF27E2"/>
    <w:rsid w:val="00AF34A7"/>
    <w:rsid w:val="00AF4376"/>
    <w:rsid w:val="00AF4AF8"/>
    <w:rsid w:val="00AF4DBF"/>
    <w:rsid w:val="00AF4E44"/>
    <w:rsid w:val="00AF4FBA"/>
    <w:rsid w:val="00AF69BE"/>
    <w:rsid w:val="00B00D06"/>
    <w:rsid w:val="00B01142"/>
    <w:rsid w:val="00B01629"/>
    <w:rsid w:val="00B017F9"/>
    <w:rsid w:val="00B0232F"/>
    <w:rsid w:val="00B02D60"/>
    <w:rsid w:val="00B04A16"/>
    <w:rsid w:val="00B064EF"/>
    <w:rsid w:val="00B10E5D"/>
    <w:rsid w:val="00B10F23"/>
    <w:rsid w:val="00B11893"/>
    <w:rsid w:val="00B11AAD"/>
    <w:rsid w:val="00B12188"/>
    <w:rsid w:val="00B1450D"/>
    <w:rsid w:val="00B15BC7"/>
    <w:rsid w:val="00B168BB"/>
    <w:rsid w:val="00B20C7E"/>
    <w:rsid w:val="00B2270F"/>
    <w:rsid w:val="00B23990"/>
    <w:rsid w:val="00B24495"/>
    <w:rsid w:val="00B254CD"/>
    <w:rsid w:val="00B2626D"/>
    <w:rsid w:val="00B275A8"/>
    <w:rsid w:val="00B30A68"/>
    <w:rsid w:val="00B32380"/>
    <w:rsid w:val="00B33948"/>
    <w:rsid w:val="00B34086"/>
    <w:rsid w:val="00B351EC"/>
    <w:rsid w:val="00B3582D"/>
    <w:rsid w:val="00B40A59"/>
    <w:rsid w:val="00B40AB3"/>
    <w:rsid w:val="00B410A1"/>
    <w:rsid w:val="00B4166A"/>
    <w:rsid w:val="00B41703"/>
    <w:rsid w:val="00B423C6"/>
    <w:rsid w:val="00B44216"/>
    <w:rsid w:val="00B4481F"/>
    <w:rsid w:val="00B44E10"/>
    <w:rsid w:val="00B450D6"/>
    <w:rsid w:val="00B45D1A"/>
    <w:rsid w:val="00B46D3B"/>
    <w:rsid w:val="00B47289"/>
    <w:rsid w:val="00B505DC"/>
    <w:rsid w:val="00B52134"/>
    <w:rsid w:val="00B5230F"/>
    <w:rsid w:val="00B524F2"/>
    <w:rsid w:val="00B527E1"/>
    <w:rsid w:val="00B535EB"/>
    <w:rsid w:val="00B53853"/>
    <w:rsid w:val="00B53901"/>
    <w:rsid w:val="00B53E94"/>
    <w:rsid w:val="00B546C4"/>
    <w:rsid w:val="00B549B3"/>
    <w:rsid w:val="00B55628"/>
    <w:rsid w:val="00B55C95"/>
    <w:rsid w:val="00B60791"/>
    <w:rsid w:val="00B61636"/>
    <w:rsid w:val="00B6171D"/>
    <w:rsid w:val="00B62F23"/>
    <w:rsid w:val="00B62FC7"/>
    <w:rsid w:val="00B6391A"/>
    <w:rsid w:val="00B63C58"/>
    <w:rsid w:val="00B63F3A"/>
    <w:rsid w:val="00B644F6"/>
    <w:rsid w:val="00B6492B"/>
    <w:rsid w:val="00B653AD"/>
    <w:rsid w:val="00B664A3"/>
    <w:rsid w:val="00B71EB2"/>
    <w:rsid w:val="00B72A55"/>
    <w:rsid w:val="00B72D94"/>
    <w:rsid w:val="00B75D5B"/>
    <w:rsid w:val="00B7612D"/>
    <w:rsid w:val="00B80F97"/>
    <w:rsid w:val="00B8105A"/>
    <w:rsid w:val="00B814EF"/>
    <w:rsid w:val="00B822E9"/>
    <w:rsid w:val="00B82F88"/>
    <w:rsid w:val="00B84E49"/>
    <w:rsid w:val="00B8621D"/>
    <w:rsid w:val="00B876AC"/>
    <w:rsid w:val="00B87849"/>
    <w:rsid w:val="00B90B3A"/>
    <w:rsid w:val="00B92DB8"/>
    <w:rsid w:val="00B930A2"/>
    <w:rsid w:val="00B93A47"/>
    <w:rsid w:val="00B93BE2"/>
    <w:rsid w:val="00B93CCC"/>
    <w:rsid w:val="00B94A3D"/>
    <w:rsid w:val="00BA03E5"/>
    <w:rsid w:val="00BA1003"/>
    <w:rsid w:val="00BA2D5B"/>
    <w:rsid w:val="00BA3323"/>
    <w:rsid w:val="00BA4124"/>
    <w:rsid w:val="00BA51AC"/>
    <w:rsid w:val="00BA5802"/>
    <w:rsid w:val="00BA5D6D"/>
    <w:rsid w:val="00BA6D11"/>
    <w:rsid w:val="00BA7015"/>
    <w:rsid w:val="00BB260C"/>
    <w:rsid w:val="00BB36A0"/>
    <w:rsid w:val="00BB4757"/>
    <w:rsid w:val="00BB4EC9"/>
    <w:rsid w:val="00BC18CB"/>
    <w:rsid w:val="00BC2377"/>
    <w:rsid w:val="00BC2DC7"/>
    <w:rsid w:val="00BC30C1"/>
    <w:rsid w:val="00BC35D4"/>
    <w:rsid w:val="00BC3A18"/>
    <w:rsid w:val="00BC4C0E"/>
    <w:rsid w:val="00BC77B8"/>
    <w:rsid w:val="00BD2985"/>
    <w:rsid w:val="00BD2ADF"/>
    <w:rsid w:val="00BD2CBA"/>
    <w:rsid w:val="00BD3499"/>
    <w:rsid w:val="00BD5963"/>
    <w:rsid w:val="00BD7DAA"/>
    <w:rsid w:val="00BE0FEC"/>
    <w:rsid w:val="00BE1E80"/>
    <w:rsid w:val="00BE2274"/>
    <w:rsid w:val="00BE2E6B"/>
    <w:rsid w:val="00BE2F56"/>
    <w:rsid w:val="00BE3290"/>
    <w:rsid w:val="00BE49E5"/>
    <w:rsid w:val="00BE5184"/>
    <w:rsid w:val="00BE674D"/>
    <w:rsid w:val="00BE679D"/>
    <w:rsid w:val="00BE6B10"/>
    <w:rsid w:val="00BE7093"/>
    <w:rsid w:val="00BE7EBA"/>
    <w:rsid w:val="00BF0EA5"/>
    <w:rsid w:val="00BF0F66"/>
    <w:rsid w:val="00BF1DFC"/>
    <w:rsid w:val="00BF32F7"/>
    <w:rsid w:val="00BF417A"/>
    <w:rsid w:val="00BF4F9C"/>
    <w:rsid w:val="00BF5DA2"/>
    <w:rsid w:val="00BF67D3"/>
    <w:rsid w:val="00BF7F27"/>
    <w:rsid w:val="00C01ABB"/>
    <w:rsid w:val="00C01D97"/>
    <w:rsid w:val="00C031AC"/>
    <w:rsid w:val="00C03EE0"/>
    <w:rsid w:val="00C03F26"/>
    <w:rsid w:val="00C03F72"/>
    <w:rsid w:val="00C04493"/>
    <w:rsid w:val="00C0541F"/>
    <w:rsid w:val="00C06311"/>
    <w:rsid w:val="00C0691D"/>
    <w:rsid w:val="00C11368"/>
    <w:rsid w:val="00C124DA"/>
    <w:rsid w:val="00C12A81"/>
    <w:rsid w:val="00C14E08"/>
    <w:rsid w:val="00C14EA0"/>
    <w:rsid w:val="00C159AA"/>
    <w:rsid w:val="00C1664A"/>
    <w:rsid w:val="00C16B74"/>
    <w:rsid w:val="00C16C6C"/>
    <w:rsid w:val="00C1709A"/>
    <w:rsid w:val="00C215B9"/>
    <w:rsid w:val="00C23473"/>
    <w:rsid w:val="00C27AD6"/>
    <w:rsid w:val="00C27D8A"/>
    <w:rsid w:val="00C306EF"/>
    <w:rsid w:val="00C30C28"/>
    <w:rsid w:val="00C322F5"/>
    <w:rsid w:val="00C33300"/>
    <w:rsid w:val="00C33A12"/>
    <w:rsid w:val="00C343D5"/>
    <w:rsid w:val="00C348DF"/>
    <w:rsid w:val="00C34A9D"/>
    <w:rsid w:val="00C35E13"/>
    <w:rsid w:val="00C36052"/>
    <w:rsid w:val="00C368EB"/>
    <w:rsid w:val="00C370F8"/>
    <w:rsid w:val="00C4092E"/>
    <w:rsid w:val="00C42200"/>
    <w:rsid w:val="00C42D72"/>
    <w:rsid w:val="00C43277"/>
    <w:rsid w:val="00C43441"/>
    <w:rsid w:val="00C44608"/>
    <w:rsid w:val="00C47E47"/>
    <w:rsid w:val="00C51C4E"/>
    <w:rsid w:val="00C520DC"/>
    <w:rsid w:val="00C523F6"/>
    <w:rsid w:val="00C5378A"/>
    <w:rsid w:val="00C5394B"/>
    <w:rsid w:val="00C549B6"/>
    <w:rsid w:val="00C55D57"/>
    <w:rsid w:val="00C55F33"/>
    <w:rsid w:val="00C568F9"/>
    <w:rsid w:val="00C56AE7"/>
    <w:rsid w:val="00C57B5A"/>
    <w:rsid w:val="00C60CCA"/>
    <w:rsid w:val="00C626B7"/>
    <w:rsid w:val="00C636DE"/>
    <w:rsid w:val="00C64DF4"/>
    <w:rsid w:val="00C66F1A"/>
    <w:rsid w:val="00C701BF"/>
    <w:rsid w:val="00C713DE"/>
    <w:rsid w:val="00C71B07"/>
    <w:rsid w:val="00C736D7"/>
    <w:rsid w:val="00C736E2"/>
    <w:rsid w:val="00C745F3"/>
    <w:rsid w:val="00C748A4"/>
    <w:rsid w:val="00C74D70"/>
    <w:rsid w:val="00C80679"/>
    <w:rsid w:val="00C8219F"/>
    <w:rsid w:val="00C821DF"/>
    <w:rsid w:val="00C82DC3"/>
    <w:rsid w:val="00C831D5"/>
    <w:rsid w:val="00C83C15"/>
    <w:rsid w:val="00C84163"/>
    <w:rsid w:val="00C848A1"/>
    <w:rsid w:val="00C84EBC"/>
    <w:rsid w:val="00C8641A"/>
    <w:rsid w:val="00C87266"/>
    <w:rsid w:val="00C87731"/>
    <w:rsid w:val="00C9064A"/>
    <w:rsid w:val="00C906E4"/>
    <w:rsid w:val="00C92853"/>
    <w:rsid w:val="00C92E7D"/>
    <w:rsid w:val="00C92F9D"/>
    <w:rsid w:val="00C946A2"/>
    <w:rsid w:val="00C94927"/>
    <w:rsid w:val="00C969A9"/>
    <w:rsid w:val="00C96A20"/>
    <w:rsid w:val="00C97062"/>
    <w:rsid w:val="00C97147"/>
    <w:rsid w:val="00CA134D"/>
    <w:rsid w:val="00CA20B7"/>
    <w:rsid w:val="00CA3F40"/>
    <w:rsid w:val="00CA42E7"/>
    <w:rsid w:val="00CA4735"/>
    <w:rsid w:val="00CA4EB0"/>
    <w:rsid w:val="00CA60AE"/>
    <w:rsid w:val="00CA62DB"/>
    <w:rsid w:val="00CA65AA"/>
    <w:rsid w:val="00CA6693"/>
    <w:rsid w:val="00CB05DA"/>
    <w:rsid w:val="00CB0B20"/>
    <w:rsid w:val="00CB17DD"/>
    <w:rsid w:val="00CB2F11"/>
    <w:rsid w:val="00CB495F"/>
    <w:rsid w:val="00CB62DD"/>
    <w:rsid w:val="00CB76FF"/>
    <w:rsid w:val="00CC01DE"/>
    <w:rsid w:val="00CC146D"/>
    <w:rsid w:val="00CC2540"/>
    <w:rsid w:val="00CC364C"/>
    <w:rsid w:val="00CC42F9"/>
    <w:rsid w:val="00CC4EA9"/>
    <w:rsid w:val="00CC4F74"/>
    <w:rsid w:val="00CC4FCE"/>
    <w:rsid w:val="00CC5607"/>
    <w:rsid w:val="00CC5FE3"/>
    <w:rsid w:val="00CC655B"/>
    <w:rsid w:val="00CC6A9C"/>
    <w:rsid w:val="00CD0B0B"/>
    <w:rsid w:val="00CD129E"/>
    <w:rsid w:val="00CD42D2"/>
    <w:rsid w:val="00CD604A"/>
    <w:rsid w:val="00CD7228"/>
    <w:rsid w:val="00CE10CD"/>
    <w:rsid w:val="00CE370D"/>
    <w:rsid w:val="00CE4579"/>
    <w:rsid w:val="00CE4E8F"/>
    <w:rsid w:val="00CE5582"/>
    <w:rsid w:val="00CE5AC0"/>
    <w:rsid w:val="00CE7565"/>
    <w:rsid w:val="00CF125B"/>
    <w:rsid w:val="00CF1B47"/>
    <w:rsid w:val="00CF2994"/>
    <w:rsid w:val="00CF2CB7"/>
    <w:rsid w:val="00CF6D9F"/>
    <w:rsid w:val="00CF71A7"/>
    <w:rsid w:val="00CF7827"/>
    <w:rsid w:val="00CF7E64"/>
    <w:rsid w:val="00D01DA0"/>
    <w:rsid w:val="00D020D0"/>
    <w:rsid w:val="00D02C71"/>
    <w:rsid w:val="00D02EAC"/>
    <w:rsid w:val="00D04219"/>
    <w:rsid w:val="00D043DA"/>
    <w:rsid w:val="00D04929"/>
    <w:rsid w:val="00D05A60"/>
    <w:rsid w:val="00D05EEA"/>
    <w:rsid w:val="00D06477"/>
    <w:rsid w:val="00D0659B"/>
    <w:rsid w:val="00D06B29"/>
    <w:rsid w:val="00D06DE5"/>
    <w:rsid w:val="00D07B6B"/>
    <w:rsid w:val="00D07DF9"/>
    <w:rsid w:val="00D10BC0"/>
    <w:rsid w:val="00D114F2"/>
    <w:rsid w:val="00D11729"/>
    <w:rsid w:val="00D11E19"/>
    <w:rsid w:val="00D11F32"/>
    <w:rsid w:val="00D11FD4"/>
    <w:rsid w:val="00D12EB8"/>
    <w:rsid w:val="00D1342B"/>
    <w:rsid w:val="00D13F32"/>
    <w:rsid w:val="00D14040"/>
    <w:rsid w:val="00D16AB8"/>
    <w:rsid w:val="00D16FCF"/>
    <w:rsid w:val="00D1720F"/>
    <w:rsid w:val="00D207B7"/>
    <w:rsid w:val="00D2245E"/>
    <w:rsid w:val="00D22928"/>
    <w:rsid w:val="00D22D67"/>
    <w:rsid w:val="00D24495"/>
    <w:rsid w:val="00D2524A"/>
    <w:rsid w:val="00D26DC9"/>
    <w:rsid w:val="00D27553"/>
    <w:rsid w:val="00D27A43"/>
    <w:rsid w:val="00D325B8"/>
    <w:rsid w:val="00D329D4"/>
    <w:rsid w:val="00D32DF3"/>
    <w:rsid w:val="00D32F46"/>
    <w:rsid w:val="00D33055"/>
    <w:rsid w:val="00D333BB"/>
    <w:rsid w:val="00D35488"/>
    <w:rsid w:val="00D354D6"/>
    <w:rsid w:val="00D355A3"/>
    <w:rsid w:val="00D35EA0"/>
    <w:rsid w:val="00D36C85"/>
    <w:rsid w:val="00D370BD"/>
    <w:rsid w:val="00D373C5"/>
    <w:rsid w:val="00D3781C"/>
    <w:rsid w:val="00D37991"/>
    <w:rsid w:val="00D40821"/>
    <w:rsid w:val="00D42A9A"/>
    <w:rsid w:val="00D445BC"/>
    <w:rsid w:val="00D45A11"/>
    <w:rsid w:val="00D45F13"/>
    <w:rsid w:val="00D46CA3"/>
    <w:rsid w:val="00D47F7F"/>
    <w:rsid w:val="00D500E7"/>
    <w:rsid w:val="00D514FF"/>
    <w:rsid w:val="00D533A6"/>
    <w:rsid w:val="00D53AB3"/>
    <w:rsid w:val="00D53D99"/>
    <w:rsid w:val="00D53D9D"/>
    <w:rsid w:val="00D545DC"/>
    <w:rsid w:val="00D55AF2"/>
    <w:rsid w:val="00D55F11"/>
    <w:rsid w:val="00D564B6"/>
    <w:rsid w:val="00D56DFB"/>
    <w:rsid w:val="00D57434"/>
    <w:rsid w:val="00D60806"/>
    <w:rsid w:val="00D60BCD"/>
    <w:rsid w:val="00D617F5"/>
    <w:rsid w:val="00D6257C"/>
    <w:rsid w:val="00D6280A"/>
    <w:rsid w:val="00D63764"/>
    <w:rsid w:val="00D64890"/>
    <w:rsid w:val="00D65096"/>
    <w:rsid w:val="00D67359"/>
    <w:rsid w:val="00D70D98"/>
    <w:rsid w:val="00D71EFA"/>
    <w:rsid w:val="00D720BD"/>
    <w:rsid w:val="00D72DB3"/>
    <w:rsid w:val="00D73E41"/>
    <w:rsid w:val="00D740D0"/>
    <w:rsid w:val="00D758D9"/>
    <w:rsid w:val="00D77A3F"/>
    <w:rsid w:val="00D80587"/>
    <w:rsid w:val="00D8107E"/>
    <w:rsid w:val="00D825CF"/>
    <w:rsid w:val="00D83A0B"/>
    <w:rsid w:val="00D8418B"/>
    <w:rsid w:val="00D84466"/>
    <w:rsid w:val="00D85BD6"/>
    <w:rsid w:val="00D86DC5"/>
    <w:rsid w:val="00D90CD4"/>
    <w:rsid w:val="00D91E9F"/>
    <w:rsid w:val="00D96520"/>
    <w:rsid w:val="00DA1ACC"/>
    <w:rsid w:val="00DA2BA3"/>
    <w:rsid w:val="00DA36A2"/>
    <w:rsid w:val="00DA4310"/>
    <w:rsid w:val="00DA44DB"/>
    <w:rsid w:val="00DA4C2A"/>
    <w:rsid w:val="00DA627D"/>
    <w:rsid w:val="00DA6ABD"/>
    <w:rsid w:val="00DA715D"/>
    <w:rsid w:val="00DA7D92"/>
    <w:rsid w:val="00DB08EE"/>
    <w:rsid w:val="00DB2BC1"/>
    <w:rsid w:val="00DB45B4"/>
    <w:rsid w:val="00DB4701"/>
    <w:rsid w:val="00DC2D59"/>
    <w:rsid w:val="00DC4E19"/>
    <w:rsid w:val="00DC61B0"/>
    <w:rsid w:val="00DC6440"/>
    <w:rsid w:val="00DD0DCF"/>
    <w:rsid w:val="00DD14F8"/>
    <w:rsid w:val="00DD175B"/>
    <w:rsid w:val="00DD2011"/>
    <w:rsid w:val="00DD29EE"/>
    <w:rsid w:val="00DD38C9"/>
    <w:rsid w:val="00DD3BBB"/>
    <w:rsid w:val="00DD3C7A"/>
    <w:rsid w:val="00DD4BF0"/>
    <w:rsid w:val="00DD4C47"/>
    <w:rsid w:val="00DD6B81"/>
    <w:rsid w:val="00DD7043"/>
    <w:rsid w:val="00DD790C"/>
    <w:rsid w:val="00DE0B6C"/>
    <w:rsid w:val="00DE173E"/>
    <w:rsid w:val="00DE18B1"/>
    <w:rsid w:val="00DE465A"/>
    <w:rsid w:val="00DE5670"/>
    <w:rsid w:val="00DE56E0"/>
    <w:rsid w:val="00DE5CD6"/>
    <w:rsid w:val="00DE5E49"/>
    <w:rsid w:val="00DE6318"/>
    <w:rsid w:val="00DE63E3"/>
    <w:rsid w:val="00DE7809"/>
    <w:rsid w:val="00DF0DE7"/>
    <w:rsid w:val="00DF100A"/>
    <w:rsid w:val="00DF25E1"/>
    <w:rsid w:val="00DF2730"/>
    <w:rsid w:val="00DF48EB"/>
    <w:rsid w:val="00DF4C0F"/>
    <w:rsid w:val="00DF4D34"/>
    <w:rsid w:val="00E00AAB"/>
    <w:rsid w:val="00E00E3D"/>
    <w:rsid w:val="00E02018"/>
    <w:rsid w:val="00E0374A"/>
    <w:rsid w:val="00E03E49"/>
    <w:rsid w:val="00E04E50"/>
    <w:rsid w:val="00E0511B"/>
    <w:rsid w:val="00E062F2"/>
    <w:rsid w:val="00E1036C"/>
    <w:rsid w:val="00E1121D"/>
    <w:rsid w:val="00E11E3D"/>
    <w:rsid w:val="00E142B5"/>
    <w:rsid w:val="00E14354"/>
    <w:rsid w:val="00E153A9"/>
    <w:rsid w:val="00E15449"/>
    <w:rsid w:val="00E15656"/>
    <w:rsid w:val="00E16644"/>
    <w:rsid w:val="00E17B85"/>
    <w:rsid w:val="00E2080C"/>
    <w:rsid w:val="00E214E8"/>
    <w:rsid w:val="00E21DB5"/>
    <w:rsid w:val="00E2281C"/>
    <w:rsid w:val="00E2293A"/>
    <w:rsid w:val="00E22981"/>
    <w:rsid w:val="00E238CB"/>
    <w:rsid w:val="00E243B4"/>
    <w:rsid w:val="00E2450C"/>
    <w:rsid w:val="00E24A9C"/>
    <w:rsid w:val="00E2515C"/>
    <w:rsid w:val="00E25DEF"/>
    <w:rsid w:val="00E25EF9"/>
    <w:rsid w:val="00E260E2"/>
    <w:rsid w:val="00E2646B"/>
    <w:rsid w:val="00E26509"/>
    <w:rsid w:val="00E26B88"/>
    <w:rsid w:val="00E26D56"/>
    <w:rsid w:val="00E27E04"/>
    <w:rsid w:val="00E30A80"/>
    <w:rsid w:val="00E312FC"/>
    <w:rsid w:val="00E35452"/>
    <w:rsid w:val="00E35FCB"/>
    <w:rsid w:val="00E36EA7"/>
    <w:rsid w:val="00E406C7"/>
    <w:rsid w:val="00E40BBC"/>
    <w:rsid w:val="00E41531"/>
    <w:rsid w:val="00E41901"/>
    <w:rsid w:val="00E42BBC"/>
    <w:rsid w:val="00E43164"/>
    <w:rsid w:val="00E43CCF"/>
    <w:rsid w:val="00E44AF8"/>
    <w:rsid w:val="00E44E81"/>
    <w:rsid w:val="00E45C67"/>
    <w:rsid w:val="00E46B90"/>
    <w:rsid w:val="00E53096"/>
    <w:rsid w:val="00E537C8"/>
    <w:rsid w:val="00E53D73"/>
    <w:rsid w:val="00E55663"/>
    <w:rsid w:val="00E56925"/>
    <w:rsid w:val="00E6009D"/>
    <w:rsid w:val="00E60346"/>
    <w:rsid w:val="00E6142B"/>
    <w:rsid w:val="00E62B42"/>
    <w:rsid w:val="00E636A0"/>
    <w:rsid w:val="00E63D08"/>
    <w:rsid w:val="00E63E69"/>
    <w:rsid w:val="00E64513"/>
    <w:rsid w:val="00E6481F"/>
    <w:rsid w:val="00E64F51"/>
    <w:rsid w:val="00E651CD"/>
    <w:rsid w:val="00E6521B"/>
    <w:rsid w:val="00E6724B"/>
    <w:rsid w:val="00E67443"/>
    <w:rsid w:val="00E70308"/>
    <w:rsid w:val="00E7100F"/>
    <w:rsid w:val="00E72465"/>
    <w:rsid w:val="00E726AD"/>
    <w:rsid w:val="00E72A18"/>
    <w:rsid w:val="00E72F08"/>
    <w:rsid w:val="00E7327A"/>
    <w:rsid w:val="00E73923"/>
    <w:rsid w:val="00E74AEA"/>
    <w:rsid w:val="00E74F72"/>
    <w:rsid w:val="00E7527B"/>
    <w:rsid w:val="00E769F8"/>
    <w:rsid w:val="00E774D9"/>
    <w:rsid w:val="00E81AEA"/>
    <w:rsid w:val="00E82BE6"/>
    <w:rsid w:val="00E83A49"/>
    <w:rsid w:val="00E83D3C"/>
    <w:rsid w:val="00E9259D"/>
    <w:rsid w:val="00E935B9"/>
    <w:rsid w:val="00E944E5"/>
    <w:rsid w:val="00E946F0"/>
    <w:rsid w:val="00E94862"/>
    <w:rsid w:val="00E95CBC"/>
    <w:rsid w:val="00EA0460"/>
    <w:rsid w:val="00EA0778"/>
    <w:rsid w:val="00EA1815"/>
    <w:rsid w:val="00EA1D91"/>
    <w:rsid w:val="00EA38A7"/>
    <w:rsid w:val="00EA6486"/>
    <w:rsid w:val="00EA6B66"/>
    <w:rsid w:val="00EA770B"/>
    <w:rsid w:val="00EA7C1A"/>
    <w:rsid w:val="00EB0649"/>
    <w:rsid w:val="00EB0B28"/>
    <w:rsid w:val="00EB1CBD"/>
    <w:rsid w:val="00EB1F18"/>
    <w:rsid w:val="00EB2FEF"/>
    <w:rsid w:val="00EB4165"/>
    <w:rsid w:val="00EB4603"/>
    <w:rsid w:val="00EB6A94"/>
    <w:rsid w:val="00EB72A2"/>
    <w:rsid w:val="00EB77ED"/>
    <w:rsid w:val="00EC0298"/>
    <w:rsid w:val="00EC1D95"/>
    <w:rsid w:val="00EC4402"/>
    <w:rsid w:val="00EC5204"/>
    <w:rsid w:val="00EC5472"/>
    <w:rsid w:val="00EC641C"/>
    <w:rsid w:val="00EC6F86"/>
    <w:rsid w:val="00EC70FC"/>
    <w:rsid w:val="00EC719F"/>
    <w:rsid w:val="00ED17BC"/>
    <w:rsid w:val="00ED255F"/>
    <w:rsid w:val="00ED25C6"/>
    <w:rsid w:val="00ED5AC1"/>
    <w:rsid w:val="00ED6259"/>
    <w:rsid w:val="00ED643E"/>
    <w:rsid w:val="00ED6EA2"/>
    <w:rsid w:val="00EE0A6E"/>
    <w:rsid w:val="00EE2695"/>
    <w:rsid w:val="00EE2C7A"/>
    <w:rsid w:val="00EE2D96"/>
    <w:rsid w:val="00EE3E6A"/>
    <w:rsid w:val="00EE4A4E"/>
    <w:rsid w:val="00EE5587"/>
    <w:rsid w:val="00EE6BDC"/>
    <w:rsid w:val="00EF2F0A"/>
    <w:rsid w:val="00EF430E"/>
    <w:rsid w:val="00EF5245"/>
    <w:rsid w:val="00EF56D0"/>
    <w:rsid w:val="00EF5E48"/>
    <w:rsid w:val="00EF5FEA"/>
    <w:rsid w:val="00EF6DDC"/>
    <w:rsid w:val="00EF6E97"/>
    <w:rsid w:val="00EF741F"/>
    <w:rsid w:val="00F0091C"/>
    <w:rsid w:val="00F01876"/>
    <w:rsid w:val="00F018D7"/>
    <w:rsid w:val="00F018D9"/>
    <w:rsid w:val="00F01D82"/>
    <w:rsid w:val="00F0365D"/>
    <w:rsid w:val="00F0398B"/>
    <w:rsid w:val="00F03BC2"/>
    <w:rsid w:val="00F04250"/>
    <w:rsid w:val="00F04F32"/>
    <w:rsid w:val="00F04FBF"/>
    <w:rsid w:val="00F055E6"/>
    <w:rsid w:val="00F0756B"/>
    <w:rsid w:val="00F075D1"/>
    <w:rsid w:val="00F100AA"/>
    <w:rsid w:val="00F10BEF"/>
    <w:rsid w:val="00F11290"/>
    <w:rsid w:val="00F14053"/>
    <w:rsid w:val="00F16D6D"/>
    <w:rsid w:val="00F16F72"/>
    <w:rsid w:val="00F16FA2"/>
    <w:rsid w:val="00F1754C"/>
    <w:rsid w:val="00F21BD4"/>
    <w:rsid w:val="00F230D5"/>
    <w:rsid w:val="00F2313F"/>
    <w:rsid w:val="00F237D4"/>
    <w:rsid w:val="00F25E48"/>
    <w:rsid w:val="00F27D12"/>
    <w:rsid w:val="00F30429"/>
    <w:rsid w:val="00F30A5B"/>
    <w:rsid w:val="00F32502"/>
    <w:rsid w:val="00F32E43"/>
    <w:rsid w:val="00F331E3"/>
    <w:rsid w:val="00F33480"/>
    <w:rsid w:val="00F33632"/>
    <w:rsid w:val="00F368F9"/>
    <w:rsid w:val="00F3729D"/>
    <w:rsid w:val="00F3742D"/>
    <w:rsid w:val="00F3796A"/>
    <w:rsid w:val="00F37C3B"/>
    <w:rsid w:val="00F37E06"/>
    <w:rsid w:val="00F406B7"/>
    <w:rsid w:val="00F4120B"/>
    <w:rsid w:val="00F41A16"/>
    <w:rsid w:val="00F42046"/>
    <w:rsid w:val="00F42B56"/>
    <w:rsid w:val="00F43134"/>
    <w:rsid w:val="00F43CAE"/>
    <w:rsid w:val="00F444B7"/>
    <w:rsid w:val="00F44896"/>
    <w:rsid w:val="00F459A2"/>
    <w:rsid w:val="00F4657B"/>
    <w:rsid w:val="00F465B3"/>
    <w:rsid w:val="00F467E4"/>
    <w:rsid w:val="00F4755F"/>
    <w:rsid w:val="00F47B49"/>
    <w:rsid w:val="00F500EB"/>
    <w:rsid w:val="00F50317"/>
    <w:rsid w:val="00F50532"/>
    <w:rsid w:val="00F51817"/>
    <w:rsid w:val="00F53B29"/>
    <w:rsid w:val="00F53D7E"/>
    <w:rsid w:val="00F53E3D"/>
    <w:rsid w:val="00F53EF7"/>
    <w:rsid w:val="00F540C3"/>
    <w:rsid w:val="00F5460F"/>
    <w:rsid w:val="00F56456"/>
    <w:rsid w:val="00F575B2"/>
    <w:rsid w:val="00F57F26"/>
    <w:rsid w:val="00F60088"/>
    <w:rsid w:val="00F6331E"/>
    <w:rsid w:val="00F653D1"/>
    <w:rsid w:val="00F65AF2"/>
    <w:rsid w:val="00F65D84"/>
    <w:rsid w:val="00F6611E"/>
    <w:rsid w:val="00F66DD0"/>
    <w:rsid w:val="00F67791"/>
    <w:rsid w:val="00F67B40"/>
    <w:rsid w:val="00F67DB2"/>
    <w:rsid w:val="00F717B7"/>
    <w:rsid w:val="00F719E2"/>
    <w:rsid w:val="00F737A0"/>
    <w:rsid w:val="00F749B9"/>
    <w:rsid w:val="00F74FAA"/>
    <w:rsid w:val="00F750B7"/>
    <w:rsid w:val="00F75237"/>
    <w:rsid w:val="00F75E70"/>
    <w:rsid w:val="00F76232"/>
    <w:rsid w:val="00F77277"/>
    <w:rsid w:val="00F77D05"/>
    <w:rsid w:val="00F80BE1"/>
    <w:rsid w:val="00F80DCE"/>
    <w:rsid w:val="00F81E94"/>
    <w:rsid w:val="00F83DF7"/>
    <w:rsid w:val="00F84910"/>
    <w:rsid w:val="00F85D0C"/>
    <w:rsid w:val="00F8622B"/>
    <w:rsid w:val="00F8650A"/>
    <w:rsid w:val="00F87686"/>
    <w:rsid w:val="00F8771F"/>
    <w:rsid w:val="00F903A6"/>
    <w:rsid w:val="00F90EBD"/>
    <w:rsid w:val="00F91BB0"/>
    <w:rsid w:val="00F91C44"/>
    <w:rsid w:val="00F934BB"/>
    <w:rsid w:val="00F93D38"/>
    <w:rsid w:val="00F95298"/>
    <w:rsid w:val="00F964AA"/>
    <w:rsid w:val="00F9745D"/>
    <w:rsid w:val="00FA1660"/>
    <w:rsid w:val="00FA26E4"/>
    <w:rsid w:val="00FA2F83"/>
    <w:rsid w:val="00FA4140"/>
    <w:rsid w:val="00FA4701"/>
    <w:rsid w:val="00FA5638"/>
    <w:rsid w:val="00FA60BB"/>
    <w:rsid w:val="00FA6E1A"/>
    <w:rsid w:val="00FA7071"/>
    <w:rsid w:val="00FB029D"/>
    <w:rsid w:val="00FB0F7C"/>
    <w:rsid w:val="00FB1728"/>
    <w:rsid w:val="00FB1EF5"/>
    <w:rsid w:val="00FB2F4A"/>
    <w:rsid w:val="00FB3093"/>
    <w:rsid w:val="00FB41E4"/>
    <w:rsid w:val="00FB4900"/>
    <w:rsid w:val="00FB5508"/>
    <w:rsid w:val="00FB5D70"/>
    <w:rsid w:val="00FB650D"/>
    <w:rsid w:val="00FB68BB"/>
    <w:rsid w:val="00FB7205"/>
    <w:rsid w:val="00FC07BE"/>
    <w:rsid w:val="00FC07DA"/>
    <w:rsid w:val="00FC0BAF"/>
    <w:rsid w:val="00FC0CAF"/>
    <w:rsid w:val="00FC0DF6"/>
    <w:rsid w:val="00FC102A"/>
    <w:rsid w:val="00FC18B4"/>
    <w:rsid w:val="00FC1D2F"/>
    <w:rsid w:val="00FC3713"/>
    <w:rsid w:val="00FC6EE9"/>
    <w:rsid w:val="00FC7404"/>
    <w:rsid w:val="00FC7944"/>
    <w:rsid w:val="00FC7EF7"/>
    <w:rsid w:val="00FD0EA5"/>
    <w:rsid w:val="00FD231D"/>
    <w:rsid w:val="00FD2394"/>
    <w:rsid w:val="00FD2B90"/>
    <w:rsid w:val="00FD5A1F"/>
    <w:rsid w:val="00FE0558"/>
    <w:rsid w:val="00FE067D"/>
    <w:rsid w:val="00FE192E"/>
    <w:rsid w:val="00FE283D"/>
    <w:rsid w:val="00FE2BA5"/>
    <w:rsid w:val="00FE3930"/>
    <w:rsid w:val="00FE4587"/>
    <w:rsid w:val="00FE5667"/>
    <w:rsid w:val="00FE682C"/>
    <w:rsid w:val="00FE7658"/>
    <w:rsid w:val="00FF0062"/>
    <w:rsid w:val="00FF0C8B"/>
    <w:rsid w:val="00FF2E5F"/>
    <w:rsid w:val="00FF2FC6"/>
    <w:rsid w:val="00FF3105"/>
    <w:rsid w:val="00FF3B0B"/>
    <w:rsid w:val="00FF451B"/>
    <w:rsid w:val="00FF6792"/>
    <w:rsid w:val="00FF71EF"/>
    <w:rsid w:val="00FF7EA5"/>
    <w:rsid w:val="05D80B14"/>
    <w:rsid w:val="08D66996"/>
    <w:rsid w:val="096CC448"/>
    <w:rsid w:val="14E8465C"/>
    <w:rsid w:val="1A5CA2D8"/>
    <w:rsid w:val="24BF3716"/>
    <w:rsid w:val="29737FBB"/>
    <w:rsid w:val="3C69CC66"/>
    <w:rsid w:val="409AF603"/>
    <w:rsid w:val="520D1AC3"/>
    <w:rsid w:val="581844E6"/>
    <w:rsid w:val="5BD4DE0B"/>
    <w:rsid w:val="651F082A"/>
    <w:rsid w:val="674BA16B"/>
    <w:rsid w:val="69A893E2"/>
    <w:rsid w:val="6B47F44D"/>
    <w:rsid w:val="6BF366FF"/>
    <w:rsid w:val="7290C1A6"/>
    <w:rsid w:val="7E8F83FC"/>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09A24C"/>
  <w15:chartTrackingRefBased/>
  <w15:docId w15:val="{24A2904C-5D0E-4117-ACE6-DAA3CD188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lv" w:eastAsia="en-IE"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F11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11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11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11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F11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F11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F11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F11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F11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1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11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11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F11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F11B9"/>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F11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5F11B9"/>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5F11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5F11B9"/>
    <w:rPr>
      <w:rFonts w:eastAsiaTheme="majorEastAsia" w:cstheme="majorBidi"/>
      <w:color w:val="272727" w:themeColor="text1" w:themeTint="D8"/>
    </w:rPr>
  </w:style>
  <w:style w:type="paragraph" w:styleId="Title">
    <w:name w:val="Title"/>
    <w:basedOn w:val="Normal"/>
    <w:next w:val="Normal"/>
    <w:link w:val="TitleChar"/>
    <w:uiPriority w:val="10"/>
    <w:qFormat/>
    <w:rsid w:val="005F11B9"/>
    <w:pPr>
      <w:spacing w:after="80"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rsid w:val="005F11B9"/>
    <w:rPr>
      <w:rFonts w:asciiTheme="majorHAnsi" w:eastAsiaTheme="majorEastAsia" w:hAnsiTheme="majorHAnsi" w:cstheme="majorBidi"/>
      <w:kern w:val="28"/>
      <w:sz w:val="56"/>
      <w:szCs w:val="56"/>
    </w:rPr>
  </w:style>
  <w:style w:type="paragraph" w:styleId="Subtitle">
    <w:name w:val="Subtitle"/>
    <w:basedOn w:val="Normal"/>
    <w:next w:val="Normal"/>
    <w:link w:val="SubtitleChar"/>
    <w:uiPriority w:val="11"/>
    <w:qFormat/>
    <w:rsid w:val="005F11B9"/>
    <w:pPr>
      <w:numPr>
        <w:ilvl w:val="1"/>
      </w:numPr>
    </w:pPr>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5F11B9"/>
    <w:rPr>
      <w:rFonts w:eastAsiaTheme="majorEastAsia" w:cstheme="majorBidi"/>
      <w:color w:val="595959" w:themeColor="text1" w:themeTint="A6"/>
      <w:sz w:val="28"/>
      <w:szCs w:val="28"/>
    </w:rPr>
  </w:style>
  <w:style w:type="paragraph" w:styleId="Quote">
    <w:name w:val="Quote"/>
    <w:basedOn w:val="Normal"/>
    <w:next w:val="Normal"/>
    <w:link w:val="QuoteChar"/>
    <w:uiPriority w:val="29"/>
    <w:qFormat/>
    <w:rsid w:val="005F11B9"/>
    <w:pPr>
      <w:spacing w:before="160"/>
      <w:jc w:val="center"/>
    </w:pPr>
    <w:rPr>
      <w:i/>
      <w:iCs/>
      <w:color w:val="404040" w:themeColor="text1" w:themeTint="BF"/>
    </w:rPr>
  </w:style>
  <w:style w:type="character" w:customStyle="1" w:styleId="QuoteChar">
    <w:name w:val="Quote Char"/>
    <w:basedOn w:val="DefaultParagraphFont"/>
    <w:link w:val="Quote"/>
    <w:uiPriority w:val="29"/>
    <w:rsid w:val="005F11B9"/>
    <w:rPr>
      <w:i/>
      <w:iCs/>
      <w:color w:val="404040" w:themeColor="text1" w:themeTint="BF"/>
    </w:rPr>
  </w:style>
  <w:style w:type="paragraph" w:styleId="ListParagraph">
    <w:name w:val="List Paragraph"/>
    <w:aliases w:val="numbered list,2,OBC Bullet,Normal 1,Task Body,Viñetas (Inicio Parrafo),3 Txt tabla,Zerrenda-paragrafoa,Fiche List Paragraph,Dot pt,F5 List Paragraph,List Paragraph1,No Spacing1,List Paragraph Char Char Char,Indicator Text,Bullets,L,EC"/>
    <w:basedOn w:val="Normal"/>
    <w:link w:val="ListParagraphChar"/>
    <w:uiPriority w:val="34"/>
    <w:qFormat/>
    <w:rsid w:val="005F11B9"/>
    <w:pPr>
      <w:ind w:left="720"/>
      <w:contextualSpacing/>
    </w:pPr>
  </w:style>
  <w:style w:type="character" w:styleId="IntenseEmphasis">
    <w:name w:val="Intense Emphasis"/>
    <w:basedOn w:val="DefaultParagraphFont"/>
    <w:uiPriority w:val="21"/>
    <w:qFormat/>
    <w:rsid w:val="005F11B9"/>
    <w:rPr>
      <w:i/>
      <w:iCs/>
      <w:color w:val="0F4761" w:themeColor="accent1" w:themeShade="BF"/>
    </w:rPr>
  </w:style>
  <w:style w:type="paragraph" w:styleId="IntenseQuote">
    <w:name w:val="Intense Quote"/>
    <w:basedOn w:val="Normal"/>
    <w:next w:val="Normal"/>
    <w:link w:val="IntenseQuoteChar"/>
    <w:uiPriority w:val="30"/>
    <w:qFormat/>
    <w:rsid w:val="005F11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1B9"/>
    <w:rPr>
      <w:i/>
      <w:iCs/>
      <w:color w:val="0F4761" w:themeColor="accent1" w:themeShade="BF"/>
    </w:rPr>
  </w:style>
  <w:style w:type="character" w:styleId="IntenseReference">
    <w:name w:val="Intense Reference"/>
    <w:basedOn w:val="DefaultParagraphFont"/>
    <w:uiPriority w:val="32"/>
    <w:qFormat/>
    <w:rsid w:val="005F11B9"/>
    <w:rPr>
      <w:b/>
      <w:bCs/>
      <w:smallCaps/>
      <w:color w:val="0F4761" w:themeColor="accent1" w:themeShade="BF"/>
    </w:rPr>
  </w:style>
  <w:style w:type="character" w:styleId="Hyperlink">
    <w:name w:val="Hyperlink"/>
    <w:basedOn w:val="DefaultParagraphFont"/>
    <w:uiPriority w:val="99"/>
    <w:unhideWhenUsed/>
    <w:rsid w:val="005F11B9"/>
    <w:rPr>
      <w:color w:val="467886" w:themeColor="hyperlink"/>
      <w:u w:val="single"/>
    </w:rPr>
  </w:style>
  <w:style w:type="character" w:styleId="FollowedHyperlink">
    <w:name w:val="FollowedHyperlink"/>
    <w:basedOn w:val="DefaultParagraphFont"/>
    <w:uiPriority w:val="99"/>
    <w:semiHidden/>
    <w:unhideWhenUsed/>
    <w:rsid w:val="005F11B9"/>
    <w:rPr>
      <w:color w:val="96607D" w:themeColor="followedHyperlink"/>
      <w:u w:val="single"/>
    </w:rPr>
  </w:style>
  <w:style w:type="paragraph" w:customStyle="1" w:styleId="Text1">
    <w:name w:val="Text 1"/>
    <w:basedOn w:val="Normal"/>
    <w:rsid w:val="005F11B9"/>
    <w:pPr>
      <w:spacing w:before="120" w:after="120" w:line="240" w:lineRule="auto"/>
      <w:ind w:left="850"/>
      <w:jc w:val="both"/>
    </w:pPr>
    <w:rPr>
      <w:rFonts w:ascii="Times New Roman" w:eastAsia="Times New Roman" w:hAnsi="Times New Roman" w:cs="Times New Roman"/>
      <w:kern w:val="0"/>
      <w:sz w:val="24"/>
      <w:szCs w:val="24"/>
    </w:rPr>
  </w:style>
  <w:style w:type="paragraph" w:customStyle="1" w:styleId="msonormal0">
    <w:name w:val="msonormal"/>
    <w:basedOn w:val="Normal"/>
    <w:uiPriority w:val="99"/>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NormalWeb">
    <w:name w:val="Normal (Web)"/>
    <w:basedOn w:val="Normal"/>
    <w:uiPriority w:val="99"/>
    <w:unhideWhenUsed/>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TOC1">
    <w:name w:val="toc 1"/>
    <w:basedOn w:val="Normal"/>
    <w:next w:val="Normal"/>
    <w:autoRedefine/>
    <w:uiPriority w:val="39"/>
    <w:semiHidden/>
    <w:unhideWhenUsed/>
    <w:rsid w:val="005F11B9"/>
    <w:pPr>
      <w:numPr>
        <w:numId w:val="1"/>
      </w:numPr>
      <w:tabs>
        <w:tab w:val="right" w:leader="dot" w:pos="9071"/>
      </w:tabs>
      <w:spacing w:before="60" w:after="120" w:line="240" w:lineRule="auto"/>
    </w:pPr>
    <w:rPr>
      <w:rFonts w:ascii="Times New Roman" w:eastAsia="Times New Roman" w:hAnsi="Times New Roman" w:cs="Times New Roman"/>
      <w:kern w:val="0"/>
      <w:sz w:val="24"/>
      <w:szCs w:val="24"/>
    </w:rPr>
  </w:style>
  <w:style w:type="paragraph" w:styleId="TOC2">
    <w:name w:val="toc 2"/>
    <w:basedOn w:val="Normal"/>
    <w:next w:val="Normal"/>
    <w:autoRedefine/>
    <w:uiPriority w:val="39"/>
    <w:semiHidden/>
    <w:unhideWhenUsed/>
    <w:rsid w:val="005F11B9"/>
    <w:pPr>
      <w:tabs>
        <w:tab w:val="right" w:leader="dot" w:pos="9071"/>
      </w:tabs>
      <w:spacing w:before="60" w:after="120" w:line="240" w:lineRule="auto"/>
      <w:ind w:left="850" w:hanging="850"/>
    </w:pPr>
    <w:rPr>
      <w:rFonts w:ascii="Times New Roman" w:eastAsia="Times New Roman" w:hAnsi="Times New Roman" w:cs="Times New Roman"/>
      <w:kern w:val="0"/>
      <w:sz w:val="24"/>
      <w:szCs w:val="24"/>
    </w:rPr>
  </w:style>
  <w:style w:type="paragraph" w:styleId="TOC3">
    <w:name w:val="toc 3"/>
    <w:basedOn w:val="Normal"/>
    <w:next w:val="Normal"/>
    <w:autoRedefine/>
    <w:uiPriority w:val="39"/>
    <w:semiHidden/>
    <w:unhideWhenUsed/>
    <w:rsid w:val="005F11B9"/>
    <w:pPr>
      <w:tabs>
        <w:tab w:val="right" w:leader="dot" w:pos="9071"/>
      </w:tabs>
      <w:spacing w:before="60" w:after="120" w:line="240" w:lineRule="auto"/>
      <w:ind w:left="850" w:hanging="850"/>
    </w:pPr>
    <w:rPr>
      <w:rFonts w:ascii="Times New Roman" w:eastAsia="Times New Roman" w:hAnsi="Times New Roman" w:cs="Times New Roman"/>
      <w:kern w:val="0"/>
      <w:sz w:val="24"/>
      <w:szCs w:val="24"/>
    </w:rPr>
  </w:style>
  <w:style w:type="paragraph" w:styleId="TOC4">
    <w:name w:val="toc 4"/>
    <w:basedOn w:val="Normal"/>
    <w:next w:val="Normal"/>
    <w:autoRedefine/>
    <w:uiPriority w:val="39"/>
    <w:semiHidden/>
    <w:unhideWhenUsed/>
    <w:rsid w:val="005F11B9"/>
    <w:pPr>
      <w:tabs>
        <w:tab w:val="right" w:leader="dot" w:pos="9071"/>
      </w:tabs>
      <w:spacing w:before="60" w:after="120" w:line="240" w:lineRule="auto"/>
      <w:ind w:left="850" w:hanging="850"/>
    </w:pPr>
    <w:rPr>
      <w:rFonts w:ascii="Times New Roman" w:eastAsia="Times New Roman" w:hAnsi="Times New Roman" w:cs="Times New Roman"/>
      <w:kern w:val="0"/>
      <w:sz w:val="24"/>
      <w:szCs w:val="24"/>
    </w:rPr>
  </w:style>
  <w:style w:type="paragraph" w:styleId="TOC5">
    <w:name w:val="toc 5"/>
    <w:basedOn w:val="Normal"/>
    <w:next w:val="Normal"/>
    <w:autoRedefine/>
    <w:uiPriority w:val="39"/>
    <w:semiHidden/>
    <w:unhideWhenUsed/>
    <w:rsid w:val="005F11B9"/>
    <w:pPr>
      <w:tabs>
        <w:tab w:val="right" w:leader="dot" w:pos="9071"/>
      </w:tabs>
      <w:spacing w:before="300" w:after="120" w:line="240" w:lineRule="auto"/>
    </w:pPr>
    <w:rPr>
      <w:rFonts w:ascii="Times New Roman" w:eastAsia="Times New Roman" w:hAnsi="Times New Roman" w:cs="Times New Roman"/>
      <w:kern w:val="0"/>
      <w:sz w:val="24"/>
      <w:szCs w:val="24"/>
    </w:rPr>
  </w:style>
  <w:style w:type="paragraph" w:styleId="TOC6">
    <w:name w:val="toc 6"/>
    <w:basedOn w:val="Normal"/>
    <w:next w:val="Normal"/>
    <w:autoRedefine/>
    <w:uiPriority w:val="39"/>
    <w:semiHidden/>
    <w:unhideWhenUsed/>
    <w:rsid w:val="005F11B9"/>
    <w:pPr>
      <w:tabs>
        <w:tab w:val="right" w:leader="dot" w:pos="9071"/>
      </w:tabs>
      <w:spacing w:before="240" w:after="120" w:line="240" w:lineRule="auto"/>
    </w:pPr>
    <w:rPr>
      <w:rFonts w:ascii="Times New Roman" w:eastAsia="Times New Roman" w:hAnsi="Times New Roman" w:cs="Times New Roman"/>
      <w:kern w:val="0"/>
      <w:sz w:val="24"/>
      <w:szCs w:val="24"/>
    </w:rPr>
  </w:style>
  <w:style w:type="paragraph" w:styleId="TOC7">
    <w:name w:val="toc 7"/>
    <w:basedOn w:val="Normal"/>
    <w:next w:val="Normal"/>
    <w:autoRedefine/>
    <w:uiPriority w:val="39"/>
    <w:semiHidden/>
    <w:unhideWhenUsed/>
    <w:rsid w:val="005F11B9"/>
    <w:pPr>
      <w:tabs>
        <w:tab w:val="right" w:leader="dot" w:pos="9071"/>
      </w:tabs>
      <w:spacing w:before="180" w:after="120" w:line="240" w:lineRule="auto"/>
    </w:pPr>
    <w:rPr>
      <w:rFonts w:ascii="Times New Roman" w:eastAsia="Times New Roman" w:hAnsi="Times New Roman" w:cs="Times New Roman"/>
      <w:kern w:val="0"/>
      <w:sz w:val="24"/>
      <w:szCs w:val="24"/>
    </w:rPr>
  </w:style>
  <w:style w:type="paragraph" w:styleId="TOC8">
    <w:name w:val="toc 8"/>
    <w:basedOn w:val="Normal"/>
    <w:next w:val="Normal"/>
    <w:autoRedefine/>
    <w:uiPriority w:val="39"/>
    <w:semiHidden/>
    <w:unhideWhenUsed/>
    <w:rsid w:val="005F11B9"/>
    <w:pPr>
      <w:tabs>
        <w:tab w:val="right" w:leader="dot" w:pos="9071"/>
      </w:tabs>
      <w:spacing w:before="120" w:after="120" w:line="240" w:lineRule="auto"/>
    </w:pPr>
    <w:rPr>
      <w:rFonts w:ascii="Times New Roman" w:eastAsia="Times New Roman" w:hAnsi="Times New Roman" w:cs="Times New Roman"/>
      <w:kern w:val="0"/>
      <w:sz w:val="24"/>
      <w:szCs w:val="24"/>
    </w:rPr>
  </w:style>
  <w:style w:type="paragraph" w:styleId="TOC9">
    <w:name w:val="toc 9"/>
    <w:basedOn w:val="Normal"/>
    <w:next w:val="Normal"/>
    <w:autoRedefine/>
    <w:uiPriority w:val="39"/>
    <w:semiHidden/>
    <w:unhideWhenUsed/>
    <w:rsid w:val="005F11B9"/>
    <w:pPr>
      <w:tabs>
        <w:tab w:val="right" w:leader="dot" w:pos="9071"/>
      </w:tabs>
      <w:spacing w:before="120" w:after="120" w:line="240" w:lineRule="auto"/>
      <w:jc w:val="both"/>
    </w:pPr>
    <w:rPr>
      <w:rFonts w:ascii="Times New Roman" w:eastAsia="Times New Roman" w:hAnsi="Times New Roman" w:cs="Times New Roman"/>
      <w:kern w:val="0"/>
      <w:sz w:val="24"/>
      <w:szCs w:val="24"/>
    </w:rPr>
  </w:style>
  <w:style w:type="character" w:customStyle="1" w:styleId="FootnoteTextChar">
    <w:name w:val="Footnote Text Char"/>
    <w:aliases w:val="Schriftart: 9 pt Char,Schriftart: 10 pt Char,Schriftart: 8 pt Char,WB-Fußnotentext Char,FoodNote Char,ft Char,Footnote text Char,Footnote Char,Footnote Text Char Char Char,Footnote Text Char1 Char Char Char,fn Char1,f Char1,Char Char1"/>
    <w:basedOn w:val="DefaultParagraphFont"/>
    <w:link w:val="FootnoteText"/>
    <w:uiPriority w:val="99"/>
    <w:locked/>
    <w:rsid w:val="005F11B9"/>
    <w:rPr>
      <w:rFonts w:ascii="Times New Roman" w:eastAsia="Times New Roman" w:hAnsi="Times New Roman" w:cs="Times New Roman"/>
      <w:sz w:val="20"/>
      <w:szCs w:val="20"/>
    </w:rPr>
  </w:style>
  <w:style w:type="paragraph" w:styleId="FootnoteText">
    <w:name w:val="footnote text"/>
    <w:aliases w:val="Schriftart: 9 pt,Schriftart: 10 pt,Schriftart: 8 pt,WB-Fußnotentext,FoodNote,ft,Footnote text,Footnote,Footnote Text Char Char,Footnote Text Char1 Char Char,Footnote Text Char Char Char Char,fn,f,Char,Voetnoottekst Char"/>
    <w:basedOn w:val="Normal"/>
    <w:link w:val="FootnoteTextChar"/>
    <w:uiPriority w:val="99"/>
    <w:unhideWhenUsed/>
    <w:rsid w:val="005F11B9"/>
    <w:pPr>
      <w:spacing w:after="0" w:line="240" w:lineRule="auto"/>
      <w:ind w:left="720" w:hanging="720"/>
      <w:jc w:val="both"/>
    </w:pPr>
    <w:rPr>
      <w:rFonts w:ascii="Times New Roman" w:eastAsia="Times New Roman" w:hAnsi="Times New Roman" w:cs="Times New Roman"/>
      <w:sz w:val="20"/>
      <w:szCs w:val="20"/>
    </w:rPr>
  </w:style>
  <w:style w:type="character" w:customStyle="1" w:styleId="FootnoteTextChar1">
    <w:name w:val="Footnote Text Char1"/>
    <w:basedOn w:val="DefaultParagraphFont"/>
    <w:uiPriority w:val="99"/>
    <w:semiHidden/>
    <w:rsid w:val="005F11B9"/>
    <w:rPr>
      <w:sz w:val="20"/>
      <w:szCs w:val="20"/>
    </w:rPr>
  </w:style>
  <w:style w:type="character" w:customStyle="1" w:styleId="FootnoteTextChar2">
    <w:name w:val="Footnote Text Char2"/>
    <w:aliases w:val="Schriftart: 9 pt Char1,Schriftart: 10 pt Char1,Schriftart: 8 pt Char1,WB-Fußnotentext Char1,FoodNote Char1,ft Char1,Footnote text Char1,Footnote Char1,Footnote Text Char1 Char1,Footnote Text Char Char Char1,fn Char,f Char,Char Char"/>
    <w:basedOn w:val="DefaultParagraphFont"/>
    <w:uiPriority w:val="99"/>
    <w:semiHidden/>
    <w:rsid w:val="005F11B9"/>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rsid w:val="005F11B9"/>
    <w:pPr>
      <w:spacing w:before="120" w:after="120" w:line="240" w:lineRule="auto"/>
      <w:jc w:val="both"/>
    </w:pPr>
    <w:rPr>
      <w:rFonts w:ascii="Times New Roman" w:eastAsia="Times New Roman" w:hAnsi="Times New Roman" w:cs="Times New Roman"/>
      <w:kern w:val="0"/>
      <w:sz w:val="20"/>
      <w:szCs w:val="20"/>
    </w:rPr>
  </w:style>
  <w:style w:type="character" w:customStyle="1" w:styleId="CommentTextChar">
    <w:name w:val="Comment Text Char"/>
    <w:basedOn w:val="DefaultParagraphFont"/>
    <w:link w:val="CommentText"/>
    <w:uiPriority w:val="99"/>
    <w:rsid w:val="005F11B9"/>
    <w:rPr>
      <w:rFonts w:ascii="Times New Roman" w:eastAsia="Times New Roman" w:hAnsi="Times New Roman" w:cs="Times New Roman"/>
      <w:kern w:val="0"/>
      <w:sz w:val="20"/>
      <w:szCs w:val="20"/>
    </w:rPr>
  </w:style>
  <w:style w:type="paragraph" w:styleId="Header">
    <w:name w:val="header"/>
    <w:basedOn w:val="Normal"/>
    <w:link w:val="HeaderChar"/>
    <w:uiPriority w:val="99"/>
    <w:unhideWhenUsed/>
    <w:rsid w:val="005F11B9"/>
    <w:pPr>
      <w:tabs>
        <w:tab w:val="center" w:pos="4535"/>
        <w:tab w:val="right" w:pos="9071"/>
      </w:tabs>
      <w:spacing w:after="120" w:line="240" w:lineRule="auto"/>
      <w:jc w:val="both"/>
    </w:pPr>
    <w:rPr>
      <w:rFonts w:ascii="Times New Roman" w:eastAsia="Times New Roman" w:hAnsi="Times New Roman" w:cs="Times New Roman"/>
      <w:kern w:val="0"/>
      <w:sz w:val="24"/>
      <w:szCs w:val="24"/>
    </w:rPr>
  </w:style>
  <w:style w:type="character" w:customStyle="1" w:styleId="HeaderChar">
    <w:name w:val="Header Char"/>
    <w:basedOn w:val="DefaultParagraphFont"/>
    <w:link w:val="Header"/>
    <w:uiPriority w:val="99"/>
    <w:rsid w:val="005F11B9"/>
    <w:rPr>
      <w:rFonts w:ascii="Times New Roman" w:eastAsia="Times New Roman" w:hAnsi="Times New Roman" w:cs="Times New Roman"/>
      <w:kern w:val="0"/>
      <w:sz w:val="24"/>
      <w:szCs w:val="24"/>
    </w:rPr>
  </w:style>
  <w:style w:type="paragraph" w:styleId="Footer">
    <w:name w:val="footer"/>
    <w:basedOn w:val="Normal"/>
    <w:link w:val="FooterChar"/>
    <w:uiPriority w:val="99"/>
    <w:unhideWhenUsed/>
    <w:rsid w:val="005F11B9"/>
    <w:pPr>
      <w:tabs>
        <w:tab w:val="center" w:pos="4535"/>
        <w:tab w:val="right" w:pos="9071"/>
        <w:tab w:val="right" w:pos="9921"/>
      </w:tabs>
      <w:spacing w:before="360" w:after="0" w:line="240" w:lineRule="auto"/>
      <w:ind w:left="-850" w:right="-850"/>
    </w:pPr>
    <w:rPr>
      <w:rFonts w:ascii="Times New Roman" w:eastAsia="Times New Roman" w:hAnsi="Times New Roman" w:cs="Times New Roman"/>
      <w:kern w:val="0"/>
      <w:sz w:val="24"/>
      <w:szCs w:val="24"/>
    </w:rPr>
  </w:style>
  <w:style w:type="character" w:customStyle="1" w:styleId="FooterChar">
    <w:name w:val="Footer Char"/>
    <w:basedOn w:val="DefaultParagraphFont"/>
    <w:link w:val="Footer"/>
    <w:uiPriority w:val="99"/>
    <w:rsid w:val="005F11B9"/>
    <w:rPr>
      <w:rFonts w:ascii="Times New Roman" w:eastAsia="Times New Roman" w:hAnsi="Times New Roman" w:cs="Times New Roman"/>
      <w:kern w:val="0"/>
      <w:sz w:val="24"/>
      <w:szCs w:val="24"/>
    </w:rPr>
  </w:style>
  <w:style w:type="paragraph" w:styleId="Caption">
    <w:name w:val="caption"/>
    <w:basedOn w:val="Normal"/>
    <w:next w:val="Normal"/>
    <w:uiPriority w:val="35"/>
    <w:semiHidden/>
    <w:unhideWhenUsed/>
    <w:qFormat/>
    <w:rsid w:val="005F11B9"/>
    <w:pPr>
      <w:spacing w:after="200" w:line="240" w:lineRule="auto"/>
      <w:jc w:val="both"/>
    </w:pPr>
    <w:rPr>
      <w:rFonts w:ascii="Times New Roman" w:hAnsi="Times New Roman" w:cs="Times New Roman"/>
      <w:i/>
      <w:iCs/>
      <w:color w:val="0E2841" w:themeColor="text2"/>
      <w:kern w:val="0"/>
      <w:sz w:val="18"/>
      <w:szCs w:val="18"/>
    </w:rPr>
  </w:style>
  <w:style w:type="paragraph" w:styleId="TableofFigures">
    <w:name w:val="table of figures"/>
    <w:basedOn w:val="Normal"/>
    <w:next w:val="Normal"/>
    <w:uiPriority w:val="99"/>
    <w:semiHidden/>
    <w:unhideWhenUsed/>
    <w:rsid w:val="005F11B9"/>
    <w:pPr>
      <w:spacing w:before="120" w:after="0" w:line="240" w:lineRule="auto"/>
      <w:jc w:val="both"/>
    </w:pPr>
    <w:rPr>
      <w:rFonts w:ascii="Times New Roman" w:hAnsi="Times New Roman" w:cs="Times New Roman"/>
      <w:kern w:val="0"/>
      <w:sz w:val="24"/>
    </w:rPr>
  </w:style>
  <w:style w:type="paragraph" w:styleId="ListBullet">
    <w:name w:val="List Bullet"/>
    <w:basedOn w:val="Normal"/>
    <w:uiPriority w:val="99"/>
    <w:semiHidden/>
    <w:unhideWhenUsed/>
    <w:rsid w:val="005F11B9"/>
    <w:pPr>
      <w:numPr>
        <w:numId w:val="2"/>
      </w:numPr>
      <w:tabs>
        <w:tab w:val="num" w:pos="850"/>
      </w:tabs>
      <w:spacing w:before="120" w:after="120" w:line="240" w:lineRule="auto"/>
      <w:ind w:left="720"/>
      <w:contextualSpacing/>
      <w:jc w:val="both"/>
    </w:pPr>
    <w:rPr>
      <w:rFonts w:ascii="Times New Roman" w:eastAsia="Times New Roman" w:hAnsi="Times New Roman" w:cs="Times New Roman"/>
      <w:kern w:val="0"/>
      <w:sz w:val="24"/>
      <w:szCs w:val="24"/>
    </w:rPr>
  </w:style>
  <w:style w:type="paragraph" w:styleId="ListNumber">
    <w:name w:val="List Number"/>
    <w:basedOn w:val="Normal"/>
    <w:uiPriority w:val="99"/>
    <w:semiHidden/>
    <w:unhideWhenUsed/>
    <w:rsid w:val="005F11B9"/>
    <w:pPr>
      <w:numPr>
        <w:numId w:val="3"/>
      </w:numPr>
      <w:spacing w:before="120" w:after="120" w:line="240" w:lineRule="auto"/>
      <w:ind w:left="0" w:firstLine="0"/>
      <w:contextualSpacing/>
      <w:jc w:val="both"/>
    </w:pPr>
    <w:rPr>
      <w:rFonts w:ascii="Times New Roman" w:hAnsi="Times New Roman" w:cs="Times New Roman"/>
      <w:kern w:val="0"/>
      <w:sz w:val="24"/>
    </w:rPr>
  </w:style>
  <w:style w:type="paragraph" w:styleId="ListBullet2">
    <w:name w:val="List Bullet 2"/>
    <w:basedOn w:val="Normal"/>
    <w:uiPriority w:val="99"/>
    <w:semiHidden/>
    <w:unhideWhenUsed/>
    <w:rsid w:val="005F11B9"/>
    <w:pPr>
      <w:tabs>
        <w:tab w:val="num" w:pos="643"/>
      </w:tabs>
      <w:spacing w:before="120" w:after="120" w:line="240" w:lineRule="auto"/>
      <w:ind w:left="643" w:hanging="360"/>
      <w:contextualSpacing/>
      <w:jc w:val="both"/>
    </w:pPr>
    <w:rPr>
      <w:rFonts w:ascii="Times New Roman" w:eastAsia="Times New Roman" w:hAnsi="Times New Roman" w:cs="Times New Roman"/>
      <w:kern w:val="0"/>
      <w:sz w:val="24"/>
      <w:szCs w:val="24"/>
    </w:rPr>
  </w:style>
  <w:style w:type="paragraph" w:styleId="ListBullet3">
    <w:name w:val="List Bullet 3"/>
    <w:basedOn w:val="Normal"/>
    <w:uiPriority w:val="99"/>
    <w:semiHidden/>
    <w:unhideWhenUsed/>
    <w:rsid w:val="005F11B9"/>
    <w:pPr>
      <w:tabs>
        <w:tab w:val="num" w:pos="926"/>
      </w:tabs>
      <w:spacing w:before="120" w:after="120" w:line="240" w:lineRule="auto"/>
      <w:ind w:left="926" w:hanging="360"/>
      <w:contextualSpacing/>
      <w:jc w:val="both"/>
    </w:pPr>
    <w:rPr>
      <w:rFonts w:ascii="Times New Roman" w:eastAsia="Times New Roman" w:hAnsi="Times New Roman" w:cs="Times New Roman"/>
      <w:kern w:val="0"/>
      <w:sz w:val="24"/>
      <w:szCs w:val="24"/>
    </w:rPr>
  </w:style>
  <w:style w:type="paragraph" w:styleId="ListBullet4">
    <w:name w:val="List Bullet 4"/>
    <w:basedOn w:val="Normal"/>
    <w:uiPriority w:val="99"/>
    <w:semiHidden/>
    <w:unhideWhenUsed/>
    <w:rsid w:val="005F11B9"/>
    <w:pPr>
      <w:tabs>
        <w:tab w:val="num" w:pos="3118"/>
      </w:tabs>
      <w:spacing w:before="120" w:after="120" w:line="240" w:lineRule="auto"/>
      <w:ind w:left="3118" w:hanging="567"/>
      <w:contextualSpacing/>
      <w:jc w:val="both"/>
    </w:pPr>
    <w:rPr>
      <w:rFonts w:ascii="Times New Roman" w:eastAsia="Times New Roman" w:hAnsi="Times New Roman" w:cs="Times New Roman"/>
      <w:kern w:val="0"/>
      <w:sz w:val="24"/>
      <w:szCs w:val="24"/>
    </w:rPr>
  </w:style>
  <w:style w:type="paragraph" w:styleId="ListNumber2">
    <w:name w:val="List Number 2"/>
    <w:basedOn w:val="Normal"/>
    <w:uiPriority w:val="99"/>
    <w:semiHidden/>
    <w:unhideWhenUsed/>
    <w:rsid w:val="005F11B9"/>
    <w:pPr>
      <w:numPr>
        <w:numId w:val="4"/>
      </w:numPr>
      <w:tabs>
        <w:tab w:val="num" w:pos="360"/>
      </w:tabs>
      <w:spacing w:before="120" w:after="120" w:line="240" w:lineRule="auto"/>
      <w:ind w:left="0" w:firstLine="0"/>
      <w:contextualSpacing/>
      <w:jc w:val="both"/>
    </w:pPr>
    <w:rPr>
      <w:rFonts w:ascii="Times New Roman" w:hAnsi="Times New Roman" w:cs="Times New Roman"/>
      <w:kern w:val="0"/>
      <w:sz w:val="24"/>
    </w:rPr>
  </w:style>
  <w:style w:type="paragraph" w:styleId="ListNumber3">
    <w:name w:val="List Number 3"/>
    <w:basedOn w:val="Normal"/>
    <w:uiPriority w:val="99"/>
    <w:semiHidden/>
    <w:unhideWhenUsed/>
    <w:rsid w:val="005F11B9"/>
    <w:pPr>
      <w:numPr>
        <w:numId w:val="5"/>
      </w:numPr>
      <w:spacing w:before="120" w:after="120" w:line="240" w:lineRule="auto"/>
      <w:ind w:left="0" w:firstLine="0"/>
      <w:contextualSpacing/>
      <w:jc w:val="both"/>
    </w:pPr>
    <w:rPr>
      <w:rFonts w:ascii="Times New Roman" w:hAnsi="Times New Roman" w:cs="Times New Roman"/>
      <w:kern w:val="0"/>
      <w:sz w:val="24"/>
    </w:rPr>
  </w:style>
  <w:style w:type="paragraph" w:styleId="ListNumber4">
    <w:name w:val="List Number 4"/>
    <w:basedOn w:val="Normal"/>
    <w:uiPriority w:val="99"/>
    <w:semiHidden/>
    <w:unhideWhenUsed/>
    <w:rsid w:val="005F11B9"/>
    <w:pPr>
      <w:numPr>
        <w:numId w:val="6"/>
      </w:numPr>
      <w:tabs>
        <w:tab w:val="num" w:pos="360"/>
      </w:tabs>
      <w:spacing w:before="120" w:after="120" w:line="240" w:lineRule="auto"/>
      <w:contextualSpacing/>
      <w:jc w:val="both"/>
    </w:pPr>
    <w:rPr>
      <w:rFonts w:ascii="Times New Roman" w:hAnsi="Times New Roman" w:cs="Times New Roman"/>
      <w:kern w:val="0"/>
      <w:sz w:val="24"/>
    </w:rPr>
  </w:style>
  <w:style w:type="paragraph" w:styleId="CommentSubject">
    <w:name w:val="annotation subject"/>
    <w:basedOn w:val="CommentText"/>
    <w:next w:val="CommentText"/>
    <w:link w:val="CommentSubjectChar"/>
    <w:uiPriority w:val="99"/>
    <w:semiHidden/>
    <w:unhideWhenUsed/>
    <w:rsid w:val="005F11B9"/>
    <w:rPr>
      <w:b/>
      <w:bCs/>
    </w:rPr>
  </w:style>
  <w:style w:type="character" w:customStyle="1" w:styleId="CommentSubjectChar">
    <w:name w:val="Comment Subject Char"/>
    <w:basedOn w:val="CommentTextChar"/>
    <w:link w:val="CommentSubject"/>
    <w:uiPriority w:val="99"/>
    <w:semiHidden/>
    <w:rsid w:val="005F11B9"/>
    <w:rPr>
      <w:rFonts w:ascii="Times New Roman" w:eastAsia="Times New Roman" w:hAnsi="Times New Roman" w:cs="Times New Roman"/>
      <w:b/>
      <w:bCs/>
      <w:kern w:val="0"/>
      <w:sz w:val="20"/>
      <w:szCs w:val="20"/>
    </w:rPr>
  </w:style>
  <w:style w:type="paragraph" w:styleId="BalloonText">
    <w:name w:val="Balloon Text"/>
    <w:basedOn w:val="Normal"/>
    <w:link w:val="BalloonTextChar"/>
    <w:uiPriority w:val="99"/>
    <w:semiHidden/>
    <w:unhideWhenUsed/>
    <w:rsid w:val="005F11B9"/>
    <w:pPr>
      <w:spacing w:after="0" w:line="240" w:lineRule="auto"/>
      <w:jc w:val="both"/>
    </w:pPr>
    <w:rPr>
      <w:rFonts w:ascii="Segoe UI" w:eastAsia="Times New Roman" w:hAnsi="Segoe UI" w:cs="Segoe UI"/>
      <w:kern w:val="0"/>
      <w:sz w:val="18"/>
      <w:szCs w:val="18"/>
    </w:rPr>
  </w:style>
  <w:style w:type="character" w:customStyle="1" w:styleId="BalloonTextChar">
    <w:name w:val="Balloon Text Char"/>
    <w:basedOn w:val="DefaultParagraphFont"/>
    <w:link w:val="BalloonText"/>
    <w:uiPriority w:val="99"/>
    <w:semiHidden/>
    <w:rsid w:val="005F11B9"/>
    <w:rPr>
      <w:rFonts w:ascii="Segoe UI" w:eastAsia="Times New Roman" w:hAnsi="Segoe UI" w:cs="Segoe UI"/>
      <w:kern w:val="0"/>
      <w:sz w:val="18"/>
      <w:szCs w:val="18"/>
    </w:rPr>
  </w:style>
  <w:style w:type="paragraph" w:styleId="Revision">
    <w:name w:val="Revision"/>
    <w:uiPriority w:val="99"/>
    <w:semiHidden/>
    <w:rsid w:val="005F11B9"/>
    <w:pPr>
      <w:spacing w:after="0" w:line="240" w:lineRule="auto"/>
    </w:pPr>
    <w:rPr>
      <w:rFonts w:ascii="Times New Roman" w:hAnsi="Times New Roman" w:cs="Times New Roman"/>
      <w:kern w:val="0"/>
      <w:sz w:val="24"/>
    </w:rPr>
  </w:style>
  <w:style w:type="character" w:customStyle="1" w:styleId="ListParagraphChar">
    <w:name w:val="List Paragraph Char"/>
    <w:aliases w:val="numbered list Char,2 Char,OBC Bullet Char,Normal 1 Char,Task Body Char,Viñetas (Inicio Parrafo) Char,3 Txt tabla Char,Zerrenda-paragrafoa Char,Fiche List Paragraph Char,Dot pt Char,F5 List Paragraph Char,List Paragraph1 Char,L Char"/>
    <w:basedOn w:val="DefaultParagraphFont"/>
    <w:link w:val="ListParagraph"/>
    <w:uiPriority w:val="34"/>
    <w:qFormat/>
    <w:locked/>
    <w:rsid w:val="005F11B9"/>
  </w:style>
  <w:style w:type="paragraph" w:styleId="TOCHeading">
    <w:name w:val="TOC Heading"/>
    <w:basedOn w:val="Normal"/>
    <w:next w:val="Normal"/>
    <w:uiPriority w:val="39"/>
    <w:semiHidden/>
    <w:unhideWhenUsed/>
    <w:qFormat/>
    <w:rsid w:val="005F11B9"/>
    <w:pPr>
      <w:spacing w:before="120" w:after="240" w:line="240" w:lineRule="auto"/>
      <w:jc w:val="center"/>
    </w:pPr>
    <w:rPr>
      <w:rFonts w:ascii="Times New Roman" w:eastAsia="Times New Roman" w:hAnsi="Times New Roman" w:cs="Times New Roman"/>
      <w:b/>
      <w:kern w:val="0"/>
      <w:sz w:val="28"/>
      <w:szCs w:val="24"/>
    </w:rPr>
  </w:style>
  <w:style w:type="paragraph" w:customStyle="1" w:styleId="HeaderLandscape">
    <w:name w:val="HeaderLandscape"/>
    <w:basedOn w:val="Normal"/>
    <w:rsid w:val="005F11B9"/>
    <w:pPr>
      <w:tabs>
        <w:tab w:val="center" w:pos="7285"/>
        <w:tab w:val="right" w:pos="14003"/>
      </w:tabs>
      <w:spacing w:after="120" w:line="240" w:lineRule="auto"/>
      <w:jc w:val="both"/>
    </w:pPr>
    <w:rPr>
      <w:rFonts w:ascii="Times New Roman" w:eastAsia="Times New Roman" w:hAnsi="Times New Roman" w:cs="Times New Roman"/>
      <w:kern w:val="0"/>
      <w:sz w:val="24"/>
      <w:szCs w:val="24"/>
    </w:rPr>
  </w:style>
  <w:style w:type="paragraph" w:customStyle="1" w:styleId="FooterLandscape">
    <w:name w:val="FooterLandscape"/>
    <w:basedOn w:val="Normal"/>
    <w:rsid w:val="005F11B9"/>
    <w:pPr>
      <w:tabs>
        <w:tab w:val="center" w:pos="7285"/>
        <w:tab w:val="center" w:pos="10913"/>
        <w:tab w:val="right" w:pos="15137"/>
      </w:tabs>
      <w:spacing w:before="360" w:after="0" w:line="240" w:lineRule="auto"/>
      <w:ind w:left="-567" w:right="-567"/>
    </w:pPr>
    <w:rPr>
      <w:rFonts w:ascii="Times New Roman" w:eastAsia="Times New Roman" w:hAnsi="Times New Roman" w:cs="Times New Roman"/>
      <w:kern w:val="0"/>
      <w:sz w:val="24"/>
      <w:szCs w:val="24"/>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T"/>
    <w:basedOn w:val="DefaultParagraphFont"/>
    <w:link w:val="1"/>
    <w:uiPriority w:val="99"/>
    <w:unhideWhenUsed/>
    <w:qFormat/>
    <w:rsid w:val="005F11B9"/>
    <w:rPr>
      <w:vertAlign w:val="superscript"/>
    </w:rPr>
  </w:style>
  <w:style w:type="paragraph" w:customStyle="1" w:styleId="1">
    <w:name w:val="1"/>
    <w:basedOn w:val="Normal"/>
    <w:link w:val="FootnoteReference"/>
    <w:uiPriority w:val="99"/>
    <w:rsid w:val="005F11B9"/>
    <w:pPr>
      <w:spacing w:line="240" w:lineRule="exact"/>
      <w:jc w:val="both"/>
    </w:pPr>
    <w:rPr>
      <w:vertAlign w:val="superscript"/>
    </w:rPr>
  </w:style>
  <w:style w:type="paragraph" w:customStyle="1" w:styleId="HeaderSensitivity">
    <w:name w:val="Header Sensitivity"/>
    <w:basedOn w:val="Normal"/>
    <w:rsid w:val="005F11B9"/>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HeaderSensitivityRight">
    <w:name w:val="Header Sensitivity Right"/>
    <w:basedOn w:val="Normal"/>
    <w:rsid w:val="005F11B9"/>
    <w:pPr>
      <w:spacing w:after="120" w:line="240" w:lineRule="auto"/>
      <w:jc w:val="right"/>
    </w:pPr>
    <w:rPr>
      <w:rFonts w:ascii="Times New Roman" w:hAnsi="Times New Roman" w:cs="Times New Roman"/>
      <w:sz w:val="28"/>
    </w:rPr>
  </w:style>
  <w:style w:type="paragraph" w:customStyle="1" w:styleId="FooterSensitivity">
    <w:name w:val="Footer Sensitivity"/>
    <w:basedOn w:val="Normal"/>
    <w:rsid w:val="005F11B9"/>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paragraph" w:customStyle="1" w:styleId="Text2">
    <w:name w:val="Text 2"/>
    <w:basedOn w:val="Normal"/>
    <w:rsid w:val="005F11B9"/>
    <w:pPr>
      <w:spacing w:before="120" w:after="120" w:line="240" w:lineRule="auto"/>
      <w:ind w:left="1417"/>
      <w:jc w:val="both"/>
    </w:pPr>
    <w:rPr>
      <w:rFonts w:ascii="Times New Roman" w:eastAsia="Times New Roman" w:hAnsi="Times New Roman" w:cs="Times New Roman"/>
      <w:kern w:val="0"/>
      <w:sz w:val="24"/>
      <w:szCs w:val="24"/>
    </w:rPr>
  </w:style>
  <w:style w:type="paragraph" w:customStyle="1" w:styleId="Text3">
    <w:name w:val="Text 3"/>
    <w:basedOn w:val="Normal"/>
    <w:rsid w:val="005F11B9"/>
    <w:pPr>
      <w:spacing w:before="120" w:after="120" w:line="240" w:lineRule="auto"/>
      <w:ind w:left="1984"/>
      <w:jc w:val="both"/>
    </w:pPr>
    <w:rPr>
      <w:rFonts w:ascii="Times New Roman" w:eastAsia="Times New Roman" w:hAnsi="Times New Roman" w:cs="Times New Roman"/>
      <w:kern w:val="0"/>
      <w:sz w:val="24"/>
      <w:szCs w:val="24"/>
    </w:rPr>
  </w:style>
  <w:style w:type="paragraph" w:customStyle="1" w:styleId="Text4">
    <w:name w:val="Text 4"/>
    <w:basedOn w:val="Normal"/>
    <w:rsid w:val="005F11B9"/>
    <w:pPr>
      <w:spacing w:before="120" w:after="120" w:line="240" w:lineRule="auto"/>
      <w:ind w:left="2551"/>
      <w:jc w:val="both"/>
    </w:pPr>
    <w:rPr>
      <w:rFonts w:ascii="Times New Roman" w:eastAsia="Times New Roman" w:hAnsi="Times New Roman" w:cs="Times New Roman"/>
      <w:kern w:val="0"/>
      <w:sz w:val="24"/>
      <w:szCs w:val="24"/>
    </w:rPr>
  </w:style>
  <w:style w:type="paragraph" w:customStyle="1" w:styleId="NormalCentered">
    <w:name w:val="Normal Centered"/>
    <w:basedOn w:val="Normal"/>
    <w:rsid w:val="005F11B9"/>
    <w:pPr>
      <w:spacing w:before="120" w:after="120" w:line="240" w:lineRule="auto"/>
      <w:jc w:val="center"/>
    </w:pPr>
    <w:rPr>
      <w:rFonts w:ascii="Times New Roman" w:eastAsia="Times New Roman" w:hAnsi="Times New Roman" w:cs="Times New Roman"/>
      <w:kern w:val="0"/>
      <w:sz w:val="24"/>
      <w:szCs w:val="24"/>
    </w:rPr>
  </w:style>
  <w:style w:type="paragraph" w:customStyle="1" w:styleId="NormalLeft">
    <w:name w:val="Normal Left"/>
    <w:basedOn w:val="Normal"/>
    <w:rsid w:val="005F11B9"/>
    <w:pPr>
      <w:spacing w:before="120" w:after="120" w:line="240" w:lineRule="auto"/>
    </w:pPr>
    <w:rPr>
      <w:rFonts w:ascii="Times New Roman" w:eastAsia="Times New Roman" w:hAnsi="Times New Roman" w:cs="Times New Roman"/>
      <w:kern w:val="0"/>
      <w:sz w:val="24"/>
      <w:szCs w:val="24"/>
    </w:rPr>
  </w:style>
  <w:style w:type="paragraph" w:customStyle="1" w:styleId="NormalRight">
    <w:name w:val="Normal Right"/>
    <w:basedOn w:val="Normal"/>
    <w:rsid w:val="005F11B9"/>
    <w:pPr>
      <w:spacing w:before="120" w:after="120" w:line="240" w:lineRule="auto"/>
      <w:jc w:val="right"/>
    </w:pPr>
    <w:rPr>
      <w:rFonts w:ascii="Times New Roman" w:eastAsia="Times New Roman" w:hAnsi="Times New Roman" w:cs="Times New Roman"/>
      <w:kern w:val="0"/>
      <w:sz w:val="24"/>
      <w:szCs w:val="24"/>
    </w:rPr>
  </w:style>
  <w:style w:type="paragraph" w:customStyle="1" w:styleId="QuotedText">
    <w:name w:val="Quoted Text"/>
    <w:basedOn w:val="Normal"/>
    <w:rsid w:val="005F11B9"/>
    <w:pPr>
      <w:spacing w:before="120" w:after="120" w:line="240" w:lineRule="auto"/>
      <w:ind w:left="1417"/>
      <w:jc w:val="both"/>
    </w:pPr>
    <w:rPr>
      <w:rFonts w:ascii="Times New Roman" w:eastAsia="Times New Roman" w:hAnsi="Times New Roman" w:cs="Times New Roman"/>
      <w:kern w:val="0"/>
      <w:sz w:val="24"/>
      <w:szCs w:val="24"/>
    </w:rPr>
  </w:style>
  <w:style w:type="paragraph" w:customStyle="1" w:styleId="Point0">
    <w:name w:val="Point 0"/>
    <w:basedOn w:val="Normal"/>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Point1">
    <w:name w:val="Point 1"/>
    <w:basedOn w:val="Normal"/>
    <w:rsid w:val="005F11B9"/>
    <w:pPr>
      <w:spacing w:before="120" w:after="120" w:line="240" w:lineRule="auto"/>
      <w:ind w:left="1417" w:hanging="567"/>
      <w:jc w:val="both"/>
    </w:pPr>
    <w:rPr>
      <w:rFonts w:ascii="Times New Roman" w:eastAsia="Times New Roman" w:hAnsi="Times New Roman" w:cs="Times New Roman"/>
      <w:kern w:val="0"/>
      <w:sz w:val="24"/>
      <w:szCs w:val="24"/>
    </w:rPr>
  </w:style>
  <w:style w:type="paragraph" w:customStyle="1" w:styleId="Point2">
    <w:name w:val="Point 2"/>
    <w:basedOn w:val="Normal"/>
    <w:rsid w:val="005F11B9"/>
    <w:pPr>
      <w:spacing w:before="120" w:after="120" w:line="240" w:lineRule="auto"/>
      <w:ind w:left="1984" w:hanging="567"/>
      <w:jc w:val="both"/>
    </w:pPr>
    <w:rPr>
      <w:rFonts w:ascii="Times New Roman" w:eastAsia="Times New Roman" w:hAnsi="Times New Roman" w:cs="Times New Roman"/>
      <w:kern w:val="0"/>
      <w:sz w:val="24"/>
      <w:szCs w:val="24"/>
    </w:rPr>
  </w:style>
  <w:style w:type="paragraph" w:customStyle="1" w:styleId="Point3">
    <w:name w:val="Point 3"/>
    <w:basedOn w:val="Normal"/>
    <w:rsid w:val="005F11B9"/>
    <w:pPr>
      <w:spacing w:before="120" w:after="120" w:line="240" w:lineRule="auto"/>
      <w:ind w:left="2551" w:hanging="567"/>
      <w:jc w:val="both"/>
    </w:pPr>
    <w:rPr>
      <w:rFonts w:ascii="Times New Roman" w:eastAsia="Times New Roman" w:hAnsi="Times New Roman" w:cs="Times New Roman"/>
      <w:kern w:val="0"/>
      <w:sz w:val="24"/>
      <w:szCs w:val="24"/>
    </w:rPr>
  </w:style>
  <w:style w:type="paragraph" w:customStyle="1" w:styleId="Point4">
    <w:name w:val="Point 4"/>
    <w:basedOn w:val="Normal"/>
    <w:rsid w:val="005F11B9"/>
    <w:pPr>
      <w:spacing w:before="120" w:after="120" w:line="240" w:lineRule="auto"/>
      <w:ind w:left="3118" w:hanging="567"/>
      <w:jc w:val="both"/>
    </w:pPr>
    <w:rPr>
      <w:rFonts w:ascii="Times New Roman" w:eastAsia="Times New Roman" w:hAnsi="Times New Roman" w:cs="Times New Roman"/>
      <w:kern w:val="0"/>
      <w:sz w:val="24"/>
      <w:szCs w:val="24"/>
    </w:rPr>
  </w:style>
  <w:style w:type="paragraph" w:customStyle="1" w:styleId="Tiret0">
    <w:name w:val="Tiret 0"/>
    <w:basedOn w:val="Point0"/>
    <w:rsid w:val="005F11B9"/>
    <w:pPr>
      <w:numPr>
        <w:numId w:val="7"/>
      </w:numPr>
    </w:pPr>
  </w:style>
  <w:style w:type="paragraph" w:customStyle="1" w:styleId="Tiret1">
    <w:name w:val="Tiret 1"/>
    <w:basedOn w:val="Point1"/>
    <w:rsid w:val="005F11B9"/>
    <w:pPr>
      <w:numPr>
        <w:numId w:val="8"/>
      </w:numPr>
      <w:tabs>
        <w:tab w:val="num" w:pos="3118"/>
      </w:tabs>
      <w:ind w:left="3118"/>
    </w:pPr>
  </w:style>
  <w:style w:type="paragraph" w:customStyle="1" w:styleId="Tiret2">
    <w:name w:val="Tiret 2"/>
    <w:basedOn w:val="Point2"/>
    <w:rsid w:val="005F11B9"/>
    <w:pPr>
      <w:numPr>
        <w:numId w:val="9"/>
      </w:numPr>
      <w:tabs>
        <w:tab w:val="num" w:pos="360"/>
      </w:tabs>
      <w:ind w:left="360" w:hanging="360"/>
    </w:pPr>
  </w:style>
  <w:style w:type="paragraph" w:customStyle="1" w:styleId="Tiret3">
    <w:name w:val="Tiret 3"/>
    <w:basedOn w:val="Point3"/>
    <w:rsid w:val="005F11B9"/>
    <w:pPr>
      <w:numPr>
        <w:numId w:val="10"/>
      </w:numPr>
      <w:tabs>
        <w:tab w:val="num" w:pos="360"/>
      </w:tabs>
      <w:ind w:left="360" w:hanging="360"/>
    </w:pPr>
  </w:style>
  <w:style w:type="paragraph" w:customStyle="1" w:styleId="Tiret4">
    <w:name w:val="Tiret 4"/>
    <w:basedOn w:val="Point4"/>
    <w:rsid w:val="005F11B9"/>
    <w:pPr>
      <w:numPr>
        <w:numId w:val="11"/>
      </w:numPr>
      <w:ind w:left="1440" w:hanging="360"/>
    </w:pPr>
  </w:style>
  <w:style w:type="paragraph" w:customStyle="1" w:styleId="PointDouble0">
    <w:name w:val="PointDouble 0"/>
    <w:basedOn w:val="Normal"/>
    <w:rsid w:val="005F11B9"/>
    <w:pPr>
      <w:tabs>
        <w:tab w:val="left" w:pos="850"/>
      </w:tabs>
      <w:spacing w:before="120" w:after="120" w:line="240" w:lineRule="auto"/>
      <w:ind w:left="1417" w:hanging="1417"/>
      <w:jc w:val="both"/>
    </w:pPr>
    <w:rPr>
      <w:rFonts w:ascii="Times New Roman" w:eastAsia="Times New Roman" w:hAnsi="Times New Roman" w:cs="Times New Roman"/>
      <w:kern w:val="0"/>
      <w:sz w:val="24"/>
      <w:szCs w:val="24"/>
    </w:rPr>
  </w:style>
  <w:style w:type="paragraph" w:customStyle="1" w:styleId="PointDouble1">
    <w:name w:val="PointDouble 1"/>
    <w:basedOn w:val="Normal"/>
    <w:rsid w:val="005F11B9"/>
    <w:pPr>
      <w:tabs>
        <w:tab w:val="left" w:pos="1417"/>
      </w:tabs>
      <w:spacing w:before="120" w:after="120" w:line="240" w:lineRule="auto"/>
      <w:ind w:left="1984" w:hanging="1134"/>
      <w:jc w:val="both"/>
    </w:pPr>
    <w:rPr>
      <w:rFonts w:ascii="Times New Roman" w:eastAsia="Times New Roman" w:hAnsi="Times New Roman" w:cs="Times New Roman"/>
      <w:kern w:val="0"/>
      <w:sz w:val="24"/>
      <w:szCs w:val="24"/>
    </w:rPr>
  </w:style>
  <w:style w:type="paragraph" w:customStyle="1" w:styleId="PointDouble2">
    <w:name w:val="PointDouble 2"/>
    <w:basedOn w:val="Normal"/>
    <w:rsid w:val="005F11B9"/>
    <w:pPr>
      <w:tabs>
        <w:tab w:val="left" w:pos="1984"/>
      </w:tabs>
      <w:spacing w:before="120" w:after="120" w:line="240" w:lineRule="auto"/>
      <w:ind w:left="2551" w:hanging="1134"/>
      <w:jc w:val="both"/>
    </w:pPr>
    <w:rPr>
      <w:rFonts w:ascii="Times New Roman" w:eastAsia="Times New Roman" w:hAnsi="Times New Roman" w:cs="Times New Roman"/>
      <w:kern w:val="0"/>
      <w:sz w:val="24"/>
      <w:szCs w:val="24"/>
    </w:rPr>
  </w:style>
  <w:style w:type="paragraph" w:customStyle="1" w:styleId="PointDouble3">
    <w:name w:val="PointDouble 3"/>
    <w:basedOn w:val="Normal"/>
    <w:rsid w:val="005F11B9"/>
    <w:pPr>
      <w:tabs>
        <w:tab w:val="left" w:pos="2551"/>
      </w:tabs>
      <w:spacing w:before="120" w:after="120" w:line="240" w:lineRule="auto"/>
      <w:ind w:left="3118" w:hanging="1134"/>
      <w:jc w:val="both"/>
    </w:pPr>
    <w:rPr>
      <w:rFonts w:ascii="Times New Roman" w:eastAsia="Times New Roman" w:hAnsi="Times New Roman" w:cs="Times New Roman"/>
      <w:kern w:val="0"/>
      <w:sz w:val="24"/>
      <w:szCs w:val="24"/>
    </w:rPr>
  </w:style>
  <w:style w:type="paragraph" w:customStyle="1" w:styleId="PointDouble4">
    <w:name w:val="PointDouble 4"/>
    <w:basedOn w:val="Normal"/>
    <w:rsid w:val="005F11B9"/>
    <w:pPr>
      <w:tabs>
        <w:tab w:val="left" w:pos="3118"/>
      </w:tabs>
      <w:spacing w:before="120" w:after="120" w:line="240" w:lineRule="auto"/>
      <w:ind w:left="3685" w:hanging="1134"/>
      <w:jc w:val="both"/>
    </w:pPr>
    <w:rPr>
      <w:rFonts w:ascii="Times New Roman" w:eastAsia="Times New Roman" w:hAnsi="Times New Roman" w:cs="Times New Roman"/>
      <w:kern w:val="0"/>
      <w:sz w:val="24"/>
      <w:szCs w:val="24"/>
    </w:rPr>
  </w:style>
  <w:style w:type="paragraph" w:customStyle="1" w:styleId="PointTriple0">
    <w:name w:val="PointTriple 0"/>
    <w:basedOn w:val="Normal"/>
    <w:rsid w:val="005F11B9"/>
    <w:pPr>
      <w:tabs>
        <w:tab w:val="left" w:pos="850"/>
        <w:tab w:val="left" w:pos="1417"/>
      </w:tabs>
      <w:spacing w:before="120" w:after="120" w:line="240" w:lineRule="auto"/>
      <w:ind w:left="1984" w:hanging="1984"/>
      <w:jc w:val="both"/>
    </w:pPr>
    <w:rPr>
      <w:rFonts w:ascii="Times New Roman" w:eastAsia="Times New Roman" w:hAnsi="Times New Roman" w:cs="Times New Roman"/>
      <w:kern w:val="0"/>
      <w:sz w:val="24"/>
      <w:szCs w:val="24"/>
    </w:rPr>
  </w:style>
  <w:style w:type="paragraph" w:customStyle="1" w:styleId="PointTriple1">
    <w:name w:val="PointTriple 1"/>
    <w:basedOn w:val="Normal"/>
    <w:rsid w:val="005F11B9"/>
    <w:pPr>
      <w:tabs>
        <w:tab w:val="left" w:pos="1417"/>
        <w:tab w:val="left" w:pos="1984"/>
      </w:tabs>
      <w:spacing w:before="120" w:after="120" w:line="240" w:lineRule="auto"/>
      <w:ind w:left="2551" w:hanging="1701"/>
      <w:jc w:val="both"/>
    </w:pPr>
    <w:rPr>
      <w:rFonts w:ascii="Times New Roman" w:eastAsia="Times New Roman" w:hAnsi="Times New Roman" w:cs="Times New Roman"/>
      <w:kern w:val="0"/>
      <w:sz w:val="24"/>
      <w:szCs w:val="24"/>
    </w:rPr>
  </w:style>
  <w:style w:type="paragraph" w:customStyle="1" w:styleId="PointTriple2">
    <w:name w:val="PointTriple 2"/>
    <w:basedOn w:val="Normal"/>
    <w:rsid w:val="005F11B9"/>
    <w:pPr>
      <w:tabs>
        <w:tab w:val="left" w:pos="1984"/>
        <w:tab w:val="left" w:pos="2551"/>
      </w:tabs>
      <w:spacing w:before="120" w:after="120" w:line="240" w:lineRule="auto"/>
      <w:ind w:left="3118" w:hanging="1701"/>
      <w:jc w:val="both"/>
    </w:pPr>
    <w:rPr>
      <w:rFonts w:ascii="Times New Roman" w:eastAsia="Times New Roman" w:hAnsi="Times New Roman" w:cs="Times New Roman"/>
      <w:kern w:val="0"/>
      <w:sz w:val="24"/>
      <w:szCs w:val="24"/>
    </w:rPr>
  </w:style>
  <w:style w:type="paragraph" w:customStyle="1" w:styleId="PointTriple3">
    <w:name w:val="PointTriple 3"/>
    <w:basedOn w:val="Normal"/>
    <w:rsid w:val="005F11B9"/>
    <w:pPr>
      <w:tabs>
        <w:tab w:val="left" w:pos="2551"/>
        <w:tab w:val="left" w:pos="3118"/>
      </w:tabs>
      <w:spacing w:before="120" w:after="120" w:line="240" w:lineRule="auto"/>
      <w:ind w:left="3685" w:hanging="1701"/>
      <w:jc w:val="both"/>
    </w:pPr>
    <w:rPr>
      <w:rFonts w:ascii="Times New Roman" w:eastAsia="Times New Roman" w:hAnsi="Times New Roman" w:cs="Times New Roman"/>
      <w:kern w:val="0"/>
      <w:sz w:val="24"/>
      <w:szCs w:val="24"/>
    </w:rPr>
  </w:style>
  <w:style w:type="paragraph" w:customStyle="1" w:styleId="PointTriple4">
    <w:name w:val="PointTriple 4"/>
    <w:basedOn w:val="Normal"/>
    <w:rsid w:val="005F11B9"/>
    <w:pPr>
      <w:tabs>
        <w:tab w:val="left" w:pos="3118"/>
        <w:tab w:val="left" w:pos="3685"/>
      </w:tabs>
      <w:spacing w:before="120" w:after="120" w:line="240" w:lineRule="auto"/>
      <w:ind w:left="4252" w:hanging="1701"/>
      <w:jc w:val="both"/>
    </w:pPr>
    <w:rPr>
      <w:rFonts w:ascii="Times New Roman" w:eastAsia="Times New Roman" w:hAnsi="Times New Roman" w:cs="Times New Roman"/>
      <w:kern w:val="0"/>
      <w:sz w:val="24"/>
      <w:szCs w:val="24"/>
    </w:rPr>
  </w:style>
  <w:style w:type="paragraph" w:customStyle="1" w:styleId="NumPar1">
    <w:name w:val="NumPar 1"/>
    <w:basedOn w:val="Normal"/>
    <w:next w:val="Text1"/>
    <w:rsid w:val="005F11B9"/>
    <w:pPr>
      <w:numPr>
        <w:ilvl w:val="1"/>
        <w:numId w:val="12"/>
      </w:numPr>
      <w:spacing w:before="120" w:after="120" w:line="240" w:lineRule="auto"/>
      <w:jc w:val="both"/>
    </w:pPr>
    <w:rPr>
      <w:rFonts w:ascii="Times New Roman" w:eastAsia="Times New Roman" w:hAnsi="Times New Roman" w:cs="Times New Roman"/>
      <w:kern w:val="0"/>
      <w:sz w:val="24"/>
      <w:szCs w:val="24"/>
    </w:rPr>
  </w:style>
  <w:style w:type="paragraph" w:customStyle="1" w:styleId="NumPar2">
    <w:name w:val="NumPar 2"/>
    <w:basedOn w:val="Normal"/>
    <w:next w:val="Text1"/>
    <w:rsid w:val="005F11B9"/>
    <w:pPr>
      <w:numPr>
        <w:ilvl w:val="2"/>
        <w:numId w:val="12"/>
      </w:numPr>
      <w:tabs>
        <w:tab w:val="num" w:pos="1209"/>
      </w:tabs>
      <w:spacing w:before="120" w:after="120" w:line="240" w:lineRule="auto"/>
      <w:ind w:left="1209" w:hanging="360"/>
      <w:jc w:val="both"/>
    </w:pPr>
    <w:rPr>
      <w:rFonts w:ascii="Times New Roman" w:eastAsia="Times New Roman" w:hAnsi="Times New Roman" w:cs="Times New Roman"/>
      <w:kern w:val="0"/>
      <w:sz w:val="24"/>
      <w:szCs w:val="24"/>
    </w:rPr>
  </w:style>
  <w:style w:type="paragraph" w:customStyle="1" w:styleId="NumPar3">
    <w:name w:val="NumPar 3"/>
    <w:basedOn w:val="Normal"/>
    <w:next w:val="Text1"/>
    <w:rsid w:val="005F11B9"/>
    <w:pPr>
      <w:numPr>
        <w:ilvl w:val="3"/>
        <w:numId w:val="12"/>
      </w:numPr>
      <w:tabs>
        <w:tab w:val="num" w:pos="1209"/>
      </w:tabs>
      <w:spacing w:before="120" w:after="120" w:line="240" w:lineRule="auto"/>
      <w:ind w:left="1209" w:hanging="360"/>
      <w:jc w:val="both"/>
    </w:pPr>
    <w:rPr>
      <w:rFonts w:ascii="Times New Roman" w:eastAsia="Times New Roman" w:hAnsi="Times New Roman" w:cs="Times New Roman"/>
      <w:kern w:val="0"/>
      <w:sz w:val="24"/>
      <w:szCs w:val="24"/>
    </w:rPr>
  </w:style>
  <w:style w:type="paragraph" w:customStyle="1" w:styleId="NumPar4">
    <w:name w:val="NumPar 4"/>
    <w:basedOn w:val="Normal"/>
    <w:next w:val="Text1"/>
    <w:rsid w:val="005F11B9"/>
    <w:pPr>
      <w:tabs>
        <w:tab w:val="num" w:pos="850"/>
      </w:tabs>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1">
    <w:name w:val="Manual NumPar 1"/>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2">
    <w:name w:val="Manual NumPar 2"/>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3">
    <w:name w:val="Manual NumPar 3"/>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4">
    <w:name w:val="Manual NumPar 4"/>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QuotedNumPar">
    <w:name w:val="Quoted NumPar"/>
    <w:basedOn w:val="Normal"/>
    <w:rsid w:val="005F11B9"/>
    <w:pPr>
      <w:spacing w:before="120" w:after="120" w:line="240" w:lineRule="auto"/>
      <w:ind w:left="1417" w:hanging="567"/>
      <w:jc w:val="both"/>
    </w:pPr>
    <w:rPr>
      <w:rFonts w:ascii="Times New Roman" w:eastAsia="Times New Roman" w:hAnsi="Times New Roman" w:cs="Times New Roman"/>
      <w:kern w:val="0"/>
      <w:sz w:val="24"/>
      <w:szCs w:val="24"/>
    </w:rPr>
  </w:style>
  <w:style w:type="paragraph" w:customStyle="1" w:styleId="ManualHeading1">
    <w:name w:val="Manual Heading 1"/>
    <w:basedOn w:val="Normal"/>
    <w:next w:val="Text1"/>
    <w:rsid w:val="005F11B9"/>
    <w:pPr>
      <w:keepNext/>
      <w:tabs>
        <w:tab w:val="left" w:pos="850"/>
      </w:tabs>
      <w:spacing w:before="360" w:after="120" w:line="240" w:lineRule="auto"/>
      <w:ind w:left="850" w:hanging="850"/>
      <w:jc w:val="both"/>
      <w:outlineLvl w:val="0"/>
    </w:pPr>
    <w:rPr>
      <w:rFonts w:ascii="Times New Roman" w:eastAsia="Times New Roman" w:hAnsi="Times New Roman" w:cs="Times New Roman"/>
      <w:b/>
      <w:smallCaps/>
      <w:kern w:val="0"/>
      <w:sz w:val="24"/>
      <w:szCs w:val="24"/>
    </w:rPr>
  </w:style>
  <w:style w:type="paragraph" w:customStyle="1" w:styleId="ManualHeading2">
    <w:name w:val="Manual Heading 2"/>
    <w:basedOn w:val="Normal"/>
    <w:next w:val="Text1"/>
    <w:rsid w:val="005F11B9"/>
    <w:pPr>
      <w:keepNext/>
      <w:tabs>
        <w:tab w:val="left" w:pos="850"/>
      </w:tabs>
      <w:spacing w:before="120" w:after="120" w:line="240" w:lineRule="auto"/>
      <w:ind w:left="850" w:hanging="850"/>
      <w:jc w:val="both"/>
      <w:outlineLvl w:val="1"/>
    </w:pPr>
    <w:rPr>
      <w:rFonts w:ascii="Times New Roman" w:eastAsia="Times New Roman" w:hAnsi="Times New Roman" w:cs="Times New Roman"/>
      <w:b/>
      <w:kern w:val="0"/>
      <w:sz w:val="24"/>
      <w:szCs w:val="24"/>
    </w:rPr>
  </w:style>
  <w:style w:type="paragraph" w:customStyle="1" w:styleId="ManualHeading3">
    <w:name w:val="Manual Heading 3"/>
    <w:basedOn w:val="Normal"/>
    <w:next w:val="Text1"/>
    <w:rsid w:val="005F11B9"/>
    <w:pPr>
      <w:keepNext/>
      <w:tabs>
        <w:tab w:val="left" w:pos="850"/>
      </w:tabs>
      <w:spacing w:before="120" w:after="120" w:line="240" w:lineRule="auto"/>
      <w:ind w:left="850" w:hanging="850"/>
      <w:jc w:val="both"/>
      <w:outlineLvl w:val="2"/>
    </w:pPr>
    <w:rPr>
      <w:rFonts w:ascii="Times New Roman" w:eastAsia="Times New Roman" w:hAnsi="Times New Roman" w:cs="Times New Roman"/>
      <w:i/>
      <w:kern w:val="0"/>
      <w:sz w:val="24"/>
      <w:szCs w:val="24"/>
    </w:rPr>
  </w:style>
  <w:style w:type="paragraph" w:customStyle="1" w:styleId="ManualHeading4">
    <w:name w:val="Manual Heading 4"/>
    <w:basedOn w:val="Normal"/>
    <w:next w:val="Text1"/>
    <w:rsid w:val="005F11B9"/>
    <w:pPr>
      <w:keepNext/>
      <w:tabs>
        <w:tab w:val="left" w:pos="850"/>
      </w:tabs>
      <w:spacing w:before="120" w:after="120" w:line="240" w:lineRule="auto"/>
      <w:ind w:left="850" w:hanging="850"/>
      <w:jc w:val="both"/>
      <w:outlineLvl w:val="3"/>
    </w:pPr>
    <w:rPr>
      <w:rFonts w:ascii="Times New Roman" w:eastAsia="Times New Roman" w:hAnsi="Times New Roman" w:cs="Times New Roman"/>
      <w:kern w:val="0"/>
      <w:sz w:val="24"/>
      <w:szCs w:val="24"/>
    </w:rPr>
  </w:style>
  <w:style w:type="paragraph" w:customStyle="1" w:styleId="ChapterTitle">
    <w:name w:val="ChapterTitle"/>
    <w:basedOn w:val="Normal"/>
    <w:next w:val="Normal"/>
    <w:rsid w:val="005F11B9"/>
    <w:pPr>
      <w:keepNext/>
      <w:spacing w:before="120" w:after="360" w:line="240" w:lineRule="auto"/>
      <w:jc w:val="center"/>
    </w:pPr>
    <w:rPr>
      <w:rFonts w:ascii="Times New Roman" w:eastAsia="Times New Roman" w:hAnsi="Times New Roman" w:cs="Times New Roman"/>
      <w:b/>
      <w:kern w:val="0"/>
      <w:sz w:val="32"/>
      <w:szCs w:val="24"/>
    </w:rPr>
  </w:style>
  <w:style w:type="paragraph" w:customStyle="1" w:styleId="PartTitle">
    <w:name w:val="PartTitle"/>
    <w:basedOn w:val="Normal"/>
    <w:next w:val="ChapterTitle"/>
    <w:rsid w:val="005F11B9"/>
    <w:pPr>
      <w:keepNext/>
      <w:pageBreakBefore/>
      <w:spacing w:before="120" w:after="360" w:line="240" w:lineRule="auto"/>
      <w:jc w:val="center"/>
    </w:pPr>
    <w:rPr>
      <w:rFonts w:ascii="Times New Roman" w:eastAsia="Times New Roman" w:hAnsi="Times New Roman" w:cs="Times New Roman"/>
      <w:b/>
      <w:kern w:val="0"/>
      <w:sz w:val="36"/>
      <w:szCs w:val="24"/>
    </w:rPr>
  </w:style>
  <w:style w:type="paragraph" w:customStyle="1" w:styleId="SectionTitle">
    <w:name w:val="SectionTitle"/>
    <w:basedOn w:val="Normal"/>
    <w:next w:val="Heading1"/>
    <w:rsid w:val="005F11B9"/>
    <w:pPr>
      <w:keepNext/>
      <w:spacing w:before="120" w:after="360" w:line="240" w:lineRule="auto"/>
      <w:jc w:val="center"/>
    </w:pPr>
    <w:rPr>
      <w:rFonts w:ascii="Times New Roman" w:eastAsia="Times New Roman" w:hAnsi="Times New Roman" w:cs="Times New Roman"/>
      <w:b/>
      <w:smallCaps/>
      <w:kern w:val="0"/>
      <w:sz w:val="28"/>
      <w:szCs w:val="24"/>
    </w:rPr>
  </w:style>
  <w:style w:type="paragraph" w:customStyle="1" w:styleId="TableTitle">
    <w:name w:val="Table Title"/>
    <w:basedOn w:val="Normal"/>
    <w:next w:val="Normal"/>
    <w:rsid w:val="005F11B9"/>
    <w:pPr>
      <w:spacing w:before="120" w:after="120" w:line="240" w:lineRule="auto"/>
      <w:jc w:val="center"/>
    </w:pPr>
    <w:rPr>
      <w:rFonts w:ascii="Times New Roman" w:eastAsia="Times New Roman" w:hAnsi="Times New Roman" w:cs="Times New Roman"/>
      <w:b/>
      <w:kern w:val="0"/>
      <w:sz w:val="24"/>
      <w:szCs w:val="24"/>
    </w:rPr>
  </w:style>
  <w:style w:type="paragraph" w:customStyle="1" w:styleId="Point0number">
    <w:name w:val="Point 0 (number)"/>
    <w:basedOn w:val="Normal"/>
    <w:rsid w:val="005F11B9"/>
    <w:pPr>
      <w:numPr>
        <w:ilvl w:val="2"/>
        <w:numId w:val="13"/>
      </w:numPr>
      <w:tabs>
        <w:tab w:val="num" w:pos="360"/>
      </w:tabs>
      <w:spacing w:before="120" w:after="120" w:line="240" w:lineRule="auto"/>
      <w:ind w:left="360" w:hanging="360"/>
      <w:jc w:val="both"/>
    </w:pPr>
    <w:rPr>
      <w:rFonts w:ascii="Times New Roman" w:eastAsia="Times New Roman" w:hAnsi="Times New Roman" w:cs="Times New Roman"/>
      <w:kern w:val="0"/>
      <w:sz w:val="24"/>
      <w:szCs w:val="24"/>
    </w:rPr>
  </w:style>
  <w:style w:type="paragraph" w:customStyle="1" w:styleId="Point1number">
    <w:name w:val="Point 1 (number)"/>
    <w:basedOn w:val="Normal"/>
    <w:rsid w:val="005F11B9"/>
    <w:pPr>
      <w:numPr>
        <w:ilvl w:val="4"/>
        <w:numId w:val="13"/>
      </w:numPr>
      <w:tabs>
        <w:tab w:val="num" w:pos="360"/>
      </w:tabs>
      <w:spacing w:before="120" w:after="120" w:line="240" w:lineRule="auto"/>
      <w:ind w:left="360"/>
      <w:jc w:val="both"/>
    </w:pPr>
    <w:rPr>
      <w:rFonts w:ascii="Times New Roman" w:eastAsia="Times New Roman" w:hAnsi="Times New Roman" w:cs="Times New Roman"/>
      <w:kern w:val="0"/>
      <w:sz w:val="24"/>
      <w:szCs w:val="24"/>
    </w:rPr>
  </w:style>
  <w:style w:type="paragraph" w:customStyle="1" w:styleId="Point2number">
    <w:name w:val="Point 2 (number)"/>
    <w:basedOn w:val="Normal"/>
    <w:rsid w:val="005F11B9"/>
    <w:pPr>
      <w:numPr>
        <w:ilvl w:val="6"/>
        <w:numId w:val="13"/>
      </w:numPr>
      <w:tabs>
        <w:tab w:val="num" w:pos="360"/>
        <w:tab w:val="num" w:pos="1984"/>
      </w:tabs>
      <w:spacing w:before="120" w:after="120" w:line="240" w:lineRule="auto"/>
      <w:ind w:left="1984"/>
      <w:jc w:val="both"/>
    </w:pPr>
    <w:rPr>
      <w:rFonts w:ascii="Times New Roman" w:eastAsia="Times New Roman" w:hAnsi="Times New Roman" w:cs="Times New Roman"/>
      <w:kern w:val="0"/>
      <w:sz w:val="24"/>
      <w:szCs w:val="24"/>
    </w:rPr>
  </w:style>
  <w:style w:type="paragraph" w:customStyle="1" w:styleId="Point3number">
    <w:name w:val="Point 3 (number)"/>
    <w:basedOn w:val="Normal"/>
    <w:rsid w:val="005F11B9"/>
    <w:pPr>
      <w:numPr>
        <w:ilvl w:val="1"/>
        <w:numId w:val="13"/>
      </w:numPr>
      <w:tabs>
        <w:tab w:val="num" w:pos="360"/>
        <w:tab w:val="num" w:pos="2551"/>
      </w:tabs>
      <w:spacing w:before="120" w:after="120" w:line="240" w:lineRule="auto"/>
      <w:ind w:left="2551"/>
      <w:jc w:val="both"/>
    </w:pPr>
    <w:rPr>
      <w:rFonts w:ascii="Times New Roman" w:eastAsia="Times New Roman" w:hAnsi="Times New Roman" w:cs="Times New Roman"/>
      <w:kern w:val="0"/>
      <w:sz w:val="24"/>
      <w:szCs w:val="24"/>
    </w:rPr>
  </w:style>
  <w:style w:type="paragraph" w:customStyle="1" w:styleId="Point0letter">
    <w:name w:val="Point 0 (letter)"/>
    <w:basedOn w:val="Normal"/>
    <w:rsid w:val="005F11B9"/>
    <w:pPr>
      <w:numPr>
        <w:ilvl w:val="3"/>
        <w:numId w:val="13"/>
      </w:numPr>
      <w:tabs>
        <w:tab w:val="num" w:pos="360"/>
      </w:tabs>
      <w:spacing w:before="120" w:after="120" w:line="240" w:lineRule="auto"/>
      <w:ind w:left="360" w:hanging="360"/>
      <w:jc w:val="both"/>
    </w:pPr>
    <w:rPr>
      <w:rFonts w:ascii="Times New Roman" w:eastAsia="Times New Roman" w:hAnsi="Times New Roman" w:cs="Times New Roman"/>
      <w:kern w:val="0"/>
      <w:sz w:val="24"/>
      <w:szCs w:val="24"/>
    </w:rPr>
  </w:style>
  <w:style w:type="paragraph" w:customStyle="1" w:styleId="Point1letter">
    <w:name w:val="Point 1 (letter)"/>
    <w:basedOn w:val="Normal"/>
    <w:rsid w:val="005F11B9"/>
    <w:pPr>
      <w:numPr>
        <w:ilvl w:val="5"/>
        <w:numId w:val="13"/>
      </w:numPr>
      <w:tabs>
        <w:tab w:val="num" w:pos="360"/>
      </w:tabs>
      <w:spacing w:before="120" w:after="120" w:line="240" w:lineRule="auto"/>
      <w:ind w:left="360"/>
      <w:jc w:val="both"/>
    </w:pPr>
    <w:rPr>
      <w:rFonts w:ascii="Times New Roman" w:eastAsia="Times New Roman" w:hAnsi="Times New Roman" w:cs="Times New Roman"/>
      <w:kern w:val="0"/>
      <w:sz w:val="24"/>
      <w:szCs w:val="24"/>
    </w:rPr>
  </w:style>
  <w:style w:type="paragraph" w:customStyle="1" w:styleId="Point2letter">
    <w:name w:val="Point 2 (letter)"/>
    <w:basedOn w:val="Normal"/>
    <w:rsid w:val="005F11B9"/>
    <w:pPr>
      <w:numPr>
        <w:ilvl w:val="7"/>
        <w:numId w:val="13"/>
      </w:numPr>
      <w:tabs>
        <w:tab w:val="num" w:pos="360"/>
        <w:tab w:val="num" w:pos="1984"/>
      </w:tabs>
      <w:spacing w:before="120" w:after="120" w:line="240" w:lineRule="auto"/>
      <w:ind w:left="1984"/>
      <w:jc w:val="both"/>
    </w:pPr>
    <w:rPr>
      <w:rFonts w:ascii="Times New Roman" w:eastAsia="Times New Roman" w:hAnsi="Times New Roman" w:cs="Times New Roman"/>
      <w:kern w:val="0"/>
      <w:sz w:val="24"/>
      <w:szCs w:val="24"/>
    </w:rPr>
  </w:style>
  <w:style w:type="paragraph" w:customStyle="1" w:styleId="Point3letter">
    <w:name w:val="Point 3 (letter)"/>
    <w:basedOn w:val="Normal"/>
    <w:rsid w:val="005F11B9"/>
    <w:pPr>
      <w:numPr>
        <w:ilvl w:val="8"/>
        <w:numId w:val="13"/>
      </w:numPr>
      <w:tabs>
        <w:tab w:val="num" w:pos="360"/>
        <w:tab w:val="num" w:pos="2551"/>
      </w:tabs>
      <w:spacing w:before="120" w:after="120" w:line="240" w:lineRule="auto"/>
      <w:ind w:left="2551"/>
      <w:jc w:val="both"/>
    </w:pPr>
    <w:rPr>
      <w:rFonts w:ascii="Times New Roman" w:eastAsia="Times New Roman" w:hAnsi="Times New Roman" w:cs="Times New Roman"/>
      <w:kern w:val="0"/>
      <w:sz w:val="24"/>
      <w:szCs w:val="24"/>
    </w:rPr>
  </w:style>
  <w:style w:type="paragraph" w:customStyle="1" w:styleId="Point4letter">
    <w:name w:val="Point 4 (letter)"/>
    <w:basedOn w:val="Normal"/>
    <w:rsid w:val="005F11B9"/>
    <w:pPr>
      <w:tabs>
        <w:tab w:val="num" w:pos="3118"/>
      </w:tabs>
      <w:spacing w:before="120" w:after="120" w:line="240" w:lineRule="auto"/>
      <w:ind w:left="3118" w:hanging="567"/>
      <w:jc w:val="both"/>
    </w:pPr>
    <w:rPr>
      <w:rFonts w:ascii="Times New Roman" w:eastAsia="Times New Roman" w:hAnsi="Times New Roman" w:cs="Times New Roman"/>
      <w:kern w:val="0"/>
      <w:sz w:val="24"/>
      <w:szCs w:val="24"/>
    </w:rPr>
  </w:style>
  <w:style w:type="paragraph" w:customStyle="1" w:styleId="Bullet0">
    <w:name w:val="Bullet 0"/>
    <w:basedOn w:val="Normal"/>
    <w:rsid w:val="005F11B9"/>
    <w:pPr>
      <w:numPr>
        <w:numId w:val="14"/>
      </w:numPr>
      <w:tabs>
        <w:tab w:val="num" w:pos="643"/>
      </w:tabs>
      <w:spacing w:before="120" w:after="120" w:line="240" w:lineRule="auto"/>
      <w:ind w:left="643" w:hanging="360"/>
      <w:jc w:val="both"/>
    </w:pPr>
    <w:rPr>
      <w:rFonts w:ascii="Times New Roman" w:eastAsia="Times New Roman" w:hAnsi="Times New Roman" w:cs="Times New Roman"/>
      <w:kern w:val="0"/>
      <w:sz w:val="24"/>
      <w:szCs w:val="24"/>
    </w:rPr>
  </w:style>
  <w:style w:type="paragraph" w:customStyle="1" w:styleId="Bullet1">
    <w:name w:val="Bullet 1"/>
    <w:basedOn w:val="Normal"/>
    <w:rsid w:val="005F11B9"/>
    <w:pPr>
      <w:numPr>
        <w:numId w:val="15"/>
      </w:numPr>
      <w:tabs>
        <w:tab w:val="num" w:pos="926"/>
      </w:tabs>
      <w:spacing w:before="120" w:after="120" w:line="240" w:lineRule="auto"/>
      <w:ind w:left="926" w:hanging="360"/>
      <w:jc w:val="both"/>
    </w:pPr>
    <w:rPr>
      <w:rFonts w:ascii="Times New Roman" w:eastAsia="Times New Roman" w:hAnsi="Times New Roman" w:cs="Times New Roman"/>
      <w:kern w:val="0"/>
      <w:sz w:val="24"/>
      <w:szCs w:val="24"/>
    </w:rPr>
  </w:style>
  <w:style w:type="paragraph" w:customStyle="1" w:styleId="Bullet2">
    <w:name w:val="Bullet 2"/>
    <w:basedOn w:val="Normal"/>
    <w:rsid w:val="005F11B9"/>
    <w:pPr>
      <w:numPr>
        <w:numId w:val="16"/>
      </w:numPr>
      <w:spacing w:before="120" w:after="120" w:line="240" w:lineRule="auto"/>
      <w:jc w:val="both"/>
    </w:pPr>
    <w:rPr>
      <w:rFonts w:ascii="Times New Roman" w:eastAsia="Times New Roman" w:hAnsi="Times New Roman" w:cs="Times New Roman"/>
      <w:kern w:val="0"/>
      <w:sz w:val="24"/>
      <w:szCs w:val="24"/>
    </w:rPr>
  </w:style>
  <w:style w:type="paragraph" w:customStyle="1" w:styleId="Bullet3">
    <w:name w:val="Bullet 3"/>
    <w:basedOn w:val="Normal"/>
    <w:rsid w:val="005F11B9"/>
    <w:pPr>
      <w:tabs>
        <w:tab w:val="num" w:pos="2551"/>
      </w:tabs>
      <w:spacing w:before="120" w:after="120" w:line="240" w:lineRule="auto"/>
      <w:ind w:left="2551" w:hanging="567"/>
      <w:jc w:val="both"/>
    </w:pPr>
    <w:rPr>
      <w:rFonts w:ascii="Times New Roman" w:eastAsia="Times New Roman" w:hAnsi="Times New Roman" w:cs="Times New Roman"/>
      <w:kern w:val="0"/>
      <w:sz w:val="24"/>
      <w:szCs w:val="24"/>
    </w:rPr>
  </w:style>
  <w:style w:type="paragraph" w:customStyle="1" w:styleId="Bullet4">
    <w:name w:val="Bullet 4"/>
    <w:basedOn w:val="Normal"/>
    <w:rsid w:val="005F11B9"/>
    <w:pPr>
      <w:numPr>
        <w:numId w:val="17"/>
      </w:numPr>
      <w:spacing w:before="120" w:after="120" w:line="240" w:lineRule="auto"/>
      <w:jc w:val="both"/>
    </w:pPr>
    <w:rPr>
      <w:rFonts w:ascii="Times New Roman" w:eastAsia="Times New Roman" w:hAnsi="Times New Roman" w:cs="Times New Roman"/>
      <w:kern w:val="0"/>
      <w:sz w:val="24"/>
      <w:szCs w:val="24"/>
    </w:rPr>
  </w:style>
  <w:style w:type="paragraph" w:customStyle="1" w:styleId="Rfrenceinterne">
    <w:name w:val="Référence interne"/>
    <w:basedOn w:val="Normal"/>
    <w:next w:val="Rfrenceinterinstitutionnelle"/>
    <w:rsid w:val="005F11B9"/>
    <w:pPr>
      <w:spacing w:after="0" w:line="240" w:lineRule="auto"/>
      <w:ind w:left="5103"/>
    </w:pPr>
    <w:rPr>
      <w:rFonts w:ascii="Times New Roman" w:eastAsia="Times New Roman" w:hAnsi="Times New Roman" w:cs="Times New Roman"/>
      <w:kern w:val="0"/>
      <w:sz w:val="24"/>
      <w:szCs w:val="24"/>
    </w:rPr>
  </w:style>
  <w:style w:type="paragraph" w:customStyle="1" w:styleId="Langue">
    <w:name w:val="Langue"/>
    <w:basedOn w:val="Normal"/>
    <w:next w:val="Rfrenceinterne"/>
    <w:rsid w:val="005F11B9"/>
    <w:pPr>
      <w:framePr w:wrap="around" w:vAnchor="page" w:hAnchor="text" w:xAlign="center" w:y="14741"/>
      <w:spacing w:after="600" w:line="240" w:lineRule="auto"/>
      <w:jc w:val="center"/>
    </w:pPr>
    <w:rPr>
      <w:rFonts w:ascii="Times New Roman" w:eastAsia="Times New Roman" w:hAnsi="Times New Roman" w:cs="Times New Roman"/>
      <w:b/>
      <w:caps/>
      <w:kern w:val="0"/>
      <w:sz w:val="24"/>
      <w:szCs w:val="24"/>
    </w:rPr>
  </w:style>
  <w:style w:type="paragraph" w:customStyle="1" w:styleId="Rfrenceinterinstitutionnelle">
    <w:name w:val="Référence interinstitutionnelle"/>
    <w:basedOn w:val="Normal"/>
    <w:next w:val="Statut"/>
    <w:rsid w:val="005F11B9"/>
    <w:pPr>
      <w:spacing w:after="0" w:line="240" w:lineRule="auto"/>
      <w:ind w:left="5103"/>
    </w:pPr>
    <w:rPr>
      <w:rFonts w:ascii="Times New Roman" w:eastAsia="Times New Roman" w:hAnsi="Times New Roman" w:cs="Times New Roman"/>
      <w:kern w:val="0"/>
      <w:sz w:val="24"/>
      <w:szCs w:val="24"/>
    </w:rPr>
  </w:style>
  <w:style w:type="paragraph" w:customStyle="1" w:styleId="Statut">
    <w:name w:val="Statut"/>
    <w:basedOn w:val="Normal"/>
    <w:next w:val="Typedudocument"/>
    <w:rsid w:val="005F11B9"/>
    <w:pPr>
      <w:spacing w:before="360" w:after="0" w:line="240" w:lineRule="auto"/>
      <w:jc w:val="center"/>
    </w:pPr>
    <w:rPr>
      <w:rFonts w:ascii="Times New Roman" w:eastAsia="Times New Roman" w:hAnsi="Times New Roman" w:cs="Times New Roman"/>
      <w:kern w:val="0"/>
      <w:sz w:val="24"/>
      <w:szCs w:val="24"/>
    </w:rPr>
  </w:style>
  <w:style w:type="paragraph" w:customStyle="1" w:styleId="Typedudocument">
    <w:name w:val="Type du document"/>
    <w:basedOn w:val="Normal"/>
    <w:next w:val="Titreobjet"/>
    <w:rsid w:val="005F11B9"/>
    <w:pPr>
      <w:spacing w:before="360" w:after="0" w:line="240" w:lineRule="auto"/>
      <w:jc w:val="center"/>
    </w:pPr>
    <w:rPr>
      <w:rFonts w:ascii="Times New Roman" w:eastAsia="Times New Roman" w:hAnsi="Times New Roman" w:cs="Times New Roman"/>
      <w:b/>
      <w:kern w:val="0"/>
      <w:sz w:val="24"/>
      <w:szCs w:val="24"/>
    </w:rPr>
  </w:style>
  <w:style w:type="paragraph" w:customStyle="1" w:styleId="Titreobjet">
    <w:name w:val="Titre objet"/>
    <w:basedOn w:val="Normal"/>
    <w:next w:val="IntrtEEE"/>
    <w:rsid w:val="005F11B9"/>
    <w:pPr>
      <w:spacing w:before="360" w:after="360" w:line="240" w:lineRule="auto"/>
      <w:jc w:val="center"/>
    </w:pPr>
    <w:rPr>
      <w:rFonts w:ascii="Times New Roman" w:eastAsia="Times New Roman" w:hAnsi="Times New Roman" w:cs="Times New Roman"/>
      <w:b/>
      <w:kern w:val="0"/>
      <w:sz w:val="24"/>
      <w:szCs w:val="24"/>
    </w:rPr>
  </w:style>
  <w:style w:type="paragraph" w:customStyle="1" w:styleId="IntrtEEE">
    <w:name w:val="Intérêt EEE"/>
    <w:basedOn w:val="Languesfaisantfoi"/>
    <w:next w:val="Normal"/>
    <w:rsid w:val="004C6268"/>
    <w:pPr>
      <w:spacing w:after="0"/>
    </w:pPr>
  </w:style>
  <w:style w:type="paragraph" w:customStyle="1" w:styleId="Languesfaisantfoi">
    <w:name w:val="Langues faisant foi"/>
    <w:basedOn w:val="Normal"/>
    <w:next w:val="Normal"/>
    <w:rsid w:val="004C6268"/>
    <w:pPr>
      <w:spacing w:before="360" w:after="240" w:line="240" w:lineRule="auto"/>
      <w:jc w:val="center"/>
    </w:pPr>
    <w:rPr>
      <w:rFonts w:ascii="Times New Roman" w:hAnsi="Times New Roman" w:cs="Times New Roman"/>
      <w:kern w:val="0"/>
      <w:sz w:val="24"/>
      <w:lang w:eastAsia="en-US"/>
      <w14:ligatures w14:val="none"/>
    </w:rPr>
  </w:style>
  <w:style w:type="paragraph" w:customStyle="1" w:styleId="Emission">
    <w:name w:val="Emission"/>
    <w:basedOn w:val="Normal"/>
    <w:next w:val="Rfrenceinstitutionnelle"/>
    <w:rsid w:val="005F11B9"/>
    <w:pPr>
      <w:spacing w:after="0" w:line="240" w:lineRule="auto"/>
      <w:ind w:left="5103"/>
    </w:pPr>
    <w:rPr>
      <w:rFonts w:ascii="Times New Roman" w:eastAsia="Times New Roman" w:hAnsi="Times New Roman" w:cs="Times New Roman"/>
      <w:kern w:val="0"/>
      <w:sz w:val="24"/>
      <w:szCs w:val="24"/>
    </w:rPr>
  </w:style>
  <w:style w:type="paragraph" w:customStyle="1" w:styleId="Nomdelinstitution">
    <w:name w:val="Nom de l'institution"/>
    <w:basedOn w:val="Normal"/>
    <w:next w:val="Emission"/>
    <w:rsid w:val="005F11B9"/>
    <w:pPr>
      <w:spacing w:after="0" w:line="240" w:lineRule="auto"/>
    </w:pPr>
    <w:rPr>
      <w:rFonts w:ascii="Arial" w:eastAsia="Times New Roman" w:hAnsi="Arial" w:cs="Arial"/>
      <w:kern w:val="0"/>
      <w:sz w:val="24"/>
      <w:szCs w:val="24"/>
    </w:rPr>
  </w:style>
  <w:style w:type="paragraph" w:customStyle="1" w:styleId="Rfrenceinstitutionnelle">
    <w:name w:val="Référence institutionnelle"/>
    <w:basedOn w:val="Normal"/>
    <w:next w:val="Confidentialit"/>
    <w:rsid w:val="005F11B9"/>
    <w:pPr>
      <w:spacing w:after="240" w:line="240" w:lineRule="auto"/>
      <w:ind w:left="5103"/>
    </w:pPr>
    <w:rPr>
      <w:rFonts w:ascii="Times New Roman" w:eastAsia="Times New Roman" w:hAnsi="Times New Roman" w:cs="Times New Roman"/>
      <w:kern w:val="0"/>
      <w:sz w:val="24"/>
      <w:szCs w:val="24"/>
    </w:rPr>
  </w:style>
  <w:style w:type="paragraph" w:customStyle="1" w:styleId="Confidentialit">
    <w:name w:val="Confidentialité"/>
    <w:basedOn w:val="Normal"/>
    <w:next w:val="TypedudocumentPagedecouverture"/>
    <w:rsid w:val="005F11B9"/>
    <w:pPr>
      <w:spacing w:before="240" w:after="240" w:line="240" w:lineRule="auto"/>
      <w:ind w:left="5103"/>
    </w:pPr>
    <w:rPr>
      <w:rFonts w:ascii="Times New Roman" w:eastAsia="Times New Roman" w:hAnsi="Times New Roman" w:cs="Times New Roman"/>
      <w:i/>
      <w:kern w:val="0"/>
      <w:sz w:val="32"/>
      <w:szCs w:val="24"/>
    </w:rPr>
  </w:style>
  <w:style w:type="paragraph" w:customStyle="1" w:styleId="TypedudocumentPagedecouverture">
    <w:name w:val="Type du document (Page de couverture)"/>
    <w:basedOn w:val="Typedudocument"/>
    <w:next w:val="TitreobjetPagedecouverture"/>
    <w:rsid w:val="005F11B9"/>
  </w:style>
  <w:style w:type="paragraph" w:customStyle="1" w:styleId="TitreobjetPagedecouverture">
    <w:name w:val="Titre objet (Page de couverture)"/>
    <w:basedOn w:val="Titreobjet"/>
    <w:next w:val="IntrtEEEPagedecouverture"/>
    <w:rsid w:val="005F11B9"/>
  </w:style>
  <w:style w:type="paragraph" w:customStyle="1" w:styleId="IntrtEEEPagedecouverture">
    <w:name w:val="Intérêt EEE (Page de couverture)"/>
    <w:basedOn w:val="IntrtEEE"/>
    <w:next w:val="Normal"/>
    <w:rsid w:val="004C6268"/>
  </w:style>
  <w:style w:type="paragraph" w:customStyle="1" w:styleId="Rfrencecroise">
    <w:name w:val="Référence croisée"/>
    <w:basedOn w:val="Normal"/>
    <w:rsid w:val="005F11B9"/>
    <w:pPr>
      <w:spacing w:after="0" w:line="240" w:lineRule="auto"/>
      <w:jc w:val="center"/>
    </w:pPr>
    <w:rPr>
      <w:rFonts w:ascii="Times New Roman" w:eastAsia="Times New Roman" w:hAnsi="Times New Roman" w:cs="Times New Roman"/>
      <w:kern w:val="0"/>
      <w:sz w:val="24"/>
      <w:szCs w:val="24"/>
    </w:rPr>
  </w:style>
  <w:style w:type="paragraph" w:customStyle="1" w:styleId="Pagedecouverture">
    <w:name w:val="Page de couverture"/>
    <w:basedOn w:val="Normal"/>
    <w:next w:val="Normal"/>
    <w:rsid w:val="005F11B9"/>
    <w:pPr>
      <w:spacing w:after="0" w:line="240" w:lineRule="auto"/>
      <w:jc w:val="both"/>
    </w:pPr>
    <w:rPr>
      <w:rFonts w:ascii="Times New Roman" w:eastAsia="Times New Roman" w:hAnsi="Times New Roman" w:cs="Times New Roman"/>
      <w:kern w:val="0"/>
      <w:sz w:val="24"/>
      <w:szCs w:val="24"/>
    </w:rPr>
  </w:style>
  <w:style w:type="paragraph" w:customStyle="1" w:styleId="Declassification">
    <w:name w:val="Declassification"/>
    <w:basedOn w:val="Normal"/>
    <w:next w:val="Normal"/>
    <w:rsid w:val="005F11B9"/>
    <w:pPr>
      <w:spacing w:after="0" w:line="240" w:lineRule="auto"/>
      <w:jc w:val="both"/>
    </w:pPr>
    <w:rPr>
      <w:rFonts w:ascii="Times New Roman" w:eastAsia="Times New Roman" w:hAnsi="Times New Roman" w:cs="Times New Roman"/>
      <w:kern w:val="0"/>
      <w:sz w:val="24"/>
      <w:szCs w:val="24"/>
    </w:rPr>
  </w:style>
  <w:style w:type="paragraph" w:customStyle="1" w:styleId="Disclaimer">
    <w:name w:val="Disclaimer"/>
    <w:basedOn w:val="Normal"/>
    <w:rsid w:val="005F11B9"/>
    <w:pPr>
      <w:framePr w:w="8220" w:wrap="notBeside" w:hAnchor="margin" w:xAlign="center" w:y="10401"/>
      <w:pBdr>
        <w:top w:val="single" w:sz="6" w:space="4" w:color="auto"/>
        <w:left w:val="single" w:sz="6" w:space="7" w:color="auto"/>
        <w:bottom w:val="single" w:sz="6" w:space="4" w:color="auto"/>
        <w:right w:val="single" w:sz="6" w:space="7" w:color="auto"/>
      </w:pBdr>
      <w:spacing w:before="120" w:after="120" w:line="240" w:lineRule="auto"/>
      <w:jc w:val="both"/>
    </w:pPr>
    <w:rPr>
      <w:rFonts w:ascii="Times New Roman" w:eastAsia="Times New Roman" w:hAnsi="Times New Roman" w:cs="Times New Roman"/>
      <w:kern w:val="0"/>
      <w:sz w:val="24"/>
      <w:szCs w:val="24"/>
    </w:rPr>
  </w:style>
  <w:style w:type="paragraph" w:customStyle="1" w:styleId="SecurityMarking">
    <w:name w:val="SecurityMarking"/>
    <w:basedOn w:val="Normal"/>
    <w:rsid w:val="005F11B9"/>
    <w:pPr>
      <w:spacing w:after="0" w:line="240" w:lineRule="auto"/>
      <w:ind w:left="5103"/>
    </w:pPr>
    <w:rPr>
      <w:rFonts w:ascii="Times New Roman" w:eastAsia="Times New Roman" w:hAnsi="Times New Roman" w:cs="Times New Roman"/>
      <w:kern w:val="0"/>
      <w:sz w:val="28"/>
      <w:szCs w:val="24"/>
    </w:rPr>
  </w:style>
  <w:style w:type="paragraph" w:customStyle="1" w:styleId="DateMarking">
    <w:name w:val="DateMarking"/>
    <w:basedOn w:val="Normal"/>
    <w:rsid w:val="005F11B9"/>
    <w:pPr>
      <w:spacing w:after="0" w:line="240" w:lineRule="auto"/>
      <w:ind w:left="5103"/>
    </w:pPr>
    <w:rPr>
      <w:rFonts w:ascii="Times New Roman" w:eastAsia="Times New Roman" w:hAnsi="Times New Roman" w:cs="Times New Roman"/>
      <w:i/>
      <w:kern w:val="0"/>
      <w:sz w:val="28"/>
      <w:szCs w:val="24"/>
    </w:rPr>
  </w:style>
  <w:style w:type="paragraph" w:customStyle="1" w:styleId="ReleasableTo">
    <w:name w:val="ReleasableTo"/>
    <w:basedOn w:val="Normal"/>
    <w:rsid w:val="005F11B9"/>
    <w:pPr>
      <w:spacing w:after="0" w:line="240" w:lineRule="auto"/>
      <w:ind w:left="5103"/>
    </w:pPr>
    <w:rPr>
      <w:rFonts w:ascii="Times New Roman" w:eastAsia="Times New Roman" w:hAnsi="Times New Roman" w:cs="Times New Roman"/>
      <w:i/>
      <w:kern w:val="0"/>
      <w:sz w:val="28"/>
      <w:szCs w:val="24"/>
    </w:rPr>
  </w:style>
  <w:style w:type="paragraph" w:customStyle="1" w:styleId="Annexetitreexpos">
    <w:name w:val="Annexe titre (exposé)"/>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Annexetitre">
    <w:name w:val="Annexe tit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Annexetitrefichefinancire">
    <w:name w:val="Annexe titre (fiche financiè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Fait">
    <w:name w:val="Fait à"/>
    <w:basedOn w:val="Normal"/>
    <w:next w:val="Institutionquisigne"/>
    <w:rsid w:val="005F11B9"/>
    <w:pPr>
      <w:keepNext/>
      <w:spacing w:before="120" w:after="0" w:line="240" w:lineRule="auto"/>
      <w:jc w:val="both"/>
    </w:pPr>
    <w:rPr>
      <w:rFonts w:ascii="Times New Roman" w:eastAsia="Times New Roman" w:hAnsi="Times New Roman" w:cs="Times New Roman"/>
      <w:kern w:val="0"/>
      <w:sz w:val="24"/>
      <w:szCs w:val="24"/>
    </w:rPr>
  </w:style>
  <w:style w:type="paragraph" w:customStyle="1" w:styleId="Applicationdirecte">
    <w:name w:val="Application directe"/>
    <w:basedOn w:val="Normal"/>
    <w:next w:val="Fait"/>
    <w:rsid w:val="005F11B9"/>
    <w:pPr>
      <w:spacing w:before="480" w:after="120" w:line="240" w:lineRule="auto"/>
      <w:jc w:val="both"/>
    </w:pPr>
    <w:rPr>
      <w:rFonts w:ascii="Times New Roman" w:eastAsia="Times New Roman" w:hAnsi="Times New Roman" w:cs="Times New Roman"/>
      <w:kern w:val="0"/>
      <w:sz w:val="24"/>
      <w:szCs w:val="24"/>
    </w:rPr>
  </w:style>
  <w:style w:type="paragraph" w:customStyle="1" w:styleId="Institutionquisigne">
    <w:name w:val="Institution qui signe"/>
    <w:basedOn w:val="Normal"/>
    <w:next w:val="Personnequisigne"/>
    <w:rsid w:val="005F11B9"/>
    <w:pPr>
      <w:keepNext/>
      <w:tabs>
        <w:tab w:val="left" w:pos="4252"/>
      </w:tabs>
      <w:spacing w:before="720" w:after="0" w:line="240" w:lineRule="auto"/>
      <w:jc w:val="both"/>
    </w:pPr>
    <w:rPr>
      <w:rFonts w:ascii="Times New Roman" w:eastAsia="Times New Roman" w:hAnsi="Times New Roman" w:cs="Times New Roman"/>
      <w:i/>
      <w:kern w:val="0"/>
      <w:sz w:val="24"/>
      <w:szCs w:val="24"/>
    </w:rPr>
  </w:style>
  <w:style w:type="paragraph" w:customStyle="1" w:styleId="Personnequisigne">
    <w:name w:val="Personne qui signe"/>
    <w:basedOn w:val="Normal"/>
    <w:next w:val="Institutionquisigne"/>
    <w:rsid w:val="005F11B9"/>
    <w:pPr>
      <w:tabs>
        <w:tab w:val="left" w:pos="4252"/>
      </w:tabs>
      <w:spacing w:after="0" w:line="240" w:lineRule="auto"/>
    </w:pPr>
    <w:rPr>
      <w:rFonts w:ascii="Times New Roman" w:eastAsia="Times New Roman" w:hAnsi="Times New Roman" w:cs="Times New Roman"/>
      <w:i/>
      <w:kern w:val="0"/>
      <w:sz w:val="24"/>
      <w:szCs w:val="24"/>
    </w:rPr>
  </w:style>
  <w:style w:type="paragraph" w:customStyle="1" w:styleId="Avertissementtitre">
    <w:name w:val="Avertissement titre"/>
    <w:basedOn w:val="Normal"/>
    <w:next w:val="Normal"/>
    <w:rsid w:val="005F11B9"/>
    <w:pPr>
      <w:keepNext/>
      <w:spacing w:before="480" w:after="120" w:line="240" w:lineRule="auto"/>
      <w:jc w:val="both"/>
    </w:pPr>
    <w:rPr>
      <w:rFonts w:ascii="Times New Roman" w:eastAsia="Times New Roman" w:hAnsi="Times New Roman" w:cs="Times New Roman"/>
      <w:kern w:val="0"/>
      <w:sz w:val="24"/>
      <w:szCs w:val="24"/>
      <w:u w:val="single"/>
    </w:rPr>
  </w:style>
  <w:style w:type="paragraph" w:customStyle="1" w:styleId="Confidence">
    <w:name w:val="Confidence"/>
    <w:basedOn w:val="Normal"/>
    <w:next w:val="Normal"/>
    <w:rsid w:val="005F11B9"/>
    <w:pPr>
      <w:spacing w:before="360" w:after="120" w:line="240" w:lineRule="auto"/>
      <w:jc w:val="center"/>
    </w:pPr>
    <w:rPr>
      <w:rFonts w:ascii="Times New Roman" w:eastAsia="Times New Roman" w:hAnsi="Times New Roman" w:cs="Times New Roman"/>
      <w:kern w:val="0"/>
      <w:sz w:val="24"/>
      <w:szCs w:val="24"/>
    </w:rPr>
  </w:style>
  <w:style w:type="paragraph" w:customStyle="1" w:styleId="Considrant">
    <w:name w:val="Considérant"/>
    <w:basedOn w:val="Normal"/>
    <w:rsid w:val="005F11B9"/>
    <w:pPr>
      <w:tabs>
        <w:tab w:val="num" w:pos="709"/>
      </w:tabs>
      <w:spacing w:before="120" w:after="120" w:line="240" w:lineRule="auto"/>
      <w:ind w:left="709" w:hanging="709"/>
      <w:jc w:val="both"/>
    </w:pPr>
    <w:rPr>
      <w:rFonts w:ascii="Times New Roman" w:eastAsia="Times New Roman" w:hAnsi="Times New Roman" w:cs="Times New Roman"/>
      <w:kern w:val="0"/>
      <w:sz w:val="24"/>
      <w:szCs w:val="24"/>
    </w:rPr>
  </w:style>
  <w:style w:type="paragraph" w:customStyle="1" w:styleId="Corrigendum">
    <w:name w:val="Corrigendum"/>
    <w:basedOn w:val="Normal"/>
    <w:next w:val="Normal"/>
    <w:rsid w:val="005F11B9"/>
    <w:pPr>
      <w:spacing w:after="240" w:line="240" w:lineRule="auto"/>
    </w:pPr>
    <w:rPr>
      <w:rFonts w:ascii="Times New Roman" w:eastAsia="Times New Roman" w:hAnsi="Times New Roman" w:cs="Times New Roman"/>
      <w:kern w:val="0"/>
      <w:sz w:val="24"/>
      <w:szCs w:val="24"/>
    </w:rPr>
  </w:style>
  <w:style w:type="paragraph" w:customStyle="1" w:styleId="Datedadoption">
    <w:name w:val="Date d'adoption"/>
    <w:basedOn w:val="Normal"/>
    <w:next w:val="Titreobjet"/>
    <w:rsid w:val="005F11B9"/>
    <w:pPr>
      <w:spacing w:before="360" w:after="0" w:line="240" w:lineRule="auto"/>
      <w:jc w:val="center"/>
    </w:pPr>
    <w:rPr>
      <w:rFonts w:ascii="Times New Roman" w:eastAsia="Times New Roman" w:hAnsi="Times New Roman" w:cs="Times New Roman"/>
      <w:b/>
      <w:kern w:val="0"/>
      <w:sz w:val="24"/>
      <w:szCs w:val="24"/>
    </w:rPr>
  </w:style>
  <w:style w:type="paragraph" w:customStyle="1" w:styleId="Exposdesmotifstitre">
    <w:name w:val="Exposé des motifs tit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Titrearticle">
    <w:name w:val="Titre article"/>
    <w:basedOn w:val="Normal"/>
    <w:next w:val="Normal"/>
    <w:rsid w:val="005F11B9"/>
    <w:pPr>
      <w:keepNext/>
      <w:spacing w:before="360" w:after="120" w:line="240" w:lineRule="auto"/>
      <w:jc w:val="center"/>
    </w:pPr>
    <w:rPr>
      <w:rFonts w:ascii="Times New Roman" w:eastAsia="Times New Roman" w:hAnsi="Times New Roman" w:cs="Times New Roman"/>
      <w:i/>
      <w:kern w:val="0"/>
      <w:sz w:val="24"/>
      <w:szCs w:val="24"/>
    </w:rPr>
  </w:style>
  <w:style w:type="paragraph" w:customStyle="1" w:styleId="Formuledadoption">
    <w:name w:val="Formule d'adoption"/>
    <w:basedOn w:val="Normal"/>
    <w:next w:val="Titrearticle"/>
    <w:rsid w:val="005F11B9"/>
    <w:pPr>
      <w:keepNext/>
      <w:spacing w:before="120" w:after="120" w:line="240" w:lineRule="auto"/>
      <w:jc w:val="both"/>
    </w:pPr>
    <w:rPr>
      <w:rFonts w:ascii="Times New Roman" w:eastAsia="Times New Roman" w:hAnsi="Times New Roman" w:cs="Times New Roman"/>
      <w:kern w:val="0"/>
      <w:sz w:val="24"/>
      <w:szCs w:val="24"/>
    </w:rPr>
  </w:style>
  <w:style w:type="paragraph" w:customStyle="1" w:styleId="Institutionquiagit">
    <w:name w:val="Institution qui agit"/>
    <w:basedOn w:val="Normal"/>
    <w:next w:val="Normal"/>
    <w:rsid w:val="005F11B9"/>
    <w:pPr>
      <w:keepNext/>
      <w:spacing w:before="600" w:after="120" w:line="240" w:lineRule="auto"/>
      <w:jc w:val="both"/>
    </w:pPr>
    <w:rPr>
      <w:rFonts w:ascii="Times New Roman" w:eastAsia="Times New Roman" w:hAnsi="Times New Roman" w:cs="Times New Roman"/>
      <w:kern w:val="0"/>
      <w:sz w:val="24"/>
      <w:szCs w:val="24"/>
    </w:rPr>
  </w:style>
  <w:style w:type="paragraph" w:customStyle="1" w:styleId="ManualConsidrant">
    <w:name w:val="Manual Considérant"/>
    <w:basedOn w:val="Normal"/>
    <w:rsid w:val="005F11B9"/>
    <w:pPr>
      <w:spacing w:before="120" w:after="120" w:line="240" w:lineRule="auto"/>
      <w:ind w:left="709" w:hanging="709"/>
      <w:jc w:val="both"/>
    </w:pPr>
    <w:rPr>
      <w:rFonts w:ascii="Times New Roman" w:eastAsia="Times New Roman" w:hAnsi="Times New Roman" w:cs="Times New Roman"/>
      <w:kern w:val="0"/>
      <w:sz w:val="24"/>
      <w:szCs w:val="24"/>
    </w:rPr>
  </w:style>
  <w:style w:type="paragraph" w:customStyle="1" w:styleId="Address">
    <w:name w:val="Address"/>
    <w:basedOn w:val="Normal"/>
    <w:next w:val="Normal"/>
    <w:rsid w:val="005F11B9"/>
    <w:pPr>
      <w:keepLines/>
      <w:spacing w:before="120" w:after="120" w:line="360" w:lineRule="auto"/>
      <w:ind w:left="3402"/>
    </w:pPr>
    <w:rPr>
      <w:rFonts w:ascii="Times New Roman" w:eastAsia="Times New Roman" w:hAnsi="Times New Roman" w:cs="Times New Roman"/>
      <w:kern w:val="0"/>
      <w:sz w:val="24"/>
      <w:szCs w:val="24"/>
    </w:rPr>
  </w:style>
  <w:style w:type="paragraph" w:customStyle="1" w:styleId="Objetexterne">
    <w:name w:val="Objet externe"/>
    <w:basedOn w:val="Normal"/>
    <w:next w:val="Normal"/>
    <w:rsid w:val="005F11B9"/>
    <w:pPr>
      <w:spacing w:before="120" w:after="120" w:line="240" w:lineRule="auto"/>
      <w:jc w:val="both"/>
    </w:pPr>
    <w:rPr>
      <w:rFonts w:ascii="Times New Roman" w:eastAsia="Times New Roman" w:hAnsi="Times New Roman" w:cs="Times New Roman"/>
      <w:i/>
      <w:caps/>
      <w:kern w:val="0"/>
      <w:sz w:val="24"/>
      <w:szCs w:val="24"/>
    </w:rPr>
  </w:style>
  <w:style w:type="paragraph" w:customStyle="1" w:styleId="Supertitre">
    <w:name w:val="Supertitre"/>
    <w:basedOn w:val="Normal"/>
    <w:next w:val="Normal"/>
    <w:rsid w:val="005F11B9"/>
    <w:pPr>
      <w:spacing w:after="600" w:line="240" w:lineRule="auto"/>
      <w:jc w:val="center"/>
    </w:pPr>
    <w:rPr>
      <w:rFonts w:ascii="Times New Roman" w:eastAsia="Times New Roman" w:hAnsi="Times New Roman" w:cs="Times New Roman"/>
      <w:b/>
      <w:kern w:val="0"/>
      <w:sz w:val="24"/>
      <w:szCs w:val="24"/>
    </w:rPr>
  </w:style>
  <w:style w:type="paragraph" w:customStyle="1" w:styleId="Fichefinanciretitre">
    <w:name w:val="Fiche financière tit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DatedadoptionPagedecouverture">
    <w:name w:val="Date d'adoption (Page de couverture)"/>
    <w:basedOn w:val="Datedadoption"/>
    <w:next w:val="TitreobjetPagedecouverture"/>
    <w:rsid w:val="005F11B9"/>
  </w:style>
  <w:style w:type="paragraph" w:customStyle="1" w:styleId="RfrenceinterinstitutionnellePagedecouverture">
    <w:name w:val="Référence interinstitutionnelle (Page de couverture)"/>
    <w:basedOn w:val="Rfrenceinterinstitutionnelle"/>
    <w:next w:val="Confidentialit"/>
    <w:rsid w:val="005F11B9"/>
  </w:style>
  <w:style w:type="paragraph" w:customStyle="1" w:styleId="StatutPagedecouverture">
    <w:name w:val="Statut (Page de couverture)"/>
    <w:basedOn w:val="Statut"/>
    <w:next w:val="TypedudocumentPagedecouverture"/>
    <w:rsid w:val="005F11B9"/>
  </w:style>
  <w:style w:type="paragraph" w:customStyle="1" w:styleId="Volume">
    <w:name w:val="Volume"/>
    <w:basedOn w:val="Normal"/>
    <w:next w:val="Confidentialit"/>
    <w:rsid w:val="005F11B9"/>
    <w:pPr>
      <w:spacing w:after="240" w:line="240" w:lineRule="auto"/>
      <w:ind w:left="5103"/>
    </w:pPr>
    <w:rPr>
      <w:rFonts w:ascii="Times New Roman" w:eastAsia="Times New Roman" w:hAnsi="Times New Roman" w:cs="Times New Roman"/>
      <w:kern w:val="0"/>
      <w:sz w:val="24"/>
      <w:szCs w:val="24"/>
    </w:rPr>
  </w:style>
  <w:style w:type="paragraph" w:customStyle="1" w:styleId="Typeacteprincipal">
    <w:name w:val="Type acte principal"/>
    <w:basedOn w:val="Normal"/>
    <w:next w:val="Objetacteprincipal"/>
    <w:rsid w:val="005F11B9"/>
    <w:pPr>
      <w:spacing w:after="240" w:line="240" w:lineRule="auto"/>
      <w:jc w:val="center"/>
    </w:pPr>
    <w:rPr>
      <w:rFonts w:ascii="Times New Roman" w:eastAsia="Times New Roman" w:hAnsi="Times New Roman" w:cs="Times New Roman"/>
      <w:b/>
      <w:kern w:val="0"/>
      <w:sz w:val="24"/>
      <w:szCs w:val="24"/>
    </w:rPr>
  </w:style>
  <w:style w:type="paragraph" w:customStyle="1" w:styleId="Accompagnant">
    <w:name w:val="Accompagnant"/>
    <w:basedOn w:val="Normal"/>
    <w:next w:val="Typeacteprincipal"/>
    <w:rsid w:val="005F11B9"/>
    <w:pPr>
      <w:spacing w:after="240" w:line="240" w:lineRule="auto"/>
      <w:jc w:val="center"/>
    </w:pPr>
    <w:rPr>
      <w:rFonts w:ascii="Times New Roman" w:eastAsia="Times New Roman" w:hAnsi="Times New Roman" w:cs="Times New Roman"/>
      <w:b/>
      <w:i/>
      <w:kern w:val="0"/>
      <w:sz w:val="24"/>
      <w:szCs w:val="24"/>
    </w:rPr>
  </w:style>
  <w:style w:type="paragraph" w:customStyle="1" w:styleId="Objetacteprincipal">
    <w:name w:val="Objet acte principal"/>
    <w:basedOn w:val="Normal"/>
    <w:next w:val="Titrearticle"/>
    <w:rsid w:val="005F11B9"/>
    <w:pPr>
      <w:spacing w:after="360" w:line="240" w:lineRule="auto"/>
      <w:jc w:val="center"/>
    </w:pPr>
    <w:rPr>
      <w:rFonts w:ascii="Times New Roman" w:eastAsia="Times New Roman" w:hAnsi="Times New Roman" w:cs="Times New Roman"/>
      <w:b/>
      <w:kern w:val="0"/>
      <w:sz w:val="24"/>
      <w:szCs w:val="24"/>
    </w:rPr>
  </w:style>
  <w:style w:type="paragraph" w:customStyle="1" w:styleId="TypeacteprincipalPagedecouverture">
    <w:name w:val="Type acte principal (Page de couverture)"/>
    <w:basedOn w:val="Typeacteprincipal"/>
    <w:next w:val="ObjetacteprincipalPagedecouverture"/>
    <w:rsid w:val="005F11B9"/>
  </w:style>
  <w:style w:type="paragraph" w:customStyle="1" w:styleId="AccompagnantPagedecouverture">
    <w:name w:val="Accompagnant (Page de couverture)"/>
    <w:basedOn w:val="Accompagnant"/>
    <w:next w:val="TypeacteprincipalPagedecouverture"/>
    <w:rsid w:val="005F11B9"/>
  </w:style>
  <w:style w:type="paragraph" w:customStyle="1" w:styleId="ObjetacteprincipalPagedecouverture">
    <w:name w:val="Objet acte principal (Page de couverture)"/>
    <w:basedOn w:val="Objetacteprincipal"/>
    <w:next w:val="Rfrencecroise"/>
    <w:rsid w:val="005F11B9"/>
  </w:style>
  <w:style w:type="paragraph" w:customStyle="1" w:styleId="LanguesfaisantfoiPagedecouverture">
    <w:name w:val="Langues faisant foi (Page de couverture)"/>
    <w:basedOn w:val="Normal"/>
    <w:next w:val="Rfrencecroise"/>
    <w:rsid w:val="004C6268"/>
    <w:pPr>
      <w:spacing w:before="360" w:after="240" w:line="240" w:lineRule="auto"/>
      <w:jc w:val="center"/>
    </w:pPr>
    <w:rPr>
      <w:rFonts w:ascii="Times New Roman" w:hAnsi="Times New Roman" w:cs="Times New Roman"/>
      <w:kern w:val="0"/>
      <w:sz w:val="24"/>
      <w:lang w:eastAsia="en-US"/>
      <w14:ligatures w14:val="none"/>
    </w:rPr>
  </w:style>
  <w:style w:type="paragraph" w:customStyle="1" w:styleId="Times12">
    <w:name w:val="Times12"/>
    <w:basedOn w:val="Normal"/>
    <w:rsid w:val="005F11B9"/>
    <w:pPr>
      <w:suppressAutoHyphens/>
      <w:spacing w:after="140" w:line="240" w:lineRule="auto"/>
      <w:jc w:val="both"/>
    </w:pPr>
    <w:rPr>
      <w:rFonts w:ascii="Times" w:eastAsia="SimSun" w:hAnsi="Times" w:cs="Times"/>
      <w:color w:val="00000A"/>
      <w:sz w:val="24"/>
      <w:szCs w:val="24"/>
    </w:rPr>
  </w:style>
  <w:style w:type="paragraph" w:customStyle="1" w:styleId="paragraph">
    <w:name w:val="paragraph"/>
    <w:basedOn w:val="Normal"/>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FooterCoverPageChar">
    <w:name w:val="Footer Cover Page Char"/>
    <w:basedOn w:val="DefaultParagraphFont"/>
    <w:link w:val="FooterCoverPage"/>
    <w:locked/>
    <w:rsid w:val="005F11B9"/>
    <w:rPr>
      <w:rFonts w:ascii="Times New Roman" w:hAnsi="Times New Roman" w:cs="Times New Roman"/>
      <w:sz w:val="24"/>
    </w:rPr>
  </w:style>
  <w:style w:type="paragraph" w:customStyle="1" w:styleId="FooterCoverPage">
    <w:name w:val="Footer Cover Page"/>
    <w:basedOn w:val="Normal"/>
    <w:link w:val="FooterCoverPageChar"/>
    <w:rsid w:val="005F11B9"/>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HeaderCoverPageChar">
    <w:name w:val="Header Cover Page Char"/>
    <w:basedOn w:val="DefaultParagraphFont"/>
    <w:link w:val="HeaderCoverPage"/>
    <w:locked/>
    <w:rsid w:val="005F11B9"/>
    <w:rPr>
      <w:rFonts w:ascii="Times New Roman" w:hAnsi="Times New Roman" w:cs="Times New Roman"/>
      <w:sz w:val="24"/>
    </w:rPr>
  </w:style>
  <w:style w:type="paragraph" w:customStyle="1" w:styleId="HeaderCoverPage">
    <w:name w:val="Header Cover Page"/>
    <w:basedOn w:val="Normal"/>
    <w:link w:val="HeaderCoverPageChar"/>
    <w:rsid w:val="005F11B9"/>
    <w:pPr>
      <w:tabs>
        <w:tab w:val="center" w:pos="4535"/>
        <w:tab w:val="right" w:pos="9071"/>
      </w:tabs>
      <w:spacing w:after="120" w:line="240" w:lineRule="auto"/>
      <w:jc w:val="both"/>
    </w:pPr>
    <w:rPr>
      <w:rFonts w:ascii="Times New Roman" w:hAnsi="Times New Roman" w:cs="Times New Roman"/>
      <w:sz w:val="24"/>
    </w:rPr>
  </w:style>
  <w:style w:type="paragraph" w:customStyle="1" w:styleId="Paragrafoelenco1">
    <w:name w:val="Paragrafo elenco1"/>
    <w:basedOn w:val="Normal"/>
    <w:rsid w:val="005F11B9"/>
    <w:pPr>
      <w:spacing w:line="252" w:lineRule="auto"/>
      <w:ind w:left="720"/>
      <w:contextualSpacing/>
    </w:pPr>
    <w:rPr>
      <w:rFonts w:ascii="Times New Roman" w:eastAsia="Times New Roman" w:hAnsi="Times New Roman" w:cs="Times New Roman"/>
      <w:color w:val="00000A"/>
      <w:sz w:val="20"/>
      <w:szCs w:val="20"/>
    </w:rPr>
  </w:style>
  <w:style w:type="character" w:customStyle="1" w:styleId="DescriptiontextChar">
    <w:name w:val="Description text Char"/>
    <w:basedOn w:val="DefaultParagraphFont"/>
    <w:link w:val="Descriptiontext"/>
    <w:locked/>
    <w:rsid w:val="005F11B9"/>
    <w:rPr>
      <w:rFonts w:ascii="Times New Roman" w:eastAsia="Times New Roman" w:hAnsi="Times New Roman" w:cs="Times New Roman"/>
    </w:rPr>
  </w:style>
  <w:style w:type="paragraph" w:customStyle="1" w:styleId="Descriptiontext">
    <w:name w:val="Description text"/>
    <w:basedOn w:val="Normal"/>
    <w:link w:val="DescriptiontextChar"/>
    <w:qFormat/>
    <w:rsid w:val="005F11B9"/>
    <w:pPr>
      <w:spacing w:before="120" w:after="120" w:line="240" w:lineRule="auto"/>
      <w:ind w:left="709"/>
      <w:jc w:val="both"/>
    </w:pPr>
    <w:rPr>
      <w:rFonts w:ascii="Times New Roman" w:eastAsia="Times New Roman" w:hAnsi="Times New Roman" w:cs="Times New Roman"/>
    </w:rPr>
  </w:style>
  <w:style w:type="character" w:customStyle="1" w:styleId="DescriptiontitleChar">
    <w:name w:val="Description title Char"/>
    <w:basedOn w:val="DescriptiontextChar"/>
    <w:link w:val="Descriptiontitle"/>
    <w:locked/>
    <w:rsid w:val="005F11B9"/>
    <w:rPr>
      <w:rFonts w:ascii="Times New Roman" w:eastAsia="Times New Roman" w:hAnsi="Times New Roman" w:cs="Times New Roman"/>
    </w:rPr>
  </w:style>
  <w:style w:type="paragraph" w:customStyle="1" w:styleId="Descriptiontitle">
    <w:name w:val="Description title"/>
    <w:basedOn w:val="Descriptiontext"/>
    <w:link w:val="DescriptiontitleChar"/>
    <w:rsid w:val="005F11B9"/>
  </w:style>
  <w:style w:type="character" w:customStyle="1" w:styleId="AxistitleChar">
    <w:name w:val="Axis title Char"/>
    <w:basedOn w:val="DefaultParagraphFont"/>
    <w:link w:val="Axistitle"/>
    <w:locked/>
    <w:rsid w:val="005F11B9"/>
    <w:rPr>
      <w:rFonts w:ascii="Times New Roman" w:eastAsia="Times New Roman" w:hAnsi="Times New Roman" w:cs="Times New Roman"/>
      <w:i/>
    </w:rPr>
  </w:style>
  <w:style w:type="paragraph" w:customStyle="1" w:styleId="Axistitle">
    <w:name w:val="Axis title"/>
    <w:basedOn w:val="Normal"/>
    <w:link w:val="AxistitleChar"/>
    <w:qFormat/>
    <w:rsid w:val="005F11B9"/>
    <w:pPr>
      <w:spacing w:before="320" w:after="240" w:line="240" w:lineRule="auto"/>
      <w:ind w:left="709"/>
      <w:jc w:val="both"/>
    </w:pPr>
    <w:rPr>
      <w:rFonts w:ascii="Times New Roman" w:eastAsia="Times New Roman" w:hAnsi="Times New Roman" w:cs="Times New Roman"/>
      <w:i/>
    </w:rPr>
  </w:style>
  <w:style w:type="character" w:customStyle="1" w:styleId="TechnicalBlockChar">
    <w:name w:val="Technical Block Char"/>
    <w:basedOn w:val="DefaultParagraphFont"/>
    <w:link w:val="TechnicalBlock"/>
    <w:locked/>
    <w:rsid w:val="005F11B9"/>
    <w:rPr>
      <w:rFonts w:ascii="Times New Roman" w:eastAsia="Times New Roman" w:hAnsi="Times New Roman" w:cs="Times New Roman"/>
    </w:rPr>
  </w:style>
  <w:style w:type="paragraph" w:customStyle="1" w:styleId="TechnicalBlock">
    <w:name w:val="Technical Block"/>
    <w:basedOn w:val="Normal"/>
    <w:link w:val="TechnicalBlockChar"/>
    <w:rsid w:val="005F11B9"/>
    <w:pPr>
      <w:spacing w:after="240" w:line="240" w:lineRule="auto"/>
      <w:jc w:val="center"/>
    </w:pPr>
    <w:rPr>
      <w:rFonts w:ascii="Times New Roman" w:eastAsia="Times New Roman" w:hAnsi="Times New Roman" w:cs="Times New Roman"/>
    </w:rPr>
  </w:style>
  <w:style w:type="paragraph" w:customStyle="1" w:styleId="EntText">
    <w:name w:val="EntText"/>
    <w:basedOn w:val="Normal"/>
    <w:rsid w:val="005F11B9"/>
    <w:pPr>
      <w:spacing w:before="120" w:after="120" w:line="360" w:lineRule="auto"/>
    </w:pPr>
    <w:rPr>
      <w:rFonts w:ascii="Times New Roman" w:hAnsi="Times New Roman" w:cs="Times New Roman"/>
      <w:kern w:val="0"/>
      <w:sz w:val="24"/>
    </w:rPr>
  </w:style>
  <w:style w:type="paragraph" w:customStyle="1" w:styleId="Lignefinal">
    <w:name w:val="Ligne final"/>
    <w:basedOn w:val="Normal"/>
    <w:next w:val="Normal"/>
    <w:rsid w:val="005F11B9"/>
    <w:pPr>
      <w:pBdr>
        <w:bottom w:val="single" w:sz="4" w:space="0" w:color="000000"/>
      </w:pBdr>
      <w:spacing w:before="360" w:after="120" w:line="360" w:lineRule="auto"/>
      <w:ind w:left="3400" w:right="3400"/>
      <w:jc w:val="center"/>
    </w:pPr>
    <w:rPr>
      <w:rFonts w:ascii="Times New Roman" w:hAnsi="Times New Roman" w:cs="Times New Roman"/>
      <w:b/>
      <w:kern w:val="0"/>
      <w:sz w:val="24"/>
    </w:rPr>
  </w:style>
  <w:style w:type="character" w:customStyle="1" w:styleId="pjChar">
    <w:name w:val="p.j. Char"/>
    <w:basedOn w:val="DefaultParagraphFont"/>
    <w:link w:val="pj"/>
    <w:locked/>
    <w:rsid w:val="005F11B9"/>
    <w:rPr>
      <w:rFonts w:ascii="Times New Roman" w:eastAsia="Times New Roman" w:hAnsi="Times New Roman" w:cs="Times New Roman"/>
    </w:rPr>
  </w:style>
  <w:style w:type="paragraph" w:customStyle="1" w:styleId="pj">
    <w:name w:val="p.j."/>
    <w:basedOn w:val="Normal"/>
    <w:link w:val="pjChar"/>
    <w:rsid w:val="005F11B9"/>
    <w:pPr>
      <w:spacing w:before="1200" w:after="120" w:line="240" w:lineRule="auto"/>
      <w:ind w:left="1440" w:hanging="1440"/>
    </w:pPr>
    <w:rPr>
      <w:rFonts w:ascii="Times New Roman" w:eastAsia="Times New Roman" w:hAnsi="Times New Roman" w:cs="Times New Roman"/>
    </w:rPr>
  </w:style>
  <w:style w:type="character" w:customStyle="1" w:styleId="nbborderedChar">
    <w:name w:val="nb bordered Char"/>
    <w:basedOn w:val="DefaultParagraphFont"/>
    <w:link w:val="nbbordered"/>
    <w:locked/>
    <w:rsid w:val="005F11B9"/>
    <w:rPr>
      <w:rFonts w:ascii="Times New Roman" w:eastAsia="Times New Roman" w:hAnsi="Times New Roman" w:cs="Times New Roman"/>
      <w:b/>
    </w:rPr>
  </w:style>
  <w:style w:type="paragraph" w:customStyle="1" w:styleId="nbbordered">
    <w:name w:val="nb bordered"/>
    <w:basedOn w:val="Normal"/>
    <w:link w:val="nbborderedChar"/>
    <w:rsid w:val="005F11B9"/>
    <w:pPr>
      <w:pBdr>
        <w:top w:val="single" w:sz="4" w:space="1" w:color="auto"/>
        <w:left w:val="single" w:sz="4" w:space="4" w:color="auto"/>
        <w:bottom w:val="single" w:sz="4" w:space="1" w:color="auto"/>
        <w:right w:val="single" w:sz="4" w:space="4" w:color="auto"/>
      </w:pBdr>
      <w:spacing w:line="240" w:lineRule="auto"/>
      <w:ind w:left="480" w:hanging="480"/>
    </w:pPr>
    <w:rPr>
      <w:rFonts w:ascii="Times New Roman" w:eastAsia="Times New Roman" w:hAnsi="Times New Roman" w:cs="Times New Roman"/>
      <w:b/>
    </w:rPr>
  </w:style>
  <w:style w:type="character" w:customStyle="1" w:styleId="HeaderCouncilChar">
    <w:name w:val="Header Council Char"/>
    <w:basedOn w:val="DefaultParagraphFont"/>
    <w:link w:val="HeaderCouncil"/>
    <w:locked/>
    <w:rsid w:val="005F11B9"/>
    <w:rPr>
      <w:rFonts w:ascii="Times New Roman" w:eastAsia="Times New Roman" w:hAnsi="Times New Roman" w:cs="Times New Roman"/>
      <w:sz w:val="2"/>
    </w:rPr>
  </w:style>
  <w:style w:type="paragraph" w:customStyle="1" w:styleId="HeaderCouncil">
    <w:name w:val="Header Council"/>
    <w:basedOn w:val="Normal"/>
    <w:link w:val="HeaderCouncilChar"/>
    <w:rsid w:val="005F11B9"/>
    <w:pPr>
      <w:spacing w:after="0" w:line="240" w:lineRule="auto"/>
    </w:pPr>
    <w:rPr>
      <w:rFonts w:ascii="Times New Roman" w:eastAsia="Times New Roman" w:hAnsi="Times New Roman" w:cs="Times New Roman"/>
      <w:sz w:val="2"/>
    </w:rPr>
  </w:style>
  <w:style w:type="character" w:customStyle="1" w:styleId="HeaderCouncilLargeChar">
    <w:name w:val="Header Council Large Char"/>
    <w:basedOn w:val="DefaultParagraphFont"/>
    <w:link w:val="HeaderCouncilLarge"/>
    <w:locked/>
    <w:rsid w:val="005F11B9"/>
    <w:rPr>
      <w:rFonts w:ascii="Times New Roman" w:eastAsia="Times New Roman" w:hAnsi="Times New Roman" w:cs="Times New Roman"/>
      <w:sz w:val="2"/>
    </w:rPr>
  </w:style>
  <w:style w:type="paragraph" w:customStyle="1" w:styleId="HeaderCouncilLarge">
    <w:name w:val="Header Council Large"/>
    <w:basedOn w:val="Normal"/>
    <w:link w:val="HeaderCouncilLargeChar"/>
    <w:rsid w:val="005F11B9"/>
    <w:pPr>
      <w:spacing w:after="440" w:line="240" w:lineRule="auto"/>
    </w:pPr>
    <w:rPr>
      <w:rFonts w:ascii="Times New Roman" w:eastAsia="Times New Roman" w:hAnsi="Times New Roman" w:cs="Times New Roman"/>
      <w:sz w:val="2"/>
    </w:rPr>
  </w:style>
  <w:style w:type="character" w:customStyle="1" w:styleId="FooterCouncilChar">
    <w:name w:val="Footer Council Char"/>
    <w:basedOn w:val="DefaultParagraphFont"/>
    <w:link w:val="FooterCouncil"/>
    <w:locked/>
    <w:rsid w:val="005F11B9"/>
    <w:rPr>
      <w:rFonts w:ascii="Times New Roman" w:eastAsia="Times New Roman" w:hAnsi="Times New Roman" w:cs="Times New Roman"/>
      <w:sz w:val="2"/>
    </w:rPr>
  </w:style>
  <w:style w:type="paragraph" w:customStyle="1" w:styleId="FooterCouncil">
    <w:name w:val="Footer Council"/>
    <w:basedOn w:val="Normal"/>
    <w:link w:val="FooterCouncilChar"/>
    <w:rsid w:val="005F11B9"/>
    <w:pPr>
      <w:spacing w:after="0" w:line="240" w:lineRule="auto"/>
    </w:pPr>
    <w:rPr>
      <w:rFonts w:ascii="Times New Roman" w:eastAsia="Times New Roman" w:hAnsi="Times New Roman" w:cs="Times New Roman"/>
      <w:sz w:val="2"/>
    </w:rPr>
  </w:style>
  <w:style w:type="paragraph" w:customStyle="1" w:styleId="FooterText">
    <w:name w:val="Footer Text"/>
    <w:basedOn w:val="Normal"/>
    <w:rsid w:val="005F11B9"/>
    <w:pPr>
      <w:spacing w:after="0" w:line="240" w:lineRule="auto"/>
    </w:pPr>
    <w:rPr>
      <w:rFonts w:ascii="Times New Roman" w:eastAsia="Times New Roman" w:hAnsi="Times New Roman" w:cs="Times New Roman"/>
      <w:kern w:val="0"/>
      <w:sz w:val="24"/>
      <w:szCs w:val="24"/>
    </w:rPr>
  </w:style>
  <w:style w:type="paragraph" w:customStyle="1" w:styleId="pf0">
    <w:name w:val="pf0"/>
    <w:basedOn w:val="Normal"/>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paragraph" w:customStyle="1" w:styleId="LegalNumPar">
    <w:name w:val="LegalNumPar"/>
    <w:basedOn w:val="Normal"/>
    <w:rsid w:val="005F11B9"/>
    <w:pPr>
      <w:numPr>
        <w:numId w:val="18"/>
      </w:numPr>
      <w:spacing w:line="256" w:lineRule="auto"/>
    </w:pPr>
    <w:rPr>
      <w:kern w:val="0"/>
    </w:rPr>
  </w:style>
  <w:style w:type="paragraph" w:customStyle="1" w:styleId="LegalNumPar2">
    <w:name w:val="LegalNumPar2"/>
    <w:basedOn w:val="Normal"/>
    <w:rsid w:val="005F11B9"/>
    <w:pPr>
      <w:numPr>
        <w:ilvl w:val="1"/>
        <w:numId w:val="18"/>
      </w:numPr>
      <w:spacing w:line="256" w:lineRule="auto"/>
    </w:pPr>
    <w:rPr>
      <w:kern w:val="0"/>
    </w:rPr>
  </w:style>
  <w:style w:type="paragraph" w:customStyle="1" w:styleId="LegalNumPar3">
    <w:name w:val="LegalNumPar3"/>
    <w:basedOn w:val="Normal"/>
    <w:rsid w:val="005F11B9"/>
    <w:pPr>
      <w:numPr>
        <w:ilvl w:val="2"/>
        <w:numId w:val="18"/>
      </w:numPr>
      <w:spacing w:line="256" w:lineRule="auto"/>
    </w:pPr>
    <w:rPr>
      <w:kern w:val="0"/>
    </w:rPr>
  </w:style>
  <w:style w:type="paragraph" w:customStyle="1" w:styleId="P68B1DB1-Normale1">
    <w:name w:val="P68B1DB1-Normale1"/>
    <w:basedOn w:val="Normal"/>
    <w:rsid w:val="005F11B9"/>
    <w:pPr>
      <w:spacing w:line="256" w:lineRule="auto"/>
    </w:pPr>
    <w:rPr>
      <w:rFonts w:ascii="Calibri" w:eastAsia="Calibri" w:hAnsi="Calibri" w:cs="Calibri"/>
      <w:b/>
      <w:kern w:val="0"/>
      <w:szCs w:val="20"/>
    </w:rPr>
  </w:style>
  <w:style w:type="paragraph" w:customStyle="1" w:styleId="P68B1DB1-Normale6">
    <w:name w:val="P68B1DB1-Normale6"/>
    <w:basedOn w:val="Normal"/>
    <w:rsid w:val="005F11B9"/>
    <w:pPr>
      <w:spacing w:line="256" w:lineRule="auto"/>
    </w:pPr>
    <w:rPr>
      <w:rFonts w:ascii="Times New Roman" w:eastAsia="Calibri" w:hAnsi="Times New Roman" w:cs="Times New Roman"/>
      <w:kern w:val="0"/>
      <w:sz w:val="20"/>
      <w:szCs w:val="20"/>
    </w:rPr>
  </w:style>
  <w:style w:type="paragraph" w:customStyle="1" w:styleId="Default">
    <w:name w:val="Default"/>
    <w:rsid w:val="005F11B9"/>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CommentReference">
    <w:name w:val="annotation reference"/>
    <w:basedOn w:val="DefaultParagraphFont"/>
    <w:uiPriority w:val="99"/>
    <w:unhideWhenUsed/>
    <w:rsid w:val="005F11B9"/>
    <w:rPr>
      <w:sz w:val="16"/>
      <w:szCs w:val="16"/>
    </w:rPr>
  </w:style>
  <w:style w:type="character" w:styleId="PlaceholderText">
    <w:name w:val="Placeholder Text"/>
    <w:basedOn w:val="DefaultParagraphFont"/>
    <w:uiPriority w:val="99"/>
    <w:semiHidden/>
    <w:rsid w:val="005F11B9"/>
    <w:rPr>
      <w:color w:val="808080"/>
    </w:rPr>
  </w:style>
  <w:style w:type="character" w:styleId="SubtleEmphasis">
    <w:name w:val="Subtle Emphasis"/>
    <w:basedOn w:val="DefaultParagraphFont"/>
    <w:uiPriority w:val="19"/>
    <w:qFormat/>
    <w:rsid w:val="005F11B9"/>
    <w:rPr>
      <w:i/>
      <w:iCs/>
      <w:color w:val="404040" w:themeColor="text1" w:themeTint="BF"/>
    </w:rPr>
  </w:style>
  <w:style w:type="character" w:customStyle="1" w:styleId="Marker">
    <w:name w:val="Marker"/>
    <w:basedOn w:val="DefaultParagraphFont"/>
    <w:rsid w:val="005F11B9"/>
    <w:rPr>
      <w:color w:val="0000FF"/>
    </w:rPr>
  </w:style>
  <w:style w:type="character" w:customStyle="1" w:styleId="Marker1">
    <w:name w:val="Marker1"/>
    <w:basedOn w:val="DefaultParagraphFont"/>
    <w:rsid w:val="005F11B9"/>
    <w:rPr>
      <w:color w:val="008000"/>
    </w:rPr>
  </w:style>
  <w:style w:type="character" w:customStyle="1" w:styleId="Marker2">
    <w:name w:val="Marker2"/>
    <w:basedOn w:val="DefaultParagraphFont"/>
    <w:rsid w:val="005F11B9"/>
    <w:rPr>
      <w:color w:val="FF0000"/>
    </w:rPr>
  </w:style>
  <w:style w:type="character" w:customStyle="1" w:styleId="Added">
    <w:name w:val="Added"/>
    <w:basedOn w:val="DefaultParagraphFont"/>
    <w:rsid w:val="005F11B9"/>
    <w:rPr>
      <w:b/>
      <w:bCs w:val="0"/>
      <w:u w:val="single"/>
    </w:rPr>
  </w:style>
  <w:style w:type="character" w:customStyle="1" w:styleId="Deleted">
    <w:name w:val="Deleted"/>
    <w:basedOn w:val="DefaultParagraphFont"/>
    <w:rsid w:val="005F11B9"/>
    <w:rPr>
      <w:strike/>
    </w:rPr>
  </w:style>
  <w:style w:type="character" w:customStyle="1" w:styleId="normaltextrun">
    <w:name w:val="normaltextrun"/>
    <w:basedOn w:val="DefaultParagraphFont"/>
    <w:rsid w:val="005F11B9"/>
  </w:style>
  <w:style w:type="character" w:customStyle="1" w:styleId="eop">
    <w:name w:val="eop"/>
    <w:basedOn w:val="DefaultParagraphFont"/>
    <w:rsid w:val="005F11B9"/>
  </w:style>
  <w:style w:type="character" w:customStyle="1" w:styleId="y2iqfc">
    <w:name w:val="y2iqfc"/>
    <w:basedOn w:val="DefaultParagraphFont"/>
    <w:rsid w:val="005F11B9"/>
  </w:style>
  <w:style w:type="character" w:customStyle="1" w:styleId="FootnoteCharacters">
    <w:name w:val="Footnote Characters"/>
    <w:rsid w:val="005F11B9"/>
    <w:rPr>
      <w:vertAlign w:val="superscript"/>
    </w:rPr>
  </w:style>
  <w:style w:type="character" w:customStyle="1" w:styleId="normaltextrun1">
    <w:name w:val="normaltextrun1"/>
    <w:basedOn w:val="DefaultParagraphFont"/>
    <w:rsid w:val="005F11B9"/>
  </w:style>
  <w:style w:type="character" w:customStyle="1" w:styleId="Hyperlink0">
    <w:name w:val="Hyperlink.0"/>
    <w:rsid w:val="005F11B9"/>
  </w:style>
  <w:style w:type="character" w:customStyle="1" w:styleId="Mention1">
    <w:name w:val="Mention1"/>
    <w:basedOn w:val="DefaultParagraphFont"/>
    <w:uiPriority w:val="99"/>
    <w:rsid w:val="005F11B9"/>
    <w:rPr>
      <w:color w:val="2B579A"/>
      <w:shd w:val="clear" w:color="auto" w:fill="E6E6E6"/>
    </w:rPr>
  </w:style>
  <w:style w:type="character" w:customStyle="1" w:styleId="superscript">
    <w:name w:val="superscript"/>
    <w:basedOn w:val="DefaultParagraphFont"/>
    <w:rsid w:val="005F11B9"/>
  </w:style>
  <w:style w:type="character" w:customStyle="1" w:styleId="Mention2">
    <w:name w:val="Mention2"/>
    <w:basedOn w:val="DefaultParagraphFont"/>
    <w:uiPriority w:val="99"/>
    <w:rsid w:val="005F11B9"/>
    <w:rPr>
      <w:color w:val="2B579A"/>
      <w:shd w:val="clear" w:color="auto" w:fill="E6E6E6"/>
    </w:rPr>
  </w:style>
  <w:style w:type="character" w:customStyle="1" w:styleId="findhit">
    <w:name w:val="findhit"/>
    <w:basedOn w:val="DefaultParagraphFont"/>
    <w:rsid w:val="005F11B9"/>
  </w:style>
  <w:style w:type="character" w:customStyle="1" w:styleId="tabchar">
    <w:name w:val="tabchar"/>
    <w:basedOn w:val="DefaultParagraphFont"/>
    <w:rsid w:val="005F11B9"/>
  </w:style>
  <w:style w:type="character" w:customStyle="1" w:styleId="cf01">
    <w:name w:val="cf01"/>
    <w:basedOn w:val="DefaultParagraphFont"/>
    <w:rsid w:val="005F11B9"/>
    <w:rPr>
      <w:rFonts w:ascii="Segoe UI" w:hAnsi="Segoe UI" w:cs="Segoe UI" w:hint="default"/>
      <w:b/>
      <w:bCs/>
      <w:sz w:val="18"/>
      <w:szCs w:val="18"/>
    </w:rPr>
  </w:style>
  <w:style w:type="character" w:customStyle="1" w:styleId="cf11">
    <w:name w:val="cf11"/>
    <w:basedOn w:val="DefaultParagraphFont"/>
    <w:rsid w:val="005F11B9"/>
    <w:rPr>
      <w:rFonts w:ascii="Segoe UI" w:hAnsi="Segoe UI" w:cs="Segoe UI" w:hint="default"/>
      <w:sz w:val="18"/>
      <w:szCs w:val="18"/>
    </w:rPr>
  </w:style>
  <w:style w:type="character" w:customStyle="1" w:styleId="Mention3">
    <w:name w:val="Mention3"/>
    <w:basedOn w:val="DefaultParagraphFont"/>
    <w:uiPriority w:val="99"/>
    <w:rsid w:val="005F11B9"/>
    <w:rPr>
      <w:color w:val="2B579A"/>
      <w:shd w:val="clear" w:color="auto" w:fill="E6E6E6"/>
    </w:rPr>
  </w:style>
  <w:style w:type="character" w:customStyle="1" w:styleId="Mention4">
    <w:name w:val="Mention4"/>
    <w:basedOn w:val="DefaultParagraphFont"/>
    <w:uiPriority w:val="99"/>
    <w:rsid w:val="005F11B9"/>
    <w:rPr>
      <w:color w:val="2B579A"/>
      <w:shd w:val="clear" w:color="auto" w:fill="E6E6E6"/>
    </w:rPr>
  </w:style>
  <w:style w:type="character" w:customStyle="1" w:styleId="ui-provider">
    <w:name w:val="ui-provider"/>
    <w:basedOn w:val="DefaultParagraphFont"/>
    <w:uiPriority w:val="1"/>
    <w:rsid w:val="005F11B9"/>
  </w:style>
  <w:style w:type="character" w:customStyle="1" w:styleId="UnresolvedMention1">
    <w:name w:val="Unresolved Mention1"/>
    <w:basedOn w:val="DefaultParagraphFont"/>
    <w:uiPriority w:val="99"/>
    <w:semiHidden/>
    <w:rsid w:val="005F11B9"/>
    <w:rPr>
      <w:color w:val="605E5C"/>
      <w:shd w:val="clear" w:color="auto" w:fill="E1DFDD"/>
    </w:rPr>
  </w:style>
  <w:style w:type="character" w:customStyle="1" w:styleId="s10">
    <w:name w:val="s10"/>
    <w:basedOn w:val="DefaultParagraphFont"/>
    <w:rsid w:val="005F11B9"/>
  </w:style>
  <w:style w:type="character" w:customStyle="1" w:styleId="Mention5">
    <w:name w:val="Mention5"/>
    <w:basedOn w:val="DefaultParagraphFont"/>
    <w:uiPriority w:val="99"/>
    <w:rsid w:val="005F11B9"/>
    <w:rPr>
      <w:color w:val="2B579A"/>
      <w:shd w:val="clear" w:color="auto" w:fill="E1DFDD"/>
    </w:rPr>
  </w:style>
  <w:style w:type="character" w:customStyle="1" w:styleId="UnresolvedMention2">
    <w:name w:val="Unresolved Mention2"/>
    <w:basedOn w:val="DefaultParagraphFont"/>
    <w:uiPriority w:val="99"/>
    <w:semiHidden/>
    <w:rsid w:val="005F11B9"/>
    <w:rPr>
      <w:color w:val="605E5C"/>
      <w:shd w:val="clear" w:color="auto" w:fill="E1DFDD"/>
    </w:rPr>
  </w:style>
  <w:style w:type="character" w:customStyle="1" w:styleId="font71">
    <w:name w:val="font71"/>
    <w:basedOn w:val="DefaultParagraphFont"/>
    <w:rsid w:val="005F11B9"/>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font81">
    <w:name w:val="font81"/>
    <w:basedOn w:val="DefaultParagraphFont"/>
    <w:rsid w:val="005F11B9"/>
    <w:rPr>
      <w:rFonts w:ascii="Times New Roman" w:hAnsi="Times New Roman" w:cs="Times New Roman" w:hint="default"/>
      <w:b w:val="0"/>
      <w:bCs w:val="0"/>
      <w:i w:val="0"/>
      <w:iCs w:val="0"/>
      <w:strike w:val="0"/>
      <w:dstrike w:val="0"/>
      <w:color w:val="006100"/>
      <w:sz w:val="20"/>
      <w:szCs w:val="20"/>
      <w:u w:val="none"/>
      <w:effect w:val="none"/>
    </w:rPr>
  </w:style>
  <w:style w:type="character" w:customStyle="1" w:styleId="font111">
    <w:name w:val="font111"/>
    <w:basedOn w:val="DefaultParagraphFont"/>
    <w:rsid w:val="005F11B9"/>
    <w:rPr>
      <w:rFonts w:ascii="Times New Roman" w:hAnsi="Times New Roman" w:cs="Times New Roman" w:hint="default"/>
      <w:b w:val="0"/>
      <w:bCs w:val="0"/>
      <w:i w:val="0"/>
      <w:iCs w:val="0"/>
      <w:strike w:val="0"/>
      <w:dstrike w:val="0"/>
      <w:color w:val="006100"/>
      <w:sz w:val="20"/>
      <w:szCs w:val="20"/>
      <w:u w:val="none"/>
      <w:effect w:val="none"/>
    </w:rPr>
  </w:style>
  <w:style w:type="character" w:customStyle="1" w:styleId="Mention6">
    <w:name w:val="Mention6"/>
    <w:basedOn w:val="DefaultParagraphFont"/>
    <w:uiPriority w:val="99"/>
    <w:rsid w:val="005F11B9"/>
    <w:rPr>
      <w:color w:val="2B579A"/>
      <w:shd w:val="clear" w:color="auto" w:fill="E6E6E6"/>
    </w:rPr>
  </w:style>
  <w:style w:type="character" w:customStyle="1" w:styleId="Mention7">
    <w:name w:val="Mention7"/>
    <w:basedOn w:val="DefaultParagraphFont"/>
    <w:uiPriority w:val="99"/>
    <w:rsid w:val="005F11B9"/>
    <w:rPr>
      <w:color w:val="2B579A"/>
      <w:shd w:val="clear" w:color="auto" w:fill="E6E6E6"/>
    </w:rPr>
  </w:style>
  <w:style w:type="character" w:customStyle="1" w:styleId="Mention8">
    <w:name w:val="Mention8"/>
    <w:basedOn w:val="DefaultParagraphFont"/>
    <w:uiPriority w:val="99"/>
    <w:rsid w:val="005F11B9"/>
    <w:rPr>
      <w:color w:val="2B579A"/>
      <w:shd w:val="clear" w:color="auto" w:fill="E1DFDD"/>
    </w:rPr>
  </w:style>
  <w:style w:type="character" w:customStyle="1" w:styleId="Mention9">
    <w:name w:val="Mention9"/>
    <w:basedOn w:val="DefaultParagraphFont"/>
    <w:uiPriority w:val="99"/>
    <w:rsid w:val="005F11B9"/>
    <w:rPr>
      <w:color w:val="2B579A"/>
      <w:shd w:val="clear" w:color="auto" w:fill="E1DFDD"/>
    </w:rPr>
  </w:style>
  <w:style w:type="character" w:customStyle="1" w:styleId="UnresolvedMention3">
    <w:name w:val="Unresolved Mention3"/>
    <w:basedOn w:val="DefaultParagraphFont"/>
    <w:uiPriority w:val="99"/>
    <w:semiHidden/>
    <w:rsid w:val="005F11B9"/>
    <w:rPr>
      <w:color w:val="605E5C"/>
      <w:shd w:val="clear" w:color="auto" w:fill="E1DFDD"/>
    </w:rPr>
  </w:style>
  <w:style w:type="character" w:customStyle="1" w:styleId="TitleChar1">
    <w:name w:val="Title Char1"/>
    <w:basedOn w:val="DefaultParagraphFont"/>
    <w:uiPriority w:val="10"/>
    <w:rsid w:val="005F11B9"/>
    <w:rPr>
      <w:rFonts w:asciiTheme="majorHAnsi" w:eastAsiaTheme="majorEastAsia" w:hAnsiTheme="majorHAnsi" w:cstheme="majorBidi" w:hint="default"/>
      <w:kern w:val="28"/>
      <w:sz w:val="56"/>
      <w:szCs w:val="56"/>
    </w:rPr>
  </w:style>
  <w:style w:type="character" w:customStyle="1" w:styleId="SubtitleChar1">
    <w:name w:val="Subtitle Char1"/>
    <w:basedOn w:val="DefaultParagraphFont"/>
    <w:uiPriority w:val="11"/>
    <w:rsid w:val="005F11B9"/>
    <w:rPr>
      <w:rFonts w:ascii="Yu Gothic Light" w:eastAsiaTheme="majorEastAsia" w:hAnsi="Yu Gothic Light" w:cstheme="majorBidi" w:hint="eastAsia"/>
      <w:color w:val="595959" w:themeColor="text1" w:themeTint="A6"/>
      <w:kern w:val="0"/>
      <w:sz w:val="28"/>
      <w:szCs w:val="28"/>
    </w:rPr>
  </w:style>
  <w:style w:type="character" w:customStyle="1" w:styleId="QuoteChar1">
    <w:name w:val="Quote Char1"/>
    <w:basedOn w:val="DefaultParagraphFont"/>
    <w:uiPriority w:val="29"/>
    <w:rsid w:val="005F11B9"/>
    <w:rPr>
      <w:rFonts w:ascii="Times New Roman" w:eastAsia="Times New Roman" w:hAnsi="Times New Roman" w:cs="Times New Roman" w:hint="default"/>
      <w:i/>
      <w:iCs/>
      <w:color w:val="404040" w:themeColor="text1" w:themeTint="BF"/>
      <w:kern w:val="0"/>
      <w:sz w:val="24"/>
      <w:szCs w:val="24"/>
    </w:rPr>
  </w:style>
  <w:style w:type="character" w:customStyle="1" w:styleId="Mention10">
    <w:name w:val="Mention10"/>
    <w:basedOn w:val="DefaultParagraphFont"/>
    <w:uiPriority w:val="99"/>
    <w:rsid w:val="005F11B9"/>
    <w:rPr>
      <w:color w:val="2B579A"/>
      <w:shd w:val="clear" w:color="auto" w:fill="E1DFDD"/>
    </w:rPr>
  </w:style>
  <w:style w:type="character" w:customStyle="1" w:styleId="Mention11">
    <w:name w:val="Mention11"/>
    <w:basedOn w:val="DefaultParagraphFont"/>
    <w:uiPriority w:val="99"/>
    <w:rsid w:val="005F11B9"/>
    <w:rPr>
      <w:color w:val="2B579A"/>
      <w:shd w:val="clear" w:color="auto" w:fill="E1DFDD"/>
    </w:rPr>
  </w:style>
  <w:style w:type="table" w:styleId="TableGrid">
    <w:name w:val="Table Grid"/>
    <w:basedOn w:val="TableNormal"/>
    <w:uiPriority w:val="39"/>
    <w:rsid w:val="005F11B9"/>
    <w:pPr>
      <w:spacing w:after="0" w:line="240" w:lineRule="auto"/>
    </w:pPr>
    <w:rPr>
      <w:kern w:val="0"/>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Puntielenco0">
    <w:name w:val="Punti elenco.0"/>
    <w:rsid w:val="005F11B9"/>
    <w:pPr>
      <w:numPr>
        <w:numId w:val="40"/>
      </w:numPr>
    </w:pPr>
  </w:style>
  <w:style w:type="numbering" w:customStyle="1" w:styleId="Stileimportato9">
    <w:name w:val="Stile importato 9"/>
    <w:rsid w:val="005F11B9"/>
    <w:pPr>
      <w:numPr>
        <w:numId w:val="41"/>
      </w:numPr>
    </w:pPr>
  </w:style>
  <w:style w:type="character" w:customStyle="1" w:styleId="Mention12">
    <w:name w:val="Mention12"/>
    <w:basedOn w:val="DefaultParagraphFont"/>
    <w:uiPriority w:val="99"/>
    <w:unhideWhenUsed/>
    <w:rsid w:val="005F11B9"/>
    <w:rPr>
      <w:color w:val="2B579A"/>
      <w:shd w:val="clear" w:color="auto" w:fill="E1DFDD"/>
    </w:rPr>
  </w:style>
  <w:style w:type="numbering" w:customStyle="1" w:styleId="NoList1">
    <w:name w:val="No List1"/>
    <w:next w:val="NoList"/>
    <w:uiPriority w:val="99"/>
    <w:semiHidden/>
    <w:unhideWhenUsed/>
    <w:rsid w:val="005F11B9"/>
  </w:style>
  <w:style w:type="table" w:customStyle="1" w:styleId="TableGrid1">
    <w:name w:val="Table Grid1"/>
    <w:basedOn w:val="TableNormal"/>
    <w:next w:val="TableGrid"/>
    <w:uiPriority w:val="59"/>
    <w:rsid w:val="005F11B9"/>
    <w:pPr>
      <w:spacing w:after="0" w:line="240" w:lineRule="auto"/>
    </w:pPr>
    <w:rPr>
      <w:rFonts w:ascii="Calibri" w:eastAsia="Calibri" w:hAnsi="Calibri" w:cs="Arial"/>
      <w:kern w:val="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Puntielenco01">
    <w:name w:val="Punti elenco.01"/>
    <w:rsid w:val="005F11B9"/>
  </w:style>
  <w:style w:type="numbering" w:customStyle="1" w:styleId="Stileimportato91">
    <w:name w:val="Stile importato 91"/>
    <w:rsid w:val="005F11B9"/>
  </w:style>
  <w:style w:type="numbering" w:customStyle="1" w:styleId="NoList2">
    <w:name w:val="No List2"/>
    <w:next w:val="NoList"/>
    <w:uiPriority w:val="99"/>
    <w:semiHidden/>
    <w:unhideWhenUsed/>
    <w:rsid w:val="005F11B9"/>
  </w:style>
  <w:style w:type="character" w:customStyle="1" w:styleId="UnresolvedMention4">
    <w:name w:val="Unresolved Mention4"/>
    <w:basedOn w:val="DefaultParagraphFont"/>
    <w:uiPriority w:val="99"/>
    <w:semiHidden/>
    <w:unhideWhenUsed/>
    <w:rsid w:val="005F11B9"/>
    <w:rPr>
      <w:color w:val="605E5C"/>
      <w:shd w:val="clear" w:color="auto" w:fill="E1DFDD"/>
    </w:rPr>
  </w:style>
  <w:style w:type="character" w:customStyle="1" w:styleId="UnresolvedMention5">
    <w:name w:val="Unresolved Mention5"/>
    <w:basedOn w:val="DefaultParagraphFont"/>
    <w:uiPriority w:val="99"/>
    <w:semiHidden/>
    <w:unhideWhenUsed/>
    <w:rsid w:val="005F11B9"/>
    <w:rPr>
      <w:color w:val="605E5C"/>
      <w:shd w:val="clear" w:color="auto" w:fill="E1DFDD"/>
    </w:rPr>
  </w:style>
  <w:style w:type="paragraph" w:customStyle="1" w:styleId="TableParagraph">
    <w:name w:val="Table Paragraph"/>
    <w:basedOn w:val="Normal"/>
    <w:uiPriority w:val="1"/>
    <w:qFormat/>
    <w:rsid w:val="005F11B9"/>
    <w:pPr>
      <w:widowControl w:val="0"/>
      <w:autoSpaceDE w:val="0"/>
      <w:autoSpaceDN w:val="0"/>
      <w:spacing w:after="0" w:line="240" w:lineRule="auto"/>
    </w:pPr>
    <w:rPr>
      <w:rFonts w:ascii="Calibri" w:eastAsia="Calibri" w:hAnsi="Calibri" w:cs="Calibri"/>
      <w:kern w:val="0"/>
    </w:rPr>
  </w:style>
  <w:style w:type="paragraph" w:styleId="EndnoteText">
    <w:name w:val="endnote text"/>
    <w:basedOn w:val="Normal"/>
    <w:link w:val="EndnoteTextChar"/>
    <w:uiPriority w:val="99"/>
    <w:semiHidden/>
    <w:unhideWhenUsed/>
    <w:rsid w:val="005F11B9"/>
    <w:pPr>
      <w:spacing w:after="0" w:line="240" w:lineRule="auto"/>
    </w:pPr>
    <w:rPr>
      <w:rFonts w:eastAsiaTheme="minorEastAsia"/>
      <w:kern w:val="0"/>
      <w:sz w:val="20"/>
      <w:szCs w:val="20"/>
    </w:rPr>
  </w:style>
  <w:style w:type="character" w:customStyle="1" w:styleId="EndnoteTextChar">
    <w:name w:val="Endnote Text Char"/>
    <w:basedOn w:val="DefaultParagraphFont"/>
    <w:link w:val="EndnoteText"/>
    <w:uiPriority w:val="99"/>
    <w:semiHidden/>
    <w:rsid w:val="005F11B9"/>
    <w:rPr>
      <w:rFonts w:eastAsiaTheme="minorEastAsia"/>
      <w:kern w:val="0"/>
      <w:sz w:val="20"/>
      <w:szCs w:val="20"/>
    </w:rPr>
  </w:style>
  <w:style w:type="character" w:styleId="EndnoteReference">
    <w:name w:val="endnote reference"/>
    <w:basedOn w:val="DefaultParagraphFont"/>
    <w:uiPriority w:val="99"/>
    <w:semiHidden/>
    <w:unhideWhenUsed/>
    <w:rsid w:val="005F11B9"/>
    <w:rPr>
      <w:vertAlign w:val="superscript"/>
    </w:rPr>
  </w:style>
  <w:style w:type="numbering" w:customStyle="1" w:styleId="NoList11">
    <w:name w:val="No List11"/>
    <w:next w:val="NoList"/>
    <w:uiPriority w:val="99"/>
    <w:semiHidden/>
    <w:unhideWhenUsed/>
    <w:rsid w:val="005F11B9"/>
  </w:style>
  <w:style w:type="character" w:customStyle="1" w:styleId="Hyperlink1">
    <w:name w:val="Hyperlink1"/>
    <w:basedOn w:val="DefaultParagraphFont"/>
    <w:uiPriority w:val="99"/>
    <w:unhideWhenUsed/>
    <w:rsid w:val="005F11B9"/>
    <w:rPr>
      <w:color w:val="0563C1"/>
      <w:u w:val="single"/>
    </w:rPr>
  </w:style>
  <w:style w:type="paragraph" w:customStyle="1" w:styleId="ListNumber41">
    <w:name w:val="List Number 41"/>
    <w:basedOn w:val="Normal"/>
    <w:next w:val="ListNumber4"/>
    <w:uiPriority w:val="99"/>
    <w:semiHidden/>
    <w:unhideWhenUsed/>
    <w:rsid w:val="005F11B9"/>
    <w:pPr>
      <w:tabs>
        <w:tab w:val="num" w:pos="360"/>
      </w:tabs>
      <w:spacing w:before="120" w:after="120" w:line="240" w:lineRule="auto"/>
      <w:ind w:left="720"/>
      <w:contextualSpacing/>
      <w:jc w:val="both"/>
    </w:pPr>
    <w:rPr>
      <w:rFonts w:ascii="Times New Roman" w:eastAsia="Calibri" w:hAnsi="Times New Roman" w:cs="Times New Roman"/>
      <w:kern w:val="0"/>
      <w:sz w:val="24"/>
    </w:rPr>
  </w:style>
  <w:style w:type="paragraph" w:customStyle="1" w:styleId="Caption1">
    <w:name w:val="Caption1"/>
    <w:basedOn w:val="Normal"/>
    <w:next w:val="Normal"/>
    <w:uiPriority w:val="35"/>
    <w:semiHidden/>
    <w:unhideWhenUsed/>
    <w:qFormat/>
    <w:rsid w:val="005F11B9"/>
    <w:pPr>
      <w:spacing w:after="200" w:line="240" w:lineRule="auto"/>
      <w:jc w:val="both"/>
    </w:pPr>
    <w:rPr>
      <w:rFonts w:ascii="Times New Roman" w:eastAsia="Calibri" w:hAnsi="Times New Roman" w:cs="Times New Roman"/>
      <w:i/>
      <w:iCs/>
      <w:color w:val="44546A"/>
      <w:kern w:val="0"/>
      <w:sz w:val="18"/>
      <w:szCs w:val="18"/>
    </w:rPr>
  </w:style>
  <w:style w:type="paragraph" w:customStyle="1" w:styleId="TableofFigures1">
    <w:name w:val="Table of Figures1"/>
    <w:basedOn w:val="Normal"/>
    <w:next w:val="Normal"/>
    <w:uiPriority w:val="99"/>
    <w:semiHidden/>
    <w:unhideWhenUsed/>
    <w:rsid w:val="005F11B9"/>
    <w:pPr>
      <w:spacing w:before="120" w:after="0" w:line="240" w:lineRule="auto"/>
      <w:jc w:val="both"/>
    </w:pPr>
    <w:rPr>
      <w:rFonts w:ascii="Times New Roman" w:eastAsia="Calibri" w:hAnsi="Times New Roman" w:cs="Times New Roman"/>
      <w:kern w:val="0"/>
      <w:sz w:val="24"/>
    </w:rPr>
  </w:style>
  <w:style w:type="paragraph" w:customStyle="1" w:styleId="ListNumber1">
    <w:name w:val="List Number1"/>
    <w:basedOn w:val="Normal"/>
    <w:next w:val="ListNumber"/>
    <w:uiPriority w:val="99"/>
    <w:semiHidden/>
    <w:unhideWhenUsed/>
    <w:rsid w:val="005F11B9"/>
    <w:pPr>
      <w:tabs>
        <w:tab w:val="num" w:pos="360"/>
      </w:tabs>
      <w:spacing w:before="120" w:after="120" w:line="240" w:lineRule="auto"/>
      <w:contextualSpacing/>
      <w:jc w:val="both"/>
    </w:pPr>
    <w:rPr>
      <w:rFonts w:ascii="Times New Roman" w:eastAsia="Calibri" w:hAnsi="Times New Roman" w:cs="Times New Roman"/>
      <w:kern w:val="0"/>
      <w:sz w:val="24"/>
    </w:rPr>
  </w:style>
  <w:style w:type="paragraph" w:customStyle="1" w:styleId="ListNumber21">
    <w:name w:val="List Number 21"/>
    <w:basedOn w:val="Normal"/>
    <w:next w:val="ListNumber2"/>
    <w:uiPriority w:val="99"/>
    <w:semiHidden/>
    <w:unhideWhenUsed/>
    <w:rsid w:val="005F11B9"/>
    <w:pPr>
      <w:tabs>
        <w:tab w:val="num" w:pos="360"/>
      </w:tabs>
      <w:spacing w:before="120" w:after="120" w:line="240" w:lineRule="auto"/>
      <w:contextualSpacing/>
      <w:jc w:val="both"/>
    </w:pPr>
    <w:rPr>
      <w:rFonts w:ascii="Times New Roman" w:eastAsia="Calibri" w:hAnsi="Times New Roman" w:cs="Times New Roman"/>
      <w:kern w:val="0"/>
      <w:sz w:val="24"/>
    </w:rPr>
  </w:style>
  <w:style w:type="paragraph" w:customStyle="1" w:styleId="ListNumber31">
    <w:name w:val="List Number 31"/>
    <w:basedOn w:val="Normal"/>
    <w:next w:val="ListNumber3"/>
    <w:uiPriority w:val="99"/>
    <w:semiHidden/>
    <w:unhideWhenUsed/>
    <w:rsid w:val="005F11B9"/>
    <w:pPr>
      <w:tabs>
        <w:tab w:val="num" w:pos="360"/>
      </w:tabs>
      <w:spacing w:before="120" w:after="120" w:line="240" w:lineRule="auto"/>
      <w:contextualSpacing/>
      <w:jc w:val="both"/>
    </w:pPr>
    <w:rPr>
      <w:rFonts w:ascii="Times New Roman" w:eastAsia="Calibri" w:hAnsi="Times New Roman" w:cs="Times New Roman"/>
      <w:kern w:val="0"/>
      <w:sz w:val="24"/>
    </w:rPr>
  </w:style>
  <w:style w:type="character" w:customStyle="1" w:styleId="SubtleEmphasis1">
    <w:name w:val="Subtle Emphasis1"/>
    <w:basedOn w:val="DefaultParagraphFont"/>
    <w:uiPriority w:val="19"/>
    <w:qFormat/>
    <w:rsid w:val="005F11B9"/>
    <w:rPr>
      <w:i/>
      <w:iCs/>
      <w:color w:val="404040"/>
    </w:rPr>
  </w:style>
  <w:style w:type="character" w:customStyle="1" w:styleId="FollowedHyperlink1">
    <w:name w:val="FollowedHyperlink1"/>
    <w:basedOn w:val="DefaultParagraphFont"/>
    <w:uiPriority w:val="99"/>
    <w:semiHidden/>
    <w:unhideWhenUsed/>
    <w:rsid w:val="005F11B9"/>
    <w:rPr>
      <w:color w:val="954F72"/>
      <w:u w:val="single"/>
    </w:rPr>
  </w:style>
  <w:style w:type="character" w:customStyle="1" w:styleId="Mention120">
    <w:name w:val="Mention120"/>
    <w:basedOn w:val="DefaultParagraphFont"/>
    <w:uiPriority w:val="99"/>
    <w:unhideWhenUsed/>
    <w:rsid w:val="005F11B9"/>
    <w:rPr>
      <w:color w:val="2B579A"/>
      <w:shd w:val="clear" w:color="auto" w:fill="E1DFDD"/>
    </w:rPr>
  </w:style>
  <w:style w:type="character" w:customStyle="1" w:styleId="Mention">
    <w:name w:val="Mention"/>
    <w:basedOn w:val="DefaultParagraphFont"/>
    <w:uiPriority w:val="99"/>
    <w:unhideWhenUsed/>
    <w:rsid w:val="005F11B9"/>
    <w:rPr>
      <w:color w:val="2B579A"/>
      <w:shd w:val="clear" w:color="auto" w:fill="E1DFDD"/>
    </w:rPr>
  </w:style>
  <w:style w:type="character" w:customStyle="1" w:styleId="UnresolvedMention">
    <w:name w:val="Unresolved Mention"/>
    <w:basedOn w:val="DefaultParagraphFont"/>
    <w:uiPriority w:val="99"/>
    <w:semiHidden/>
    <w:unhideWhenUsed/>
    <w:rsid w:val="005F11B9"/>
    <w:rPr>
      <w:color w:val="605E5C"/>
      <w:shd w:val="clear" w:color="auto" w:fill="E1DFDD"/>
    </w:rPr>
  </w:style>
  <w:style w:type="character" w:customStyle="1" w:styleId="Other1">
    <w:name w:val="Other|1_"/>
    <w:basedOn w:val="DefaultParagraphFont"/>
    <w:link w:val="Other10"/>
    <w:rsid w:val="001814F5"/>
    <w:rPr>
      <w:color w:val="006100"/>
    </w:rPr>
  </w:style>
  <w:style w:type="paragraph" w:customStyle="1" w:styleId="Other10">
    <w:name w:val="Other|1"/>
    <w:basedOn w:val="Normal"/>
    <w:link w:val="Other1"/>
    <w:rsid w:val="001814F5"/>
    <w:pPr>
      <w:widowControl w:val="0"/>
      <w:spacing w:after="0" w:line="240" w:lineRule="auto"/>
    </w:pPr>
    <w:rPr>
      <w:color w:val="006100"/>
    </w:rPr>
  </w:style>
  <w:style w:type="paragraph" w:customStyle="1" w:styleId="P68B1DB1-Heading11">
    <w:name w:val="P68B1DB1-Heading11"/>
    <w:basedOn w:val="Heading1"/>
    <w:rPr>
      <w:rFonts w:ascii="Times New Roman" w:eastAsia="Times New Roman" w:hAnsi="Times New Roman" w:cs="Times New Roman"/>
      <w:b/>
      <w:color w:val="auto"/>
      <w:sz w:val="24"/>
      <w:szCs w:val="24"/>
      <w:u w:val="single"/>
    </w:rPr>
  </w:style>
  <w:style w:type="paragraph" w:customStyle="1" w:styleId="P68B1DB1-Heading12">
    <w:name w:val="P68B1DB1-Heading12"/>
    <w:basedOn w:val="Heading1"/>
    <w:rPr>
      <w:rFonts w:ascii="Times New Roman" w:eastAsia="Times New Roman" w:hAnsi="Times New Roman" w:cs="Times New Roman"/>
      <w:b/>
      <w:color w:val="auto"/>
      <w:sz w:val="24"/>
      <w:szCs w:val="24"/>
    </w:rPr>
  </w:style>
  <w:style w:type="paragraph" w:customStyle="1" w:styleId="P68B1DB1-Heading23">
    <w:name w:val="P68B1DB1-Heading23"/>
    <w:basedOn w:val="Heading2"/>
    <w:rPr>
      <w:rFonts w:ascii="Times New Roman" w:eastAsia="Times New Roman" w:hAnsi="Times New Roman" w:cs="Times New Roman"/>
      <w:b/>
      <w:color w:val="auto"/>
      <w:sz w:val="24"/>
      <w:szCs w:val="24"/>
    </w:rPr>
  </w:style>
  <w:style w:type="paragraph" w:customStyle="1" w:styleId="P68B1DB1-Heading34">
    <w:name w:val="P68B1DB1-Heading34"/>
    <w:basedOn w:val="Heading3"/>
    <w:rPr>
      <w:rFonts w:ascii="Times New Roman" w:hAnsi="Times New Roman" w:cs="Times New Roman"/>
      <w:color w:val="auto"/>
      <w:sz w:val="24"/>
      <w:szCs w:val="24"/>
    </w:rPr>
  </w:style>
  <w:style w:type="paragraph" w:customStyle="1" w:styleId="P68B1DB1-Normal5">
    <w:name w:val="P68B1DB1-Normal5"/>
    <w:basedOn w:val="Normal"/>
    <w:rPr>
      <w:rFonts w:ascii="Times New Roman" w:hAnsi="Times New Roman" w:cs="Times New Roman"/>
      <w:b/>
    </w:rPr>
  </w:style>
  <w:style w:type="paragraph" w:customStyle="1" w:styleId="P68B1DB1-Descriptiontitle6">
    <w:name w:val="P68B1DB1-Descriptiontitle6"/>
    <w:basedOn w:val="Descriptiontitle"/>
    <w:rPr>
      <w:b/>
    </w:rPr>
  </w:style>
  <w:style w:type="paragraph" w:customStyle="1" w:styleId="P68B1DB1-Normal7">
    <w:name w:val="P68B1DB1-Normal7"/>
    <w:basedOn w:val="Normal"/>
    <w:rPr>
      <w:rFonts w:ascii="Times New Roman" w:hAnsi="Times New Roman" w:cs="Times New Roman"/>
    </w:rPr>
  </w:style>
  <w:style w:type="paragraph" w:customStyle="1" w:styleId="P68B1DB1-Normal8">
    <w:name w:val="P68B1DB1-Normal8"/>
    <w:basedOn w:val="Normal"/>
    <w:rPr>
      <w:rFonts w:ascii="Times New Roman" w:eastAsia="Times New Roman" w:hAnsi="Times New Roman" w:cs="Times New Roman"/>
    </w:rPr>
  </w:style>
  <w:style w:type="paragraph" w:customStyle="1" w:styleId="P68B1DB1-Heading39">
    <w:name w:val="P68B1DB1-Heading39"/>
    <w:basedOn w:val="Heading3"/>
    <w:rPr>
      <w:rFonts w:ascii="Times New Roman" w:hAnsi="Times New Roman" w:cs="Times New Roman"/>
      <w:sz w:val="24"/>
      <w:szCs w:val="24"/>
    </w:rPr>
  </w:style>
  <w:style w:type="paragraph" w:customStyle="1" w:styleId="P68B1DB1-Normal10">
    <w:name w:val="P68B1DB1-Normal10"/>
    <w:basedOn w:val="Normal"/>
    <w:rPr>
      <w:rFonts w:ascii="Arial Narrow" w:hAnsi="Arial Narrow"/>
      <w:b/>
      <w:sz w:val="20"/>
    </w:rPr>
  </w:style>
  <w:style w:type="paragraph" w:customStyle="1" w:styleId="P68B1DB1-Normal11">
    <w:name w:val="P68B1DB1-Normal11"/>
    <w:basedOn w:val="Normal"/>
    <w:rPr>
      <w:rFonts w:ascii="Arial Narrow" w:hAnsi="Arial Narrow"/>
      <w:color w:val="006100"/>
      <w:sz w:val="20"/>
    </w:rPr>
  </w:style>
  <w:style w:type="paragraph" w:customStyle="1" w:styleId="P68B1DB1-Normal12">
    <w:name w:val="P68B1DB1-Normal12"/>
    <w:basedOn w:val="Normal"/>
    <w:rPr>
      <w:rFonts w:ascii="Arial Narrow" w:hAnsi="Arial Narrow"/>
      <w:color w:val="006100"/>
      <w:sz w:val="20"/>
      <w:szCs w:val="20"/>
    </w:rPr>
  </w:style>
  <w:style w:type="paragraph" w:customStyle="1" w:styleId="P68B1DB1-ListParagraph13">
    <w:name w:val="P68B1DB1-ListParagraph13"/>
    <w:basedOn w:val="ListParagraph"/>
    <w:rPr>
      <w:rFonts w:ascii="Arial Narrow" w:hAnsi="Arial Narrow"/>
      <w:color w:val="006100"/>
      <w:sz w:val="20"/>
      <w:szCs w:val="20"/>
    </w:rPr>
  </w:style>
  <w:style w:type="paragraph" w:customStyle="1" w:styleId="P68B1DB1-Normal14">
    <w:name w:val="P68B1DB1-Normal14"/>
    <w:basedOn w:val="Normal"/>
    <w:rPr>
      <w:rFonts w:ascii="Arial Narrow" w:hAnsi="Arial Narrow"/>
      <w:sz w:val="20"/>
    </w:rPr>
  </w:style>
  <w:style w:type="paragraph" w:customStyle="1" w:styleId="P68B1DB1-ListParagraph15">
    <w:name w:val="P68B1DB1-ListParagraph15"/>
    <w:basedOn w:val="ListParagraph"/>
    <w:rPr>
      <w:rFonts w:ascii="Arial Narrow" w:hAnsi="Arial Narrow"/>
      <w:color w:val="006100"/>
      <w:sz w:val="20"/>
    </w:rPr>
  </w:style>
  <w:style w:type="paragraph" w:customStyle="1" w:styleId="P68B1DB1-Normal16">
    <w:name w:val="P68B1DB1-Normal16"/>
    <w:basedOn w:val="Normal"/>
    <w:rPr>
      <w:rFonts w:ascii="Arial Narrow" w:hAnsi="Arial Narrow"/>
      <w:sz w:val="20"/>
      <w:szCs w:val="20"/>
    </w:rPr>
  </w:style>
  <w:style w:type="paragraph" w:customStyle="1" w:styleId="P68B1DB1-Normal17">
    <w:name w:val="P68B1DB1-Normal17"/>
    <w:basedOn w:val="Normal"/>
    <w:rPr>
      <w:rFonts w:ascii="Arial Narrow" w:hAnsi="Arial Narrow" w:cs="Arial"/>
      <w:color w:val="006100"/>
      <w:sz w:val="20"/>
      <w:szCs w:val="20"/>
    </w:rPr>
  </w:style>
  <w:style w:type="paragraph" w:customStyle="1" w:styleId="P68B1DB1-ListParagraph18">
    <w:name w:val="P68B1DB1-ListParagraph18"/>
    <w:basedOn w:val="ListParagraph"/>
    <w:rPr>
      <w:color w:val="006100"/>
      <w:sz w:val="20"/>
    </w:rPr>
  </w:style>
  <w:style w:type="paragraph" w:customStyle="1" w:styleId="P68B1DB1-Normal19">
    <w:name w:val="P68B1DB1-Normal19"/>
    <w:basedOn w:val="Normal"/>
    <w:rPr>
      <w:color w:val="006100"/>
      <w:sz w:val="20"/>
      <w:szCs w:val="20"/>
    </w:rPr>
  </w:style>
  <w:style w:type="paragraph" w:customStyle="1" w:styleId="P68B1DB1-Normal20">
    <w:name w:val="P68B1DB1-Normal20"/>
    <w:basedOn w:val="Normal"/>
    <w:rPr>
      <w:rFonts w:ascii="Arial Narrow" w:hAnsi="Arial Narrow" w:hint="eastAsia"/>
      <w:color w:val="006100"/>
      <w:sz w:val="20"/>
    </w:rPr>
  </w:style>
  <w:style w:type="paragraph" w:customStyle="1" w:styleId="P68B1DB1-Normal21">
    <w:name w:val="P68B1DB1-Normal21"/>
    <w:basedOn w:val="Normal"/>
    <w:rPr>
      <w:color w:val="006100"/>
      <w:sz w:val="20"/>
    </w:rPr>
  </w:style>
  <w:style w:type="paragraph" w:customStyle="1" w:styleId="P68B1DB1-Normal22">
    <w:name w:val="P68B1DB1-Normal22"/>
    <w:basedOn w:val="Normal"/>
    <w:rPr>
      <w:rFonts w:ascii="Arial Narrow" w:hint="eastAsia"/>
      <w:color w:val="006100"/>
      <w:sz w:val="20"/>
      <w:szCs w:val="20"/>
    </w:rPr>
  </w:style>
  <w:style w:type="paragraph" w:customStyle="1" w:styleId="P68B1DB1-ListParagraph23">
    <w:name w:val="P68B1DB1-ListParagraph23"/>
    <w:basedOn w:val="ListParagraph"/>
    <w:rPr>
      <w:rFonts w:ascii="Arial Narrow" w:eastAsiaTheme="minorEastAsia" w:hAnsi="Arial Narrow"/>
      <w:color w:val="006100"/>
      <w:sz w:val="20"/>
      <w:szCs w:val="20"/>
    </w:rPr>
  </w:style>
  <w:style w:type="paragraph" w:customStyle="1" w:styleId="P68B1DB1-Normal24">
    <w:name w:val="P68B1DB1-Normal24"/>
    <w:basedOn w:val="Normal"/>
    <w:rPr>
      <w:rFonts w:ascii="Arial Narrow" w:hint="eastAsia"/>
      <w:color w:val="006100"/>
      <w:sz w:val="20"/>
    </w:rPr>
  </w:style>
  <w:style w:type="paragraph" w:customStyle="1" w:styleId="P68B1DB1-Normal25">
    <w:name w:val="P68B1DB1-Normal25"/>
    <w:basedOn w:val="Normal"/>
    <w:rPr>
      <w:rFonts w:ascii="Times New Roman" w:hAnsi="Times New Roman" w:cs="Times New Roman"/>
      <w:b/>
      <w:u w:val="single"/>
    </w:rPr>
  </w:style>
  <w:style w:type="paragraph" w:customStyle="1" w:styleId="P68B1DB1-Normal26">
    <w:name w:val="P68B1DB1-Normal26"/>
    <w:basedOn w:val="Normal"/>
    <w:rPr>
      <w:rFonts w:ascii="Times New Roman" w:hAnsi="Times New Roman" w:cs="Times New Roman"/>
      <w:i/>
    </w:rPr>
  </w:style>
  <w:style w:type="paragraph" w:customStyle="1" w:styleId="P68B1DB1-Normal27">
    <w:name w:val="P68B1DB1-Normal27"/>
    <w:basedOn w:val="Normal"/>
    <w:rPr>
      <w:rFonts w:ascii="Times New Roman" w:hAnsi="Times New Roman" w:cs="Times New Roman"/>
      <w:color w:val="000000" w:themeColor="text1"/>
    </w:rPr>
  </w:style>
  <w:style w:type="paragraph" w:customStyle="1" w:styleId="P68B1DB1-Normal28">
    <w:name w:val="P68B1DB1-Normal28"/>
    <w:basedOn w:val="Normal"/>
    <w:rPr>
      <w:rFonts w:ascii="Times New Roman" w:hAnsi="Times New Roman" w:cs="Times New Roman"/>
      <w:i/>
      <w:u w:val="single"/>
    </w:rPr>
  </w:style>
  <w:style w:type="paragraph" w:customStyle="1" w:styleId="P68B1DB1-Normal29">
    <w:name w:val="P68B1DB1-Normal29"/>
    <w:basedOn w:val="Normal"/>
    <w:rPr>
      <w:rFonts w:ascii="Times New Roman" w:eastAsia="Times New Roman" w:hAnsi="Times New Roman" w:cs="Times New Roman"/>
      <w:b/>
    </w:rPr>
  </w:style>
  <w:style w:type="paragraph" w:customStyle="1" w:styleId="P68B1DB1-Normal30">
    <w:name w:val="P68B1DB1-Normal30"/>
    <w:basedOn w:val="Normal"/>
    <w:rPr>
      <w:rFonts w:ascii="Arial Narrow" w:hAnsi="Arial Narrow"/>
    </w:rPr>
  </w:style>
  <w:style w:type="paragraph" w:customStyle="1" w:styleId="P68B1DB1-Normal31">
    <w:name w:val="P68B1DB1-Normal31"/>
    <w:basedOn w:val="Normal"/>
    <w:rPr>
      <w:rFonts w:ascii="Arial Narrow" w:hAnsi="Arial Narrow"/>
      <w:b/>
      <w:color w:val="006100"/>
      <w:sz w:val="20"/>
    </w:rPr>
  </w:style>
  <w:style w:type="paragraph" w:customStyle="1" w:styleId="P68B1DB1-Normal32">
    <w:name w:val="P68B1DB1-Normal32"/>
    <w:basedOn w:val="Normal"/>
    <w:rPr>
      <w:rFonts w:ascii="Arial Narrow" w:hAnsi="Arial Narrow"/>
      <w:b/>
      <w:color w:val="006100"/>
      <w:sz w:val="20"/>
      <w:szCs w:val="20"/>
    </w:rPr>
  </w:style>
  <w:style w:type="paragraph" w:customStyle="1" w:styleId="P68B1DB1-Normal33">
    <w:name w:val="P68B1DB1-Normal33"/>
    <w:basedOn w:val="Normal"/>
    <w:rPr>
      <w:rFonts w:ascii="Arial Narrow" w:eastAsia="Times New Roman" w:hAnsi="Arial Narrow" w:cs="Segoe UI"/>
      <w:color w:val="006100"/>
      <w:sz w:val="20"/>
      <w:szCs w:val="20"/>
    </w:rPr>
  </w:style>
  <w:style w:type="paragraph" w:customStyle="1" w:styleId="P68B1DB1-Normal34">
    <w:name w:val="P68B1DB1-Normal34"/>
    <w:basedOn w:val="Normal"/>
    <w:rPr>
      <w:rFonts w:ascii="Arial Narrow" w:eastAsia="Times New Roman" w:hAnsi="Arial Narrow" w:cs="Segoe UI"/>
      <w:b/>
      <w:color w:val="006100"/>
      <w:sz w:val="20"/>
      <w:szCs w:val="20"/>
    </w:rPr>
  </w:style>
  <w:style w:type="paragraph" w:customStyle="1" w:styleId="P68B1DB1-ListParagraph35">
    <w:name w:val="P68B1DB1-ListParagraph35"/>
    <w:basedOn w:val="ListParagraph"/>
    <w:rPr>
      <w:rFonts w:ascii="Arial Narrow" w:hAnsi="Arial Narrow" w:cs="Segoe UI"/>
      <w:color w:val="006100"/>
      <w:sz w:val="20"/>
      <w:szCs w:val="20"/>
    </w:rPr>
  </w:style>
  <w:style w:type="paragraph" w:customStyle="1" w:styleId="P68B1DB1-ListParagraph36">
    <w:name w:val="P68B1DB1-ListParagraph36"/>
    <w:basedOn w:val="ListParagraph"/>
    <w:rPr>
      <w:rFonts w:ascii="Times New Roman" w:hAnsi="Times New Roman" w:cs="Times New Roman" w:hint="eastAsia"/>
    </w:rPr>
  </w:style>
  <w:style w:type="paragraph" w:customStyle="1" w:styleId="P68B1DB1-ListParagraph37">
    <w:name w:val="P68B1DB1-ListParagraph37"/>
    <w:basedOn w:val="ListParagraph"/>
    <w:rPr>
      <w:rFonts w:ascii="Times New Roman" w:hAnsi="Times New Roman" w:cs="Times New Roman"/>
    </w:rPr>
  </w:style>
  <w:style w:type="paragraph" w:customStyle="1" w:styleId="P68B1DB1-Normal38">
    <w:name w:val="P68B1DB1-Normal38"/>
    <w:basedOn w:val="Normal"/>
    <w:rPr>
      <w:rFonts w:ascii="Times New Roman" w:eastAsia="Calibri" w:hAnsi="Times New Roman" w:cs="Times New Roman"/>
    </w:rPr>
  </w:style>
  <w:style w:type="paragraph" w:customStyle="1" w:styleId="P68B1DB1-ListParagraph39">
    <w:name w:val="P68B1DB1-ListParagraph39"/>
    <w:basedOn w:val="ListParagraph"/>
    <w:rPr>
      <w:rFonts w:ascii="Times New Roman" w:eastAsia="Calibri" w:hAnsi="Times New Roman" w:cs="Times New Roman"/>
    </w:rPr>
  </w:style>
  <w:style w:type="paragraph" w:customStyle="1" w:styleId="P68B1DB1-ListParagraph40">
    <w:name w:val="P68B1DB1-ListParagraph40"/>
    <w:basedOn w:val="ListParagraph"/>
    <w:rPr>
      <w:rFonts w:ascii="Times New Roman" w:hAnsi="Times New Roman"/>
    </w:rPr>
  </w:style>
  <w:style w:type="paragraph" w:customStyle="1" w:styleId="P68B1DB1-Heading341">
    <w:name w:val="P68B1DB1-Heading341"/>
    <w:basedOn w:val="Heading3"/>
    <w:rPr>
      <w:sz w:val="24"/>
      <w:szCs w:val="24"/>
    </w:rPr>
  </w:style>
  <w:style w:type="paragraph" w:customStyle="1" w:styleId="P68B1DB1-Normal42">
    <w:name w:val="P68B1DB1-Normal42"/>
    <w:basedOn w:val="Normal"/>
    <w:rPr>
      <w:rFonts w:ascii="Times New Roman" w:eastAsia="Times New Roman" w:hAnsi="Times New Roman" w:cs="Times New Roman"/>
      <w:b/>
      <w:color w:val="000000" w:themeColor="text1"/>
    </w:rPr>
  </w:style>
  <w:style w:type="paragraph" w:customStyle="1" w:styleId="P68B1DB1-Text143">
    <w:name w:val="P68B1DB1-Text143"/>
    <w:basedOn w:val="Text1"/>
    <w:rPr>
      <w:sz w:val="22"/>
      <w:szCs w:val="22"/>
    </w:rPr>
  </w:style>
  <w:style w:type="paragraph" w:customStyle="1" w:styleId="P68B1DB1-Normal44">
    <w:name w:val="P68B1DB1-Normal44"/>
    <w:basedOn w:val="Normal"/>
    <w:rPr>
      <w:rFonts w:ascii="Arial Narrow"/>
      <w:color w:val="006100"/>
      <w:sz w:val="20"/>
    </w:rPr>
  </w:style>
  <w:style w:type="paragraph" w:customStyle="1" w:styleId="P68B1DB1-Normal45">
    <w:name w:val="P68B1DB1-Normal45"/>
    <w:basedOn w:val="Normal"/>
    <w:rPr>
      <w:rFonts w:ascii="Times New Roman" w:eastAsia="Times New Roman" w:hAnsi="Times New Roman" w:cs="Times New Roman"/>
      <w:kern w:val="0"/>
      <w14:ligatures w14:val="none"/>
    </w:rPr>
  </w:style>
  <w:style w:type="paragraph" w:customStyle="1" w:styleId="P68B1DB1-Normal46">
    <w:name w:val="P68B1DB1-Normal46"/>
    <w:basedOn w:val="Normal"/>
    <w:rPr>
      <w:rFonts w:ascii="Times New Roman" w:eastAsia="Times New Roman" w:hAnsi="Times New Roman" w:cs="Times New Roman"/>
      <w:kern w:val="0"/>
      <w:sz w:val="24"/>
      <w:szCs w:val="24"/>
      <w14:ligatures w14:val="none"/>
    </w:rPr>
  </w:style>
  <w:style w:type="paragraph" w:customStyle="1" w:styleId="P68B1DB1-Heading347">
    <w:name w:val="P68B1DB1-Heading347"/>
    <w:basedOn w:val="Heading3"/>
    <w:rPr>
      <w:rFonts w:ascii="Times New Roman" w:eastAsia="Times New Roman" w:hAnsi="Times New Roman" w:cs="Times New Roman"/>
      <w:b/>
      <w:sz w:val="24"/>
      <w:szCs w:val="24"/>
      <w:u w:val="single"/>
    </w:rPr>
  </w:style>
  <w:style w:type="paragraph" w:customStyle="1" w:styleId="P68B1DB1-Normal48">
    <w:name w:val="P68B1DB1-Normal48"/>
    <w:basedOn w:val="Normal"/>
    <w:rPr>
      <w:rFonts w:ascii="Times New Roman" w:eastAsia="Times New Roman" w:hAnsi="Times New Roman" w:cs="Times New Roman"/>
      <w:i/>
      <w:kern w:val="0"/>
      <w:sz w:val="24"/>
      <w:szCs w:val="24"/>
      <w14:ligatures w14:val="none"/>
    </w:rPr>
  </w:style>
  <w:style w:type="paragraph" w:customStyle="1" w:styleId="P68B1DB1-Normal49">
    <w:name w:val="P68B1DB1-Normal49"/>
    <w:basedOn w:val="Normal"/>
    <w:rPr>
      <w:rFonts w:ascii="Arial Narrow" w:eastAsia="Times New Roman" w:hAnsi="Arial Narrow" w:cs="Times New Roman"/>
      <w:kern w:val="0"/>
      <w:sz w:val="20"/>
      <w:szCs w:val="20"/>
      <w14:ligatures w14:val="none"/>
    </w:rPr>
  </w:style>
  <w:style w:type="paragraph" w:customStyle="1" w:styleId="P68B1DB1-Normal50">
    <w:name w:val="P68B1DB1-Normal50"/>
    <w:basedOn w:val="Normal"/>
    <w:rPr>
      <w:rFonts w:ascii="Arial Narrow" w:eastAsia="Times New Roman" w:hAnsi="Arial Narrow" w:cs="Times New Roman"/>
      <w:color w:val="006100"/>
      <w:kern w:val="0"/>
      <w:sz w:val="20"/>
      <w:szCs w:val="20"/>
      <w14:ligatures w14:val="none"/>
    </w:rPr>
  </w:style>
  <w:style w:type="paragraph" w:customStyle="1" w:styleId="P68B1DB1-ListParagraph51">
    <w:name w:val="P68B1DB1-ListParagraph51"/>
    <w:basedOn w:val="ListParagraph"/>
    <w:rPr>
      <w:rFonts w:ascii="Arial Narrow" w:eastAsia="Times New Roman" w:hAnsi="Arial Narrow" w:cs="Times New Roman"/>
      <w:color w:val="006100"/>
      <w:kern w:val="0"/>
      <w:sz w:val="20"/>
      <w:szCs w:val="20"/>
      <w14:ligatures w14:val="none"/>
    </w:rPr>
  </w:style>
  <w:style w:type="paragraph" w:customStyle="1" w:styleId="P68B1DB1-ListParagraph52">
    <w:name w:val="P68B1DB1-ListParagraph52"/>
    <w:basedOn w:val="ListParagraph"/>
    <w:rPr>
      <w:rFonts w:ascii="Arial Narrow" w:eastAsia="Times New Roman" w:hAnsi="Arial Narrow" w:cs="Arial"/>
      <w:color w:val="006100"/>
      <w:kern w:val="0"/>
      <w:sz w:val="20"/>
      <w:szCs w:val="20"/>
      <w14:ligatures w14:val="none"/>
    </w:rPr>
  </w:style>
  <w:style w:type="paragraph" w:customStyle="1" w:styleId="P68B1DB1-Normal53">
    <w:name w:val="P68B1DB1-Normal53"/>
    <w:basedOn w:val="Normal"/>
    <w:rPr>
      <w:rFonts w:ascii="Arial Narrow" w:eastAsia="Times New Roman" w:hAnsi="Arial Narrow" w:cs="Arial"/>
      <w:color w:val="006100"/>
      <w:kern w:val="0"/>
      <w:sz w:val="20"/>
      <w:szCs w:val="20"/>
      <w14:ligatures w14:val="none"/>
    </w:rPr>
  </w:style>
  <w:style w:type="paragraph" w:customStyle="1" w:styleId="P68B1DB1-Normal54">
    <w:name w:val="P68B1DB1-Normal54"/>
    <w:basedOn w:val="Normal"/>
    <w:rPr>
      <w:color w:val="006100"/>
      <w:kern w:val="0"/>
      <w:sz w:val="20"/>
      <w:szCs w:val="20"/>
      <w14:ligatures w14:val="none"/>
    </w:rPr>
  </w:style>
  <w:style w:type="paragraph" w:customStyle="1" w:styleId="P68B1DB1-Normal55">
    <w:name w:val="P68B1DB1-Normal55"/>
    <w:basedOn w:val="Normal"/>
    <w:rPr>
      <w:rFonts w:ascii="Arial Narrow" w:eastAsia="Times New Roman" w:hAnsi="Arial Narrow" w:cs="Times New Roman"/>
      <w:kern w:val="0"/>
      <w14:ligatures w14:val="none"/>
    </w:rPr>
  </w:style>
  <w:style w:type="paragraph" w:customStyle="1" w:styleId="P68B1DB1-Normal56">
    <w:name w:val="P68B1DB1-Normal56"/>
    <w:basedOn w:val="Normal"/>
    <w:rPr>
      <w:rFonts w:ascii="Times New Roman" w:eastAsia="Times New Roman" w:hAnsi="Times New Roman" w:cs="Times New Roman"/>
      <w:b/>
      <w:kern w:val="0"/>
      <w:sz w:val="24"/>
      <w:szCs w:val="24"/>
      <w14:ligatures w14:val="none"/>
    </w:rPr>
  </w:style>
  <w:style w:type="paragraph" w:customStyle="1" w:styleId="P68B1DB1-Normal57">
    <w:name w:val="P68B1DB1-Normal57"/>
    <w:basedOn w:val="Normal"/>
    <w:rPr>
      <w:rFonts w:ascii="Arial Narrow" w:eastAsia="Times New Roman" w:hAnsi="Arial"/>
      <w:color w:val="006100"/>
      <w:kern w:val="0"/>
      <w:sz w:val="20"/>
      <w:szCs w:val="20"/>
      <w14:ligatures w14:val="none"/>
    </w:rPr>
  </w:style>
  <w:style w:type="paragraph" w:customStyle="1" w:styleId="P68B1DB1-Normal58">
    <w:name w:val="P68B1DB1-Normal58"/>
    <w:basedOn w:val="Normal"/>
    <w:rPr>
      <w:rFonts w:ascii="Aptos" w:eastAsia="Times New Roman" w:hAnsi="Aptos" w:cs="Segoe UI"/>
      <w:kern w:val="0"/>
      <w:sz w:val="24"/>
      <w:szCs w:val="24"/>
      <w14:ligatures w14:val="none"/>
    </w:rPr>
  </w:style>
  <w:style w:type="paragraph" w:customStyle="1" w:styleId="P68B1DB1-Heading359">
    <w:name w:val="P68B1DB1-Heading359"/>
    <w:basedOn w:val="Heading3"/>
    <w:rPr>
      <w:rFonts w:ascii="Times New Roman" w:hAnsi="Times New Roman" w:cs="Times New Roman"/>
    </w:rPr>
  </w:style>
  <w:style w:type="paragraph" w:customStyle="1" w:styleId="P68B1DB1-LegalNumPar260">
    <w:name w:val="P68B1DB1-LegalNumPar260"/>
    <w:basedOn w:val="LegalNumPar2"/>
    <w:rPr>
      <w:rFonts w:ascii="Times New Roman" w:eastAsia="Times New Roman" w:hAnsi="Times New Roman" w:cs="Times New Roman"/>
    </w:rPr>
  </w:style>
  <w:style w:type="paragraph" w:customStyle="1" w:styleId="P68B1DB1-Normal61">
    <w:name w:val="P68B1DB1-Normal61"/>
    <w:basedOn w:val="Normal"/>
    <w:rPr>
      <w:rFonts w:ascii="Arial Narrow"/>
      <w:color w:val="006100"/>
      <w:sz w:val="20"/>
      <w:szCs w:val="20"/>
    </w:rPr>
  </w:style>
  <w:style w:type="paragraph" w:customStyle="1" w:styleId="P68B1DB1-LegalNumPar62">
    <w:name w:val="P68B1DB1-LegalNumPar62"/>
    <w:basedOn w:val="LegalNumPar"/>
    <w:rPr>
      <w:rFonts w:ascii="Times New Roman" w:eastAsia="Calibri" w:hAnsi="Times New Roman" w:cs="Times New Roman"/>
    </w:rPr>
  </w:style>
  <w:style w:type="paragraph" w:customStyle="1" w:styleId="P68B1DB1-LegalNumPar263">
    <w:name w:val="P68B1DB1-LegalNumPar263"/>
    <w:basedOn w:val="LegalNumPar2"/>
    <w:rPr>
      <w:rFonts w:ascii="Times New Roman" w:eastAsia="Calibri" w:hAnsi="Times New Roman" w:cs="Times New Roman"/>
    </w:rPr>
  </w:style>
  <w:style w:type="paragraph" w:customStyle="1" w:styleId="P68B1DB1-LegalNumPar264">
    <w:name w:val="P68B1DB1-LegalNumPar264"/>
    <w:basedOn w:val="LegalNumPar2"/>
    <w:rPr>
      <w:rFonts w:ascii="Times New Roman" w:hAnsi="Times New Roman"/>
    </w:rPr>
  </w:style>
  <w:style w:type="paragraph" w:customStyle="1" w:styleId="P68B1DB1-Normal65">
    <w:name w:val="P68B1DB1-Normal65"/>
    <w:basedOn w:val="Normal"/>
    <w:rPr>
      <w:rFonts w:ascii="Times New Roman" w:eastAsia="MS Mincho" w:hAnsi="Times New Roman" w:cs="Times New Roman"/>
    </w:rPr>
  </w:style>
  <w:style w:type="paragraph" w:customStyle="1" w:styleId="P68B1DB1-Normal66">
    <w:name w:val="P68B1DB1-Normal66"/>
    <w:basedOn w:val="Normal"/>
    <w:rPr>
      <w:rFonts w:ascii="Times New Roman" w:eastAsia="Times New Roman" w:hAnsi="Times New Roman" w:cs="Times New Roman"/>
      <w:color w:val="000000" w:themeColor="text1"/>
    </w:rPr>
  </w:style>
  <w:style w:type="paragraph" w:customStyle="1" w:styleId="P68B1DB1-Normal67">
    <w:name w:val="P68B1DB1-Normal67"/>
    <w:basedOn w:val="Normal"/>
    <w:rPr>
      <w:rFonts w:ascii="Arial Narrow" w:eastAsia="Calibri" w:hAnsi="Arial Narrow"/>
      <w:color w:val="006100"/>
      <w:sz w:val="20"/>
      <w:szCs w:val="20"/>
    </w:rPr>
  </w:style>
  <w:style w:type="paragraph" w:customStyle="1" w:styleId="P68B1DB1-Heading368">
    <w:name w:val="P68B1DB1-Heading368"/>
    <w:basedOn w:val="Heading3"/>
    <w:rPr>
      <w:rFonts w:ascii="Times New Roman" w:hAnsi="Times New Roman" w:cs="Times New Roman"/>
      <w:b/>
      <w:sz w:val="24"/>
      <w:szCs w:val="24"/>
      <w:u w:val="single"/>
    </w:rPr>
  </w:style>
  <w:style w:type="paragraph" w:customStyle="1" w:styleId="P68B1DB1-Other1069">
    <w:name w:val="P68B1DB1-Other1069"/>
    <w:basedOn w:val="Other10"/>
    <w:rPr>
      <w:rFonts w:ascii="Arial Narrow" w:hAnsi="Arial Narrow"/>
      <w:sz w:val="20"/>
      <w:szCs w:val="20"/>
    </w:rPr>
  </w:style>
  <w:style w:type="paragraph" w:customStyle="1" w:styleId="P68B1DB1-Normal70">
    <w:name w:val="P68B1DB1-Normal70"/>
    <w:basedOn w:val="Normal"/>
    <w:rPr>
      <w:rFonts w:ascii="Times New Roman" w:hAnsi="Times New Roman" w:cs="Times New Roman"/>
      <w:b/>
      <w:color w:val="000000"/>
      <w:shd w:val="clear" w:color="auto" w:fill="FFFFFF"/>
    </w:rPr>
  </w:style>
  <w:style w:type="paragraph" w:customStyle="1" w:styleId="P68B1DB1-Other1071">
    <w:name w:val="P68B1DB1-Other1071"/>
    <w:basedOn w:val="Other10"/>
    <w:rPr>
      <w:rFonts w:ascii="Arial Narrow" w:hAnsi="Arial Narrow"/>
      <w:sz w:val="20"/>
    </w:rPr>
  </w:style>
  <w:style w:type="paragraph" w:customStyle="1" w:styleId="P68B1DB1-Times1272">
    <w:name w:val="P68B1DB1-Times1272"/>
    <w:basedOn w:val="Times12"/>
    <w:rPr>
      <w:rFonts w:ascii="Times New Roman" w:hAnsi="Times New Roman" w:cs="Times New Roman"/>
      <w:sz w:val="22"/>
      <w:szCs w:val="22"/>
    </w:rPr>
  </w:style>
  <w:style w:type="paragraph" w:customStyle="1" w:styleId="P68B1DB1-Times1273">
    <w:name w:val="P68B1DB1-Times1273"/>
    <w:basedOn w:val="Times12"/>
    <w:rPr>
      <w:sz w:val="22"/>
      <w:szCs w:val="22"/>
    </w:rPr>
  </w:style>
  <w:style w:type="paragraph" w:customStyle="1" w:styleId="P68B1DB1-Times1274">
    <w:name w:val="P68B1DB1-Times1274"/>
    <w:basedOn w:val="Times12"/>
    <w:rPr>
      <w:rFonts w:ascii="Times New Roman" w:hAnsi="Times New Roman" w:cs="Times New Roman"/>
      <w:b/>
      <w:sz w:val="22"/>
      <w:szCs w:val="22"/>
    </w:rPr>
  </w:style>
  <w:style w:type="paragraph" w:customStyle="1" w:styleId="P68B1DB1-Times1275">
    <w:name w:val="P68B1DB1-Times1275"/>
    <w:basedOn w:val="Times12"/>
    <w:rPr>
      <w:rFonts w:ascii="Times New Roman" w:hAnsi="Times New Roman" w:cs="Times New Roman"/>
    </w:rPr>
  </w:style>
  <w:style w:type="paragraph" w:customStyle="1" w:styleId="P68B1DB1-Times1276">
    <w:name w:val="P68B1DB1-Times1276"/>
    <w:basedOn w:val="Times12"/>
    <w:rPr>
      <w:rFonts w:ascii="Times New Roman" w:eastAsia="Times New Roman" w:hAnsi="Times New Roman" w:cs="Times New Roman"/>
      <w:b/>
    </w:rPr>
  </w:style>
  <w:style w:type="paragraph" w:customStyle="1" w:styleId="P68B1DB1-Times1277">
    <w:name w:val="P68B1DB1-Times1277"/>
    <w:basedOn w:val="Times12"/>
    <w:rPr>
      <w:rFonts w:ascii="Times New Roman" w:eastAsia="Times New Roman" w:hAnsi="Times New Roman" w:cs="Times New Roman"/>
    </w:rPr>
  </w:style>
  <w:style w:type="paragraph" w:customStyle="1" w:styleId="P68B1DB1-Paragrafoelenco178">
    <w:name w:val="P68B1DB1-Paragrafoelenco178"/>
    <w:basedOn w:val="Paragrafoelenco1"/>
    <w:rPr>
      <w:color w:val="auto"/>
      <w:sz w:val="22"/>
      <w:szCs w:val="22"/>
    </w:rPr>
  </w:style>
  <w:style w:type="paragraph" w:customStyle="1" w:styleId="P68B1DB1-LegalNumPar79">
    <w:name w:val="P68B1DB1-LegalNumPar79"/>
    <w:basedOn w:val="LegalNumPar"/>
    <w:rPr>
      <w:rFonts w:ascii="Times New Roman" w:hAnsi="Times New Roman" w:cs="Times New Roman"/>
    </w:rPr>
  </w:style>
  <w:style w:type="paragraph" w:customStyle="1" w:styleId="P68B1DB1-LegalNumPar280">
    <w:name w:val="P68B1DB1-LegalNumPar280"/>
    <w:basedOn w:val="LegalNumPar2"/>
    <w:rPr>
      <w:rFonts w:ascii="Times New Roman" w:hAnsi="Times New Roman" w:cs="Times New Roman"/>
    </w:rPr>
  </w:style>
  <w:style w:type="paragraph" w:customStyle="1" w:styleId="P68B1DB1-Normal81">
    <w:name w:val="P68B1DB1-Normal81"/>
    <w:basedOn w:val="Normal"/>
    <w:rPr>
      <w:rFonts w:ascii="Arial Narrow" w:hAnsi="Arial Narrow"/>
      <w:color w:val="006100"/>
      <w:sz w:val="18"/>
      <w:szCs w:val="18"/>
    </w:rPr>
  </w:style>
  <w:style w:type="paragraph" w:customStyle="1" w:styleId="P68B1DB1-ListParagraph82">
    <w:name w:val="P68B1DB1-ListParagraph82"/>
    <w:basedOn w:val="ListParagraph"/>
    <w:rPr>
      <w:rFonts w:ascii="Arial Narrow" w:hAnsi="Arial Narrow"/>
      <w:sz w:val="20"/>
    </w:rPr>
  </w:style>
  <w:style w:type="paragraph" w:customStyle="1" w:styleId="P68B1DB1-Normal83">
    <w:name w:val="P68B1DB1-Normal83"/>
    <w:basedOn w:val="Normal"/>
    <w:rPr>
      <w:color w:val="006100"/>
    </w:rPr>
  </w:style>
  <w:style w:type="paragraph" w:customStyle="1" w:styleId="P68B1DB1-Normal84">
    <w:name w:val="P68B1DB1-Normal84"/>
    <w:basedOn w:val="Normal"/>
    <w:rPr>
      <w:rFonts w:ascii="Arial Narrow" w:eastAsia="Arial Narrow" w:hAnsi="Arial Narrow" w:cs="Arial Narrow"/>
      <w:color w:val="006100"/>
      <w:sz w:val="20"/>
      <w:szCs w:val="20"/>
    </w:rPr>
  </w:style>
  <w:style w:type="paragraph" w:customStyle="1" w:styleId="P68B1DB1-Normal85">
    <w:name w:val="P68B1DB1-Normal85"/>
    <w:basedOn w:val="Normal"/>
    <w:rPr>
      <w:rFonts w:ascii="Arial Narrow" w:eastAsia="Arial Narrow" w:hAnsi="Arial Narrow" w:cs="Arial Narrow"/>
      <w:sz w:val="20"/>
      <w:szCs w:val="20"/>
    </w:rPr>
  </w:style>
  <w:style w:type="paragraph" w:customStyle="1" w:styleId="P68B1DB1-ListParagraph86">
    <w:name w:val="P68B1DB1-ListParagraph86"/>
    <w:basedOn w:val="ListParagraph"/>
    <w:rPr>
      <w:rFonts w:ascii="Arial Narrow" w:hAnsi="Arial Narrow"/>
      <w:color w:val="196B24" w:themeColor="accent3"/>
      <w:sz w:val="20"/>
      <w:szCs w:val="20"/>
    </w:rPr>
  </w:style>
  <w:style w:type="paragraph" w:customStyle="1" w:styleId="P68B1DB1-Normal87">
    <w:name w:val="P68B1DB1-Normal87"/>
    <w:basedOn w:val="Normal"/>
    <w:rPr>
      <w:rFonts w:ascii="Arial Narrow" w:hAnsi="Arial Narrow"/>
      <w:color w:val="196B24" w:themeColor="accent3"/>
      <w:sz w:val="20"/>
      <w:szCs w:val="20"/>
    </w:rPr>
  </w:style>
  <w:style w:type="paragraph" w:customStyle="1" w:styleId="P68B1DB1-Normal88">
    <w:name w:val="P68B1DB1-Normal88"/>
    <w:basedOn w:val="Normal"/>
    <w:rPr>
      <w:rFonts w:ascii="Arial Narrow" w:eastAsia="Arial Narrow" w:hAnsi="Arial Narrow" w:cs="Arial Narrow"/>
      <w:color w:val="196B24" w:themeColor="accent3"/>
      <w:sz w:val="20"/>
      <w:szCs w:val="20"/>
    </w:rPr>
  </w:style>
  <w:style w:type="paragraph" w:customStyle="1" w:styleId="P68B1DB1-paragraph89">
    <w:name w:val="P68B1DB1-paragraph89"/>
    <w:basedOn w:val="paragraph"/>
    <w:rPr>
      <w:rFonts w:ascii="Arial Narrow" w:hAnsi="Arial Narrow"/>
      <w:color w:val="006100"/>
      <w:sz w:val="20"/>
    </w:rPr>
  </w:style>
  <w:style w:type="paragraph" w:customStyle="1" w:styleId="P68B1DB1-Normal90">
    <w:name w:val="P68B1DB1-Normal90"/>
    <w:basedOn w:val="Normal"/>
    <w:rPr>
      <w:rFonts w:ascii="Arial Narrow" w:hAnsi="Arial Narrow"/>
      <w:color w:val="006100"/>
    </w:rPr>
  </w:style>
  <w:style w:type="paragraph" w:customStyle="1" w:styleId="P68B1DB1-Heading291">
    <w:name w:val="P68B1DB1-Heading291"/>
    <w:basedOn w:val="Heading2"/>
    <w:rPr>
      <w:sz w:val="24"/>
      <w:szCs w:val="24"/>
    </w:rPr>
  </w:style>
  <w:style w:type="paragraph" w:customStyle="1" w:styleId="P68B1DB1-LegalNumPar392">
    <w:name w:val="P68B1DB1-LegalNumPar392"/>
    <w:basedOn w:val="LegalNumPar3"/>
    <w:rPr>
      <w:rFonts w:ascii="Times New Roman" w:hAnsi="Times New Roman" w:cs="Times New Roman"/>
    </w:rPr>
  </w:style>
  <w:style w:type="paragraph" w:customStyle="1" w:styleId="P68B1DB1-Normal93">
    <w:name w:val="P68B1DB1-Normal93"/>
    <w:basedOn w:val="Normal"/>
    <w:rPr>
      <w:rFonts w:ascii="Arial Narrow" w:hAnsi="Arial Narrow"/>
      <w:b/>
      <w:sz w:val="20"/>
      <w:szCs w:val="20"/>
    </w:rPr>
  </w:style>
  <w:style w:type="paragraph" w:customStyle="1" w:styleId="P68B1DB1-Normal94">
    <w:name w:val="P68B1DB1-Normal94"/>
    <w:basedOn w:val="Normal"/>
    <w:rPr>
      <w:rFonts w:ascii="Arial Narrow" w:hAnsi="Arial Narrow" w:hint="eastAsia"/>
      <w:color w:val="006100"/>
      <w:sz w:val="20"/>
      <w:szCs w:val="20"/>
    </w:rPr>
  </w:style>
  <w:style w:type="paragraph" w:customStyle="1" w:styleId="P68B1DB1-paragraph95">
    <w:name w:val="P68B1DB1-paragraph95"/>
    <w:basedOn w:val="paragraph"/>
    <w:rPr>
      <w:rFonts w:ascii="Arial Narrow" w:eastAsiaTheme="minorHAnsi" w:hAnsi="Arial Narrow" w:cstheme="minorBidi"/>
      <w:color w:val="006100"/>
      <w:kern w:val="2"/>
      <w:sz w:val="20"/>
      <w:szCs w:val="20"/>
    </w:rPr>
  </w:style>
  <w:style w:type="paragraph" w:customStyle="1" w:styleId="P68B1DB1-Normal96">
    <w:name w:val="P68B1DB1-Normal96"/>
    <w:basedOn w:val="Normal"/>
    <w:rPr>
      <w:rFonts w:ascii="Times New Roman" w:hAnsi="Times New Roman" w:cs="Times New Roman" w:hint="eastAsia"/>
    </w:rPr>
  </w:style>
  <w:style w:type="paragraph" w:customStyle="1" w:styleId="P68B1DB1-Heading397">
    <w:name w:val="P68B1DB1-Heading397"/>
    <w:basedOn w:val="Heading3"/>
    <w:rPr>
      <w:rFonts w:ascii="Times New Roman" w:hAnsi="Times New Roman" w:cs="Times New Roman" w:hint="eastAsia"/>
      <w:b/>
      <w:sz w:val="24"/>
      <w:szCs w:val="24"/>
      <w:u w:val="single"/>
    </w:rPr>
  </w:style>
  <w:style w:type="paragraph" w:customStyle="1" w:styleId="P68B1DB1-paragraph98">
    <w:name w:val="P68B1DB1-paragraph98"/>
    <w:basedOn w:val="paragraph"/>
    <w:rPr>
      <w:rFonts w:ascii="Arial Narrow" w:hAnsi="Arial Narrow"/>
      <w:color w:val="006100"/>
      <w:sz w:val="20"/>
      <w:szCs w:val="20"/>
    </w:rPr>
  </w:style>
  <w:style w:type="paragraph" w:customStyle="1" w:styleId="P68B1DB1-Normal99">
    <w:name w:val="P68B1DB1-Normal99"/>
    <w:basedOn w:val="Normal"/>
    <w:rPr>
      <w:rFonts w:ascii="Times New Roman" w:hAnsi="Times New Roman" w:cs="Times New Roman"/>
      <w:b/>
      <w:color w:val="000000" w:themeColor="text1"/>
    </w:rPr>
  </w:style>
  <w:style w:type="paragraph" w:customStyle="1" w:styleId="P68B1DB1-ListParagraph100">
    <w:name w:val="P68B1DB1-ListParagraph100"/>
    <w:basedOn w:val="ListParagraph"/>
    <w:rPr>
      <w:rFonts w:ascii="Times New Roman" w:eastAsiaTheme="minorEastAsia" w:hAnsi="Times New Roman" w:cs="Times New Roman"/>
    </w:rPr>
  </w:style>
  <w:style w:type="paragraph" w:customStyle="1" w:styleId="P68B1DB1-Normal101">
    <w:name w:val="P68B1DB1-Normal101"/>
    <w:basedOn w:val="Normal"/>
    <w:rPr>
      <w:rFonts w:ascii="Times New Roman" w:hAnsi="Times New Roman" w:cs="Times New Roman"/>
      <w:u w:val="single"/>
    </w:rPr>
  </w:style>
  <w:style w:type="paragraph" w:customStyle="1" w:styleId="P68B1DB1-Normal102">
    <w:name w:val="P68B1DB1-Normal102"/>
    <w:basedOn w:val="Normal"/>
    <w:rPr>
      <w:rFonts w:ascii="Arial Narrow" w:hAnsi="Arial Narrow"/>
      <w:b/>
      <w:color w:val="000000"/>
      <w:sz w:val="20"/>
    </w:rPr>
  </w:style>
  <w:style w:type="paragraph" w:customStyle="1" w:styleId="P68B1DB1-Normal103">
    <w:name w:val="P68B1DB1-Normal103"/>
    <w:basedOn w:val="Normal"/>
    <w:rPr>
      <w:rFonts w:ascii="Arial Narrow" w:hAnsi="Arial Narrow"/>
      <w:color w:val="006600"/>
      <w:sz w:val="20"/>
    </w:rPr>
  </w:style>
  <w:style w:type="paragraph" w:customStyle="1" w:styleId="P68B1DB1-Normal104">
    <w:name w:val="P68B1DB1-Normal104"/>
    <w:basedOn w:val="Normal"/>
    <w:rPr>
      <w:rFonts w:ascii="Arial Narrow" w:hAnsi="Arial Narrow"/>
      <w:color w:val="006600"/>
      <w:sz w:val="20"/>
      <w:szCs w:val="20"/>
    </w:rPr>
  </w:style>
  <w:style w:type="paragraph" w:customStyle="1" w:styleId="P68B1DB1-paragraph105">
    <w:name w:val="P68B1DB1-paragraph105"/>
    <w:basedOn w:val="paragraph"/>
    <w:rPr>
      <w:sz w:val="22"/>
      <w:szCs w:val="22"/>
    </w:rPr>
  </w:style>
  <w:style w:type="paragraph" w:customStyle="1" w:styleId="P68B1DB1-Text1106">
    <w:name w:val="P68B1DB1-Text1106"/>
    <w:basedOn w:val="Text1"/>
    <w:rPr>
      <w:color w:val="000000" w:themeColor="text1"/>
      <w:sz w:val="22"/>
      <w:szCs w:val="22"/>
    </w:rPr>
  </w:style>
  <w:style w:type="paragraph" w:customStyle="1" w:styleId="P68B1DB1-Heading4107">
    <w:name w:val="P68B1DB1-Heading4107"/>
    <w:basedOn w:val="Heading4"/>
    <w:rPr>
      <w:rFonts w:ascii="Times New Roman" w:hAnsi="Times New Roman" w:cs="Times New Roman"/>
      <w:b/>
      <w:i w:val="0"/>
      <w:color w:val="000000" w:themeColor="text1"/>
    </w:rPr>
  </w:style>
  <w:style w:type="paragraph" w:customStyle="1" w:styleId="P68B1DB1-Heading4108">
    <w:name w:val="P68B1DB1-Heading4108"/>
    <w:basedOn w:val="Heading4"/>
    <w:rPr>
      <w:rFonts w:ascii="Times New Roman" w:hAnsi="Times New Roman" w:cs="Times New Roman"/>
      <w:b/>
      <w:i w:val="0"/>
      <w:color w:val="auto"/>
    </w:rPr>
  </w:style>
  <w:style w:type="paragraph" w:customStyle="1" w:styleId="P68B1DB1-Heading4109">
    <w:name w:val="P68B1DB1-Heading4109"/>
    <w:basedOn w:val="Heading4"/>
    <w:rPr>
      <w:rFonts w:ascii="Times New Roman" w:hAnsi="Times New Roman" w:cs="Times New Roman"/>
    </w:rPr>
  </w:style>
  <w:style w:type="paragraph" w:customStyle="1" w:styleId="P68B1DB1-Heading4110">
    <w:name w:val="P68B1DB1-Heading4110"/>
    <w:basedOn w:val="Heading4"/>
    <w:rPr>
      <w:rFonts w:ascii="Times New Roman" w:hAnsi="Times New Roman" w:cs="Times New Roman"/>
      <w:b/>
      <w:i w:val="0"/>
      <w:iCs w:val="0"/>
      <w:color w:val="000000" w:themeColor="text1"/>
    </w:rPr>
  </w:style>
  <w:style w:type="paragraph" w:customStyle="1" w:styleId="P68B1DB1-ListParagraph111">
    <w:name w:val="P68B1DB1-ListParagraph111"/>
    <w:basedOn w:val="ListParagraph"/>
    <w:rPr>
      <w:rFonts w:ascii="Arial Narrow" w:eastAsiaTheme="minorEastAsia" w:hAnsi="Arial Narrow"/>
      <w:color w:val="006100"/>
      <w:sz w:val="20"/>
    </w:rPr>
  </w:style>
  <w:style w:type="paragraph" w:customStyle="1" w:styleId="P68B1DB1-LegalNumPar112">
    <w:name w:val="P68B1DB1-LegalNumPar112"/>
    <w:basedOn w:val="LegalNumPar"/>
    <w:rPr>
      <w:rFonts w:ascii="Times New Roman" w:hAnsi="Times New Roman"/>
    </w:rPr>
  </w:style>
  <w:style w:type="paragraph" w:customStyle="1" w:styleId="P68B1DB1-Normal113">
    <w:name w:val="P68B1DB1-Normal113"/>
    <w:basedOn w:val="Normal"/>
    <w:rPr>
      <w:sz w:val="20"/>
    </w:rPr>
  </w:style>
  <w:style w:type="paragraph" w:customStyle="1" w:styleId="P68B1DB1-Normal114">
    <w:name w:val="P68B1DB1-Normal114"/>
    <w:basedOn w:val="Normal"/>
    <w:rPr>
      <w:rFonts w:ascii="Arial Narrow" w:hAnsi="Arial"/>
      <w:color w:val="006100"/>
      <w:sz w:val="20"/>
      <w:szCs w:val="20"/>
    </w:rPr>
  </w:style>
  <w:style w:type="paragraph" w:customStyle="1" w:styleId="P68B1DB1-ListParagraph115">
    <w:name w:val="P68B1DB1-ListParagraph115"/>
    <w:basedOn w:val="ListParagraph"/>
    <w:rPr>
      <w:rFonts w:ascii="Times New Roman" w:hAnsi="Times New Roman" w:cs="Times New Roman"/>
      <w:b/>
      <w:smallCaps/>
    </w:rPr>
  </w:style>
  <w:style w:type="paragraph" w:customStyle="1" w:styleId="P68B1DB1-Normal116">
    <w:name w:val="P68B1DB1-Normal116"/>
    <w:basedOn w:val="Normal"/>
    <w:rPr>
      <w:rFonts w:ascii="Times New Roman" w:eastAsia="Times New Roman" w:hAnsi="Times New Roman" w:cs="Times New Roman"/>
      <w:sz w:val="23"/>
      <w:szCs w:val="23"/>
    </w:rPr>
  </w:style>
  <w:style w:type="paragraph" w:customStyle="1" w:styleId="P68B1DB1-Heading2117">
    <w:name w:val="P68B1DB1-Heading2117"/>
    <w:basedOn w:val="Heading2"/>
    <w:rPr>
      <w:rFonts w:ascii="Times New Roman" w:hAnsi="Times New Roman" w:cs="Times New Roman"/>
      <w:b/>
      <w:color w:val="auto"/>
      <w:sz w:val="24"/>
      <w:szCs w:val="24"/>
    </w:rPr>
  </w:style>
  <w:style w:type="paragraph" w:customStyle="1" w:styleId="P68B1DB1-Heading3118">
    <w:name w:val="P68B1DB1-Heading3118"/>
    <w:basedOn w:val="Heading3"/>
    <w:rPr>
      <w:rFonts w:ascii="Times New Roman" w:hAnsi="Times New Roman" w:cs="Times New Roman"/>
      <w:b/>
      <w:color w:val="auto"/>
      <w:sz w:val="24"/>
      <w:szCs w:val="24"/>
    </w:rPr>
  </w:style>
  <w:style w:type="paragraph" w:customStyle="1" w:styleId="P68B1DB1-Heading4119">
    <w:name w:val="P68B1DB1-Heading4119"/>
    <w:basedOn w:val="Heading4"/>
    <w:rPr>
      <w:rFonts w:ascii="Times New Roman" w:hAnsi="Times New Roman" w:cs="Times New Roman"/>
      <w:i w:val="0"/>
      <w:iCs w:val="0"/>
      <w:color w:val="auto"/>
    </w:rPr>
  </w:style>
  <w:style w:type="paragraph" w:customStyle="1" w:styleId="P68B1DB1-Normal120">
    <w:name w:val="P68B1DB1-Normal120"/>
    <w:basedOn w:val="Normal"/>
    <w:rPr>
      <w:rFonts w:ascii="Times New Roman" w:eastAsia="Times New Roman" w:hAnsi="Times New Roman" w:cs="Times New Roman"/>
      <w:b/>
      <w:color w:val="000000"/>
      <w:sz w:val="20"/>
      <w:szCs w:val="20"/>
    </w:rPr>
  </w:style>
  <w:style w:type="paragraph" w:customStyle="1" w:styleId="P68B1DB1-Normal121">
    <w:name w:val="P68B1DB1-Normal121"/>
    <w:basedOn w:val="Normal"/>
    <w:rPr>
      <w:rFonts w:ascii="Times New Roman" w:eastAsia="Times New Roman" w:hAnsi="Times New Roman" w:cs="Times New Roman"/>
      <w:color w:val="006100"/>
      <w:sz w:val="20"/>
      <w:szCs w:val="20"/>
    </w:rPr>
  </w:style>
  <w:style w:type="paragraph" w:customStyle="1" w:styleId="P68B1DB1-Normal122">
    <w:name w:val="P68B1DB1-Normal122"/>
    <w:basedOn w:val="Normal"/>
    <w:rPr>
      <w:rFonts w:ascii="Times New Roman" w:eastAsia="Times New Roman" w:hAnsi="Times New Roman" w:cs="Times New Roman"/>
      <w:sz w:val="20"/>
      <w:szCs w:val="20"/>
    </w:rPr>
  </w:style>
  <w:style w:type="paragraph" w:customStyle="1" w:styleId="P68B1DB1-Normal123">
    <w:name w:val="P68B1DB1-Normal123"/>
    <w:basedOn w:val="Normal"/>
    <w:rPr>
      <w:rFonts w:ascii="Times New Roman" w:eastAsia="Times New Roman" w:hAnsi="Times New Roman" w:cs="Times New Roman"/>
      <w:color w:val="006600"/>
      <w:sz w:val="20"/>
      <w:szCs w:val="20"/>
    </w:rPr>
  </w:style>
  <w:style w:type="paragraph" w:customStyle="1" w:styleId="P68B1DB1-Normal124">
    <w:name w:val="P68B1DB1-Normal124"/>
    <w:basedOn w:val="Normal"/>
    <w:rPr>
      <w:rFonts w:ascii="Times New Roman" w:hAnsi="Arial Narrow"/>
      <w:color w:val="006100"/>
      <w:sz w:val="20"/>
      <w:szCs w:val="20"/>
    </w:rPr>
  </w:style>
  <w:style w:type="paragraph" w:customStyle="1" w:styleId="P68B1DB1-Normal125">
    <w:name w:val="P68B1DB1-Normal125"/>
    <w:basedOn w:val="Normal"/>
    <w:rPr>
      <w:rFonts w:ascii="Times New Roman" w:eastAsia="Calibri" w:hAnsi="Times New Roman" w:cs="Times New Roman"/>
      <w:b/>
    </w:rPr>
  </w:style>
  <w:style w:type="paragraph" w:customStyle="1" w:styleId="P68B1DB1-Normal126">
    <w:name w:val="P68B1DB1-Normal126"/>
    <w:basedOn w:val="Normal"/>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6446">
      <w:bodyDiv w:val="1"/>
      <w:marLeft w:val="0"/>
      <w:marRight w:val="0"/>
      <w:marTop w:val="0"/>
      <w:marBottom w:val="0"/>
      <w:divBdr>
        <w:top w:val="none" w:sz="0" w:space="0" w:color="auto"/>
        <w:left w:val="none" w:sz="0" w:space="0" w:color="auto"/>
        <w:bottom w:val="none" w:sz="0" w:space="0" w:color="auto"/>
        <w:right w:val="none" w:sz="0" w:space="0" w:color="auto"/>
      </w:divBdr>
      <w:divsChild>
        <w:div w:id="925920791">
          <w:marLeft w:val="0"/>
          <w:marRight w:val="0"/>
          <w:marTop w:val="0"/>
          <w:marBottom w:val="0"/>
          <w:divBdr>
            <w:top w:val="none" w:sz="0" w:space="0" w:color="auto"/>
            <w:left w:val="none" w:sz="0" w:space="0" w:color="auto"/>
            <w:bottom w:val="none" w:sz="0" w:space="0" w:color="auto"/>
            <w:right w:val="none" w:sz="0" w:space="0" w:color="auto"/>
          </w:divBdr>
        </w:div>
        <w:div w:id="1093087414">
          <w:marLeft w:val="0"/>
          <w:marRight w:val="0"/>
          <w:marTop w:val="0"/>
          <w:marBottom w:val="0"/>
          <w:divBdr>
            <w:top w:val="none" w:sz="0" w:space="0" w:color="auto"/>
            <w:left w:val="none" w:sz="0" w:space="0" w:color="auto"/>
            <w:bottom w:val="none" w:sz="0" w:space="0" w:color="auto"/>
            <w:right w:val="none" w:sz="0" w:space="0" w:color="auto"/>
          </w:divBdr>
        </w:div>
        <w:div w:id="2034458499">
          <w:marLeft w:val="0"/>
          <w:marRight w:val="0"/>
          <w:marTop w:val="0"/>
          <w:marBottom w:val="0"/>
          <w:divBdr>
            <w:top w:val="none" w:sz="0" w:space="0" w:color="auto"/>
            <w:left w:val="none" w:sz="0" w:space="0" w:color="auto"/>
            <w:bottom w:val="none" w:sz="0" w:space="0" w:color="auto"/>
            <w:right w:val="none" w:sz="0" w:space="0" w:color="auto"/>
          </w:divBdr>
          <w:divsChild>
            <w:div w:id="633566753">
              <w:marLeft w:val="-75"/>
              <w:marRight w:val="0"/>
              <w:marTop w:val="30"/>
              <w:marBottom w:val="30"/>
              <w:divBdr>
                <w:top w:val="none" w:sz="0" w:space="0" w:color="auto"/>
                <w:left w:val="none" w:sz="0" w:space="0" w:color="auto"/>
                <w:bottom w:val="none" w:sz="0" w:space="0" w:color="auto"/>
                <w:right w:val="none" w:sz="0" w:space="0" w:color="auto"/>
              </w:divBdr>
              <w:divsChild>
                <w:div w:id="4673684">
                  <w:marLeft w:val="0"/>
                  <w:marRight w:val="0"/>
                  <w:marTop w:val="0"/>
                  <w:marBottom w:val="0"/>
                  <w:divBdr>
                    <w:top w:val="none" w:sz="0" w:space="0" w:color="auto"/>
                    <w:left w:val="none" w:sz="0" w:space="0" w:color="auto"/>
                    <w:bottom w:val="none" w:sz="0" w:space="0" w:color="auto"/>
                    <w:right w:val="none" w:sz="0" w:space="0" w:color="auto"/>
                  </w:divBdr>
                  <w:divsChild>
                    <w:div w:id="1957131879">
                      <w:marLeft w:val="0"/>
                      <w:marRight w:val="0"/>
                      <w:marTop w:val="0"/>
                      <w:marBottom w:val="0"/>
                      <w:divBdr>
                        <w:top w:val="none" w:sz="0" w:space="0" w:color="auto"/>
                        <w:left w:val="none" w:sz="0" w:space="0" w:color="auto"/>
                        <w:bottom w:val="none" w:sz="0" w:space="0" w:color="auto"/>
                        <w:right w:val="none" w:sz="0" w:space="0" w:color="auto"/>
                      </w:divBdr>
                    </w:div>
                  </w:divsChild>
                </w:div>
                <w:div w:id="5641446">
                  <w:marLeft w:val="0"/>
                  <w:marRight w:val="0"/>
                  <w:marTop w:val="0"/>
                  <w:marBottom w:val="0"/>
                  <w:divBdr>
                    <w:top w:val="none" w:sz="0" w:space="0" w:color="auto"/>
                    <w:left w:val="none" w:sz="0" w:space="0" w:color="auto"/>
                    <w:bottom w:val="none" w:sz="0" w:space="0" w:color="auto"/>
                    <w:right w:val="none" w:sz="0" w:space="0" w:color="auto"/>
                  </w:divBdr>
                  <w:divsChild>
                    <w:div w:id="846215786">
                      <w:marLeft w:val="0"/>
                      <w:marRight w:val="0"/>
                      <w:marTop w:val="0"/>
                      <w:marBottom w:val="0"/>
                      <w:divBdr>
                        <w:top w:val="none" w:sz="0" w:space="0" w:color="auto"/>
                        <w:left w:val="none" w:sz="0" w:space="0" w:color="auto"/>
                        <w:bottom w:val="none" w:sz="0" w:space="0" w:color="auto"/>
                        <w:right w:val="none" w:sz="0" w:space="0" w:color="auto"/>
                      </w:divBdr>
                    </w:div>
                  </w:divsChild>
                </w:div>
                <w:div w:id="8677606">
                  <w:marLeft w:val="0"/>
                  <w:marRight w:val="0"/>
                  <w:marTop w:val="0"/>
                  <w:marBottom w:val="0"/>
                  <w:divBdr>
                    <w:top w:val="none" w:sz="0" w:space="0" w:color="auto"/>
                    <w:left w:val="none" w:sz="0" w:space="0" w:color="auto"/>
                    <w:bottom w:val="none" w:sz="0" w:space="0" w:color="auto"/>
                    <w:right w:val="none" w:sz="0" w:space="0" w:color="auto"/>
                  </w:divBdr>
                  <w:divsChild>
                    <w:div w:id="238951052">
                      <w:marLeft w:val="0"/>
                      <w:marRight w:val="0"/>
                      <w:marTop w:val="0"/>
                      <w:marBottom w:val="0"/>
                      <w:divBdr>
                        <w:top w:val="none" w:sz="0" w:space="0" w:color="auto"/>
                        <w:left w:val="none" w:sz="0" w:space="0" w:color="auto"/>
                        <w:bottom w:val="none" w:sz="0" w:space="0" w:color="auto"/>
                        <w:right w:val="none" w:sz="0" w:space="0" w:color="auto"/>
                      </w:divBdr>
                    </w:div>
                  </w:divsChild>
                </w:div>
                <w:div w:id="18744407">
                  <w:marLeft w:val="0"/>
                  <w:marRight w:val="0"/>
                  <w:marTop w:val="0"/>
                  <w:marBottom w:val="0"/>
                  <w:divBdr>
                    <w:top w:val="none" w:sz="0" w:space="0" w:color="auto"/>
                    <w:left w:val="none" w:sz="0" w:space="0" w:color="auto"/>
                    <w:bottom w:val="none" w:sz="0" w:space="0" w:color="auto"/>
                    <w:right w:val="none" w:sz="0" w:space="0" w:color="auto"/>
                  </w:divBdr>
                  <w:divsChild>
                    <w:div w:id="118573161">
                      <w:marLeft w:val="0"/>
                      <w:marRight w:val="0"/>
                      <w:marTop w:val="0"/>
                      <w:marBottom w:val="0"/>
                      <w:divBdr>
                        <w:top w:val="none" w:sz="0" w:space="0" w:color="auto"/>
                        <w:left w:val="none" w:sz="0" w:space="0" w:color="auto"/>
                        <w:bottom w:val="none" w:sz="0" w:space="0" w:color="auto"/>
                        <w:right w:val="none" w:sz="0" w:space="0" w:color="auto"/>
                      </w:divBdr>
                    </w:div>
                  </w:divsChild>
                </w:div>
                <w:div w:id="22099228">
                  <w:marLeft w:val="0"/>
                  <w:marRight w:val="0"/>
                  <w:marTop w:val="0"/>
                  <w:marBottom w:val="0"/>
                  <w:divBdr>
                    <w:top w:val="none" w:sz="0" w:space="0" w:color="auto"/>
                    <w:left w:val="none" w:sz="0" w:space="0" w:color="auto"/>
                    <w:bottom w:val="none" w:sz="0" w:space="0" w:color="auto"/>
                    <w:right w:val="none" w:sz="0" w:space="0" w:color="auto"/>
                  </w:divBdr>
                  <w:divsChild>
                    <w:div w:id="1773356721">
                      <w:marLeft w:val="0"/>
                      <w:marRight w:val="0"/>
                      <w:marTop w:val="0"/>
                      <w:marBottom w:val="0"/>
                      <w:divBdr>
                        <w:top w:val="none" w:sz="0" w:space="0" w:color="auto"/>
                        <w:left w:val="none" w:sz="0" w:space="0" w:color="auto"/>
                        <w:bottom w:val="none" w:sz="0" w:space="0" w:color="auto"/>
                        <w:right w:val="none" w:sz="0" w:space="0" w:color="auto"/>
                      </w:divBdr>
                    </w:div>
                  </w:divsChild>
                </w:div>
                <w:div w:id="23942954">
                  <w:marLeft w:val="0"/>
                  <w:marRight w:val="0"/>
                  <w:marTop w:val="0"/>
                  <w:marBottom w:val="0"/>
                  <w:divBdr>
                    <w:top w:val="none" w:sz="0" w:space="0" w:color="auto"/>
                    <w:left w:val="none" w:sz="0" w:space="0" w:color="auto"/>
                    <w:bottom w:val="none" w:sz="0" w:space="0" w:color="auto"/>
                    <w:right w:val="none" w:sz="0" w:space="0" w:color="auto"/>
                  </w:divBdr>
                  <w:divsChild>
                    <w:div w:id="138116385">
                      <w:marLeft w:val="0"/>
                      <w:marRight w:val="0"/>
                      <w:marTop w:val="0"/>
                      <w:marBottom w:val="0"/>
                      <w:divBdr>
                        <w:top w:val="none" w:sz="0" w:space="0" w:color="auto"/>
                        <w:left w:val="none" w:sz="0" w:space="0" w:color="auto"/>
                        <w:bottom w:val="none" w:sz="0" w:space="0" w:color="auto"/>
                        <w:right w:val="none" w:sz="0" w:space="0" w:color="auto"/>
                      </w:divBdr>
                    </w:div>
                  </w:divsChild>
                </w:div>
                <w:div w:id="28460580">
                  <w:marLeft w:val="0"/>
                  <w:marRight w:val="0"/>
                  <w:marTop w:val="0"/>
                  <w:marBottom w:val="0"/>
                  <w:divBdr>
                    <w:top w:val="none" w:sz="0" w:space="0" w:color="auto"/>
                    <w:left w:val="none" w:sz="0" w:space="0" w:color="auto"/>
                    <w:bottom w:val="none" w:sz="0" w:space="0" w:color="auto"/>
                    <w:right w:val="none" w:sz="0" w:space="0" w:color="auto"/>
                  </w:divBdr>
                  <w:divsChild>
                    <w:div w:id="1500729867">
                      <w:marLeft w:val="0"/>
                      <w:marRight w:val="0"/>
                      <w:marTop w:val="0"/>
                      <w:marBottom w:val="0"/>
                      <w:divBdr>
                        <w:top w:val="none" w:sz="0" w:space="0" w:color="auto"/>
                        <w:left w:val="none" w:sz="0" w:space="0" w:color="auto"/>
                        <w:bottom w:val="none" w:sz="0" w:space="0" w:color="auto"/>
                        <w:right w:val="none" w:sz="0" w:space="0" w:color="auto"/>
                      </w:divBdr>
                    </w:div>
                  </w:divsChild>
                </w:div>
                <w:div w:id="31227380">
                  <w:marLeft w:val="0"/>
                  <w:marRight w:val="0"/>
                  <w:marTop w:val="0"/>
                  <w:marBottom w:val="0"/>
                  <w:divBdr>
                    <w:top w:val="none" w:sz="0" w:space="0" w:color="auto"/>
                    <w:left w:val="none" w:sz="0" w:space="0" w:color="auto"/>
                    <w:bottom w:val="none" w:sz="0" w:space="0" w:color="auto"/>
                    <w:right w:val="none" w:sz="0" w:space="0" w:color="auto"/>
                  </w:divBdr>
                  <w:divsChild>
                    <w:div w:id="234702579">
                      <w:marLeft w:val="0"/>
                      <w:marRight w:val="0"/>
                      <w:marTop w:val="0"/>
                      <w:marBottom w:val="0"/>
                      <w:divBdr>
                        <w:top w:val="none" w:sz="0" w:space="0" w:color="auto"/>
                        <w:left w:val="none" w:sz="0" w:space="0" w:color="auto"/>
                        <w:bottom w:val="none" w:sz="0" w:space="0" w:color="auto"/>
                        <w:right w:val="none" w:sz="0" w:space="0" w:color="auto"/>
                      </w:divBdr>
                    </w:div>
                    <w:div w:id="262618687">
                      <w:marLeft w:val="0"/>
                      <w:marRight w:val="0"/>
                      <w:marTop w:val="0"/>
                      <w:marBottom w:val="0"/>
                      <w:divBdr>
                        <w:top w:val="none" w:sz="0" w:space="0" w:color="auto"/>
                        <w:left w:val="none" w:sz="0" w:space="0" w:color="auto"/>
                        <w:bottom w:val="none" w:sz="0" w:space="0" w:color="auto"/>
                        <w:right w:val="none" w:sz="0" w:space="0" w:color="auto"/>
                      </w:divBdr>
                    </w:div>
                    <w:div w:id="294599594">
                      <w:marLeft w:val="0"/>
                      <w:marRight w:val="0"/>
                      <w:marTop w:val="0"/>
                      <w:marBottom w:val="0"/>
                      <w:divBdr>
                        <w:top w:val="none" w:sz="0" w:space="0" w:color="auto"/>
                        <w:left w:val="none" w:sz="0" w:space="0" w:color="auto"/>
                        <w:bottom w:val="none" w:sz="0" w:space="0" w:color="auto"/>
                        <w:right w:val="none" w:sz="0" w:space="0" w:color="auto"/>
                      </w:divBdr>
                    </w:div>
                    <w:div w:id="342246322">
                      <w:marLeft w:val="0"/>
                      <w:marRight w:val="0"/>
                      <w:marTop w:val="0"/>
                      <w:marBottom w:val="0"/>
                      <w:divBdr>
                        <w:top w:val="none" w:sz="0" w:space="0" w:color="auto"/>
                        <w:left w:val="none" w:sz="0" w:space="0" w:color="auto"/>
                        <w:bottom w:val="none" w:sz="0" w:space="0" w:color="auto"/>
                        <w:right w:val="none" w:sz="0" w:space="0" w:color="auto"/>
                      </w:divBdr>
                    </w:div>
                    <w:div w:id="365981996">
                      <w:marLeft w:val="0"/>
                      <w:marRight w:val="0"/>
                      <w:marTop w:val="0"/>
                      <w:marBottom w:val="0"/>
                      <w:divBdr>
                        <w:top w:val="none" w:sz="0" w:space="0" w:color="auto"/>
                        <w:left w:val="none" w:sz="0" w:space="0" w:color="auto"/>
                        <w:bottom w:val="none" w:sz="0" w:space="0" w:color="auto"/>
                        <w:right w:val="none" w:sz="0" w:space="0" w:color="auto"/>
                      </w:divBdr>
                    </w:div>
                    <w:div w:id="488137147">
                      <w:marLeft w:val="0"/>
                      <w:marRight w:val="0"/>
                      <w:marTop w:val="0"/>
                      <w:marBottom w:val="0"/>
                      <w:divBdr>
                        <w:top w:val="none" w:sz="0" w:space="0" w:color="auto"/>
                        <w:left w:val="none" w:sz="0" w:space="0" w:color="auto"/>
                        <w:bottom w:val="none" w:sz="0" w:space="0" w:color="auto"/>
                        <w:right w:val="none" w:sz="0" w:space="0" w:color="auto"/>
                      </w:divBdr>
                    </w:div>
                    <w:div w:id="709183806">
                      <w:marLeft w:val="0"/>
                      <w:marRight w:val="0"/>
                      <w:marTop w:val="0"/>
                      <w:marBottom w:val="0"/>
                      <w:divBdr>
                        <w:top w:val="none" w:sz="0" w:space="0" w:color="auto"/>
                        <w:left w:val="none" w:sz="0" w:space="0" w:color="auto"/>
                        <w:bottom w:val="none" w:sz="0" w:space="0" w:color="auto"/>
                        <w:right w:val="none" w:sz="0" w:space="0" w:color="auto"/>
                      </w:divBdr>
                    </w:div>
                    <w:div w:id="783890280">
                      <w:marLeft w:val="0"/>
                      <w:marRight w:val="0"/>
                      <w:marTop w:val="0"/>
                      <w:marBottom w:val="0"/>
                      <w:divBdr>
                        <w:top w:val="none" w:sz="0" w:space="0" w:color="auto"/>
                        <w:left w:val="none" w:sz="0" w:space="0" w:color="auto"/>
                        <w:bottom w:val="none" w:sz="0" w:space="0" w:color="auto"/>
                        <w:right w:val="none" w:sz="0" w:space="0" w:color="auto"/>
                      </w:divBdr>
                    </w:div>
                    <w:div w:id="966352569">
                      <w:marLeft w:val="0"/>
                      <w:marRight w:val="0"/>
                      <w:marTop w:val="0"/>
                      <w:marBottom w:val="0"/>
                      <w:divBdr>
                        <w:top w:val="none" w:sz="0" w:space="0" w:color="auto"/>
                        <w:left w:val="none" w:sz="0" w:space="0" w:color="auto"/>
                        <w:bottom w:val="none" w:sz="0" w:space="0" w:color="auto"/>
                        <w:right w:val="none" w:sz="0" w:space="0" w:color="auto"/>
                      </w:divBdr>
                    </w:div>
                    <w:div w:id="1096905088">
                      <w:marLeft w:val="0"/>
                      <w:marRight w:val="0"/>
                      <w:marTop w:val="0"/>
                      <w:marBottom w:val="0"/>
                      <w:divBdr>
                        <w:top w:val="none" w:sz="0" w:space="0" w:color="auto"/>
                        <w:left w:val="none" w:sz="0" w:space="0" w:color="auto"/>
                        <w:bottom w:val="none" w:sz="0" w:space="0" w:color="auto"/>
                        <w:right w:val="none" w:sz="0" w:space="0" w:color="auto"/>
                      </w:divBdr>
                    </w:div>
                    <w:div w:id="2125997701">
                      <w:marLeft w:val="0"/>
                      <w:marRight w:val="0"/>
                      <w:marTop w:val="0"/>
                      <w:marBottom w:val="0"/>
                      <w:divBdr>
                        <w:top w:val="none" w:sz="0" w:space="0" w:color="auto"/>
                        <w:left w:val="none" w:sz="0" w:space="0" w:color="auto"/>
                        <w:bottom w:val="none" w:sz="0" w:space="0" w:color="auto"/>
                        <w:right w:val="none" w:sz="0" w:space="0" w:color="auto"/>
                      </w:divBdr>
                    </w:div>
                  </w:divsChild>
                </w:div>
                <w:div w:id="33239163">
                  <w:marLeft w:val="0"/>
                  <w:marRight w:val="0"/>
                  <w:marTop w:val="0"/>
                  <w:marBottom w:val="0"/>
                  <w:divBdr>
                    <w:top w:val="none" w:sz="0" w:space="0" w:color="auto"/>
                    <w:left w:val="none" w:sz="0" w:space="0" w:color="auto"/>
                    <w:bottom w:val="none" w:sz="0" w:space="0" w:color="auto"/>
                    <w:right w:val="none" w:sz="0" w:space="0" w:color="auto"/>
                  </w:divBdr>
                  <w:divsChild>
                    <w:div w:id="625428819">
                      <w:marLeft w:val="0"/>
                      <w:marRight w:val="0"/>
                      <w:marTop w:val="0"/>
                      <w:marBottom w:val="0"/>
                      <w:divBdr>
                        <w:top w:val="none" w:sz="0" w:space="0" w:color="auto"/>
                        <w:left w:val="none" w:sz="0" w:space="0" w:color="auto"/>
                        <w:bottom w:val="none" w:sz="0" w:space="0" w:color="auto"/>
                        <w:right w:val="none" w:sz="0" w:space="0" w:color="auto"/>
                      </w:divBdr>
                    </w:div>
                  </w:divsChild>
                </w:div>
                <w:div w:id="44572490">
                  <w:marLeft w:val="0"/>
                  <w:marRight w:val="0"/>
                  <w:marTop w:val="0"/>
                  <w:marBottom w:val="0"/>
                  <w:divBdr>
                    <w:top w:val="none" w:sz="0" w:space="0" w:color="auto"/>
                    <w:left w:val="none" w:sz="0" w:space="0" w:color="auto"/>
                    <w:bottom w:val="none" w:sz="0" w:space="0" w:color="auto"/>
                    <w:right w:val="none" w:sz="0" w:space="0" w:color="auto"/>
                  </w:divBdr>
                  <w:divsChild>
                    <w:div w:id="1933665103">
                      <w:marLeft w:val="0"/>
                      <w:marRight w:val="0"/>
                      <w:marTop w:val="0"/>
                      <w:marBottom w:val="0"/>
                      <w:divBdr>
                        <w:top w:val="none" w:sz="0" w:space="0" w:color="auto"/>
                        <w:left w:val="none" w:sz="0" w:space="0" w:color="auto"/>
                        <w:bottom w:val="none" w:sz="0" w:space="0" w:color="auto"/>
                        <w:right w:val="none" w:sz="0" w:space="0" w:color="auto"/>
                      </w:divBdr>
                    </w:div>
                  </w:divsChild>
                </w:div>
                <w:div w:id="55279268">
                  <w:marLeft w:val="0"/>
                  <w:marRight w:val="0"/>
                  <w:marTop w:val="0"/>
                  <w:marBottom w:val="0"/>
                  <w:divBdr>
                    <w:top w:val="none" w:sz="0" w:space="0" w:color="auto"/>
                    <w:left w:val="none" w:sz="0" w:space="0" w:color="auto"/>
                    <w:bottom w:val="none" w:sz="0" w:space="0" w:color="auto"/>
                    <w:right w:val="none" w:sz="0" w:space="0" w:color="auto"/>
                  </w:divBdr>
                  <w:divsChild>
                    <w:div w:id="1682854497">
                      <w:marLeft w:val="0"/>
                      <w:marRight w:val="0"/>
                      <w:marTop w:val="0"/>
                      <w:marBottom w:val="0"/>
                      <w:divBdr>
                        <w:top w:val="none" w:sz="0" w:space="0" w:color="auto"/>
                        <w:left w:val="none" w:sz="0" w:space="0" w:color="auto"/>
                        <w:bottom w:val="none" w:sz="0" w:space="0" w:color="auto"/>
                        <w:right w:val="none" w:sz="0" w:space="0" w:color="auto"/>
                      </w:divBdr>
                    </w:div>
                  </w:divsChild>
                </w:div>
                <w:div w:id="58673812">
                  <w:marLeft w:val="0"/>
                  <w:marRight w:val="0"/>
                  <w:marTop w:val="0"/>
                  <w:marBottom w:val="0"/>
                  <w:divBdr>
                    <w:top w:val="none" w:sz="0" w:space="0" w:color="auto"/>
                    <w:left w:val="none" w:sz="0" w:space="0" w:color="auto"/>
                    <w:bottom w:val="none" w:sz="0" w:space="0" w:color="auto"/>
                    <w:right w:val="none" w:sz="0" w:space="0" w:color="auto"/>
                  </w:divBdr>
                  <w:divsChild>
                    <w:div w:id="127629207">
                      <w:marLeft w:val="0"/>
                      <w:marRight w:val="0"/>
                      <w:marTop w:val="0"/>
                      <w:marBottom w:val="0"/>
                      <w:divBdr>
                        <w:top w:val="none" w:sz="0" w:space="0" w:color="auto"/>
                        <w:left w:val="none" w:sz="0" w:space="0" w:color="auto"/>
                        <w:bottom w:val="none" w:sz="0" w:space="0" w:color="auto"/>
                        <w:right w:val="none" w:sz="0" w:space="0" w:color="auto"/>
                      </w:divBdr>
                    </w:div>
                  </w:divsChild>
                </w:div>
                <w:div w:id="71051320">
                  <w:marLeft w:val="0"/>
                  <w:marRight w:val="0"/>
                  <w:marTop w:val="0"/>
                  <w:marBottom w:val="0"/>
                  <w:divBdr>
                    <w:top w:val="none" w:sz="0" w:space="0" w:color="auto"/>
                    <w:left w:val="none" w:sz="0" w:space="0" w:color="auto"/>
                    <w:bottom w:val="none" w:sz="0" w:space="0" w:color="auto"/>
                    <w:right w:val="none" w:sz="0" w:space="0" w:color="auto"/>
                  </w:divBdr>
                  <w:divsChild>
                    <w:div w:id="1025522015">
                      <w:marLeft w:val="0"/>
                      <w:marRight w:val="0"/>
                      <w:marTop w:val="0"/>
                      <w:marBottom w:val="0"/>
                      <w:divBdr>
                        <w:top w:val="none" w:sz="0" w:space="0" w:color="auto"/>
                        <w:left w:val="none" w:sz="0" w:space="0" w:color="auto"/>
                        <w:bottom w:val="none" w:sz="0" w:space="0" w:color="auto"/>
                        <w:right w:val="none" w:sz="0" w:space="0" w:color="auto"/>
                      </w:divBdr>
                    </w:div>
                  </w:divsChild>
                </w:div>
                <w:div w:id="71125536">
                  <w:marLeft w:val="0"/>
                  <w:marRight w:val="0"/>
                  <w:marTop w:val="0"/>
                  <w:marBottom w:val="0"/>
                  <w:divBdr>
                    <w:top w:val="none" w:sz="0" w:space="0" w:color="auto"/>
                    <w:left w:val="none" w:sz="0" w:space="0" w:color="auto"/>
                    <w:bottom w:val="none" w:sz="0" w:space="0" w:color="auto"/>
                    <w:right w:val="none" w:sz="0" w:space="0" w:color="auto"/>
                  </w:divBdr>
                  <w:divsChild>
                    <w:div w:id="1896236807">
                      <w:marLeft w:val="0"/>
                      <w:marRight w:val="0"/>
                      <w:marTop w:val="0"/>
                      <w:marBottom w:val="0"/>
                      <w:divBdr>
                        <w:top w:val="none" w:sz="0" w:space="0" w:color="auto"/>
                        <w:left w:val="none" w:sz="0" w:space="0" w:color="auto"/>
                        <w:bottom w:val="none" w:sz="0" w:space="0" w:color="auto"/>
                        <w:right w:val="none" w:sz="0" w:space="0" w:color="auto"/>
                      </w:divBdr>
                    </w:div>
                  </w:divsChild>
                </w:div>
                <w:div w:id="71895557">
                  <w:marLeft w:val="0"/>
                  <w:marRight w:val="0"/>
                  <w:marTop w:val="0"/>
                  <w:marBottom w:val="0"/>
                  <w:divBdr>
                    <w:top w:val="none" w:sz="0" w:space="0" w:color="auto"/>
                    <w:left w:val="none" w:sz="0" w:space="0" w:color="auto"/>
                    <w:bottom w:val="none" w:sz="0" w:space="0" w:color="auto"/>
                    <w:right w:val="none" w:sz="0" w:space="0" w:color="auto"/>
                  </w:divBdr>
                  <w:divsChild>
                    <w:div w:id="1439988995">
                      <w:marLeft w:val="0"/>
                      <w:marRight w:val="0"/>
                      <w:marTop w:val="0"/>
                      <w:marBottom w:val="0"/>
                      <w:divBdr>
                        <w:top w:val="none" w:sz="0" w:space="0" w:color="auto"/>
                        <w:left w:val="none" w:sz="0" w:space="0" w:color="auto"/>
                        <w:bottom w:val="none" w:sz="0" w:space="0" w:color="auto"/>
                        <w:right w:val="none" w:sz="0" w:space="0" w:color="auto"/>
                      </w:divBdr>
                    </w:div>
                  </w:divsChild>
                </w:div>
                <w:div w:id="74130291">
                  <w:marLeft w:val="0"/>
                  <w:marRight w:val="0"/>
                  <w:marTop w:val="0"/>
                  <w:marBottom w:val="0"/>
                  <w:divBdr>
                    <w:top w:val="none" w:sz="0" w:space="0" w:color="auto"/>
                    <w:left w:val="none" w:sz="0" w:space="0" w:color="auto"/>
                    <w:bottom w:val="none" w:sz="0" w:space="0" w:color="auto"/>
                    <w:right w:val="none" w:sz="0" w:space="0" w:color="auto"/>
                  </w:divBdr>
                  <w:divsChild>
                    <w:div w:id="1324624242">
                      <w:marLeft w:val="0"/>
                      <w:marRight w:val="0"/>
                      <w:marTop w:val="0"/>
                      <w:marBottom w:val="0"/>
                      <w:divBdr>
                        <w:top w:val="none" w:sz="0" w:space="0" w:color="auto"/>
                        <w:left w:val="none" w:sz="0" w:space="0" w:color="auto"/>
                        <w:bottom w:val="none" w:sz="0" w:space="0" w:color="auto"/>
                        <w:right w:val="none" w:sz="0" w:space="0" w:color="auto"/>
                      </w:divBdr>
                    </w:div>
                  </w:divsChild>
                </w:div>
                <w:div w:id="81489462">
                  <w:marLeft w:val="0"/>
                  <w:marRight w:val="0"/>
                  <w:marTop w:val="0"/>
                  <w:marBottom w:val="0"/>
                  <w:divBdr>
                    <w:top w:val="none" w:sz="0" w:space="0" w:color="auto"/>
                    <w:left w:val="none" w:sz="0" w:space="0" w:color="auto"/>
                    <w:bottom w:val="none" w:sz="0" w:space="0" w:color="auto"/>
                    <w:right w:val="none" w:sz="0" w:space="0" w:color="auto"/>
                  </w:divBdr>
                  <w:divsChild>
                    <w:div w:id="1782648259">
                      <w:marLeft w:val="0"/>
                      <w:marRight w:val="0"/>
                      <w:marTop w:val="0"/>
                      <w:marBottom w:val="0"/>
                      <w:divBdr>
                        <w:top w:val="none" w:sz="0" w:space="0" w:color="auto"/>
                        <w:left w:val="none" w:sz="0" w:space="0" w:color="auto"/>
                        <w:bottom w:val="none" w:sz="0" w:space="0" w:color="auto"/>
                        <w:right w:val="none" w:sz="0" w:space="0" w:color="auto"/>
                      </w:divBdr>
                    </w:div>
                  </w:divsChild>
                </w:div>
                <w:div w:id="84693188">
                  <w:marLeft w:val="0"/>
                  <w:marRight w:val="0"/>
                  <w:marTop w:val="0"/>
                  <w:marBottom w:val="0"/>
                  <w:divBdr>
                    <w:top w:val="none" w:sz="0" w:space="0" w:color="auto"/>
                    <w:left w:val="none" w:sz="0" w:space="0" w:color="auto"/>
                    <w:bottom w:val="none" w:sz="0" w:space="0" w:color="auto"/>
                    <w:right w:val="none" w:sz="0" w:space="0" w:color="auto"/>
                  </w:divBdr>
                  <w:divsChild>
                    <w:div w:id="868228131">
                      <w:marLeft w:val="0"/>
                      <w:marRight w:val="0"/>
                      <w:marTop w:val="0"/>
                      <w:marBottom w:val="0"/>
                      <w:divBdr>
                        <w:top w:val="none" w:sz="0" w:space="0" w:color="auto"/>
                        <w:left w:val="none" w:sz="0" w:space="0" w:color="auto"/>
                        <w:bottom w:val="none" w:sz="0" w:space="0" w:color="auto"/>
                        <w:right w:val="none" w:sz="0" w:space="0" w:color="auto"/>
                      </w:divBdr>
                    </w:div>
                  </w:divsChild>
                </w:div>
                <w:div w:id="86776475">
                  <w:marLeft w:val="0"/>
                  <w:marRight w:val="0"/>
                  <w:marTop w:val="0"/>
                  <w:marBottom w:val="0"/>
                  <w:divBdr>
                    <w:top w:val="none" w:sz="0" w:space="0" w:color="auto"/>
                    <w:left w:val="none" w:sz="0" w:space="0" w:color="auto"/>
                    <w:bottom w:val="none" w:sz="0" w:space="0" w:color="auto"/>
                    <w:right w:val="none" w:sz="0" w:space="0" w:color="auto"/>
                  </w:divBdr>
                  <w:divsChild>
                    <w:div w:id="1584602931">
                      <w:marLeft w:val="0"/>
                      <w:marRight w:val="0"/>
                      <w:marTop w:val="0"/>
                      <w:marBottom w:val="0"/>
                      <w:divBdr>
                        <w:top w:val="none" w:sz="0" w:space="0" w:color="auto"/>
                        <w:left w:val="none" w:sz="0" w:space="0" w:color="auto"/>
                        <w:bottom w:val="none" w:sz="0" w:space="0" w:color="auto"/>
                        <w:right w:val="none" w:sz="0" w:space="0" w:color="auto"/>
                      </w:divBdr>
                    </w:div>
                  </w:divsChild>
                </w:div>
                <w:div w:id="90007801">
                  <w:marLeft w:val="0"/>
                  <w:marRight w:val="0"/>
                  <w:marTop w:val="0"/>
                  <w:marBottom w:val="0"/>
                  <w:divBdr>
                    <w:top w:val="none" w:sz="0" w:space="0" w:color="auto"/>
                    <w:left w:val="none" w:sz="0" w:space="0" w:color="auto"/>
                    <w:bottom w:val="none" w:sz="0" w:space="0" w:color="auto"/>
                    <w:right w:val="none" w:sz="0" w:space="0" w:color="auto"/>
                  </w:divBdr>
                  <w:divsChild>
                    <w:div w:id="1985088072">
                      <w:marLeft w:val="0"/>
                      <w:marRight w:val="0"/>
                      <w:marTop w:val="0"/>
                      <w:marBottom w:val="0"/>
                      <w:divBdr>
                        <w:top w:val="none" w:sz="0" w:space="0" w:color="auto"/>
                        <w:left w:val="none" w:sz="0" w:space="0" w:color="auto"/>
                        <w:bottom w:val="none" w:sz="0" w:space="0" w:color="auto"/>
                        <w:right w:val="none" w:sz="0" w:space="0" w:color="auto"/>
                      </w:divBdr>
                    </w:div>
                  </w:divsChild>
                </w:div>
                <w:div w:id="95756880">
                  <w:marLeft w:val="0"/>
                  <w:marRight w:val="0"/>
                  <w:marTop w:val="0"/>
                  <w:marBottom w:val="0"/>
                  <w:divBdr>
                    <w:top w:val="none" w:sz="0" w:space="0" w:color="auto"/>
                    <w:left w:val="none" w:sz="0" w:space="0" w:color="auto"/>
                    <w:bottom w:val="none" w:sz="0" w:space="0" w:color="auto"/>
                    <w:right w:val="none" w:sz="0" w:space="0" w:color="auto"/>
                  </w:divBdr>
                  <w:divsChild>
                    <w:div w:id="306084536">
                      <w:marLeft w:val="0"/>
                      <w:marRight w:val="0"/>
                      <w:marTop w:val="0"/>
                      <w:marBottom w:val="0"/>
                      <w:divBdr>
                        <w:top w:val="none" w:sz="0" w:space="0" w:color="auto"/>
                        <w:left w:val="none" w:sz="0" w:space="0" w:color="auto"/>
                        <w:bottom w:val="none" w:sz="0" w:space="0" w:color="auto"/>
                        <w:right w:val="none" w:sz="0" w:space="0" w:color="auto"/>
                      </w:divBdr>
                    </w:div>
                  </w:divsChild>
                </w:div>
                <w:div w:id="109009023">
                  <w:marLeft w:val="0"/>
                  <w:marRight w:val="0"/>
                  <w:marTop w:val="0"/>
                  <w:marBottom w:val="0"/>
                  <w:divBdr>
                    <w:top w:val="none" w:sz="0" w:space="0" w:color="auto"/>
                    <w:left w:val="none" w:sz="0" w:space="0" w:color="auto"/>
                    <w:bottom w:val="none" w:sz="0" w:space="0" w:color="auto"/>
                    <w:right w:val="none" w:sz="0" w:space="0" w:color="auto"/>
                  </w:divBdr>
                  <w:divsChild>
                    <w:div w:id="983968998">
                      <w:marLeft w:val="0"/>
                      <w:marRight w:val="0"/>
                      <w:marTop w:val="0"/>
                      <w:marBottom w:val="0"/>
                      <w:divBdr>
                        <w:top w:val="none" w:sz="0" w:space="0" w:color="auto"/>
                        <w:left w:val="none" w:sz="0" w:space="0" w:color="auto"/>
                        <w:bottom w:val="none" w:sz="0" w:space="0" w:color="auto"/>
                        <w:right w:val="none" w:sz="0" w:space="0" w:color="auto"/>
                      </w:divBdr>
                    </w:div>
                  </w:divsChild>
                </w:div>
                <w:div w:id="111746964">
                  <w:marLeft w:val="0"/>
                  <w:marRight w:val="0"/>
                  <w:marTop w:val="0"/>
                  <w:marBottom w:val="0"/>
                  <w:divBdr>
                    <w:top w:val="none" w:sz="0" w:space="0" w:color="auto"/>
                    <w:left w:val="none" w:sz="0" w:space="0" w:color="auto"/>
                    <w:bottom w:val="none" w:sz="0" w:space="0" w:color="auto"/>
                    <w:right w:val="none" w:sz="0" w:space="0" w:color="auto"/>
                  </w:divBdr>
                  <w:divsChild>
                    <w:div w:id="94205280">
                      <w:marLeft w:val="0"/>
                      <w:marRight w:val="0"/>
                      <w:marTop w:val="0"/>
                      <w:marBottom w:val="0"/>
                      <w:divBdr>
                        <w:top w:val="none" w:sz="0" w:space="0" w:color="auto"/>
                        <w:left w:val="none" w:sz="0" w:space="0" w:color="auto"/>
                        <w:bottom w:val="none" w:sz="0" w:space="0" w:color="auto"/>
                        <w:right w:val="none" w:sz="0" w:space="0" w:color="auto"/>
                      </w:divBdr>
                    </w:div>
                  </w:divsChild>
                </w:div>
                <w:div w:id="117070725">
                  <w:marLeft w:val="0"/>
                  <w:marRight w:val="0"/>
                  <w:marTop w:val="0"/>
                  <w:marBottom w:val="0"/>
                  <w:divBdr>
                    <w:top w:val="none" w:sz="0" w:space="0" w:color="auto"/>
                    <w:left w:val="none" w:sz="0" w:space="0" w:color="auto"/>
                    <w:bottom w:val="none" w:sz="0" w:space="0" w:color="auto"/>
                    <w:right w:val="none" w:sz="0" w:space="0" w:color="auto"/>
                  </w:divBdr>
                  <w:divsChild>
                    <w:div w:id="786703736">
                      <w:marLeft w:val="0"/>
                      <w:marRight w:val="0"/>
                      <w:marTop w:val="0"/>
                      <w:marBottom w:val="0"/>
                      <w:divBdr>
                        <w:top w:val="none" w:sz="0" w:space="0" w:color="auto"/>
                        <w:left w:val="none" w:sz="0" w:space="0" w:color="auto"/>
                        <w:bottom w:val="none" w:sz="0" w:space="0" w:color="auto"/>
                        <w:right w:val="none" w:sz="0" w:space="0" w:color="auto"/>
                      </w:divBdr>
                    </w:div>
                  </w:divsChild>
                </w:div>
                <w:div w:id="123430962">
                  <w:marLeft w:val="0"/>
                  <w:marRight w:val="0"/>
                  <w:marTop w:val="0"/>
                  <w:marBottom w:val="0"/>
                  <w:divBdr>
                    <w:top w:val="none" w:sz="0" w:space="0" w:color="auto"/>
                    <w:left w:val="none" w:sz="0" w:space="0" w:color="auto"/>
                    <w:bottom w:val="none" w:sz="0" w:space="0" w:color="auto"/>
                    <w:right w:val="none" w:sz="0" w:space="0" w:color="auto"/>
                  </w:divBdr>
                  <w:divsChild>
                    <w:div w:id="1266574373">
                      <w:marLeft w:val="0"/>
                      <w:marRight w:val="0"/>
                      <w:marTop w:val="0"/>
                      <w:marBottom w:val="0"/>
                      <w:divBdr>
                        <w:top w:val="none" w:sz="0" w:space="0" w:color="auto"/>
                        <w:left w:val="none" w:sz="0" w:space="0" w:color="auto"/>
                        <w:bottom w:val="none" w:sz="0" w:space="0" w:color="auto"/>
                        <w:right w:val="none" w:sz="0" w:space="0" w:color="auto"/>
                      </w:divBdr>
                    </w:div>
                  </w:divsChild>
                </w:div>
                <w:div w:id="151260716">
                  <w:marLeft w:val="0"/>
                  <w:marRight w:val="0"/>
                  <w:marTop w:val="0"/>
                  <w:marBottom w:val="0"/>
                  <w:divBdr>
                    <w:top w:val="none" w:sz="0" w:space="0" w:color="auto"/>
                    <w:left w:val="none" w:sz="0" w:space="0" w:color="auto"/>
                    <w:bottom w:val="none" w:sz="0" w:space="0" w:color="auto"/>
                    <w:right w:val="none" w:sz="0" w:space="0" w:color="auto"/>
                  </w:divBdr>
                  <w:divsChild>
                    <w:div w:id="769086383">
                      <w:marLeft w:val="0"/>
                      <w:marRight w:val="0"/>
                      <w:marTop w:val="0"/>
                      <w:marBottom w:val="0"/>
                      <w:divBdr>
                        <w:top w:val="none" w:sz="0" w:space="0" w:color="auto"/>
                        <w:left w:val="none" w:sz="0" w:space="0" w:color="auto"/>
                        <w:bottom w:val="none" w:sz="0" w:space="0" w:color="auto"/>
                        <w:right w:val="none" w:sz="0" w:space="0" w:color="auto"/>
                      </w:divBdr>
                    </w:div>
                  </w:divsChild>
                </w:div>
                <w:div w:id="152915210">
                  <w:marLeft w:val="0"/>
                  <w:marRight w:val="0"/>
                  <w:marTop w:val="0"/>
                  <w:marBottom w:val="0"/>
                  <w:divBdr>
                    <w:top w:val="none" w:sz="0" w:space="0" w:color="auto"/>
                    <w:left w:val="none" w:sz="0" w:space="0" w:color="auto"/>
                    <w:bottom w:val="none" w:sz="0" w:space="0" w:color="auto"/>
                    <w:right w:val="none" w:sz="0" w:space="0" w:color="auto"/>
                  </w:divBdr>
                  <w:divsChild>
                    <w:div w:id="190732755">
                      <w:marLeft w:val="0"/>
                      <w:marRight w:val="0"/>
                      <w:marTop w:val="0"/>
                      <w:marBottom w:val="0"/>
                      <w:divBdr>
                        <w:top w:val="none" w:sz="0" w:space="0" w:color="auto"/>
                        <w:left w:val="none" w:sz="0" w:space="0" w:color="auto"/>
                        <w:bottom w:val="none" w:sz="0" w:space="0" w:color="auto"/>
                        <w:right w:val="none" w:sz="0" w:space="0" w:color="auto"/>
                      </w:divBdr>
                    </w:div>
                  </w:divsChild>
                </w:div>
                <w:div w:id="157157280">
                  <w:marLeft w:val="0"/>
                  <w:marRight w:val="0"/>
                  <w:marTop w:val="0"/>
                  <w:marBottom w:val="0"/>
                  <w:divBdr>
                    <w:top w:val="none" w:sz="0" w:space="0" w:color="auto"/>
                    <w:left w:val="none" w:sz="0" w:space="0" w:color="auto"/>
                    <w:bottom w:val="none" w:sz="0" w:space="0" w:color="auto"/>
                    <w:right w:val="none" w:sz="0" w:space="0" w:color="auto"/>
                  </w:divBdr>
                  <w:divsChild>
                    <w:div w:id="866215753">
                      <w:marLeft w:val="0"/>
                      <w:marRight w:val="0"/>
                      <w:marTop w:val="0"/>
                      <w:marBottom w:val="0"/>
                      <w:divBdr>
                        <w:top w:val="none" w:sz="0" w:space="0" w:color="auto"/>
                        <w:left w:val="none" w:sz="0" w:space="0" w:color="auto"/>
                        <w:bottom w:val="none" w:sz="0" w:space="0" w:color="auto"/>
                        <w:right w:val="none" w:sz="0" w:space="0" w:color="auto"/>
                      </w:divBdr>
                    </w:div>
                  </w:divsChild>
                </w:div>
                <w:div w:id="168831599">
                  <w:marLeft w:val="0"/>
                  <w:marRight w:val="0"/>
                  <w:marTop w:val="0"/>
                  <w:marBottom w:val="0"/>
                  <w:divBdr>
                    <w:top w:val="none" w:sz="0" w:space="0" w:color="auto"/>
                    <w:left w:val="none" w:sz="0" w:space="0" w:color="auto"/>
                    <w:bottom w:val="none" w:sz="0" w:space="0" w:color="auto"/>
                    <w:right w:val="none" w:sz="0" w:space="0" w:color="auto"/>
                  </w:divBdr>
                  <w:divsChild>
                    <w:div w:id="887108195">
                      <w:marLeft w:val="0"/>
                      <w:marRight w:val="0"/>
                      <w:marTop w:val="0"/>
                      <w:marBottom w:val="0"/>
                      <w:divBdr>
                        <w:top w:val="none" w:sz="0" w:space="0" w:color="auto"/>
                        <w:left w:val="none" w:sz="0" w:space="0" w:color="auto"/>
                        <w:bottom w:val="none" w:sz="0" w:space="0" w:color="auto"/>
                        <w:right w:val="none" w:sz="0" w:space="0" w:color="auto"/>
                      </w:divBdr>
                    </w:div>
                  </w:divsChild>
                </w:div>
                <w:div w:id="176501022">
                  <w:marLeft w:val="0"/>
                  <w:marRight w:val="0"/>
                  <w:marTop w:val="0"/>
                  <w:marBottom w:val="0"/>
                  <w:divBdr>
                    <w:top w:val="none" w:sz="0" w:space="0" w:color="auto"/>
                    <w:left w:val="none" w:sz="0" w:space="0" w:color="auto"/>
                    <w:bottom w:val="none" w:sz="0" w:space="0" w:color="auto"/>
                    <w:right w:val="none" w:sz="0" w:space="0" w:color="auto"/>
                  </w:divBdr>
                  <w:divsChild>
                    <w:div w:id="2114813474">
                      <w:marLeft w:val="0"/>
                      <w:marRight w:val="0"/>
                      <w:marTop w:val="0"/>
                      <w:marBottom w:val="0"/>
                      <w:divBdr>
                        <w:top w:val="none" w:sz="0" w:space="0" w:color="auto"/>
                        <w:left w:val="none" w:sz="0" w:space="0" w:color="auto"/>
                        <w:bottom w:val="none" w:sz="0" w:space="0" w:color="auto"/>
                        <w:right w:val="none" w:sz="0" w:space="0" w:color="auto"/>
                      </w:divBdr>
                    </w:div>
                  </w:divsChild>
                </w:div>
                <w:div w:id="178156308">
                  <w:marLeft w:val="0"/>
                  <w:marRight w:val="0"/>
                  <w:marTop w:val="0"/>
                  <w:marBottom w:val="0"/>
                  <w:divBdr>
                    <w:top w:val="none" w:sz="0" w:space="0" w:color="auto"/>
                    <w:left w:val="none" w:sz="0" w:space="0" w:color="auto"/>
                    <w:bottom w:val="none" w:sz="0" w:space="0" w:color="auto"/>
                    <w:right w:val="none" w:sz="0" w:space="0" w:color="auto"/>
                  </w:divBdr>
                  <w:divsChild>
                    <w:div w:id="1689866833">
                      <w:marLeft w:val="0"/>
                      <w:marRight w:val="0"/>
                      <w:marTop w:val="0"/>
                      <w:marBottom w:val="0"/>
                      <w:divBdr>
                        <w:top w:val="none" w:sz="0" w:space="0" w:color="auto"/>
                        <w:left w:val="none" w:sz="0" w:space="0" w:color="auto"/>
                        <w:bottom w:val="none" w:sz="0" w:space="0" w:color="auto"/>
                        <w:right w:val="none" w:sz="0" w:space="0" w:color="auto"/>
                      </w:divBdr>
                    </w:div>
                  </w:divsChild>
                </w:div>
                <w:div w:id="182324568">
                  <w:marLeft w:val="0"/>
                  <w:marRight w:val="0"/>
                  <w:marTop w:val="0"/>
                  <w:marBottom w:val="0"/>
                  <w:divBdr>
                    <w:top w:val="none" w:sz="0" w:space="0" w:color="auto"/>
                    <w:left w:val="none" w:sz="0" w:space="0" w:color="auto"/>
                    <w:bottom w:val="none" w:sz="0" w:space="0" w:color="auto"/>
                    <w:right w:val="none" w:sz="0" w:space="0" w:color="auto"/>
                  </w:divBdr>
                  <w:divsChild>
                    <w:div w:id="1743403876">
                      <w:marLeft w:val="0"/>
                      <w:marRight w:val="0"/>
                      <w:marTop w:val="0"/>
                      <w:marBottom w:val="0"/>
                      <w:divBdr>
                        <w:top w:val="none" w:sz="0" w:space="0" w:color="auto"/>
                        <w:left w:val="none" w:sz="0" w:space="0" w:color="auto"/>
                        <w:bottom w:val="none" w:sz="0" w:space="0" w:color="auto"/>
                        <w:right w:val="none" w:sz="0" w:space="0" w:color="auto"/>
                      </w:divBdr>
                    </w:div>
                  </w:divsChild>
                </w:div>
                <w:div w:id="202451252">
                  <w:marLeft w:val="0"/>
                  <w:marRight w:val="0"/>
                  <w:marTop w:val="0"/>
                  <w:marBottom w:val="0"/>
                  <w:divBdr>
                    <w:top w:val="none" w:sz="0" w:space="0" w:color="auto"/>
                    <w:left w:val="none" w:sz="0" w:space="0" w:color="auto"/>
                    <w:bottom w:val="none" w:sz="0" w:space="0" w:color="auto"/>
                    <w:right w:val="none" w:sz="0" w:space="0" w:color="auto"/>
                  </w:divBdr>
                  <w:divsChild>
                    <w:div w:id="1888954394">
                      <w:marLeft w:val="0"/>
                      <w:marRight w:val="0"/>
                      <w:marTop w:val="0"/>
                      <w:marBottom w:val="0"/>
                      <w:divBdr>
                        <w:top w:val="none" w:sz="0" w:space="0" w:color="auto"/>
                        <w:left w:val="none" w:sz="0" w:space="0" w:color="auto"/>
                        <w:bottom w:val="none" w:sz="0" w:space="0" w:color="auto"/>
                        <w:right w:val="none" w:sz="0" w:space="0" w:color="auto"/>
                      </w:divBdr>
                    </w:div>
                  </w:divsChild>
                </w:div>
                <w:div w:id="204759468">
                  <w:marLeft w:val="0"/>
                  <w:marRight w:val="0"/>
                  <w:marTop w:val="0"/>
                  <w:marBottom w:val="0"/>
                  <w:divBdr>
                    <w:top w:val="none" w:sz="0" w:space="0" w:color="auto"/>
                    <w:left w:val="none" w:sz="0" w:space="0" w:color="auto"/>
                    <w:bottom w:val="none" w:sz="0" w:space="0" w:color="auto"/>
                    <w:right w:val="none" w:sz="0" w:space="0" w:color="auto"/>
                  </w:divBdr>
                  <w:divsChild>
                    <w:div w:id="1134064301">
                      <w:marLeft w:val="0"/>
                      <w:marRight w:val="0"/>
                      <w:marTop w:val="0"/>
                      <w:marBottom w:val="0"/>
                      <w:divBdr>
                        <w:top w:val="none" w:sz="0" w:space="0" w:color="auto"/>
                        <w:left w:val="none" w:sz="0" w:space="0" w:color="auto"/>
                        <w:bottom w:val="none" w:sz="0" w:space="0" w:color="auto"/>
                        <w:right w:val="none" w:sz="0" w:space="0" w:color="auto"/>
                      </w:divBdr>
                    </w:div>
                  </w:divsChild>
                </w:div>
                <w:div w:id="210652433">
                  <w:marLeft w:val="0"/>
                  <w:marRight w:val="0"/>
                  <w:marTop w:val="0"/>
                  <w:marBottom w:val="0"/>
                  <w:divBdr>
                    <w:top w:val="none" w:sz="0" w:space="0" w:color="auto"/>
                    <w:left w:val="none" w:sz="0" w:space="0" w:color="auto"/>
                    <w:bottom w:val="none" w:sz="0" w:space="0" w:color="auto"/>
                    <w:right w:val="none" w:sz="0" w:space="0" w:color="auto"/>
                  </w:divBdr>
                  <w:divsChild>
                    <w:div w:id="1007907308">
                      <w:marLeft w:val="0"/>
                      <w:marRight w:val="0"/>
                      <w:marTop w:val="0"/>
                      <w:marBottom w:val="0"/>
                      <w:divBdr>
                        <w:top w:val="none" w:sz="0" w:space="0" w:color="auto"/>
                        <w:left w:val="none" w:sz="0" w:space="0" w:color="auto"/>
                        <w:bottom w:val="none" w:sz="0" w:space="0" w:color="auto"/>
                        <w:right w:val="none" w:sz="0" w:space="0" w:color="auto"/>
                      </w:divBdr>
                    </w:div>
                  </w:divsChild>
                </w:div>
                <w:div w:id="223026464">
                  <w:marLeft w:val="0"/>
                  <w:marRight w:val="0"/>
                  <w:marTop w:val="0"/>
                  <w:marBottom w:val="0"/>
                  <w:divBdr>
                    <w:top w:val="none" w:sz="0" w:space="0" w:color="auto"/>
                    <w:left w:val="none" w:sz="0" w:space="0" w:color="auto"/>
                    <w:bottom w:val="none" w:sz="0" w:space="0" w:color="auto"/>
                    <w:right w:val="none" w:sz="0" w:space="0" w:color="auto"/>
                  </w:divBdr>
                  <w:divsChild>
                    <w:div w:id="1309284748">
                      <w:marLeft w:val="0"/>
                      <w:marRight w:val="0"/>
                      <w:marTop w:val="0"/>
                      <w:marBottom w:val="0"/>
                      <w:divBdr>
                        <w:top w:val="none" w:sz="0" w:space="0" w:color="auto"/>
                        <w:left w:val="none" w:sz="0" w:space="0" w:color="auto"/>
                        <w:bottom w:val="none" w:sz="0" w:space="0" w:color="auto"/>
                        <w:right w:val="none" w:sz="0" w:space="0" w:color="auto"/>
                      </w:divBdr>
                    </w:div>
                  </w:divsChild>
                </w:div>
                <w:div w:id="224413774">
                  <w:marLeft w:val="0"/>
                  <w:marRight w:val="0"/>
                  <w:marTop w:val="0"/>
                  <w:marBottom w:val="0"/>
                  <w:divBdr>
                    <w:top w:val="none" w:sz="0" w:space="0" w:color="auto"/>
                    <w:left w:val="none" w:sz="0" w:space="0" w:color="auto"/>
                    <w:bottom w:val="none" w:sz="0" w:space="0" w:color="auto"/>
                    <w:right w:val="none" w:sz="0" w:space="0" w:color="auto"/>
                  </w:divBdr>
                  <w:divsChild>
                    <w:div w:id="1520004744">
                      <w:marLeft w:val="0"/>
                      <w:marRight w:val="0"/>
                      <w:marTop w:val="0"/>
                      <w:marBottom w:val="0"/>
                      <w:divBdr>
                        <w:top w:val="none" w:sz="0" w:space="0" w:color="auto"/>
                        <w:left w:val="none" w:sz="0" w:space="0" w:color="auto"/>
                        <w:bottom w:val="none" w:sz="0" w:space="0" w:color="auto"/>
                        <w:right w:val="none" w:sz="0" w:space="0" w:color="auto"/>
                      </w:divBdr>
                    </w:div>
                  </w:divsChild>
                </w:div>
                <w:div w:id="229850158">
                  <w:marLeft w:val="0"/>
                  <w:marRight w:val="0"/>
                  <w:marTop w:val="0"/>
                  <w:marBottom w:val="0"/>
                  <w:divBdr>
                    <w:top w:val="none" w:sz="0" w:space="0" w:color="auto"/>
                    <w:left w:val="none" w:sz="0" w:space="0" w:color="auto"/>
                    <w:bottom w:val="none" w:sz="0" w:space="0" w:color="auto"/>
                    <w:right w:val="none" w:sz="0" w:space="0" w:color="auto"/>
                  </w:divBdr>
                  <w:divsChild>
                    <w:div w:id="1757827522">
                      <w:marLeft w:val="0"/>
                      <w:marRight w:val="0"/>
                      <w:marTop w:val="0"/>
                      <w:marBottom w:val="0"/>
                      <w:divBdr>
                        <w:top w:val="none" w:sz="0" w:space="0" w:color="auto"/>
                        <w:left w:val="none" w:sz="0" w:space="0" w:color="auto"/>
                        <w:bottom w:val="none" w:sz="0" w:space="0" w:color="auto"/>
                        <w:right w:val="none" w:sz="0" w:space="0" w:color="auto"/>
                      </w:divBdr>
                    </w:div>
                  </w:divsChild>
                </w:div>
                <w:div w:id="244536856">
                  <w:marLeft w:val="0"/>
                  <w:marRight w:val="0"/>
                  <w:marTop w:val="0"/>
                  <w:marBottom w:val="0"/>
                  <w:divBdr>
                    <w:top w:val="none" w:sz="0" w:space="0" w:color="auto"/>
                    <w:left w:val="none" w:sz="0" w:space="0" w:color="auto"/>
                    <w:bottom w:val="none" w:sz="0" w:space="0" w:color="auto"/>
                    <w:right w:val="none" w:sz="0" w:space="0" w:color="auto"/>
                  </w:divBdr>
                  <w:divsChild>
                    <w:div w:id="1356149187">
                      <w:marLeft w:val="0"/>
                      <w:marRight w:val="0"/>
                      <w:marTop w:val="0"/>
                      <w:marBottom w:val="0"/>
                      <w:divBdr>
                        <w:top w:val="none" w:sz="0" w:space="0" w:color="auto"/>
                        <w:left w:val="none" w:sz="0" w:space="0" w:color="auto"/>
                        <w:bottom w:val="none" w:sz="0" w:space="0" w:color="auto"/>
                        <w:right w:val="none" w:sz="0" w:space="0" w:color="auto"/>
                      </w:divBdr>
                    </w:div>
                  </w:divsChild>
                </w:div>
                <w:div w:id="252981584">
                  <w:marLeft w:val="0"/>
                  <w:marRight w:val="0"/>
                  <w:marTop w:val="0"/>
                  <w:marBottom w:val="0"/>
                  <w:divBdr>
                    <w:top w:val="none" w:sz="0" w:space="0" w:color="auto"/>
                    <w:left w:val="none" w:sz="0" w:space="0" w:color="auto"/>
                    <w:bottom w:val="none" w:sz="0" w:space="0" w:color="auto"/>
                    <w:right w:val="none" w:sz="0" w:space="0" w:color="auto"/>
                  </w:divBdr>
                  <w:divsChild>
                    <w:div w:id="201673477">
                      <w:marLeft w:val="0"/>
                      <w:marRight w:val="0"/>
                      <w:marTop w:val="0"/>
                      <w:marBottom w:val="0"/>
                      <w:divBdr>
                        <w:top w:val="none" w:sz="0" w:space="0" w:color="auto"/>
                        <w:left w:val="none" w:sz="0" w:space="0" w:color="auto"/>
                        <w:bottom w:val="none" w:sz="0" w:space="0" w:color="auto"/>
                        <w:right w:val="none" w:sz="0" w:space="0" w:color="auto"/>
                      </w:divBdr>
                    </w:div>
                  </w:divsChild>
                </w:div>
                <w:div w:id="256792130">
                  <w:marLeft w:val="0"/>
                  <w:marRight w:val="0"/>
                  <w:marTop w:val="0"/>
                  <w:marBottom w:val="0"/>
                  <w:divBdr>
                    <w:top w:val="none" w:sz="0" w:space="0" w:color="auto"/>
                    <w:left w:val="none" w:sz="0" w:space="0" w:color="auto"/>
                    <w:bottom w:val="none" w:sz="0" w:space="0" w:color="auto"/>
                    <w:right w:val="none" w:sz="0" w:space="0" w:color="auto"/>
                  </w:divBdr>
                  <w:divsChild>
                    <w:div w:id="642468332">
                      <w:marLeft w:val="0"/>
                      <w:marRight w:val="0"/>
                      <w:marTop w:val="0"/>
                      <w:marBottom w:val="0"/>
                      <w:divBdr>
                        <w:top w:val="none" w:sz="0" w:space="0" w:color="auto"/>
                        <w:left w:val="none" w:sz="0" w:space="0" w:color="auto"/>
                        <w:bottom w:val="none" w:sz="0" w:space="0" w:color="auto"/>
                        <w:right w:val="none" w:sz="0" w:space="0" w:color="auto"/>
                      </w:divBdr>
                    </w:div>
                  </w:divsChild>
                </w:div>
                <w:div w:id="277298879">
                  <w:marLeft w:val="0"/>
                  <w:marRight w:val="0"/>
                  <w:marTop w:val="0"/>
                  <w:marBottom w:val="0"/>
                  <w:divBdr>
                    <w:top w:val="none" w:sz="0" w:space="0" w:color="auto"/>
                    <w:left w:val="none" w:sz="0" w:space="0" w:color="auto"/>
                    <w:bottom w:val="none" w:sz="0" w:space="0" w:color="auto"/>
                    <w:right w:val="none" w:sz="0" w:space="0" w:color="auto"/>
                  </w:divBdr>
                  <w:divsChild>
                    <w:div w:id="558249521">
                      <w:marLeft w:val="0"/>
                      <w:marRight w:val="0"/>
                      <w:marTop w:val="0"/>
                      <w:marBottom w:val="0"/>
                      <w:divBdr>
                        <w:top w:val="none" w:sz="0" w:space="0" w:color="auto"/>
                        <w:left w:val="none" w:sz="0" w:space="0" w:color="auto"/>
                        <w:bottom w:val="none" w:sz="0" w:space="0" w:color="auto"/>
                        <w:right w:val="none" w:sz="0" w:space="0" w:color="auto"/>
                      </w:divBdr>
                    </w:div>
                  </w:divsChild>
                </w:div>
                <w:div w:id="277371037">
                  <w:marLeft w:val="0"/>
                  <w:marRight w:val="0"/>
                  <w:marTop w:val="0"/>
                  <w:marBottom w:val="0"/>
                  <w:divBdr>
                    <w:top w:val="none" w:sz="0" w:space="0" w:color="auto"/>
                    <w:left w:val="none" w:sz="0" w:space="0" w:color="auto"/>
                    <w:bottom w:val="none" w:sz="0" w:space="0" w:color="auto"/>
                    <w:right w:val="none" w:sz="0" w:space="0" w:color="auto"/>
                  </w:divBdr>
                  <w:divsChild>
                    <w:div w:id="870605304">
                      <w:marLeft w:val="0"/>
                      <w:marRight w:val="0"/>
                      <w:marTop w:val="0"/>
                      <w:marBottom w:val="0"/>
                      <w:divBdr>
                        <w:top w:val="none" w:sz="0" w:space="0" w:color="auto"/>
                        <w:left w:val="none" w:sz="0" w:space="0" w:color="auto"/>
                        <w:bottom w:val="none" w:sz="0" w:space="0" w:color="auto"/>
                        <w:right w:val="none" w:sz="0" w:space="0" w:color="auto"/>
                      </w:divBdr>
                    </w:div>
                  </w:divsChild>
                </w:div>
                <w:div w:id="288753101">
                  <w:marLeft w:val="0"/>
                  <w:marRight w:val="0"/>
                  <w:marTop w:val="0"/>
                  <w:marBottom w:val="0"/>
                  <w:divBdr>
                    <w:top w:val="none" w:sz="0" w:space="0" w:color="auto"/>
                    <w:left w:val="none" w:sz="0" w:space="0" w:color="auto"/>
                    <w:bottom w:val="none" w:sz="0" w:space="0" w:color="auto"/>
                    <w:right w:val="none" w:sz="0" w:space="0" w:color="auto"/>
                  </w:divBdr>
                  <w:divsChild>
                    <w:div w:id="1521509760">
                      <w:marLeft w:val="0"/>
                      <w:marRight w:val="0"/>
                      <w:marTop w:val="0"/>
                      <w:marBottom w:val="0"/>
                      <w:divBdr>
                        <w:top w:val="none" w:sz="0" w:space="0" w:color="auto"/>
                        <w:left w:val="none" w:sz="0" w:space="0" w:color="auto"/>
                        <w:bottom w:val="none" w:sz="0" w:space="0" w:color="auto"/>
                        <w:right w:val="none" w:sz="0" w:space="0" w:color="auto"/>
                      </w:divBdr>
                    </w:div>
                  </w:divsChild>
                </w:div>
                <w:div w:id="293365586">
                  <w:marLeft w:val="0"/>
                  <w:marRight w:val="0"/>
                  <w:marTop w:val="0"/>
                  <w:marBottom w:val="0"/>
                  <w:divBdr>
                    <w:top w:val="none" w:sz="0" w:space="0" w:color="auto"/>
                    <w:left w:val="none" w:sz="0" w:space="0" w:color="auto"/>
                    <w:bottom w:val="none" w:sz="0" w:space="0" w:color="auto"/>
                    <w:right w:val="none" w:sz="0" w:space="0" w:color="auto"/>
                  </w:divBdr>
                  <w:divsChild>
                    <w:div w:id="1090079963">
                      <w:marLeft w:val="0"/>
                      <w:marRight w:val="0"/>
                      <w:marTop w:val="0"/>
                      <w:marBottom w:val="0"/>
                      <w:divBdr>
                        <w:top w:val="none" w:sz="0" w:space="0" w:color="auto"/>
                        <w:left w:val="none" w:sz="0" w:space="0" w:color="auto"/>
                        <w:bottom w:val="none" w:sz="0" w:space="0" w:color="auto"/>
                        <w:right w:val="none" w:sz="0" w:space="0" w:color="auto"/>
                      </w:divBdr>
                    </w:div>
                  </w:divsChild>
                </w:div>
                <w:div w:id="296841197">
                  <w:marLeft w:val="0"/>
                  <w:marRight w:val="0"/>
                  <w:marTop w:val="0"/>
                  <w:marBottom w:val="0"/>
                  <w:divBdr>
                    <w:top w:val="none" w:sz="0" w:space="0" w:color="auto"/>
                    <w:left w:val="none" w:sz="0" w:space="0" w:color="auto"/>
                    <w:bottom w:val="none" w:sz="0" w:space="0" w:color="auto"/>
                    <w:right w:val="none" w:sz="0" w:space="0" w:color="auto"/>
                  </w:divBdr>
                  <w:divsChild>
                    <w:div w:id="1325402373">
                      <w:marLeft w:val="0"/>
                      <w:marRight w:val="0"/>
                      <w:marTop w:val="0"/>
                      <w:marBottom w:val="0"/>
                      <w:divBdr>
                        <w:top w:val="none" w:sz="0" w:space="0" w:color="auto"/>
                        <w:left w:val="none" w:sz="0" w:space="0" w:color="auto"/>
                        <w:bottom w:val="none" w:sz="0" w:space="0" w:color="auto"/>
                        <w:right w:val="none" w:sz="0" w:space="0" w:color="auto"/>
                      </w:divBdr>
                    </w:div>
                  </w:divsChild>
                </w:div>
                <w:div w:id="299530986">
                  <w:marLeft w:val="0"/>
                  <w:marRight w:val="0"/>
                  <w:marTop w:val="0"/>
                  <w:marBottom w:val="0"/>
                  <w:divBdr>
                    <w:top w:val="none" w:sz="0" w:space="0" w:color="auto"/>
                    <w:left w:val="none" w:sz="0" w:space="0" w:color="auto"/>
                    <w:bottom w:val="none" w:sz="0" w:space="0" w:color="auto"/>
                    <w:right w:val="none" w:sz="0" w:space="0" w:color="auto"/>
                  </w:divBdr>
                  <w:divsChild>
                    <w:div w:id="1197697252">
                      <w:marLeft w:val="0"/>
                      <w:marRight w:val="0"/>
                      <w:marTop w:val="0"/>
                      <w:marBottom w:val="0"/>
                      <w:divBdr>
                        <w:top w:val="none" w:sz="0" w:space="0" w:color="auto"/>
                        <w:left w:val="none" w:sz="0" w:space="0" w:color="auto"/>
                        <w:bottom w:val="none" w:sz="0" w:space="0" w:color="auto"/>
                        <w:right w:val="none" w:sz="0" w:space="0" w:color="auto"/>
                      </w:divBdr>
                    </w:div>
                  </w:divsChild>
                </w:div>
                <w:div w:id="301813293">
                  <w:marLeft w:val="0"/>
                  <w:marRight w:val="0"/>
                  <w:marTop w:val="0"/>
                  <w:marBottom w:val="0"/>
                  <w:divBdr>
                    <w:top w:val="none" w:sz="0" w:space="0" w:color="auto"/>
                    <w:left w:val="none" w:sz="0" w:space="0" w:color="auto"/>
                    <w:bottom w:val="none" w:sz="0" w:space="0" w:color="auto"/>
                    <w:right w:val="none" w:sz="0" w:space="0" w:color="auto"/>
                  </w:divBdr>
                  <w:divsChild>
                    <w:div w:id="1313365476">
                      <w:marLeft w:val="0"/>
                      <w:marRight w:val="0"/>
                      <w:marTop w:val="0"/>
                      <w:marBottom w:val="0"/>
                      <w:divBdr>
                        <w:top w:val="none" w:sz="0" w:space="0" w:color="auto"/>
                        <w:left w:val="none" w:sz="0" w:space="0" w:color="auto"/>
                        <w:bottom w:val="none" w:sz="0" w:space="0" w:color="auto"/>
                        <w:right w:val="none" w:sz="0" w:space="0" w:color="auto"/>
                      </w:divBdr>
                    </w:div>
                  </w:divsChild>
                </w:div>
                <w:div w:id="304553278">
                  <w:marLeft w:val="0"/>
                  <w:marRight w:val="0"/>
                  <w:marTop w:val="0"/>
                  <w:marBottom w:val="0"/>
                  <w:divBdr>
                    <w:top w:val="none" w:sz="0" w:space="0" w:color="auto"/>
                    <w:left w:val="none" w:sz="0" w:space="0" w:color="auto"/>
                    <w:bottom w:val="none" w:sz="0" w:space="0" w:color="auto"/>
                    <w:right w:val="none" w:sz="0" w:space="0" w:color="auto"/>
                  </w:divBdr>
                  <w:divsChild>
                    <w:div w:id="869494352">
                      <w:marLeft w:val="0"/>
                      <w:marRight w:val="0"/>
                      <w:marTop w:val="0"/>
                      <w:marBottom w:val="0"/>
                      <w:divBdr>
                        <w:top w:val="none" w:sz="0" w:space="0" w:color="auto"/>
                        <w:left w:val="none" w:sz="0" w:space="0" w:color="auto"/>
                        <w:bottom w:val="none" w:sz="0" w:space="0" w:color="auto"/>
                        <w:right w:val="none" w:sz="0" w:space="0" w:color="auto"/>
                      </w:divBdr>
                    </w:div>
                  </w:divsChild>
                </w:div>
                <w:div w:id="311447132">
                  <w:marLeft w:val="0"/>
                  <w:marRight w:val="0"/>
                  <w:marTop w:val="0"/>
                  <w:marBottom w:val="0"/>
                  <w:divBdr>
                    <w:top w:val="none" w:sz="0" w:space="0" w:color="auto"/>
                    <w:left w:val="none" w:sz="0" w:space="0" w:color="auto"/>
                    <w:bottom w:val="none" w:sz="0" w:space="0" w:color="auto"/>
                    <w:right w:val="none" w:sz="0" w:space="0" w:color="auto"/>
                  </w:divBdr>
                  <w:divsChild>
                    <w:div w:id="294527095">
                      <w:marLeft w:val="0"/>
                      <w:marRight w:val="0"/>
                      <w:marTop w:val="0"/>
                      <w:marBottom w:val="0"/>
                      <w:divBdr>
                        <w:top w:val="none" w:sz="0" w:space="0" w:color="auto"/>
                        <w:left w:val="none" w:sz="0" w:space="0" w:color="auto"/>
                        <w:bottom w:val="none" w:sz="0" w:space="0" w:color="auto"/>
                        <w:right w:val="none" w:sz="0" w:space="0" w:color="auto"/>
                      </w:divBdr>
                    </w:div>
                  </w:divsChild>
                </w:div>
                <w:div w:id="312032831">
                  <w:marLeft w:val="0"/>
                  <w:marRight w:val="0"/>
                  <w:marTop w:val="0"/>
                  <w:marBottom w:val="0"/>
                  <w:divBdr>
                    <w:top w:val="none" w:sz="0" w:space="0" w:color="auto"/>
                    <w:left w:val="none" w:sz="0" w:space="0" w:color="auto"/>
                    <w:bottom w:val="none" w:sz="0" w:space="0" w:color="auto"/>
                    <w:right w:val="none" w:sz="0" w:space="0" w:color="auto"/>
                  </w:divBdr>
                  <w:divsChild>
                    <w:div w:id="2043481383">
                      <w:marLeft w:val="0"/>
                      <w:marRight w:val="0"/>
                      <w:marTop w:val="0"/>
                      <w:marBottom w:val="0"/>
                      <w:divBdr>
                        <w:top w:val="none" w:sz="0" w:space="0" w:color="auto"/>
                        <w:left w:val="none" w:sz="0" w:space="0" w:color="auto"/>
                        <w:bottom w:val="none" w:sz="0" w:space="0" w:color="auto"/>
                        <w:right w:val="none" w:sz="0" w:space="0" w:color="auto"/>
                      </w:divBdr>
                    </w:div>
                  </w:divsChild>
                </w:div>
                <w:div w:id="317348914">
                  <w:marLeft w:val="0"/>
                  <w:marRight w:val="0"/>
                  <w:marTop w:val="0"/>
                  <w:marBottom w:val="0"/>
                  <w:divBdr>
                    <w:top w:val="none" w:sz="0" w:space="0" w:color="auto"/>
                    <w:left w:val="none" w:sz="0" w:space="0" w:color="auto"/>
                    <w:bottom w:val="none" w:sz="0" w:space="0" w:color="auto"/>
                    <w:right w:val="none" w:sz="0" w:space="0" w:color="auto"/>
                  </w:divBdr>
                  <w:divsChild>
                    <w:div w:id="318005405">
                      <w:marLeft w:val="0"/>
                      <w:marRight w:val="0"/>
                      <w:marTop w:val="0"/>
                      <w:marBottom w:val="0"/>
                      <w:divBdr>
                        <w:top w:val="none" w:sz="0" w:space="0" w:color="auto"/>
                        <w:left w:val="none" w:sz="0" w:space="0" w:color="auto"/>
                        <w:bottom w:val="none" w:sz="0" w:space="0" w:color="auto"/>
                        <w:right w:val="none" w:sz="0" w:space="0" w:color="auto"/>
                      </w:divBdr>
                    </w:div>
                  </w:divsChild>
                </w:div>
                <w:div w:id="318459716">
                  <w:marLeft w:val="0"/>
                  <w:marRight w:val="0"/>
                  <w:marTop w:val="0"/>
                  <w:marBottom w:val="0"/>
                  <w:divBdr>
                    <w:top w:val="none" w:sz="0" w:space="0" w:color="auto"/>
                    <w:left w:val="none" w:sz="0" w:space="0" w:color="auto"/>
                    <w:bottom w:val="none" w:sz="0" w:space="0" w:color="auto"/>
                    <w:right w:val="none" w:sz="0" w:space="0" w:color="auto"/>
                  </w:divBdr>
                  <w:divsChild>
                    <w:div w:id="779372376">
                      <w:marLeft w:val="0"/>
                      <w:marRight w:val="0"/>
                      <w:marTop w:val="0"/>
                      <w:marBottom w:val="0"/>
                      <w:divBdr>
                        <w:top w:val="none" w:sz="0" w:space="0" w:color="auto"/>
                        <w:left w:val="none" w:sz="0" w:space="0" w:color="auto"/>
                        <w:bottom w:val="none" w:sz="0" w:space="0" w:color="auto"/>
                        <w:right w:val="none" w:sz="0" w:space="0" w:color="auto"/>
                      </w:divBdr>
                    </w:div>
                    <w:div w:id="1086073770">
                      <w:marLeft w:val="0"/>
                      <w:marRight w:val="0"/>
                      <w:marTop w:val="0"/>
                      <w:marBottom w:val="0"/>
                      <w:divBdr>
                        <w:top w:val="none" w:sz="0" w:space="0" w:color="auto"/>
                        <w:left w:val="none" w:sz="0" w:space="0" w:color="auto"/>
                        <w:bottom w:val="none" w:sz="0" w:space="0" w:color="auto"/>
                        <w:right w:val="none" w:sz="0" w:space="0" w:color="auto"/>
                      </w:divBdr>
                    </w:div>
                  </w:divsChild>
                </w:div>
                <w:div w:id="319777707">
                  <w:marLeft w:val="0"/>
                  <w:marRight w:val="0"/>
                  <w:marTop w:val="0"/>
                  <w:marBottom w:val="0"/>
                  <w:divBdr>
                    <w:top w:val="none" w:sz="0" w:space="0" w:color="auto"/>
                    <w:left w:val="none" w:sz="0" w:space="0" w:color="auto"/>
                    <w:bottom w:val="none" w:sz="0" w:space="0" w:color="auto"/>
                    <w:right w:val="none" w:sz="0" w:space="0" w:color="auto"/>
                  </w:divBdr>
                  <w:divsChild>
                    <w:div w:id="142234654">
                      <w:marLeft w:val="0"/>
                      <w:marRight w:val="0"/>
                      <w:marTop w:val="0"/>
                      <w:marBottom w:val="0"/>
                      <w:divBdr>
                        <w:top w:val="none" w:sz="0" w:space="0" w:color="auto"/>
                        <w:left w:val="none" w:sz="0" w:space="0" w:color="auto"/>
                        <w:bottom w:val="none" w:sz="0" w:space="0" w:color="auto"/>
                        <w:right w:val="none" w:sz="0" w:space="0" w:color="auto"/>
                      </w:divBdr>
                    </w:div>
                  </w:divsChild>
                </w:div>
                <w:div w:id="322709254">
                  <w:marLeft w:val="0"/>
                  <w:marRight w:val="0"/>
                  <w:marTop w:val="0"/>
                  <w:marBottom w:val="0"/>
                  <w:divBdr>
                    <w:top w:val="none" w:sz="0" w:space="0" w:color="auto"/>
                    <w:left w:val="none" w:sz="0" w:space="0" w:color="auto"/>
                    <w:bottom w:val="none" w:sz="0" w:space="0" w:color="auto"/>
                    <w:right w:val="none" w:sz="0" w:space="0" w:color="auto"/>
                  </w:divBdr>
                  <w:divsChild>
                    <w:div w:id="320694029">
                      <w:marLeft w:val="0"/>
                      <w:marRight w:val="0"/>
                      <w:marTop w:val="0"/>
                      <w:marBottom w:val="0"/>
                      <w:divBdr>
                        <w:top w:val="none" w:sz="0" w:space="0" w:color="auto"/>
                        <w:left w:val="none" w:sz="0" w:space="0" w:color="auto"/>
                        <w:bottom w:val="none" w:sz="0" w:space="0" w:color="auto"/>
                        <w:right w:val="none" w:sz="0" w:space="0" w:color="auto"/>
                      </w:divBdr>
                    </w:div>
                  </w:divsChild>
                </w:div>
                <w:div w:id="355235986">
                  <w:marLeft w:val="0"/>
                  <w:marRight w:val="0"/>
                  <w:marTop w:val="0"/>
                  <w:marBottom w:val="0"/>
                  <w:divBdr>
                    <w:top w:val="none" w:sz="0" w:space="0" w:color="auto"/>
                    <w:left w:val="none" w:sz="0" w:space="0" w:color="auto"/>
                    <w:bottom w:val="none" w:sz="0" w:space="0" w:color="auto"/>
                    <w:right w:val="none" w:sz="0" w:space="0" w:color="auto"/>
                  </w:divBdr>
                  <w:divsChild>
                    <w:div w:id="913857913">
                      <w:marLeft w:val="0"/>
                      <w:marRight w:val="0"/>
                      <w:marTop w:val="0"/>
                      <w:marBottom w:val="0"/>
                      <w:divBdr>
                        <w:top w:val="none" w:sz="0" w:space="0" w:color="auto"/>
                        <w:left w:val="none" w:sz="0" w:space="0" w:color="auto"/>
                        <w:bottom w:val="none" w:sz="0" w:space="0" w:color="auto"/>
                        <w:right w:val="none" w:sz="0" w:space="0" w:color="auto"/>
                      </w:divBdr>
                    </w:div>
                  </w:divsChild>
                </w:div>
                <w:div w:id="360126628">
                  <w:marLeft w:val="0"/>
                  <w:marRight w:val="0"/>
                  <w:marTop w:val="0"/>
                  <w:marBottom w:val="0"/>
                  <w:divBdr>
                    <w:top w:val="none" w:sz="0" w:space="0" w:color="auto"/>
                    <w:left w:val="none" w:sz="0" w:space="0" w:color="auto"/>
                    <w:bottom w:val="none" w:sz="0" w:space="0" w:color="auto"/>
                    <w:right w:val="none" w:sz="0" w:space="0" w:color="auto"/>
                  </w:divBdr>
                  <w:divsChild>
                    <w:div w:id="1064330718">
                      <w:marLeft w:val="0"/>
                      <w:marRight w:val="0"/>
                      <w:marTop w:val="0"/>
                      <w:marBottom w:val="0"/>
                      <w:divBdr>
                        <w:top w:val="none" w:sz="0" w:space="0" w:color="auto"/>
                        <w:left w:val="none" w:sz="0" w:space="0" w:color="auto"/>
                        <w:bottom w:val="none" w:sz="0" w:space="0" w:color="auto"/>
                        <w:right w:val="none" w:sz="0" w:space="0" w:color="auto"/>
                      </w:divBdr>
                    </w:div>
                  </w:divsChild>
                </w:div>
                <w:div w:id="365065710">
                  <w:marLeft w:val="0"/>
                  <w:marRight w:val="0"/>
                  <w:marTop w:val="0"/>
                  <w:marBottom w:val="0"/>
                  <w:divBdr>
                    <w:top w:val="none" w:sz="0" w:space="0" w:color="auto"/>
                    <w:left w:val="none" w:sz="0" w:space="0" w:color="auto"/>
                    <w:bottom w:val="none" w:sz="0" w:space="0" w:color="auto"/>
                    <w:right w:val="none" w:sz="0" w:space="0" w:color="auto"/>
                  </w:divBdr>
                  <w:divsChild>
                    <w:div w:id="522323075">
                      <w:marLeft w:val="0"/>
                      <w:marRight w:val="0"/>
                      <w:marTop w:val="0"/>
                      <w:marBottom w:val="0"/>
                      <w:divBdr>
                        <w:top w:val="none" w:sz="0" w:space="0" w:color="auto"/>
                        <w:left w:val="none" w:sz="0" w:space="0" w:color="auto"/>
                        <w:bottom w:val="none" w:sz="0" w:space="0" w:color="auto"/>
                        <w:right w:val="none" w:sz="0" w:space="0" w:color="auto"/>
                      </w:divBdr>
                    </w:div>
                  </w:divsChild>
                </w:div>
                <w:div w:id="366638845">
                  <w:marLeft w:val="0"/>
                  <w:marRight w:val="0"/>
                  <w:marTop w:val="0"/>
                  <w:marBottom w:val="0"/>
                  <w:divBdr>
                    <w:top w:val="none" w:sz="0" w:space="0" w:color="auto"/>
                    <w:left w:val="none" w:sz="0" w:space="0" w:color="auto"/>
                    <w:bottom w:val="none" w:sz="0" w:space="0" w:color="auto"/>
                    <w:right w:val="none" w:sz="0" w:space="0" w:color="auto"/>
                  </w:divBdr>
                  <w:divsChild>
                    <w:div w:id="16394827">
                      <w:marLeft w:val="0"/>
                      <w:marRight w:val="0"/>
                      <w:marTop w:val="0"/>
                      <w:marBottom w:val="0"/>
                      <w:divBdr>
                        <w:top w:val="none" w:sz="0" w:space="0" w:color="auto"/>
                        <w:left w:val="none" w:sz="0" w:space="0" w:color="auto"/>
                        <w:bottom w:val="none" w:sz="0" w:space="0" w:color="auto"/>
                        <w:right w:val="none" w:sz="0" w:space="0" w:color="auto"/>
                      </w:divBdr>
                    </w:div>
                    <w:div w:id="24184879">
                      <w:marLeft w:val="0"/>
                      <w:marRight w:val="0"/>
                      <w:marTop w:val="0"/>
                      <w:marBottom w:val="0"/>
                      <w:divBdr>
                        <w:top w:val="none" w:sz="0" w:space="0" w:color="auto"/>
                        <w:left w:val="none" w:sz="0" w:space="0" w:color="auto"/>
                        <w:bottom w:val="none" w:sz="0" w:space="0" w:color="auto"/>
                        <w:right w:val="none" w:sz="0" w:space="0" w:color="auto"/>
                      </w:divBdr>
                    </w:div>
                    <w:div w:id="76366515">
                      <w:marLeft w:val="0"/>
                      <w:marRight w:val="0"/>
                      <w:marTop w:val="0"/>
                      <w:marBottom w:val="0"/>
                      <w:divBdr>
                        <w:top w:val="none" w:sz="0" w:space="0" w:color="auto"/>
                        <w:left w:val="none" w:sz="0" w:space="0" w:color="auto"/>
                        <w:bottom w:val="none" w:sz="0" w:space="0" w:color="auto"/>
                        <w:right w:val="none" w:sz="0" w:space="0" w:color="auto"/>
                      </w:divBdr>
                    </w:div>
                    <w:div w:id="177501117">
                      <w:marLeft w:val="0"/>
                      <w:marRight w:val="0"/>
                      <w:marTop w:val="0"/>
                      <w:marBottom w:val="0"/>
                      <w:divBdr>
                        <w:top w:val="none" w:sz="0" w:space="0" w:color="auto"/>
                        <w:left w:val="none" w:sz="0" w:space="0" w:color="auto"/>
                        <w:bottom w:val="none" w:sz="0" w:space="0" w:color="auto"/>
                        <w:right w:val="none" w:sz="0" w:space="0" w:color="auto"/>
                      </w:divBdr>
                    </w:div>
                    <w:div w:id="239024011">
                      <w:marLeft w:val="0"/>
                      <w:marRight w:val="0"/>
                      <w:marTop w:val="0"/>
                      <w:marBottom w:val="0"/>
                      <w:divBdr>
                        <w:top w:val="none" w:sz="0" w:space="0" w:color="auto"/>
                        <w:left w:val="none" w:sz="0" w:space="0" w:color="auto"/>
                        <w:bottom w:val="none" w:sz="0" w:space="0" w:color="auto"/>
                        <w:right w:val="none" w:sz="0" w:space="0" w:color="auto"/>
                      </w:divBdr>
                    </w:div>
                    <w:div w:id="242298233">
                      <w:marLeft w:val="0"/>
                      <w:marRight w:val="0"/>
                      <w:marTop w:val="0"/>
                      <w:marBottom w:val="0"/>
                      <w:divBdr>
                        <w:top w:val="none" w:sz="0" w:space="0" w:color="auto"/>
                        <w:left w:val="none" w:sz="0" w:space="0" w:color="auto"/>
                        <w:bottom w:val="none" w:sz="0" w:space="0" w:color="auto"/>
                        <w:right w:val="none" w:sz="0" w:space="0" w:color="auto"/>
                      </w:divBdr>
                    </w:div>
                    <w:div w:id="262307816">
                      <w:marLeft w:val="0"/>
                      <w:marRight w:val="0"/>
                      <w:marTop w:val="0"/>
                      <w:marBottom w:val="0"/>
                      <w:divBdr>
                        <w:top w:val="none" w:sz="0" w:space="0" w:color="auto"/>
                        <w:left w:val="none" w:sz="0" w:space="0" w:color="auto"/>
                        <w:bottom w:val="none" w:sz="0" w:space="0" w:color="auto"/>
                        <w:right w:val="none" w:sz="0" w:space="0" w:color="auto"/>
                      </w:divBdr>
                    </w:div>
                    <w:div w:id="452360585">
                      <w:marLeft w:val="0"/>
                      <w:marRight w:val="0"/>
                      <w:marTop w:val="0"/>
                      <w:marBottom w:val="0"/>
                      <w:divBdr>
                        <w:top w:val="none" w:sz="0" w:space="0" w:color="auto"/>
                        <w:left w:val="none" w:sz="0" w:space="0" w:color="auto"/>
                        <w:bottom w:val="none" w:sz="0" w:space="0" w:color="auto"/>
                        <w:right w:val="none" w:sz="0" w:space="0" w:color="auto"/>
                      </w:divBdr>
                    </w:div>
                    <w:div w:id="678429515">
                      <w:marLeft w:val="0"/>
                      <w:marRight w:val="0"/>
                      <w:marTop w:val="0"/>
                      <w:marBottom w:val="0"/>
                      <w:divBdr>
                        <w:top w:val="none" w:sz="0" w:space="0" w:color="auto"/>
                        <w:left w:val="none" w:sz="0" w:space="0" w:color="auto"/>
                        <w:bottom w:val="none" w:sz="0" w:space="0" w:color="auto"/>
                        <w:right w:val="none" w:sz="0" w:space="0" w:color="auto"/>
                      </w:divBdr>
                    </w:div>
                    <w:div w:id="937952090">
                      <w:marLeft w:val="0"/>
                      <w:marRight w:val="0"/>
                      <w:marTop w:val="0"/>
                      <w:marBottom w:val="0"/>
                      <w:divBdr>
                        <w:top w:val="none" w:sz="0" w:space="0" w:color="auto"/>
                        <w:left w:val="none" w:sz="0" w:space="0" w:color="auto"/>
                        <w:bottom w:val="none" w:sz="0" w:space="0" w:color="auto"/>
                        <w:right w:val="none" w:sz="0" w:space="0" w:color="auto"/>
                      </w:divBdr>
                    </w:div>
                    <w:div w:id="979650695">
                      <w:marLeft w:val="0"/>
                      <w:marRight w:val="0"/>
                      <w:marTop w:val="0"/>
                      <w:marBottom w:val="0"/>
                      <w:divBdr>
                        <w:top w:val="none" w:sz="0" w:space="0" w:color="auto"/>
                        <w:left w:val="none" w:sz="0" w:space="0" w:color="auto"/>
                        <w:bottom w:val="none" w:sz="0" w:space="0" w:color="auto"/>
                        <w:right w:val="none" w:sz="0" w:space="0" w:color="auto"/>
                      </w:divBdr>
                    </w:div>
                    <w:div w:id="1229416538">
                      <w:marLeft w:val="0"/>
                      <w:marRight w:val="0"/>
                      <w:marTop w:val="0"/>
                      <w:marBottom w:val="0"/>
                      <w:divBdr>
                        <w:top w:val="none" w:sz="0" w:space="0" w:color="auto"/>
                        <w:left w:val="none" w:sz="0" w:space="0" w:color="auto"/>
                        <w:bottom w:val="none" w:sz="0" w:space="0" w:color="auto"/>
                        <w:right w:val="none" w:sz="0" w:space="0" w:color="auto"/>
                      </w:divBdr>
                    </w:div>
                    <w:div w:id="1251543764">
                      <w:marLeft w:val="0"/>
                      <w:marRight w:val="0"/>
                      <w:marTop w:val="0"/>
                      <w:marBottom w:val="0"/>
                      <w:divBdr>
                        <w:top w:val="none" w:sz="0" w:space="0" w:color="auto"/>
                        <w:left w:val="none" w:sz="0" w:space="0" w:color="auto"/>
                        <w:bottom w:val="none" w:sz="0" w:space="0" w:color="auto"/>
                        <w:right w:val="none" w:sz="0" w:space="0" w:color="auto"/>
                      </w:divBdr>
                    </w:div>
                    <w:div w:id="1784493977">
                      <w:marLeft w:val="0"/>
                      <w:marRight w:val="0"/>
                      <w:marTop w:val="0"/>
                      <w:marBottom w:val="0"/>
                      <w:divBdr>
                        <w:top w:val="none" w:sz="0" w:space="0" w:color="auto"/>
                        <w:left w:val="none" w:sz="0" w:space="0" w:color="auto"/>
                        <w:bottom w:val="none" w:sz="0" w:space="0" w:color="auto"/>
                        <w:right w:val="none" w:sz="0" w:space="0" w:color="auto"/>
                      </w:divBdr>
                    </w:div>
                    <w:div w:id="2029406651">
                      <w:marLeft w:val="0"/>
                      <w:marRight w:val="0"/>
                      <w:marTop w:val="0"/>
                      <w:marBottom w:val="0"/>
                      <w:divBdr>
                        <w:top w:val="none" w:sz="0" w:space="0" w:color="auto"/>
                        <w:left w:val="none" w:sz="0" w:space="0" w:color="auto"/>
                        <w:bottom w:val="none" w:sz="0" w:space="0" w:color="auto"/>
                        <w:right w:val="none" w:sz="0" w:space="0" w:color="auto"/>
                      </w:divBdr>
                    </w:div>
                  </w:divsChild>
                </w:div>
                <w:div w:id="370544584">
                  <w:marLeft w:val="0"/>
                  <w:marRight w:val="0"/>
                  <w:marTop w:val="0"/>
                  <w:marBottom w:val="0"/>
                  <w:divBdr>
                    <w:top w:val="none" w:sz="0" w:space="0" w:color="auto"/>
                    <w:left w:val="none" w:sz="0" w:space="0" w:color="auto"/>
                    <w:bottom w:val="none" w:sz="0" w:space="0" w:color="auto"/>
                    <w:right w:val="none" w:sz="0" w:space="0" w:color="auto"/>
                  </w:divBdr>
                  <w:divsChild>
                    <w:div w:id="141118763">
                      <w:marLeft w:val="0"/>
                      <w:marRight w:val="0"/>
                      <w:marTop w:val="0"/>
                      <w:marBottom w:val="0"/>
                      <w:divBdr>
                        <w:top w:val="none" w:sz="0" w:space="0" w:color="auto"/>
                        <w:left w:val="none" w:sz="0" w:space="0" w:color="auto"/>
                        <w:bottom w:val="none" w:sz="0" w:space="0" w:color="auto"/>
                        <w:right w:val="none" w:sz="0" w:space="0" w:color="auto"/>
                      </w:divBdr>
                    </w:div>
                  </w:divsChild>
                </w:div>
                <w:div w:id="373892134">
                  <w:marLeft w:val="0"/>
                  <w:marRight w:val="0"/>
                  <w:marTop w:val="0"/>
                  <w:marBottom w:val="0"/>
                  <w:divBdr>
                    <w:top w:val="none" w:sz="0" w:space="0" w:color="auto"/>
                    <w:left w:val="none" w:sz="0" w:space="0" w:color="auto"/>
                    <w:bottom w:val="none" w:sz="0" w:space="0" w:color="auto"/>
                    <w:right w:val="none" w:sz="0" w:space="0" w:color="auto"/>
                  </w:divBdr>
                  <w:divsChild>
                    <w:div w:id="985625362">
                      <w:marLeft w:val="0"/>
                      <w:marRight w:val="0"/>
                      <w:marTop w:val="0"/>
                      <w:marBottom w:val="0"/>
                      <w:divBdr>
                        <w:top w:val="none" w:sz="0" w:space="0" w:color="auto"/>
                        <w:left w:val="none" w:sz="0" w:space="0" w:color="auto"/>
                        <w:bottom w:val="none" w:sz="0" w:space="0" w:color="auto"/>
                        <w:right w:val="none" w:sz="0" w:space="0" w:color="auto"/>
                      </w:divBdr>
                    </w:div>
                  </w:divsChild>
                </w:div>
                <w:div w:id="375013704">
                  <w:marLeft w:val="0"/>
                  <w:marRight w:val="0"/>
                  <w:marTop w:val="0"/>
                  <w:marBottom w:val="0"/>
                  <w:divBdr>
                    <w:top w:val="none" w:sz="0" w:space="0" w:color="auto"/>
                    <w:left w:val="none" w:sz="0" w:space="0" w:color="auto"/>
                    <w:bottom w:val="none" w:sz="0" w:space="0" w:color="auto"/>
                    <w:right w:val="none" w:sz="0" w:space="0" w:color="auto"/>
                  </w:divBdr>
                  <w:divsChild>
                    <w:div w:id="1108113157">
                      <w:marLeft w:val="0"/>
                      <w:marRight w:val="0"/>
                      <w:marTop w:val="0"/>
                      <w:marBottom w:val="0"/>
                      <w:divBdr>
                        <w:top w:val="none" w:sz="0" w:space="0" w:color="auto"/>
                        <w:left w:val="none" w:sz="0" w:space="0" w:color="auto"/>
                        <w:bottom w:val="none" w:sz="0" w:space="0" w:color="auto"/>
                        <w:right w:val="none" w:sz="0" w:space="0" w:color="auto"/>
                      </w:divBdr>
                    </w:div>
                  </w:divsChild>
                </w:div>
                <w:div w:id="377440644">
                  <w:marLeft w:val="0"/>
                  <w:marRight w:val="0"/>
                  <w:marTop w:val="0"/>
                  <w:marBottom w:val="0"/>
                  <w:divBdr>
                    <w:top w:val="none" w:sz="0" w:space="0" w:color="auto"/>
                    <w:left w:val="none" w:sz="0" w:space="0" w:color="auto"/>
                    <w:bottom w:val="none" w:sz="0" w:space="0" w:color="auto"/>
                    <w:right w:val="none" w:sz="0" w:space="0" w:color="auto"/>
                  </w:divBdr>
                  <w:divsChild>
                    <w:div w:id="1297758706">
                      <w:marLeft w:val="0"/>
                      <w:marRight w:val="0"/>
                      <w:marTop w:val="0"/>
                      <w:marBottom w:val="0"/>
                      <w:divBdr>
                        <w:top w:val="none" w:sz="0" w:space="0" w:color="auto"/>
                        <w:left w:val="none" w:sz="0" w:space="0" w:color="auto"/>
                        <w:bottom w:val="none" w:sz="0" w:space="0" w:color="auto"/>
                        <w:right w:val="none" w:sz="0" w:space="0" w:color="auto"/>
                      </w:divBdr>
                    </w:div>
                  </w:divsChild>
                </w:div>
                <w:div w:id="378364078">
                  <w:marLeft w:val="0"/>
                  <w:marRight w:val="0"/>
                  <w:marTop w:val="0"/>
                  <w:marBottom w:val="0"/>
                  <w:divBdr>
                    <w:top w:val="none" w:sz="0" w:space="0" w:color="auto"/>
                    <w:left w:val="none" w:sz="0" w:space="0" w:color="auto"/>
                    <w:bottom w:val="none" w:sz="0" w:space="0" w:color="auto"/>
                    <w:right w:val="none" w:sz="0" w:space="0" w:color="auto"/>
                  </w:divBdr>
                  <w:divsChild>
                    <w:div w:id="1676953649">
                      <w:marLeft w:val="0"/>
                      <w:marRight w:val="0"/>
                      <w:marTop w:val="0"/>
                      <w:marBottom w:val="0"/>
                      <w:divBdr>
                        <w:top w:val="none" w:sz="0" w:space="0" w:color="auto"/>
                        <w:left w:val="none" w:sz="0" w:space="0" w:color="auto"/>
                        <w:bottom w:val="none" w:sz="0" w:space="0" w:color="auto"/>
                        <w:right w:val="none" w:sz="0" w:space="0" w:color="auto"/>
                      </w:divBdr>
                    </w:div>
                  </w:divsChild>
                </w:div>
                <w:div w:id="390353095">
                  <w:marLeft w:val="0"/>
                  <w:marRight w:val="0"/>
                  <w:marTop w:val="0"/>
                  <w:marBottom w:val="0"/>
                  <w:divBdr>
                    <w:top w:val="none" w:sz="0" w:space="0" w:color="auto"/>
                    <w:left w:val="none" w:sz="0" w:space="0" w:color="auto"/>
                    <w:bottom w:val="none" w:sz="0" w:space="0" w:color="auto"/>
                    <w:right w:val="none" w:sz="0" w:space="0" w:color="auto"/>
                  </w:divBdr>
                  <w:divsChild>
                    <w:div w:id="1564438820">
                      <w:marLeft w:val="0"/>
                      <w:marRight w:val="0"/>
                      <w:marTop w:val="0"/>
                      <w:marBottom w:val="0"/>
                      <w:divBdr>
                        <w:top w:val="none" w:sz="0" w:space="0" w:color="auto"/>
                        <w:left w:val="none" w:sz="0" w:space="0" w:color="auto"/>
                        <w:bottom w:val="none" w:sz="0" w:space="0" w:color="auto"/>
                        <w:right w:val="none" w:sz="0" w:space="0" w:color="auto"/>
                      </w:divBdr>
                    </w:div>
                  </w:divsChild>
                </w:div>
                <w:div w:id="397899535">
                  <w:marLeft w:val="0"/>
                  <w:marRight w:val="0"/>
                  <w:marTop w:val="0"/>
                  <w:marBottom w:val="0"/>
                  <w:divBdr>
                    <w:top w:val="none" w:sz="0" w:space="0" w:color="auto"/>
                    <w:left w:val="none" w:sz="0" w:space="0" w:color="auto"/>
                    <w:bottom w:val="none" w:sz="0" w:space="0" w:color="auto"/>
                    <w:right w:val="none" w:sz="0" w:space="0" w:color="auto"/>
                  </w:divBdr>
                  <w:divsChild>
                    <w:div w:id="465584894">
                      <w:marLeft w:val="0"/>
                      <w:marRight w:val="0"/>
                      <w:marTop w:val="0"/>
                      <w:marBottom w:val="0"/>
                      <w:divBdr>
                        <w:top w:val="none" w:sz="0" w:space="0" w:color="auto"/>
                        <w:left w:val="none" w:sz="0" w:space="0" w:color="auto"/>
                        <w:bottom w:val="none" w:sz="0" w:space="0" w:color="auto"/>
                        <w:right w:val="none" w:sz="0" w:space="0" w:color="auto"/>
                      </w:divBdr>
                    </w:div>
                  </w:divsChild>
                </w:div>
                <w:div w:id="399644280">
                  <w:marLeft w:val="0"/>
                  <w:marRight w:val="0"/>
                  <w:marTop w:val="0"/>
                  <w:marBottom w:val="0"/>
                  <w:divBdr>
                    <w:top w:val="none" w:sz="0" w:space="0" w:color="auto"/>
                    <w:left w:val="none" w:sz="0" w:space="0" w:color="auto"/>
                    <w:bottom w:val="none" w:sz="0" w:space="0" w:color="auto"/>
                    <w:right w:val="none" w:sz="0" w:space="0" w:color="auto"/>
                  </w:divBdr>
                  <w:divsChild>
                    <w:div w:id="1781144658">
                      <w:marLeft w:val="0"/>
                      <w:marRight w:val="0"/>
                      <w:marTop w:val="0"/>
                      <w:marBottom w:val="0"/>
                      <w:divBdr>
                        <w:top w:val="none" w:sz="0" w:space="0" w:color="auto"/>
                        <w:left w:val="none" w:sz="0" w:space="0" w:color="auto"/>
                        <w:bottom w:val="none" w:sz="0" w:space="0" w:color="auto"/>
                        <w:right w:val="none" w:sz="0" w:space="0" w:color="auto"/>
                      </w:divBdr>
                    </w:div>
                  </w:divsChild>
                </w:div>
                <w:div w:id="403144404">
                  <w:marLeft w:val="0"/>
                  <w:marRight w:val="0"/>
                  <w:marTop w:val="0"/>
                  <w:marBottom w:val="0"/>
                  <w:divBdr>
                    <w:top w:val="none" w:sz="0" w:space="0" w:color="auto"/>
                    <w:left w:val="none" w:sz="0" w:space="0" w:color="auto"/>
                    <w:bottom w:val="none" w:sz="0" w:space="0" w:color="auto"/>
                    <w:right w:val="none" w:sz="0" w:space="0" w:color="auto"/>
                  </w:divBdr>
                  <w:divsChild>
                    <w:div w:id="1858422339">
                      <w:marLeft w:val="0"/>
                      <w:marRight w:val="0"/>
                      <w:marTop w:val="0"/>
                      <w:marBottom w:val="0"/>
                      <w:divBdr>
                        <w:top w:val="none" w:sz="0" w:space="0" w:color="auto"/>
                        <w:left w:val="none" w:sz="0" w:space="0" w:color="auto"/>
                        <w:bottom w:val="none" w:sz="0" w:space="0" w:color="auto"/>
                        <w:right w:val="none" w:sz="0" w:space="0" w:color="auto"/>
                      </w:divBdr>
                    </w:div>
                  </w:divsChild>
                </w:div>
                <w:div w:id="408040520">
                  <w:marLeft w:val="0"/>
                  <w:marRight w:val="0"/>
                  <w:marTop w:val="0"/>
                  <w:marBottom w:val="0"/>
                  <w:divBdr>
                    <w:top w:val="none" w:sz="0" w:space="0" w:color="auto"/>
                    <w:left w:val="none" w:sz="0" w:space="0" w:color="auto"/>
                    <w:bottom w:val="none" w:sz="0" w:space="0" w:color="auto"/>
                    <w:right w:val="none" w:sz="0" w:space="0" w:color="auto"/>
                  </w:divBdr>
                  <w:divsChild>
                    <w:div w:id="329215228">
                      <w:marLeft w:val="0"/>
                      <w:marRight w:val="0"/>
                      <w:marTop w:val="0"/>
                      <w:marBottom w:val="0"/>
                      <w:divBdr>
                        <w:top w:val="none" w:sz="0" w:space="0" w:color="auto"/>
                        <w:left w:val="none" w:sz="0" w:space="0" w:color="auto"/>
                        <w:bottom w:val="none" w:sz="0" w:space="0" w:color="auto"/>
                        <w:right w:val="none" w:sz="0" w:space="0" w:color="auto"/>
                      </w:divBdr>
                    </w:div>
                  </w:divsChild>
                </w:div>
                <w:div w:id="414088051">
                  <w:marLeft w:val="0"/>
                  <w:marRight w:val="0"/>
                  <w:marTop w:val="0"/>
                  <w:marBottom w:val="0"/>
                  <w:divBdr>
                    <w:top w:val="none" w:sz="0" w:space="0" w:color="auto"/>
                    <w:left w:val="none" w:sz="0" w:space="0" w:color="auto"/>
                    <w:bottom w:val="none" w:sz="0" w:space="0" w:color="auto"/>
                    <w:right w:val="none" w:sz="0" w:space="0" w:color="auto"/>
                  </w:divBdr>
                  <w:divsChild>
                    <w:div w:id="731193624">
                      <w:marLeft w:val="0"/>
                      <w:marRight w:val="0"/>
                      <w:marTop w:val="0"/>
                      <w:marBottom w:val="0"/>
                      <w:divBdr>
                        <w:top w:val="none" w:sz="0" w:space="0" w:color="auto"/>
                        <w:left w:val="none" w:sz="0" w:space="0" w:color="auto"/>
                        <w:bottom w:val="none" w:sz="0" w:space="0" w:color="auto"/>
                        <w:right w:val="none" w:sz="0" w:space="0" w:color="auto"/>
                      </w:divBdr>
                    </w:div>
                  </w:divsChild>
                </w:div>
                <w:div w:id="424963539">
                  <w:marLeft w:val="0"/>
                  <w:marRight w:val="0"/>
                  <w:marTop w:val="0"/>
                  <w:marBottom w:val="0"/>
                  <w:divBdr>
                    <w:top w:val="none" w:sz="0" w:space="0" w:color="auto"/>
                    <w:left w:val="none" w:sz="0" w:space="0" w:color="auto"/>
                    <w:bottom w:val="none" w:sz="0" w:space="0" w:color="auto"/>
                    <w:right w:val="none" w:sz="0" w:space="0" w:color="auto"/>
                  </w:divBdr>
                  <w:divsChild>
                    <w:div w:id="854686449">
                      <w:marLeft w:val="0"/>
                      <w:marRight w:val="0"/>
                      <w:marTop w:val="0"/>
                      <w:marBottom w:val="0"/>
                      <w:divBdr>
                        <w:top w:val="none" w:sz="0" w:space="0" w:color="auto"/>
                        <w:left w:val="none" w:sz="0" w:space="0" w:color="auto"/>
                        <w:bottom w:val="none" w:sz="0" w:space="0" w:color="auto"/>
                        <w:right w:val="none" w:sz="0" w:space="0" w:color="auto"/>
                      </w:divBdr>
                    </w:div>
                  </w:divsChild>
                </w:div>
                <w:div w:id="427623385">
                  <w:marLeft w:val="0"/>
                  <w:marRight w:val="0"/>
                  <w:marTop w:val="0"/>
                  <w:marBottom w:val="0"/>
                  <w:divBdr>
                    <w:top w:val="none" w:sz="0" w:space="0" w:color="auto"/>
                    <w:left w:val="none" w:sz="0" w:space="0" w:color="auto"/>
                    <w:bottom w:val="none" w:sz="0" w:space="0" w:color="auto"/>
                    <w:right w:val="none" w:sz="0" w:space="0" w:color="auto"/>
                  </w:divBdr>
                  <w:divsChild>
                    <w:div w:id="1557161928">
                      <w:marLeft w:val="0"/>
                      <w:marRight w:val="0"/>
                      <w:marTop w:val="0"/>
                      <w:marBottom w:val="0"/>
                      <w:divBdr>
                        <w:top w:val="none" w:sz="0" w:space="0" w:color="auto"/>
                        <w:left w:val="none" w:sz="0" w:space="0" w:color="auto"/>
                        <w:bottom w:val="none" w:sz="0" w:space="0" w:color="auto"/>
                        <w:right w:val="none" w:sz="0" w:space="0" w:color="auto"/>
                      </w:divBdr>
                    </w:div>
                  </w:divsChild>
                </w:div>
                <w:div w:id="429811629">
                  <w:marLeft w:val="0"/>
                  <w:marRight w:val="0"/>
                  <w:marTop w:val="0"/>
                  <w:marBottom w:val="0"/>
                  <w:divBdr>
                    <w:top w:val="none" w:sz="0" w:space="0" w:color="auto"/>
                    <w:left w:val="none" w:sz="0" w:space="0" w:color="auto"/>
                    <w:bottom w:val="none" w:sz="0" w:space="0" w:color="auto"/>
                    <w:right w:val="none" w:sz="0" w:space="0" w:color="auto"/>
                  </w:divBdr>
                  <w:divsChild>
                    <w:div w:id="1677878266">
                      <w:marLeft w:val="0"/>
                      <w:marRight w:val="0"/>
                      <w:marTop w:val="0"/>
                      <w:marBottom w:val="0"/>
                      <w:divBdr>
                        <w:top w:val="none" w:sz="0" w:space="0" w:color="auto"/>
                        <w:left w:val="none" w:sz="0" w:space="0" w:color="auto"/>
                        <w:bottom w:val="none" w:sz="0" w:space="0" w:color="auto"/>
                        <w:right w:val="none" w:sz="0" w:space="0" w:color="auto"/>
                      </w:divBdr>
                    </w:div>
                  </w:divsChild>
                </w:div>
                <w:div w:id="442110792">
                  <w:marLeft w:val="0"/>
                  <w:marRight w:val="0"/>
                  <w:marTop w:val="0"/>
                  <w:marBottom w:val="0"/>
                  <w:divBdr>
                    <w:top w:val="none" w:sz="0" w:space="0" w:color="auto"/>
                    <w:left w:val="none" w:sz="0" w:space="0" w:color="auto"/>
                    <w:bottom w:val="none" w:sz="0" w:space="0" w:color="auto"/>
                    <w:right w:val="none" w:sz="0" w:space="0" w:color="auto"/>
                  </w:divBdr>
                  <w:divsChild>
                    <w:div w:id="1194535596">
                      <w:marLeft w:val="0"/>
                      <w:marRight w:val="0"/>
                      <w:marTop w:val="0"/>
                      <w:marBottom w:val="0"/>
                      <w:divBdr>
                        <w:top w:val="none" w:sz="0" w:space="0" w:color="auto"/>
                        <w:left w:val="none" w:sz="0" w:space="0" w:color="auto"/>
                        <w:bottom w:val="none" w:sz="0" w:space="0" w:color="auto"/>
                        <w:right w:val="none" w:sz="0" w:space="0" w:color="auto"/>
                      </w:divBdr>
                    </w:div>
                  </w:divsChild>
                </w:div>
                <w:div w:id="445739622">
                  <w:marLeft w:val="0"/>
                  <w:marRight w:val="0"/>
                  <w:marTop w:val="0"/>
                  <w:marBottom w:val="0"/>
                  <w:divBdr>
                    <w:top w:val="none" w:sz="0" w:space="0" w:color="auto"/>
                    <w:left w:val="none" w:sz="0" w:space="0" w:color="auto"/>
                    <w:bottom w:val="none" w:sz="0" w:space="0" w:color="auto"/>
                    <w:right w:val="none" w:sz="0" w:space="0" w:color="auto"/>
                  </w:divBdr>
                  <w:divsChild>
                    <w:div w:id="1011181382">
                      <w:marLeft w:val="0"/>
                      <w:marRight w:val="0"/>
                      <w:marTop w:val="0"/>
                      <w:marBottom w:val="0"/>
                      <w:divBdr>
                        <w:top w:val="none" w:sz="0" w:space="0" w:color="auto"/>
                        <w:left w:val="none" w:sz="0" w:space="0" w:color="auto"/>
                        <w:bottom w:val="none" w:sz="0" w:space="0" w:color="auto"/>
                        <w:right w:val="none" w:sz="0" w:space="0" w:color="auto"/>
                      </w:divBdr>
                    </w:div>
                  </w:divsChild>
                </w:div>
                <w:div w:id="451830294">
                  <w:marLeft w:val="0"/>
                  <w:marRight w:val="0"/>
                  <w:marTop w:val="0"/>
                  <w:marBottom w:val="0"/>
                  <w:divBdr>
                    <w:top w:val="none" w:sz="0" w:space="0" w:color="auto"/>
                    <w:left w:val="none" w:sz="0" w:space="0" w:color="auto"/>
                    <w:bottom w:val="none" w:sz="0" w:space="0" w:color="auto"/>
                    <w:right w:val="none" w:sz="0" w:space="0" w:color="auto"/>
                  </w:divBdr>
                  <w:divsChild>
                    <w:div w:id="1634166275">
                      <w:marLeft w:val="0"/>
                      <w:marRight w:val="0"/>
                      <w:marTop w:val="0"/>
                      <w:marBottom w:val="0"/>
                      <w:divBdr>
                        <w:top w:val="none" w:sz="0" w:space="0" w:color="auto"/>
                        <w:left w:val="none" w:sz="0" w:space="0" w:color="auto"/>
                        <w:bottom w:val="none" w:sz="0" w:space="0" w:color="auto"/>
                        <w:right w:val="none" w:sz="0" w:space="0" w:color="auto"/>
                      </w:divBdr>
                    </w:div>
                  </w:divsChild>
                </w:div>
                <w:div w:id="456418037">
                  <w:marLeft w:val="0"/>
                  <w:marRight w:val="0"/>
                  <w:marTop w:val="0"/>
                  <w:marBottom w:val="0"/>
                  <w:divBdr>
                    <w:top w:val="none" w:sz="0" w:space="0" w:color="auto"/>
                    <w:left w:val="none" w:sz="0" w:space="0" w:color="auto"/>
                    <w:bottom w:val="none" w:sz="0" w:space="0" w:color="auto"/>
                    <w:right w:val="none" w:sz="0" w:space="0" w:color="auto"/>
                  </w:divBdr>
                  <w:divsChild>
                    <w:div w:id="1940016968">
                      <w:marLeft w:val="0"/>
                      <w:marRight w:val="0"/>
                      <w:marTop w:val="0"/>
                      <w:marBottom w:val="0"/>
                      <w:divBdr>
                        <w:top w:val="none" w:sz="0" w:space="0" w:color="auto"/>
                        <w:left w:val="none" w:sz="0" w:space="0" w:color="auto"/>
                        <w:bottom w:val="none" w:sz="0" w:space="0" w:color="auto"/>
                        <w:right w:val="none" w:sz="0" w:space="0" w:color="auto"/>
                      </w:divBdr>
                    </w:div>
                  </w:divsChild>
                </w:div>
                <w:div w:id="465976857">
                  <w:marLeft w:val="0"/>
                  <w:marRight w:val="0"/>
                  <w:marTop w:val="0"/>
                  <w:marBottom w:val="0"/>
                  <w:divBdr>
                    <w:top w:val="none" w:sz="0" w:space="0" w:color="auto"/>
                    <w:left w:val="none" w:sz="0" w:space="0" w:color="auto"/>
                    <w:bottom w:val="none" w:sz="0" w:space="0" w:color="auto"/>
                    <w:right w:val="none" w:sz="0" w:space="0" w:color="auto"/>
                  </w:divBdr>
                  <w:divsChild>
                    <w:div w:id="2072775124">
                      <w:marLeft w:val="0"/>
                      <w:marRight w:val="0"/>
                      <w:marTop w:val="0"/>
                      <w:marBottom w:val="0"/>
                      <w:divBdr>
                        <w:top w:val="none" w:sz="0" w:space="0" w:color="auto"/>
                        <w:left w:val="none" w:sz="0" w:space="0" w:color="auto"/>
                        <w:bottom w:val="none" w:sz="0" w:space="0" w:color="auto"/>
                        <w:right w:val="none" w:sz="0" w:space="0" w:color="auto"/>
                      </w:divBdr>
                    </w:div>
                  </w:divsChild>
                </w:div>
                <w:div w:id="472912902">
                  <w:marLeft w:val="0"/>
                  <w:marRight w:val="0"/>
                  <w:marTop w:val="0"/>
                  <w:marBottom w:val="0"/>
                  <w:divBdr>
                    <w:top w:val="none" w:sz="0" w:space="0" w:color="auto"/>
                    <w:left w:val="none" w:sz="0" w:space="0" w:color="auto"/>
                    <w:bottom w:val="none" w:sz="0" w:space="0" w:color="auto"/>
                    <w:right w:val="none" w:sz="0" w:space="0" w:color="auto"/>
                  </w:divBdr>
                  <w:divsChild>
                    <w:div w:id="1193345275">
                      <w:marLeft w:val="0"/>
                      <w:marRight w:val="0"/>
                      <w:marTop w:val="0"/>
                      <w:marBottom w:val="0"/>
                      <w:divBdr>
                        <w:top w:val="none" w:sz="0" w:space="0" w:color="auto"/>
                        <w:left w:val="none" w:sz="0" w:space="0" w:color="auto"/>
                        <w:bottom w:val="none" w:sz="0" w:space="0" w:color="auto"/>
                        <w:right w:val="none" w:sz="0" w:space="0" w:color="auto"/>
                      </w:divBdr>
                    </w:div>
                  </w:divsChild>
                </w:div>
                <w:div w:id="493836844">
                  <w:marLeft w:val="0"/>
                  <w:marRight w:val="0"/>
                  <w:marTop w:val="0"/>
                  <w:marBottom w:val="0"/>
                  <w:divBdr>
                    <w:top w:val="none" w:sz="0" w:space="0" w:color="auto"/>
                    <w:left w:val="none" w:sz="0" w:space="0" w:color="auto"/>
                    <w:bottom w:val="none" w:sz="0" w:space="0" w:color="auto"/>
                    <w:right w:val="none" w:sz="0" w:space="0" w:color="auto"/>
                  </w:divBdr>
                  <w:divsChild>
                    <w:div w:id="226113764">
                      <w:marLeft w:val="0"/>
                      <w:marRight w:val="0"/>
                      <w:marTop w:val="0"/>
                      <w:marBottom w:val="0"/>
                      <w:divBdr>
                        <w:top w:val="none" w:sz="0" w:space="0" w:color="auto"/>
                        <w:left w:val="none" w:sz="0" w:space="0" w:color="auto"/>
                        <w:bottom w:val="none" w:sz="0" w:space="0" w:color="auto"/>
                        <w:right w:val="none" w:sz="0" w:space="0" w:color="auto"/>
                      </w:divBdr>
                    </w:div>
                  </w:divsChild>
                </w:div>
                <w:div w:id="503278423">
                  <w:marLeft w:val="0"/>
                  <w:marRight w:val="0"/>
                  <w:marTop w:val="0"/>
                  <w:marBottom w:val="0"/>
                  <w:divBdr>
                    <w:top w:val="none" w:sz="0" w:space="0" w:color="auto"/>
                    <w:left w:val="none" w:sz="0" w:space="0" w:color="auto"/>
                    <w:bottom w:val="none" w:sz="0" w:space="0" w:color="auto"/>
                    <w:right w:val="none" w:sz="0" w:space="0" w:color="auto"/>
                  </w:divBdr>
                  <w:divsChild>
                    <w:div w:id="565797602">
                      <w:marLeft w:val="0"/>
                      <w:marRight w:val="0"/>
                      <w:marTop w:val="0"/>
                      <w:marBottom w:val="0"/>
                      <w:divBdr>
                        <w:top w:val="none" w:sz="0" w:space="0" w:color="auto"/>
                        <w:left w:val="none" w:sz="0" w:space="0" w:color="auto"/>
                        <w:bottom w:val="none" w:sz="0" w:space="0" w:color="auto"/>
                        <w:right w:val="none" w:sz="0" w:space="0" w:color="auto"/>
                      </w:divBdr>
                    </w:div>
                  </w:divsChild>
                </w:div>
                <w:div w:id="503936460">
                  <w:marLeft w:val="0"/>
                  <w:marRight w:val="0"/>
                  <w:marTop w:val="0"/>
                  <w:marBottom w:val="0"/>
                  <w:divBdr>
                    <w:top w:val="none" w:sz="0" w:space="0" w:color="auto"/>
                    <w:left w:val="none" w:sz="0" w:space="0" w:color="auto"/>
                    <w:bottom w:val="none" w:sz="0" w:space="0" w:color="auto"/>
                    <w:right w:val="none" w:sz="0" w:space="0" w:color="auto"/>
                  </w:divBdr>
                  <w:divsChild>
                    <w:div w:id="1642617900">
                      <w:marLeft w:val="0"/>
                      <w:marRight w:val="0"/>
                      <w:marTop w:val="0"/>
                      <w:marBottom w:val="0"/>
                      <w:divBdr>
                        <w:top w:val="none" w:sz="0" w:space="0" w:color="auto"/>
                        <w:left w:val="none" w:sz="0" w:space="0" w:color="auto"/>
                        <w:bottom w:val="none" w:sz="0" w:space="0" w:color="auto"/>
                        <w:right w:val="none" w:sz="0" w:space="0" w:color="auto"/>
                      </w:divBdr>
                    </w:div>
                  </w:divsChild>
                </w:div>
                <w:div w:id="508255250">
                  <w:marLeft w:val="0"/>
                  <w:marRight w:val="0"/>
                  <w:marTop w:val="0"/>
                  <w:marBottom w:val="0"/>
                  <w:divBdr>
                    <w:top w:val="none" w:sz="0" w:space="0" w:color="auto"/>
                    <w:left w:val="none" w:sz="0" w:space="0" w:color="auto"/>
                    <w:bottom w:val="none" w:sz="0" w:space="0" w:color="auto"/>
                    <w:right w:val="none" w:sz="0" w:space="0" w:color="auto"/>
                  </w:divBdr>
                  <w:divsChild>
                    <w:div w:id="1933925907">
                      <w:marLeft w:val="0"/>
                      <w:marRight w:val="0"/>
                      <w:marTop w:val="0"/>
                      <w:marBottom w:val="0"/>
                      <w:divBdr>
                        <w:top w:val="none" w:sz="0" w:space="0" w:color="auto"/>
                        <w:left w:val="none" w:sz="0" w:space="0" w:color="auto"/>
                        <w:bottom w:val="none" w:sz="0" w:space="0" w:color="auto"/>
                        <w:right w:val="none" w:sz="0" w:space="0" w:color="auto"/>
                      </w:divBdr>
                    </w:div>
                  </w:divsChild>
                </w:div>
                <w:div w:id="519465593">
                  <w:marLeft w:val="0"/>
                  <w:marRight w:val="0"/>
                  <w:marTop w:val="0"/>
                  <w:marBottom w:val="0"/>
                  <w:divBdr>
                    <w:top w:val="none" w:sz="0" w:space="0" w:color="auto"/>
                    <w:left w:val="none" w:sz="0" w:space="0" w:color="auto"/>
                    <w:bottom w:val="none" w:sz="0" w:space="0" w:color="auto"/>
                    <w:right w:val="none" w:sz="0" w:space="0" w:color="auto"/>
                  </w:divBdr>
                  <w:divsChild>
                    <w:div w:id="987439247">
                      <w:marLeft w:val="0"/>
                      <w:marRight w:val="0"/>
                      <w:marTop w:val="0"/>
                      <w:marBottom w:val="0"/>
                      <w:divBdr>
                        <w:top w:val="none" w:sz="0" w:space="0" w:color="auto"/>
                        <w:left w:val="none" w:sz="0" w:space="0" w:color="auto"/>
                        <w:bottom w:val="none" w:sz="0" w:space="0" w:color="auto"/>
                        <w:right w:val="none" w:sz="0" w:space="0" w:color="auto"/>
                      </w:divBdr>
                    </w:div>
                  </w:divsChild>
                </w:div>
                <w:div w:id="536431328">
                  <w:marLeft w:val="0"/>
                  <w:marRight w:val="0"/>
                  <w:marTop w:val="0"/>
                  <w:marBottom w:val="0"/>
                  <w:divBdr>
                    <w:top w:val="none" w:sz="0" w:space="0" w:color="auto"/>
                    <w:left w:val="none" w:sz="0" w:space="0" w:color="auto"/>
                    <w:bottom w:val="none" w:sz="0" w:space="0" w:color="auto"/>
                    <w:right w:val="none" w:sz="0" w:space="0" w:color="auto"/>
                  </w:divBdr>
                  <w:divsChild>
                    <w:div w:id="1660302861">
                      <w:marLeft w:val="0"/>
                      <w:marRight w:val="0"/>
                      <w:marTop w:val="0"/>
                      <w:marBottom w:val="0"/>
                      <w:divBdr>
                        <w:top w:val="none" w:sz="0" w:space="0" w:color="auto"/>
                        <w:left w:val="none" w:sz="0" w:space="0" w:color="auto"/>
                        <w:bottom w:val="none" w:sz="0" w:space="0" w:color="auto"/>
                        <w:right w:val="none" w:sz="0" w:space="0" w:color="auto"/>
                      </w:divBdr>
                    </w:div>
                  </w:divsChild>
                </w:div>
                <w:div w:id="539709727">
                  <w:marLeft w:val="0"/>
                  <w:marRight w:val="0"/>
                  <w:marTop w:val="0"/>
                  <w:marBottom w:val="0"/>
                  <w:divBdr>
                    <w:top w:val="none" w:sz="0" w:space="0" w:color="auto"/>
                    <w:left w:val="none" w:sz="0" w:space="0" w:color="auto"/>
                    <w:bottom w:val="none" w:sz="0" w:space="0" w:color="auto"/>
                    <w:right w:val="none" w:sz="0" w:space="0" w:color="auto"/>
                  </w:divBdr>
                  <w:divsChild>
                    <w:div w:id="2133667771">
                      <w:marLeft w:val="0"/>
                      <w:marRight w:val="0"/>
                      <w:marTop w:val="0"/>
                      <w:marBottom w:val="0"/>
                      <w:divBdr>
                        <w:top w:val="none" w:sz="0" w:space="0" w:color="auto"/>
                        <w:left w:val="none" w:sz="0" w:space="0" w:color="auto"/>
                        <w:bottom w:val="none" w:sz="0" w:space="0" w:color="auto"/>
                        <w:right w:val="none" w:sz="0" w:space="0" w:color="auto"/>
                      </w:divBdr>
                    </w:div>
                  </w:divsChild>
                </w:div>
                <w:div w:id="541357810">
                  <w:marLeft w:val="0"/>
                  <w:marRight w:val="0"/>
                  <w:marTop w:val="0"/>
                  <w:marBottom w:val="0"/>
                  <w:divBdr>
                    <w:top w:val="none" w:sz="0" w:space="0" w:color="auto"/>
                    <w:left w:val="none" w:sz="0" w:space="0" w:color="auto"/>
                    <w:bottom w:val="none" w:sz="0" w:space="0" w:color="auto"/>
                    <w:right w:val="none" w:sz="0" w:space="0" w:color="auto"/>
                  </w:divBdr>
                  <w:divsChild>
                    <w:div w:id="652635865">
                      <w:marLeft w:val="0"/>
                      <w:marRight w:val="0"/>
                      <w:marTop w:val="0"/>
                      <w:marBottom w:val="0"/>
                      <w:divBdr>
                        <w:top w:val="none" w:sz="0" w:space="0" w:color="auto"/>
                        <w:left w:val="none" w:sz="0" w:space="0" w:color="auto"/>
                        <w:bottom w:val="none" w:sz="0" w:space="0" w:color="auto"/>
                        <w:right w:val="none" w:sz="0" w:space="0" w:color="auto"/>
                      </w:divBdr>
                    </w:div>
                  </w:divsChild>
                </w:div>
                <w:div w:id="543521846">
                  <w:marLeft w:val="0"/>
                  <w:marRight w:val="0"/>
                  <w:marTop w:val="0"/>
                  <w:marBottom w:val="0"/>
                  <w:divBdr>
                    <w:top w:val="none" w:sz="0" w:space="0" w:color="auto"/>
                    <w:left w:val="none" w:sz="0" w:space="0" w:color="auto"/>
                    <w:bottom w:val="none" w:sz="0" w:space="0" w:color="auto"/>
                    <w:right w:val="none" w:sz="0" w:space="0" w:color="auto"/>
                  </w:divBdr>
                  <w:divsChild>
                    <w:div w:id="102385183">
                      <w:marLeft w:val="0"/>
                      <w:marRight w:val="0"/>
                      <w:marTop w:val="0"/>
                      <w:marBottom w:val="0"/>
                      <w:divBdr>
                        <w:top w:val="none" w:sz="0" w:space="0" w:color="auto"/>
                        <w:left w:val="none" w:sz="0" w:space="0" w:color="auto"/>
                        <w:bottom w:val="none" w:sz="0" w:space="0" w:color="auto"/>
                        <w:right w:val="none" w:sz="0" w:space="0" w:color="auto"/>
                      </w:divBdr>
                    </w:div>
                  </w:divsChild>
                </w:div>
                <w:div w:id="566577616">
                  <w:marLeft w:val="0"/>
                  <w:marRight w:val="0"/>
                  <w:marTop w:val="0"/>
                  <w:marBottom w:val="0"/>
                  <w:divBdr>
                    <w:top w:val="none" w:sz="0" w:space="0" w:color="auto"/>
                    <w:left w:val="none" w:sz="0" w:space="0" w:color="auto"/>
                    <w:bottom w:val="none" w:sz="0" w:space="0" w:color="auto"/>
                    <w:right w:val="none" w:sz="0" w:space="0" w:color="auto"/>
                  </w:divBdr>
                  <w:divsChild>
                    <w:div w:id="585067458">
                      <w:marLeft w:val="0"/>
                      <w:marRight w:val="0"/>
                      <w:marTop w:val="0"/>
                      <w:marBottom w:val="0"/>
                      <w:divBdr>
                        <w:top w:val="none" w:sz="0" w:space="0" w:color="auto"/>
                        <w:left w:val="none" w:sz="0" w:space="0" w:color="auto"/>
                        <w:bottom w:val="none" w:sz="0" w:space="0" w:color="auto"/>
                        <w:right w:val="none" w:sz="0" w:space="0" w:color="auto"/>
                      </w:divBdr>
                    </w:div>
                  </w:divsChild>
                </w:div>
                <w:div w:id="569121566">
                  <w:marLeft w:val="0"/>
                  <w:marRight w:val="0"/>
                  <w:marTop w:val="0"/>
                  <w:marBottom w:val="0"/>
                  <w:divBdr>
                    <w:top w:val="none" w:sz="0" w:space="0" w:color="auto"/>
                    <w:left w:val="none" w:sz="0" w:space="0" w:color="auto"/>
                    <w:bottom w:val="none" w:sz="0" w:space="0" w:color="auto"/>
                    <w:right w:val="none" w:sz="0" w:space="0" w:color="auto"/>
                  </w:divBdr>
                  <w:divsChild>
                    <w:div w:id="1977946781">
                      <w:marLeft w:val="0"/>
                      <w:marRight w:val="0"/>
                      <w:marTop w:val="0"/>
                      <w:marBottom w:val="0"/>
                      <w:divBdr>
                        <w:top w:val="none" w:sz="0" w:space="0" w:color="auto"/>
                        <w:left w:val="none" w:sz="0" w:space="0" w:color="auto"/>
                        <w:bottom w:val="none" w:sz="0" w:space="0" w:color="auto"/>
                        <w:right w:val="none" w:sz="0" w:space="0" w:color="auto"/>
                      </w:divBdr>
                    </w:div>
                  </w:divsChild>
                </w:div>
                <w:div w:id="581329047">
                  <w:marLeft w:val="0"/>
                  <w:marRight w:val="0"/>
                  <w:marTop w:val="0"/>
                  <w:marBottom w:val="0"/>
                  <w:divBdr>
                    <w:top w:val="none" w:sz="0" w:space="0" w:color="auto"/>
                    <w:left w:val="none" w:sz="0" w:space="0" w:color="auto"/>
                    <w:bottom w:val="none" w:sz="0" w:space="0" w:color="auto"/>
                    <w:right w:val="none" w:sz="0" w:space="0" w:color="auto"/>
                  </w:divBdr>
                  <w:divsChild>
                    <w:div w:id="1511874704">
                      <w:marLeft w:val="0"/>
                      <w:marRight w:val="0"/>
                      <w:marTop w:val="0"/>
                      <w:marBottom w:val="0"/>
                      <w:divBdr>
                        <w:top w:val="none" w:sz="0" w:space="0" w:color="auto"/>
                        <w:left w:val="none" w:sz="0" w:space="0" w:color="auto"/>
                        <w:bottom w:val="none" w:sz="0" w:space="0" w:color="auto"/>
                        <w:right w:val="none" w:sz="0" w:space="0" w:color="auto"/>
                      </w:divBdr>
                    </w:div>
                  </w:divsChild>
                </w:div>
                <w:div w:id="589315045">
                  <w:marLeft w:val="0"/>
                  <w:marRight w:val="0"/>
                  <w:marTop w:val="0"/>
                  <w:marBottom w:val="0"/>
                  <w:divBdr>
                    <w:top w:val="none" w:sz="0" w:space="0" w:color="auto"/>
                    <w:left w:val="none" w:sz="0" w:space="0" w:color="auto"/>
                    <w:bottom w:val="none" w:sz="0" w:space="0" w:color="auto"/>
                    <w:right w:val="none" w:sz="0" w:space="0" w:color="auto"/>
                  </w:divBdr>
                  <w:divsChild>
                    <w:div w:id="1750348437">
                      <w:marLeft w:val="0"/>
                      <w:marRight w:val="0"/>
                      <w:marTop w:val="0"/>
                      <w:marBottom w:val="0"/>
                      <w:divBdr>
                        <w:top w:val="none" w:sz="0" w:space="0" w:color="auto"/>
                        <w:left w:val="none" w:sz="0" w:space="0" w:color="auto"/>
                        <w:bottom w:val="none" w:sz="0" w:space="0" w:color="auto"/>
                        <w:right w:val="none" w:sz="0" w:space="0" w:color="auto"/>
                      </w:divBdr>
                    </w:div>
                  </w:divsChild>
                </w:div>
                <w:div w:id="606809843">
                  <w:marLeft w:val="0"/>
                  <w:marRight w:val="0"/>
                  <w:marTop w:val="0"/>
                  <w:marBottom w:val="0"/>
                  <w:divBdr>
                    <w:top w:val="none" w:sz="0" w:space="0" w:color="auto"/>
                    <w:left w:val="none" w:sz="0" w:space="0" w:color="auto"/>
                    <w:bottom w:val="none" w:sz="0" w:space="0" w:color="auto"/>
                    <w:right w:val="none" w:sz="0" w:space="0" w:color="auto"/>
                  </w:divBdr>
                  <w:divsChild>
                    <w:div w:id="1086220576">
                      <w:marLeft w:val="0"/>
                      <w:marRight w:val="0"/>
                      <w:marTop w:val="0"/>
                      <w:marBottom w:val="0"/>
                      <w:divBdr>
                        <w:top w:val="none" w:sz="0" w:space="0" w:color="auto"/>
                        <w:left w:val="none" w:sz="0" w:space="0" w:color="auto"/>
                        <w:bottom w:val="none" w:sz="0" w:space="0" w:color="auto"/>
                        <w:right w:val="none" w:sz="0" w:space="0" w:color="auto"/>
                      </w:divBdr>
                    </w:div>
                  </w:divsChild>
                </w:div>
                <w:div w:id="616301638">
                  <w:marLeft w:val="0"/>
                  <w:marRight w:val="0"/>
                  <w:marTop w:val="0"/>
                  <w:marBottom w:val="0"/>
                  <w:divBdr>
                    <w:top w:val="none" w:sz="0" w:space="0" w:color="auto"/>
                    <w:left w:val="none" w:sz="0" w:space="0" w:color="auto"/>
                    <w:bottom w:val="none" w:sz="0" w:space="0" w:color="auto"/>
                    <w:right w:val="none" w:sz="0" w:space="0" w:color="auto"/>
                  </w:divBdr>
                  <w:divsChild>
                    <w:div w:id="1349525711">
                      <w:marLeft w:val="0"/>
                      <w:marRight w:val="0"/>
                      <w:marTop w:val="0"/>
                      <w:marBottom w:val="0"/>
                      <w:divBdr>
                        <w:top w:val="none" w:sz="0" w:space="0" w:color="auto"/>
                        <w:left w:val="none" w:sz="0" w:space="0" w:color="auto"/>
                        <w:bottom w:val="none" w:sz="0" w:space="0" w:color="auto"/>
                        <w:right w:val="none" w:sz="0" w:space="0" w:color="auto"/>
                      </w:divBdr>
                    </w:div>
                  </w:divsChild>
                </w:div>
                <w:div w:id="624655740">
                  <w:marLeft w:val="0"/>
                  <w:marRight w:val="0"/>
                  <w:marTop w:val="0"/>
                  <w:marBottom w:val="0"/>
                  <w:divBdr>
                    <w:top w:val="none" w:sz="0" w:space="0" w:color="auto"/>
                    <w:left w:val="none" w:sz="0" w:space="0" w:color="auto"/>
                    <w:bottom w:val="none" w:sz="0" w:space="0" w:color="auto"/>
                    <w:right w:val="none" w:sz="0" w:space="0" w:color="auto"/>
                  </w:divBdr>
                  <w:divsChild>
                    <w:div w:id="1229923308">
                      <w:marLeft w:val="0"/>
                      <w:marRight w:val="0"/>
                      <w:marTop w:val="0"/>
                      <w:marBottom w:val="0"/>
                      <w:divBdr>
                        <w:top w:val="none" w:sz="0" w:space="0" w:color="auto"/>
                        <w:left w:val="none" w:sz="0" w:space="0" w:color="auto"/>
                        <w:bottom w:val="none" w:sz="0" w:space="0" w:color="auto"/>
                        <w:right w:val="none" w:sz="0" w:space="0" w:color="auto"/>
                      </w:divBdr>
                    </w:div>
                  </w:divsChild>
                </w:div>
                <w:div w:id="627513682">
                  <w:marLeft w:val="0"/>
                  <w:marRight w:val="0"/>
                  <w:marTop w:val="0"/>
                  <w:marBottom w:val="0"/>
                  <w:divBdr>
                    <w:top w:val="none" w:sz="0" w:space="0" w:color="auto"/>
                    <w:left w:val="none" w:sz="0" w:space="0" w:color="auto"/>
                    <w:bottom w:val="none" w:sz="0" w:space="0" w:color="auto"/>
                    <w:right w:val="none" w:sz="0" w:space="0" w:color="auto"/>
                  </w:divBdr>
                  <w:divsChild>
                    <w:div w:id="1725567889">
                      <w:marLeft w:val="0"/>
                      <w:marRight w:val="0"/>
                      <w:marTop w:val="0"/>
                      <w:marBottom w:val="0"/>
                      <w:divBdr>
                        <w:top w:val="none" w:sz="0" w:space="0" w:color="auto"/>
                        <w:left w:val="none" w:sz="0" w:space="0" w:color="auto"/>
                        <w:bottom w:val="none" w:sz="0" w:space="0" w:color="auto"/>
                        <w:right w:val="none" w:sz="0" w:space="0" w:color="auto"/>
                      </w:divBdr>
                    </w:div>
                  </w:divsChild>
                </w:div>
                <w:div w:id="632251983">
                  <w:marLeft w:val="0"/>
                  <w:marRight w:val="0"/>
                  <w:marTop w:val="0"/>
                  <w:marBottom w:val="0"/>
                  <w:divBdr>
                    <w:top w:val="none" w:sz="0" w:space="0" w:color="auto"/>
                    <w:left w:val="none" w:sz="0" w:space="0" w:color="auto"/>
                    <w:bottom w:val="none" w:sz="0" w:space="0" w:color="auto"/>
                    <w:right w:val="none" w:sz="0" w:space="0" w:color="auto"/>
                  </w:divBdr>
                  <w:divsChild>
                    <w:div w:id="409161234">
                      <w:marLeft w:val="0"/>
                      <w:marRight w:val="0"/>
                      <w:marTop w:val="0"/>
                      <w:marBottom w:val="0"/>
                      <w:divBdr>
                        <w:top w:val="none" w:sz="0" w:space="0" w:color="auto"/>
                        <w:left w:val="none" w:sz="0" w:space="0" w:color="auto"/>
                        <w:bottom w:val="none" w:sz="0" w:space="0" w:color="auto"/>
                        <w:right w:val="none" w:sz="0" w:space="0" w:color="auto"/>
                      </w:divBdr>
                    </w:div>
                  </w:divsChild>
                </w:div>
                <w:div w:id="646477732">
                  <w:marLeft w:val="0"/>
                  <w:marRight w:val="0"/>
                  <w:marTop w:val="0"/>
                  <w:marBottom w:val="0"/>
                  <w:divBdr>
                    <w:top w:val="none" w:sz="0" w:space="0" w:color="auto"/>
                    <w:left w:val="none" w:sz="0" w:space="0" w:color="auto"/>
                    <w:bottom w:val="none" w:sz="0" w:space="0" w:color="auto"/>
                    <w:right w:val="none" w:sz="0" w:space="0" w:color="auto"/>
                  </w:divBdr>
                  <w:divsChild>
                    <w:div w:id="456290603">
                      <w:marLeft w:val="0"/>
                      <w:marRight w:val="0"/>
                      <w:marTop w:val="0"/>
                      <w:marBottom w:val="0"/>
                      <w:divBdr>
                        <w:top w:val="none" w:sz="0" w:space="0" w:color="auto"/>
                        <w:left w:val="none" w:sz="0" w:space="0" w:color="auto"/>
                        <w:bottom w:val="none" w:sz="0" w:space="0" w:color="auto"/>
                        <w:right w:val="none" w:sz="0" w:space="0" w:color="auto"/>
                      </w:divBdr>
                    </w:div>
                  </w:divsChild>
                </w:div>
                <w:div w:id="647326226">
                  <w:marLeft w:val="0"/>
                  <w:marRight w:val="0"/>
                  <w:marTop w:val="0"/>
                  <w:marBottom w:val="0"/>
                  <w:divBdr>
                    <w:top w:val="none" w:sz="0" w:space="0" w:color="auto"/>
                    <w:left w:val="none" w:sz="0" w:space="0" w:color="auto"/>
                    <w:bottom w:val="none" w:sz="0" w:space="0" w:color="auto"/>
                    <w:right w:val="none" w:sz="0" w:space="0" w:color="auto"/>
                  </w:divBdr>
                  <w:divsChild>
                    <w:div w:id="147282681">
                      <w:marLeft w:val="0"/>
                      <w:marRight w:val="0"/>
                      <w:marTop w:val="0"/>
                      <w:marBottom w:val="0"/>
                      <w:divBdr>
                        <w:top w:val="none" w:sz="0" w:space="0" w:color="auto"/>
                        <w:left w:val="none" w:sz="0" w:space="0" w:color="auto"/>
                        <w:bottom w:val="none" w:sz="0" w:space="0" w:color="auto"/>
                        <w:right w:val="none" w:sz="0" w:space="0" w:color="auto"/>
                      </w:divBdr>
                    </w:div>
                    <w:div w:id="1404445035">
                      <w:marLeft w:val="0"/>
                      <w:marRight w:val="0"/>
                      <w:marTop w:val="0"/>
                      <w:marBottom w:val="0"/>
                      <w:divBdr>
                        <w:top w:val="none" w:sz="0" w:space="0" w:color="auto"/>
                        <w:left w:val="none" w:sz="0" w:space="0" w:color="auto"/>
                        <w:bottom w:val="none" w:sz="0" w:space="0" w:color="auto"/>
                        <w:right w:val="none" w:sz="0" w:space="0" w:color="auto"/>
                      </w:divBdr>
                    </w:div>
                  </w:divsChild>
                </w:div>
                <w:div w:id="647515691">
                  <w:marLeft w:val="0"/>
                  <w:marRight w:val="0"/>
                  <w:marTop w:val="0"/>
                  <w:marBottom w:val="0"/>
                  <w:divBdr>
                    <w:top w:val="none" w:sz="0" w:space="0" w:color="auto"/>
                    <w:left w:val="none" w:sz="0" w:space="0" w:color="auto"/>
                    <w:bottom w:val="none" w:sz="0" w:space="0" w:color="auto"/>
                    <w:right w:val="none" w:sz="0" w:space="0" w:color="auto"/>
                  </w:divBdr>
                  <w:divsChild>
                    <w:div w:id="823425937">
                      <w:marLeft w:val="0"/>
                      <w:marRight w:val="0"/>
                      <w:marTop w:val="0"/>
                      <w:marBottom w:val="0"/>
                      <w:divBdr>
                        <w:top w:val="none" w:sz="0" w:space="0" w:color="auto"/>
                        <w:left w:val="none" w:sz="0" w:space="0" w:color="auto"/>
                        <w:bottom w:val="none" w:sz="0" w:space="0" w:color="auto"/>
                        <w:right w:val="none" w:sz="0" w:space="0" w:color="auto"/>
                      </w:divBdr>
                    </w:div>
                  </w:divsChild>
                </w:div>
                <w:div w:id="655838298">
                  <w:marLeft w:val="0"/>
                  <w:marRight w:val="0"/>
                  <w:marTop w:val="0"/>
                  <w:marBottom w:val="0"/>
                  <w:divBdr>
                    <w:top w:val="none" w:sz="0" w:space="0" w:color="auto"/>
                    <w:left w:val="none" w:sz="0" w:space="0" w:color="auto"/>
                    <w:bottom w:val="none" w:sz="0" w:space="0" w:color="auto"/>
                    <w:right w:val="none" w:sz="0" w:space="0" w:color="auto"/>
                  </w:divBdr>
                  <w:divsChild>
                    <w:div w:id="252520672">
                      <w:marLeft w:val="0"/>
                      <w:marRight w:val="0"/>
                      <w:marTop w:val="0"/>
                      <w:marBottom w:val="0"/>
                      <w:divBdr>
                        <w:top w:val="none" w:sz="0" w:space="0" w:color="auto"/>
                        <w:left w:val="none" w:sz="0" w:space="0" w:color="auto"/>
                        <w:bottom w:val="none" w:sz="0" w:space="0" w:color="auto"/>
                        <w:right w:val="none" w:sz="0" w:space="0" w:color="auto"/>
                      </w:divBdr>
                    </w:div>
                  </w:divsChild>
                </w:div>
                <w:div w:id="658116920">
                  <w:marLeft w:val="0"/>
                  <w:marRight w:val="0"/>
                  <w:marTop w:val="0"/>
                  <w:marBottom w:val="0"/>
                  <w:divBdr>
                    <w:top w:val="none" w:sz="0" w:space="0" w:color="auto"/>
                    <w:left w:val="none" w:sz="0" w:space="0" w:color="auto"/>
                    <w:bottom w:val="none" w:sz="0" w:space="0" w:color="auto"/>
                    <w:right w:val="none" w:sz="0" w:space="0" w:color="auto"/>
                  </w:divBdr>
                  <w:divsChild>
                    <w:div w:id="949161092">
                      <w:marLeft w:val="0"/>
                      <w:marRight w:val="0"/>
                      <w:marTop w:val="0"/>
                      <w:marBottom w:val="0"/>
                      <w:divBdr>
                        <w:top w:val="none" w:sz="0" w:space="0" w:color="auto"/>
                        <w:left w:val="none" w:sz="0" w:space="0" w:color="auto"/>
                        <w:bottom w:val="none" w:sz="0" w:space="0" w:color="auto"/>
                        <w:right w:val="none" w:sz="0" w:space="0" w:color="auto"/>
                      </w:divBdr>
                    </w:div>
                  </w:divsChild>
                </w:div>
                <w:div w:id="674459384">
                  <w:marLeft w:val="0"/>
                  <w:marRight w:val="0"/>
                  <w:marTop w:val="0"/>
                  <w:marBottom w:val="0"/>
                  <w:divBdr>
                    <w:top w:val="none" w:sz="0" w:space="0" w:color="auto"/>
                    <w:left w:val="none" w:sz="0" w:space="0" w:color="auto"/>
                    <w:bottom w:val="none" w:sz="0" w:space="0" w:color="auto"/>
                    <w:right w:val="none" w:sz="0" w:space="0" w:color="auto"/>
                  </w:divBdr>
                  <w:divsChild>
                    <w:div w:id="628247321">
                      <w:marLeft w:val="0"/>
                      <w:marRight w:val="0"/>
                      <w:marTop w:val="0"/>
                      <w:marBottom w:val="0"/>
                      <w:divBdr>
                        <w:top w:val="none" w:sz="0" w:space="0" w:color="auto"/>
                        <w:left w:val="none" w:sz="0" w:space="0" w:color="auto"/>
                        <w:bottom w:val="none" w:sz="0" w:space="0" w:color="auto"/>
                        <w:right w:val="none" w:sz="0" w:space="0" w:color="auto"/>
                      </w:divBdr>
                    </w:div>
                  </w:divsChild>
                </w:div>
                <w:div w:id="677541944">
                  <w:marLeft w:val="0"/>
                  <w:marRight w:val="0"/>
                  <w:marTop w:val="0"/>
                  <w:marBottom w:val="0"/>
                  <w:divBdr>
                    <w:top w:val="none" w:sz="0" w:space="0" w:color="auto"/>
                    <w:left w:val="none" w:sz="0" w:space="0" w:color="auto"/>
                    <w:bottom w:val="none" w:sz="0" w:space="0" w:color="auto"/>
                    <w:right w:val="none" w:sz="0" w:space="0" w:color="auto"/>
                  </w:divBdr>
                  <w:divsChild>
                    <w:div w:id="1949119229">
                      <w:marLeft w:val="0"/>
                      <w:marRight w:val="0"/>
                      <w:marTop w:val="0"/>
                      <w:marBottom w:val="0"/>
                      <w:divBdr>
                        <w:top w:val="none" w:sz="0" w:space="0" w:color="auto"/>
                        <w:left w:val="none" w:sz="0" w:space="0" w:color="auto"/>
                        <w:bottom w:val="none" w:sz="0" w:space="0" w:color="auto"/>
                        <w:right w:val="none" w:sz="0" w:space="0" w:color="auto"/>
                      </w:divBdr>
                    </w:div>
                  </w:divsChild>
                </w:div>
                <w:div w:id="680855283">
                  <w:marLeft w:val="0"/>
                  <w:marRight w:val="0"/>
                  <w:marTop w:val="0"/>
                  <w:marBottom w:val="0"/>
                  <w:divBdr>
                    <w:top w:val="none" w:sz="0" w:space="0" w:color="auto"/>
                    <w:left w:val="none" w:sz="0" w:space="0" w:color="auto"/>
                    <w:bottom w:val="none" w:sz="0" w:space="0" w:color="auto"/>
                    <w:right w:val="none" w:sz="0" w:space="0" w:color="auto"/>
                  </w:divBdr>
                  <w:divsChild>
                    <w:div w:id="393236013">
                      <w:marLeft w:val="0"/>
                      <w:marRight w:val="0"/>
                      <w:marTop w:val="0"/>
                      <w:marBottom w:val="0"/>
                      <w:divBdr>
                        <w:top w:val="none" w:sz="0" w:space="0" w:color="auto"/>
                        <w:left w:val="none" w:sz="0" w:space="0" w:color="auto"/>
                        <w:bottom w:val="none" w:sz="0" w:space="0" w:color="auto"/>
                        <w:right w:val="none" w:sz="0" w:space="0" w:color="auto"/>
                      </w:divBdr>
                    </w:div>
                  </w:divsChild>
                </w:div>
                <w:div w:id="683434070">
                  <w:marLeft w:val="0"/>
                  <w:marRight w:val="0"/>
                  <w:marTop w:val="0"/>
                  <w:marBottom w:val="0"/>
                  <w:divBdr>
                    <w:top w:val="none" w:sz="0" w:space="0" w:color="auto"/>
                    <w:left w:val="none" w:sz="0" w:space="0" w:color="auto"/>
                    <w:bottom w:val="none" w:sz="0" w:space="0" w:color="auto"/>
                    <w:right w:val="none" w:sz="0" w:space="0" w:color="auto"/>
                  </w:divBdr>
                  <w:divsChild>
                    <w:div w:id="1909535361">
                      <w:marLeft w:val="0"/>
                      <w:marRight w:val="0"/>
                      <w:marTop w:val="0"/>
                      <w:marBottom w:val="0"/>
                      <w:divBdr>
                        <w:top w:val="none" w:sz="0" w:space="0" w:color="auto"/>
                        <w:left w:val="none" w:sz="0" w:space="0" w:color="auto"/>
                        <w:bottom w:val="none" w:sz="0" w:space="0" w:color="auto"/>
                        <w:right w:val="none" w:sz="0" w:space="0" w:color="auto"/>
                      </w:divBdr>
                    </w:div>
                  </w:divsChild>
                </w:div>
                <w:div w:id="684482555">
                  <w:marLeft w:val="0"/>
                  <w:marRight w:val="0"/>
                  <w:marTop w:val="0"/>
                  <w:marBottom w:val="0"/>
                  <w:divBdr>
                    <w:top w:val="none" w:sz="0" w:space="0" w:color="auto"/>
                    <w:left w:val="none" w:sz="0" w:space="0" w:color="auto"/>
                    <w:bottom w:val="none" w:sz="0" w:space="0" w:color="auto"/>
                    <w:right w:val="none" w:sz="0" w:space="0" w:color="auto"/>
                  </w:divBdr>
                  <w:divsChild>
                    <w:div w:id="978846818">
                      <w:marLeft w:val="0"/>
                      <w:marRight w:val="0"/>
                      <w:marTop w:val="0"/>
                      <w:marBottom w:val="0"/>
                      <w:divBdr>
                        <w:top w:val="none" w:sz="0" w:space="0" w:color="auto"/>
                        <w:left w:val="none" w:sz="0" w:space="0" w:color="auto"/>
                        <w:bottom w:val="none" w:sz="0" w:space="0" w:color="auto"/>
                        <w:right w:val="none" w:sz="0" w:space="0" w:color="auto"/>
                      </w:divBdr>
                    </w:div>
                  </w:divsChild>
                </w:div>
                <w:div w:id="694505926">
                  <w:marLeft w:val="0"/>
                  <w:marRight w:val="0"/>
                  <w:marTop w:val="0"/>
                  <w:marBottom w:val="0"/>
                  <w:divBdr>
                    <w:top w:val="none" w:sz="0" w:space="0" w:color="auto"/>
                    <w:left w:val="none" w:sz="0" w:space="0" w:color="auto"/>
                    <w:bottom w:val="none" w:sz="0" w:space="0" w:color="auto"/>
                    <w:right w:val="none" w:sz="0" w:space="0" w:color="auto"/>
                  </w:divBdr>
                  <w:divsChild>
                    <w:div w:id="2048672894">
                      <w:marLeft w:val="0"/>
                      <w:marRight w:val="0"/>
                      <w:marTop w:val="0"/>
                      <w:marBottom w:val="0"/>
                      <w:divBdr>
                        <w:top w:val="none" w:sz="0" w:space="0" w:color="auto"/>
                        <w:left w:val="none" w:sz="0" w:space="0" w:color="auto"/>
                        <w:bottom w:val="none" w:sz="0" w:space="0" w:color="auto"/>
                        <w:right w:val="none" w:sz="0" w:space="0" w:color="auto"/>
                      </w:divBdr>
                    </w:div>
                  </w:divsChild>
                </w:div>
                <w:div w:id="700056891">
                  <w:marLeft w:val="0"/>
                  <w:marRight w:val="0"/>
                  <w:marTop w:val="0"/>
                  <w:marBottom w:val="0"/>
                  <w:divBdr>
                    <w:top w:val="none" w:sz="0" w:space="0" w:color="auto"/>
                    <w:left w:val="none" w:sz="0" w:space="0" w:color="auto"/>
                    <w:bottom w:val="none" w:sz="0" w:space="0" w:color="auto"/>
                    <w:right w:val="none" w:sz="0" w:space="0" w:color="auto"/>
                  </w:divBdr>
                  <w:divsChild>
                    <w:div w:id="548231152">
                      <w:marLeft w:val="0"/>
                      <w:marRight w:val="0"/>
                      <w:marTop w:val="0"/>
                      <w:marBottom w:val="0"/>
                      <w:divBdr>
                        <w:top w:val="none" w:sz="0" w:space="0" w:color="auto"/>
                        <w:left w:val="none" w:sz="0" w:space="0" w:color="auto"/>
                        <w:bottom w:val="none" w:sz="0" w:space="0" w:color="auto"/>
                        <w:right w:val="none" w:sz="0" w:space="0" w:color="auto"/>
                      </w:divBdr>
                    </w:div>
                  </w:divsChild>
                </w:div>
                <w:div w:id="706224871">
                  <w:marLeft w:val="0"/>
                  <w:marRight w:val="0"/>
                  <w:marTop w:val="0"/>
                  <w:marBottom w:val="0"/>
                  <w:divBdr>
                    <w:top w:val="none" w:sz="0" w:space="0" w:color="auto"/>
                    <w:left w:val="none" w:sz="0" w:space="0" w:color="auto"/>
                    <w:bottom w:val="none" w:sz="0" w:space="0" w:color="auto"/>
                    <w:right w:val="none" w:sz="0" w:space="0" w:color="auto"/>
                  </w:divBdr>
                  <w:divsChild>
                    <w:div w:id="1814447360">
                      <w:marLeft w:val="0"/>
                      <w:marRight w:val="0"/>
                      <w:marTop w:val="0"/>
                      <w:marBottom w:val="0"/>
                      <w:divBdr>
                        <w:top w:val="none" w:sz="0" w:space="0" w:color="auto"/>
                        <w:left w:val="none" w:sz="0" w:space="0" w:color="auto"/>
                        <w:bottom w:val="none" w:sz="0" w:space="0" w:color="auto"/>
                        <w:right w:val="none" w:sz="0" w:space="0" w:color="auto"/>
                      </w:divBdr>
                    </w:div>
                  </w:divsChild>
                </w:div>
                <w:div w:id="715664070">
                  <w:marLeft w:val="0"/>
                  <w:marRight w:val="0"/>
                  <w:marTop w:val="0"/>
                  <w:marBottom w:val="0"/>
                  <w:divBdr>
                    <w:top w:val="none" w:sz="0" w:space="0" w:color="auto"/>
                    <w:left w:val="none" w:sz="0" w:space="0" w:color="auto"/>
                    <w:bottom w:val="none" w:sz="0" w:space="0" w:color="auto"/>
                    <w:right w:val="none" w:sz="0" w:space="0" w:color="auto"/>
                  </w:divBdr>
                  <w:divsChild>
                    <w:div w:id="1499157080">
                      <w:marLeft w:val="0"/>
                      <w:marRight w:val="0"/>
                      <w:marTop w:val="0"/>
                      <w:marBottom w:val="0"/>
                      <w:divBdr>
                        <w:top w:val="none" w:sz="0" w:space="0" w:color="auto"/>
                        <w:left w:val="none" w:sz="0" w:space="0" w:color="auto"/>
                        <w:bottom w:val="none" w:sz="0" w:space="0" w:color="auto"/>
                        <w:right w:val="none" w:sz="0" w:space="0" w:color="auto"/>
                      </w:divBdr>
                    </w:div>
                  </w:divsChild>
                </w:div>
                <w:div w:id="720326643">
                  <w:marLeft w:val="0"/>
                  <w:marRight w:val="0"/>
                  <w:marTop w:val="0"/>
                  <w:marBottom w:val="0"/>
                  <w:divBdr>
                    <w:top w:val="none" w:sz="0" w:space="0" w:color="auto"/>
                    <w:left w:val="none" w:sz="0" w:space="0" w:color="auto"/>
                    <w:bottom w:val="none" w:sz="0" w:space="0" w:color="auto"/>
                    <w:right w:val="none" w:sz="0" w:space="0" w:color="auto"/>
                  </w:divBdr>
                  <w:divsChild>
                    <w:div w:id="1881742322">
                      <w:marLeft w:val="0"/>
                      <w:marRight w:val="0"/>
                      <w:marTop w:val="0"/>
                      <w:marBottom w:val="0"/>
                      <w:divBdr>
                        <w:top w:val="none" w:sz="0" w:space="0" w:color="auto"/>
                        <w:left w:val="none" w:sz="0" w:space="0" w:color="auto"/>
                        <w:bottom w:val="none" w:sz="0" w:space="0" w:color="auto"/>
                        <w:right w:val="none" w:sz="0" w:space="0" w:color="auto"/>
                      </w:divBdr>
                    </w:div>
                  </w:divsChild>
                </w:div>
                <w:div w:id="729158935">
                  <w:marLeft w:val="0"/>
                  <w:marRight w:val="0"/>
                  <w:marTop w:val="0"/>
                  <w:marBottom w:val="0"/>
                  <w:divBdr>
                    <w:top w:val="none" w:sz="0" w:space="0" w:color="auto"/>
                    <w:left w:val="none" w:sz="0" w:space="0" w:color="auto"/>
                    <w:bottom w:val="none" w:sz="0" w:space="0" w:color="auto"/>
                    <w:right w:val="none" w:sz="0" w:space="0" w:color="auto"/>
                  </w:divBdr>
                  <w:divsChild>
                    <w:div w:id="275600648">
                      <w:marLeft w:val="0"/>
                      <w:marRight w:val="0"/>
                      <w:marTop w:val="0"/>
                      <w:marBottom w:val="0"/>
                      <w:divBdr>
                        <w:top w:val="none" w:sz="0" w:space="0" w:color="auto"/>
                        <w:left w:val="none" w:sz="0" w:space="0" w:color="auto"/>
                        <w:bottom w:val="none" w:sz="0" w:space="0" w:color="auto"/>
                        <w:right w:val="none" w:sz="0" w:space="0" w:color="auto"/>
                      </w:divBdr>
                    </w:div>
                  </w:divsChild>
                </w:div>
                <w:div w:id="732697954">
                  <w:marLeft w:val="0"/>
                  <w:marRight w:val="0"/>
                  <w:marTop w:val="0"/>
                  <w:marBottom w:val="0"/>
                  <w:divBdr>
                    <w:top w:val="none" w:sz="0" w:space="0" w:color="auto"/>
                    <w:left w:val="none" w:sz="0" w:space="0" w:color="auto"/>
                    <w:bottom w:val="none" w:sz="0" w:space="0" w:color="auto"/>
                    <w:right w:val="none" w:sz="0" w:space="0" w:color="auto"/>
                  </w:divBdr>
                  <w:divsChild>
                    <w:div w:id="162938385">
                      <w:marLeft w:val="0"/>
                      <w:marRight w:val="0"/>
                      <w:marTop w:val="0"/>
                      <w:marBottom w:val="0"/>
                      <w:divBdr>
                        <w:top w:val="none" w:sz="0" w:space="0" w:color="auto"/>
                        <w:left w:val="none" w:sz="0" w:space="0" w:color="auto"/>
                        <w:bottom w:val="none" w:sz="0" w:space="0" w:color="auto"/>
                        <w:right w:val="none" w:sz="0" w:space="0" w:color="auto"/>
                      </w:divBdr>
                    </w:div>
                  </w:divsChild>
                </w:div>
                <w:div w:id="732778577">
                  <w:marLeft w:val="0"/>
                  <w:marRight w:val="0"/>
                  <w:marTop w:val="0"/>
                  <w:marBottom w:val="0"/>
                  <w:divBdr>
                    <w:top w:val="none" w:sz="0" w:space="0" w:color="auto"/>
                    <w:left w:val="none" w:sz="0" w:space="0" w:color="auto"/>
                    <w:bottom w:val="none" w:sz="0" w:space="0" w:color="auto"/>
                    <w:right w:val="none" w:sz="0" w:space="0" w:color="auto"/>
                  </w:divBdr>
                  <w:divsChild>
                    <w:div w:id="791749992">
                      <w:marLeft w:val="0"/>
                      <w:marRight w:val="0"/>
                      <w:marTop w:val="0"/>
                      <w:marBottom w:val="0"/>
                      <w:divBdr>
                        <w:top w:val="none" w:sz="0" w:space="0" w:color="auto"/>
                        <w:left w:val="none" w:sz="0" w:space="0" w:color="auto"/>
                        <w:bottom w:val="none" w:sz="0" w:space="0" w:color="auto"/>
                        <w:right w:val="none" w:sz="0" w:space="0" w:color="auto"/>
                      </w:divBdr>
                    </w:div>
                  </w:divsChild>
                </w:div>
                <w:div w:id="732889482">
                  <w:marLeft w:val="0"/>
                  <w:marRight w:val="0"/>
                  <w:marTop w:val="0"/>
                  <w:marBottom w:val="0"/>
                  <w:divBdr>
                    <w:top w:val="none" w:sz="0" w:space="0" w:color="auto"/>
                    <w:left w:val="none" w:sz="0" w:space="0" w:color="auto"/>
                    <w:bottom w:val="none" w:sz="0" w:space="0" w:color="auto"/>
                    <w:right w:val="none" w:sz="0" w:space="0" w:color="auto"/>
                  </w:divBdr>
                  <w:divsChild>
                    <w:div w:id="1375808019">
                      <w:marLeft w:val="0"/>
                      <w:marRight w:val="0"/>
                      <w:marTop w:val="0"/>
                      <w:marBottom w:val="0"/>
                      <w:divBdr>
                        <w:top w:val="none" w:sz="0" w:space="0" w:color="auto"/>
                        <w:left w:val="none" w:sz="0" w:space="0" w:color="auto"/>
                        <w:bottom w:val="none" w:sz="0" w:space="0" w:color="auto"/>
                        <w:right w:val="none" w:sz="0" w:space="0" w:color="auto"/>
                      </w:divBdr>
                    </w:div>
                  </w:divsChild>
                </w:div>
                <w:div w:id="734666889">
                  <w:marLeft w:val="0"/>
                  <w:marRight w:val="0"/>
                  <w:marTop w:val="0"/>
                  <w:marBottom w:val="0"/>
                  <w:divBdr>
                    <w:top w:val="none" w:sz="0" w:space="0" w:color="auto"/>
                    <w:left w:val="none" w:sz="0" w:space="0" w:color="auto"/>
                    <w:bottom w:val="none" w:sz="0" w:space="0" w:color="auto"/>
                    <w:right w:val="none" w:sz="0" w:space="0" w:color="auto"/>
                  </w:divBdr>
                  <w:divsChild>
                    <w:div w:id="1832024033">
                      <w:marLeft w:val="0"/>
                      <w:marRight w:val="0"/>
                      <w:marTop w:val="0"/>
                      <w:marBottom w:val="0"/>
                      <w:divBdr>
                        <w:top w:val="none" w:sz="0" w:space="0" w:color="auto"/>
                        <w:left w:val="none" w:sz="0" w:space="0" w:color="auto"/>
                        <w:bottom w:val="none" w:sz="0" w:space="0" w:color="auto"/>
                        <w:right w:val="none" w:sz="0" w:space="0" w:color="auto"/>
                      </w:divBdr>
                    </w:div>
                  </w:divsChild>
                </w:div>
                <w:div w:id="736321484">
                  <w:marLeft w:val="0"/>
                  <w:marRight w:val="0"/>
                  <w:marTop w:val="0"/>
                  <w:marBottom w:val="0"/>
                  <w:divBdr>
                    <w:top w:val="none" w:sz="0" w:space="0" w:color="auto"/>
                    <w:left w:val="none" w:sz="0" w:space="0" w:color="auto"/>
                    <w:bottom w:val="none" w:sz="0" w:space="0" w:color="auto"/>
                    <w:right w:val="none" w:sz="0" w:space="0" w:color="auto"/>
                  </w:divBdr>
                  <w:divsChild>
                    <w:div w:id="1316301231">
                      <w:marLeft w:val="0"/>
                      <w:marRight w:val="0"/>
                      <w:marTop w:val="0"/>
                      <w:marBottom w:val="0"/>
                      <w:divBdr>
                        <w:top w:val="none" w:sz="0" w:space="0" w:color="auto"/>
                        <w:left w:val="none" w:sz="0" w:space="0" w:color="auto"/>
                        <w:bottom w:val="none" w:sz="0" w:space="0" w:color="auto"/>
                        <w:right w:val="none" w:sz="0" w:space="0" w:color="auto"/>
                      </w:divBdr>
                    </w:div>
                  </w:divsChild>
                </w:div>
                <w:div w:id="743339353">
                  <w:marLeft w:val="0"/>
                  <w:marRight w:val="0"/>
                  <w:marTop w:val="0"/>
                  <w:marBottom w:val="0"/>
                  <w:divBdr>
                    <w:top w:val="none" w:sz="0" w:space="0" w:color="auto"/>
                    <w:left w:val="none" w:sz="0" w:space="0" w:color="auto"/>
                    <w:bottom w:val="none" w:sz="0" w:space="0" w:color="auto"/>
                    <w:right w:val="none" w:sz="0" w:space="0" w:color="auto"/>
                  </w:divBdr>
                  <w:divsChild>
                    <w:div w:id="127406282">
                      <w:marLeft w:val="0"/>
                      <w:marRight w:val="0"/>
                      <w:marTop w:val="0"/>
                      <w:marBottom w:val="0"/>
                      <w:divBdr>
                        <w:top w:val="none" w:sz="0" w:space="0" w:color="auto"/>
                        <w:left w:val="none" w:sz="0" w:space="0" w:color="auto"/>
                        <w:bottom w:val="none" w:sz="0" w:space="0" w:color="auto"/>
                        <w:right w:val="none" w:sz="0" w:space="0" w:color="auto"/>
                      </w:divBdr>
                    </w:div>
                  </w:divsChild>
                </w:div>
                <w:div w:id="743920388">
                  <w:marLeft w:val="0"/>
                  <w:marRight w:val="0"/>
                  <w:marTop w:val="0"/>
                  <w:marBottom w:val="0"/>
                  <w:divBdr>
                    <w:top w:val="none" w:sz="0" w:space="0" w:color="auto"/>
                    <w:left w:val="none" w:sz="0" w:space="0" w:color="auto"/>
                    <w:bottom w:val="none" w:sz="0" w:space="0" w:color="auto"/>
                    <w:right w:val="none" w:sz="0" w:space="0" w:color="auto"/>
                  </w:divBdr>
                  <w:divsChild>
                    <w:div w:id="512230868">
                      <w:marLeft w:val="0"/>
                      <w:marRight w:val="0"/>
                      <w:marTop w:val="0"/>
                      <w:marBottom w:val="0"/>
                      <w:divBdr>
                        <w:top w:val="none" w:sz="0" w:space="0" w:color="auto"/>
                        <w:left w:val="none" w:sz="0" w:space="0" w:color="auto"/>
                        <w:bottom w:val="none" w:sz="0" w:space="0" w:color="auto"/>
                        <w:right w:val="none" w:sz="0" w:space="0" w:color="auto"/>
                      </w:divBdr>
                    </w:div>
                  </w:divsChild>
                </w:div>
                <w:div w:id="753668873">
                  <w:marLeft w:val="0"/>
                  <w:marRight w:val="0"/>
                  <w:marTop w:val="0"/>
                  <w:marBottom w:val="0"/>
                  <w:divBdr>
                    <w:top w:val="none" w:sz="0" w:space="0" w:color="auto"/>
                    <w:left w:val="none" w:sz="0" w:space="0" w:color="auto"/>
                    <w:bottom w:val="none" w:sz="0" w:space="0" w:color="auto"/>
                    <w:right w:val="none" w:sz="0" w:space="0" w:color="auto"/>
                  </w:divBdr>
                  <w:divsChild>
                    <w:div w:id="1208755984">
                      <w:marLeft w:val="0"/>
                      <w:marRight w:val="0"/>
                      <w:marTop w:val="0"/>
                      <w:marBottom w:val="0"/>
                      <w:divBdr>
                        <w:top w:val="none" w:sz="0" w:space="0" w:color="auto"/>
                        <w:left w:val="none" w:sz="0" w:space="0" w:color="auto"/>
                        <w:bottom w:val="none" w:sz="0" w:space="0" w:color="auto"/>
                        <w:right w:val="none" w:sz="0" w:space="0" w:color="auto"/>
                      </w:divBdr>
                    </w:div>
                  </w:divsChild>
                </w:div>
                <w:div w:id="758406356">
                  <w:marLeft w:val="0"/>
                  <w:marRight w:val="0"/>
                  <w:marTop w:val="0"/>
                  <w:marBottom w:val="0"/>
                  <w:divBdr>
                    <w:top w:val="none" w:sz="0" w:space="0" w:color="auto"/>
                    <w:left w:val="none" w:sz="0" w:space="0" w:color="auto"/>
                    <w:bottom w:val="none" w:sz="0" w:space="0" w:color="auto"/>
                    <w:right w:val="none" w:sz="0" w:space="0" w:color="auto"/>
                  </w:divBdr>
                  <w:divsChild>
                    <w:div w:id="1334988129">
                      <w:marLeft w:val="0"/>
                      <w:marRight w:val="0"/>
                      <w:marTop w:val="0"/>
                      <w:marBottom w:val="0"/>
                      <w:divBdr>
                        <w:top w:val="none" w:sz="0" w:space="0" w:color="auto"/>
                        <w:left w:val="none" w:sz="0" w:space="0" w:color="auto"/>
                        <w:bottom w:val="none" w:sz="0" w:space="0" w:color="auto"/>
                        <w:right w:val="none" w:sz="0" w:space="0" w:color="auto"/>
                      </w:divBdr>
                    </w:div>
                  </w:divsChild>
                </w:div>
                <w:div w:id="760375122">
                  <w:marLeft w:val="0"/>
                  <w:marRight w:val="0"/>
                  <w:marTop w:val="0"/>
                  <w:marBottom w:val="0"/>
                  <w:divBdr>
                    <w:top w:val="none" w:sz="0" w:space="0" w:color="auto"/>
                    <w:left w:val="none" w:sz="0" w:space="0" w:color="auto"/>
                    <w:bottom w:val="none" w:sz="0" w:space="0" w:color="auto"/>
                    <w:right w:val="none" w:sz="0" w:space="0" w:color="auto"/>
                  </w:divBdr>
                  <w:divsChild>
                    <w:div w:id="1118641752">
                      <w:marLeft w:val="0"/>
                      <w:marRight w:val="0"/>
                      <w:marTop w:val="0"/>
                      <w:marBottom w:val="0"/>
                      <w:divBdr>
                        <w:top w:val="none" w:sz="0" w:space="0" w:color="auto"/>
                        <w:left w:val="none" w:sz="0" w:space="0" w:color="auto"/>
                        <w:bottom w:val="none" w:sz="0" w:space="0" w:color="auto"/>
                        <w:right w:val="none" w:sz="0" w:space="0" w:color="auto"/>
                      </w:divBdr>
                    </w:div>
                  </w:divsChild>
                </w:div>
                <w:div w:id="761267944">
                  <w:marLeft w:val="0"/>
                  <w:marRight w:val="0"/>
                  <w:marTop w:val="0"/>
                  <w:marBottom w:val="0"/>
                  <w:divBdr>
                    <w:top w:val="none" w:sz="0" w:space="0" w:color="auto"/>
                    <w:left w:val="none" w:sz="0" w:space="0" w:color="auto"/>
                    <w:bottom w:val="none" w:sz="0" w:space="0" w:color="auto"/>
                    <w:right w:val="none" w:sz="0" w:space="0" w:color="auto"/>
                  </w:divBdr>
                  <w:divsChild>
                    <w:div w:id="255477249">
                      <w:marLeft w:val="0"/>
                      <w:marRight w:val="0"/>
                      <w:marTop w:val="0"/>
                      <w:marBottom w:val="0"/>
                      <w:divBdr>
                        <w:top w:val="none" w:sz="0" w:space="0" w:color="auto"/>
                        <w:left w:val="none" w:sz="0" w:space="0" w:color="auto"/>
                        <w:bottom w:val="none" w:sz="0" w:space="0" w:color="auto"/>
                        <w:right w:val="none" w:sz="0" w:space="0" w:color="auto"/>
                      </w:divBdr>
                    </w:div>
                  </w:divsChild>
                </w:div>
                <w:div w:id="765543634">
                  <w:marLeft w:val="0"/>
                  <w:marRight w:val="0"/>
                  <w:marTop w:val="0"/>
                  <w:marBottom w:val="0"/>
                  <w:divBdr>
                    <w:top w:val="none" w:sz="0" w:space="0" w:color="auto"/>
                    <w:left w:val="none" w:sz="0" w:space="0" w:color="auto"/>
                    <w:bottom w:val="none" w:sz="0" w:space="0" w:color="auto"/>
                    <w:right w:val="none" w:sz="0" w:space="0" w:color="auto"/>
                  </w:divBdr>
                  <w:divsChild>
                    <w:div w:id="1691570373">
                      <w:marLeft w:val="0"/>
                      <w:marRight w:val="0"/>
                      <w:marTop w:val="0"/>
                      <w:marBottom w:val="0"/>
                      <w:divBdr>
                        <w:top w:val="none" w:sz="0" w:space="0" w:color="auto"/>
                        <w:left w:val="none" w:sz="0" w:space="0" w:color="auto"/>
                        <w:bottom w:val="none" w:sz="0" w:space="0" w:color="auto"/>
                        <w:right w:val="none" w:sz="0" w:space="0" w:color="auto"/>
                      </w:divBdr>
                    </w:div>
                  </w:divsChild>
                </w:div>
                <w:div w:id="768812338">
                  <w:marLeft w:val="0"/>
                  <w:marRight w:val="0"/>
                  <w:marTop w:val="0"/>
                  <w:marBottom w:val="0"/>
                  <w:divBdr>
                    <w:top w:val="none" w:sz="0" w:space="0" w:color="auto"/>
                    <w:left w:val="none" w:sz="0" w:space="0" w:color="auto"/>
                    <w:bottom w:val="none" w:sz="0" w:space="0" w:color="auto"/>
                    <w:right w:val="none" w:sz="0" w:space="0" w:color="auto"/>
                  </w:divBdr>
                  <w:divsChild>
                    <w:div w:id="1841850373">
                      <w:marLeft w:val="0"/>
                      <w:marRight w:val="0"/>
                      <w:marTop w:val="0"/>
                      <w:marBottom w:val="0"/>
                      <w:divBdr>
                        <w:top w:val="none" w:sz="0" w:space="0" w:color="auto"/>
                        <w:left w:val="none" w:sz="0" w:space="0" w:color="auto"/>
                        <w:bottom w:val="none" w:sz="0" w:space="0" w:color="auto"/>
                        <w:right w:val="none" w:sz="0" w:space="0" w:color="auto"/>
                      </w:divBdr>
                    </w:div>
                  </w:divsChild>
                </w:div>
                <w:div w:id="768895631">
                  <w:marLeft w:val="0"/>
                  <w:marRight w:val="0"/>
                  <w:marTop w:val="0"/>
                  <w:marBottom w:val="0"/>
                  <w:divBdr>
                    <w:top w:val="none" w:sz="0" w:space="0" w:color="auto"/>
                    <w:left w:val="none" w:sz="0" w:space="0" w:color="auto"/>
                    <w:bottom w:val="none" w:sz="0" w:space="0" w:color="auto"/>
                    <w:right w:val="none" w:sz="0" w:space="0" w:color="auto"/>
                  </w:divBdr>
                  <w:divsChild>
                    <w:div w:id="1325550108">
                      <w:marLeft w:val="0"/>
                      <w:marRight w:val="0"/>
                      <w:marTop w:val="0"/>
                      <w:marBottom w:val="0"/>
                      <w:divBdr>
                        <w:top w:val="none" w:sz="0" w:space="0" w:color="auto"/>
                        <w:left w:val="none" w:sz="0" w:space="0" w:color="auto"/>
                        <w:bottom w:val="none" w:sz="0" w:space="0" w:color="auto"/>
                        <w:right w:val="none" w:sz="0" w:space="0" w:color="auto"/>
                      </w:divBdr>
                    </w:div>
                  </w:divsChild>
                </w:div>
                <w:div w:id="770468256">
                  <w:marLeft w:val="0"/>
                  <w:marRight w:val="0"/>
                  <w:marTop w:val="0"/>
                  <w:marBottom w:val="0"/>
                  <w:divBdr>
                    <w:top w:val="none" w:sz="0" w:space="0" w:color="auto"/>
                    <w:left w:val="none" w:sz="0" w:space="0" w:color="auto"/>
                    <w:bottom w:val="none" w:sz="0" w:space="0" w:color="auto"/>
                    <w:right w:val="none" w:sz="0" w:space="0" w:color="auto"/>
                  </w:divBdr>
                  <w:divsChild>
                    <w:div w:id="1739745876">
                      <w:marLeft w:val="0"/>
                      <w:marRight w:val="0"/>
                      <w:marTop w:val="0"/>
                      <w:marBottom w:val="0"/>
                      <w:divBdr>
                        <w:top w:val="none" w:sz="0" w:space="0" w:color="auto"/>
                        <w:left w:val="none" w:sz="0" w:space="0" w:color="auto"/>
                        <w:bottom w:val="none" w:sz="0" w:space="0" w:color="auto"/>
                        <w:right w:val="none" w:sz="0" w:space="0" w:color="auto"/>
                      </w:divBdr>
                    </w:div>
                  </w:divsChild>
                </w:div>
                <w:div w:id="788202191">
                  <w:marLeft w:val="0"/>
                  <w:marRight w:val="0"/>
                  <w:marTop w:val="0"/>
                  <w:marBottom w:val="0"/>
                  <w:divBdr>
                    <w:top w:val="none" w:sz="0" w:space="0" w:color="auto"/>
                    <w:left w:val="none" w:sz="0" w:space="0" w:color="auto"/>
                    <w:bottom w:val="none" w:sz="0" w:space="0" w:color="auto"/>
                    <w:right w:val="none" w:sz="0" w:space="0" w:color="auto"/>
                  </w:divBdr>
                  <w:divsChild>
                    <w:div w:id="2043245761">
                      <w:marLeft w:val="0"/>
                      <w:marRight w:val="0"/>
                      <w:marTop w:val="0"/>
                      <w:marBottom w:val="0"/>
                      <w:divBdr>
                        <w:top w:val="none" w:sz="0" w:space="0" w:color="auto"/>
                        <w:left w:val="none" w:sz="0" w:space="0" w:color="auto"/>
                        <w:bottom w:val="none" w:sz="0" w:space="0" w:color="auto"/>
                        <w:right w:val="none" w:sz="0" w:space="0" w:color="auto"/>
                      </w:divBdr>
                    </w:div>
                  </w:divsChild>
                </w:div>
                <w:div w:id="790628647">
                  <w:marLeft w:val="0"/>
                  <w:marRight w:val="0"/>
                  <w:marTop w:val="0"/>
                  <w:marBottom w:val="0"/>
                  <w:divBdr>
                    <w:top w:val="none" w:sz="0" w:space="0" w:color="auto"/>
                    <w:left w:val="none" w:sz="0" w:space="0" w:color="auto"/>
                    <w:bottom w:val="none" w:sz="0" w:space="0" w:color="auto"/>
                    <w:right w:val="none" w:sz="0" w:space="0" w:color="auto"/>
                  </w:divBdr>
                  <w:divsChild>
                    <w:div w:id="1868831920">
                      <w:marLeft w:val="0"/>
                      <w:marRight w:val="0"/>
                      <w:marTop w:val="0"/>
                      <w:marBottom w:val="0"/>
                      <w:divBdr>
                        <w:top w:val="none" w:sz="0" w:space="0" w:color="auto"/>
                        <w:left w:val="none" w:sz="0" w:space="0" w:color="auto"/>
                        <w:bottom w:val="none" w:sz="0" w:space="0" w:color="auto"/>
                        <w:right w:val="none" w:sz="0" w:space="0" w:color="auto"/>
                      </w:divBdr>
                    </w:div>
                  </w:divsChild>
                </w:div>
                <w:div w:id="800197653">
                  <w:marLeft w:val="0"/>
                  <w:marRight w:val="0"/>
                  <w:marTop w:val="0"/>
                  <w:marBottom w:val="0"/>
                  <w:divBdr>
                    <w:top w:val="none" w:sz="0" w:space="0" w:color="auto"/>
                    <w:left w:val="none" w:sz="0" w:space="0" w:color="auto"/>
                    <w:bottom w:val="none" w:sz="0" w:space="0" w:color="auto"/>
                    <w:right w:val="none" w:sz="0" w:space="0" w:color="auto"/>
                  </w:divBdr>
                  <w:divsChild>
                    <w:div w:id="384764923">
                      <w:marLeft w:val="0"/>
                      <w:marRight w:val="0"/>
                      <w:marTop w:val="0"/>
                      <w:marBottom w:val="0"/>
                      <w:divBdr>
                        <w:top w:val="none" w:sz="0" w:space="0" w:color="auto"/>
                        <w:left w:val="none" w:sz="0" w:space="0" w:color="auto"/>
                        <w:bottom w:val="none" w:sz="0" w:space="0" w:color="auto"/>
                        <w:right w:val="none" w:sz="0" w:space="0" w:color="auto"/>
                      </w:divBdr>
                    </w:div>
                  </w:divsChild>
                </w:div>
                <w:div w:id="804853284">
                  <w:marLeft w:val="0"/>
                  <w:marRight w:val="0"/>
                  <w:marTop w:val="0"/>
                  <w:marBottom w:val="0"/>
                  <w:divBdr>
                    <w:top w:val="none" w:sz="0" w:space="0" w:color="auto"/>
                    <w:left w:val="none" w:sz="0" w:space="0" w:color="auto"/>
                    <w:bottom w:val="none" w:sz="0" w:space="0" w:color="auto"/>
                    <w:right w:val="none" w:sz="0" w:space="0" w:color="auto"/>
                  </w:divBdr>
                  <w:divsChild>
                    <w:div w:id="835463636">
                      <w:marLeft w:val="0"/>
                      <w:marRight w:val="0"/>
                      <w:marTop w:val="0"/>
                      <w:marBottom w:val="0"/>
                      <w:divBdr>
                        <w:top w:val="none" w:sz="0" w:space="0" w:color="auto"/>
                        <w:left w:val="none" w:sz="0" w:space="0" w:color="auto"/>
                        <w:bottom w:val="none" w:sz="0" w:space="0" w:color="auto"/>
                        <w:right w:val="none" w:sz="0" w:space="0" w:color="auto"/>
                      </w:divBdr>
                    </w:div>
                  </w:divsChild>
                </w:div>
                <w:div w:id="805585520">
                  <w:marLeft w:val="0"/>
                  <w:marRight w:val="0"/>
                  <w:marTop w:val="0"/>
                  <w:marBottom w:val="0"/>
                  <w:divBdr>
                    <w:top w:val="none" w:sz="0" w:space="0" w:color="auto"/>
                    <w:left w:val="none" w:sz="0" w:space="0" w:color="auto"/>
                    <w:bottom w:val="none" w:sz="0" w:space="0" w:color="auto"/>
                    <w:right w:val="none" w:sz="0" w:space="0" w:color="auto"/>
                  </w:divBdr>
                  <w:divsChild>
                    <w:div w:id="286591281">
                      <w:marLeft w:val="0"/>
                      <w:marRight w:val="0"/>
                      <w:marTop w:val="0"/>
                      <w:marBottom w:val="0"/>
                      <w:divBdr>
                        <w:top w:val="none" w:sz="0" w:space="0" w:color="auto"/>
                        <w:left w:val="none" w:sz="0" w:space="0" w:color="auto"/>
                        <w:bottom w:val="none" w:sz="0" w:space="0" w:color="auto"/>
                        <w:right w:val="none" w:sz="0" w:space="0" w:color="auto"/>
                      </w:divBdr>
                    </w:div>
                  </w:divsChild>
                </w:div>
                <w:div w:id="819880767">
                  <w:marLeft w:val="0"/>
                  <w:marRight w:val="0"/>
                  <w:marTop w:val="0"/>
                  <w:marBottom w:val="0"/>
                  <w:divBdr>
                    <w:top w:val="none" w:sz="0" w:space="0" w:color="auto"/>
                    <w:left w:val="none" w:sz="0" w:space="0" w:color="auto"/>
                    <w:bottom w:val="none" w:sz="0" w:space="0" w:color="auto"/>
                    <w:right w:val="none" w:sz="0" w:space="0" w:color="auto"/>
                  </w:divBdr>
                  <w:divsChild>
                    <w:div w:id="1019085675">
                      <w:marLeft w:val="0"/>
                      <w:marRight w:val="0"/>
                      <w:marTop w:val="0"/>
                      <w:marBottom w:val="0"/>
                      <w:divBdr>
                        <w:top w:val="none" w:sz="0" w:space="0" w:color="auto"/>
                        <w:left w:val="none" w:sz="0" w:space="0" w:color="auto"/>
                        <w:bottom w:val="none" w:sz="0" w:space="0" w:color="auto"/>
                        <w:right w:val="none" w:sz="0" w:space="0" w:color="auto"/>
                      </w:divBdr>
                    </w:div>
                  </w:divsChild>
                </w:div>
                <w:div w:id="824856817">
                  <w:marLeft w:val="0"/>
                  <w:marRight w:val="0"/>
                  <w:marTop w:val="0"/>
                  <w:marBottom w:val="0"/>
                  <w:divBdr>
                    <w:top w:val="none" w:sz="0" w:space="0" w:color="auto"/>
                    <w:left w:val="none" w:sz="0" w:space="0" w:color="auto"/>
                    <w:bottom w:val="none" w:sz="0" w:space="0" w:color="auto"/>
                    <w:right w:val="none" w:sz="0" w:space="0" w:color="auto"/>
                  </w:divBdr>
                  <w:divsChild>
                    <w:div w:id="1742020171">
                      <w:marLeft w:val="0"/>
                      <w:marRight w:val="0"/>
                      <w:marTop w:val="0"/>
                      <w:marBottom w:val="0"/>
                      <w:divBdr>
                        <w:top w:val="none" w:sz="0" w:space="0" w:color="auto"/>
                        <w:left w:val="none" w:sz="0" w:space="0" w:color="auto"/>
                        <w:bottom w:val="none" w:sz="0" w:space="0" w:color="auto"/>
                        <w:right w:val="none" w:sz="0" w:space="0" w:color="auto"/>
                      </w:divBdr>
                    </w:div>
                  </w:divsChild>
                </w:div>
                <w:div w:id="829753635">
                  <w:marLeft w:val="0"/>
                  <w:marRight w:val="0"/>
                  <w:marTop w:val="0"/>
                  <w:marBottom w:val="0"/>
                  <w:divBdr>
                    <w:top w:val="none" w:sz="0" w:space="0" w:color="auto"/>
                    <w:left w:val="none" w:sz="0" w:space="0" w:color="auto"/>
                    <w:bottom w:val="none" w:sz="0" w:space="0" w:color="auto"/>
                    <w:right w:val="none" w:sz="0" w:space="0" w:color="auto"/>
                  </w:divBdr>
                  <w:divsChild>
                    <w:div w:id="325011742">
                      <w:marLeft w:val="0"/>
                      <w:marRight w:val="0"/>
                      <w:marTop w:val="0"/>
                      <w:marBottom w:val="0"/>
                      <w:divBdr>
                        <w:top w:val="none" w:sz="0" w:space="0" w:color="auto"/>
                        <w:left w:val="none" w:sz="0" w:space="0" w:color="auto"/>
                        <w:bottom w:val="none" w:sz="0" w:space="0" w:color="auto"/>
                        <w:right w:val="none" w:sz="0" w:space="0" w:color="auto"/>
                      </w:divBdr>
                    </w:div>
                  </w:divsChild>
                </w:div>
                <w:div w:id="865601346">
                  <w:marLeft w:val="0"/>
                  <w:marRight w:val="0"/>
                  <w:marTop w:val="0"/>
                  <w:marBottom w:val="0"/>
                  <w:divBdr>
                    <w:top w:val="none" w:sz="0" w:space="0" w:color="auto"/>
                    <w:left w:val="none" w:sz="0" w:space="0" w:color="auto"/>
                    <w:bottom w:val="none" w:sz="0" w:space="0" w:color="auto"/>
                    <w:right w:val="none" w:sz="0" w:space="0" w:color="auto"/>
                  </w:divBdr>
                  <w:divsChild>
                    <w:div w:id="1317805756">
                      <w:marLeft w:val="0"/>
                      <w:marRight w:val="0"/>
                      <w:marTop w:val="0"/>
                      <w:marBottom w:val="0"/>
                      <w:divBdr>
                        <w:top w:val="none" w:sz="0" w:space="0" w:color="auto"/>
                        <w:left w:val="none" w:sz="0" w:space="0" w:color="auto"/>
                        <w:bottom w:val="none" w:sz="0" w:space="0" w:color="auto"/>
                        <w:right w:val="none" w:sz="0" w:space="0" w:color="auto"/>
                      </w:divBdr>
                    </w:div>
                  </w:divsChild>
                </w:div>
                <w:div w:id="872381416">
                  <w:marLeft w:val="0"/>
                  <w:marRight w:val="0"/>
                  <w:marTop w:val="0"/>
                  <w:marBottom w:val="0"/>
                  <w:divBdr>
                    <w:top w:val="none" w:sz="0" w:space="0" w:color="auto"/>
                    <w:left w:val="none" w:sz="0" w:space="0" w:color="auto"/>
                    <w:bottom w:val="none" w:sz="0" w:space="0" w:color="auto"/>
                    <w:right w:val="none" w:sz="0" w:space="0" w:color="auto"/>
                  </w:divBdr>
                  <w:divsChild>
                    <w:div w:id="1292789678">
                      <w:marLeft w:val="0"/>
                      <w:marRight w:val="0"/>
                      <w:marTop w:val="0"/>
                      <w:marBottom w:val="0"/>
                      <w:divBdr>
                        <w:top w:val="none" w:sz="0" w:space="0" w:color="auto"/>
                        <w:left w:val="none" w:sz="0" w:space="0" w:color="auto"/>
                        <w:bottom w:val="none" w:sz="0" w:space="0" w:color="auto"/>
                        <w:right w:val="none" w:sz="0" w:space="0" w:color="auto"/>
                      </w:divBdr>
                    </w:div>
                  </w:divsChild>
                </w:div>
                <w:div w:id="873882841">
                  <w:marLeft w:val="0"/>
                  <w:marRight w:val="0"/>
                  <w:marTop w:val="0"/>
                  <w:marBottom w:val="0"/>
                  <w:divBdr>
                    <w:top w:val="none" w:sz="0" w:space="0" w:color="auto"/>
                    <w:left w:val="none" w:sz="0" w:space="0" w:color="auto"/>
                    <w:bottom w:val="none" w:sz="0" w:space="0" w:color="auto"/>
                    <w:right w:val="none" w:sz="0" w:space="0" w:color="auto"/>
                  </w:divBdr>
                  <w:divsChild>
                    <w:div w:id="1776099762">
                      <w:marLeft w:val="0"/>
                      <w:marRight w:val="0"/>
                      <w:marTop w:val="0"/>
                      <w:marBottom w:val="0"/>
                      <w:divBdr>
                        <w:top w:val="none" w:sz="0" w:space="0" w:color="auto"/>
                        <w:left w:val="none" w:sz="0" w:space="0" w:color="auto"/>
                        <w:bottom w:val="none" w:sz="0" w:space="0" w:color="auto"/>
                        <w:right w:val="none" w:sz="0" w:space="0" w:color="auto"/>
                      </w:divBdr>
                    </w:div>
                  </w:divsChild>
                </w:div>
                <w:div w:id="873886583">
                  <w:marLeft w:val="0"/>
                  <w:marRight w:val="0"/>
                  <w:marTop w:val="0"/>
                  <w:marBottom w:val="0"/>
                  <w:divBdr>
                    <w:top w:val="none" w:sz="0" w:space="0" w:color="auto"/>
                    <w:left w:val="none" w:sz="0" w:space="0" w:color="auto"/>
                    <w:bottom w:val="none" w:sz="0" w:space="0" w:color="auto"/>
                    <w:right w:val="none" w:sz="0" w:space="0" w:color="auto"/>
                  </w:divBdr>
                  <w:divsChild>
                    <w:div w:id="49429559">
                      <w:marLeft w:val="0"/>
                      <w:marRight w:val="0"/>
                      <w:marTop w:val="0"/>
                      <w:marBottom w:val="0"/>
                      <w:divBdr>
                        <w:top w:val="none" w:sz="0" w:space="0" w:color="auto"/>
                        <w:left w:val="none" w:sz="0" w:space="0" w:color="auto"/>
                        <w:bottom w:val="none" w:sz="0" w:space="0" w:color="auto"/>
                        <w:right w:val="none" w:sz="0" w:space="0" w:color="auto"/>
                      </w:divBdr>
                    </w:div>
                  </w:divsChild>
                </w:div>
                <w:div w:id="881290279">
                  <w:marLeft w:val="0"/>
                  <w:marRight w:val="0"/>
                  <w:marTop w:val="0"/>
                  <w:marBottom w:val="0"/>
                  <w:divBdr>
                    <w:top w:val="none" w:sz="0" w:space="0" w:color="auto"/>
                    <w:left w:val="none" w:sz="0" w:space="0" w:color="auto"/>
                    <w:bottom w:val="none" w:sz="0" w:space="0" w:color="auto"/>
                    <w:right w:val="none" w:sz="0" w:space="0" w:color="auto"/>
                  </w:divBdr>
                  <w:divsChild>
                    <w:div w:id="1540893750">
                      <w:marLeft w:val="0"/>
                      <w:marRight w:val="0"/>
                      <w:marTop w:val="0"/>
                      <w:marBottom w:val="0"/>
                      <w:divBdr>
                        <w:top w:val="none" w:sz="0" w:space="0" w:color="auto"/>
                        <w:left w:val="none" w:sz="0" w:space="0" w:color="auto"/>
                        <w:bottom w:val="none" w:sz="0" w:space="0" w:color="auto"/>
                        <w:right w:val="none" w:sz="0" w:space="0" w:color="auto"/>
                      </w:divBdr>
                    </w:div>
                    <w:div w:id="2033264862">
                      <w:marLeft w:val="0"/>
                      <w:marRight w:val="0"/>
                      <w:marTop w:val="0"/>
                      <w:marBottom w:val="0"/>
                      <w:divBdr>
                        <w:top w:val="none" w:sz="0" w:space="0" w:color="auto"/>
                        <w:left w:val="none" w:sz="0" w:space="0" w:color="auto"/>
                        <w:bottom w:val="none" w:sz="0" w:space="0" w:color="auto"/>
                        <w:right w:val="none" w:sz="0" w:space="0" w:color="auto"/>
                      </w:divBdr>
                    </w:div>
                  </w:divsChild>
                </w:div>
                <w:div w:id="890924014">
                  <w:marLeft w:val="0"/>
                  <w:marRight w:val="0"/>
                  <w:marTop w:val="0"/>
                  <w:marBottom w:val="0"/>
                  <w:divBdr>
                    <w:top w:val="none" w:sz="0" w:space="0" w:color="auto"/>
                    <w:left w:val="none" w:sz="0" w:space="0" w:color="auto"/>
                    <w:bottom w:val="none" w:sz="0" w:space="0" w:color="auto"/>
                    <w:right w:val="none" w:sz="0" w:space="0" w:color="auto"/>
                  </w:divBdr>
                  <w:divsChild>
                    <w:div w:id="1982231104">
                      <w:marLeft w:val="0"/>
                      <w:marRight w:val="0"/>
                      <w:marTop w:val="0"/>
                      <w:marBottom w:val="0"/>
                      <w:divBdr>
                        <w:top w:val="none" w:sz="0" w:space="0" w:color="auto"/>
                        <w:left w:val="none" w:sz="0" w:space="0" w:color="auto"/>
                        <w:bottom w:val="none" w:sz="0" w:space="0" w:color="auto"/>
                        <w:right w:val="none" w:sz="0" w:space="0" w:color="auto"/>
                      </w:divBdr>
                    </w:div>
                  </w:divsChild>
                </w:div>
                <w:div w:id="901597818">
                  <w:marLeft w:val="0"/>
                  <w:marRight w:val="0"/>
                  <w:marTop w:val="0"/>
                  <w:marBottom w:val="0"/>
                  <w:divBdr>
                    <w:top w:val="none" w:sz="0" w:space="0" w:color="auto"/>
                    <w:left w:val="none" w:sz="0" w:space="0" w:color="auto"/>
                    <w:bottom w:val="none" w:sz="0" w:space="0" w:color="auto"/>
                    <w:right w:val="none" w:sz="0" w:space="0" w:color="auto"/>
                  </w:divBdr>
                  <w:divsChild>
                    <w:div w:id="2003659998">
                      <w:marLeft w:val="0"/>
                      <w:marRight w:val="0"/>
                      <w:marTop w:val="0"/>
                      <w:marBottom w:val="0"/>
                      <w:divBdr>
                        <w:top w:val="none" w:sz="0" w:space="0" w:color="auto"/>
                        <w:left w:val="none" w:sz="0" w:space="0" w:color="auto"/>
                        <w:bottom w:val="none" w:sz="0" w:space="0" w:color="auto"/>
                        <w:right w:val="none" w:sz="0" w:space="0" w:color="auto"/>
                      </w:divBdr>
                    </w:div>
                  </w:divsChild>
                </w:div>
                <w:div w:id="902567142">
                  <w:marLeft w:val="0"/>
                  <w:marRight w:val="0"/>
                  <w:marTop w:val="0"/>
                  <w:marBottom w:val="0"/>
                  <w:divBdr>
                    <w:top w:val="none" w:sz="0" w:space="0" w:color="auto"/>
                    <w:left w:val="none" w:sz="0" w:space="0" w:color="auto"/>
                    <w:bottom w:val="none" w:sz="0" w:space="0" w:color="auto"/>
                    <w:right w:val="none" w:sz="0" w:space="0" w:color="auto"/>
                  </w:divBdr>
                  <w:divsChild>
                    <w:div w:id="548418585">
                      <w:marLeft w:val="0"/>
                      <w:marRight w:val="0"/>
                      <w:marTop w:val="0"/>
                      <w:marBottom w:val="0"/>
                      <w:divBdr>
                        <w:top w:val="none" w:sz="0" w:space="0" w:color="auto"/>
                        <w:left w:val="none" w:sz="0" w:space="0" w:color="auto"/>
                        <w:bottom w:val="none" w:sz="0" w:space="0" w:color="auto"/>
                        <w:right w:val="none" w:sz="0" w:space="0" w:color="auto"/>
                      </w:divBdr>
                    </w:div>
                    <w:div w:id="1036465980">
                      <w:marLeft w:val="0"/>
                      <w:marRight w:val="0"/>
                      <w:marTop w:val="0"/>
                      <w:marBottom w:val="0"/>
                      <w:divBdr>
                        <w:top w:val="none" w:sz="0" w:space="0" w:color="auto"/>
                        <w:left w:val="none" w:sz="0" w:space="0" w:color="auto"/>
                        <w:bottom w:val="none" w:sz="0" w:space="0" w:color="auto"/>
                        <w:right w:val="none" w:sz="0" w:space="0" w:color="auto"/>
                      </w:divBdr>
                    </w:div>
                    <w:div w:id="1210722735">
                      <w:marLeft w:val="0"/>
                      <w:marRight w:val="0"/>
                      <w:marTop w:val="0"/>
                      <w:marBottom w:val="0"/>
                      <w:divBdr>
                        <w:top w:val="none" w:sz="0" w:space="0" w:color="auto"/>
                        <w:left w:val="none" w:sz="0" w:space="0" w:color="auto"/>
                        <w:bottom w:val="none" w:sz="0" w:space="0" w:color="auto"/>
                        <w:right w:val="none" w:sz="0" w:space="0" w:color="auto"/>
                      </w:divBdr>
                    </w:div>
                  </w:divsChild>
                </w:div>
                <w:div w:id="906303844">
                  <w:marLeft w:val="0"/>
                  <w:marRight w:val="0"/>
                  <w:marTop w:val="0"/>
                  <w:marBottom w:val="0"/>
                  <w:divBdr>
                    <w:top w:val="none" w:sz="0" w:space="0" w:color="auto"/>
                    <w:left w:val="none" w:sz="0" w:space="0" w:color="auto"/>
                    <w:bottom w:val="none" w:sz="0" w:space="0" w:color="auto"/>
                    <w:right w:val="none" w:sz="0" w:space="0" w:color="auto"/>
                  </w:divBdr>
                  <w:divsChild>
                    <w:div w:id="968706048">
                      <w:marLeft w:val="0"/>
                      <w:marRight w:val="0"/>
                      <w:marTop w:val="0"/>
                      <w:marBottom w:val="0"/>
                      <w:divBdr>
                        <w:top w:val="none" w:sz="0" w:space="0" w:color="auto"/>
                        <w:left w:val="none" w:sz="0" w:space="0" w:color="auto"/>
                        <w:bottom w:val="none" w:sz="0" w:space="0" w:color="auto"/>
                        <w:right w:val="none" w:sz="0" w:space="0" w:color="auto"/>
                      </w:divBdr>
                    </w:div>
                  </w:divsChild>
                </w:div>
                <w:div w:id="908729753">
                  <w:marLeft w:val="0"/>
                  <w:marRight w:val="0"/>
                  <w:marTop w:val="0"/>
                  <w:marBottom w:val="0"/>
                  <w:divBdr>
                    <w:top w:val="none" w:sz="0" w:space="0" w:color="auto"/>
                    <w:left w:val="none" w:sz="0" w:space="0" w:color="auto"/>
                    <w:bottom w:val="none" w:sz="0" w:space="0" w:color="auto"/>
                    <w:right w:val="none" w:sz="0" w:space="0" w:color="auto"/>
                  </w:divBdr>
                  <w:divsChild>
                    <w:div w:id="1117258553">
                      <w:marLeft w:val="0"/>
                      <w:marRight w:val="0"/>
                      <w:marTop w:val="0"/>
                      <w:marBottom w:val="0"/>
                      <w:divBdr>
                        <w:top w:val="none" w:sz="0" w:space="0" w:color="auto"/>
                        <w:left w:val="none" w:sz="0" w:space="0" w:color="auto"/>
                        <w:bottom w:val="none" w:sz="0" w:space="0" w:color="auto"/>
                        <w:right w:val="none" w:sz="0" w:space="0" w:color="auto"/>
                      </w:divBdr>
                    </w:div>
                  </w:divsChild>
                </w:div>
                <w:div w:id="910431676">
                  <w:marLeft w:val="0"/>
                  <w:marRight w:val="0"/>
                  <w:marTop w:val="0"/>
                  <w:marBottom w:val="0"/>
                  <w:divBdr>
                    <w:top w:val="none" w:sz="0" w:space="0" w:color="auto"/>
                    <w:left w:val="none" w:sz="0" w:space="0" w:color="auto"/>
                    <w:bottom w:val="none" w:sz="0" w:space="0" w:color="auto"/>
                    <w:right w:val="none" w:sz="0" w:space="0" w:color="auto"/>
                  </w:divBdr>
                  <w:divsChild>
                    <w:div w:id="297153147">
                      <w:marLeft w:val="0"/>
                      <w:marRight w:val="0"/>
                      <w:marTop w:val="0"/>
                      <w:marBottom w:val="0"/>
                      <w:divBdr>
                        <w:top w:val="none" w:sz="0" w:space="0" w:color="auto"/>
                        <w:left w:val="none" w:sz="0" w:space="0" w:color="auto"/>
                        <w:bottom w:val="none" w:sz="0" w:space="0" w:color="auto"/>
                        <w:right w:val="none" w:sz="0" w:space="0" w:color="auto"/>
                      </w:divBdr>
                    </w:div>
                  </w:divsChild>
                </w:div>
                <w:div w:id="911543588">
                  <w:marLeft w:val="0"/>
                  <w:marRight w:val="0"/>
                  <w:marTop w:val="0"/>
                  <w:marBottom w:val="0"/>
                  <w:divBdr>
                    <w:top w:val="none" w:sz="0" w:space="0" w:color="auto"/>
                    <w:left w:val="none" w:sz="0" w:space="0" w:color="auto"/>
                    <w:bottom w:val="none" w:sz="0" w:space="0" w:color="auto"/>
                    <w:right w:val="none" w:sz="0" w:space="0" w:color="auto"/>
                  </w:divBdr>
                  <w:divsChild>
                    <w:div w:id="1077481978">
                      <w:marLeft w:val="0"/>
                      <w:marRight w:val="0"/>
                      <w:marTop w:val="0"/>
                      <w:marBottom w:val="0"/>
                      <w:divBdr>
                        <w:top w:val="none" w:sz="0" w:space="0" w:color="auto"/>
                        <w:left w:val="none" w:sz="0" w:space="0" w:color="auto"/>
                        <w:bottom w:val="none" w:sz="0" w:space="0" w:color="auto"/>
                        <w:right w:val="none" w:sz="0" w:space="0" w:color="auto"/>
                      </w:divBdr>
                    </w:div>
                  </w:divsChild>
                </w:div>
                <w:div w:id="915820941">
                  <w:marLeft w:val="0"/>
                  <w:marRight w:val="0"/>
                  <w:marTop w:val="0"/>
                  <w:marBottom w:val="0"/>
                  <w:divBdr>
                    <w:top w:val="none" w:sz="0" w:space="0" w:color="auto"/>
                    <w:left w:val="none" w:sz="0" w:space="0" w:color="auto"/>
                    <w:bottom w:val="none" w:sz="0" w:space="0" w:color="auto"/>
                    <w:right w:val="none" w:sz="0" w:space="0" w:color="auto"/>
                  </w:divBdr>
                  <w:divsChild>
                    <w:div w:id="404035283">
                      <w:marLeft w:val="0"/>
                      <w:marRight w:val="0"/>
                      <w:marTop w:val="0"/>
                      <w:marBottom w:val="0"/>
                      <w:divBdr>
                        <w:top w:val="none" w:sz="0" w:space="0" w:color="auto"/>
                        <w:left w:val="none" w:sz="0" w:space="0" w:color="auto"/>
                        <w:bottom w:val="none" w:sz="0" w:space="0" w:color="auto"/>
                        <w:right w:val="none" w:sz="0" w:space="0" w:color="auto"/>
                      </w:divBdr>
                    </w:div>
                    <w:div w:id="1262180401">
                      <w:marLeft w:val="0"/>
                      <w:marRight w:val="0"/>
                      <w:marTop w:val="0"/>
                      <w:marBottom w:val="0"/>
                      <w:divBdr>
                        <w:top w:val="none" w:sz="0" w:space="0" w:color="auto"/>
                        <w:left w:val="none" w:sz="0" w:space="0" w:color="auto"/>
                        <w:bottom w:val="none" w:sz="0" w:space="0" w:color="auto"/>
                        <w:right w:val="none" w:sz="0" w:space="0" w:color="auto"/>
                      </w:divBdr>
                    </w:div>
                    <w:div w:id="1697074859">
                      <w:marLeft w:val="0"/>
                      <w:marRight w:val="0"/>
                      <w:marTop w:val="0"/>
                      <w:marBottom w:val="0"/>
                      <w:divBdr>
                        <w:top w:val="none" w:sz="0" w:space="0" w:color="auto"/>
                        <w:left w:val="none" w:sz="0" w:space="0" w:color="auto"/>
                        <w:bottom w:val="none" w:sz="0" w:space="0" w:color="auto"/>
                        <w:right w:val="none" w:sz="0" w:space="0" w:color="auto"/>
                      </w:divBdr>
                    </w:div>
                  </w:divsChild>
                </w:div>
                <w:div w:id="917984409">
                  <w:marLeft w:val="0"/>
                  <w:marRight w:val="0"/>
                  <w:marTop w:val="0"/>
                  <w:marBottom w:val="0"/>
                  <w:divBdr>
                    <w:top w:val="none" w:sz="0" w:space="0" w:color="auto"/>
                    <w:left w:val="none" w:sz="0" w:space="0" w:color="auto"/>
                    <w:bottom w:val="none" w:sz="0" w:space="0" w:color="auto"/>
                    <w:right w:val="none" w:sz="0" w:space="0" w:color="auto"/>
                  </w:divBdr>
                  <w:divsChild>
                    <w:div w:id="470095405">
                      <w:marLeft w:val="0"/>
                      <w:marRight w:val="0"/>
                      <w:marTop w:val="0"/>
                      <w:marBottom w:val="0"/>
                      <w:divBdr>
                        <w:top w:val="none" w:sz="0" w:space="0" w:color="auto"/>
                        <w:left w:val="none" w:sz="0" w:space="0" w:color="auto"/>
                        <w:bottom w:val="none" w:sz="0" w:space="0" w:color="auto"/>
                        <w:right w:val="none" w:sz="0" w:space="0" w:color="auto"/>
                      </w:divBdr>
                    </w:div>
                    <w:div w:id="673186496">
                      <w:marLeft w:val="0"/>
                      <w:marRight w:val="0"/>
                      <w:marTop w:val="0"/>
                      <w:marBottom w:val="0"/>
                      <w:divBdr>
                        <w:top w:val="none" w:sz="0" w:space="0" w:color="auto"/>
                        <w:left w:val="none" w:sz="0" w:space="0" w:color="auto"/>
                        <w:bottom w:val="none" w:sz="0" w:space="0" w:color="auto"/>
                        <w:right w:val="none" w:sz="0" w:space="0" w:color="auto"/>
                      </w:divBdr>
                    </w:div>
                    <w:div w:id="705837009">
                      <w:marLeft w:val="0"/>
                      <w:marRight w:val="0"/>
                      <w:marTop w:val="0"/>
                      <w:marBottom w:val="0"/>
                      <w:divBdr>
                        <w:top w:val="none" w:sz="0" w:space="0" w:color="auto"/>
                        <w:left w:val="none" w:sz="0" w:space="0" w:color="auto"/>
                        <w:bottom w:val="none" w:sz="0" w:space="0" w:color="auto"/>
                        <w:right w:val="none" w:sz="0" w:space="0" w:color="auto"/>
                      </w:divBdr>
                    </w:div>
                    <w:div w:id="902637311">
                      <w:marLeft w:val="0"/>
                      <w:marRight w:val="0"/>
                      <w:marTop w:val="0"/>
                      <w:marBottom w:val="0"/>
                      <w:divBdr>
                        <w:top w:val="none" w:sz="0" w:space="0" w:color="auto"/>
                        <w:left w:val="none" w:sz="0" w:space="0" w:color="auto"/>
                        <w:bottom w:val="none" w:sz="0" w:space="0" w:color="auto"/>
                        <w:right w:val="none" w:sz="0" w:space="0" w:color="auto"/>
                      </w:divBdr>
                    </w:div>
                    <w:div w:id="968360441">
                      <w:marLeft w:val="0"/>
                      <w:marRight w:val="0"/>
                      <w:marTop w:val="0"/>
                      <w:marBottom w:val="0"/>
                      <w:divBdr>
                        <w:top w:val="none" w:sz="0" w:space="0" w:color="auto"/>
                        <w:left w:val="none" w:sz="0" w:space="0" w:color="auto"/>
                        <w:bottom w:val="none" w:sz="0" w:space="0" w:color="auto"/>
                        <w:right w:val="none" w:sz="0" w:space="0" w:color="auto"/>
                      </w:divBdr>
                    </w:div>
                    <w:div w:id="1375734599">
                      <w:marLeft w:val="0"/>
                      <w:marRight w:val="0"/>
                      <w:marTop w:val="0"/>
                      <w:marBottom w:val="0"/>
                      <w:divBdr>
                        <w:top w:val="none" w:sz="0" w:space="0" w:color="auto"/>
                        <w:left w:val="none" w:sz="0" w:space="0" w:color="auto"/>
                        <w:bottom w:val="none" w:sz="0" w:space="0" w:color="auto"/>
                        <w:right w:val="none" w:sz="0" w:space="0" w:color="auto"/>
                      </w:divBdr>
                    </w:div>
                    <w:div w:id="1431311808">
                      <w:marLeft w:val="0"/>
                      <w:marRight w:val="0"/>
                      <w:marTop w:val="0"/>
                      <w:marBottom w:val="0"/>
                      <w:divBdr>
                        <w:top w:val="none" w:sz="0" w:space="0" w:color="auto"/>
                        <w:left w:val="none" w:sz="0" w:space="0" w:color="auto"/>
                        <w:bottom w:val="none" w:sz="0" w:space="0" w:color="auto"/>
                        <w:right w:val="none" w:sz="0" w:space="0" w:color="auto"/>
                      </w:divBdr>
                    </w:div>
                    <w:div w:id="1511989235">
                      <w:marLeft w:val="0"/>
                      <w:marRight w:val="0"/>
                      <w:marTop w:val="0"/>
                      <w:marBottom w:val="0"/>
                      <w:divBdr>
                        <w:top w:val="none" w:sz="0" w:space="0" w:color="auto"/>
                        <w:left w:val="none" w:sz="0" w:space="0" w:color="auto"/>
                        <w:bottom w:val="none" w:sz="0" w:space="0" w:color="auto"/>
                        <w:right w:val="none" w:sz="0" w:space="0" w:color="auto"/>
                      </w:divBdr>
                    </w:div>
                    <w:div w:id="1520924719">
                      <w:marLeft w:val="0"/>
                      <w:marRight w:val="0"/>
                      <w:marTop w:val="0"/>
                      <w:marBottom w:val="0"/>
                      <w:divBdr>
                        <w:top w:val="none" w:sz="0" w:space="0" w:color="auto"/>
                        <w:left w:val="none" w:sz="0" w:space="0" w:color="auto"/>
                        <w:bottom w:val="none" w:sz="0" w:space="0" w:color="auto"/>
                        <w:right w:val="none" w:sz="0" w:space="0" w:color="auto"/>
                      </w:divBdr>
                    </w:div>
                    <w:div w:id="1593509540">
                      <w:marLeft w:val="0"/>
                      <w:marRight w:val="0"/>
                      <w:marTop w:val="0"/>
                      <w:marBottom w:val="0"/>
                      <w:divBdr>
                        <w:top w:val="none" w:sz="0" w:space="0" w:color="auto"/>
                        <w:left w:val="none" w:sz="0" w:space="0" w:color="auto"/>
                        <w:bottom w:val="none" w:sz="0" w:space="0" w:color="auto"/>
                        <w:right w:val="none" w:sz="0" w:space="0" w:color="auto"/>
                      </w:divBdr>
                    </w:div>
                    <w:div w:id="1728725230">
                      <w:marLeft w:val="0"/>
                      <w:marRight w:val="0"/>
                      <w:marTop w:val="0"/>
                      <w:marBottom w:val="0"/>
                      <w:divBdr>
                        <w:top w:val="none" w:sz="0" w:space="0" w:color="auto"/>
                        <w:left w:val="none" w:sz="0" w:space="0" w:color="auto"/>
                        <w:bottom w:val="none" w:sz="0" w:space="0" w:color="auto"/>
                        <w:right w:val="none" w:sz="0" w:space="0" w:color="auto"/>
                      </w:divBdr>
                    </w:div>
                    <w:div w:id="2025283220">
                      <w:marLeft w:val="0"/>
                      <w:marRight w:val="0"/>
                      <w:marTop w:val="0"/>
                      <w:marBottom w:val="0"/>
                      <w:divBdr>
                        <w:top w:val="none" w:sz="0" w:space="0" w:color="auto"/>
                        <w:left w:val="none" w:sz="0" w:space="0" w:color="auto"/>
                        <w:bottom w:val="none" w:sz="0" w:space="0" w:color="auto"/>
                        <w:right w:val="none" w:sz="0" w:space="0" w:color="auto"/>
                      </w:divBdr>
                    </w:div>
                    <w:div w:id="2090155118">
                      <w:marLeft w:val="0"/>
                      <w:marRight w:val="0"/>
                      <w:marTop w:val="0"/>
                      <w:marBottom w:val="0"/>
                      <w:divBdr>
                        <w:top w:val="none" w:sz="0" w:space="0" w:color="auto"/>
                        <w:left w:val="none" w:sz="0" w:space="0" w:color="auto"/>
                        <w:bottom w:val="none" w:sz="0" w:space="0" w:color="auto"/>
                        <w:right w:val="none" w:sz="0" w:space="0" w:color="auto"/>
                      </w:divBdr>
                    </w:div>
                  </w:divsChild>
                </w:div>
                <w:div w:id="929124111">
                  <w:marLeft w:val="0"/>
                  <w:marRight w:val="0"/>
                  <w:marTop w:val="0"/>
                  <w:marBottom w:val="0"/>
                  <w:divBdr>
                    <w:top w:val="none" w:sz="0" w:space="0" w:color="auto"/>
                    <w:left w:val="none" w:sz="0" w:space="0" w:color="auto"/>
                    <w:bottom w:val="none" w:sz="0" w:space="0" w:color="auto"/>
                    <w:right w:val="none" w:sz="0" w:space="0" w:color="auto"/>
                  </w:divBdr>
                  <w:divsChild>
                    <w:div w:id="942343480">
                      <w:marLeft w:val="0"/>
                      <w:marRight w:val="0"/>
                      <w:marTop w:val="0"/>
                      <w:marBottom w:val="0"/>
                      <w:divBdr>
                        <w:top w:val="none" w:sz="0" w:space="0" w:color="auto"/>
                        <w:left w:val="none" w:sz="0" w:space="0" w:color="auto"/>
                        <w:bottom w:val="none" w:sz="0" w:space="0" w:color="auto"/>
                        <w:right w:val="none" w:sz="0" w:space="0" w:color="auto"/>
                      </w:divBdr>
                    </w:div>
                  </w:divsChild>
                </w:div>
                <w:div w:id="935750481">
                  <w:marLeft w:val="0"/>
                  <w:marRight w:val="0"/>
                  <w:marTop w:val="0"/>
                  <w:marBottom w:val="0"/>
                  <w:divBdr>
                    <w:top w:val="none" w:sz="0" w:space="0" w:color="auto"/>
                    <w:left w:val="none" w:sz="0" w:space="0" w:color="auto"/>
                    <w:bottom w:val="none" w:sz="0" w:space="0" w:color="auto"/>
                    <w:right w:val="none" w:sz="0" w:space="0" w:color="auto"/>
                  </w:divBdr>
                  <w:divsChild>
                    <w:div w:id="593052641">
                      <w:marLeft w:val="0"/>
                      <w:marRight w:val="0"/>
                      <w:marTop w:val="0"/>
                      <w:marBottom w:val="0"/>
                      <w:divBdr>
                        <w:top w:val="none" w:sz="0" w:space="0" w:color="auto"/>
                        <w:left w:val="none" w:sz="0" w:space="0" w:color="auto"/>
                        <w:bottom w:val="none" w:sz="0" w:space="0" w:color="auto"/>
                        <w:right w:val="none" w:sz="0" w:space="0" w:color="auto"/>
                      </w:divBdr>
                    </w:div>
                  </w:divsChild>
                </w:div>
                <w:div w:id="936058420">
                  <w:marLeft w:val="0"/>
                  <w:marRight w:val="0"/>
                  <w:marTop w:val="0"/>
                  <w:marBottom w:val="0"/>
                  <w:divBdr>
                    <w:top w:val="none" w:sz="0" w:space="0" w:color="auto"/>
                    <w:left w:val="none" w:sz="0" w:space="0" w:color="auto"/>
                    <w:bottom w:val="none" w:sz="0" w:space="0" w:color="auto"/>
                    <w:right w:val="none" w:sz="0" w:space="0" w:color="auto"/>
                  </w:divBdr>
                  <w:divsChild>
                    <w:div w:id="1188984021">
                      <w:marLeft w:val="0"/>
                      <w:marRight w:val="0"/>
                      <w:marTop w:val="0"/>
                      <w:marBottom w:val="0"/>
                      <w:divBdr>
                        <w:top w:val="none" w:sz="0" w:space="0" w:color="auto"/>
                        <w:left w:val="none" w:sz="0" w:space="0" w:color="auto"/>
                        <w:bottom w:val="none" w:sz="0" w:space="0" w:color="auto"/>
                        <w:right w:val="none" w:sz="0" w:space="0" w:color="auto"/>
                      </w:divBdr>
                    </w:div>
                  </w:divsChild>
                </w:div>
                <w:div w:id="940796682">
                  <w:marLeft w:val="0"/>
                  <w:marRight w:val="0"/>
                  <w:marTop w:val="0"/>
                  <w:marBottom w:val="0"/>
                  <w:divBdr>
                    <w:top w:val="none" w:sz="0" w:space="0" w:color="auto"/>
                    <w:left w:val="none" w:sz="0" w:space="0" w:color="auto"/>
                    <w:bottom w:val="none" w:sz="0" w:space="0" w:color="auto"/>
                    <w:right w:val="none" w:sz="0" w:space="0" w:color="auto"/>
                  </w:divBdr>
                  <w:divsChild>
                    <w:div w:id="913857043">
                      <w:marLeft w:val="0"/>
                      <w:marRight w:val="0"/>
                      <w:marTop w:val="0"/>
                      <w:marBottom w:val="0"/>
                      <w:divBdr>
                        <w:top w:val="none" w:sz="0" w:space="0" w:color="auto"/>
                        <w:left w:val="none" w:sz="0" w:space="0" w:color="auto"/>
                        <w:bottom w:val="none" w:sz="0" w:space="0" w:color="auto"/>
                        <w:right w:val="none" w:sz="0" w:space="0" w:color="auto"/>
                      </w:divBdr>
                    </w:div>
                  </w:divsChild>
                </w:div>
                <w:div w:id="951206545">
                  <w:marLeft w:val="0"/>
                  <w:marRight w:val="0"/>
                  <w:marTop w:val="0"/>
                  <w:marBottom w:val="0"/>
                  <w:divBdr>
                    <w:top w:val="none" w:sz="0" w:space="0" w:color="auto"/>
                    <w:left w:val="none" w:sz="0" w:space="0" w:color="auto"/>
                    <w:bottom w:val="none" w:sz="0" w:space="0" w:color="auto"/>
                    <w:right w:val="none" w:sz="0" w:space="0" w:color="auto"/>
                  </w:divBdr>
                  <w:divsChild>
                    <w:div w:id="901915221">
                      <w:marLeft w:val="0"/>
                      <w:marRight w:val="0"/>
                      <w:marTop w:val="0"/>
                      <w:marBottom w:val="0"/>
                      <w:divBdr>
                        <w:top w:val="none" w:sz="0" w:space="0" w:color="auto"/>
                        <w:left w:val="none" w:sz="0" w:space="0" w:color="auto"/>
                        <w:bottom w:val="none" w:sz="0" w:space="0" w:color="auto"/>
                        <w:right w:val="none" w:sz="0" w:space="0" w:color="auto"/>
                      </w:divBdr>
                    </w:div>
                  </w:divsChild>
                </w:div>
                <w:div w:id="956369906">
                  <w:marLeft w:val="0"/>
                  <w:marRight w:val="0"/>
                  <w:marTop w:val="0"/>
                  <w:marBottom w:val="0"/>
                  <w:divBdr>
                    <w:top w:val="none" w:sz="0" w:space="0" w:color="auto"/>
                    <w:left w:val="none" w:sz="0" w:space="0" w:color="auto"/>
                    <w:bottom w:val="none" w:sz="0" w:space="0" w:color="auto"/>
                    <w:right w:val="none" w:sz="0" w:space="0" w:color="auto"/>
                  </w:divBdr>
                  <w:divsChild>
                    <w:div w:id="1433084204">
                      <w:marLeft w:val="0"/>
                      <w:marRight w:val="0"/>
                      <w:marTop w:val="0"/>
                      <w:marBottom w:val="0"/>
                      <w:divBdr>
                        <w:top w:val="none" w:sz="0" w:space="0" w:color="auto"/>
                        <w:left w:val="none" w:sz="0" w:space="0" w:color="auto"/>
                        <w:bottom w:val="none" w:sz="0" w:space="0" w:color="auto"/>
                        <w:right w:val="none" w:sz="0" w:space="0" w:color="auto"/>
                      </w:divBdr>
                    </w:div>
                  </w:divsChild>
                </w:div>
                <w:div w:id="959533335">
                  <w:marLeft w:val="0"/>
                  <w:marRight w:val="0"/>
                  <w:marTop w:val="0"/>
                  <w:marBottom w:val="0"/>
                  <w:divBdr>
                    <w:top w:val="none" w:sz="0" w:space="0" w:color="auto"/>
                    <w:left w:val="none" w:sz="0" w:space="0" w:color="auto"/>
                    <w:bottom w:val="none" w:sz="0" w:space="0" w:color="auto"/>
                    <w:right w:val="none" w:sz="0" w:space="0" w:color="auto"/>
                  </w:divBdr>
                  <w:divsChild>
                    <w:div w:id="2112160336">
                      <w:marLeft w:val="0"/>
                      <w:marRight w:val="0"/>
                      <w:marTop w:val="0"/>
                      <w:marBottom w:val="0"/>
                      <w:divBdr>
                        <w:top w:val="none" w:sz="0" w:space="0" w:color="auto"/>
                        <w:left w:val="none" w:sz="0" w:space="0" w:color="auto"/>
                        <w:bottom w:val="none" w:sz="0" w:space="0" w:color="auto"/>
                        <w:right w:val="none" w:sz="0" w:space="0" w:color="auto"/>
                      </w:divBdr>
                    </w:div>
                  </w:divsChild>
                </w:div>
                <w:div w:id="963775689">
                  <w:marLeft w:val="0"/>
                  <w:marRight w:val="0"/>
                  <w:marTop w:val="0"/>
                  <w:marBottom w:val="0"/>
                  <w:divBdr>
                    <w:top w:val="none" w:sz="0" w:space="0" w:color="auto"/>
                    <w:left w:val="none" w:sz="0" w:space="0" w:color="auto"/>
                    <w:bottom w:val="none" w:sz="0" w:space="0" w:color="auto"/>
                    <w:right w:val="none" w:sz="0" w:space="0" w:color="auto"/>
                  </w:divBdr>
                  <w:divsChild>
                    <w:div w:id="753361121">
                      <w:marLeft w:val="0"/>
                      <w:marRight w:val="0"/>
                      <w:marTop w:val="0"/>
                      <w:marBottom w:val="0"/>
                      <w:divBdr>
                        <w:top w:val="none" w:sz="0" w:space="0" w:color="auto"/>
                        <w:left w:val="none" w:sz="0" w:space="0" w:color="auto"/>
                        <w:bottom w:val="none" w:sz="0" w:space="0" w:color="auto"/>
                        <w:right w:val="none" w:sz="0" w:space="0" w:color="auto"/>
                      </w:divBdr>
                    </w:div>
                  </w:divsChild>
                </w:div>
                <w:div w:id="967664629">
                  <w:marLeft w:val="0"/>
                  <w:marRight w:val="0"/>
                  <w:marTop w:val="0"/>
                  <w:marBottom w:val="0"/>
                  <w:divBdr>
                    <w:top w:val="none" w:sz="0" w:space="0" w:color="auto"/>
                    <w:left w:val="none" w:sz="0" w:space="0" w:color="auto"/>
                    <w:bottom w:val="none" w:sz="0" w:space="0" w:color="auto"/>
                    <w:right w:val="none" w:sz="0" w:space="0" w:color="auto"/>
                  </w:divBdr>
                  <w:divsChild>
                    <w:div w:id="314333038">
                      <w:marLeft w:val="0"/>
                      <w:marRight w:val="0"/>
                      <w:marTop w:val="0"/>
                      <w:marBottom w:val="0"/>
                      <w:divBdr>
                        <w:top w:val="none" w:sz="0" w:space="0" w:color="auto"/>
                        <w:left w:val="none" w:sz="0" w:space="0" w:color="auto"/>
                        <w:bottom w:val="none" w:sz="0" w:space="0" w:color="auto"/>
                        <w:right w:val="none" w:sz="0" w:space="0" w:color="auto"/>
                      </w:divBdr>
                    </w:div>
                  </w:divsChild>
                </w:div>
                <w:div w:id="968902217">
                  <w:marLeft w:val="0"/>
                  <w:marRight w:val="0"/>
                  <w:marTop w:val="0"/>
                  <w:marBottom w:val="0"/>
                  <w:divBdr>
                    <w:top w:val="none" w:sz="0" w:space="0" w:color="auto"/>
                    <w:left w:val="none" w:sz="0" w:space="0" w:color="auto"/>
                    <w:bottom w:val="none" w:sz="0" w:space="0" w:color="auto"/>
                    <w:right w:val="none" w:sz="0" w:space="0" w:color="auto"/>
                  </w:divBdr>
                  <w:divsChild>
                    <w:div w:id="242572002">
                      <w:marLeft w:val="0"/>
                      <w:marRight w:val="0"/>
                      <w:marTop w:val="0"/>
                      <w:marBottom w:val="0"/>
                      <w:divBdr>
                        <w:top w:val="none" w:sz="0" w:space="0" w:color="auto"/>
                        <w:left w:val="none" w:sz="0" w:space="0" w:color="auto"/>
                        <w:bottom w:val="none" w:sz="0" w:space="0" w:color="auto"/>
                        <w:right w:val="none" w:sz="0" w:space="0" w:color="auto"/>
                      </w:divBdr>
                    </w:div>
                  </w:divsChild>
                </w:div>
                <w:div w:id="983194544">
                  <w:marLeft w:val="0"/>
                  <w:marRight w:val="0"/>
                  <w:marTop w:val="0"/>
                  <w:marBottom w:val="0"/>
                  <w:divBdr>
                    <w:top w:val="none" w:sz="0" w:space="0" w:color="auto"/>
                    <w:left w:val="none" w:sz="0" w:space="0" w:color="auto"/>
                    <w:bottom w:val="none" w:sz="0" w:space="0" w:color="auto"/>
                    <w:right w:val="none" w:sz="0" w:space="0" w:color="auto"/>
                  </w:divBdr>
                  <w:divsChild>
                    <w:div w:id="1578172941">
                      <w:marLeft w:val="0"/>
                      <w:marRight w:val="0"/>
                      <w:marTop w:val="0"/>
                      <w:marBottom w:val="0"/>
                      <w:divBdr>
                        <w:top w:val="none" w:sz="0" w:space="0" w:color="auto"/>
                        <w:left w:val="none" w:sz="0" w:space="0" w:color="auto"/>
                        <w:bottom w:val="none" w:sz="0" w:space="0" w:color="auto"/>
                        <w:right w:val="none" w:sz="0" w:space="0" w:color="auto"/>
                      </w:divBdr>
                    </w:div>
                  </w:divsChild>
                </w:div>
                <w:div w:id="983698601">
                  <w:marLeft w:val="0"/>
                  <w:marRight w:val="0"/>
                  <w:marTop w:val="0"/>
                  <w:marBottom w:val="0"/>
                  <w:divBdr>
                    <w:top w:val="none" w:sz="0" w:space="0" w:color="auto"/>
                    <w:left w:val="none" w:sz="0" w:space="0" w:color="auto"/>
                    <w:bottom w:val="none" w:sz="0" w:space="0" w:color="auto"/>
                    <w:right w:val="none" w:sz="0" w:space="0" w:color="auto"/>
                  </w:divBdr>
                  <w:divsChild>
                    <w:div w:id="162401215">
                      <w:marLeft w:val="0"/>
                      <w:marRight w:val="0"/>
                      <w:marTop w:val="0"/>
                      <w:marBottom w:val="0"/>
                      <w:divBdr>
                        <w:top w:val="none" w:sz="0" w:space="0" w:color="auto"/>
                        <w:left w:val="none" w:sz="0" w:space="0" w:color="auto"/>
                        <w:bottom w:val="none" w:sz="0" w:space="0" w:color="auto"/>
                        <w:right w:val="none" w:sz="0" w:space="0" w:color="auto"/>
                      </w:divBdr>
                    </w:div>
                  </w:divsChild>
                </w:div>
                <w:div w:id="983898608">
                  <w:marLeft w:val="0"/>
                  <w:marRight w:val="0"/>
                  <w:marTop w:val="0"/>
                  <w:marBottom w:val="0"/>
                  <w:divBdr>
                    <w:top w:val="none" w:sz="0" w:space="0" w:color="auto"/>
                    <w:left w:val="none" w:sz="0" w:space="0" w:color="auto"/>
                    <w:bottom w:val="none" w:sz="0" w:space="0" w:color="auto"/>
                    <w:right w:val="none" w:sz="0" w:space="0" w:color="auto"/>
                  </w:divBdr>
                  <w:divsChild>
                    <w:div w:id="876116655">
                      <w:marLeft w:val="0"/>
                      <w:marRight w:val="0"/>
                      <w:marTop w:val="0"/>
                      <w:marBottom w:val="0"/>
                      <w:divBdr>
                        <w:top w:val="none" w:sz="0" w:space="0" w:color="auto"/>
                        <w:left w:val="none" w:sz="0" w:space="0" w:color="auto"/>
                        <w:bottom w:val="none" w:sz="0" w:space="0" w:color="auto"/>
                        <w:right w:val="none" w:sz="0" w:space="0" w:color="auto"/>
                      </w:divBdr>
                    </w:div>
                  </w:divsChild>
                </w:div>
                <w:div w:id="999968997">
                  <w:marLeft w:val="0"/>
                  <w:marRight w:val="0"/>
                  <w:marTop w:val="0"/>
                  <w:marBottom w:val="0"/>
                  <w:divBdr>
                    <w:top w:val="none" w:sz="0" w:space="0" w:color="auto"/>
                    <w:left w:val="none" w:sz="0" w:space="0" w:color="auto"/>
                    <w:bottom w:val="none" w:sz="0" w:space="0" w:color="auto"/>
                    <w:right w:val="none" w:sz="0" w:space="0" w:color="auto"/>
                  </w:divBdr>
                  <w:divsChild>
                    <w:div w:id="901332040">
                      <w:marLeft w:val="0"/>
                      <w:marRight w:val="0"/>
                      <w:marTop w:val="0"/>
                      <w:marBottom w:val="0"/>
                      <w:divBdr>
                        <w:top w:val="none" w:sz="0" w:space="0" w:color="auto"/>
                        <w:left w:val="none" w:sz="0" w:space="0" w:color="auto"/>
                        <w:bottom w:val="none" w:sz="0" w:space="0" w:color="auto"/>
                        <w:right w:val="none" w:sz="0" w:space="0" w:color="auto"/>
                      </w:divBdr>
                    </w:div>
                  </w:divsChild>
                </w:div>
                <w:div w:id="1001082961">
                  <w:marLeft w:val="0"/>
                  <w:marRight w:val="0"/>
                  <w:marTop w:val="0"/>
                  <w:marBottom w:val="0"/>
                  <w:divBdr>
                    <w:top w:val="none" w:sz="0" w:space="0" w:color="auto"/>
                    <w:left w:val="none" w:sz="0" w:space="0" w:color="auto"/>
                    <w:bottom w:val="none" w:sz="0" w:space="0" w:color="auto"/>
                    <w:right w:val="none" w:sz="0" w:space="0" w:color="auto"/>
                  </w:divBdr>
                  <w:divsChild>
                    <w:div w:id="2035226604">
                      <w:marLeft w:val="0"/>
                      <w:marRight w:val="0"/>
                      <w:marTop w:val="0"/>
                      <w:marBottom w:val="0"/>
                      <w:divBdr>
                        <w:top w:val="none" w:sz="0" w:space="0" w:color="auto"/>
                        <w:left w:val="none" w:sz="0" w:space="0" w:color="auto"/>
                        <w:bottom w:val="none" w:sz="0" w:space="0" w:color="auto"/>
                        <w:right w:val="none" w:sz="0" w:space="0" w:color="auto"/>
                      </w:divBdr>
                    </w:div>
                  </w:divsChild>
                </w:div>
                <w:div w:id="1027096411">
                  <w:marLeft w:val="0"/>
                  <w:marRight w:val="0"/>
                  <w:marTop w:val="0"/>
                  <w:marBottom w:val="0"/>
                  <w:divBdr>
                    <w:top w:val="none" w:sz="0" w:space="0" w:color="auto"/>
                    <w:left w:val="none" w:sz="0" w:space="0" w:color="auto"/>
                    <w:bottom w:val="none" w:sz="0" w:space="0" w:color="auto"/>
                    <w:right w:val="none" w:sz="0" w:space="0" w:color="auto"/>
                  </w:divBdr>
                  <w:divsChild>
                    <w:div w:id="577636794">
                      <w:marLeft w:val="0"/>
                      <w:marRight w:val="0"/>
                      <w:marTop w:val="0"/>
                      <w:marBottom w:val="0"/>
                      <w:divBdr>
                        <w:top w:val="none" w:sz="0" w:space="0" w:color="auto"/>
                        <w:left w:val="none" w:sz="0" w:space="0" w:color="auto"/>
                        <w:bottom w:val="none" w:sz="0" w:space="0" w:color="auto"/>
                        <w:right w:val="none" w:sz="0" w:space="0" w:color="auto"/>
                      </w:divBdr>
                    </w:div>
                  </w:divsChild>
                </w:div>
                <w:div w:id="1034773090">
                  <w:marLeft w:val="0"/>
                  <w:marRight w:val="0"/>
                  <w:marTop w:val="0"/>
                  <w:marBottom w:val="0"/>
                  <w:divBdr>
                    <w:top w:val="none" w:sz="0" w:space="0" w:color="auto"/>
                    <w:left w:val="none" w:sz="0" w:space="0" w:color="auto"/>
                    <w:bottom w:val="none" w:sz="0" w:space="0" w:color="auto"/>
                    <w:right w:val="none" w:sz="0" w:space="0" w:color="auto"/>
                  </w:divBdr>
                  <w:divsChild>
                    <w:div w:id="1250697146">
                      <w:marLeft w:val="0"/>
                      <w:marRight w:val="0"/>
                      <w:marTop w:val="0"/>
                      <w:marBottom w:val="0"/>
                      <w:divBdr>
                        <w:top w:val="none" w:sz="0" w:space="0" w:color="auto"/>
                        <w:left w:val="none" w:sz="0" w:space="0" w:color="auto"/>
                        <w:bottom w:val="none" w:sz="0" w:space="0" w:color="auto"/>
                        <w:right w:val="none" w:sz="0" w:space="0" w:color="auto"/>
                      </w:divBdr>
                    </w:div>
                  </w:divsChild>
                </w:div>
                <w:div w:id="1042366749">
                  <w:marLeft w:val="0"/>
                  <w:marRight w:val="0"/>
                  <w:marTop w:val="0"/>
                  <w:marBottom w:val="0"/>
                  <w:divBdr>
                    <w:top w:val="none" w:sz="0" w:space="0" w:color="auto"/>
                    <w:left w:val="none" w:sz="0" w:space="0" w:color="auto"/>
                    <w:bottom w:val="none" w:sz="0" w:space="0" w:color="auto"/>
                    <w:right w:val="none" w:sz="0" w:space="0" w:color="auto"/>
                  </w:divBdr>
                  <w:divsChild>
                    <w:div w:id="1105231666">
                      <w:marLeft w:val="0"/>
                      <w:marRight w:val="0"/>
                      <w:marTop w:val="0"/>
                      <w:marBottom w:val="0"/>
                      <w:divBdr>
                        <w:top w:val="none" w:sz="0" w:space="0" w:color="auto"/>
                        <w:left w:val="none" w:sz="0" w:space="0" w:color="auto"/>
                        <w:bottom w:val="none" w:sz="0" w:space="0" w:color="auto"/>
                        <w:right w:val="none" w:sz="0" w:space="0" w:color="auto"/>
                      </w:divBdr>
                    </w:div>
                  </w:divsChild>
                </w:div>
                <w:div w:id="1074744450">
                  <w:marLeft w:val="0"/>
                  <w:marRight w:val="0"/>
                  <w:marTop w:val="0"/>
                  <w:marBottom w:val="0"/>
                  <w:divBdr>
                    <w:top w:val="none" w:sz="0" w:space="0" w:color="auto"/>
                    <w:left w:val="none" w:sz="0" w:space="0" w:color="auto"/>
                    <w:bottom w:val="none" w:sz="0" w:space="0" w:color="auto"/>
                    <w:right w:val="none" w:sz="0" w:space="0" w:color="auto"/>
                  </w:divBdr>
                  <w:divsChild>
                    <w:div w:id="1716276608">
                      <w:marLeft w:val="0"/>
                      <w:marRight w:val="0"/>
                      <w:marTop w:val="0"/>
                      <w:marBottom w:val="0"/>
                      <w:divBdr>
                        <w:top w:val="none" w:sz="0" w:space="0" w:color="auto"/>
                        <w:left w:val="none" w:sz="0" w:space="0" w:color="auto"/>
                        <w:bottom w:val="none" w:sz="0" w:space="0" w:color="auto"/>
                        <w:right w:val="none" w:sz="0" w:space="0" w:color="auto"/>
                      </w:divBdr>
                    </w:div>
                  </w:divsChild>
                </w:div>
                <w:div w:id="1081293740">
                  <w:marLeft w:val="0"/>
                  <w:marRight w:val="0"/>
                  <w:marTop w:val="0"/>
                  <w:marBottom w:val="0"/>
                  <w:divBdr>
                    <w:top w:val="none" w:sz="0" w:space="0" w:color="auto"/>
                    <w:left w:val="none" w:sz="0" w:space="0" w:color="auto"/>
                    <w:bottom w:val="none" w:sz="0" w:space="0" w:color="auto"/>
                    <w:right w:val="none" w:sz="0" w:space="0" w:color="auto"/>
                  </w:divBdr>
                  <w:divsChild>
                    <w:div w:id="888297757">
                      <w:marLeft w:val="0"/>
                      <w:marRight w:val="0"/>
                      <w:marTop w:val="0"/>
                      <w:marBottom w:val="0"/>
                      <w:divBdr>
                        <w:top w:val="none" w:sz="0" w:space="0" w:color="auto"/>
                        <w:left w:val="none" w:sz="0" w:space="0" w:color="auto"/>
                        <w:bottom w:val="none" w:sz="0" w:space="0" w:color="auto"/>
                        <w:right w:val="none" w:sz="0" w:space="0" w:color="auto"/>
                      </w:divBdr>
                    </w:div>
                  </w:divsChild>
                </w:div>
                <w:div w:id="1109085174">
                  <w:marLeft w:val="0"/>
                  <w:marRight w:val="0"/>
                  <w:marTop w:val="0"/>
                  <w:marBottom w:val="0"/>
                  <w:divBdr>
                    <w:top w:val="none" w:sz="0" w:space="0" w:color="auto"/>
                    <w:left w:val="none" w:sz="0" w:space="0" w:color="auto"/>
                    <w:bottom w:val="none" w:sz="0" w:space="0" w:color="auto"/>
                    <w:right w:val="none" w:sz="0" w:space="0" w:color="auto"/>
                  </w:divBdr>
                  <w:divsChild>
                    <w:div w:id="962157596">
                      <w:marLeft w:val="0"/>
                      <w:marRight w:val="0"/>
                      <w:marTop w:val="0"/>
                      <w:marBottom w:val="0"/>
                      <w:divBdr>
                        <w:top w:val="none" w:sz="0" w:space="0" w:color="auto"/>
                        <w:left w:val="none" w:sz="0" w:space="0" w:color="auto"/>
                        <w:bottom w:val="none" w:sz="0" w:space="0" w:color="auto"/>
                        <w:right w:val="none" w:sz="0" w:space="0" w:color="auto"/>
                      </w:divBdr>
                    </w:div>
                  </w:divsChild>
                </w:div>
                <w:div w:id="1111390797">
                  <w:marLeft w:val="0"/>
                  <w:marRight w:val="0"/>
                  <w:marTop w:val="0"/>
                  <w:marBottom w:val="0"/>
                  <w:divBdr>
                    <w:top w:val="none" w:sz="0" w:space="0" w:color="auto"/>
                    <w:left w:val="none" w:sz="0" w:space="0" w:color="auto"/>
                    <w:bottom w:val="none" w:sz="0" w:space="0" w:color="auto"/>
                    <w:right w:val="none" w:sz="0" w:space="0" w:color="auto"/>
                  </w:divBdr>
                  <w:divsChild>
                    <w:div w:id="1601909455">
                      <w:marLeft w:val="0"/>
                      <w:marRight w:val="0"/>
                      <w:marTop w:val="0"/>
                      <w:marBottom w:val="0"/>
                      <w:divBdr>
                        <w:top w:val="none" w:sz="0" w:space="0" w:color="auto"/>
                        <w:left w:val="none" w:sz="0" w:space="0" w:color="auto"/>
                        <w:bottom w:val="none" w:sz="0" w:space="0" w:color="auto"/>
                        <w:right w:val="none" w:sz="0" w:space="0" w:color="auto"/>
                      </w:divBdr>
                    </w:div>
                  </w:divsChild>
                </w:div>
                <w:div w:id="1120030035">
                  <w:marLeft w:val="0"/>
                  <w:marRight w:val="0"/>
                  <w:marTop w:val="0"/>
                  <w:marBottom w:val="0"/>
                  <w:divBdr>
                    <w:top w:val="none" w:sz="0" w:space="0" w:color="auto"/>
                    <w:left w:val="none" w:sz="0" w:space="0" w:color="auto"/>
                    <w:bottom w:val="none" w:sz="0" w:space="0" w:color="auto"/>
                    <w:right w:val="none" w:sz="0" w:space="0" w:color="auto"/>
                  </w:divBdr>
                  <w:divsChild>
                    <w:div w:id="757360579">
                      <w:marLeft w:val="0"/>
                      <w:marRight w:val="0"/>
                      <w:marTop w:val="0"/>
                      <w:marBottom w:val="0"/>
                      <w:divBdr>
                        <w:top w:val="none" w:sz="0" w:space="0" w:color="auto"/>
                        <w:left w:val="none" w:sz="0" w:space="0" w:color="auto"/>
                        <w:bottom w:val="none" w:sz="0" w:space="0" w:color="auto"/>
                        <w:right w:val="none" w:sz="0" w:space="0" w:color="auto"/>
                      </w:divBdr>
                    </w:div>
                  </w:divsChild>
                </w:div>
                <w:div w:id="1138571596">
                  <w:marLeft w:val="0"/>
                  <w:marRight w:val="0"/>
                  <w:marTop w:val="0"/>
                  <w:marBottom w:val="0"/>
                  <w:divBdr>
                    <w:top w:val="none" w:sz="0" w:space="0" w:color="auto"/>
                    <w:left w:val="none" w:sz="0" w:space="0" w:color="auto"/>
                    <w:bottom w:val="none" w:sz="0" w:space="0" w:color="auto"/>
                    <w:right w:val="none" w:sz="0" w:space="0" w:color="auto"/>
                  </w:divBdr>
                  <w:divsChild>
                    <w:div w:id="47077811">
                      <w:marLeft w:val="0"/>
                      <w:marRight w:val="0"/>
                      <w:marTop w:val="0"/>
                      <w:marBottom w:val="0"/>
                      <w:divBdr>
                        <w:top w:val="none" w:sz="0" w:space="0" w:color="auto"/>
                        <w:left w:val="none" w:sz="0" w:space="0" w:color="auto"/>
                        <w:bottom w:val="none" w:sz="0" w:space="0" w:color="auto"/>
                        <w:right w:val="none" w:sz="0" w:space="0" w:color="auto"/>
                      </w:divBdr>
                    </w:div>
                  </w:divsChild>
                </w:div>
                <w:div w:id="1148665283">
                  <w:marLeft w:val="0"/>
                  <w:marRight w:val="0"/>
                  <w:marTop w:val="0"/>
                  <w:marBottom w:val="0"/>
                  <w:divBdr>
                    <w:top w:val="none" w:sz="0" w:space="0" w:color="auto"/>
                    <w:left w:val="none" w:sz="0" w:space="0" w:color="auto"/>
                    <w:bottom w:val="none" w:sz="0" w:space="0" w:color="auto"/>
                    <w:right w:val="none" w:sz="0" w:space="0" w:color="auto"/>
                  </w:divBdr>
                  <w:divsChild>
                    <w:div w:id="1330794467">
                      <w:marLeft w:val="0"/>
                      <w:marRight w:val="0"/>
                      <w:marTop w:val="0"/>
                      <w:marBottom w:val="0"/>
                      <w:divBdr>
                        <w:top w:val="none" w:sz="0" w:space="0" w:color="auto"/>
                        <w:left w:val="none" w:sz="0" w:space="0" w:color="auto"/>
                        <w:bottom w:val="none" w:sz="0" w:space="0" w:color="auto"/>
                        <w:right w:val="none" w:sz="0" w:space="0" w:color="auto"/>
                      </w:divBdr>
                    </w:div>
                  </w:divsChild>
                </w:div>
                <w:div w:id="1151360906">
                  <w:marLeft w:val="0"/>
                  <w:marRight w:val="0"/>
                  <w:marTop w:val="0"/>
                  <w:marBottom w:val="0"/>
                  <w:divBdr>
                    <w:top w:val="none" w:sz="0" w:space="0" w:color="auto"/>
                    <w:left w:val="none" w:sz="0" w:space="0" w:color="auto"/>
                    <w:bottom w:val="none" w:sz="0" w:space="0" w:color="auto"/>
                    <w:right w:val="none" w:sz="0" w:space="0" w:color="auto"/>
                  </w:divBdr>
                  <w:divsChild>
                    <w:div w:id="697394155">
                      <w:marLeft w:val="0"/>
                      <w:marRight w:val="0"/>
                      <w:marTop w:val="0"/>
                      <w:marBottom w:val="0"/>
                      <w:divBdr>
                        <w:top w:val="none" w:sz="0" w:space="0" w:color="auto"/>
                        <w:left w:val="none" w:sz="0" w:space="0" w:color="auto"/>
                        <w:bottom w:val="none" w:sz="0" w:space="0" w:color="auto"/>
                        <w:right w:val="none" w:sz="0" w:space="0" w:color="auto"/>
                      </w:divBdr>
                    </w:div>
                  </w:divsChild>
                </w:div>
                <w:div w:id="1178808787">
                  <w:marLeft w:val="0"/>
                  <w:marRight w:val="0"/>
                  <w:marTop w:val="0"/>
                  <w:marBottom w:val="0"/>
                  <w:divBdr>
                    <w:top w:val="none" w:sz="0" w:space="0" w:color="auto"/>
                    <w:left w:val="none" w:sz="0" w:space="0" w:color="auto"/>
                    <w:bottom w:val="none" w:sz="0" w:space="0" w:color="auto"/>
                    <w:right w:val="none" w:sz="0" w:space="0" w:color="auto"/>
                  </w:divBdr>
                  <w:divsChild>
                    <w:div w:id="479157396">
                      <w:marLeft w:val="0"/>
                      <w:marRight w:val="0"/>
                      <w:marTop w:val="0"/>
                      <w:marBottom w:val="0"/>
                      <w:divBdr>
                        <w:top w:val="none" w:sz="0" w:space="0" w:color="auto"/>
                        <w:left w:val="none" w:sz="0" w:space="0" w:color="auto"/>
                        <w:bottom w:val="none" w:sz="0" w:space="0" w:color="auto"/>
                        <w:right w:val="none" w:sz="0" w:space="0" w:color="auto"/>
                      </w:divBdr>
                    </w:div>
                  </w:divsChild>
                </w:div>
                <w:div w:id="1182478430">
                  <w:marLeft w:val="0"/>
                  <w:marRight w:val="0"/>
                  <w:marTop w:val="0"/>
                  <w:marBottom w:val="0"/>
                  <w:divBdr>
                    <w:top w:val="none" w:sz="0" w:space="0" w:color="auto"/>
                    <w:left w:val="none" w:sz="0" w:space="0" w:color="auto"/>
                    <w:bottom w:val="none" w:sz="0" w:space="0" w:color="auto"/>
                    <w:right w:val="none" w:sz="0" w:space="0" w:color="auto"/>
                  </w:divBdr>
                  <w:divsChild>
                    <w:div w:id="1428308952">
                      <w:marLeft w:val="0"/>
                      <w:marRight w:val="0"/>
                      <w:marTop w:val="0"/>
                      <w:marBottom w:val="0"/>
                      <w:divBdr>
                        <w:top w:val="none" w:sz="0" w:space="0" w:color="auto"/>
                        <w:left w:val="none" w:sz="0" w:space="0" w:color="auto"/>
                        <w:bottom w:val="none" w:sz="0" w:space="0" w:color="auto"/>
                        <w:right w:val="none" w:sz="0" w:space="0" w:color="auto"/>
                      </w:divBdr>
                    </w:div>
                  </w:divsChild>
                </w:div>
                <w:div w:id="1201288209">
                  <w:marLeft w:val="0"/>
                  <w:marRight w:val="0"/>
                  <w:marTop w:val="0"/>
                  <w:marBottom w:val="0"/>
                  <w:divBdr>
                    <w:top w:val="none" w:sz="0" w:space="0" w:color="auto"/>
                    <w:left w:val="none" w:sz="0" w:space="0" w:color="auto"/>
                    <w:bottom w:val="none" w:sz="0" w:space="0" w:color="auto"/>
                    <w:right w:val="none" w:sz="0" w:space="0" w:color="auto"/>
                  </w:divBdr>
                  <w:divsChild>
                    <w:div w:id="94447837">
                      <w:marLeft w:val="0"/>
                      <w:marRight w:val="0"/>
                      <w:marTop w:val="0"/>
                      <w:marBottom w:val="0"/>
                      <w:divBdr>
                        <w:top w:val="none" w:sz="0" w:space="0" w:color="auto"/>
                        <w:left w:val="none" w:sz="0" w:space="0" w:color="auto"/>
                        <w:bottom w:val="none" w:sz="0" w:space="0" w:color="auto"/>
                        <w:right w:val="none" w:sz="0" w:space="0" w:color="auto"/>
                      </w:divBdr>
                    </w:div>
                  </w:divsChild>
                </w:div>
                <w:div w:id="1210410700">
                  <w:marLeft w:val="0"/>
                  <w:marRight w:val="0"/>
                  <w:marTop w:val="0"/>
                  <w:marBottom w:val="0"/>
                  <w:divBdr>
                    <w:top w:val="none" w:sz="0" w:space="0" w:color="auto"/>
                    <w:left w:val="none" w:sz="0" w:space="0" w:color="auto"/>
                    <w:bottom w:val="none" w:sz="0" w:space="0" w:color="auto"/>
                    <w:right w:val="none" w:sz="0" w:space="0" w:color="auto"/>
                  </w:divBdr>
                  <w:divsChild>
                    <w:div w:id="1830974334">
                      <w:marLeft w:val="0"/>
                      <w:marRight w:val="0"/>
                      <w:marTop w:val="0"/>
                      <w:marBottom w:val="0"/>
                      <w:divBdr>
                        <w:top w:val="none" w:sz="0" w:space="0" w:color="auto"/>
                        <w:left w:val="none" w:sz="0" w:space="0" w:color="auto"/>
                        <w:bottom w:val="none" w:sz="0" w:space="0" w:color="auto"/>
                        <w:right w:val="none" w:sz="0" w:space="0" w:color="auto"/>
                      </w:divBdr>
                    </w:div>
                  </w:divsChild>
                </w:div>
                <w:div w:id="1213807959">
                  <w:marLeft w:val="0"/>
                  <w:marRight w:val="0"/>
                  <w:marTop w:val="0"/>
                  <w:marBottom w:val="0"/>
                  <w:divBdr>
                    <w:top w:val="none" w:sz="0" w:space="0" w:color="auto"/>
                    <w:left w:val="none" w:sz="0" w:space="0" w:color="auto"/>
                    <w:bottom w:val="none" w:sz="0" w:space="0" w:color="auto"/>
                    <w:right w:val="none" w:sz="0" w:space="0" w:color="auto"/>
                  </w:divBdr>
                  <w:divsChild>
                    <w:div w:id="1475372858">
                      <w:marLeft w:val="0"/>
                      <w:marRight w:val="0"/>
                      <w:marTop w:val="0"/>
                      <w:marBottom w:val="0"/>
                      <w:divBdr>
                        <w:top w:val="none" w:sz="0" w:space="0" w:color="auto"/>
                        <w:left w:val="none" w:sz="0" w:space="0" w:color="auto"/>
                        <w:bottom w:val="none" w:sz="0" w:space="0" w:color="auto"/>
                        <w:right w:val="none" w:sz="0" w:space="0" w:color="auto"/>
                      </w:divBdr>
                    </w:div>
                  </w:divsChild>
                </w:div>
                <w:div w:id="1214393428">
                  <w:marLeft w:val="0"/>
                  <w:marRight w:val="0"/>
                  <w:marTop w:val="0"/>
                  <w:marBottom w:val="0"/>
                  <w:divBdr>
                    <w:top w:val="none" w:sz="0" w:space="0" w:color="auto"/>
                    <w:left w:val="none" w:sz="0" w:space="0" w:color="auto"/>
                    <w:bottom w:val="none" w:sz="0" w:space="0" w:color="auto"/>
                    <w:right w:val="none" w:sz="0" w:space="0" w:color="auto"/>
                  </w:divBdr>
                  <w:divsChild>
                    <w:div w:id="1663579548">
                      <w:marLeft w:val="0"/>
                      <w:marRight w:val="0"/>
                      <w:marTop w:val="0"/>
                      <w:marBottom w:val="0"/>
                      <w:divBdr>
                        <w:top w:val="none" w:sz="0" w:space="0" w:color="auto"/>
                        <w:left w:val="none" w:sz="0" w:space="0" w:color="auto"/>
                        <w:bottom w:val="none" w:sz="0" w:space="0" w:color="auto"/>
                        <w:right w:val="none" w:sz="0" w:space="0" w:color="auto"/>
                      </w:divBdr>
                    </w:div>
                  </w:divsChild>
                </w:div>
                <w:div w:id="1220940811">
                  <w:marLeft w:val="0"/>
                  <w:marRight w:val="0"/>
                  <w:marTop w:val="0"/>
                  <w:marBottom w:val="0"/>
                  <w:divBdr>
                    <w:top w:val="none" w:sz="0" w:space="0" w:color="auto"/>
                    <w:left w:val="none" w:sz="0" w:space="0" w:color="auto"/>
                    <w:bottom w:val="none" w:sz="0" w:space="0" w:color="auto"/>
                    <w:right w:val="none" w:sz="0" w:space="0" w:color="auto"/>
                  </w:divBdr>
                  <w:divsChild>
                    <w:div w:id="876313003">
                      <w:marLeft w:val="0"/>
                      <w:marRight w:val="0"/>
                      <w:marTop w:val="0"/>
                      <w:marBottom w:val="0"/>
                      <w:divBdr>
                        <w:top w:val="none" w:sz="0" w:space="0" w:color="auto"/>
                        <w:left w:val="none" w:sz="0" w:space="0" w:color="auto"/>
                        <w:bottom w:val="none" w:sz="0" w:space="0" w:color="auto"/>
                        <w:right w:val="none" w:sz="0" w:space="0" w:color="auto"/>
                      </w:divBdr>
                    </w:div>
                  </w:divsChild>
                </w:div>
                <w:div w:id="1234776642">
                  <w:marLeft w:val="0"/>
                  <w:marRight w:val="0"/>
                  <w:marTop w:val="0"/>
                  <w:marBottom w:val="0"/>
                  <w:divBdr>
                    <w:top w:val="none" w:sz="0" w:space="0" w:color="auto"/>
                    <w:left w:val="none" w:sz="0" w:space="0" w:color="auto"/>
                    <w:bottom w:val="none" w:sz="0" w:space="0" w:color="auto"/>
                    <w:right w:val="none" w:sz="0" w:space="0" w:color="auto"/>
                  </w:divBdr>
                  <w:divsChild>
                    <w:div w:id="1950962826">
                      <w:marLeft w:val="0"/>
                      <w:marRight w:val="0"/>
                      <w:marTop w:val="0"/>
                      <w:marBottom w:val="0"/>
                      <w:divBdr>
                        <w:top w:val="none" w:sz="0" w:space="0" w:color="auto"/>
                        <w:left w:val="none" w:sz="0" w:space="0" w:color="auto"/>
                        <w:bottom w:val="none" w:sz="0" w:space="0" w:color="auto"/>
                        <w:right w:val="none" w:sz="0" w:space="0" w:color="auto"/>
                      </w:divBdr>
                    </w:div>
                  </w:divsChild>
                </w:div>
                <w:div w:id="1237277964">
                  <w:marLeft w:val="0"/>
                  <w:marRight w:val="0"/>
                  <w:marTop w:val="0"/>
                  <w:marBottom w:val="0"/>
                  <w:divBdr>
                    <w:top w:val="none" w:sz="0" w:space="0" w:color="auto"/>
                    <w:left w:val="none" w:sz="0" w:space="0" w:color="auto"/>
                    <w:bottom w:val="none" w:sz="0" w:space="0" w:color="auto"/>
                    <w:right w:val="none" w:sz="0" w:space="0" w:color="auto"/>
                  </w:divBdr>
                  <w:divsChild>
                    <w:div w:id="1548176905">
                      <w:marLeft w:val="0"/>
                      <w:marRight w:val="0"/>
                      <w:marTop w:val="0"/>
                      <w:marBottom w:val="0"/>
                      <w:divBdr>
                        <w:top w:val="none" w:sz="0" w:space="0" w:color="auto"/>
                        <w:left w:val="none" w:sz="0" w:space="0" w:color="auto"/>
                        <w:bottom w:val="none" w:sz="0" w:space="0" w:color="auto"/>
                        <w:right w:val="none" w:sz="0" w:space="0" w:color="auto"/>
                      </w:divBdr>
                    </w:div>
                  </w:divsChild>
                </w:div>
                <w:div w:id="1242132997">
                  <w:marLeft w:val="0"/>
                  <w:marRight w:val="0"/>
                  <w:marTop w:val="0"/>
                  <w:marBottom w:val="0"/>
                  <w:divBdr>
                    <w:top w:val="none" w:sz="0" w:space="0" w:color="auto"/>
                    <w:left w:val="none" w:sz="0" w:space="0" w:color="auto"/>
                    <w:bottom w:val="none" w:sz="0" w:space="0" w:color="auto"/>
                    <w:right w:val="none" w:sz="0" w:space="0" w:color="auto"/>
                  </w:divBdr>
                  <w:divsChild>
                    <w:div w:id="1558202625">
                      <w:marLeft w:val="0"/>
                      <w:marRight w:val="0"/>
                      <w:marTop w:val="0"/>
                      <w:marBottom w:val="0"/>
                      <w:divBdr>
                        <w:top w:val="none" w:sz="0" w:space="0" w:color="auto"/>
                        <w:left w:val="none" w:sz="0" w:space="0" w:color="auto"/>
                        <w:bottom w:val="none" w:sz="0" w:space="0" w:color="auto"/>
                        <w:right w:val="none" w:sz="0" w:space="0" w:color="auto"/>
                      </w:divBdr>
                    </w:div>
                  </w:divsChild>
                </w:div>
                <w:div w:id="1243029352">
                  <w:marLeft w:val="0"/>
                  <w:marRight w:val="0"/>
                  <w:marTop w:val="0"/>
                  <w:marBottom w:val="0"/>
                  <w:divBdr>
                    <w:top w:val="none" w:sz="0" w:space="0" w:color="auto"/>
                    <w:left w:val="none" w:sz="0" w:space="0" w:color="auto"/>
                    <w:bottom w:val="none" w:sz="0" w:space="0" w:color="auto"/>
                    <w:right w:val="none" w:sz="0" w:space="0" w:color="auto"/>
                  </w:divBdr>
                  <w:divsChild>
                    <w:div w:id="930895947">
                      <w:marLeft w:val="0"/>
                      <w:marRight w:val="0"/>
                      <w:marTop w:val="0"/>
                      <w:marBottom w:val="0"/>
                      <w:divBdr>
                        <w:top w:val="none" w:sz="0" w:space="0" w:color="auto"/>
                        <w:left w:val="none" w:sz="0" w:space="0" w:color="auto"/>
                        <w:bottom w:val="none" w:sz="0" w:space="0" w:color="auto"/>
                        <w:right w:val="none" w:sz="0" w:space="0" w:color="auto"/>
                      </w:divBdr>
                    </w:div>
                  </w:divsChild>
                </w:div>
                <w:div w:id="1261716464">
                  <w:marLeft w:val="0"/>
                  <w:marRight w:val="0"/>
                  <w:marTop w:val="0"/>
                  <w:marBottom w:val="0"/>
                  <w:divBdr>
                    <w:top w:val="none" w:sz="0" w:space="0" w:color="auto"/>
                    <w:left w:val="none" w:sz="0" w:space="0" w:color="auto"/>
                    <w:bottom w:val="none" w:sz="0" w:space="0" w:color="auto"/>
                    <w:right w:val="none" w:sz="0" w:space="0" w:color="auto"/>
                  </w:divBdr>
                  <w:divsChild>
                    <w:div w:id="616719646">
                      <w:marLeft w:val="0"/>
                      <w:marRight w:val="0"/>
                      <w:marTop w:val="0"/>
                      <w:marBottom w:val="0"/>
                      <w:divBdr>
                        <w:top w:val="none" w:sz="0" w:space="0" w:color="auto"/>
                        <w:left w:val="none" w:sz="0" w:space="0" w:color="auto"/>
                        <w:bottom w:val="none" w:sz="0" w:space="0" w:color="auto"/>
                        <w:right w:val="none" w:sz="0" w:space="0" w:color="auto"/>
                      </w:divBdr>
                    </w:div>
                  </w:divsChild>
                </w:div>
                <w:div w:id="1265922394">
                  <w:marLeft w:val="0"/>
                  <w:marRight w:val="0"/>
                  <w:marTop w:val="0"/>
                  <w:marBottom w:val="0"/>
                  <w:divBdr>
                    <w:top w:val="none" w:sz="0" w:space="0" w:color="auto"/>
                    <w:left w:val="none" w:sz="0" w:space="0" w:color="auto"/>
                    <w:bottom w:val="none" w:sz="0" w:space="0" w:color="auto"/>
                    <w:right w:val="none" w:sz="0" w:space="0" w:color="auto"/>
                  </w:divBdr>
                  <w:divsChild>
                    <w:div w:id="1781803883">
                      <w:marLeft w:val="0"/>
                      <w:marRight w:val="0"/>
                      <w:marTop w:val="0"/>
                      <w:marBottom w:val="0"/>
                      <w:divBdr>
                        <w:top w:val="none" w:sz="0" w:space="0" w:color="auto"/>
                        <w:left w:val="none" w:sz="0" w:space="0" w:color="auto"/>
                        <w:bottom w:val="none" w:sz="0" w:space="0" w:color="auto"/>
                        <w:right w:val="none" w:sz="0" w:space="0" w:color="auto"/>
                      </w:divBdr>
                    </w:div>
                  </w:divsChild>
                </w:div>
                <w:div w:id="1268152818">
                  <w:marLeft w:val="0"/>
                  <w:marRight w:val="0"/>
                  <w:marTop w:val="0"/>
                  <w:marBottom w:val="0"/>
                  <w:divBdr>
                    <w:top w:val="none" w:sz="0" w:space="0" w:color="auto"/>
                    <w:left w:val="none" w:sz="0" w:space="0" w:color="auto"/>
                    <w:bottom w:val="none" w:sz="0" w:space="0" w:color="auto"/>
                    <w:right w:val="none" w:sz="0" w:space="0" w:color="auto"/>
                  </w:divBdr>
                  <w:divsChild>
                    <w:div w:id="768476673">
                      <w:marLeft w:val="0"/>
                      <w:marRight w:val="0"/>
                      <w:marTop w:val="0"/>
                      <w:marBottom w:val="0"/>
                      <w:divBdr>
                        <w:top w:val="none" w:sz="0" w:space="0" w:color="auto"/>
                        <w:left w:val="none" w:sz="0" w:space="0" w:color="auto"/>
                        <w:bottom w:val="none" w:sz="0" w:space="0" w:color="auto"/>
                        <w:right w:val="none" w:sz="0" w:space="0" w:color="auto"/>
                      </w:divBdr>
                    </w:div>
                  </w:divsChild>
                </w:div>
                <w:div w:id="1277132472">
                  <w:marLeft w:val="0"/>
                  <w:marRight w:val="0"/>
                  <w:marTop w:val="0"/>
                  <w:marBottom w:val="0"/>
                  <w:divBdr>
                    <w:top w:val="none" w:sz="0" w:space="0" w:color="auto"/>
                    <w:left w:val="none" w:sz="0" w:space="0" w:color="auto"/>
                    <w:bottom w:val="none" w:sz="0" w:space="0" w:color="auto"/>
                    <w:right w:val="none" w:sz="0" w:space="0" w:color="auto"/>
                  </w:divBdr>
                  <w:divsChild>
                    <w:div w:id="1313221540">
                      <w:marLeft w:val="0"/>
                      <w:marRight w:val="0"/>
                      <w:marTop w:val="0"/>
                      <w:marBottom w:val="0"/>
                      <w:divBdr>
                        <w:top w:val="none" w:sz="0" w:space="0" w:color="auto"/>
                        <w:left w:val="none" w:sz="0" w:space="0" w:color="auto"/>
                        <w:bottom w:val="none" w:sz="0" w:space="0" w:color="auto"/>
                        <w:right w:val="none" w:sz="0" w:space="0" w:color="auto"/>
                      </w:divBdr>
                    </w:div>
                  </w:divsChild>
                </w:div>
                <w:div w:id="1284002920">
                  <w:marLeft w:val="0"/>
                  <w:marRight w:val="0"/>
                  <w:marTop w:val="0"/>
                  <w:marBottom w:val="0"/>
                  <w:divBdr>
                    <w:top w:val="none" w:sz="0" w:space="0" w:color="auto"/>
                    <w:left w:val="none" w:sz="0" w:space="0" w:color="auto"/>
                    <w:bottom w:val="none" w:sz="0" w:space="0" w:color="auto"/>
                    <w:right w:val="none" w:sz="0" w:space="0" w:color="auto"/>
                  </w:divBdr>
                  <w:divsChild>
                    <w:div w:id="802429659">
                      <w:marLeft w:val="0"/>
                      <w:marRight w:val="0"/>
                      <w:marTop w:val="0"/>
                      <w:marBottom w:val="0"/>
                      <w:divBdr>
                        <w:top w:val="none" w:sz="0" w:space="0" w:color="auto"/>
                        <w:left w:val="none" w:sz="0" w:space="0" w:color="auto"/>
                        <w:bottom w:val="none" w:sz="0" w:space="0" w:color="auto"/>
                        <w:right w:val="none" w:sz="0" w:space="0" w:color="auto"/>
                      </w:divBdr>
                    </w:div>
                  </w:divsChild>
                </w:div>
                <w:div w:id="1286539797">
                  <w:marLeft w:val="0"/>
                  <w:marRight w:val="0"/>
                  <w:marTop w:val="0"/>
                  <w:marBottom w:val="0"/>
                  <w:divBdr>
                    <w:top w:val="none" w:sz="0" w:space="0" w:color="auto"/>
                    <w:left w:val="none" w:sz="0" w:space="0" w:color="auto"/>
                    <w:bottom w:val="none" w:sz="0" w:space="0" w:color="auto"/>
                    <w:right w:val="none" w:sz="0" w:space="0" w:color="auto"/>
                  </w:divBdr>
                  <w:divsChild>
                    <w:div w:id="1827428357">
                      <w:marLeft w:val="0"/>
                      <w:marRight w:val="0"/>
                      <w:marTop w:val="0"/>
                      <w:marBottom w:val="0"/>
                      <w:divBdr>
                        <w:top w:val="none" w:sz="0" w:space="0" w:color="auto"/>
                        <w:left w:val="none" w:sz="0" w:space="0" w:color="auto"/>
                        <w:bottom w:val="none" w:sz="0" w:space="0" w:color="auto"/>
                        <w:right w:val="none" w:sz="0" w:space="0" w:color="auto"/>
                      </w:divBdr>
                    </w:div>
                  </w:divsChild>
                </w:div>
                <w:div w:id="1298952472">
                  <w:marLeft w:val="0"/>
                  <w:marRight w:val="0"/>
                  <w:marTop w:val="0"/>
                  <w:marBottom w:val="0"/>
                  <w:divBdr>
                    <w:top w:val="none" w:sz="0" w:space="0" w:color="auto"/>
                    <w:left w:val="none" w:sz="0" w:space="0" w:color="auto"/>
                    <w:bottom w:val="none" w:sz="0" w:space="0" w:color="auto"/>
                    <w:right w:val="none" w:sz="0" w:space="0" w:color="auto"/>
                  </w:divBdr>
                  <w:divsChild>
                    <w:div w:id="1433932596">
                      <w:marLeft w:val="0"/>
                      <w:marRight w:val="0"/>
                      <w:marTop w:val="0"/>
                      <w:marBottom w:val="0"/>
                      <w:divBdr>
                        <w:top w:val="none" w:sz="0" w:space="0" w:color="auto"/>
                        <w:left w:val="none" w:sz="0" w:space="0" w:color="auto"/>
                        <w:bottom w:val="none" w:sz="0" w:space="0" w:color="auto"/>
                        <w:right w:val="none" w:sz="0" w:space="0" w:color="auto"/>
                      </w:divBdr>
                    </w:div>
                  </w:divsChild>
                </w:div>
                <w:div w:id="1306278683">
                  <w:marLeft w:val="0"/>
                  <w:marRight w:val="0"/>
                  <w:marTop w:val="0"/>
                  <w:marBottom w:val="0"/>
                  <w:divBdr>
                    <w:top w:val="none" w:sz="0" w:space="0" w:color="auto"/>
                    <w:left w:val="none" w:sz="0" w:space="0" w:color="auto"/>
                    <w:bottom w:val="none" w:sz="0" w:space="0" w:color="auto"/>
                    <w:right w:val="none" w:sz="0" w:space="0" w:color="auto"/>
                  </w:divBdr>
                  <w:divsChild>
                    <w:div w:id="221604046">
                      <w:marLeft w:val="0"/>
                      <w:marRight w:val="0"/>
                      <w:marTop w:val="0"/>
                      <w:marBottom w:val="0"/>
                      <w:divBdr>
                        <w:top w:val="none" w:sz="0" w:space="0" w:color="auto"/>
                        <w:left w:val="none" w:sz="0" w:space="0" w:color="auto"/>
                        <w:bottom w:val="none" w:sz="0" w:space="0" w:color="auto"/>
                        <w:right w:val="none" w:sz="0" w:space="0" w:color="auto"/>
                      </w:divBdr>
                    </w:div>
                  </w:divsChild>
                </w:div>
                <w:div w:id="1316642789">
                  <w:marLeft w:val="0"/>
                  <w:marRight w:val="0"/>
                  <w:marTop w:val="0"/>
                  <w:marBottom w:val="0"/>
                  <w:divBdr>
                    <w:top w:val="none" w:sz="0" w:space="0" w:color="auto"/>
                    <w:left w:val="none" w:sz="0" w:space="0" w:color="auto"/>
                    <w:bottom w:val="none" w:sz="0" w:space="0" w:color="auto"/>
                    <w:right w:val="none" w:sz="0" w:space="0" w:color="auto"/>
                  </w:divBdr>
                  <w:divsChild>
                    <w:div w:id="1760102973">
                      <w:marLeft w:val="0"/>
                      <w:marRight w:val="0"/>
                      <w:marTop w:val="0"/>
                      <w:marBottom w:val="0"/>
                      <w:divBdr>
                        <w:top w:val="none" w:sz="0" w:space="0" w:color="auto"/>
                        <w:left w:val="none" w:sz="0" w:space="0" w:color="auto"/>
                        <w:bottom w:val="none" w:sz="0" w:space="0" w:color="auto"/>
                        <w:right w:val="none" w:sz="0" w:space="0" w:color="auto"/>
                      </w:divBdr>
                    </w:div>
                  </w:divsChild>
                </w:div>
                <w:div w:id="1318874331">
                  <w:marLeft w:val="0"/>
                  <w:marRight w:val="0"/>
                  <w:marTop w:val="0"/>
                  <w:marBottom w:val="0"/>
                  <w:divBdr>
                    <w:top w:val="none" w:sz="0" w:space="0" w:color="auto"/>
                    <w:left w:val="none" w:sz="0" w:space="0" w:color="auto"/>
                    <w:bottom w:val="none" w:sz="0" w:space="0" w:color="auto"/>
                    <w:right w:val="none" w:sz="0" w:space="0" w:color="auto"/>
                  </w:divBdr>
                  <w:divsChild>
                    <w:div w:id="294719678">
                      <w:marLeft w:val="0"/>
                      <w:marRight w:val="0"/>
                      <w:marTop w:val="0"/>
                      <w:marBottom w:val="0"/>
                      <w:divBdr>
                        <w:top w:val="none" w:sz="0" w:space="0" w:color="auto"/>
                        <w:left w:val="none" w:sz="0" w:space="0" w:color="auto"/>
                        <w:bottom w:val="none" w:sz="0" w:space="0" w:color="auto"/>
                        <w:right w:val="none" w:sz="0" w:space="0" w:color="auto"/>
                      </w:divBdr>
                    </w:div>
                  </w:divsChild>
                </w:div>
                <w:div w:id="1338653985">
                  <w:marLeft w:val="0"/>
                  <w:marRight w:val="0"/>
                  <w:marTop w:val="0"/>
                  <w:marBottom w:val="0"/>
                  <w:divBdr>
                    <w:top w:val="none" w:sz="0" w:space="0" w:color="auto"/>
                    <w:left w:val="none" w:sz="0" w:space="0" w:color="auto"/>
                    <w:bottom w:val="none" w:sz="0" w:space="0" w:color="auto"/>
                    <w:right w:val="none" w:sz="0" w:space="0" w:color="auto"/>
                  </w:divBdr>
                  <w:divsChild>
                    <w:div w:id="341275925">
                      <w:marLeft w:val="0"/>
                      <w:marRight w:val="0"/>
                      <w:marTop w:val="0"/>
                      <w:marBottom w:val="0"/>
                      <w:divBdr>
                        <w:top w:val="none" w:sz="0" w:space="0" w:color="auto"/>
                        <w:left w:val="none" w:sz="0" w:space="0" w:color="auto"/>
                        <w:bottom w:val="none" w:sz="0" w:space="0" w:color="auto"/>
                        <w:right w:val="none" w:sz="0" w:space="0" w:color="auto"/>
                      </w:divBdr>
                    </w:div>
                  </w:divsChild>
                </w:div>
                <w:div w:id="1352561367">
                  <w:marLeft w:val="0"/>
                  <w:marRight w:val="0"/>
                  <w:marTop w:val="0"/>
                  <w:marBottom w:val="0"/>
                  <w:divBdr>
                    <w:top w:val="none" w:sz="0" w:space="0" w:color="auto"/>
                    <w:left w:val="none" w:sz="0" w:space="0" w:color="auto"/>
                    <w:bottom w:val="none" w:sz="0" w:space="0" w:color="auto"/>
                    <w:right w:val="none" w:sz="0" w:space="0" w:color="auto"/>
                  </w:divBdr>
                  <w:divsChild>
                    <w:div w:id="151455682">
                      <w:marLeft w:val="0"/>
                      <w:marRight w:val="0"/>
                      <w:marTop w:val="0"/>
                      <w:marBottom w:val="0"/>
                      <w:divBdr>
                        <w:top w:val="none" w:sz="0" w:space="0" w:color="auto"/>
                        <w:left w:val="none" w:sz="0" w:space="0" w:color="auto"/>
                        <w:bottom w:val="none" w:sz="0" w:space="0" w:color="auto"/>
                        <w:right w:val="none" w:sz="0" w:space="0" w:color="auto"/>
                      </w:divBdr>
                    </w:div>
                    <w:div w:id="184560240">
                      <w:marLeft w:val="0"/>
                      <w:marRight w:val="0"/>
                      <w:marTop w:val="0"/>
                      <w:marBottom w:val="0"/>
                      <w:divBdr>
                        <w:top w:val="none" w:sz="0" w:space="0" w:color="auto"/>
                        <w:left w:val="none" w:sz="0" w:space="0" w:color="auto"/>
                        <w:bottom w:val="none" w:sz="0" w:space="0" w:color="auto"/>
                        <w:right w:val="none" w:sz="0" w:space="0" w:color="auto"/>
                      </w:divBdr>
                    </w:div>
                    <w:div w:id="542641639">
                      <w:marLeft w:val="0"/>
                      <w:marRight w:val="0"/>
                      <w:marTop w:val="0"/>
                      <w:marBottom w:val="0"/>
                      <w:divBdr>
                        <w:top w:val="none" w:sz="0" w:space="0" w:color="auto"/>
                        <w:left w:val="none" w:sz="0" w:space="0" w:color="auto"/>
                        <w:bottom w:val="none" w:sz="0" w:space="0" w:color="auto"/>
                        <w:right w:val="none" w:sz="0" w:space="0" w:color="auto"/>
                      </w:divBdr>
                    </w:div>
                    <w:div w:id="789318749">
                      <w:marLeft w:val="0"/>
                      <w:marRight w:val="0"/>
                      <w:marTop w:val="0"/>
                      <w:marBottom w:val="0"/>
                      <w:divBdr>
                        <w:top w:val="none" w:sz="0" w:space="0" w:color="auto"/>
                        <w:left w:val="none" w:sz="0" w:space="0" w:color="auto"/>
                        <w:bottom w:val="none" w:sz="0" w:space="0" w:color="auto"/>
                        <w:right w:val="none" w:sz="0" w:space="0" w:color="auto"/>
                      </w:divBdr>
                    </w:div>
                    <w:div w:id="1111045876">
                      <w:marLeft w:val="0"/>
                      <w:marRight w:val="0"/>
                      <w:marTop w:val="0"/>
                      <w:marBottom w:val="0"/>
                      <w:divBdr>
                        <w:top w:val="none" w:sz="0" w:space="0" w:color="auto"/>
                        <w:left w:val="none" w:sz="0" w:space="0" w:color="auto"/>
                        <w:bottom w:val="none" w:sz="0" w:space="0" w:color="auto"/>
                        <w:right w:val="none" w:sz="0" w:space="0" w:color="auto"/>
                      </w:divBdr>
                    </w:div>
                    <w:div w:id="1266959942">
                      <w:marLeft w:val="0"/>
                      <w:marRight w:val="0"/>
                      <w:marTop w:val="0"/>
                      <w:marBottom w:val="0"/>
                      <w:divBdr>
                        <w:top w:val="none" w:sz="0" w:space="0" w:color="auto"/>
                        <w:left w:val="none" w:sz="0" w:space="0" w:color="auto"/>
                        <w:bottom w:val="none" w:sz="0" w:space="0" w:color="auto"/>
                        <w:right w:val="none" w:sz="0" w:space="0" w:color="auto"/>
                      </w:divBdr>
                    </w:div>
                    <w:div w:id="1681078214">
                      <w:marLeft w:val="0"/>
                      <w:marRight w:val="0"/>
                      <w:marTop w:val="0"/>
                      <w:marBottom w:val="0"/>
                      <w:divBdr>
                        <w:top w:val="none" w:sz="0" w:space="0" w:color="auto"/>
                        <w:left w:val="none" w:sz="0" w:space="0" w:color="auto"/>
                        <w:bottom w:val="none" w:sz="0" w:space="0" w:color="auto"/>
                        <w:right w:val="none" w:sz="0" w:space="0" w:color="auto"/>
                      </w:divBdr>
                    </w:div>
                    <w:div w:id="1745255663">
                      <w:marLeft w:val="0"/>
                      <w:marRight w:val="0"/>
                      <w:marTop w:val="0"/>
                      <w:marBottom w:val="0"/>
                      <w:divBdr>
                        <w:top w:val="none" w:sz="0" w:space="0" w:color="auto"/>
                        <w:left w:val="none" w:sz="0" w:space="0" w:color="auto"/>
                        <w:bottom w:val="none" w:sz="0" w:space="0" w:color="auto"/>
                        <w:right w:val="none" w:sz="0" w:space="0" w:color="auto"/>
                      </w:divBdr>
                    </w:div>
                    <w:div w:id="1918436398">
                      <w:marLeft w:val="0"/>
                      <w:marRight w:val="0"/>
                      <w:marTop w:val="0"/>
                      <w:marBottom w:val="0"/>
                      <w:divBdr>
                        <w:top w:val="none" w:sz="0" w:space="0" w:color="auto"/>
                        <w:left w:val="none" w:sz="0" w:space="0" w:color="auto"/>
                        <w:bottom w:val="none" w:sz="0" w:space="0" w:color="auto"/>
                        <w:right w:val="none" w:sz="0" w:space="0" w:color="auto"/>
                      </w:divBdr>
                    </w:div>
                  </w:divsChild>
                </w:div>
                <w:div w:id="1362239206">
                  <w:marLeft w:val="0"/>
                  <w:marRight w:val="0"/>
                  <w:marTop w:val="0"/>
                  <w:marBottom w:val="0"/>
                  <w:divBdr>
                    <w:top w:val="none" w:sz="0" w:space="0" w:color="auto"/>
                    <w:left w:val="none" w:sz="0" w:space="0" w:color="auto"/>
                    <w:bottom w:val="none" w:sz="0" w:space="0" w:color="auto"/>
                    <w:right w:val="none" w:sz="0" w:space="0" w:color="auto"/>
                  </w:divBdr>
                  <w:divsChild>
                    <w:div w:id="386225961">
                      <w:marLeft w:val="0"/>
                      <w:marRight w:val="0"/>
                      <w:marTop w:val="0"/>
                      <w:marBottom w:val="0"/>
                      <w:divBdr>
                        <w:top w:val="none" w:sz="0" w:space="0" w:color="auto"/>
                        <w:left w:val="none" w:sz="0" w:space="0" w:color="auto"/>
                        <w:bottom w:val="none" w:sz="0" w:space="0" w:color="auto"/>
                        <w:right w:val="none" w:sz="0" w:space="0" w:color="auto"/>
                      </w:divBdr>
                    </w:div>
                  </w:divsChild>
                </w:div>
                <w:div w:id="1362701203">
                  <w:marLeft w:val="0"/>
                  <w:marRight w:val="0"/>
                  <w:marTop w:val="0"/>
                  <w:marBottom w:val="0"/>
                  <w:divBdr>
                    <w:top w:val="none" w:sz="0" w:space="0" w:color="auto"/>
                    <w:left w:val="none" w:sz="0" w:space="0" w:color="auto"/>
                    <w:bottom w:val="none" w:sz="0" w:space="0" w:color="auto"/>
                    <w:right w:val="none" w:sz="0" w:space="0" w:color="auto"/>
                  </w:divBdr>
                  <w:divsChild>
                    <w:div w:id="2111586190">
                      <w:marLeft w:val="0"/>
                      <w:marRight w:val="0"/>
                      <w:marTop w:val="0"/>
                      <w:marBottom w:val="0"/>
                      <w:divBdr>
                        <w:top w:val="none" w:sz="0" w:space="0" w:color="auto"/>
                        <w:left w:val="none" w:sz="0" w:space="0" w:color="auto"/>
                        <w:bottom w:val="none" w:sz="0" w:space="0" w:color="auto"/>
                        <w:right w:val="none" w:sz="0" w:space="0" w:color="auto"/>
                      </w:divBdr>
                    </w:div>
                  </w:divsChild>
                </w:div>
                <w:div w:id="1368291897">
                  <w:marLeft w:val="0"/>
                  <w:marRight w:val="0"/>
                  <w:marTop w:val="0"/>
                  <w:marBottom w:val="0"/>
                  <w:divBdr>
                    <w:top w:val="none" w:sz="0" w:space="0" w:color="auto"/>
                    <w:left w:val="none" w:sz="0" w:space="0" w:color="auto"/>
                    <w:bottom w:val="none" w:sz="0" w:space="0" w:color="auto"/>
                    <w:right w:val="none" w:sz="0" w:space="0" w:color="auto"/>
                  </w:divBdr>
                  <w:divsChild>
                    <w:div w:id="547377620">
                      <w:marLeft w:val="0"/>
                      <w:marRight w:val="0"/>
                      <w:marTop w:val="0"/>
                      <w:marBottom w:val="0"/>
                      <w:divBdr>
                        <w:top w:val="none" w:sz="0" w:space="0" w:color="auto"/>
                        <w:left w:val="none" w:sz="0" w:space="0" w:color="auto"/>
                        <w:bottom w:val="none" w:sz="0" w:space="0" w:color="auto"/>
                        <w:right w:val="none" w:sz="0" w:space="0" w:color="auto"/>
                      </w:divBdr>
                    </w:div>
                  </w:divsChild>
                </w:div>
                <w:div w:id="1392272463">
                  <w:marLeft w:val="0"/>
                  <w:marRight w:val="0"/>
                  <w:marTop w:val="0"/>
                  <w:marBottom w:val="0"/>
                  <w:divBdr>
                    <w:top w:val="none" w:sz="0" w:space="0" w:color="auto"/>
                    <w:left w:val="none" w:sz="0" w:space="0" w:color="auto"/>
                    <w:bottom w:val="none" w:sz="0" w:space="0" w:color="auto"/>
                    <w:right w:val="none" w:sz="0" w:space="0" w:color="auto"/>
                  </w:divBdr>
                  <w:divsChild>
                    <w:div w:id="1160342100">
                      <w:marLeft w:val="0"/>
                      <w:marRight w:val="0"/>
                      <w:marTop w:val="0"/>
                      <w:marBottom w:val="0"/>
                      <w:divBdr>
                        <w:top w:val="none" w:sz="0" w:space="0" w:color="auto"/>
                        <w:left w:val="none" w:sz="0" w:space="0" w:color="auto"/>
                        <w:bottom w:val="none" w:sz="0" w:space="0" w:color="auto"/>
                        <w:right w:val="none" w:sz="0" w:space="0" w:color="auto"/>
                      </w:divBdr>
                    </w:div>
                  </w:divsChild>
                </w:div>
                <w:div w:id="1396120415">
                  <w:marLeft w:val="0"/>
                  <w:marRight w:val="0"/>
                  <w:marTop w:val="0"/>
                  <w:marBottom w:val="0"/>
                  <w:divBdr>
                    <w:top w:val="none" w:sz="0" w:space="0" w:color="auto"/>
                    <w:left w:val="none" w:sz="0" w:space="0" w:color="auto"/>
                    <w:bottom w:val="none" w:sz="0" w:space="0" w:color="auto"/>
                    <w:right w:val="none" w:sz="0" w:space="0" w:color="auto"/>
                  </w:divBdr>
                  <w:divsChild>
                    <w:div w:id="150223114">
                      <w:marLeft w:val="0"/>
                      <w:marRight w:val="0"/>
                      <w:marTop w:val="0"/>
                      <w:marBottom w:val="0"/>
                      <w:divBdr>
                        <w:top w:val="none" w:sz="0" w:space="0" w:color="auto"/>
                        <w:left w:val="none" w:sz="0" w:space="0" w:color="auto"/>
                        <w:bottom w:val="none" w:sz="0" w:space="0" w:color="auto"/>
                        <w:right w:val="none" w:sz="0" w:space="0" w:color="auto"/>
                      </w:divBdr>
                    </w:div>
                  </w:divsChild>
                </w:div>
                <w:div w:id="1411197800">
                  <w:marLeft w:val="0"/>
                  <w:marRight w:val="0"/>
                  <w:marTop w:val="0"/>
                  <w:marBottom w:val="0"/>
                  <w:divBdr>
                    <w:top w:val="none" w:sz="0" w:space="0" w:color="auto"/>
                    <w:left w:val="none" w:sz="0" w:space="0" w:color="auto"/>
                    <w:bottom w:val="none" w:sz="0" w:space="0" w:color="auto"/>
                    <w:right w:val="none" w:sz="0" w:space="0" w:color="auto"/>
                  </w:divBdr>
                  <w:divsChild>
                    <w:div w:id="236520117">
                      <w:marLeft w:val="0"/>
                      <w:marRight w:val="0"/>
                      <w:marTop w:val="0"/>
                      <w:marBottom w:val="0"/>
                      <w:divBdr>
                        <w:top w:val="none" w:sz="0" w:space="0" w:color="auto"/>
                        <w:left w:val="none" w:sz="0" w:space="0" w:color="auto"/>
                        <w:bottom w:val="none" w:sz="0" w:space="0" w:color="auto"/>
                        <w:right w:val="none" w:sz="0" w:space="0" w:color="auto"/>
                      </w:divBdr>
                    </w:div>
                  </w:divsChild>
                </w:div>
                <w:div w:id="1413697180">
                  <w:marLeft w:val="0"/>
                  <w:marRight w:val="0"/>
                  <w:marTop w:val="0"/>
                  <w:marBottom w:val="0"/>
                  <w:divBdr>
                    <w:top w:val="none" w:sz="0" w:space="0" w:color="auto"/>
                    <w:left w:val="none" w:sz="0" w:space="0" w:color="auto"/>
                    <w:bottom w:val="none" w:sz="0" w:space="0" w:color="auto"/>
                    <w:right w:val="none" w:sz="0" w:space="0" w:color="auto"/>
                  </w:divBdr>
                  <w:divsChild>
                    <w:div w:id="1049113275">
                      <w:marLeft w:val="0"/>
                      <w:marRight w:val="0"/>
                      <w:marTop w:val="0"/>
                      <w:marBottom w:val="0"/>
                      <w:divBdr>
                        <w:top w:val="none" w:sz="0" w:space="0" w:color="auto"/>
                        <w:left w:val="none" w:sz="0" w:space="0" w:color="auto"/>
                        <w:bottom w:val="none" w:sz="0" w:space="0" w:color="auto"/>
                        <w:right w:val="none" w:sz="0" w:space="0" w:color="auto"/>
                      </w:divBdr>
                    </w:div>
                  </w:divsChild>
                </w:div>
                <w:div w:id="1413819915">
                  <w:marLeft w:val="0"/>
                  <w:marRight w:val="0"/>
                  <w:marTop w:val="0"/>
                  <w:marBottom w:val="0"/>
                  <w:divBdr>
                    <w:top w:val="none" w:sz="0" w:space="0" w:color="auto"/>
                    <w:left w:val="none" w:sz="0" w:space="0" w:color="auto"/>
                    <w:bottom w:val="none" w:sz="0" w:space="0" w:color="auto"/>
                    <w:right w:val="none" w:sz="0" w:space="0" w:color="auto"/>
                  </w:divBdr>
                  <w:divsChild>
                    <w:div w:id="715936282">
                      <w:marLeft w:val="0"/>
                      <w:marRight w:val="0"/>
                      <w:marTop w:val="0"/>
                      <w:marBottom w:val="0"/>
                      <w:divBdr>
                        <w:top w:val="none" w:sz="0" w:space="0" w:color="auto"/>
                        <w:left w:val="none" w:sz="0" w:space="0" w:color="auto"/>
                        <w:bottom w:val="none" w:sz="0" w:space="0" w:color="auto"/>
                        <w:right w:val="none" w:sz="0" w:space="0" w:color="auto"/>
                      </w:divBdr>
                    </w:div>
                  </w:divsChild>
                </w:div>
                <w:div w:id="1422409443">
                  <w:marLeft w:val="0"/>
                  <w:marRight w:val="0"/>
                  <w:marTop w:val="0"/>
                  <w:marBottom w:val="0"/>
                  <w:divBdr>
                    <w:top w:val="none" w:sz="0" w:space="0" w:color="auto"/>
                    <w:left w:val="none" w:sz="0" w:space="0" w:color="auto"/>
                    <w:bottom w:val="none" w:sz="0" w:space="0" w:color="auto"/>
                    <w:right w:val="none" w:sz="0" w:space="0" w:color="auto"/>
                  </w:divBdr>
                  <w:divsChild>
                    <w:div w:id="1104498682">
                      <w:marLeft w:val="0"/>
                      <w:marRight w:val="0"/>
                      <w:marTop w:val="0"/>
                      <w:marBottom w:val="0"/>
                      <w:divBdr>
                        <w:top w:val="none" w:sz="0" w:space="0" w:color="auto"/>
                        <w:left w:val="none" w:sz="0" w:space="0" w:color="auto"/>
                        <w:bottom w:val="none" w:sz="0" w:space="0" w:color="auto"/>
                        <w:right w:val="none" w:sz="0" w:space="0" w:color="auto"/>
                      </w:divBdr>
                    </w:div>
                  </w:divsChild>
                </w:div>
                <w:div w:id="1422990681">
                  <w:marLeft w:val="0"/>
                  <w:marRight w:val="0"/>
                  <w:marTop w:val="0"/>
                  <w:marBottom w:val="0"/>
                  <w:divBdr>
                    <w:top w:val="none" w:sz="0" w:space="0" w:color="auto"/>
                    <w:left w:val="none" w:sz="0" w:space="0" w:color="auto"/>
                    <w:bottom w:val="none" w:sz="0" w:space="0" w:color="auto"/>
                    <w:right w:val="none" w:sz="0" w:space="0" w:color="auto"/>
                  </w:divBdr>
                  <w:divsChild>
                    <w:div w:id="104931609">
                      <w:marLeft w:val="0"/>
                      <w:marRight w:val="0"/>
                      <w:marTop w:val="0"/>
                      <w:marBottom w:val="0"/>
                      <w:divBdr>
                        <w:top w:val="none" w:sz="0" w:space="0" w:color="auto"/>
                        <w:left w:val="none" w:sz="0" w:space="0" w:color="auto"/>
                        <w:bottom w:val="none" w:sz="0" w:space="0" w:color="auto"/>
                        <w:right w:val="none" w:sz="0" w:space="0" w:color="auto"/>
                      </w:divBdr>
                    </w:div>
                  </w:divsChild>
                </w:div>
                <w:div w:id="1441948269">
                  <w:marLeft w:val="0"/>
                  <w:marRight w:val="0"/>
                  <w:marTop w:val="0"/>
                  <w:marBottom w:val="0"/>
                  <w:divBdr>
                    <w:top w:val="none" w:sz="0" w:space="0" w:color="auto"/>
                    <w:left w:val="none" w:sz="0" w:space="0" w:color="auto"/>
                    <w:bottom w:val="none" w:sz="0" w:space="0" w:color="auto"/>
                    <w:right w:val="none" w:sz="0" w:space="0" w:color="auto"/>
                  </w:divBdr>
                  <w:divsChild>
                    <w:div w:id="629550229">
                      <w:marLeft w:val="0"/>
                      <w:marRight w:val="0"/>
                      <w:marTop w:val="0"/>
                      <w:marBottom w:val="0"/>
                      <w:divBdr>
                        <w:top w:val="none" w:sz="0" w:space="0" w:color="auto"/>
                        <w:left w:val="none" w:sz="0" w:space="0" w:color="auto"/>
                        <w:bottom w:val="none" w:sz="0" w:space="0" w:color="auto"/>
                        <w:right w:val="none" w:sz="0" w:space="0" w:color="auto"/>
                      </w:divBdr>
                    </w:div>
                  </w:divsChild>
                </w:div>
                <w:div w:id="1446385486">
                  <w:marLeft w:val="0"/>
                  <w:marRight w:val="0"/>
                  <w:marTop w:val="0"/>
                  <w:marBottom w:val="0"/>
                  <w:divBdr>
                    <w:top w:val="none" w:sz="0" w:space="0" w:color="auto"/>
                    <w:left w:val="none" w:sz="0" w:space="0" w:color="auto"/>
                    <w:bottom w:val="none" w:sz="0" w:space="0" w:color="auto"/>
                    <w:right w:val="none" w:sz="0" w:space="0" w:color="auto"/>
                  </w:divBdr>
                  <w:divsChild>
                    <w:div w:id="714430189">
                      <w:marLeft w:val="0"/>
                      <w:marRight w:val="0"/>
                      <w:marTop w:val="0"/>
                      <w:marBottom w:val="0"/>
                      <w:divBdr>
                        <w:top w:val="none" w:sz="0" w:space="0" w:color="auto"/>
                        <w:left w:val="none" w:sz="0" w:space="0" w:color="auto"/>
                        <w:bottom w:val="none" w:sz="0" w:space="0" w:color="auto"/>
                        <w:right w:val="none" w:sz="0" w:space="0" w:color="auto"/>
                      </w:divBdr>
                    </w:div>
                  </w:divsChild>
                </w:div>
                <w:div w:id="1452633063">
                  <w:marLeft w:val="0"/>
                  <w:marRight w:val="0"/>
                  <w:marTop w:val="0"/>
                  <w:marBottom w:val="0"/>
                  <w:divBdr>
                    <w:top w:val="none" w:sz="0" w:space="0" w:color="auto"/>
                    <w:left w:val="none" w:sz="0" w:space="0" w:color="auto"/>
                    <w:bottom w:val="none" w:sz="0" w:space="0" w:color="auto"/>
                    <w:right w:val="none" w:sz="0" w:space="0" w:color="auto"/>
                  </w:divBdr>
                  <w:divsChild>
                    <w:div w:id="1082532168">
                      <w:marLeft w:val="0"/>
                      <w:marRight w:val="0"/>
                      <w:marTop w:val="0"/>
                      <w:marBottom w:val="0"/>
                      <w:divBdr>
                        <w:top w:val="none" w:sz="0" w:space="0" w:color="auto"/>
                        <w:left w:val="none" w:sz="0" w:space="0" w:color="auto"/>
                        <w:bottom w:val="none" w:sz="0" w:space="0" w:color="auto"/>
                        <w:right w:val="none" w:sz="0" w:space="0" w:color="auto"/>
                      </w:divBdr>
                    </w:div>
                  </w:divsChild>
                </w:div>
                <w:div w:id="1455171196">
                  <w:marLeft w:val="0"/>
                  <w:marRight w:val="0"/>
                  <w:marTop w:val="0"/>
                  <w:marBottom w:val="0"/>
                  <w:divBdr>
                    <w:top w:val="none" w:sz="0" w:space="0" w:color="auto"/>
                    <w:left w:val="none" w:sz="0" w:space="0" w:color="auto"/>
                    <w:bottom w:val="none" w:sz="0" w:space="0" w:color="auto"/>
                    <w:right w:val="none" w:sz="0" w:space="0" w:color="auto"/>
                  </w:divBdr>
                  <w:divsChild>
                    <w:div w:id="763768187">
                      <w:marLeft w:val="0"/>
                      <w:marRight w:val="0"/>
                      <w:marTop w:val="0"/>
                      <w:marBottom w:val="0"/>
                      <w:divBdr>
                        <w:top w:val="none" w:sz="0" w:space="0" w:color="auto"/>
                        <w:left w:val="none" w:sz="0" w:space="0" w:color="auto"/>
                        <w:bottom w:val="none" w:sz="0" w:space="0" w:color="auto"/>
                        <w:right w:val="none" w:sz="0" w:space="0" w:color="auto"/>
                      </w:divBdr>
                    </w:div>
                  </w:divsChild>
                </w:div>
                <w:div w:id="1470826418">
                  <w:marLeft w:val="0"/>
                  <w:marRight w:val="0"/>
                  <w:marTop w:val="0"/>
                  <w:marBottom w:val="0"/>
                  <w:divBdr>
                    <w:top w:val="none" w:sz="0" w:space="0" w:color="auto"/>
                    <w:left w:val="none" w:sz="0" w:space="0" w:color="auto"/>
                    <w:bottom w:val="none" w:sz="0" w:space="0" w:color="auto"/>
                    <w:right w:val="none" w:sz="0" w:space="0" w:color="auto"/>
                  </w:divBdr>
                  <w:divsChild>
                    <w:div w:id="338849912">
                      <w:marLeft w:val="0"/>
                      <w:marRight w:val="0"/>
                      <w:marTop w:val="0"/>
                      <w:marBottom w:val="0"/>
                      <w:divBdr>
                        <w:top w:val="none" w:sz="0" w:space="0" w:color="auto"/>
                        <w:left w:val="none" w:sz="0" w:space="0" w:color="auto"/>
                        <w:bottom w:val="none" w:sz="0" w:space="0" w:color="auto"/>
                        <w:right w:val="none" w:sz="0" w:space="0" w:color="auto"/>
                      </w:divBdr>
                    </w:div>
                  </w:divsChild>
                </w:div>
                <w:div w:id="1475950649">
                  <w:marLeft w:val="0"/>
                  <w:marRight w:val="0"/>
                  <w:marTop w:val="0"/>
                  <w:marBottom w:val="0"/>
                  <w:divBdr>
                    <w:top w:val="none" w:sz="0" w:space="0" w:color="auto"/>
                    <w:left w:val="none" w:sz="0" w:space="0" w:color="auto"/>
                    <w:bottom w:val="none" w:sz="0" w:space="0" w:color="auto"/>
                    <w:right w:val="none" w:sz="0" w:space="0" w:color="auto"/>
                  </w:divBdr>
                  <w:divsChild>
                    <w:div w:id="1083340160">
                      <w:marLeft w:val="0"/>
                      <w:marRight w:val="0"/>
                      <w:marTop w:val="0"/>
                      <w:marBottom w:val="0"/>
                      <w:divBdr>
                        <w:top w:val="none" w:sz="0" w:space="0" w:color="auto"/>
                        <w:left w:val="none" w:sz="0" w:space="0" w:color="auto"/>
                        <w:bottom w:val="none" w:sz="0" w:space="0" w:color="auto"/>
                        <w:right w:val="none" w:sz="0" w:space="0" w:color="auto"/>
                      </w:divBdr>
                    </w:div>
                    <w:div w:id="1678575772">
                      <w:marLeft w:val="0"/>
                      <w:marRight w:val="0"/>
                      <w:marTop w:val="0"/>
                      <w:marBottom w:val="0"/>
                      <w:divBdr>
                        <w:top w:val="none" w:sz="0" w:space="0" w:color="auto"/>
                        <w:left w:val="none" w:sz="0" w:space="0" w:color="auto"/>
                        <w:bottom w:val="none" w:sz="0" w:space="0" w:color="auto"/>
                        <w:right w:val="none" w:sz="0" w:space="0" w:color="auto"/>
                      </w:divBdr>
                    </w:div>
                  </w:divsChild>
                </w:div>
                <w:div w:id="1476070766">
                  <w:marLeft w:val="0"/>
                  <w:marRight w:val="0"/>
                  <w:marTop w:val="0"/>
                  <w:marBottom w:val="0"/>
                  <w:divBdr>
                    <w:top w:val="none" w:sz="0" w:space="0" w:color="auto"/>
                    <w:left w:val="none" w:sz="0" w:space="0" w:color="auto"/>
                    <w:bottom w:val="none" w:sz="0" w:space="0" w:color="auto"/>
                    <w:right w:val="none" w:sz="0" w:space="0" w:color="auto"/>
                  </w:divBdr>
                  <w:divsChild>
                    <w:div w:id="898781622">
                      <w:marLeft w:val="0"/>
                      <w:marRight w:val="0"/>
                      <w:marTop w:val="0"/>
                      <w:marBottom w:val="0"/>
                      <w:divBdr>
                        <w:top w:val="none" w:sz="0" w:space="0" w:color="auto"/>
                        <w:left w:val="none" w:sz="0" w:space="0" w:color="auto"/>
                        <w:bottom w:val="none" w:sz="0" w:space="0" w:color="auto"/>
                        <w:right w:val="none" w:sz="0" w:space="0" w:color="auto"/>
                      </w:divBdr>
                    </w:div>
                  </w:divsChild>
                </w:div>
                <w:div w:id="1478256193">
                  <w:marLeft w:val="0"/>
                  <w:marRight w:val="0"/>
                  <w:marTop w:val="0"/>
                  <w:marBottom w:val="0"/>
                  <w:divBdr>
                    <w:top w:val="none" w:sz="0" w:space="0" w:color="auto"/>
                    <w:left w:val="none" w:sz="0" w:space="0" w:color="auto"/>
                    <w:bottom w:val="none" w:sz="0" w:space="0" w:color="auto"/>
                    <w:right w:val="none" w:sz="0" w:space="0" w:color="auto"/>
                  </w:divBdr>
                  <w:divsChild>
                    <w:div w:id="1414546699">
                      <w:marLeft w:val="0"/>
                      <w:marRight w:val="0"/>
                      <w:marTop w:val="0"/>
                      <w:marBottom w:val="0"/>
                      <w:divBdr>
                        <w:top w:val="none" w:sz="0" w:space="0" w:color="auto"/>
                        <w:left w:val="none" w:sz="0" w:space="0" w:color="auto"/>
                        <w:bottom w:val="none" w:sz="0" w:space="0" w:color="auto"/>
                        <w:right w:val="none" w:sz="0" w:space="0" w:color="auto"/>
                      </w:divBdr>
                    </w:div>
                  </w:divsChild>
                </w:div>
                <w:div w:id="1485925430">
                  <w:marLeft w:val="0"/>
                  <w:marRight w:val="0"/>
                  <w:marTop w:val="0"/>
                  <w:marBottom w:val="0"/>
                  <w:divBdr>
                    <w:top w:val="none" w:sz="0" w:space="0" w:color="auto"/>
                    <w:left w:val="none" w:sz="0" w:space="0" w:color="auto"/>
                    <w:bottom w:val="none" w:sz="0" w:space="0" w:color="auto"/>
                    <w:right w:val="none" w:sz="0" w:space="0" w:color="auto"/>
                  </w:divBdr>
                  <w:divsChild>
                    <w:div w:id="1144927398">
                      <w:marLeft w:val="0"/>
                      <w:marRight w:val="0"/>
                      <w:marTop w:val="0"/>
                      <w:marBottom w:val="0"/>
                      <w:divBdr>
                        <w:top w:val="none" w:sz="0" w:space="0" w:color="auto"/>
                        <w:left w:val="none" w:sz="0" w:space="0" w:color="auto"/>
                        <w:bottom w:val="none" w:sz="0" w:space="0" w:color="auto"/>
                        <w:right w:val="none" w:sz="0" w:space="0" w:color="auto"/>
                      </w:divBdr>
                    </w:div>
                  </w:divsChild>
                </w:div>
                <w:div w:id="1489248135">
                  <w:marLeft w:val="0"/>
                  <w:marRight w:val="0"/>
                  <w:marTop w:val="0"/>
                  <w:marBottom w:val="0"/>
                  <w:divBdr>
                    <w:top w:val="none" w:sz="0" w:space="0" w:color="auto"/>
                    <w:left w:val="none" w:sz="0" w:space="0" w:color="auto"/>
                    <w:bottom w:val="none" w:sz="0" w:space="0" w:color="auto"/>
                    <w:right w:val="none" w:sz="0" w:space="0" w:color="auto"/>
                  </w:divBdr>
                  <w:divsChild>
                    <w:div w:id="874385334">
                      <w:marLeft w:val="0"/>
                      <w:marRight w:val="0"/>
                      <w:marTop w:val="0"/>
                      <w:marBottom w:val="0"/>
                      <w:divBdr>
                        <w:top w:val="none" w:sz="0" w:space="0" w:color="auto"/>
                        <w:left w:val="none" w:sz="0" w:space="0" w:color="auto"/>
                        <w:bottom w:val="none" w:sz="0" w:space="0" w:color="auto"/>
                        <w:right w:val="none" w:sz="0" w:space="0" w:color="auto"/>
                      </w:divBdr>
                    </w:div>
                  </w:divsChild>
                </w:div>
                <w:div w:id="1491293898">
                  <w:marLeft w:val="0"/>
                  <w:marRight w:val="0"/>
                  <w:marTop w:val="0"/>
                  <w:marBottom w:val="0"/>
                  <w:divBdr>
                    <w:top w:val="none" w:sz="0" w:space="0" w:color="auto"/>
                    <w:left w:val="none" w:sz="0" w:space="0" w:color="auto"/>
                    <w:bottom w:val="none" w:sz="0" w:space="0" w:color="auto"/>
                    <w:right w:val="none" w:sz="0" w:space="0" w:color="auto"/>
                  </w:divBdr>
                  <w:divsChild>
                    <w:div w:id="1730609825">
                      <w:marLeft w:val="0"/>
                      <w:marRight w:val="0"/>
                      <w:marTop w:val="0"/>
                      <w:marBottom w:val="0"/>
                      <w:divBdr>
                        <w:top w:val="none" w:sz="0" w:space="0" w:color="auto"/>
                        <w:left w:val="none" w:sz="0" w:space="0" w:color="auto"/>
                        <w:bottom w:val="none" w:sz="0" w:space="0" w:color="auto"/>
                        <w:right w:val="none" w:sz="0" w:space="0" w:color="auto"/>
                      </w:divBdr>
                    </w:div>
                  </w:divsChild>
                </w:div>
                <w:div w:id="1499661855">
                  <w:marLeft w:val="0"/>
                  <w:marRight w:val="0"/>
                  <w:marTop w:val="0"/>
                  <w:marBottom w:val="0"/>
                  <w:divBdr>
                    <w:top w:val="none" w:sz="0" w:space="0" w:color="auto"/>
                    <w:left w:val="none" w:sz="0" w:space="0" w:color="auto"/>
                    <w:bottom w:val="none" w:sz="0" w:space="0" w:color="auto"/>
                    <w:right w:val="none" w:sz="0" w:space="0" w:color="auto"/>
                  </w:divBdr>
                  <w:divsChild>
                    <w:div w:id="1059788841">
                      <w:marLeft w:val="0"/>
                      <w:marRight w:val="0"/>
                      <w:marTop w:val="0"/>
                      <w:marBottom w:val="0"/>
                      <w:divBdr>
                        <w:top w:val="none" w:sz="0" w:space="0" w:color="auto"/>
                        <w:left w:val="none" w:sz="0" w:space="0" w:color="auto"/>
                        <w:bottom w:val="none" w:sz="0" w:space="0" w:color="auto"/>
                        <w:right w:val="none" w:sz="0" w:space="0" w:color="auto"/>
                      </w:divBdr>
                    </w:div>
                  </w:divsChild>
                </w:div>
                <w:div w:id="1510101199">
                  <w:marLeft w:val="0"/>
                  <w:marRight w:val="0"/>
                  <w:marTop w:val="0"/>
                  <w:marBottom w:val="0"/>
                  <w:divBdr>
                    <w:top w:val="none" w:sz="0" w:space="0" w:color="auto"/>
                    <w:left w:val="none" w:sz="0" w:space="0" w:color="auto"/>
                    <w:bottom w:val="none" w:sz="0" w:space="0" w:color="auto"/>
                    <w:right w:val="none" w:sz="0" w:space="0" w:color="auto"/>
                  </w:divBdr>
                  <w:divsChild>
                    <w:div w:id="913393161">
                      <w:marLeft w:val="0"/>
                      <w:marRight w:val="0"/>
                      <w:marTop w:val="0"/>
                      <w:marBottom w:val="0"/>
                      <w:divBdr>
                        <w:top w:val="none" w:sz="0" w:space="0" w:color="auto"/>
                        <w:left w:val="none" w:sz="0" w:space="0" w:color="auto"/>
                        <w:bottom w:val="none" w:sz="0" w:space="0" w:color="auto"/>
                        <w:right w:val="none" w:sz="0" w:space="0" w:color="auto"/>
                      </w:divBdr>
                    </w:div>
                  </w:divsChild>
                </w:div>
                <w:div w:id="1522738258">
                  <w:marLeft w:val="0"/>
                  <w:marRight w:val="0"/>
                  <w:marTop w:val="0"/>
                  <w:marBottom w:val="0"/>
                  <w:divBdr>
                    <w:top w:val="none" w:sz="0" w:space="0" w:color="auto"/>
                    <w:left w:val="none" w:sz="0" w:space="0" w:color="auto"/>
                    <w:bottom w:val="none" w:sz="0" w:space="0" w:color="auto"/>
                    <w:right w:val="none" w:sz="0" w:space="0" w:color="auto"/>
                  </w:divBdr>
                  <w:divsChild>
                    <w:div w:id="875119957">
                      <w:marLeft w:val="0"/>
                      <w:marRight w:val="0"/>
                      <w:marTop w:val="0"/>
                      <w:marBottom w:val="0"/>
                      <w:divBdr>
                        <w:top w:val="none" w:sz="0" w:space="0" w:color="auto"/>
                        <w:left w:val="none" w:sz="0" w:space="0" w:color="auto"/>
                        <w:bottom w:val="none" w:sz="0" w:space="0" w:color="auto"/>
                        <w:right w:val="none" w:sz="0" w:space="0" w:color="auto"/>
                      </w:divBdr>
                    </w:div>
                  </w:divsChild>
                </w:div>
                <w:div w:id="1526093169">
                  <w:marLeft w:val="0"/>
                  <w:marRight w:val="0"/>
                  <w:marTop w:val="0"/>
                  <w:marBottom w:val="0"/>
                  <w:divBdr>
                    <w:top w:val="none" w:sz="0" w:space="0" w:color="auto"/>
                    <w:left w:val="none" w:sz="0" w:space="0" w:color="auto"/>
                    <w:bottom w:val="none" w:sz="0" w:space="0" w:color="auto"/>
                    <w:right w:val="none" w:sz="0" w:space="0" w:color="auto"/>
                  </w:divBdr>
                  <w:divsChild>
                    <w:div w:id="2067757364">
                      <w:marLeft w:val="0"/>
                      <w:marRight w:val="0"/>
                      <w:marTop w:val="0"/>
                      <w:marBottom w:val="0"/>
                      <w:divBdr>
                        <w:top w:val="none" w:sz="0" w:space="0" w:color="auto"/>
                        <w:left w:val="none" w:sz="0" w:space="0" w:color="auto"/>
                        <w:bottom w:val="none" w:sz="0" w:space="0" w:color="auto"/>
                        <w:right w:val="none" w:sz="0" w:space="0" w:color="auto"/>
                      </w:divBdr>
                    </w:div>
                  </w:divsChild>
                </w:div>
                <w:div w:id="1546940627">
                  <w:marLeft w:val="0"/>
                  <w:marRight w:val="0"/>
                  <w:marTop w:val="0"/>
                  <w:marBottom w:val="0"/>
                  <w:divBdr>
                    <w:top w:val="none" w:sz="0" w:space="0" w:color="auto"/>
                    <w:left w:val="none" w:sz="0" w:space="0" w:color="auto"/>
                    <w:bottom w:val="none" w:sz="0" w:space="0" w:color="auto"/>
                    <w:right w:val="none" w:sz="0" w:space="0" w:color="auto"/>
                  </w:divBdr>
                  <w:divsChild>
                    <w:div w:id="102072298">
                      <w:marLeft w:val="0"/>
                      <w:marRight w:val="0"/>
                      <w:marTop w:val="0"/>
                      <w:marBottom w:val="0"/>
                      <w:divBdr>
                        <w:top w:val="none" w:sz="0" w:space="0" w:color="auto"/>
                        <w:left w:val="none" w:sz="0" w:space="0" w:color="auto"/>
                        <w:bottom w:val="none" w:sz="0" w:space="0" w:color="auto"/>
                        <w:right w:val="none" w:sz="0" w:space="0" w:color="auto"/>
                      </w:divBdr>
                    </w:div>
                  </w:divsChild>
                </w:div>
                <w:div w:id="1555507568">
                  <w:marLeft w:val="0"/>
                  <w:marRight w:val="0"/>
                  <w:marTop w:val="0"/>
                  <w:marBottom w:val="0"/>
                  <w:divBdr>
                    <w:top w:val="none" w:sz="0" w:space="0" w:color="auto"/>
                    <w:left w:val="none" w:sz="0" w:space="0" w:color="auto"/>
                    <w:bottom w:val="none" w:sz="0" w:space="0" w:color="auto"/>
                    <w:right w:val="none" w:sz="0" w:space="0" w:color="auto"/>
                  </w:divBdr>
                  <w:divsChild>
                    <w:div w:id="1206676463">
                      <w:marLeft w:val="0"/>
                      <w:marRight w:val="0"/>
                      <w:marTop w:val="0"/>
                      <w:marBottom w:val="0"/>
                      <w:divBdr>
                        <w:top w:val="none" w:sz="0" w:space="0" w:color="auto"/>
                        <w:left w:val="none" w:sz="0" w:space="0" w:color="auto"/>
                        <w:bottom w:val="none" w:sz="0" w:space="0" w:color="auto"/>
                        <w:right w:val="none" w:sz="0" w:space="0" w:color="auto"/>
                      </w:divBdr>
                    </w:div>
                  </w:divsChild>
                </w:div>
                <w:div w:id="1577671638">
                  <w:marLeft w:val="0"/>
                  <w:marRight w:val="0"/>
                  <w:marTop w:val="0"/>
                  <w:marBottom w:val="0"/>
                  <w:divBdr>
                    <w:top w:val="none" w:sz="0" w:space="0" w:color="auto"/>
                    <w:left w:val="none" w:sz="0" w:space="0" w:color="auto"/>
                    <w:bottom w:val="none" w:sz="0" w:space="0" w:color="auto"/>
                    <w:right w:val="none" w:sz="0" w:space="0" w:color="auto"/>
                  </w:divBdr>
                  <w:divsChild>
                    <w:div w:id="103814371">
                      <w:marLeft w:val="0"/>
                      <w:marRight w:val="0"/>
                      <w:marTop w:val="0"/>
                      <w:marBottom w:val="0"/>
                      <w:divBdr>
                        <w:top w:val="none" w:sz="0" w:space="0" w:color="auto"/>
                        <w:left w:val="none" w:sz="0" w:space="0" w:color="auto"/>
                        <w:bottom w:val="none" w:sz="0" w:space="0" w:color="auto"/>
                        <w:right w:val="none" w:sz="0" w:space="0" w:color="auto"/>
                      </w:divBdr>
                    </w:div>
                  </w:divsChild>
                </w:div>
                <w:div w:id="1583561641">
                  <w:marLeft w:val="0"/>
                  <w:marRight w:val="0"/>
                  <w:marTop w:val="0"/>
                  <w:marBottom w:val="0"/>
                  <w:divBdr>
                    <w:top w:val="none" w:sz="0" w:space="0" w:color="auto"/>
                    <w:left w:val="none" w:sz="0" w:space="0" w:color="auto"/>
                    <w:bottom w:val="none" w:sz="0" w:space="0" w:color="auto"/>
                    <w:right w:val="none" w:sz="0" w:space="0" w:color="auto"/>
                  </w:divBdr>
                  <w:divsChild>
                    <w:div w:id="285355163">
                      <w:marLeft w:val="0"/>
                      <w:marRight w:val="0"/>
                      <w:marTop w:val="0"/>
                      <w:marBottom w:val="0"/>
                      <w:divBdr>
                        <w:top w:val="none" w:sz="0" w:space="0" w:color="auto"/>
                        <w:left w:val="none" w:sz="0" w:space="0" w:color="auto"/>
                        <w:bottom w:val="none" w:sz="0" w:space="0" w:color="auto"/>
                        <w:right w:val="none" w:sz="0" w:space="0" w:color="auto"/>
                      </w:divBdr>
                    </w:div>
                  </w:divsChild>
                </w:div>
                <w:div w:id="1584031036">
                  <w:marLeft w:val="0"/>
                  <w:marRight w:val="0"/>
                  <w:marTop w:val="0"/>
                  <w:marBottom w:val="0"/>
                  <w:divBdr>
                    <w:top w:val="none" w:sz="0" w:space="0" w:color="auto"/>
                    <w:left w:val="none" w:sz="0" w:space="0" w:color="auto"/>
                    <w:bottom w:val="none" w:sz="0" w:space="0" w:color="auto"/>
                    <w:right w:val="none" w:sz="0" w:space="0" w:color="auto"/>
                  </w:divBdr>
                  <w:divsChild>
                    <w:div w:id="161091417">
                      <w:marLeft w:val="0"/>
                      <w:marRight w:val="0"/>
                      <w:marTop w:val="0"/>
                      <w:marBottom w:val="0"/>
                      <w:divBdr>
                        <w:top w:val="none" w:sz="0" w:space="0" w:color="auto"/>
                        <w:left w:val="none" w:sz="0" w:space="0" w:color="auto"/>
                        <w:bottom w:val="none" w:sz="0" w:space="0" w:color="auto"/>
                        <w:right w:val="none" w:sz="0" w:space="0" w:color="auto"/>
                      </w:divBdr>
                    </w:div>
                  </w:divsChild>
                </w:div>
                <w:div w:id="1586845005">
                  <w:marLeft w:val="0"/>
                  <w:marRight w:val="0"/>
                  <w:marTop w:val="0"/>
                  <w:marBottom w:val="0"/>
                  <w:divBdr>
                    <w:top w:val="none" w:sz="0" w:space="0" w:color="auto"/>
                    <w:left w:val="none" w:sz="0" w:space="0" w:color="auto"/>
                    <w:bottom w:val="none" w:sz="0" w:space="0" w:color="auto"/>
                    <w:right w:val="none" w:sz="0" w:space="0" w:color="auto"/>
                  </w:divBdr>
                  <w:divsChild>
                    <w:div w:id="1054237485">
                      <w:marLeft w:val="0"/>
                      <w:marRight w:val="0"/>
                      <w:marTop w:val="0"/>
                      <w:marBottom w:val="0"/>
                      <w:divBdr>
                        <w:top w:val="none" w:sz="0" w:space="0" w:color="auto"/>
                        <w:left w:val="none" w:sz="0" w:space="0" w:color="auto"/>
                        <w:bottom w:val="none" w:sz="0" w:space="0" w:color="auto"/>
                        <w:right w:val="none" w:sz="0" w:space="0" w:color="auto"/>
                      </w:divBdr>
                    </w:div>
                  </w:divsChild>
                </w:div>
                <w:div w:id="1592620143">
                  <w:marLeft w:val="0"/>
                  <w:marRight w:val="0"/>
                  <w:marTop w:val="0"/>
                  <w:marBottom w:val="0"/>
                  <w:divBdr>
                    <w:top w:val="none" w:sz="0" w:space="0" w:color="auto"/>
                    <w:left w:val="none" w:sz="0" w:space="0" w:color="auto"/>
                    <w:bottom w:val="none" w:sz="0" w:space="0" w:color="auto"/>
                    <w:right w:val="none" w:sz="0" w:space="0" w:color="auto"/>
                  </w:divBdr>
                  <w:divsChild>
                    <w:div w:id="396318448">
                      <w:marLeft w:val="0"/>
                      <w:marRight w:val="0"/>
                      <w:marTop w:val="0"/>
                      <w:marBottom w:val="0"/>
                      <w:divBdr>
                        <w:top w:val="none" w:sz="0" w:space="0" w:color="auto"/>
                        <w:left w:val="none" w:sz="0" w:space="0" w:color="auto"/>
                        <w:bottom w:val="none" w:sz="0" w:space="0" w:color="auto"/>
                        <w:right w:val="none" w:sz="0" w:space="0" w:color="auto"/>
                      </w:divBdr>
                    </w:div>
                  </w:divsChild>
                </w:div>
                <w:div w:id="1600794141">
                  <w:marLeft w:val="0"/>
                  <w:marRight w:val="0"/>
                  <w:marTop w:val="0"/>
                  <w:marBottom w:val="0"/>
                  <w:divBdr>
                    <w:top w:val="none" w:sz="0" w:space="0" w:color="auto"/>
                    <w:left w:val="none" w:sz="0" w:space="0" w:color="auto"/>
                    <w:bottom w:val="none" w:sz="0" w:space="0" w:color="auto"/>
                    <w:right w:val="none" w:sz="0" w:space="0" w:color="auto"/>
                  </w:divBdr>
                  <w:divsChild>
                    <w:div w:id="553614247">
                      <w:marLeft w:val="0"/>
                      <w:marRight w:val="0"/>
                      <w:marTop w:val="0"/>
                      <w:marBottom w:val="0"/>
                      <w:divBdr>
                        <w:top w:val="none" w:sz="0" w:space="0" w:color="auto"/>
                        <w:left w:val="none" w:sz="0" w:space="0" w:color="auto"/>
                        <w:bottom w:val="none" w:sz="0" w:space="0" w:color="auto"/>
                        <w:right w:val="none" w:sz="0" w:space="0" w:color="auto"/>
                      </w:divBdr>
                    </w:div>
                  </w:divsChild>
                </w:div>
                <w:div w:id="1606378219">
                  <w:marLeft w:val="0"/>
                  <w:marRight w:val="0"/>
                  <w:marTop w:val="0"/>
                  <w:marBottom w:val="0"/>
                  <w:divBdr>
                    <w:top w:val="none" w:sz="0" w:space="0" w:color="auto"/>
                    <w:left w:val="none" w:sz="0" w:space="0" w:color="auto"/>
                    <w:bottom w:val="none" w:sz="0" w:space="0" w:color="auto"/>
                    <w:right w:val="none" w:sz="0" w:space="0" w:color="auto"/>
                  </w:divBdr>
                  <w:divsChild>
                    <w:div w:id="156582999">
                      <w:marLeft w:val="0"/>
                      <w:marRight w:val="0"/>
                      <w:marTop w:val="0"/>
                      <w:marBottom w:val="0"/>
                      <w:divBdr>
                        <w:top w:val="none" w:sz="0" w:space="0" w:color="auto"/>
                        <w:left w:val="none" w:sz="0" w:space="0" w:color="auto"/>
                        <w:bottom w:val="none" w:sz="0" w:space="0" w:color="auto"/>
                        <w:right w:val="none" w:sz="0" w:space="0" w:color="auto"/>
                      </w:divBdr>
                    </w:div>
                  </w:divsChild>
                </w:div>
                <w:div w:id="1607497822">
                  <w:marLeft w:val="0"/>
                  <w:marRight w:val="0"/>
                  <w:marTop w:val="0"/>
                  <w:marBottom w:val="0"/>
                  <w:divBdr>
                    <w:top w:val="none" w:sz="0" w:space="0" w:color="auto"/>
                    <w:left w:val="none" w:sz="0" w:space="0" w:color="auto"/>
                    <w:bottom w:val="none" w:sz="0" w:space="0" w:color="auto"/>
                    <w:right w:val="none" w:sz="0" w:space="0" w:color="auto"/>
                  </w:divBdr>
                  <w:divsChild>
                    <w:div w:id="1013341510">
                      <w:marLeft w:val="0"/>
                      <w:marRight w:val="0"/>
                      <w:marTop w:val="0"/>
                      <w:marBottom w:val="0"/>
                      <w:divBdr>
                        <w:top w:val="none" w:sz="0" w:space="0" w:color="auto"/>
                        <w:left w:val="none" w:sz="0" w:space="0" w:color="auto"/>
                        <w:bottom w:val="none" w:sz="0" w:space="0" w:color="auto"/>
                        <w:right w:val="none" w:sz="0" w:space="0" w:color="auto"/>
                      </w:divBdr>
                    </w:div>
                  </w:divsChild>
                </w:div>
                <w:div w:id="1609851412">
                  <w:marLeft w:val="0"/>
                  <w:marRight w:val="0"/>
                  <w:marTop w:val="0"/>
                  <w:marBottom w:val="0"/>
                  <w:divBdr>
                    <w:top w:val="none" w:sz="0" w:space="0" w:color="auto"/>
                    <w:left w:val="none" w:sz="0" w:space="0" w:color="auto"/>
                    <w:bottom w:val="none" w:sz="0" w:space="0" w:color="auto"/>
                    <w:right w:val="none" w:sz="0" w:space="0" w:color="auto"/>
                  </w:divBdr>
                  <w:divsChild>
                    <w:div w:id="1531919103">
                      <w:marLeft w:val="0"/>
                      <w:marRight w:val="0"/>
                      <w:marTop w:val="0"/>
                      <w:marBottom w:val="0"/>
                      <w:divBdr>
                        <w:top w:val="none" w:sz="0" w:space="0" w:color="auto"/>
                        <w:left w:val="none" w:sz="0" w:space="0" w:color="auto"/>
                        <w:bottom w:val="none" w:sz="0" w:space="0" w:color="auto"/>
                        <w:right w:val="none" w:sz="0" w:space="0" w:color="auto"/>
                      </w:divBdr>
                    </w:div>
                  </w:divsChild>
                </w:div>
                <w:div w:id="1610041344">
                  <w:marLeft w:val="0"/>
                  <w:marRight w:val="0"/>
                  <w:marTop w:val="0"/>
                  <w:marBottom w:val="0"/>
                  <w:divBdr>
                    <w:top w:val="none" w:sz="0" w:space="0" w:color="auto"/>
                    <w:left w:val="none" w:sz="0" w:space="0" w:color="auto"/>
                    <w:bottom w:val="none" w:sz="0" w:space="0" w:color="auto"/>
                    <w:right w:val="none" w:sz="0" w:space="0" w:color="auto"/>
                  </w:divBdr>
                  <w:divsChild>
                    <w:div w:id="932737271">
                      <w:marLeft w:val="0"/>
                      <w:marRight w:val="0"/>
                      <w:marTop w:val="0"/>
                      <w:marBottom w:val="0"/>
                      <w:divBdr>
                        <w:top w:val="none" w:sz="0" w:space="0" w:color="auto"/>
                        <w:left w:val="none" w:sz="0" w:space="0" w:color="auto"/>
                        <w:bottom w:val="none" w:sz="0" w:space="0" w:color="auto"/>
                        <w:right w:val="none" w:sz="0" w:space="0" w:color="auto"/>
                      </w:divBdr>
                    </w:div>
                  </w:divsChild>
                </w:div>
                <w:div w:id="1615020296">
                  <w:marLeft w:val="0"/>
                  <w:marRight w:val="0"/>
                  <w:marTop w:val="0"/>
                  <w:marBottom w:val="0"/>
                  <w:divBdr>
                    <w:top w:val="none" w:sz="0" w:space="0" w:color="auto"/>
                    <w:left w:val="none" w:sz="0" w:space="0" w:color="auto"/>
                    <w:bottom w:val="none" w:sz="0" w:space="0" w:color="auto"/>
                    <w:right w:val="none" w:sz="0" w:space="0" w:color="auto"/>
                  </w:divBdr>
                  <w:divsChild>
                    <w:div w:id="40717466">
                      <w:marLeft w:val="0"/>
                      <w:marRight w:val="0"/>
                      <w:marTop w:val="0"/>
                      <w:marBottom w:val="0"/>
                      <w:divBdr>
                        <w:top w:val="none" w:sz="0" w:space="0" w:color="auto"/>
                        <w:left w:val="none" w:sz="0" w:space="0" w:color="auto"/>
                        <w:bottom w:val="none" w:sz="0" w:space="0" w:color="auto"/>
                        <w:right w:val="none" w:sz="0" w:space="0" w:color="auto"/>
                      </w:divBdr>
                    </w:div>
                  </w:divsChild>
                </w:div>
                <w:div w:id="1629773948">
                  <w:marLeft w:val="0"/>
                  <w:marRight w:val="0"/>
                  <w:marTop w:val="0"/>
                  <w:marBottom w:val="0"/>
                  <w:divBdr>
                    <w:top w:val="none" w:sz="0" w:space="0" w:color="auto"/>
                    <w:left w:val="none" w:sz="0" w:space="0" w:color="auto"/>
                    <w:bottom w:val="none" w:sz="0" w:space="0" w:color="auto"/>
                    <w:right w:val="none" w:sz="0" w:space="0" w:color="auto"/>
                  </w:divBdr>
                  <w:divsChild>
                    <w:div w:id="2057578438">
                      <w:marLeft w:val="0"/>
                      <w:marRight w:val="0"/>
                      <w:marTop w:val="0"/>
                      <w:marBottom w:val="0"/>
                      <w:divBdr>
                        <w:top w:val="none" w:sz="0" w:space="0" w:color="auto"/>
                        <w:left w:val="none" w:sz="0" w:space="0" w:color="auto"/>
                        <w:bottom w:val="none" w:sz="0" w:space="0" w:color="auto"/>
                        <w:right w:val="none" w:sz="0" w:space="0" w:color="auto"/>
                      </w:divBdr>
                    </w:div>
                  </w:divsChild>
                </w:div>
                <w:div w:id="1632319626">
                  <w:marLeft w:val="0"/>
                  <w:marRight w:val="0"/>
                  <w:marTop w:val="0"/>
                  <w:marBottom w:val="0"/>
                  <w:divBdr>
                    <w:top w:val="none" w:sz="0" w:space="0" w:color="auto"/>
                    <w:left w:val="none" w:sz="0" w:space="0" w:color="auto"/>
                    <w:bottom w:val="none" w:sz="0" w:space="0" w:color="auto"/>
                    <w:right w:val="none" w:sz="0" w:space="0" w:color="auto"/>
                  </w:divBdr>
                  <w:divsChild>
                    <w:div w:id="1729113227">
                      <w:marLeft w:val="0"/>
                      <w:marRight w:val="0"/>
                      <w:marTop w:val="0"/>
                      <w:marBottom w:val="0"/>
                      <w:divBdr>
                        <w:top w:val="none" w:sz="0" w:space="0" w:color="auto"/>
                        <w:left w:val="none" w:sz="0" w:space="0" w:color="auto"/>
                        <w:bottom w:val="none" w:sz="0" w:space="0" w:color="auto"/>
                        <w:right w:val="none" w:sz="0" w:space="0" w:color="auto"/>
                      </w:divBdr>
                    </w:div>
                  </w:divsChild>
                </w:div>
                <w:div w:id="1636913287">
                  <w:marLeft w:val="0"/>
                  <w:marRight w:val="0"/>
                  <w:marTop w:val="0"/>
                  <w:marBottom w:val="0"/>
                  <w:divBdr>
                    <w:top w:val="none" w:sz="0" w:space="0" w:color="auto"/>
                    <w:left w:val="none" w:sz="0" w:space="0" w:color="auto"/>
                    <w:bottom w:val="none" w:sz="0" w:space="0" w:color="auto"/>
                    <w:right w:val="none" w:sz="0" w:space="0" w:color="auto"/>
                  </w:divBdr>
                  <w:divsChild>
                    <w:div w:id="638923225">
                      <w:marLeft w:val="0"/>
                      <w:marRight w:val="0"/>
                      <w:marTop w:val="0"/>
                      <w:marBottom w:val="0"/>
                      <w:divBdr>
                        <w:top w:val="none" w:sz="0" w:space="0" w:color="auto"/>
                        <w:left w:val="none" w:sz="0" w:space="0" w:color="auto"/>
                        <w:bottom w:val="none" w:sz="0" w:space="0" w:color="auto"/>
                        <w:right w:val="none" w:sz="0" w:space="0" w:color="auto"/>
                      </w:divBdr>
                    </w:div>
                  </w:divsChild>
                </w:div>
                <w:div w:id="1648196612">
                  <w:marLeft w:val="0"/>
                  <w:marRight w:val="0"/>
                  <w:marTop w:val="0"/>
                  <w:marBottom w:val="0"/>
                  <w:divBdr>
                    <w:top w:val="none" w:sz="0" w:space="0" w:color="auto"/>
                    <w:left w:val="none" w:sz="0" w:space="0" w:color="auto"/>
                    <w:bottom w:val="none" w:sz="0" w:space="0" w:color="auto"/>
                    <w:right w:val="none" w:sz="0" w:space="0" w:color="auto"/>
                  </w:divBdr>
                  <w:divsChild>
                    <w:div w:id="1118183662">
                      <w:marLeft w:val="0"/>
                      <w:marRight w:val="0"/>
                      <w:marTop w:val="0"/>
                      <w:marBottom w:val="0"/>
                      <w:divBdr>
                        <w:top w:val="none" w:sz="0" w:space="0" w:color="auto"/>
                        <w:left w:val="none" w:sz="0" w:space="0" w:color="auto"/>
                        <w:bottom w:val="none" w:sz="0" w:space="0" w:color="auto"/>
                        <w:right w:val="none" w:sz="0" w:space="0" w:color="auto"/>
                      </w:divBdr>
                    </w:div>
                  </w:divsChild>
                </w:div>
                <w:div w:id="1650162817">
                  <w:marLeft w:val="0"/>
                  <w:marRight w:val="0"/>
                  <w:marTop w:val="0"/>
                  <w:marBottom w:val="0"/>
                  <w:divBdr>
                    <w:top w:val="none" w:sz="0" w:space="0" w:color="auto"/>
                    <w:left w:val="none" w:sz="0" w:space="0" w:color="auto"/>
                    <w:bottom w:val="none" w:sz="0" w:space="0" w:color="auto"/>
                    <w:right w:val="none" w:sz="0" w:space="0" w:color="auto"/>
                  </w:divBdr>
                  <w:divsChild>
                    <w:div w:id="612983287">
                      <w:marLeft w:val="0"/>
                      <w:marRight w:val="0"/>
                      <w:marTop w:val="0"/>
                      <w:marBottom w:val="0"/>
                      <w:divBdr>
                        <w:top w:val="none" w:sz="0" w:space="0" w:color="auto"/>
                        <w:left w:val="none" w:sz="0" w:space="0" w:color="auto"/>
                        <w:bottom w:val="none" w:sz="0" w:space="0" w:color="auto"/>
                        <w:right w:val="none" w:sz="0" w:space="0" w:color="auto"/>
                      </w:divBdr>
                    </w:div>
                  </w:divsChild>
                </w:div>
                <w:div w:id="1655718034">
                  <w:marLeft w:val="0"/>
                  <w:marRight w:val="0"/>
                  <w:marTop w:val="0"/>
                  <w:marBottom w:val="0"/>
                  <w:divBdr>
                    <w:top w:val="none" w:sz="0" w:space="0" w:color="auto"/>
                    <w:left w:val="none" w:sz="0" w:space="0" w:color="auto"/>
                    <w:bottom w:val="none" w:sz="0" w:space="0" w:color="auto"/>
                    <w:right w:val="none" w:sz="0" w:space="0" w:color="auto"/>
                  </w:divBdr>
                  <w:divsChild>
                    <w:div w:id="1745568011">
                      <w:marLeft w:val="0"/>
                      <w:marRight w:val="0"/>
                      <w:marTop w:val="0"/>
                      <w:marBottom w:val="0"/>
                      <w:divBdr>
                        <w:top w:val="none" w:sz="0" w:space="0" w:color="auto"/>
                        <w:left w:val="none" w:sz="0" w:space="0" w:color="auto"/>
                        <w:bottom w:val="none" w:sz="0" w:space="0" w:color="auto"/>
                        <w:right w:val="none" w:sz="0" w:space="0" w:color="auto"/>
                      </w:divBdr>
                    </w:div>
                  </w:divsChild>
                </w:div>
                <w:div w:id="1656520610">
                  <w:marLeft w:val="0"/>
                  <w:marRight w:val="0"/>
                  <w:marTop w:val="0"/>
                  <w:marBottom w:val="0"/>
                  <w:divBdr>
                    <w:top w:val="none" w:sz="0" w:space="0" w:color="auto"/>
                    <w:left w:val="none" w:sz="0" w:space="0" w:color="auto"/>
                    <w:bottom w:val="none" w:sz="0" w:space="0" w:color="auto"/>
                    <w:right w:val="none" w:sz="0" w:space="0" w:color="auto"/>
                  </w:divBdr>
                  <w:divsChild>
                    <w:div w:id="2119518205">
                      <w:marLeft w:val="0"/>
                      <w:marRight w:val="0"/>
                      <w:marTop w:val="0"/>
                      <w:marBottom w:val="0"/>
                      <w:divBdr>
                        <w:top w:val="none" w:sz="0" w:space="0" w:color="auto"/>
                        <w:left w:val="none" w:sz="0" w:space="0" w:color="auto"/>
                        <w:bottom w:val="none" w:sz="0" w:space="0" w:color="auto"/>
                        <w:right w:val="none" w:sz="0" w:space="0" w:color="auto"/>
                      </w:divBdr>
                    </w:div>
                  </w:divsChild>
                </w:div>
                <w:div w:id="1666780428">
                  <w:marLeft w:val="0"/>
                  <w:marRight w:val="0"/>
                  <w:marTop w:val="0"/>
                  <w:marBottom w:val="0"/>
                  <w:divBdr>
                    <w:top w:val="none" w:sz="0" w:space="0" w:color="auto"/>
                    <w:left w:val="none" w:sz="0" w:space="0" w:color="auto"/>
                    <w:bottom w:val="none" w:sz="0" w:space="0" w:color="auto"/>
                    <w:right w:val="none" w:sz="0" w:space="0" w:color="auto"/>
                  </w:divBdr>
                  <w:divsChild>
                    <w:div w:id="405495820">
                      <w:marLeft w:val="0"/>
                      <w:marRight w:val="0"/>
                      <w:marTop w:val="0"/>
                      <w:marBottom w:val="0"/>
                      <w:divBdr>
                        <w:top w:val="none" w:sz="0" w:space="0" w:color="auto"/>
                        <w:left w:val="none" w:sz="0" w:space="0" w:color="auto"/>
                        <w:bottom w:val="none" w:sz="0" w:space="0" w:color="auto"/>
                        <w:right w:val="none" w:sz="0" w:space="0" w:color="auto"/>
                      </w:divBdr>
                    </w:div>
                  </w:divsChild>
                </w:div>
                <w:div w:id="1678314577">
                  <w:marLeft w:val="0"/>
                  <w:marRight w:val="0"/>
                  <w:marTop w:val="0"/>
                  <w:marBottom w:val="0"/>
                  <w:divBdr>
                    <w:top w:val="none" w:sz="0" w:space="0" w:color="auto"/>
                    <w:left w:val="none" w:sz="0" w:space="0" w:color="auto"/>
                    <w:bottom w:val="none" w:sz="0" w:space="0" w:color="auto"/>
                    <w:right w:val="none" w:sz="0" w:space="0" w:color="auto"/>
                  </w:divBdr>
                  <w:divsChild>
                    <w:div w:id="1263606448">
                      <w:marLeft w:val="0"/>
                      <w:marRight w:val="0"/>
                      <w:marTop w:val="0"/>
                      <w:marBottom w:val="0"/>
                      <w:divBdr>
                        <w:top w:val="none" w:sz="0" w:space="0" w:color="auto"/>
                        <w:left w:val="none" w:sz="0" w:space="0" w:color="auto"/>
                        <w:bottom w:val="none" w:sz="0" w:space="0" w:color="auto"/>
                        <w:right w:val="none" w:sz="0" w:space="0" w:color="auto"/>
                      </w:divBdr>
                    </w:div>
                  </w:divsChild>
                </w:div>
                <w:div w:id="1679116565">
                  <w:marLeft w:val="0"/>
                  <w:marRight w:val="0"/>
                  <w:marTop w:val="0"/>
                  <w:marBottom w:val="0"/>
                  <w:divBdr>
                    <w:top w:val="none" w:sz="0" w:space="0" w:color="auto"/>
                    <w:left w:val="none" w:sz="0" w:space="0" w:color="auto"/>
                    <w:bottom w:val="none" w:sz="0" w:space="0" w:color="auto"/>
                    <w:right w:val="none" w:sz="0" w:space="0" w:color="auto"/>
                  </w:divBdr>
                  <w:divsChild>
                    <w:div w:id="1366171893">
                      <w:marLeft w:val="0"/>
                      <w:marRight w:val="0"/>
                      <w:marTop w:val="0"/>
                      <w:marBottom w:val="0"/>
                      <w:divBdr>
                        <w:top w:val="none" w:sz="0" w:space="0" w:color="auto"/>
                        <w:left w:val="none" w:sz="0" w:space="0" w:color="auto"/>
                        <w:bottom w:val="none" w:sz="0" w:space="0" w:color="auto"/>
                        <w:right w:val="none" w:sz="0" w:space="0" w:color="auto"/>
                      </w:divBdr>
                    </w:div>
                  </w:divsChild>
                </w:div>
                <w:div w:id="1695497063">
                  <w:marLeft w:val="0"/>
                  <w:marRight w:val="0"/>
                  <w:marTop w:val="0"/>
                  <w:marBottom w:val="0"/>
                  <w:divBdr>
                    <w:top w:val="none" w:sz="0" w:space="0" w:color="auto"/>
                    <w:left w:val="none" w:sz="0" w:space="0" w:color="auto"/>
                    <w:bottom w:val="none" w:sz="0" w:space="0" w:color="auto"/>
                    <w:right w:val="none" w:sz="0" w:space="0" w:color="auto"/>
                  </w:divBdr>
                  <w:divsChild>
                    <w:div w:id="1500004019">
                      <w:marLeft w:val="0"/>
                      <w:marRight w:val="0"/>
                      <w:marTop w:val="0"/>
                      <w:marBottom w:val="0"/>
                      <w:divBdr>
                        <w:top w:val="none" w:sz="0" w:space="0" w:color="auto"/>
                        <w:left w:val="none" w:sz="0" w:space="0" w:color="auto"/>
                        <w:bottom w:val="none" w:sz="0" w:space="0" w:color="auto"/>
                        <w:right w:val="none" w:sz="0" w:space="0" w:color="auto"/>
                      </w:divBdr>
                    </w:div>
                  </w:divsChild>
                </w:div>
                <w:div w:id="1703901933">
                  <w:marLeft w:val="0"/>
                  <w:marRight w:val="0"/>
                  <w:marTop w:val="0"/>
                  <w:marBottom w:val="0"/>
                  <w:divBdr>
                    <w:top w:val="none" w:sz="0" w:space="0" w:color="auto"/>
                    <w:left w:val="none" w:sz="0" w:space="0" w:color="auto"/>
                    <w:bottom w:val="none" w:sz="0" w:space="0" w:color="auto"/>
                    <w:right w:val="none" w:sz="0" w:space="0" w:color="auto"/>
                  </w:divBdr>
                  <w:divsChild>
                    <w:div w:id="1309675297">
                      <w:marLeft w:val="0"/>
                      <w:marRight w:val="0"/>
                      <w:marTop w:val="0"/>
                      <w:marBottom w:val="0"/>
                      <w:divBdr>
                        <w:top w:val="none" w:sz="0" w:space="0" w:color="auto"/>
                        <w:left w:val="none" w:sz="0" w:space="0" w:color="auto"/>
                        <w:bottom w:val="none" w:sz="0" w:space="0" w:color="auto"/>
                        <w:right w:val="none" w:sz="0" w:space="0" w:color="auto"/>
                      </w:divBdr>
                    </w:div>
                  </w:divsChild>
                </w:div>
                <w:div w:id="1710840369">
                  <w:marLeft w:val="0"/>
                  <w:marRight w:val="0"/>
                  <w:marTop w:val="0"/>
                  <w:marBottom w:val="0"/>
                  <w:divBdr>
                    <w:top w:val="none" w:sz="0" w:space="0" w:color="auto"/>
                    <w:left w:val="none" w:sz="0" w:space="0" w:color="auto"/>
                    <w:bottom w:val="none" w:sz="0" w:space="0" w:color="auto"/>
                    <w:right w:val="none" w:sz="0" w:space="0" w:color="auto"/>
                  </w:divBdr>
                  <w:divsChild>
                    <w:div w:id="1729376292">
                      <w:marLeft w:val="0"/>
                      <w:marRight w:val="0"/>
                      <w:marTop w:val="0"/>
                      <w:marBottom w:val="0"/>
                      <w:divBdr>
                        <w:top w:val="none" w:sz="0" w:space="0" w:color="auto"/>
                        <w:left w:val="none" w:sz="0" w:space="0" w:color="auto"/>
                        <w:bottom w:val="none" w:sz="0" w:space="0" w:color="auto"/>
                        <w:right w:val="none" w:sz="0" w:space="0" w:color="auto"/>
                      </w:divBdr>
                    </w:div>
                  </w:divsChild>
                </w:div>
                <w:div w:id="1716006170">
                  <w:marLeft w:val="0"/>
                  <w:marRight w:val="0"/>
                  <w:marTop w:val="0"/>
                  <w:marBottom w:val="0"/>
                  <w:divBdr>
                    <w:top w:val="none" w:sz="0" w:space="0" w:color="auto"/>
                    <w:left w:val="none" w:sz="0" w:space="0" w:color="auto"/>
                    <w:bottom w:val="none" w:sz="0" w:space="0" w:color="auto"/>
                    <w:right w:val="none" w:sz="0" w:space="0" w:color="auto"/>
                  </w:divBdr>
                  <w:divsChild>
                    <w:div w:id="365566724">
                      <w:marLeft w:val="0"/>
                      <w:marRight w:val="0"/>
                      <w:marTop w:val="0"/>
                      <w:marBottom w:val="0"/>
                      <w:divBdr>
                        <w:top w:val="none" w:sz="0" w:space="0" w:color="auto"/>
                        <w:left w:val="none" w:sz="0" w:space="0" w:color="auto"/>
                        <w:bottom w:val="none" w:sz="0" w:space="0" w:color="auto"/>
                        <w:right w:val="none" w:sz="0" w:space="0" w:color="auto"/>
                      </w:divBdr>
                    </w:div>
                  </w:divsChild>
                </w:div>
                <w:div w:id="1722705505">
                  <w:marLeft w:val="0"/>
                  <w:marRight w:val="0"/>
                  <w:marTop w:val="0"/>
                  <w:marBottom w:val="0"/>
                  <w:divBdr>
                    <w:top w:val="none" w:sz="0" w:space="0" w:color="auto"/>
                    <w:left w:val="none" w:sz="0" w:space="0" w:color="auto"/>
                    <w:bottom w:val="none" w:sz="0" w:space="0" w:color="auto"/>
                    <w:right w:val="none" w:sz="0" w:space="0" w:color="auto"/>
                  </w:divBdr>
                  <w:divsChild>
                    <w:div w:id="1422869812">
                      <w:marLeft w:val="0"/>
                      <w:marRight w:val="0"/>
                      <w:marTop w:val="0"/>
                      <w:marBottom w:val="0"/>
                      <w:divBdr>
                        <w:top w:val="none" w:sz="0" w:space="0" w:color="auto"/>
                        <w:left w:val="none" w:sz="0" w:space="0" w:color="auto"/>
                        <w:bottom w:val="none" w:sz="0" w:space="0" w:color="auto"/>
                        <w:right w:val="none" w:sz="0" w:space="0" w:color="auto"/>
                      </w:divBdr>
                    </w:div>
                  </w:divsChild>
                </w:div>
                <w:div w:id="1733696448">
                  <w:marLeft w:val="0"/>
                  <w:marRight w:val="0"/>
                  <w:marTop w:val="0"/>
                  <w:marBottom w:val="0"/>
                  <w:divBdr>
                    <w:top w:val="none" w:sz="0" w:space="0" w:color="auto"/>
                    <w:left w:val="none" w:sz="0" w:space="0" w:color="auto"/>
                    <w:bottom w:val="none" w:sz="0" w:space="0" w:color="auto"/>
                    <w:right w:val="none" w:sz="0" w:space="0" w:color="auto"/>
                  </w:divBdr>
                  <w:divsChild>
                    <w:div w:id="182523201">
                      <w:marLeft w:val="0"/>
                      <w:marRight w:val="0"/>
                      <w:marTop w:val="0"/>
                      <w:marBottom w:val="0"/>
                      <w:divBdr>
                        <w:top w:val="none" w:sz="0" w:space="0" w:color="auto"/>
                        <w:left w:val="none" w:sz="0" w:space="0" w:color="auto"/>
                        <w:bottom w:val="none" w:sz="0" w:space="0" w:color="auto"/>
                        <w:right w:val="none" w:sz="0" w:space="0" w:color="auto"/>
                      </w:divBdr>
                    </w:div>
                  </w:divsChild>
                </w:div>
                <w:div w:id="1736857435">
                  <w:marLeft w:val="0"/>
                  <w:marRight w:val="0"/>
                  <w:marTop w:val="0"/>
                  <w:marBottom w:val="0"/>
                  <w:divBdr>
                    <w:top w:val="none" w:sz="0" w:space="0" w:color="auto"/>
                    <w:left w:val="none" w:sz="0" w:space="0" w:color="auto"/>
                    <w:bottom w:val="none" w:sz="0" w:space="0" w:color="auto"/>
                    <w:right w:val="none" w:sz="0" w:space="0" w:color="auto"/>
                  </w:divBdr>
                  <w:divsChild>
                    <w:div w:id="1526361709">
                      <w:marLeft w:val="0"/>
                      <w:marRight w:val="0"/>
                      <w:marTop w:val="0"/>
                      <w:marBottom w:val="0"/>
                      <w:divBdr>
                        <w:top w:val="none" w:sz="0" w:space="0" w:color="auto"/>
                        <w:left w:val="none" w:sz="0" w:space="0" w:color="auto"/>
                        <w:bottom w:val="none" w:sz="0" w:space="0" w:color="auto"/>
                        <w:right w:val="none" w:sz="0" w:space="0" w:color="auto"/>
                      </w:divBdr>
                    </w:div>
                    <w:div w:id="2092657974">
                      <w:marLeft w:val="0"/>
                      <w:marRight w:val="0"/>
                      <w:marTop w:val="0"/>
                      <w:marBottom w:val="0"/>
                      <w:divBdr>
                        <w:top w:val="none" w:sz="0" w:space="0" w:color="auto"/>
                        <w:left w:val="none" w:sz="0" w:space="0" w:color="auto"/>
                        <w:bottom w:val="none" w:sz="0" w:space="0" w:color="auto"/>
                        <w:right w:val="none" w:sz="0" w:space="0" w:color="auto"/>
                      </w:divBdr>
                    </w:div>
                  </w:divsChild>
                </w:div>
                <w:div w:id="1740710405">
                  <w:marLeft w:val="0"/>
                  <w:marRight w:val="0"/>
                  <w:marTop w:val="0"/>
                  <w:marBottom w:val="0"/>
                  <w:divBdr>
                    <w:top w:val="none" w:sz="0" w:space="0" w:color="auto"/>
                    <w:left w:val="none" w:sz="0" w:space="0" w:color="auto"/>
                    <w:bottom w:val="none" w:sz="0" w:space="0" w:color="auto"/>
                    <w:right w:val="none" w:sz="0" w:space="0" w:color="auto"/>
                  </w:divBdr>
                  <w:divsChild>
                    <w:div w:id="711153082">
                      <w:marLeft w:val="0"/>
                      <w:marRight w:val="0"/>
                      <w:marTop w:val="0"/>
                      <w:marBottom w:val="0"/>
                      <w:divBdr>
                        <w:top w:val="none" w:sz="0" w:space="0" w:color="auto"/>
                        <w:left w:val="none" w:sz="0" w:space="0" w:color="auto"/>
                        <w:bottom w:val="none" w:sz="0" w:space="0" w:color="auto"/>
                        <w:right w:val="none" w:sz="0" w:space="0" w:color="auto"/>
                      </w:divBdr>
                    </w:div>
                  </w:divsChild>
                </w:div>
                <w:div w:id="1746679628">
                  <w:marLeft w:val="0"/>
                  <w:marRight w:val="0"/>
                  <w:marTop w:val="0"/>
                  <w:marBottom w:val="0"/>
                  <w:divBdr>
                    <w:top w:val="none" w:sz="0" w:space="0" w:color="auto"/>
                    <w:left w:val="none" w:sz="0" w:space="0" w:color="auto"/>
                    <w:bottom w:val="none" w:sz="0" w:space="0" w:color="auto"/>
                    <w:right w:val="none" w:sz="0" w:space="0" w:color="auto"/>
                  </w:divBdr>
                  <w:divsChild>
                    <w:div w:id="33891623">
                      <w:marLeft w:val="0"/>
                      <w:marRight w:val="0"/>
                      <w:marTop w:val="0"/>
                      <w:marBottom w:val="0"/>
                      <w:divBdr>
                        <w:top w:val="none" w:sz="0" w:space="0" w:color="auto"/>
                        <w:left w:val="none" w:sz="0" w:space="0" w:color="auto"/>
                        <w:bottom w:val="none" w:sz="0" w:space="0" w:color="auto"/>
                        <w:right w:val="none" w:sz="0" w:space="0" w:color="auto"/>
                      </w:divBdr>
                    </w:div>
                  </w:divsChild>
                </w:div>
                <w:div w:id="1756122183">
                  <w:marLeft w:val="0"/>
                  <w:marRight w:val="0"/>
                  <w:marTop w:val="0"/>
                  <w:marBottom w:val="0"/>
                  <w:divBdr>
                    <w:top w:val="none" w:sz="0" w:space="0" w:color="auto"/>
                    <w:left w:val="none" w:sz="0" w:space="0" w:color="auto"/>
                    <w:bottom w:val="none" w:sz="0" w:space="0" w:color="auto"/>
                    <w:right w:val="none" w:sz="0" w:space="0" w:color="auto"/>
                  </w:divBdr>
                  <w:divsChild>
                    <w:div w:id="181672417">
                      <w:marLeft w:val="0"/>
                      <w:marRight w:val="0"/>
                      <w:marTop w:val="0"/>
                      <w:marBottom w:val="0"/>
                      <w:divBdr>
                        <w:top w:val="none" w:sz="0" w:space="0" w:color="auto"/>
                        <w:left w:val="none" w:sz="0" w:space="0" w:color="auto"/>
                        <w:bottom w:val="none" w:sz="0" w:space="0" w:color="auto"/>
                        <w:right w:val="none" w:sz="0" w:space="0" w:color="auto"/>
                      </w:divBdr>
                    </w:div>
                  </w:divsChild>
                </w:div>
                <w:div w:id="1758599460">
                  <w:marLeft w:val="0"/>
                  <w:marRight w:val="0"/>
                  <w:marTop w:val="0"/>
                  <w:marBottom w:val="0"/>
                  <w:divBdr>
                    <w:top w:val="none" w:sz="0" w:space="0" w:color="auto"/>
                    <w:left w:val="none" w:sz="0" w:space="0" w:color="auto"/>
                    <w:bottom w:val="none" w:sz="0" w:space="0" w:color="auto"/>
                    <w:right w:val="none" w:sz="0" w:space="0" w:color="auto"/>
                  </w:divBdr>
                  <w:divsChild>
                    <w:div w:id="1346446114">
                      <w:marLeft w:val="0"/>
                      <w:marRight w:val="0"/>
                      <w:marTop w:val="0"/>
                      <w:marBottom w:val="0"/>
                      <w:divBdr>
                        <w:top w:val="none" w:sz="0" w:space="0" w:color="auto"/>
                        <w:left w:val="none" w:sz="0" w:space="0" w:color="auto"/>
                        <w:bottom w:val="none" w:sz="0" w:space="0" w:color="auto"/>
                        <w:right w:val="none" w:sz="0" w:space="0" w:color="auto"/>
                      </w:divBdr>
                    </w:div>
                  </w:divsChild>
                </w:div>
                <w:div w:id="1760171943">
                  <w:marLeft w:val="0"/>
                  <w:marRight w:val="0"/>
                  <w:marTop w:val="0"/>
                  <w:marBottom w:val="0"/>
                  <w:divBdr>
                    <w:top w:val="none" w:sz="0" w:space="0" w:color="auto"/>
                    <w:left w:val="none" w:sz="0" w:space="0" w:color="auto"/>
                    <w:bottom w:val="none" w:sz="0" w:space="0" w:color="auto"/>
                    <w:right w:val="none" w:sz="0" w:space="0" w:color="auto"/>
                  </w:divBdr>
                  <w:divsChild>
                    <w:div w:id="1944218798">
                      <w:marLeft w:val="0"/>
                      <w:marRight w:val="0"/>
                      <w:marTop w:val="0"/>
                      <w:marBottom w:val="0"/>
                      <w:divBdr>
                        <w:top w:val="none" w:sz="0" w:space="0" w:color="auto"/>
                        <w:left w:val="none" w:sz="0" w:space="0" w:color="auto"/>
                        <w:bottom w:val="none" w:sz="0" w:space="0" w:color="auto"/>
                        <w:right w:val="none" w:sz="0" w:space="0" w:color="auto"/>
                      </w:divBdr>
                    </w:div>
                  </w:divsChild>
                </w:div>
                <w:div w:id="1767312817">
                  <w:marLeft w:val="0"/>
                  <w:marRight w:val="0"/>
                  <w:marTop w:val="0"/>
                  <w:marBottom w:val="0"/>
                  <w:divBdr>
                    <w:top w:val="none" w:sz="0" w:space="0" w:color="auto"/>
                    <w:left w:val="none" w:sz="0" w:space="0" w:color="auto"/>
                    <w:bottom w:val="none" w:sz="0" w:space="0" w:color="auto"/>
                    <w:right w:val="none" w:sz="0" w:space="0" w:color="auto"/>
                  </w:divBdr>
                  <w:divsChild>
                    <w:div w:id="1771317714">
                      <w:marLeft w:val="0"/>
                      <w:marRight w:val="0"/>
                      <w:marTop w:val="0"/>
                      <w:marBottom w:val="0"/>
                      <w:divBdr>
                        <w:top w:val="none" w:sz="0" w:space="0" w:color="auto"/>
                        <w:left w:val="none" w:sz="0" w:space="0" w:color="auto"/>
                        <w:bottom w:val="none" w:sz="0" w:space="0" w:color="auto"/>
                        <w:right w:val="none" w:sz="0" w:space="0" w:color="auto"/>
                      </w:divBdr>
                    </w:div>
                  </w:divsChild>
                </w:div>
                <w:div w:id="1786851219">
                  <w:marLeft w:val="0"/>
                  <w:marRight w:val="0"/>
                  <w:marTop w:val="0"/>
                  <w:marBottom w:val="0"/>
                  <w:divBdr>
                    <w:top w:val="none" w:sz="0" w:space="0" w:color="auto"/>
                    <w:left w:val="none" w:sz="0" w:space="0" w:color="auto"/>
                    <w:bottom w:val="none" w:sz="0" w:space="0" w:color="auto"/>
                    <w:right w:val="none" w:sz="0" w:space="0" w:color="auto"/>
                  </w:divBdr>
                  <w:divsChild>
                    <w:div w:id="2073188374">
                      <w:marLeft w:val="0"/>
                      <w:marRight w:val="0"/>
                      <w:marTop w:val="0"/>
                      <w:marBottom w:val="0"/>
                      <w:divBdr>
                        <w:top w:val="none" w:sz="0" w:space="0" w:color="auto"/>
                        <w:left w:val="none" w:sz="0" w:space="0" w:color="auto"/>
                        <w:bottom w:val="none" w:sz="0" w:space="0" w:color="auto"/>
                        <w:right w:val="none" w:sz="0" w:space="0" w:color="auto"/>
                      </w:divBdr>
                    </w:div>
                  </w:divsChild>
                </w:div>
                <w:div w:id="1788618087">
                  <w:marLeft w:val="0"/>
                  <w:marRight w:val="0"/>
                  <w:marTop w:val="0"/>
                  <w:marBottom w:val="0"/>
                  <w:divBdr>
                    <w:top w:val="none" w:sz="0" w:space="0" w:color="auto"/>
                    <w:left w:val="none" w:sz="0" w:space="0" w:color="auto"/>
                    <w:bottom w:val="none" w:sz="0" w:space="0" w:color="auto"/>
                    <w:right w:val="none" w:sz="0" w:space="0" w:color="auto"/>
                  </w:divBdr>
                  <w:divsChild>
                    <w:div w:id="1886406594">
                      <w:marLeft w:val="0"/>
                      <w:marRight w:val="0"/>
                      <w:marTop w:val="0"/>
                      <w:marBottom w:val="0"/>
                      <w:divBdr>
                        <w:top w:val="none" w:sz="0" w:space="0" w:color="auto"/>
                        <w:left w:val="none" w:sz="0" w:space="0" w:color="auto"/>
                        <w:bottom w:val="none" w:sz="0" w:space="0" w:color="auto"/>
                        <w:right w:val="none" w:sz="0" w:space="0" w:color="auto"/>
                      </w:divBdr>
                    </w:div>
                  </w:divsChild>
                </w:div>
                <w:div w:id="1801848847">
                  <w:marLeft w:val="0"/>
                  <w:marRight w:val="0"/>
                  <w:marTop w:val="0"/>
                  <w:marBottom w:val="0"/>
                  <w:divBdr>
                    <w:top w:val="none" w:sz="0" w:space="0" w:color="auto"/>
                    <w:left w:val="none" w:sz="0" w:space="0" w:color="auto"/>
                    <w:bottom w:val="none" w:sz="0" w:space="0" w:color="auto"/>
                    <w:right w:val="none" w:sz="0" w:space="0" w:color="auto"/>
                  </w:divBdr>
                  <w:divsChild>
                    <w:div w:id="549152418">
                      <w:marLeft w:val="0"/>
                      <w:marRight w:val="0"/>
                      <w:marTop w:val="0"/>
                      <w:marBottom w:val="0"/>
                      <w:divBdr>
                        <w:top w:val="none" w:sz="0" w:space="0" w:color="auto"/>
                        <w:left w:val="none" w:sz="0" w:space="0" w:color="auto"/>
                        <w:bottom w:val="none" w:sz="0" w:space="0" w:color="auto"/>
                        <w:right w:val="none" w:sz="0" w:space="0" w:color="auto"/>
                      </w:divBdr>
                    </w:div>
                  </w:divsChild>
                </w:div>
                <w:div w:id="1802646380">
                  <w:marLeft w:val="0"/>
                  <w:marRight w:val="0"/>
                  <w:marTop w:val="0"/>
                  <w:marBottom w:val="0"/>
                  <w:divBdr>
                    <w:top w:val="none" w:sz="0" w:space="0" w:color="auto"/>
                    <w:left w:val="none" w:sz="0" w:space="0" w:color="auto"/>
                    <w:bottom w:val="none" w:sz="0" w:space="0" w:color="auto"/>
                    <w:right w:val="none" w:sz="0" w:space="0" w:color="auto"/>
                  </w:divBdr>
                  <w:divsChild>
                    <w:div w:id="345256950">
                      <w:marLeft w:val="0"/>
                      <w:marRight w:val="0"/>
                      <w:marTop w:val="0"/>
                      <w:marBottom w:val="0"/>
                      <w:divBdr>
                        <w:top w:val="none" w:sz="0" w:space="0" w:color="auto"/>
                        <w:left w:val="none" w:sz="0" w:space="0" w:color="auto"/>
                        <w:bottom w:val="none" w:sz="0" w:space="0" w:color="auto"/>
                        <w:right w:val="none" w:sz="0" w:space="0" w:color="auto"/>
                      </w:divBdr>
                    </w:div>
                  </w:divsChild>
                </w:div>
                <w:div w:id="1819493261">
                  <w:marLeft w:val="0"/>
                  <w:marRight w:val="0"/>
                  <w:marTop w:val="0"/>
                  <w:marBottom w:val="0"/>
                  <w:divBdr>
                    <w:top w:val="none" w:sz="0" w:space="0" w:color="auto"/>
                    <w:left w:val="none" w:sz="0" w:space="0" w:color="auto"/>
                    <w:bottom w:val="none" w:sz="0" w:space="0" w:color="auto"/>
                    <w:right w:val="none" w:sz="0" w:space="0" w:color="auto"/>
                  </w:divBdr>
                  <w:divsChild>
                    <w:div w:id="1246454447">
                      <w:marLeft w:val="0"/>
                      <w:marRight w:val="0"/>
                      <w:marTop w:val="0"/>
                      <w:marBottom w:val="0"/>
                      <w:divBdr>
                        <w:top w:val="none" w:sz="0" w:space="0" w:color="auto"/>
                        <w:left w:val="none" w:sz="0" w:space="0" w:color="auto"/>
                        <w:bottom w:val="none" w:sz="0" w:space="0" w:color="auto"/>
                        <w:right w:val="none" w:sz="0" w:space="0" w:color="auto"/>
                      </w:divBdr>
                    </w:div>
                  </w:divsChild>
                </w:div>
                <w:div w:id="1826512465">
                  <w:marLeft w:val="0"/>
                  <w:marRight w:val="0"/>
                  <w:marTop w:val="0"/>
                  <w:marBottom w:val="0"/>
                  <w:divBdr>
                    <w:top w:val="none" w:sz="0" w:space="0" w:color="auto"/>
                    <w:left w:val="none" w:sz="0" w:space="0" w:color="auto"/>
                    <w:bottom w:val="none" w:sz="0" w:space="0" w:color="auto"/>
                    <w:right w:val="none" w:sz="0" w:space="0" w:color="auto"/>
                  </w:divBdr>
                  <w:divsChild>
                    <w:div w:id="2142377938">
                      <w:marLeft w:val="0"/>
                      <w:marRight w:val="0"/>
                      <w:marTop w:val="0"/>
                      <w:marBottom w:val="0"/>
                      <w:divBdr>
                        <w:top w:val="none" w:sz="0" w:space="0" w:color="auto"/>
                        <w:left w:val="none" w:sz="0" w:space="0" w:color="auto"/>
                        <w:bottom w:val="none" w:sz="0" w:space="0" w:color="auto"/>
                        <w:right w:val="none" w:sz="0" w:space="0" w:color="auto"/>
                      </w:divBdr>
                    </w:div>
                  </w:divsChild>
                </w:div>
                <w:div w:id="1836874337">
                  <w:marLeft w:val="0"/>
                  <w:marRight w:val="0"/>
                  <w:marTop w:val="0"/>
                  <w:marBottom w:val="0"/>
                  <w:divBdr>
                    <w:top w:val="none" w:sz="0" w:space="0" w:color="auto"/>
                    <w:left w:val="none" w:sz="0" w:space="0" w:color="auto"/>
                    <w:bottom w:val="none" w:sz="0" w:space="0" w:color="auto"/>
                    <w:right w:val="none" w:sz="0" w:space="0" w:color="auto"/>
                  </w:divBdr>
                  <w:divsChild>
                    <w:div w:id="1353415858">
                      <w:marLeft w:val="0"/>
                      <w:marRight w:val="0"/>
                      <w:marTop w:val="0"/>
                      <w:marBottom w:val="0"/>
                      <w:divBdr>
                        <w:top w:val="none" w:sz="0" w:space="0" w:color="auto"/>
                        <w:left w:val="none" w:sz="0" w:space="0" w:color="auto"/>
                        <w:bottom w:val="none" w:sz="0" w:space="0" w:color="auto"/>
                        <w:right w:val="none" w:sz="0" w:space="0" w:color="auto"/>
                      </w:divBdr>
                    </w:div>
                  </w:divsChild>
                </w:div>
                <w:div w:id="1853954642">
                  <w:marLeft w:val="0"/>
                  <w:marRight w:val="0"/>
                  <w:marTop w:val="0"/>
                  <w:marBottom w:val="0"/>
                  <w:divBdr>
                    <w:top w:val="none" w:sz="0" w:space="0" w:color="auto"/>
                    <w:left w:val="none" w:sz="0" w:space="0" w:color="auto"/>
                    <w:bottom w:val="none" w:sz="0" w:space="0" w:color="auto"/>
                    <w:right w:val="none" w:sz="0" w:space="0" w:color="auto"/>
                  </w:divBdr>
                  <w:divsChild>
                    <w:div w:id="391736504">
                      <w:marLeft w:val="0"/>
                      <w:marRight w:val="0"/>
                      <w:marTop w:val="0"/>
                      <w:marBottom w:val="0"/>
                      <w:divBdr>
                        <w:top w:val="none" w:sz="0" w:space="0" w:color="auto"/>
                        <w:left w:val="none" w:sz="0" w:space="0" w:color="auto"/>
                        <w:bottom w:val="none" w:sz="0" w:space="0" w:color="auto"/>
                        <w:right w:val="none" w:sz="0" w:space="0" w:color="auto"/>
                      </w:divBdr>
                    </w:div>
                  </w:divsChild>
                </w:div>
                <w:div w:id="1875383536">
                  <w:marLeft w:val="0"/>
                  <w:marRight w:val="0"/>
                  <w:marTop w:val="0"/>
                  <w:marBottom w:val="0"/>
                  <w:divBdr>
                    <w:top w:val="none" w:sz="0" w:space="0" w:color="auto"/>
                    <w:left w:val="none" w:sz="0" w:space="0" w:color="auto"/>
                    <w:bottom w:val="none" w:sz="0" w:space="0" w:color="auto"/>
                    <w:right w:val="none" w:sz="0" w:space="0" w:color="auto"/>
                  </w:divBdr>
                  <w:divsChild>
                    <w:div w:id="456293508">
                      <w:marLeft w:val="0"/>
                      <w:marRight w:val="0"/>
                      <w:marTop w:val="0"/>
                      <w:marBottom w:val="0"/>
                      <w:divBdr>
                        <w:top w:val="none" w:sz="0" w:space="0" w:color="auto"/>
                        <w:left w:val="none" w:sz="0" w:space="0" w:color="auto"/>
                        <w:bottom w:val="none" w:sz="0" w:space="0" w:color="auto"/>
                        <w:right w:val="none" w:sz="0" w:space="0" w:color="auto"/>
                      </w:divBdr>
                    </w:div>
                  </w:divsChild>
                </w:div>
                <w:div w:id="1877697217">
                  <w:marLeft w:val="0"/>
                  <w:marRight w:val="0"/>
                  <w:marTop w:val="0"/>
                  <w:marBottom w:val="0"/>
                  <w:divBdr>
                    <w:top w:val="none" w:sz="0" w:space="0" w:color="auto"/>
                    <w:left w:val="none" w:sz="0" w:space="0" w:color="auto"/>
                    <w:bottom w:val="none" w:sz="0" w:space="0" w:color="auto"/>
                    <w:right w:val="none" w:sz="0" w:space="0" w:color="auto"/>
                  </w:divBdr>
                  <w:divsChild>
                    <w:div w:id="933316839">
                      <w:marLeft w:val="0"/>
                      <w:marRight w:val="0"/>
                      <w:marTop w:val="0"/>
                      <w:marBottom w:val="0"/>
                      <w:divBdr>
                        <w:top w:val="none" w:sz="0" w:space="0" w:color="auto"/>
                        <w:left w:val="none" w:sz="0" w:space="0" w:color="auto"/>
                        <w:bottom w:val="none" w:sz="0" w:space="0" w:color="auto"/>
                        <w:right w:val="none" w:sz="0" w:space="0" w:color="auto"/>
                      </w:divBdr>
                    </w:div>
                  </w:divsChild>
                </w:div>
                <w:div w:id="1879514078">
                  <w:marLeft w:val="0"/>
                  <w:marRight w:val="0"/>
                  <w:marTop w:val="0"/>
                  <w:marBottom w:val="0"/>
                  <w:divBdr>
                    <w:top w:val="none" w:sz="0" w:space="0" w:color="auto"/>
                    <w:left w:val="none" w:sz="0" w:space="0" w:color="auto"/>
                    <w:bottom w:val="none" w:sz="0" w:space="0" w:color="auto"/>
                    <w:right w:val="none" w:sz="0" w:space="0" w:color="auto"/>
                  </w:divBdr>
                  <w:divsChild>
                    <w:div w:id="478151546">
                      <w:marLeft w:val="0"/>
                      <w:marRight w:val="0"/>
                      <w:marTop w:val="0"/>
                      <w:marBottom w:val="0"/>
                      <w:divBdr>
                        <w:top w:val="none" w:sz="0" w:space="0" w:color="auto"/>
                        <w:left w:val="none" w:sz="0" w:space="0" w:color="auto"/>
                        <w:bottom w:val="none" w:sz="0" w:space="0" w:color="auto"/>
                        <w:right w:val="none" w:sz="0" w:space="0" w:color="auto"/>
                      </w:divBdr>
                    </w:div>
                  </w:divsChild>
                </w:div>
                <w:div w:id="1883512306">
                  <w:marLeft w:val="0"/>
                  <w:marRight w:val="0"/>
                  <w:marTop w:val="0"/>
                  <w:marBottom w:val="0"/>
                  <w:divBdr>
                    <w:top w:val="none" w:sz="0" w:space="0" w:color="auto"/>
                    <w:left w:val="none" w:sz="0" w:space="0" w:color="auto"/>
                    <w:bottom w:val="none" w:sz="0" w:space="0" w:color="auto"/>
                    <w:right w:val="none" w:sz="0" w:space="0" w:color="auto"/>
                  </w:divBdr>
                  <w:divsChild>
                    <w:div w:id="1811440336">
                      <w:marLeft w:val="0"/>
                      <w:marRight w:val="0"/>
                      <w:marTop w:val="0"/>
                      <w:marBottom w:val="0"/>
                      <w:divBdr>
                        <w:top w:val="none" w:sz="0" w:space="0" w:color="auto"/>
                        <w:left w:val="none" w:sz="0" w:space="0" w:color="auto"/>
                        <w:bottom w:val="none" w:sz="0" w:space="0" w:color="auto"/>
                        <w:right w:val="none" w:sz="0" w:space="0" w:color="auto"/>
                      </w:divBdr>
                    </w:div>
                  </w:divsChild>
                </w:div>
                <w:div w:id="1886720965">
                  <w:marLeft w:val="0"/>
                  <w:marRight w:val="0"/>
                  <w:marTop w:val="0"/>
                  <w:marBottom w:val="0"/>
                  <w:divBdr>
                    <w:top w:val="none" w:sz="0" w:space="0" w:color="auto"/>
                    <w:left w:val="none" w:sz="0" w:space="0" w:color="auto"/>
                    <w:bottom w:val="none" w:sz="0" w:space="0" w:color="auto"/>
                    <w:right w:val="none" w:sz="0" w:space="0" w:color="auto"/>
                  </w:divBdr>
                  <w:divsChild>
                    <w:div w:id="472140645">
                      <w:marLeft w:val="0"/>
                      <w:marRight w:val="0"/>
                      <w:marTop w:val="0"/>
                      <w:marBottom w:val="0"/>
                      <w:divBdr>
                        <w:top w:val="none" w:sz="0" w:space="0" w:color="auto"/>
                        <w:left w:val="none" w:sz="0" w:space="0" w:color="auto"/>
                        <w:bottom w:val="none" w:sz="0" w:space="0" w:color="auto"/>
                        <w:right w:val="none" w:sz="0" w:space="0" w:color="auto"/>
                      </w:divBdr>
                    </w:div>
                  </w:divsChild>
                </w:div>
                <w:div w:id="1887835926">
                  <w:marLeft w:val="0"/>
                  <w:marRight w:val="0"/>
                  <w:marTop w:val="0"/>
                  <w:marBottom w:val="0"/>
                  <w:divBdr>
                    <w:top w:val="none" w:sz="0" w:space="0" w:color="auto"/>
                    <w:left w:val="none" w:sz="0" w:space="0" w:color="auto"/>
                    <w:bottom w:val="none" w:sz="0" w:space="0" w:color="auto"/>
                    <w:right w:val="none" w:sz="0" w:space="0" w:color="auto"/>
                  </w:divBdr>
                  <w:divsChild>
                    <w:div w:id="13655553">
                      <w:marLeft w:val="0"/>
                      <w:marRight w:val="0"/>
                      <w:marTop w:val="0"/>
                      <w:marBottom w:val="0"/>
                      <w:divBdr>
                        <w:top w:val="none" w:sz="0" w:space="0" w:color="auto"/>
                        <w:left w:val="none" w:sz="0" w:space="0" w:color="auto"/>
                        <w:bottom w:val="none" w:sz="0" w:space="0" w:color="auto"/>
                        <w:right w:val="none" w:sz="0" w:space="0" w:color="auto"/>
                      </w:divBdr>
                    </w:div>
                  </w:divsChild>
                </w:div>
                <w:div w:id="1895045586">
                  <w:marLeft w:val="0"/>
                  <w:marRight w:val="0"/>
                  <w:marTop w:val="0"/>
                  <w:marBottom w:val="0"/>
                  <w:divBdr>
                    <w:top w:val="none" w:sz="0" w:space="0" w:color="auto"/>
                    <w:left w:val="none" w:sz="0" w:space="0" w:color="auto"/>
                    <w:bottom w:val="none" w:sz="0" w:space="0" w:color="auto"/>
                    <w:right w:val="none" w:sz="0" w:space="0" w:color="auto"/>
                  </w:divBdr>
                  <w:divsChild>
                    <w:div w:id="1738433729">
                      <w:marLeft w:val="0"/>
                      <w:marRight w:val="0"/>
                      <w:marTop w:val="0"/>
                      <w:marBottom w:val="0"/>
                      <w:divBdr>
                        <w:top w:val="none" w:sz="0" w:space="0" w:color="auto"/>
                        <w:left w:val="none" w:sz="0" w:space="0" w:color="auto"/>
                        <w:bottom w:val="none" w:sz="0" w:space="0" w:color="auto"/>
                        <w:right w:val="none" w:sz="0" w:space="0" w:color="auto"/>
                      </w:divBdr>
                    </w:div>
                  </w:divsChild>
                </w:div>
                <w:div w:id="1897543977">
                  <w:marLeft w:val="0"/>
                  <w:marRight w:val="0"/>
                  <w:marTop w:val="0"/>
                  <w:marBottom w:val="0"/>
                  <w:divBdr>
                    <w:top w:val="none" w:sz="0" w:space="0" w:color="auto"/>
                    <w:left w:val="none" w:sz="0" w:space="0" w:color="auto"/>
                    <w:bottom w:val="none" w:sz="0" w:space="0" w:color="auto"/>
                    <w:right w:val="none" w:sz="0" w:space="0" w:color="auto"/>
                  </w:divBdr>
                  <w:divsChild>
                    <w:div w:id="1097826189">
                      <w:marLeft w:val="0"/>
                      <w:marRight w:val="0"/>
                      <w:marTop w:val="0"/>
                      <w:marBottom w:val="0"/>
                      <w:divBdr>
                        <w:top w:val="none" w:sz="0" w:space="0" w:color="auto"/>
                        <w:left w:val="none" w:sz="0" w:space="0" w:color="auto"/>
                        <w:bottom w:val="none" w:sz="0" w:space="0" w:color="auto"/>
                        <w:right w:val="none" w:sz="0" w:space="0" w:color="auto"/>
                      </w:divBdr>
                    </w:div>
                  </w:divsChild>
                </w:div>
                <w:div w:id="1902325926">
                  <w:marLeft w:val="0"/>
                  <w:marRight w:val="0"/>
                  <w:marTop w:val="0"/>
                  <w:marBottom w:val="0"/>
                  <w:divBdr>
                    <w:top w:val="none" w:sz="0" w:space="0" w:color="auto"/>
                    <w:left w:val="none" w:sz="0" w:space="0" w:color="auto"/>
                    <w:bottom w:val="none" w:sz="0" w:space="0" w:color="auto"/>
                    <w:right w:val="none" w:sz="0" w:space="0" w:color="auto"/>
                  </w:divBdr>
                  <w:divsChild>
                    <w:div w:id="1960410227">
                      <w:marLeft w:val="0"/>
                      <w:marRight w:val="0"/>
                      <w:marTop w:val="0"/>
                      <w:marBottom w:val="0"/>
                      <w:divBdr>
                        <w:top w:val="none" w:sz="0" w:space="0" w:color="auto"/>
                        <w:left w:val="none" w:sz="0" w:space="0" w:color="auto"/>
                        <w:bottom w:val="none" w:sz="0" w:space="0" w:color="auto"/>
                        <w:right w:val="none" w:sz="0" w:space="0" w:color="auto"/>
                      </w:divBdr>
                    </w:div>
                  </w:divsChild>
                </w:div>
                <w:div w:id="1918441236">
                  <w:marLeft w:val="0"/>
                  <w:marRight w:val="0"/>
                  <w:marTop w:val="0"/>
                  <w:marBottom w:val="0"/>
                  <w:divBdr>
                    <w:top w:val="none" w:sz="0" w:space="0" w:color="auto"/>
                    <w:left w:val="none" w:sz="0" w:space="0" w:color="auto"/>
                    <w:bottom w:val="none" w:sz="0" w:space="0" w:color="auto"/>
                    <w:right w:val="none" w:sz="0" w:space="0" w:color="auto"/>
                  </w:divBdr>
                  <w:divsChild>
                    <w:div w:id="240650720">
                      <w:marLeft w:val="0"/>
                      <w:marRight w:val="0"/>
                      <w:marTop w:val="0"/>
                      <w:marBottom w:val="0"/>
                      <w:divBdr>
                        <w:top w:val="none" w:sz="0" w:space="0" w:color="auto"/>
                        <w:left w:val="none" w:sz="0" w:space="0" w:color="auto"/>
                        <w:bottom w:val="none" w:sz="0" w:space="0" w:color="auto"/>
                        <w:right w:val="none" w:sz="0" w:space="0" w:color="auto"/>
                      </w:divBdr>
                    </w:div>
                  </w:divsChild>
                </w:div>
                <w:div w:id="1927882019">
                  <w:marLeft w:val="0"/>
                  <w:marRight w:val="0"/>
                  <w:marTop w:val="0"/>
                  <w:marBottom w:val="0"/>
                  <w:divBdr>
                    <w:top w:val="none" w:sz="0" w:space="0" w:color="auto"/>
                    <w:left w:val="none" w:sz="0" w:space="0" w:color="auto"/>
                    <w:bottom w:val="none" w:sz="0" w:space="0" w:color="auto"/>
                    <w:right w:val="none" w:sz="0" w:space="0" w:color="auto"/>
                  </w:divBdr>
                  <w:divsChild>
                    <w:div w:id="518155044">
                      <w:marLeft w:val="0"/>
                      <w:marRight w:val="0"/>
                      <w:marTop w:val="0"/>
                      <w:marBottom w:val="0"/>
                      <w:divBdr>
                        <w:top w:val="none" w:sz="0" w:space="0" w:color="auto"/>
                        <w:left w:val="none" w:sz="0" w:space="0" w:color="auto"/>
                        <w:bottom w:val="none" w:sz="0" w:space="0" w:color="auto"/>
                        <w:right w:val="none" w:sz="0" w:space="0" w:color="auto"/>
                      </w:divBdr>
                    </w:div>
                  </w:divsChild>
                </w:div>
                <w:div w:id="1936278491">
                  <w:marLeft w:val="0"/>
                  <w:marRight w:val="0"/>
                  <w:marTop w:val="0"/>
                  <w:marBottom w:val="0"/>
                  <w:divBdr>
                    <w:top w:val="none" w:sz="0" w:space="0" w:color="auto"/>
                    <w:left w:val="none" w:sz="0" w:space="0" w:color="auto"/>
                    <w:bottom w:val="none" w:sz="0" w:space="0" w:color="auto"/>
                    <w:right w:val="none" w:sz="0" w:space="0" w:color="auto"/>
                  </w:divBdr>
                  <w:divsChild>
                    <w:div w:id="176772899">
                      <w:marLeft w:val="0"/>
                      <w:marRight w:val="0"/>
                      <w:marTop w:val="0"/>
                      <w:marBottom w:val="0"/>
                      <w:divBdr>
                        <w:top w:val="none" w:sz="0" w:space="0" w:color="auto"/>
                        <w:left w:val="none" w:sz="0" w:space="0" w:color="auto"/>
                        <w:bottom w:val="none" w:sz="0" w:space="0" w:color="auto"/>
                        <w:right w:val="none" w:sz="0" w:space="0" w:color="auto"/>
                      </w:divBdr>
                    </w:div>
                  </w:divsChild>
                </w:div>
                <w:div w:id="1939822866">
                  <w:marLeft w:val="0"/>
                  <w:marRight w:val="0"/>
                  <w:marTop w:val="0"/>
                  <w:marBottom w:val="0"/>
                  <w:divBdr>
                    <w:top w:val="none" w:sz="0" w:space="0" w:color="auto"/>
                    <w:left w:val="none" w:sz="0" w:space="0" w:color="auto"/>
                    <w:bottom w:val="none" w:sz="0" w:space="0" w:color="auto"/>
                    <w:right w:val="none" w:sz="0" w:space="0" w:color="auto"/>
                  </w:divBdr>
                  <w:divsChild>
                    <w:div w:id="2040662149">
                      <w:marLeft w:val="0"/>
                      <w:marRight w:val="0"/>
                      <w:marTop w:val="0"/>
                      <w:marBottom w:val="0"/>
                      <w:divBdr>
                        <w:top w:val="none" w:sz="0" w:space="0" w:color="auto"/>
                        <w:left w:val="none" w:sz="0" w:space="0" w:color="auto"/>
                        <w:bottom w:val="none" w:sz="0" w:space="0" w:color="auto"/>
                        <w:right w:val="none" w:sz="0" w:space="0" w:color="auto"/>
                      </w:divBdr>
                    </w:div>
                  </w:divsChild>
                </w:div>
                <w:div w:id="1946617592">
                  <w:marLeft w:val="0"/>
                  <w:marRight w:val="0"/>
                  <w:marTop w:val="0"/>
                  <w:marBottom w:val="0"/>
                  <w:divBdr>
                    <w:top w:val="none" w:sz="0" w:space="0" w:color="auto"/>
                    <w:left w:val="none" w:sz="0" w:space="0" w:color="auto"/>
                    <w:bottom w:val="none" w:sz="0" w:space="0" w:color="auto"/>
                    <w:right w:val="none" w:sz="0" w:space="0" w:color="auto"/>
                  </w:divBdr>
                  <w:divsChild>
                    <w:div w:id="56325928">
                      <w:marLeft w:val="0"/>
                      <w:marRight w:val="0"/>
                      <w:marTop w:val="0"/>
                      <w:marBottom w:val="0"/>
                      <w:divBdr>
                        <w:top w:val="none" w:sz="0" w:space="0" w:color="auto"/>
                        <w:left w:val="none" w:sz="0" w:space="0" w:color="auto"/>
                        <w:bottom w:val="none" w:sz="0" w:space="0" w:color="auto"/>
                        <w:right w:val="none" w:sz="0" w:space="0" w:color="auto"/>
                      </w:divBdr>
                    </w:div>
                  </w:divsChild>
                </w:div>
                <w:div w:id="1950236495">
                  <w:marLeft w:val="0"/>
                  <w:marRight w:val="0"/>
                  <w:marTop w:val="0"/>
                  <w:marBottom w:val="0"/>
                  <w:divBdr>
                    <w:top w:val="none" w:sz="0" w:space="0" w:color="auto"/>
                    <w:left w:val="none" w:sz="0" w:space="0" w:color="auto"/>
                    <w:bottom w:val="none" w:sz="0" w:space="0" w:color="auto"/>
                    <w:right w:val="none" w:sz="0" w:space="0" w:color="auto"/>
                  </w:divBdr>
                  <w:divsChild>
                    <w:div w:id="568881992">
                      <w:marLeft w:val="0"/>
                      <w:marRight w:val="0"/>
                      <w:marTop w:val="0"/>
                      <w:marBottom w:val="0"/>
                      <w:divBdr>
                        <w:top w:val="none" w:sz="0" w:space="0" w:color="auto"/>
                        <w:left w:val="none" w:sz="0" w:space="0" w:color="auto"/>
                        <w:bottom w:val="none" w:sz="0" w:space="0" w:color="auto"/>
                        <w:right w:val="none" w:sz="0" w:space="0" w:color="auto"/>
                      </w:divBdr>
                    </w:div>
                    <w:div w:id="719550352">
                      <w:marLeft w:val="0"/>
                      <w:marRight w:val="0"/>
                      <w:marTop w:val="0"/>
                      <w:marBottom w:val="0"/>
                      <w:divBdr>
                        <w:top w:val="none" w:sz="0" w:space="0" w:color="auto"/>
                        <w:left w:val="none" w:sz="0" w:space="0" w:color="auto"/>
                        <w:bottom w:val="none" w:sz="0" w:space="0" w:color="auto"/>
                        <w:right w:val="none" w:sz="0" w:space="0" w:color="auto"/>
                      </w:divBdr>
                    </w:div>
                  </w:divsChild>
                </w:div>
                <w:div w:id="1966304621">
                  <w:marLeft w:val="0"/>
                  <w:marRight w:val="0"/>
                  <w:marTop w:val="0"/>
                  <w:marBottom w:val="0"/>
                  <w:divBdr>
                    <w:top w:val="none" w:sz="0" w:space="0" w:color="auto"/>
                    <w:left w:val="none" w:sz="0" w:space="0" w:color="auto"/>
                    <w:bottom w:val="none" w:sz="0" w:space="0" w:color="auto"/>
                    <w:right w:val="none" w:sz="0" w:space="0" w:color="auto"/>
                  </w:divBdr>
                  <w:divsChild>
                    <w:div w:id="125201619">
                      <w:marLeft w:val="0"/>
                      <w:marRight w:val="0"/>
                      <w:marTop w:val="0"/>
                      <w:marBottom w:val="0"/>
                      <w:divBdr>
                        <w:top w:val="none" w:sz="0" w:space="0" w:color="auto"/>
                        <w:left w:val="none" w:sz="0" w:space="0" w:color="auto"/>
                        <w:bottom w:val="none" w:sz="0" w:space="0" w:color="auto"/>
                        <w:right w:val="none" w:sz="0" w:space="0" w:color="auto"/>
                      </w:divBdr>
                    </w:div>
                  </w:divsChild>
                </w:div>
                <w:div w:id="1968586471">
                  <w:marLeft w:val="0"/>
                  <w:marRight w:val="0"/>
                  <w:marTop w:val="0"/>
                  <w:marBottom w:val="0"/>
                  <w:divBdr>
                    <w:top w:val="none" w:sz="0" w:space="0" w:color="auto"/>
                    <w:left w:val="none" w:sz="0" w:space="0" w:color="auto"/>
                    <w:bottom w:val="none" w:sz="0" w:space="0" w:color="auto"/>
                    <w:right w:val="none" w:sz="0" w:space="0" w:color="auto"/>
                  </w:divBdr>
                  <w:divsChild>
                    <w:div w:id="1528567055">
                      <w:marLeft w:val="0"/>
                      <w:marRight w:val="0"/>
                      <w:marTop w:val="0"/>
                      <w:marBottom w:val="0"/>
                      <w:divBdr>
                        <w:top w:val="none" w:sz="0" w:space="0" w:color="auto"/>
                        <w:left w:val="none" w:sz="0" w:space="0" w:color="auto"/>
                        <w:bottom w:val="none" w:sz="0" w:space="0" w:color="auto"/>
                        <w:right w:val="none" w:sz="0" w:space="0" w:color="auto"/>
                      </w:divBdr>
                    </w:div>
                  </w:divsChild>
                </w:div>
                <w:div w:id="1971742030">
                  <w:marLeft w:val="0"/>
                  <w:marRight w:val="0"/>
                  <w:marTop w:val="0"/>
                  <w:marBottom w:val="0"/>
                  <w:divBdr>
                    <w:top w:val="none" w:sz="0" w:space="0" w:color="auto"/>
                    <w:left w:val="none" w:sz="0" w:space="0" w:color="auto"/>
                    <w:bottom w:val="none" w:sz="0" w:space="0" w:color="auto"/>
                    <w:right w:val="none" w:sz="0" w:space="0" w:color="auto"/>
                  </w:divBdr>
                  <w:divsChild>
                    <w:div w:id="1650285057">
                      <w:marLeft w:val="0"/>
                      <w:marRight w:val="0"/>
                      <w:marTop w:val="0"/>
                      <w:marBottom w:val="0"/>
                      <w:divBdr>
                        <w:top w:val="none" w:sz="0" w:space="0" w:color="auto"/>
                        <w:left w:val="none" w:sz="0" w:space="0" w:color="auto"/>
                        <w:bottom w:val="none" w:sz="0" w:space="0" w:color="auto"/>
                        <w:right w:val="none" w:sz="0" w:space="0" w:color="auto"/>
                      </w:divBdr>
                    </w:div>
                  </w:divsChild>
                </w:div>
                <w:div w:id="1975719732">
                  <w:marLeft w:val="0"/>
                  <w:marRight w:val="0"/>
                  <w:marTop w:val="0"/>
                  <w:marBottom w:val="0"/>
                  <w:divBdr>
                    <w:top w:val="none" w:sz="0" w:space="0" w:color="auto"/>
                    <w:left w:val="none" w:sz="0" w:space="0" w:color="auto"/>
                    <w:bottom w:val="none" w:sz="0" w:space="0" w:color="auto"/>
                    <w:right w:val="none" w:sz="0" w:space="0" w:color="auto"/>
                  </w:divBdr>
                  <w:divsChild>
                    <w:div w:id="1105999832">
                      <w:marLeft w:val="0"/>
                      <w:marRight w:val="0"/>
                      <w:marTop w:val="0"/>
                      <w:marBottom w:val="0"/>
                      <w:divBdr>
                        <w:top w:val="none" w:sz="0" w:space="0" w:color="auto"/>
                        <w:left w:val="none" w:sz="0" w:space="0" w:color="auto"/>
                        <w:bottom w:val="none" w:sz="0" w:space="0" w:color="auto"/>
                        <w:right w:val="none" w:sz="0" w:space="0" w:color="auto"/>
                      </w:divBdr>
                    </w:div>
                  </w:divsChild>
                </w:div>
                <w:div w:id="1984113229">
                  <w:marLeft w:val="0"/>
                  <w:marRight w:val="0"/>
                  <w:marTop w:val="0"/>
                  <w:marBottom w:val="0"/>
                  <w:divBdr>
                    <w:top w:val="none" w:sz="0" w:space="0" w:color="auto"/>
                    <w:left w:val="none" w:sz="0" w:space="0" w:color="auto"/>
                    <w:bottom w:val="none" w:sz="0" w:space="0" w:color="auto"/>
                    <w:right w:val="none" w:sz="0" w:space="0" w:color="auto"/>
                  </w:divBdr>
                  <w:divsChild>
                    <w:div w:id="1212107541">
                      <w:marLeft w:val="0"/>
                      <w:marRight w:val="0"/>
                      <w:marTop w:val="0"/>
                      <w:marBottom w:val="0"/>
                      <w:divBdr>
                        <w:top w:val="none" w:sz="0" w:space="0" w:color="auto"/>
                        <w:left w:val="none" w:sz="0" w:space="0" w:color="auto"/>
                        <w:bottom w:val="none" w:sz="0" w:space="0" w:color="auto"/>
                        <w:right w:val="none" w:sz="0" w:space="0" w:color="auto"/>
                      </w:divBdr>
                    </w:div>
                  </w:divsChild>
                </w:div>
                <w:div w:id="1985423554">
                  <w:marLeft w:val="0"/>
                  <w:marRight w:val="0"/>
                  <w:marTop w:val="0"/>
                  <w:marBottom w:val="0"/>
                  <w:divBdr>
                    <w:top w:val="none" w:sz="0" w:space="0" w:color="auto"/>
                    <w:left w:val="none" w:sz="0" w:space="0" w:color="auto"/>
                    <w:bottom w:val="none" w:sz="0" w:space="0" w:color="auto"/>
                    <w:right w:val="none" w:sz="0" w:space="0" w:color="auto"/>
                  </w:divBdr>
                  <w:divsChild>
                    <w:div w:id="1198662661">
                      <w:marLeft w:val="0"/>
                      <w:marRight w:val="0"/>
                      <w:marTop w:val="0"/>
                      <w:marBottom w:val="0"/>
                      <w:divBdr>
                        <w:top w:val="none" w:sz="0" w:space="0" w:color="auto"/>
                        <w:left w:val="none" w:sz="0" w:space="0" w:color="auto"/>
                        <w:bottom w:val="none" w:sz="0" w:space="0" w:color="auto"/>
                        <w:right w:val="none" w:sz="0" w:space="0" w:color="auto"/>
                      </w:divBdr>
                    </w:div>
                  </w:divsChild>
                </w:div>
                <w:div w:id="1999382748">
                  <w:marLeft w:val="0"/>
                  <w:marRight w:val="0"/>
                  <w:marTop w:val="0"/>
                  <w:marBottom w:val="0"/>
                  <w:divBdr>
                    <w:top w:val="none" w:sz="0" w:space="0" w:color="auto"/>
                    <w:left w:val="none" w:sz="0" w:space="0" w:color="auto"/>
                    <w:bottom w:val="none" w:sz="0" w:space="0" w:color="auto"/>
                    <w:right w:val="none" w:sz="0" w:space="0" w:color="auto"/>
                  </w:divBdr>
                  <w:divsChild>
                    <w:div w:id="228226643">
                      <w:marLeft w:val="0"/>
                      <w:marRight w:val="0"/>
                      <w:marTop w:val="0"/>
                      <w:marBottom w:val="0"/>
                      <w:divBdr>
                        <w:top w:val="none" w:sz="0" w:space="0" w:color="auto"/>
                        <w:left w:val="none" w:sz="0" w:space="0" w:color="auto"/>
                        <w:bottom w:val="none" w:sz="0" w:space="0" w:color="auto"/>
                        <w:right w:val="none" w:sz="0" w:space="0" w:color="auto"/>
                      </w:divBdr>
                    </w:div>
                  </w:divsChild>
                </w:div>
                <w:div w:id="2018383348">
                  <w:marLeft w:val="0"/>
                  <w:marRight w:val="0"/>
                  <w:marTop w:val="0"/>
                  <w:marBottom w:val="0"/>
                  <w:divBdr>
                    <w:top w:val="none" w:sz="0" w:space="0" w:color="auto"/>
                    <w:left w:val="none" w:sz="0" w:space="0" w:color="auto"/>
                    <w:bottom w:val="none" w:sz="0" w:space="0" w:color="auto"/>
                    <w:right w:val="none" w:sz="0" w:space="0" w:color="auto"/>
                  </w:divBdr>
                  <w:divsChild>
                    <w:div w:id="177503984">
                      <w:marLeft w:val="0"/>
                      <w:marRight w:val="0"/>
                      <w:marTop w:val="0"/>
                      <w:marBottom w:val="0"/>
                      <w:divBdr>
                        <w:top w:val="none" w:sz="0" w:space="0" w:color="auto"/>
                        <w:left w:val="none" w:sz="0" w:space="0" w:color="auto"/>
                        <w:bottom w:val="none" w:sz="0" w:space="0" w:color="auto"/>
                        <w:right w:val="none" w:sz="0" w:space="0" w:color="auto"/>
                      </w:divBdr>
                    </w:div>
                  </w:divsChild>
                </w:div>
                <w:div w:id="2019231845">
                  <w:marLeft w:val="0"/>
                  <w:marRight w:val="0"/>
                  <w:marTop w:val="0"/>
                  <w:marBottom w:val="0"/>
                  <w:divBdr>
                    <w:top w:val="none" w:sz="0" w:space="0" w:color="auto"/>
                    <w:left w:val="none" w:sz="0" w:space="0" w:color="auto"/>
                    <w:bottom w:val="none" w:sz="0" w:space="0" w:color="auto"/>
                    <w:right w:val="none" w:sz="0" w:space="0" w:color="auto"/>
                  </w:divBdr>
                  <w:divsChild>
                    <w:div w:id="1375542480">
                      <w:marLeft w:val="0"/>
                      <w:marRight w:val="0"/>
                      <w:marTop w:val="0"/>
                      <w:marBottom w:val="0"/>
                      <w:divBdr>
                        <w:top w:val="none" w:sz="0" w:space="0" w:color="auto"/>
                        <w:left w:val="none" w:sz="0" w:space="0" w:color="auto"/>
                        <w:bottom w:val="none" w:sz="0" w:space="0" w:color="auto"/>
                        <w:right w:val="none" w:sz="0" w:space="0" w:color="auto"/>
                      </w:divBdr>
                    </w:div>
                    <w:div w:id="2003459658">
                      <w:marLeft w:val="0"/>
                      <w:marRight w:val="0"/>
                      <w:marTop w:val="0"/>
                      <w:marBottom w:val="0"/>
                      <w:divBdr>
                        <w:top w:val="none" w:sz="0" w:space="0" w:color="auto"/>
                        <w:left w:val="none" w:sz="0" w:space="0" w:color="auto"/>
                        <w:bottom w:val="none" w:sz="0" w:space="0" w:color="auto"/>
                        <w:right w:val="none" w:sz="0" w:space="0" w:color="auto"/>
                      </w:divBdr>
                    </w:div>
                    <w:div w:id="2105880863">
                      <w:marLeft w:val="0"/>
                      <w:marRight w:val="0"/>
                      <w:marTop w:val="0"/>
                      <w:marBottom w:val="0"/>
                      <w:divBdr>
                        <w:top w:val="none" w:sz="0" w:space="0" w:color="auto"/>
                        <w:left w:val="none" w:sz="0" w:space="0" w:color="auto"/>
                        <w:bottom w:val="none" w:sz="0" w:space="0" w:color="auto"/>
                        <w:right w:val="none" w:sz="0" w:space="0" w:color="auto"/>
                      </w:divBdr>
                    </w:div>
                  </w:divsChild>
                </w:div>
                <w:div w:id="2022052265">
                  <w:marLeft w:val="0"/>
                  <w:marRight w:val="0"/>
                  <w:marTop w:val="0"/>
                  <w:marBottom w:val="0"/>
                  <w:divBdr>
                    <w:top w:val="none" w:sz="0" w:space="0" w:color="auto"/>
                    <w:left w:val="none" w:sz="0" w:space="0" w:color="auto"/>
                    <w:bottom w:val="none" w:sz="0" w:space="0" w:color="auto"/>
                    <w:right w:val="none" w:sz="0" w:space="0" w:color="auto"/>
                  </w:divBdr>
                  <w:divsChild>
                    <w:div w:id="1552232194">
                      <w:marLeft w:val="0"/>
                      <w:marRight w:val="0"/>
                      <w:marTop w:val="0"/>
                      <w:marBottom w:val="0"/>
                      <w:divBdr>
                        <w:top w:val="none" w:sz="0" w:space="0" w:color="auto"/>
                        <w:left w:val="none" w:sz="0" w:space="0" w:color="auto"/>
                        <w:bottom w:val="none" w:sz="0" w:space="0" w:color="auto"/>
                        <w:right w:val="none" w:sz="0" w:space="0" w:color="auto"/>
                      </w:divBdr>
                    </w:div>
                  </w:divsChild>
                </w:div>
                <w:div w:id="2024739606">
                  <w:marLeft w:val="0"/>
                  <w:marRight w:val="0"/>
                  <w:marTop w:val="0"/>
                  <w:marBottom w:val="0"/>
                  <w:divBdr>
                    <w:top w:val="none" w:sz="0" w:space="0" w:color="auto"/>
                    <w:left w:val="none" w:sz="0" w:space="0" w:color="auto"/>
                    <w:bottom w:val="none" w:sz="0" w:space="0" w:color="auto"/>
                    <w:right w:val="none" w:sz="0" w:space="0" w:color="auto"/>
                  </w:divBdr>
                  <w:divsChild>
                    <w:div w:id="1008361452">
                      <w:marLeft w:val="0"/>
                      <w:marRight w:val="0"/>
                      <w:marTop w:val="0"/>
                      <w:marBottom w:val="0"/>
                      <w:divBdr>
                        <w:top w:val="none" w:sz="0" w:space="0" w:color="auto"/>
                        <w:left w:val="none" w:sz="0" w:space="0" w:color="auto"/>
                        <w:bottom w:val="none" w:sz="0" w:space="0" w:color="auto"/>
                        <w:right w:val="none" w:sz="0" w:space="0" w:color="auto"/>
                      </w:divBdr>
                    </w:div>
                  </w:divsChild>
                </w:div>
                <w:div w:id="2026205877">
                  <w:marLeft w:val="0"/>
                  <w:marRight w:val="0"/>
                  <w:marTop w:val="0"/>
                  <w:marBottom w:val="0"/>
                  <w:divBdr>
                    <w:top w:val="none" w:sz="0" w:space="0" w:color="auto"/>
                    <w:left w:val="none" w:sz="0" w:space="0" w:color="auto"/>
                    <w:bottom w:val="none" w:sz="0" w:space="0" w:color="auto"/>
                    <w:right w:val="none" w:sz="0" w:space="0" w:color="auto"/>
                  </w:divBdr>
                  <w:divsChild>
                    <w:div w:id="1503084795">
                      <w:marLeft w:val="0"/>
                      <w:marRight w:val="0"/>
                      <w:marTop w:val="0"/>
                      <w:marBottom w:val="0"/>
                      <w:divBdr>
                        <w:top w:val="none" w:sz="0" w:space="0" w:color="auto"/>
                        <w:left w:val="none" w:sz="0" w:space="0" w:color="auto"/>
                        <w:bottom w:val="none" w:sz="0" w:space="0" w:color="auto"/>
                        <w:right w:val="none" w:sz="0" w:space="0" w:color="auto"/>
                      </w:divBdr>
                    </w:div>
                  </w:divsChild>
                </w:div>
                <w:div w:id="2027172777">
                  <w:marLeft w:val="0"/>
                  <w:marRight w:val="0"/>
                  <w:marTop w:val="0"/>
                  <w:marBottom w:val="0"/>
                  <w:divBdr>
                    <w:top w:val="none" w:sz="0" w:space="0" w:color="auto"/>
                    <w:left w:val="none" w:sz="0" w:space="0" w:color="auto"/>
                    <w:bottom w:val="none" w:sz="0" w:space="0" w:color="auto"/>
                    <w:right w:val="none" w:sz="0" w:space="0" w:color="auto"/>
                  </w:divBdr>
                  <w:divsChild>
                    <w:div w:id="713698240">
                      <w:marLeft w:val="0"/>
                      <w:marRight w:val="0"/>
                      <w:marTop w:val="0"/>
                      <w:marBottom w:val="0"/>
                      <w:divBdr>
                        <w:top w:val="none" w:sz="0" w:space="0" w:color="auto"/>
                        <w:left w:val="none" w:sz="0" w:space="0" w:color="auto"/>
                        <w:bottom w:val="none" w:sz="0" w:space="0" w:color="auto"/>
                        <w:right w:val="none" w:sz="0" w:space="0" w:color="auto"/>
                      </w:divBdr>
                    </w:div>
                  </w:divsChild>
                </w:div>
                <w:div w:id="2027946422">
                  <w:marLeft w:val="0"/>
                  <w:marRight w:val="0"/>
                  <w:marTop w:val="0"/>
                  <w:marBottom w:val="0"/>
                  <w:divBdr>
                    <w:top w:val="none" w:sz="0" w:space="0" w:color="auto"/>
                    <w:left w:val="none" w:sz="0" w:space="0" w:color="auto"/>
                    <w:bottom w:val="none" w:sz="0" w:space="0" w:color="auto"/>
                    <w:right w:val="none" w:sz="0" w:space="0" w:color="auto"/>
                  </w:divBdr>
                  <w:divsChild>
                    <w:div w:id="316615085">
                      <w:marLeft w:val="0"/>
                      <w:marRight w:val="0"/>
                      <w:marTop w:val="0"/>
                      <w:marBottom w:val="0"/>
                      <w:divBdr>
                        <w:top w:val="none" w:sz="0" w:space="0" w:color="auto"/>
                        <w:left w:val="none" w:sz="0" w:space="0" w:color="auto"/>
                        <w:bottom w:val="none" w:sz="0" w:space="0" w:color="auto"/>
                        <w:right w:val="none" w:sz="0" w:space="0" w:color="auto"/>
                      </w:divBdr>
                    </w:div>
                  </w:divsChild>
                </w:div>
                <w:div w:id="2033415476">
                  <w:marLeft w:val="0"/>
                  <w:marRight w:val="0"/>
                  <w:marTop w:val="0"/>
                  <w:marBottom w:val="0"/>
                  <w:divBdr>
                    <w:top w:val="none" w:sz="0" w:space="0" w:color="auto"/>
                    <w:left w:val="none" w:sz="0" w:space="0" w:color="auto"/>
                    <w:bottom w:val="none" w:sz="0" w:space="0" w:color="auto"/>
                    <w:right w:val="none" w:sz="0" w:space="0" w:color="auto"/>
                  </w:divBdr>
                  <w:divsChild>
                    <w:div w:id="1268122357">
                      <w:marLeft w:val="0"/>
                      <w:marRight w:val="0"/>
                      <w:marTop w:val="0"/>
                      <w:marBottom w:val="0"/>
                      <w:divBdr>
                        <w:top w:val="none" w:sz="0" w:space="0" w:color="auto"/>
                        <w:left w:val="none" w:sz="0" w:space="0" w:color="auto"/>
                        <w:bottom w:val="none" w:sz="0" w:space="0" w:color="auto"/>
                        <w:right w:val="none" w:sz="0" w:space="0" w:color="auto"/>
                      </w:divBdr>
                    </w:div>
                  </w:divsChild>
                </w:div>
                <w:div w:id="2042584588">
                  <w:marLeft w:val="0"/>
                  <w:marRight w:val="0"/>
                  <w:marTop w:val="0"/>
                  <w:marBottom w:val="0"/>
                  <w:divBdr>
                    <w:top w:val="none" w:sz="0" w:space="0" w:color="auto"/>
                    <w:left w:val="none" w:sz="0" w:space="0" w:color="auto"/>
                    <w:bottom w:val="none" w:sz="0" w:space="0" w:color="auto"/>
                    <w:right w:val="none" w:sz="0" w:space="0" w:color="auto"/>
                  </w:divBdr>
                  <w:divsChild>
                    <w:div w:id="174074753">
                      <w:marLeft w:val="0"/>
                      <w:marRight w:val="0"/>
                      <w:marTop w:val="0"/>
                      <w:marBottom w:val="0"/>
                      <w:divBdr>
                        <w:top w:val="none" w:sz="0" w:space="0" w:color="auto"/>
                        <w:left w:val="none" w:sz="0" w:space="0" w:color="auto"/>
                        <w:bottom w:val="none" w:sz="0" w:space="0" w:color="auto"/>
                        <w:right w:val="none" w:sz="0" w:space="0" w:color="auto"/>
                      </w:divBdr>
                    </w:div>
                  </w:divsChild>
                </w:div>
                <w:div w:id="2043363370">
                  <w:marLeft w:val="0"/>
                  <w:marRight w:val="0"/>
                  <w:marTop w:val="0"/>
                  <w:marBottom w:val="0"/>
                  <w:divBdr>
                    <w:top w:val="none" w:sz="0" w:space="0" w:color="auto"/>
                    <w:left w:val="none" w:sz="0" w:space="0" w:color="auto"/>
                    <w:bottom w:val="none" w:sz="0" w:space="0" w:color="auto"/>
                    <w:right w:val="none" w:sz="0" w:space="0" w:color="auto"/>
                  </w:divBdr>
                  <w:divsChild>
                    <w:div w:id="614600201">
                      <w:marLeft w:val="0"/>
                      <w:marRight w:val="0"/>
                      <w:marTop w:val="0"/>
                      <w:marBottom w:val="0"/>
                      <w:divBdr>
                        <w:top w:val="none" w:sz="0" w:space="0" w:color="auto"/>
                        <w:left w:val="none" w:sz="0" w:space="0" w:color="auto"/>
                        <w:bottom w:val="none" w:sz="0" w:space="0" w:color="auto"/>
                        <w:right w:val="none" w:sz="0" w:space="0" w:color="auto"/>
                      </w:divBdr>
                    </w:div>
                    <w:div w:id="615407969">
                      <w:marLeft w:val="0"/>
                      <w:marRight w:val="0"/>
                      <w:marTop w:val="0"/>
                      <w:marBottom w:val="0"/>
                      <w:divBdr>
                        <w:top w:val="none" w:sz="0" w:space="0" w:color="auto"/>
                        <w:left w:val="none" w:sz="0" w:space="0" w:color="auto"/>
                        <w:bottom w:val="none" w:sz="0" w:space="0" w:color="auto"/>
                        <w:right w:val="none" w:sz="0" w:space="0" w:color="auto"/>
                      </w:divBdr>
                    </w:div>
                    <w:div w:id="697388268">
                      <w:marLeft w:val="0"/>
                      <w:marRight w:val="0"/>
                      <w:marTop w:val="0"/>
                      <w:marBottom w:val="0"/>
                      <w:divBdr>
                        <w:top w:val="none" w:sz="0" w:space="0" w:color="auto"/>
                        <w:left w:val="none" w:sz="0" w:space="0" w:color="auto"/>
                        <w:bottom w:val="none" w:sz="0" w:space="0" w:color="auto"/>
                        <w:right w:val="none" w:sz="0" w:space="0" w:color="auto"/>
                      </w:divBdr>
                    </w:div>
                    <w:div w:id="898518502">
                      <w:marLeft w:val="0"/>
                      <w:marRight w:val="0"/>
                      <w:marTop w:val="0"/>
                      <w:marBottom w:val="0"/>
                      <w:divBdr>
                        <w:top w:val="none" w:sz="0" w:space="0" w:color="auto"/>
                        <w:left w:val="none" w:sz="0" w:space="0" w:color="auto"/>
                        <w:bottom w:val="none" w:sz="0" w:space="0" w:color="auto"/>
                        <w:right w:val="none" w:sz="0" w:space="0" w:color="auto"/>
                      </w:divBdr>
                    </w:div>
                    <w:div w:id="978461265">
                      <w:marLeft w:val="0"/>
                      <w:marRight w:val="0"/>
                      <w:marTop w:val="0"/>
                      <w:marBottom w:val="0"/>
                      <w:divBdr>
                        <w:top w:val="none" w:sz="0" w:space="0" w:color="auto"/>
                        <w:left w:val="none" w:sz="0" w:space="0" w:color="auto"/>
                        <w:bottom w:val="none" w:sz="0" w:space="0" w:color="auto"/>
                        <w:right w:val="none" w:sz="0" w:space="0" w:color="auto"/>
                      </w:divBdr>
                    </w:div>
                    <w:div w:id="1121612790">
                      <w:marLeft w:val="0"/>
                      <w:marRight w:val="0"/>
                      <w:marTop w:val="0"/>
                      <w:marBottom w:val="0"/>
                      <w:divBdr>
                        <w:top w:val="none" w:sz="0" w:space="0" w:color="auto"/>
                        <w:left w:val="none" w:sz="0" w:space="0" w:color="auto"/>
                        <w:bottom w:val="none" w:sz="0" w:space="0" w:color="auto"/>
                        <w:right w:val="none" w:sz="0" w:space="0" w:color="auto"/>
                      </w:divBdr>
                    </w:div>
                    <w:div w:id="1143160624">
                      <w:marLeft w:val="0"/>
                      <w:marRight w:val="0"/>
                      <w:marTop w:val="0"/>
                      <w:marBottom w:val="0"/>
                      <w:divBdr>
                        <w:top w:val="none" w:sz="0" w:space="0" w:color="auto"/>
                        <w:left w:val="none" w:sz="0" w:space="0" w:color="auto"/>
                        <w:bottom w:val="none" w:sz="0" w:space="0" w:color="auto"/>
                        <w:right w:val="none" w:sz="0" w:space="0" w:color="auto"/>
                      </w:divBdr>
                    </w:div>
                    <w:div w:id="1165315380">
                      <w:marLeft w:val="0"/>
                      <w:marRight w:val="0"/>
                      <w:marTop w:val="0"/>
                      <w:marBottom w:val="0"/>
                      <w:divBdr>
                        <w:top w:val="none" w:sz="0" w:space="0" w:color="auto"/>
                        <w:left w:val="none" w:sz="0" w:space="0" w:color="auto"/>
                        <w:bottom w:val="none" w:sz="0" w:space="0" w:color="auto"/>
                        <w:right w:val="none" w:sz="0" w:space="0" w:color="auto"/>
                      </w:divBdr>
                    </w:div>
                    <w:div w:id="1678775921">
                      <w:marLeft w:val="0"/>
                      <w:marRight w:val="0"/>
                      <w:marTop w:val="0"/>
                      <w:marBottom w:val="0"/>
                      <w:divBdr>
                        <w:top w:val="none" w:sz="0" w:space="0" w:color="auto"/>
                        <w:left w:val="none" w:sz="0" w:space="0" w:color="auto"/>
                        <w:bottom w:val="none" w:sz="0" w:space="0" w:color="auto"/>
                        <w:right w:val="none" w:sz="0" w:space="0" w:color="auto"/>
                      </w:divBdr>
                    </w:div>
                    <w:div w:id="2008089249">
                      <w:marLeft w:val="0"/>
                      <w:marRight w:val="0"/>
                      <w:marTop w:val="0"/>
                      <w:marBottom w:val="0"/>
                      <w:divBdr>
                        <w:top w:val="none" w:sz="0" w:space="0" w:color="auto"/>
                        <w:left w:val="none" w:sz="0" w:space="0" w:color="auto"/>
                        <w:bottom w:val="none" w:sz="0" w:space="0" w:color="auto"/>
                        <w:right w:val="none" w:sz="0" w:space="0" w:color="auto"/>
                      </w:divBdr>
                    </w:div>
                  </w:divsChild>
                </w:div>
                <w:div w:id="2044135865">
                  <w:marLeft w:val="0"/>
                  <w:marRight w:val="0"/>
                  <w:marTop w:val="0"/>
                  <w:marBottom w:val="0"/>
                  <w:divBdr>
                    <w:top w:val="none" w:sz="0" w:space="0" w:color="auto"/>
                    <w:left w:val="none" w:sz="0" w:space="0" w:color="auto"/>
                    <w:bottom w:val="none" w:sz="0" w:space="0" w:color="auto"/>
                    <w:right w:val="none" w:sz="0" w:space="0" w:color="auto"/>
                  </w:divBdr>
                  <w:divsChild>
                    <w:div w:id="1285039163">
                      <w:marLeft w:val="0"/>
                      <w:marRight w:val="0"/>
                      <w:marTop w:val="0"/>
                      <w:marBottom w:val="0"/>
                      <w:divBdr>
                        <w:top w:val="none" w:sz="0" w:space="0" w:color="auto"/>
                        <w:left w:val="none" w:sz="0" w:space="0" w:color="auto"/>
                        <w:bottom w:val="none" w:sz="0" w:space="0" w:color="auto"/>
                        <w:right w:val="none" w:sz="0" w:space="0" w:color="auto"/>
                      </w:divBdr>
                    </w:div>
                  </w:divsChild>
                </w:div>
                <w:div w:id="2050835075">
                  <w:marLeft w:val="0"/>
                  <w:marRight w:val="0"/>
                  <w:marTop w:val="0"/>
                  <w:marBottom w:val="0"/>
                  <w:divBdr>
                    <w:top w:val="none" w:sz="0" w:space="0" w:color="auto"/>
                    <w:left w:val="none" w:sz="0" w:space="0" w:color="auto"/>
                    <w:bottom w:val="none" w:sz="0" w:space="0" w:color="auto"/>
                    <w:right w:val="none" w:sz="0" w:space="0" w:color="auto"/>
                  </w:divBdr>
                  <w:divsChild>
                    <w:div w:id="634604799">
                      <w:marLeft w:val="0"/>
                      <w:marRight w:val="0"/>
                      <w:marTop w:val="0"/>
                      <w:marBottom w:val="0"/>
                      <w:divBdr>
                        <w:top w:val="none" w:sz="0" w:space="0" w:color="auto"/>
                        <w:left w:val="none" w:sz="0" w:space="0" w:color="auto"/>
                        <w:bottom w:val="none" w:sz="0" w:space="0" w:color="auto"/>
                        <w:right w:val="none" w:sz="0" w:space="0" w:color="auto"/>
                      </w:divBdr>
                    </w:div>
                  </w:divsChild>
                </w:div>
                <w:div w:id="2065984356">
                  <w:marLeft w:val="0"/>
                  <w:marRight w:val="0"/>
                  <w:marTop w:val="0"/>
                  <w:marBottom w:val="0"/>
                  <w:divBdr>
                    <w:top w:val="none" w:sz="0" w:space="0" w:color="auto"/>
                    <w:left w:val="none" w:sz="0" w:space="0" w:color="auto"/>
                    <w:bottom w:val="none" w:sz="0" w:space="0" w:color="auto"/>
                    <w:right w:val="none" w:sz="0" w:space="0" w:color="auto"/>
                  </w:divBdr>
                  <w:divsChild>
                    <w:div w:id="780808095">
                      <w:marLeft w:val="0"/>
                      <w:marRight w:val="0"/>
                      <w:marTop w:val="0"/>
                      <w:marBottom w:val="0"/>
                      <w:divBdr>
                        <w:top w:val="none" w:sz="0" w:space="0" w:color="auto"/>
                        <w:left w:val="none" w:sz="0" w:space="0" w:color="auto"/>
                        <w:bottom w:val="none" w:sz="0" w:space="0" w:color="auto"/>
                        <w:right w:val="none" w:sz="0" w:space="0" w:color="auto"/>
                      </w:divBdr>
                    </w:div>
                  </w:divsChild>
                </w:div>
                <w:div w:id="2070498823">
                  <w:marLeft w:val="0"/>
                  <w:marRight w:val="0"/>
                  <w:marTop w:val="0"/>
                  <w:marBottom w:val="0"/>
                  <w:divBdr>
                    <w:top w:val="none" w:sz="0" w:space="0" w:color="auto"/>
                    <w:left w:val="none" w:sz="0" w:space="0" w:color="auto"/>
                    <w:bottom w:val="none" w:sz="0" w:space="0" w:color="auto"/>
                    <w:right w:val="none" w:sz="0" w:space="0" w:color="auto"/>
                  </w:divBdr>
                  <w:divsChild>
                    <w:div w:id="1450126069">
                      <w:marLeft w:val="0"/>
                      <w:marRight w:val="0"/>
                      <w:marTop w:val="0"/>
                      <w:marBottom w:val="0"/>
                      <w:divBdr>
                        <w:top w:val="none" w:sz="0" w:space="0" w:color="auto"/>
                        <w:left w:val="none" w:sz="0" w:space="0" w:color="auto"/>
                        <w:bottom w:val="none" w:sz="0" w:space="0" w:color="auto"/>
                        <w:right w:val="none" w:sz="0" w:space="0" w:color="auto"/>
                      </w:divBdr>
                    </w:div>
                  </w:divsChild>
                </w:div>
                <w:div w:id="2072191407">
                  <w:marLeft w:val="0"/>
                  <w:marRight w:val="0"/>
                  <w:marTop w:val="0"/>
                  <w:marBottom w:val="0"/>
                  <w:divBdr>
                    <w:top w:val="none" w:sz="0" w:space="0" w:color="auto"/>
                    <w:left w:val="none" w:sz="0" w:space="0" w:color="auto"/>
                    <w:bottom w:val="none" w:sz="0" w:space="0" w:color="auto"/>
                    <w:right w:val="none" w:sz="0" w:space="0" w:color="auto"/>
                  </w:divBdr>
                  <w:divsChild>
                    <w:div w:id="1948805317">
                      <w:marLeft w:val="0"/>
                      <w:marRight w:val="0"/>
                      <w:marTop w:val="0"/>
                      <w:marBottom w:val="0"/>
                      <w:divBdr>
                        <w:top w:val="none" w:sz="0" w:space="0" w:color="auto"/>
                        <w:left w:val="none" w:sz="0" w:space="0" w:color="auto"/>
                        <w:bottom w:val="none" w:sz="0" w:space="0" w:color="auto"/>
                        <w:right w:val="none" w:sz="0" w:space="0" w:color="auto"/>
                      </w:divBdr>
                    </w:div>
                  </w:divsChild>
                </w:div>
                <w:div w:id="2077970455">
                  <w:marLeft w:val="0"/>
                  <w:marRight w:val="0"/>
                  <w:marTop w:val="0"/>
                  <w:marBottom w:val="0"/>
                  <w:divBdr>
                    <w:top w:val="none" w:sz="0" w:space="0" w:color="auto"/>
                    <w:left w:val="none" w:sz="0" w:space="0" w:color="auto"/>
                    <w:bottom w:val="none" w:sz="0" w:space="0" w:color="auto"/>
                    <w:right w:val="none" w:sz="0" w:space="0" w:color="auto"/>
                  </w:divBdr>
                  <w:divsChild>
                    <w:div w:id="337466060">
                      <w:marLeft w:val="0"/>
                      <w:marRight w:val="0"/>
                      <w:marTop w:val="0"/>
                      <w:marBottom w:val="0"/>
                      <w:divBdr>
                        <w:top w:val="none" w:sz="0" w:space="0" w:color="auto"/>
                        <w:left w:val="none" w:sz="0" w:space="0" w:color="auto"/>
                        <w:bottom w:val="none" w:sz="0" w:space="0" w:color="auto"/>
                        <w:right w:val="none" w:sz="0" w:space="0" w:color="auto"/>
                      </w:divBdr>
                    </w:div>
                  </w:divsChild>
                </w:div>
                <w:div w:id="2082634379">
                  <w:marLeft w:val="0"/>
                  <w:marRight w:val="0"/>
                  <w:marTop w:val="0"/>
                  <w:marBottom w:val="0"/>
                  <w:divBdr>
                    <w:top w:val="none" w:sz="0" w:space="0" w:color="auto"/>
                    <w:left w:val="none" w:sz="0" w:space="0" w:color="auto"/>
                    <w:bottom w:val="none" w:sz="0" w:space="0" w:color="auto"/>
                    <w:right w:val="none" w:sz="0" w:space="0" w:color="auto"/>
                  </w:divBdr>
                  <w:divsChild>
                    <w:div w:id="1861972066">
                      <w:marLeft w:val="0"/>
                      <w:marRight w:val="0"/>
                      <w:marTop w:val="0"/>
                      <w:marBottom w:val="0"/>
                      <w:divBdr>
                        <w:top w:val="none" w:sz="0" w:space="0" w:color="auto"/>
                        <w:left w:val="none" w:sz="0" w:space="0" w:color="auto"/>
                        <w:bottom w:val="none" w:sz="0" w:space="0" w:color="auto"/>
                        <w:right w:val="none" w:sz="0" w:space="0" w:color="auto"/>
                      </w:divBdr>
                    </w:div>
                  </w:divsChild>
                </w:div>
                <w:div w:id="2086412503">
                  <w:marLeft w:val="0"/>
                  <w:marRight w:val="0"/>
                  <w:marTop w:val="0"/>
                  <w:marBottom w:val="0"/>
                  <w:divBdr>
                    <w:top w:val="none" w:sz="0" w:space="0" w:color="auto"/>
                    <w:left w:val="none" w:sz="0" w:space="0" w:color="auto"/>
                    <w:bottom w:val="none" w:sz="0" w:space="0" w:color="auto"/>
                    <w:right w:val="none" w:sz="0" w:space="0" w:color="auto"/>
                  </w:divBdr>
                  <w:divsChild>
                    <w:div w:id="701513732">
                      <w:marLeft w:val="0"/>
                      <w:marRight w:val="0"/>
                      <w:marTop w:val="0"/>
                      <w:marBottom w:val="0"/>
                      <w:divBdr>
                        <w:top w:val="none" w:sz="0" w:space="0" w:color="auto"/>
                        <w:left w:val="none" w:sz="0" w:space="0" w:color="auto"/>
                        <w:bottom w:val="none" w:sz="0" w:space="0" w:color="auto"/>
                        <w:right w:val="none" w:sz="0" w:space="0" w:color="auto"/>
                      </w:divBdr>
                    </w:div>
                  </w:divsChild>
                </w:div>
                <w:div w:id="2094473534">
                  <w:marLeft w:val="0"/>
                  <w:marRight w:val="0"/>
                  <w:marTop w:val="0"/>
                  <w:marBottom w:val="0"/>
                  <w:divBdr>
                    <w:top w:val="none" w:sz="0" w:space="0" w:color="auto"/>
                    <w:left w:val="none" w:sz="0" w:space="0" w:color="auto"/>
                    <w:bottom w:val="none" w:sz="0" w:space="0" w:color="auto"/>
                    <w:right w:val="none" w:sz="0" w:space="0" w:color="auto"/>
                  </w:divBdr>
                  <w:divsChild>
                    <w:div w:id="1812097061">
                      <w:marLeft w:val="0"/>
                      <w:marRight w:val="0"/>
                      <w:marTop w:val="0"/>
                      <w:marBottom w:val="0"/>
                      <w:divBdr>
                        <w:top w:val="none" w:sz="0" w:space="0" w:color="auto"/>
                        <w:left w:val="none" w:sz="0" w:space="0" w:color="auto"/>
                        <w:bottom w:val="none" w:sz="0" w:space="0" w:color="auto"/>
                        <w:right w:val="none" w:sz="0" w:space="0" w:color="auto"/>
                      </w:divBdr>
                    </w:div>
                  </w:divsChild>
                </w:div>
                <w:div w:id="2096901224">
                  <w:marLeft w:val="0"/>
                  <w:marRight w:val="0"/>
                  <w:marTop w:val="0"/>
                  <w:marBottom w:val="0"/>
                  <w:divBdr>
                    <w:top w:val="none" w:sz="0" w:space="0" w:color="auto"/>
                    <w:left w:val="none" w:sz="0" w:space="0" w:color="auto"/>
                    <w:bottom w:val="none" w:sz="0" w:space="0" w:color="auto"/>
                    <w:right w:val="none" w:sz="0" w:space="0" w:color="auto"/>
                  </w:divBdr>
                  <w:divsChild>
                    <w:div w:id="2079089117">
                      <w:marLeft w:val="0"/>
                      <w:marRight w:val="0"/>
                      <w:marTop w:val="0"/>
                      <w:marBottom w:val="0"/>
                      <w:divBdr>
                        <w:top w:val="none" w:sz="0" w:space="0" w:color="auto"/>
                        <w:left w:val="none" w:sz="0" w:space="0" w:color="auto"/>
                        <w:bottom w:val="none" w:sz="0" w:space="0" w:color="auto"/>
                        <w:right w:val="none" w:sz="0" w:space="0" w:color="auto"/>
                      </w:divBdr>
                    </w:div>
                  </w:divsChild>
                </w:div>
                <w:div w:id="2112386904">
                  <w:marLeft w:val="0"/>
                  <w:marRight w:val="0"/>
                  <w:marTop w:val="0"/>
                  <w:marBottom w:val="0"/>
                  <w:divBdr>
                    <w:top w:val="none" w:sz="0" w:space="0" w:color="auto"/>
                    <w:left w:val="none" w:sz="0" w:space="0" w:color="auto"/>
                    <w:bottom w:val="none" w:sz="0" w:space="0" w:color="auto"/>
                    <w:right w:val="none" w:sz="0" w:space="0" w:color="auto"/>
                  </w:divBdr>
                  <w:divsChild>
                    <w:div w:id="1685787686">
                      <w:marLeft w:val="0"/>
                      <w:marRight w:val="0"/>
                      <w:marTop w:val="0"/>
                      <w:marBottom w:val="0"/>
                      <w:divBdr>
                        <w:top w:val="none" w:sz="0" w:space="0" w:color="auto"/>
                        <w:left w:val="none" w:sz="0" w:space="0" w:color="auto"/>
                        <w:bottom w:val="none" w:sz="0" w:space="0" w:color="auto"/>
                        <w:right w:val="none" w:sz="0" w:space="0" w:color="auto"/>
                      </w:divBdr>
                    </w:div>
                  </w:divsChild>
                </w:div>
                <w:div w:id="2114862530">
                  <w:marLeft w:val="0"/>
                  <w:marRight w:val="0"/>
                  <w:marTop w:val="0"/>
                  <w:marBottom w:val="0"/>
                  <w:divBdr>
                    <w:top w:val="none" w:sz="0" w:space="0" w:color="auto"/>
                    <w:left w:val="none" w:sz="0" w:space="0" w:color="auto"/>
                    <w:bottom w:val="none" w:sz="0" w:space="0" w:color="auto"/>
                    <w:right w:val="none" w:sz="0" w:space="0" w:color="auto"/>
                  </w:divBdr>
                  <w:divsChild>
                    <w:div w:id="193352226">
                      <w:marLeft w:val="0"/>
                      <w:marRight w:val="0"/>
                      <w:marTop w:val="0"/>
                      <w:marBottom w:val="0"/>
                      <w:divBdr>
                        <w:top w:val="none" w:sz="0" w:space="0" w:color="auto"/>
                        <w:left w:val="none" w:sz="0" w:space="0" w:color="auto"/>
                        <w:bottom w:val="none" w:sz="0" w:space="0" w:color="auto"/>
                        <w:right w:val="none" w:sz="0" w:space="0" w:color="auto"/>
                      </w:divBdr>
                    </w:div>
                  </w:divsChild>
                </w:div>
                <w:div w:id="2123722648">
                  <w:marLeft w:val="0"/>
                  <w:marRight w:val="0"/>
                  <w:marTop w:val="0"/>
                  <w:marBottom w:val="0"/>
                  <w:divBdr>
                    <w:top w:val="none" w:sz="0" w:space="0" w:color="auto"/>
                    <w:left w:val="none" w:sz="0" w:space="0" w:color="auto"/>
                    <w:bottom w:val="none" w:sz="0" w:space="0" w:color="auto"/>
                    <w:right w:val="none" w:sz="0" w:space="0" w:color="auto"/>
                  </w:divBdr>
                  <w:divsChild>
                    <w:div w:id="919633699">
                      <w:marLeft w:val="0"/>
                      <w:marRight w:val="0"/>
                      <w:marTop w:val="0"/>
                      <w:marBottom w:val="0"/>
                      <w:divBdr>
                        <w:top w:val="none" w:sz="0" w:space="0" w:color="auto"/>
                        <w:left w:val="none" w:sz="0" w:space="0" w:color="auto"/>
                        <w:bottom w:val="none" w:sz="0" w:space="0" w:color="auto"/>
                        <w:right w:val="none" w:sz="0" w:space="0" w:color="auto"/>
                      </w:divBdr>
                    </w:div>
                  </w:divsChild>
                </w:div>
                <w:div w:id="2125808875">
                  <w:marLeft w:val="0"/>
                  <w:marRight w:val="0"/>
                  <w:marTop w:val="0"/>
                  <w:marBottom w:val="0"/>
                  <w:divBdr>
                    <w:top w:val="none" w:sz="0" w:space="0" w:color="auto"/>
                    <w:left w:val="none" w:sz="0" w:space="0" w:color="auto"/>
                    <w:bottom w:val="none" w:sz="0" w:space="0" w:color="auto"/>
                    <w:right w:val="none" w:sz="0" w:space="0" w:color="auto"/>
                  </w:divBdr>
                  <w:divsChild>
                    <w:div w:id="59061532">
                      <w:marLeft w:val="0"/>
                      <w:marRight w:val="0"/>
                      <w:marTop w:val="0"/>
                      <w:marBottom w:val="0"/>
                      <w:divBdr>
                        <w:top w:val="none" w:sz="0" w:space="0" w:color="auto"/>
                        <w:left w:val="none" w:sz="0" w:space="0" w:color="auto"/>
                        <w:bottom w:val="none" w:sz="0" w:space="0" w:color="auto"/>
                        <w:right w:val="none" w:sz="0" w:space="0" w:color="auto"/>
                      </w:divBdr>
                    </w:div>
                  </w:divsChild>
                </w:div>
                <w:div w:id="2125881504">
                  <w:marLeft w:val="0"/>
                  <w:marRight w:val="0"/>
                  <w:marTop w:val="0"/>
                  <w:marBottom w:val="0"/>
                  <w:divBdr>
                    <w:top w:val="none" w:sz="0" w:space="0" w:color="auto"/>
                    <w:left w:val="none" w:sz="0" w:space="0" w:color="auto"/>
                    <w:bottom w:val="none" w:sz="0" w:space="0" w:color="auto"/>
                    <w:right w:val="none" w:sz="0" w:space="0" w:color="auto"/>
                  </w:divBdr>
                  <w:divsChild>
                    <w:div w:id="1751466606">
                      <w:marLeft w:val="0"/>
                      <w:marRight w:val="0"/>
                      <w:marTop w:val="0"/>
                      <w:marBottom w:val="0"/>
                      <w:divBdr>
                        <w:top w:val="none" w:sz="0" w:space="0" w:color="auto"/>
                        <w:left w:val="none" w:sz="0" w:space="0" w:color="auto"/>
                        <w:bottom w:val="none" w:sz="0" w:space="0" w:color="auto"/>
                        <w:right w:val="none" w:sz="0" w:space="0" w:color="auto"/>
                      </w:divBdr>
                    </w:div>
                  </w:divsChild>
                </w:div>
                <w:div w:id="2138640342">
                  <w:marLeft w:val="0"/>
                  <w:marRight w:val="0"/>
                  <w:marTop w:val="0"/>
                  <w:marBottom w:val="0"/>
                  <w:divBdr>
                    <w:top w:val="none" w:sz="0" w:space="0" w:color="auto"/>
                    <w:left w:val="none" w:sz="0" w:space="0" w:color="auto"/>
                    <w:bottom w:val="none" w:sz="0" w:space="0" w:color="auto"/>
                    <w:right w:val="none" w:sz="0" w:space="0" w:color="auto"/>
                  </w:divBdr>
                  <w:divsChild>
                    <w:div w:id="707097955">
                      <w:marLeft w:val="0"/>
                      <w:marRight w:val="0"/>
                      <w:marTop w:val="0"/>
                      <w:marBottom w:val="0"/>
                      <w:divBdr>
                        <w:top w:val="none" w:sz="0" w:space="0" w:color="auto"/>
                        <w:left w:val="none" w:sz="0" w:space="0" w:color="auto"/>
                        <w:bottom w:val="none" w:sz="0" w:space="0" w:color="auto"/>
                        <w:right w:val="none" w:sz="0" w:space="0" w:color="auto"/>
                      </w:divBdr>
                    </w:div>
                  </w:divsChild>
                </w:div>
                <w:div w:id="2139256595">
                  <w:marLeft w:val="0"/>
                  <w:marRight w:val="0"/>
                  <w:marTop w:val="0"/>
                  <w:marBottom w:val="0"/>
                  <w:divBdr>
                    <w:top w:val="none" w:sz="0" w:space="0" w:color="auto"/>
                    <w:left w:val="none" w:sz="0" w:space="0" w:color="auto"/>
                    <w:bottom w:val="none" w:sz="0" w:space="0" w:color="auto"/>
                    <w:right w:val="none" w:sz="0" w:space="0" w:color="auto"/>
                  </w:divBdr>
                  <w:divsChild>
                    <w:div w:id="430006295">
                      <w:marLeft w:val="0"/>
                      <w:marRight w:val="0"/>
                      <w:marTop w:val="0"/>
                      <w:marBottom w:val="0"/>
                      <w:divBdr>
                        <w:top w:val="none" w:sz="0" w:space="0" w:color="auto"/>
                        <w:left w:val="none" w:sz="0" w:space="0" w:color="auto"/>
                        <w:bottom w:val="none" w:sz="0" w:space="0" w:color="auto"/>
                        <w:right w:val="none" w:sz="0" w:space="0" w:color="auto"/>
                      </w:divBdr>
                    </w:div>
                  </w:divsChild>
                </w:div>
                <w:div w:id="2139299755">
                  <w:marLeft w:val="0"/>
                  <w:marRight w:val="0"/>
                  <w:marTop w:val="0"/>
                  <w:marBottom w:val="0"/>
                  <w:divBdr>
                    <w:top w:val="none" w:sz="0" w:space="0" w:color="auto"/>
                    <w:left w:val="none" w:sz="0" w:space="0" w:color="auto"/>
                    <w:bottom w:val="none" w:sz="0" w:space="0" w:color="auto"/>
                    <w:right w:val="none" w:sz="0" w:space="0" w:color="auto"/>
                  </w:divBdr>
                  <w:divsChild>
                    <w:div w:id="561451813">
                      <w:marLeft w:val="0"/>
                      <w:marRight w:val="0"/>
                      <w:marTop w:val="0"/>
                      <w:marBottom w:val="0"/>
                      <w:divBdr>
                        <w:top w:val="none" w:sz="0" w:space="0" w:color="auto"/>
                        <w:left w:val="none" w:sz="0" w:space="0" w:color="auto"/>
                        <w:bottom w:val="none" w:sz="0" w:space="0" w:color="auto"/>
                        <w:right w:val="none" w:sz="0" w:space="0" w:color="auto"/>
                      </w:divBdr>
                    </w:div>
                  </w:divsChild>
                </w:div>
                <w:div w:id="2140566652">
                  <w:marLeft w:val="0"/>
                  <w:marRight w:val="0"/>
                  <w:marTop w:val="0"/>
                  <w:marBottom w:val="0"/>
                  <w:divBdr>
                    <w:top w:val="none" w:sz="0" w:space="0" w:color="auto"/>
                    <w:left w:val="none" w:sz="0" w:space="0" w:color="auto"/>
                    <w:bottom w:val="none" w:sz="0" w:space="0" w:color="auto"/>
                    <w:right w:val="none" w:sz="0" w:space="0" w:color="auto"/>
                  </w:divBdr>
                  <w:divsChild>
                    <w:div w:id="2140872589">
                      <w:marLeft w:val="0"/>
                      <w:marRight w:val="0"/>
                      <w:marTop w:val="0"/>
                      <w:marBottom w:val="0"/>
                      <w:divBdr>
                        <w:top w:val="none" w:sz="0" w:space="0" w:color="auto"/>
                        <w:left w:val="none" w:sz="0" w:space="0" w:color="auto"/>
                        <w:bottom w:val="none" w:sz="0" w:space="0" w:color="auto"/>
                        <w:right w:val="none" w:sz="0" w:space="0" w:color="auto"/>
                      </w:divBdr>
                    </w:div>
                  </w:divsChild>
                </w:div>
                <w:div w:id="2143300509">
                  <w:marLeft w:val="0"/>
                  <w:marRight w:val="0"/>
                  <w:marTop w:val="0"/>
                  <w:marBottom w:val="0"/>
                  <w:divBdr>
                    <w:top w:val="none" w:sz="0" w:space="0" w:color="auto"/>
                    <w:left w:val="none" w:sz="0" w:space="0" w:color="auto"/>
                    <w:bottom w:val="none" w:sz="0" w:space="0" w:color="auto"/>
                    <w:right w:val="none" w:sz="0" w:space="0" w:color="auto"/>
                  </w:divBdr>
                  <w:divsChild>
                    <w:div w:id="586889200">
                      <w:marLeft w:val="0"/>
                      <w:marRight w:val="0"/>
                      <w:marTop w:val="0"/>
                      <w:marBottom w:val="0"/>
                      <w:divBdr>
                        <w:top w:val="none" w:sz="0" w:space="0" w:color="auto"/>
                        <w:left w:val="none" w:sz="0" w:space="0" w:color="auto"/>
                        <w:bottom w:val="none" w:sz="0" w:space="0" w:color="auto"/>
                        <w:right w:val="none" w:sz="0" w:space="0" w:color="auto"/>
                      </w:divBdr>
                    </w:div>
                  </w:divsChild>
                </w:div>
                <w:div w:id="2144419516">
                  <w:marLeft w:val="0"/>
                  <w:marRight w:val="0"/>
                  <w:marTop w:val="0"/>
                  <w:marBottom w:val="0"/>
                  <w:divBdr>
                    <w:top w:val="none" w:sz="0" w:space="0" w:color="auto"/>
                    <w:left w:val="none" w:sz="0" w:space="0" w:color="auto"/>
                    <w:bottom w:val="none" w:sz="0" w:space="0" w:color="auto"/>
                    <w:right w:val="none" w:sz="0" w:space="0" w:color="auto"/>
                  </w:divBdr>
                  <w:divsChild>
                    <w:div w:id="136304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42905">
      <w:bodyDiv w:val="1"/>
      <w:marLeft w:val="0"/>
      <w:marRight w:val="0"/>
      <w:marTop w:val="0"/>
      <w:marBottom w:val="0"/>
      <w:divBdr>
        <w:top w:val="none" w:sz="0" w:space="0" w:color="auto"/>
        <w:left w:val="none" w:sz="0" w:space="0" w:color="auto"/>
        <w:bottom w:val="none" w:sz="0" w:space="0" w:color="auto"/>
        <w:right w:val="none" w:sz="0" w:space="0" w:color="auto"/>
      </w:divBdr>
      <w:divsChild>
        <w:div w:id="49230877">
          <w:marLeft w:val="0"/>
          <w:marRight w:val="0"/>
          <w:marTop w:val="0"/>
          <w:marBottom w:val="0"/>
          <w:divBdr>
            <w:top w:val="none" w:sz="0" w:space="0" w:color="auto"/>
            <w:left w:val="none" w:sz="0" w:space="0" w:color="auto"/>
            <w:bottom w:val="none" w:sz="0" w:space="0" w:color="auto"/>
            <w:right w:val="none" w:sz="0" w:space="0" w:color="auto"/>
          </w:divBdr>
        </w:div>
        <w:div w:id="355348407">
          <w:marLeft w:val="0"/>
          <w:marRight w:val="0"/>
          <w:marTop w:val="0"/>
          <w:marBottom w:val="0"/>
          <w:divBdr>
            <w:top w:val="none" w:sz="0" w:space="0" w:color="auto"/>
            <w:left w:val="none" w:sz="0" w:space="0" w:color="auto"/>
            <w:bottom w:val="none" w:sz="0" w:space="0" w:color="auto"/>
            <w:right w:val="none" w:sz="0" w:space="0" w:color="auto"/>
          </w:divBdr>
        </w:div>
        <w:div w:id="425998348">
          <w:marLeft w:val="0"/>
          <w:marRight w:val="0"/>
          <w:marTop w:val="0"/>
          <w:marBottom w:val="0"/>
          <w:divBdr>
            <w:top w:val="none" w:sz="0" w:space="0" w:color="auto"/>
            <w:left w:val="none" w:sz="0" w:space="0" w:color="auto"/>
            <w:bottom w:val="none" w:sz="0" w:space="0" w:color="auto"/>
            <w:right w:val="none" w:sz="0" w:space="0" w:color="auto"/>
          </w:divBdr>
        </w:div>
        <w:div w:id="674773343">
          <w:marLeft w:val="0"/>
          <w:marRight w:val="0"/>
          <w:marTop w:val="0"/>
          <w:marBottom w:val="0"/>
          <w:divBdr>
            <w:top w:val="none" w:sz="0" w:space="0" w:color="auto"/>
            <w:left w:val="none" w:sz="0" w:space="0" w:color="auto"/>
            <w:bottom w:val="none" w:sz="0" w:space="0" w:color="auto"/>
            <w:right w:val="none" w:sz="0" w:space="0" w:color="auto"/>
          </w:divBdr>
        </w:div>
        <w:div w:id="712191056">
          <w:marLeft w:val="0"/>
          <w:marRight w:val="0"/>
          <w:marTop w:val="0"/>
          <w:marBottom w:val="0"/>
          <w:divBdr>
            <w:top w:val="none" w:sz="0" w:space="0" w:color="auto"/>
            <w:left w:val="none" w:sz="0" w:space="0" w:color="auto"/>
            <w:bottom w:val="none" w:sz="0" w:space="0" w:color="auto"/>
            <w:right w:val="none" w:sz="0" w:space="0" w:color="auto"/>
          </w:divBdr>
        </w:div>
        <w:div w:id="881938815">
          <w:marLeft w:val="0"/>
          <w:marRight w:val="0"/>
          <w:marTop w:val="0"/>
          <w:marBottom w:val="0"/>
          <w:divBdr>
            <w:top w:val="none" w:sz="0" w:space="0" w:color="auto"/>
            <w:left w:val="none" w:sz="0" w:space="0" w:color="auto"/>
            <w:bottom w:val="none" w:sz="0" w:space="0" w:color="auto"/>
            <w:right w:val="none" w:sz="0" w:space="0" w:color="auto"/>
          </w:divBdr>
        </w:div>
        <w:div w:id="1025474470">
          <w:marLeft w:val="0"/>
          <w:marRight w:val="0"/>
          <w:marTop w:val="0"/>
          <w:marBottom w:val="0"/>
          <w:divBdr>
            <w:top w:val="none" w:sz="0" w:space="0" w:color="auto"/>
            <w:left w:val="none" w:sz="0" w:space="0" w:color="auto"/>
            <w:bottom w:val="none" w:sz="0" w:space="0" w:color="auto"/>
            <w:right w:val="none" w:sz="0" w:space="0" w:color="auto"/>
          </w:divBdr>
          <w:divsChild>
            <w:div w:id="98643844">
              <w:marLeft w:val="0"/>
              <w:marRight w:val="0"/>
              <w:marTop w:val="0"/>
              <w:marBottom w:val="0"/>
              <w:divBdr>
                <w:top w:val="none" w:sz="0" w:space="0" w:color="auto"/>
                <w:left w:val="none" w:sz="0" w:space="0" w:color="auto"/>
                <w:bottom w:val="none" w:sz="0" w:space="0" w:color="auto"/>
                <w:right w:val="none" w:sz="0" w:space="0" w:color="auto"/>
              </w:divBdr>
            </w:div>
            <w:div w:id="296229786">
              <w:marLeft w:val="0"/>
              <w:marRight w:val="0"/>
              <w:marTop w:val="0"/>
              <w:marBottom w:val="0"/>
              <w:divBdr>
                <w:top w:val="none" w:sz="0" w:space="0" w:color="auto"/>
                <w:left w:val="none" w:sz="0" w:space="0" w:color="auto"/>
                <w:bottom w:val="none" w:sz="0" w:space="0" w:color="auto"/>
                <w:right w:val="none" w:sz="0" w:space="0" w:color="auto"/>
              </w:divBdr>
            </w:div>
            <w:div w:id="489172715">
              <w:marLeft w:val="0"/>
              <w:marRight w:val="0"/>
              <w:marTop w:val="0"/>
              <w:marBottom w:val="0"/>
              <w:divBdr>
                <w:top w:val="none" w:sz="0" w:space="0" w:color="auto"/>
                <w:left w:val="none" w:sz="0" w:space="0" w:color="auto"/>
                <w:bottom w:val="none" w:sz="0" w:space="0" w:color="auto"/>
                <w:right w:val="none" w:sz="0" w:space="0" w:color="auto"/>
              </w:divBdr>
            </w:div>
            <w:div w:id="533277756">
              <w:marLeft w:val="0"/>
              <w:marRight w:val="0"/>
              <w:marTop w:val="0"/>
              <w:marBottom w:val="0"/>
              <w:divBdr>
                <w:top w:val="none" w:sz="0" w:space="0" w:color="auto"/>
                <w:left w:val="none" w:sz="0" w:space="0" w:color="auto"/>
                <w:bottom w:val="none" w:sz="0" w:space="0" w:color="auto"/>
                <w:right w:val="none" w:sz="0" w:space="0" w:color="auto"/>
              </w:divBdr>
            </w:div>
            <w:div w:id="830878068">
              <w:marLeft w:val="0"/>
              <w:marRight w:val="0"/>
              <w:marTop w:val="0"/>
              <w:marBottom w:val="0"/>
              <w:divBdr>
                <w:top w:val="none" w:sz="0" w:space="0" w:color="auto"/>
                <w:left w:val="none" w:sz="0" w:space="0" w:color="auto"/>
                <w:bottom w:val="none" w:sz="0" w:space="0" w:color="auto"/>
                <w:right w:val="none" w:sz="0" w:space="0" w:color="auto"/>
              </w:divBdr>
            </w:div>
            <w:div w:id="1031301862">
              <w:marLeft w:val="0"/>
              <w:marRight w:val="0"/>
              <w:marTop w:val="0"/>
              <w:marBottom w:val="0"/>
              <w:divBdr>
                <w:top w:val="none" w:sz="0" w:space="0" w:color="auto"/>
                <w:left w:val="none" w:sz="0" w:space="0" w:color="auto"/>
                <w:bottom w:val="none" w:sz="0" w:space="0" w:color="auto"/>
                <w:right w:val="none" w:sz="0" w:space="0" w:color="auto"/>
              </w:divBdr>
            </w:div>
            <w:div w:id="1062556716">
              <w:marLeft w:val="0"/>
              <w:marRight w:val="0"/>
              <w:marTop w:val="0"/>
              <w:marBottom w:val="0"/>
              <w:divBdr>
                <w:top w:val="none" w:sz="0" w:space="0" w:color="auto"/>
                <w:left w:val="none" w:sz="0" w:space="0" w:color="auto"/>
                <w:bottom w:val="none" w:sz="0" w:space="0" w:color="auto"/>
                <w:right w:val="none" w:sz="0" w:space="0" w:color="auto"/>
              </w:divBdr>
            </w:div>
            <w:div w:id="1114135824">
              <w:marLeft w:val="0"/>
              <w:marRight w:val="0"/>
              <w:marTop w:val="0"/>
              <w:marBottom w:val="0"/>
              <w:divBdr>
                <w:top w:val="none" w:sz="0" w:space="0" w:color="auto"/>
                <w:left w:val="none" w:sz="0" w:space="0" w:color="auto"/>
                <w:bottom w:val="none" w:sz="0" w:space="0" w:color="auto"/>
                <w:right w:val="none" w:sz="0" w:space="0" w:color="auto"/>
              </w:divBdr>
            </w:div>
            <w:div w:id="1129585994">
              <w:marLeft w:val="0"/>
              <w:marRight w:val="0"/>
              <w:marTop w:val="0"/>
              <w:marBottom w:val="0"/>
              <w:divBdr>
                <w:top w:val="none" w:sz="0" w:space="0" w:color="auto"/>
                <w:left w:val="none" w:sz="0" w:space="0" w:color="auto"/>
                <w:bottom w:val="none" w:sz="0" w:space="0" w:color="auto"/>
                <w:right w:val="none" w:sz="0" w:space="0" w:color="auto"/>
              </w:divBdr>
            </w:div>
            <w:div w:id="1157769093">
              <w:marLeft w:val="0"/>
              <w:marRight w:val="0"/>
              <w:marTop w:val="0"/>
              <w:marBottom w:val="0"/>
              <w:divBdr>
                <w:top w:val="none" w:sz="0" w:space="0" w:color="auto"/>
                <w:left w:val="none" w:sz="0" w:space="0" w:color="auto"/>
                <w:bottom w:val="none" w:sz="0" w:space="0" w:color="auto"/>
                <w:right w:val="none" w:sz="0" w:space="0" w:color="auto"/>
              </w:divBdr>
            </w:div>
            <w:div w:id="1277635009">
              <w:marLeft w:val="0"/>
              <w:marRight w:val="0"/>
              <w:marTop w:val="0"/>
              <w:marBottom w:val="0"/>
              <w:divBdr>
                <w:top w:val="none" w:sz="0" w:space="0" w:color="auto"/>
                <w:left w:val="none" w:sz="0" w:space="0" w:color="auto"/>
                <w:bottom w:val="none" w:sz="0" w:space="0" w:color="auto"/>
                <w:right w:val="none" w:sz="0" w:space="0" w:color="auto"/>
              </w:divBdr>
            </w:div>
            <w:div w:id="1380393513">
              <w:marLeft w:val="0"/>
              <w:marRight w:val="0"/>
              <w:marTop w:val="0"/>
              <w:marBottom w:val="0"/>
              <w:divBdr>
                <w:top w:val="none" w:sz="0" w:space="0" w:color="auto"/>
                <w:left w:val="none" w:sz="0" w:space="0" w:color="auto"/>
                <w:bottom w:val="none" w:sz="0" w:space="0" w:color="auto"/>
                <w:right w:val="none" w:sz="0" w:space="0" w:color="auto"/>
              </w:divBdr>
            </w:div>
            <w:div w:id="1431390122">
              <w:marLeft w:val="0"/>
              <w:marRight w:val="0"/>
              <w:marTop w:val="0"/>
              <w:marBottom w:val="0"/>
              <w:divBdr>
                <w:top w:val="none" w:sz="0" w:space="0" w:color="auto"/>
                <w:left w:val="none" w:sz="0" w:space="0" w:color="auto"/>
                <w:bottom w:val="none" w:sz="0" w:space="0" w:color="auto"/>
                <w:right w:val="none" w:sz="0" w:space="0" w:color="auto"/>
              </w:divBdr>
            </w:div>
            <w:div w:id="1828086532">
              <w:marLeft w:val="0"/>
              <w:marRight w:val="0"/>
              <w:marTop w:val="0"/>
              <w:marBottom w:val="0"/>
              <w:divBdr>
                <w:top w:val="none" w:sz="0" w:space="0" w:color="auto"/>
                <w:left w:val="none" w:sz="0" w:space="0" w:color="auto"/>
                <w:bottom w:val="none" w:sz="0" w:space="0" w:color="auto"/>
                <w:right w:val="none" w:sz="0" w:space="0" w:color="auto"/>
              </w:divBdr>
            </w:div>
            <w:div w:id="1954166623">
              <w:marLeft w:val="0"/>
              <w:marRight w:val="0"/>
              <w:marTop w:val="0"/>
              <w:marBottom w:val="0"/>
              <w:divBdr>
                <w:top w:val="none" w:sz="0" w:space="0" w:color="auto"/>
                <w:left w:val="none" w:sz="0" w:space="0" w:color="auto"/>
                <w:bottom w:val="none" w:sz="0" w:space="0" w:color="auto"/>
                <w:right w:val="none" w:sz="0" w:space="0" w:color="auto"/>
              </w:divBdr>
            </w:div>
            <w:div w:id="2009214311">
              <w:marLeft w:val="0"/>
              <w:marRight w:val="0"/>
              <w:marTop w:val="0"/>
              <w:marBottom w:val="0"/>
              <w:divBdr>
                <w:top w:val="none" w:sz="0" w:space="0" w:color="auto"/>
                <w:left w:val="none" w:sz="0" w:space="0" w:color="auto"/>
                <w:bottom w:val="none" w:sz="0" w:space="0" w:color="auto"/>
                <w:right w:val="none" w:sz="0" w:space="0" w:color="auto"/>
              </w:divBdr>
            </w:div>
            <w:div w:id="2066947489">
              <w:marLeft w:val="0"/>
              <w:marRight w:val="0"/>
              <w:marTop w:val="0"/>
              <w:marBottom w:val="0"/>
              <w:divBdr>
                <w:top w:val="none" w:sz="0" w:space="0" w:color="auto"/>
                <w:left w:val="none" w:sz="0" w:space="0" w:color="auto"/>
                <w:bottom w:val="none" w:sz="0" w:space="0" w:color="auto"/>
                <w:right w:val="none" w:sz="0" w:space="0" w:color="auto"/>
              </w:divBdr>
            </w:div>
            <w:div w:id="2103868917">
              <w:marLeft w:val="0"/>
              <w:marRight w:val="0"/>
              <w:marTop w:val="0"/>
              <w:marBottom w:val="0"/>
              <w:divBdr>
                <w:top w:val="none" w:sz="0" w:space="0" w:color="auto"/>
                <w:left w:val="none" w:sz="0" w:space="0" w:color="auto"/>
                <w:bottom w:val="none" w:sz="0" w:space="0" w:color="auto"/>
                <w:right w:val="none" w:sz="0" w:space="0" w:color="auto"/>
              </w:divBdr>
            </w:div>
          </w:divsChild>
        </w:div>
        <w:div w:id="1134786120">
          <w:marLeft w:val="0"/>
          <w:marRight w:val="0"/>
          <w:marTop w:val="0"/>
          <w:marBottom w:val="0"/>
          <w:divBdr>
            <w:top w:val="none" w:sz="0" w:space="0" w:color="auto"/>
            <w:left w:val="none" w:sz="0" w:space="0" w:color="auto"/>
            <w:bottom w:val="none" w:sz="0" w:space="0" w:color="auto"/>
            <w:right w:val="none" w:sz="0" w:space="0" w:color="auto"/>
          </w:divBdr>
        </w:div>
        <w:div w:id="1205945021">
          <w:marLeft w:val="0"/>
          <w:marRight w:val="0"/>
          <w:marTop w:val="0"/>
          <w:marBottom w:val="0"/>
          <w:divBdr>
            <w:top w:val="none" w:sz="0" w:space="0" w:color="auto"/>
            <w:left w:val="none" w:sz="0" w:space="0" w:color="auto"/>
            <w:bottom w:val="none" w:sz="0" w:space="0" w:color="auto"/>
            <w:right w:val="none" w:sz="0" w:space="0" w:color="auto"/>
          </w:divBdr>
        </w:div>
        <w:div w:id="1324428116">
          <w:marLeft w:val="0"/>
          <w:marRight w:val="0"/>
          <w:marTop w:val="0"/>
          <w:marBottom w:val="0"/>
          <w:divBdr>
            <w:top w:val="none" w:sz="0" w:space="0" w:color="auto"/>
            <w:left w:val="none" w:sz="0" w:space="0" w:color="auto"/>
            <w:bottom w:val="none" w:sz="0" w:space="0" w:color="auto"/>
            <w:right w:val="none" w:sz="0" w:space="0" w:color="auto"/>
          </w:divBdr>
        </w:div>
        <w:div w:id="1682274574">
          <w:marLeft w:val="0"/>
          <w:marRight w:val="0"/>
          <w:marTop w:val="0"/>
          <w:marBottom w:val="0"/>
          <w:divBdr>
            <w:top w:val="none" w:sz="0" w:space="0" w:color="auto"/>
            <w:left w:val="none" w:sz="0" w:space="0" w:color="auto"/>
            <w:bottom w:val="none" w:sz="0" w:space="0" w:color="auto"/>
            <w:right w:val="none" w:sz="0" w:space="0" w:color="auto"/>
          </w:divBdr>
        </w:div>
      </w:divsChild>
    </w:div>
    <w:div w:id="268783261">
      <w:bodyDiv w:val="1"/>
      <w:marLeft w:val="0"/>
      <w:marRight w:val="0"/>
      <w:marTop w:val="0"/>
      <w:marBottom w:val="0"/>
      <w:divBdr>
        <w:top w:val="none" w:sz="0" w:space="0" w:color="auto"/>
        <w:left w:val="none" w:sz="0" w:space="0" w:color="auto"/>
        <w:bottom w:val="none" w:sz="0" w:space="0" w:color="auto"/>
        <w:right w:val="none" w:sz="0" w:space="0" w:color="auto"/>
      </w:divBdr>
      <w:divsChild>
        <w:div w:id="1204905381">
          <w:marLeft w:val="0"/>
          <w:marRight w:val="0"/>
          <w:marTop w:val="0"/>
          <w:marBottom w:val="0"/>
          <w:divBdr>
            <w:top w:val="none" w:sz="0" w:space="0" w:color="auto"/>
            <w:left w:val="none" w:sz="0" w:space="0" w:color="auto"/>
            <w:bottom w:val="none" w:sz="0" w:space="0" w:color="auto"/>
            <w:right w:val="none" w:sz="0" w:space="0" w:color="auto"/>
          </w:divBdr>
        </w:div>
        <w:div w:id="1674607705">
          <w:marLeft w:val="0"/>
          <w:marRight w:val="0"/>
          <w:marTop w:val="0"/>
          <w:marBottom w:val="0"/>
          <w:divBdr>
            <w:top w:val="none" w:sz="0" w:space="0" w:color="auto"/>
            <w:left w:val="none" w:sz="0" w:space="0" w:color="auto"/>
            <w:bottom w:val="none" w:sz="0" w:space="0" w:color="auto"/>
            <w:right w:val="none" w:sz="0" w:space="0" w:color="auto"/>
          </w:divBdr>
          <w:divsChild>
            <w:div w:id="1193836382">
              <w:marLeft w:val="-75"/>
              <w:marRight w:val="0"/>
              <w:marTop w:val="30"/>
              <w:marBottom w:val="30"/>
              <w:divBdr>
                <w:top w:val="none" w:sz="0" w:space="0" w:color="auto"/>
                <w:left w:val="none" w:sz="0" w:space="0" w:color="auto"/>
                <w:bottom w:val="none" w:sz="0" w:space="0" w:color="auto"/>
                <w:right w:val="none" w:sz="0" w:space="0" w:color="auto"/>
              </w:divBdr>
              <w:divsChild>
                <w:div w:id="1520450">
                  <w:marLeft w:val="0"/>
                  <w:marRight w:val="0"/>
                  <w:marTop w:val="0"/>
                  <w:marBottom w:val="0"/>
                  <w:divBdr>
                    <w:top w:val="none" w:sz="0" w:space="0" w:color="auto"/>
                    <w:left w:val="none" w:sz="0" w:space="0" w:color="auto"/>
                    <w:bottom w:val="none" w:sz="0" w:space="0" w:color="auto"/>
                    <w:right w:val="none" w:sz="0" w:space="0" w:color="auto"/>
                  </w:divBdr>
                  <w:divsChild>
                    <w:div w:id="717775709">
                      <w:marLeft w:val="0"/>
                      <w:marRight w:val="0"/>
                      <w:marTop w:val="0"/>
                      <w:marBottom w:val="0"/>
                      <w:divBdr>
                        <w:top w:val="none" w:sz="0" w:space="0" w:color="auto"/>
                        <w:left w:val="none" w:sz="0" w:space="0" w:color="auto"/>
                        <w:bottom w:val="none" w:sz="0" w:space="0" w:color="auto"/>
                        <w:right w:val="none" w:sz="0" w:space="0" w:color="auto"/>
                      </w:divBdr>
                    </w:div>
                  </w:divsChild>
                </w:div>
                <w:div w:id="2168921">
                  <w:marLeft w:val="0"/>
                  <w:marRight w:val="0"/>
                  <w:marTop w:val="0"/>
                  <w:marBottom w:val="0"/>
                  <w:divBdr>
                    <w:top w:val="none" w:sz="0" w:space="0" w:color="auto"/>
                    <w:left w:val="none" w:sz="0" w:space="0" w:color="auto"/>
                    <w:bottom w:val="none" w:sz="0" w:space="0" w:color="auto"/>
                    <w:right w:val="none" w:sz="0" w:space="0" w:color="auto"/>
                  </w:divBdr>
                  <w:divsChild>
                    <w:div w:id="267155081">
                      <w:marLeft w:val="0"/>
                      <w:marRight w:val="0"/>
                      <w:marTop w:val="0"/>
                      <w:marBottom w:val="0"/>
                      <w:divBdr>
                        <w:top w:val="none" w:sz="0" w:space="0" w:color="auto"/>
                        <w:left w:val="none" w:sz="0" w:space="0" w:color="auto"/>
                        <w:bottom w:val="none" w:sz="0" w:space="0" w:color="auto"/>
                        <w:right w:val="none" w:sz="0" w:space="0" w:color="auto"/>
                      </w:divBdr>
                    </w:div>
                  </w:divsChild>
                </w:div>
                <w:div w:id="7558993">
                  <w:marLeft w:val="0"/>
                  <w:marRight w:val="0"/>
                  <w:marTop w:val="0"/>
                  <w:marBottom w:val="0"/>
                  <w:divBdr>
                    <w:top w:val="none" w:sz="0" w:space="0" w:color="auto"/>
                    <w:left w:val="none" w:sz="0" w:space="0" w:color="auto"/>
                    <w:bottom w:val="none" w:sz="0" w:space="0" w:color="auto"/>
                    <w:right w:val="none" w:sz="0" w:space="0" w:color="auto"/>
                  </w:divBdr>
                  <w:divsChild>
                    <w:div w:id="1870407936">
                      <w:marLeft w:val="0"/>
                      <w:marRight w:val="0"/>
                      <w:marTop w:val="0"/>
                      <w:marBottom w:val="0"/>
                      <w:divBdr>
                        <w:top w:val="none" w:sz="0" w:space="0" w:color="auto"/>
                        <w:left w:val="none" w:sz="0" w:space="0" w:color="auto"/>
                        <w:bottom w:val="none" w:sz="0" w:space="0" w:color="auto"/>
                        <w:right w:val="none" w:sz="0" w:space="0" w:color="auto"/>
                      </w:divBdr>
                    </w:div>
                  </w:divsChild>
                </w:div>
                <w:div w:id="9337197">
                  <w:marLeft w:val="0"/>
                  <w:marRight w:val="0"/>
                  <w:marTop w:val="0"/>
                  <w:marBottom w:val="0"/>
                  <w:divBdr>
                    <w:top w:val="none" w:sz="0" w:space="0" w:color="auto"/>
                    <w:left w:val="none" w:sz="0" w:space="0" w:color="auto"/>
                    <w:bottom w:val="none" w:sz="0" w:space="0" w:color="auto"/>
                    <w:right w:val="none" w:sz="0" w:space="0" w:color="auto"/>
                  </w:divBdr>
                  <w:divsChild>
                    <w:div w:id="308755900">
                      <w:marLeft w:val="0"/>
                      <w:marRight w:val="0"/>
                      <w:marTop w:val="0"/>
                      <w:marBottom w:val="0"/>
                      <w:divBdr>
                        <w:top w:val="none" w:sz="0" w:space="0" w:color="auto"/>
                        <w:left w:val="none" w:sz="0" w:space="0" w:color="auto"/>
                        <w:bottom w:val="none" w:sz="0" w:space="0" w:color="auto"/>
                        <w:right w:val="none" w:sz="0" w:space="0" w:color="auto"/>
                      </w:divBdr>
                    </w:div>
                  </w:divsChild>
                </w:div>
                <w:div w:id="10492719">
                  <w:marLeft w:val="0"/>
                  <w:marRight w:val="0"/>
                  <w:marTop w:val="0"/>
                  <w:marBottom w:val="0"/>
                  <w:divBdr>
                    <w:top w:val="none" w:sz="0" w:space="0" w:color="auto"/>
                    <w:left w:val="none" w:sz="0" w:space="0" w:color="auto"/>
                    <w:bottom w:val="none" w:sz="0" w:space="0" w:color="auto"/>
                    <w:right w:val="none" w:sz="0" w:space="0" w:color="auto"/>
                  </w:divBdr>
                  <w:divsChild>
                    <w:div w:id="1371296043">
                      <w:marLeft w:val="0"/>
                      <w:marRight w:val="0"/>
                      <w:marTop w:val="0"/>
                      <w:marBottom w:val="0"/>
                      <w:divBdr>
                        <w:top w:val="none" w:sz="0" w:space="0" w:color="auto"/>
                        <w:left w:val="none" w:sz="0" w:space="0" w:color="auto"/>
                        <w:bottom w:val="none" w:sz="0" w:space="0" w:color="auto"/>
                        <w:right w:val="none" w:sz="0" w:space="0" w:color="auto"/>
                      </w:divBdr>
                    </w:div>
                  </w:divsChild>
                </w:div>
                <w:div w:id="12074237">
                  <w:marLeft w:val="0"/>
                  <w:marRight w:val="0"/>
                  <w:marTop w:val="0"/>
                  <w:marBottom w:val="0"/>
                  <w:divBdr>
                    <w:top w:val="none" w:sz="0" w:space="0" w:color="auto"/>
                    <w:left w:val="none" w:sz="0" w:space="0" w:color="auto"/>
                    <w:bottom w:val="none" w:sz="0" w:space="0" w:color="auto"/>
                    <w:right w:val="none" w:sz="0" w:space="0" w:color="auto"/>
                  </w:divBdr>
                  <w:divsChild>
                    <w:div w:id="940839634">
                      <w:marLeft w:val="0"/>
                      <w:marRight w:val="0"/>
                      <w:marTop w:val="0"/>
                      <w:marBottom w:val="0"/>
                      <w:divBdr>
                        <w:top w:val="none" w:sz="0" w:space="0" w:color="auto"/>
                        <w:left w:val="none" w:sz="0" w:space="0" w:color="auto"/>
                        <w:bottom w:val="none" w:sz="0" w:space="0" w:color="auto"/>
                        <w:right w:val="none" w:sz="0" w:space="0" w:color="auto"/>
                      </w:divBdr>
                    </w:div>
                  </w:divsChild>
                </w:div>
                <w:div w:id="25255929">
                  <w:marLeft w:val="0"/>
                  <w:marRight w:val="0"/>
                  <w:marTop w:val="0"/>
                  <w:marBottom w:val="0"/>
                  <w:divBdr>
                    <w:top w:val="none" w:sz="0" w:space="0" w:color="auto"/>
                    <w:left w:val="none" w:sz="0" w:space="0" w:color="auto"/>
                    <w:bottom w:val="none" w:sz="0" w:space="0" w:color="auto"/>
                    <w:right w:val="none" w:sz="0" w:space="0" w:color="auto"/>
                  </w:divBdr>
                  <w:divsChild>
                    <w:div w:id="364912652">
                      <w:marLeft w:val="0"/>
                      <w:marRight w:val="0"/>
                      <w:marTop w:val="0"/>
                      <w:marBottom w:val="0"/>
                      <w:divBdr>
                        <w:top w:val="none" w:sz="0" w:space="0" w:color="auto"/>
                        <w:left w:val="none" w:sz="0" w:space="0" w:color="auto"/>
                        <w:bottom w:val="none" w:sz="0" w:space="0" w:color="auto"/>
                        <w:right w:val="none" w:sz="0" w:space="0" w:color="auto"/>
                      </w:divBdr>
                    </w:div>
                  </w:divsChild>
                </w:div>
                <w:div w:id="27801034">
                  <w:marLeft w:val="0"/>
                  <w:marRight w:val="0"/>
                  <w:marTop w:val="0"/>
                  <w:marBottom w:val="0"/>
                  <w:divBdr>
                    <w:top w:val="none" w:sz="0" w:space="0" w:color="auto"/>
                    <w:left w:val="none" w:sz="0" w:space="0" w:color="auto"/>
                    <w:bottom w:val="none" w:sz="0" w:space="0" w:color="auto"/>
                    <w:right w:val="none" w:sz="0" w:space="0" w:color="auto"/>
                  </w:divBdr>
                  <w:divsChild>
                    <w:div w:id="988217848">
                      <w:marLeft w:val="0"/>
                      <w:marRight w:val="0"/>
                      <w:marTop w:val="0"/>
                      <w:marBottom w:val="0"/>
                      <w:divBdr>
                        <w:top w:val="none" w:sz="0" w:space="0" w:color="auto"/>
                        <w:left w:val="none" w:sz="0" w:space="0" w:color="auto"/>
                        <w:bottom w:val="none" w:sz="0" w:space="0" w:color="auto"/>
                        <w:right w:val="none" w:sz="0" w:space="0" w:color="auto"/>
                      </w:divBdr>
                    </w:div>
                  </w:divsChild>
                </w:div>
                <w:div w:id="29961037">
                  <w:marLeft w:val="0"/>
                  <w:marRight w:val="0"/>
                  <w:marTop w:val="0"/>
                  <w:marBottom w:val="0"/>
                  <w:divBdr>
                    <w:top w:val="none" w:sz="0" w:space="0" w:color="auto"/>
                    <w:left w:val="none" w:sz="0" w:space="0" w:color="auto"/>
                    <w:bottom w:val="none" w:sz="0" w:space="0" w:color="auto"/>
                    <w:right w:val="none" w:sz="0" w:space="0" w:color="auto"/>
                  </w:divBdr>
                  <w:divsChild>
                    <w:div w:id="106631403">
                      <w:marLeft w:val="0"/>
                      <w:marRight w:val="0"/>
                      <w:marTop w:val="0"/>
                      <w:marBottom w:val="0"/>
                      <w:divBdr>
                        <w:top w:val="none" w:sz="0" w:space="0" w:color="auto"/>
                        <w:left w:val="none" w:sz="0" w:space="0" w:color="auto"/>
                        <w:bottom w:val="none" w:sz="0" w:space="0" w:color="auto"/>
                        <w:right w:val="none" w:sz="0" w:space="0" w:color="auto"/>
                      </w:divBdr>
                    </w:div>
                  </w:divsChild>
                </w:div>
                <w:div w:id="35929614">
                  <w:marLeft w:val="0"/>
                  <w:marRight w:val="0"/>
                  <w:marTop w:val="0"/>
                  <w:marBottom w:val="0"/>
                  <w:divBdr>
                    <w:top w:val="none" w:sz="0" w:space="0" w:color="auto"/>
                    <w:left w:val="none" w:sz="0" w:space="0" w:color="auto"/>
                    <w:bottom w:val="none" w:sz="0" w:space="0" w:color="auto"/>
                    <w:right w:val="none" w:sz="0" w:space="0" w:color="auto"/>
                  </w:divBdr>
                  <w:divsChild>
                    <w:div w:id="1804075318">
                      <w:marLeft w:val="0"/>
                      <w:marRight w:val="0"/>
                      <w:marTop w:val="0"/>
                      <w:marBottom w:val="0"/>
                      <w:divBdr>
                        <w:top w:val="none" w:sz="0" w:space="0" w:color="auto"/>
                        <w:left w:val="none" w:sz="0" w:space="0" w:color="auto"/>
                        <w:bottom w:val="none" w:sz="0" w:space="0" w:color="auto"/>
                        <w:right w:val="none" w:sz="0" w:space="0" w:color="auto"/>
                      </w:divBdr>
                    </w:div>
                  </w:divsChild>
                </w:div>
                <w:div w:id="36511996">
                  <w:marLeft w:val="0"/>
                  <w:marRight w:val="0"/>
                  <w:marTop w:val="0"/>
                  <w:marBottom w:val="0"/>
                  <w:divBdr>
                    <w:top w:val="none" w:sz="0" w:space="0" w:color="auto"/>
                    <w:left w:val="none" w:sz="0" w:space="0" w:color="auto"/>
                    <w:bottom w:val="none" w:sz="0" w:space="0" w:color="auto"/>
                    <w:right w:val="none" w:sz="0" w:space="0" w:color="auto"/>
                  </w:divBdr>
                  <w:divsChild>
                    <w:div w:id="2082287823">
                      <w:marLeft w:val="0"/>
                      <w:marRight w:val="0"/>
                      <w:marTop w:val="0"/>
                      <w:marBottom w:val="0"/>
                      <w:divBdr>
                        <w:top w:val="none" w:sz="0" w:space="0" w:color="auto"/>
                        <w:left w:val="none" w:sz="0" w:space="0" w:color="auto"/>
                        <w:bottom w:val="none" w:sz="0" w:space="0" w:color="auto"/>
                        <w:right w:val="none" w:sz="0" w:space="0" w:color="auto"/>
                      </w:divBdr>
                    </w:div>
                  </w:divsChild>
                </w:div>
                <w:div w:id="37903656">
                  <w:marLeft w:val="0"/>
                  <w:marRight w:val="0"/>
                  <w:marTop w:val="0"/>
                  <w:marBottom w:val="0"/>
                  <w:divBdr>
                    <w:top w:val="none" w:sz="0" w:space="0" w:color="auto"/>
                    <w:left w:val="none" w:sz="0" w:space="0" w:color="auto"/>
                    <w:bottom w:val="none" w:sz="0" w:space="0" w:color="auto"/>
                    <w:right w:val="none" w:sz="0" w:space="0" w:color="auto"/>
                  </w:divBdr>
                  <w:divsChild>
                    <w:div w:id="681711174">
                      <w:marLeft w:val="0"/>
                      <w:marRight w:val="0"/>
                      <w:marTop w:val="0"/>
                      <w:marBottom w:val="0"/>
                      <w:divBdr>
                        <w:top w:val="none" w:sz="0" w:space="0" w:color="auto"/>
                        <w:left w:val="none" w:sz="0" w:space="0" w:color="auto"/>
                        <w:bottom w:val="none" w:sz="0" w:space="0" w:color="auto"/>
                        <w:right w:val="none" w:sz="0" w:space="0" w:color="auto"/>
                      </w:divBdr>
                    </w:div>
                  </w:divsChild>
                </w:div>
                <w:div w:id="44568598">
                  <w:marLeft w:val="0"/>
                  <w:marRight w:val="0"/>
                  <w:marTop w:val="0"/>
                  <w:marBottom w:val="0"/>
                  <w:divBdr>
                    <w:top w:val="none" w:sz="0" w:space="0" w:color="auto"/>
                    <w:left w:val="none" w:sz="0" w:space="0" w:color="auto"/>
                    <w:bottom w:val="none" w:sz="0" w:space="0" w:color="auto"/>
                    <w:right w:val="none" w:sz="0" w:space="0" w:color="auto"/>
                  </w:divBdr>
                  <w:divsChild>
                    <w:div w:id="627056679">
                      <w:marLeft w:val="0"/>
                      <w:marRight w:val="0"/>
                      <w:marTop w:val="0"/>
                      <w:marBottom w:val="0"/>
                      <w:divBdr>
                        <w:top w:val="none" w:sz="0" w:space="0" w:color="auto"/>
                        <w:left w:val="none" w:sz="0" w:space="0" w:color="auto"/>
                        <w:bottom w:val="none" w:sz="0" w:space="0" w:color="auto"/>
                        <w:right w:val="none" w:sz="0" w:space="0" w:color="auto"/>
                      </w:divBdr>
                    </w:div>
                  </w:divsChild>
                </w:div>
                <w:div w:id="69623003">
                  <w:marLeft w:val="0"/>
                  <w:marRight w:val="0"/>
                  <w:marTop w:val="0"/>
                  <w:marBottom w:val="0"/>
                  <w:divBdr>
                    <w:top w:val="none" w:sz="0" w:space="0" w:color="auto"/>
                    <w:left w:val="none" w:sz="0" w:space="0" w:color="auto"/>
                    <w:bottom w:val="none" w:sz="0" w:space="0" w:color="auto"/>
                    <w:right w:val="none" w:sz="0" w:space="0" w:color="auto"/>
                  </w:divBdr>
                  <w:divsChild>
                    <w:div w:id="472675039">
                      <w:marLeft w:val="0"/>
                      <w:marRight w:val="0"/>
                      <w:marTop w:val="0"/>
                      <w:marBottom w:val="0"/>
                      <w:divBdr>
                        <w:top w:val="none" w:sz="0" w:space="0" w:color="auto"/>
                        <w:left w:val="none" w:sz="0" w:space="0" w:color="auto"/>
                        <w:bottom w:val="none" w:sz="0" w:space="0" w:color="auto"/>
                        <w:right w:val="none" w:sz="0" w:space="0" w:color="auto"/>
                      </w:divBdr>
                    </w:div>
                  </w:divsChild>
                </w:div>
                <w:div w:id="85614025">
                  <w:marLeft w:val="0"/>
                  <w:marRight w:val="0"/>
                  <w:marTop w:val="0"/>
                  <w:marBottom w:val="0"/>
                  <w:divBdr>
                    <w:top w:val="none" w:sz="0" w:space="0" w:color="auto"/>
                    <w:left w:val="none" w:sz="0" w:space="0" w:color="auto"/>
                    <w:bottom w:val="none" w:sz="0" w:space="0" w:color="auto"/>
                    <w:right w:val="none" w:sz="0" w:space="0" w:color="auto"/>
                  </w:divBdr>
                  <w:divsChild>
                    <w:div w:id="1454904004">
                      <w:marLeft w:val="0"/>
                      <w:marRight w:val="0"/>
                      <w:marTop w:val="0"/>
                      <w:marBottom w:val="0"/>
                      <w:divBdr>
                        <w:top w:val="none" w:sz="0" w:space="0" w:color="auto"/>
                        <w:left w:val="none" w:sz="0" w:space="0" w:color="auto"/>
                        <w:bottom w:val="none" w:sz="0" w:space="0" w:color="auto"/>
                        <w:right w:val="none" w:sz="0" w:space="0" w:color="auto"/>
                      </w:divBdr>
                    </w:div>
                  </w:divsChild>
                </w:div>
                <w:div w:id="89326313">
                  <w:marLeft w:val="0"/>
                  <w:marRight w:val="0"/>
                  <w:marTop w:val="0"/>
                  <w:marBottom w:val="0"/>
                  <w:divBdr>
                    <w:top w:val="none" w:sz="0" w:space="0" w:color="auto"/>
                    <w:left w:val="none" w:sz="0" w:space="0" w:color="auto"/>
                    <w:bottom w:val="none" w:sz="0" w:space="0" w:color="auto"/>
                    <w:right w:val="none" w:sz="0" w:space="0" w:color="auto"/>
                  </w:divBdr>
                  <w:divsChild>
                    <w:div w:id="2093970050">
                      <w:marLeft w:val="0"/>
                      <w:marRight w:val="0"/>
                      <w:marTop w:val="0"/>
                      <w:marBottom w:val="0"/>
                      <w:divBdr>
                        <w:top w:val="none" w:sz="0" w:space="0" w:color="auto"/>
                        <w:left w:val="none" w:sz="0" w:space="0" w:color="auto"/>
                        <w:bottom w:val="none" w:sz="0" w:space="0" w:color="auto"/>
                        <w:right w:val="none" w:sz="0" w:space="0" w:color="auto"/>
                      </w:divBdr>
                    </w:div>
                  </w:divsChild>
                </w:div>
                <w:div w:id="89351795">
                  <w:marLeft w:val="0"/>
                  <w:marRight w:val="0"/>
                  <w:marTop w:val="0"/>
                  <w:marBottom w:val="0"/>
                  <w:divBdr>
                    <w:top w:val="none" w:sz="0" w:space="0" w:color="auto"/>
                    <w:left w:val="none" w:sz="0" w:space="0" w:color="auto"/>
                    <w:bottom w:val="none" w:sz="0" w:space="0" w:color="auto"/>
                    <w:right w:val="none" w:sz="0" w:space="0" w:color="auto"/>
                  </w:divBdr>
                  <w:divsChild>
                    <w:div w:id="943004127">
                      <w:marLeft w:val="0"/>
                      <w:marRight w:val="0"/>
                      <w:marTop w:val="0"/>
                      <w:marBottom w:val="0"/>
                      <w:divBdr>
                        <w:top w:val="none" w:sz="0" w:space="0" w:color="auto"/>
                        <w:left w:val="none" w:sz="0" w:space="0" w:color="auto"/>
                        <w:bottom w:val="none" w:sz="0" w:space="0" w:color="auto"/>
                        <w:right w:val="none" w:sz="0" w:space="0" w:color="auto"/>
                      </w:divBdr>
                    </w:div>
                  </w:divsChild>
                </w:div>
                <w:div w:id="104663353">
                  <w:marLeft w:val="0"/>
                  <w:marRight w:val="0"/>
                  <w:marTop w:val="0"/>
                  <w:marBottom w:val="0"/>
                  <w:divBdr>
                    <w:top w:val="none" w:sz="0" w:space="0" w:color="auto"/>
                    <w:left w:val="none" w:sz="0" w:space="0" w:color="auto"/>
                    <w:bottom w:val="none" w:sz="0" w:space="0" w:color="auto"/>
                    <w:right w:val="none" w:sz="0" w:space="0" w:color="auto"/>
                  </w:divBdr>
                  <w:divsChild>
                    <w:div w:id="790517860">
                      <w:marLeft w:val="0"/>
                      <w:marRight w:val="0"/>
                      <w:marTop w:val="0"/>
                      <w:marBottom w:val="0"/>
                      <w:divBdr>
                        <w:top w:val="none" w:sz="0" w:space="0" w:color="auto"/>
                        <w:left w:val="none" w:sz="0" w:space="0" w:color="auto"/>
                        <w:bottom w:val="none" w:sz="0" w:space="0" w:color="auto"/>
                        <w:right w:val="none" w:sz="0" w:space="0" w:color="auto"/>
                      </w:divBdr>
                    </w:div>
                  </w:divsChild>
                </w:div>
                <w:div w:id="135803075">
                  <w:marLeft w:val="0"/>
                  <w:marRight w:val="0"/>
                  <w:marTop w:val="0"/>
                  <w:marBottom w:val="0"/>
                  <w:divBdr>
                    <w:top w:val="none" w:sz="0" w:space="0" w:color="auto"/>
                    <w:left w:val="none" w:sz="0" w:space="0" w:color="auto"/>
                    <w:bottom w:val="none" w:sz="0" w:space="0" w:color="auto"/>
                    <w:right w:val="none" w:sz="0" w:space="0" w:color="auto"/>
                  </w:divBdr>
                  <w:divsChild>
                    <w:div w:id="1952514151">
                      <w:marLeft w:val="0"/>
                      <w:marRight w:val="0"/>
                      <w:marTop w:val="0"/>
                      <w:marBottom w:val="0"/>
                      <w:divBdr>
                        <w:top w:val="none" w:sz="0" w:space="0" w:color="auto"/>
                        <w:left w:val="none" w:sz="0" w:space="0" w:color="auto"/>
                        <w:bottom w:val="none" w:sz="0" w:space="0" w:color="auto"/>
                        <w:right w:val="none" w:sz="0" w:space="0" w:color="auto"/>
                      </w:divBdr>
                    </w:div>
                  </w:divsChild>
                </w:div>
                <w:div w:id="136848560">
                  <w:marLeft w:val="0"/>
                  <w:marRight w:val="0"/>
                  <w:marTop w:val="0"/>
                  <w:marBottom w:val="0"/>
                  <w:divBdr>
                    <w:top w:val="none" w:sz="0" w:space="0" w:color="auto"/>
                    <w:left w:val="none" w:sz="0" w:space="0" w:color="auto"/>
                    <w:bottom w:val="none" w:sz="0" w:space="0" w:color="auto"/>
                    <w:right w:val="none" w:sz="0" w:space="0" w:color="auto"/>
                  </w:divBdr>
                  <w:divsChild>
                    <w:div w:id="509411842">
                      <w:marLeft w:val="0"/>
                      <w:marRight w:val="0"/>
                      <w:marTop w:val="0"/>
                      <w:marBottom w:val="0"/>
                      <w:divBdr>
                        <w:top w:val="none" w:sz="0" w:space="0" w:color="auto"/>
                        <w:left w:val="none" w:sz="0" w:space="0" w:color="auto"/>
                        <w:bottom w:val="none" w:sz="0" w:space="0" w:color="auto"/>
                        <w:right w:val="none" w:sz="0" w:space="0" w:color="auto"/>
                      </w:divBdr>
                    </w:div>
                  </w:divsChild>
                </w:div>
                <w:div w:id="138690434">
                  <w:marLeft w:val="0"/>
                  <w:marRight w:val="0"/>
                  <w:marTop w:val="0"/>
                  <w:marBottom w:val="0"/>
                  <w:divBdr>
                    <w:top w:val="none" w:sz="0" w:space="0" w:color="auto"/>
                    <w:left w:val="none" w:sz="0" w:space="0" w:color="auto"/>
                    <w:bottom w:val="none" w:sz="0" w:space="0" w:color="auto"/>
                    <w:right w:val="none" w:sz="0" w:space="0" w:color="auto"/>
                  </w:divBdr>
                  <w:divsChild>
                    <w:div w:id="1919748150">
                      <w:marLeft w:val="0"/>
                      <w:marRight w:val="0"/>
                      <w:marTop w:val="0"/>
                      <w:marBottom w:val="0"/>
                      <w:divBdr>
                        <w:top w:val="none" w:sz="0" w:space="0" w:color="auto"/>
                        <w:left w:val="none" w:sz="0" w:space="0" w:color="auto"/>
                        <w:bottom w:val="none" w:sz="0" w:space="0" w:color="auto"/>
                        <w:right w:val="none" w:sz="0" w:space="0" w:color="auto"/>
                      </w:divBdr>
                    </w:div>
                  </w:divsChild>
                </w:div>
                <w:div w:id="148055280">
                  <w:marLeft w:val="0"/>
                  <w:marRight w:val="0"/>
                  <w:marTop w:val="0"/>
                  <w:marBottom w:val="0"/>
                  <w:divBdr>
                    <w:top w:val="none" w:sz="0" w:space="0" w:color="auto"/>
                    <w:left w:val="none" w:sz="0" w:space="0" w:color="auto"/>
                    <w:bottom w:val="none" w:sz="0" w:space="0" w:color="auto"/>
                    <w:right w:val="none" w:sz="0" w:space="0" w:color="auto"/>
                  </w:divBdr>
                  <w:divsChild>
                    <w:div w:id="1293512098">
                      <w:marLeft w:val="0"/>
                      <w:marRight w:val="0"/>
                      <w:marTop w:val="0"/>
                      <w:marBottom w:val="0"/>
                      <w:divBdr>
                        <w:top w:val="none" w:sz="0" w:space="0" w:color="auto"/>
                        <w:left w:val="none" w:sz="0" w:space="0" w:color="auto"/>
                        <w:bottom w:val="none" w:sz="0" w:space="0" w:color="auto"/>
                        <w:right w:val="none" w:sz="0" w:space="0" w:color="auto"/>
                      </w:divBdr>
                    </w:div>
                  </w:divsChild>
                </w:div>
                <w:div w:id="149715943">
                  <w:marLeft w:val="0"/>
                  <w:marRight w:val="0"/>
                  <w:marTop w:val="0"/>
                  <w:marBottom w:val="0"/>
                  <w:divBdr>
                    <w:top w:val="none" w:sz="0" w:space="0" w:color="auto"/>
                    <w:left w:val="none" w:sz="0" w:space="0" w:color="auto"/>
                    <w:bottom w:val="none" w:sz="0" w:space="0" w:color="auto"/>
                    <w:right w:val="none" w:sz="0" w:space="0" w:color="auto"/>
                  </w:divBdr>
                  <w:divsChild>
                    <w:div w:id="1022322902">
                      <w:marLeft w:val="0"/>
                      <w:marRight w:val="0"/>
                      <w:marTop w:val="0"/>
                      <w:marBottom w:val="0"/>
                      <w:divBdr>
                        <w:top w:val="none" w:sz="0" w:space="0" w:color="auto"/>
                        <w:left w:val="none" w:sz="0" w:space="0" w:color="auto"/>
                        <w:bottom w:val="none" w:sz="0" w:space="0" w:color="auto"/>
                        <w:right w:val="none" w:sz="0" w:space="0" w:color="auto"/>
                      </w:divBdr>
                    </w:div>
                  </w:divsChild>
                </w:div>
                <w:div w:id="151020754">
                  <w:marLeft w:val="0"/>
                  <w:marRight w:val="0"/>
                  <w:marTop w:val="0"/>
                  <w:marBottom w:val="0"/>
                  <w:divBdr>
                    <w:top w:val="none" w:sz="0" w:space="0" w:color="auto"/>
                    <w:left w:val="none" w:sz="0" w:space="0" w:color="auto"/>
                    <w:bottom w:val="none" w:sz="0" w:space="0" w:color="auto"/>
                    <w:right w:val="none" w:sz="0" w:space="0" w:color="auto"/>
                  </w:divBdr>
                  <w:divsChild>
                    <w:div w:id="1147092156">
                      <w:marLeft w:val="0"/>
                      <w:marRight w:val="0"/>
                      <w:marTop w:val="0"/>
                      <w:marBottom w:val="0"/>
                      <w:divBdr>
                        <w:top w:val="none" w:sz="0" w:space="0" w:color="auto"/>
                        <w:left w:val="none" w:sz="0" w:space="0" w:color="auto"/>
                        <w:bottom w:val="none" w:sz="0" w:space="0" w:color="auto"/>
                        <w:right w:val="none" w:sz="0" w:space="0" w:color="auto"/>
                      </w:divBdr>
                    </w:div>
                  </w:divsChild>
                </w:div>
                <w:div w:id="164976578">
                  <w:marLeft w:val="0"/>
                  <w:marRight w:val="0"/>
                  <w:marTop w:val="0"/>
                  <w:marBottom w:val="0"/>
                  <w:divBdr>
                    <w:top w:val="none" w:sz="0" w:space="0" w:color="auto"/>
                    <w:left w:val="none" w:sz="0" w:space="0" w:color="auto"/>
                    <w:bottom w:val="none" w:sz="0" w:space="0" w:color="auto"/>
                    <w:right w:val="none" w:sz="0" w:space="0" w:color="auto"/>
                  </w:divBdr>
                  <w:divsChild>
                    <w:div w:id="1407073194">
                      <w:marLeft w:val="0"/>
                      <w:marRight w:val="0"/>
                      <w:marTop w:val="0"/>
                      <w:marBottom w:val="0"/>
                      <w:divBdr>
                        <w:top w:val="none" w:sz="0" w:space="0" w:color="auto"/>
                        <w:left w:val="none" w:sz="0" w:space="0" w:color="auto"/>
                        <w:bottom w:val="none" w:sz="0" w:space="0" w:color="auto"/>
                        <w:right w:val="none" w:sz="0" w:space="0" w:color="auto"/>
                      </w:divBdr>
                    </w:div>
                  </w:divsChild>
                </w:div>
                <w:div w:id="165824896">
                  <w:marLeft w:val="0"/>
                  <w:marRight w:val="0"/>
                  <w:marTop w:val="0"/>
                  <w:marBottom w:val="0"/>
                  <w:divBdr>
                    <w:top w:val="none" w:sz="0" w:space="0" w:color="auto"/>
                    <w:left w:val="none" w:sz="0" w:space="0" w:color="auto"/>
                    <w:bottom w:val="none" w:sz="0" w:space="0" w:color="auto"/>
                    <w:right w:val="none" w:sz="0" w:space="0" w:color="auto"/>
                  </w:divBdr>
                  <w:divsChild>
                    <w:div w:id="293029519">
                      <w:marLeft w:val="0"/>
                      <w:marRight w:val="0"/>
                      <w:marTop w:val="0"/>
                      <w:marBottom w:val="0"/>
                      <w:divBdr>
                        <w:top w:val="none" w:sz="0" w:space="0" w:color="auto"/>
                        <w:left w:val="none" w:sz="0" w:space="0" w:color="auto"/>
                        <w:bottom w:val="none" w:sz="0" w:space="0" w:color="auto"/>
                        <w:right w:val="none" w:sz="0" w:space="0" w:color="auto"/>
                      </w:divBdr>
                    </w:div>
                  </w:divsChild>
                </w:div>
                <w:div w:id="171650961">
                  <w:marLeft w:val="0"/>
                  <w:marRight w:val="0"/>
                  <w:marTop w:val="0"/>
                  <w:marBottom w:val="0"/>
                  <w:divBdr>
                    <w:top w:val="none" w:sz="0" w:space="0" w:color="auto"/>
                    <w:left w:val="none" w:sz="0" w:space="0" w:color="auto"/>
                    <w:bottom w:val="none" w:sz="0" w:space="0" w:color="auto"/>
                    <w:right w:val="none" w:sz="0" w:space="0" w:color="auto"/>
                  </w:divBdr>
                  <w:divsChild>
                    <w:div w:id="1550335254">
                      <w:marLeft w:val="0"/>
                      <w:marRight w:val="0"/>
                      <w:marTop w:val="0"/>
                      <w:marBottom w:val="0"/>
                      <w:divBdr>
                        <w:top w:val="none" w:sz="0" w:space="0" w:color="auto"/>
                        <w:left w:val="none" w:sz="0" w:space="0" w:color="auto"/>
                        <w:bottom w:val="none" w:sz="0" w:space="0" w:color="auto"/>
                        <w:right w:val="none" w:sz="0" w:space="0" w:color="auto"/>
                      </w:divBdr>
                    </w:div>
                  </w:divsChild>
                </w:div>
                <w:div w:id="173690712">
                  <w:marLeft w:val="0"/>
                  <w:marRight w:val="0"/>
                  <w:marTop w:val="0"/>
                  <w:marBottom w:val="0"/>
                  <w:divBdr>
                    <w:top w:val="none" w:sz="0" w:space="0" w:color="auto"/>
                    <w:left w:val="none" w:sz="0" w:space="0" w:color="auto"/>
                    <w:bottom w:val="none" w:sz="0" w:space="0" w:color="auto"/>
                    <w:right w:val="none" w:sz="0" w:space="0" w:color="auto"/>
                  </w:divBdr>
                  <w:divsChild>
                    <w:div w:id="268270841">
                      <w:marLeft w:val="0"/>
                      <w:marRight w:val="0"/>
                      <w:marTop w:val="0"/>
                      <w:marBottom w:val="0"/>
                      <w:divBdr>
                        <w:top w:val="none" w:sz="0" w:space="0" w:color="auto"/>
                        <w:left w:val="none" w:sz="0" w:space="0" w:color="auto"/>
                        <w:bottom w:val="none" w:sz="0" w:space="0" w:color="auto"/>
                        <w:right w:val="none" w:sz="0" w:space="0" w:color="auto"/>
                      </w:divBdr>
                    </w:div>
                  </w:divsChild>
                </w:div>
                <w:div w:id="184251283">
                  <w:marLeft w:val="0"/>
                  <w:marRight w:val="0"/>
                  <w:marTop w:val="0"/>
                  <w:marBottom w:val="0"/>
                  <w:divBdr>
                    <w:top w:val="none" w:sz="0" w:space="0" w:color="auto"/>
                    <w:left w:val="none" w:sz="0" w:space="0" w:color="auto"/>
                    <w:bottom w:val="none" w:sz="0" w:space="0" w:color="auto"/>
                    <w:right w:val="none" w:sz="0" w:space="0" w:color="auto"/>
                  </w:divBdr>
                  <w:divsChild>
                    <w:div w:id="292444877">
                      <w:marLeft w:val="0"/>
                      <w:marRight w:val="0"/>
                      <w:marTop w:val="0"/>
                      <w:marBottom w:val="0"/>
                      <w:divBdr>
                        <w:top w:val="none" w:sz="0" w:space="0" w:color="auto"/>
                        <w:left w:val="none" w:sz="0" w:space="0" w:color="auto"/>
                        <w:bottom w:val="none" w:sz="0" w:space="0" w:color="auto"/>
                        <w:right w:val="none" w:sz="0" w:space="0" w:color="auto"/>
                      </w:divBdr>
                    </w:div>
                  </w:divsChild>
                </w:div>
                <w:div w:id="189951827">
                  <w:marLeft w:val="0"/>
                  <w:marRight w:val="0"/>
                  <w:marTop w:val="0"/>
                  <w:marBottom w:val="0"/>
                  <w:divBdr>
                    <w:top w:val="none" w:sz="0" w:space="0" w:color="auto"/>
                    <w:left w:val="none" w:sz="0" w:space="0" w:color="auto"/>
                    <w:bottom w:val="none" w:sz="0" w:space="0" w:color="auto"/>
                    <w:right w:val="none" w:sz="0" w:space="0" w:color="auto"/>
                  </w:divBdr>
                  <w:divsChild>
                    <w:div w:id="928077770">
                      <w:marLeft w:val="0"/>
                      <w:marRight w:val="0"/>
                      <w:marTop w:val="0"/>
                      <w:marBottom w:val="0"/>
                      <w:divBdr>
                        <w:top w:val="none" w:sz="0" w:space="0" w:color="auto"/>
                        <w:left w:val="none" w:sz="0" w:space="0" w:color="auto"/>
                        <w:bottom w:val="none" w:sz="0" w:space="0" w:color="auto"/>
                        <w:right w:val="none" w:sz="0" w:space="0" w:color="auto"/>
                      </w:divBdr>
                    </w:div>
                  </w:divsChild>
                </w:div>
                <w:div w:id="192043164">
                  <w:marLeft w:val="0"/>
                  <w:marRight w:val="0"/>
                  <w:marTop w:val="0"/>
                  <w:marBottom w:val="0"/>
                  <w:divBdr>
                    <w:top w:val="none" w:sz="0" w:space="0" w:color="auto"/>
                    <w:left w:val="none" w:sz="0" w:space="0" w:color="auto"/>
                    <w:bottom w:val="none" w:sz="0" w:space="0" w:color="auto"/>
                    <w:right w:val="none" w:sz="0" w:space="0" w:color="auto"/>
                  </w:divBdr>
                  <w:divsChild>
                    <w:div w:id="592518977">
                      <w:marLeft w:val="0"/>
                      <w:marRight w:val="0"/>
                      <w:marTop w:val="0"/>
                      <w:marBottom w:val="0"/>
                      <w:divBdr>
                        <w:top w:val="none" w:sz="0" w:space="0" w:color="auto"/>
                        <w:left w:val="none" w:sz="0" w:space="0" w:color="auto"/>
                        <w:bottom w:val="none" w:sz="0" w:space="0" w:color="auto"/>
                        <w:right w:val="none" w:sz="0" w:space="0" w:color="auto"/>
                      </w:divBdr>
                    </w:div>
                  </w:divsChild>
                </w:div>
                <w:div w:id="198510846">
                  <w:marLeft w:val="0"/>
                  <w:marRight w:val="0"/>
                  <w:marTop w:val="0"/>
                  <w:marBottom w:val="0"/>
                  <w:divBdr>
                    <w:top w:val="none" w:sz="0" w:space="0" w:color="auto"/>
                    <w:left w:val="none" w:sz="0" w:space="0" w:color="auto"/>
                    <w:bottom w:val="none" w:sz="0" w:space="0" w:color="auto"/>
                    <w:right w:val="none" w:sz="0" w:space="0" w:color="auto"/>
                  </w:divBdr>
                  <w:divsChild>
                    <w:div w:id="1473979702">
                      <w:marLeft w:val="0"/>
                      <w:marRight w:val="0"/>
                      <w:marTop w:val="0"/>
                      <w:marBottom w:val="0"/>
                      <w:divBdr>
                        <w:top w:val="none" w:sz="0" w:space="0" w:color="auto"/>
                        <w:left w:val="none" w:sz="0" w:space="0" w:color="auto"/>
                        <w:bottom w:val="none" w:sz="0" w:space="0" w:color="auto"/>
                        <w:right w:val="none" w:sz="0" w:space="0" w:color="auto"/>
                      </w:divBdr>
                    </w:div>
                  </w:divsChild>
                </w:div>
                <w:div w:id="201094362">
                  <w:marLeft w:val="0"/>
                  <w:marRight w:val="0"/>
                  <w:marTop w:val="0"/>
                  <w:marBottom w:val="0"/>
                  <w:divBdr>
                    <w:top w:val="none" w:sz="0" w:space="0" w:color="auto"/>
                    <w:left w:val="none" w:sz="0" w:space="0" w:color="auto"/>
                    <w:bottom w:val="none" w:sz="0" w:space="0" w:color="auto"/>
                    <w:right w:val="none" w:sz="0" w:space="0" w:color="auto"/>
                  </w:divBdr>
                  <w:divsChild>
                    <w:div w:id="409623652">
                      <w:marLeft w:val="0"/>
                      <w:marRight w:val="0"/>
                      <w:marTop w:val="0"/>
                      <w:marBottom w:val="0"/>
                      <w:divBdr>
                        <w:top w:val="none" w:sz="0" w:space="0" w:color="auto"/>
                        <w:left w:val="none" w:sz="0" w:space="0" w:color="auto"/>
                        <w:bottom w:val="none" w:sz="0" w:space="0" w:color="auto"/>
                        <w:right w:val="none" w:sz="0" w:space="0" w:color="auto"/>
                      </w:divBdr>
                    </w:div>
                  </w:divsChild>
                </w:div>
                <w:div w:id="224414344">
                  <w:marLeft w:val="0"/>
                  <w:marRight w:val="0"/>
                  <w:marTop w:val="0"/>
                  <w:marBottom w:val="0"/>
                  <w:divBdr>
                    <w:top w:val="none" w:sz="0" w:space="0" w:color="auto"/>
                    <w:left w:val="none" w:sz="0" w:space="0" w:color="auto"/>
                    <w:bottom w:val="none" w:sz="0" w:space="0" w:color="auto"/>
                    <w:right w:val="none" w:sz="0" w:space="0" w:color="auto"/>
                  </w:divBdr>
                  <w:divsChild>
                    <w:div w:id="55907310">
                      <w:marLeft w:val="0"/>
                      <w:marRight w:val="0"/>
                      <w:marTop w:val="0"/>
                      <w:marBottom w:val="0"/>
                      <w:divBdr>
                        <w:top w:val="none" w:sz="0" w:space="0" w:color="auto"/>
                        <w:left w:val="none" w:sz="0" w:space="0" w:color="auto"/>
                        <w:bottom w:val="none" w:sz="0" w:space="0" w:color="auto"/>
                        <w:right w:val="none" w:sz="0" w:space="0" w:color="auto"/>
                      </w:divBdr>
                    </w:div>
                  </w:divsChild>
                </w:div>
                <w:div w:id="224724876">
                  <w:marLeft w:val="0"/>
                  <w:marRight w:val="0"/>
                  <w:marTop w:val="0"/>
                  <w:marBottom w:val="0"/>
                  <w:divBdr>
                    <w:top w:val="none" w:sz="0" w:space="0" w:color="auto"/>
                    <w:left w:val="none" w:sz="0" w:space="0" w:color="auto"/>
                    <w:bottom w:val="none" w:sz="0" w:space="0" w:color="auto"/>
                    <w:right w:val="none" w:sz="0" w:space="0" w:color="auto"/>
                  </w:divBdr>
                  <w:divsChild>
                    <w:div w:id="1968117935">
                      <w:marLeft w:val="0"/>
                      <w:marRight w:val="0"/>
                      <w:marTop w:val="0"/>
                      <w:marBottom w:val="0"/>
                      <w:divBdr>
                        <w:top w:val="none" w:sz="0" w:space="0" w:color="auto"/>
                        <w:left w:val="none" w:sz="0" w:space="0" w:color="auto"/>
                        <w:bottom w:val="none" w:sz="0" w:space="0" w:color="auto"/>
                        <w:right w:val="none" w:sz="0" w:space="0" w:color="auto"/>
                      </w:divBdr>
                    </w:div>
                  </w:divsChild>
                </w:div>
                <w:div w:id="237206481">
                  <w:marLeft w:val="0"/>
                  <w:marRight w:val="0"/>
                  <w:marTop w:val="0"/>
                  <w:marBottom w:val="0"/>
                  <w:divBdr>
                    <w:top w:val="none" w:sz="0" w:space="0" w:color="auto"/>
                    <w:left w:val="none" w:sz="0" w:space="0" w:color="auto"/>
                    <w:bottom w:val="none" w:sz="0" w:space="0" w:color="auto"/>
                    <w:right w:val="none" w:sz="0" w:space="0" w:color="auto"/>
                  </w:divBdr>
                  <w:divsChild>
                    <w:div w:id="941915789">
                      <w:marLeft w:val="0"/>
                      <w:marRight w:val="0"/>
                      <w:marTop w:val="0"/>
                      <w:marBottom w:val="0"/>
                      <w:divBdr>
                        <w:top w:val="none" w:sz="0" w:space="0" w:color="auto"/>
                        <w:left w:val="none" w:sz="0" w:space="0" w:color="auto"/>
                        <w:bottom w:val="none" w:sz="0" w:space="0" w:color="auto"/>
                        <w:right w:val="none" w:sz="0" w:space="0" w:color="auto"/>
                      </w:divBdr>
                    </w:div>
                  </w:divsChild>
                </w:div>
                <w:div w:id="243732008">
                  <w:marLeft w:val="0"/>
                  <w:marRight w:val="0"/>
                  <w:marTop w:val="0"/>
                  <w:marBottom w:val="0"/>
                  <w:divBdr>
                    <w:top w:val="none" w:sz="0" w:space="0" w:color="auto"/>
                    <w:left w:val="none" w:sz="0" w:space="0" w:color="auto"/>
                    <w:bottom w:val="none" w:sz="0" w:space="0" w:color="auto"/>
                    <w:right w:val="none" w:sz="0" w:space="0" w:color="auto"/>
                  </w:divBdr>
                  <w:divsChild>
                    <w:div w:id="1017733831">
                      <w:marLeft w:val="0"/>
                      <w:marRight w:val="0"/>
                      <w:marTop w:val="0"/>
                      <w:marBottom w:val="0"/>
                      <w:divBdr>
                        <w:top w:val="none" w:sz="0" w:space="0" w:color="auto"/>
                        <w:left w:val="none" w:sz="0" w:space="0" w:color="auto"/>
                        <w:bottom w:val="none" w:sz="0" w:space="0" w:color="auto"/>
                        <w:right w:val="none" w:sz="0" w:space="0" w:color="auto"/>
                      </w:divBdr>
                    </w:div>
                  </w:divsChild>
                </w:div>
                <w:div w:id="257834447">
                  <w:marLeft w:val="0"/>
                  <w:marRight w:val="0"/>
                  <w:marTop w:val="0"/>
                  <w:marBottom w:val="0"/>
                  <w:divBdr>
                    <w:top w:val="none" w:sz="0" w:space="0" w:color="auto"/>
                    <w:left w:val="none" w:sz="0" w:space="0" w:color="auto"/>
                    <w:bottom w:val="none" w:sz="0" w:space="0" w:color="auto"/>
                    <w:right w:val="none" w:sz="0" w:space="0" w:color="auto"/>
                  </w:divBdr>
                  <w:divsChild>
                    <w:div w:id="1365595396">
                      <w:marLeft w:val="0"/>
                      <w:marRight w:val="0"/>
                      <w:marTop w:val="0"/>
                      <w:marBottom w:val="0"/>
                      <w:divBdr>
                        <w:top w:val="none" w:sz="0" w:space="0" w:color="auto"/>
                        <w:left w:val="none" w:sz="0" w:space="0" w:color="auto"/>
                        <w:bottom w:val="none" w:sz="0" w:space="0" w:color="auto"/>
                        <w:right w:val="none" w:sz="0" w:space="0" w:color="auto"/>
                      </w:divBdr>
                    </w:div>
                  </w:divsChild>
                </w:div>
                <w:div w:id="271282753">
                  <w:marLeft w:val="0"/>
                  <w:marRight w:val="0"/>
                  <w:marTop w:val="0"/>
                  <w:marBottom w:val="0"/>
                  <w:divBdr>
                    <w:top w:val="none" w:sz="0" w:space="0" w:color="auto"/>
                    <w:left w:val="none" w:sz="0" w:space="0" w:color="auto"/>
                    <w:bottom w:val="none" w:sz="0" w:space="0" w:color="auto"/>
                    <w:right w:val="none" w:sz="0" w:space="0" w:color="auto"/>
                  </w:divBdr>
                  <w:divsChild>
                    <w:div w:id="1186098110">
                      <w:marLeft w:val="0"/>
                      <w:marRight w:val="0"/>
                      <w:marTop w:val="0"/>
                      <w:marBottom w:val="0"/>
                      <w:divBdr>
                        <w:top w:val="none" w:sz="0" w:space="0" w:color="auto"/>
                        <w:left w:val="none" w:sz="0" w:space="0" w:color="auto"/>
                        <w:bottom w:val="none" w:sz="0" w:space="0" w:color="auto"/>
                        <w:right w:val="none" w:sz="0" w:space="0" w:color="auto"/>
                      </w:divBdr>
                    </w:div>
                  </w:divsChild>
                </w:div>
                <w:div w:id="281763951">
                  <w:marLeft w:val="0"/>
                  <w:marRight w:val="0"/>
                  <w:marTop w:val="0"/>
                  <w:marBottom w:val="0"/>
                  <w:divBdr>
                    <w:top w:val="none" w:sz="0" w:space="0" w:color="auto"/>
                    <w:left w:val="none" w:sz="0" w:space="0" w:color="auto"/>
                    <w:bottom w:val="none" w:sz="0" w:space="0" w:color="auto"/>
                    <w:right w:val="none" w:sz="0" w:space="0" w:color="auto"/>
                  </w:divBdr>
                  <w:divsChild>
                    <w:div w:id="1566456159">
                      <w:marLeft w:val="0"/>
                      <w:marRight w:val="0"/>
                      <w:marTop w:val="0"/>
                      <w:marBottom w:val="0"/>
                      <w:divBdr>
                        <w:top w:val="none" w:sz="0" w:space="0" w:color="auto"/>
                        <w:left w:val="none" w:sz="0" w:space="0" w:color="auto"/>
                        <w:bottom w:val="none" w:sz="0" w:space="0" w:color="auto"/>
                        <w:right w:val="none" w:sz="0" w:space="0" w:color="auto"/>
                      </w:divBdr>
                    </w:div>
                  </w:divsChild>
                </w:div>
                <w:div w:id="286666754">
                  <w:marLeft w:val="0"/>
                  <w:marRight w:val="0"/>
                  <w:marTop w:val="0"/>
                  <w:marBottom w:val="0"/>
                  <w:divBdr>
                    <w:top w:val="none" w:sz="0" w:space="0" w:color="auto"/>
                    <w:left w:val="none" w:sz="0" w:space="0" w:color="auto"/>
                    <w:bottom w:val="none" w:sz="0" w:space="0" w:color="auto"/>
                    <w:right w:val="none" w:sz="0" w:space="0" w:color="auto"/>
                  </w:divBdr>
                  <w:divsChild>
                    <w:div w:id="1326514396">
                      <w:marLeft w:val="0"/>
                      <w:marRight w:val="0"/>
                      <w:marTop w:val="0"/>
                      <w:marBottom w:val="0"/>
                      <w:divBdr>
                        <w:top w:val="none" w:sz="0" w:space="0" w:color="auto"/>
                        <w:left w:val="none" w:sz="0" w:space="0" w:color="auto"/>
                        <w:bottom w:val="none" w:sz="0" w:space="0" w:color="auto"/>
                        <w:right w:val="none" w:sz="0" w:space="0" w:color="auto"/>
                      </w:divBdr>
                    </w:div>
                  </w:divsChild>
                </w:div>
                <w:div w:id="287856839">
                  <w:marLeft w:val="0"/>
                  <w:marRight w:val="0"/>
                  <w:marTop w:val="0"/>
                  <w:marBottom w:val="0"/>
                  <w:divBdr>
                    <w:top w:val="none" w:sz="0" w:space="0" w:color="auto"/>
                    <w:left w:val="none" w:sz="0" w:space="0" w:color="auto"/>
                    <w:bottom w:val="none" w:sz="0" w:space="0" w:color="auto"/>
                    <w:right w:val="none" w:sz="0" w:space="0" w:color="auto"/>
                  </w:divBdr>
                  <w:divsChild>
                    <w:div w:id="1132096673">
                      <w:marLeft w:val="0"/>
                      <w:marRight w:val="0"/>
                      <w:marTop w:val="0"/>
                      <w:marBottom w:val="0"/>
                      <w:divBdr>
                        <w:top w:val="none" w:sz="0" w:space="0" w:color="auto"/>
                        <w:left w:val="none" w:sz="0" w:space="0" w:color="auto"/>
                        <w:bottom w:val="none" w:sz="0" w:space="0" w:color="auto"/>
                        <w:right w:val="none" w:sz="0" w:space="0" w:color="auto"/>
                      </w:divBdr>
                    </w:div>
                  </w:divsChild>
                </w:div>
                <w:div w:id="288824453">
                  <w:marLeft w:val="0"/>
                  <w:marRight w:val="0"/>
                  <w:marTop w:val="0"/>
                  <w:marBottom w:val="0"/>
                  <w:divBdr>
                    <w:top w:val="none" w:sz="0" w:space="0" w:color="auto"/>
                    <w:left w:val="none" w:sz="0" w:space="0" w:color="auto"/>
                    <w:bottom w:val="none" w:sz="0" w:space="0" w:color="auto"/>
                    <w:right w:val="none" w:sz="0" w:space="0" w:color="auto"/>
                  </w:divBdr>
                  <w:divsChild>
                    <w:div w:id="1102071877">
                      <w:marLeft w:val="0"/>
                      <w:marRight w:val="0"/>
                      <w:marTop w:val="0"/>
                      <w:marBottom w:val="0"/>
                      <w:divBdr>
                        <w:top w:val="none" w:sz="0" w:space="0" w:color="auto"/>
                        <w:left w:val="none" w:sz="0" w:space="0" w:color="auto"/>
                        <w:bottom w:val="none" w:sz="0" w:space="0" w:color="auto"/>
                        <w:right w:val="none" w:sz="0" w:space="0" w:color="auto"/>
                      </w:divBdr>
                    </w:div>
                  </w:divsChild>
                </w:div>
                <w:div w:id="291714971">
                  <w:marLeft w:val="0"/>
                  <w:marRight w:val="0"/>
                  <w:marTop w:val="0"/>
                  <w:marBottom w:val="0"/>
                  <w:divBdr>
                    <w:top w:val="none" w:sz="0" w:space="0" w:color="auto"/>
                    <w:left w:val="none" w:sz="0" w:space="0" w:color="auto"/>
                    <w:bottom w:val="none" w:sz="0" w:space="0" w:color="auto"/>
                    <w:right w:val="none" w:sz="0" w:space="0" w:color="auto"/>
                  </w:divBdr>
                  <w:divsChild>
                    <w:div w:id="2080908444">
                      <w:marLeft w:val="0"/>
                      <w:marRight w:val="0"/>
                      <w:marTop w:val="0"/>
                      <w:marBottom w:val="0"/>
                      <w:divBdr>
                        <w:top w:val="none" w:sz="0" w:space="0" w:color="auto"/>
                        <w:left w:val="none" w:sz="0" w:space="0" w:color="auto"/>
                        <w:bottom w:val="none" w:sz="0" w:space="0" w:color="auto"/>
                        <w:right w:val="none" w:sz="0" w:space="0" w:color="auto"/>
                      </w:divBdr>
                    </w:div>
                  </w:divsChild>
                </w:div>
                <w:div w:id="305162447">
                  <w:marLeft w:val="0"/>
                  <w:marRight w:val="0"/>
                  <w:marTop w:val="0"/>
                  <w:marBottom w:val="0"/>
                  <w:divBdr>
                    <w:top w:val="none" w:sz="0" w:space="0" w:color="auto"/>
                    <w:left w:val="none" w:sz="0" w:space="0" w:color="auto"/>
                    <w:bottom w:val="none" w:sz="0" w:space="0" w:color="auto"/>
                    <w:right w:val="none" w:sz="0" w:space="0" w:color="auto"/>
                  </w:divBdr>
                  <w:divsChild>
                    <w:div w:id="1867988463">
                      <w:marLeft w:val="0"/>
                      <w:marRight w:val="0"/>
                      <w:marTop w:val="0"/>
                      <w:marBottom w:val="0"/>
                      <w:divBdr>
                        <w:top w:val="none" w:sz="0" w:space="0" w:color="auto"/>
                        <w:left w:val="none" w:sz="0" w:space="0" w:color="auto"/>
                        <w:bottom w:val="none" w:sz="0" w:space="0" w:color="auto"/>
                        <w:right w:val="none" w:sz="0" w:space="0" w:color="auto"/>
                      </w:divBdr>
                    </w:div>
                  </w:divsChild>
                </w:div>
                <w:div w:id="311567491">
                  <w:marLeft w:val="0"/>
                  <w:marRight w:val="0"/>
                  <w:marTop w:val="0"/>
                  <w:marBottom w:val="0"/>
                  <w:divBdr>
                    <w:top w:val="none" w:sz="0" w:space="0" w:color="auto"/>
                    <w:left w:val="none" w:sz="0" w:space="0" w:color="auto"/>
                    <w:bottom w:val="none" w:sz="0" w:space="0" w:color="auto"/>
                    <w:right w:val="none" w:sz="0" w:space="0" w:color="auto"/>
                  </w:divBdr>
                  <w:divsChild>
                    <w:div w:id="1673602798">
                      <w:marLeft w:val="0"/>
                      <w:marRight w:val="0"/>
                      <w:marTop w:val="0"/>
                      <w:marBottom w:val="0"/>
                      <w:divBdr>
                        <w:top w:val="none" w:sz="0" w:space="0" w:color="auto"/>
                        <w:left w:val="none" w:sz="0" w:space="0" w:color="auto"/>
                        <w:bottom w:val="none" w:sz="0" w:space="0" w:color="auto"/>
                        <w:right w:val="none" w:sz="0" w:space="0" w:color="auto"/>
                      </w:divBdr>
                    </w:div>
                  </w:divsChild>
                </w:div>
                <w:div w:id="322776715">
                  <w:marLeft w:val="0"/>
                  <w:marRight w:val="0"/>
                  <w:marTop w:val="0"/>
                  <w:marBottom w:val="0"/>
                  <w:divBdr>
                    <w:top w:val="none" w:sz="0" w:space="0" w:color="auto"/>
                    <w:left w:val="none" w:sz="0" w:space="0" w:color="auto"/>
                    <w:bottom w:val="none" w:sz="0" w:space="0" w:color="auto"/>
                    <w:right w:val="none" w:sz="0" w:space="0" w:color="auto"/>
                  </w:divBdr>
                  <w:divsChild>
                    <w:div w:id="183784538">
                      <w:marLeft w:val="0"/>
                      <w:marRight w:val="0"/>
                      <w:marTop w:val="0"/>
                      <w:marBottom w:val="0"/>
                      <w:divBdr>
                        <w:top w:val="none" w:sz="0" w:space="0" w:color="auto"/>
                        <w:left w:val="none" w:sz="0" w:space="0" w:color="auto"/>
                        <w:bottom w:val="none" w:sz="0" w:space="0" w:color="auto"/>
                        <w:right w:val="none" w:sz="0" w:space="0" w:color="auto"/>
                      </w:divBdr>
                    </w:div>
                    <w:div w:id="557977818">
                      <w:marLeft w:val="0"/>
                      <w:marRight w:val="0"/>
                      <w:marTop w:val="0"/>
                      <w:marBottom w:val="0"/>
                      <w:divBdr>
                        <w:top w:val="none" w:sz="0" w:space="0" w:color="auto"/>
                        <w:left w:val="none" w:sz="0" w:space="0" w:color="auto"/>
                        <w:bottom w:val="none" w:sz="0" w:space="0" w:color="auto"/>
                        <w:right w:val="none" w:sz="0" w:space="0" w:color="auto"/>
                      </w:divBdr>
                    </w:div>
                    <w:div w:id="1282111857">
                      <w:marLeft w:val="0"/>
                      <w:marRight w:val="0"/>
                      <w:marTop w:val="0"/>
                      <w:marBottom w:val="0"/>
                      <w:divBdr>
                        <w:top w:val="none" w:sz="0" w:space="0" w:color="auto"/>
                        <w:left w:val="none" w:sz="0" w:space="0" w:color="auto"/>
                        <w:bottom w:val="none" w:sz="0" w:space="0" w:color="auto"/>
                        <w:right w:val="none" w:sz="0" w:space="0" w:color="auto"/>
                      </w:divBdr>
                    </w:div>
                  </w:divsChild>
                </w:div>
                <w:div w:id="332149671">
                  <w:marLeft w:val="0"/>
                  <w:marRight w:val="0"/>
                  <w:marTop w:val="0"/>
                  <w:marBottom w:val="0"/>
                  <w:divBdr>
                    <w:top w:val="none" w:sz="0" w:space="0" w:color="auto"/>
                    <w:left w:val="none" w:sz="0" w:space="0" w:color="auto"/>
                    <w:bottom w:val="none" w:sz="0" w:space="0" w:color="auto"/>
                    <w:right w:val="none" w:sz="0" w:space="0" w:color="auto"/>
                  </w:divBdr>
                  <w:divsChild>
                    <w:div w:id="272980812">
                      <w:marLeft w:val="0"/>
                      <w:marRight w:val="0"/>
                      <w:marTop w:val="0"/>
                      <w:marBottom w:val="0"/>
                      <w:divBdr>
                        <w:top w:val="none" w:sz="0" w:space="0" w:color="auto"/>
                        <w:left w:val="none" w:sz="0" w:space="0" w:color="auto"/>
                        <w:bottom w:val="none" w:sz="0" w:space="0" w:color="auto"/>
                        <w:right w:val="none" w:sz="0" w:space="0" w:color="auto"/>
                      </w:divBdr>
                    </w:div>
                  </w:divsChild>
                </w:div>
                <w:div w:id="345642913">
                  <w:marLeft w:val="0"/>
                  <w:marRight w:val="0"/>
                  <w:marTop w:val="0"/>
                  <w:marBottom w:val="0"/>
                  <w:divBdr>
                    <w:top w:val="none" w:sz="0" w:space="0" w:color="auto"/>
                    <w:left w:val="none" w:sz="0" w:space="0" w:color="auto"/>
                    <w:bottom w:val="none" w:sz="0" w:space="0" w:color="auto"/>
                    <w:right w:val="none" w:sz="0" w:space="0" w:color="auto"/>
                  </w:divBdr>
                  <w:divsChild>
                    <w:div w:id="813762024">
                      <w:marLeft w:val="0"/>
                      <w:marRight w:val="0"/>
                      <w:marTop w:val="0"/>
                      <w:marBottom w:val="0"/>
                      <w:divBdr>
                        <w:top w:val="none" w:sz="0" w:space="0" w:color="auto"/>
                        <w:left w:val="none" w:sz="0" w:space="0" w:color="auto"/>
                        <w:bottom w:val="none" w:sz="0" w:space="0" w:color="auto"/>
                        <w:right w:val="none" w:sz="0" w:space="0" w:color="auto"/>
                      </w:divBdr>
                    </w:div>
                  </w:divsChild>
                </w:div>
                <w:div w:id="362705139">
                  <w:marLeft w:val="0"/>
                  <w:marRight w:val="0"/>
                  <w:marTop w:val="0"/>
                  <w:marBottom w:val="0"/>
                  <w:divBdr>
                    <w:top w:val="none" w:sz="0" w:space="0" w:color="auto"/>
                    <w:left w:val="none" w:sz="0" w:space="0" w:color="auto"/>
                    <w:bottom w:val="none" w:sz="0" w:space="0" w:color="auto"/>
                    <w:right w:val="none" w:sz="0" w:space="0" w:color="auto"/>
                  </w:divBdr>
                  <w:divsChild>
                    <w:div w:id="1184322897">
                      <w:marLeft w:val="0"/>
                      <w:marRight w:val="0"/>
                      <w:marTop w:val="0"/>
                      <w:marBottom w:val="0"/>
                      <w:divBdr>
                        <w:top w:val="none" w:sz="0" w:space="0" w:color="auto"/>
                        <w:left w:val="none" w:sz="0" w:space="0" w:color="auto"/>
                        <w:bottom w:val="none" w:sz="0" w:space="0" w:color="auto"/>
                        <w:right w:val="none" w:sz="0" w:space="0" w:color="auto"/>
                      </w:divBdr>
                    </w:div>
                  </w:divsChild>
                </w:div>
                <w:div w:id="369496195">
                  <w:marLeft w:val="0"/>
                  <w:marRight w:val="0"/>
                  <w:marTop w:val="0"/>
                  <w:marBottom w:val="0"/>
                  <w:divBdr>
                    <w:top w:val="none" w:sz="0" w:space="0" w:color="auto"/>
                    <w:left w:val="none" w:sz="0" w:space="0" w:color="auto"/>
                    <w:bottom w:val="none" w:sz="0" w:space="0" w:color="auto"/>
                    <w:right w:val="none" w:sz="0" w:space="0" w:color="auto"/>
                  </w:divBdr>
                  <w:divsChild>
                    <w:div w:id="279604529">
                      <w:marLeft w:val="0"/>
                      <w:marRight w:val="0"/>
                      <w:marTop w:val="0"/>
                      <w:marBottom w:val="0"/>
                      <w:divBdr>
                        <w:top w:val="none" w:sz="0" w:space="0" w:color="auto"/>
                        <w:left w:val="none" w:sz="0" w:space="0" w:color="auto"/>
                        <w:bottom w:val="none" w:sz="0" w:space="0" w:color="auto"/>
                        <w:right w:val="none" w:sz="0" w:space="0" w:color="auto"/>
                      </w:divBdr>
                    </w:div>
                  </w:divsChild>
                </w:div>
                <w:div w:id="369645148">
                  <w:marLeft w:val="0"/>
                  <w:marRight w:val="0"/>
                  <w:marTop w:val="0"/>
                  <w:marBottom w:val="0"/>
                  <w:divBdr>
                    <w:top w:val="none" w:sz="0" w:space="0" w:color="auto"/>
                    <w:left w:val="none" w:sz="0" w:space="0" w:color="auto"/>
                    <w:bottom w:val="none" w:sz="0" w:space="0" w:color="auto"/>
                    <w:right w:val="none" w:sz="0" w:space="0" w:color="auto"/>
                  </w:divBdr>
                  <w:divsChild>
                    <w:div w:id="1900825205">
                      <w:marLeft w:val="0"/>
                      <w:marRight w:val="0"/>
                      <w:marTop w:val="0"/>
                      <w:marBottom w:val="0"/>
                      <w:divBdr>
                        <w:top w:val="none" w:sz="0" w:space="0" w:color="auto"/>
                        <w:left w:val="none" w:sz="0" w:space="0" w:color="auto"/>
                        <w:bottom w:val="none" w:sz="0" w:space="0" w:color="auto"/>
                        <w:right w:val="none" w:sz="0" w:space="0" w:color="auto"/>
                      </w:divBdr>
                    </w:div>
                  </w:divsChild>
                </w:div>
                <w:div w:id="383607724">
                  <w:marLeft w:val="0"/>
                  <w:marRight w:val="0"/>
                  <w:marTop w:val="0"/>
                  <w:marBottom w:val="0"/>
                  <w:divBdr>
                    <w:top w:val="none" w:sz="0" w:space="0" w:color="auto"/>
                    <w:left w:val="none" w:sz="0" w:space="0" w:color="auto"/>
                    <w:bottom w:val="none" w:sz="0" w:space="0" w:color="auto"/>
                    <w:right w:val="none" w:sz="0" w:space="0" w:color="auto"/>
                  </w:divBdr>
                  <w:divsChild>
                    <w:div w:id="666250837">
                      <w:marLeft w:val="0"/>
                      <w:marRight w:val="0"/>
                      <w:marTop w:val="0"/>
                      <w:marBottom w:val="0"/>
                      <w:divBdr>
                        <w:top w:val="none" w:sz="0" w:space="0" w:color="auto"/>
                        <w:left w:val="none" w:sz="0" w:space="0" w:color="auto"/>
                        <w:bottom w:val="none" w:sz="0" w:space="0" w:color="auto"/>
                        <w:right w:val="none" w:sz="0" w:space="0" w:color="auto"/>
                      </w:divBdr>
                    </w:div>
                  </w:divsChild>
                </w:div>
                <w:div w:id="385952393">
                  <w:marLeft w:val="0"/>
                  <w:marRight w:val="0"/>
                  <w:marTop w:val="0"/>
                  <w:marBottom w:val="0"/>
                  <w:divBdr>
                    <w:top w:val="none" w:sz="0" w:space="0" w:color="auto"/>
                    <w:left w:val="none" w:sz="0" w:space="0" w:color="auto"/>
                    <w:bottom w:val="none" w:sz="0" w:space="0" w:color="auto"/>
                    <w:right w:val="none" w:sz="0" w:space="0" w:color="auto"/>
                  </w:divBdr>
                  <w:divsChild>
                    <w:div w:id="709764252">
                      <w:marLeft w:val="0"/>
                      <w:marRight w:val="0"/>
                      <w:marTop w:val="0"/>
                      <w:marBottom w:val="0"/>
                      <w:divBdr>
                        <w:top w:val="none" w:sz="0" w:space="0" w:color="auto"/>
                        <w:left w:val="none" w:sz="0" w:space="0" w:color="auto"/>
                        <w:bottom w:val="none" w:sz="0" w:space="0" w:color="auto"/>
                        <w:right w:val="none" w:sz="0" w:space="0" w:color="auto"/>
                      </w:divBdr>
                    </w:div>
                  </w:divsChild>
                </w:div>
                <w:div w:id="396512127">
                  <w:marLeft w:val="0"/>
                  <w:marRight w:val="0"/>
                  <w:marTop w:val="0"/>
                  <w:marBottom w:val="0"/>
                  <w:divBdr>
                    <w:top w:val="none" w:sz="0" w:space="0" w:color="auto"/>
                    <w:left w:val="none" w:sz="0" w:space="0" w:color="auto"/>
                    <w:bottom w:val="none" w:sz="0" w:space="0" w:color="auto"/>
                    <w:right w:val="none" w:sz="0" w:space="0" w:color="auto"/>
                  </w:divBdr>
                  <w:divsChild>
                    <w:div w:id="1120220391">
                      <w:marLeft w:val="0"/>
                      <w:marRight w:val="0"/>
                      <w:marTop w:val="0"/>
                      <w:marBottom w:val="0"/>
                      <w:divBdr>
                        <w:top w:val="none" w:sz="0" w:space="0" w:color="auto"/>
                        <w:left w:val="none" w:sz="0" w:space="0" w:color="auto"/>
                        <w:bottom w:val="none" w:sz="0" w:space="0" w:color="auto"/>
                        <w:right w:val="none" w:sz="0" w:space="0" w:color="auto"/>
                      </w:divBdr>
                    </w:div>
                  </w:divsChild>
                </w:div>
                <w:div w:id="412515071">
                  <w:marLeft w:val="0"/>
                  <w:marRight w:val="0"/>
                  <w:marTop w:val="0"/>
                  <w:marBottom w:val="0"/>
                  <w:divBdr>
                    <w:top w:val="none" w:sz="0" w:space="0" w:color="auto"/>
                    <w:left w:val="none" w:sz="0" w:space="0" w:color="auto"/>
                    <w:bottom w:val="none" w:sz="0" w:space="0" w:color="auto"/>
                    <w:right w:val="none" w:sz="0" w:space="0" w:color="auto"/>
                  </w:divBdr>
                  <w:divsChild>
                    <w:div w:id="448937829">
                      <w:marLeft w:val="0"/>
                      <w:marRight w:val="0"/>
                      <w:marTop w:val="0"/>
                      <w:marBottom w:val="0"/>
                      <w:divBdr>
                        <w:top w:val="none" w:sz="0" w:space="0" w:color="auto"/>
                        <w:left w:val="none" w:sz="0" w:space="0" w:color="auto"/>
                        <w:bottom w:val="none" w:sz="0" w:space="0" w:color="auto"/>
                        <w:right w:val="none" w:sz="0" w:space="0" w:color="auto"/>
                      </w:divBdr>
                    </w:div>
                  </w:divsChild>
                </w:div>
                <w:div w:id="416637661">
                  <w:marLeft w:val="0"/>
                  <w:marRight w:val="0"/>
                  <w:marTop w:val="0"/>
                  <w:marBottom w:val="0"/>
                  <w:divBdr>
                    <w:top w:val="none" w:sz="0" w:space="0" w:color="auto"/>
                    <w:left w:val="none" w:sz="0" w:space="0" w:color="auto"/>
                    <w:bottom w:val="none" w:sz="0" w:space="0" w:color="auto"/>
                    <w:right w:val="none" w:sz="0" w:space="0" w:color="auto"/>
                  </w:divBdr>
                  <w:divsChild>
                    <w:div w:id="2025352097">
                      <w:marLeft w:val="0"/>
                      <w:marRight w:val="0"/>
                      <w:marTop w:val="0"/>
                      <w:marBottom w:val="0"/>
                      <w:divBdr>
                        <w:top w:val="none" w:sz="0" w:space="0" w:color="auto"/>
                        <w:left w:val="none" w:sz="0" w:space="0" w:color="auto"/>
                        <w:bottom w:val="none" w:sz="0" w:space="0" w:color="auto"/>
                        <w:right w:val="none" w:sz="0" w:space="0" w:color="auto"/>
                      </w:divBdr>
                    </w:div>
                  </w:divsChild>
                </w:div>
                <w:div w:id="417947874">
                  <w:marLeft w:val="0"/>
                  <w:marRight w:val="0"/>
                  <w:marTop w:val="0"/>
                  <w:marBottom w:val="0"/>
                  <w:divBdr>
                    <w:top w:val="none" w:sz="0" w:space="0" w:color="auto"/>
                    <w:left w:val="none" w:sz="0" w:space="0" w:color="auto"/>
                    <w:bottom w:val="none" w:sz="0" w:space="0" w:color="auto"/>
                    <w:right w:val="none" w:sz="0" w:space="0" w:color="auto"/>
                  </w:divBdr>
                  <w:divsChild>
                    <w:div w:id="1178468559">
                      <w:marLeft w:val="0"/>
                      <w:marRight w:val="0"/>
                      <w:marTop w:val="0"/>
                      <w:marBottom w:val="0"/>
                      <w:divBdr>
                        <w:top w:val="none" w:sz="0" w:space="0" w:color="auto"/>
                        <w:left w:val="none" w:sz="0" w:space="0" w:color="auto"/>
                        <w:bottom w:val="none" w:sz="0" w:space="0" w:color="auto"/>
                        <w:right w:val="none" w:sz="0" w:space="0" w:color="auto"/>
                      </w:divBdr>
                    </w:div>
                  </w:divsChild>
                </w:div>
                <w:div w:id="423913758">
                  <w:marLeft w:val="0"/>
                  <w:marRight w:val="0"/>
                  <w:marTop w:val="0"/>
                  <w:marBottom w:val="0"/>
                  <w:divBdr>
                    <w:top w:val="none" w:sz="0" w:space="0" w:color="auto"/>
                    <w:left w:val="none" w:sz="0" w:space="0" w:color="auto"/>
                    <w:bottom w:val="none" w:sz="0" w:space="0" w:color="auto"/>
                    <w:right w:val="none" w:sz="0" w:space="0" w:color="auto"/>
                  </w:divBdr>
                  <w:divsChild>
                    <w:div w:id="1190409977">
                      <w:marLeft w:val="0"/>
                      <w:marRight w:val="0"/>
                      <w:marTop w:val="0"/>
                      <w:marBottom w:val="0"/>
                      <w:divBdr>
                        <w:top w:val="none" w:sz="0" w:space="0" w:color="auto"/>
                        <w:left w:val="none" w:sz="0" w:space="0" w:color="auto"/>
                        <w:bottom w:val="none" w:sz="0" w:space="0" w:color="auto"/>
                        <w:right w:val="none" w:sz="0" w:space="0" w:color="auto"/>
                      </w:divBdr>
                    </w:div>
                  </w:divsChild>
                </w:div>
                <w:div w:id="425424630">
                  <w:marLeft w:val="0"/>
                  <w:marRight w:val="0"/>
                  <w:marTop w:val="0"/>
                  <w:marBottom w:val="0"/>
                  <w:divBdr>
                    <w:top w:val="none" w:sz="0" w:space="0" w:color="auto"/>
                    <w:left w:val="none" w:sz="0" w:space="0" w:color="auto"/>
                    <w:bottom w:val="none" w:sz="0" w:space="0" w:color="auto"/>
                    <w:right w:val="none" w:sz="0" w:space="0" w:color="auto"/>
                  </w:divBdr>
                  <w:divsChild>
                    <w:div w:id="973438722">
                      <w:marLeft w:val="0"/>
                      <w:marRight w:val="0"/>
                      <w:marTop w:val="0"/>
                      <w:marBottom w:val="0"/>
                      <w:divBdr>
                        <w:top w:val="none" w:sz="0" w:space="0" w:color="auto"/>
                        <w:left w:val="none" w:sz="0" w:space="0" w:color="auto"/>
                        <w:bottom w:val="none" w:sz="0" w:space="0" w:color="auto"/>
                        <w:right w:val="none" w:sz="0" w:space="0" w:color="auto"/>
                      </w:divBdr>
                    </w:div>
                  </w:divsChild>
                </w:div>
                <w:div w:id="430976269">
                  <w:marLeft w:val="0"/>
                  <w:marRight w:val="0"/>
                  <w:marTop w:val="0"/>
                  <w:marBottom w:val="0"/>
                  <w:divBdr>
                    <w:top w:val="none" w:sz="0" w:space="0" w:color="auto"/>
                    <w:left w:val="none" w:sz="0" w:space="0" w:color="auto"/>
                    <w:bottom w:val="none" w:sz="0" w:space="0" w:color="auto"/>
                    <w:right w:val="none" w:sz="0" w:space="0" w:color="auto"/>
                  </w:divBdr>
                  <w:divsChild>
                    <w:div w:id="2120760512">
                      <w:marLeft w:val="0"/>
                      <w:marRight w:val="0"/>
                      <w:marTop w:val="0"/>
                      <w:marBottom w:val="0"/>
                      <w:divBdr>
                        <w:top w:val="none" w:sz="0" w:space="0" w:color="auto"/>
                        <w:left w:val="none" w:sz="0" w:space="0" w:color="auto"/>
                        <w:bottom w:val="none" w:sz="0" w:space="0" w:color="auto"/>
                        <w:right w:val="none" w:sz="0" w:space="0" w:color="auto"/>
                      </w:divBdr>
                    </w:div>
                  </w:divsChild>
                </w:div>
                <w:div w:id="435448409">
                  <w:marLeft w:val="0"/>
                  <w:marRight w:val="0"/>
                  <w:marTop w:val="0"/>
                  <w:marBottom w:val="0"/>
                  <w:divBdr>
                    <w:top w:val="none" w:sz="0" w:space="0" w:color="auto"/>
                    <w:left w:val="none" w:sz="0" w:space="0" w:color="auto"/>
                    <w:bottom w:val="none" w:sz="0" w:space="0" w:color="auto"/>
                    <w:right w:val="none" w:sz="0" w:space="0" w:color="auto"/>
                  </w:divBdr>
                  <w:divsChild>
                    <w:div w:id="605043473">
                      <w:marLeft w:val="0"/>
                      <w:marRight w:val="0"/>
                      <w:marTop w:val="0"/>
                      <w:marBottom w:val="0"/>
                      <w:divBdr>
                        <w:top w:val="none" w:sz="0" w:space="0" w:color="auto"/>
                        <w:left w:val="none" w:sz="0" w:space="0" w:color="auto"/>
                        <w:bottom w:val="none" w:sz="0" w:space="0" w:color="auto"/>
                        <w:right w:val="none" w:sz="0" w:space="0" w:color="auto"/>
                      </w:divBdr>
                    </w:div>
                  </w:divsChild>
                </w:div>
                <w:div w:id="437607166">
                  <w:marLeft w:val="0"/>
                  <w:marRight w:val="0"/>
                  <w:marTop w:val="0"/>
                  <w:marBottom w:val="0"/>
                  <w:divBdr>
                    <w:top w:val="none" w:sz="0" w:space="0" w:color="auto"/>
                    <w:left w:val="none" w:sz="0" w:space="0" w:color="auto"/>
                    <w:bottom w:val="none" w:sz="0" w:space="0" w:color="auto"/>
                    <w:right w:val="none" w:sz="0" w:space="0" w:color="auto"/>
                  </w:divBdr>
                  <w:divsChild>
                    <w:div w:id="1935547708">
                      <w:marLeft w:val="0"/>
                      <w:marRight w:val="0"/>
                      <w:marTop w:val="0"/>
                      <w:marBottom w:val="0"/>
                      <w:divBdr>
                        <w:top w:val="none" w:sz="0" w:space="0" w:color="auto"/>
                        <w:left w:val="none" w:sz="0" w:space="0" w:color="auto"/>
                        <w:bottom w:val="none" w:sz="0" w:space="0" w:color="auto"/>
                        <w:right w:val="none" w:sz="0" w:space="0" w:color="auto"/>
                      </w:divBdr>
                    </w:div>
                  </w:divsChild>
                </w:div>
                <w:div w:id="438723458">
                  <w:marLeft w:val="0"/>
                  <w:marRight w:val="0"/>
                  <w:marTop w:val="0"/>
                  <w:marBottom w:val="0"/>
                  <w:divBdr>
                    <w:top w:val="none" w:sz="0" w:space="0" w:color="auto"/>
                    <w:left w:val="none" w:sz="0" w:space="0" w:color="auto"/>
                    <w:bottom w:val="none" w:sz="0" w:space="0" w:color="auto"/>
                    <w:right w:val="none" w:sz="0" w:space="0" w:color="auto"/>
                  </w:divBdr>
                  <w:divsChild>
                    <w:div w:id="1275556072">
                      <w:marLeft w:val="0"/>
                      <w:marRight w:val="0"/>
                      <w:marTop w:val="0"/>
                      <w:marBottom w:val="0"/>
                      <w:divBdr>
                        <w:top w:val="none" w:sz="0" w:space="0" w:color="auto"/>
                        <w:left w:val="none" w:sz="0" w:space="0" w:color="auto"/>
                        <w:bottom w:val="none" w:sz="0" w:space="0" w:color="auto"/>
                        <w:right w:val="none" w:sz="0" w:space="0" w:color="auto"/>
                      </w:divBdr>
                    </w:div>
                  </w:divsChild>
                </w:div>
                <w:div w:id="445080784">
                  <w:marLeft w:val="0"/>
                  <w:marRight w:val="0"/>
                  <w:marTop w:val="0"/>
                  <w:marBottom w:val="0"/>
                  <w:divBdr>
                    <w:top w:val="none" w:sz="0" w:space="0" w:color="auto"/>
                    <w:left w:val="none" w:sz="0" w:space="0" w:color="auto"/>
                    <w:bottom w:val="none" w:sz="0" w:space="0" w:color="auto"/>
                    <w:right w:val="none" w:sz="0" w:space="0" w:color="auto"/>
                  </w:divBdr>
                  <w:divsChild>
                    <w:div w:id="178004231">
                      <w:marLeft w:val="0"/>
                      <w:marRight w:val="0"/>
                      <w:marTop w:val="0"/>
                      <w:marBottom w:val="0"/>
                      <w:divBdr>
                        <w:top w:val="none" w:sz="0" w:space="0" w:color="auto"/>
                        <w:left w:val="none" w:sz="0" w:space="0" w:color="auto"/>
                        <w:bottom w:val="none" w:sz="0" w:space="0" w:color="auto"/>
                        <w:right w:val="none" w:sz="0" w:space="0" w:color="auto"/>
                      </w:divBdr>
                    </w:div>
                  </w:divsChild>
                </w:div>
                <w:div w:id="462577213">
                  <w:marLeft w:val="0"/>
                  <w:marRight w:val="0"/>
                  <w:marTop w:val="0"/>
                  <w:marBottom w:val="0"/>
                  <w:divBdr>
                    <w:top w:val="none" w:sz="0" w:space="0" w:color="auto"/>
                    <w:left w:val="none" w:sz="0" w:space="0" w:color="auto"/>
                    <w:bottom w:val="none" w:sz="0" w:space="0" w:color="auto"/>
                    <w:right w:val="none" w:sz="0" w:space="0" w:color="auto"/>
                  </w:divBdr>
                  <w:divsChild>
                    <w:div w:id="598685644">
                      <w:marLeft w:val="0"/>
                      <w:marRight w:val="0"/>
                      <w:marTop w:val="0"/>
                      <w:marBottom w:val="0"/>
                      <w:divBdr>
                        <w:top w:val="none" w:sz="0" w:space="0" w:color="auto"/>
                        <w:left w:val="none" w:sz="0" w:space="0" w:color="auto"/>
                        <w:bottom w:val="none" w:sz="0" w:space="0" w:color="auto"/>
                        <w:right w:val="none" w:sz="0" w:space="0" w:color="auto"/>
                      </w:divBdr>
                    </w:div>
                  </w:divsChild>
                </w:div>
                <w:div w:id="466972456">
                  <w:marLeft w:val="0"/>
                  <w:marRight w:val="0"/>
                  <w:marTop w:val="0"/>
                  <w:marBottom w:val="0"/>
                  <w:divBdr>
                    <w:top w:val="none" w:sz="0" w:space="0" w:color="auto"/>
                    <w:left w:val="none" w:sz="0" w:space="0" w:color="auto"/>
                    <w:bottom w:val="none" w:sz="0" w:space="0" w:color="auto"/>
                    <w:right w:val="none" w:sz="0" w:space="0" w:color="auto"/>
                  </w:divBdr>
                  <w:divsChild>
                    <w:div w:id="1242520843">
                      <w:marLeft w:val="0"/>
                      <w:marRight w:val="0"/>
                      <w:marTop w:val="0"/>
                      <w:marBottom w:val="0"/>
                      <w:divBdr>
                        <w:top w:val="none" w:sz="0" w:space="0" w:color="auto"/>
                        <w:left w:val="none" w:sz="0" w:space="0" w:color="auto"/>
                        <w:bottom w:val="none" w:sz="0" w:space="0" w:color="auto"/>
                        <w:right w:val="none" w:sz="0" w:space="0" w:color="auto"/>
                      </w:divBdr>
                    </w:div>
                  </w:divsChild>
                </w:div>
                <w:div w:id="479736002">
                  <w:marLeft w:val="0"/>
                  <w:marRight w:val="0"/>
                  <w:marTop w:val="0"/>
                  <w:marBottom w:val="0"/>
                  <w:divBdr>
                    <w:top w:val="none" w:sz="0" w:space="0" w:color="auto"/>
                    <w:left w:val="none" w:sz="0" w:space="0" w:color="auto"/>
                    <w:bottom w:val="none" w:sz="0" w:space="0" w:color="auto"/>
                    <w:right w:val="none" w:sz="0" w:space="0" w:color="auto"/>
                  </w:divBdr>
                  <w:divsChild>
                    <w:div w:id="51083483">
                      <w:marLeft w:val="0"/>
                      <w:marRight w:val="0"/>
                      <w:marTop w:val="0"/>
                      <w:marBottom w:val="0"/>
                      <w:divBdr>
                        <w:top w:val="none" w:sz="0" w:space="0" w:color="auto"/>
                        <w:left w:val="none" w:sz="0" w:space="0" w:color="auto"/>
                        <w:bottom w:val="none" w:sz="0" w:space="0" w:color="auto"/>
                        <w:right w:val="none" w:sz="0" w:space="0" w:color="auto"/>
                      </w:divBdr>
                    </w:div>
                  </w:divsChild>
                </w:div>
                <w:div w:id="482086684">
                  <w:marLeft w:val="0"/>
                  <w:marRight w:val="0"/>
                  <w:marTop w:val="0"/>
                  <w:marBottom w:val="0"/>
                  <w:divBdr>
                    <w:top w:val="none" w:sz="0" w:space="0" w:color="auto"/>
                    <w:left w:val="none" w:sz="0" w:space="0" w:color="auto"/>
                    <w:bottom w:val="none" w:sz="0" w:space="0" w:color="auto"/>
                    <w:right w:val="none" w:sz="0" w:space="0" w:color="auto"/>
                  </w:divBdr>
                  <w:divsChild>
                    <w:div w:id="1875345027">
                      <w:marLeft w:val="0"/>
                      <w:marRight w:val="0"/>
                      <w:marTop w:val="0"/>
                      <w:marBottom w:val="0"/>
                      <w:divBdr>
                        <w:top w:val="none" w:sz="0" w:space="0" w:color="auto"/>
                        <w:left w:val="none" w:sz="0" w:space="0" w:color="auto"/>
                        <w:bottom w:val="none" w:sz="0" w:space="0" w:color="auto"/>
                        <w:right w:val="none" w:sz="0" w:space="0" w:color="auto"/>
                      </w:divBdr>
                    </w:div>
                  </w:divsChild>
                </w:div>
                <w:div w:id="483816649">
                  <w:marLeft w:val="0"/>
                  <w:marRight w:val="0"/>
                  <w:marTop w:val="0"/>
                  <w:marBottom w:val="0"/>
                  <w:divBdr>
                    <w:top w:val="none" w:sz="0" w:space="0" w:color="auto"/>
                    <w:left w:val="none" w:sz="0" w:space="0" w:color="auto"/>
                    <w:bottom w:val="none" w:sz="0" w:space="0" w:color="auto"/>
                    <w:right w:val="none" w:sz="0" w:space="0" w:color="auto"/>
                  </w:divBdr>
                  <w:divsChild>
                    <w:div w:id="1091776606">
                      <w:marLeft w:val="0"/>
                      <w:marRight w:val="0"/>
                      <w:marTop w:val="0"/>
                      <w:marBottom w:val="0"/>
                      <w:divBdr>
                        <w:top w:val="none" w:sz="0" w:space="0" w:color="auto"/>
                        <w:left w:val="none" w:sz="0" w:space="0" w:color="auto"/>
                        <w:bottom w:val="none" w:sz="0" w:space="0" w:color="auto"/>
                        <w:right w:val="none" w:sz="0" w:space="0" w:color="auto"/>
                      </w:divBdr>
                    </w:div>
                  </w:divsChild>
                </w:div>
                <w:div w:id="495800076">
                  <w:marLeft w:val="0"/>
                  <w:marRight w:val="0"/>
                  <w:marTop w:val="0"/>
                  <w:marBottom w:val="0"/>
                  <w:divBdr>
                    <w:top w:val="none" w:sz="0" w:space="0" w:color="auto"/>
                    <w:left w:val="none" w:sz="0" w:space="0" w:color="auto"/>
                    <w:bottom w:val="none" w:sz="0" w:space="0" w:color="auto"/>
                    <w:right w:val="none" w:sz="0" w:space="0" w:color="auto"/>
                  </w:divBdr>
                  <w:divsChild>
                    <w:div w:id="333457328">
                      <w:marLeft w:val="0"/>
                      <w:marRight w:val="0"/>
                      <w:marTop w:val="0"/>
                      <w:marBottom w:val="0"/>
                      <w:divBdr>
                        <w:top w:val="none" w:sz="0" w:space="0" w:color="auto"/>
                        <w:left w:val="none" w:sz="0" w:space="0" w:color="auto"/>
                        <w:bottom w:val="none" w:sz="0" w:space="0" w:color="auto"/>
                        <w:right w:val="none" w:sz="0" w:space="0" w:color="auto"/>
                      </w:divBdr>
                    </w:div>
                  </w:divsChild>
                </w:div>
                <w:div w:id="497697527">
                  <w:marLeft w:val="0"/>
                  <w:marRight w:val="0"/>
                  <w:marTop w:val="0"/>
                  <w:marBottom w:val="0"/>
                  <w:divBdr>
                    <w:top w:val="none" w:sz="0" w:space="0" w:color="auto"/>
                    <w:left w:val="none" w:sz="0" w:space="0" w:color="auto"/>
                    <w:bottom w:val="none" w:sz="0" w:space="0" w:color="auto"/>
                    <w:right w:val="none" w:sz="0" w:space="0" w:color="auto"/>
                  </w:divBdr>
                  <w:divsChild>
                    <w:div w:id="639264432">
                      <w:marLeft w:val="0"/>
                      <w:marRight w:val="0"/>
                      <w:marTop w:val="0"/>
                      <w:marBottom w:val="0"/>
                      <w:divBdr>
                        <w:top w:val="none" w:sz="0" w:space="0" w:color="auto"/>
                        <w:left w:val="none" w:sz="0" w:space="0" w:color="auto"/>
                        <w:bottom w:val="none" w:sz="0" w:space="0" w:color="auto"/>
                        <w:right w:val="none" w:sz="0" w:space="0" w:color="auto"/>
                      </w:divBdr>
                    </w:div>
                  </w:divsChild>
                </w:div>
                <w:div w:id="511994984">
                  <w:marLeft w:val="0"/>
                  <w:marRight w:val="0"/>
                  <w:marTop w:val="0"/>
                  <w:marBottom w:val="0"/>
                  <w:divBdr>
                    <w:top w:val="none" w:sz="0" w:space="0" w:color="auto"/>
                    <w:left w:val="none" w:sz="0" w:space="0" w:color="auto"/>
                    <w:bottom w:val="none" w:sz="0" w:space="0" w:color="auto"/>
                    <w:right w:val="none" w:sz="0" w:space="0" w:color="auto"/>
                  </w:divBdr>
                  <w:divsChild>
                    <w:div w:id="419718902">
                      <w:marLeft w:val="0"/>
                      <w:marRight w:val="0"/>
                      <w:marTop w:val="0"/>
                      <w:marBottom w:val="0"/>
                      <w:divBdr>
                        <w:top w:val="none" w:sz="0" w:space="0" w:color="auto"/>
                        <w:left w:val="none" w:sz="0" w:space="0" w:color="auto"/>
                        <w:bottom w:val="none" w:sz="0" w:space="0" w:color="auto"/>
                        <w:right w:val="none" w:sz="0" w:space="0" w:color="auto"/>
                      </w:divBdr>
                    </w:div>
                  </w:divsChild>
                </w:div>
                <w:div w:id="517473878">
                  <w:marLeft w:val="0"/>
                  <w:marRight w:val="0"/>
                  <w:marTop w:val="0"/>
                  <w:marBottom w:val="0"/>
                  <w:divBdr>
                    <w:top w:val="none" w:sz="0" w:space="0" w:color="auto"/>
                    <w:left w:val="none" w:sz="0" w:space="0" w:color="auto"/>
                    <w:bottom w:val="none" w:sz="0" w:space="0" w:color="auto"/>
                    <w:right w:val="none" w:sz="0" w:space="0" w:color="auto"/>
                  </w:divBdr>
                  <w:divsChild>
                    <w:div w:id="3169981">
                      <w:marLeft w:val="0"/>
                      <w:marRight w:val="0"/>
                      <w:marTop w:val="0"/>
                      <w:marBottom w:val="0"/>
                      <w:divBdr>
                        <w:top w:val="none" w:sz="0" w:space="0" w:color="auto"/>
                        <w:left w:val="none" w:sz="0" w:space="0" w:color="auto"/>
                        <w:bottom w:val="none" w:sz="0" w:space="0" w:color="auto"/>
                        <w:right w:val="none" w:sz="0" w:space="0" w:color="auto"/>
                      </w:divBdr>
                    </w:div>
                  </w:divsChild>
                </w:div>
                <w:div w:id="533813175">
                  <w:marLeft w:val="0"/>
                  <w:marRight w:val="0"/>
                  <w:marTop w:val="0"/>
                  <w:marBottom w:val="0"/>
                  <w:divBdr>
                    <w:top w:val="none" w:sz="0" w:space="0" w:color="auto"/>
                    <w:left w:val="none" w:sz="0" w:space="0" w:color="auto"/>
                    <w:bottom w:val="none" w:sz="0" w:space="0" w:color="auto"/>
                    <w:right w:val="none" w:sz="0" w:space="0" w:color="auto"/>
                  </w:divBdr>
                  <w:divsChild>
                    <w:div w:id="327094407">
                      <w:marLeft w:val="0"/>
                      <w:marRight w:val="0"/>
                      <w:marTop w:val="0"/>
                      <w:marBottom w:val="0"/>
                      <w:divBdr>
                        <w:top w:val="none" w:sz="0" w:space="0" w:color="auto"/>
                        <w:left w:val="none" w:sz="0" w:space="0" w:color="auto"/>
                        <w:bottom w:val="none" w:sz="0" w:space="0" w:color="auto"/>
                        <w:right w:val="none" w:sz="0" w:space="0" w:color="auto"/>
                      </w:divBdr>
                    </w:div>
                  </w:divsChild>
                </w:div>
                <w:div w:id="542328768">
                  <w:marLeft w:val="0"/>
                  <w:marRight w:val="0"/>
                  <w:marTop w:val="0"/>
                  <w:marBottom w:val="0"/>
                  <w:divBdr>
                    <w:top w:val="none" w:sz="0" w:space="0" w:color="auto"/>
                    <w:left w:val="none" w:sz="0" w:space="0" w:color="auto"/>
                    <w:bottom w:val="none" w:sz="0" w:space="0" w:color="auto"/>
                    <w:right w:val="none" w:sz="0" w:space="0" w:color="auto"/>
                  </w:divBdr>
                  <w:divsChild>
                    <w:div w:id="1521047095">
                      <w:marLeft w:val="0"/>
                      <w:marRight w:val="0"/>
                      <w:marTop w:val="0"/>
                      <w:marBottom w:val="0"/>
                      <w:divBdr>
                        <w:top w:val="none" w:sz="0" w:space="0" w:color="auto"/>
                        <w:left w:val="none" w:sz="0" w:space="0" w:color="auto"/>
                        <w:bottom w:val="none" w:sz="0" w:space="0" w:color="auto"/>
                        <w:right w:val="none" w:sz="0" w:space="0" w:color="auto"/>
                      </w:divBdr>
                    </w:div>
                  </w:divsChild>
                </w:div>
                <w:div w:id="557859274">
                  <w:marLeft w:val="0"/>
                  <w:marRight w:val="0"/>
                  <w:marTop w:val="0"/>
                  <w:marBottom w:val="0"/>
                  <w:divBdr>
                    <w:top w:val="none" w:sz="0" w:space="0" w:color="auto"/>
                    <w:left w:val="none" w:sz="0" w:space="0" w:color="auto"/>
                    <w:bottom w:val="none" w:sz="0" w:space="0" w:color="auto"/>
                    <w:right w:val="none" w:sz="0" w:space="0" w:color="auto"/>
                  </w:divBdr>
                  <w:divsChild>
                    <w:div w:id="1450662876">
                      <w:marLeft w:val="0"/>
                      <w:marRight w:val="0"/>
                      <w:marTop w:val="0"/>
                      <w:marBottom w:val="0"/>
                      <w:divBdr>
                        <w:top w:val="none" w:sz="0" w:space="0" w:color="auto"/>
                        <w:left w:val="none" w:sz="0" w:space="0" w:color="auto"/>
                        <w:bottom w:val="none" w:sz="0" w:space="0" w:color="auto"/>
                        <w:right w:val="none" w:sz="0" w:space="0" w:color="auto"/>
                      </w:divBdr>
                    </w:div>
                  </w:divsChild>
                </w:div>
                <w:div w:id="560676214">
                  <w:marLeft w:val="0"/>
                  <w:marRight w:val="0"/>
                  <w:marTop w:val="0"/>
                  <w:marBottom w:val="0"/>
                  <w:divBdr>
                    <w:top w:val="none" w:sz="0" w:space="0" w:color="auto"/>
                    <w:left w:val="none" w:sz="0" w:space="0" w:color="auto"/>
                    <w:bottom w:val="none" w:sz="0" w:space="0" w:color="auto"/>
                    <w:right w:val="none" w:sz="0" w:space="0" w:color="auto"/>
                  </w:divBdr>
                  <w:divsChild>
                    <w:div w:id="1249578833">
                      <w:marLeft w:val="0"/>
                      <w:marRight w:val="0"/>
                      <w:marTop w:val="0"/>
                      <w:marBottom w:val="0"/>
                      <w:divBdr>
                        <w:top w:val="none" w:sz="0" w:space="0" w:color="auto"/>
                        <w:left w:val="none" w:sz="0" w:space="0" w:color="auto"/>
                        <w:bottom w:val="none" w:sz="0" w:space="0" w:color="auto"/>
                        <w:right w:val="none" w:sz="0" w:space="0" w:color="auto"/>
                      </w:divBdr>
                    </w:div>
                  </w:divsChild>
                </w:div>
                <w:div w:id="563610090">
                  <w:marLeft w:val="0"/>
                  <w:marRight w:val="0"/>
                  <w:marTop w:val="0"/>
                  <w:marBottom w:val="0"/>
                  <w:divBdr>
                    <w:top w:val="none" w:sz="0" w:space="0" w:color="auto"/>
                    <w:left w:val="none" w:sz="0" w:space="0" w:color="auto"/>
                    <w:bottom w:val="none" w:sz="0" w:space="0" w:color="auto"/>
                    <w:right w:val="none" w:sz="0" w:space="0" w:color="auto"/>
                  </w:divBdr>
                  <w:divsChild>
                    <w:div w:id="1243762774">
                      <w:marLeft w:val="0"/>
                      <w:marRight w:val="0"/>
                      <w:marTop w:val="0"/>
                      <w:marBottom w:val="0"/>
                      <w:divBdr>
                        <w:top w:val="none" w:sz="0" w:space="0" w:color="auto"/>
                        <w:left w:val="none" w:sz="0" w:space="0" w:color="auto"/>
                        <w:bottom w:val="none" w:sz="0" w:space="0" w:color="auto"/>
                        <w:right w:val="none" w:sz="0" w:space="0" w:color="auto"/>
                      </w:divBdr>
                    </w:div>
                  </w:divsChild>
                </w:div>
                <w:div w:id="566502029">
                  <w:marLeft w:val="0"/>
                  <w:marRight w:val="0"/>
                  <w:marTop w:val="0"/>
                  <w:marBottom w:val="0"/>
                  <w:divBdr>
                    <w:top w:val="none" w:sz="0" w:space="0" w:color="auto"/>
                    <w:left w:val="none" w:sz="0" w:space="0" w:color="auto"/>
                    <w:bottom w:val="none" w:sz="0" w:space="0" w:color="auto"/>
                    <w:right w:val="none" w:sz="0" w:space="0" w:color="auto"/>
                  </w:divBdr>
                  <w:divsChild>
                    <w:div w:id="875698809">
                      <w:marLeft w:val="0"/>
                      <w:marRight w:val="0"/>
                      <w:marTop w:val="0"/>
                      <w:marBottom w:val="0"/>
                      <w:divBdr>
                        <w:top w:val="none" w:sz="0" w:space="0" w:color="auto"/>
                        <w:left w:val="none" w:sz="0" w:space="0" w:color="auto"/>
                        <w:bottom w:val="none" w:sz="0" w:space="0" w:color="auto"/>
                        <w:right w:val="none" w:sz="0" w:space="0" w:color="auto"/>
                      </w:divBdr>
                    </w:div>
                  </w:divsChild>
                </w:div>
                <w:div w:id="575483623">
                  <w:marLeft w:val="0"/>
                  <w:marRight w:val="0"/>
                  <w:marTop w:val="0"/>
                  <w:marBottom w:val="0"/>
                  <w:divBdr>
                    <w:top w:val="none" w:sz="0" w:space="0" w:color="auto"/>
                    <w:left w:val="none" w:sz="0" w:space="0" w:color="auto"/>
                    <w:bottom w:val="none" w:sz="0" w:space="0" w:color="auto"/>
                    <w:right w:val="none" w:sz="0" w:space="0" w:color="auto"/>
                  </w:divBdr>
                  <w:divsChild>
                    <w:div w:id="1032729674">
                      <w:marLeft w:val="0"/>
                      <w:marRight w:val="0"/>
                      <w:marTop w:val="0"/>
                      <w:marBottom w:val="0"/>
                      <w:divBdr>
                        <w:top w:val="none" w:sz="0" w:space="0" w:color="auto"/>
                        <w:left w:val="none" w:sz="0" w:space="0" w:color="auto"/>
                        <w:bottom w:val="none" w:sz="0" w:space="0" w:color="auto"/>
                        <w:right w:val="none" w:sz="0" w:space="0" w:color="auto"/>
                      </w:divBdr>
                    </w:div>
                  </w:divsChild>
                </w:div>
                <w:div w:id="576473509">
                  <w:marLeft w:val="0"/>
                  <w:marRight w:val="0"/>
                  <w:marTop w:val="0"/>
                  <w:marBottom w:val="0"/>
                  <w:divBdr>
                    <w:top w:val="none" w:sz="0" w:space="0" w:color="auto"/>
                    <w:left w:val="none" w:sz="0" w:space="0" w:color="auto"/>
                    <w:bottom w:val="none" w:sz="0" w:space="0" w:color="auto"/>
                    <w:right w:val="none" w:sz="0" w:space="0" w:color="auto"/>
                  </w:divBdr>
                  <w:divsChild>
                    <w:div w:id="1578248352">
                      <w:marLeft w:val="0"/>
                      <w:marRight w:val="0"/>
                      <w:marTop w:val="0"/>
                      <w:marBottom w:val="0"/>
                      <w:divBdr>
                        <w:top w:val="none" w:sz="0" w:space="0" w:color="auto"/>
                        <w:left w:val="none" w:sz="0" w:space="0" w:color="auto"/>
                        <w:bottom w:val="none" w:sz="0" w:space="0" w:color="auto"/>
                        <w:right w:val="none" w:sz="0" w:space="0" w:color="auto"/>
                      </w:divBdr>
                    </w:div>
                  </w:divsChild>
                </w:div>
                <w:div w:id="591547286">
                  <w:marLeft w:val="0"/>
                  <w:marRight w:val="0"/>
                  <w:marTop w:val="0"/>
                  <w:marBottom w:val="0"/>
                  <w:divBdr>
                    <w:top w:val="none" w:sz="0" w:space="0" w:color="auto"/>
                    <w:left w:val="none" w:sz="0" w:space="0" w:color="auto"/>
                    <w:bottom w:val="none" w:sz="0" w:space="0" w:color="auto"/>
                    <w:right w:val="none" w:sz="0" w:space="0" w:color="auto"/>
                  </w:divBdr>
                  <w:divsChild>
                    <w:div w:id="175970970">
                      <w:marLeft w:val="0"/>
                      <w:marRight w:val="0"/>
                      <w:marTop w:val="0"/>
                      <w:marBottom w:val="0"/>
                      <w:divBdr>
                        <w:top w:val="none" w:sz="0" w:space="0" w:color="auto"/>
                        <w:left w:val="none" w:sz="0" w:space="0" w:color="auto"/>
                        <w:bottom w:val="none" w:sz="0" w:space="0" w:color="auto"/>
                        <w:right w:val="none" w:sz="0" w:space="0" w:color="auto"/>
                      </w:divBdr>
                    </w:div>
                  </w:divsChild>
                </w:div>
                <w:div w:id="594751078">
                  <w:marLeft w:val="0"/>
                  <w:marRight w:val="0"/>
                  <w:marTop w:val="0"/>
                  <w:marBottom w:val="0"/>
                  <w:divBdr>
                    <w:top w:val="none" w:sz="0" w:space="0" w:color="auto"/>
                    <w:left w:val="none" w:sz="0" w:space="0" w:color="auto"/>
                    <w:bottom w:val="none" w:sz="0" w:space="0" w:color="auto"/>
                    <w:right w:val="none" w:sz="0" w:space="0" w:color="auto"/>
                  </w:divBdr>
                  <w:divsChild>
                    <w:div w:id="1941183711">
                      <w:marLeft w:val="0"/>
                      <w:marRight w:val="0"/>
                      <w:marTop w:val="0"/>
                      <w:marBottom w:val="0"/>
                      <w:divBdr>
                        <w:top w:val="none" w:sz="0" w:space="0" w:color="auto"/>
                        <w:left w:val="none" w:sz="0" w:space="0" w:color="auto"/>
                        <w:bottom w:val="none" w:sz="0" w:space="0" w:color="auto"/>
                        <w:right w:val="none" w:sz="0" w:space="0" w:color="auto"/>
                      </w:divBdr>
                    </w:div>
                  </w:divsChild>
                </w:div>
                <w:div w:id="610628442">
                  <w:marLeft w:val="0"/>
                  <w:marRight w:val="0"/>
                  <w:marTop w:val="0"/>
                  <w:marBottom w:val="0"/>
                  <w:divBdr>
                    <w:top w:val="none" w:sz="0" w:space="0" w:color="auto"/>
                    <w:left w:val="none" w:sz="0" w:space="0" w:color="auto"/>
                    <w:bottom w:val="none" w:sz="0" w:space="0" w:color="auto"/>
                    <w:right w:val="none" w:sz="0" w:space="0" w:color="auto"/>
                  </w:divBdr>
                  <w:divsChild>
                    <w:div w:id="894316808">
                      <w:marLeft w:val="0"/>
                      <w:marRight w:val="0"/>
                      <w:marTop w:val="0"/>
                      <w:marBottom w:val="0"/>
                      <w:divBdr>
                        <w:top w:val="none" w:sz="0" w:space="0" w:color="auto"/>
                        <w:left w:val="none" w:sz="0" w:space="0" w:color="auto"/>
                        <w:bottom w:val="none" w:sz="0" w:space="0" w:color="auto"/>
                        <w:right w:val="none" w:sz="0" w:space="0" w:color="auto"/>
                      </w:divBdr>
                    </w:div>
                  </w:divsChild>
                </w:div>
                <w:div w:id="612058935">
                  <w:marLeft w:val="0"/>
                  <w:marRight w:val="0"/>
                  <w:marTop w:val="0"/>
                  <w:marBottom w:val="0"/>
                  <w:divBdr>
                    <w:top w:val="none" w:sz="0" w:space="0" w:color="auto"/>
                    <w:left w:val="none" w:sz="0" w:space="0" w:color="auto"/>
                    <w:bottom w:val="none" w:sz="0" w:space="0" w:color="auto"/>
                    <w:right w:val="none" w:sz="0" w:space="0" w:color="auto"/>
                  </w:divBdr>
                  <w:divsChild>
                    <w:div w:id="1814366406">
                      <w:marLeft w:val="0"/>
                      <w:marRight w:val="0"/>
                      <w:marTop w:val="0"/>
                      <w:marBottom w:val="0"/>
                      <w:divBdr>
                        <w:top w:val="none" w:sz="0" w:space="0" w:color="auto"/>
                        <w:left w:val="none" w:sz="0" w:space="0" w:color="auto"/>
                        <w:bottom w:val="none" w:sz="0" w:space="0" w:color="auto"/>
                        <w:right w:val="none" w:sz="0" w:space="0" w:color="auto"/>
                      </w:divBdr>
                    </w:div>
                  </w:divsChild>
                </w:div>
                <w:div w:id="615991184">
                  <w:marLeft w:val="0"/>
                  <w:marRight w:val="0"/>
                  <w:marTop w:val="0"/>
                  <w:marBottom w:val="0"/>
                  <w:divBdr>
                    <w:top w:val="none" w:sz="0" w:space="0" w:color="auto"/>
                    <w:left w:val="none" w:sz="0" w:space="0" w:color="auto"/>
                    <w:bottom w:val="none" w:sz="0" w:space="0" w:color="auto"/>
                    <w:right w:val="none" w:sz="0" w:space="0" w:color="auto"/>
                  </w:divBdr>
                  <w:divsChild>
                    <w:div w:id="844052702">
                      <w:marLeft w:val="0"/>
                      <w:marRight w:val="0"/>
                      <w:marTop w:val="0"/>
                      <w:marBottom w:val="0"/>
                      <w:divBdr>
                        <w:top w:val="none" w:sz="0" w:space="0" w:color="auto"/>
                        <w:left w:val="none" w:sz="0" w:space="0" w:color="auto"/>
                        <w:bottom w:val="none" w:sz="0" w:space="0" w:color="auto"/>
                        <w:right w:val="none" w:sz="0" w:space="0" w:color="auto"/>
                      </w:divBdr>
                    </w:div>
                  </w:divsChild>
                </w:div>
                <w:div w:id="616176463">
                  <w:marLeft w:val="0"/>
                  <w:marRight w:val="0"/>
                  <w:marTop w:val="0"/>
                  <w:marBottom w:val="0"/>
                  <w:divBdr>
                    <w:top w:val="none" w:sz="0" w:space="0" w:color="auto"/>
                    <w:left w:val="none" w:sz="0" w:space="0" w:color="auto"/>
                    <w:bottom w:val="none" w:sz="0" w:space="0" w:color="auto"/>
                    <w:right w:val="none" w:sz="0" w:space="0" w:color="auto"/>
                  </w:divBdr>
                  <w:divsChild>
                    <w:div w:id="17974351">
                      <w:marLeft w:val="0"/>
                      <w:marRight w:val="0"/>
                      <w:marTop w:val="0"/>
                      <w:marBottom w:val="0"/>
                      <w:divBdr>
                        <w:top w:val="none" w:sz="0" w:space="0" w:color="auto"/>
                        <w:left w:val="none" w:sz="0" w:space="0" w:color="auto"/>
                        <w:bottom w:val="none" w:sz="0" w:space="0" w:color="auto"/>
                        <w:right w:val="none" w:sz="0" w:space="0" w:color="auto"/>
                      </w:divBdr>
                    </w:div>
                  </w:divsChild>
                </w:div>
                <w:div w:id="641277761">
                  <w:marLeft w:val="0"/>
                  <w:marRight w:val="0"/>
                  <w:marTop w:val="0"/>
                  <w:marBottom w:val="0"/>
                  <w:divBdr>
                    <w:top w:val="none" w:sz="0" w:space="0" w:color="auto"/>
                    <w:left w:val="none" w:sz="0" w:space="0" w:color="auto"/>
                    <w:bottom w:val="none" w:sz="0" w:space="0" w:color="auto"/>
                    <w:right w:val="none" w:sz="0" w:space="0" w:color="auto"/>
                  </w:divBdr>
                  <w:divsChild>
                    <w:div w:id="1117066352">
                      <w:marLeft w:val="0"/>
                      <w:marRight w:val="0"/>
                      <w:marTop w:val="0"/>
                      <w:marBottom w:val="0"/>
                      <w:divBdr>
                        <w:top w:val="none" w:sz="0" w:space="0" w:color="auto"/>
                        <w:left w:val="none" w:sz="0" w:space="0" w:color="auto"/>
                        <w:bottom w:val="none" w:sz="0" w:space="0" w:color="auto"/>
                        <w:right w:val="none" w:sz="0" w:space="0" w:color="auto"/>
                      </w:divBdr>
                    </w:div>
                  </w:divsChild>
                </w:div>
                <w:div w:id="666520863">
                  <w:marLeft w:val="0"/>
                  <w:marRight w:val="0"/>
                  <w:marTop w:val="0"/>
                  <w:marBottom w:val="0"/>
                  <w:divBdr>
                    <w:top w:val="none" w:sz="0" w:space="0" w:color="auto"/>
                    <w:left w:val="none" w:sz="0" w:space="0" w:color="auto"/>
                    <w:bottom w:val="none" w:sz="0" w:space="0" w:color="auto"/>
                    <w:right w:val="none" w:sz="0" w:space="0" w:color="auto"/>
                  </w:divBdr>
                  <w:divsChild>
                    <w:div w:id="1708019198">
                      <w:marLeft w:val="0"/>
                      <w:marRight w:val="0"/>
                      <w:marTop w:val="0"/>
                      <w:marBottom w:val="0"/>
                      <w:divBdr>
                        <w:top w:val="none" w:sz="0" w:space="0" w:color="auto"/>
                        <w:left w:val="none" w:sz="0" w:space="0" w:color="auto"/>
                        <w:bottom w:val="none" w:sz="0" w:space="0" w:color="auto"/>
                        <w:right w:val="none" w:sz="0" w:space="0" w:color="auto"/>
                      </w:divBdr>
                    </w:div>
                  </w:divsChild>
                </w:div>
                <w:div w:id="670259378">
                  <w:marLeft w:val="0"/>
                  <w:marRight w:val="0"/>
                  <w:marTop w:val="0"/>
                  <w:marBottom w:val="0"/>
                  <w:divBdr>
                    <w:top w:val="none" w:sz="0" w:space="0" w:color="auto"/>
                    <w:left w:val="none" w:sz="0" w:space="0" w:color="auto"/>
                    <w:bottom w:val="none" w:sz="0" w:space="0" w:color="auto"/>
                    <w:right w:val="none" w:sz="0" w:space="0" w:color="auto"/>
                  </w:divBdr>
                  <w:divsChild>
                    <w:div w:id="1893081625">
                      <w:marLeft w:val="0"/>
                      <w:marRight w:val="0"/>
                      <w:marTop w:val="0"/>
                      <w:marBottom w:val="0"/>
                      <w:divBdr>
                        <w:top w:val="none" w:sz="0" w:space="0" w:color="auto"/>
                        <w:left w:val="none" w:sz="0" w:space="0" w:color="auto"/>
                        <w:bottom w:val="none" w:sz="0" w:space="0" w:color="auto"/>
                        <w:right w:val="none" w:sz="0" w:space="0" w:color="auto"/>
                      </w:divBdr>
                    </w:div>
                  </w:divsChild>
                </w:div>
                <w:div w:id="670371869">
                  <w:marLeft w:val="0"/>
                  <w:marRight w:val="0"/>
                  <w:marTop w:val="0"/>
                  <w:marBottom w:val="0"/>
                  <w:divBdr>
                    <w:top w:val="none" w:sz="0" w:space="0" w:color="auto"/>
                    <w:left w:val="none" w:sz="0" w:space="0" w:color="auto"/>
                    <w:bottom w:val="none" w:sz="0" w:space="0" w:color="auto"/>
                    <w:right w:val="none" w:sz="0" w:space="0" w:color="auto"/>
                  </w:divBdr>
                  <w:divsChild>
                    <w:div w:id="1525560128">
                      <w:marLeft w:val="0"/>
                      <w:marRight w:val="0"/>
                      <w:marTop w:val="0"/>
                      <w:marBottom w:val="0"/>
                      <w:divBdr>
                        <w:top w:val="none" w:sz="0" w:space="0" w:color="auto"/>
                        <w:left w:val="none" w:sz="0" w:space="0" w:color="auto"/>
                        <w:bottom w:val="none" w:sz="0" w:space="0" w:color="auto"/>
                        <w:right w:val="none" w:sz="0" w:space="0" w:color="auto"/>
                      </w:divBdr>
                    </w:div>
                  </w:divsChild>
                </w:div>
                <w:div w:id="690767287">
                  <w:marLeft w:val="0"/>
                  <w:marRight w:val="0"/>
                  <w:marTop w:val="0"/>
                  <w:marBottom w:val="0"/>
                  <w:divBdr>
                    <w:top w:val="none" w:sz="0" w:space="0" w:color="auto"/>
                    <w:left w:val="none" w:sz="0" w:space="0" w:color="auto"/>
                    <w:bottom w:val="none" w:sz="0" w:space="0" w:color="auto"/>
                    <w:right w:val="none" w:sz="0" w:space="0" w:color="auto"/>
                  </w:divBdr>
                  <w:divsChild>
                    <w:div w:id="601646932">
                      <w:marLeft w:val="0"/>
                      <w:marRight w:val="0"/>
                      <w:marTop w:val="0"/>
                      <w:marBottom w:val="0"/>
                      <w:divBdr>
                        <w:top w:val="none" w:sz="0" w:space="0" w:color="auto"/>
                        <w:left w:val="none" w:sz="0" w:space="0" w:color="auto"/>
                        <w:bottom w:val="none" w:sz="0" w:space="0" w:color="auto"/>
                        <w:right w:val="none" w:sz="0" w:space="0" w:color="auto"/>
                      </w:divBdr>
                    </w:div>
                  </w:divsChild>
                </w:div>
                <w:div w:id="692078597">
                  <w:marLeft w:val="0"/>
                  <w:marRight w:val="0"/>
                  <w:marTop w:val="0"/>
                  <w:marBottom w:val="0"/>
                  <w:divBdr>
                    <w:top w:val="none" w:sz="0" w:space="0" w:color="auto"/>
                    <w:left w:val="none" w:sz="0" w:space="0" w:color="auto"/>
                    <w:bottom w:val="none" w:sz="0" w:space="0" w:color="auto"/>
                    <w:right w:val="none" w:sz="0" w:space="0" w:color="auto"/>
                  </w:divBdr>
                  <w:divsChild>
                    <w:div w:id="1908876275">
                      <w:marLeft w:val="0"/>
                      <w:marRight w:val="0"/>
                      <w:marTop w:val="0"/>
                      <w:marBottom w:val="0"/>
                      <w:divBdr>
                        <w:top w:val="none" w:sz="0" w:space="0" w:color="auto"/>
                        <w:left w:val="none" w:sz="0" w:space="0" w:color="auto"/>
                        <w:bottom w:val="none" w:sz="0" w:space="0" w:color="auto"/>
                        <w:right w:val="none" w:sz="0" w:space="0" w:color="auto"/>
                      </w:divBdr>
                    </w:div>
                  </w:divsChild>
                </w:div>
                <w:div w:id="701978990">
                  <w:marLeft w:val="0"/>
                  <w:marRight w:val="0"/>
                  <w:marTop w:val="0"/>
                  <w:marBottom w:val="0"/>
                  <w:divBdr>
                    <w:top w:val="none" w:sz="0" w:space="0" w:color="auto"/>
                    <w:left w:val="none" w:sz="0" w:space="0" w:color="auto"/>
                    <w:bottom w:val="none" w:sz="0" w:space="0" w:color="auto"/>
                    <w:right w:val="none" w:sz="0" w:space="0" w:color="auto"/>
                  </w:divBdr>
                  <w:divsChild>
                    <w:div w:id="1799253674">
                      <w:marLeft w:val="0"/>
                      <w:marRight w:val="0"/>
                      <w:marTop w:val="0"/>
                      <w:marBottom w:val="0"/>
                      <w:divBdr>
                        <w:top w:val="none" w:sz="0" w:space="0" w:color="auto"/>
                        <w:left w:val="none" w:sz="0" w:space="0" w:color="auto"/>
                        <w:bottom w:val="none" w:sz="0" w:space="0" w:color="auto"/>
                        <w:right w:val="none" w:sz="0" w:space="0" w:color="auto"/>
                      </w:divBdr>
                    </w:div>
                  </w:divsChild>
                </w:div>
                <w:div w:id="704797292">
                  <w:marLeft w:val="0"/>
                  <w:marRight w:val="0"/>
                  <w:marTop w:val="0"/>
                  <w:marBottom w:val="0"/>
                  <w:divBdr>
                    <w:top w:val="none" w:sz="0" w:space="0" w:color="auto"/>
                    <w:left w:val="none" w:sz="0" w:space="0" w:color="auto"/>
                    <w:bottom w:val="none" w:sz="0" w:space="0" w:color="auto"/>
                    <w:right w:val="none" w:sz="0" w:space="0" w:color="auto"/>
                  </w:divBdr>
                  <w:divsChild>
                    <w:div w:id="1929270606">
                      <w:marLeft w:val="0"/>
                      <w:marRight w:val="0"/>
                      <w:marTop w:val="0"/>
                      <w:marBottom w:val="0"/>
                      <w:divBdr>
                        <w:top w:val="none" w:sz="0" w:space="0" w:color="auto"/>
                        <w:left w:val="none" w:sz="0" w:space="0" w:color="auto"/>
                        <w:bottom w:val="none" w:sz="0" w:space="0" w:color="auto"/>
                        <w:right w:val="none" w:sz="0" w:space="0" w:color="auto"/>
                      </w:divBdr>
                    </w:div>
                  </w:divsChild>
                </w:div>
                <w:div w:id="708408968">
                  <w:marLeft w:val="0"/>
                  <w:marRight w:val="0"/>
                  <w:marTop w:val="0"/>
                  <w:marBottom w:val="0"/>
                  <w:divBdr>
                    <w:top w:val="none" w:sz="0" w:space="0" w:color="auto"/>
                    <w:left w:val="none" w:sz="0" w:space="0" w:color="auto"/>
                    <w:bottom w:val="none" w:sz="0" w:space="0" w:color="auto"/>
                    <w:right w:val="none" w:sz="0" w:space="0" w:color="auto"/>
                  </w:divBdr>
                  <w:divsChild>
                    <w:div w:id="1355500874">
                      <w:marLeft w:val="0"/>
                      <w:marRight w:val="0"/>
                      <w:marTop w:val="0"/>
                      <w:marBottom w:val="0"/>
                      <w:divBdr>
                        <w:top w:val="none" w:sz="0" w:space="0" w:color="auto"/>
                        <w:left w:val="none" w:sz="0" w:space="0" w:color="auto"/>
                        <w:bottom w:val="none" w:sz="0" w:space="0" w:color="auto"/>
                        <w:right w:val="none" w:sz="0" w:space="0" w:color="auto"/>
                      </w:divBdr>
                    </w:div>
                  </w:divsChild>
                </w:div>
                <w:div w:id="723991207">
                  <w:marLeft w:val="0"/>
                  <w:marRight w:val="0"/>
                  <w:marTop w:val="0"/>
                  <w:marBottom w:val="0"/>
                  <w:divBdr>
                    <w:top w:val="none" w:sz="0" w:space="0" w:color="auto"/>
                    <w:left w:val="none" w:sz="0" w:space="0" w:color="auto"/>
                    <w:bottom w:val="none" w:sz="0" w:space="0" w:color="auto"/>
                    <w:right w:val="none" w:sz="0" w:space="0" w:color="auto"/>
                  </w:divBdr>
                  <w:divsChild>
                    <w:div w:id="230232922">
                      <w:marLeft w:val="0"/>
                      <w:marRight w:val="0"/>
                      <w:marTop w:val="0"/>
                      <w:marBottom w:val="0"/>
                      <w:divBdr>
                        <w:top w:val="none" w:sz="0" w:space="0" w:color="auto"/>
                        <w:left w:val="none" w:sz="0" w:space="0" w:color="auto"/>
                        <w:bottom w:val="none" w:sz="0" w:space="0" w:color="auto"/>
                        <w:right w:val="none" w:sz="0" w:space="0" w:color="auto"/>
                      </w:divBdr>
                    </w:div>
                    <w:div w:id="339819875">
                      <w:marLeft w:val="0"/>
                      <w:marRight w:val="0"/>
                      <w:marTop w:val="0"/>
                      <w:marBottom w:val="0"/>
                      <w:divBdr>
                        <w:top w:val="none" w:sz="0" w:space="0" w:color="auto"/>
                        <w:left w:val="none" w:sz="0" w:space="0" w:color="auto"/>
                        <w:bottom w:val="none" w:sz="0" w:space="0" w:color="auto"/>
                        <w:right w:val="none" w:sz="0" w:space="0" w:color="auto"/>
                      </w:divBdr>
                    </w:div>
                    <w:div w:id="372079290">
                      <w:marLeft w:val="0"/>
                      <w:marRight w:val="0"/>
                      <w:marTop w:val="0"/>
                      <w:marBottom w:val="0"/>
                      <w:divBdr>
                        <w:top w:val="none" w:sz="0" w:space="0" w:color="auto"/>
                        <w:left w:val="none" w:sz="0" w:space="0" w:color="auto"/>
                        <w:bottom w:val="none" w:sz="0" w:space="0" w:color="auto"/>
                        <w:right w:val="none" w:sz="0" w:space="0" w:color="auto"/>
                      </w:divBdr>
                    </w:div>
                    <w:div w:id="501244174">
                      <w:marLeft w:val="0"/>
                      <w:marRight w:val="0"/>
                      <w:marTop w:val="0"/>
                      <w:marBottom w:val="0"/>
                      <w:divBdr>
                        <w:top w:val="none" w:sz="0" w:space="0" w:color="auto"/>
                        <w:left w:val="none" w:sz="0" w:space="0" w:color="auto"/>
                        <w:bottom w:val="none" w:sz="0" w:space="0" w:color="auto"/>
                        <w:right w:val="none" w:sz="0" w:space="0" w:color="auto"/>
                      </w:divBdr>
                    </w:div>
                    <w:div w:id="580331368">
                      <w:marLeft w:val="0"/>
                      <w:marRight w:val="0"/>
                      <w:marTop w:val="0"/>
                      <w:marBottom w:val="0"/>
                      <w:divBdr>
                        <w:top w:val="none" w:sz="0" w:space="0" w:color="auto"/>
                        <w:left w:val="none" w:sz="0" w:space="0" w:color="auto"/>
                        <w:bottom w:val="none" w:sz="0" w:space="0" w:color="auto"/>
                        <w:right w:val="none" w:sz="0" w:space="0" w:color="auto"/>
                      </w:divBdr>
                    </w:div>
                    <w:div w:id="741683675">
                      <w:marLeft w:val="0"/>
                      <w:marRight w:val="0"/>
                      <w:marTop w:val="0"/>
                      <w:marBottom w:val="0"/>
                      <w:divBdr>
                        <w:top w:val="none" w:sz="0" w:space="0" w:color="auto"/>
                        <w:left w:val="none" w:sz="0" w:space="0" w:color="auto"/>
                        <w:bottom w:val="none" w:sz="0" w:space="0" w:color="auto"/>
                        <w:right w:val="none" w:sz="0" w:space="0" w:color="auto"/>
                      </w:divBdr>
                    </w:div>
                    <w:div w:id="1059746835">
                      <w:marLeft w:val="0"/>
                      <w:marRight w:val="0"/>
                      <w:marTop w:val="0"/>
                      <w:marBottom w:val="0"/>
                      <w:divBdr>
                        <w:top w:val="none" w:sz="0" w:space="0" w:color="auto"/>
                        <w:left w:val="none" w:sz="0" w:space="0" w:color="auto"/>
                        <w:bottom w:val="none" w:sz="0" w:space="0" w:color="auto"/>
                        <w:right w:val="none" w:sz="0" w:space="0" w:color="auto"/>
                      </w:divBdr>
                    </w:div>
                    <w:div w:id="1194002131">
                      <w:marLeft w:val="0"/>
                      <w:marRight w:val="0"/>
                      <w:marTop w:val="0"/>
                      <w:marBottom w:val="0"/>
                      <w:divBdr>
                        <w:top w:val="none" w:sz="0" w:space="0" w:color="auto"/>
                        <w:left w:val="none" w:sz="0" w:space="0" w:color="auto"/>
                        <w:bottom w:val="none" w:sz="0" w:space="0" w:color="auto"/>
                        <w:right w:val="none" w:sz="0" w:space="0" w:color="auto"/>
                      </w:divBdr>
                    </w:div>
                    <w:div w:id="1423069549">
                      <w:marLeft w:val="0"/>
                      <w:marRight w:val="0"/>
                      <w:marTop w:val="0"/>
                      <w:marBottom w:val="0"/>
                      <w:divBdr>
                        <w:top w:val="none" w:sz="0" w:space="0" w:color="auto"/>
                        <w:left w:val="none" w:sz="0" w:space="0" w:color="auto"/>
                        <w:bottom w:val="none" w:sz="0" w:space="0" w:color="auto"/>
                        <w:right w:val="none" w:sz="0" w:space="0" w:color="auto"/>
                      </w:divBdr>
                    </w:div>
                    <w:div w:id="2124181970">
                      <w:marLeft w:val="0"/>
                      <w:marRight w:val="0"/>
                      <w:marTop w:val="0"/>
                      <w:marBottom w:val="0"/>
                      <w:divBdr>
                        <w:top w:val="none" w:sz="0" w:space="0" w:color="auto"/>
                        <w:left w:val="none" w:sz="0" w:space="0" w:color="auto"/>
                        <w:bottom w:val="none" w:sz="0" w:space="0" w:color="auto"/>
                        <w:right w:val="none" w:sz="0" w:space="0" w:color="auto"/>
                      </w:divBdr>
                    </w:div>
                    <w:div w:id="2145462261">
                      <w:marLeft w:val="0"/>
                      <w:marRight w:val="0"/>
                      <w:marTop w:val="0"/>
                      <w:marBottom w:val="0"/>
                      <w:divBdr>
                        <w:top w:val="none" w:sz="0" w:space="0" w:color="auto"/>
                        <w:left w:val="none" w:sz="0" w:space="0" w:color="auto"/>
                        <w:bottom w:val="none" w:sz="0" w:space="0" w:color="auto"/>
                        <w:right w:val="none" w:sz="0" w:space="0" w:color="auto"/>
                      </w:divBdr>
                    </w:div>
                  </w:divsChild>
                </w:div>
                <w:div w:id="735278074">
                  <w:marLeft w:val="0"/>
                  <w:marRight w:val="0"/>
                  <w:marTop w:val="0"/>
                  <w:marBottom w:val="0"/>
                  <w:divBdr>
                    <w:top w:val="none" w:sz="0" w:space="0" w:color="auto"/>
                    <w:left w:val="none" w:sz="0" w:space="0" w:color="auto"/>
                    <w:bottom w:val="none" w:sz="0" w:space="0" w:color="auto"/>
                    <w:right w:val="none" w:sz="0" w:space="0" w:color="auto"/>
                  </w:divBdr>
                  <w:divsChild>
                    <w:div w:id="1632705863">
                      <w:marLeft w:val="0"/>
                      <w:marRight w:val="0"/>
                      <w:marTop w:val="0"/>
                      <w:marBottom w:val="0"/>
                      <w:divBdr>
                        <w:top w:val="none" w:sz="0" w:space="0" w:color="auto"/>
                        <w:left w:val="none" w:sz="0" w:space="0" w:color="auto"/>
                        <w:bottom w:val="none" w:sz="0" w:space="0" w:color="auto"/>
                        <w:right w:val="none" w:sz="0" w:space="0" w:color="auto"/>
                      </w:divBdr>
                    </w:div>
                  </w:divsChild>
                </w:div>
                <w:div w:id="739597931">
                  <w:marLeft w:val="0"/>
                  <w:marRight w:val="0"/>
                  <w:marTop w:val="0"/>
                  <w:marBottom w:val="0"/>
                  <w:divBdr>
                    <w:top w:val="none" w:sz="0" w:space="0" w:color="auto"/>
                    <w:left w:val="none" w:sz="0" w:space="0" w:color="auto"/>
                    <w:bottom w:val="none" w:sz="0" w:space="0" w:color="auto"/>
                    <w:right w:val="none" w:sz="0" w:space="0" w:color="auto"/>
                  </w:divBdr>
                  <w:divsChild>
                    <w:div w:id="1811898236">
                      <w:marLeft w:val="0"/>
                      <w:marRight w:val="0"/>
                      <w:marTop w:val="0"/>
                      <w:marBottom w:val="0"/>
                      <w:divBdr>
                        <w:top w:val="none" w:sz="0" w:space="0" w:color="auto"/>
                        <w:left w:val="none" w:sz="0" w:space="0" w:color="auto"/>
                        <w:bottom w:val="none" w:sz="0" w:space="0" w:color="auto"/>
                        <w:right w:val="none" w:sz="0" w:space="0" w:color="auto"/>
                      </w:divBdr>
                    </w:div>
                  </w:divsChild>
                </w:div>
                <w:div w:id="739913501">
                  <w:marLeft w:val="0"/>
                  <w:marRight w:val="0"/>
                  <w:marTop w:val="0"/>
                  <w:marBottom w:val="0"/>
                  <w:divBdr>
                    <w:top w:val="none" w:sz="0" w:space="0" w:color="auto"/>
                    <w:left w:val="none" w:sz="0" w:space="0" w:color="auto"/>
                    <w:bottom w:val="none" w:sz="0" w:space="0" w:color="auto"/>
                    <w:right w:val="none" w:sz="0" w:space="0" w:color="auto"/>
                  </w:divBdr>
                  <w:divsChild>
                    <w:div w:id="1253664649">
                      <w:marLeft w:val="0"/>
                      <w:marRight w:val="0"/>
                      <w:marTop w:val="0"/>
                      <w:marBottom w:val="0"/>
                      <w:divBdr>
                        <w:top w:val="none" w:sz="0" w:space="0" w:color="auto"/>
                        <w:left w:val="none" w:sz="0" w:space="0" w:color="auto"/>
                        <w:bottom w:val="none" w:sz="0" w:space="0" w:color="auto"/>
                        <w:right w:val="none" w:sz="0" w:space="0" w:color="auto"/>
                      </w:divBdr>
                    </w:div>
                  </w:divsChild>
                </w:div>
                <w:div w:id="740641858">
                  <w:marLeft w:val="0"/>
                  <w:marRight w:val="0"/>
                  <w:marTop w:val="0"/>
                  <w:marBottom w:val="0"/>
                  <w:divBdr>
                    <w:top w:val="none" w:sz="0" w:space="0" w:color="auto"/>
                    <w:left w:val="none" w:sz="0" w:space="0" w:color="auto"/>
                    <w:bottom w:val="none" w:sz="0" w:space="0" w:color="auto"/>
                    <w:right w:val="none" w:sz="0" w:space="0" w:color="auto"/>
                  </w:divBdr>
                  <w:divsChild>
                    <w:div w:id="1730156186">
                      <w:marLeft w:val="0"/>
                      <w:marRight w:val="0"/>
                      <w:marTop w:val="0"/>
                      <w:marBottom w:val="0"/>
                      <w:divBdr>
                        <w:top w:val="none" w:sz="0" w:space="0" w:color="auto"/>
                        <w:left w:val="none" w:sz="0" w:space="0" w:color="auto"/>
                        <w:bottom w:val="none" w:sz="0" w:space="0" w:color="auto"/>
                        <w:right w:val="none" w:sz="0" w:space="0" w:color="auto"/>
                      </w:divBdr>
                    </w:div>
                  </w:divsChild>
                </w:div>
                <w:div w:id="741870928">
                  <w:marLeft w:val="0"/>
                  <w:marRight w:val="0"/>
                  <w:marTop w:val="0"/>
                  <w:marBottom w:val="0"/>
                  <w:divBdr>
                    <w:top w:val="none" w:sz="0" w:space="0" w:color="auto"/>
                    <w:left w:val="none" w:sz="0" w:space="0" w:color="auto"/>
                    <w:bottom w:val="none" w:sz="0" w:space="0" w:color="auto"/>
                    <w:right w:val="none" w:sz="0" w:space="0" w:color="auto"/>
                  </w:divBdr>
                  <w:divsChild>
                    <w:div w:id="1959409225">
                      <w:marLeft w:val="0"/>
                      <w:marRight w:val="0"/>
                      <w:marTop w:val="0"/>
                      <w:marBottom w:val="0"/>
                      <w:divBdr>
                        <w:top w:val="none" w:sz="0" w:space="0" w:color="auto"/>
                        <w:left w:val="none" w:sz="0" w:space="0" w:color="auto"/>
                        <w:bottom w:val="none" w:sz="0" w:space="0" w:color="auto"/>
                        <w:right w:val="none" w:sz="0" w:space="0" w:color="auto"/>
                      </w:divBdr>
                    </w:div>
                  </w:divsChild>
                </w:div>
                <w:div w:id="754399691">
                  <w:marLeft w:val="0"/>
                  <w:marRight w:val="0"/>
                  <w:marTop w:val="0"/>
                  <w:marBottom w:val="0"/>
                  <w:divBdr>
                    <w:top w:val="none" w:sz="0" w:space="0" w:color="auto"/>
                    <w:left w:val="none" w:sz="0" w:space="0" w:color="auto"/>
                    <w:bottom w:val="none" w:sz="0" w:space="0" w:color="auto"/>
                    <w:right w:val="none" w:sz="0" w:space="0" w:color="auto"/>
                  </w:divBdr>
                  <w:divsChild>
                    <w:div w:id="116412476">
                      <w:marLeft w:val="0"/>
                      <w:marRight w:val="0"/>
                      <w:marTop w:val="0"/>
                      <w:marBottom w:val="0"/>
                      <w:divBdr>
                        <w:top w:val="none" w:sz="0" w:space="0" w:color="auto"/>
                        <w:left w:val="none" w:sz="0" w:space="0" w:color="auto"/>
                        <w:bottom w:val="none" w:sz="0" w:space="0" w:color="auto"/>
                        <w:right w:val="none" w:sz="0" w:space="0" w:color="auto"/>
                      </w:divBdr>
                    </w:div>
                    <w:div w:id="1055278459">
                      <w:marLeft w:val="0"/>
                      <w:marRight w:val="0"/>
                      <w:marTop w:val="0"/>
                      <w:marBottom w:val="0"/>
                      <w:divBdr>
                        <w:top w:val="none" w:sz="0" w:space="0" w:color="auto"/>
                        <w:left w:val="none" w:sz="0" w:space="0" w:color="auto"/>
                        <w:bottom w:val="none" w:sz="0" w:space="0" w:color="auto"/>
                        <w:right w:val="none" w:sz="0" w:space="0" w:color="auto"/>
                      </w:divBdr>
                    </w:div>
                    <w:div w:id="1095127526">
                      <w:marLeft w:val="0"/>
                      <w:marRight w:val="0"/>
                      <w:marTop w:val="0"/>
                      <w:marBottom w:val="0"/>
                      <w:divBdr>
                        <w:top w:val="none" w:sz="0" w:space="0" w:color="auto"/>
                        <w:left w:val="none" w:sz="0" w:space="0" w:color="auto"/>
                        <w:bottom w:val="none" w:sz="0" w:space="0" w:color="auto"/>
                        <w:right w:val="none" w:sz="0" w:space="0" w:color="auto"/>
                      </w:divBdr>
                    </w:div>
                  </w:divsChild>
                </w:div>
                <w:div w:id="759569527">
                  <w:marLeft w:val="0"/>
                  <w:marRight w:val="0"/>
                  <w:marTop w:val="0"/>
                  <w:marBottom w:val="0"/>
                  <w:divBdr>
                    <w:top w:val="none" w:sz="0" w:space="0" w:color="auto"/>
                    <w:left w:val="none" w:sz="0" w:space="0" w:color="auto"/>
                    <w:bottom w:val="none" w:sz="0" w:space="0" w:color="auto"/>
                    <w:right w:val="none" w:sz="0" w:space="0" w:color="auto"/>
                  </w:divBdr>
                  <w:divsChild>
                    <w:div w:id="826552578">
                      <w:marLeft w:val="0"/>
                      <w:marRight w:val="0"/>
                      <w:marTop w:val="0"/>
                      <w:marBottom w:val="0"/>
                      <w:divBdr>
                        <w:top w:val="none" w:sz="0" w:space="0" w:color="auto"/>
                        <w:left w:val="none" w:sz="0" w:space="0" w:color="auto"/>
                        <w:bottom w:val="none" w:sz="0" w:space="0" w:color="auto"/>
                        <w:right w:val="none" w:sz="0" w:space="0" w:color="auto"/>
                      </w:divBdr>
                    </w:div>
                  </w:divsChild>
                </w:div>
                <w:div w:id="773474972">
                  <w:marLeft w:val="0"/>
                  <w:marRight w:val="0"/>
                  <w:marTop w:val="0"/>
                  <w:marBottom w:val="0"/>
                  <w:divBdr>
                    <w:top w:val="none" w:sz="0" w:space="0" w:color="auto"/>
                    <w:left w:val="none" w:sz="0" w:space="0" w:color="auto"/>
                    <w:bottom w:val="none" w:sz="0" w:space="0" w:color="auto"/>
                    <w:right w:val="none" w:sz="0" w:space="0" w:color="auto"/>
                  </w:divBdr>
                  <w:divsChild>
                    <w:div w:id="1308897728">
                      <w:marLeft w:val="0"/>
                      <w:marRight w:val="0"/>
                      <w:marTop w:val="0"/>
                      <w:marBottom w:val="0"/>
                      <w:divBdr>
                        <w:top w:val="none" w:sz="0" w:space="0" w:color="auto"/>
                        <w:left w:val="none" w:sz="0" w:space="0" w:color="auto"/>
                        <w:bottom w:val="none" w:sz="0" w:space="0" w:color="auto"/>
                        <w:right w:val="none" w:sz="0" w:space="0" w:color="auto"/>
                      </w:divBdr>
                    </w:div>
                  </w:divsChild>
                </w:div>
                <w:div w:id="774906969">
                  <w:marLeft w:val="0"/>
                  <w:marRight w:val="0"/>
                  <w:marTop w:val="0"/>
                  <w:marBottom w:val="0"/>
                  <w:divBdr>
                    <w:top w:val="none" w:sz="0" w:space="0" w:color="auto"/>
                    <w:left w:val="none" w:sz="0" w:space="0" w:color="auto"/>
                    <w:bottom w:val="none" w:sz="0" w:space="0" w:color="auto"/>
                    <w:right w:val="none" w:sz="0" w:space="0" w:color="auto"/>
                  </w:divBdr>
                  <w:divsChild>
                    <w:div w:id="16123922">
                      <w:marLeft w:val="0"/>
                      <w:marRight w:val="0"/>
                      <w:marTop w:val="0"/>
                      <w:marBottom w:val="0"/>
                      <w:divBdr>
                        <w:top w:val="none" w:sz="0" w:space="0" w:color="auto"/>
                        <w:left w:val="none" w:sz="0" w:space="0" w:color="auto"/>
                        <w:bottom w:val="none" w:sz="0" w:space="0" w:color="auto"/>
                        <w:right w:val="none" w:sz="0" w:space="0" w:color="auto"/>
                      </w:divBdr>
                    </w:div>
                  </w:divsChild>
                </w:div>
                <w:div w:id="775247750">
                  <w:marLeft w:val="0"/>
                  <w:marRight w:val="0"/>
                  <w:marTop w:val="0"/>
                  <w:marBottom w:val="0"/>
                  <w:divBdr>
                    <w:top w:val="none" w:sz="0" w:space="0" w:color="auto"/>
                    <w:left w:val="none" w:sz="0" w:space="0" w:color="auto"/>
                    <w:bottom w:val="none" w:sz="0" w:space="0" w:color="auto"/>
                    <w:right w:val="none" w:sz="0" w:space="0" w:color="auto"/>
                  </w:divBdr>
                  <w:divsChild>
                    <w:div w:id="1777552290">
                      <w:marLeft w:val="0"/>
                      <w:marRight w:val="0"/>
                      <w:marTop w:val="0"/>
                      <w:marBottom w:val="0"/>
                      <w:divBdr>
                        <w:top w:val="none" w:sz="0" w:space="0" w:color="auto"/>
                        <w:left w:val="none" w:sz="0" w:space="0" w:color="auto"/>
                        <w:bottom w:val="none" w:sz="0" w:space="0" w:color="auto"/>
                        <w:right w:val="none" w:sz="0" w:space="0" w:color="auto"/>
                      </w:divBdr>
                    </w:div>
                  </w:divsChild>
                </w:div>
                <w:div w:id="776367035">
                  <w:marLeft w:val="0"/>
                  <w:marRight w:val="0"/>
                  <w:marTop w:val="0"/>
                  <w:marBottom w:val="0"/>
                  <w:divBdr>
                    <w:top w:val="none" w:sz="0" w:space="0" w:color="auto"/>
                    <w:left w:val="none" w:sz="0" w:space="0" w:color="auto"/>
                    <w:bottom w:val="none" w:sz="0" w:space="0" w:color="auto"/>
                    <w:right w:val="none" w:sz="0" w:space="0" w:color="auto"/>
                  </w:divBdr>
                  <w:divsChild>
                    <w:div w:id="1990938864">
                      <w:marLeft w:val="0"/>
                      <w:marRight w:val="0"/>
                      <w:marTop w:val="0"/>
                      <w:marBottom w:val="0"/>
                      <w:divBdr>
                        <w:top w:val="none" w:sz="0" w:space="0" w:color="auto"/>
                        <w:left w:val="none" w:sz="0" w:space="0" w:color="auto"/>
                        <w:bottom w:val="none" w:sz="0" w:space="0" w:color="auto"/>
                        <w:right w:val="none" w:sz="0" w:space="0" w:color="auto"/>
                      </w:divBdr>
                    </w:div>
                  </w:divsChild>
                </w:div>
                <w:div w:id="778522851">
                  <w:marLeft w:val="0"/>
                  <w:marRight w:val="0"/>
                  <w:marTop w:val="0"/>
                  <w:marBottom w:val="0"/>
                  <w:divBdr>
                    <w:top w:val="none" w:sz="0" w:space="0" w:color="auto"/>
                    <w:left w:val="none" w:sz="0" w:space="0" w:color="auto"/>
                    <w:bottom w:val="none" w:sz="0" w:space="0" w:color="auto"/>
                    <w:right w:val="none" w:sz="0" w:space="0" w:color="auto"/>
                  </w:divBdr>
                  <w:divsChild>
                    <w:div w:id="673339783">
                      <w:marLeft w:val="0"/>
                      <w:marRight w:val="0"/>
                      <w:marTop w:val="0"/>
                      <w:marBottom w:val="0"/>
                      <w:divBdr>
                        <w:top w:val="none" w:sz="0" w:space="0" w:color="auto"/>
                        <w:left w:val="none" w:sz="0" w:space="0" w:color="auto"/>
                        <w:bottom w:val="none" w:sz="0" w:space="0" w:color="auto"/>
                        <w:right w:val="none" w:sz="0" w:space="0" w:color="auto"/>
                      </w:divBdr>
                    </w:div>
                  </w:divsChild>
                </w:div>
                <w:div w:id="783696063">
                  <w:marLeft w:val="0"/>
                  <w:marRight w:val="0"/>
                  <w:marTop w:val="0"/>
                  <w:marBottom w:val="0"/>
                  <w:divBdr>
                    <w:top w:val="none" w:sz="0" w:space="0" w:color="auto"/>
                    <w:left w:val="none" w:sz="0" w:space="0" w:color="auto"/>
                    <w:bottom w:val="none" w:sz="0" w:space="0" w:color="auto"/>
                    <w:right w:val="none" w:sz="0" w:space="0" w:color="auto"/>
                  </w:divBdr>
                  <w:divsChild>
                    <w:div w:id="367989849">
                      <w:marLeft w:val="0"/>
                      <w:marRight w:val="0"/>
                      <w:marTop w:val="0"/>
                      <w:marBottom w:val="0"/>
                      <w:divBdr>
                        <w:top w:val="none" w:sz="0" w:space="0" w:color="auto"/>
                        <w:left w:val="none" w:sz="0" w:space="0" w:color="auto"/>
                        <w:bottom w:val="none" w:sz="0" w:space="0" w:color="auto"/>
                        <w:right w:val="none" w:sz="0" w:space="0" w:color="auto"/>
                      </w:divBdr>
                    </w:div>
                  </w:divsChild>
                </w:div>
                <w:div w:id="785546395">
                  <w:marLeft w:val="0"/>
                  <w:marRight w:val="0"/>
                  <w:marTop w:val="0"/>
                  <w:marBottom w:val="0"/>
                  <w:divBdr>
                    <w:top w:val="none" w:sz="0" w:space="0" w:color="auto"/>
                    <w:left w:val="none" w:sz="0" w:space="0" w:color="auto"/>
                    <w:bottom w:val="none" w:sz="0" w:space="0" w:color="auto"/>
                    <w:right w:val="none" w:sz="0" w:space="0" w:color="auto"/>
                  </w:divBdr>
                  <w:divsChild>
                    <w:div w:id="179978873">
                      <w:marLeft w:val="0"/>
                      <w:marRight w:val="0"/>
                      <w:marTop w:val="0"/>
                      <w:marBottom w:val="0"/>
                      <w:divBdr>
                        <w:top w:val="none" w:sz="0" w:space="0" w:color="auto"/>
                        <w:left w:val="none" w:sz="0" w:space="0" w:color="auto"/>
                        <w:bottom w:val="none" w:sz="0" w:space="0" w:color="auto"/>
                        <w:right w:val="none" w:sz="0" w:space="0" w:color="auto"/>
                      </w:divBdr>
                    </w:div>
                  </w:divsChild>
                </w:div>
                <w:div w:id="789201835">
                  <w:marLeft w:val="0"/>
                  <w:marRight w:val="0"/>
                  <w:marTop w:val="0"/>
                  <w:marBottom w:val="0"/>
                  <w:divBdr>
                    <w:top w:val="none" w:sz="0" w:space="0" w:color="auto"/>
                    <w:left w:val="none" w:sz="0" w:space="0" w:color="auto"/>
                    <w:bottom w:val="none" w:sz="0" w:space="0" w:color="auto"/>
                    <w:right w:val="none" w:sz="0" w:space="0" w:color="auto"/>
                  </w:divBdr>
                  <w:divsChild>
                    <w:div w:id="1414619894">
                      <w:marLeft w:val="0"/>
                      <w:marRight w:val="0"/>
                      <w:marTop w:val="0"/>
                      <w:marBottom w:val="0"/>
                      <w:divBdr>
                        <w:top w:val="none" w:sz="0" w:space="0" w:color="auto"/>
                        <w:left w:val="none" w:sz="0" w:space="0" w:color="auto"/>
                        <w:bottom w:val="none" w:sz="0" w:space="0" w:color="auto"/>
                        <w:right w:val="none" w:sz="0" w:space="0" w:color="auto"/>
                      </w:divBdr>
                    </w:div>
                  </w:divsChild>
                </w:div>
                <w:div w:id="792986287">
                  <w:marLeft w:val="0"/>
                  <w:marRight w:val="0"/>
                  <w:marTop w:val="0"/>
                  <w:marBottom w:val="0"/>
                  <w:divBdr>
                    <w:top w:val="none" w:sz="0" w:space="0" w:color="auto"/>
                    <w:left w:val="none" w:sz="0" w:space="0" w:color="auto"/>
                    <w:bottom w:val="none" w:sz="0" w:space="0" w:color="auto"/>
                    <w:right w:val="none" w:sz="0" w:space="0" w:color="auto"/>
                  </w:divBdr>
                  <w:divsChild>
                    <w:div w:id="201670615">
                      <w:marLeft w:val="0"/>
                      <w:marRight w:val="0"/>
                      <w:marTop w:val="0"/>
                      <w:marBottom w:val="0"/>
                      <w:divBdr>
                        <w:top w:val="none" w:sz="0" w:space="0" w:color="auto"/>
                        <w:left w:val="none" w:sz="0" w:space="0" w:color="auto"/>
                        <w:bottom w:val="none" w:sz="0" w:space="0" w:color="auto"/>
                        <w:right w:val="none" w:sz="0" w:space="0" w:color="auto"/>
                      </w:divBdr>
                    </w:div>
                  </w:divsChild>
                </w:div>
                <w:div w:id="794569307">
                  <w:marLeft w:val="0"/>
                  <w:marRight w:val="0"/>
                  <w:marTop w:val="0"/>
                  <w:marBottom w:val="0"/>
                  <w:divBdr>
                    <w:top w:val="none" w:sz="0" w:space="0" w:color="auto"/>
                    <w:left w:val="none" w:sz="0" w:space="0" w:color="auto"/>
                    <w:bottom w:val="none" w:sz="0" w:space="0" w:color="auto"/>
                    <w:right w:val="none" w:sz="0" w:space="0" w:color="auto"/>
                  </w:divBdr>
                  <w:divsChild>
                    <w:div w:id="467165696">
                      <w:marLeft w:val="0"/>
                      <w:marRight w:val="0"/>
                      <w:marTop w:val="0"/>
                      <w:marBottom w:val="0"/>
                      <w:divBdr>
                        <w:top w:val="none" w:sz="0" w:space="0" w:color="auto"/>
                        <w:left w:val="none" w:sz="0" w:space="0" w:color="auto"/>
                        <w:bottom w:val="none" w:sz="0" w:space="0" w:color="auto"/>
                        <w:right w:val="none" w:sz="0" w:space="0" w:color="auto"/>
                      </w:divBdr>
                    </w:div>
                  </w:divsChild>
                </w:div>
                <w:div w:id="805705926">
                  <w:marLeft w:val="0"/>
                  <w:marRight w:val="0"/>
                  <w:marTop w:val="0"/>
                  <w:marBottom w:val="0"/>
                  <w:divBdr>
                    <w:top w:val="none" w:sz="0" w:space="0" w:color="auto"/>
                    <w:left w:val="none" w:sz="0" w:space="0" w:color="auto"/>
                    <w:bottom w:val="none" w:sz="0" w:space="0" w:color="auto"/>
                    <w:right w:val="none" w:sz="0" w:space="0" w:color="auto"/>
                  </w:divBdr>
                  <w:divsChild>
                    <w:div w:id="1562787699">
                      <w:marLeft w:val="0"/>
                      <w:marRight w:val="0"/>
                      <w:marTop w:val="0"/>
                      <w:marBottom w:val="0"/>
                      <w:divBdr>
                        <w:top w:val="none" w:sz="0" w:space="0" w:color="auto"/>
                        <w:left w:val="none" w:sz="0" w:space="0" w:color="auto"/>
                        <w:bottom w:val="none" w:sz="0" w:space="0" w:color="auto"/>
                        <w:right w:val="none" w:sz="0" w:space="0" w:color="auto"/>
                      </w:divBdr>
                    </w:div>
                  </w:divsChild>
                </w:div>
                <w:div w:id="814835150">
                  <w:marLeft w:val="0"/>
                  <w:marRight w:val="0"/>
                  <w:marTop w:val="0"/>
                  <w:marBottom w:val="0"/>
                  <w:divBdr>
                    <w:top w:val="none" w:sz="0" w:space="0" w:color="auto"/>
                    <w:left w:val="none" w:sz="0" w:space="0" w:color="auto"/>
                    <w:bottom w:val="none" w:sz="0" w:space="0" w:color="auto"/>
                    <w:right w:val="none" w:sz="0" w:space="0" w:color="auto"/>
                  </w:divBdr>
                  <w:divsChild>
                    <w:div w:id="44255268">
                      <w:marLeft w:val="0"/>
                      <w:marRight w:val="0"/>
                      <w:marTop w:val="0"/>
                      <w:marBottom w:val="0"/>
                      <w:divBdr>
                        <w:top w:val="none" w:sz="0" w:space="0" w:color="auto"/>
                        <w:left w:val="none" w:sz="0" w:space="0" w:color="auto"/>
                        <w:bottom w:val="none" w:sz="0" w:space="0" w:color="auto"/>
                        <w:right w:val="none" w:sz="0" w:space="0" w:color="auto"/>
                      </w:divBdr>
                    </w:div>
                  </w:divsChild>
                </w:div>
                <w:div w:id="815874165">
                  <w:marLeft w:val="0"/>
                  <w:marRight w:val="0"/>
                  <w:marTop w:val="0"/>
                  <w:marBottom w:val="0"/>
                  <w:divBdr>
                    <w:top w:val="none" w:sz="0" w:space="0" w:color="auto"/>
                    <w:left w:val="none" w:sz="0" w:space="0" w:color="auto"/>
                    <w:bottom w:val="none" w:sz="0" w:space="0" w:color="auto"/>
                    <w:right w:val="none" w:sz="0" w:space="0" w:color="auto"/>
                  </w:divBdr>
                  <w:divsChild>
                    <w:div w:id="340620255">
                      <w:marLeft w:val="0"/>
                      <w:marRight w:val="0"/>
                      <w:marTop w:val="0"/>
                      <w:marBottom w:val="0"/>
                      <w:divBdr>
                        <w:top w:val="none" w:sz="0" w:space="0" w:color="auto"/>
                        <w:left w:val="none" w:sz="0" w:space="0" w:color="auto"/>
                        <w:bottom w:val="none" w:sz="0" w:space="0" w:color="auto"/>
                        <w:right w:val="none" w:sz="0" w:space="0" w:color="auto"/>
                      </w:divBdr>
                    </w:div>
                    <w:div w:id="1556819679">
                      <w:marLeft w:val="0"/>
                      <w:marRight w:val="0"/>
                      <w:marTop w:val="0"/>
                      <w:marBottom w:val="0"/>
                      <w:divBdr>
                        <w:top w:val="none" w:sz="0" w:space="0" w:color="auto"/>
                        <w:left w:val="none" w:sz="0" w:space="0" w:color="auto"/>
                        <w:bottom w:val="none" w:sz="0" w:space="0" w:color="auto"/>
                        <w:right w:val="none" w:sz="0" w:space="0" w:color="auto"/>
                      </w:divBdr>
                    </w:div>
                  </w:divsChild>
                </w:div>
                <w:div w:id="817575556">
                  <w:marLeft w:val="0"/>
                  <w:marRight w:val="0"/>
                  <w:marTop w:val="0"/>
                  <w:marBottom w:val="0"/>
                  <w:divBdr>
                    <w:top w:val="none" w:sz="0" w:space="0" w:color="auto"/>
                    <w:left w:val="none" w:sz="0" w:space="0" w:color="auto"/>
                    <w:bottom w:val="none" w:sz="0" w:space="0" w:color="auto"/>
                    <w:right w:val="none" w:sz="0" w:space="0" w:color="auto"/>
                  </w:divBdr>
                  <w:divsChild>
                    <w:div w:id="1647055044">
                      <w:marLeft w:val="0"/>
                      <w:marRight w:val="0"/>
                      <w:marTop w:val="0"/>
                      <w:marBottom w:val="0"/>
                      <w:divBdr>
                        <w:top w:val="none" w:sz="0" w:space="0" w:color="auto"/>
                        <w:left w:val="none" w:sz="0" w:space="0" w:color="auto"/>
                        <w:bottom w:val="none" w:sz="0" w:space="0" w:color="auto"/>
                        <w:right w:val="none" w:sz="0" w:space="0" w:color="auto"/>
                      </w:divBdr>
                    </w:div>
                  </w:divsChild>
                </w:div>
                <w:div w:id="826944677">
                  <w:marLeft w:val="0"/>
                  <w:marRight w:val="0"/>
                  <w:marTop w:val="0"/>
                  <w:marBottom w:val="0"/>
                  <w:divBdr>
                    <w:top w:val="none" w:sz="0" w:space="0" w:color="auto"/>
                    <w:left w:val="none" w:sz="0" w:space="0" w:color="auto"/>
                    <w:bottom w:val="none" w:sz="0" w:space="0" w:color="auto"/>
                    <w:right w:val="none" w:sz="0" w:space="0" w:color="auto"/>
                  </w:divBdr>
                  <w:divsChild>
                    <w:div w:id="1116020666">
                      <w:marLeft w:val="0"/>
                      <w:marRight w:val="0"/>
                      <w:marTop w:val="0"/>
                      <w:marBottom w:val="0"/>
                      <w:divBdr>
                        <w:top w:val="none" w:sz="0" w:space="0" w:color="auto"/>
                        <w:left w:val="none" w:sz="0" w:space="0" w:color="auto"/>
                        <w:bottom w:val="none" w:sz="0" w:space="0" w:color="auto"/>
                        <w:right w:val="none" w:sz="0" w:space="0" w:color="auto"/>
                      </w:divBdr>
                    </w:div>
                  </w:divsChild>
                </w:div>
                <w:div w:id="831600385">
                  <w:marLeft w:val="0"/>
                  <w:marRight w:val="0"/>
                  <w:marTop w:val="0"/>
                  <w:marBottom w:val="0"/>
                  <w:divBdr>
                    <w:top w:val="none" w:sz="0" w:space="0" w:color="auto"/>
                    <w:left w:val="none" w:sz="0" w:space="0" w:color="auto"/>
                    <w:bottom w:val="none" w:sz="0" w:space="0" w:color="auto"/>
                    <w:right w:val="none" w:sz="0" w:space="0" w:color="auto"/>
                  </w:divBdr>
                  <w:divsChild>
                    <w:div w:id="256325767">
                      <w:marLeft w:val="0"/>
                      <w:marRight w:val="0"/>
                      <w:marTop w:val="0"/>
                      <w:marBottom w:val="0"/>
                      <w:divBdr>
                        <w:top w:val="none" w:sz="0" w:space="0" w:color="auto"/>
                        <w:left w:val="none" w:sz="0" w:space="0" w:color="auto"/>
                        <w:bottom w:val="none" w:sz="0" w:space="0" w:color="auto"/>
                        <w:right w:val="none" w:sz="0" w:space="0" w:color="auto"/>
                      </w:divBdr>
                    </w:div>
                  </w:divsChild>
                </w:div>
                <w:div w:id="833447153">
                  <w:marLeft w:val="0"/>
                  <w:marRight w:val="0"/>
                  <w:marTop w:val="0"/>
                  <w:marBottom w:val="0"/>
                  <w:divBdr>
                    <w:top w:val="none" w:sz="0" w:space="0" w:color="auto"/>
                    <w:left w:val="none" w:sz="0" w:space="0" w:color="auto"/>
                    <w:bottom w:val="none" w:sz="0" w:space="0" w:color="auto"/>
                    <w:right w:val="none" w:sz="0" w:space="0" w:color="auto"/>
                  </w:divBdr>
                  <w:divsChild>
                    <w:div w:id="693969026">
                      <w:marLeft w:val="0"/>
                      <w:marRight w:val="0"/>
                      <w:marTop w:val="0"/>
                      <w:marBottom w:val="0"/>
                      <w:divBdr>
                        <w:top w:val="none" w:sz="0" w:space="0" w:color="auto"/>
                        <w:left w:val="none" w:sz="0" w:space="0" w:color="auto"/>
                        <w:bottom w:val="none" w:sz="0" w:space="0" w:color="auto"/>
                        <w:right w:val="none" w:sz="0" w:space="0" w:color="auto"/>
                      </w:divBdr>
                    </w:div>
                  </w:divsChild>
                </w:div>
                <w:div w:id="838496509">
                  <w:marLeft w:val="0"/>
                  <w:marRight w:val="0"/>
                  <w:marTop w:val="0"/>
                  <w:marBottom w:val="0"/>
                  <w:divBdr>
                    <w:top w:val="none" w:sz="0" w:space="0" w:color="auto"/>
                    <w:left w:val="none" w:sz="0" w:space="0" w:color="auto"/>
                    <w:bottom w:val="none" w:sz="0" w:space="0" w:color="auto"/>
                    <w:right w:val="none" w:sz="0" w:space="0" w:color="auto"/>
                  </w:divBdr>
                  <w:divsChild>
                    <w:div w:id="1512598063">
                      <w:marLeft w:val="0"/>
                      <w:marRight w:val="0"/>
                      <w:marTop w:val="0"/>
                      <w:marBottom w:val="0"/>
                      <w:divBdr>
                        <w:top w:val="none" w:sz="0" w:space="0" w:color="auto"/>
                        <w:left w:val="none" w:sz="0" w:space="0" w:color="auto"/>
                        <w:bottom w:val="none" w:sz="0" w:space="0" w:color="auto"/>
                        <w:right w:val="none" w:sz="0" w:space="0" w:color="auto"/>
                      </w:divBdr>
                    </w:div>
                  </w:divsChild>
                </w:div>
                <w:div w:id="843130696">
                  <w:marLeft w:val="0"/>
                  <w:marRight w:val="0"/>
                  <w:marTop w:val="0"/>
                  <w:marBottom w:val="0"/>
                  <w:divBdr>
                    <w:top w:val="none" w:sz="0" w:space="0" w:color="auto"/>
                    <w:left w:val="none" w:sz="0" w:space="0" w:color="auto"/>
                    <w:bottom w:val="none" w:sz="0" w:space="0" w:color="auto"/>
                    <w:right w:val="none" w:sz="0" w:space="0" w:color="auto"/>
                  </w:divBdr>
                  <w:divsChild>
                    <w:div w:id="506947909">
                      <w:marLeft w:val="0"/>
                      <w:marRight w:val="0"/>
                      <w:marTop w:val="0"/>
                      <w:marBottom w:val="0"/>
                      <w:divBdr>
                        <w:top w:val="none" w:sz="0" w:space="0" w:color="auto"/>
                        <w:left w:val="none" w:sz="0" w:space="0" w:color="auto"/>
                        <w:bottom w:val="none" w:sz="0" w:space="0" w:color="auto"/>
                        <w:right w:val="none" w:sz="0" w:space="0" w:color="auto"/>
                      </w:divBdr>
                    </w:div>
                  </w:divsChild>
                </w:div>
                <w:div w:id="845949153">
                  <w:marLeft w:val="0"/>
                  <w:marRight w:val="0"/>
                  <w:marTop w:val="0"/>
                  <w:marBottom w:val="0"/>
                  <w:divBdr>
                    <w:top w:val="none" w:sz="0" w:space="0" w:color="auto"/>
                    <w:left w:val="none" w:sz="0" w:space="0" w:color="auto"/>
                    <w:bottom w:val="none" w:sz="0" w:space="0" w:color="auto"/>
                    <w:right w:val="none" w:sz="0" w:space="0" w:color="auto"/>
                  </w:divBdr>
                  <w:divsChild>
                    <w:div w:id="1388382243">
                      <w:marLeft w:val="0"/>
                      <w:marRight w:val="0"/>
                      <w:marTop w:val="0"/>
                      <w:marBottom w:val="0"/>
                      <w:divBdr>
                        <w:top w:val="none" w:sz="0" w:space="0" w:color="auto"/>
                        <w:left w:val="none" w:sz="0" w:space="0" w:color="auto"/>
                        <w:bottom w:val="none" w:sz="0" w:space="0" w:color="auto"/>
                        <w:right w:val="none" w:sz="0" w:space="0" w:color="auto"/>
                      </w:divBdr>
                    </w:div>
                  </w:divsChild>
                </w:div>
                <w:div w:id="849026171">
                  <w:marLeft w:val="0"/>
                  <w:marRight w:val="0"/>
                  <w:marTop w:val="0"/>
                  <w:marBottom w:val="0"/>
                  <w:divBdr>
                    <w:top w:val="none" w:sz="0" w:space="0" w:color="auto"/>
                    <w:left w:val="none" w:sz="0" w:space="0" w:color="auto"/>
                    <w:bottom w:val="none" w:sz="0" w:space="0" w:color="auto"/>
                    <w:right w:val="none" w:sz="0" w:space="0" w:color="auto"/>
                  </w:divBdr>
                  <w:divsChild>
                    <w:div w:id="63458501">
                      <w:marLeft w:val="0"/>
                      <w:marRight w:val="0"/>
                      <w:marTop w:val="0"/>
                      <w:marBottom w:val="0"/>
                      <w:divBdr>
                        <w:top w:val="none" w:sz="0" w:space="0" w:color="auto"/>
                        <w:left w:val="none" w:sz="0" w:space="0" w:color="auto"/>
                        <w:bottom w:val="none" w:sz="0" w:space="0" w:color="auto"/>
                        <w:right w:val="none" w:sz="0" w:space="0" w:color="auto"/>
                      </w:divBdr>
                    </w:div>
                    <w:div w:id="302077654">
                      <w:marLeft w:val="0"/>
                      <w:marRight w:val="0"/>
                      <w:marTop w:val="0"/>
                      <w:marBottom w:val="0"/>
                      <w:divBdr>
                        <w:top w:val="none" w:sz="0" w:space="0" w:color="auto"/>
                        <w:left w:val="none" w:sz="0" w:space="0" w:color="auto"/>
                        <w:bottom w:val="none" w:sz="0" w:space="0" w:color="auto"/>
                        <w:right w:val="none" w:sz="0" w:space="0" w:color="auto"/>
                      </w:divBdr>
                    </w:div>
                    <w:div w:id="547038458">
                      <w:marLeft w:val="0"/>
                      <w:marRight w:val="0"/>
                      <w:marTop w:val="0"/>
                      <w:marBottom w:val="0"/>
                      <w:divBdr>
                        <w:top w:val="none" w:sz="0" w:space="0" w:color="auto"/>
                        <w:left w:val="none" w:sz="0" w:space="0" w:color="auto"/>
                        <w:bottom w:val="none" w:sz="0" w:space="0" w:color="auto"/>
                        <w:right w:val="none" w:sz="0" w:space="0" w:color="auto"/>
                      </w:divBdr>
                    </w:div>
                    <w:div w:id="635524067">
                      <w:marLeft w:val="0"/>
                      <w:marRight w:val="0"/>
                      <w:marTop w:val="0"/>
                      <w:marBottom w:val="0"/>
                      <w:divBdr>
                        <w:top w:val="none" w:sz="0" w:space="0" w:color="auto"/>
                        <w:left w:val="none" w:sz="0" w:space="0" w:color="auto"/>
                        <w:bottom w:val="none" w:sz="0" w:space="0" w:color="auto"/>
                        <w:right w:val="none" w:sz="0" w:space="0" w:color="auto"/>
                      </w:divBdr>
                    </w:div>
                    <w:div w:id="763956820">
                      <w:marLeft w:val="0"/>
                      <w:marRight w:val="0"/>
                      <w:marTop w:val="0"/>
                      <w:marBottom w:val="0"/>
                      <w:divBdr>
                        <w:top w:val="none" w:sz="0" w:space="0" w:color="auto"/>
                        <w:left w:val="none" w:sz="0" w:space="0" w:color="auto"/>
                        <w:bottom w:val="none" w:sz="0" w:space="0" w:color="auto"/>
                        <w:right w:val="none" w:sz="0" w:space="0" w:color="auto"/>
                      </w:divBdr>
                    </w:div>
                    <w:div w:id="1392928147">
                      <w:marLeft w:val="0"/>
                      <w:marRight w:val="0"/>
                      <w:marTop w:val="0"/>
                      <w:marBottom w:val="0"/>
                      <w:divBdr>
                        <w:top w:val="none" w:sz="0" w:space="0" w:color="auto"/>
                        <w:left w:val="none" w:sz="0" w:space="0" w:color="auto"/>
                        <w:bottom w:val="none" w:sz="0" w:space="0" w:color="auto"/>
                        <w:right w:val="none" w:sz="0" w:space="0" w:color="auto"/>
                      </w:divBdr>
                    </w:div>
                    <w:div w:id="1555390559">
                      <w:marLeft w:val="0"/>
                      <w:marRight w:val="0"/>
                      <w:marTop w:val="0"/>
                      <w:marBottom w:val="0"/>
                      <w:divBdr>
                        <w:top w:val="none" w:sz="0" w:space="0" w:color="auto"/>
                        <w:left w:val="none" w:sz="0" w:space="0" w:color="auto"/>
                        <w:bottom w:val="none" w:sz="0" w:space="0" w:color="auto"/>
                        <w:right w:val="none" w:sz="0" w:space="0" w:color="auto"/>
                      </w:divBdr>
                    </w:div>
                    <w:div w:id="1612394958">
                      <w:marLeft w:val="0"/>
                      <w:marRight w:val="0"/>
                      <w:marTop w:val="0"/>
                      <w:marBottom w:val="0"/>
                      <w:divBdr>
                        <w:top w:val="none" w:sz="0" w:space="0" w:color="auto"/>
                        <w:left w:val="none" w:sz="0" w:space="0" w:color="auto"/>
                        <w:bottom w:val="none" w:sz="0" w:space="0" w:color="auto"/>
                        <w:right w:val="none" w:sz="0" w:space="0" w:color="auto"/>
                      </w:divBdr>
                    </w:div>
                    <w:div w:id="2042321403">
                      <w:marLeft w:val="0"/>
                      <w:marRight w:val="0"/>
                      <w:marTop w:val="0"/>
                      <w:marBottom w:val="0"/>
                      <w:divBdr>
                        <w:top w:val="none" w:sz="0" w:space="0" w:color="auto"/>
                        <w:left w:val="none" w:sz="0" w:space="0" w:color="auto"/>
                        <w:bottom w:val="none" w:sz="0" w:space="0" w:color="auto"/>
                        <w:right w:val="none" w:sz="0" w:space="0" w:color="auto"/>
                      </w:divBdr>
                    </w:div>
                  </w:divsChild>
                </w:div>
                <w:div w:id="850142360">
                  <w:marLeft w:val="0"/>
                  <w:marRight w:val="0"/>
                  <w:marTop w:val="0"/>
                  <w:marBottom w:val="0"/>
                  <w:divBdr>
                    <w:top w:val="none" w:sz="0" w:space="0" w:color="auto"/>
                    <w:left w:val="none" w:sz="0" w:space="0" w:color="auto"/>
                    <w:bottom w:val="none" w:sz="0" w:space="0" w:color="auto"/>
                    <w:right w:val="none" w:sz="0" w:space="0" w:color="auto"/>
                  </w:divBdr>
                  <w:divsChild>
                    <w:div w:id="963659068">
                      <w:marLeft w:val="0"/>
                      <w:marRight w:val="0"/>
                      <w:marTop w:val="0"/>
                      <w:marBottom w:val="0"/>
                      <w:divBdr>
                        <w:top w:val="none" w:sz="0" w:space="0" w:color="auto"/>
                        <w:left w:val="none" w:sz="0" w:space="0" w:color="auto"/>
                        <w:bottom w:val="none" w:sz="0" w:space="0" w:color="auto"/>
                        <w:right w:val="none" w:sz="0" w:space="0" w:color="auto"/>
                      </w:divBdr>
                    </w:div>
                  </w:divsChild>
                </w:div>
                <w:div w:id="864756687">
                  <w:marLeft w:val="0"/>
                  <w:marRight w:val="0"/>
                  <w:marTop w:val="0"/>
                  <w:marBottom w:val="0"/>
                  <w:divBdr>
                    <w:top w:val="none" w:sz="0" w:space="0" w:color="auto"/>
                    <w:left w:val="none" w:sz="0" w:space="0" w:color="auto"/>
                    <w:bottom w:val="none" w:sz="0" w:space="0" w:color="auto"/>
                    <w:right w:val="none" w:sz="0" w:space="0" w:color="auto"/>
                  </w:divBdr>
                  <w:divsChild>
                    <w:div w:id="1966152006">
                      <w:marLeft w:val="0"/>
                      <w:marRight w:val="0"/>
                      <w:marTop w:val="0"/>
                      <w:marBottom w:val="0"/>
                      <w:divBdr>
                        <w:top w:val="none" w:sz="0" w:space="0" w:color="auto"/>
                        <w:left w:val="none" w:sz="0" w:space="0" w:color="auto"/>
                        <w:bottom w:val="none" w:sz="0" w:space="0" w:color="auto"/>
                        <w:right w:val="none" w:sz="0" w:space="0" w:color="auto"/>
                      </w:divBdr>
                    </w:div>
                  </w:divsChild>
                </w:div>
                <w:div w:id="871454938">
                  <w:marLeft w:val="0"/>
                  <w:marRight w:val="0"/>
                  <w:marTop w:val="0"/>
                  <w:marBottom w:val="0"/>
                  <w:divBdr>
                    <w:top w:val="none" w:sz="0" w:space="0" w:color="auto"/>
                    <w:left w:val="none" w:sz="0" w:space="0" w:color="auto"/>
                    <w:bottom w:val="none" w:sz="0" w:space="0" w:color="auto"/>
                    <w:right w:val="none" w:sz="0" w:space="0" w:color="auto"/>
                  </w:divBdr>
                  <w:divsChild>
                    <w:div w:id="1570920679">
                      <w:marLeft w:val="0"/>
                      <w:marRight w:val="0"/>
                      <w:marTop w:val="0"/>
                      <w:marBottom w:val="0"/>
                      <w:divBdr>
                        <w:top w:val="none" w:sz="0" w:space="0" w:color="auto"/>
                        <w:left w:val="none" w:sz="0" w:space="0" w:color="auto"/>
                        <w:bottom w:val="none" w:sz="0" w:space="0" w:color="auto"/>
                        <w:right w:val="none" w:sz="0" w:space="0" w:color="auto"/>
                      </w:divBdr>
                    </w:div>
                  </w:divsChild>
                </w:div>
                <w:div w:id="875896203">
                  <w:marLeft w:val="0"/>
                  <w:marRight w:val="0"/>
                  <w:marTop w:val="0"/>
                  <w:marBottom w:val="0"/>
                  <w:divBdr>
                    <w:top w:val="none" w:sz="0" w:space="0" w:color="auto"/>
                    <w:left w:val="none" w:sz="0" w:space="0" w:color="auto"/>
                    <w:bottom w:val="none" w:sz="0" w:space="0" w:color="auto"/>
                    <w:right w:val="none" w:sz="0" w:space="0" w:color="auto"/>
                  </w:divBdr>
                  <w:divsChild>
                    <w:div w:id="854882007">
                      <w:marLeft w:val="0"/>
                      <w:marRight w:val="0"/>
                      <w:marTop w:val="0"/>
                      <w:marBottom w:val="0"/>
                      <w:divBdr>
                        <w:top w:val="none" w:sz="0" w:space="0" w:color="auto"/>
                        <w:left w:val="none" w:sz="0" w:space="0" w:color="auto"/>
                        <w:bottom w:val="none" w:sz="0" w:space="0" w:color="auto"/>
                        <w:right w:val="none" w:sz="0" w:space="0" w:color="auto"/>
                      </w:divBdr>
                    </w:div>
                  </w:divsChild>
                </w:div>
                <w:div w:id="878397262">
                  <w:marLeft w:val="0"/>
                  <w:marRight w:val="0"/>
                  <w:marTop w:val="0"/>
                  <w:marBottom w:val="0"/>
                  <w:divBdr>
                    <w:top w:val="none" w:sz="0" w:space="0" w:color="auto"/>
                    <w:left w:val="none" w:sz="0" w:space="0" w:color="auto"/>
                    <w:bottom w:val="none" w:sz="0" w:space="0" w:color="auto"/>
                    <w:right w:val="none" w:sz="0" w:space="0" w:color="auto"/>
                  </w:divBdr>
                  <w:divsChild>
                    <w:div w:id="2008049773">
                      <w:marLeft w:val="0"/>
                      <w:marRight w:val="0"/>
                      <w:marTop w:val="0"/>
                      <w:marBottom w:val="0"/>
                      <w:divBdr>
                        <w:top w:val="none" w:sz="0" w:space="0" w:color="auto"/>
                        <w:left w:val="none" w:sz="0" w:space="0" w:color="auto"/>
                        <w:bottom w:val="none" w:sz="0" w:space="0" w:color="auto"/>
                        <w:right w:val="none" w:sz="0" w:space="0" w:color="auto"/>
                      </w:divBdr>
                    </w:div>
                  </w:divsChild>
                </w:div>
                <w:div w:id="892473468">
                  <w:marLeft w:val="0"/>
                  <w:marRight w:val="0"/>
                  <w:marTop w:val="0"/>
                  <w:marBottom w:val="0"/>
                  <w:divBdr>
                    <w:top w:val="none" w:sz="0" w:space="0" w:color="auto"/>
                    <w:left w:val="none" w:sz="0" w:space="0" w:color="auto"/>
                    <w:bottom w:val="none" w:sz="0" w:space="0" w:color="auto"/>
                    <w:right w:val="none" w:sz="0" w:space="0" w:color="auto"/>
                  </w:divBdr>
                  <w:divsChild>
                    <w:div w:id="1456757985">
                      <w:marLeft w:val="0"/>
                      <w:marRight w:val="0"/>
                      <w:marTop w:val="0"/>
                      <w:marBottom w:val="0"/>
                      <w:divBdr>
                        <w:top w:val="none" w:sz="0" w:space="0" w:color="auto"/>
                        <w:left w:val="none" w:sz="0" w:space="0" w:color="auto"/>
                        <w:bottom w:val="none" w:sz="0" w:space="0" w:color="auto"/>
                        <w:right w:val="none" w:sz="0" w:space="0" w:color="auto"/>
                      </w:divBdr>
                    </w:div>
                  </w:divsChild>
                </w:div>
                <w:div w:id="894394241">
                  <w:marLeft w:val="0"/>
                  <w:marRight w:val="0"/>
                  <w:marTop w:val="0"/>
                  <w:marBottom w:val="0"/>
                  <w:divBdr>
                    <w:top w:val="none" w:sz="0" w:space="0" w:color="auto"/>
                    <w:left w:val="none" w:sz="0" w:space="0" w:color="auto"/>
                    <w:bottom w:val="none" w:sz="0" w:space="0" w:color="auto"/>
                    <w:right w:val="none" w:sz="0" w:space="0" w:color="auto"/>
                  </w:divBdr>
                  <w:divsChild>
                    <w:div w:id="854536227">
                      <w:marLeft w:val="0"/>
                      <w:marRight w:val="0"/>
                      <w:marTop w:val="0"/>
                      <w:marBottom w:val="0"/>
                      <w:divBdr>
                        <w:top w:val="none" w:sz="0" w:space="0" w:color="auto"/>
                        <w:left w:val="none" w:sz="0" w:space="0" w:color="auto"/>
                        <w:bottom w:val="none" w:sz="0" w:space="0" w:color="auto"/>
                        <w:right w:val="none" w:sz="0" w:space="0" w:color="auto"/>
                      </w:divBdr>
                    </w:div>
                  </w:divsChild>
                </w:div>
                <w:div w:id="902104988">
                  <w:marLeft w:val="0"/>
                  <w:marRight w:val="0"/>
                  <w:marTop w:val="0"/>
                  <w:marBottom w:val="0"/>
                  <w:divBdr>
                    <w:top w:val="none" w:sz="0" w:space="0" w:color="auto"/>
                    <w:left w:val="none" w:sz="0" w:space="0" w:color="auto"/>
                    <w:bottom w:val="none" w:sz="0" w:space="0" w:color="auto"/>
                    <w:right w:val="none" w:sz="0" w:space="0" w:color="auto"/>
                  </w:divBdr>
                  <w:divsChild>
                    <w:div w:id="428888688">
                      <w:marLeft w:val="0"/>
                      <w:marRight w:val="0"/>
                      <w:marTop w:val="0"/>
                      <w:marBottom w:val="0"/>
                      <w:divBdr>
                        <w:top w:val="none" w:sz="0" w:space="0" w:color="auto"/>
                        <w:left w:val="none" w:sz="0" w:space="0" w:color="auto"/>
                        <w:bottom w:val="none" w:sz="0" w:space="0" w:color="auto"/>
                        <w:right w:val="none" w:sz="0" w:space="0" w:color="auto"/>
                      </w:divBdr>
                    </w:div>
                  </w:divsChild>
                </w:div>
                <w:div w:id="904754605">
                  <w:marLeft w:val="0"/>
                  <w:marRight w:val="0"/>
                  <w:marTop w:val="0"/>
                  <w:marBottom w:val="0"/>
                  <w:divBdr>
                    <w:top w:val="none" w:sz="0" w:space="0" w:color="auto"/>
                    <w:left w:val="none" w:sz="0" w:space="0" w:color="auto"/>
                    <w:bottom w:val="none" w:sz="0" w:space="0" w:color="auto"/>
                    <w:right w:val="none" w:sz="0" w:space="0" w:color="auto"/>
                  </w:divBdr>
                  <w:divsChild>
                    <w:div w:id="2044868223">
                      <w:marLeft w:val="0"/>
                      <w:marRight w:val="0"/>
                      <w:marTop w:val="0"/>
                      <w:marBottom w:val="0"/>
                      <w:divBdr>
                        <w:top w:val="none" w:sz="0" w:space="0" w:color="auto"/>
                        <w:left w:val="none" w:sz="0" w:space="0" w:color="auto"/>
                        <w:bottom w:val="none" w:sz="0" w:space="0" w:color="auto"/>
                        <w:right w:val="none" w:sz="0" w:space="0" w:color="auto"/>
                      </w:divBdr>
                    </w:div>
                  </w:divsChild>
                </w:div>
                <w:div w:id="906383988">
                  <w:marLeft w:val="0"/>
                  <w:marRight w:val="0"/>
                  <w:marTop w:val="0"/>
                  <w:marBottom w:val="0"/>
                  <w:divBdr>
                    <w:top w:val="none" w:sz="0" w:space="0" w:color="auto"/>
                    <w:left w:val="none" w:sz="0" w:space="0" w:color="auto"/>
                    <w:bottom w:val="none" w:sz="0" w:space="0" w:color="auto"/>
                    <w:right w:val="none" w:sz="0" w:space="0" w:color="auto"/>
                  </w:divBdr>
                  <w:divsChild>
                    <w:div w:id="1774593862">
                      <w:marLeft w:val="0"/>
                      <w:marRight w:val="0"/>
                      <w:marTop w:val="0"/>
                      <w:marBottom w:val="0"/>
                      <w:divBdr>
                        <w:top w:val="none" w:sz="0" w:space="0" w:color="auto"/>
                        <w:left w:val="none" w:sz="0" w:space="0" w:color="auto"/>
                        <w:bottom w:val="none" w:sz="0" w:space="0" w:color="auto"/>
                        <w:right w:val="none" w:sz="0" w:space="0" w:color="auto"/>
                      </w:divBdr>
                    </w:div>
                  </w:divsChild>
                </w:div>
                <w:div w:id="910046768">
                  <w:marLeft w:val="0"/>
                  <w:marRight w:val="0"/>
                  <w:marTop w:val="0"/>
                  <w:marBottom w:val="0"/>
                  <w:divBdr>
                    <w:top w:val="none" w:sz="0" w:space="0" w:color="auto"/>
                    <w:left w:val="none" w:sz="0" w:space="0" w:color="auto"/>
                    <w:bottom w:val="none" w:sz="0" w:space="0" w:color="auto"/>
                    <w:right w:val="none" w:sz="0" w:space="0" w:color="auto"/>
                  </w:divBdr>
                  <w:divsChild>
                    <w:div w:id="1347176371">
                      <w:marLeft w:val="0"/>
                      <w:marRight w:val="0"/>
                      <w:marTop w:val="0"/>
                      <w:marBottom w:val="0"/>
                      <w:divBdr>
                        <w:top w:val="none" w:sz="0" w:space="0" w:color="auto"/>
                        <w:left w:val="none" w:sz="0" w:space="0" w:color="auto"/>
                        <w:bottom w:val="none" w:sz="0" w:space="0" w:color="auto"/>
                        <w:right w:val="none" w:sz="0" w:space="0" w:color="auto"/>
                      </w:divBdr>
                    </w:div>
                  </w:divsChild>
                </w:div>
                <w:div w:id="914096685">
                  <w:marLeft w:val="0"/>
                  <w:marRight w:val="0"/>
                  <w:marTop w:val="0"/>
                  <w:marBottom w:val="0"/>
                  <w:divBdr>
                    <w:top w:val="none" w:sz="0" w:space="0" w:color="auto"/>
                    <w:left w:val="none" w:sz="0" w:space="0" w:color="auto"/>
                    <w:bottom w:val="none" w:sz="0" w:space="0" w:color="auto"/>
                    <w:right w:val="none" w:sz="0" w:space="0" w:color="auto"/>
                  </w:divBdr>
                  <w:divsChild>
                    <w:div w:id="1981691746">
                      <w:marLeft w:val="0"/>
                      <w:marRight w:val="0"/>
                      <w:marTop w:val="0"/>
                      <w:marBottom w:val="0"/>
                      <w:divBdr>
                        <w:top w:val="none" w:sz="0" w:space="0" w:color="auto"/>
                        <w:left w:val="none" w:sz="0" w:space="0" w:color="auto"/>
                        <w:bottom w:val="none" w:sz="0" w:space="0" w:color="auto"/>
                        <w:right w:val="none" w:sz="0" w:space="0" w:color="auto"/>
                      </w:divBdr>
                    </w:div>
                  </w:divsChild>
                </w:div>
                <w:div w:id="915280854">
                  <w:marLeft w:val="0"/>
                  <w:marRight w:val="0"/>
                  <w:marTop w:val="0"/>
                  <w:marBottom w:val="0"/>
                  <w:divBdr>
                    <w:top w:val="none" w:sz="0" w:space="0" w:color="auto"/>
                    <w:left w:val="none" w:sz="0" w:space="0" w:color="auto"/>
                    <w:bottom w:val="none" w:sz="0" w:space="0" w:color="auto"/>
                    <w:right w:val="none" w:sz="0" w:space="0" w:color="auto"/>
                  </w:divBdr>
                  <w:divsChild>
                    <w:div w:id="1985085948">
                      <w:marLeft w:val="0"/>
                      <w:marRight w:val="0"/>
                      <w:marTop w:val="0"/>
                      <w:marBottom w:val="0"/>
                      <w:divBdr>
                        <w:top w:val="none" w:sz="0" w:space="0" w:color="auto"/>
                        <w:left w:val="none" w:sz="0" w:space="0" w:color="auto"/>
                        <w:bottom w:val="none" w:sz="0" w:space="0" w:color="auto"/>
                        <w:right w:val="none" w:sz="0" w:space="0" w:color="auto"/>
                      </w:divBdr>
                    </w:div>
                  </w:divsChild>
                </w:div>
                <w:div w:id="917713466">
                  <w:marLeft w:val="0"/>
                  <w:marRight w:val="0"/>
                  <w:marTop w:val="0"/>
                  <w:marBottom w:val="0"/>
                  <w:divBdr>
                    <w:top w:val="none" w:sz="0" w:space="0" w:color="auto"/>
                    <w:left w:val="none" w:sz="0" w:space="0" w:color="auto"/>
                    <w:bottom w:val="none" w:sz="0" w:space="0" w:color="auto"/>
                    <w:right w:val="none" w:sz="0" w:space="0" w:color="auto"/>
                  </w:divBdr>
                  <w:divsChild>
                    <w:div w:id="382214861">
                      <w:marLeft w:val="0"/>
                      <w:marRight w:val="0"/>
                      <w:marTop w:val="0"/>
                      <w:marBottom w:val="0"/>
                      <w:divBdr>
                        <w:top w:val="none" w:sz="0" w:space="0" w:color="auto"/>
                        <w:left w:val="none" w:sz="0" w:space="0" w:color="auto"/>
                        <w:bottom w:val="none" w:sz="0" w:space="0" w:color="auto"/>
                        <w:right w:val="none" w:sz="0" w:space="0" w:color="auto"/>
                      </w:divBdr>
                    </w:div>
                  </w:divsChild>
                </w:div>
                <w:div w:id="932326050">
                  <w:marLeft w:val="0"/>
                  <w:marRight w:val="0"/>
                  <w:marTop w:val="0"/>
                  <w:marBottom w:val="0"/>
                  <w:divBdr>
                    <w:top w:val="none" w:sz="0" w:space="0" w:color="auto"/>
                    <w:left w:val="none" w:sz="0" w:space="0" w:color="auto"/>
                    <w:bottom w:val="none" w:sz="0" w:space="0" w:color="auto"/>
                    <w:right w:val="none" w:sz="0" w:space="0" w:color="auto"/>
                  </w:divBdr>
                  <w:divsChild>
                    <w:div w:id="1049035798">
                      <w:marLeft w:val="0"/>
                      <w:marRight w:val="0"/>
                      <w:marTop w:val="0"/>
                      <w:marBottom w:val="0"/>
                      <w:divBdr>
                        <w:top w:val="none" w:sz="0" w:space="0" w:color="auto"/>
                        <w:left w:val="none" w:sz="0" w:space="0" w:color="auto"/>
                        <w:bottom w:val="none" w:sz="0" w:space="0" w:color="auto"/>
                        <w:right w:val="none" w:sz="0" w:space="0" w:color="auto"/>
                      </w:divBdr>
                    </w:div>
                  </w:divsChild>
                </w:div>
                <w:div w:id="934049277">
                  <w:marLeft w:val="0"/>
                  <w:marRight w:val="0"/>
                  <w:marTop w:val="0"/>
                  <w:marBottom w:val="0"/>
                  <w:divBdr>
                    <w:top w:val="none" w:sz="0" w:space="0" w:color="auto"/>
                    <w:left w:val="none" w:sz="0" w:space="0" w:color="auto"/>
                    <w:bottom w:val="none" w:sz="0" w:space="0" w:color="auto"/>
                    <w:right w:val="none" w:sz="0" w:space="0" w:color="auto"/>
                  </w:divBdr>
                  <w:divsChild>
                    <w:div w:id="938950335">
                      <w:marLeft w:val="0"/>
                      <w:marRight w:val="0"/>
                      <w:marTop w:val="0"/>
                      <w:marBottom w:val="0"/>
                      <w:divBdr>
                        <w:top w:val="none" w:sz="0" w:space="0" w:color="auto"/>
                        <w:left w:val="none" w:sz="0" w:space="0" w:color="auto"/>
                        <w:bottom w:val="none" w:sz="0" w:space="0" w:color="auto"/>
                        <w:right w:val="none" w:sz="0" w:space="0" w:color="auto"/>
                      </w:divBdr>
                    </w:div>
                  </w:divsChild>
                </w:div>
                <w:div w:id="934247349">
                  <w:marLeft w:val="0"/>
                  <w:marRight w:val="0"/>
                  <w:marTop w:val="0"/>
                  <w:marBottom w:val="0"/>
                  <w:divBdr>
                    <w:top w:val="none" w:sz="0" w:space="0" w:color="auto"/>
                    <w:left w:val="none" w:sz="0" w:space="0" w:color="auto"/>
                    <w:bottom w:val="none" w:sz="0" w:space="0" w:color="auto"/>
                    <w:right w:val="none" w:sz="0" w:space="0" w:color="auto"/>
                  </w:divBdr>
                  <w:divsChild>
                    <w:div w:id="1161434575">
                      <w:marLeft w:val="0"/>
                      <w:marRight w:val="0"/>
                      <w:marTop w:val="0"/>
                      <w:marBottom w:val="0"/>
                      <w:divBdr>
                        <w:top w:val="none" w:sz="0" w:space="0" w:color="auto"/>
                        <w:left w:val="none" w:sz="0" w:space="0" w:color="auto"/>
                        <w:bottom w:val="none" w:sz="0" w:space="0" w:color="auto"/>
                        <w:right w:val="none" w:sz="0" w:space="0" w:color="auto"/>
                      </w:divBdr>
                    </w:div>
                  </w:divsChild>
                </w:div>
                <w:div w:id="935552134">
                  <w:marLeft w:val="0"/>
                  <w:marRight w:val="0"/>
                  <w:marTop w:val="0"/>
                  <w:marBottom w:val="0"/>
                  <w:divBdr>
                    <w:top w:val="none" w:sz="0" w:space="0" w:color="auto"/>
                    <w:left w:val="none" w:sz="0" w:space="0" w:color="auto"/>
                    <w:bottom w:val="none" w:sz="0" w:space="0" w:color="auto"/>
                    <w:right w:val="none" w:sz="0" w:space="0" w:color="auto"/>
                  </w:divBdr>
                  <w:divsChild>
                    <w:div w:id="2050228489">
                      <w:marLeft w:val="0"/>
                      <w:marRight w:val="0"/>
                      <w:marTop w:val="0"/>
                      <w:marBottom w:val="0"/>
                      <w:divBdr>
                        <w:top w:val="none" w:sz="0" w:space="0" w:color="auto"/>
                        <w:left w:val="none" w:sz="0" w:space="0" w:color="auto"/>
                        <w:bottom w:val="none" w:sz="0" w:space="0" w:color="auto"/>
                        <w:right w:val="none" w:sz="0" w:space="0" w:color="auto"/>
                      </w:divBdr>
                    </w:div>
                  </w:divsChild>
                </w:div>
                <w:div w:id="938411918">
                  <w:marLeft w:val="0"/>
                  <w:marRight w:val="0"/>
                  <w:marTop w:val="0"/>
                  <w:marBottom w:val="0"/>
                  <w:divBdr>
                    <w:top w:val="none" w:sz="0" w:space="0" w:color="auto"/>
                    <w:left w:val="none" w:sz="0" w:space="0" w:color="auto"/>
                    <w:bottom w:val="none" w:sz="0" w:space="0" w:color="auto"/>
                    <w:right w:val="none" w:sz="0" w:space="0" w:color="auto"/>
                  </w:divBdr>
                  <w:divsChild>
                    <w:div w:id="752895259">
                      <w:marLeft w:val="0"/>
                      <w:marRight w:val="0"/>
                      <w:marTop w:val="0"/>
                      <w:marBottom w:val="0"/>
                      <w:divBdr>
                        <w:top w:val="none" w:sz="0" w:space="0" w:color="auto"/>
                        <w:left w:val="none" w:sz="0" w:space="0" w:color="auto"/>
                        <w:bottom w:val="none" w:sz="0" w:space="0" w:color="auto"/>
                        <w:right w:val="none" w:sz="0" w:space="0" w:color="auto"/>
                      </w:divBdr>
                    </w:div>
                  </w:divsChild>
                </w:div>
                <w:div w:id="945691882">
                  <w:marLeft w:val="0"/>
                  <w:marRight w:val="0"/>
                  <w:marTop w:val="0"/>
                  <w:marBottom w:val="0"/>
                  <w:divBdr>
                    <w:top w:val="none" w:sz="0" w:space="0" w:color="auto"/>
                    <w:left w:val="none" w:sz="0" w:space="0" w:color="auto"/>
                    <w:bottom w:val="none" w:sz="0" w:space="0" w:color="auto"/>
                    <w:right w:val="none" w:sz="0" w:space="0" w:color="auto"/>
                  </w:divBdr>
                  <w:divsChild>
                    <w:div w:id="172376140">
                      <w:marLeft w:val="0"/>
                      <w:marRight w:val="0"/>
                      <w:marTop w:val="0"/>
                      <w:marBottom w:val="0"/>
                      <w:divBdr>
                        <w:top w:val="none" w:sz="0" w:space="0" w:color="auto"/>
                        <w:left w:val="none" w:sz="0" w:space="0" w:color="auto"/>
                        <w:bottom w:val="none" w:sz="0" w:space="0" w:color="auto"/>
                        <w:right w:val="none" w:sz="0" w:space="0" w:color="auto"/>
                      </w:divBdr>
                    </w:div>
                  </w:divsChild>
                </w:div>
                <w:div w:id="951975977">
                  <w:marLeft w:val="0"/>
                  <w:marRight w:val="0"/>
                  <w:marTop w:val="0"/>
                  <w:marBottom w:val="0"/>
                  <w:divBdr>
                    <w:top w:val="none" w:sz="0" w:space="0" w:color="auto"/>
                    <w:left w:val="none" w:sz="0" w:space="0" w:color="auto"/>
                    <w:bottom w:val="none" w:sz="0" w:space="0" w:color="auto"/>
                    <w:right w:val="none" w:sz="0" w:space="0" w:color="auto"/>
                  </w:divBdr>
                  <w:divsChild>
                    <w:div w:id="1182209988">
                      <w:marLeft w:val="0"/>
                      <w:marRight w:val="0"/>
                      <w:marTop w:val="0"/>
                      <w:marBottom w:val="0"/>
                      <w:divBdr>
                        <w:top w:val="none" w:sz="0" w:space="0" w:color="auto"/>
                        <w:left w:val="none" w:sz="0" w:space="0" w:color="auto"/>
                        <w:bottom w:val="none" w:sz="0" w:space="0" w:color="auto"/>
                        <w:right w:val="none" w:sz="0" w:space="0" w:color="auto"/>
                      </w:divBdr>
                    </w:div>
                  </w:divsChild>
                </w:div>
                <w:div w:id="960771895">
                  <w:marLeft w:val="0"/>
                  <w:marRight w:val="0"/>
                  <w:marTop w:val="0"/>
                  <w:marBottom w:val="0"/>
                  <w:divBdr>
                    <w:top w:val="none" w:sz="0" w:space="0" w:color="auto"/>
                    <w:left w:val="none" w:sz="0" w:space="0" w:color="auto"/>
                    <w:bottom w:val="none" w:sz="0" w:space="0" w:color="auto"/>
                    <w:right w:val="none" w:sz="0" w:space="0" w:color="auto"/>
                  </w:divBdr>
                  <w:divsChild>
                    <w:div w:id="1837525881">
                      <w:marLeft w:val="0"/>
                      <w:marRight w:val="0"/>
                      <w:marTop w:val="0"/>
                      <w:marBottom w:val="0"/>
                      <w:divBdr>
                        <w:top w:val="none" w:sz="0" w:space="0" w:color="auto"/>
                        <w:left w:val="none" w:sz="0" w:space="0" w:color="auto"/>
                        <w:bottom w:val="none" w:sz="0" w:space="0" w:color="auto"/>
                        <w:right w:val="none" w:sz="0" w:space="0" w:color="auto"/>
                      </w:divBdr>
                    </w:div>
                  </w:divsChild>
                </w:div>
                <w:div w:id="987511068">
                  <w:marLeft w:val="0"/>
                  <w:marRight w:val="0"/>
                  <w:marTop w:val="0"/>
                  <w:marBottom w:val="0"/>
                  <w:divBdr>
                    <w:top w:val="none" w:sz="0" w:space="0" w:color="auto"/>
                    <w:left w:val="none" w:sz="0" w:space="0" w:color="auto"/>
                    <w:bottom w:val="none" w:sz="0" w:space="0" w:color="auto"/>
                    <w:right w:val="none" w:sz="0" w:space="0" w:color="auto"/>
                  </w:divBdr>
                  <w:divsChild>
                    <w:div w:id="1922831303">
                      <w:marLeft w:val="0"/>
                      <w:marRight w:val="0"/>
                      <w:marTop w:val="0"/>
                      <w:marBottom w:val="0"/>
                      <w:divBdr>
                        <w:top w:val="none" w:sz="0" w:space="0" w:color="auto"/>
                        <w:left w:val="none" w:sz="0" w:space="0" w:color="auto"/>
                        <w:bottom w:val="none" w:sz="0" w:space="0" w:color="auto"/>
                        <w:right w:val="none" w:sz="0" w:space="0" w:color="auto"/>
                      </w:divBdr>
                    </w:div>
                  </w:divsChild>
                </w:div>
                <w:div w:id="1011643969">
                  <w:marLeft w:val="0"/>
                  <w:marRight w:val="0"/>
                  <w:marTop w:val="0"/>
                  <w:marBottom w:val="0"/>
                  <w:divBdr>
                    <w:top w:val="none" w:sz="0" w:space="0" w:color="auto"/>
                    <w:left w:val="none" w:sz="0" w:space="0" w:color="auto"/>
                    <w:bottom w:val="none" w:sz="0" w:space="0" w:color="auto"/>
                    <w:right w:val="none" w:sz="0" w:space="0" w:color="auto"/>
                  </w:divBdr>
                  <w:divsChild>
                    <w:div w:id="251402497">
                      <w:marLeft w:val="0"/>
                      <w:marRight w:val="0"/>
                      <w:marTop w:val="0"/>
                      <w:marBottom w:val="0"/>
                      <w:divBdr>
                        <w:top w:val="none" w:sz="0" w:space="0" w:color="auto"/>
                        <w:left w:val="none" w:sz="0" w:space="0" w:color="auto"/>
                        <w:bottom w:val="none" w:sz="0" w:space="0" w:color="auto"/>
                        <w:right w:val="none" w:sz="0" w:space="0" w:color="auto"/>
                      </w:divBdr>
                    </w:div>
                  </w:divsChild>
                </w:div>
                <w:div w:id="1030690913">
                  <w:marLeft w:val="0"/>
                  <w:marRight w:val="0"/>
                  <w:marTop w:val="0"/>
                  <w:marBottom w:val="0"/>
                  <w:divBdr>
                    <w:top w:val="none" w:sz="0" w:space="0" w:color="auto"/>
                    <w:left w:val="none" w:sz="0" w:space="0" w:color="auto"/>
                    <w:bottom w:val="none" w:sz="0" w:space="0" w:color="auto"/>
                    <w:right w:val="none" w:sz="0" w:space="0" w:color="auto"/>
                  </w:divBdr>
                  <w:divsChild>
                    <w:div w:id="391461573">
                      <w:marLeft w:val="0"/>
                      <w:marRight w:val="0"/>
                      <w:marTop w:val="0"/>
                      <w:marBottom w:val="0"/>
                      <w:divBdr>
                        <w:top w:val="none" w:sz="0" w:space="0" w:color="auto"/>
                        <w:left w:val="none" w:sz="0" w:space="0" w:color="auto"/>
                        <w:bottom w:val="none" w:sz="0" w:space="0" w:color="auto"/>
                        <w:right w:val="none" w:sz="0" w:space="0" w:color="auto"/>
                      </w:divBdr>
                    </w:div>
                  </w:divsChild>
                </w:div>
                <w:div w:id="1035735351">
                  <w:marLeft w:val="0"/>
                  <w:marRight w:val="0"/>
                  <w:marTop w:val="0"/>
                  <w:marBottom w:val="0"/>
                  <w:divBdr>
                    <w:top w:val="none" w:sz="0" w:space="0" w:color="auto"/>
                    <w:left w:val="none" w:sz="0" w:space="0" w:color="auto"/>
                    <w:bottom w:val="none" w:sz="0" w:space="0" w:color="auto"/>
                    <w:right w:val="none" w:sz="0" w:space="0" w:color="auto"/>
                  </w:divBdr>
                  <w:divsChild>
                    <w:div w:id="1829860625">
                      <w:marLeft w:val="0"/>
                      <w:marRight w:val="0"/>
                      <w:marTop w:val="0"/>
                      <w:marBottom w:val="0"/>
                      <w:divBdr>
                        <w:top w:val="none" w:sz="0" w:space="0" w:color="auto"/>
                        <w:left w:val="none" w:sz="0" w:space="0" w:color="auto"/>
                        <w:bottom w:val="none" w:sz="0" w:space="0" w:color="auto"/>
                        <w:right w:val="none" w:sz="0" w:space="0" w:color="auto"/>
                      </w:divBdr>
                    </w:div>
                  </w:divsChild>
                </w:div>
                <w:div w:id="1037001030">
                  <w:marLeft w:val="0"/>
                  <w:marRight w:val="0"/>
                  <w:marTop w:val="0"/>
                  <w:marBottom w:val="0"/>
                  <w:divBdr>
                    <w:top w:val="none" w:sz="0" w:space="0" w:color="auto"/>
                    <w:left w:val="none" w:sz="0" w:space="0" w:color="auto"/>
                    <w:bottom w:val="none" w:sz="0" w:space="0" w:color="auto"/>
                    <w:right w:val="none" w:sz="0" w:space="0" w:color="auto"/>
                  </w:divBdr>
                  <w:divsChild>
                    <w:div w:id="14499402">
                      <w:marLeft w:val="0"/>
                      <w:marRight w:val="0"/>
                      <w:marTop w:val="0"/>
                      <w:marBottom w:val="0"/>
                      <w:divBdr>
                        <w:top w:val="none" w:sz="0" w:space="0" w:color="auto"/>
                        <w:left w:val="none" w:sz="0" w:space="0" w:color="auto"/>
                        <w:bottom w:val="none" w:sz="0" w:space="0" w:color="auto"/>
                        <w:right w:val="none" w:sz="0" w:space="0" w:color="auto"/>
                      </w:divBdr>
                    </w:div>
                  </w:divsChild>
                </w:div>
                <w:div w:id="1049064670">
                  <w:marLeft w:val="0"/>
                  <w:marRight w:val="0"/>
                  <w:marTop w:val="0"/>
                  <w:marBottom w:val="0"/>
                  <w:divBdr>
                    <w:top w:val="none" w:sz="0" w:space="0" w:color="auto"/>
                    <w:left w:val="none" w:sz="0" w:space="0" w:color="auto"/>
                    <w:bottom w:val="none" w:sz="0" w:space="0" w:color="auto"/>
                    <w:right w:val="none" w:sz="0" w:space="0" w:color="auto"/>
                  </w:divBdr>
                  <w:divsChild>
                    <w:div w:id="1060983058">
                      <w:marLeft w:val="0"/>
                      <w:marRight w:val="0"/>
                      <w:marTop w:val="0"/>
                      <w:marBottom w:val="0"/>
                      <w:divBdr>
                        <w:top w:val="none" w:sz="0" w:space="0" w:color="auto"/>
                        <w:left w:val="none" w:sz="0" w:space="0" w:color="auto"/>
                        <w:bottom w:val="none" w:sz="0" w:space="0" w:color="auto"/>
                        <w:right w:val="none" w:sz="0" w:space="0" w:color="auto"/>
                      </w:divBdr>
                    </w:div>
                  </w:divsChild>
                </w:div>
                <w:div w:id="1052653141">
                  <w:marLeft w:val="0"/>
                  <w:marRight w:val="0"/>
                  <w:marTop w:val="0"/>
                  <w:marBottom w:val="0"/>
                  <w:divBdr>
                    <w:top w:val="none" w:sz="0" w:space="0" w:color="auto"/>
                    <w:left w:val="none" w:sz="0" w:space="0" w:color="auto"/>
                    <w:bottom w:val="none" w:sz="0" w:space="0" w:color="auto"/>
                    <w:right w:val="none" w:sz="0" w:space="0" w:color="auto"/>
                  </w:divBdr>
                  <w:divsChild>
                    <w:div w:id="1920603082">
                      <w:marLeft w:val="0"/>
                      <w:marRight w:val="0"/>
                      <w:marTop w:val="0"/>
                      <w:marBottom w:val="0"/>
                      <w:divBdr>
                        <w:top w:val="none" w:sz="0" w:space="0" w:color="auto"/>
                        <w:left w:val="none" w:sz="0" w:space="0" w:color="auto"/>
                        <w:bottom w:val="none" w:sz="0" w:space="0" w:color="auto"/>
                        <w:right w:val="none" w:sz="0" w:space="0" w:color="auto"/>
                      </w:divBdr>
                    </w:div>
                  </w:divsChild>
                </w:div>
                <w:div w:id="1073089050">
                  <w:marLeft w:val="0"/>
                  <w:marRight w:val="0"/>
                  <w:marTop w:val="0"/>
                  <w:marBottom w:val="0"/>
                  <w:divBdr>
                    <w:top w:val="none" w:sz="0" w:space="0" w:color="auto"/>
                    <w:left w:val="none" w:sz="0" w:space="0" w:color="auto"/>
                    <w:bottom w:val="none" w:sz="0" w:space="0" w:color="auto"/>
                    <w:right w:val="none" w:sz="0" w:space="0" w:color="auto"/>
                  </w:divBdr>
                  <w:divsChild>
                    <w:div w:id="1982687001">
                      <w:marLeft w:val="0"/>
                      <w:marRight w:val="0"/>
                      <w:marTop w:val="0"/>
                      <w:marBottom w:val="0"/>
                      <w:divBdr>
                        <w:top w:val="none" w:sz="0" w:space="0" w:color="auto"/>
                        <w:left w:val="none" w:sz="0" w:space="0" w:color="auto"/>
                        <w:bottom w:val="none" w:sz="0" w:space="0" w:color="auto"/>
                        <w:right w:val="none" w:sz="0" w:space="0" w:color="auto"/>
                      </w:divBdr>
                    </w:div>
                  </w:divsChild>
                </w:div>
                <w:div w:id="1087266417">
                  <w:marLeft w:val="0"/>
                  <w:marRight w:val="0"/>
                  <w:marTop w:val="0"/>
                  <w:marBottom w:val="0"/>
                  <w:divBdr>
                    <w:top w:val="none" w:sz="0" w:space="0" w:color="auto"/>
                    <w:left w:val="none" w:sz="0" w:space="0" w:color="auto"/>
                    <w:bottom w:val="none" w:sz="0" w:space="0" w:color="auto"/>
                    <w:right w:val="none" w:sz="0" w:space="0" w:color="auto"/>
                  </w:divBdr>
                  <w:divsChild>
                    <w:div w:id="613561583">
                      <w:marLeft w:val="0"/>
                      <w:marRight w:val="0"/>
                      <w:marTop w:val="0"/>
                      <w:marBottom w:val="0"/>
                      <w:divBdr>
                        <w:top w:val="none" w:sz="0" w:space="0" w:color="auto"/>
                        <w:left w:val="none" w:sz="0" w:space="0" w:color="auto"/>
                        <w:bottom w:val="none" w:sz="0" w:space="0" w:color="auto"/>
                        <w:right w:val="none" w:sz="0" w:space="0" w:color="auto"/>
                      </w:divBdr>
                    </w:div>
                  </w:divsChild>
                </w:div>
                <w:div w:id="1098595112">
                  <w:marLeft w:val="0"/>
                  <w:marRight w:val="0"/>
                  <w:marTop w:val="0"/>
                  <w:marBottom w:val="0"/>
                  <w:divBdr>
                    <w:top w:val="none" w:sz="0" w:space="0" w:color="auto"/>
                    <w:left w:val="none" w:sz="0" w:space="0" w:color="auto"/>
                    <w:bottom w:val="none" w:sz="0" w:space="0" w:color="auto"/>
                    <w:right w:val="none" w:sz="0" w:space="0" w:color="auto"/>
                  </w:divBdr>
                  <w:divsChild>
                    <w:div w:id="1531843850">
                      <w:marLeft w:val="0"/>
                      <w:marRight w:val="0"/>
                      <w:marTop w:val="0"/>
                      <w:marBottom w:val="0"/>
                      <w:divBdr>
                        <w:top w:val="none" w:sz="0" w:space="0" w:color="auto"/>
                        <w:left w:val="none" w:sz="0" w:space="0" w:color="auto"/>
                        <w:bottom w:val="none" w:sz="0" w:space="0" w:color="auto"/>
                        <w:right w:val="none" w:sz="0" w:space="0" w:color="auto"/>
                      </w:divBdr>
                    </w:div>
                  </w:divsChild>
                </w:div>
                <w:div w:id="1102914701">
                  <w:marLeft w:val="0"/>
                  <w:marRight w:val="0"/>
                  <w:marTop w:val="0"/>
                  <w:marBottom w:val="0"/>
                  <w:divBdr>
                    <w:top w:val="none" w:sz="0" w:space="0" w:color="auto"/>
                    <w:left w:val="none" w:sz="0" w:space="0" w:color="auto"/>
                    <w:bottom w:val="none" w:sz="0" w:space="0" w:color="auto"/>
                    <w:right w:val="none" w:sz="0" w:space="0" w:color="auto"/>
                  </w:divBdr>
                  <w:divsChild>
                    <w:div w:id="1491559593">
                      <w:marLeft w:val="0"/>
                      <w:marRight w:val="0"/>
                      <w:marTop w:val="0"/>
                      <w:marBottom w:val="0"/>
                      <w:divBdr>
                        <w:top w:val="none" w:sz="0" w:space="0" w:color="auto"/>
                        <w:left w:val="none" w:sz="0" w:space="0" w:color="auto"/>
                        <w:bottom w:val="none" w:sz="0" w:space="0" w:color="auto"/>
                        <w:right w:val="none" w:sz="0" w:space="0" w:color="auto"/>
                      </w:divBdr>
                    </w:div>
                  </w:divsChild>
                </w:div>
                <w:div w:id="1105349692">
                  <w:marLeft w:val="0"/>
                  <w:marRight w:val="0"/>
                  <w:marTop w:val="0"/>
                  <w:marBottom w:val="0"/>
                  <w:divBdr>
                    <w:top w:val="none" w:sz="0" w:space="0" w:color="auto"/>
                    <w:left w:val="none" w:sz="0" w:space="0" w:color="auto"/>
                    <w:bottom w:val="none" w:sz="0" w:space="0" w:color="auto"/>
                    <w:right w:val="none" w:sz="0" w:space="0" w:color="auto"/>
                  </w:divBdr>
                  <w:divsChild>
                    <w:div w:id="629166264">
                      <w:marLeft w:val="0"/>
                      <w:marRight w:val="0"/>
                      <w:marTop w:val="0"/>
                      <w:marBottom w:val="0"/>
                      <w:divBdr>
                        <w:top w:val="none" w:sz="0" w:space="0" w:color="auto"/>
                        <w:left w:val="none" w:sz="0" w:space="0" w:color="auto"/>
                        <w:bottom w:val="none" w:sz="0" w:space="0" w:color="auto"/>
                        <w:right w:val="none" w:sz="0" w:space="0" w:color="auto"/>
                      </w:divBdr>
                    </w:div>
                  </w:divsChild>
                </w:div>
                <w:div w:id="1114784006">
                  <w:marLeft w:val="0"/>
                  <w:marRight w:val="0"/>
                  <w:marTop w:val="0"/>
                  <w:marBottom w:val="0"/>
                  <w:divBdr>
                    <w:top w:val="none" w:sz="0" w:space="0" w:color="auto"/>
                    <w:left w:val="none" w:sz="0" w:space="0" w:color="auto"/>
                    <w:bottom w:val="none" w:sz="0" w:space="0" w:color="auto"/>
                    <w:right w:val="none" w:sz="0" w:space="0" w:color="auto"/>
                  </w:divBdr>
                  <w:divsChild>
                    <w:div w:id="1344894022">
                      <w:marLeft w:val="0"/>
                      <w:marRight w:val="0"/>
                      <w:marTop w:val="0"/>
                      <w:marBottom w:val="0"/>
                      <w:divBdr>
                        <w:top w:val="none" w:sz="0" w:space="0" w:color="auto"/>
                        <w:left w:val="none" w:sz="0" w:space="0" w:color="auto"/>
                        <w:bottom w:val="none" w:sz="0" w:space="0" w:color="auto"/>
                        <w:right w:val="none" w:sz="0" w:space="0" w:color="auto"/>
                      </w:divBdr>
                    </w:div>
                  </w:divsChild>
                </w:div>
                <w:div w:id="1118253489">
                  <w:marLeft w:val="0"/>
                  <w:marRight w:val="0"/>
                  <w:marTop w:val="0"/>
                  <w:marBottom w:val="0"/>
                  <w:divBdr>
                    <w:top w:val="none" w:sz="0" w:space="0" w:color="auto"/>
                    <w:left w:val="none" w:sz="0" w:space="0" w:color="auto"/>
                    <w:bottom w:val="none" w:sz="0" w:space="0" w:color="auto"/>
                    <w:right w:val="none" w:sz="0" w:space="0" w:color="auto"/>
                  </w:divBdr>
                  <w:divsChild>
                    <w:div w:id="136997100">
                      <w:marLeft w:val="0"/>
                      <w:marRight w:val="0"/>
                      <w:marTop w:val="0"/>
                      <w:marBottom w:val="0"/>
                      <w:divBdr>
                        <w:top w:val="none" w:sz="0" w:space="0" w:color="auto"/>
                        <w:left w:val="none" w:sz="0" w:space="0" w:color="auto"/>
                        <w:bottom w:val="none" w:sz="0" w:space="0" w:color="auto"/>
                        <w:right w:val="none" w:sz="0" w:space="0" w:color="auto"/>
                      </w:divBdr>
                    </w:div>
                  </w:divsChild>
                </w:div>
                <w:div w:id="1127161547">
                  <w:marLeft w:val="0"/>
                  <w:marRight w:val="0"/>
                  <w:marTop w:val="0"/>
                  <w:marBottom w:val="0"/>
                  <w:divBdr>
                    <w:top w:val="none" w:sz="0" w:space="0" w:color="auto"/>
                    <w:left w:val="none" w:sz="0" w:space="0" w:color="auto"/>
                    <w:bottom w:val="none" w:sz="0" w:space="0" w:color="auto"/>
                    <w:right w:val="none" w:sz="0" w:space="0" w:color="auto"/>
                  </w:divBdr>
                  <w:divsChild>
                    <w:div w:id="717515979">
                      <w:marLeft w:val="0"/>
                      <w:marRight w:val="0"/>
                      <w:marTop w:val="0"/>
                      <w:marBottom w:val="0"/>
                      <w:divBdr>
                        <w:top w:val="none" w:sz="0" w:space="0" w:color="auto"/>
                        <w:left w:val="none" w:sz="0" w:space="0" w:color="auto"/>
                        <w:bottom w:val="none" w:sz="0" w:space="0" w:color="auto"/>
                        <w:right w:val="none" w:sz="0" w:space="0" w:color="auto"/>
                      </w:divBdr>
                    </w:div>
                  </w:divsChild>
                </w:div>
                <w:div w:id="1135099105">
                  <w:marLeft w:val="0"/>
                  <w:marRight w:val="0"/>
                  <w:marTop w:val="0"/>
                  <w:marBottom w:val="0"/>
                  <w:divBdr>
                    <w:top w:val="none" w:sz="0" w:space="0" w:color="auto"/>
                    <w:left w:val="none" w:sz="0" w:space="0" w:color="auto"/>
                    <w:bottom w:val="none" w:sz="0" w:space="0" w:color="auto"/>
                    <w:right w:val="none" w:sz="0" w:space="0" w:color="auto"/>
                  </w:divBdr>
                  <w:divsChild>
                    <w:div w:id="2028633102">
                      <w:marLeft w:val="0"/>
                      <w:marRight w:val="0"/>
                      <w:marTop w:val="0"/>
                      <w:marBottom w:val="0"/>
                      <w:divBdr>
                        <w:top w:val="none" w:sz="0" w:space="0" w:color="auto"/>
                        <w:left w:val="none" w:sz="0" w:space="0" w:color="auto"/>
                        <w:bottom w:val="none" w:sz="0" w:space="0" w:color="auto"/>
                        <w:right w:val="none" w:sz="0" w:space="0" w:color="auto"/>
                      </w:divBdr>
                    </w:div>
                  </w:divsChild>
                </w:div>
                <w:div w:id="1140925220">
                  <w:marLeft w:val="0"/>
                  <w:marRight w:val="0"/>
                  <w:marTop w:val="0"/>
                  <w:marBottom w:val="0"/>
                  <w:divBdr>
                    <w:top w:val="none" w:sz="0" w:space="0" w:color="auto"/>
                    <w:left w:val="none" w:sz="0" w:space="0" w:color="auto"/>
                    <w:bottom w:val="none" w:sz="0" w:space="0" w:color="auto"/>
                    <w:right w:val="none" w:sz="0" w:space="0" w:color="auto"/>
                  </w:divBdr>
                  <w:divsChild>
                    <w:div w:id="677149663">
                      <w:marLeft w:val="0"/>
                      <w:marRight w:val="0"/>
                      <w:marTop w:val="0"/>
                      <w:marBottom w:val="0"/>
                      <w:divBdr>
                        <w:top w:val="none" w:sz="0" w:space="0" w:color="auto"/>
                        <w:left w:val="none" w:sz="0" w:space="0" w:color="auto"/>
                        <w:bottom w:val="none" w:sz="0" w:space="0" w:color="auto"/>
                        <w:right w:val="none" w:sz="0" w:space="0" w:color="auto"/>
                      </w:divBdr>
                    </w:div>
                  </w:divsChild>
                </w:div>
                <w:div w:id="1141729089">
                  <w:marLeft w:val="0"/>
                  <w:marRight w:val="0"/>
                  <w:marTop w:val="0"/>
                  <w:marBottom w:val="0"/>
                  <w:divBdr>
                    <w:top w:val="none" w:sz="0" w:space="0" w:color="auto"/>
                    <w:left w:val="none" w:sz="0" w:space="0" w:color="auto"/>
                    <w:bottom w:val="none" w:sz="0" w:space="0" w:color="auto"/>
                    <w:right w:val="none" w:sz="0" w:space="0" w:color="auto"/>
                  </w:divBdr>
                  <w:divsChild>
                    <w:div w:id="1649508039">
                      <w:marLeft w:val="0"/>
                      <w:marRight w:val="0"/>
                      <w:marTop w:val="0"/>
                      <w:marBottom w:val="0"/>
                      <w:divBdr>
                        <w:top w:val="none" w:sz="0" w:space="0" w:color="auto"/>
                        <w:left w:val="none" w:sz="0" w:space="0" w:color="auto"/>
                        <w:bottom w:val="none" w:sz="0" w:space="0" w:color="auto"/>
                        <w:right w:val="none" w:sz="0" w:space="0" w:color="auto"/>
                      </w:divBdr>
                    </w:div>
                  </w:divsChild>
                </w:div>
                <w:div w:id="1159614865">
                  <w:marLeft w:val="0"/>
                  <w:marRight w:val="0"/>
                  <w:marTop w:val="0"/>
                  <w:marBottom w:val="0"/>
                  <w:divBdr>
                    <w:top w:val="none" w:sz="0" w:space="0" w:color="auto"/>
                    <w:left w:val="none" w:sz="0" w:space="0" w:color="auto"/>
                    <w:bottom w:val="none" w:sz="0" w:space="0" w:color="auto"/>
                    <w:right w:val="none" w:sz="0" w:space="0" w:color="auto"/>
                  </w:divBdr>
                  <w:divsChild>
                    <w:div w:id="216166109">
                      <w:marLeft w:val="0"/>
                      <w:marRight w:val="0"/>
                      <w:marTop w:val="0"/>
                      <w:marBottom w:val="0"/>
                      <w:divBdr>
                        <w:top w:val="none" w:sz="0" w:space="0" w:color="auto"/>
                        <w:left w:val="none" w:sz="0" w:space="0" w:color="auto"/>
                        <w:bottom w:val="none" w:sz="0" w:space="0" w:color="auto"/>
                        <w:right w:val="none" w:sz="0" w:space="0" w:color="auto"/>
                      </w:divBdr>
                    </w:div>
                  </w:divsChild>
                </w:div>
                <w:div w:id="1195079908">
                  <w:marLeft w:val="0"/>
                  <w:marRight w:val="0"/>
                  <w:marTop w:val="0"/>
                  <w:marBottom w:val="0"/>
                  <w:divBdr>
                    <w:top w:val="none" w:sz="0" w:space="0" w:color="auto"/>
                    <w:left w:val="none" w:sz="0" w:space="0" w:color="auto"/>
                    <w:bottom w:val="none" w:sz="0" w:space="0" w:color="auto"/>
                    <w:right w:val="none" w:sz="0" w:space="0" w:color="auto"/>
                  </w:divBdr>
                  <w:divsChild>
                    <w:div w:id="1921676952">
                      <w:marLeft w:val="0"/>
                      <w:marRight w:val="0"/>
                      <w:marTop w:val="0"/>
                      <w:marBottom w:val="0"/>
                      <w:divBdr>
                        <w:top w:val="none" w:sz="0" w:space="0" w:color="auto"/>
                        <w:left w:val="none" w:sz="0" w:space="0" w:color="auto"/>
                        <w:bottom w:val="none" w:sz="0" w:space="0" w:color="auto"/>
                        <w:right w:val="none" w:sz="0" w:space="0" w:color="auto"/>
                      </w:divBdr>
                    </w:div>
                  </w:divsChild>
                </w:div>
                <w:div w:id="1201089880">
                  <w:marLeft w:val="0"/>
                  <w:marRight w:val="0"/>
                  <w:marTop w:val="0"/>
                  <w:marBottom w:val="0"/>
                  <w:divBdr>
                    <w:top w:val="none" w:sz="0" w:space="0" w:color="auto"/>
                    <w:left w:val="none" w:sz="0" w:space="0" w:color="auto"/>
                    <w:bottom w:val="none" w:sz="0" w:space="0" w:color="auto"/>
                    <w:right w:val="none" w:sz="0" w:space="0" w:color="auto"/>
                  </w:divBdr>
                  <w:divsChild>
                    <w:div w:id="84692536">
                      <w:marLeft w:val="0"/>
                      <w:marRight w:val="0"/>
                      <w:marTop w:val="0"/>
                      <w:marBottom w:val="0"/>
                      <w:divBdr>
                        <w:top w:val="none" w:sz="0" w:space="0" w:color="auto"/>
                        <w:left w:val="none" w:sz="0" w:space="0" w:color="auto"/>
                        <w:bottom w:val="none" w:sz="0" w:space="0" w:color="auto"/>
                        <w:right w:val="none" w:sz="0" w:space="0" w:color="auto"/>
                      </w:divBdr>
                    </w:div>
                  </w:divsChild>
                </w:div>
                <w:div w:id="1207449510">
                  <w:marLeft w:val="0"/>
                  <w:marRight w:val="0"/>
                  <w:marTop w:val="0"/>
                  <w:marBottom w:val="0"/>
                  <w:divBdr>
                    <w:top w:val="none" w:sz="0" w:space="0" w:color="auto"/>
                    <w:left w:val="none" w:sz="0" w:space="0" w:color="auto"/>
                    <w:bottom w:val="none" w:sz="0" w:space="0" w:color="auto"/>
                    <w:right w:val="none" w:sz="0" w:space="0" w:color="auto"/>
                  </w:divBdr>
                  <w:divsChild>
                    <w:div w:id="77025424">
                      <w:marLeft w:val="0"/>
                      <w:marRight w:val="0"/>
                      <w:marTop w:val="0"/>
                      <w:marBottom w:val="0"/>
                      <w:divBdr>
                        <w:top w:val="none" w:sz="0" w:space="0" w:color="auto"/>
                        <w:left w:val="none" w:sz="0" w:space="0" w:color="auto"/>
                        <w:bottom w:val="none" w:sz="0" w:space="0" w:color="auto"/>
                        <w:right w:val="none" w:sz="0" w:space="0" w:color="auto"/>
                      </w:divBdr>
                    </w:div>
                  </w:divsChild>
                </w:div>
                <w:div w:id="1209562495">
                  <w:marLeft w:val="0"/>
                  <w:marRight w:val="0"/>
                  <w:marTop w:val="0"/>
                  <w:marBottom w:val="0"/>
                  <w:divBdr>
                    <w:top w:val="none" w:sz="0" w:space="0" w:color="auto"/>
                    <w:left w:val="none" w:sz="0" w:space="0" w:color="auto"/>
                    <w:bottom w:val="none" w:sz="0" w:space="0" w:color="auto"/>
                    <w:right w:val="none" w:sz="0" w:space="0" w:color="auto"/>
                  </w:divBdr>
                  <w:divsChild>
                    <w:div w:id="1861354324">
                      <w:marLeft w:val="0"/>
                      <w:marRight w:val="0"/>
                      <w:marTop w:val="0"/>
                      <w:marBottom w:val="0"/>
                      <w:divBdr>
                        <w:top w:val="none" w:sz="0" w:space="0" w:color="auto"/>
                        <w:left w:val="none" w:sz="0" w:space="0" w:color="auto"/>
                        <w:bottom w:val="none" w:sz="0" w:space="0" w:color="auto"/>
                        <w:right w:val="none" w:sz="0" w:space="0" w:color="auto"/>
                      </w:divBdr>
                    </w:div>
                  </w:divsChild>
                </w:div>
                <w:div w:id="1221750113">
                  <w:marLeft w:val="0"/>
                  <w:marRight w:val="0"/>
                  <w:marTop w:val="0"/>
                  <w:marBottom w:val="0"/>
                  <w:divBdr>
                    <w:top w:val="none" w:sz="0" w:space="0" w:color="auto"/>
                    <w:left w:val="none" w:sz="0" w:space="0" w:color="auto"/>
                    <w:bottom w:val="none" w:sz="0" w:space="0" w:color="auto"/>
                    <w:right w:val="none" w:sz="0" w:space="0" w:color="auto"/>
                  </w:divBdr>
                  <w:divsChild>
                    <w:div w:id="1185442545">
                      <w:marLeft w:val="0"/>
                      <w:marRight w:val="0"/>
                      <w:marTop w:val="0"/>
                      <w:marBottom w:val="0"/>
                      <w:divBdr>
                        <w:top w:val="none" w:sz="0" w:space="0" w:color="auto"/>
                        <w:left w:val="none" w:sz="0" w:space="0" w:color="auto"/>
                        <w:bottom w:val="none" w:sz="0" w:space="0" w:color="auto"/>
                        <w:right w:val="none" w:sz="0" w:space="0" w:color="auto"/>
                      </w:divBdr>
                    </w:div>
                  </w:divsChild>
                </w:div>
                <w:div w:id="1247688196">
                  <w:marLeft w:val="0"/>
                  <w:marRight w:val="0"/>
                  <w:marTop w:val="0"/>
                  <w:marBottom w:val="0"/>
                  <w:divBdr>
                    <w:top w:val="none" w:sz="0" w:space="0" w:color="auto"/>
                    <w:left w:val="none" w:sz="0" w:space="0" w:color="auto"/>
                    <w:bottom w:val="none" w:sz="0" w:space="0" w:color="auto"/>
                    <w:right w:val="none" w:sz="0" w:space="0" w:color="auto"/>
                  </w:divBdr>
                  <w:divsChild>
                    <w:div w:id="1366980158">
                      <w:marLeft w:val="0"/>
                      <w:marRight w:val="0"/>
                      <w:marTop w:val="0"/>
                      <w:marBottom w:val="0"/>
                      <w:divBdr>
                        <w:top w:val="none" w:sz="0" w:space="0" w:color="auto"/>
                        <w:left w:val="none" w:sz="0" w:space="0" w:color="auto"/>
                        <w:bottom w:val="none" w:sz="0" w:space="0" w:color="auto"/>
                        <w:right w:val="none" w:sz="0" w:space="0" w:color="auto"/>
                      </w:divBdr>
                    </w:div>
                  </w:divsChild>
                </w:div>
                <w:div w:id="1251503400">
                  <w:marLeft w:val="0"/>
                  <w:marRight w:val="0"/>
                  <w:marTop w:val="0"/>
                  <w:marBottom w:val="0"/>
                  <w:divBdr>
                    <w:top w:val="none" w:sz="0" w:space="0" w:color="auto"/>
                    <w:left w:val="none" w:sz="0" w:space="0" w:color="auto"/>
                    <w:bottom w:val="none" w:sz="0" w:space="0" w:color="auto"/>
                    <w:right w:val="none" w:sz="0" w:space="0" w:color="auto"/>
                  </w:divBdr>
                  <w:divsChild>
                    <w:div w:id="715396977">
                      <w:marLeft w:val="0"/>
                      <w:marRight w:val="0"/>
                      <w:marTop w:val="0"/>
                      <w:marBottom w:val="0"/>
                      <w:divBdr>
                        <w:top w:val="none" w:sz="0" w:space="0" w:color="auto"/>
                        <w:left w:val="none" w:sz="0" w:space="0" w:color="auto"/>
                        <w:bottom w:val="none" w:sz="0" w:space="0" w:color="auto"/>
                        <w:right w:val="none" w:sz="0" w:space="0" w:color="auto"/>
                      </w:divBdr>
                    </w:div>
                  </w:divsChild>
                </w:div>
                <w:div w:id="1252809865">
                  <w:marLeft w:val="0"/>
                  <w:marRight w:val="0"/>
                  <w:marTop w:val="0"/>
                  <w:marBottom w:val="0"/>
                  <w:divBdr>
                    <w:top w:val="none" w:sz="0" w:space="0" w:color="auto"/>
                    <w:left w:val="none" w:sz="0" w:space="0" w:color="auto"/>
                    <w:bottom w:val="none" w:sz="0" w:space="0" w:color="auto"/>
                    <w:right w:val="none" w:sz="0" w:space="0" w:color="auto"/>
                  </w:divBdr>
                  <w:divsChild>
                    <w:div w:id="772628278">
                      <w:marLeft w:val="0"/>
                      <w:marRight w:val="0"/>
                      <w:marTop w:val="0"/>
                      <w:marBottom w:val="0"/>
                      <w:divBdr>
                        <w:top w:val="none" w:sz="0" w:space="0" w:color="auto"/>
                        <w:left w:val="none" w:sz="0" w:space="0" w:color="auto"/>
                        <w:bottom w:val="none" w:sz="0" w:space="0" w:color="auto"/>
                        <w:right w:val="none" w:sz="0" w:space="0" w:color="auto"/>
                      </w:divBdr>
                    </w:div>
                  </w:divsChild>
                </w:div>
                <w:div w:id="1257248719">
                  <w:marLeft w:val="0"/>
                  <w:marRight w:val="0"/>
                  <w:marTop w:val="0"/>
                  <w:marBottom w:val="0"/>
                  <w:divBdr>
                    <w:top w:val="none" w:sz="0" w:space="0" w:color="auto"/>
                    <w:left w:val="none" w:sz="0" w:space="0" w:color="auto"/>
                    <w:bottom w:val="none" w:sz="0" w:space="0" w:color="auto"/>
                    <w:right w:val="none" w:sz="0" w:space="0" w:color="auto"/>
                  </w:divBdr>
                  <w:divsChild>
                    <w:div w:id="2132936489">
                      <w:marLeft w:val="0"/>
                      <w:marRight w:val="0"/>
                      <w:marTop w:val="0"/>
                      <w:marBottom w:val="0"/>
                      <w:divBdr>
                        <w:top w:val="none" w:sz="0" w:space="0" w:color="auto"/>
                        <w:left w:val="none" w:sz="0" w:space="0" w:color="auto"/>
                        <w:bottom w:val="none" w:sz="0" w:space="0" w:color="auto"/>
                        <w:right w:val="none" w:sz="0" w:space="0" w:color="auto"/>
                      </w:divBdr>
                    </w:div>
                  </w:divsChild>
                </w:div>
                <w:div w:id="1257862006">
                  <w:marLeft w:val="0"/>
                  <w:marRight w:val="0"/>
                  <w:marTop w:val="0"/>
                  <w:marBottom w:val="0"/>
                  <w:divBdr>
                    <w:top w:val="none" w:sz="0" w:space="0" w:color="auto"/>
                    <w:left w:val="none" w:sz="0" w:space="0" w:color="auto"/>
                    <w:bottom w:val="none" w:sz="0" w:space="0" w:color="auto"/>
                    <w:right w:val="none" w:sz="0" w:space="0" w:color="auto"/>
                  </w:divBdr>
                  <w:divsChild>
                    <w:div w:id="1513565663">
                      <w:marLeft w:val="0"/>
                      <w:marRight w:val="0"/>
                      <w:marTop w:val="0"/>
                      <w:marBottom w:val="0"/>
                      <w:divBdr>
                        <w:top w:val="none" w:sz="0" w:space="0" w:color="auto"/>
                        <w:left w:val="none" w:sz="0" w:space="0" w:color="auto"/>
                        <w:bottom w:val="none" w:sz="0" w:space="0" w:color="auto"/>
                        <w:right w:val="none" w:sz="0" w:space="0" w:color="auto"/>
                      </w:divBdr>
                    </w:div>
                  </w:divsChild>
                </w:div>
                <w:div w:id="1264143222">
                  <w:marLeft w:val="0"/>
                  <w:marRight w:val="0"/>
                  <w:marTop w:val="0"/>
                  <w:marBottom w:val="0"/>
                  <w:divBdr>
                    <w:top w:val="none" w:sz="0" w:space="0" w:color="auto"/>
                    <w:left w:val="none" w:sz="0" w:space="0" w:color="auto"/>
                    <w:bottom w:val="none" w:sz="0" w:space="0" w:color="auto"/>
                    <w:right w:val="none" w:sz="0" w:space="0" w:color="auto"/>
                  </w:divBdr>
                  <w:divsChild>
                    <w:div w:id="759986336">
                      <w:marLeft w:val="0"/>
                      <w:marRight w:val="0"/>
                      <w:marTop w:val="0"/>
                      <w:marBottom w:val="0"/>
                      <w:divBdr>
                        <w:top w:val="none" w:sz="0" w:space="0" w:color="auto"/>
                        <w:left w:val="none" w:sz="0" w:space="0" w:color="auto"/>
                        <w:bottom w:val="none" w:sz="0" w:space="0" w:color="auto"/>
                        <w:right w:val="none" w:sz="0" w:space="0" w:color="auto"/>
                      </w:divBdr>
                    </w:div>
                  </w:divsChild>
                </w:div>
                <w:div w:id="1281110942">
                  <w:marLeft w:val="0"/>
                  <w:marRight w:val="0"/>
                  <w:marTop w:val="0"/>
                  <w:marBottom w:val="0"/>
                  <w:divBdr>
                    <w:top w:val="none" w:sz="0" w:space="0" w:color="auto"/>
                    <w:left w:val="none" w:sz="0" w:space="0" w:color="auto"/>
                    <w:bottom w:val="none" w:sz="0" w:space="0" w:color="auto"/>
                    <w:right w:val="none" w:sz="0" w:space="0" w:color="auto"/>
                  </w:divBdr>
                  <w:divsChild>
                    <w:div w:id="1924878817">
                      <w:marLeft w:val="0"/>
                      <w:marRight w:val="0"/>
                      <w:marTop w:val="0"/>
                      <w:marBottom w:val="0"/>
                      <w:divBdr>
                        <w:top w:val="none" w:sz="0" w:space="0" w:color="auto"/>
                        <w:left w:val="none" w:sz="0" w:space="0" w:color="auto"/>
                        <w:bottom w:val="none" w:sz="0" w:space="0" w:color="auto"/>
                        <w:right w:val="none" w:sz="0" w:space="0" w:color="auto"/>
                      </w:divBdr>
                    </w:div>
                  </w:divsChild>
                </w:div>
                <w:div w:id="1287586265">
                  <w:marLeft w:val="0"/>
                  <w:marRight w:val="0"/>
                  <w:marTop w:val="0"/>
                  <w:marBottom w:val="0"/>
                  <w:divBdr>
                    <w:top w:val="none" w:sz="0" w:space="0" w:color="auto"/>
                    <w:left w:val="none" w:sz="0" w:space="0" w:color="auto"/>
                    <w:bottom w:val="none" w:sz="0" w:space="0" w:color="auto"/>
                    <w:right w:val="none" w:sz="0" w:space="0" w:color="auto"/>
                  </w:divBdr>
                  <w:divsChild>
                    <w:div w:id="143007935">
                      <w:marLeft w:val="0"/>
                      <w:marRight w:val="0"/>
                      <w:marTop w:val="0"/>
                      <w:marBottom w:val="0"/>
                      <w:divBdr>
                        <w:top w:val="none" w:sz="0" w:space="0" w:color="auto"/>
                        <w:left w:val="none" w:sz="0" w:space="0" w:color="auto"/>
                        <w:bottom w:val="none" w:sz="0" w:space="0" w:color="auto"/>
                        <w:right w:val="none" w:sz="0" w:space="0" w:color="auto"/>
                      </w:divBdr>
                    </w:div>
                  </w:divsChild>
                </w:div>
                <w:div w:id="1299724517">
                  <w:marLeft w:val="0"/>
                  <w:marRight w:val="0"/>
                  <w:marTop w:val="0"/>
                  <w:marBottom w:val="0"/>
                  <w:divBdr>
                    <w:top w:val="none" w:sz="0" w:space="0" w:color="auto"/>
                    <w:left w:val="none" w:sz="0" w:space="0" w:color="auto"/>
                    <w:bottom w:val="none" w:sz="0" w:space="0" w:color="auto"/>
                    <w:right w:val="none" w:sz="0" w:space="0" w:color="auto"/>
                  </w:divBdr>
                  <w:divsChild>
                    <w:div w:id="475804953">
                      <w:marLeft w:val="0"/>
                      <w:marRight w:val="0"/>
                      <w:marTop w:val="0"/>
                      <w:marBottom w:val="0"/>
                      <w:divBdr>
                        <w:top w:val="none" w:sz="0" w:space="0" w:color="auto"/>
                        <w:left w:val="none" w:sz="0" w:space="0" w:color="auto"/>
                        <w:bottom w:val="none" w:sz="0" w:space="0" w:color="auto"/>
                        <w:right w:val="none" w:sz="0" w:space="0" w:color="auto"/>
                      </w:divBdr>
                    </w:div>
                    <w:div w:id="622808855">
                      <w:marLeft w:val="0"/>
                      <w:marRight w:val="0"/>
                      <w:marTop w:val="0"/>
                      <w:marBottom w:val="0"/>
                      <w:divBdr>
                        <w:top w:val="none" w:sz="0" w:space="0" w:color="auto"/>
                        <w:left w:val="none" w:sz="0" w:space="0" w:color="auto"/>
                        <w:bottom w:val="none" w:sz="0" w:space="0" w:color="auto"/>
                        <w:right w:val="none" w:sz="0" w:space="0" w:color="auto"/>
                      </w:divBdr>
                    </w:div>
                  </w:divsChild>
                </w:div>
                <w:div w:id="1304889343">
                  <w:marLeft w:val="0"/>
                  <w:marRight w:val="0"/>
                  <w:marTop w:val="0"/>
                  <w:marBottom w:val="0"/>
                  <w:divBdr>
                    <w:top w:val="none" w:sz="0" w:space="0" w:color="auto"/>
                    <w:left w:val="none" w:sz="0" w:space="0" w:color="auto"/>
                    <w:bottom w:val="none" w:sz="0" w:space="0" w:color="auto"/>
                    <w:right w:val="none" w:sz="0" w:space="0" w:color="auto"/>
                  </w:divBdr>
                  <w:divsChild>
                    <w:div w:id="1500655474">
                      <w:marLeft w:val="0"/>
                      <w:marRight w:val="0"/>
                      <w:marTop w:val="0"/>
                      <w:marBottom w:val="0"/>
                      <w:divBdr>
                        <w:top w:val="none" w:sz="0" w:space="0" w:color="auto"/>
                        <w:left w:val="none" w:sz="0" w:space="0" w:color="auto"/>
                        <w:bottom w:val="none" w:sz="0" w:space="0" w:color="auto"/>
                        <w:right w:val="none" w:sz="0" w:space="0" w:color="auto"/>
                      </w:divBdr>
                    </w:div>
                  </w:divsChild>
                </w:div>
                <w:div w:id="1308128225">
                  <w:marLeft w:val="0"/>
                  <w:marRight w:val="0"/>
                  <w:marTop w:val="0"/>
                  <w:marBottom w:val="0"/>
                  <w:divBdr>
                    <w:top w:val="none" w:sz="0" w:space="0" w:color="auto"/>
                    <w:left w:val="none" w:sz="0" w:space="0" w:color="auto"/>
                    <w:bottom w:val="none" w:sz="0" w:space="0" w:color="auto"/>
                    <w:right w:val="none" w:sz="0" w:space="0" w:color="auto"/>
                  </w:divBdr>
                  <w:divsChild>
                    <w:div w:id="1278760014">
                      <w:marLeft w:val="0"/>
                      <w:marRight w:val="0"/>
                      <w:marTop w:val="0"/>
                      <w:marBottom w:val="0"/>
                      <w:divBdr>
                        <w:top w:val="none" w:sz="0" w:space="0" w:color="auto"/>
                        <w:left w:val="none" w:sz="0" w:space="0" w:color="auto"/>
                        <w:bottom w:val="none" w:sz="0" w:space="0" w:color="auto"/>
                        <w:right w:val="none" w:sz="0" w:space="0" w:color="auto"/>
                      </w:divBdr>
                    </w:div>
                  </w:divsChild>
                </w:div>
                <w:div w:id="1310401360">
                  <w:marLeft w:val="0"/>
                  <w:marRight w:val="0"/>
                  <w:marTop w:val="0"/>
                  <w:marBottom w:val="0"/>
                  <w:divBdr>
                    <w:top w:val="none" w:sz="0" w:space="0" w:color="auto"/>
                    <w:left w:val="none" w:sz="0" w:space="0" w:color="auto"/>
                    <w:bottom w:val="none" w:sz="0" w:space="0" w:color="auto"/>
                    <w:right w:val="none" w:sz="0" w:space="0" w:color="auto"/>
                  </w:divBdr>
                  <w:divsChild>
                    <w:div w:id="413823867">
                      <w:marLeft w:val="0"/>
                      <w:marRight w:val="0"/>
                      <w:marTop w:val="0"/>
                      <w:marBottom w:val="0"/>
                      <w:divBdr>
                        <w:top w:val="none" w:sz="0" w:space="0" w:color="auto"/>
                        <w:left w:val="none" w:sz="0" w:space="0" w:color="auto"/>
                        <w:bottom w:val="none" w:sz="0" w:space="0" w:color="auto"/>
                        <w:right w:val="none" w:sz="0" w:space="0" w:color="auto"/>
                      </w:divBdr>
                    </w:div>
                  </w:divsChild>
                </w:div>
                <w:div w:id="1315064643">
                  <w:marLeft w:val="0"/>
                  <w:marRight w:val="0"/>
                  <w:marTop w:val="0"/>
                  <w:marBottom w:val="0"/>
                  <w:divBdr>
                    <w:top w:val="none" w:sz="0" w:space="0" w:color="auto"/>
                    <w:left w:val="none" w:sz="0" w:space="0" w:color="auto"/>
                    <w:bottom w:val="none" w:sz="0" w:space="0" w:color="auto"/>
                    <w:right w:val="none" w:sz="0" w:space="0" w:color="auto"/>
                  </w:divBdr>
                  <w:divsChild>
                    <w:div w:id="1890410284">
                      <w:marLeft w:val="0"/>
                      <w:marRight w:val="0"/>
                      <w:marTop w:val="0"/>
                      <w:marBottom w:val="0"/>
                      <w:divBdr>
                        <w:top w:val="none" w:sz="0" w:space="0" w:color="auto"/>
                        <w:left w:val="none" w:sz="0" w:space="0" w:color="auto"/>
                        <w:bottom w:val="none" w:sz="0" w:space="0" w:color="auto"/>
                        <w:right w:val="none" w:sz="0" w:space="0" w:color="auto"/>
                      </w:divBdr>
                    </w:div>
                  </w:divsChild>
                </w:div>
                <w:div w:id="1319310205">
                  <w:marLeft w:val="0"/>
                  <w:marRight w:val="0"/>
                  <w:marTop w:val="0"/>
                  <w:marBottom w:val="0"/>
                  <w:divBdr>
                    <w:top w:val="none" w:sz="0" w:space="0" w:color="auto"/>
                    <w:left w:val="none" w:sz="0" w:space="0" w:color="auto"/>
                    <w:bottom w:val="none" w:sz="0" w:space="0" w:color="auto"/>
                    <w:right w:val="none" w:sz="0" w:space="0" w:color="auto"/>
                  </w:divBdr>
                  <w:divsChild>
                    <w:div w:id="235433443">
                      <w:marLeft w:val="0"/>
                      <w:marRight w:val="0"/>
                      <w:marTop w:val="0"/>
                      <w:marBottom w:val="0"/>
                      <w:divBdr>
                        <w:top w:val="none" w:sz="0" w:space="0" w:color="auto"/>
                        <w:left w:val="none" w:sz="0" w:space="0" w:color="auto"/>
                        <w:bottom w:val="none" w:sz="0" w:space="0" w:color="auto"/>
                        <w:right w:val="none" w:sz="0" w:space="0" w:color="auto"/>
                      </w:divBdr>
                    </w:div>
                  </w:divsChild>
                </w:div>
                <w:div w:id="1323313771">
                  <w:marLeft w:val="0"/>
                  <w:marRight w:val="0"/>
                  <w:marTop w:val="0"/>
                  <w:marBottom w:val="0"/>
                  <w:divBdr>
                    <w:top w:val="none" w:sz="0" w:space="0" w:color="auto"/>
                    <w:left w:val="none" w:sz="0" w:space="0" w:color="auto"/>
                    <w:bottom w:val="none" w:sz="0" w:space="0" w:color="auto"/>
                    <w:right w:val="none" w:sz="0" w:space="0" w:color="auto"/>
                  </w:divBdr>
                  <w:divsChild>
                    <w:div w:id="103421505">
                      <w:marLeft w:val="0"/>
                      <w:marRight w:val="0"/>
                      <w:marTop w:val="0"/>
                      <w:marBottom w:val="0"/>
                      <w:divBdr>
                        <w:top w:val="none" w:sz="0" w:space="0" w:color="auto"/>
                        <w:left w:val="none" w:sz="0" w:space="0" w:color="auto"/>
                        <w:bottom w:val="none" w:sz="0" w:space="0" w:color="auto"/>
                        <w:right w:val="none" w:sz="0" w:space="0" w:color="auto"/>
                      </w:divBdr>
                    </w:div>
                  </w:divsChild>
                </w:div>
                <w:div w:id="1334185462">
                  <w:marLeft w:val="0"/>
                  <w:marRight w:val="0"/>
                  <w:marTop w:val="0"/>
                  <w:marBottom w:val="0"/>
                  <w:divBdr>
                    <w:top w:val="none" w:sz="0" w:space="0" w:color="auto"/>
                    <w:left w:val="none" w:sz="0" w:space="0" w:color="auto"/>
                    <w:bottom w:val="none" w:sz="0" w:space="0" w:color="auto"/>
                    <w:right w:val="none" w:sz="0" w:space="0" w:color="auto"/>
                  </w:divBdr>
                  <w:divsChild>
                    <w:div w:id="1708332679">
                      <w:marLeft w:val="0"/>
                      <w:marRight w:val="0"/>
                      <w:marTop w:val="0"/>
                      <w:marBottom w:val="0"/>
                      <w:divBdr>
                        <w:top w:val="none" w:sz="0" w:space="0" w:color="auto"/>
                        <w:left w:val="none" w:sz="0" w:space="0" w:color="auto"/>
                        <w:bottom w:val="none" w:sz="0" w:space="0" w:color="auto"/>
                        <w:right w:val="none" w:sz="0" w:space="0" w:color="auto"/>
                      </w:divBdr>
                    </w:div>
                  </w:divsChild>
                </w:div>
                <w:div w:id="1338002815">
                  <w:marLeft w:val="0"/>
                  <w:marRight w:val="0"/>
                  <w:marTop w:val="0"/>
                  <w:marBottom w:val="0"/>
                  <w:divBdr>
                    <w:top w:val="none" w:sz="0" w:space="0" w:color="auto"/>
                    <w:left w:val="none" w:sz="0" w:space="0" w:color="auto"/>
                    <w:bottom w:val="none" w:sz="0" w:space="0" w:color="auto"/>
                    <w:right w:val="none" w:sz="0" w:space="0" w:color="auto"/>
                  </w:divBdr>
                  <w:divsChild>
                    <w:div w:id="1987079127">
                      <w:marLeft w:val="0"/>
                      <w:marRight w:val="0"/>
                      <w:marTop w:val="0"/>
                      <w:marBottom w:val="0"/>
                      <w:divBdr>
                        <w:top w:val="none" w:sz="0" w:space="0" w:color="auto"/>
                        <w:left w:val="none" w:sz="0" w:space="0" w:color="auto"/>
                        <w:bottom w:val="none" w:sz="0" w:space="0" w:color="auto"/>
                        <w:right w:val="none" w:sz="0" w:space="0" w:color="auto"/>
                      </w:divBdr>
                    </w:div>
                  </w:divsChild>
                </w:div>
                <w:div w:id="1338657624">
                  <w:marLeft w:val="0"/>
                  <w:marRight w:val="0"/>
                  <w:marTop w:val="0"/>
                  <w:marBottom w:val="0"/>
                  <w:divBdr>
                    <w:top w:val="none" w:sz="0" w:space="0" w:color="auto"/>
                    <w:left w:val="none" w:sz="0" w:space="0" w:color="auto"/>
                    <w:bottom w:val="none" w:sz="0" w:space="0" w:color="auto"/>
                    <w:right w:val="none" w:sz="0" w:space="0" w:color="auto"/>
                  </w:divBdr>
                  <w:divsChild>
                    <w:div w:id="1512329384">
                      <w:marLeft w:val="0"/>
                      <w:marRight w:val="0"/>
                      <w:marTop w:val="0"/>
                      <w:marBottom w:val="0"/>
                      <w:divBdr>
                        <w:top w:val="none" w:sz="0" w:space="0" w:color="auto"/>
                        <w:left w:val="none" w:sz="0" w:space="0" w:color="auto"/>
                        <w:bottom w:val="none" w:sz="0" w:space="0" w:color="auto"/>
                        <w:right w:val="none" w:sz="0" w:space="0" w:color="auto"/>
                      </w:divBdr>
                    </w:div>
                  </w:divsChild>
                </w:div>
                <w:div w:id="1339043030">
                  <w:marLeft w:val="0"/>
                  <w:marRight w:val="0"/>
                  <w:marTop w:val="0"/>
                  <w:marBottom w:val="0"/>
                  <w:divBdr>
                    <w:top w:val="none" w:sz="0" w:space="0" w:color="auto"/>
                    <w:left w:val="none" w:sz="0" w:space="0" w:color="auto"/>
                    <w:bottom w:val="none" w:sz="0" w:space="0" w:color="auto"/>
                    <w:right w:val="none" w:sz="0" w:space="0" w:color="auto"/>
                  </w:divBdr>
                  <w:divsChild>
                    <w:div w:id="1012685065">
                      <w:marLeft w:val="0"/>
                      <w:marRight w:val="0"/>
                      <w:marTop w:val="0"/>
                      <w:marBottom w:val="0"/>
                      <w:divBdr>
                        <w:top w:val="none" w:sz="0" w:space="0" w:color="auto"/>
                        <w:left w:val="none" w:sz="0" w:space="0" w:color="auto"/>
                        <w:bottom w:val="none" w:sz="0" w:space="0" w:color="auto"/>
                        <w:right w:val="none" w:sz="0" w:space="0" w:color="auto"/>
                      </w:divBdr>
                    </w:div>
                  </w:divsChild>
                </w:div>
                <w:div w:id="1339888315">
                  <w:marLeft w:val="0"/>
                  <w:marRight w:val="0"/>
                  <w:marTop w:val="0"/>
                  <w:marBottom w:val="0"/>
                  <w:divBdr>
                    <w:top w:val="none" w:sz="0" w:space="0" w:color="auto"/>
                    <w:left w:val="none" w:sz="0" w:space="0" w:color="auto"/>
                    <w:bottom w:val="none" w:sz="0" w:space="0" w:color="auto"/>
                    <w:right w:val="none" w:sz="0" w:space="0" w:color="auto"/>
                  </w:divBdr>
                  <w:divsChild>
                    <w:div w:id="812719919">
                      <w:marLeft w:val="0"/>
                      <w:marRight w:val="0"/>
                      <w:marTop w:val="0"/>
                      <w:marBottom w:val="0"/>
                      <w:divBdr>
                        <w:top w:val="none" w:sz="0" w:space="0" w:color="auto"/>
                        <w:left w:val="none" w:sz="0" w:space="0" w:color="auto"/>
                        <w:bottom w:val="none" w:sz="0" w:space="0" w:color="auto"/>
                        <w:right w:val="none" w:sz="0" w:space="0" w:color="auto"/>
                      </w:divBdr>
                    </w:div>
                  </w:divsChild>
                </w:div>
                <w:div w:id="1343239476">
                  <w:marLeft w:val="0"/>
                  <w:marRight w:val="0"/>
                  <w:marTop w:val="0"/>
                  <w:marBottom w:val="0"/>
                  <w:divBdr>
                    <w:top w:val="none" w:sz="0" w:space="0" w:color="auto"/>
                    <w:left w:val="none" w:sz="0" w:space="0" w:color="auto"/>
                    <w:bottom w:val="none" w:sz="0" w:space="0" w:color="auto"/>
                    <w:right w:val="none" w:sz="0" w:space="0" w:color="auto"/>
                  </w:divBdr>
                  <w:divsChild>
                    <w:div w:id="2004774638">
                      <w:marLeft w:val="0"/>
                      <w:marRight w:val="0"/>
                      <w:marTop w:val="0"/>
                      <w:marBottom w:val="0"/>
                      <w:divBdr>
                        <w:top w:val="none" w:sz="0" w:space="0" w:color="auto"/>
                        <w:left w:val="none" w:sz="0" w:space="0" w:color="auto"/>
                        <w:bottom w:val="none" w:sz="0" w:space="0" w:color="auto"/>
                        <w:right w:val="none" w:sz="0" w:space="0" w:color="auto"/>
                      </w:divBdr>
                    </w:div>
                  </w:divsChild>
                </w:div>
                <w:div w:id="1344287176">
                  <w:marLeft w:val="0"/>
                  <w:marRight w:val="0"/>
                  <w:marTop w:val="0"/>
                  <w:marBottom w:val="0"/>
                  <w:divBdr>
                    <w:top w:val="none" w:sz="0" w:space="0" w:color="auto"/>
                    <w:left w:val="none" w:sz="0" w:space="0" w:color="auto"/>
                    <w:bottom w:val="none" w:sz="0" w:space="0" w:color="auto"/>
                    <w:right w:val="none" w:sz="0" w:space="0" w:color="auto"/>
                  </w:divBdr>
                  <w:divsChild>
                    <w:div w:id="1520701303">
                      <w:marLeft w:val="0"/>
                      <w:marRight w:val="0"/>
                      <w:marTop w:val="0"/>
                      <w:marBottom w:val="0"/>
                      <w:divBdr>
                        <w:top w:val="none" w:sz="0" w:space="0" w:color="auto"/>
                        <w:left w:val="none" w:sz="0" w:space="0" w:color="auto"/>
                        <w:bottom w:val="none" w:sz="0" w:space="0" w:color="auto"/>
                        <w:right w:val="none" w:sz="0" w:space="0" w:color="auto"/>
                      </w:divBdr>
                    </w:div>
                  </w:divsChild>
                </w:div>
                <w:div w:id="1347436950">
                  <w:marLeft w:val="0"/>
                  <w:marRight w:val="0"/>
                  <w:marTop w:val="0"/>
                  <w:marBottom w:val="0"/>
                  <w:divBdr>
                    <w:top w:val="none" w:sz="0" w:space="0" w:color="auto"/>
                    <w:left w:val="none" w:sz="0" w:space="0" w:color="auto"/>
                    <w:bottom w:val="none" w:sz="0" w:space="0" w:color="auto"/>
                    <w:right w:val="none" w:sz="0" w:space="0" w:color="auto"/>
                  </w:divBdr>
                  <w:divsChild>
                    <w:div w:id="1990941017">
                      <w:marLeft w:val="0"/>
                      <w:marRight w:val="0"/>
                      <w:marTop w:val="0"/>
                      <w:marBottom w:val="0"/>
                      <w:divBdr>
                        <w:top w:val="none" w:sz="0" w:space="0" w:color="auto"/>
                        <w:left w:val="none" w:sz="0" w:space="0" w:color="auto"/>
                        <w:bottom w:val="none" w:sz="0" w:space="0" w:color="auto"/>
                        <w:right w:val="none" w:sz="0" w:space="0" w:color="auto"/>
                      </w:divBdr>
                    </w:div>
                  </w:divsChild>
                </w:div>
                <w:div w:id="1368140212">
                  <w:marLeft w:val="0"/>
                  <w:marRight w:val="0"/>
                  <w:marTop w:val="0"/>
                  <w:marBottom w:val="0"/>
                  <w:divBdr>
                    <w:top w:val="none" w:sz="0" w:space="0" w:color="auto"/>
                    <w:left w:val="none" w:sz="0" w:space="0" w:color="auto"/>
                    <w:bottom w:val="none" w:sz="0" w:space="0" w:color="auto"/>
                    <w:right w:val="none" w:sz="0" w:space="0" w:color="auto"/>
                  </w:divBdr>
                  <w:divsChild>
                    <w:div w:id="2106146365">
                      <w:marLeft w:val="0"/>
                      <w:marRight w:val="0"/>
                      <w:marTop w:val="0"/>
                      <w:marBottom w:val="0"/>
                      <w:divBdr>
                        <w:top w:val="none" w:sz="0" w:space="0" w:color="auto"/>
                        <w:left w:val="none" w:sz="0" w:space="0" w:color="auto"/>
                        <w:bottom w:val="none" w:sz="0" w:space="0" w:color="auto"/>
                        <w:right w:val="none" w:sz="0" w:space="0" w:color="auto"/>
                      </w:divBdr>
                    </w:div>
                  </w:divsChild>
                </w:div>
                <w:div w:id="1380398084">
                  <w:marLeft w:val="0"/>
                  <w:marRight w:val="0"/>
                  <w:marTop w:val="0"/>
                  <w:marBottom w:val="0"/>
                  <w:divBdr>
                    <w:top w:val="none" w:sz="0" w:space="0" w:color="auto"/>
                    <w:left w:val="none" w:sz="0" w:space="0" w:color="auto"/>
                    <w:bottom w:val="none" w:sz="0" w:space="0" w:color="auto"/>
                    <w:right w:val="none" w:sz="0" w:space="0" w:color="auto"/>
                  </w:divBdr>
                  <w:divsChild>
                    <w:div w:id="1640190323">
                      <w:marLeft w:val="0"/>
                      <w:marRight w:val="0"/>
                      <w:marTop w:val="0"/>
                      <w:marBottom w:val="0"/>
                      <w:divBdr>
                        <w:top w:val="none" w:sz="0" w:space="0" w:color="auto"/>
                        <w:left w:val="none" w:sz="0" w:space="0" w:color="auto"/>
                        <w:bottom w:val="none" w:sz="0" w:space="0" w:color="auto"/>
                        <w:right w:val="none" w:sz="0" w:space="0" w:color="auto"/>
                      </w:divBdr>
                    </w:div>
                  </w:divsChild>
                </w:div>
                <w:div w:id="1393695260">
                  <w:marLeft w:val="0"/>
                  <w:marRight w:val="0"/>
                  <w:marTop w:val="0"/>
                  <w:marBottom w:val="0"/>
                  <w:divBdr>
                    <w:top w:val="none" w:sz="0" w:space="0" w:color="auto"/>
                    <w:left w:val="none" w:sz="0" w:space="0" w:color="auto"/>
                    <w:bottom w:val="none" w:sz="0" w:space="0" w:color="auto"/>
                    <w:right w:val="none" w:sz="0" w:space="0" w:color="auto"/>
                  </w:divBdr>
                  <w:divsChild>
                    <w:div w:id="1465123502">
                      <w:marLeft w:val="0"/>
                      <w:marRight w:val="0"/>
                      <w:marTop w:val="0"/>
                      <w:marBottom w:val="0"/>
                      <w:divBdr>
                        <w:top w:val="none" w:sz="0" w:space="0" w:color="auto"/>
                        <w:left w:val="none" w:sz="0" w:space="0" w:color="auto"/>
                        <w:bottom w:val="none" w:sz="0" w:space="0" w:color="auto"/>
                        <w:right w:val="none" w:sz="0" w:space="0" w:color="auto"/>
                      </w:divBdr>
                    </w:div>
                  </w:divsChild>
                </w:div>
                <w:div w:id="1395928068">
                  <w:marLeft w:val="0"/>
                  <w:marRight w:val="0"/>
                  <w:marTop w:val="0"/>
                  <w:marBottom w:val="0"/>
                  <w:divBdr>
                    <w:top w:val="none" w:sz="0" w:space="0" w:color="auto"/>
                    <w:left w:val="none" w:sz="0" w:space="0" w:color="auto"/>
                    <w:bottom w:val="none" w:sz="0" w:space="0" w:color="auto"/>
                    <w:right w:val="none" w:sz="0" w:space="0" w:color="auto"/>
                  </w:divBdr>
                  <w:divsChild>
                    <w:div w:id="34279617">
                      <w:marLeft w:val="0"/>
                      <w:marRight w:val="0"/>
                      <w:marTop w:val="0"/>
                      <w:marBottom w:val="0"/>
                      <w:divBdr>
                        <w:top w:val="none" w:sz="0" w:space="0" w:color="auto"/>
                        <w:left w:val="none" w:sz="0" w:space="0" w:color="auto"/>
                        <w:bottom w:val="none" w:sz="0" w:space="0" w:color="auto"/>
                        <w:right w:val="none" w:sz="0" w:space="0" w:color="auto"/>
                      </w:divBdr>
                    </w:div>
                  </w:divsChild>
                </w:div>
                <w:div w:id="1399521851">
                  <w:marLeft w:val="0"/>
                  <w:marRight w:val="0"/>
                  <w:marTop w:val="0"/>
                  <w:marBottom w:val="0"/>
                  <w:divBdr>
                    <w:top w:val="none" w:sz="0" w:space="0" w:color="auto"/>
                    <w:left w:val="none" w:sz="0" w:space="0" w:color="auto"/>
                    <w:bottom w:val="none" w:sz="0" w:space="0" w:color="auto"/>
                    <w:right w:val="none" w:sz="0" w:space="0" w:color="auto"/>
                  </w:divBdr>
                  <w:divsChild>
                    <w:div w:id="1509440361">
                      <w:marLeft w:val="0"/>
                      <w:marRight w:val="0"/>
                      <w:marTop w:val="0"/>
                      <w:marBottom w:val="0"/>
                      <w:divBdr>
                        <w:top w:val="none" w:sz="0" w:space="0" w:color="auto"/>
                        <w:left w:val="none" w:sz="0" w:space="0" w:color="auto"/>
                        <w:bottom w:val="none" w:sz="0" w:space="0" w:color="auto"/>
                        <w:right w:val="none" w:sz="0" w:space="0" w:color="auto"/>
                      </w:divBdr>
                    </w:div>
                  </w:divsChild>
                </w:div>
                <w:div w:id="1407263201">
                  <w:marLeft w:val="0"/>
                  <w:marRight w:val="0"/>
                  <w:marTop w:val="0"/>
                  <w:marBottom w:val="0"/>
                  <w:divBdr>
                    <w:top w:val="none" w:sz="0" w:space="0" w:color="auto"/>
                    <w:left w:val="none" w:sz="0" w:space="0" w:color="auto"/>
                    <w:bottom w:val="none" w:sz="0" w:space="0" w:color="auto"/>
                    <w:right w:val="none" w:sz="0" w:space="0" w:color="auto"/>
                  </w:divBdr>
                  <w:divsChild>
                    <w:div w:id="598149353">
                      <w:marLeft w:val="0"/>
                      <w:marRight w:val="0"/>
                      <w:marTop w:val="0"/>
                      <w:marBottom w:val="0"/>
                      <w:divBdr>
                        <w:top w:val="none" w:sz="0" w:space="0" w:color="auto"/>
                        <w:left w:val="none" w:sz="0" w:space="0" w:color="auto"/>
                        <w:bottom w:val="none" w:sz="0" w:space="0" w:color="auto"/>
                        <w:right w:val="none" w:sz="0" w:space="0" w:color="auto"/>
                      </w:divBdr>
                    </w:div>
                  </w:divsChild>
                </w:div>
                <w:div w:id="1409883510">
                  <w:marLeft w:val="0"/>
                  <w:marRight w:val="0"/>
                  <w:marTop w:val="0"/>
                  <w:marBottom w:val="0"/>
                  <w:divBdr>
                    <w:top w:val="none" w:sz="0" w:space="0" w:color="auto"/>
                    <w:left w:val="none" w:sz="0" w:space="0" w:color="auto"/>
                    <w:bottom w:val="none" w:sz="0" w:space="0" w:color="auto"/>
                    <w:right w:val="none" w:sz="0" w:space="0" w:color="auto"/>
                  </w:divBdr>
                  <w:divsChild>
                    <w:div w:id="511803330">
                      <w:marLeft w:val="0"/>
                      <w:marRight w:val="0"/>
                      <w:marTop w:val="0"/>
                      <w:marBottom w:val="0"/>
                      <w:divBdr>
                        <w:top w:val="none" w:sz="0" w:space="0" w:color="auto"/>
                        <w:left w:val="none" w:sz="0" w:space="0" w:color="auto"/>
                        <w:bottom w:val="none" w:sz="0" w:space="0" w:color="auto"/>
                        <w:right w:val="none" w:sz="0" w:space="0" w:color="auto"/>
                      </w:divBdr>
                    </w:div>
                  </w:divsChild>
                </w:div>
                <w:div w:id="1411196792">
                  <w:marLeft w:val="0"/>
                  <w:marRight w:val="0"/>
                  <w:marTop w:val="0"/>
                  <w:marBottom w:val="0"/>
                  <w:divBdr>
                    <w:top w:val="none" w:sz="0" w:space="0" w:color="auto"/>
                    <w:left w:val="none" w:sz="0" w:space="0" w:color="auto"/>
                    <w:bottom w:val="none" w:sz="0" w:space="0" w:color="auto"/>
                    <w:right w:val="none" w:sz="0" w:space="0" w:color="auto"/>
                  </w:divBdr>
                  <w:divsChild>
                    <w:div w:id="1493137872">
                      <w:marLeft w:val="0"/>
                      <w:marRight w:val="0"/>
                      <w:marTop w:val="0"/>
                      <w:marBottom w:val="0"/>
                      <w:divBdr>
                        <w:top w:val="none" w:sz="0" w:space="0" w:color="auto"/>
                        <w:left w:val="none" w:sz="0" w:space="0" w:color="auto"/>
                        <w:bottom w:val="none" w:sz="0" w:space="0" w:color="auto"/>
                        <w:right w:val="none" w:sz="0" w:space="0" w:color="auto"/>
                      </w:divBdr>
                    </w:div>
                  </w:divsChild>
                </w:div>
                <w:div w:id="1411999183">
                  <w:marLeft w:val="0"/>
                  <w:marRight w:val="0"/>
                  <w:marTop w:val="0"/>
                  <w:marBottom w:val="0"/>
                  <w:divBdr>
                    <w:top w:val="none" w:sz="0" w:space="0" w:color="auto"/>
                    <w:left w:val="none" w:sz="0" w:space="0" w:color="auto"/>
                    <w:bottom w:val="none" w:sz="0" w:space="0" w:color="auto"/>
                    <w:right w:val="none" w:sz="0" w:space="0" w:color="auto"/>
                  </w:divBdr>
                  <w:divsChild>
                    <w:div w:id="1554148235">
                      <w:marLeft w:val="0"/>
                      <w:marRight w:val="0"/>
                      <w:marTop w:val="0"/>
                      <w:marBottom w:val="0"/>
                      <w:divBdr>
                        <w:top w:val="none" w:sz="0" w:space="0" w:color="auto"/>
                        <w:left w:val="none" w:sz="0" w:space="0" w:color="auto"/>
                        <w:bottom w:val="none" w:sz="0" w:space="0" w:color="auto"/>
                        <w:right w:val="none" w:sz="0" w:space="0" w:color="auto"/>
                      </w:divBdr>
                    </w:div>
                  </w:divsChild>
                </w:div>
                <w:div w:id="1417945713">
                  <w:marLeft w:val="0"/>
                  <w:marRight w:val="0"/>
                  <w:marTop w:val="0"/>
                  <w:marBottom w:val="0"/>
                  <w:divBdr>
                    <w:top w:val="none" w:sz="0" w:space="0" w:color="auto"/>
                    <w:left w:val="none" w:sz="0" w:space="0" w:color="auto"/>
                    <w:bottom w:val="none" w:sz="0" w:space="0" w:color="auto"/>
                    <w:right w:val="none" w:sz="0" w:space="0" w:color="auto"/>
                  </w:divBdr>
                  <w:divsChild>
                    <w:div w:id="124852625">
                      <w:marLeft w:val="0"/>
                      <w:marRight w:val="0"/>
                      <w:marTop w:val="0"/>
                      <w:marBottom w:val="0"/>
                      <w:divBdr>
                        <w:top w:val="none" w:sz="0" w:space="0" w:color="auto"/>
                        <w:left w:val="none" w:sz="0" w:space="0" w:color="auto"/>
                        <w:bottom w:val="none" w:sz="0" w:space="0" w:color="auto"/>
                        <w:right w:val="none" w:sz="0" w:space="0" w:color="auto"/>
                      </w:divBdr>
                    </w:div>
                  </w:divsChild>
                </w:div>
                <w:div w:id="1420709659">
                  <w:marLeft w:val="0"/>
                  <w:marRight w:val="0"/>
                  <w:marTop w:val="0"/>
                  <w:marBottom w:val="0"/>
                  <w:divBdr>
                    <w:top w:val="none" w:sz="0" w:space="0" w:color="auto"/>
                    <w:left w:val="none" w:sz="0" w:space="0" w:color="auto"/>
                    <w:bottom w:val="none" w:sz="0" w:space="0" w:color="auto"/>
                    <w:right w:val="none" w:sz="0" w:space="0" w:color="auto"/>
                  </w:divBdr>
                  <w:divsChild>
                    <w:div w:id="161435349">
                      <w:marLeft w:val="0"/>
                      <w:marRight w:val="0"/>
                      <w:marTop w:val="0"/>
                      <w:marBottom w:val="0"/>
                      <w:divBdr>
                        <w:top w:val="none" w:sz="0" w:space="0" w:color="auto"/>
                        <w:left w:val="none" w:sz="0" w:space="0" w:color="auto"/>
                        <w:bottom w:val="none" w:sz="0" w:space="0" w:color="auto"/>
                        <w:right w:val="none" w:sz="0" w:space="0" w:color="auto"/>
                      </w:divBdr>
                    </w:div>
                  </w:divsChild>
                </w:div>
                <w:div w:id="1439176992">
                  <w:marLeft w:val="0"/>
                  <w:marRight w:val="0"/>
                  <w:marTop w:val="0"/>
                  <w:marBottom w:val="0"/>
                  <w:divBdr>
                    <w:top w:val="none" w:sz="0" w:space="0" w:color="auto"/>
                    <w:left w:val="none" w:sz="0" w:space="0" w:color="auto"/>
                    <w:bottom w:val="none" w:sz="0" w:space="0" w:color="auto"/>
                    <w:right w:val="none" w:sz="0" w:space="0" w:color="auto"/>
                  </w:divBdr>
                  <w:divsChild>
                    <w:div w:id="472720942">
                      <w:marLeft w:val="0"/>
                      <w:marRight w:val="0"/>
                      <w:marTop w:val="0"/>
                      <w:marBottom w:val="0"/>
                      <w:divBdr>
                        <w:top w:val="none" w:sz="0" w:space="0" w:color="auto"/>
                        <w:left w:val="none" w:sz="0" w:space="0" w:color="auto"/>
                        <w:bottom w:val="none" w:sz="0" w:space="0" w:color="auto"/>
                        <w:right w:val="none" w:sz="0" w:space="0" w:color="auto"/>
                      </w:divBdr>
                    </w:div>
                  </w:divsChild>
                </w:div>
                <w:div w:id="1440416796">
                  <w:marLeft w:val="0"/>
                  <w:marRight w:val="0"/>
                  <w:marTop w:val="0"/>
                  <w:marBottom w:val="0"/>
                  <w:divBdr>
                    <w:top w:val="none" w:sz="0" w:space="0" w:color="auto"/>
                    <w:left w:val="none" w:sz="0" w:space="0" w:color="auto"/>
                    <w:bottom w:val="none" w:sz="0" w:space="0" w:color="auto"/>
                    <w:right w:val="none" w:sz="0" w:space="0" w:color="auto"/>
                  </w:divBdr>
                  <w:divsChild>
                    <w:div w:id="169301853">
                      <w:marLeft w:val="0"/>
                      <w:marRight w:val="0"/>
                      <w:marTop w:val="0"/>
                      <w:marBottom w:val="0"/>
                      <w:divBdr>
                        <w:top w:val="none" w:sz="0" w:space="0" w:color="auto"/>
                        <w:left w:val="none" w:sz="0" w:space="0" w:color="auto"/>
                        <w:bottom w:val="none" w:sz="0" w:space="0" w:color="auto"/>
                        <w:right w:val="none" w:sz="0" w:space="0" w:color="auto"/>
                      </w:divBdr>
                    </w:div>
                    <w:div w:id="708532549">
                      <w:marLeft w:val="0"/>
                      <w:marRight w:val="0"/>
                      <w:marTop w:val="0"/>
                      <w:marBottom w:val="0"/>
                      <w:divBdr>
                        <w:top w:val="none" w:sz="0" w:space="0" w:color="auto"/>
                        <w:left w:val="none" w:sz="0" w:space="0" w:color="auto"/>
                        <w:bottom w:val="none" w:sz="0" w:space="0" w:color="auto"/>
                        <w:right w:val="none" w:sz="0" w:space="0" w:color="auto"/>
                      </w:divBdr>
                    </w:div>
                    <w:div w:id="1571577918">
                      <w:marLeft w:val="0"/>
                      <w:marRight w:val="0"/>
                      <w:marTop w:val="0"/>
                      <w:marBottom w:val="0"/>
                      <w:divBdr>
                        <w:top w:val="none" w:sz="0" w:space="0" w:color="auto"/>
                        <w:left w:val="none" w:sz="0" w:space="0" w:color="auto"/>
                        <w:bottom w:val="none" w:sz="0" w:space="0" w:color="auto"/>
                        <w:right w:val="none" w:sz="0" w:space="0" w:color="auto"/>
                      </w:divBdr>
                    </w:div>
                  </w:divsChild>
                </w:div>
                <w:div w:id="1447314102">
                  <w:marLeft w:val="0"/>
                  <w:marRight w:val="0"/>
                  <w:marTop w:val="0"/>
                  <w:marBottom w:val="0"/>
                  <w:divBdr>
                    <w:top w:val="none" w:sz="0" w:space="0" w:color="auto"/>
                    <w:left w:val="none" w:sz="0" w:space="0" w:color="auto"/>
                    <w:bottom w:val="none" w:sz="0" w:space="0" w:color="auto"/>
                    <w:right w:val="none" w:sz="0" w:space="0" w:color="auto"/>
                  </w:divBdr>
                  <w:divsChild>
                    <w:div w:id="1907298227">
                      <w:marLeft w:val="0"/>
                      <w:marRight w:val="0"/>
                      <w:marTop w:val="0"/>
                      <w:marBottom w:val="0"/>
                      <w:divBdr>
                        <w:top w:val="none" w:sz="0" w:space="0" w:color="auto"/>
                        <w:left w:val="none" w:sz="0" w:space="0" w:color="auto"/>
                        <w:bottom w:val="none" w:sz="0" w:space="0" w:color="auto"/>
                        <w:right w:val="none" w:sz="0" w:space="0" w:color="auto"/>
                      </w:divBdr>
                    </w:div>
                  </w:divsChild>
                </w:div>
                <w:div w:id="1456170805">
                  <w:marLeft w:val="0"/>
                  <w:marRight w:val="0"/>
                  <w:marTop w:val="0"/>
                  <w:marBottom w:val="0"/>
                  <w:divBdr>
                    <w:top w:val="none" w:sz="0" w:space="0" w:color="auto"/>
                    <w:left w:val="none" w:sz="0" w:space="0" w:color="auto"/>
                    <w:bottom w:val="none" w:sz="0" w:space="0" w:color="auto"/>
                    <w:right w:val="none" w:sz="0" w:space="0" w:color="auto"/>
                  </w:divBdr>
                  <w:divsChild>
                    <w:div w:id="1467047808">
                      <w:marLeft w:val="0"/>
                      <w:marRight w:val="0"/>
                      <w:marTop w:val="0"/>
                      <w:marBottom w:val="0"/>
                      <w:divBdr>
                        <w:top w:val="none" w:sz="0" w:space="0" w:color="auto"/>
                        <w:left w:val="none" w:sz="0" w:space="0" w:color="auto"/>
                        <w:bottom w:val="none" w:sz="0" w:space="0" w:color="auto"/>
                        <w:right w:val="none" w:sz="0" w:space="0" w:color="auto"/>
                      </w:divBdr>
                    </w:div>
                  </w:divsChild>
                </w:div>
                <w:div w:id="1463231952">
                  <w:marLeft w:val="0"/>
                  <w:marRight w:val="0"/>
                  <w:marTop w:val="0"/>
                  <w:marBottom w:val="0"/>
                  <w:divBdr>
                    <w:top w:val="none" w:sz="0" w:space="0" w:color="auto"/>
                    <w:left w:val="none" w:sz="0" w:space="0" w:color="auto"/>
                    <w:bottom w:val="none" w:sz="0" w:space="0" w:color="auto"/>
                    <w:right w:val="none" w:sz="0" w:space="0" w:color="auto"/>
                  </w:divBdr>
                  <w:divsChild>
                    <w:div w:id="710302995">
                      <w:marLeft w:val="0"/>
                      <w:marRight w:val="0"/>
                      <w:marTop w:val="0"/>
                      <w:marBottom w:val="0"/>
                      <w:divBdr>
                        <w:top w:val="none" w:sz="0" w:space="0" w:color="auto"/>
                        <w:left w:val="none" w:sz="0" w:space="0" w:color="auto"/>
                        <w:bottom w:val="none" w:sz="0" w:space="0" w:color="auto"/>
                        <w:right w:val="none" w:sz="0" w:space="0" w:color="auto"/>
                      </w:divBdr>
                    </w:div>
                  </w:divsChild>
                </w:div>
                <w:div w:id="1470976580">
                  <w:marLeft w:val="0"/>
                  <w:marRight w:val="0"/>
                  <w:marTop w:val="0"/>
                  <w:marBottom w:val="0"/>
                  <w:divBdr>
                    <w:top w:val="none" w:sz="0" w:space="0" w:color="auto"/>
                    <w:left w:val="none" w:sz="0" w:space="0" w:color="auto"/>
                    <w:bottom w:val="none" w:sz="0" w:space="0" w:color="auto"/>
                    <w:right w:val="none" w:sz="0" w:space="0" w:color="auto"/>
                  </w:divBdr>
                  <w:divsChild>
                    <w:div w:id="800726297">
                      <w:marLeft w:val="0"/>
                      <w:marRight w:val="0"/>
                      <w:marTop w:val="0"/>
                      <w:marBottom w:val="0"/>
                      <w:divBdr>
                        <w:top w:val="none" w:sz="0" w:space="0" w:color="auto"/>
                        <w:left w:val="none" w:sz="0" w:space="0" w:color="auto"/>
                        <w:bottom w:val="none" w:sz="0" w:space="0" w:color="auto"/>
                        <w:right w:val="none" w:sz="0" w:space="0" w:color="auto"/>
                      </w:divBdr>
                    </w:div>
                  </w:divsChild>
                </w:div>
                <w:div w:id="1481844786">
                  <w:marLeft w:val="0"/>
                  <w:marRight w:val="0"/>
                  <w:marTop w:val="0"/>
                  <w:marBottom w:val="0"/>
                  <w:divBdr>
                    <w:top w:val="none" w:sz="0" w:space="0" w:color="auto"/>
                    <w:left w:val="none" w:sz="0" w:space="0" w:color="auto"/>
                    <w:bottom w:val="none" w:sz="0" w:space="0" w:color="auto"/>
                    <w:right w:val="none" w:sz="0" w:space="0" w:color="auto"/>
                  </w:divBdr>
                  <w:divsChild>
                    <w:div w:id="557979482">
                      <w:marLeft w:val="0"/>
                      <w:marRight w:val="0"/>
                      <w:marTop w:val="0"/>
                      <w:marBottom w:val="0"/>
                      <w:divBdr>
                        <w:top w:val="none" w:sz="0" w:space="0" w:color="auto"/>
                        <w:left w:val="none" w:sz="0" w:space="0" w:color="auto"/>
                        <w:bottom w:val="none" w:sz="0" w:space="0" w:color="auto"/>
                        <w:right w:val="none" w:sz="0" w:space="0" w:color="auto"/>
                      </w:divBdr>
                    </w:div>
                  </w:divsChild>
                </w:div>
                <w:div w:id="1491674507">
                  <w:marLeft w:val="0"/>
                  <w:marRight w:val="0"/>
                  <w:marTop w:val="0"/>
                  <w:marBottom w:val="0"/>
                  <w:divBdr>
                    <w:top w:val="none" w:sz="0" w:space="0" w:color="auto"/>
                    <w:left w:val="none" w:sz="0" w:space="0" w:color="auto"/>
                    <w:bottom w:val="none" w:sz="0" w:space="0" w:color="auto"/>
                    <w:right w:val="none" w:sz="0" w:space="0" w:color="auto"/>
                  </w:divBdr>
                  <w:divsChild>
                    <w:div w:id="1893231342">
                      <w:marLeft w:val="0"/>
                      <w:marRight w:val="0"/>
                      <w:marTop w:val="0"/>
                      <w:marBottom w:val="0"/>
                      <w:divBdr>
                        <w:top w:val="none" w:sz="0" w:space="0" w:color="auto"/>
                        <w:left w:val="none" w:sz="0" w:space="0" w:color="auto"/>
                        <w:bottom w:val="none" w:sz="0" w:space="0" w:color="auto"/>
                        <w:right w:val="none" w:sz="0" w:space="0" w:color="auto"/>
                      </w:divBdr>
                    </w:div>
                  </w:divsChild>
                </w:div>
                <w:div w:id="1498302976">
                  <w:marLeft w:val="0"/>
                  <w:marRight w:val="0"/>
                  <w:marTop w:val="0"/>
                  <w:marBottom w:val="0"/>
                  <w:divBdr>
                    <w:top w:val="none" w:sz="0" w:space="0" w:color="auto"/>
                    <w:left w:val="none" w:sz="0" w:space="0" w:color="auto"/>
                    <w:bottom w:val="none" w:sz="0" w:space="0" w:color="auto"/>
                    <w:right w:val="none" w:sz="0" w:space="0" w:color="auto"/>
                  </w:divBdr>
                  <w:divsChild>
                    <w:div w:id="768934931">
                      <w:marLeft w:val="0"/>
                      <w:marRight w:val="0"/>
                      <w:marTop w:val="0"/>
                      <w:marBottom w:val="0"/>
                      <w:divBdr>
                        <w:top w:val="none" w:sz="0" w:space="0" w:color="auto"/>
                        <w:left w:val="none" w:sz="0" w:space="0" w:color="auto"/>
                        <w:bottom w:val="none" w:sz="0" w:space="0" w:color="auto"/>
                        <w:right w:val="none" w:sz="0" w:space="0" w:color="auto"/>
                      </w:divBdr>
                    </w:div>
                  </w:divsChild>
                </w:div>
                <w:div w:id="1509061621">
                  <w:marLeft w:val="0"/>
                  <w:marRight w:val="0"/>
                  <w:marTop w:val="0"/>
                  <w:marBottom w:val="0"/>
                  <w:divBdr>
                    <w:top w:val="none" w:sz="0" w:space="0" w:color="auto"/>
                    <w:left w:val="none" w:sz="0" w:space="0" w:color="auto"/>
                    <w:bottom w:val="none" w:sz="0" w:space="0" w:color="auto"/>
                    <w:right w:val="none" w:sz="0" w:space="0" w:color="auto"/>
                  </w:divBdr>
                  <w:divsChild>
                    <w:div w:id="253590008">
                      <w:marLeft w:val="0"/>
                      <w:marRight w:val="0"/>
                      <w:marTop w:val="0"/>
                      <w:marBottom w:val="0"/>
                      <w:divBdr>
                        <w:top w:val="none" w:sz="0" w:space="0" w:color="auto"/>
                        <w:left w:val="none" w:sz="0" w:space="0" w:color="auto"/>
                        <w:bottom w:val="none" w:sz="0" w:space="0" w:color="auto"/>
                        <w:right w:val="none" w:sz="0" w:space="0" w:color="auto"/>
                      </w:divBdr>
                    </w:div>
                  </w:divsChild>
                </w:div>
                <w:div w:id="1510634173">
                  <w:marLeft w:val="0"/>
                  <w:marRight w:val="0"/>
                  <w:marTop w:val="0"/>
                  <w:marBottom w:val="0"/>
                  <w:divBdr>
                    <w:top w:val="none" w:sz="0" w:space="0" w:color="auto"/>
                    <w:left w:val="none" w:sz="0" w:space="0" w:color="auto"/>
                    <w:bottom w:val="none" w:sz="0" w:space="0" w:color="auto"/>
                    <w:right w:val="none" w:sz="0" w:space="0" w:color="auto"/>
                  </w:divBdr>
                  <w:divsChild>
                    <w:div w:id="1930189205">
                      <w:marLeft w:val="0"/>
                      <w:marRight w:val="0"/>
                      <w:marTop w:val="0"/>
                      <w:marBottom w:val="0"/>
                      <w:divBdr>
                        <w:top w:val="none" w:sz="0" w:space="0" w:color="auto"/>
                        <w:left w:val="none" w:sz="0" w:space="0" w:color="auto"/>
                        <w:bottom w:val="none" w:sz="0" w:space="0" w:color="auto"/>
                        <w:right w:val="none" w:sz="0" w:space="0" w:color="auto"/>
                      </w:divBdr>
                    </w:div>
                  </w:divsChild>
                </w:div>
                <w:div w:id="1517114336">
                  <w:marLeft w:val="0"/>
                  <w:marRight w:val="0"/>
                  <w:marTop w:val="0"/>
                  <w:marBottom w:val="0"/>
                  <w:divBdr>
                    <w:top w:val="none" w:sz="0" w:space="0" w:color="auto"/>
                    <w:left w:val="none" w:sz="0" w:space="0" w:color="auto"/>
                    <w:bottom w:val="none" w:sz="0" w:space="0" w:color="auto"/>
                    <w:right w:val="none" w:sz="0" w:space="0" w:color="auto"/>
                  </w:divBdr>
                  <w:divsChild>
                    <w:div w:id="1550652817">
                      <w:marLeft w:val="0"/>
                      <w:marRight w:val="0"/>
                      <w:marTop w:val="0"/>
                      <w:marBottom w:val="0"/>
                      <w:divBdr>
                        <w:top w:val="none" w:sz="0" w:space="0" w:color="auto"/>
                        <w:left w:val="none" w:sz="0" w:space="0" w:color="auto"/>
                        <w:bottom w:val="none" w:sz="0" w:space="0" w:color="auto"/>
                        <w:right w:val="none" w:sz="0" w:space="0" w:color="auto"/>
                      </w:divBdr>
                    </w:div>
                  </w:divsChild>
                </w:div>
                <w:div w:id="1531986808">
                  <w:marLeft w:val="0"/>
                  <w:marRight w:val="0"/>
                  <w:marTop w:val="0"/>
                  <w:marBottom w:val="0"/>
                  <w:divBdr>
                    <w:top w:val="none" w:sz="0" w:space="0" w:color="auto"/>
                    <w:left w:val="none" w:sz="0" w:space="0" w:color="auto"/>
                    <w:bottom w:val="none" w:sz="0" w:space="0" w:color="auto"/>
                    <w:right w:val="none" w:sz="0" w:space="0" w:color="auto"/>
                  </w:divBdr>
                  <w:divsChild>
                    <w:div w:id="981733793">
                      <w:marLeft w:val="0"/>
                      <w:marRight w:val="0"/>
                      <w:marTop w:val="0"/>
                      <w:marBottom w:val="0"/>
                      <w:divBdr>
                        <w:top w:val="none" w:sz="0" w:space="0" w:color="auto"/>
                        <w:left w:val="none" w:sz="0" w:space="0" w:color="auto"/>
                        <w:bottom w:val="none" w:sz="0" w:space="0" w:color="auto"/>
                        <w:right w:val="none" w:sz="0" w:space="0" w:color="auto"/>
                      </w:divBdr>
                    </w:div>
                  </w:divsChild>
                </w:div>
                <w:div w:id="1534148625">
                  <w:marLeft w:val="0"/>
                  <w:marRight w:val="0"/>
                  <w:marTop w:val="0"/>
                  <w:marBottom w:val="0"/>
                  <w:divBdr>
                    <w:top w:val="none" w:sz="0" w:space="0" w:color="auto"/>
                    <w:left w:val="none" w:sz="0" w:space="0" w:color="auto"/>
                    <w:bottom w:val="none" w:sz="0" w:space="0" w:color="auto"/>
                    <w:right w:val="none" w:sz="0" w:space="0" w:color="auto"/>
                  </w:divBdr>
                  <w:divsChild>
                    <w:div w:id="415976532">
                      <w:marLeft w:val="0"/>
                      <w:marRight w:val="0"/>
                      <w:marTop w:val="0"/>
                      <w:marBottom w:val="0"/>
                      <w:divBdr>
                        <w:top w:val="none" w:sz="0" w:space="0" w:color="auto"/>
                        <w:left w:val="none" w:sz="0" w:space="0" w:color="auto"/>
                        <w:bottom w:val="none" w:sz="0" w:space="0" w:color="auto"/>
                        <w:right w:val="none" w:sz="0" w:space="0" w:color="auto"/>
                      </w:divBdr>
                    </w:div>
                  </w:divsChild>
                </w:div>
                <w:div w:id="1539659287">
                  <w:marLeft w:val="0"/>
                  <w:marRight w:val="0"/>
                  <w:marTop w:val="0"/>
                  <w:marBottom w:val="0"/>
                  <w:divBdr>
                    <w:top w:val="none" w:sz="0" w:space="0" w:color="auto"/>
                    <w:left w:val="none" w:sz="0" w:space="0" w:color="auto"/>
                    <w:bottom w:val="none" w:sz="0" w:space="0" w:color="auto"/>
                    <w:right w:val="none" w:sz="0" w:space="0" w:color="auto"/>
                  </w:divBdr>
                  <w:divsChild>
                    <w:div w:id="870647217">
                      <w:marLeft w:val="0"/>
                      <w:marRight w:val="0"/>
                      <w:marTop w:val="0"/>
                      <w:marBottom w:val="0"/>
                      <w:divBdr>
                        <w:top w:val="none" w:sz="0" w:space="0" w:color="auto"/>
                        <w:left w:val="none" w:sz="0" w:space="0" w:color="auto"/>
                        <w:bottom w:val="none" w:sz="0" w:space="0" w:color="auto"/>
                        <w:right w:val="none" w:sz="0" w:space="0" w:color="auto"/>
                      </w:divBdr>
                    </w:div>
                  </w:divsChild>
                </w:div>
                <w:div w:id="1545674412">
                  <w:marLeft w:val="0"/>
                  <w:marRight w:val="0"/>
                  <w:marTop w:val="0"/>
                  <w:marBottom w:val="0"/>
                  <w:divBdr>
                    <w:top w:val="none" w:sz="0" w:space="0" w:color="auto"/>
                    <w:left w:val="none" w:sz="0" w:space="0" w:color="auto"/>
                    <w:bottom w:val="none" w:sz="0" w:space="0" w:color="auto"/>
                    <w:right w:val="none" w:sz="0" w:space="0" w:color="auto"/>
                  </w:divBdr>
                  <w:divsChild>
                    <w:div w:id="1698238868">
                      <w:marLeft w:val="0"/>
                      <w:marRight w:val="0"/>
                      <w:marTop w:val="0"/>
                      <w:marBottom w:val="0"/>
                      <w:divBdr>
                        <w:top w:val="none" w:sz="0" w:space="0" w:color="auto"/>
                        <w:left w:val="none" w:sz="0" w:space="0" w:color="auto"/>
                        <w:bottom w:val="none" w:sz="0" w:space="0" w:color="auto"/>
                        <w:right w:val="none" w:sz="0" w:space="0" w:color="auto"/>
                      </w:divBdr>
                    </w:div>
                  </w:divsChild>
                </w:div>
                <w:div w:id="1548568504">
                  <w:marLeft w:val="0"/>
                  <w:marRight w:val="0"/>
                  <w:marTop w:val="0"/>
                  <w:marBottom w:val="0"/>
                  <w:divBdr>
                    <w:top w:val="none" w:sz="0" w:space="0" w:color="auto"/>
                    <w:left w:val="none" w:sz="0" w:space="0" w:color="auto"/>
                    <w:bottom w:val="none" w:sz="0" w:space="0" w:color="auto"/>
                    <w:right w:val="none" w:sz="0" w:space="0" w:color="auto"/>
                  </w:divBdr>
                  <w:divsChild>
                    <w:div w:id="890699878">
                      <w:marLeft w:val="0"/>
                      <w:marRight w:val="0"/>
                      <w:marTop w:val="0"/>
                      <w:marBottom w:val="0"/>
                      <w:divBdr>
                        <w:top w:val="none" w:sz="0" w:space="0" w:color="auto"/>
                        <w:left w:val="none" w:sz="0" w:space="0" w:color="auto"/>
                        <w:bottom w:val="none" w:sz="0" w:space="0" w:color="auto"/>
                        <w:right w:val="none" w:sz="0" w:space="0" w:color="auto"/>
                      </w:divBdr>
                    </w:div>
                  </w:divsChild>
                </w:div>
                <w:div w:id="1567764915">
                  <w:marLeft w:val="0"/>
                  <w:marRight w:val="0"/>
                  <w:marTop w:val="0"/>
                  <w:marBottom w:val="0"/>
                  <w:divBdr>
                    <w:top w:val="none" w:sz="0" w:space="0" w:color="auto"/>
                    <w:left w:val="none" w:sz="0" w:space="0" w:color="auto"/>
                    <w:bottom w:val="none" w:sz="0" w:space="0" w:color="auto"/>
                    <w:right w:val="none" w:sz="0" w:space="0" w:color="auto"/>
                  </w:divBdr>
                  <w:divsChild>
                    <w:div w:id="796679327">
                      <w:marLeft w:val="0"/>
                      <w:marRight w:val="0"/>
                      <w:marTop w:val="0"/>
                      <w:marBottom w:val="0"/>
                      <w:divBdr>
                        <w:top w:val="none" w:sz="0" w:space="0" w:color="auto"/>
                        <w:left w:val="none" w:sz="0" w:space="0" w:color="auto"/>
                        <w:bottom w:val="none" w:sz="0" w:space="0" w:color="auto"/>
                        <w:right w:val="none" w:sz="0" w:space="0" w:color="auto"/>
                      </w:divBdr>
                    </w:div>
                  </w:divsChild>
                </w:div>
                <w:div w:id="1570574924">
                  <w:marLeft w:val="0"/>
                  <w:marRight w:val="0"/>
                  <w:marTop w:val="0"/>
                  <w:marBottom w:val="0"/>
                  <w:divBdr>
                    <w:top w:val="none" w:sz="0" w:space="0" w:color="auto"/>
                    <w:left w:val="none" w:sz="0" w:space="0" w:color="auto"/>
                    <w:bottom w:val="none" w:sz="0" w:space="0" w:color="auto"/>
                    <w:right w:val="none" w:sz="0" w:space="0" w:color="auto"/>
                  </w:divBdr>
                  <w:divsChild>
                    <w:div w:id="342367146">
                      <w:marLeft w:val="0"/>
                      <w:marRight w:val="0"/>
                      <w:marTop w:val="0"/>
                      <w:marBottom w:val="0"/>
                      <w:divBdr>
                        <w:top w:val="none" w:sz="0" w:space="0" w:color="auto"/>
                        <w:left w:val="none" w:sz="0" w:space="0" w:color="auto"/>
                        <w:bottom w:val="none" w:sz="0" w:space="0" w:color="auto"/>
                        <w:right w:val="none" w:sz="0" w:space="0" w:color="auto"/>
                      </w:divBdr>
                    </w:div>
                  </w:divsChild>
                </w:div>
                <w:div w:id="1576009755">
                  <w:marLeft w:val="0"/>
                  <w:marRight w:val="0"/>
                  <w:marTop w:val="0"/>
                  <w:marBottom w:val="0"/>
                  <w:divBdr>
                    <w:top w:val="none" w:sz="0" w:space="0" w:color="auto"/>
                    <w:left w:val="none" w:sz="0" w:space="0" w:color="auto"/>
                    <w:bottom w:val="none" w:sz="0" w:space="0" w:color="auto"/>
                    <w:right w:val="none" w:sz="0" w:space="0" w:color="auto"/>
                  </w:divBdr>
                  <w:divsChild>
                    <w:div w:id="1828128938">
                      <w:marLeft w:val="0"/>
                      <w:marRight w:val="0"/>
                      <w:marTop w:val="0"/>
                      <w:marBottom w:val="0"/>
                      <w:divBdr>
                        <w:top w:val="none" w:sz="0" w:space="0" w:color="auto"/>
                        <w:left w:val="none" w:sz="0" w:space="0" w:color="auto"/>
                        <w:bottom w:val="none" w:sz="0" w:space="0" w:color="auto"/>
                        <w:right w:val="none" w:sz="0" w:space="0" w:color="auto"/>
                      </w:divBdr>
                    </w:div>
                  </w:divsChild>
                </w:div>
                <w:div w:id="1582911610">
                  <w:marLeft w:val="0"/>
                  <w:marRight w:val="0"/>
                  <w:marTop w:val="0"/>
                  <w:marBottom w:val="0"/>
                  <w:divBdr>
                    <w:top w:val="none" w:sz="0" w:space="0" w:color="auto"/>
                    <w:left w:val="none" w:sz="0" w:space="0" w:color="auto"/>
                    <w:bottom w:val="none" w:sz="0" w:space="0" w:color="auto"/>
                    <w:right w:val="none" w:sz="0" w:space="0" w:color="auto"/>
                  </w:divBdr>
                  <w:divsChild>
                    <w:div w:id="81143387">
                      <w:marLeft w:val="0"/>
                      <w:marRight w:val="0"/>
                      <w:marTop w:val="0"/>
                      <w:marBottom w:val="0"/>
                      <w:divBdr>
                        <w:top w:val="none" w:sz="0" w:space="0" w:color="auto"/>
                        <w:left w:val="none" w:sz="0" w:space="0" w:color="auto"/>
                        <w:bottom w:val="none" w:sz="0" w:space="0" w:color="auto"/>
                        <w:right w:val="none" w:sz="0" w:space="0" w:color="auto"/>
                      </w:divBdr>
                    </w:div>
                    <w:div w:id="223417321">
                      <w:marLeft w:val="0"/>
                      <w:marRight w:val="0"/>
                      <w:marTop w:val="0"/>
                      <w:marBottom w:val="0"/>
                      <w:divBdr>
                        <w:top w:val="none" w:sz="0" w:space="0" w:color="auto"/>
                        <w:left w:val="none" w:sz="0" w:space="0" w:color="auto"/>
                        <w:bottom w:val="none" w:sz="0" w:space="0" w:color="auto"/>
                        <w:right w:val="none" w:sz="0" w:space="0" w:color="auto"/>
                      </w:divBdr>
                    </w:div>
                  </w:divsChild>
                </w:div>
                <w:div w:id="1583830519">
                  <w:marLeft w:val="0"/>
                  <w:marRight w:val="0"/>
                  <w:marTop w:val="0"/>
                  <w:marBottom w:val="0"/>
                  <w:divBdr>
                    <w:top w:val="none" w:sz="0" w:space="0" w:color="auto"/>
                    <w:left w:val="none" w:sz="0" w:space="0" w:color="auto"/>
                    <w:bottom w:val="none" w:sz="0" w:space="0" w:color="auto"/>
                    <w:right w:val="none" w:sz="0" w:space="0" w:color="auto"/>
                  </w:divBdr>
                  <w:divsChild>
                    <w:div w:id="1929194341">
                      <w:marLeft w:val="0"/>
                      <w:marRight w:val="0"/>
                      <w:marTop w:val="0"/>
                      <w:marBottom w:val="0"/>
                      <w:divBdr>
                        <w:top w:val="none" w:sz="0" w:space="0" w:color="auto"/>
                        <w:left w:val="none" w:sz="0" w:space="0" w:color="auto"/>
                        <w:bottom w:val="none" w:sz="0" w:space="0" w:color="auto"/>
                        <w:right w:val="none" w:sz="0" w:space="0" w:color="auto"/>
                      </w:divBdr>
                    </w:div>
                  </w:divsChild>
                </w:div>
                <w:div w:id="1585842787">
                  <w:marLeft w:val="0"/>
                  <w:marRight w:val="0"/>
                  <w:marTop w:val="0"/>
                  <w:marBottom w:val="0"/>
                  <w:divBdr>
                    <w:top w:val="none" w:sz="0" w:space="0" w:color="auto"/>
                    <w:left w:val="none" w:sz="0" w:space="0" w:color="auto"/>
                    <w:bottom w:val="none" w:sz="0" w:space="0" w:color="auto"/>
                    <w:right w:val="none" w:sz="0" w:space="0" w:color="auto"/>
                  </w:divBdr>
                  <w:divsChild>
                    <w:div w:id="853424294">
                      <w:marLeft w:val="0"/>
                      <w:marRight w:val="0"/>
                      <w:marTop w:val="0"/>
                      <w:marBottom w:val="0"/>
                      <w:divBdr>
                        <w:top w:val="none" w:sz="0" w:space="0" w:color="auto"/>
                        <w:left w:val="none" w:sz="0" w:space="0" w:color="auto"/>
                        <w:bottom w:val="none" w:sz="0" w:space="0" w:color="auto"/>
                        <w:right w:val="none" w:sz="0" w:space="0" w:color="auto"/>
                      </w:divBdr>
                    </w:div>
                  </w:divsChild>
                </w:div>
                <w:div w:id="1586109004">
                  <w:marLeft w:val="0"/>
                  <w:marRight w:val="0"/>
                  <w:marTop w:val="0"/>
                  <w:marBottom w:val="0"/>
                  <w:divBdr>
                    <w:top w:val="none" w:sz="0" w:space="0" w:color="auto"/>
                    <w:left w:val="none" w:sz="0" w:space="0" w:color="auto"/>
                    <w:bottom w:val="none" w:sz="0" w:space="0" w:color="auto"/>
                    <w:right w:val="none" w:sz="0" w:space="0" w:color="auto"/>
                  </w:divBdr>
                  <w:divsChild>
                    <w:div w:id="2037194129">
                      <w:marLeft w:val="0"/>
                      <w:marRight w:val="0"/>
                      <w:marTop w:val="0"/>
                      <w:marBottom w:val="0"/>
                      <w:divBdr>
                        <w:top w:val="none" w:sz="0" w:space="0" w:color="auto"/>
                        <w:left w:val="none" w:sz="0" w:space="0" w:color="auto"/>
                        <w:bottom w:val="none" w:sz="0" w:space="0" w:color="auto"/>
                        <w:right w:val="none" w:sz="0" w:space="0" w:color="auto"/>
                      </w:divBdr>
                    </w:div>
                  </w:divsChild>
                </w:div>
                <w:div w:id="1586645760">
                  <w:marLeft w:val="0"/>
                  <w:marRight w:val="0"/>
                  <w:marTop w:val="0"/>
                  <w:marBottom w:val="0"/>
                  <w:divBdr>
                    <w:top w:val="none" w:sz="0" w:space="0" w:color="auto"/>
                    <w:left w:val="none" w:sz="0" w:space="0" w:color="auto"/>
                    <w:bottom w:val="none" w:sz="0" w:space="0" w:color="auto"/>
                    <w:right w:val="none" w:sz="0" w:space="0" w:color="auto"/>
                  </w:divBdr>
                  <w:divsChild>
                    <w:div w:id="1849906107">
                      <w:marLeft w:val="0"/>
                      <w:marRight w:val="0"/>
                      <w:marTop w:val="0"/>
                      <w:marBottom w:val="0"/>
                      <w:divBdr>
                        <w:top w:val="none" w:sz="0" w:space="0" w:color="auto"/>
                        <w:left w:val="none" w:sz="0" w:space="0" w:color="auto"/>
                        <w:bottom w:val="none" w:sz="0" w:space="0" w:color="auto"/>
                        <w:right w:val="none" w:sz="0" w:space="0" w:color="auto"/>
                      </w:divBdr>
                    </w:div>
                  </w:divsChild>
                </w:div>
                <w:div w:id="1587571487">
                  <w:marLeft w:val="0"/>
                  <w:marRight w:val="0"/>
                  <w:marTop w:val="0"/>
                  <w:marBottom w:val="0"/>
                  <w:divBdr>
                    <w:top w:val="none" w:sz="0" w:space="0" w:color="auto"/>
                    <w:left w:val="none" w:sz="0" w:space="0" w:color="auto"/>
                    <w:bottom w:val="none" w:sz="0" w:space="0" w:color="auto"/>
                    <w:right w:val="none" w:sz="0" w:space="0" w:color="auto"/>
                  </w:divBdr>
                  <w:divsChild>
                    <w:div w:id="958758316">
                      <w:marLeft w:val="0"/>
                      <w:marRight w:val="0"/>
                      <w:marTop w:val="0"/>
                      <w:marBottom w:val="0"/>
                      <w:divBdr>
                        <w:top w:val="none" w:sz="0" w:space="0" w:color="auto"/>
                        <w:left w:val="none" w:sz="0" w:space="0" w:color="auto"/>
                        <w:bottom w:val="none" w:sz="0" w:space="0" w:color="auto"/>
                        <w:right w:val="none" w:sz="0" w:space="0" w:color="auto"/>
                      </w:divBdr>
                    </w:div>
                  </w:divsChild>
                </w:div>
                <w:div w:id="1588153573">
                  <w:marLeft w:val="0"/>
                  <w:marRight w:val="0"/>
                  <w:marTop w:val="0"/>
                  <w:marBottom w:val="0"/>
                  <w:divBdr>
                    <w:top w:val="none" w:sz="0" w:space="0" w:color="auto"/>
                    <w:left w:val="none" w:sz="0" w:space="0" w:color="auto"/>
                    <w:bottom w:val="none" w:sz="0" w:space="0" w:color="auto"/>
                    <w:right w:val="none" w:sz="0" w:space="0" w:color="auto"/>
                  </w:divBdr>
                  <w:divsChild>
                    <w:div w:id="1812091288">
                      <w:marLeft w:val="0"/>
                      <w:marRight w:val="0"/>
                      <w:marTop w:val="0"/>
                      <w:marBottom w:val="0"/>
                      <w:divBdr>
                        <w:top w:val="none" w:sz="0" w:space="0" w:color="auto"/>
                        <w:left w:val="none" w:sz="0" w:space="0" w:color="auto"/>
                        <w:bottom w:val="none" w:sz="0" w:space="0" w:color="auto"/>
                        <w:right w:val="none" w:sz="0" w:space="0" w:color="auto"/>
                      </w:divBdr>
                    </w:div>
                  </w:divsChild>
                </w:div>
                <w:div w:id="1594168803">
                  <w:marLeft w:val="0"/>
                  <w:marRight w:val="0"/>
                  <w:marTop w:val="0"/>
                  <w:marBottom w:val="0"/>
                  <w:divBdr>
                    <w:top w:val="none" w:sz="0" w:space="0" w:color="auto"/>
                    <w:left w:val="none" w:sz="0" w:space="0" w:color="auto"/>
                    <w:bottom w:val="none" w:sz="0" w:space="0" w:color="auto"/>
                    <w:right w:val="none" w:sz="0" w:space="0" w:color="auto"/>
                  </w:divBdr>
                  <w:divsChild>
                    <w:div w:id="1459225753">
                      <w:marLeft w:val="0"/>
                      <w:marRight w:val="0"/>
                      <w:marTop w:val="0"/>
                      <w:marBottom w:val="0"/>
                      <w:divBdr>
                        <w:top w:val="none" w:sz="0" w:space="0" w:color="auto"/>
                        <w:left w:val="none" w:sz="0" w:space="0" w:color="auto"/>
                        <w:bottom w:val="none" w:sz="0" w:space="0" w:color="auto"/>
                        <w:right w:val="none" w:sz="0" w:space="0" w:color="auto"/>
                      </w:divBdr>
                    </w:div>
                  </w:divsChild>
                </w:div>
                <w:div w:id="1598059861">
                  <w:marLeft w:val="0"/>
                  <w:marRight w:val="0"/>
                  <w:marTop w:val="0"/>
                  <w:marBottom w:val="0"/>
                  <w:divBdr>
                    <w:top w:val="none" w:sz="0" w:space="0" w:color="auto"/>
                    <w:left w:val="none" w:sz="0" w:space="0" w:color="auto"/>
                    <w:bottom w:val="none" w:sz="0" w:space="0" w:color="auto"/>
                    <w:right w:val="none" w:sz="0" w:space="0" w:color="auto"/>
                  </w:divBdr>
                  <w:divsChild>
                    <w:div w:id="2088383010">
                      <w:marLeft w:val="0"/>
                      <w:marRight w:val="0"/>
                      <w:marTop w:val="0"/>
                      <w:marBottom w:val="0"/>
                      <w:divBdr>
                        <w:top w:val="none" w:sz="0" w:space="0" w:color="auto"/>
                        <w:left w:val="none" w:sz="0" w:space="0" w:color="auto"/>
                        <w:bottom w:val="none" w:sz="0" w:space="0" w:color="auto"/>
                        <w:right w:val="none" w:sz="0" w:space="0" w:color="auto"/>
                      </w:divBdr>
                    </w:div>
                  </w:divsChild>
                </w:div>
                <w:div w:id="1599558379">
                  <w:marLeft w:val="0"/>
                  <w:marRight w:val="0"/>
                  <w:marTop w:val="0"/>
                  <w:marBottom w:val="0"/>
                  <w:divBdr>
                    <w:top w:val="none" w:sz="0" w:space="0" w:color="auto"/>
                    <w:left w:val="none" w:sz="0" w:space="0" w:color="auto"/>
                    <w:bottom w:val="none" w:sz="0" w:space="0" w:color="auto"/>
                    <w:right w:val="none" w:sz="0" w:space="0" w:color="auto"/>
                  </w:divBdr>
                  <w:divsChild>
                    <w:div w:id="1940719849">
                      <w:marLeft w:val="0"/>
                      <w:marRight w:val="0"/>
                      <w:marTop w:val="0"/>
                      <w:marBottom w:val="0"/>
                      <w:divBdr>
                        <w:top w:val="none" w:sz="0" w:space="0" w:color="auto"/>
                        <w:left w:val="none" w:sz="0" w:space="0" w:color="auto"/>
                        <w:bottom w:val="none" w:sz="0" w:space="0" w:color="auto"/>
                        <w:right w:val="none" w:sz="0" w:space="0" w:color="auto"/>
                      </w:divBdr>
                    </w:div>
                  </w:divsChild>
                </w:div>
                <w:div w:id="1600486503">
                  <w:marLeft w:val="0"/>
                  <w:marRight w:val="0"/>
                  <w:marTop w:val="0"/>
                  <w:marBottom w:val="0"/>
                  <w:divBdr>
                    <w:top w:val="none" w:sz="0" w:space="0" w:color="auto"/>
                    <w:left w:val="none" w:sz="0" w:space="0" w:color="auto"/>
                    <w:bottom w:val="none" w:sz="0" w:space="0" w:color="auto"/>
                    <w:right w:val="none" w:sz="0" w:space="0" w:color="auto"/>
                  </w:divBdr>
                  <w:divsChild>
                    <w:div w:id="2045791440">
                      <w:marLeft w:val="0"/>
                      <w:marRight w:val="0"/>
                      <w:marTop w:val="0"/>
                      <w:marBottom w:val="0"/>
                      <w:divBdr>
                        <w:top w:val="none" w:sz="0" w:space="0" w:color="auto"/>
                        <w:left w:val="none" w:sz="0" w:space="0" w:color="auto"/>
                        <w:bottom w:val="none" w:sz="0" w:space="0" w:color="auto"/>
                        <w:right w:val="none" w:sz="0" w:space="0" w:color="auto"/>
                      </w:divBdr>
                    </w:div>
                  </w:divsChild>
                </w:div>
                <w:div w:id="1603564987">
                  <w:marLeft w:val="0"/>
                  <w:marRight w:val="0"/>
                  <w:marTop w:val="0"/>
                  <w:marBottom w:val="0"/>
                  <w:divBdr>
                    <w:top w:val="none" w:sz="0" w:space="0" w:color="auto"/>
                    <w:left w:val="none" w:sz="0" w:space="0" w:color="auto"/>
                    <w:bottom w:val="none" w:sz="0" w:space="0" w:color="auto"/>
                    <w:right w:val="none" w:sz="0" w:space="0" w:color="auto"/>
                  </w:divBdr>
                  <w:divsChild>
                    <w:div w:id="136073674">
                      <w:marLeft w:val="0"/>
                      <w:marRight w:val="0"/>
                      <w:marTop w:val="0"/>
                      <w:marBottom w:val="0"/>
                      <w:divBdr>
                        <w:top w:val="none" w:sz="0" w:space="0" w:color="auto"/>
                        <w:left w:val="none" w:sz="0" w:space="0" w:color="auto"/>
                        <w:bottom w:val="none" w:sz="0" w:space="0" w:color="auto"/>
                        <w:right w:val="none" w:sz="0" w:space="0" w:color="auto"/>
                      </w:divBdr>
                    </w:div>
                  </w:divsChild>
                </w:div>
                <w:div w:id="1604918591">
                  <w:marLeft w:val="0"/>
                  <w:marRight w:val="0"/>
                  <w:marTop w:val="0"/>
                  <w:marBottom w:val="0"/>
                  <w:divBdr>
                    <w:top w:val="none" w:sz="0" w:space="0" w:color="auto"/>
                    <w:left w:val="none" w:sz="0" w:space="0" w:color="auto"/>
                    <w:bottom w:val="none" w:sz="0" w:space="0" w:color="auto"/>
                    <w:right w:val="none" w:sz="0" w:space="0" w:color="auto"/>
                  </w:divBdr>
                  <w:divsChild>
                    <w:div w:id="1714650707">
                      <w:marLeft w:val="0"/>
                      <w:marRight w:val="0"/>
                      <w:marTop w:val="0"/>
                      <w:marBottom w:val="0"/>
                      <w:divBdr>
                        <w:top w:val="none" w:sz="0" w:space="0" w:color="auto"/>
                        <w:left w:val="none" w:sz="0" w:space="0" w:color="auto"/>
                        <w:bottom w:val="none" w:sz="0" w:space="0" w:color="auto"/>
                        <w:right w:val="none" w:sz="0" w:space="0" w:color="auto"/>
                      </w:divBdr>
                    </w:div>
                  </w:divsChild>
                </w:div>
                <w:div w:id="1612935896">
                  <w:marLeft w:val="0"/>
                  <w:marRight w:val="0"/>
                  <w:marTop w:val="0"/>
                  <w:marBottom w:val="0"/>
                  <w:divBdr>
                    <w:top w:val="none" w:sz="0" w:space="0" w:color="auto"/>
                    <w:left w:val="none" w:sz="0" w:space="0" w:color="auto"/>
                    <w:bottom w:val="none" w:sz="0" w:space="0" w:color="auto"/>
                    <w:right w:val="none" w:sz="0" w:space="0" w:color="auto"/>
                  </w:divBdr>
                  <w:divsChild>
                    <w:div w:id="1608924066">
                      <w:marLeft w:val="0"/>
                      <w:marRight w:val="0"/>
                      <w:marTop w:val="0"/>
                      <w:marBottom w:val="0"/>
                      <w:divBdr>
                        <w:top w:val="none" w:sz="0" w:space="0" w:color="auto"/>
                        <w:left w:val="none" w:sz="0" w:space="0" w:color="auto"/>
                        <w:bottom w:val="none" w:sz="0" w:space="0" w:color="auto"/>
                        <w:right w:val="none" w:sz="0" w:space="0" w:color="auto"/>
                      </w:divBdr>
                    </w:div>
                  </w:divsChild>
                </w:div>
                <w:div w:id="1614246707">
                  <w:marLeft w:val="0"/>
                  <w:marRight w:val="0"/>
                  <w:marTop w:val="0"/>
                  <w:marBottom w:val="0"/>
                  <w:divBdr>
                    <w:top w:val="none" w:sz="0" w:space="0" w:color="auto"/>
                    <w:left w:val="none" w:sz="0" w:space="0" w:color="auto"/>
                    <w:bottom w:val="none" w:sz="0" w:space="0" w:color="auto"/>
                    <w:right w:val="none" w:sz="0" w:space="0" w:color="auto"/>
                  </w:divBdr>
                  <w:divsChild>
                    <w:div w:id="1249192795">
                      <w:marLeft w:val="0"/>
                      <w:marRight w:val="0"/>
                      <w:marTop w:val="0"/>
                      <w:marBottom w:val="0"/>
                      <w:divBdr>
                        <w:top w:val="none" w:sz="0" w:space="0" w:color="auto"/>
                        <w:left w:val="none" w:sz="0" w:space="0" w:color="auto"/>
                        <w:bottom w:val="none" w:sz="0" w:space="0" w:color="auto"/>
                        <w:right w:val="none" w:sz="0" w:space="0" w:color="auto"/>
                      </w:divBdr>
                    </w:div>
                  </w:divsChild>
                </w:div>
                <w:div w:id="1623655707">
                  <w:marLeft w:val="0"/>
                  <w:marRight w:val="0"/>
                  <w:marTop w:val="0"/>
                  <w:marBottom w:val="0"/>
                  <w:divBdr>
                    <w:top w:val="none" w:sz="0" w:space="0" w:color="auto"/>
                    <w:left w:val="none" w:sz="0" w:space="0" w:color="auto"/>
                    <w:bottom w:val="none" w:sz="0" w:space="0" w:color="auto"/>
                    <w:right w:val="none" w:sz="0" w:space="0" w:color="auto"/>
                  </w:divBdr>
                  <w:divsChild>
                    <w:div w:id="1557549624">
                      <w:marLeft w:val="0"/>
                      <w:marRight w:val="0"/>
                      <w:marTop w:val="0"/>
                      <w:marBottom w:val="0"/>
                      <w:divBdr>
                        <w:top w:val="none" w:sz="0" w:space="0" w:color="auto"/>
                        <w:left w:val="none" w:sz="0" w:space="0" w:color="auto"/>
                        <w:bottom w:val="none" w:sz="0" w:space="0" w:color="auto"/>
                        <w:right w:val="none" w:sz="0" w:space="0" w:color="auto"/>
                      </w:divBdr>
                    </w:div>
                  </w:divsChild>
                </w:div>
                <w:div w:id="1630354993">
                  <w:marLeft w:val="0"/>
                  <w:marRight w:val="0"/>
                  <w:marTop w:val="0"/>
                  <w:marBottom w:val="0"/>
                  <w:divBdr>
                    <w:top w:val="none" w:sz="0" w:space="0" w:color="auto"/>
                    <w:left w:val="none" w:sz="0" w:space="0" w:color="auto"/>
                    <w:bottom w:val="none" w:sz="0" w:space="0" w:color="auto"/>
                    <w:right w:val="none" w:sz="0" w:space="0" w:color="auto"/>
                  </w:divBdr>
                  <w:divsChild>
                    <w:div w:id="1674145195">
                      <w:marLeft w:val="0"/>
                      <w:marRight w:val="0"/>
                      <w:marTop w:val="0"/>
                      <w:marBottom w:val="0"/>
                      <w:divBdr>
                        <w:top w:val="none" w:sz="0" w:space="0" w:color="auto"/>
                        <w:left w:val="none" w:sz="0" w:space="0" w:color="auto"/>
                        <w:bottom w:val="none" w:sz="0" w:space="0" w:color="auto"/>
                        <w:right w:val="none" w:sz="0" w:space="0" w:color="auto"/>
                      </w:divBdr>
                    </w:div>
                  </w:divsChild>
                </w:div>
                <w:div w:id="1630670592">
                  <w:marLeft w:val="0"/>
                  <w:marRight w:val="0"/>
                  <w:marTop w:val="0"/>
                  <w:marBottom w:val="0"/>
                  <w:divBdr>
                    <w:top w:val="none" w:sz="0" w:space="0" w:color="auto"/>
                    <w:left w:val="none" w:sz="0" w:space="0" w:color="auto"/>
                    <w:bottom w:val="none" w:sz="0" w:space="0" w:color="auto"/>
                    <w:right w:val="none" w:sz="0" w:space="0" w:color="auto"/>
                  </w:divBdr>
                  <w:divsChild>
                    <w:div w:id="1862694579">
                      <w:marLeft w:val="0"/>
                      <w:marRight w:val="0"/>
                      <w:marTop w:val="0"/>
                      <w:marBottom w:val="0"/>
                      <w:divBdr>
                        <w:top w:val="none" w:sz="0" w:space="0" w:color="auto"/>
                        <w:left w:val="none" w:sz="0" w:space="0" w:color="auto"/>
                        <w:bottom w:val="none" w:sz="0" w:space="0" w:color="auto"/>
                        <w:right w:val="none" w:sz="0" w:space="0" w:color="auto"/>
                      </w:divBdr>
                    </w:div>
                  </w:divsChild>
                </w:div>
                <w:div w:id="1632788555">
                  <w:marLeft w:val="0"/>
                  <w:marRight w:val="0"/>
                  <w:marTop w:val="0"/>
                  <w:marBottom w:val="0"/>
                  <w:divBdr>
                    <w:top w:val="none" w:sz="0" w:space="0" w:color="auto"/>
                    <w:left w:val="none" w:sz="0" w:space="0" w:color="auto"/>
                    <w:bottom w:val="none" w:sz="0" w:space="0" w:color="auto"/>
                    <w:right w:val="none" w:sz="0" w:space="0" w:color="auto"/>
                  </w:divBdr>
                  <w:divsChild>
                    <w:div w:id="870461069">
                      <w:marLeft w:val="0"/>
                      <w:marRight w:val="0"/>
                      <w:marTop w:val="0"/>
                      <w:marBottom w:val="0"/>
                      <w:divBdr>
                        <w:top w:val="none" w:sz="0" w:space="0" w:color="auto"/>
                        <w:left w:val="none" w:sz="0" w:space="0" w:color="auto"/>
                        <w:bottom w:val="none" w:sz="0" w:space="0" w:color="auto"/>
                        <w:right w:val="none" w:sz="0" w:space="0" w:color="auto"/>
                      </w:divBdr>
                    </w:div>
                  </w:divsChild>
                </w:div>
                <w:div w:id="1648779673">
                  <w:marLeft w:val="0"/>
                  <w:marRight w:val="0"/>
                  <w:marTop w:val="0"/>
                  <w:marBottom w:val="0"/>
                  <w:divBdr>
                    <w:top w:val="none" w:sz="0" w:space="0" w:color="auto"/>
                    <w:left w:val="none" w:sz="0" w:space="0" w:color="auto"/>
                    <w:bottom w:val="none" w:sz="0" w:space="0" w:color="auto"/>
                    <w:right w:val="none" w:sz="0" w:space="0" w:color="auto"/>
                  </w:divBdr>
                  <w:divsChild>
                    <w:div w:id="202180601">
                      <w:marLeft w:val="0"/>
                      <w:marRight w:val="0"/>
                      <w:marTop w:val="0"/>
                      <w:marBottom w:val="0"/>
                      <w:divBdr>
                        <w:top w:val="none" w:sz="0" w:space="0" w:color="auto"/>
                        <w:left w:val="none" w:sz="0" w:space="0" w:color="auto"/>
                        <w:bottom w:val="none" w:sz="0" w:space="0" w:color="auto"/>
                        <w:right w:val="none" w:sz="0" w:space="0" w:color="auto"/>
                      </w:divBdr>
                    </w:div>
                  </w:divsChild>
                </w:div>
                <w:div w:id="1653097690">
                  <w:marLeft w:val="0"/>
                  <w:marRight w:val="0"/>
                  <w:marTop w:val="0"/>
                  <w:marBottom w:val="0"/>
                  <w:divBdr>
                    <w:top w:val="none" w:sz="0" w:space="0" w:color="auto"/>
                    <w:left w:val="none" w:sz="0" w:space="0" w:color="auto"/>
                    <w:bottom w:val="none" w:sz="0" w:space="0" w:color="auto"/>
                    <w:right w:val="none" w:sz="0" w:space="0" w:color="auto"/>
                  </w:divBdr>
                  <w:divsChild>
                    <w:div w:id="366413610">
                      <w:marLeft w:val="0"/>
                      <w:marRight w:val="0"/>
                      <w:marTop w:val="0"/>
                      <w:marBottom w:val="0"/>
                      <w:divBdr>
                        <w:top w:val="none" w:sz="0" w:space="0" w:color="auto"/>
                        <w:left w:val="none" w:sz="0" w:space="0" w:color="auto"/>
                        <w:bottom w:val="none" w:sz="0" w:space="0" w:color="auto"/>
                        <w:right w:val="none" w:sz="0" w:space="0" w:color="auto"/>
                      </w:divBdr>
                    </w:div>
                  </w:divsChild>
                </w:div>
                <w:div w:id="1655140447">
                  <w:marLeft w:val="0"/>
                  <w:marRight w:val="0"/>
                  <w:marTop w:val="0"/>
                  <w:marBottom w:val="0"/>
                  <w:divBdr>
                    <w:top w:val="none" w:sz="0" w:space="0" w:color="auto"/>
                    <w:left w:val="none" w:sz="0" w:space="0" w:color="auto"/>
                    <w:bottom w:val="none" w:sz="0" w:space="0" w:color="auto"/>
                    <w:right w:val="none" w:sz="0" w:space="0" w:color="auto"/>
                  </w:divBdr>
                  <w:divsChild>
                    <w:div w:id="937251144">
                      <w:marLeft w:val="0"/>
                      <w:marRight w:val="0"/>
                      <w:marTop w:val="0"/>
                      <w:marBottom w:val="0"/>
                      <w:divBdr>
                        <w:top w:val="none" w:sz="0" w:space="0" w:color="auto"/>
                        <w:left w:val="none" w:sz="0" w:space="0" w:color="auto"/>
                        <w:bottom w:val="none" w:sz="0" w:space="0" w:color="auto"/>
                        <w:right w:val="none" w:sz="0" w:space="0" w:color="auto"/>
                      </w:divBdr>
                    </w:div>
                  </w:divsChild>
                </w:div>
                <w:div w:id="1658419185">
                  <w:marLeft w:val="0"/>
                  <w:marRight w:val="0"/>
                  <w:marTop w:val="0"/>
                  <w:marBottom w:val="0"/>
                  <w:divBdr>
                    <w:top w:val="none" w:sz="0" w:space="0" w:color="auto"/>
                    <w:left w:val="none" w:sz="0" w:space="0" w:color="auto"/>
                    <w:bottom w:val="none" w:sz="0" w:space="0" w:color="auto"/>
                    <w:right w:val="none" w:sz="0" w:space="0" w:color="auto"/>
                  </w:divBdr>
                  <w:divsChild>
                    <w:div w:id="191774407">
                      <w:marLeft w:val="0"/>
                      <w:marRight w:val="0"/>
                      <w:marTop w:val="0"/>
                      <w:marBottom w:val="0"/>
                      <w:divBdr>
                        <w:top w:val="none" w:sz="0" w:space="0" w:color="auto"/>
                        <w:left w:val="none" w:sz="0" w:space="0" w:color="auto"/>
                        <w:bottom w:val="none" w:sz="0" w:space="0" w:color="auto"/>
                        <w:right w:val="none" w:sz="0" w:space="0" w:color="auto"/>
                      </w:divBdr>
                    </w:div>
                  </w:divsChild>
                </w:div>
                <w:div w:id="1659113626">
                  <w:marLeft w:val="0"/>
                  <w:marRight w:val="0"/>
                  <w:marTop w:val="0"/>
                  <w:marBottom w:val="0"/>
                  <w:divBdr>
                    <w:top w:val="none" w:sz="0" w:space="0" w:color="auto"/>
                    <w:left w:val="none" w:sz="0" w:space="0" w:color="auto"/>
                    <w:bottom w:val="none" w:sz="0" w:space="0" w:color="auto"/>
                    <w:right w:val="none" w:sz="0" w:space="0" w:color="auto"/>
                  </w:divBdr>
                  <w:divsChild>
                    <w:div w:id="854274040">
                      <w:marLeft w:val="0"/>
                      <w:marRight w:val="0"/>
                      <w:marTop w:val="0"/>
                      <w:marBottom w:val="0"/>
                      <w:divBdr>
                        <w:top w:val="none" w:sz="0" w:space="0" w:color="auto"/>
                        <w:left w:val="none" w:sz="0" w:space="0" w:color="auto"/>
                        <w:bottom w:val="none" w:sz="0" w:space="0" w:color="auto"/>
                        <w:right w:val="none" w:sz="0" w:space="0" w:color="auto"/>
                      </w:divBdr>
                    </w:div>
                  </w:divsChild>
                </w:div>
                <w:div w:id="1679575355">
                  <w:marLeft w:val="0"/>
                  <w:marRight w:val="0"/>
                  <w:marTop w:val="0"/>
                  <w:marBottom w:val="0"/>
                  <w:divBdr>
                    <w:top w:val="none" w:sz="0" w:space="0" w:color="auto"/>
                    <w:left w:val="none" w:sz="0" w:space="0" w:color="auto"/>
                    <w:bottom w:val="none" w:sz="0" w:space="0" w:color="auto"/>
                    <w:right w:val="none" w:sz="0" w:space="0" w:color="auto"/>
                  </w:divBdr>
                  <w:divsChild>
                    <w:div w:id="589510098">
                      <w:marLeft w:val="0"/>
                      <w:marRight w:val="0"/>
                      <w:marTop w:val="0"/>
                      <w:marBottom w:val="0"/>
                      <w:divBdr>
                        <w:top w:val="none" w:sz="0" w:space="0" w:color="auto"/>
                        <w:left w:val="none" w:sz="0" w:space="0" w:color="auto"/>
                        <w:bottom w:val="none" w:sz="0" w:space="0" w:color="auto"/>
                        <w:right w:val="none" w:sz="0" w:space="0" w:color="auto"/>
                      </w:divBdr>
                    </w:div>
                  </w:divsChild>
                </w:div>
                <w:div w:id="1681352874">
                  <w:marLeft w:val="0"/>
                  <w:marRight w:val="0"/>
                  <w:marTop w:val="0"/>
                  <w:marBottom w:val="0"/>
                  <w:divBdr>
                    <w:top w:val="none" w:sz="0" w:space="0" w:color="auto"/>
                    <w:left w:val="none" w:sz="0" w:space="0" w:color="auto"/>
                    <w:bottom w:val="none" w:sz="0" w:space="0" w:color="auto"/>
                    <w:right w:val="none" w:sz="0" w:space="0" w:color="auto"/>
                  </w:divBdr>
                  <w:divsChild>
                    <w:div w:id="1199976270">
                      <w:marLeft w:val="0"/>
                      <w:marRight w:val="0"/>
                      <w:marTop w:val="0"/>
                      <w:marBottom w:val="0"/>
                      <w:divBdr>
                        <w:top w:val="none" w:sz="0" w:space="0" w:color="auto"/>
                        <w:left w:val="none" w:sz="0" w:space="0" w:color="auto"/>
                        <w:bottom w:val="none" w:sz="0" w:space="0" w:color="auto"/>
                        <w:right w:val="none" w:sz="0" w:space="0" w:color="auto"/>
                      </w:divBdr>
                    </w:div>
                  </w:divsChild>
                </w:div>
                <w:div w:id="1689868714">
                  <w:marLeft w:val="0"/>
                  <w:marRight w:val="0"/>
                  <w:marTop w:val="0"/>
                  <w:marBottom w:val="0"/>
                  <w:divBdr>
                    <w:top w:val="none" w:sz="0" w:space="0" w:color="auto"/>
                    <w:left w:val="none" w:sz="0" w:space="0" w:color="auto"/>
                    <w:bottom w:val="none" w:sz="0" w:space="0" w:color="auto"/>
                    <w:right w:val="none" w:sz="0" w:space="0" w:color="auto"/>
                  </w:divBdr>
                  <w:divsChild>
                    <w:div w:id="1673559278">
                      <w:marLeft w:val="0"/>
                      <w:marRight w:val="0"/>
                      <w:marTop w:val="0"/>
                      <w:marBottom w:val="0"/>
                      <w:divBdr>
                        <w:top w:val="none" w:sz="0" w:space="0" w:color="auto"/>
                        <w:left w:val="none" w:sz="0" w:space="0" w:color="auto"/>
                        <w:bottom w:val="none" w:sz="0" w:space="0" w:color="auto"/>
                        <w:right w:val="none" w:sz="0" w:space="0" w:color="auto"/>
                      </w:divBdr>
                    </w:div>
                  </w:divsChild>
                </w:div>
                <w:div w:id="1690794180">
                  <w:marLeft w:val="0"/>
                  <w:marRight w:val="0"/>
                  <w:marTop w:val="0"/>
                  <w:marBottom w:val="0"/>
                  <w:divBdr>
                    <w:top w:val="none" w:sz="0" w:space="0" w:color="auto"/>
                    <w:left w:val="none" w:sz="0" w:space="0" w:color="auto"/>
                    <w:bottom w:val="none" w:sz="0" w:space="0" w:color="auto"/>
                    <w:right w:val="none" w:sz="0" w:space="0" w:color="auto"/>
                  </w:divBdr>
                  <w:divsChild>
                    <w:div w:id="1472946145">
                      <w:marLeft w:val="0"/>
                      <w:marRight w:val="0"/>
                      <w:marTop w:val="0"/>
                      <w:marBottom w:val="0"/>
                      <w:divBdr>
                        <w:top w:val="none" w:sz="0" w:space="0" w:color="auto"/>
                        <w:left w:val="none" w:sz="0" w:space="0" w:color="auto"/>
                        <w:bottom w:val="none" w:sz="0" w:space="0" w:color="auto"/>
                        <w:right w:val="none" w:sz="0" w:space="0" w:color="auto"/>
                      </w:divBdr>
                    </w:div>
                  </w:divsChild>
                </w:div>
                <w:div w:id="1709331660">
                  <w:marLeft w:val="0"/>
                  <w:marRight w:val="0"/>
                  <w:marTop w:val="0"/>
                  <w:marBottom w:val="0"/>
                  <w:divBdr>
                    <w:top w:val="none" w:sz="0" w:space="0" w:color="auto"/>
                    <w:left w:val="none" w:sz="0" w:space="0" w:color="auto"/>
                    <w:bottom w:val="none" w:sz="0" w:space="0" w:color="auto"/>
                    <w:right w:val="none" w:sz="0" w:space="0" w:color="auto"/>
                  </w:divBdr>
                  <w:divsChild>
                    <w:div w:id="180555986">
                      <w:marLeft w:val="0"/>
                      <w:marRight w:val="0"/>
                      <w:marTop w:val="0"/>
                      <w:marBottom w:val="0"/>
                      <w:divBdr>
                        <w:top w:val="none" w:sz="0" w:space="0" w:color="auto"/>
                        <w:left w:val="none" w:sz="0" w:space="0" w:color="auto"/>
                        <w:bottom w:val="none" w:sz="0" w:space="0" w:color="auto"/>
                        <w:right w:val="none" w:sz="0" w:space="0" w:color="auto"/>
                      </w:divBdr>
                    </w:div>
                  </w:divsChild>
                </w:div>
                <w:div w:id="1712807720">
                  <w:marLeft w:val="0"/>
                  <w:marRight w:val="0"/>
                  <w:marTop w:val="0"/>
                  <w:marBottom w:val="0"/>
                  <w:divBdr>
                    <w:top w:val="none" w:sz="0" w:space="0" w:color="auto"/>
                    <w:left w:val="none" w:sz="0" w:space="0" w:color="auto"/>
                    <w:bottom w:val="none" w:sz="0" w:space="0" w:color="auto"/>
                    <w:right w:val="none" w:sz="0" w:space="0" w:color="auto"/>
                  </w:divBdr>
                  <w:divsChild>
                    <w:div w:id="206069287">
                      <w:marLeft w:val="0"/>
                      <w:marRight w:val="0"/>
                      <w:marTop w:val="0"/>
                      <w:marBottom w:val="0"/>
                      <w:divBdr>
                        <w:top w:val="none" w:sz="0" w:space="0" w:color="auto"/>
                        <w:left w:val="none" w:sz="0" w:space="0" w:color="auto"/>
                        <w:bottom w:val="none" w:sz="0" w:space="0" w:color="auto"/>
                        <w:right w:val="none" w:sz="0" w:space="0" w:color="auto"/>
                      </w:divBdr>
                    </w:div>
                    <w:div w:id="356346310">
                      <w:marLeft w:val="0"/>
                      <w:marRight w:val="0"/>
                      <w:marTop w:val="0"/>
                      <w:marBottom w:val="0"/>
                      <w:divBdr>
                        <w:top w:val="none" w:sz="0" w:space="0" w:color="auto"/>
                        <w:left w:val="none" w:sz="0" w:space="0" w:color="auto"/>
                        <w:bottom w:val="none" w:sz="0" w:space="0" w:color="auto"/>
                        <w:right w:val="none" w:sz="0" w:space="0" w:color="auto"/>
                      </w:divBdr>
                    </w:div>
                    <w:div w:id="604313391">
                      <w:marLeft w:val="0"/>
                      <w:marRight w:val="0"/>
                      <w:marTop w:val="0"/>
                      <w:marBottom w:val="0"/>
                      <w:divBdr>
                        <w:top w:val="none" w:sz="0" w:space="0" w:color="auto"/>
                        <w:left w:val="none" w:sz="0" w:space="0" w:color="auto"/>
                        <w:bottom w:val="none" w:sz="0" w:space="0" w:color="auto"/>
                        <w:right w:val="none" w:sz="0" w:space="0" w:color="auto"/>
                      </w:divBdr>
                    </w:div>
                    <w:div w:id="623193193">
                      <w:marLeft w:val="0"/>
                      <w:marRight w:val="0"/>
                      <w:marTop w:val="0"/>
                      <w:marBottom w:val="0"/>
                      <w:divBdr>
                        <w:top w:val="none" w:sz="0" w:space="0" w:color="auto"/>
                        <w:left w:val="none" w:sz="0" w:space="0" w:color="auto"/>
                        <w:bottom w:val="none" w:sz="0" w:space="0" w:color="auto"/>
                        <w:right w:val="none" w:sz="0" w:space="0" w:color="auto"/>
                      </w:divBdr>
                    </w:div>
                    <w:div w:id="756366996">
                      <w:marLeft w:val="0"/>
                      <w:marRight w:val="0"/>
                      <w:marTop w:val="0"/>
                      <w:marBottom w:val="0"/>
                      <w:divBdr>
                        <w:top w:val="none" w:sz="0" w:space="0" w:color="auto"/>
                        <w:left w:val="none" w:sz="0" w:space="0" w:color="auto"/>
                        <w:bottom w:val="none" w:sz="0" w:space="0" w:color="auto"/>
                        <w:right w:val="none" w:sz="0" w:space="0" w:color="auto"/>
                      </w:divBdr>
                    </w:div>
                    <w:div w:id="862595930">
                      <w:marLeft w:val="0"/>
                      <w:marRight w:val="0"/>
                      <w:marTop w:val="0"/>
                      <w:marBottom w:val="0"/>
                      <w:divBdr>
                        <w:top w:val="none" w:sz="0" w:space="0" w:color="auto"/>
                        <w:left w:val="none" w:sz="0" w:space="0" w:color="auto"/>
                        <w:bottom w:val="none" w:sz="0" w:space="0" w:color="auto"/>
                        <w:right w:val="none" w:sz="0" w:space="0" w:color="auto"/>
                      </w:divBdr>
                    </w:div>
                    <w:div w:id="1024096291">
                      <w:marLeft w:val="0"/>
                      <w:marRight w:val="0"/>
                      <w:marTop w:val="0"/>
                      <w:marBottom w:val="0"/>
                      <w:divBdr>
                        <w:top w:val="none" w:sz="0" w:space="0" w:color="auto"/>
                        <w:left w:val="none" w:sz="0" w:space="0" w:color="auto"/>
                        <w:bottom w:val="none" w:sz="0" w:space="0" w:color="auto"/>
                        <w:right w:val="none" w:sz="0" w:space="0" w:color="auto"/>
                      </w:divBdr>
                    </w:div>
                    <w:div w:id="1066611250">
                      <w:marLeft w:val="0"/>
                      <w:marRight w:val="0"/>
                      <w:marTop w:val="0"/>
                      <w:marBottom w:val="0"/>
                      <w:divBdr>
                        <w:top w:val="none" w:sz="0" w:space="0" w:color="auto"/>
                        <w:left w:val="none" w:sz="0" w:space="0" w:color="auto"/>
                        <w:bottom w:val="none" w:sz="0" w:space="0" w:color="auto"/>
                        <w:right w:val="none" w:sz="0" w:space="0" w:color="auto"/>
                      </w:divBdr>
                    </w:div>
                    <w:div w:id="1122722270">
                      <w:marLeft w:val="0"/>
                      <w:marRight w:val="0"/>
                      <w:marTop w:val="0"/>
                      <w:marBottom w:val="0"/>
                      <w:divBdr>
                        <w:top w:val="none" w:sz="0" w:space="0" w:color="auto"/>
                        <w:left w:val="none" w:sz="0" w:space="0" w:color="auto"/>
                        <w:bottom w:val="none" w:sz="0" w:space="0" w:color="auto"/>
                        <w:right w:val="none" w:sz="0" w:space="0" w:color="auto"/>
                      </w:divBdr>
                    </w:div>
                    <w:div w:id="1158693757">
                      <w:marLeft w:val="0"/>
                      <w:marRight w:val="0"/>
                      <w:marTop w:val="0"/>
                      <w:marBottom w:val="0"/>
                      <w:divBdr>
                        <w:top w:val="none" w:sz="0" w:space="0" w:color="auto"/>
                        <w:left w:val="none" w:sz="0" w:space="0" w:color="auto"/>
                        <w:bottom w:val="none" w:sz="0" w:space="0" w:color="auto"/>
                        <w:right w:val="none" w:sz="0" w:space="0" w:color="auto"/>
                      </w:divBdr>
                    </w:div>
                    <w:div w:id="1542671169">
                      <w:marLeft w:val="0"/>
                      <w:marRight w:val="0"/>
                      <w:marTop w:val="0"/>
                      <w:marBottom w:val="0"/>
                      <w:divBdr>
                        <w:top w:val="none" w:sz="0" w:space="0" w:color="auto"/>
                        <w:left w:val="none" w:sz="0" w:space="0" w:color="auto"/>
                        <w:bottom w:val="none" w:sz="0" w:space="0" w:color="auto"/>
                        <w:right w:val="none" w:sz="0" w:space="0" w:color="auto"/>
                      </w:divBdr>
                    </w:div>
                    <w:div w:id="1755586923">
                      <w:marLeft w:val="0"/>
                      <w:marRight w:val="0"/>
                      <w:marTop w:val="0"/>
                      <w:marBottom w:val="0"/>
                      <w:divBdr>
                        <w:top w:val="none" w:sz="0" w:space="0" w:color="auto"/>
                        <w:left w:val="none" w:sz="0" w:space="0" w:color="auto"/>
                        <w:bottom w:val="none" w:sz="0" w:space="0" w:color="auto"/>
                        <w:right w:val="none" w:sz="0" w:space="0" w:color="auto"/>
                      </w:divBdr>
                    </w:div>
                    <w:div w:id="1906792144">
                      <w:marLeft w:val="0"/>
                      <w:marRight w:val="0"/>
                      <w:marTop w:val="0"/>
                      <w:marBottom w:val="0"/>
                      <w:divBdr>
                        <w:top w:val="none" w:sz="0" w:space="0" w:color="auto"/>
                        <w:left w:val="none" w:sz="0" w:space="0" w:color="auto"/>
                        <w:bottom w:val="none" w:sz="0" w:space="0" w:color="auto"/>
                        <w:right w:val="none" w:sz="0" w:space="0" w:color="auto"/>
                      </w:divBdr>
                    </w:div>
                    <w:div w:id="1978559812">
                      <w:marLeft w:val="0"/>
                      <w:marRight w:val="0"/>
                      <w:marTop w:val="0"/>
                      <w:marBottom w:val="0"/>
                      <w:divBdr>
                        <w:top w:val="none" w:sz="0" w:space="0" w:color="auto"/>
                        <w:left w:val="none" w:sz="0" w:space="0" w:color="auto"/>
                        <w:bottom w:val="none" w:sz="0" w:space="0" w:color="auto"/>
                        <w:right w:val="none" w:sz="0" w:space="0" w:color="auto"/>
                      </w:divBdr>
                    </w:div>
                    <w:div w:id="1996955988">
                      <w:marLeft w:val="0"/>
                      <w:marRight w:val="0"/>
                      <w:marTop w:val="0"/>
                      <w:marBottom w:val="0"/>
                      <w:divBdr>
                        <w:top w:val="none" w:sz="0" w:space="0" w:color="auto"/>
                        <w:left w:val="none" w:sz="0" w:space="0" w:color="auto"/>
                        <w:bottom w:val="none" w:sz="0" w:space="0" w:color="auto"/>
                        <w:right w:val="none" w:sz="0" w:space="0" w:color="auto"/>
                      </w:divBdr>
                    </w:div>
                  </w:divsChild>
                </w:div>
                <w:div w:id="1716195615">
                  <w:marLeft w:val="0"/>
                  <w:marRight w:val="0"/>
                  <w:marTop w:val="0"/>
                  <w:marBottom w:val="0"/>
                  <w:divBdr>
                    <w:top w:val="none" w:sz="0" w:space="0" w:color="auto"/>
                    <w:left w:val="none" w:sz="0" w:space="0" w:color="auto"/>
                    <w:bottom w:val="none" w:sz="0" w:space="0" w:color="auto"/>
                    <w:right w:val="none" w:sz="0" w:space="0" w:color="auto"/>
                  </w:divBdr>
                  <w:divsChild>
                    <w:div w:id="962150887">
                      <w:marLeft w:val="0"/>
                      <w:marRight w:val="0"/>
                      <w:marTop w:val="0"/>
                      <w:marBottom w:val="0"/>
                      <w:divBdr>
                        <w:top w:val="none" w:sz="0" w:space="0" w:color="auto"/>
                        <w:left w:val="none" w:sz="0" w:space="0" w:color="auto"/>
                        <w:bottom w:val="none" w:sz="0" w:space="0" w:color="auto"/>
                        <w:right w:val="none" w:sz="0" w:space="0" w:color="auto"/>
                      </w:divBdr>
                    </w:div>
                  </w:divsChild>
                </w:div>
                <w:div w:id="1731227412">
                  <w:marLeft w:val="0"/>
                  <w:marRight w:val="0"/>
                  <w:marTop w:val="0"/>
                  <w:marBottom w:val="0"/>
                  <w:divBdr>
                    <w:top w:val="none" w:sz="0" w:space="0" w:color="auto"/>
                    <w:left w:val="none" w:sz="0" w:space="0" w:color="auto"/>
                    <w:bottom w:val="none" w:sz="0" w:space="0" w:color="auto"/>
                    <w:right w:val="none" w:sz="0" w:space="0" w:color="auto"/>
                  </w:divBdr>
                  <w:divsChild>
                    <w:div w:id="908199012">
                      <w:marLeft w:val="0"/>
                      <w:marRight w:val="0"/>
                      <w:marTop w:val="0"/>
                      <w:marBottom w:val="0"/>
                      <w:divBdr>
                        <w:top w:val="none" w:sz="0" w:space="0" w:color="auto"/>
                        <w:left w:val="none" w:sz="0" w:space="0" w:color="auto"/>
                        <w:bottom w:val="none" w:sz="0" w:space="0" w:color="auto"/>
                        <w:right w:val="none" w:sz="0" w:space="0" w:color="auto"/>
                      </w:divBdr>
                    </w:div>
                  </w:divsChild>
                </w:div>
                <w:div w:id="1734545531">
                  <w:marLeft w:val="0"/>
                  <w:marRight w:val="0"/>
                  <w:marTop w:val="0"/>
                  <w:marBottom w:val="0"/>
                  <w:divBdr>
                    <w:top w:val="none" w:sz="0" w:space="0" w:color="auto"/>
                    <w:left w:val="none" w:sz="0" w:space="0" w:color="auto"/>
                    <w:bottom w:val="none" w:sz="0" w:space="0" w:color="auto"/>
                    <w:right w:val="none" w:sz="0" w:space="0" w:color="auto"/>
                  </w:divBdr>
                  <w:divsChild>
                    <w:div w:id="572930001">
                      <w:marLeft w:val="0"/>
                      <w:marRight w:val="0"/>
                      <w:marTop w:val="0"/>
                      <w:marBottom w:val="0"/>
                      <w:divBdr>
                        <w:top w:val="none" w:sz="0" w:space="0" w:color="auto"/>
                        <w:left w:val="none" w:sz="0" w:space="0" w:color="auto"/>
                        <w:bottom w:val="none" w:sz="0" w:space="0" w:color="auto"/>
                        <w:right w:val="none" w:sz="0" w:space="0" w:color="auto"/>
                      </w:divBdr>
                    </w:div>
                  </w:divsChild>
                </w:div>
                <w:div w:id="1747413739">
                  <w:marLeft w:val="0"/>
                  <w:marRight w:val="0"/>
                  <w:marTop w:val="0"/>
                  <w:marBottom w:val="0"/>
                  <w:divBdr>
                    <w:top w:val="none" w:sz="0" w:space="0" w:color="auto"/>
                    <w:left w:val="none" w:sz="0" w:space="0" w:color="auto"/>
                    <w:bottom w:val="none" w:sz="0" w:space="0" w:color="auto"/>
                    <w:right w:val="none" w:sz="0" w:space="0" w:color="auto"/>
                  </w:divBdr>
                  <w:divsChild>
                    <w:div w:id="30687112">
                      <w:marLeft w:val="0"/>
                      <w:marRight w:val="0"/>
                      <w:marTop w:val="0"/>
                      <w:marBottom w:val="0"/>
                      <w:divBdr>
                        <w:top w:val="none" w:sz="0" w:space="0" w:color="auto"/>
                        <w:left w:val="none" w:sz="0" w:space="0" w:color="auto"/>
                        <w:bottom w:val="none" w:sz="0" w:space="0" w:color="auto"/>
                        <w:right w:val="none" w:sz="0" w:space="0" w:color="auto"/>
                      </w:divBdr>
                    </w:div>
                  </w:divsChild>
                </w:div>
                <w:div w:id="1747460689">
                  <w:marLeft w:val="0"/>
                  <w:marRight w:val="0"/>
                  <w:marTop w:val="0"/>
                  <w:marBottom w:val="0"/>
                  <w:divBdr>
                    <w:top w:val="none" w:sz="0" w:space="0" w:color="auto"/>
                    <w:left w:val="none" w:sz="0" w:space="0" w:color="auto"/>
                    <w:bottom w:val="none" w:sz="0" w:space="0" w:color="auto"/>
                    <w:right w:val="none" w:sz="0" w:space="0" w:color="auto"/>
                  </w:divBdr>
                  <w:divsChild>
                    <w:div w:id="2144812346">
                      <w:marLeft w:val="0"/>
                      <w:marRight w:val="0"/>
                      <w:marTop w:val="0"/>
                      <w:marBottom w:val="0"/>
                      <w:divBdr>
                        <w:top w:val="none" w:sz="0" w:space="0" w:color="auto"/>
                        <w:left w:val="none" w:sz="0" w:space="0" w:color="auto"/>
                        <w:bottom w:val="none" w:sz="0" w:space="0" w:color="auto"/>
                        <w:right w:val="none" w:sz="0" w:space="0" w:color="auto"/>
                      </w:divBdr>
                    </w:div>
                  </w:divsChild>
                </w:div>
                <w:div w:id="1753114055">
                  <w:marLeft w:val="0"/>
                  <w:marRight w:val="0"/>
                  <w:marTop w:val="0"/>
                  <w:marBottom w:val="0"/>
                  <w:divBdr>
                    <w:top w:val="none" w:sz="0" w:space="0" w:color="auto"/>
                    <w:left w:val="none" w:sz="0" w:space="0" w:color="auto"/>
                    <w:bottom w:val="none" w:sz="0" w:space="0" w:color="auto"/>
                    <w:right w:val="none" w:sz="0" w:space="0" w:color="auto"/>
                  </w:divBdr>
                  <w:divsChild>
                    <w:div w:id="1673533935">
                      <w:marLeft w:val="0"/>
                      <w:marRight w:val="0"/>
                      <w:marTop w:val="0"/>
                      <w:marBottom w:val="0"/>
                      <w:divBdr>
                        <w:top w:val="none" w:sz="0" w:space="0" w:color="auto"/>
                        <w:left w:val="none" w:sz="0" w:space="0" w:color="auto"/>
                        <w:bottom w:val="none" w:sz="0" w:space="0" w:color="auto"/>
                        <w:right w:val="none" w:sz="0" w:space="0" w:color="auto"/>
                      </w:divBdr>
                    </w:div>
                  </w:divsChild>
                </w:div>
                <w:div w:id="1763257161">
                  <w:marLeft w:val="0"/>
                  <w:marRight w:val="0"/>
                  <w:marTop w:val="0"/>
                  <w:marBottom w:val="0"/>
                  <w:divBdr>
                    <w:top w:val="none" w:sz="0" w:space="0" w:color="auto"/>
                    <w:left w:val="none" w:sz="0" w:space="0" w:color="auto"/>
                    <w:bottom w:val="none" w:sz="0" w:space="0" w:color="auto"/>
                    <w:right w:val="none" w:sz="0" w:space="0" w:color="auto"/>
                  </w:divBdr>
                  <w:divsChild>
                    <w:div w:id="429203638">
                      <w:marLeft w:val="0"/>
                      <w:marRight w:val="0"/>
                      <w:marTop w:val="0"/>
                      <w:marBottom w:val="0"/>
                      <w:divBdr>
                        <w:top w:val="none" w:sz="0" w:space="0" w:color="auto"/>
                        <w:left w:val="none" w:sz="0" w:space="0" w:color="auto"/>
                        <w:bottom w:val="none" w:sz="0" w:space="0" w:color="auto"/>
                        <w:right w:val="none" w:sz="0" w:space="0" w:color="auto"/>
                      </w:divBdr>
                    </w:div>
                  </w:divsChild>
                </w:div>
                <w:div w:id="1763723449">
                  <w:marLeft w:val="0"/>
                  <w:marRight w:val="0"/>
                  <w:marTop w:val="0"/>
                  <w:marBottom w:val="0"/>
                  <w:divBdr>
                    <w:top w:val="none" w:sz="0" w:space="0" w:color="auto"/>
                    <w:left w:val="none" w:sz="0" w:space="0" w:color="auto"/>
                    <w:bottom w:val="none" w:sz="0" w:space="0" w:color="auto"/>
                    <w:right w:val="none" w:sz="0" w:space="0" w:color="auto"/>
                  </w:divBdr>
                  <w:divsChild>
                    <w:div w:id="91323050">
                      <w:marLeft w:val="0"/>
                      <w:marRight w:val="0"/>
                      <w:marTop w:val="0"/>
                      <w:marBottom w:val="0"/>
                      <w:divBdr>
                        <w:top w:val="none" w:sz="0" w:space="0" w:color="auto"/>
                        <w:left w:val="none" w:sz="0" w:space="0" w:color="auto"/>
                        <w:bottom w:val="none" w:sz="0" w:space="0" w:color="auto"/>
                        <w:right w:val="none" w:sz="0" w:space="0" w:color="auto"/>
                      </w:divBdr>
                    </w:div>
                  </w:divsChild>
                </w:div>
                <w:div w:id="1768497618">
                  <w:marLeft w:val="0"/>
                  <w:marRight w:val="0"/>
                  <w:marTop w:val="0"/>
                  <w:marBottom w:val="0"/>
                  <w:divBdr>
                    <w:top w:val="none" w:sz="0" w:space="0" w:color="auto"/>
                    <w:left w:val="none" w:sz="0" w:space="0" w:color="auto"/>
                    <w:bottom w:val="none" w:sz="0" w:space="0" w:color="auto"/>
                    <w:right w:val="none" w:sz="0" w:space="0" w:color="auto"/>
                  </w:divBdr>
                  <w:divsChild>
                    <w:div w:id="1068303957">
                      <w:marLeft w:val="0"/>
                      <w:marRight w:val="0"/>
                      <w:marTop w:val="0"/>
                      <w:marBottom w:val="0"/>
                      <w:divBdr>
                        <w:top w:val="none" w:sz="0" w:space="0" w:color="auto"/>
                        <w:left w:val="none" w:sz="0" w:space="0" w:color="auto"/>
                        <w:bottom w:val="none" w:sz="0" w:space="0" w:color="auto"/>
                        <w:right w:val="none" w:sz="0" w:space="0" w:color="auto"/>
                      </w:divBdr>
                    </w:div>
                  </w:divsChild>
                </w:div>
                <w:div w:id="1769302230">
                  <w:marLeft w:val="0"/>
                  <w:marRight w:val="0"/>
                  <w:marTop w:val="0"/>
                  <w:marBottom w:val="0"/>
                  <w:divBdr>
                    <w:top w:val="none" w:sz="0" w:space="0" w:color="auto"/>
                    <w:left w:val="none" w:sz="0" w:space="0" w:color="auto"/>
                    <w:bottom w:val="none" w:sz="0" w:space="0" w:color="auto"/>
                    <w:right w:val="none" w:sz="0" w:space="0" w:color="auto"/>
                  </w:divBdr>
                  <w:divsChild>
                    <w:div w:id="1827820089">
                      <w:marLeft w:val="0"/>
                      <w:marRight w:val="0"/>
                      <w:marTop w:val="0"/>
                      <w:marBottom w:val="0"/>
                      <w:divBdr>
                        <w:top w:val="none" w:sz="0" w:space="0" w:color="auto"/>
                        <w:left w:val="none" w:sz="0" w:space="0" w:color="auto"/>
                        <w:bottom w:val="none" w:sz="0" w:space="0" w:color="auto"/>
                        <w:right w:val="none" w:sz="0" w:space="0" w:color="auto"/>
                      </w:divBdr>
                    </w:div>
                  </w:divsChild>
                </w:div>
                <w:div w:id="1781295884">
                  <w:marLeft w:val="0"/>
                  <w:marRight w:val="0"/>
                  <w:marTop w:val="0"/>
                  <w:marBottom w:val="0"/>
                  <w:divBdr>
                    <w:top w:val="none" w:sz="0" w:space="0" w:color="auto"/>
                    <w:left w:val="none" w:sz="0" w:space="0" w:color="auto"/>
                    <w:bottom w:val="none" w:sz="0" w:space="0" w:color="auto"/>
                    <w:right w:val="none" w:sz="0" w:space="0" w:color="auto"/>
                  </w:divBdr>
                  <w:divsChild>
                    <w:div w:id="582102886">
                      <w:marLeft w:val="0"/>
                      <w:marRight w:val="0"/>
                      <w:marTop w:val="0"/>
                      <w:marBottom w:val="0"/>
                      <w:divBdr>
                        <w:top w:val="none" w:sz="0" w:space="0" w:color="auto"/>
                        <w:left w:val="none" w:sz="0" w:space="0" w:color="auto"/>
                        <w:bottom w:val="none" w:sz="0" w:space="0" w:color="auto"/>
                        <w:right w:val="none" w:sz="0" w:space="0" w:color="auto"/>
                      </w:divBdr>
                    </w:div>
                  </w:divsChild>
                </w:div>
                <w:div w:id="1781989577">
                  <w:marLeft w:val="0"/>
                  <w:marRight w:val="0"/>
                  <w:marTop w:val="0"/>
                  <w:marBottom w:val="0"/>
                  <w:divBdr>
                    <w:top w:val="none" w:sz="0" w:space="0" w:color="auto"/>
                    <w:left w:val="none" w:sz="0" w:space="0" w:color="auto"/>
                    <w:bottom w:val="none" w:sz="0" w:space="0" w:color="auto"/>
                    <w:right w:val="none" w:sz="0" w:space="0" w:color="auto"/>
                  </w:divBdr>
                  <w:divsChild>
                    <w:div w:id="468481505">
                      <w:marLeft w:val="0"/>
                      <w:marRight w:val="0"/>
                      <w:marTop w:val="0"/>
                      <w:marBottom w:val="0"/>
                      <w:divBdr>
                        <w:top w:val="none" w:sz="0" w:space="0" w:color="auto"/>
                        <w:left w:val="none" w:sz="0" w:space="0" w:color="auto"/>
                        <w:bottom w:val="none" w:sz="0" w:space="0" w:color="auto"/>
                        <w:right w:val="none" w:sz="0" w:space="0" w:color="auto"/>
                      </w:divBdr>
                    </w:div>
                  </w:divsChild>
                </w:div>
                <w:div w:id="1786657517">
                  <w:marLeft w:val="0"/>
                  <w:marRight w:val="0"/>
                  <w:marTop w:val="0"/>
                  <w:marBottom w:val="0"/>
                  <w:divBdr>
                    <w:top w:val="none" w:sz="0" w:space="0" w:color="auto"/>
                    <w:left w:val="none" w:sz="0" w:space="0" w:color="auto"/>
                    <w:bottom w:val="none" w:sz="0" w:space="0" w:color="auto"/>
                    <w:right w:val="none" w:sz="0" w:space="0" w:color="auto"/>
                  </w:divBdr>
                  <w:divsChild>
                    <w:div w:id="1898130671">
                      <w:marLeft w:val="0"/>
                      <w:marRight w:val="0"/>
                      <w:marTop w:val="0"/>
                      <w:marBottom w:val="0"/>
                      <w:divBdr>
                        <w:top w:val="none" w:sz="0" w:space="0" w:color="auto"/>
                        <w:left w:val="none" w:sz="0" w:space="0" w:color="auto"/>
                        <w:bottom w:val="none" w:sz="0" w:space="0" w:color="auto"/>
                        <w:right w:val="none" w:sz="0" w:space="0" w:color="auto"/>
                      </w:divBdr>
                    </w:div>
                  </w:divsChild>
                </w:div>
                <w:div w:id="1792168868">
                  <w:marLeft w:val="0"/>
                  <w:marRight w:val="0"/>
                  <w:marTop w:val="0"/>
                  <w:marBottom w:val="0"/>
                  <w:divBdr>
                    <w:top w:val="none" w:sz="0" w:space="0" w:color="auto"/>
                    <w:left w:val="none" w:sz="0" w:space="0" w:color="auto"/>
                    <w:bottom w:val="none" w:sz="0" w:space="0" w:color="auto"/>
                    <w:right w:val="none" w:sz="0" w:space="0" w:color="auto"/>
                  </w:divBdr>
                  <w:divsChild>
                    <w:div w:id="27873041">
                      <w:marLeft w:val="0"/>
                      <w:marRight w:val="0"/>
                      <w:marTop w:val="0"/>
                      <w:marBottom w:val="0"/>
                      <w:divBdr>
                        <w:top w:val="none" w:sz="0" w:space="0" w:color="auto"/>
                        <w:left w:val="none" w:sz="0" w:space="0" w:color="auto"/>
                        <w:bottom w:val="none" w:sz="0" w:space="0" w:color="auto"/>
                        <w:right w:val="none" w:sz="0" w:space="0" w:color="auto"/>
                      </w:divBdr>
                    </w:div>
                    <w:div w:id="30307482">
                      <w:marLeft w:val="0"/>
                      <w:marRight w:val="0"/>
                      <w:marTop w:val="0"/>
                      <w:marBottom w:val="0"/>
                      <w:divBdr>
                        <w:top w:val="none" w:sz="0" w:space="0" w:color="auto"/>
                        <w:left w:val="none" w:sz="0" w:space="0" w:color="auto"/>
                        <w:bottom w:val="none" w:sz="0" w:space="0" w:color="auto"/>
                        <w:right w:val="none" w:sz="0" w:space="0" w:color="auto"/>
                      </w:divBdr>
                    </w:div>
                    <w:div w:id="156851449">
                      <w:marLeft w:val="0"/>
                      <w:marRight w:val="0"/>
                      <w:marTop w:val="0"/>
                      <w:marBottom w:val="0"/>
                      <w:divBdr>
                        <w:top w:val="none" w:sz="0" w:space="0" w:color="auto"/>
                        <w:left w:val="none" w:sz="0" w:space="0" w:color="auto"/>
                        <w:bottom w:val="none" w:sz="0" w:space="0" w:color="auto"/>
                        <w:right w:val="none" w:sz="0" w:space="0" w:color="auto"/>
                      </w:divBdr>
                    </w:div>
                    <w:div w:id="263072516">
                      <w:marLeft w:val="0"/>
                      <w:marRight w:val="0"/>
                      <w:marTop w:val="0"/>
                      <w:marBottom w:val="0"/>
                      <w:divBdr>
                        <w:top w:val="none" w:sz="0" w:space="0" w:color="auto"/>
                        <w:left w:val="none" w:sz="0" w:space="0" w:color="auto"/>
                        <w:bottom w:val="none" w:sz="0" w:space="0" w:color="auto"/>
                        <w:right w:val="none" w:sz="0" w:space="0" w:color="auto"/>
                      </w:divBdr>
                    </w:div>
                    <w:div w:id="502549138">
                      <w:marLeft w:val="0"/>
                      <w:marRight w:val="0"/>
                      <w:marTop w:val="0"/>
                      <w:marBottom w:val="0"/>
                      <w:divBdr>
                        <w:top w:val="none" w:sz="0" w:space="0" w:color="auto"/>
                        <w:left w:val="none" w:sz="0" w:space="0" w:color="auto"/>
                        <w:bottom w:val="none" w:sz="0" w:space="0" w:color="auto"/>
                        <w:right w:val="none" w:sz="0" w:space="0" w:color="auto"/>
                      </w:divBdr>
                    </w:div>
                    <w:div w:id="775713030">
                      <w:marLeft w:val="0"/>
                      <w:marRight w:val="0"/>
                      <w:marTop w:val="0"/>
                      <w:marBottom w:val="0"/>
                      <w:divBdr>
                        <w:top w:val="none" w:sz="0" w:space="0" w:color="auto"/>
                        <w:left w:val="none" w:sz="0" w:space="0" w:color="auto"/>
                        <w:bottom w:val="none" w:sz="0" w:space="0" w:color="auto"/>
                        <w:right w:val="none" w:sz="0" w:space="0" w:color="auto"/>
                      </w:divBdr>
                    </w:div>
                    <w:div w:id="1116944677">
                      <w:marLeft w:val="0"/>
                      <w:marRight w:val="0"/>
                      <w:marTop w:val="0"/>
                      <w:marBottom w:val="0"/>
                      <w:divBdr>
                        <w:top w:val="none" w:sz="0" w:space="0" w:color="auto"/>
                        <w:left w:val="none" w:sz="0" w:space="0" w:color="auto"/>
                        <w:bottom w:val="none" w:sz="0" w:space="0" w:color="auto"/>
                        <w:right w:val="none" w:sz="0" w:space="0" w:color="auto"/>
                      </w:divBdr>
                    </w:div>
                    <w:div w:id="1287198022">
                      <w:marLeft w:val="0"/>
                      <w:marRight w:val="0"/>
                      <w:marTop w:val="0"/>
                      <w:marBottom w:val="0"/>
                      <w:divBdr>
                        <w:top w:val="none" w:sz="0" w:space="0" w:color="auto"/>
                        <w:left w:val="none" w:sz="0" w:space="0" w:color="auto"/>
                        <w:bottom w:val="none" w:sz="0" w:space="0" w:color="auto"/>
                        <w:right w:val="none" w:sz="0" w:space="0" w:color="auto"/>
                      </w:divBdr>
                    </w:div>
                    <w:div w:id="1397435954">
                      <w:marLeft w:val="0"/>
                      <w:marRight w:val="0"/>
                      <w:marTop w:val="0"/>
                      <w:marBottom w:val="0"/>
                      <w:divBdr>
                        <w:top w:val="none" w:sz="0" w:space="0" w:color="auto"/>
                        <w:left w:val="none" w:sz="0" w:space="0" w:color="auto"/>
                        <w:bottom w:val="none" w:sz="0" w:space="0" w:color="auto"/>
                        <w:right w:val="none" w:sz="0" w:space="0" w:color="auto"/>
                      </w:divBdr>
                    </w:div>
                    <w:div w:id="1403060584">
                      <w:marLeft w:val="0"/>
                      <w:marRight w:val="0"/>
                      <w:marTop w:val="0"/>
                      <w:marBottom w:val="0"/>
                      <w:divBdr>
                        <w:top w:val="none" w:sz="0" w:space="0" w:color="auto"/>
                        <w:left w:val="none" w:sz="0" w:space="0" w:color="auto"/>
                        <w:bottom w:val="none" w:sz="0" w:space="0" w:color="auto"/>
                        <w:right w:val="none" w:sz="0" w:space="0" w:color="auto"/>
                      </w:divBdr>
                    </w:div>
                    <w:div w:id="1469084913">
                      <w:marLeft w:val="0"/>
                      <w:marRight w:val="0"/>
                      <w:marTop w:val="0"/>
                      <w:marBottom w:val="0"/>
                      <w:divBdr>
                        <w:top w:val="none" w:sz="0" w:space="0" w:color="auto"/>
                        <w:left w:val="none" w:sz="0" w:space="0" w:color="auto"/>
                        <w:bottom w:val="none" w:sz="0" w:space="0" w:color="auto"/>
                        <w:right w:val="none" w:sz="0" w:space="0" w:color="auto"/>
                      </w:divBdr>
                    </w:div>
                    <w:div w:id="1687171264">
                      <w:marLeft w:val="0"/>
                      <w:marRight w:val="0"/>
                      <w:marTop w:val="0"/>
                      <w:marBottom w:val="0"/>
                      <w:divBdr>
                        <w:top w:val="none" w:sz="0" w:space="0" w:color="auto"/>
                        <w:left w:val="none" w:sz="0" w:space="0" w:color="auto"/>
                        <w:bottom w:val="none" w:sz="0" w:space="0" w:color="auto"/>
                        <w:right w:val="none" w:sz="0" w:space="0" w:color="auto"/>
                      </w:divBdr>
                    </w:div>
                    <w:div w:id="1742021262">
                      <w:marLeft w:val="0"/>
                      <w:marRight w:val="0"/>
                      <w:marTop w:val="0"/>
                      <w:marBottom w:val="0"/>
                      <w:divBdr>
                        <w:top w:val="none" w:sz="0" w:space="0" w:color="auto"/>
                        <w:left w:val="none" w:sz="0" w:space="0" w:color="auto"/>
                        <w:bottom w:val="none" w:sz="0" w:space="0" w:color="auto"/>
                        <w:right w:val="none" w:sz="0" w:space="0" w:color="auto"/>
                      </w:divBdr>
                    </w:div>
                  </w:divsChild>
                </w:div>
                <w:div w:id="1805077689">
                  <w:marLeft w:val="0"/>
                  <w:marRight w:val="0"/>
                  <w:marTop w:val="0"/>
                  <w:marBottom w:val="0"/>
                  <w:divBdr>
                    <w:top w:val="none" w:sz="0" w:space="0" w:color="auto"/>
                    <w:left w:val="none" w:sz="0" w:space="0" w:color="auto"/>
                    <w:bottom w:val="none" w:sz="0" w:space="0" w:color="auto"/>
                    <w:right w:val="none" w:sz="0" w:space="0" w:color="auto"/>
                  </w:divBdr>
                  <w:divsChild>
                    <w:div w:id="1747190530">
                      <w:marLeft w:val="0"/>
                      <w:marRight w:val="0"/>
                      <w:marTop w:val="0"/>
                      <w:marBottom w:val="0"/>
                      <w:divBdr>
                        <w:top w:val="none" w:sz="0" w:space="0" w:color="auto"/>
                        <w:left w:val="none" w:sz="0" w:space="0" w:color="auto"/>
                        <w:bottom w:val="none" w:sz="0" w:space="0" w:color="auto"/>
                        <w:right w:val="none" w:sz="0" w:space="0" w:color="auto"/>
                      </w:divBdr>
                    </w:div>
                  </w:divsChild>
                </w:div>
                <w:div w:id="1811940798">
                  <w:marLeft w:val="0"/>
                  <w:marRight w:val="0"/>
                  <w:marTop w:val="0"/>
                  <w:marBottom w:val="0"/>
                  <w:divBdr>
                    <w:top w:val="none" w:sz="0" w:space="0" w:color="auto"/>
                    <w:left w:val="none" w:sz="0" w:space="0" w:color="auto"/>
                    <w:bottom w:val="none" w:sz="0" w:space="0" w:color="auto"/>
                    <w:right w:val="none" w:sz="0" w:space="0" w:color="auto"/>
                  </w:divBdr>
                  <w:divsChild>
                    <w:div w:id="843669243">
                      <w:marLeft w:val="0"/>
                      <w:marRight w:val="0"/>
                      <w:marTop w:val="0"/>
                      <w:marBottom w:val="0"/>
                      <w:divBdr>
                        <w:top w:val="none" w:sz="0" w:space="0" w:color="auto"/>
                        <w:left w:val="none" w:sz="0" w:space="0" w:color="auto"/>
                        <w:bottom w:val="none" w:sz="0" w:space="0" w:color="auto"/>
                        <w:right w:val="none" w:sz="0" w:space="0" w:color="auto"/>
                      </w:divBdr>
                    </w:div>
                  </w:divsChild>
                </w:div>
                <w:div w:id="1814373261">
                  <w:marLeft w:val="0"/>
                  <w:marRight w:val="0"/>
                  <w:marTop w:val="0"/>
                  <w:marBottom w:val="0"/>
                  <w:divBdr>
                    <w:top w:val="none" w:sz="0" w:space="0" w:color="auto"/>
                    <w:left w:val="none" w:sz="0" w:space="0" w:color="auto"/>
                    <w:bottom w:val="none" w:sz="0" w:space="0" w:color="auto"/>
                    <w:right w:val="none" w:sz="0" w:space="0" w:color="auto"/>
                  </w:divBdr>
                  <w:divsChild>
                    <w:div w:id="734085831">
                      <w:marLeft w:val="0"/>
                      <w:marRight w:val="0"/>
                      <w:marTop w:val="0"/>
                      <w:marBottom w:val="0"/>
                      <w:divBdr>
                        <w:top w:val="none" w:sz="0" w:space="0" w:color="auto"/>
                        <w:left w:val="none" w:sz="0" w:space="0" w:color="auto"/>
                        <w:bottom w:val="none" w:sz="0" w:space="0" w:color="auto"/>
                        <w:right w:val="none" w:sz="0" w:space="0" w:color="auto"/>
                      </w:divBdr>
                    </w:div>
                  </w:divsChild>
                </w:div>
                <w:div w:id="1815295532">
                  <w:marLeft w:val="0"/>
                  <w:marRight w:val="0"/>
                  <w:marTop w:val="0"/>
                  <w:marBottom w:val="0"/>
                  <w:divBdr>
                    <w:top w:val="none" w:sz="0" w:space="0" w:color="auto"/>
                    <w:left w:val="none" w:sz="0" w:space="0" w:color="auto"/>
                    <w:bottom w:val="none" w:sz="0" w:space="0" w:color="auto"/>
                    <w:right w:val="none" w:sz="0" w:space="0" w:color="auto"/>
                  </w:divBdr>
                  <w:divsChild>
                    <w:div w:id="1676569490">
                      <w:marLeft w:val="0"/>
                      <w:marRight w:val="0"/>
                      <w:marTop w:val="0"/>
                      <w:marBottom w:val="0"/>
                      <w:divBdr>
                        <w:top w:val="none" w:sz="0" w:space="0" w:color="auto"/>
                        <w:left w:val="none" w:sz="0" w:space="0" w:color="auto"/>
                        <w:bottom w:val="none" w:sz="0" w:space="0" w:color="auto"/>
                        <w:right w:val="none" w:sz="0" w:space="0" w:color="auto"/>
                      </w:divBdr>
                    </w:div>
                  </w:divsChild>
                </w:div>
                <w:div w:id="1820341276">
                  <w:marLeft w:val="0"/>
                  <w:marRight w:val="0"/>
                  <w:marTop w:val="0"/>
                  <w:marBottom w:val="0"/>
                  <w:divBdr>
                    <w:top w:val="none" w:sz="0" w:space="0" w:color="auto"/>
                    <w:left w:val="none" w:sz="0" w:space="0" w:color="auto"/>
                    <w:bottom w:val="none" w:sz="0" w:space="0" w:color="auto"/>
                    <w:right w:val="none" w:sz="0" w:space="0" w:color="auto"/>
                  </w:divBdr>
                  <w:divsChild>
                    <w:div w:id="1247685761">
                      <w:marLeft w:val="0"/>
                      <w:marRight w:val="0"/>
                      <w:marTop w:val="0"/>
                      <w:marBottom w:val="0"/>
                      <w:divBdr>
                        <w:top w:val="none" w:sz="0" w:space="0" w:color="auto"/>
                        <w:left w:val="none" w:sz="0" w:space="0" w:color="auto"/>
                        <w:bottom w:val="none" w:sz="0" w:space="0" w:color="auto"/>
                        <w:right w:val="none" w:sz="0" w:space="0" w:color="auto"/>
                      </w:divBdr>
                    </w:div>
                  </w:divsChild>
                </w:div>
                <w:div w:id="1821994481">
                  <w:marLeft w:val="0"/>
                  <w:marRight w:val="0"/>
                  <w:marTop w:val="0"/>
                  <w:marBottom w:val="0"/>
                  <w:divBdr>
                    <w:top w:val="none" w:sz="0" w:space="0" w:color="auto"/>
                    <w:left w:val="none" w:sz="0" w:space="0" w:color="auto"/>
                    <w:bottom w:val="none" w:sz="0" w:space="0" w:color="auto"/>
                    <w:right w:val="none" w:sz="0" w:space="0" w:color="auto"/>
                  </w:divBdr>
                  <w:divsChild>
                    <w:div w:id="2070496827">
                      <w:marLeft w:val="0"/>
                      <w:marRight w:val="0"/>
                      <w:marTop w:val="0"/>
                      <w:marBottom w:val="0"/>
                      <w:divBdr>
                        <w:top w:val="none" w:sz="0" w:space="0" w:color="auto"/>
                        <w:left w:val="none" w:sz="0" w:space="0" w:color="auto"/>
                        <w:bottom w:val="none" w:sz="0" w:space="0" w:color="auto"/>
                        <w:right w:val="none" w:sz="0" w:space="0" w:color="auto"/>
                      </w:divBdr>
                    </w:div>
                  </w:divsChild>
                </w:div>
                <w:div w:id="1823620251">
                  <w:marLeft w:val="0"/>
                  <w:marRight w:val="0"/>
                  <w:marTop w:val="0"/>
                  <w:marBottom w:val="0"/>
                  <w:divBdr>
                    <w:top w:val="none" w:sz="0" w:space="0" w:color="auto"/>
                    <w:left w:val="none" w:sz="0" w:space="0" w:color="auto"/>
                    <w:bottom w:val="none" w:sz="0" w:space="0" w:color="auto"/>
                    <w:right w:val="none" w:sz="0" w:space="0" w:color="auto"/>
                  </w:divBdr>
                  <w:divsChild>
                    <w:div w:id="1737508375">
                      <w:marLeft w:val="0"/>
                      <w:marRight w:val="0"/>
                      <w:marTop w:val="0"/>
                      <w:marBottom w:val="0"/>
                      <w:divBdr>
                        <w:top w:val="none" w:sz="0" w:space="0" w:color="auto"/>
                        <w:left w:val="none" w:sz="0" w:space="0" w:color="auto"/>
                        <w:bottom w:val="none" w:sz="0" w:space="0" w:color="auto"/>
                        <w:right w:val="none" w:sz="0" w:space="0" w:color="auto"/>
                      </w:divBdr>
                    </w:div>
                  </w:divsChild>
                </w:div>
                <w:div w:id="1825968468">
                  <w:marLeft w:val="0"/>
                  <w:marRight w:val="0"/>
                  <w:marTop w:val="0"/>
                  <w:marBottom w:val="0"/>
                  <w:divBdr>
                    <w:top w:val="none" w:sz="0" w:space="0" w:color="auto"/>
                    <w:left w:val="none" w:sz="0" w:space="0" w:color="auto"/>
                    <w:bottom w:val="none" w:sz="0" w:space="0" w:color="auto"/>
                    <w:right w:val="none" w:sz="0" w:space="0" w:color="auto"/>
                  </w:divBdr>
                  <w:divsChild>
                    <w:div w:id="239487875">
                      <w:marLeft w:val="0"/>
                      <w:marRight w:val="0"/>
                      <w:marTop w:val="0"/>
                      <w:marBottom w:val="0"/>
                      <w:divBdr>
                        <w:top w:val="none" w:sz="0" w:space="0" w:color="auto"/>
                        <w:left w:val="none" w:sz="0" w:space="0" w:color="auto"/>
                        <w:bottom w:val="none" w:sz="0" w:space="0" w:color="auto"/>
                        <w:right w:val="none" w:sz="0" w:space="0" w:color="auto"/>
                      </w:divBdr>
                    </w:div>
                  </w:divsChild>
                </w:div>
                <w:div w:id="1837838511">
                  <w:marLeft w:val="0"/>
                  <w:marRight w:val="0"/>
                  <w:marTop w:val="0"/>
                  <w:marBottom w:val="0"/>
                  <w:divBdr>
                    <w:top w:val="none" w:sz="0" w:space="0" w:color="auto"/>
                    <w:left w:val="none" w:sz="0" w:space="0" w:color="auto"/>
                    <w:bottom w:val="none" w:sz="0" w:space="0" w:color="auto"/>
                    <w:right w:val="none" w:sz="0" w:space="0" w:color="auto"/>
                  </w:divBdr>
                  <w:divsChild>
                    <w:div w:id="1121145671">
                      <w:marLeft w:val="0"/>
                      <w:marRight w:val="0"/>
                      <w:marTop w:val="0"/>
                      <w:marBottom w:val="0"/>
                      <w:divBdr>
                        <w:top w:val="none" w:sz="0" w:space="0" w:color="auto"/>
                        <w:left w:val="none" w:sz="0" w:space="0" w:color="auto"/>
                        <w:bottom w:val="none" w:sz="0" w:space="0" w:color="auto"/>
                        <w:right w:val="none" w:sz="0" w:space="0" w:color="auto"/>
                      </w:divBdr>
                    </w:div>
                  </w:divsChild>
                </w:div>
                <w:div w:id="1838960193">
                  <w:marLeft w:val="0"/>
                  <w:marRight w:val="0"/>
                  <w:marTop w:val="0"/>
                  <w:marBottom w:val="0"/>
                  <w:divBdr>
                    <w:top w:val="none" w:sz="0" w:space="0" w:color="auto"/>
                    <w:left w:val="none" w:sz="0" w:space="0" w:color="auto"/>
                    <w:bottom w:val="none" w:sz="0" w:space="0" w:color="auto"/>
                    <w:right w:val="none" w:sz="0" w:space="0" w:color="auto"/>
                  </w:divBdr>
                  <w:divsChild>
                    <w:div w:id="839393295">
                      <w:marLeft w:val="0"/>
                      <w:marRight w:val="0"/>
                      <w:marTop w:val="0"/>
                      <w:marBottom w:val="0"/>
                      <w:divBdr>
                        <w:top w:val="none" w:sz="0" w:space="0" w:color="auto"/>
                        <w:left w:val="none" w:sz="0" w:space="0" w:color="auto"/>
                        <w:bottom w:val="none" w:sz="0" w:space="0" w:color="auto"/>
                        <w:right w:val="none" w:sz="0" w:space="0" w:color="auto"/>
                      </w:divBdr>
                    </w:div>
                  </w:divsChild>
                </w:div>
                <w:div w:id="1847860925">
                  <w:marLeft w:val="0"/>
                  <w:marRight w:val="0"/>
                  <w:marTop w:val="0"/>
                  <w:marBottom w:val="0"/>
                  <w:divBdr>
                    <w:top w:val="none" w:sz="0" w:space="0" w:color="auto"/>
                    <w:left w:val="none" w:sz="0" w:space="0" w:color="auto"/>
                    <w:bottom w:val="none" w:sz="0" w:space="0" w:color="auto"/>
                    <w:right w:val="none" w:sz="0" w:space="0" w:color="auto"/>
                  </w:divBdr>
                  <w:divsChild>
                    <w:div w:id="1753891721">
                      <w:marLeft w:val="0"/>
                      <w:marRight w:val="0"/>
                      <w:marTop w:val="0"/>
                      <w:marBottom w:val="0"/>
                      <w:divBdr>
                        <w:top w:val="none" w:sz="0" w:space="0" w:color="auto"/>
                        <w:left w:val="none" w:sz="0" w:space="0" w:color="auto"/>
                        <w:bottom w:val="none" w:sz="0" w:space="0" w:color="auto"/>
                        <w:right w:val="none" w:sz="0" w:space="0" w:color="auto"/>
                      </w:divBdr>
                    </w:div>
                  </w:divsChild>
                </w:div>
                <w:div w:id="1854302346">
                  <w:marLeft w:val="0"/>
                  <w:marRight w:val="0"/>
                  <w:marTop w:val="0"/>
                  <w:marBottom w:val="0"/>
                  <w:divBdr>
                    <w:top w:val="none" w:sz="0" w:space="0" w:color="auto"/>
                    <w:left w:val="none" w:sz="0" w:space="0" w:color="auto"/>
                    <w:bottom w:val="none" w:sz="0" w:space="0" w:color="auto"/>
                    <w:right w:val="none" w:sz="0" w:space="0" w:color="auto"/>
                  </w:divBdr>
                  <w:divsChild>
                    <w:div w:id="2083022047">
                      <w:marLeft w:val="0"/>
                      <w:marRight w:val="0"/>
                      <w:marTop w:val="0"/>
                      <w:marBottom w:val="0"/>
                      <w:divBdr>
                        <w:top w:val="none" w:sz="0" w:space="0" w:color="auto"/>
                        <w:left w:val="none" w:sz="0" w:space="0" w:color="auto"/>
                        <w:bottom w:val="none" w:sz="0" w:space="0" w:color="auto"/>
                        <w:right w:val="none" w:sz="0" w:space="0" w:color="auto"/>
                      </w:divBdr>
                    </w:div>
                  </w:divsChild>
                </w:div>
                <w:div w:id="1862232648">
                  <w:marLeft w:val="0"/>
                  <w:marRight w:val="0"/>
                  <w:marTop w:val="0"/>
                  <w:marBottom w:val="0"/>
                  <w:divBdr>
                    <w:top w:val="none" w:sz="0" w:space="0" w:color="auto"/>
                    <w:left w:val="none" w:sz="0" w:space="0" w:color="auto"/>
                    <w:bottom w:val="none" w:sz="0" w:space="0" w:color="auto"/>
                    <w:right w:val="none" w:sz="0" w:space="0" w:color="auto"/>
                  </w:divBdr>
                  <w:divsChild>
                    <w:div w:id="1063142077">
                      <w:marLeft w:val="0"/>
                      <w:marRight w:val="0"/>
                      <w:marTop w:val="0"/>
                      <w:marBottom w:val="0"/>
                      <w:divBdr>
                        <w:top w:val="none" w:sz="0" w:space="0" w:color="auto"/>
                        <w:left w:val="none" w:sz="0" w:space="0" w:color="auto"/>
                        <w:bottom w:val="none" w:sz="0" w:space="0" w:color="auto"/>
                        <w:right w:val="none" w:sz="0" w:space="0" w:color="auto"/>
                      </w:divBdr>
                    </w:div>
                  </w:divsChild>
                </w:div>
                <w:div w:id="1865484636">
                  <w:marLeft w:val="0"/>
                  <w:marRight w:val="0"/>
                  <w:marTop w:val="0"/>
                  <w:marBottom w:val="0"/>
                  <w:divBdr>
                    <w:top w:val="none" w:sz="0" w:space="0" w:color="auto"/>
                    <w:left w:val="none" w:sz="0" w:space="0" w:color="auto"/>
                    <w:bottom w:val="none" w:sz="0" w:space="0" w:color="auto"/>
                    <w:right w:val="none" w:sz="0" w:space="0" w:color="auto"/>
                  </w:divBdr>
                  <w:divsChild>
                    <w:div w:id="573974110">
                      <w:marLeft w:val="0"/>
                      <w:marRight w:val="0"/>
                      <w:marTop w:val="0"/>
                      <w:marBottom w:val="0"/>
                      <w:divBdr>
                        <w:top w:val="none" w:sz="0" w:space="0" w:color="auto"/>
                        <w:left w:val="none" w:sz="0" w:space="0" w:color="auto"/>
                        <w:bottom w:val="none" w:sz="0" w:space="0" w:color="auto"/>
                        <w:right w:val="none" w:sz="0" w:space="0" w:color="auto"/>
                      </w:divBdr>
                    </w:div>
                  </w:divsChild>
                </w:div>
                <w:div w:id="1873759116">
                  <w:marLeft w:val="0"/>
                  <w:marRight w:val="0"/>
                  <w:marTop w:val="0"/>
                  <w:marBottom w:val="0"/>
                  <w:divBdr>
                    <w:top w:val="none" w:sz="0" w:space="0" w:color="auto"/>
                    <w:left w:val="none" w:sz="0" w:space="0" w:color="auto"/>
                    <w:bottom w:val="none" w:sz="0" w:space="0" w:color="auto"/>
                    <w:right w:val="none" w:sz="0" w:space="0" w:color="auto"/>
                  </w:divBdr>
                  <w:divsChild>
                    <w:div w:id="735280910">
                      <w:marLeft w:val="0"/>
                      <w:marRight w:val="0"/>
                      <w:marTop w:val="0"/>
                      <w:marBottom w:val="0"/>
                      <w:divBdr>
                        <w:top w:val="none" w:sz="0" w:space="0" w:color="auto"/>
                        <w:left w:val="none" w:sz="0" w:space="0" w:color="auto"/>
                        <w:bottom w:val="none" w:sz="0" w:space="0" w:color="auto"/>
                        <w:right w:val="none" w:sz="0" w:space="0" w:color="auto"/>
                      </w:divBdr>
                    </w:div>
                  </w:divsChild>
                </w:div>
                <w:div w:id="1879662942">
                  <w:marLeft w:val="0"/>
                  <w:marRight w:val="0"/>
                  <w:marTop w:val="0"/>
                  <w:marBottom w:val="0"/>
                  <w:divBdr>
                    <w:top w:val="none" w:sz="0" w:space="0" w:color="auto"/>
                    <w:left w:val="none" w:sz="0" w:space="0" w:color="auto"/>
                    <w:bottom w:val="none" w:sz="0" w:space="0" w:color="auto"/>
                    <w:right w:val="none" w:sz="0" w:space="0" w:color="auto"/>
                  </w:divBdr>
                  <w:divsChild>
                    <w:div w:id="497621994">
                      <w:marLeft w:val="0"/>
                      <w:marRight w:val="0"/>
                      <w:marTop w:val="0"/>
                      <w:marBottom w:val="0"/>
                      <w:divBdr>
                        <w:top w:val="none" w:sz="0" w:space="0" w:color="auto"/>
                        <w:left w:val="none" w:sz="0" w:space="0" w:color="auto"/>
                        <w:bottom w:val="none" w:sz="0" w:space="0" w:color="auto"/>
                        <w:right w:val="none" w:sz="0" w:space="0" w:color="auto"/>
                      </w:divBdr>
                    </w:div>
                  </w:divsChild>
                </w:div>
                <w:div w:id="1888057869">
                  <w:marLeft w:val="0"/>
                  <w:marRight w:val="0"/>
                  <w:marTop w:val="0"/>
                  <w:marBottom w:val="0"/>
                  <w:divBdr>
                    <w:top w:val="none" w:sz="0" w:space="0" w:color="auto"/>
                    <w:left w:val="none" w:sz="0" w:space="0" w:color="auto"/>
                    <w:bottom w:val="none" w:sz="0" w:space="0" w:color="auto"/>
                    <w:right w:val="none" w:sz="0" w:space="0" w:color="auto"/>
                  </w:divBdr>
                  <w:divsChild>
                    <w:div w:id="885796693">
                      <w:marLeft w:val="0"/>
                      <w:marRight w:val="0"/>
                      <w:marTop w:val="0"/>
                      <w:marBottom w:val="0"/>
                      <w:divBdr>
                        <w:top w:val="none" w:sz="0" w:space="0" w:color="auto"/>
                        <w:left w:val="none" w:sz="0" w:space="0" w:color="auto"/>
                        <w:bottom w:val="none" w:sz="0" w:space="0" w:color="auto"/>
                        <w:right w:val="none" w:sz="0" w:space="0" w:color="auto"/>
                      </w:divBdr>
                    </w:div>
                  </w:divsChild>
                </w:div>
                <w:div w:id="1911694728">
                  <w:marLeft w:val="0"/>
                  <w:marRight w:val="0"/>
                  <w:marTop w:val="0"/>
                  <w:marBottom w:val="0"/>
                  <w:divBdr>
                    <w:top w:val="none" w:sz="0" w:space="0" w:color="auto"/>
                    <w:left w:val="none" w:sz="0" w:space="0" w:color="auto"/>
                    <w:bottom w:val="none" w:sz="0" w:space="0" w:color="auto"/>
                    <w:right w:val="none" w:sz="0" w:space="0" w:color="auto"/>
                  </w:divBdr>
                  <w:divsChild>
                    <w:div w:id="831409394">
                      <w:marLeft w:val="0"/>
                      <w:marRight w:val="0"/>
                      <w:marTop w:val="0"/>
                      <w:marBottom w:val="0"/>
                      <w:divBdr>
                        <w:top w:val="none" w:sz="0" w:space="0" w:color="auto"/>
                        <w:left w:val="none" w:sz="0" w:space="0" w:color="auto"/>
                        <w:bottom w:val="none" w:sz="0" w:space="0" w:color="auto"/>
                        <w:right w:val="none" w:sz="0" w:space="0" w:color="auto"/>
                      </w:divBdr>
                    </w:div>
                  </w:divsChild>
                </w:div>
                <w:div w:id="1920746635">
                  <w:marLeft w:val="0"/>
                  <w:marRight w:val="0"/>
                  <w:marTop w:val="0"/>
                  <w:marBottom w:val="0"/>
                  <w:divBdr>
                    <w:top w:val="none" w:sz="0" w:space="0" w:color="auto"/>
                    <w:left w:val="none" w:sz="0" w:space="0" w:color="auto"/>
                    <w:bottom w:val="none" w:sz="0" w:space="0" w:color="auto"/>
                    <w:right w:val="none" w:sz="0" w:space="0" w:color="auto"/>
                  </w:divBdr>
                  <w:divsChild>
                    <w:div w:id="2128816647">
                      <w:marLeft w:val="0"/>
                      <w:marRight w:val="0"/>
                      <w:marTop w:val="0"/>
                      <w:marBottom w:val="0"/>
                      <w:divBdr>
                        <w:top w:val="none" w:sz="0" w:space="0" w:color="auto"/>
                        <w:left w:val="none" w:sz="0" w:space="0" w:color="auto"/>
                        <w:bottom w:val="none" w:sz="0" w:space="0" w:color="auto"/>
                        <w:right w:val="none" w:sz="0" w:space="0" w:color="auto"/>
                      </w:divBdr>
                    </w:div>
                  </w:divsChild>
                </w:div>
                <w:div w:id="1923564160">
                  <w:marLeft w:val="0"/>
                  <w:marRight w:val="0"/>
                  <w:marTop w:val="0"/>
                  <w:marBottom w:val="0"/>
                  <w:divBdr>
                    <w:top w:val="none" w:sz="0" w:space="0" w:color="auto"/>
                    <w:left w:val="none" w:sz="0" w:space="0" w:color="auto"/>
                    <w:bottom w:val="none" w:sz="0" w:space="0" w:color="auto"/>
                    <w:right w:val="none" w:sz="0" w:space="0" w:color="auto"/>
                  </w:divBdr>
                  <w:divsChild>
                    <w:div w:id="1613708188">
                      <w:marLeft w:val="0"/>
                      <w:marRight w:val="0"/>
                      <w:marTop w:val="0"/>
                      <w:marBottom w:val="0"/>
                      <w:divBdr>
                        <w:top w:val="none" w:sz="0" w:space="0" w:color="auto"/>
                        <w:left w:val="none" w:sz="0" w:space="0" w:color="auto"/>
                        <w:bottom w:val="none" w:sz="0" w:space="0" w:color="auto"/>
                        <w:right w:val="none" w:sz="0" w:space="0" w:color="auto"/>
                      </w:divBdr>
                    </w:div>
                  </w:divsChild>
                </w:div>
                <w:div w:id="1926568254">
                  <w:marLeft w:val="0"/>
                  <w:marRight w:val="0"/>
                  <w:marTop w:val="0"/>
                  <w:marBottom w:val="0"/>
                  <w:divBdr>
                    <w:top w:val="none" w:sz="0" w:space="0" w:color="auto"/>
                    <w:left w:val="none" w:sz="0" w:space="0" w:color="auto"/>
                    <w:bottom w:val="none" w:sz="0" w:space="0" w:color="auto"/>
                    <w:right w:val="none" w:sz="0" w:space="0" w:color="auto"/>
                  </w:divBdr>
                  <w:divsChild>
                    <w:div w:id="124664585">
                      <w:marLeft w:val="0"/>
                      <w:marRight w:val="0"/>
                      <w:marTop w:val="0"/>
                      <w:marBottom w:val="0"/>
                      <w:divBdr>
                        <w:top w:val="none" w:sz="0" w:space="0" w:color="auto"/>
                        <w:left w:val="none" w:sz="0" w:space="0" w:color="auto"/>
                        <w:bottom w:val="none" w:sz="0" w:space="0" w:color="auto"/>
                        <w:right w:val="none" w:sz="0" w:space="0" w:color="auto"/>
                      </w:divBdr>
                    </w:div>
                  </w:divsChild>
                </w:div>
                <w:div w:id="1929265663">
                  <w:marLeft w:val="0"/>
                  <w:marRight w:val="0"/>
                  <w:marTop w:val="0"/>
                  <w:marBottom w:val="0"/>
                  <w:divBdr>
                    <w:top w:val="none" w:sz="0" w:space="0" w:color="auto"/>
                    <w:left w:val="none" w:sz="0" w:space="0" w:color="auto"/>
                    <w:bottom w:val="none" w:sz="0" w:space="0" w:color="auto"/>
                    <w:right w:val="none" w:sz="0" w:space="0" w:color="auto"/>
                  </w:divBdr>
                  <w:divsChild>
                    <w:div w:id="1965036992">
                      <w:marLeft w:val="0"/>
                      <w:marRight w:val="0"/>
                      <w:marTop w:val="0"/>
                      <w:marBottom w:val="0"/>
                      <w:divBdr>
                        <w:top w:val="none" w:sz="0" w:space="0" w:color="auto"/>
                        <w:left w:val="none" w:sz="0" w:space="0" w:color="auto"/>
                        <w:bottom w:val="none" w:sz="0" w:space="0" w:color="auto"/>
                        <w:right w:val="none" w:sz="0" w:space="0" w:color="auto"/>
                      </w:divBdr>
                    </w:div>
                  </w:divsChild>
                </w:div>
                <w:div w:id="1950121450">
                  <w:marLeft w:val="0"/>
                  <w:marRight w:val="0"/>
                  <w:marTop w:val="0"/>
                  <w:marBottom w:val="0"/>
                  <w:divBdr>
                    <w:top w:val="none" w:sz="0" w:space="0" w:color="auto"/>
                    <w:left w:val="none" w:sz="0" w:space="0" w:color="auto"/>
                    <w:bottom w:val="none" w:sz="0" w:space="0" w:color="auto"/>
                    <w:right w:val="none" w:sz="0" w:space="0" w:color="auto"/>
                  </w:divBdr>
                  <w:divsChild>
                    <w:div w:id="1003043897">
                      <w:marLeft w:val="0"/>
                      <w:marRight w:val="0"/>
                      <w:marTop w:val="0"/>
                      <w:marBottom w:val="0"/>
                      <w:divBdr>
                        <w:top w:val="none" w:sz="0" w:space="0" w:color="auto"/>
                        <w:left w:val="none" w:sz="0" w:space="0" w:color="auto"/>
                        <w:bottom w:val="none" w:sz="0" w:space="0" w:color="auto"/>
                        <w:right w:val="none" w:sz="0" w:space="0" w:color="auto"/>
                      </w:divBdr>
                    </w:div>
                  </w:divsChild>
                </w:div>
                <w:div w:id="1951400568">
                  <w:marLeft w:val="0"/>
                  <w:marRight w:val="0"/>
                  <w:marTop w:val="0"/>
                  <w:marBottom w:val="0"/>
                  <w:divBdr>
                    <w:top w:val="none" w:sz="0" w:space="0" w:color="auto"/>
                    <w:left w:val="none" w:sz="0" w:space="0" w:color="auto"/>
                    <w:bottom w:val="none" w:sz="0" w:space="0" w:color="auto"/>
                    <w:right w:val="none" w:sz="0" w:space="0" w:color="auto"/>
                  </w:divBdr>
                  <w:divsChild>
                    <w:div w:id="74978849">
                      <w:marLeft w:val="0"/>
                      <w:marRight w:val="0"/>
                      <w:marTop w:val="0"/>
                      <w:marBottom w:val="0"/>
                      <w:divBdr>
                        <w:top w:val="none" w:sz="0" w:space="0" w:color="auto"/>
                        <w:left w:val="none" w:sz="0" w:space="0" w:color="auto"/>
                        <w:bottom w:val="none" w:sz="0" w:space="0" w:color="auto"/>
                        <w:right w:val="none" w:sz="0" w:space="0" w:color="auto"/>
                      </w:divBdr>
                    </w:div>
                  </w:divsChild>
                </w:div>
                <w:div w:id="1958103666">
                  <w:marLeft w:val="0"/>
                  <w:marRight w:val="0"/>
                  <w:marTop w:val="0"/>
                  <w:marBottom w:val="0"/>
                  <w:divBdr>
                    <w:top w:val="none" w:sz="0" w:space="0" w:color="auto"/>
                    <w:left w:val="none" w:sz="0" w:space="0" w:color="auto"/>
                    <w:bottom w:val="none" w:sz="0" w:space="0" w:color="auto"/>
                    <w:right w:val="none" w:sz="0" w:space="0" w:color="auto"/>
                  </w:divBdr>
                  <w:divsChild>
                    <w:div w:id="1458914996">
                      <w:marLeft w:val="0"/>
                      <w:marRight w:val="0"/>
                      <w:marTop w:val="0"/>
                      <w:marBottom w:val="0"/>
                      <w:divBdr>
                        <w:top w:val="none" w:sz="0" w:space="0" w:color="auto"/>
                        <w:left w:val="none" w:sz="0" w:space="0" w:color="auto"/>
                        <w:bottom w:val="none" w:sz="0" w:space="0" w:color="auto"/>
                        <w:right w:val="none" w:sz="0" w:space="0" w:color="auto"/>
                      </w:divBdr>
                    </w:div>
                  </w:divsChild>
                </w:div>
                <w:div w:id="1962225920">
                  <w:marLeft w:val="0"/>
                  <w:marRight w:val="0"/>
                  <w:marTop w:val="0"/>
                  <w:marBottom w:val="0"/>
                  <w:divBdr>
                    <w:top w:val="none" w:sz="0" w:space="0" w:color="auto"/>
                    <w:left w:val="none" w:sz="0" w:space="0" w:color="auto"/>
                    <w:bottom w:val="none" w:sz="0" w:space="0" w:color="auto"/>
                    <w:right w:val="none" w:sz="0" w:space="0" w:color="auto"/>
                  </w:divBdr>
                  <w:divsChild>
                    <w:div w:id="801657026">
                      <w:marLeft w:val="0"/>
                      <w:marRight w:val="0"/>
                      <w:marTop w:val="0"/>
                      <w:marBottom w:val="0"/>
                      <w:divBdr>
                        <w:top w:val="none" w:sz="0" w:space="0" w:color="auto"/>
                        <w:left w:val="none" w:sz="0" w:space="0" w:color="auto"/>
                        <w:bottom w:val="none" w:sz="0" w:space="0" w:color="auto"/>
                        <w:right w:val="none" w:sz="0" w:space="0" w:color="auto"/>
                      </w:divBdr>
                    </w:div>
                    <w:div w:id="1378431986">
                      <w:marLeft w:val="0"/>
                      <w:marRight w:val="0"/>
                      <w:marTop w:val="0"/>
                      <w:marBottom w:val="0"/>
                      <w:divBdr>
                        <w:top w:val="none" w:sz="0" w:space="0" w:color="auto"/>
                        <w:left w:val="none" w:sz="0" w:space="0" w:color="auto"/>
                        <w:bottom w:val="none" w:sz="0" w:space="0" w:color="auto"/>
                        <w:right w:val="none" w:sz="0" w:space="0" w:color="auto"/>
                      </w:divBdr>
                    </w:div>
                  </w:divsChild>
                </w:div>
                <w:div w:id="1963729996">
                  <w:marLeft w:val="0"/>
                  <w:marRight w:val="0"/>
                  <w:marTop w:val="0"/>
                  <w:marBottom w:val="0"/>
                  <w:divBdr>
                    <w:top w:val="none" w:sz="0" w:space="0" w:color="auto"/>
                    <w:left w:val="none" w:sz="0" w:space="0" w:color="auto"/>
                    <w:bottom w:val="none" w:sz="0" w:space="0" w:color="auto"/>
                    <w:right w:val="none" w:sz="0" w:space="0" w:color="auto"/>
                  </w:divBdr>
                  <w:divsChild>
                    <w:div w:id="1801529520">
                      <w:marLeft w:val="0"/>
                      <w:marRight w:val="0"/>
                      <w:marTop w:val="0"/>
                      <w:marBottom w:val="0"/>
                      <w:divBdr>
                        <w:top w:val="none" w:sz="0" w:space="0" w:color="auto"/>
                        <w:left w:val="none" w:sz="0" w:space="0" w:color="auto"/>
                        <w:bottom w:val="none" w:sz="0" w:space="0" w:color="auto"/>
                        <w:right w:val="none" w:sz="0" w:space="0" w:color="auto"/>
                      </w:divBdr>
                    </w:div>
                  </w:divsChild>
                </w:div>
                <w:div w:id="1964916380">
                  <w:marLeft w:val="0"/>
                  <w:marRight w:val="0"/>
                  <w:marTop w:val="0"/>
                  <w:marBottom w:val="0"/>
                  <w:divBdr>
                    <w:top w:val="none" w:sz="0" w:space="0" w:color="auto"/>
                    <w:left w:val="none" w:sz="0" w:space="0" w:color="auto"/>
                    <w:bottom w:val="none" w:sz="0" w:space="0" w:color="auto"/>
                    <w:right w:val="none" w:sz="0" w:space="0" w:color="auto"/>
                  </w:divBdr>
                  <w:divsChild>
                    <w:div w:id="67699975">
                      <w:marLeft w:val="0"/>
                      <w:marRight w:val="0"/>
                      <w:marTop w:val="0"/>
                      <w:marBottom w:val="0"/>
                      <w:divBdr>
                        <w:top w:val="none" w:sz="0" w:space="0" w:color="auto"/>
                        <w:left w:val="none" w:sz="0" w:space="0" w:color="auto"/>
                        <w:bottom w:val="none" w:sz="0" w:space="0" w:color="auto"/>
                        <w:right w:val="none" w:sz="0" w:space="0" w:color="auto"/>
                      </w:divBdr>
                    </w:div>
                  </w:divsChild>
                </w:div>
                <w:div w:id="1978803089">
                  <w:marLeft w:val="0"/>
                  <w:marRight w:val="0"/>
                  <w:marTop w:val="0"/>
                  <w:marBottom w:val="0"/>
                  <w:divBdr>
                    <w:top w:val="none" w:sz="0" w:space="0" w:color="auto"/>
                    <w:left w:val="none" w:sz="0" w:space="0" w:color="auto"/>
                    <w:bottom w:val="none" w:sz="0" w:space="0" w:color="auto"/>
                    <w:right w:val="none" w:sz="0" w:space="0" w:color="auto"/>
                  </w:divBdr>
                  <w:divsChild>
                    <w:div w:id="1585652334">
                      <w:marLeft w:val="0"/>
                      <w:marRight w:val="0"/>
                      <w:marTop w:val="0"/>
                      <w:marBottom w:val="0"/>
                      <w:divBdr>
                        <w:top w:val="none" w:sz="0" w:space="0" w:color="auto"/>
                        <w:left w:val="none" w:sz="0" w:space="0" w:color="auto"/>
                        <w:bottom w:val="none" w:sz="0" w:space="0" w:color="auto"/>
                        <w:right w:val="none" w:sz="0" w:space="0" w:color="auto"/>
                      </w:divBdr>
                    </w:div>
                  </w:divsChild>
                </w:div>
                <w:div w:id="1992173416">
                  <w:marLeft w:val="0"/>
                  <w:marRight w:val="0"/>
                  <w:marTop w:val="0"/>
                  <w:marBottom w:val="0"/>
                  <w:divBdr>
                    <w:top w:val="none" w:sz="0" w:space="0" w:color="auto"/>
                    <w:left w:val="none" w:sz="0" w:space="0" w:color="auto"/>
                    <w:bottom w:val="none" w:sz="0" w:space="0" w:color="auto"/>
                    <w:right w:val="none" w:sz="0" w:space="0" w:color="auto"/>
                  </w:divBdr>
                  <w:divsChild>
                    <w:div w:id="1183590595">
                      <w:marLeft w:val="0"/>
                      <w:marRight w:val="0"/>
                      <w:marTop w:val="0"/>
                      <w:marBottom w:val="0"/>
                      <w:divBdr>
                        <w:top w:val="none" w:sz="0" w:space="0" w:color="auto"/>
                        <w:left w:val="none" w:sz="0" w:space="0" w:color="auto"/>
                        <w:bottom w:val="none" w:sz="0" w:space="0" w:color="auto"/>
                        <w:right w:val="none" w:sz="0" w:space="0" w:color="auto"/>
                      </w:divBdr>
                    </w:div>
                    <w:div w:id="1644238539">
                      <w:marLeft w:val="0"/>
                      <w:marRight w:val="0"/>
                      <w:marTop w:val="0"/>
                      <w:marBottom w:val="0"/>
                      <w:divBdr>
                        <w:top w:val="none" w:sz="0" w:space="0" w:color="auto"/>
                        <w:left w:val="none" w:sz="0" w:space="0" w:color="auto"/>
                        <w:bottom w:val="none" w:sz="0" w:space="0" w:color="auto"/>
                        <w:right w:val="none" w:sz="0" w:space="0" w:color="auto"/>
                      </w:divBdr>
                    </w:div>
                  </w:divsChild>
                </w:div>
                <w:div w:id="1997418994">
                  <w:marLeft w:val="0"/>
                  <w:marRight w:val="0"/>
                  <w:marTop w:val="0"/>
                  <w:marBottom w:val="0"/>
                  <w:divBdr>
                    <w:top w:val="none" w:sz="0" w:space="0" w:color="auto"/>
                    <w:left w:val="none" w:sz="0" w:space="0" w:color="auto"/>
                    <w:bottom w:val="none" w:sz="0" w:space="0" w:color="auto"/>
                    <w:right w:val="none" w:sz="0" w:space="0" w:color="auto"/>
                  </w:divBdr>
                  <w:divsChild>
                    <w:div w:id="1315917402">
                      <w:marLeft w:val="0"/>
                      <w:marRight w:val="0"/>
                      <w:marTop w:val="0"/>
                      <w:marBottom w:val="0"/>
                      <w:divBdr>
                        <w:top w:val="none" w:sz="0" w:space="0" w:color="auto"/>
                        <w:left w:val="none" w:sz="0" w:space="0" w:color="auto"/>
                        <w:bottom w:val="none" w:sz="0" w:space="0" w:color="auto"/>
                        <w:right w:val="none" w:sz="0" w:space="0" w:color="auto"/>
                      </w:divBdr>
                    </w:div>
                  </w:divsChild>
                </w:div>
                <w:div w:id="1997609156">
                  <w:marLeft w:val="0"/>
                  <w:marRight w:val="0"/>
                  <w:marTop w:val="0"/>
                  <w:marBottom w:val="0"/>
                  <w:divBdr>
                    <w:top w:val="none" w:sz="0" w:space="0" w:color="auto"/>
                    <w:left w:val="none" w:sz="0" w:space="0" w:color="auto"/>
                    <w:bottom w:val="none" w:sz="0" w:space="0" w:color="auto"/>
                    <w:right w:val="none" w:sz="0" w:space="0" w:color="auto"/>
                  </w:divBdr>
                  <w:divsChild>
                    <w:div w:id="1188956444">
                      <w:marLeft w:val="0"/>
                      <w:marRight w:val="0"/>
                      <w:marTop w:val="0"/>
                      <w:marBottom w:val="0"/>
                      <w:divBdr>
                        <w:top w:val="none" w:sz="0" w:space="0" w:color="auto"/>
                        <w:left w:val="none" w:sz="0" w:space="0" w:color="auto"/>
                        <w:bottom w:val="none" w:sz="0" w:space="0" w:color="auto"/>
                        <w:right w:val="none" w:sz="0" w:space="0" w:color="auto"/>
                      </w:divBdr>
                    </w:div>
                  </w:divsChild>
                </w:div>
                <w:div w:id="2000381790">
                  <w:marLeft w:val="0"/>
                  <w:marRight w:val="0"/>
                  <w:marTop w:val="0"/>
                  <w:marBottom w:val="0"/>
                  <w:divBdr>
                    <w:top w:val="none" w:sz="0" w:space="0" w:color="auto"/>
                    <w:left w:val="none" w:sz="0" w:space="0" w:color="auto"/>
                    <w:bottom w:val="none" w:sz="0" w:space="0" w:color="auto"/>
                    <w:right w:val="none" w:sz="0" w:space="0" w:color="auto"/>
                  </w:divBdr>
                  <w:divsChild>
                    <w:div w:id="48891883">
                      <w:marLeft w:val="0"/>
                      <w:marRight w:val="0"/>
                      <w:marTop w:val="0"/>
                      <w:marBottom w:val="0"/>
                      <w:divBdr>
                        <w:top w:val="none" w:sz="0" w:space="0" w:color="auto"/>
                        <w:left w:val="none" w:sz="0" w:space="0" w:color="auto"/>
                        <w:bottom w:val="none" w:sz="0" w:space="0" w:color="auto"/>
                        <w:right w:val="none" w:sz="0" w:space="0" w:color="auto"/>
                      </w:divBdr>
                    </w:div>
                    <w:div w:id="594678793">
                      <w:marLeft w:val="0"/>
                      <w:marRight w:val="0"/>
                      <w:marTop w:val="0"/>
                      <w:marBottom w:val="0"/>
                      <w:divBdr>
                        <w:top w:val="none" w:sz="0" w:space="0" w:color="auto"/>
                        <w:left w:val="none" w:sz="0" w:space="0" w:color="auto"/>
                        <w:bottom w:val="none" w:sz="0" w:space="0" w:color="auto"/>
                        <w:right w:val="none" w:sz="0" w:space="0" w:color="auto"/>
                      </w:divBdr>
                    </w:div>
                    <w:div w:id="784927631">
                      <w:marLeft w:val="0"/>
                      <w:marRight w:val="0"/>
                      <w:marTop w:val="0"/>
                      <w:marBottom w:val="0"/>
                      <w:divBdr>
                        <w:top w:val="none" w:sz="0" w:space="0" w:color="auto"/>
                        <w:left w:val="none" w:sz="0" w:space="0" w:color="auto"/>
                        <w:bottom w:val="none" w:sz="0" w:space="0" w:color="auto"/>
                        <w:right w:val="none" w:sz="0" w:space="0" w:color="auto"/>
                      </w:divBdr>
                    </w:div>
                    <w:div w:id="1270965877">
                      <w:marLeft w:val="0"/>
                      <w:marRight w:val="0"/>
                      <w:marTop w:val="0"/>
                      <w:marBottom w:val="0"/>
                      <w:divBdr>
                        <w:top w:val="none" w:sz="0" w:space="0" w:color="auto"/>
                        <w:left w:val="none" w:sz="0" w:space="0" w:color="auto"/>
                        <w:bottom w:val="none" w:sz="0" w:space="0" w:color="auto"/>
                        <w:right w:val="none" w:sz="0" w:space="0" w:color="auto"/>
                      </w:divBdr>
                    </w:div>
                    <w:div w:id="1569918076">
                      <w:marLeft w:val="0"/>
                      <w:marRight w:val="0"/>
                      <w:marTop w:val="0"/>
                      <w:marBottom w:val="0"/>
                      <w:divBdr>
                        <w:top w:val="none" w:sz="0" w:space="0" w:color="auto"/>
                        <w:left w:val="none" w:sz="0" w:space="0" w:color="auto"/>
                        <w:bottom w:val="none" w:sz="0" w:space="0" w:color="auto"/>
                        <w:right w:val="none" w:sz="0" w:space="0" w:color="auto"/>
                      </w:divBdr>
                    </w:div>
                    <w:div w:id="1681002697">
                      <w:marLeft w:val="0"/>
                      <w:marRight w:val="0"/>
                      <w:marTop w:val="0"/>
                      <w:marBottom w:val="0"/>
                      <w:divBdr>
                        <w:top w:val="none" w:sz="0" w:space="0" w:color="auto"/>
                        <w:left w:val="none" w:sz="0" w:space="0" w:color="auto"/>
                        <w:bottom w:val="none" w:sz="0" w:space="0" w:color="auto"/>
                        <w:right w:val="none" w:sz="0" w:space="0" w:color="auto"/>
                      </w:divBdr>
                    </w:div>
                    <w:div w:id="1773166764">
                      <w:marLeft w:val="0"/>
                      <w:marRight w:val="0"/>
                      <w:marTop w:val="0"/>
                      <w:marBottom w:val="0"/>
                      <w:divBdr>
                        <w:top w:val="none" w:sz="0" w:space="0" w:color="auto"/>
                        <w:left w:val="none" w:sz="0" w:space="0" w:color="auto"/>
                        <w:bottom w:val="none" w:sz="0" w:space="0" w:color="auto"/>
                        <w:right w:val="none" w:sz="0" w:space="0" w:color="auto"/>
                      </w:divBdr>
                    </w:div>
                    <w:div w:id="1812867843">
                      <w:marLeft w:val="0"/>
                      <w:marRight w:val="0"/>
                      <w:marTop w:val="0"/>
                      <w:marBottom w:val="0"/>
                      <w:divBdr>
                        <w:top w:val="none" w:sz="0" w:space="0" w:color="auto"/>
                        <w:left w:val="none" w:sz="0" w:space="0" w:color="auto"/>
                        <w:bottom w:val="none" w:sz="0" w:space="0" w:color="auto"/>
                        <w:right w:val="none" w:sz="0" w:space="0" w:color="auto"/>
                      </w:divBdr>
                    </w:div>
                    <w:div w:id="1953970900">
                      <w:marLeft w:val="0"/>
                      <w:marRight w:val="0"/>
                      <w:marTop w:val="0"/>
                      <w:marBottom w:val="0"/>
                      <w:divBdr>
                        <w:top w:val="none" w:sz="0" w:space="0" w:color="auto"/>
                        <w:left w:val="none" w:sz="0" w:space="0" w:color="auto"/>
                        <w:bottom w:val="none" w:sz="0" w:space="0" w:color="auto"/>
                        <w:right w:val="none" w:sz="0" w:space="0" w:color="auto"/>
                      </w:divBdr>
                    </w:div>
                    <w:div w:id="2136020532">
                      <w:marLeft w:val="0"/>
                      <w:marRight w:val="0"/>
                      <w:marTop w:val="0"/>
                      <w:marBottom w:val="0"/>
                      <w:divBdr>
                        <w:top w:val="none" w:sz="0" w:space="0" w:color="auto"/>
                        <w:left w:val="none" w:sz="0" w:space="0" w:color="auto"/>
                        <w:bottom w:val="none" w:sz="0" w:space="0" w:color="auto"/>
                        <w:right w:val="none" w:sz="0" w:space="0" w:color="auto"/>
                      </w:divBdr>
                    </w:div>
                  </w:divsChild>
                </w:div>
                <w:div w:id="2000383568">
                  <w:marLeft w:val="0"/>
                  <w:marRight w:val="0"/>
                  <w:marTop w:val="0"/>
                  <w:marBottom w:val="0"/>
                  <w:divBdr>
                    <w:top w:val="none" w:sz="0" w:space="0" w:color="auto"/>
                    <w:left w:val="none" w:sz="0" w:space="0" w:color="auto"/>
                    <w:bottom w:val="none" w:sz="0" w:space="0" w:color="auto"/>
                    <w:right w:val="none" w:sz="0" w:space="0" w:color="auto"/>
                  </w:divBdr>
                  <w:divsChild>
                    <w:div w:id="1869904577">
                      <w:marLeft w:val="0"/>
                      <w:marRight w:val="0"/>
                      <w:marTop w:val="0"/>
                      <w:marBottom w:val="0"/>
                      <w:divBdr>
                        <w:top w:val="none" w:sz="0" w:space="0" w:color="auto"/>
                        <w:left w:val="none" w:sz="0" w:space="0" w:color="auto"/>
                        <w:bottom w:val="none" w:sz="0" w:space="0" w:color="auto"/>
                        <w:right w:val="none" w:sz="0" w:space="0" w:color="auto"/>
                      </w:divBdr>
                    </w:div>
                  </w:divsChild>
                </w:div>
                <w:div w:id="2003046810">
                  <w:marLeft w:val="0"/>
                  <w:marRight w:val="0"/>
                  <w:marTop w:val="0"/>
                  <w:marBottom w:val="0"/>
                  <w:divBdr>
                    <w:top w:val="none" w:sz="0" w:space="0" w:color="auto"/>
                    <w:left w:val="none" w:sz="0" w:space="0" w:color="auto"/>
                    <w:bottom w:val="none" w:sz="0" w:space="0" w:color="auto"/>
                    <w:right w:val="none" w:sz="0" w:space="0" w:color="auto"/>
                  </w:divBdr>
                  <w:divsChild>
                    <w:div w:id="24604322">
                      <w:marLeft w:val="0"/>
                      <w:marRight w:val="0"/>
                      <w:marTop w:val="0"/>
                      <w:marBottom w:val="0"/>
                      <w:divBdr>
                        <w:top w:val="none" w:sz="0" w:space="0" w:color="auto"/>
                        <w:left w:val="none" w:sz="0" w:space="0" w:color="auto"/>
                        <w:bottom w:val="none" w:sz="0" w:space="0" w:color="auto"/>
                        <w:right w:val="none" w:sz="0" w:space="0" w:color="auto"/>
                      </w:divBdr>
                    </w:div>
                  </w:divsChild>
                </w:div>
                <w:div w:id="2016572989">
                  <w:marLeft w:val="0"/>
                  <w:marRight w:val="0"/>
                  <w:marTop w:val="0"/>
                  <w:marBottom w:val="0"/>
                  <w:divBdr>
                    <w:top w:val="none" w:sz="0" w:space="0" w:color="auto"/>
                    <w:left w:val="none" w:sz="0" w:space="0" w:color="auto"/>
                    <w:bottom w:val="none" w:sz="0" w:space="0" w:color="auto"/>
                    <w:right w:val="none" w:sz="0" w:space="0" w:color="auto"/>
                  </w:divBdr>
                  <w:divsChild>
                    <w:div w:id="28650138">
                      <w:marLeft w:val="0"/>
                      <w:marRight w:val="0"/>
                      <w:marTop w:val="0"/>
                      <w:marBottom w:val="0"/>
                      <w:divBdr>
                        <w:top w:val="none" w:sz="0" w:space="0" w:color="auto"/>
                        <w:left w:val="none" w:sz="0" w:space="0" w:color="auto"/>
                        <w:bottom w:val="none" w:sz="0" w:space="0" w:color="auto"/>
                        <w:right w:val="none" w:sz="0" w:space="0" w:color="auto"/>
                      </w:divBdr>
                    </w:div>
                  </w:divsChild>
                </w:div>
                <w:div w:id="2022661331">
                  <w:marLeft w:val="0"/>
                  <w:marRight w:val="0"/>
                  <w:marTop w:val="0"/>
                  <w:marBottom w:val="0"/>
                  <w:divBdr>
                    <w:top w:val="none" w:sz="0" w:space="0" w:color="auto"/>
                    <w:left w:val="none" w:sz="0" w:space="0" w:color="auto"/>
                    <w:bottom w:val="none" w:sz="0" w:space="0" w:color="auto"/>
                    <w:right w:val="none" w:sz="0" w:space="0" w:color="auto"/>
                  </w:divBdr>
                  <w:divsChild>
                    <w:div w:id="921109330">
                      <w:marLeft w:val="0"/>
                      <w:marRight w:val="0"/>
                      <w:marTop w:val="0"/>
                      <w:marBottom w:val="0"/>
                      <w:divBdr>
                        <w:top w:val="none" w:sz="0" w:space="0" w:color="auto"/>
                        <w:left w:val="none" w:sz="0" w:space="0" w:color="auto"/>
                        <w:bottom w:val="none" w:sz="0" w:space="0" w:color="auto"/>
                        <w:right w:val="none" w:sz="0" w:space="0" w:color="auto"/>
                      </w:divBdr>
                    </w:div>
                  </w:divsChild>
                </w:div>
                <w:div w:id="2024820840">
                  <w:marLeft w:val="0"/>
                  <w:marRight w:val="0"/>
                  <w:marTop w:val="0"/>
                  <w:marBottom w:val="0"/>
                  <w:divBdr>
                    <w:top w:val="none" w:sz="0" w:space="0" w:color="auto"/>
                    <w:left w:val="none" w:sz="0" w:space="0" w:color="auto"/>
                    <w:bottom w:val="none" w:sz="0" w:space="0" w:color="auto"/>
                    <w:right w:val="none" w:sz="0" w:space="0" w:color="auto"/>
                  </w:divBdr>
                  <w:divsChild>
                    <w:div w:id="186335069">
                      <w:marLeft w:val="0"/>
                      <w:marRight w:val="0"/>
                      <w:marTop w:val="0"/>
                      <w:marBottom w:val="0"/>
                      <w:divBdr>
                        <w:top w:val="none" w:sz="0" w:space="0" w:color="auto"/>
                        <w:left w:val="none" w:sz="0" w:space="0" w:color="auto"/>
                        <w:bottom w:val="none" w:sz="0" w:space="0" w:color="auto"/>
                        <w:right w:val="none" w:sz="0" w:space="0" w:color="auto"/>
                      </w:divBdr>
                    </w:div>
                  </w:divsChild>
                </w:div>
                <w:div w:id="2037005288">
                  <w:marLeft w:val="0"/>
                  <w:marRight w:val="0"/>
                  <w:marTop w:val="0"/>
                  <w:marBottom w:val="0"/>
                  <w:divBdr>
                    <w:top w:val="none" w:sz="0" w:space="0" w:color="auto"/>
                    <w:left w:val="none" w:sz="0" w:space="0" w:color="auto"/>
                    <w:bottom w:val="none" w:sz="0" w:space="0" w:color="auto"/>
                    <w:right w:val="none" w:sz="0" w:space="0" w:color="auto"/>
                  </w:divBdr>
                  <w:divsChild>
                    <w:div w:id="1567304386">
                      <w:marLeft w:val="0"/>
                      <w:marRight w:val="0"/>
                      <w:marTop w:val="0"/>
                      <w:marBottom w:val="0"/>
                      <w:divBdr>
                        <w:top w:val="none" w:sz="0" w:space="0" w:color="auto"/>
                        <w:left w:val="none" w:sz="0" w:space="0" w:color="auto"/>
                        <w:bottom w:val="none" w:sz="0" w:space="0" w:color="auto"/>
                        <w:right w:val="none" w:sz="0" w:space="0" w:color="auto"/>
                      </w:divBdr>
                    </w:div>
                  </w:divsChild>
                </w:div>
                <w:div w:id="2041929752">
                  <w:marLeft w:val="0"/>
                  <w:marRight w:val="0"/>
                  <w:marTop w:val="0"/>
                  <w:marBottom w:val="0"/>
                  <w:divBdr>
                    <w:top w:val="none" w:sz="0" w:space="0" w:color="auto"/>
                    <w:left w:val="none" w:sz="0" w:space="0" w:color="auto"/>
                    <w:bottom w:val="none" w:sz="0" w:space="0" w:color="auto"/>
                    <w:right w:val="none" w:sz="0" w:space="0" w:color="auto"/>
                  </w:divBdr>
                  <w:divsChild>
                    <w:div w:id="2086687359">
                      <w:marLeft w:val="0"/>
                      <w:marRight w:val="0"/>
                      <w:marTop w:val="0"/>
                      <w:marBottom w:val="0"/>
                      <w:divBdr>
                        <w:top w:val="none" w:sz="0" w:space="0" w:color="auto"/>
                        <w:left w:val="none" w:sz="0" w:space="0" w:color="auto"/>
                        <w:bottom w:val="none" w:sz="0" w:space="0" w:color="auto"/>
                        <w:right w:val="none" w:sz="0" w:space="0" w:color="auto"/>
                      </w:divBdr>
                    </w:div>
                  </w:divsChild>
                </w:div>
                <w:div w:id="2049602116">
                  <w:marLeft w:val="0"/>
                  <w:marRight w:val="0"/>
                  <w:marTop w:val="0"/>
                  <w:marBottom w:val="0"/>
                  <w:divBdr>
                    <w:top w:val="none" w:sz="0" w:space="0" w:color="auto"/>
                    <w:left w:val="none" w:sz="0" w:space="0" w:color="auto"/>
                    <w:bottom w:val="none" w:sz="0" w:space="0" w:color="auto"/>
                    <w:right w:val="none" w:sz="0" w:space="0" w:color="auto"/>
                  </w:divBdr>
                  <w:divsChild>
                    <w:div w:id="1025323732">
                      <w:marLeft w:val="0"/>
                      <w:marRight w:val="0"/>
                      <w:marTop w:val="0"/>
                      <w:marBottom w:val="0"/>
                      <w:divBdr>
                        <w:top w:val="none" w:sz="0" w:space="0" w:color="auto"/>
                        <w:left w:val="none" w:sz="0" w:space="0" w:color="auto"/>
                        <w:bottom w:val="none" w:sz="0" w:space="0" w:color="auto"/>
                        <w:right w:val="none" w:sz="0" w:space="0" w:color="auto"/>
                      </w:divBdr>
                    </w:div>
                  </w:divsChild>
                </w:div>
                <w:div w:id="2052340339">
                  <w:marLeft w:val="0"/>
                  <w:marRight w:val="0"/>
                  <w:marTop w:val="0"/>
                  <w:marBottom w:val="0"/>
                  <w:divBdr>
                    <w:top w:val="none" w:sz="0" w:space="0" w:color="auto"/>
                    <w:left w:val="none" w:sz="0" w:space="0" w:color="auto"/>
                    <w:bottom w:val="none" w:sz="0" w:space="0" w:color="auto"/>
                    <w:right w:val="none" w:sz="0" w:space="0" w:color="auto"/>
                  </w:divBdr>
                  <w:divsChild>
                    <w:div w:id="1522819669">
                      <w:marLeft w:val="0"/>
                      <w:marRight w:val="0"/>
                      <w:marTop w:val="0"/>
                      <w:marBottom w:val="0"/>
                      <w:divBdr>
                        <w:top w:val="none" w:sz="0" w:space="0" w:color="auto"/>
                        <w:left w:val="none" w:sz="0" w:space="0" w:color="auto"/>
                        <w:bottom w:val="none" w:sz="0" w:space="0" w:color="auto"/>
                        <w:right w:val="none" w:sz="0" w:space="0" w:color="auto"/>
                      </w:divBdr>
                    </w:div>
                  </w:divsChild>
                </w:div>
                <w:div w:id="2052993127">
                  <w:marLeft w:val="0"/>
                  <w:marRight w:val="0"/>
                  <w:marTop w:val="0"/>
                  <w:marBottom w:val="0"/>
                  <w:divBdr>
                    <w:top w:val="none" w:sz="0" w:space="0" w:color="auto"/>
                    <w:left w:val="none" w:sz="0" w:space="0" w:color="auto"/>
                    <w:bottom w:val="none" w:sz="0" w:space="0" w:color="auto"/>
                    <w:right w:val="none" w:sz="0" w:space="0" w:color="auto"/>
                  </w:divBdr>
                  <w:divsChild>
                    <w:div w:id="773864784">
                      <w:marLeft w:val="0"/>
                      <w:marRight w:val="0"/>
                      <w:marTop w:val="0"/>
                      <w:marBottom w:val="0"/>
                      <w:divBdr>
                        <w:top w:val="none" w:sz="0" w:space="0" w:color="auto"/>
                        <w:left w:val="none" w:sz="0" w:space="0" w:color="auto"/>
                        <w:bottom w:val="none" w:sz="0" w:space="0" w:color="auto"/>
                        <w:right w:val="none" w:sz="0" w:space="0" w:color="auto"/>
                      </w:divBdr>
                    </w:div>
                    <w:div w:id="799767670">
                      <w:marLeft w:val="0"/>
                      <w:marRight w:val="0"/>
                      <w:marTop w:val="0"/>
                      <w:marBottom w:val="0"/>
                      <w:divBdr>
                        <w:top w:val="none" w:sz="0" w:space="0" w:color="auto"/>
                        <w:left w:val="none" w:sz="0" w:space="0" w:color="auto"/>
                        <w:bottom w:val="none" w:sz="0" w:space="0" w:color="auto"/>
                        <w:right w:val="none" w:sz="0" w:space="0" w:color="auto"/>
                      </w:divBdr>
                    </w:div>
                  </w:divsChild>
                </w:div>
                <w:div w:id="2054034890">
                  <w:marLeft w:val="0"/>
                  <w:marRight w:val="0"/>
                  <w:marTop w:val="0"/>
                  <w:marBottom w:val="0"/>
                  <w:divBdr>
                    <w:top w:val="none" w:sz="0" w:space="0" w:color="auto"/>
                    <w:left w:val="none" w:sz="0" w:space="0" w:color="auto"/>
                    <w:bottom w:val="none" w:sz="0" w:space="0" w:color="auto"/>
                    <w:right w:val="none" w:sz="0" w:space="0" w:color="auto"/>
                  </w:divBdr>
                  <w:divsChild>
                    <w:div w:id="1581792083">
                      <w:marLeft w:val="0"/>
                      <w:marRight w:val="0"/>
                      <w:marTop w:val="0"/>
                      <w:marBottom w:val="0"/>
                      <w:divBdr>
                        <w:top w:val="none" w:sz="0" w:space="0" w:color="auto"/>
                        <w:left w:val="none" w:sz="0" w:space="0" w:color="auto"/>
                        <w:bottom w:val="none" w:sz="0" w:space="0" w:color="auto"/>
                        <w:right w:val="none" w:sz="0" w:space="0" w:color="auto"/>
                      </w:divBdr>
                    </w:div>
                  </w:divsChild>
                </w:div>
                <w:div w:id="2062052374">
                  <w:marLeft w:val="0"/>
                  <w:marRight w:val="0"/>
                  <w:marTop w:val="0"/>
                  <w:marBottom w:val="0"/>
                  <w:divBdr>
                    <w:top w:val="none" w:sz="0" w:space="0" w:color="auto"/>
                    <w:left w:val="none" w:sz="0" w:space="0" w:color="auto"/>
                    <w:bottom w:val="none" w:sz="0" w:space="0" w:color="auto"/>
                    <w:right w:val="none" w:sz="0" w:space="0" w:color="auto"/>
                  </w:divBdr>
                  <w:divsChild>
                    <w:div w:id="1475104400">
                      <w:marLeft w:val="0"/>
                      <w:marRight w:val="0"/>
                      <w:marTop w:val="0"/>
                      <w:marBottom w:val="0"/>
                      <w:divBdr>
                        <w:top w:val="none" w:sz="0" w:space="0" w:color="auto"/>
                        <w:left w:val="none" w:sz="0" w:space="0" w:color="auto"/>
                        <w:bottom w:val="none" w:sz="0" w:space="0" w:color="auto"/>
                        <w:right w:val="none" w:sz="0" w:space="0" w:color="auto"/>
                      </w:divBdr>
                    </w:div>
                  </w:divsChild>
                </w:div>
                <w:div w:id="2064327138">
                  <w:marLeft w:val="0"/>
                  <w:marRight w:val="0"/>
                  <w:marTop w:val="0"/>
                  <w:marBottom w:val="0"/>
                  <w:divBdr>
                    <w:top w:val="none" w:sz="0" w:space="0" w:color="auto"/>
                    <w:left w:val="none" w:sz="0" w:space="0" w:color="auto"/>
                    <w:bottom w:val="none" w:sz="0" w:space="0" w:color="auto"/>
                    <w:right w:val="none" w:sz="0" w:space="0" w:color="auto"/>
                  </w:divBdr>
                  <w:divsChild>
                    <w:div w:id="1492411425">
                      <w:marLeft w:val="0"/>
                      <w:marRight w:val="0"/>
                      <w:marTop w:val="0"/>
                      <w:marBottom w:val="0"/>
                      <w:divBdr>
                        <w:top w:val="none" w:sz="0" w:space="0" w:color="auto"/>
                        <w:left w:val="none" w:sz="0" w:space="0" w:color="auto"/>
                        <w:bottom w:val="none" w:sz="0" w:space="0" w:color="auto"/>
                        <w:right w:val="none" w:sz="0" w:space="0" w:color="auto"/>
                      </w:divBdr>
                    </w:div>
                  </w:divsChild>
                </w:div>
                <w:div w:id="2073961318">
                  <w:marLeft w:val="0"/>
                  <w:marRight w:val="0"/>
                  <w:marTop w:val="0"/>
                  <w:marBottom w:val="0"/>
                  <w:divBdr>
                    <w:top w:val="none" w:sz="0" w:space="0" w:color="auto"/>
                    <w:left w:val="none" w:sz="0" w:space="0" w:color="auto"/>
                    <w:bottom w:val="none" w:sz="0" w:space="0" w:color="auto"/>
                    <w:right w:val="none" w:sz="0" w:space="0" w:color="auto"/>
                  </w:divBdr>
                  <w:divsChild>
                    <w:div w:id="405223424">
                      <w:marLeft w:val="0"/>
                      <w:marRight w:val="0"/>
                      <w:marTop w:val="0"/>
                      <w:marBottom w:val="0"/>
                      <w:divBdr>
                        <w:top w:val="none" w:sz="0" w:space="0" w:color="auto"/>
                        <w:left w:val="none" w:sz="0" w:space="0" w:color="auto"/>
                        <w:bottom w:val="none" w:sz="0" w:space="0" w:color="auto"/>
                        <w:right w:val="none" w:sz="0" w:space="0" w:color="auto"/>
                      </w:divBdr>
                    </w:div>
                  </w:divsChild>
                </w:div>
                <w:div w:id="2087798219">
                  <w:marLeft w:val="0"/>
                  <w:marRight w:val="0"/>
                  <w:marTop w:val="0"/>
                  <w:marBottom w:val="0"/>
                  <w:divBdr>
                    <w:top w:val="none" w:sz="0" w:space="0" w:color="auto"/>
                    <w:left w:val="none" w:sz="0" w:space="0" w:color="auto"/>
                    <w:bottom w:val="none" w:sz="0" w:space="0" w:color="auto"/>
                    <w:right w:val="none" w:sz="0" w:space="0" w:color="auto"/>
                  </w:divBdr>
                  <w:divsChild>
                    <w:div w:id="46802319">
                      <w:marLeft w:val="0"/>
                      <w:marRight w:val="0"/>
                      <w:marTop w:val="0"/>
                      <w:marBottom w:val="0"/>
                      <w:divBdr>
                        <w:top w:val="none" w:sz="0" w:space="0" w:color="auto"/>
                        <w:left w:val="none" w:sz="0" w:space="0" w:color="auto"/>
                        <w:bottom w:val="none" w:sz="0" w:space="0" w:color="auto"/>
                        <w:right w:val="none" w:sz="0" w:space="0" w:color="auto"/>
                      </w:divBdr>
                    </w:div>
                  </w:divsChild>
                </w:div>
                <w:div w:id="2092774968">
                  <w:marLeft w:val="0"/>
                  <w:marRight w:val="0"/>
                  <w:marTop w:val="0"/>
                  <w:marBottom w:val="0"/>
                  <w:divBdr>
                    <w:top w:val="none" w:sz="0" w:space="0" w:color="auto"/>
                    <w:left w:val="none" w:sz="0" w:space="0" w:color="auto"/>
                    <w:bottom w:val="none" w:sz="0" w:space="0" w:color="auto"/>
                    <w:right w:val="none" w:sz="0" w:space="0" w:color="auto"/>
                  </w:divBdr>
                  <w:divsChild>
                    <w:div w:id="1921910971">
                      <w:marLeft w:val="0"/>
                      <w:marRight w:val="0"/>
                      <w:marTop w:val="0"/>
                      <w:marBottom w:val="0"/>
                      <w:divBdr>
                        <w:top w:val="none" w:sz="0" w:space="0" w:color="auto"/>
                        <w:left w:val="none" w:sz="0" w:space="0" w:color="auto"/>
                        <w:bottom w:val="none" w:sz="0" w:space="0" w:color="auto"/>
                        <w:right w:val="none" w:sz="0" w:space="0" w:color="auto"/>
                      </w:divBdr>
                    </w:div>
                  </w:divsChild>
                </w:div>
                <w:div w:id="2095513822">
                  <w:marLeft w:val="0"/>
                  <w:marRight w:val="0"/>
                  <w:marTop w:val="0"/>
                  <w:marBottom w:val="0"/>
                  <w:divBdr>
                    <w:top w:val="none" w:sz="0" w:space="0" w:color="auto"/>
                    <w:left w:val="none" w:sz="0" w:space="0" w:color="auto"/>
                    <w:bottom w:val="none" w:sz="0" w:space="0" w:color="auto"/>
                    <w:right w:val="none" w:sz="0" w:space="0" w:color="auto"/>
                  </w:divBdr>
                  <w:divsChild>
                    <w:div w:id="1332871928">
                      <w:marLeft w:val="0"/>
                      <w:marRight w:val="0"/>
                      <w:marTop w:val="0"/>
                      <w:marBottom w:val="0"/>
                      <w:divBdr>
                        <w:top w:val="none" w:sz="0" w:space="0" w:color="auto"/>
                        <w:left w:val="none" w:sz="0" w:space="0" w:color="auto"/>
                        <w:bottom w:val="none" w:sz="0" w:space="0" w:color="auto"/>
                        <w:right w:val="none" w:sz="0" w:space="0" w:color="auto"/>
                      </w:divBdr>
                    </w:div>
                  </w:divsChild>
                </w:div>
                <w:div w:id="2143111150">
                  <w:marLeft w:val="0"/>
                  <w:marRight w:val="0"/>
                  <w:marTop w:val="0"/>
                  <w:marBottom w:val="0"/>
                  <w:divBdr>
                    <w:top w:val="none" w:sz="0" w:space="0" w:color="auto"/>
                    <w:left w:val="none" w:sz="0" w:space="0" w:color="auto"/>
                    <w:bottom w:val="none" w:sz="0" w:space="0" w:color="auto"/>
                    <w:right w:val="none" w:sz="0" w:space="0" w:color="auto"/>
                  </w:divBdr>
                  <w:divsChild>
                    <w:div w:id="194245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96745">
          <w:marLeft w:val="0"/>
          <w:marRight w:val="0"/>
          <w:marTop w:val="0"/>
          <w:marBottom w:val="0"/>
          <w:divBdr>
            <w:top w:val="none" w:sz="0" w:space="0" w:color="auto"/>
            <w:left w:val="none" w:sz="0" w:space="0" w:color="auto"/>
            <w:bottom w:val="none" w:sz="0" w:space="0" w:color="auto"/>
            <w:right w:val="none" w:sz="0" w:space="0" w:color="auto"/>
          </w:divBdr>
        </w:div>
      </w:divsChild>
    </w:div>
    <w:div w:id="285939515">
      <w:bodyDiv w:val="1"/>
      <w:marLeft w:val="0"/>
      <w:marRight w:val="0"/>
      <w:marTop w:val="0"/>
      <w:marBottom w:val="0"/>
      <w:divBdr>
        <w:top w:val="none" w:sz="0" w:space="0" w:color="auto"/>
        <w:left w:val="none" w:sz="0" w:space="0" w:color="auto"/>
        <w:bottom w:val="none" w:sz="0" w:space="0" w:color="auto"/>
        <w:right w:val="none" w:sz="0" w:space="0" w:color="auto"/>
      </w:divBdr>
    </w:div>
    <w:div w:id="298262614">
      <w:bodyDiv w:val="1"/>
      <w:marLeft w:val="0"/>
      <w:marRight w:val="0"/>
      <w:marTop w:val="0"/>
      <w:marBottom w:val="0"/>
      <w:divBdr>
        <w:top w:val="none" w:sz="0" w:space="0" w:color="auto"/>
        <w:left w:val="none" w:sz="0" w:space="0" w:color="auto"/>
        <w:bottom w:val="none" w:sz="0" w:space="0" w:color="auto"/>
        <w:right w:val="none" w:sz="0" w:space="0" w:color="auto"/>
      </w:divBdr>
    </w:div>
    <w:div w:id="303193825">
      <w:bodyDiv w:val="1"/>
      <w:marLeft w:val="0"/>
      <w:marRight w:val="0"/>
      <w:marTop w:val="0"/>
      <w:marBottom w:val="0"/>
      <w:divBdr>
        <w:top w:val="none" w:sz="0" w:space="0" w:color="auto"/>
        <w:left w:val="none" w:sz="0" w:space="0" w:color="auto"/>
        <w:bottom w:val="none" w:sz="0" w:space="0" w:color="auto"/>
        <w:right w:val="none" w:sz="0" w:space="0" w:color="auto"/>
      </w:divBdr>
      <w:divsChild>
        <w:div w:id="361248793">
          <w:marLeft w:val="0"/>
          <w:marRight w:val="0"/>
          <w:marTop w:val="0"/>
          <w:marBottom w:val="0"/>
          <w:divBdr>
            <w:top w:val="none" w:sz="0" w:space="0" w:color="auto"/>
            <w:left w:val="none" w:sz="0" w:space="0" w:color="auto"/>
            <w:bottom w:val="none" w:sz="0" w:space="0" w:color="auto"/>
            <w:right w:val="none" w:sz="0" w:space="0" w:color="auto"/>
          </w:divBdr>
        </w:div>
        <w:div w:id="728041475">
          <w:marLeft w:val="0"/>
          <w:marRight w:val="0"/>
          <w:marTop w:val="0"/>
          <w:marBottom w:val="0"/>
          <w:divBdr>
            <w:top w:val="none" w:sz="0" w:space="0" w:color="auto"/>
            <w:left w:val="none" w:sz="0" w:space="0" w:color="auto"/>
            <w:bottom w:val="none" w:sz="0" w:space="0" w:color="auto"/>
            <w:right w:val="none" w:sz="0" w:space="0" w:color="auto"/>
          </w:divBdr>
        </w:div>
        <w:div w:id="952248945">
          <w:marLeft w:val="0"/>
          <w:marRight w:val="0"/>
          <w:marTop w:val="0"/>
          <w:marBottom w:val="0"/>
          <w:divBdr>
            <w:top w:val="none" w:sz="0" w:space="0" w:color="auto"/>
            <w:left w:val="none" w:sz="0" w:space="0" w:color="auto"/>
            <w:bottom w:val="none" w:sz="0" w:space="0" w:color="auto"/>
            <w:right w:val="none" w:sz="0" w:space="0" w:color="auto"/>
          </w:divBdr>
        </w:div>
        <w:div w:id="1280182005">
          <w:marLeft w:val="0"/>
          <w:marRight w:val="0"/>
          <w:marTop w:val="0"/>
          <w:marBottom w:val="0"/>
          <w:divBdr>
            <w:top w:val="none" w:sz="0" w:space="0" w:color="auto"/>
            <w:left w:val="none" w:sz="0" w:space="0" w:color="auto"/>
            <w:bottom w:val="none" w:sz="0" w:space="0" w:color="auto"/>
            <w:right w:val="none" w:sz="0" w:space="0" w:color="auto"/>
          </w:divBdr>
        </w:div>
        <w:div w:id="1424111369">
          <w:marLeft w:val="0"/>
          <w:marRight w:val="0"/>
          <w:marTop w:val="0"/>
          <w:marBottom w:val="0"/>
          <w:divBdr>
            <w:top w:val="none" w:sz="0" w:space="0" w:color="auto"/>
            <w:left w:val="none" w:sz="0" w:space="0" w:color="auto"/>
            <w:bottom w:val="none" w:sz="0" w:space="0" w:color="auto"/>
            <w:right w:val="none" w:sz="0" w:space="0" w:color="auto"/>
          </w:divBdr>
        </w:div>
        <w:div w:id="1788431408">
          <w:marLeft w:val="0"/>
          <w:marRight w:val="0"/>
          <w:marTop w:val="0"/>
          <w:marBottom w:val="0"/>
          <w:divBdr>
            <w:top w:val="none" w:sz="0" w:space="0" w:color="auto"/>
            <w:left w:val="none" w:sz="0" w:space="0" w:color="auto"/>
            <w:bottom w:val="none" w:sz="0" w:space="0" w:color="auto"/>
            <w:right w:val="none" w:sz="0" w:space="0" w:color="auto"/>
          </w:divBdr>
        </w:div>
        <w:div w:id="1872575020">
          <w:marLeft w:val="0"/>
          <w:marRight w:val="0"/>
          <w:marTop w:val="0"/>
          <w:marBottom w:val="0"/>
          <w:divBdr>
            <w:top w:val="none" w:sz="0" w:space="0" w:color="auto"/>
            <w:left w:val="none" w:sz="0" w:space="0" w:color="auto"/>
            <w:bottom w:val="none" w:sz="0" w:space="0" w:color="auto"/>
            <w:right w:val="none" w:sz="0" w:space="0" w:color="auto"/>
          </w:divBdr>
        </w:div>
        <w:div w:id="1949703164">
          <w:marLeft w:val="0"/>
          <w:marRight w:val="0"/>
          <w:marTop w:val="0"/>
          <w:marBottom w:val="0"/>
          <w:divBdr>
            <w:top w:val="none" w:sz="0" w:space="0" w:color="auto"/>
            <w:left w:val="none" w:sz="0" w:space="0" w:color="auto"/>
            <w:bottom w:val="none" w:sz="0" w:space="0" w:color="auto"/>
            <w:right w:val="none" w:sz="0" w:space="0" w:color="auto"/>
          </w:divBdr>
        </w:div>
      </w:divsChild>
    </w:div>
    <w:div w:id="308291214">
      <w:bodyDiv w:val="1"/>
      <w:marLeft w:val="0"/>
      <w:marRight w:val="0"/>
      <w:marTop w:val="0"/>
      <w:marBottom w:val="0"/>
      <w:divBdr>
        <w:top w:val="none" w:sz="0" w:space="0" w:color="auto"/>
        <w:left w:val="none" w:sz="0" w:space="0" w:color="auto"/>
        <w:bottom w:val="none" w:sz="0" w:space="0" w:color="auto"/>
        <w:right w:val="none" w:sz="0" w:space="0" w:color="auto"/>
      </w:divBdr>
    </w:div>
    <w:div w:id="361906670">
      <w:bodyDiv w:val="1"/>
      <w:marLeft w:val="0"/>
      <w:marRight w:val="0"/>
      <w:marTop w:val="0"/>
      <w:marBottom w:val="0"/>
      <w:divBdr>
        <w:top w:val="none" w:sz="0" w:space="0" w:color="auto"/>
        <w:left w:val="none" w:sz="0" w:space="0" w:color="auto"/>
        <w:bottom w:val="none" w:sz="0" w:space="0" w:color="auto"/>
        <w:right w:val="none" w:sz="0" w:space="0" w:color="auto"/>
      </w:divBdr>
      <w:divsChild>
        <w:div w:id="80378816">
          <w:marLeft w:val="0"/>
          <w:marRight w:val="0"/>
          <w:marTop w:val="0"/>
          <w:marBottom w:val="0"/>
          <w:divBdr>
            <w:top w:val="none" w:sz="0" w:space="0" w:color="auto"/>
            <w:left w:val="none" w:sz="0" w:space="0" w:color="auto"/>
            <w:bottom w:val="none" w:sz="0" w:space="0" w:color="auto"/>
            <w:right w:val="none" w:sz="0" w:space="0" w:color="auto"/>
          </w:divBdr>
        </w:div>
        <w:div w:id="153033647">
          <w:marLeft w:val="0"/>
          <w:marRight w:val="0"/>
          <w:marTop w:val="0"/>
          <w:marBottom w:val="0"/>
          <w:divBdr>
            <w:top w:val="none" w:sz="0" w:space="0" w:color="auto"/>
            <w:left w:val="none" w:sz="0" w:space="0" w:color="auto"/>
            <w:bottom w:val="none" w:sz="0" w:space="0" w:color="auto"/>
            <w:right w:val="none" w:sz="0" w:space="0" w:color="auto"/>
          </w:divBdr>
        </w:div>
        <w:div w:id="169561996">
          <w:marLeft w:val="0"/>
          <w:marRight w:val="0"/>
          <w:marTop w:val="0"/>
          <w:marBottom w:val="0"/>
          <w:divBdr>
            <w:top w:val="none" w:sz="0" w:space="0" w:color="auto"/>
            <w:left w:val="none" w:sz="0" w:space="0" w:color="auto"/>
            <w:bottom w:val="none" w:sz="0" w:space="0" w:color="auto"/>
            <w:right w:val="none" w:sz="0" w:space="0" w:color="auto"/>
          </w:divBdr>
        </w:div>
        <w:div w:id="265039629">
          <w:marLeft w:val="0"/>
          <w:marRight w:val="0"/>
          <w:marTop w:val="0"/>
          <w:marBottom w:val="0"/>
          <w:divBdr>
            <w:top w:val="none" w:sz="0" w:space="0" w:color="auto"/>
            <w:left w:val="none" w:sz="0" w:space="0" w:color="auto"/>
            <w:bottom w:val="none" w:sz="0" w:space="0" w:color="auto"/>
            <w:right w:val="none" w:sz="0" w:space="0" w:color="auto"/>
          </w:divBdr>
        </w:div>
        <w:div w:id="440875200">
          <w:marLeft w:val="0"/>
          <w:marRight w:val="0"/>
          <w:marTop w:val="0"/>
          <w:marBottom w:val="0"/>
          <w:divBdr>
            <w:top w:val="none" w:sz="0" w:space="0" w:color="auto"/>
            <w:left w:val="none" w:sz="0" w:space="0" w:color="auto"/>
            <w:bottom w:val="none" w:sz="0" w:space="0" w:color="auto"/>
            <w:right w:val="none" w:sz="0" w:space="0" w:color="auto"/>
          </w:divBdr>
        </w:div>
        <w:div w:id="444614558">
          <w:marLeft w:val="0"/>
          <w:marRight w:val="0"/>
          <w:marTop w:val="0"/>
          <w:marBottom w:val="0"/>
          <w:divBdr>
            <w:top w:val="none" w:sz="0" w:space="0" w:color="auto"/>
            <w:left w:val="none" w:sz="0" w:space="0" w:color="auto"/>
            <w:bottom w:val="none" w:sz="0" w:space="0" w:color="auto"/>
            <w:right w:val="none" w:sz="0" w:space="0" w:color="auto"/>
          </w:divBdr>
        </w:div>
        <w:div w:id="451749970">
          <w:marLeft w:val="0"/>
          <w:marRight w:val="0"/>
          <w:marTop w:val="0"/>
          <w:marBottom w:val="0"/>
          <w:divBdr>
            <w:top w:val="none" w:sz="0" w:space="0" w:color="auto"/>
            <w:left w:val="none" w:sz="0" w:space="0" w:color="auto"/>
            <w:bottom w:val="none" w:sz="0" w:space="0" w:color="auto"/>
            <w:right w:val="none" w:sz="0" w:space="0" w:color="auto"/>
          </w:divBdr>
        </w:div>
        <w:div w:id="505095948">
          <w:marLeft w:val="0"/>
          <w:marRight w:val="0"/>
          <w:marTop w:val="0"/>
          <w:marBottom w:val="0"/>
          <w:divBdr>
            <w:top w:val="none" w:sz="0" w:space="0" w:color="auto"/>
            <w:left w:val="none" w:sz="0" w:space="0" w:color="auto"/>
            <w:bottom w:val="none" w:sz="0" w:space="0" w:color="auto"/>
            <w:right w:val="none" w:sz="0" w:space="0" w:color="auto"/>
          </w:divBdr>
        </w:div>
        <w:div w:id="608199663">
          <w:marLeft w:val="0"/>
          <w:marRight w:val="0"/>
          <w:marTop w:val="0"/>
          <w:marBottom w:val="0"/>
          <w:divBdr>
            <w:top w:val="none" w:sz="0" w:space="0" w:color="auto"/>
            <w:left w:val="none" w:sz="0" w:space="0" w:color="auto"/>
            <w:bottom w:val="none" w:sz="0" w:space="0" w:color="auto"/>
            <w:right w:val="none" w:sz="0" w:space="0" w:color="auto"/>
          </w:divBdr>
        </w:div>
        <w:div w:id="676736124">
          <w:marLeft w:val="0"/>
          <w:marRight w:val="0"/>
          <w:marTop w:val="0"/>
          <w:marBottom w:val="0"/>
          <w:divBdr>
            <w:top w:val="none" w:sz="0" w:space="0" w:color="auto"/>
            <w:left w:val="none" w:sz="0" w:space="0" w:color="auto"/>
            <w:bottom w:val="none" w:sz="0" w:space="0" w:color="auto"/>
            <w:right w:val="none" w:sz="0" w:space="0" w:color="auto"/>
          </w:divBdr>
        </w:div>
        <w:div w:id="761954005">
          <w:marLeft w:val="0"/>
          <w:marRight w:val="0"/>
          <w:marTop w:val="0"/>
          <w:marBottom w:val="0"/>
          <w:divBdr>
            <w:top w:val="none" w:sz="0" w:space="0" w:color="auto"/>
            <w:left w:val="none" w:sz="0" w:space="0" w:color="auto"/>
            <w:bottom w:val="none" w:sz="0" w:space="0" w:color="auto"/>
            <w:right w:val="none" w:sz="0" w:space="0" w:color="auto"/>
          </w:divBdr>
        </w:div>
        <w:div w:id="878471050">
          <w:marLeft w:val="0"/>
          <w:marRight w:val="0"/>
          <w:marTop w:val="0"/>
          <w:marBottom w:val="0"/>
          <w:divBdr>
            <w:top w:val="none" w:sz="0" w:space="0" w:color="auto"/>
            <w:left w:val="none" w:sz="0" w:space="0" w:color="auto"/>
            <w:bottom w:val="none" w:sz="0" w:space="0" w:color="auto"/>
            <w:right w:val="none" w:sz="0" w:space="0" w:color="auto"/>
          </w:divBdr>
        </w:div>
        <w:div w:id="878708193">
          <w:marLeft w:val="0"/>
          <w:marRight w:val="0"/>
          <w:marTop w:val="0"/>
          <w:marBottom w:val="0"/>
          <w:divBdr>
            <w:top w:val="none" w:sz="0" w:space="0" w:color="auto"/>
            <w:left w:val="none" w:sz="0" w:space="0" w:color="auto"/>
            <w:bottom w:val="none" w:sz="0" w:space="0" w:color="auto"/>
            <w:right w:val="none" w:sz="0" w:space="0" w:color="auto"/>
          </w:divBdr>
        </w:div>
        <w:div w:id="1049262878">
          <w:marLeft w:val="0"/>
          <w:marRight w:val="0"/>
          <w:marTop w:val="0"/>
          <w:marBottom w:val="0"/>
          <w:divBdr>
            <w:top w:val="none" w:sz="0" w:space="0" w:color="auto"/>
            <w:left w:val="none" w:sz="0" w:space="0" w:color="auto"/>
            <w:bottom w:val="none" w:sz="0" w:space="0" w:color="auto"/>
            <w:right w:val="none" w:sz="0" w:space="0" w:color="auto"/>
          </w:divBdr>
          <w:divsChild>
            <w:div w:id="56368705">
              <w:marLeft w:val="0"/>
              <w:marRight w:val="0"/>
              <w:marTop w:val="0"/>
              <w:marBottom w:val="0"/>
              <w:divBdr>
                <w:top w:val="none" w:sz="0" w:space="0" w:color="auto"/>
                <w:left w:val="none" w:sz="0" w:space="0" w:color="auto"/>
                <w:bottom w:val="none" w:sz="0" w:space="0" w:color="auto"/>
                <w:right w:val="none" w:sz="0" w:space="0" w:color="auto"/>
              </w:divBdr>
            </w:div>
            <w:div w:id="137498602">
              <w:marLeft w:val="0"/>
              <w:marRight w:val="0"/>
              <w:marTop w:val="0"/>
              <w:marBottom w:val="0"/>
              <w:divBdr>
                <w:top w:val="none" w:sz="0" w:space="0" w:color="auto"/>
                <w:left w:val="none" w:sz="0" w:space="0" w:color="auto"/>
                <w:bottom w:val="none" w:sz="0" w:space="0" w:color="auto"/>
                <w:right w:val="none" w:sz="0" w:space="0" w:color="auto"/>
              </w:divBdr>
            </w:div>
            <w:div w:id="401367729">
              <w:marLeft w:val="0"/>
              <w:marRight w:val="0"/>
              <w:marTop w:val="0"/>
              <w:marBottom w:val="0"/>
              <w:divBdr>
                <w:top w:val="none" w:sz="0" w:space="0" w:color="auto"/>
                <w:left w:val="none" w:sz="0" w:space="0" w:color="auto"/>
                <w:bottom w:val="none" w:sz="0" w:space="0" w:color="auto"/>
                <w:right w:val="none" w:sz="0" w:space="0" w:color="auto"/>
              </w:divBdr>
            </w:div>
            <w:div w:id="493759056">
              <w:marLeft w:val="0"/>
              <w:marRight w:val="0"/>
              <w:marTop w:val="0"/>
              <w:marBottom w:val="0"/>
              <w:divBdr>
                <w:top w:val="none" w:sz="0" w:space="0" w:color="auto"/>
                <w:left w:val="none" w:sz="0" w:space="0" w:color="auto"/>
                <w:bottom w:val="none" w:sz="0" w:space="0" w:color="auto"/>
                <w:right w:val="none" w:sz="0" w:space="0" w:color="auto"/>
              </w:divBdr>
            </w:div>
            <w:div w:id="509029928">
              <w:marLeft w:val="0"/>
              <w:marRight w:val="0"/>
              <w:marTop w:val="0"/>
              <w:marBottom w:val="0"/>
              <w:divBdr>
                <w:top w:val="none" w:sz="0" w:space="0" w:color="auto"/>
                <w:left w:val="none" w:sz="0" w:space="0" w:color="auto"/>
                <w:bottom w:val="none" w:sz="0" w:space="0" w:color="auto"/>
                <w:right w:val="none" w:sz="0" w:space="0" w:color="auto"/>
              </w:divBdr>
            </w:div>
            <w:div w:id="612596723">
              <w:marLeft w:val="0"/>
              <w:marRight w:val="0"/>
              <w:marTop w:val="0"/>
              <w:marBottom w:val="0"/>
              <w:divBdr>
                <w:top w:val="none" w:sz="0" w:space="0" w:color="auto"/>
                <w:left w:val="none" w:sz="0" w:space="0" w:color="auto"/>
                <w:bottom w:val="none" w:sz="0" w:space="0" w:color="auto"/>
                <w:right w:val="none" w:sz="0" w:space="0" w:color="auto"/>
              </w:divBdr>
            </w:div>
            <w:div w:id="763575065">
              <w:marLeft w:val="0"/>
              <w:marRight w:val="0"/>
              <w:marTop w:val="0"/>
              <w:marBottom w:val="0"/>
              <w:divBdr>
                <w:top w:val="none" w:sz="0" w:space="0" w:color="auto"/>
                <w:left w:val="none" w:sz="0" w:space="0" w:color="auto"/>
                <w:bottom w:val="none" w:sz="0" w:space="0" w:color="auto"/>
                <w:right w:val="none" w:sz="0" w:space="0" w:color="auto"/>
              </w:divBdr>
            </w:div>
            <w:div w:id="801189292">
              <w:marLeft w:val="0"/>
              <w:marRight w:val="0"/>
              <w:marTop w:val="0"/>
              <w:marBottom w:val="0"/>
              <w:divBdr>
                <w:top w:val="none" w:sz="0" w:space="0" w:color="auto"/>
                <w:left w:val="none" w:sz="0" w:space="0" w:color="auto"/>
                <w:bottom w:val="none" w:sz="0" w:space="0" w:color="auto"/>
                <w:right w:val="none" w:sz="0" w:space="0" w:color="auto"/>
              </w:divBdr>
            </w:div>
            <w:div w:id="802701121">
              <w:marLeft w:val="0"/>
              <w:marRight w:val="0"/>
              <w:marTop w:val="0"/>
              <w:marBottom w:val="0"/>
              <w:divBdr>
                <w:top w:val="none" w:sz="0" w:space="0" w:color="auto"/>
                <w:left w:val="none" w:sz="0" w:space="0" w:color="auto"/>
                <w:bottom w:val="none" w:sz="0" w:space="0" w:color="auto"/>
                <w:right w:val="none" w:sz="0" w:space="0" w:color="auto"/>
              </w:divBdr>
            </w:div>
            <w:div w:id="889995347">
              <w:marLeft w:val="0"/>
              <w:marRight w:val="0"/>
              <w:marTop w:val="0"/>
              <w:marBottom w:val="0"/>
              <w:divBdr>
                <w:top w:val="none" w:sz="0" w:space="0" w:color="auto"/>
                <w:left w:val="none" w:sz="0" w:space="0" w:color="auto"/>
                <w:bottom w:val="none" w:sz="0" w:space="0" w:color="auto"/>
                <w:right w:val="none" w:sz="0" w:space="0" w:color="auto"/>
              </w:divBdr>
            </w:div>
            <w:div w:id="967855127">
              <w:marLeft w:val="0"/>
              <w:marRight w:val="0"/>
              <w:marTop w:val="0"/>
              <w:marBottom w:val="0"/>
              <w:divBdr>
                <w:top w:val="none" w:sz="0" w:space="0" w:color="auto"/>
                <w:left w:val="none" w:sz="0" w:space="0" w:color="auto"/>
                <w:bottom w:val="none" w:sz="0" w:space="0" w:color="auto"/>
                <w:right w:val="none" w:sz="0" w:space="0" w:color="auto"/>
              </w:divBdr>
            </w:div>
            <w:div w:id="1117412345">
              <w:marLeft w:val="0"/>
              <w:marRight w:val="0"/>
              <w:marTop w:val="0"/>
              <w:marBottom w:val="0"/>
              <w:divBdr>
                <w:top w:val="none" w:sz="0" w:space="0" w:color="auto"/>
                <w:left w:val="none" w:sz="0" w:space="0" w:color="auto"/>
                <w:bottom w:val="none" w:sz="0" w:space="0" w:color="auto"/>
                <w:right w:val="none" w:sz="0" w:space="0" w:color="auto"/>
              </w:divBdr>
            </w:div>
            <w:div w:id="1356426116">
              <w:marLeft w:val="0"/>
              <w:marRight w:val="0"/>
              <w:marTop w:val="0"/>
              <w:marBottom w:val="0"/>
              <w:divBdr>
                <w:top w:val="none" w:sz="0" w:space="0" w:color="auto"/>
                <w:left w:val="none" w:sz="0" w:space="0" w:color="auto"/>
                <w:bottom w:val="none" w:sz="0" w:space="0" w:color="auto"/>
                <w:right w:val="none" w:sz="0" w:space="0" w:color="auto"/>
              </w:divBdr>
            </w:div>
            <w:div w:id="1452869254">
              <w:marLeft w:val="0"/>
              <w:marRight w:val="0"/>
              <w:marTop w:val="0"/>
              <w:marBottom w:val="0"/>
              <w:divBdr>
                <w:top w:val="none" w:sz="0" w:space="0" w:color="auto"/>
                <w:left w:val="none" w:sz="0" w:space="0" w:color="auto"/>
                <w:bottom w:val="none" w:sz="0" w:space="0" w:color="auto"/>
                <w:right w:val="none" w:sz="0" w:space="0" w:color="auto"/>
              </w:divBdr>
            </w:div>
            <w:div w:id="1607611618">
              <w:marLeft w:val="0"/>
              <w:marRight w:val="0"/>
              <w:marTop w:val="0"/>
              <w:marBottom w:val="0"/>
              <w:divBdr>
                <w:top w:val="none" w:sz="0" w:space="0" w:color="auto"/>
                <w:left w:val="none" w:sz="0" w:space="0" w:color="auto"/>
                <w:bottom w:val="none" w:sz="0" w:space="0" w:color="auto"/>
                <w:right w:val="none" w:sz="0" w:space="0" w:color="auto"/>
              </w:divBdr>
            </w:div>
            <w:div w:id="1700203491">
              <w:marLeft w:val="0"/>
              <w:marRight w:val="0"/>
              <w:marTop w:val="0"/>
              <w:marBottom w:val="0"/>
              <w:divBdr>
                <w:top w:val="none" w:sz="0" w:space="0" w:color="auto"/>
                <w:left w:val="none" w:sz="0" w:space="0" w:color="auto"/>
                <w:bottom w:val="none" w:sz="0" w:space="0" w:color="auto"/>
                <w:right w:val="none" w:sz="0" w:space="0" w:color="auto"/>
              </w:divBdr>
            </w:div>
            <w:div w:id="1732188528">
              <w:marLeft w:val="0"/>
              <w:marRight w:val="0"/>
              <w:marTop w:val="0"/>
              <w:marBottom w:val="0"/>
              <w:divBdr>
                <w:top w:val="none" w:sz="0" w:space="0" w:color="auto"/>
                <w:left w:val="none" w:sz="0" w:space="0" w:color="auto"/>
                <w:bottom w:val="none" w:sz="0" w:space="0" w:color="auto"/>
                <w:right w:val="none" w:sz="0" w:space="0" w:color="auto"/>
              </w:divBdr>
            </w:div>
            <w:div w:id="1945767682">
              <w:marLeft w:val="0"/>
              <w:marRight w:val="0"/>
              <w:marTop w:val="0"/>
              <w:marBottom w:val="0"/>
              <w:divBdr>
                <w:top w:val="none" w:sz="0" w:space="0" w:color="auto"/>
                <w:left w:val="none" w:sz="0" w:space="0" w:color="auto"/>
                <w:bottom w:val="none" w:sz="0" w:space="0" w:color="auto"/>
                <w:right w:val="none" w:sz="0" w:space="0" w:color="auto"/>
              </w:divBdr>
            </w:div>
            <w:div w:id="2091612146">
              <w:marLeft w:val="0"/>
              <w:marRight w:val="0"/>
              <w:marTop w:val="0"/>
              <w:marBottom w:val="0"/>
              <w:divBdr>
                <w:top w:val="none" w:sz="0" w:space="0" w:color="auto"/>
                <w:left w:val="none" w:sz="0" w:space="0" w:color="auto"/>
                <w:bottom w:val="none" w:sz="0" w:space="0" w:color="auto"/>
                <w:right w:val="none" w:sz="0" w:space="0" w:color="auto"/>
              </w:divBdr>
            </w:div>
            <w:div w:id="2098743571">
              <w:marLeft w:val="0"/>
              <w:marRight w:val="0"/>
              <w:marTop w:val="0"/>
              <w:marBottom w:val="0"/>
              <w:divBdr>
                <w:top w:val="none" w:sz="0" w:space="0" w:color="auto"/>
                <w:left w:val="none" w:sz="0" w:space="0" w:color="auto"/>
                <w:bottom w:val="none" w:sz="0" w:space="0" w:color="auto"/>
                <w:right w:val="none" w:sz="0" w:space="0" w:color="auto"/>
              </w:divBdr>
            </w:div>
          </w:divsChild>
        </w:div>
        <w:div w:id="1173256041">
          <w:marLeft w:val="0"/>
          <w:marRight w:val="0"/>
          <w:marTop w:val="0"/>
          <w:marBottom w:val="0"/>
          <w:divBdr>
            <w:top w:val="none" w:sz="0" w:space="0" w:color="auto"/>
            <w:left w:val="none" w:sz="0" w:space="0" w:color="auto"/>
            <w:bottom w:val="none" w:sz="0" w:space="0" w:color="auto"/>
            <w:right w:val="none" w:sz="0" w:space="0" w:color="auto"/>
          </w:divBdr>
        </w:div>
        <w:div w:id="1187600979">
          <w:marLeft w:val="0"/>
          <w:marRight w:val="0"/>
          <w:marTop w:val="0"/>
          <w:marBottom w:val="0"/>
          <w:divBdr>
            <w:top w:val="none" w:sz="0" w:space="0" w:color="auto"/>
            <w:left w:val="none" w:sz="0" w:space="0" w:color="auto"/>
            <w:bottom w:val="none" w:sz="0" w:space="0" w:color="auto"/>
            <w:right w:val="none" w:sz="0" w:space="0" w:color="auto"/>
          </w:divBdr>
        </w:div>
        <w:div w:id="1244416721">
          <w:marLeft w:val="0"/>
          <w:marRight w:val="0"/>
          <w:marTop w:val="0"/>
          <w:marBottom w:val="0"/>
          <w:divBdr>
            <w:top w:val="none" w:sz="0" w:space="0" w:color="auto"/>
            <w:left w:val="none" w:sz="0" w:space="0" w:color="auto"/>
            <w:bottom w:val="none" w:sz="0" w:space="0" w:color="auto"/>
            <w:right w:val="none" w:sz="0" w:space="0" w:color="auto"/>
          </w:divBdr>
        </w:div>
        <w:div w:id="1371109951">
          <w:marLeft w:val="0"/>
          <w:marRight w:val="0"/>
          <w:marTop w:val="0"/>
          <w:marBottom w:val="0"/>
          <w:divBdr>
            <w:top w:val="none" w:sz="0" w:space="0" w:color="auto"/>
            <w:left w:val="none" w:sz="0" w:space="0" w:color="auto"/>
            <w:bottom w:val="none" w:sz="0" w:space="0" w:color="auto"/>
            <w:right w:val="none" w:sz="0" w:space="0" w:color="auto"/>
          </w:divBdr>
        </w:div>
        <w:div w:id="1407608993">
          <w:marLeft w:val="0"/>
          <w:marRight w:val="0"/>
          <w:marTop w:val="0"/>
          <w:marBottom w:val="0"/>
          <w:divBdr>
            <w:top w:val="none" w:sz="0" w:space="0" w:color="auto"/>
            <w:left w:val="none" w:sz="0" w:space="0" w:color="auto"/>
            <w:bottom w:val="none" w:sz="0" w:space="0" w:color="auto"/>
            <w:right w:val="none" w:sz="0" w:space="0" w:color="auto"/>
          </w:divBdr>
        </w:div>
        <w:div w:id="1671634489">
          <w:marLeft w:val="0"/>
          <w:marRight w:val="0"/>
          <w:marTop w:val="0"/>
          <w:marBottom w:val="0"/>
          <w:divBdr>
            <w:top w:val="none" w:sz="0" w:space="0" w:color="auto"/>
            <w:left w:val="none" w:sz="0" w:space="0" w:color="auto"/>
            <w:bottom w:val="none" w:sz="0" w:space="0" w:color="auto"/>
            <w:right w:val="none" w:sz="0" w:space="0" w:color="auto"/>
          </w:divBdr>
        </w:div>
        <w:div w:id="1737124048">
          <w:marLeft w:val="0"/>
          <w:marRight w:val="0"/>
          <w:marTop w:val="0"/>
          <w:marBottom w:val="0"/>
          <w:divBdr>
            <w:top w:val="none" w:sz="0" w:space="0" w:color="auto"/>
            <w:left w:val="none" w:sz="0" w:space="0" w:color="auto"/>
            <w:bottom w:val="none" w:sz="0" w:space="0" w:color="auto"/>
            <w:right w:val="none" w:sz="0" w:space="0" w:color="auto"/>
          </w:divBdr>
        </w:div>
        <w:div w:id="2086872538">
          <w:marLeft w:val="0"/>
          <w:marRight w:val="0"/>
          <w:marTop w:val="0"/>
          <w:marBottom w:val="0"/>
          <w:divBdr>
            <w:top w:val="none" w:sz="0" w:space="0" w:color="auto"/>
            <w:left w:val="none" w:sz="0" w:space="0" w:color="auto"/>
            <w:bottom w:val="none" w:sz="0" w:space="0" w:color="auto"/>
            <w:right w:val="none" w:sz="0" w:space="0" w:color="auto"/>
          </w:divBdr>
        </w:div>
        <w:div w:id="2090232804">
          <w:marLeft w:val="0"/>
          <w:marRight w:val="0"/>
          <w:marTop w:val="0"/>
          <w:marBottom w:val="0"/>
          <w:divBdr>
            <w:top w:val="none" w:sz="0" w:space="0" w:color="auto"/>
            <w:left w:val="none" w:sz="0" w:space="0" w:color="auto"/>
            <w:bottom w:val="none" w:sz="0" w:space="0" w:color="auto"/>
            <w:right w:val="none" w:sz="0" w:space="0" w:color="auto"/>
          </w:divBdr>
        </w:div>
      </w:divsChild>
    </w:div>
    <w:div w:id="431704703">
      <w:bodyDiv w:val="1"/>
      <w:marLeft w:val="0"/>
      <w:marRight w:val="0"/>
      <w:marTop w:val="0"/>
      <w:marBottom w:val="0"/>
      <w:divBdr>
        <w:top w:val="none" w:sz="0" w:space="0" w:color="auto"/>
        <w:left w:val="none" w:sz="0" w:space="0" w:color="auto"/>
        <w:bottom w:val="none" w:sz="0" w:space="0" w:color="auto"/>
        <w:right w:val="none" w:sz="0" w:space="0" w:color="auto"/>
      </w:divBdr>
    </w:div>
    <w:div w:id="510796654">
      <w:bodyDiv w:val="1"/>
      <w:marLeft w:val="0"/>
      <w:marRight w:val="0"/>
      <w:marTop w:val="0"/>
      <w:marBottom w:val="0"/>
      <w:divBdr>
        <w:top w:val="none" w:sz="0" w:space="0" w:color="auto"/>
        <w:left w:val="none" w:sz="0" w:space="0" w:color="auto"/>
        <w:bottom w:val="none" w:sz="0" w:space="0" w:color="auto"/>
        <w:right w:val="none" w:sz="0" w:space="0" w:color="auto"/>
      </w:divBdr>
    </w:div>
    <w:div w:id="561327240">
      <w:bodyDiv w:val="1"/>
      <w:marLeft w:val="0"/>
      <w:marRight w:val="0"/>
      <w:marTop w:val="0"/>
      <w:marBottom w:val="0"/>
      <w:divBdr>
        <w:top w:val="none" w:sz="0" w:space="0" w:color="auto"/>
        <w:left w:val="none" w:sz="0" w:space="0" w:color="auto"/>
        <w:bottom w:val="none" w:sz="0" w:space="0" w:color="auto"/>
        <w:right w:val="none" w:sz="0" w:space="0" w:color="auto"/>
      </w:divBdr>
      <w:divsChild>
        <w:div w:id="164901467">
          <w:marLeft w:val="0"/>
          <w:marRight w:val="0"/>
          <w:marTop w:val="0"/>
          <w:marBottom w:val="0"/>
          <w:divBdr>
            <w:top w:val="none" w:sz="0" w:space="0" w:color="auto"/>
            <w:left w:val="none" w:sz="0" w:space="0" w:color="auto"/>
            <w:bottom w:val="none" w:sz="0" w:space="0" w:color="auto"/>
            <w:right w:val="none" w:sz="0" w:space="0" w:color="auto"/>
          </w:divBdr>
        </w:div>
        <w:div w:id="233516385">
          <w:marLeft w:val="0"/>
          <w:marRight w:val="0"/>
          <w:marTop w:val="0"/>
          <w:marBottom w:val="0"/>
          <w:divBdr>
            <w:top w:val="none" w:sz="0" w:space="0" w:color="auto"/>
            <w:left w:val="none" w:sz="0" w:space="0" w:color="auto"/>
            <w:bottom w:val="none" w:sz="0" w:space="0" w:color="auto"/>
            <w:right w:val="none" w:sz="0" w:space="0" w:color="auto"/>
          </w:divBdr>
        </w:div>
        <w:div w:id="742261659">
          <w:marLeft w:val="0"/>
          <w:marRight w:val="0"/>
          <w:marTop w:val="0"/>
          <w:marBottom w:val="0"/>
          <w:divBdr>
            <w:top w:val="none" w:sz="0" w:space="0" w:color="auto"/>
            <w:left w:val="none" w:sz="0" w:space="0" w:color="auto"/>
            <w:bottom w:val="none" w:sz="0" w:space="0" w:color="auto"/>
            <w:right w:val="none" w:sz="0" w:space="0" w:color="auto"/>
          </w:divBdr>
        </w:div>
        <w:div w:id="945648650">
          <w:marLeft w:val="0"/>
          <w:marRight w:val="0"/>
          <w:marTop w:val="0"/>
          <w:marBottom w:val="0"/>
          <w:divBdr>
            <w:top w:val="none" w:sz="0" w:space="0" w:color="auto"/>
            <w:left w:val="none" w:sz="0" w:space="0" w:color="auto"/>
            <w:bottom w:val="none" w:sz="0" w:space="0" w:color="auto"/>
            <w:right w:val="none" w:sz="0" w:space="0" w:color="auto"/>
          </w:divBdr>
        </w:div>
        <w:div w:id="1220243595">
          <w:marLeft w:val="0"/>
          <w:marRight w:val="0"/>
          <w:marTop w:val="0"/>
          <w:marBottom w:val="0"/>
          <w:divBdr>
            <w:top w:val="none" w:sz="0" w:space="0" w:color="auto"/>
            <w:left w:val="none" w:sz="0" w:space="0" w:color="auto"/>
            <w:bottom w:val="none" w:sz="0" w:space="0" w:color="auto"/>
            <w:right w:val="none" w:sz="0" w:space="0" w:color="auto"/>
          </w:divBdr>
        </w:div>
        <w:div w:id="1228228327">
          <w:marLeft w:val="0"/>
          <w:marRight w:val="0"/>
          <w:marTop w:val="0"/>
          <w:marBottom w:val="0"/>
          <w:divBdr>
            <w:top w:val="none" w:sz="0" w:space="0" w:color="auto"/>
            <w:left w:val="none" w:sz="0" w:space="0" w:color="auto"/>
            <w:bottom w:val="none" w:sz="0" w:space="0" w:color="auto"/>
            <w:right w:val="none" w:sz="0" w:space="0" w:color="auto"/>
          </w:divBdr>
        </w:div>
        <w:div w:id="1317614991">
          <w:marLeft w:val="0"/>
          <w:marRight w:val="0"/>
          <w:marTop w:val="0"/>
          <w:marBottom w:val="0"/>
          <w:divBdr>
            <w:top w:val="none" w:sz="0" w:space="0" w:color="auto"/>
            <w:left w:val="none" w:sz="0" w:space="0" w:color="auto"/>
            <w:bottom w:val="none" w:sz="0" w:space="0" w:color="auto"/>
            <w:right w:val="none" w:sz="0" w:space="0" w:color="auto"/>
          </w:divBdr>
        </w:div>
        <w:div w:id="1442067533">
          <w:marLeft w:val="0"/>
          <w:marRight w:val="0"/>
          <w:marTop w:val="0"/>
          <w:marBottom w:val="0"/>
          <w:divBdr>
            <w:top w:val="none" w:sz="0" w:space="0" w:color="auto"/>
            <w:left w:val="none" w:sz="0" w:space="0" w:color="auto"/>
            <w:bottom w:val="none" w:sz="0" w:space="0" w:color="auto"/>
            <w:right w:val="none" w:sz="0" w:space="0" w:color="auto"/>
          </w:divBdr>
        </w:div>
        <w:div w:id="1910726159">
          <w:marLeft w:val="0"/>
          <w:marRight w:val="0"/>
          <w:marTop w:val="0"/>
          <w:marBottom w:val="0"/>
          <w:divBdr>
            <w:top w:val="none" w:sz="0" w:space="0" w:color="auto"/>
            <w:left w:val="none" w:sz="0" w:space="0" w:color="auto"/>
            <w:bottom w:val="none" w:sz="0" w:space="0" w:color="auto"/>
            <w:right w:val="none" w:sz="0" w:space="0" w:color="auto"/>
          </w:divBdr>
          <w:divsChild>
            <w:div w:id="63114543">
              <w:marLeft w:val="0"/>
              <w:marRight w:val="0"/>
              <w:marTop w:val="0"/>
              <w:marBottom w:val="0"/>
              <w:divBdr>
                <w:top w:val="none" w:sz="0" w:space="0" w:color="auto"/>
                <w:left w:val="none" w:sz="0" w:space="0" w:color="auto"/>
                <w:bottom w:val="none" w:sz="0" w:space="0" w:color="auto"/>
                <w:right w:val="none" w:sz="0" w:space="0" w:color="auto"/>
              </w:divBdr>
            </w:div>
            <w:div w:id="339237088">
              <w:marLeft w:val="0"/>
              <w:marRight w:val="0"/>
              <w:marTop w:val="0"/>
              <w:marBottom w:val="0"/>
              <w:divBdr>
                <w:top w:val="none" w:sz="0" w:space="0" w:color="auto"/>
                <w:left w:val="none" w:sz="0" w:space="0" w:color="auto"/>
                <w:bottom w:val="none" w:sz="0" w:space="0" w:color="auto"/>
                <w:right w:val="none" w:sz="0" w:space="0" w:color="auto"/>
              </w:divBdr>
            </w:div>
            <w:div w:id="407390563">
              <w:marLeft w:val="0"/>
              <w:marRight w:val="0"/>
              <w:marTop w:val="0"/>
              <w:marBottom w:val="0"/>
              <w:divBdr>
                <w:top w:val="none" w:sz="0" w:space="0" w:color="auto"/>
                <w:left w:val="none" w:sz="0" w:space="0" w:color="auto"/>
                <w:bottom w:val="none" w:sz="0" w:space="0" w:color="auto"/>
                <w:right w:val="none" w:sz="0" w:space="0" w:color="auto"/>
              </w:divBdr>
            </w:div>
            <w:div w:id="517163554">
              <w:marLeft w:val="0"/>
              <w:marRight w:val="0"/>
              <w:marTop w:val="0"/>
              <w:marBottom w:val="0"/>
              <w:divBdr>
                <w:top w:val="none" w:sz="0" w:space="0" w:color="auto"/>
                <w:left w:val="none" w:sz="0" w:space="0" w:color="auto"/>
                <w:bottom w:val="none" w:sz="0" w:space="0" w:color="auto"/>
                <w:right w:val="none" w:sz="0" w:space="0" w:color="auto"/>
              </w:divBdr>
            </w:div>
            <w:div w:id="567150324">
              <w:marLeft w:val="0"/>
              <w:marRight w:val="0"/>
              <w:marTop w:val="0"/>
              <w:marBottom w:val="0"/>
              <w:divBdr>
                <w:top w:val="none" w:sz="0" w:space="0" w:color="auto"/>
                <w:left w:val="none" w:sz="0" w:space="0" w:color="auto"/>
                <w:bottom w:val="none" w:sz="0" w:space="0" w:color="auto"/>
                <w:right w:val="none" w:sz="0" w:space="0" w:color="auto"/>
              </w:divBdr>
            </w:div>
            <w:div w:id="646590103">
              <w:marLeft w:val="0"/>
              <w:marRight w:val="0"/>
              <w:marTop w:val="0"/>
              <w:marBottom w:val="0"/>
              <w:divBdr>
                <w:top w:val="none" w:sz="0" w:space="0" w:color="auto"/>
                <w:left w:val="none" w:sz="0" w:space="0" w:color="auto"/>
                <w:bottom w:val="none" w:sz="0" w:space="0" w:color="auto"/>
                <w:right w:val="none" w:sz="0" w:space="0" w:color="auto"/>
              </w:divBdr>
            </w:div>
            <w:div w:id="821197588">
              <w:marLeft w:val="0"/>
              <w:marRight w:val="0"/>
              <w:marTop w:val="0"/>
              <w:marBottom w:val="0"/>
              <w:divBdr>
                <w:top w:val="none" w:sz="0" w:space="0" w:color="auto"/>
                <w:left w:val="none" w:sz="0" w:space="0" w:color="auto"/>
                <w:bottom w:val="none" w:sz="0" w:space="0" w:color="auto"/>
                <w:right w:val="none" w:sz="0" w:space="0" w:color="auto"/>
              </w:divBdr>
            </w:div>
            <w:div w:id="839779800">
              <w:marLeft w:val="0"/>
              <w:marRight w:val="0"/>
              <w:marTop w:val="0"/>
              <w:marBottom w:val="0"/>
              <w:divBdr>
                <w:top w:val="none" w:sz="0" w:space="0" w:color="auto"/>
                <w:left w:val="none" w:sz="0" w:space="0" w:color="auto"/>
                <w:bottom w:val="none" w:sz="0" w:space="0" w:color="auto"/>
                <w:right w:val="none" w:sz="0" w:space="0" w:color="auto"/>
              </w:divBdr>
            </w:div>
            <w:div w:id="928735232">
              <w:marLeft w:val="0"/>
              <w:marRight w:val="0"/>
              <w:marTop w:val="0"/>
              <w:marBottom w:val="0"/>
              <w:divBdr>
                <w:top w:val="none" w:sz="0" w:space="0" w:color="auto"/>
                <w:left w:val="none" w:sz="0" w:space="0" w:color="auto"/>
                <w:bottom w:val="none" w:sz="0" w:space="0" w:color="auto"/>
                <w:right w:val="none" w:sz="0" w:space="0" w:color="auto"/>
              </w:divBdr>
            </w:div>
            <w:div w:id="1022169321">
              <w:marLeft w:val="0"/>
              <w:marRight w:val="0"/>
              <w:marTop w:val="0"/>
              <w:marBottom w:val="0"/>
              <w:divBdr>
                <w:top w:val="none" w:sz="0" w:space="0" w:color="auto"/>
                <w:left w:val="none" w:sz="0" w:space="0" w:color="auto"/>
                <w:bottom w:val="none" w:sz="0" w:space="0" w:color="auto"/>
                <w:right w:val="none" w:sz="0" w:space="0" w:color="auto"/>
              </w:divBdr>
            </w:div>
            <w:div w:id="1025401369">
              <w:marLeft w:val="0"/>
              <w:marRight w:val="0"/>
              <w:marTop w:val="0"/>
              <w:marBottom w:val="0"/>
              <w:divBdr>
                <w:top w:val="none" w:sz="0" w:space="0" w:color="auto"/>
                <w:left w:val="none" w:sz="0" w:space="0" w:color="auto"/>
                <w:bottom w:val="none" w:sz="0" w:space="0" w:color="auto"/>
                <w:right w:val="none" w:sz="0" w:space="0" w:color="auto"/>
              </w:divBdr>
            </w:div>
            <w:div w:id="1201089917">
              <w:marLeft w:val="0"/>
              <w:marRight w:val="0"/>
              <w:marTop w:val="0"/>
              <w:marBottom w:val="0"/>
              <w:divBdr>
                <w:top w:val="none" w:sz="0" w:space="0" w:color="auto"/>
                <w:left w:val="none" w:sz="0" w:space="0" w:color="auto"/>
                <w:bottom w:val="none" w:sz="0" w:space="0" w:color="auto"/>
                <w:right w:val="none" w:sz="0" w:space="0" w:color="auto"/>
              </w:divBdr>
            </w:div>
            <w:div w:id="1251625952">
              <w:marLeft w:val="0"/>
              <w:marRight w:val="0"/>
              <w:marTop w:val="0"/>
              <w:marBottom w:val="0"/>
              <w:divBdr>
                <w:top w:val="none" w:sz="0" w:space="0" w:color="auto"/>
                <w:left w:val="none" w:sz="0" w:space="0" w:color="auto"/>
                <w:bottom w:val="none" w:sz="0" w:space="0" w:color="auto"/>
                <w:right w:val="none" w:sz="0" w:space="0" w:color="auto"/>
              </w:divBdr>
            </w:div>
            <w:div w:id="1274820414">
              <w:marLeft w:val="0"/>
              <w:marRight w:val="0"/>
              <w:marTop w:val="0"/>
              <w:marBottom w:val="0"/>
              <w:divBdr>
                <w:top w:val="none" w:sz="0" w:space="0" w:color="auto"/>
                <w:left w:val="none" w:sz="0" w:space="0" w:color="auto"/>
                <w:bottom w:val="none" w:sz="0" w:space="0" w:color="auto"/>
                <w:right w:val="none" w:sz="0" w:space="0" w:color="auto"/>
              </w:divBdr>
            </w:div>
            <w:div w:id="1535847711">
              <w:marLeft w:val="0"/>
              <w:marRight w:val="0"/>
              <w:marTop w:val="0"/>
              <w:marBottom w:val="0"/>
              <w:divBdr>
                <w:top w:val="none" w:sz="0" w:space="0" w:color="auto"/>
                <w:left w:val="none" w:sz="0" w:space="0" w:color="auto"/>
                <w:bottom w:val="none" w:sz="0" w:space="0" w:color="auto"/>
                <w:right w:val="none" w:sz="0" w:space="0" w:color="auto"/>
              </w:divBdr>
            </w:div>
            <w:div w:id="1613784385">
              <w:marLeft w:val="0"/>
              <w:marRight w:val="0"/>
              <w:marTop w:val="0"/>
              <w:marBottom w:val="0"/>
              <w:divBdr>
                <w:top w:val="none" w:sz="0" w:space="0" w:color="auto"/>
                <w:left w:val="none" w:sz="0" w:space="0" w:color="auto"/>
                <w:bottom w:val="none" w:sz="0" w:space="0" w:color="auto"/>
                <w:right w:val="none" w:sz="0" w:space="0" w:color="auto"/>
              </w:divBdr>
            </w:div>
            <w:div w:id="1791633090">
              <w:marLeft w:val="0"/>
              <w:marRight w:val="0"/>
              <w:marTop w:val="0"/>
              <w:marBottom w:val="0"/>
              <w:divBdr>
                <w:top w:val="none" w:sz="0" w:space="0" w:color="auto"/>
                <w:left w:val="none" w:sz="0" w:space="0" w:color="auto"/>
                <w:bottom w:val="none" w:sz="0" w:space="0" w:color="auto"/>
                <w:right w:val="none" w:sz="0" w:space="0" w:color="auto"/>
              </w:divBdr>
            </w:div>
            <w:div w:id="1915433258">
              <w:marLeft w:val="0"/>
              <w:marRight w:val="0"/>
              <w:marTop w:val="0"/>
              <w:marBottom w:val="0"/>
              <w:divBdr>
                <w:top w:val="none" w:sz="0" w:space="0" w:color="auto"/>
                <w:left w:val="none" w:sz="0" w:space="0" w:color="auto"/>
                <w:bottom w:val="none" w:sz="0" w:space="0" w:color="auto"/>
                <w:right w:val="none" w:sz="0" w:space="0" w:color="auto"/>
              </w:divBdr>
            </w:div>
          </w:divsChild>
        </w:div>
        <w:div w:id="1945961529">
          <w:marLeft w:val="0"/>
          <w:marRight w:val="0"/>
          <w:marTop w:val="0"/>
          <w:marBottom w:val="0"/>
          <w:divBdr>
            <w:top w:val="none" w:sz="0" w:space="0" w:color="auto"/>
            <w:left w:val="none" w:sz="0" w:space="0" w:color="auto"/>
            <w:bottom w:val="none" w:sz="0" w:space="0" w:color="auto"/>
            <w:right w:val="none" w:sz="0" w:space="0" w:color="auto"/>
          </w:divBdr>
        </w:div>
        <w:div w:id="2082438324">
          <w:marLeft w:val="0"/>
          <w:marRight w:val="0"/>
          <w:marTop w:val="0"/>
          <w:marBottom w:val="0"/>
          <w:divBdr>
            <w:top w:val="none" w:sz="0" w:space="0" w:color="auto"/>
            <w:left w:val="none" w:sz="0" w:space="0" w:color="auto"/>
            <w:bottom w:val="none" w:sz="0" w:space="0" w:color="auto"/>
            <w:right w:val="none" w:sz="0" w:space="0" w:color="auto"/>
          </w:divBdr>
        </w:div>
      </w:divsChild>
    </w:div>
    <w:div w:id="695348348">
      <w:bodyDiv w:val="1"/>
      <w:marLeft w:val="0"/>
      <w:marRight w:val="0"/>
      <w:marTop w:val="0"/>
      <w:marBottom w:val="0"/>
      <w:divBdr>
        <w:top w:val="none" w:sz="0" w:space="0" w:color="auto"/>
        <w:left w:val="none" w:sz="0" w:space="0" w:color="auto"/>
        <w:bottom w:val="none" w:sz="0" w:space="0" w:color="auto"/>
        <w:right w:val="none" w:sz="0" w:space="0" w:color="auto"/>
      </w:divBdr>
    </w:div>
    <w:div w:id="714277947">
      <w:bodyDiv w:val="1"/>
      <w:marLeft w:val="0"/>
      <w:marRight w:val="0"/>
      <w:marTop w:val="0"/>
      <w:marBottom w:val="0"/>
      <w:divBdr>
        <w:top w:val="none" w:sz="0" w:space="0" w:color="auto"/>
        <w:left w:val="none" w:sz="0" w:space="0" w:color="auto"/>
        <w:bottom w:val="none" w:sz="0" w:space="0" w:color="auto"/>
        <w:right w:val="none" w:sz="0" w:space="0" w:color="auto"/>
      </w:divBdr>
      <w:divsChild>
        <w:div w:id="33970269">
          <w:marLeft w:val="0"/>
          <w:marRight w:val="0"/>
          <w:marTop w:val="0"/>
          <w:marBottom w:val="0"/>
          <w:divBdr>
            <w:top w:val="none" w:sz="0" w:space="0" w:color="auto"/>
            <w:left w:val="none" w:sz="0" w:space="0" w:color="auto"/>
            <w:bottom w:val="none" w:sz="0" w:space="0" w:color="auto"/>
            <w:right w:val="none" w:sz="0" w:space="0" w:color="auto"/>
          </w:divBdr>
        </w:div>
        <w:div w:id="951746493">
          <w:marLeft w:val="0"/>
          <w:marRight w:val="0"/>
          <w:marTop w:val="0"/>
          <w:marBottom w:val="0"/>
          <w:divBdr>
            <w:top w:val="none" w:sz="0" w:space="0" w:color="auto"/>
            <w:left w:val="none" w:sz="0" w:space="0" w:color="auto"/>
            <w:bottom w:val="none" w:sz="0" w:space="0" w:color="auto"/>
            <w:right w:val="none" w:sz="0" w:space="0" w:color="auto"/>
          </w:divBdr>
        </w:div>
        <w:div w:id="1894081287">
          <w:marLeft w:val="0"/>
          <w:marRight w:val="0"/>
          <w:marTop w:val="0"/>
          <w:marBottom w:val="0"/>
          <w:divBdr>
            <w:top w:val="none" w:sz="0" w:space="0" w:color="auto"/>
            <w:left w:val="none" w:sz="0" w:space="0" w:color="auto"/>
            <w:bottom w:val="none" w:sz="0" w:space="0" w:color="auto"/>
            <w:right w:val="none" w:sz="0" w:space="0" w:color="auto"/>
          </w:divBdr>
          <w:divsChild>
            <w:div w:id="400255710">
              <w:marLeft w:val="-75"/>
              <w:marRight w:val="0"/>
              <w:marTop w:val="30"/>
              <w:marBottom w:val="30"/>
              <w:divBdr>
                <w:top w:val="none" w:sz="0" w:space="0" w:color="auto"/>
                <w:left w:val="none" w:sz="0" w:space="0" w:color="auto"/>
                <w:bottom w:val="none" w:sz="0" w:space="0" w:color="auto"/>
                <w:right w:val="none" w:sz="0" w:space="0" w:color="auto"/>
              </w:divBdr>
              <w:divsChild>
                <w:div w:id="17778833">
                  <w:marLeft w:val="0"/>
                  <w:marRight w:val="0"/>
                  <w:marTop w:val="0"/>
                  <w:marBottom w:val="0"/>
                  <w:divBdr>
                    <w:top w:val="none" w:sz="0" w:space="0" w:color="auto"/>
                    <w:left w:val="none" w:sz="0" w:space="0" w:color="auto"/>
                    <w:bottom w:val="none" w:sz="0" w:space="0" w:color="auto"/>
                    <w:right w:val="none" w:sz="0" w:space="0" w:color="auto"/>
                  </w:divBdr>
                  <w:divsChild>
                    <w:div w:id="1230964666">
                      <w:marLeft w:val="0"/>
                      <w:marRight w:val="0"/>
                      <w:marTop w:val="0"/>
                      <w:marBottom w:val="0"/>
                      <w:divBdr>
                        <w:top w:val="none" w:sz="0" w:space="0" w:color="auto"/>
                        <w:left w:val="none" w:sz="0" w:space="0" w:color="auto"/>
                        <w:bottom w:val="none" w:sz="0" w:space="0" w:color="auto"/>
                        <w:right w:val="none" w:sz="0" w:space="0" w:color="auto"/>
                      </w:divBdr>
                    </w:div>
                  </w:divsChild>
                </w:div>
                <w:div w:id="26761778">
                  <w:marLeft w:val="0"/>
                  <w:marRight w:val="0"/>
                  <w:marTop w:val="0"/>
                  <w:marBottom w:val="0"/>
                  <w:divBdr>
                    <w:top w:val="none" w:sz="0" w:space="0" w:color="auto"/>
                    <w:left w:val="none" w:sz="0" w:space="0" w:color="auto"/>
                    <w:bottom w:val="none" w:sz="0" w:space="0" w:color="auto"/>
                    <w:right w:val="none" w:sz="0" w:space="0" w:color="auto"/>
                  </w:divBdr>
                  <w:divsChild>
                    <w:div w:id="740373618">
                      <w:marLeft w:val="0"/>
                      <w:marRight w:val="0"/>
                      <w:marTop w:val="0"/>
                      <w:marBottom w:val="0"/>
                      <w:divBdr>
                        <w:top w:val="none" w:sz="0" w:space="0" w:color="auto"/>
                        <w:left w:val="none" w:sz="0" w:space="0" w:color="auto"/>
                        <w:bottom w:val="none" w:sz="0" w:space="0" w:color="auto"/>
                        <w:right w:val="none" w:sz="0" w:space="0" w:color="auto"/>
                      </w:divBdr>
                    </w:div>
                  </w:divsChild>
                </w:div>
                <w:div w:id="40834739">
                  <w:marLeft w:val="0"/>
                  <w:marRight w:val="0"/>
                  <w:marTop w:val="0"/>
                  <w:marBottom w:val="0"/>
                  <w:divBdr>
                    <w:top w:val="none" w:sz="0" w:space="0" w:color="auto"/>
                    <w:left w:val="none" w:sz="0" w:space="0" w:color="auto"/>
                    <w:bottom w:val="none" w:sz="0" w:space="0" w:color="auto"/>
                    <w:right w:val="none" w:sz="0" w:space="0" w:color="auto"/>
                  </w:divBdr>
                  <w:divsChild>
                    <w:div w:id="2097555966">
                      <w:marLeft w:val="0"/>
                      <w:marRight w:val="0"/>
                      <w:marTop w:val="0"/>
                      <w:marBottom w:val="0"/>
                      <w:divBdr>
                        <w:top w:val="none" w:sz="0" w:space="0" w:color="auto"/>
                        <w:left w:val="none" w:sz="0" w:space="0" w:color="auto"/>
                        <w:bottom w:val="none" w:sz="0" w:space="0" w:color="auto"/>
                        <w:right w:val="none" w:sz="0" w:space="0" w:color="auto"/>
                      </w:divBdr>
                    </w:div>
                  </w:divsChild>
                </w:div>
                <w:div w:id="48961982">
                  <w:marLeft w:val="0"/>
                  <w:marRight w:val="0"/>
                  <w:marTop w:val="0"/>
                  <w:marBottom w:val="0"/>
                  <w:divBdr>
                    <w:top w:val="none" w:sz="0" w:space="0" w:color="auto"/>
                    <w:left w:val="none" w:sz="0" w:space="0" w:color="auto"/>
                    <w:bottom w:val="none" w:sz="0" w:space="0" w:color="auto"/>
                    <w:right w:val="none" w:sz="0" w:space="0" w:color="auto"/>
                  </w:divBdr>
                  <w:divsChild>
                    <w:div w:id="1831554527">
                      <w:marLeft w:val="0"/>
                      <w:marRight w:val="0"/>
                      <w:marTop w:val="0"/>
                      <w:marBottom w:val="0"/>
                      <w:divBdr>
                        <w:top w:val="none" w:sz="0" w:space="0" w:color="auto"/>
                        <w:left w:val="none" w:sz="0" w:space="0" w:color="auto"/>
                        <w:bottom w:val="none" w:sz="0" w:space="0" w:color="auto"/>
                        <w:right w:val="none" w:sz="0" w:space="0" w:color="auto"/>
                      </w:divBdr>
                    </w:div>
                  </w:divsChild>
                </w:div>
                <w:div w:id="57293274">
                  <w:marLeft w:val="0"/>
                  <w:marRight w:val="0"/>
                  <w:marTop w:val="0"/>
                  <w:marBottom w:val="0"/>
                  <w:divBdr>
                    <w:top w:val="none" w:sz="0" w:space="0" w:color="auto"/>
                    <w:left w:val="none" w:sz="0" w:space="0" w:color="auto"/>
                    <w:bottom w:val="none" w:sz="0" w:space="0" w:color="auto"/>
                    <w:right w:val="none" w:sz="0" w:space="0" w:color="auto"/>
                  </w:divBdr>
                  <w:divsChild>
                    <w:div w:id="1855729547">
                      <w:marLeft w:val="0"/>
                      <w:marRight w:val="0"/>
                      <w:marTop w:val="0"/>
                      <w:marBottom w:val="0"/>
                      <w:divBdr>
                        <w:top w:val="none" w:sz="0" w:space="0" w:color="auto"/>
                        <w:left w:val="none" w:sz="0" w:space="0" w:color="auto"/>
                        <w:bottom w:val="none" w:sz="0" w:space="0" w:color="auto"/>
                        <w:right w:val="none" w:sz="0" w:space="0" w:color="auto"/>
                      </w:divBdr>
                    </w:div>
                  </w:divsChild>
                </w:div>
                <w:div w:id="133840263">
                  <w:marLeft w:val="0"/>
                  <w:marRight w:val="0"/>
                  <w:marTop w:val="0"/>
                  <w:marBottom w:val="0"/>
                  <w:divBdr>
                    <w:top w:val="none" w:sz="0" w:space="0" w:color="auto"/>
                    <w:left w:val="none" w:sz="0" w:space="0" w:color="auto"/>
                    <w:bottom w:val="none" w:sz="0" w:space="0" w:color="auto"/>
                    <w:right w:val="none" w:sz="0" w:space="0" w:color="auto"/>
                  </w:divBdr>
                  <w:divsChild>
                    <w:div w:id="885070830">
                      <w:marLeft w:val="0"/>
                      <w:marRight w:val="0"/>
                      <w:marTop w:val="0"/>
                      <w:marBottom w:val="0"/>
                      <w:divBdr>
                        <w:top w:val="none" w:sz="0" w:space="0" w:color="auto"/>
                        <w:left w:val="none" w:sz="0" w:space="0" w:color="auto"/>
                        <w:bottom w:val="none" w:sz="0" w:space="0" w:color="auto"/>
                        <w:right w:val="none" w:sz="0" w:space="0" w:color="auto"/>
                      </w:divBdr>
                    </w:div>
                  </w:divsChild>
                </w:div>
                <w:div w:id="144666446">
                  <w:marLeft w:val="0"/>
                  <w:marRight w:val="0"/>
                  <w:marTop w:val="0"/>
                  <w:marBottom w:val="0"/>
                  <w:divBdr>
                    <w:top w:val="none" w:sz="0" w:space="0" w:color="auto"/>
                    <w:left w:val="none" w:sz="0" w:space="0" w:color="auto"/>
                    <w:bottom w:val="none" w:sz="0" w:space="0" w:color="auto"/>
                    <w:right w:val="none" w:sz="0" w:space="0" w:color="auto"/>
                  </w:divBdr>
                  <w:divsChild>
                    <w:div w:id="440993959">
                      <w:marLeft w:val="0"/>
                      <w:marRight w:val="0"/>
                      <w:marTop w:val="0"/>
                      <w:marBottom w:val="0"/>
                      <w:divBdr>
                        <w:top w:val="none" w:sz="0" w:space="0" w:color="auto"/>
                        <w:left w:val="none" w:sz="0" w:space="0" w:color="auto"/>
                        <w:bottom w:val="none" w:sz="0" w:space="0" w:color="auto"/>
                        <w:right w:val="none" w:sz="0" w:space="0" w:color="auto"/>
                      </w:divBdr>
                    </w:div>
                  </w:divsChild>
                </w:div>
                <w:div w:id="147552160">
                  <w:marLeft w:val="0"/>
                  <w:marRight w:val="0"/>
                  <w:marTop w:val="0"/>
                  <w:marBottom w:val="0"/>
                  <w:divBdr>
                    <w:top w:val="none" w:sz="0" w:space="0" w:color="auto"/>
                    <w:left w:val="none" w:sz="0" w:space="0" w:color="auto"/>
                    <w:bottom w:val="none" w:sz="0" w:space="0" w:color="auto"/>
                    <w:right w:val="none" w:sz="0" w:space="0" w:color="auto"/>
                  </w:divBdr>
                  <w:divsChild>
                    <w:div w:id="1022635942">
                      <w:marLeft w:val="0"/>
                      <w:marRight w:val="0"/>
                      <w:marTop w:val="0"/>
                      <w:marBottom w:val="0"/>
                      <w:divBdr>
                        <w:top w:val="none" w:sz="0" w:space="0" w:color="auto"/>
                        <w:left w:val="none" w:sz="0" w:space="0" w:color="auto"/>
                        <w:bottom w:val="none" w:sz="0" w:space="0" w:color="auto"/>
                        <w:right w:val="none" w:sz="0" w:space="0" w:color="auto"/>
                      </w:divBdr>
                    </w:div>
                  </w:divsChild>
                </w:div>
                <w:div w:id="149836172">
                  <w:marLeft w:val="0"/>
                  <w:marRight w:val="0"/>
                  <w:marTop w:val="0"/>
                  <w:marBottom w:val="0"/>
                  <w:divBdr>
                    <w:top w:val="none" w:sz="0" w:space="0" w:color="auto"/>
                    <w:left w:val="none" w:sz="0" w:space="0" w:color="auto"/>
                    <w:bottom w:val="none" w:sz="0" w:space="0" w:color="auto"/>
                    <w:right w:val="none" w:sz="0" w:space="0" w:color="auto"/>
                  </w:divBdr>
                  <w:divsChild>
                    <w:div w:id="1210873831">
                      <w:marLeft w:val="0"/>
                      <w:marRight w:val="0"/>
                      <w:marTop w:val="0"/>
                      <w:marBottom w:val="0"/>
                      <w:divBdr>
                        <w:top w:val="none" w:sz="0" w:space="0" w:color="auto"/>
                        <w:left w:val="none" w:sz="0" w:space="0" w:color="auto"/>
                        <w:bottom w:val="none" w:sz="0" w:space="0" w:color="auto"/>
                        <w:right w:val="none" w:sz="0" w:space="0" w:color="auto"/>
                      </w:divBdr>
                    </w:div>
                  </w:divsChild>
                </w:div>
                <w:div w:id="172259632">
                  <w:marLeft w:val="0"/>
                  <w:marRight w:val="0"/>
                  <w:marTop w:val="0"/>
                  <w:marBottom w:val="0"/>
                  <w:divBdr>
                    <w:top w:val="none" w:sz="0" w:space="0" w:color="auto"/>
                    <w:left w:val="none" w:sz="0" w:space="0" w:color="auto"/>
                    <w:bottom w:val="none" w:sz="0" w:space="0" w:color="auto"/>
                    <w:right w:val="none" w:sz="0" w:space="0" w:color="auto"/>
                  </w:divBdr>
                  <w:divsChild>
                    <w:div w:id="321352275">
                      <w:marLeft w:val="0"/>
                      <w:marRight w:val="0"/>
                      <w:marTop w:val="0"/>
                      <w:marBottom w:val="0"/>
                      <w:divBdr>
                        <w:top w:val="none" w:sz="0" w:space="0" w:color="auto"/>
                        <w:left w:val="none" w:sz="0" w:space="0" w:color="auto"/>
                        <w:bottom w:val="none" w:sz="0" w:space="0" w:color="auto"/>
                        <w:right w:val="none" w:sz="0" w:space="0" w:color="auto"/>
                      </w:divBdr>
                    </w:div>
                  </w:divsChild>
                </w:div>
                <w:div w:id="203980432">
                  <w:marLeft w:val="0"/>
                  <w:marRight w:val="0"/>
                  <w:marTop w:val="0"/>
                  <w:marBottom w:val="0"/>
                  <w:divBdr>
                    <w:top w:val="none" w:sz="0" w:space="0" w:color="auto"/>
                    <w:left w:val="none" w:sz="0" w:space="0" w:color="auto"/>
                    <w:bottom w:val="none" w:sz="0" w:space="0" w:color="auto"/>
                    <w:right w:val="none" w:sz="0" w:space="0" w:color="auto"/>
                  </w:divBdr>
                  <w:divsChild>
                    <w:div w:id="2034500041">
                      <w:marLeft w:val="0"/>
                      <w:marRight w:val="0"/>
                      <w:marTop w:val="0"/>
                      <w:marBottom w:val="0"/>
                      <w:divBdr>
                        <w:top w:val="none" w:sz="0" w:space="0" w:color="auto"/>
                        <w:left w:val="none" w:sz="0" w:space="0" w:color="auto"/>
                        <w:bottom w:val="none" w:sz="0" w:space="0" w:color="auto"/>
                        <w:right w:val="none" w:sz="0" w:space="0" w:color="auto"/>
                      </w:divBdr>
                    </w:div>
                  </w:divsChild>
                </w:div>
                <w:div w:id="211617829">
                  <w:marLeft w:val="0"/>
                  <w:marRight w:val="0"/>
                  <w:marTop w:val="0"/>
                  <w:marBottom w:val="0"/>
                  <w:divBdr>
                    <w:top w:val="none" w:sz="0" w:space="0" w:color="auto"/>
                    <w:left w:val="none" w:sz="0" w:space="0" w:color="auto"/>
                    <w:bottom w:val="none" w:sz="0" w:space="0" w:color="auto"/>
                    <w:right w:val="none" w:sz="0" w:space="0" w:color="auto"/>
                  </w:divBdr>
                  <w:divsChild>
                    <w:div w:id="391274096">
                      <w:marLeft w:val="0"/>
                      <w:marRight w:val="0"/>
                      <w:marTop w:val="0"/>
                      <w:marBottom w:val="0"/>
                      <w:divBdr>
                        <w:top w:val="none" w:sz="0" w:space="0" w:color="auto"/>
                        <w:left w:val="none" w:sz="0" w:space="0" w:color="auto"/>
                        <w:bottom w:val="none" w:sz="0" w:space="0" w:color="auto"/>
                        <w:right w:val="none" w:sz="0" w:space="0" w:color="auto"/>
                      </w:divBdr>
                    </w:div>
                  </w:divsChild>
                </w:div>
                <w:div w:id="233322024">
                  <w:marLeft w:val="0"/>
                  <w:marRight w:val="0"/>
                  <w:marTop w:val="0"/>
                  <w:marBottom w:val="0"/>
                  <w:divBdr>
                    <w:top w:val="none" w:sz="0" w:space="0" w:color="auto"/>
                    <w:left w:val="none" w:sz="0" w:space="0" w:color="auto"/>
                    <w:bottom w:val="none" w:sz="0" w:space="0" w:color="auto"/>
                    <w:right w:val="none" w:sz="0" w:space="0" w:color="auto"/>
                  </w:divBdr>
                  <w:divsChild>
                    <w:div w:id="642546547">
                      <w:marLeft w:val="0"/>
                      <w:marRight w:val="0"/>
                      <w:marTop w:val="0"/>
                      <w:marBottom w:val="0"/>
                      <w:divBdr>
                        <w:top w:val="none" w:sz="0" w:space="0" w:color="auto"/>
                        <w:left w:val="none" w:sz="0" w:space="0" w:color="auto"/>
                        <w:bottom w:val="none" w:sz="0" w:space="0" w:color="auto"/>
                        <w:right w:val="none" w:sz="0" w:space="0" w:color="auto"/>
                      </w:divBdr>
                    </w:div>
                  </w:divsChild>
                </w:div>
                <w:div w:id="234780666">
                  <w:marLeft w:val="0"/>
                  <w:marRight w:val="0"/>
                  <w:marTop w:val="0"/>
                  <w:marBottom w:val="0"/>
                  <w:divBdr>
                    <w:top w:val="none" w:sz="0" w:space="0" w:color="auto"/>
                    <w:left w:val="none" w:sz="0" w:space="0" w:color="auto"/>
                    <w:bottom w:val="none" w:sz="0" w:space="0" w:color="auto"/>
                    <w:right w:val="none" w:sz="0" w:space="0" w:color="auto"/>
                  </w:divBdr>
                  <w:divsChild>
                    <w:div w:id="1845851968">
                      <w:marLeft w:val="0"/>
                      <w:marRight w:val="0"/>
                      <w:marTop w:val="0"/>
                      <w:marBottom w:val="0"/>
                      <w:divBdr>
                        <w:top w:val="none" w:sz="0" w:space="0" w:color="auto"/>
                        <w:left w:val="none" w:sz="0" w:space="0" w:color="auto"/>
                        <w:bottom w:val="none" w:sz="0" w:space="0" w:color="auto"/>
                        <w:right w:val="none" w:sz="0" w:space="0" w:color="auto"/>
                      </w:divBdr>
                    </w:div>
                  </w:divsChild>
                </w:div>
                <w:div w:id="238756531">
                  <w:marLeft w:val="0"/>
                  <w:marRight w:val="0"/>
                  <w:marTop w:val="0"/>
                  <w:marBottom w:val="0"/>
                  <w:divBdr>
                    <w:top w:val="none" w:sz="0" w:space="0" w:color="auto"/>
                    <w:left w:val="none" w:sz="0" w:space="0" w:color="auto"/>
                    <w:bottom w:val="none" w:sz="0" w:space="0" w:color="auto"/>
                    <w:right w:val="none" w:sz="0" w:space="0" w:color="auto"/>
                  </w:divBdr>
                  <w:divsChild>
                    <w:div w:id="545334021">
                      <w:marLeft w:val="0"/>
                      <w:marRight w:val="0"/>
                      <w:marTop w:val="0"/>
                      <w:marBottom w:val="0"/>
                      <w:divBdr>
                        <w:top w:val="none" w:sz="0" w:space="0" w:color="auto"/>
                        <w:left w:val="none" w:sz="0" w:space="0" w:color="auto"/>
                        <w:bottom w:val="none" w:sz="0" w:space="0" w:color="auto"/>
                        <w:right w:val="none" w:sz="0" w:space="0" w:color="auto"/>
                      </w:divBdr>
                    </w:div>
                  </w:divsChild>
                </w:div>
                <w:div w:id="244612885">
                  <w:marLeft w:val="0"/>
                  <w:marRight w:val="0"/>
                  <w:marTop w:val="0"/>
                  <w:marBottom w:val="0"/>
                  <w:divBdr>
                    <w:top w:val="none" w:sz="0" w:space="0" w:color="auto"/>
                    <w:left w:val="none" w:sz="0" w:space="0" w:color="auto"/>
                    <w:bottom w:val="none" w:sz="0" w:space="0" w:color="auto"/>
                    <w:right w:val="none" w:sz="0" w:space="0" w:color="auto"/>
                  </w:divBdr>
                  <w:divsChild>
                    <w:div w:id="1604612718">
                      <w:marLeft w:val="0"/>
                      <w:marRight w:val="0"/>
                      <w:marTop w:val="0"/>
                      <w:marBottom w:val="0"/>
                      <w:divBdr>
                        <w:top w:val="none" w:sz="0" w:space="0" w:color="auto"/>
                        <w:left w:val="none" w:sz="0" w:space="0" w:color="auto"/>
                        <w:bottom w:val="none" w:sz="0" w:space="0" w:color="auto"/>
                        <w:right w:val="none" w:sz="0" w:space="0" w:color="auto"/>
                      </w:divBdr>
                    </w:div>
                  </w:divsChild>
                </w:div>
                <w:div w:id="260845569">
                  <w:marLeft w:val="0"/>
                  <w:marRight w:val="0"/>
                  <w:marTop w:val="0"/>
                  <w:marBottom w:val="0"/>
                  <w:divBdr>
                    <w:top w:val="none" w:sz="0" w:space="0" w:color="auto"/>
                    <w:left w:val="none" w:sz="0" w:space="0" w:color="auto"/>
                    <w:bottom w:val="none" w:sz="0" w:space="0" w:color="auto"/>
                    <w:right w:val="none" w:sz="0" w:space="0" w:color="auto"/>
                  </w:divBdr>
                  <w:divsChild>
                    <w:div w:id="564297634">
                      <w:marLeft w:val="0"/>
                      <w:marRight w:val="0"/>
                      <w:marTop w:val="0"/>
                      <w:marBottom w:val="0"/>
                      <w:divBdr>
                        <w:top w:val="none" w:sz="0" w:space="0" w:color="auto"/>
                        <w:left w:val="none" w:sz="0" w:space="0" w:color="auto"/>
                        <w:bottom w:val="none" w:sz="0" w:space="0" w:color="auto"/>
                        <w:right w:val="none" w:sz="0" w:space="0" w:color="auto"/>
                      </w:divBdr>
                    </w:div>
                  </w:divsChild>
                </w:div>
                <w:div w:id="326595845">
                  <w:marLeft w:val="0"/>
                  <w:marRight w:val="0"/>
                  <w:marTop w:val="0"/>
                  <w:marBottom w:val="0"/>
                  <w:divBdr>
                    <w:top w:val="none" w:sz="0" w:space="0" w:color="auto"/>
                    <w:left w:val="none" w:sz="0" w:space="0" w:color="auto"/>
                    <w:bottom w:val="none" w:sz="0" w:space="0" w:color="auto"/>
                    <w:right w:val="none" w:sz="0" w:space="0" w:color="auto"/>
                  </w:divBdr>
                  <w:divsChild>
                    <w:div w:id="1390377689">
                      <w:marLeft w:val="0"/>
                      <w:marRight w:val="0"/>
                      <w:marTop w:val="0"/>
                      <w:marBottom w:val="0"/>
                      <w:divBdr>
                        <w:top w:val="none" w:sz="0" w:space="0" w:color="auto"/>
                        <w:left w:val="none" w:sz="0" w:space="0" w:color="auto"/>
                        <w:bottom w:val="none" w:sz="0" w:space="0" w:color="auto"/>
                        <w:right w:val="none" w:sz="0" w:space="0" w:color="auto"/>
                      </w:divBdr>
                    </w:div>
                  </w:divsChild>
                </w:div>
                <w:div w:id="338580647">
                  <w:marLeft w:val="0"/>
                  <w:marRight w:val="0"/>
                  <w:marTop w:val="0"/>
                  <w:marBottom w:val="0"/>
                  <w:divBdr>
                    <w:top w:val="none" w:sz="0" w:space="0" w:color="auto"/>
                    <w:left w:val="none" w:sz="0" w:space="0" w:color="auto"/>
                    <w:bottom w:val="none" w:sz="0" w:space="0" w:color="auto"/>
                    <w:right w:val="none" w:sz="0" w:space="0" w:color="auto"/>
                  </w:divBdr>
                  <w:divsChild>
                    <w:div w:id="1139493927">
                      <w:marLeft w:val="0"/>
                      <w:marRight w:val="0"/>
                      <w:marTop w:val="0"/>
                      <w:marBottom w:val="0"/>
                      <w:divBdr>
                        <w:top w:val="none" w:sz="0" w:space="0" w:color="auto"/>
                        <w:left w:val="none" w:sz="0" w:space="0" w:color="auto"/>
                        <w:bottom w:val="none" w:sz="0" w:space="0" w:color="auto"/>
                        <w:right w:val="none" w:sz="0" w:space="0" w:color="auto"/>
                      </w:divBdr>
                    </w:div>
                  </w:divsChild>
                </w:div>
                <w:div w:id="353002990">
                  <w:marLeft w:val="0"/>
                  <w:marRight w:val="0"/>
                  <w:marTop w:val="0"/>
                  <w:marBottom w:val="0"/>
                  <w:divBdr>
                    <w:top w:val="none" w:sz="0" w:space="0" w:color="auto"/>
                    <w:left w:val="none" w:sz="0" w:space="0" w:color="auto"/>
                    <w:bottom w:val="none" w:sz="0" w:space="0" w:color="auto"/>
                    <w:right w:val="none" w:sz="0" w:space="0" w:color="auto"/>
                  </w:divBdr>
                  <w:divsChild>
                    <w:div w:id="1496653066">
                      <w:marLeft w:val="0"/>
                      <w:marRight w:val="0"/>
                      <w:marTop w:val="0"/>
                      <w:marBottom w:val="0"/>
                      <w:divBdr>
                        <w:top w:val="none" w:sz="0" w:space="0" w:color="auto"/>
                        <w:left w:val="none" w:sz="0" w:space="0" w:color="auto"/>
                        <w:bottom w:val="none" w:sz="0" w:space="0" w:color="auto"/>
                        <w:right w:val="none" w:sz="0" w:space="0" w:color="auto"/>
                      </w:divBdr>
                    </w:div>
                  </w:divsChild>
                </w:div>
                <w:div w:id="355230531">
                  <w:marLeft w:val="0"/>
                  <w:marRight w:val="0"/>
                  <w:marTop w:val="0"/>
                  <w:marBottom w:val="0"/>
                  <w:divBdr>
                    <w:top w:val="none" w:sz="0" w:space="0" w:color="auto"/>
                    <w:left w:val="none" w:sz="0" w:space="0" w:color="auto"/>
                    <w:bottom w:val="none" w:sz="0" w:space="0" w:color="auto"/>
                    <w:right w:val="none" w:sz="0" w:space="0" w:color="auto"/>
                  </w:divBdr>
                  <w:divsChild>
                    <w:div w:id="533425761">
                      <w:marLeft w:val="0"/>
                      <w:marRight w:val="0"/>
                      <w:marTop w:val="0"/>
                      <w:marBottom w:val="0"/>
                      <w:divBdr>
                        <w:top w:val="none" w:sz="0" w:space="0" w:color="auto"/>
                        <w:left w:val="none" w:sz="0" w:space="0" w:color="auto"/>
                        <w:bottom w:val="none" w:sz="0" w:space="0" w:color="auto"/>
                        <w:right w:val="none" w:sz="0" w:space="0" w:color="auto"/>
                      </w:divBdr>
                    </w:div>
                  </w:divsChild>
                </w:div>
                <w:div w:id="364454021">
                  <w:marLeft w:val="0"/>
                  <w:marRight w:val="0"/>
                  <w:marTop w:val="0"/>
                  <w:marBottom w:val="0"/>
                  <w:divBdr>
                    <w:top w:val="none" w:sz="0" w:space="0" w:color="auto"/>
                    <w:left w:val="none" w:sz="0" w:space="0" w:color="auto"/>
                    <w:bottom w:val="none" w:sz="0" w:space="0" w:color="auto"/>
                    <w:right w:val="none" w:sz="0" w:space="0" w:color="auto"/>
                  </w:divBdr>
                  <w:divsChild>
                    <w:div w:id="31002642">
                      <w:marLeft w:val="0"/>
                      <w:marRight w:val="0"/>
                      <w:marTop w:val="0"/>
                      <w:marBottom w:val="0"/>
                      <w:divBdr>
                        <w:top w:val="none" w:sz="0" w:space="0" w:color="auto"/>
                        <w:left w:val="none" w:sz="0" w:space="0" w:color="auto"/>
                        <w:bottom w:val="none" w:sz="0" w:space="0" w:color="auto"/>
                        <w:right w:val="none" w:sz="0" w:space="0" w:color="auto"/>
                      </w:divBdr>
                    </w:div>
                  </w:divsChild>
                </w:div>
                <w:div w:id="368728875">
                  <w:marLeft w:val="0"/>
                  <w:marRight w:val="0"/>
                  <w:marTop w:val="0"/>
                  <w:marBottom w:val="0"/>
                  <w:divBdr>
                    <w:top w:val="none" w:sz="0" w:space="0" w:color="auto"/>
                    <w:left w:val="none" w:sz="0" w:space="0" w:color="auto"/>
                    <w:bottom w:val="none" w:sz="0" w:space="0" w:color="auto"/>
                    <w:right w:val="none" w:sz="0" w:space="0" w:color="auto"/>
                  </w:divBdr>
                  <w:divsChild>
                    <w:div w:id="81804913">
                      <w:marLeft w:val="0"/>
                      <w:marRight w:val="0"/>
                      <w:marTop w:val="0"/>
                      <w:marBottom w:val="0"/>
                      <w:divBdr>
                        <w:top w:val="none" w:sz="0" w:space="0" w:color="auto"/>
                        <w:left w:val="none" w:sz="0" w:space="0" w:color="auto"/>
                        <w:bottom w:val="none" w:sz="0" w:space="0" w:color="auto"/>
                        <w:right w:val="none" w:sz="0" w:space="0" w:color="auto"/>
                      </w:divBdr>
                    </w:div>
                  </w:divsChild>
                </w:div>
                <w:div w:id="369300814">
                  <w:marLeft w:val="0"/>
                  <w:marRight w:val="0"/>
                  <w:marTop w:val="0"/>
                  <w:marBottom w:val="0"/>
                  <w:divBdr>
                    <w:top w:val="none" w:sz="0" w:space="0" w:color="auto"/>
                    <w:left w:val="none" w:sz="0" w:space="0" w:color="auto"/>
                    <w:bottom w:val="none" w:sz="0" w:space="0" w:color="auto"/>
                    <w:right w:val="none" w:sz="0" w:space="0" w:color="auto"/>
                  </w:divBdr>
                  <w:divsChild>
                    <w:div w:id="833451374">
                      <w:marLeft w:val="0"/>
                      <w:marRight w:val="0"/>
                      <w:marTop w:val="0"/>
                      <w:marBottom w:val="0"/>
                      <w:divBdr>
                        <w:top w:val="none" w:sz="0" w:space="0" w:color="auto"/>
                        <w:left w:val="none" w:sz="0" w:space="0" w:color="auto"/>
                        <w:bottom w:val="none" w:sz="0" w:space="0" w:color="auto"/>
                        <w:right w:val="none" w:sz="0" w:space="0" w:color="auto"/>
                      </w:divBdr>
                    </w:div>
                  </w:divsChild>
                </w:div>
                <w:div w:id="373040859">
                  <w:marLeft w:val="0"/>
                  <w:marRight w:val="0"/>
                  <w:marTop w:val="0"/>
                  <w:marBottom w:val="0"/>
                  <w:divBdr>
                    <w:top w:val="none" w:sz="0" w:space="0" w:color="auto"/>
                    <w:left w:val="none" w:sz="0" w:space="0" w:color="auto"/>
                    <w:bottom w:val="none" w:sz="0" w:space="0" w:color="auto"/>
                    <w:right w:val="none" w:sz="0" w:space="0" w:color="auto"/>
                  </w:divBdr>
                  <w:divsChild>
                    <w:div w:id="212737457">
                      <w:marLeft w:val="0"/>
                      <w:marRight w:val="0"/>
                      <w:marTop w:val="0"/>
                      <w:marBottom w:val="0"/>
                      <w:divBdr>
                        <w:top w:val="none" w:sz="0" w:space="0" w:color="auto"/>
                        <w:left w:val="none" w:sz="0" w:space="0" w:color="auto"/>
                        <w:bottom w:val="none" w:sz="0" w:space="0" w:color="auto"/>
                        <w:right w:val="none" w:sz="0" w:space="0" w:color="auto"/>
                      </w:divBdr>
                    </w:div>
                  </w:divsChild>
                </w:div>
                <w:div w:id="375930015">
                  <w:marLeft w:val="0"/>
                  <w:marRight w:val="0"/>
                  <w:marTop w:val="0"/>
                  <w:marBottom w:val="0"/>
                  <w:divBdr>
                    <w:top w:val="none" w:sz="0" w:space="0" w:color="auto"/>
                    <w:left w:val="none" w:sz="0" w:space="0" w:color="auto"/>
                    <w:bottom w:val="none" w:sz="0" w:space="0" w:color="auto"/>
                    <w:right w:val="none" w:sz="0" w:space="0" w:color="auto"/>
                  </w:divBdr>
                  <w:divsChild>
                    <w:div w:id="1978102809">
                      <w:marLeft w:val="0"/>
                      <w:marRight w:val="0"/>
                      <w:marTop w:val="0"/>
                      <w:marBottom w:val="0"/>
                      <w:divBdr>
                        <w:top w:val="none" w:sz="0" w:space="0" w:color="auto"/>
                        <w:left w:val="none" w:sz="0" w:space="0" w:color="auto"/>
                        <w:bottom w:val="none" w:sz="0" w:space="0" w:color="auto"/>
                        <w:right w:val="none" w:sz="0" w:space="0" w:color="auto"/>
                      </w:divBdr>
                    </w:div>
                  </w:divsChild>
                </w:div>
                <w:div w:id="377559348">
                  <w:marLeft w:val="0"/>
                  <w:marRight w:val="0"/>
                  <w:marTop w:val="0"/>
                  <w:marBottom w:val="0"/>
                  <w:divBdr>
                    <w:top w:val="none" w:sz="0" w:space="0" w:color="auto"/>
                    <w:left w:val="none" w:sz="0" w:space="0" w:color="auto"/>
                    <w:bottom w:val="none" w:sz="0" w:space="0" w:color="auto"/>
                    <w:right w:val="none" w:sz="0" w:space="0" w:color="auto"/>
                  </w:divBdr>
                  <w:divsChild>
                    <w:div w:id="995914494">
                      <w:marLeft w:val="0"/>
                      <w:marRight w:val="0"/>
                      <w:marTop w:val="0"/>
                      <w:marBottom w:val="0"/>
                      <w:divBdr>
                        <w:top w:val="none" w:sz="0" w:space="0" w:color="auto"/>
                        <w:left w:val="none" w:sz="0" w:space="0" w:color="auto"/>
                        <w:bottom w:val="none" w:sz="0" w:space="0" w:color="auto"/>
                        <w:right w:val="none" w:sz="0" w:space="0" w:color="auto"/>
                      </w:divBdr>
                    </w:div>
                  </w:divsChild>
                </w:div>
                <w:div w:id="378823650">
                  <w:marLeft w:val="0"/>
                  <w:marRight w:val="0"/>
                  <w:marTop w:val="0"/>
                  <w:marBottom w:val="0"/>
                  <w:divBdr>
                    <w:top w:val="none" w:sz="0" w:space="0" w:color="auto"/>
                    <w:left w:val="none" w:sz="0" w:space="0" w:color="auto"/>
                    <w:bottom w:val="none" w:sz="0" w:space="0" w:color="auto"/>
                    <w:right w:val="none" w:sz="0" w:space="0" w:color="auto"/>
                  </w:divBdr>
                  <w:divsChild>
                    <w:div w:id="1715226229">
                      <w:marLeft w:val="0"/>
                      <w:marRight w:val="0"/>
                      <w:marTop w:val="0"/>
                      <w:marBottom w:val="0"/>
                      <w:divBdr>
                        <w:top w:val="none" w:sz="0" w:space="0" w:color="auto"/>
                        <w:left w:val="none" w:sz="0" w:space="0" w:color="auto"/>
                        <w:bottom w:val="none" w:sz="0" w:space="0" w:color="auto"/>
                        <w:right w:val="none" w:sz="0" w:space="0" w:color="auto"/>
                      </w:divBdr>
                    </w:div>
                  </w:divsChild>
                </w:div>
                <w:div w:id="386608250">
                  <w:marLeft w:val="0"/>
                  <w:marRight w:val="0"/>
                  <w:marTop w:val="0"/>
                  <w:marBottom w:val="0"/>
                  <w:divBdr>
                    <w:top w:val="none" w:sz="0" w:space="0" w:color="auto"/>
                    <w:left w:val="none" w:sz="0" w:space="0" w:color="auto"/>
                    <w:bottom w:val="none" w:sz="0" w:space="0" w:color="auto"/>
                    <w:right w:val="none" w:sz="0" w:space="0" w:color="auto"/>
                  </w:divBdr>
                  <w:divsChild>
                    <w:div w:id="1802528325">
                      <w:marLeft w:val="0"/>
                      <w:marRight w:val="0"/>
                      <w:marTop w:val="0"/>
                      <w:marBottom w:val="0"/>
                      <w:divBdr>
                        <w:top w:val="none" w:sz="0" w:space="0" w:color="auto"/>
                        <w:left w:val="none" w:sz="0" w:space="0" w:color="auto"/>
                        <w:bottom w:val="none" w:sz="0" w:space="0" w:color="auto"/>
                        <w:right w:val="none" w:sz="0" w:space="0" w:color="auto"/>
                      </w:divBdr>
                    </w:div>
                  </w:divsChild>
                </w:div>
                <w:div w:id="388186106">
                  <w:marLeft w:val="0"/>
                  <w:marRight w:val="0"/>
                  <w:marTop w:val="0"/>
                  <w:marBottom w:val="0"/>
                  <w:divBdr>
                    <w:top w:val="none" w:sz="0" w:space="0" w:color="auto"/>
                    <w:left w:val="none" w:sz="0" w:space="0" w:color="auto"/>
                    <w:bottom w:val="none" w:sz="0" w:space="0" w:color="auto"/>
                    <w:right w:val="none" w:sz="0" w:space="0" w:color="auto"/>
                  </w:divBdr>
                  <w:divsChild>
                    <w:div w:id="589045195">
                      <w:marLeft w:val="0"/>
                      <w:marRight w:val="0"/>
                      <w:marTop w:val="0"/>
                      <w:marBottom w:val="0"/>
                      <w:divBdr>
                        <w:top w:val="none" w:sz="0" w:space="0" w:color="auto"/>
                        <w:left w:val="none" w:sz="0" w:space="0" w:color="auto"/>
                        <w:bottom w:val="none" w:sz="0" w:space="0" w:color="auto"/>
                        <w:right w:val="none" w:sz="0" w:space="0" w:color="auto"/>
                      </w:divBdr>
                    </w:div>
                  </w:divsChild>
                </w:div>
                <w:div w:id="396363725">
                  <w:marLeft w:val="0"/>
                  <w:marRight w:val="0"/>
                  <w:marTop w:val="0"/>
                  <w:marBottom w:val="0"/>
                  <w:divBdr>
                    <w:top w:val="none" w:sz="0" w:space="0" w:color="auto"/>
                    <w:left w:val="none" w:sz="0" w:space="0" w:color="auto"/>
                    <w:bottom w:val="none" w:sz="0" w:space="0" w:color="auto"/>
                    <w:right w:val="none" w:sz="0" w:space="0" w:color="auto"/>
                  </w:divBdr>
                  <w:divsChild>
                    <w:div w:id="757672560">
                      <w:marLeft w:val="0"/>
                      <w:marRight w:val="0"/>
                      <w:marTop w:val="0"/>
                      <w:marBottom w:val="0"/>
                      <w:divBdr>
                        <w:top w:val="none" w:sz="0" w:space="0" w:color="auto"/>
                        <w:left w:val="none" w:sz="0" w:space="0" w:color="auto"/>
                        <w:bottom w:val="none" w:sz="0" w:space="0" w:color="auto"/>
                        <w:right w:val="none" w:sz="0" w:space="0" w:color="auto"/>
                      </w:divBdr>
                    </w:div>
                  </w:divsChild>
                </w:div>
                <w:div w:id="413477365">
                  <w:marLeft w:val="0"/>
                  <w:marRight w:val="0"/>
                  <w:marTop w:val="0"/>
                  <w:marBottom w:val="0"/>
                  <w:divBdr>
                    <w:top w:val="none" w:sz="0" w:space="0" w:color="auto"/>
                    <w:left w:val="none" w:sz="0" w:space="0" w:color="auto"/>
                    <w:bottom w:val="none" w:sz="0" w:space="0" w:color="auto"/>
                    <w:right w:val="none" w:sz="0" w:space="0" w:color="auto"/>
                  </w:divBdr>
                  <w:divsChild>
                    <w:div w:id="1154419880">
                      <w:marLeft w:val="0"/>
                      <w:marRight w:val="0"/>
                      <w:marTop w:val="0"/>
                      <w:marBottom w:val="0"/>
                      <w:divBdr>
                        <w:top w:val="none" w:sz="0" w:space="0" w:color="auto"/>
                        <w:left w:val="none" w:sz="0" w:space="0" w:color="auto"/>
                        <w:bottom w:val="none" w:sz="0" w:space="0" w:color="auto"/>
                        <w:right w:val="none" w:sz="0" w:space="0" w:color="auto"/>
                      </w:divBdr>
                    </w:div>
                  </w:divsChild>
                </w:div>
                <w:div w:id="417944915">
                  <w:marLeft w:val="0"/>
                  <w:marRight w:val="0"/>
                  <w:marTop w:val="0"/>
                  <w:marBottom w:val="0"/>
                  <w:divBdr>
                    <w:top w:val="none" w:sz="0" w:space="0" w:color="auto"/>
                    <w:left w:val="none" w:sz="0" w:space="0" w:color="auto"/>
                    <w:bottom w:val="none" w:sz="0" w:space="0" w:color="auto"/>
                    <w:right w:val="none" w:sz="0" w:space="0" w:color="auto"/>
                  </w:divBdr>
                  <w:divsChild>
                    <w:div w:id="396206">
                      <w:marLeft w:val="0"/>
                      <w:marRight w:val="0"/>
                      <w:marTop w:val="0"/>
                      <w:marBottom w:val="0"/>
                      <w:divBdr>
                        <w:top w:val="none" w:sz="0" w:space="0" w:color="auto"/>
                        <w:left w:val="none" w:sz="0" w:space="0" w:color="auto"/>
                        <w:bottom w:val="none" w:sz="0" w:space="0" w:color="auto"/>
                        <w:right w:val="none" w:sz="0" w:space="0" w:color="auto"/>
                      </w:divBdr>
                    </w:div>
                  </w:divsChild>
                </w:div>
                <w:div w:id="423646769">
                  <w:marLeft w:val="0"/>
                  <w:marRight w:val="0"/>
                  <w:marTop w:val="0"/>
                  <w:marBottom w:val="0"/>
                  <w:divBdr>
                    <w:top w:val="none" w:sz="0" w:space="0" w:color="auto"/>
                    <w:left w:val="none" w:sz="0" w:space="0" w:color="auto"/>
                    <w:bottom w:val="none" w:sz="0" w:space="0" w:color="auto"/>
                    <w:right w:val="none" w:sz="0" w:space="0" w:color="auto"/>
                  </w:divBdr>
                  <w:divsChild>
                    <w:div w:id="1887595024">
                      <w:marLeft w:val="0"/>
                      <w:marRight w:val="0"/>
                      <w:marTop w:val="0"/>
                      <w:marBottom w:val="0"/>
                      <w:divBdr>
                        <w:top w:val="none" w:sz="0" w:space="0" w:color="auto"/>
                        <w:left w:val="none" w:sz="0" w:space="0" w:color="auto"/>
                        <w:bottom w:val="none" w:sz="0" w:space="0" w:color="auto"/>
                        <w:right w:val="none" w:sz="0" w:space="0" w:color="auto"/>
                      </w:divBdr>
                    </w:div>
                  </w:divsChild>
                </w:div>
                <w:div w:id="434711250">
                  <w:marLeft w:val="0"/>
                  <w:marRight w:val="0"/>
                  <w:marTop w:val="0"/>
                  <w:marBottom w:val="0"/>
                  <w:divBdr>
                    <w:top w:val="none" w:sz="0" w:space="0" w:color="auto"/>
                    <w:left w:val="none" w:sz="0" w:space="0" w:color="auto"/>
                    <w:bottom w:val="none" w:sz="0" w:space="0" w:color="auto"/>
                    <w:right w:val="none" w:sz="0" w:space="0" w:color="auto"/>
                  </w:divBdr>
                  <w:divsChild>
                    <w:div w:id="1599870965">
                      <w:marLeft w:val="0"/>
                      <w:marRight w:val="0"/>
                      <w:marTop w:val="0"/>
                      <w:marBottom w:val="0"/>
                      <w:divBdr>
                        <w:top w:val="none" w:sz="0" w:space="0" w:color="auto"/>
                        <w:left w:val="none" w:sz="0" w:space="0" w:color="auto"/>
                        <w:bottom w:val="none" w:sz="0" w:space="0" w:color="auto"/>
                        <w:right w:val="none" w:sz="0" w:space="0" w:color="auto"/>
                      </w:divBdr>
                    </w:div>
                  </w:divsChild>
                </w:div>
                <w:div w:id="456460095">
                  <w:marLeft w:val="0"/>
                  <w:marRight w:val="0"/>
                  <w:marTop w:val="0"/>
                  <w:marBottom w:val="0"/>
                  <w:divBdr>
                    <w:top w:val="none" w:sz="0" w:space="0" w:color="auto"/>
                    <w:left w:val="none" w:sz="0" w:space="0" w:color="auto"/>
                    <w:bottom w:val="none" w:sz="0" w:space="0" w:color="auto"/>
                    <w:right w:val="none" w:sz="0" w:space="0" w:color="auto"/>
                  </w:divBdr>
                  <w:divsChild>
                    <w:div w:id="1760062042">
                      <w:marLeft w:val="0"/>
                      <w:marRight w:val="0"/>
                      <w:marTop w:val="0"/>
                      <w:marBottom w:val="0"/>
                      <w:divBdr>
                        <w:top w:val="none" w:sz="0" w:space="0" w:color="auto"/>
                        <w:left w:val="none" w:sz="0" w:space="0" w:color="auto"/>
                        <w:bottom w:val="none" w:sz="0" w:space="0" w:color="auto"/>
                        <w:right w:val="none" w:sz="0" w:space="0" w:color="auto"/>
                      </w:divBdr>
                    </w:div>
                  </w:divsChild>
                </w:div>
                <w:div w:id="458181048">
                  <w:marLeft w:val="0"/>
                  <w:marRight w:val="0"/>
                  <w:marTop w:val="0"/>
                  <w:marBottom w:val="0"/>
                  <w:divBdr>
                    <w:top w:val="none" w:sz="0" w:space="0" w:color="auto"/>
                    <w:left w:val="none" w:sz="0" w:space="0" w:color="auto"/>
                    <w:bottom w:val="none" w:sz="0" w:space="0" w:color="auto"/>
                    <w:right w:val="none" w:sz="0" w:space="0" w:color="auto"/>
                  </w:divBdr>
                  <w:divsChild>
                    <w:div w:id="528687921">
                      <w:marLeft w:val="0"/>
                      <w:marRight w:val="0"/>
                      <w:marTop w:val="0"/>
                      <w:marBottom w:val="0"/>
                      <w:divBdr>
                        <w:top w:val="none" w:sz="0" w:space="0" w:color="auto"/>
                        <w:left w:val="none" w:sz="0" w:space="0" w:color="auto"/>
                        <w:bottom w:val="none" w:sz="0" w:space="0" w:color="auto"/>
                        <w:right w:val="none" w:sz="0" w:space="0" w:color="auto"/>
                      </w:divBdr>
                    </w:div>
                  </w:divsChild>
                </w:div>
                <w:div w:id="500051073">
                  <w:marLeft w:val="0"/>
                  <w:marRight w:val="0"/>
                  <w:marTop w:val="0"/>
                  <w:marBottom w:val="0"/>
                  <w:divBdr>
                    <w:top w:val="none" w:sz="0" w:space="0" w:color="auto"/>
                    <w:left w:val="none" w:sz="0" w:space="0" w:color="auto"/>
                    <w:bottom w:val="none" w:sz="0" w:space="0" w:color="auto"/>
                    <w:right w:val="none" w:sz="0" w:space="0" w:color="auto"/>
                  </w:divBdr>
                  <w:divsChild>
                    <w:div w:id="314340764">
                      <w:marLeft w:val="0"/>
                      <w:marRight w:val="0"/>
                      <w:marTop w:val="0"/>
                      <w:marBottom w:val="0"/>
                      <w:divBdr>
                        <w:top w:val="none" w:sz="0" w:space="0" w:color="auto"/>
                        <w:left w:val="none" w:sz="0" w:space="0" w:color="auto"/>
                        <w:bottom w:val="none" w:sz="0" w:space="0" w:color="auto"/>
                        <w:right w:val="none" w:sz="0" w:space="0" w:color="auto"/>
                      </w:divBdr>
                    </w:div>
                    <w:div w:id="671877703">
                      <w:marLeft w:val="0"/>
                      <w:marRight w:val="0"/>
                      <w:marTop w:val="0"/>
                      <w:marBottom w:val="0"/>
                      <w:divBdr>
                        <w:top w:val="none" w:sz="0" w:space="0" w:color="auto"/>
                        <w:left w:val="none" w:sz="0" w:space="0" w:color="auto"/>
                        <w:bottom w:val="none" w:sz="0" w:space="0" w:color="auto"/>
                        <w:right w:val="none" w:sz="0" w:space="0" w:color="auto"/>
                      </w:divBdr>
                    </w:div>
                    <w:div w:id="706104789">
                      <w:marLeft w:val="0"/>
                      <w:marRight w:val="0"/>
                      <w:marTop w:val="0"/>
                      <w:marBottom w:val="0"/>
                      <w:divBdr>
                        <w:top w:val="none" w:sz="0" w:space="0" w:color="auto"/>
                        <w:left w:val="none" w:sz="0" w:space="0" w:color="auto"/>
                        <w:bottom w:val="none" w:sz="0" w:space="0" w:color="auto"/>
                        <w:right w:val="none" w:sz="0" w:space="0" w:color="auto"/>
                      </w:divBdr>
                    </w:div>
                    <w:div w:id="727458406">
                      <w:marLeft w:val="0"/>
                      <w:marRight w:val="0"/>
                      <w:marTop w:val="0"/>
                      <w:marBottom w:val="0"/>
                      <w:divBdr>
                        <w:top w:val="none" w:sz="0" w:space="0" w:color="auto"/>
                        <w:left w:val="none" w:sz="0" w:space="0" w:color="auto"/>
                        <w:bottom w:val="none" w:sz="0" w:space="0" w:color="auto"/>
                        <w:right w:val="none" w:sz="0" w:space="0" w:color="auto"/>
                      </w:divBdr>
                    </w:div>
                    <w:div w:id="756563057">
                      <w:marLeft w:val="0"/>
                      <w:marRight w:val="0"/>
                      <w:marTop w:val="0"/>
                      <w:marBottom w:val="0"/>
                      <w:divBdr>
                        <w:top w:val="none" w:sz="0" w:space="0" w:color="auto"/>
                        <w:left w:val="none" w:sz="0" w:space="0" w:color="auto"/>
                        <w:bottom w:val="none" w:sz="0" w:space="0" w:color="auto"/>
                        <w:right w:val="none" w:sz="0" w:space="0" w:color="auto"/>
                      </w:divBdr>
                    </w:div>
                    <w:div w:id="1223558947">
                      <w:marLeft w:val="0"/>
                      <w:marRight w:val="0"/>
                      <w:marTop w:val="0"/>
                      <w:marBottom w:val="0"/>
                      <w:divBdr>
                        <w:top w:val="none" w:sz="0" w:space="0" w:color="auto"/>
                        <w:left w:val="none" w:sz="0" w:space="0" w:color="auto"/>
                        <w:bottom w:val="none" w:sz="0" w:space="0" w:color="auto"/>
                        <w:right w:val="none" w:sz="0" w:space="0" w:color="auto"/>
                      </w:divBdr>
                    </w:div>
                    <w:div w:id="2118862914">
                      <w:marLeft w:val="0"/>
                      <w:marRight w:val="0"/>
                      <w:marTop w:val="0"/>
                      <w:marBottom w:val="0"/>
                      <w:divBdr>
                        <w:top w:val="none" w:sz="0" w:space="0" w:color="auto"/>
                        <w:left w:val="none" w:sz="0" w:space="0" w:color="auto"/>
                        <w:bottom w:val="none" w:sz="0" w:space="0" w:color="auto"/>
                        <w:right w:val="none" w:sz="0" w:space="0" w:color="auto"/>
                      </w:divBdr>
                    </w:div>
                  </w:divsChild>
                </w:div>
                <w:div w:id="501089499">
                  <w:marLeft w:val="0"/>
                  <w:marRight w:val="0"/>
                  <w:marTop w:val="0"/>
                  <w:marBottom w:val="0"/>
                  <w:divBdr>
                    <w:top w:val="none" w:sz="0" w:space="0" w:color="auto"/>
                    <w:left w:val="none" w:sz="0" w:space="0" w:color="auto"/>
                    <w:bottom w:val="none" w:sz="0" w:space="0" w:color="auto"/>
                    <w:right w:val="none" w:sz="0" w:space="0" w:color="auto"/>
                  </w:divBdr>
                  <w:divsChild>
                    <w:div w:id="130103944">
                      <w:marLeft w:val="0"/>
                      <w:marRight w:val="0"/>
                      <w:marTop w:val="0"/>
                      <w:marBottom w:val="0"/>
                      <w:divBdr>
                        <w:top w:val="none" w:sz="0" w:space="0" w:color="auto"/>
                        <w:left w:val="none" w:sz="0" w:space="0" w:color="auto"/>
                        <w:bottom w:val="none" w:sz="0" w:space="0" w:color="auto"/>
                        <w:right w:val="none" w:sz="0" w:space="0" w:color="auto"/>
                      </w:divBdr>
                    </w:div>
                  </w:divsChild>
                </w:div>
                <w:div w:id="508636865">
                  <w:marLeft w:val="0"/>
                  <w:marRight w:val="0"/>
                  <w:marTop w:val="0"/>
                  <w:marBottom w:val="0"/>
                  <w:divBdr>
                    <w:top w:val="none" w:sz="0" w:space="0" w:color="auto"/>
                    <w:left w:val="none" w:sz="0" w:space="0" w:color="auto"/>
                    <w:bottom w:val="none" w:sz="0" w:space="0" w:color="auto"/>
                    <w:right w:val="none" w:sz="0" w:space="0" w:color="auto"/>
                  </w:divBdr>
                  <w:divsChild>
                    <w:div w:id="988048352">
                      <w:marLeft w:val="0"/>
                      <w:marRight w:val="0"/>
                      <w:marTop w:val="0"/>
                      <w:marBottom w:val="0"/>
                      <w:divBdr>
                        <w:top w:val="none" w:sz="0" w:space="0" w:color="auto"/>
                        <w:left w:val="none" w:sz="0" w:space="0" w:color="auto"/>
                        <w:bottom w:val="none" w:sz="0" w:space="0" w:color="auto"/>
                        <w:right w:val="none" w:sz="0" w:space="0" w:color="auto"/>
                      </w:divBdr>
                    </w:div>
                  </w:divsChild>
                </w:div>
                <w:div w:id="533621861">
                  <w:marLeft w:val="0"/>
                  <w:marRight w:val="0"/>
                  <w:marTop w:val="0"/>
                  <w:marBottom w:val="0"/>
                  <w:divBdr>
                    <w:top w:val="none" w:sz="0" w:space="0" w:color="auto"/>
                    <w:left w:val="none" w:sz="0" w:space="0" w:color="auto"/>
                    <w:bottom w:val="none" w:sz="0" w:space="0" w:color="auto"/>
                    <w:right w:val="none" w:sz="0" w:space="0" w:color="auto"/>
                  </w:divBdr>
                  <w:divsChild>
                    <w:div w:id="1756780437">
                      <w:marLeft w:val="0"/>
                      <w:marRight w:val="0"/>
                      <w:marTop w:val="0"/>
                      <w:marBottom w:val="0"/>
                      <w:divBdr>
                        <w:top w:val="none" w:sz="0" w:space="0" w:color="auto"/>
                        <w:left w:val="none" w:sz="0" w:space="0" w:color="auto"/>
                        <w:bottom w:val="none" w:sz="0" w:space="0" w:color="auto"/>
                        <w:right w:val="none" w:sz="0" w:space="0" w:color="auto"/>
                      </w:divBdr>
                    </w:div>
                  </w:divsChild>
                </w:div>
                <w:div w:id="553853300">
                  <w:marLeft w:val="0"/>
                  <w:marRight w:val="0"/>
                  <w:marTop w:val="0"/>
                  <w:marBottom w:val="0"/>
                  <w:divBdr>
                    <w:top w:val="none" w:sz="0" w:space="0" w:color="auto"/>
                    <w:left w:val="none" w:sz="0" w:space="0" w:color="auto"/>
                    <w:bottom w:val="none" w:sz="0" w:space="0" w:color="auto"/>
                    <w:right w:val="none" w:sz="0" w:space="0" w:color="auto"/>
                  </w:divBdr>
                  <w:divsChild>
                    <w:div w:id="1852333280">
                      <w:marLeft w:val="0"/>
                      <w:marRight w:val="0"/>
                      <w:marTop w:val="0"/>
                      <w:marBottom w:val="0"/>
                      <w:divBdr>
                        <w:top w:val="none" w:sz="0" w:space="0" w:color="auto"/>
                        <w:left w:val="none" w:sz="0" w:space="0" w:color="auto"/>
                        <w:bottom w:val="none" w:sz="0" w:space="0" w:color="auto"/>
                        <w:right w:val="none" w:sz="0" w:space="0" w:color="auto"/>
                      </w:divBdr>
                    </w:div>
                  </w:divsChild>
                </w:div>
                <w:div w:id="572393276">
                  <w:marLeft w:val="0"/>
                  <w:marRight w:val="0"/>
                  <w:marTop w:val="0"/>
                  <w:marBottom w:val="0"/>
                  <w:divBdr>
                    <w:top w:val="none" w:sz="0" w:space="0" w:color="auto"/>
                    <w:left w:val="none" w:sz="0" w:space="0" w:color="auto"/>
                    <w:bottom w:val="none" w:sz="0" w:space="0" w:color="auto"/>
                    <w:right w:val="none" w:sz="0" w:space="0" w:color="auto"/>
                  </w:divBdr>
                  <w:divsChild>
                    <w:div w:id="1553274809">
                      <w:marLeft w:val="0"/>
                      <w:marRight w:val="0"/>
                      <w:marTop w:val="0"/>
                      <w:marBottom w:val="0"/>
                      <w:divBdr>
                        <w:top w:val="none" w:sz="0" w:space="0" w:color="auto"/>
                        <w:left w:val="none" w:sz="0" w:space="0" w:color="auto"/>
                        <w:bottom w:val="none" w:sz="0" w:space="0" w:color="auto"/>
                        <w:right w:val="none" w:sz="0" w:space="0" w:color="auto"/>
                      </w:divBdr>
                    </w:div>
                  </w:divsChild>
                </w:div>
                <w:div w:id="584074365">
                  <w:marLeft w:val="0"/>
                  <w:marRight w:val="0"/>
                  <w:marTop w:val="0"/>
                  <w:marBottom w:val="0"/>
                  <w:divBdr>
                    <w:top w:val="none" w:sz="0" w:space="0" w:color="auto"/>
                    <w:left w:val="none" w:sz="0" w:space="0" w:color="auto"/>
                    <w:bottom w:val="none" w:sz="0" w:space="0" w:color="auto"/>
                    <w:right w:val="none" w:sz="0" w:space="0" w:color="auto"/>
                  </w:divBdr>
                  <w:divsChild>
                    <w:div w:id="402456847">
                      <w:marLeft w:val="0"/>
                      <w:marRight w:val="0"/>
                      <w:marTop w:val="0"/>
                      <w:marBottom w:val="0"/>
                      <w:divBdr>
                        <w:top w:val="none" w:sz="0" w:space="0" w:color="auto"/>
                        <w:left w:val="none" w:sz="0" w:space="0" w:color="auto"/>
                        <w:bottom w:val="none" w:sz="0" w:space="0" w:color="auto"/>
                        <w:right w:val="none" w:sz="0" w:space="0" w:color="auto"/>
                      </w:divBdr>
                    </w:div>
                  </w:divsChild>
                </w:div>
                <w:div w:id="596134694">
                  <w:marLeft w:val="0"/>
                  <w:marRight w:val="0"/>
                  <w:marTop w:val="0"/>
                  <w:marBottom w:val="0"/>
                  <w:divBdr>
                    <w:top w:val="none" w:sz="0" w:space="0" w:color="auto"/>
                    <w:left w:val="none" w:sz="0" w:space="0" w:color="auto"/>
                    <w:bottom w:val="none" w:sz="0" w:space="0" w:color="auto"/>
                    <w:right w:val="none" w:sz="0" w:space="0" w:color="auto"/>
                  </w:divBdr>
                  <w:divsChild>
                    <w:div w:id="1573811499">
                      <w:marLeft w:val="0"/>
                      <w:marRight w:val="0"/>
                      <w:marTop w:val="0"/>
                      <w:marBottom w:val="0"/>
                      <w:divBdr>
                        <w:top w:val="none" w:sz="0" w:space="0" w:color="auto"/>
                        <w:left w:val="none" w:sz="0" w:space="0" w:color="auto"/>
                        <w:bottom w:val="none" w:sz="0" w:space="0" w:color="auto"/>
                        <w:right w:val="none" w:sz="0" w:space="0" w:color="auto"/>
                      </w:divBdr>
                    </w:div>
                  </w:divsChild>
                </w:div>
                <w:div w:id="597560817">
                  <w:marLeft w:val="0"/>
                  <w:marRight w:val="0"/>
                  <w:marTop w:val="0"/>
                  <w:marBottom w:val="0"/>
                  <w:divBdr>
                    <w:top w:val="none" w:sz="0" w:space="0" w:color="auto"/>
                    <w:left w:val="none" w:sz="0" w:space="0" w:color="auto"/>
                    <w:bottom w:val="none" w:sz="0" w:space="0" w:color="auto"/>
                    <w:right w:val="none" w:sz="0" w:space="0" w:color="auto"/>
                  </w:divBdr>
                  <w:divsChild>
                    <w:div w:id="410852835">
                      <w:marLeft w:val="0"/>
                      <w:marRight w:val="0"/>
                      <w:marTop w:val="0"/>
                      <w:marBottom w:val="0"/>
                      <w:divBdr>
                        <w:top w:val="none" w:sz="0" w:space="0" w:color="auto"/>
                        <w:left w:val="none" w:sz="0" w:space="0" w:color="auto"/>
                        <w:bottom w:val="none" w:sz="0" w:space="0" w:color="auto"/>
                        <w:right w:val="none" w:sz="0" w:space="0" w:color="auto"/>
                      </w:divBdr>
                    </w:div>
                  </w:divsChild>
                </w:div>
                <w:div w:id="601760187">
                  <w:marLeft w:val="0"/>
                  <w:marRight w:val="0"/>
                  <w:marTop w:val="0"/>
                  <w:marBottom w:val="0"/>
                  <w:divBdr>
                    <w:top w:val="none" w:sz="0" w:space="0" w:color="auto"/>
                    <w:left w:val="none" w:sz="0" w:space="0" w:color="auto"/>
                    <w:bottom w:val="none" w:sz="0" w:space="0" w:color="auto"/>
                    <w:right w:val="none" w:sz="0" w:space="0" w:color="auto"/>
                  </w:divBdr>
                  <w:divsChild>
                    <w:div w:id="170147365">
                      <w:marLeft w:val="0"/>
                      <w:marRight w:val="0"/>
                      <w:marTop w:val="0"/>
                      <w:marBottom w:val="0"/>
                      <w:divBdr>
                        <w:top w:val="none" w:sz="0" w:space="0" w:color="auto"/>
                        <w:left w:val="none" w:sz="0" w:space="0" w:color="auto"/>
                        <w:bottom w:val="none" w:sz="0" w:space="0" w:color="auto"/>
                        <w:right w:val="none" w:sz="0" w:space="0" w:color="auto"/>
                      </w:divBdr>
                    </w:div>
                  </w:divsChild>
                </w:div>
                <w:div w:id="615646929">
                  <w:marLeft w:val="0"/>
                  <w:marRight w:val="0"/>
                  <w:marTop w:val="0"/>
                  <w:marBottom w:val="0"/>
                  <w:divBdr>
                    <w:top w:val="none" w:sz="0" w:space="0" w:color="auto"/>
                    <w:left w:val="none" w:sz="0" w:space="0" w:color="auto"/>
                    <w:bottom w:val="none" w:sz="0" w:space="0" w:color="auto"/>
                    <w:right w:val="none" w:sz="0" w:space="0" w:color="auto"/>
                  </w:divBdr>
                  <w:divsChild>
                    <w:div w:id="21320417">
                      <w:marLeft w:val="0"/>
                      <w:marRight w:val="0"/>
                      <w:marTop w:val="0"/>
                      <w:marBottom w:val="0"/>
                      <w:divBdr>
                        <w:top w:val="none" w:sz="0" w:space="0" w:color="auto"/>
                        <w:left w:val="none" w:sz="0" w:space="0" w:color="auto"/>
                        <w:bottom w:val="none" w:sz="0" w:space="0" w:color="auto"/>
                        <w:right w:val="none" w:sz="0" w:space="0" w:color="auto"/>
                      </w:divBdr>
                    </w:div>
                  </w:divsChild>
                </w:div>
                <w:div w:id="617446409">
                  <w:marLeft w:val="0"/>
                  <w:marRight w:val="0"/>
                  <w:marTop w:val="0"/>
                  <w:marBottom w:val="0"/>
                  <w:divBdr>
                    <w:top w:val="none" w:sz="0" w:space="0" w:color="auto"/>
                    <w:left w:val="none" w:sz="0" w:space="0" w:color="auto"/>
                    <w:bottom w:val="none" w:sz="0" w:space="0" w:color="auto"/>
                    <w:right w:val="none" w:sz="0" w:space="0" w:color="auto"/>
                  </w:divBdr>
                  <w:divsChild>
                    <w:div w:id="1411389226">
                      <w:marLeft w:val="0"/>
                      <w:marRight w:val="0"/>
                      <w:marTop w:val="0"/>
                      <w:marBottom w:val="0"/>
                      <w:divBdr>
                        <w:top w:val="none" w:sz="0" w:space="0" w:color="auto"/>
                        <w:left w:val="none" w:sz="0" w:space="0" w:color="auto"/>
                        <w:bottom w:val="none" w:sz="0" w:space="0" w:color="auto"/>
                        <w:right w:val="none" w:sz="0" w:space="0" w:color="auto"/>
                      </w:divBdr>
                    </w:div>
                  </w:divsChild>
                </w:div>
                <w:div w:id="621958257">
                  <w:marLeft w:val="0"/>
                  <w:marRight w:val="0"/>
                  <w:marTop w:val="0"/>
                  <w:marBottom w:val="0"/>
                  <w:divBdr>
                    <w:top w:val="none" w:sz="0" w:space="0" w:color="auto"/>
                    <w:left w:val="none" w:sz="0" w:space="0" w:color="auto"/>
                    <w:bottom w:val="none" w:sz="0" w:space="0" w:color="auto"/>
                    <w:right w:val="none" w:sz="0" w:space="0" w:color="auto"/>
                  </w:divBdr>
                  <w:divsChild>
                    <w:div w:id="1444617422">
                      <w:marLeft w:val="0"/>
                      <w:marRight w:val="0"/>
                      <w:marTop w:val="0"/>
                      <w:marBottom w:val="0"/>
                      <w:divBdr>
                        <w:top w:val="none" w:sz="0" w:space="0" w:color="auto"/>
                        <w:left w:val="none" w:sz="0" w:space="0" w:color="auto"/>
                        <w:bottom w:val="none" w:sz="0" w:space="0" w:color="auto"/>
                        <w:right w:val="none" w:sz="0" w:space="0" w:color="auto"/>
                      </w:divBdr>
                    </w:div>
                  </w:divsChild>
                </w:div>
                <w:div w:id="646400231">
                  <w:marLeft w:val="0"/>
                  <w:marRight w:val="0"/>
                  <w:marTop w:val="0"/>
                  <w:marBottom w:val="0"/>
                  <w:divBdr>
                    <w:top w:val="none" w:sz="0" w:space="0" w:color="auto"/>
                    <w:left w:val="none" w:sz="0" w:space="0" w:color="auto"/>
                    <w:bottom w:val="none" w:sz="0" w:space="0" w:color="auto"/>
                    <w:right w:val="none" w:sz="0" w:space="0" w:color="auto"/>
                  </w:divBdr>
                  <w:divsChild>
                    <w:div w:id="728385542">
                      <w:marLeft w:val="0"/>
                      <w:marRight w:val="0"/>
                      <w:marTop w:val="0"/>
                      <w:marBottom w:val="0"/>
                      <w:divBdr>
                        <w:top w:val="none" w:sz="0" w:space="0" w:color="auto"/>
                        <w:left w:val="none" w:sz="0" w:space="0" w:color="auto"/>
                        <w:bottom w:val="none" w:sz="0" w:space="0" w:color="auto"/>
                        <w:right w:val="none" w:sz="0" w:space="0" w:color="auto"/>
                      </w:divBdr>
                    </w:div>
                  </w:divsChild>
                </w:div>
                <w:div w:id="652225320">
                  <w:marLeft w:val="0"/>
                  <w:marRight w:val="0"/>
                  <w:marTop w:val="0"/>
                  <w:marBottom w:val="0"/>
                  <w:divBdr>
                    <w:top w:val="none" w:sz="0" w:space="0" w:color="auto"/>
                    <w:left w:val="none" w:sz="0" w:space="0" w:color="auto"/>
                    <w:bottom w:val="none" w:sz="0" w:space="0" w:color="auto"/>
                    <w:right w:val="none" w:sz="0" w:space="0" w:color="auto"/>
                  </w:divBdr>
                  <w:divsChild>
                    <w:div w:id="594821783">
                      <w:marLeft w:val="0"/>
                      <w:marRight w:val="0"/>
                      <w:marTop w:val="0"/>
                      <w:marBottom w:val="0"/>
                      <w:divBdr>
                        <w:top w:val="none" w:sz="0" w:space="0" w:color="auto"/>
                        <w:left w:val="none" w:sz="0" w:space="0" w:color="auto"/>
                        <w:bottom w:val="none" w:sz="0" w:space="0" w:color="auto"/>
                        <w:right w:val="none" w:sz="0" w:space="0" w:color="auto"/>
                      </w:divBdr>
                    </w:div>
                  </w:divsChild>
                </w:div>
                <w:div w:id="685716701">
                  <w:marLeft w:val="0"/>
                  <w:marRight w:val="0"/>
                  <w:marTop w:val="0"/>
                  <w:marBottom w:val="0"/>
                  <w:divBdr>
                    <w:top w:val="none" w:sz="0" w:space="0" w:color="auto"/>
                    <w:left w:val="none" w:sz="0" w:space="0" w:color="auto"/>
                    <w:bottom w:val="none" w:sz="0" w:space="0" w:color="auto"/>
                    <w:right w:val="none" w:sz="0" w:space="0" w:color="auto"/>
                  </w:divBdr>
                  <w:divsChild>
                    <w:div w:id="2069300659">
                      <w:marLeft w:val="0"/>
                      <w:marRight w:val="0"/>
                      <w:marTop w:val="0"/>
                      <w:marBottom w:val="0"/>
                      <w:divBdr>
                        <w:top w:val="none" w:sz="0" w:space="0" w:color="auto"/>
                        <w:left w:val="none" w:sz="0" w:space="0" w:color="auto"/>
                        <w:bottom w:val="none" w:sz="0" w:space="0" w:color="auto"/>
                        <w:right w:val="none" w:sz="0" w:space="0" w:color="auto"/>
                      </w:divBdr>
                    </w:div>
                  </w:divsChild>
                </w:div>
                <w:div w:id="705103919">
                  <w:marLeft w:val="0"/>
                  <w:marRight w:val="0"/>
                  <w:marTop w:val="0"/>
                  <w:marBottom w:val="0"/>
                  <w:divBdr>
                    <w:top w:val="none" w:sz="0" w:space="0" w:color="auto"/>
                    <w:left w:val="none" w:sz="0" w:space="0" w:color="auto"/>
                    <w:bottom w:val="none" w:sz="0" w:space="0" w:color="auto"/>
                    <w:right w:val="none" w:sz="0" w:space="0" w:color="auto"/>
                  </w:divBdr>
                  <w:divsChild>
                    <w:div w:id="7145780">
                      <w:marLeft w:val="0"/>
                      <w:marRight w:val="0"/>
                      <w:marTop w:val="0"/>
                      <w:marBottom w:val="0"/>
                      <w:divBdr>
                        <w:top w:val="none" w:sz="0" w:space="0" w:color="auto"/>
                        <w:left w:val="none" w:sz="0" w:space="0" w:color="auto"/>
                        <w:bottom w:val="none" w:sz="0" w:space="0" w:color="auto"/>
                        <w:right w:val="none" w:sz="0" w:space="0" w:color="auto"/>
                      </w:divBdr>
                    </w:div>
                  </w:divsChild>
                </w:div>
                <w:div w:id="707995428">
                  <w:marLeft w:val="0"/>
                  <w:marRight w:val="0"/>
                  <w:marTop w:val="0"/>
                  <w:marBottom w:val="0"/>
                  <w:divBdr>
                    <w:top w:val="none" w:sz="0" w:space="0" w:color="auto"/>
                    <w:left w:val="none" w:sz="0" w:space="0" w:color="auto"/>
                    <w:bottom w:val="none" w:sz="0" w:space="0" w:color="auto"/>
                    <w:right w:val="none" w:sz="0" w:space="0" w:color="auto"/>
                  </w:divBdr>
                  <w:divsChild>
                    <w:div w:id="944574289">
                      <w:marLeft w:val="0"/>
                      <w:marRight w:val="0"/>
                      <w:marTop w:val="0"/>
                      <w:marBottom w:val="0"/>
                      <w:divBdr>
                        <w:top w:val="none" w:sz="0" w:space="0" w:color="auto"/>
                        <w:left w:val="none" w:sz="0" w:space="0" w:color="auto"/>
                        <w:bottom w:val="none" w:sz="0" w:space="0" w:color="auto"/>
                        <w:right w:val="none" w:sz="0" w:space="0" w:color="auto"/>
                      </w:divBdr>
                    </w:div>
                  </w:divsChild>
                </w:div>
                <w:div w:id="720832182">
                  <w:marLeft w:val="0"/>
                  <w:marRight w:val="0"/>
                  <w:marTop w:val="0"/>
                  <w:marBottom w:val="0"/>
                  <w:divBdr>
                    <w:top w:val="none" w:sz="0" w:space="0" w:color="auto"/>
                    <w:left w:val="none" w:sz="0" w:space="0" w:color="auto"/>
                    <w:bottom w:val="none" w:sz="0" w:space="0" w:color="auto"/>
                    <w:right w:val="none" w:sz="0" w:space="0" w:color="auto"/>
                  </w:divBdr>
                  <w:divsChild>
                    <w:div w:id="281229684">
                      <w:marLeft w:val="0"/>
                      <w:marRight w:val="0"/>
                      <w:marTop w:val="0"/>
                      <w:marBottom w:val="0"/>
                      <w:divBdr>
                        <w:top w:val="none" w:sz="0" w:space="0" w:color="auto"/>
                        <w:left w:val="none" w:sz="0" w:space="0" w:color="auto"/>
                        <w:bottom w:val="none" w:sz="0" w:space="0" w:color="auto"/>
                        <w:right w:val="none" w:sz="0" w:space="0" w:color="auto"/>
                      </w:divBdr>
                    </w:div>
                    <w:div w:id="831258918">
                      <w:marLeft w:val="0"/>
                      <w:marRight w:val="0"/>
                      <w:marTop w:val="0"/>
                      <w:marBottom w:val="0"/>
                      <w:divBdr>
                        <w:top w:val="none" w:sz="0" w:space="0" w:color="auto"/>
                        <w:left w:val="none" w:sz="0" w:space="0" w:color="auto"/>
                        <w:bottom w:val="none" w:sz="0" w:space="0" w:color="auto"/>
                        <w:right w:val="none" w:sz="0" w:space="0" w:color="auto"/>
                      </w:divBdr>
                    </w:div>
                  </w:divsChild>
                </w:div>
                <w:div w:id="725883081">
                  <w:marLeft w:val="0"/>
                  <w:marRight w:val="0"/>
                  <w:marTop w:val="0"/>
                  <w:marBottom w:val="0"/>
                  <w:divBdr>
                    <w:top w:val="none" w:sz="0" w:space="0" w:color="auto"/>
                    <w:left w:val="none" w:sz="0" w:space="0" w:color="auto"/>
                    <w:bottom w:val="none" w:sz="0" w:space="0" w:color="auto"/>
                    <w:right w:val="none" w:sz="0" w:space="0" w:color="auto"/>
                  </w:divBdr>
                  <w:divsChild>
                    <w:div w:id="1985430460">
                      <w:marLeft w:val="0"/>
                      <w:marRight w:val="0"/>
                      <w:marTop w:val="0"/>
                      <w:marBottom w:val="0"/>
                      <w:divBdr>
                        <w:top w:val="none" w:sz="0" w:space="0" w:color="auto"/>
                        <w:left w:val="none" w:sz="0" w:space="0" w:color="auto"/>
                        <w:bottom w:val="none" w:sz="0" w:space="0" w:color="auto"/>
                        <w:right w:val="none" w:sz="0" w:space="0" w:color="auto"/>
                      </w:divBdr>
                    </w:div>
                  </w:divsChild>
                </w:div>
                <w:div w:id="728068941">
                  <w:marLeft w:val="0"/>
                  <w:marRight w:val="0"/>
                  <w:marTop w:val="0"/>
                  <w:marBottom w:val="0"/>
                  <w:divBdr>
                    <w:top w:val="none" w:sz="0" w:space="0" w:color="auto"/>
                    <w:left w:val="none" w:sz="0" w:space="0" w:color="auto"/>
                    <w:bottom w:val="none" w:sz="0" w:space="0" w:color="auto"/>
                    <w:right w:val="none" w:sz="0" w:space="0" w:color="auto"/>
                  </w:divBdr>
                  <w:divsChild>
                    <w:div w:id="58554371">
                      <w:marLeft w:val="0"/>
                      <w:marRight w:val="0"/>
                      <w:marTop w:val="0"/>
                      <w:marBottom w:val="0"/>
                      <w:divBdr>
                        <w:top w:val="none" w:sz="0" w:space="0" w:color="auto"/>
                        <w:left w:val="none" w:sz="0" w:space="0" w:color="auto"/>
                        <w:bottom w:val="none" w:sz="0" w:space="0" w:color="auto"/>
                        <w:right w:val="none" w:sz="0" w:space="0" w:color="auto"/>
                      </w:divBdr>
                    </w:div>
                  </w:divsChild>
                </w:div>
                <w:div w:id="735906461">
                  <w:marLeft w:val="0"/>
                  <w:marRight w:val="0"/>
                  <w:marTop w:val="0"/>
                  <w:marBottom w:val="0"/>
                  <w:divBdr>
                    <w:top w:val="none" w:sz="0" w:space="0" w:color="auto"/>
                    <w:left w:val="none" w:sz="0" w:space="0" w:color="auto"/>
                    <w:bottom w:val="none" w:sz="0" w:space="0" w:color="auto"/>
                    <w:right w:val="none" w:sz="0" w:space="0" w:color="auto"/>
                  </w:divBdr>
                  <w:divsChild>
                    <w:div w:id="107118525">
                      <w:marLeft w:val="0"/>
                      <w:marRight w:val="0"/>
                      <w:marTop w:val="0"/>
                      <w:marBottom w:val="0"/>
                      <w:divBdr>
                        <w:top w:val="none" w:sz="0" w:space="0" w:color="auto"/>
                        <w:left w:val="none" w:sz="0" w:space="0" w:color="auto"/>
                        <w:bottom w:val="none" w:sz="0" w:space="0" w:color="auto"/>
                        <w:right w:val="none" w:sz="0" w:space="0" w:color="auto"/>
                      </w:divBdr>
                    </w:div>
                  </w:divsChild>
                </w:div>
                <w:div w:id="740295888">
                  <w:marLeft w:val="0"/>
                  <w:marRight w:val="0"/>
                  <w:marTop w:val="0"/>
                  <w:marBottom w:val="0"/>
                  <w:divBdr>
                    <w:top w:val="none" w:sz="0" w:space="0" w:color="auto"/>
                    <w:left w:val="none" w:sz="0" w:space="0" w:color="auto"/>
                    <w:bottom w:val="none" w:sz="0" w:space="0" w:color="auto"/>
                    <w:right w:val="none" w:sz="0" w:space="0" w:color="auto"/>
                  </w:divBdr>
                  <w:divsChild>
                    <w:div w:id="1184247405">
                      <w:marLeft w:val="0"/>
                      <w:marRight w:val="0"/>
                      <w:marTop w:val="0"/>
                      <w:marBottom w:val="0"/>
                      <w:divBdr>
                        <w:top w:val="none" w:sz="0" w:space="0" w:color="auto"/>
                        <w:left w:val="none" w:sz="0" w:space="0" w:color="auto"/>
                        <w:bottom w:val="none" w:sz="0" w:space="0" w:color="auto"/>
                        <w:right w:val="none" w:sz="0" w:space="0" w:color="auto"/>
                      </w:divBdr>
                    </w:div>
                  </w:divsChild>
                </w:div>
                <w:div w:id="774058655">
                  <w:marLeft w:val="0"/>
                  <w:marRight w:val="0"/>
                  <w:marTop w:val="0"/>
                  <w:marBottom w:val="0"/>
                  <w:divBdr>
                    <w:top w:val="none" w:sz="0" w:space="0" w:color="auto"/>
                    <w:left w:val="none" w:sz="0" w:space="0" w:color="auto"/>
                    <w:bottom w:val="none" w:sz="0" w:space="0" w:color="auto"/>
                    <w:right w:val="none" w:sz="0" w:space="0" w:color="auto"/>
                  </w:divBdr>
                  <w:divsChild>
                    <w:div w:id="2118332887">
                      <w:marLeft w:val="0"/>
                      <w:marRight w:val="0"/>
                      <w:marTop w:val="0"/>
                      <w:marBottom w:val="0"/>
                      <w:divBdr>
                        <w:top w:val="none" w:sz="0" w:space="0" w:color="auto"/>
                        <w:left w:val="none" w:sz="0" w:space="0" w:color="auto"/>
                        <w:bottom w:val="none" w:sz="0" w:space="0" w:color="auto"/>
                        <w:right w:val="none" w:sz="0" w:space="0" w:color="auto"/>
                      </w:divBdr>
                    </w:div>
                  </w:divsChild>
                </w:div>
                <w:div w:id="808127754">
                  <w:marLeft w:val="0"/>
                  <w:marRight w:val="0"/>
                  <w:marTop w:val="0"/>
                  <w:marBottom w:val="0"/>
                  <w:divBdr>
                    <w:top w:val="none" w:sz="0" w:space="0" w:color="auto"/>
                    <w:left w:val="none" w:sz="0" w:space="0" w:color="auto"/>
                    <w:bottom w:val="none" w:sz="0" w:space="0" w:color="auto"/>
                    <w:right w:val="none" w:sz="0" w:space="0" w:color="auto"/>
                  </w:divBdr>
                  <w:divsChild>
                    <w:div w:id="1057363784">
                      <w:marLeft w:val="0"/>
                      <w:marRight w:val="0"/>
                      <w:marTop w:val="0"/>
                      <w:marBottom w:val="0"/>
                      <w:divBdr>
                        <w:top w:val="none" w:sz="0" w:space="0" w:color="auto"/>
                        <w:left w:val="none" w:sz="0" w:space="0" w:color="auto"/>
                        <w:bottom w:val="none" w:sz="0" w:space="0" w:color="auto"/>
                        <w:right w:val="none" w:sz="0" w:space="0" w:color="auto"/>
                      </w:divBdr>
                    </w:div>
                  </w:divsChild>
                </w:div>
                <w:div w:id="811824956">
                  <w:marLeft w:val="0"/>
                  <w:marRight w:val="0"/>
                  <w:marTop w:val="0"/>
                  <w:marBottom w:val="0"/>
                  <w:divBdr>
                    <w:top w:val="none" w:sz="0" w:space="0" w:color="auto"/>
                    <w:left w:val="none" w:sz="0" w:space="0" w:color="auto"/>
                    <w:bottom w:val="none" w:sz="0" w:space="0" w:color="auto"/>
                    <w:right w:val="none" w:sz="0" w:space="0" w:color="auto"/>
                  </w:divBdr>
                  <w:divsChild>
                    <w:div w:id="382020329">
                      <w:marLeft w:val="0"/>
                      <w:marRight w:val="0"/>
                      <w:marTop w:val="0"/>
                      <w:marBottom w:val="0"/>
                      <w:divBdr>
                        <w:top w:val="none" w:sz="0" w:space="0" w:color="auto"/>
                        <w:left w:val="none" w:sz="0" w:space="0" w:color="auto"/>
                        <w:bottom w:val="none" w:sz="0" w:space="0" w:color="auto"/>
                        <w:right w:val="none" w:sz="0" w:space="0" w:color="auto"/>
                      </w:divBdr>
                    </w:div>
                  </w:divsChild>
                </w:div>
                <w:div w:id="824589197">
                  <w:marLeft w:val="0"/>
                  <w:marRight w:val="0"/>
                  <w:marTop w:val="0"/>
                  <w:marBottom w:val="0"/>
                  <w:divBdr>
                    <w:top w:val="none" w:sz="0" w:space="0" w:color="auto"/>
                    <w:left w:val="none" w:sz="0" w:space="0" w:color="auto"/>
                    <w:bottom w:val="none" w:sz="0" w:space="0" w:color="auto"/>
                    <w:right w:val="none" w:sz="0" w:space="0" w:color="auto"/>
                  </w:divBdr>
                  <w:divsChild>
                    <w:div w:id="536771327">
                      <w:marLeft w:val="0"/>
                      <w:marRight w:val="0"/>
                      <w:marTop w:val="0"/>
                      <w:marBottom w:val="0"/>
                      <w:divBdr>
                        <w:top w:val="none" w:sz="0" w:space="0" w:color="auto"/>
                        <w:left w:val="none" w:sz="0" w:space="0" w:color="auto"/>
                        <w:bottom w:val="none" w:sz="0" w:space="0" w:color="auto"/>
                        <w:right w:val="none" w:sz="0" w:space="0" w:color="auto"/>
                      </w:divBdr>
                    </w:div>
                  </w:divsChild>
                </w:div>
                <w:div w:id="825709908">
                  <w:marLeft w:val="0"/>
                  <w:marRight w:val="0"/>
                  <w:marTop w:val="0"/>
                  <w:marBottom w:val="0"/>
                  <w:divBdr>
                    <w:top w:val="none" w:sz="0" w:space="0" w:color="auto"/>
                    <w:left w:val="none" w:sz="0" w:space="0" w:color="auto"/>
                    <w:bottom w:val="none" w:sz="0" w:space="0" w:color="auto"/>
                    <w:right w:val="none" w:sz="0" w:space="0" w:color="auto"/>
                  </w:divBdr>
                  <w:divsChild>
                    <w:div w:id="339161459">
                      <w:marLeft w:val="0"/>
                      <w:marRight w:val="0"/>
                      <w:marTop w:val="0"/>
                      <w:marBottom w:val="0"/>
                      <w:divBdr>
                        <w:top w:val="none" w:sz="0" w:space="0" w:color="auto"/>
                        <w:left w:val="none" w:sz="0" w:space="0" w:color="auto"/>
                        <w:bottom w:val="none" w:sz="0" w:space="0" w:color="auto"/>
                        <w:right w:val="none" w:sz="0" w:space="0" w:color="auto"/>
                      </w:divBdr>
                    </w:div>
                  </w:divsChild>
                </w:div>
                <w:div w:id="843396138">
                  <w:marLeft w:val="0"/>
                  <w:marRight w:val="0"/>
                  <w:marTop w:val="0"/>
                  <w:marBottom w:val="0"/>
                  <w:divBdr>
                    <w:top w:val="none" w:sz="0" w:space="0" w:color="auto"/>
                    <w:left w:val="none" w:sz="0" w:space="0" w:color="auto"/>
                    <w:bottom w:val="none" w:sz="0" w:space="0" w:color="auto"/>
                    <w:right w:val="none" w:sz="0" w:space="0" w:color="auto"/>
                  </w:divBdr>
                  <w:divsChild>
                    <w:div w:id="410010887">
                      <w:marLeft w:val="0"/>
                      <w:marRight w:val="0"/>
                      <w:marTop w:val="0"/>
                      <w:marBottom w:val="0"/>
                      <w:divBdr>
                        <w:top w:val="none" w:sz="0" w:space="0" w:color="auto"/>
                        <w:left w:val="none" w:sz="0" w:space="0" w:color="auto"/>
                        <w:bottom w:val="none" w:sz="0" w:space="0" w:color="auto"/>
                        <w:right w:val="none" w:sz="0" w:space="0" w:color="auto"/>
                      </w:divBdr>
                    </w:div>
                  </w:divsChild>
                </w:div>
                <w:div w:id="857737819">
                  <w:marLeft w:val="0"/>
                  <w:marRight w:val="0"/>
                  <w:marTop w:val="0"/>
                  <w:marBottom w:val="0"/>
                  <w:divBdr>
                    <w:top w:val="none" w:sz="0" w:space="0" w:color="auto"/>
                    <w:left w:val="none" w:sz="0" w:space="0" w:color="auto"/>
                    <w:bottom w:val="none" w:sz="0" w:space="0" w:color="auto"/>
                    <w:right w:val="none" w:sz="0" w:space="0" w:color="auto"/>
                  </w:divBdr>
                  <w:divsChild>
                    <w:div w:id="304698652">
                      <w:marLeft w:val="0"/>
                      <w:marRight w:val="0"/>
                      <w:marTop w:val="0"/>
                      <w:marBottom w:val="0"/>
                      <w:divBdr>
                        <w:top w:val="none" w:sz="0" w:space="0" w:color="auto"/>
                        <w:left w:val="none" w:sz="0" w:space="0" w:color="auto"/>
                        <w:bottom w:val="none" w:sz="0" w:space="0" w:color="auto"/>
                        <w:right w:val="none" w:sz="0" w:space="0" w:color="auto"/>
                      </w:divBdr>
                    </w:div>
                  </w:divsChild>
                </w:div>
                <w:div w:id="859129040">
                  <w:marLeft w:val="0"/>
                  <w:marRight w:val="0"/>
                  <w:marTop w:val="0"/>
                  <w:marBottom w:val="0"/>
                  <w:divBdr>
                    <w:top w:val="none" w:sz="0" w:space="0" w:color="auto"/>
                    <w:left w:val="none" w:sz="0" w:space="0" w:color="auto"/>
                    <w:bottom w:val="none" w:sz="0" w:space="0" w:color="auto"/>
                    <w:right w:val="none" w:sz="0" w:space="0" w:color="auto"/>
                  </w:divBdr>
                  <w:divsChild>
                    <w:div w:id="1803426566">
                      <w:marLeft w:val="0"/>
                      <w:marRight w:val="0"/>
                      <w:marTop w:val="0"/>
                      <w:marBottom w:val="0"/>
                      <w:divBdr>
                        <w:top w:val="none" w:sz="0" w:space="0" w:color="auto"/>
                        <w:left w:val="none" w:sz="0" w:space="0" w:color="auto"/>
                        <w:bottom w:val="none" w:sz="0" w:space="0" w:color="auto"/>
                        <w:right w:val="none" w:sz="0" w:space="0" w:color="auto"/>
                      </w:divBdr>
                    </w:div>
                  </w:divsChild>
                </w:div>
                <w:div w:id="867568848">
                  <w:marLeft w:val="0"/>
                  <w:marRight w:val="0"/>
                  <w:marTop w:val="0"/>
                  <w:marBottom w:val="0"/>
                  <w:divBdr>
                    <w:top w:val="none" w:sz="0" w:space="0" w:color="auto"/>
                    <w:left w:val="none" w:sz="0" w:space="0" w:color="auto"/>
                    <w:bottom w:val="none" w:sz="0" w:space="0" w:color="auto"/>
                    <w:right w:val="none" w:sz="0" w:space="0" w:color="auto"/>
                  </w:divBdr>
                  <w:divsChild>
                    <w:div w:id="186912984">
                      <w:marLeft w:val="0"/>
                      <w:marRight w:val="0"/>
                      <w:marTop w:val="0"/>
                      <w:marBottom w:val="0"/>
                      <w:divBdr>
                        <w:top w:val="none" w:sz="0" w:space="0" w:color="auto"/>
                        <w:left w:val="none" w:sz="0" w:space="0" w:color="auto"/>
                        <w:bottom w:val="none" w:sz="0" w:space="0" w:color="auto"/>
                        <w:right w:val="none" w:sz="0" w:space="0" w:color="auto"/>
                      </w:divBdr>
                    </w:div>
                    <w:div w:id="593172274">
                      <w:marLeft w:val="0"/>
                      <w:marRight w:val="0"/>
                      <w:marTop w:val="0"/>
                      <w:marBottom w:val="0"/>
                      <w:divBdr>
                        <w:top w:val="none" w:sz="0" w:space="0" w:color="auto"/>
                        <w:left w:val="none" w:sz="0" w:space="0" w:color="auto"/>
                        <w:bottom w:val="none" w:sz="0" w:space="0" w:color="auto"/>
                        <w:right w:val="none" w:sz="0" w:space="0" w:color="auto"/>
                      </w:divBdr>
                    </w:div>
                    <w:div w:id="664623436">
                      <w:marLeft w:val="0"/>
                      <w:marRight w:val="0"/>
                      <w:marTop w:val="0"/>
                      <w:marBottom w:val="0"/>
                      <w:divBdr>
                        <w:top w:val="none" w:sz="0" w:space="0" w:color="auto"/>
                        <w:left w:val="none" w:sz="0" w:space="0" w:color="auto"/>
                        <w:bottom w:val="none" w:sz="0" w:space="0" w:color="auto"/>
                        <w:right w:val="none" w:sz="0" w:space="0" w:color="auto"/>
                      </w:divBdr>
                    </w:div>
                    <w:div w:id="1330281671">
                      <w:marLeft w:val="0"/>
                      <w:marRight w:val="0"/>
                      <w:marTop w:val="0"/>
                      <w:marBottom w:val="0"/>
                      <w:divBdr>
                        <w:top w:val="none" w:sz="0" w:space="0" w:color="auto"/>
                        <w:left w:val="none" w:sz="0" w:space="0" w:color="auto"/>
                        <w:bottom w:val="none" w:sz="0" w:space="0" w:color="auto"/>
                        <w:right w:val="none" w:sz="0" w:space="0" w:color="auto"/>
                      </w:divBdr>
                    </w:div>
                    <w:div w:id="1387141053">
                      <w:marLeft w:val="0"/>
                      <w:marRight w:val="0"/>
                      <w:marTop w:val="0"/>
                      <w:marBottom w:val="0"/>
                      <w:divBdr>
                        <w:top w:val="none" w:sz="0" w:space="0" w:color="auto"/>
                        <w:left w:val="none" w:sz="0" w:space="0" w:color="auto"/>
                        <w:bottom w:val="none" w:sz="0" w:space="0" w:color="auto"/>
                        <w:right w:val="none" w:sz="0" w:space="0" w:color="auto"/>
                      </w:divBdr>
                    </w:div>
                    <w:div w:id="1486362563">
                      <w:marLeft w:val="0"/>
                      <w:marRight w:val="0"/>
                      <w:marTop w:val="0"/>
                      <w:marBottom w:val="0"/>
                      <w:divBdr>
                        <w:top w:val="none" w:sz="0" w:space="0" w:color="auto"/>
                        <w:left w:val="none" w:sz="0" w:space="0" w:color="auto"/>
                        <w:bottom w:val="none" w:sz="0" w:space="0" w:color="auto"/>
                        <w:right w:val="none" w:sz="0" w:space="0" w:color="auto"/>
                      </w:divBdr>
                    </w:div>
                    <w:div w:id="1591549732">
                      <w:marLeft w:val="0"/>
                      <w:marRight w:val="0"/>
                      <w:marTop w:val="0"/>
                      <w:marBottom w:val="0"/>
                      <w:divBdr>
                        <w:top w:val="none" w:sz="0" w:space="0" w:color="auto"/>
                        <w:left w:val="none" w:sz="0" w:space="0" w:color="auto"/>
                        <w:bottom w:val="none" w:sz="0" w:space="0" w:color="auto"/>
                        <w:right w:val="none" w:sz="0" w:space="0" w:color="auto"/>
                      </w:divBdr>
                    </w:div>
                    <w:div w:id="1595046533">
                      <w:marLeft w:val="0"/>
                      <w:marRight w:val="0"/>
                      <w:marTop w:val="0"/>
                      <w:marBottom w:val="0"/>
                      <w:divBdr>
                        <w:top w:val="none" w:sz="0" w:space="0" w:color="auto"/>
                        <w:left w:val="none" w:sz="0" w:space="0" w:color="auto"/>
                        <w:bottom w:val="none" w:sz="0" w:space="0" w:color="auto"/>
                        <w:right w:val="none" w:sz="0" w:space="0" w:color="auto"/>
                      </w:divBdr>
                    </w:div>
                    <w:div w:id="1617561356">
                      <w:marLeft w:val="0"/>
                      <w:marRight w:val="0"/>
                      <w:marTop w:val="0"/>
                      <w:marBottom w:val="0"/>
                      <w:divBdr>
                        <w:top w:val="none" w:sz="0" w:space="0" w:color="auto"/>
                        <w:left w:val="none" w:sz="0" w:space="0" w:color="auto"/>
                        <w:bottom w:val="none" w:sz="0" w:space="0" w:color="auto"/>
                        <w:right w:val="none" w:sz="0" w:space="0" w:color="auto"/>
                      </w:divBdr>
                    </w:div>
                    <w:div w:id="1952977977">
                      <w:marLeft w:val="0"/>
                      <w:marRight w:val="0"/>
                      <w:marTop w:val="0"/>
                      <w:marBottom w:val="0"/>
                      <w:divBdr>
                        <w:top w:val="none" w:sz="0" w:space="0" w:color="auto"/>
                        <w:left w:val="none" w:sz="0" w:space="0" w:color="auto"/>
                        <w:bottom w:val="none" w:sz="0" w:space="0" w:color="auto"/>
                        <w:right w:val="none" w:sz="0" w:space="0" w:color="auto"/>
                      </w:divBdr>
                    </w:div>
                  </w:divsChild>
                </w:div>
                <w:div w:id="868102196">
                  <w:marLeft w:val="0"/>
                  <w:marRight w:val="0"/>
                  <w:marTop w:val="0"/>
                  <w:marBottom w:val="0"/>
                  <w:divBdr>
                    <w:top w:val="none" w:sz="0" w:space="0" w:color="auto"/>
                    <w:left w:val="none" w:sz="0" w:space="0" w:color="auto"/>
                    <w:bottom w:val="none" w:sz="0" w:space="0" w:color="auto"/>
                    <w:right w:val="none" w:sz="0" w:space="0" w:color="auto"/>
                  </w:divBdr>
                  <w:divsChild>
                    <w:div w:id="315376429">
                      <w:marLeft w:val="0"/>
                      <w:marRight w:val="0"/>
                      <w:marTop w:val="0"/>
                      <w:marBottom w:val="0"/>
                      <w:divBdr>
                        <w:top w:val="none" w:sz="0" w:space="0" w:color="auto"/>
                        <w:left w:val="none" w:sz="0" w:space="0" w:color="auto"/>
                        <w:bottom w:val="none" w:sz="0" w:space="0" w:color="auto"/>
                        <w:right w:val="none" w:sz="0" w:space="0" w:color="auto"/>
                      </w:divBdr>
                    </w:div>
                  </w:divsChild>
                </w:div>
                <w:div w:id="873884098">
                  <w:marLeft w:val="0"/>
                  <w:marRight w:val="0"/>
                  <w:marTop w:val="0"/>
                  <w:marBottom w:val="0"/>
                  <w:divBdr>
                    <w:top w:val="none" w:sz="0" w:space="0" w:color="auto"/>
                    <w:left w:val="none" w:sz="0" w:space="0" w:color="auto"/>
                    <w:bottom w:val="none" w:sz="0" w:space="0" w:color="auto"/>
                    <w:right w:val="none" w:sz="0" w:space="0" w:color="auto"/>
                  </w:divBdr>
                  <w:divsChild>
                    <w:div w:id="1016037066">
                      <w:marLeft w:val="0"/>
                      <w:marRight w:val="0"/>
                      <w:marTop w:val="0"/>
                      <w:marBottom w:val="0"/>
                      <w:divBdr>
                        <w:top w:val="none" w:sz="0" w:space="0" w:color="auto"/>
                        <w:left w:val="none" w:sz="0" w:space="0" w:color="auto"/>
                        <w:bottom w:val="none" w:sz="0" w:space="0" w:color="auto"/>
                        <w:right w:val="none" w:sz="0" w:space="0" w:color="auto"/>
                      </w:divBdr>
                    </w:div>
                  </w:divsChild>
                </w:div>
                <w:div w:id="893279049">
                  <w:marLeft w:val="0"/>
                  <w:marRight w:val="0"/>
                  <w:marTop w:val="0"/>
                  <w:marBottom w:val="0"/>
                  <w:divBdr>
                    <w:top w:val="none" w:sz="0" w:space="0" w:color="auto"/>
                    <w:left w:val="none" w:sz="0" w:space="0" w:color="auto"/>
                    <w:bottom w:val="none" w:sz="0" w:space="0" w:color="auto"/>
                    <w:right w:val="none" w:sz="0" w:space="0" w:color="auto"/>
                  </w:divBdr>
                  <w:divsChild>
                    <w:div w:id="309137594">
                      <w:marLeft w:val="0"/>
                      <w:marRight w:val="0"/>
                      <w:marTop w:val="0"/>
                      <w:marBottom w:val="0"/>
                      <w:divBdr>
                        <w:top w:val="none" w:sz="0" w:space="0" w:color="auto"/>
                        <w:left w:val="none" w:sz="0" w:space="0" w:color="auto"/>
                        <w:bottom w:val="none" w:sz="0" w:space="0" w:color="auto"/>
                        <w:right w:val="none" w:sz="0" w:space="0" w:color="auto"/>
                      </w:divBdr>
                    </w:div>
                  </w:divsChild>
                </w:div>
                <w:div w:id="893924948">
                  <w:marLeft w:val="0"/>
                  <w:marRight w:val="0"/>
                  <w:marTop w:val="0"/>
                  <w:marBottom w:val="0"/>
                  <w:divBdr>
                    <w:top w:val="none" w:sz="0" w:space="0" w:color="auto"/>
                    <w:left w:val="none" w:sz="0" w:space="0" w:color="auto"/>
                    <w:bottom w:val="none" w:sz="0" w:space="0" w:color="auto"/>
                    <w:right w:val="none" w:sz="0" w:space="0" w:color="auto"/>
                  </w:divBdr>
                  <w:divsChild>
                    <w:div w:id="1967157174">
                      <w:marLeft w:val="0"/>
                      <w:marRight w:val="0"/>
                      <w:marTop w:val="0"/>
                      <w:marBottom w:val="0"/>
                      <w:divBdr>
                        <w:top w:val="none" w:sz="0" w:space="0" w:color="auto"/>
                        <w:left w:val="none" w:sz="0" w:space="0" w:color="auto"/>
                        <w:bottom w:val="none" w:sz="0" w:space="0" w:color="auto"/>
                        <w:right w:val="none" w:sz="0" w:space="0" w:color="auto"/>
                      </w:divBdr>
                    </w:div>
                  </w:divsChild>
                </w:div>
                <w:div w:id="903566305">
                  <w:marLeft w:val="0"/>
                  <w:marRight w:val="0"/>
                  <w:marTop w:val="0"/>
                  <w:marBottom w:val="0"/>
                  <w:divBdr>
                    <w:top w:val="none" w:sz="0" w:space="0" w:color="auto"/>
                    <w:left w:val="none" w:sz="0" w:space="0" w:color="auto"/>
                    <w:bottom w:val="none" w:sz="0" w:space="0" w:color="auto"/>
                    <w:right w:val="none" w:sz="0" w:space="0" w:color="auto"/>
                  </w:divBdr>
                  <w:divsChild>
                    <w:div w:id="1469010494">
                      <w:marLeft w:val="0"/>
                      <w:marRight w:val="0"/>
                      <w:marTop w:val="0"/>
                      <w:marBottom w:val="0"/>
                      <w:divBdr>
                        <w:top w:val="none" w:sz="0" w:space="0" w:color="auto"/>
                        <w:left w:val="none" w:sz="0" w:space="0" w:color="auto"/>
                        <w:bottom w:val="none" w:sz="0" w:space="0" w:color="auto"/>
                        <w:right w:val="none" w:sz="0" w:space="0" w:color="auto"/>
                      </w:divBdr>
                    </w:div>
                  </w:divsChild>
                </w:div>
                <w:div w:id="905578071">
                  <w:marLeft w:val="0"/>
                  <w:marRight w:val="0"/>
                  <w:marTop w:val="0"/>
                  <w:marBottom w:val="0"/>
                  <w:divBdr>
                    <w:top w:val="none" w:sz="0" w:space="0" w:color="auto"/>
                    <w:left w:val="none" w:sz="0" w:space="0" w:color="auto"/>
                    <w:bottom w:val="none" w:sz="0" w:space="0" w:color="auto"/>
                    <w:right w:val="none" w:sz="0" w:space="0" w:color="auto"/>
                  </w:divBdr>
                  <w:divsChild>
                    <w:div w:id="512962651">
                      <w:marLeft w:val="0"/>
                      <w:marRight w:val="0"/>
                      <w:marTop w:val="0"/>
                      <w:marBottom w:val="0"/>
                      <w:divBdr>
                        <w:top w:val="none" w:sz="0" w:space="0" w:color="auto"/>
                        <w:left w:val="none" w:sz="0" w:space="0" w:color="auto"/>
                        <w:bottom w:val="none" w:sz="0" w:space="0" w:color="auto"/>
                        <w:right w:val="none" w:sz="0" w:space="0" w:color="auto"/>
                      </w:divBdr>
                    </w:div>
                  </w:divsChild>
                </w:div>
                <w:div w:id="914245385">
                  <w:marLeft w:val="0"/>
                  <w:marRight w:val="0"/>
                  <w:marTop w:val="0"/>
                  <w:marBottom w:val="0"/>
                  <w:divBdr>
                    <w:top w:val="none" w:sz="0" w:space="0" w:color="auto"/>
                    <w:left w:val="none" w:sz="0" w:space="0" w:color="auto"/>
                    <w:bottom w:val="none" w:sz="0" w:space="0" w:color="auto"/>
                    <w:right w:val="none" w:sz="0" w:space="0" w:color="auto"/>
                  </w:divBdr>
                  <w:divsChild>
                    <w:div w:id="1499034263">
                      <w:marLeft w:val="0"/>
                      <w:marRight w:val="0"/>
                      <w:marTop w:val="0"/>
                      <w:marBottom w:val="0"/>
                      <w:divBdr>
                        <w:top w:val="none" w:sz="0" w:space="0" w:color="auto"/>
                        <w:left w:val="none" w:sz="0" w:space="0" w:color="auto"/>
                        <w:bottom w:val="none" w:sz="0" w:space="0" w:color="auto"/>
                        <w:right w:val="none" w:sz="0" w:space="0" w:color="auto"/>
                      </w:divBdr>
                    </w:div>
                  </w:divsChild>
                </w:div>
                <w:div w:id="938026347">
                  <w:marLeft w:val="0"/>
                  <w:marRight w:val="0"/>
                  <w:marTop w:val="0"/>
                  <w:marBottom w:val="0"/>
                  <w:divBdr>
                    <w:top w:val="none" w:sz="0" w:space="0" w:color="auto"/>
                    <w:left w:val="none" w:sz="0" w:space="0" w:color="auto"/>
                    <w:bottom w:val="none" w:sz="0" w:space="0" w:color="auto"/>
                    <w:right w:val="none" w:sz="0" w:space="0" w:color="auto"/>
                  </w:divBdr>
                  <w:divsChild>
                    <w:div w:id="1817533004">
                      <w:marLeft w:val="0"/>
                      <w:marRight w:val="0"/>
                      <w:marTop w:val="0"/>
                      <w:marBottom w:val="0"/>
                      <w:divBdr>
                        <w:top w:val="none" w:sz="0" w:space="0" w:color="auto"/>
                        <w:left w:val="none" w:sz="0" w:space="0" w:color="auto"/>
                        <w:bottom w:val="none" w:sz="0" w:space="0" w:color="auto"/>
                        <w:right w:val="none" w:sz="0" w:space="0" w:color="auto"/>
                      </w:divBdr>
                    </w:div>
                  </w:divsChild>
                </w:div>
                <w:div w:id="950169880">
                  <w:marLeft w:val="0"/>
                  <w:marRight w:val="0"/>
                  <w:marTop w:val="0"/>
                  <w:marBottom w:val="0"/>
                  <w:divBdr>
                    <w:top w:val="none" w:sz="0" w:space="0" w:color="auto"/>
                    <w:left w:val="none" w:sz="0" w:space="0" w:color="auto"/>
                    <w:bottom w:val="none" w:sz="0" w:space="0" w:color="auto"/>
                    <w:right w:val="none" w:sz="0" w:space="0" w:color="auto"/>
                  </w:divBdr>
                  <w:divsChild>
                    <w:div w:id="625738724">
                      <w:marLeft w:val="0"/>
                      <w:marRight w:val="0"/>
                      <w:marTop w:val="0"/>
                      <w:marBottom w:val="0"/>
                      <w:divBdr>
                        <w:top w:val="none" w:sz="0" w:space="0" w:color="auto"/>
                        <w:left w:val="none" w:sz="0" w:space="0" w:color="auto"/>
                        <w:bottom w:val="none" w:sz="0" w:space="0" w:color="auto"/>
                        <w:right w:val="none" w:sz="0" w:space="0" w:color="auto"/>
                      </w:divBdr>
                    </w:div>
                  </w:divsChild>
                </w:div>
                <w:div w:id="964115868">
                  <w:marLeft w:val="0"/>
                  <w:marRight w:val="0"/>
                  <w:marTop w:val="0"/>
                  <w:marBottom w:val="0"/>
                  <w:divBdr>
                    <w:top w:val="none" w:sz="0" w:space="0" w:color="auto"/>
                    <w:left w:val="none" w:sz="0" w:space="0" w:color="auto"/>
                    <w:bottom w:val="none" w:sz="0" w:space="0" w:color="auto"/>
                    <w:right w:val="none" w:sz="0" w:space="0" w:color="auto"/>
                  </w:divBdr>
                  <w:divsChild>
                    <w:div w:id="1262294703">
                      <w:marLeft w:val="0"/>
                      <w:marRight w:val="0"/>
                      <w:marTop w:val="0"/>
                      <w:marBottom w:val="0"/>
                      <w:divBdr>
                        <w:top w:val="none" w:sz="0" w:space="0" w:color="auto"/>
                        <w:left w:val="none" w:sz="0" w:space="0" w:color="auto"/>
                        <w:bottom w:val="none" w:sz="0" w:space="0" w:color="auto"/>
                        <w:right w:val="none" w:sz="0" w:space="0" w:color="auto"/>
                      </w:divBdr>
                    </w:div>
                  </w:divsChild>
                </w:div>
                <w:div w:id="971254444">
                  <w:marLeft w:val="0"/>
                  <w:marRight w:val="0"/>
                  <w:marTop w:val="0"/>
                  <w:marBottom w:val="0"/>
                  <w:divBdr>
                    <w:top w:val="none" w:sz="0" w:space="0" w:color="auto"/>
                    <w:left w:val="none" w:sz="0" w:space="0" w:color="auto"/>
                    <w:bottom w:val="none" w:sz="0" w:space="0" w:color="auto"/>
                    <w:right w:val="none" w:sz="0" w:space="0" w:color="auto"/>
                  </w:divBdr>
                  <w:divsChild>
                    <w:div w:id="1386446008">
                      <w:marLeft w:val="0"/>
                      <w:marRight w:val="0"/>
                      <w:marTop w:val="0"/>
                      <w:marBottom w:val="0"/>
                      <w:divBdr>
                        <w:top w:val="none" w:sz="0" w:space="0" w:color="auto"/>
                        <w:left w:val="none" w:sz="0" w:space="0" w:color="auto"/>
                        <w:bottom w:val="none" w:sz="0" w:space="0" w:color="auto"/>
                        <w:right w:val="none" w:sz="0" w:space="0" w:color="auto"/>
                      </w:divBdr>
                    </w:div>
                  </w:divsChild>
                </w:div>
                <w:div w:id="980884673">
                  <w:marLeft w:val="0"/>
                  <w:marRight w:val="0"/>
                  <w:marTop w:val="0"/>
                  <w:marBottom w:val="0"/>
                  <w:divBdr>
                    <w:top w:val="none" w:sz="0" w:space="0" w:color="auto"/>
                    <w:left w:val="none" w:sz="0" w:space="0" w:color="auto"/>
                    <w:bottom w:val="none" w:sz="0" w:space="0" w:color="auto"/>
                    <w:right w:val="none" w:sz="0" w:space="0" w:color="auto"/>
                  </w:divBdr>
                  <w:divsChild>
                    <w:div w:id="999700358">
                      <w:marLeft w:val="0"/>
                      <w:marRight w:val="0"/>
                      <w:marTop w:val="0"/>
                      <w:marBottom w:val="0"/>
                      <w:divBdr>
                        <w:top w:val="none" w:sz="0" w:space="0" w:color="auto"/>
                        <w:left w:val="none" w:sz="0" w:space="0" w:color="auto"/>
                        <w:bottom w:val="none" w:sz="0" w:space="0" w:color="auto"/>
                        <w:right w:val="none" w:sz="0" w:space="0" w:color="auto"/>
                      </w:divBdr>
                    </w:div>
                  </w:divsChild>
                </w:div>
                <w:div w:id="997655383">
                  <w:marLeft w:val="0"/>
                  <w:marRight w:val="0"/>
                  <w:marTop w:val="0"/>
                  <w:marBottom w:val="0"/>
                  <w:divBdr>
                    <w:top w:val="none" w:sz="0" w:space="0" w:color="auto"/>
                    <w:left w:val="none" w:sz="0" w:space="0" w:color="auto"/>
                    <w:bottom w:val="none" w:sz="0" w:space="0" w:color="auto"/>
                    <w:right w:val="none" w:sz="0" w:space="0" w:color="auto"/>
                  </w:divBdr>
                  <w:divsChild>
                    <w:div w:id="1311207260">
                      <w:marLeft w:val="0"/>
                      <w:marRight w:val="0"/>
                      <w:marTop w:val="0"/>
                      <w:marBottom w:val="0"/>
                      <w:divBdr>
                        <w:top w:val="none" w:sz="0" w:space="0" w:color="auto"/>
                        <w:left w:val="none" w:sz="0" w:space="0" w:color="auto"/>
                        <w:bottom w:val="none" w:sz="0" w:space="0" w:color="auto"/>
                        <w:right w:val="none" w:sz="0" w:space="0" w:color="auto"/>
                      </w:divBdr>
                    </w:div>
                  </w:divsChild>
                </w:div>
                <w:div w:id="1015571117">
                  <w:marLeft w:val="0"/>
                  <w:marRight w:val="0"/>
                  <w:marTop w:val="0"/>
                  <w:marBottom w:val="0"/>
                  <w:divBdr>
                    <w:top w:val="none" w:sz="0" w:space="0" w:color="auto"/>
                    <w:left w:val="none" w:sz="0" w:space="0" w:color="auto"/>
                    <w:bottom w:val="none" w:sz="0" w:space="0" w:color="auto"/>
                    <w:right w:val="none" w:sz="0" w:space="0" w:color="auto"/>
                  </w:divBdr>
                  <w:divsChild>
                    <w:div w:id="1682126139">
                      <w:marLeft w:val="0"/>
                      <w:marRight w:val="0"/>
                      <w:marTop w:val="0"/>
                      <w:marBottom w:val="0"/>
                      <w:divBdr>
                        <w:top w:val="none" w:sz="0" w:space="0" w:color="auto"/>
                        <w:left w:val="none" w:sz="0" w:space="0" w:color="auto"/>
                        <w:bottom w:val="none" w:sz="0" w:space="0" w:color="auto"/>
                        <w:right w:val="none" w:sz="0" w:space="0" w:color="auto"/>
                      </w:divBdr>
                    </w:div>
                  </w:divsChild>
                </w:div>
                <w:div w:id="1024207855">
                  <w:marLeft w:val="0"/>
                  <w:marRight w:val="0"/>
                  <w:marTop w:val="0"/>
                  <w:marBottom w:val="0"/>
                  <w:divBdr>
                    <w:top w:val="none" w:sz="0" w:space="0" w:color="auto"/>
                    <w:left w:val="none" w:sz="0" w:space="0" w:color="auto"/>
                    <w:bottom w:val="none" w:sz="0" w:space="0" w:color="auto"/>
                    <w:right w:val="none" w:sz="0" w:space="0" w:color="auto"/>
                  </w:divBdr>
                  <w:divsChild>
                    <w:div w:id="556211867">
                      <w:marLeft w:val="0"/>
                      <w:marRight w:val="0"/>
                      <w:marTop w:val="0"/>
                      <w:marBottom w:val="0"/>
                      <w:divBdr>
                        <w:top w:val="none" w:sz="0" w:space="0" w:color="auto"/>
                        <w:left w:val="none" w:sz="0" w:space="0" w:color="auto"/>
                        <w:bottom w:val="none" w:sz="0" w:space="0" w:color="auto"/>
                        <w:right w:val="none" w:sz="0" w:space="0" w:color="auto"/>
                      </w:divBdr>
                    </w:div>
                  </w:divsChild>
                </w:div>
                <w:div w:id="1027409659">
                  <w:marLeft w:val="0"/>
                  <w:marRight w:val="0"/>
                  <w:marTop w:val="0"/>
                  <w:marBottom w:val="0"/>
                  <w:divBdr>
                    <w:top w:val="none" w:sz="0" w:space="0" w:color="auto"/>
                    <w:left w:val="none" w:sz="0" w:space="0" w:color="auto"/>
                    <w:bottom w:val="none" w:sz="0" w:space="0" w:color="auto"/>
                    <w:right w:val="none" w:sz="0" w:space="0" w:color="auto"/>
                  </w:divBdr>
                  <w:divsChild>
                    <w:div w:id="1671326292">
                      <w:marLeft w:val="0"/>
                      <w:marRight w:val="0"/>
                      <w:marTop w:val="0"/>
                      <w:marBottom w:val="0"/>
                      <w:divBdr>
                        <w:top w:val="none" w:sz="0" w:space="0" w:color="auto"/>
                        <w:left w:val="none" w:sz="0" w:space="0" w:color="auto"/>
                        <w:bottom w:val="none" w:sz="0" w:space="0" w:color="auto"/>
                        <w:right w:val="none" w:sz="0" w:space="0" w:color="auto"/>
                      </w:divBdr>
                    </w:div>
                  </w:divsChild>
                </w:div>
                <w:div w:id="1035541479">
                  <w:marLeft w:val="0"/>
                  <w:marRight w:val="0"/>
                  <w:marTop w:val="0"/>
                  <w:marBottom w:val="0"/>
                  <w:divBdr>
                    <w:top w:val="none" w:sz="0" w:space="0" w:color="auto"/>
                    <w:left w:val="none" w:sz="0" w:space="0" w:color="auto"/>
                    <w:bottom w:val="none" w:sz="0" w:space="0" w:color="auto"/>
                    <w:right w:val="none" w:sz="0" w:space="0" w:color="auto"/>
                  </w:divBdr>
                  <w:divsChild>
                    <w:div w:id="90275443">
                      <w:marLeft w:val="0"/>
                      <w:marRight w:val="0"/>
                      <w:marTop w:val="0"/>
                      <w:marBottom w:val="0"/>
                      <w:divBdr>
                        <w:top w:val="none" w:sz="0" w:space="0" w:color="auto"/>
                        <w:left w:val="none" w:sz="0" w:space="0" w:color="auto"/>
                        <w:bottom w:val="none" w:sz="0" w:space="0" w:color="auto"/>
                        <w:right w:val="none" w:sz="0" w:space="0" w:color="auto"/>
                      </w:divBdr>
                    </w:div>
                  </w:divsChild>
                </w:div>
                <w:div w:id="1039092786">
                  <w:marLeft w:val="0"/>
                  <w:marRight w:val="0"/>
                  <w:marTop w:val="0"/>
                  <w:marBottom w:val="0"/>
                  <w:divBdr>
                    <w:top w:val="none" w:sz="0" w:space="0" w:color="auto"/>
                    <w:left w:val="none" w:sz="0" w:space="0" w:color="auto"/>
                    <w:bottom w:val="none" w:sz="0" w:space="0" w:color="auto"/>
                    <w:right w:val="none" w:sz="0" w:space="0" w:color="auto"/>
                  </w:divBdr>
                  <w:divsChild>
                    <w:div w:id="1929384906">
                      <w:marLeft w:val="0"/>
                      <w:marRight w:val="0"/>
                      <w:marTop w:val="0"/>
                      <w:marBottom w:val="0"/>
                      <w:divBdr>
                        <w:top w:val="none" w:sz="0" w:space="0" w:color="auto"/>
                        <w:left w:val="none" w:sz="0" w:space="0" w:color="auto"/>
                        <w:bottom w:val="none" w:sz="0" w:space="0" w:color="auto"/>
                        <w:right w:val="none" w:sz="0" w:space="0" w:color="auto"/>
                      </w:divBdr>
                    </w:div>
                  </w:divsChild>
                </w:div>
                <w:div w:id="1078332400">
                  <w:marLeft w:val="0"/>
                  <w:marRight w:val="0"/>
                  <w:marTop w:val="0"/>
                  <w:marBottom w:val="0"/>
                  <w:divBdr>
                    <w:top w:val="none" w:sz="0" w:space="0" w:color="auto"/>
                    <w:left w:val="none" w:sz="0" w:space="0" w:color="auto"/>
                    <w:bottom w:val="none" w:sz="0" w:space="0" w:color="auto"/>
                    <w:right w:val="none" w:sz="0" w:space="0" w:color="auto"/>
                  </w:divBdr>
                  <w:divsChild>
                    <w:div w:id="1649506831">
                      <w:marLeft w:val="0"/>
                      <w:marRight w:val="0"/>
                      <w:marTop w:val="0"/>
                      <w:marBottom w:val="0"/>
                      <w:divBdr>
                        <w:top w:val="none" w:sz="0" w:space="0" w:color="auto"/>
                        <w:left w:val="none" w:sz="0" w:space="0" w:color="auto"/>
                        <w:bottom w:val="none" w:sz="0" w:space="0" w:color="auto"/>
                        <w:right w:val="none" w:sz="0" w:space="0" w:color="auto"/>
                      </w:divBdr>
                    </w:div>
                  </w:divsChild>
                </w:div>
                <w:div w:id="1083257729">
                  <w:marLeft w:val="0"/>
                  <w:marRight w:val="0"/>
                  <w:marTop w:val="0"/>
                  <w:marBottom w:val="0"/>
                  <w:divBdr>
                    <w:top w:val="none" w:sz="0" w:space="0" w:color="auto"/>
                    <w:left w:val="none" w:sz="0" w:space="0" w:color="auto"/>
                    <w:bottom w:val="none" w:sz="0" w:space="0" w:color="auto"/>
                    <w:right w:val="none" w:sz="0" w:space="0" w:color="auto"/>
                  </w:divBdr>
                  <w:divsChild>
                    <w:div w:id="913393747">
                      <w:marLeft w:val="0"/>
                      <w:marRight w:val="0"/>
                      <w:marTop w:val="0"/>
                      <w:marBottom w:val="0"/>
                      <w:divBdr>
                        <w:top w:val="none" w:sz="0" w:space="0" w:color="auto"/>
                        <w:left w:val="none" w:sz="0" w:space="0" w:color="auto"/>
                        <w:bottom w:val="none" w:sz="0" w:space="0" w:color="auto"/>
                        <w:right w:val="none" w:sz="0" w:space="0" w:color="auto"/>
                      </w:divBdr>
                    </w:div>
                  </w:divsChild>
                </w:div>
                <w:div w:id="1088040290">
                  <w:marLeft w:val="0"/>
                  <w:marRight w:val="0"/>
                  <w:marTop w:val="0"/>
                  <w:marBottom w:val="0"/>
                  <w:divBdr>
                    <w:top w:val="none" w:sz="0" w:space="0" w:color="auto"/>
                    <w:left w:val="none" w:sz="0" w:space="0" w:color="auto"/>
                    <w:bottom w:val="none" w:sz="0" w:space="0" w:color="auto"/>
                    <w:right w:val="none" w:sz="0" w:space="0" w:color="auto"/>
                  </w:divBdr>
                  <w:divsChild>
                    <w:div w:id="1543975995">
                      <w:marLeft w:val="0"/>
                      <w:marRight w:val="0"/>
                      <w:marTop w:val="0"/>
                      <w:marBottom w:val="0"/>
                      <w:divBdr>
                        <w:top w:val="none" w:sz="0" w:space="0" w:color="auto"/>
                        <w:left w:val="none" w:sz="0" w:space="0" w:color="auto"/>
                        <w:bottom w:val="none" w:sz="0" w:space="0" w:color="auto"/>
                        <w:right w:val="none" w:sz="0" w:space="0" w:color="auto"/>
                      </w:divBdr>
                    </w:div>
                  </w:divsChild>
                </w:div>
                <w:div w:id="1092623544">
                  <w:marLeft w:val="0"/>
                  <w:marRight w:val="0"/>
                  <w:marTop w:val="0"/>
                  <w:marBottom w:val="0"/>
                  <w:divBdr>
                    <w:top w:val="none" w:sz="0" w:space="0" w:color="auto"/>
                    <w:left w:val="none" w:sz="0" w:space="0" w:color="auto"/>
                    <w:bottom w:val="none" w:sz="0" w:space="0" w:color="auto"/>
                    <w:right w:val="none" w:sz="0" w:space="0" w:color="auto"/>
                  </w:divBdr>
                  <w:divsChild>
                    <w:div w:id="406849084">
                      <w:marLeft w:val="0"/>
                      <w:marRight w:val="0"/>
                      <w:marTop w:val="0"/>
                      <w:marBottom w:val="0"/>
                      <w:divBdr>
                        <w:top w:val="none" w:sz="0" w:space="0" w:color="auto"/>
                        <w:left w:val="none" w:sz="0" w:space="0" w:color="auto"/>
                        <w:bottom w:val="none" w:sz="0" w:space="0" w:color="auto"/>
                        <w:right w:val="none" w:sz="0" w:space="0" w:color="auto"/>
                      </w:divBdr>
                    </w:div>
                  </w:divsChild>
                </w:div>
                <w:div w:id="1097680526">
                  <w:marLeft w:val="0"/>
                  <w:marRight w:val="0"/>
                  <w:marTop w:val="0"/>
                  <w:marBottom w:val="0"/>
                  <w:divBdr>
                    <w:top w:val="none" w:sz="0" w:space="0" w:color="auto"/>
                    <w:left w:val="none" w:sz="0" w:space="0" w:color="auto"/>
                    <w:bottom w:val="none" w:sz="0" w:space="0" w:color="auto"/>
                    <w:right w:val="none" w:sz="0" w:space="0" w:color="auto"/>
                  </w:divBdr>
                  <w:divsChild>
                    <w:div w:id="2059738089">
                      <w:marLeft w:val="0"/>
                      <w:marRight w:val="0"/>
                      <w:marTop w:val="0"/>
                      <w:marBottom w:val="0"/>
                      <w:divBdr>
                        <w:top w:val="none" w:sz="0" w:space="0" w:color="auto"/>
                        <w:left w:val="none" w:sz="0" w:space="0" w:color="auto"/>
                        <w:bottom w:val="none" w:sz="0" w:space="0" w:color="auto"/>
                        <w:right w:val="none" w:sz="0" w:space="0" w:color="auto"/>
                      </w:divBdr>
                    </w:div>
                  </w:divsChild>
                </w:div>
                <w:div w:id="1099179738">
                  <w:marLeft w:val="0"/>
                  <w:marRight w:val="0"/>
                  <w:marTop w:val="0"/>
                  <w:marBottom w:val="0"/>
                  <w:divBdr>
                    <w:top w:val="none" w:sz="0" w:space="0" w:color="auto"/>
                    <w:left w:val="none" w:sz="0" w:space="0" w:color="auto"/>
                    <w:bottom w:val="none" w:sz="0" w:space="0" w:color="auto"/>
                    <w:right w:val="none" w:sz="0" w:space="0" w:color="auto"/>
                  </w:divBdr>
                  <w:divsChild>
                    <w:div w:id="680738592">
                      <w:marLeft w:val="0"/>
                      <w:marRight w:val="0"/>
                      <w:marTop w:val="0"/>
                      <w:marBottom w:val="0"/>
                      <w:divBdr>
                        <w:top w:val="none" w:sz="0" w:space="0" w:color="auto"/>
                        <w:left w:val="none" w:sz="0" w:space="0" w:color="auto"/>
                        <w:bottom w:val="none" w:sz="0" w:space="0" w:color="auto"/>
                        <w:right w:val="none" w:sz="0" w:space="0" w:color="auto"/>
                      </w:divBdr>
                    </w:div>
                  </w:divsChild>
                </w:div>
                <w:div w:id="1119294859">
                  <w:marLeft w:val="0"/>
                  <w:marRight w:val="0"/>
                  <w:marTop w:val="0"/>
                  <w:marBottom w:val="0"/>
                  <w:divBdr>
                    <w:top w:val="none" w:sz="0" w:space="0" w:color="auto"/>
                    <w:left w:val="none" w:sz="0" w:space="0" w:color="auto"/>
                    <w:bottom w:val="none" w:sz="0" w:space="0" w:color="auto"/>
                    <w:right w:val="none" w:sz="0" w:space="0" w:color="auto"/>
                  </w:divBdr>
                  <w:divsChild>
                    <w:div w:id="1302231460">
                      <w:marLeft w:val="0"/>
                      <w:marRight w:val="0"/>
                      <w:marTop w:val="0"/>
                      <w:marBottom w:val="0"/>
                      <w:divBdr>
                        <w:top w:val="none" w:sz="0" w:space="0" w:color="auto"/>
                        <w:left w:val="none" w:sz="0" w:space="0" w:color="auto"/>
                        <w:bottom w:val="none" w:sz="0" w:space="0" w:color="auto"/>
                        <w:right w:val="none" w:sz="0" w:space="0" w:color="auto"/>
                      </w:divBdr>
                    </w:div>
                  </w:divsChild>
                </w:div>
                <w:div w:id="1119959699">
                  <w:marLeft w:val="0"/>
                  <w:marRight w:val="0"/>
                  <w:marTop w:val="0"/>
                  <w:marBottom w:val="0"/>
                  <w:divBdr>
                    <w:top w:val="none" w:sz="0" w:space="0" w:color="auto"/>
                    <w:left w:val="none" w:sz="0" w:space="0" w:color="auto"/>
                    <w:bottom w:val="none" w:sz="0" w:space="0" w:color="auto"/>
                    <w:right w:val="none" w:sz="0" w:space="0" w:color="auto"/>
                  </w:divBdr>
                  <w:divsChild>
                    <w:div w:id="1673024506">
                      <w:marLeft w:val="0"/>
                      <w:marRight w:val="0"/>
                      <w:marTop w:val="0"/>
                      <w:marBottom w:val="0"/>
                      <w:divBdr>
                        <w:top w:val="none" w:sz="0" w:space="0" w:color="auto"/>
                        <w:left w:val="none" w:sz="0" w:space="0" w:color="auto"/>
                        <w:bottom w:val="none" w:sz="0" w:space="0" w:color="auto"/>
                        <w:right w:val="none" w:sz="0" w:space="0" w:color="auto"/>
                      </w:divBdr>
                    </w:div>
                  </w:divsChild>
                </w:div>
                <w:div w:id="1135490032">
                  <w:marLeft w:val="0"/>
                  <w:marRight w:val="0"/>
                  <w:marTop w:val="0"/>
                  <w:marBottom w:val="0"/>
                  <w:divBdr>
                    <w:top w:val="none" w:sz="0" w:space="0" w:color="auto"/>
                    <w:left w:val="none" w:sz="0" w:space="0" w:color="auto"/>
                    <w:bottom w:val="none" w:sz="0" w:space="0" w:color="auto"/>
                    <w:right w:val="none" w:sz="0" w:space="0" w:color="auto"/>
                  </w:divBdr>
                  <w:divsChild>
                    <w:div w:id="300696466">
                      <w:marLeft w:val="0"/>
                      <w:marRight w:val="0"/>
                      <w:marTop w:val="0"/>
                      <w:marBottom w:val="0"/>
                      <w:divBdr>
                        <w:top w:val="none" w:sz="0" w:space="0" w:color="auto"/>
                        <w:left w:val="none" w:sz="0" w:space="0" w:color="auto"/>
                        <w:bottom w:val="none" w:sz="0" w:space="0" w:color="auto"/>
                        <w:right w:val="none" w:sz="0" w:space="0" w:color="auto"/>
                      </w:divBdr>
                    </w:div>
                  </w:divsChild>
                </w:div>
                <w:div w:id="1141656546">
                  <w:marLeft w:val="0"/>
                  <w:marRight w:val="0"/>
                  <w:marTop w:val="0"/>
                  <w:marBottom w:val="0"/>
                  <w:divBdr>
                    <w:top w:val="none" w:sz="0" w:space="0" w:color="auto"/>
                    <w:left w:val="none" w:sz="0" w:space="0" w:color="auto"/>
                    <w:bottom w:val="none" w:sz="0" w:space="0" w:color="auto"/>
                    <w:right w:val="none" w:sz="0" w:space="0" w:color="auto"/>
                  </w:divBdr>
                  <w:divsChild>
                    <w:div w:id="1526864556">
                      <w:marLeft w:val="0"/>
                      <w:marRight w:val="0"/>
                      <w:marTop w:val="0"/>
                      <w:marBottom w:val="0"/>
                      <w:divBdr>
                        <w:top w:val="none" w:sz="0" w:space="0" w:color="auto"/>
                        <w:left w:val="none" w:sz="0" w:space="0" w:color="auto"/>
                        <w:bottom w:val="none" w:sz="0" w:space="0" w:color="auto"/>
                        <w:right w:val="none" w:sz="0" w:space="0" w:color="auto"/>
                      </w:divBdr>
                    </w:div>
                  </w:divsChild>
                </w:div>
                <w:div w:id="1146895741">
                  <w:marLeft w:val="0"/>
                  <w:marRight w:val="0"/>
                  <w:marTop w:val="0"/>
                  <w:marBottom w:val="0"/>
                  <w:divBdr>
                    <w:top w:val="none" w:sz="0" w:space="0" w:color="auto"/>
                    <w:left w:val="none" w:sz="0" w:space="0" w:color="auto"/>
                    <w:bottom w:val="none" w:sz="0" w:space="0" w:color="auto"/>
                    <w:right w:val="none" w:sz="0" w:space="0" w:color="auto"/>
                  </w:divBdr>
                  <w:divsChild>
                    <w:div w:id="1535726549">
                      <w:marLeft w:val="0"/>
                      <w:marRight w:val="0"/>
                      <w:marTop w:val="0"/>
                      <w:marBottom w:val="0"/>
                      <w:divBdr>
                        <w:top w:val="none" w:sz="0" w:space="0" w:color="auto"/>
                        <w:left w:val="none" w:sz="0" w:space="0" w:color="auto"/>
                        <w:bottom w:val="none" w:sz="0" w:space="0" w:color="auto"/>
                        <w:right w:val="none" w:sz="0" w:space="0" w:color="auto"/>
                      </w:divBdr>
                    </w:div>
                  </w:divsChild>
                </w:div>
                <w:div w:id="1147630151">
                  <w:marLeft w:val="0"/>
                  <w:marRight w:val="0"/>
                  <w:marTop w:val="0"/>
                  <w:marBottom w:val="0"/>
                  <w:divBdr>
                    <w:top w:val="none" w:sz="0" w:space="0" w:color="auto"/>
                    <w:left w:val="none" w:sz="0" w:space="0" w:color="auto"/>
                    <w:bottom w:val="none" w:sz="0" w:space="0" w:color="auto"/>
                    <w:right w:val="none" w:sz="0" w:space="0" w:color="auto"/>
                  </w:divBdr>
                  <w:divsChild>
                    <w:div w:id="2117599817">
                      <w:marLeft w:val="0"/>
                      <w:marRight w:val="0"/>
                      <w:marTop w:val="0"/>
                      <w:marBottom w:val="0"/>
                      <w:divBdr>
                        <w:top w:val="none" w:sz="0" w:space="0" w:color="auto"/>
                        <w:left w:val="none" w:sz="0" w:space="0" w:color="auto"/>
                        <w:bottom w:val="none" w:sz="0" w:space="0" w:color="auto"/>
                        <w:right w:val="none" w:sz="0" w:space="0" w:color="auto"/>
                      </w:divBdr>
                    </w:div>
                  </w:divsChild>
                </w:div>
                <w:div w:id="1159809368">
                  <w:marLeft w:val="0"/>
                  <w:marRight w:val="0"/>
                  <w:marTop w:val="0"/>
                  <w:marBottom w:val="0"/>
                  <w:divBdr>
                    <w:top w:val="none" w:sz="0" w:space="0" w:color="auto"/>
                    <w:left w:val="none" w:sz="0" w:space="0" w:color="auto"/>
                    <w:bottom w:val="none" w:sz="0" w:space="0" w:color="auto"/>
                    <w:right w:val="none" w:sz="0" w:space="0" w:color="auto"/>
                  </w:divBdr>
                  <w:divsChild>
                    <w:div w:id="2001078701">
                      <w:marLeft w:val="0"/>
                      <w:marRight w:val="0"/>
                      <w:marTop w:val="0"/>
                      <w:marBottom w:val="0"/>
                      <w:divBdr>
                        <w:top w:val="none" w:sz="0" w:space="0" w:color="auto"/>
                        <w:left w:val="none" w:sz="0" w:space="0" w:color="auto"/>
                        <w:bottom w:val="none" w:sz="0" w:space="0" w:color="auto"/>
                        <w:right w:val="none" w:sz="0" w:space="0" w:color="auto"/>
                      </w:divBdr>
                    </w:div>
                  </w:divsChild>
                </w:div>
                <w:div w:id="1159999605">
                  <w:marLeft w:val="0"/>
                  <w:marRight w:val="0"/>
                  <w:marTop w:val="0"/>
                  <w:marBottom w:val="0"/>
                  <w:divBdr>
                    <w:top w:val="none" w:sz="0" w:space="0" w:color="auto"/>
                    <w:left w:val="none" w:sz="0" w:space="0" w:color="auto"/>
                    <w:bottom w:val="none" w:sz="0" w:space="0" w:color="auto"/>
                    <w:right w:val="none" w:sz="0" w:space="0" w:color="auto"/>
                  </w:divBdr>
                  <w:divsChild>
                    <w:div w:id="612827902">
                      <w:marLeft w:val="0"/>
                      <w:marRight w:val="0"/>
                      <w:marTop w:val="0"/>
                      <w:marBottom w:val="0"/>
                      <w:divBdr>
                        <w:top w:val="none" w:sz="0" w:space="0" w:color="auto"/>
                        <w:left w:val="none" w:sz="0" w:space="0" w:color="auto"/>
                        <w:bottom w:val="none" w:sz="0" w:space="0" w:color="auto"/>
                        <w:right w:val="none" w:sz="0" w:space="0" w:color="auto"/>
                      </w:divBdr>
                    </w:div>
                  </w:divsChild>
                </w:div>
                <w:div w:id="1160081827">
                  <w:marLeft w:val="0"/>
                  <w:marRight w:val="0"/>
                  <w:marTop w:val="0"/>
                  <w:marBottom w:val="0"/>
                  <w:divBdr>
                    <w:top w:val="none" w:sz="0" w:space="0" w:color="auto"/>
                    <w:left w:val="none" w:sz="0" w:space="0" w:color="auto"/>
                    <w:bottom w:val="none" w:sz="0" w:space="0" w:color="auto"/>
                    <w:right w:val="none" w:sz="0" w:space="0" w:color="auto"/>
                  </w:divBdr>
                  <w:divsChild>
                    <w:div w:id="911815999">
                      <w:marLeft w:val="0"/>
                      <w:marRight w:val="0"/>
                      <w:marTop w:val="0"/>
                      <w:marBottom w:val="0"/>
                      <w:divBdr>
                        <w:top w:val="none" w:sz="0" w:space="0" w:color="auto"/>
                        <w:left w:val="none" w:sz="0" w:space="0" w:color="auto"/>
                        <w:bottom w:val="none" w:sz="0" w:space="0" w:color="auto"/>
                        <w:right w:val="none" w:sz="0" w:space="0" w:color="auto"/>
                      </w:divBdr>
                    </w:div>
                  </w:divsChild>
                </w:div>
                <w:div w:id="1165780469">
                  <w:marLeft w:val="0"/>
                  <w:marRight w:val="0"/>
                  <w:marTop w:val="0"/>
                  <w:marBottom w:val="0"/>
                  <w:divBdr>
                    <w:top w:val="none" w:sz="0" w:space="0" w:color="auto"/>
                    <w:left w:val="none" w:sz="0" w:space="0" w:color="auto"/>
                    <w:bottom w:val="none" w:sz="0" w:space="0" w:color="auto"/>
                    <w:right w:val="none" w:sz="0" w:space="0" w:color="auto"/>
                  </w:divBdr>
                  <w:divsChild>
                    <w:div w:id="1088304597">
                      <w:marLeft w:val="0"/>
                      <w:marRight w:val="0"/>
                      <w:marTop w:val="0"/>
                      <w:marBottom w:val="0"/>
                      <w:divBdr>
                        <w:top w:val="none" w:sz="0" w:space="0" w:color="auto"/>
                        <w:left w:val="none" w:sz="0" w:space="0" w:color="auto"/>
                        <w:bottom w:val="none" w:sz="0" w:space="0" w:color="auto"/>
                        <w:right w:val="none" w:sz="0" w:space="0" w:color="auto"/>
                      </w:divBdr>
                    </w:div>
                  </w:divsChild>
                </w:div>
                <w:div w:id="1187985301">
                  <w:marLeft w:val="0"/>
                  <w:marRight w:val="0"/>
                  <w:marTop w:val="0"/>
                  <w:marBottom w:val="0"/>
                  <w:divBdr>
                    <w:top w:val="none" w:sz="0" w:space="0" w:color="auto"/>
                    <w:left w:val="none" w:sz="0" w:space="0" w:color="auto"/>
                    <w:bottom w:val="none" w:sz="0" w:space="0" w:color="auto"/>
                    <w:right w:val="none" w:sz="0" w:space="0" w:color="auto"/>
                  </w:divBdr>
                  <w:divsChild>
                    <w:div w:id="1045183274">
                      <w:marLeft w:val="0"/>
                      <w:marRight w:val="0"/>
                      <w:marTop w:val="0"/>
                      <w:marBottom w:val="0"/>
                      <w:divBdr>
                        <w:top w:val="none" w:sz="0" w:space="0" w:color="auto"/>
                        <w:left w:val="none" w:sz="0" w:space="0" w:color="auto"/>
                        <w:bottom w:val="none" w:sz="0" w:space="0" w:color="auto"/>
                        <w:right w:val="none" w:sz="0" w:space="0" w:color="auto"/>
                      </w:divBdr>
                    </w:div>
                  </w:divsChild>
                </w:div>
                <w:div w:id="1194223562">
                  <w:marLeft w:val="0"/>
                  <w:marRight w:val="0"/>
                  <w:marTop w:val="0"/>
                  <w:marBottom w:val="0"/>
                  <w:divBdr>
                    <w:top w:val="none" w:sz="0" w:space="0" w:color="auto"/>
                    <w:left w:val="none" w:sz="0" w:space="0" w:color="auto"/>
                    <w:bottom w:val="none" w:sz="0" w:space="0" w:color="auto"/>
                    <w:right w:val="none" w:sz="0" w:space="0" w:color="auto"/>
                  </w:divBdr>
                  <w:divsChild>
                    <w:div w:id="1380787181">
                      <w:marLeft w:val="0"/>
                      <w:marRight w:val="0"/>
                      <w:marTop w:val="0"/>
                      <w:marBottom w:val="0"/>
                      <w:divBdr>
                        <w:top w:val="none" w:sz="0" w:space="0" w:color="auto"/>
                        <w:left w:val="none" w:sz="0" w:space="0" w:color="auto"/>
                        <w:bottom w:val="none" w:sz="0" w:space="0" w:color="auto"/>
                        <w:right w:val="none" w:sz="0" w:space="0" w:color="auto"/>
                      </w:divBdr>
                    </w:div>
                  </w:divsChild>
                </w:div>
                <w:div w:id="1211112768">
                  <w:marLeft w:val="0"/>
                  <w:marRight w:val="0"/>
                  <w:marTop w:val="0"/>
                  <w:marBottom w:val="0"/>
                  <w:divBdr>
                    <w:top w:val="none" w:sz="0" w:space="0" w:color="auto"/>
                    <w:left w:val="none" w:sz="0" w:space="0" w:color="auto"/>
                    <w:bottom w:val="none" w:sz="0" w:space="0" w:color="auto"/>
                    <w:right w:val="none" w:sz="0" w:space="0" w:color="auto"/>
                  </w:divBdr>
                  <w:divsChild>
                    <w:div w:id="697777221">
                      <w:marLeft w:val="0"/>
                      <w:marRight w:val="0"/>
                      <w:marTop w:val="0"/>
                      <w:marBottom w:val="0"/>
                      <w:divBdr>
                        <w:top w:val="none" w:sz="0" w:space="0" w:color="auto"/>
                        <w:left w:val="none" w:sz="0" w:space="0" w:color="auto"/>
                        <w:bottom w:val="none" w:sz="0" w:space="0" w:color="auto"/>
                        <w:right w:val="none" w:sz="0" w:space="0" w:color="auto"/>
                      </w:divBdr>
                    </w:div>
                  </w:divsChild>
                </w:div>
                <w:div w:id="1237934408">
                  <w:marLeft w:val="0"/>
                  <w:marRight w:val="0"/>
                  <w:marTop w:val="0"/>
                  <w:marBottom w:val="0"/>
                  <w:divBdr>
                    <w:top w:val="none" w:sz="0" w:space="0" w:color="auto"/>
                    <w:left w:val="none" w:sz="0" w:space="0" w:color="auto"/>
                    <w:bottom w:val="none" w:sz="0" w:space="0" w:color="auto"/>
                    <w:right w:val="none" w:sz="0" w:space="0" w:color="auto"/>
                  </w:divBdr>
                  <w:divsChild>
                    <w:div w:id="1602180834">
                      <w:marLeft w:val="0"/>
                      <w:marRight w:val="0"/>
                      <w:marTop w:val="0"/>
                      <w:marBottom w:val="0"/>
                      <w:divBdr>
                        <w:top w:val="none" w:sz="0" w:space="0" w:color="auto"/>
                        <w:left w:val="none" w:sz="0" w:space="0" w:color="auto"/>
                        <w:bottom w:val="none" w:sz="0" w:space="0" w:color="auto"/>
                        <w:right w:val="none" w:sz="0" w:space="0" w:color="auto"/>
                      </w:divBdr>
                    </w:div>
                  </w:divsChild>
                </w:div>
                <w:div w:id="1240097927">
                  <w:marLeft w:val="0"/>
                  <w:marRight w:val="0"/>
                  <w:marTop w:val="0"/>
                  <w:marBottom w:val="0"/>
                  <w:divBdr>
                    <w:top w:val="none" w:sz="0" w:space="0" w:color="auto"/>
                    <w:left w:val="none" w:sz="0" w:space="0" w:color="auto"/>
                    <w:bottom w:val="none" w:sz="0" w:space="0" w:color="auto"/>
                    <w:right w:val="none" w:sz="0" w:space="0" w:color="auto"/>
                  </w:divBdr>
                  <w:divsChild>
                    <w:div w:id="957175996">
                      <w:marLeft w:val="0"/>
                      <w:marRight w:val="0"/>
                      <w:marTop w:val="0"/>
                      <w:marBottom w:val="0"/>
                      <w:divBdr>
                        <w:top w:val="none" w:sz="0" w:space="0" w:color="auto"/>
                        <w:left w:val="none" w:sz="0" w:space="0" w:color="auto"/>
                        <w:bottom w:val="none" w:sz="0" w:space="0" w:color="auto"/>
                        <w:right w:val="none" w:sz="0" w:space="0" w:color="auto"/>
                      </w:divBdr>
                    </w:div>
                  </w:divsChild>
                </w:div>
                <w:div w:id="1248229028">
                  <w:marLeft w:val="0"/>
                  <w:marRight w:val="0"/>
                  <w:marTop w:val="0"/>
                  <w:marBottom w:val="0"/>
                  <w:divBdr>
                    <w:top w:val="none" w:sz="0" w:space="0" w:color="auto"/>
                    <w:left w:val="none" w:sz="0" w:space="0" w:color="auto"/>
                    <w:bottom w:val="none" w:sz="0" w:space="0" w:color="auto"/>
                    <w:right w:val="none" w:sz="0" w:space="0" w:color="auto"/>
                  </w:divBdr>
                  <w:divsChild>
                    <w:div w:id="646280586">
                      <w:marLeft w:val="0"/>
                      <w:marRight w:val="0"/>
                      <w:marTop w:val="0"/>
                      <w:marBottom w:val="0"/>
                      <w:divBdr>
                        <w:top w:val="none" w:sz="0" w:space="0" w:color="auto"/>
                        <w:left w:val="none" w:sz="0" w:space="0" w:color="auto"/>
                        <w:bottom w:val="none" w:sz="0" w:space="0" w:color="auto"/>
                        <w:right w:val="none" w:sz="0" w:space="0" w:color="auto"/>
                      </w:divBdr>
                    </w:div>
                  </w:divsChild>
                </w:div>
                <w:div w:id="1263951854">
                  <w:marLeft w:val="0"/>
                  <w:marRight w:val="0"/>
                  <w:marTop w:val="0"/>
                  <w:marBottom w:val="0"/>
                  <w:divBdr>
                    <w:top w:val="none" w:sz="0" w:space="0" w:color="auto"/>
                    <w:left w:val="none" w:sz="0" w:space="0" w:color="auto"/>
                    <w:bottom w:val="none" w:sz="0" w:space="0" w:color="auto"/>
                    <w:right w:val="none" w:sz="0" w:space="0" w:color="auto"/>
                  </w:divBdr>
                  <w:divsChild>
                    <w:div w:id="979309004">
                      <w:marLeft w:val="0"/>
                      <w:marRight w:val="0"/>
                      <w:marTop w:val="0"/>
                      <w:marBottom w:val="0"/>
                      <w:divBdr>
                        <w:top w:val="none" w:sz="0" w:space="0" w:color="auto"/>
                        <w:left w:val="none" w:sz="0" w:space="0" w:color="auto"/>
                        <w:bottom w:val="none" w:sz="0" w:space="0" w:color="auto"/>
                        <w:right w:val="none" w:sz="0" w:space="0" w:color="auto"/>
                      </w:divBdr>
                    </w:div>
                  </w:divsChild>
                </w:div>
                <w:div w:id="1269502399">
                  <w:marLeft w:val="0"/>
                  <w:marRight w:val="0"/>
                  <w:marTop w:val="0"/>
                  <w:marBottom w:val="0"/>
                  <w:divBdr>
                    <w:top w:val="none" w:sz="0" w:space="0" w:color="auto"/>
                    <w:left w:val="none" w:sz="0" w:space="0" w:color="auto"/>
                    <w:bottom w:val="none" w:sz="0" w:space="0" w:color="auto"/>
                    <w:right w:val="none" w:sz="0" w:space="0" w:color="auto"/>
                  </w:divBdr>
                  <w:divsChild>
                    <w:div w:id="2087998472">
                      <w:marLeft w:val="0"/>
                      <w:marRight w:val="0"/>
                      <w:marTop w:val="0"/>
                      <w:marBottom w:val="0"/>
                      <w:divBdr>
                        <w:top w:val="none" w:sz="0" w:space="0" w:color="auto"/>
                        <w:left w:val="none" w:sz="0" w:space="0" w:color="auto"/>
                        <w:bottom w:val="none" w:sz="0" w:space="0" w:color="auto"/>
                        <w:right w:val="none" w:sz="0" w:space="0" w:color="auto"/>
                      </w:divBdr>
                    </w:div>
                  </w:divsChild>
                </w:div>
                <w:div w:id="1281759059">
                  <w:marLeft w:val="0"/>
                  <w:marRight w:val="0"/>
                  <w:marTop w:val="0"/>
                  <w:marBottom w:val="0"/>
                  <w:divBdr>
                    <w:top w:val="none" w:sz="0" w:space="0" w:color="auto"/>
                    <w:left w:val="none" w:sz="0" w:space="0" w:color="auto"/>
                    <w:bottom w:val="none" w:sz="0" w:space="0" w:color="auto"/>
                    <w:right w:val="none" w:sz="0" w:space="0" w:color="auto"/>
                  </w:divBdr>
                  <w:divsChild>
                    <w:div w:id="593048358">
                      <w:marLeft w:val="0"/>
                      <w:marRight w:val="0"/>
                      <w:marTop w:val="0"/>
                      <w:marBottom w:val="0"/>
                      <w:divBdr>
                        <w:top w:val="none" w:sz="0" w:space="0" w:color="auto"/>
                        <w:left w:val="none" w:sz="0" w:space="0" w:color="auto"/>
                        <w:bottom w:val="none" w:sz="0" w:space="0" w:color="auto"/>
                        <w:right w:val="none" w:sz="0" w:space="0" w:color="auto"/>
                      </w:divBdr>
                    </w:div>
                  </w:divsChild>
                </w:div>
                <w:div w:id="1336376927">
                  <w:marLeft w:val="0"/>
                  <w:marRight w:val="0"/>
                  <w:marTop w:val="0"/>
                  <w:marBottom w:val="0"/>
                  <w:divBdr>
                    <w:top w:val="none" w:sz="0" w:space="0" w:color="auto"/>
                    <w:left w:val="none" w:sz="0" w:space="0" w:color="auto"/>
                    <w:bottom w:val="none" w:sz="0" w:space="0" w:color="auto"/>
                    <w:right w:val="none" w:sz="0" w:space="0" w:color="auto"/>
                  </w:divBdr>
                  <w:divsChild>
                    <w:div w:id="1527477378">
                      <w:marLeft w:val="0"/>
                      <w:marRight w:val="0"/>
                      <w:marTop w:val="0"/>
                      <w:marBottom w:val="0"/>
                      <w:divBdr>
                        <w:top w:val="none" w:sz="0" w:space="0" w:color="auto"/>
                        <w:left w:val="none" w:sz="0" w:space="0" w:color="auto"/>
                        <w:bottom w:val="none" w:sz="0" w:space="0" w:color="auto"/>
                        <w:right w:val="none" w:sz="0" w:space="0" w:color="auto"/>
                      </w:divBdr>
                    </w:div>
                  </w:divsChild>
                </w:div>
                <w:div w:id="1350065854">
                  <w:marLeft w:val="0"/>
                  <w:marRight w:val="0"/>
                  <w:marTop w:val="0"/>
                  <w:marBottom w:val="0"/>
                  <w:divBdr>
                    <w:top w:val="none" w:sz="0" w:space="0" w:color="auto"/>
                    <w:left w:val="none" w:sz="0" w:space="0" w:color="auto"/>
                    <w:bottom w:val="none" w:sz="0" w:space="0" w:color="auto"/>
                    <w:right w:val="none" w:sz="0" w:space="0" w:color="auto"/>
                  </w:divBdr>
                  <w:divsChild>
                    <w:div w:id="2068186818">
                      <w:marLeft w:val="0"/>
                      <w:marRight w:val="0"/>
                      <w:marTop w:val="0"/>
                      <w:marBottom w:val="0"/>
                      <w:divBdr>
                        <w:top w:val="none" w:sz="0" w:space="0" w:color="auto"/>
                        <w:left w:val="none" w:sz="0" w:space="0" w:color="auto"/>
                        <w:bottom w:val="none" w:sz="0" w:space="0" w:color="auto"/>
                        <w:right w:val="none" w:sz="0" w:space="0" w:color="auto"/>
                      </w:divBdr>
                    </w:div>
                  </w:divsChild>
                </w:div>
                <w:div w:id="1350258022">
                  <w:marLeft w:val="0"/>
                  <w:marRight w:val="0"/>
                  <w:marTop w:val="0"/>
                  <w:marBottom w:val="0"/>
                  <w:divBdr>
                    <w:top w:val="none" w:sz="0" w:space="0" w:color="auto"/>
                    <w:left w:val="none" w:sz="0" w:space="0" w:color="auto"/>
                    <w:bottom w:val="none" w:sz="0" w:space="0" w:color="auto"/>
                    <w:right w:val="none" w:sz="0" w:space="0" w:color="auto"/>
                  </w:divBdr>
                  <w:divsChild>
                    <w:div w:id="1273905268">
                      <w:marLeft w:val="0"/>
                      <w:marRight w:val="0"/>
                      <w:marTop w:val="0"/>
                      <w:marBottom w:val="0"/>
                      <w:divBdr>
                        <w:top w:val="none" w:sz="0" w:space="0" w:color="auto"/>
                        <w:left w:val="none" w:sz="0" w:space="0" w:color="auto"/>
                        <w:bottom w:val="none" w:sz="0" w:space="0" w:color="auto"/>
                        <w:right w:val="none" w:sz="0" w:space="0" w:color="auto"/>
                      </w:divBdr>
                    </w:div>
                  </w:divsChild>
                </w:div>
                <w:div w:id="1377000309">
                  <w:marLeft w:val="0"/>
                  <w:marRight w:val="0"/>
                  <w:marTop w:val="0"/>
                  <w:marBottom w:val="0"/>
                  <w:divBdr>
                    <w:top w:val="none" w:sz="0" w:space="0" w:color="auto"/>
                    <w:left w:val="none" w:sz="0" w:space="0" w:color="auto"/>
                    <w:bottom w:val="none" w:sz="0" w:space="0" w:color="auto"/>
                    <w:right w:val="none" w:sz="0" w:space="0" w:color="auto"/>
                  </w:divBdr>
                  <w:divsChild>
                    <w:div w:id="39020710">
                      <w:marLeft w:val="0"/>
                      <w:marRight w:val="0"/>
                      <w:marTop w:val="0"/>
                      <w:marBottom w:val="0"/>
                      <w:divBdr>
                        <w:top w:val="none" w:sz="0" w:space="0" w:color="auto"/>
                        <w:left w:val="none" w:sz="0" w:space="0" w:color="auto"/>
                        <w:bottom w:val="none" w:sz="0" w:space="0" w:color="auto"/>
                        <w:right w:val="none" w:sz="0" w:space="0" w:color="auto"/>
                      </w:divBdr>
                    </w:div>
                  </w:divsChild>
                </w:div>
                <w:div w:id="1381780790">
                  <w:marLeft w:val="0"/>
                  <w:marRight w:val="0"/>
                  <w:marTop w:val="0"/>
                  <w:marBottom w:val="0"/>
                  <w:divBdr>
                    <w:top w:val="none" w:sz="0" w:space="0" w:color="auto"/>
                    <w:left w:val="none" w:sz="0" w:space="0" w:color="auto"/>
                    <w:bottom w:val="none" w:sz="0" w:space="0" w:color="auto"/>
                    <w:right w:val="none" w:sz="0" w:space="0" w:color="auto"/>
                  </w:divBdr>
                  <w:divsChild>
                    <w:div w:id="400300830">
                      <w:marLeft w:val="0"/>
                      <w:marRight w:val="0"/>
                      <w:marTop w:val="0"/>
                      <w:marBottom w:val="0"/>
                      <w:divBdr>
                        <w:top w:val="none" w:sz="0" w:space="0" w:color="auto"/>
                        <w:left w:val="none" w:sz="0" w:space="0" w:color="auto"/>
                        <w:bottom w:val="none" w:sz="0" w:space="0" w:color="auto"/>
                        <w:right w:val="none" w:sz="0" w:space="0" w:color="auto"/>
                      </w:divBdr>
                    </w:div>
                  </w:divsChild>
                </w:div>
                <w:div w:id="1407339744">
                  <w:marLeft w:val="0"/>
                  <w:marRight w:val="0"/>
                  <w:marTop w:val="0"/>
                  <w:marBottom w:val="0"/>
                  <w:divBdr>
                    <w:top w:val="none" w:sz="0" w:space="0" w:color="auto"/>
                    <w:left w:val="none" w:sz="0" w:space="0" w:color="auto"/>
                    <w:bottom w:val="none" w:sz="0" w:space="0" w:color="auto"/>
                    <w:right w:val="none" w:sz="0" w:space="0" w:color="auto"/>
                  </w:divBdr>
                  <w:divsChild>
                    <w:div w:id="2037388288">
                      <w:marLeft w:val="0"/>
                      <w:marRight w:val="0"/>
                      <w:marTop w:val="0"/>
                      <w:marBottom w:val="0"/>
                      <w:divBdr>
                        <w:top w:val="none" w:sz="0" w:space="0" w:color="auto"/>
                        <w:left w:val="none" w:sz="0" w:space="0" w:color="auto"/>
                        <w:bottom w:val="none" w:sz="0" w:space="0" w:color="auto"/>
                        <w:right w:val="none" w:sz="0" w:space="0" w:color="auto"/>
                      </w:divBdr>
                    </w:div>
                  </w:divsChild>
                </w:div>
                <w:div w:id="1431660492">
                  <w:marLeft w:val="0"/>
                  <w:marRight w:val="0"/>
                  <w:marTop w:val="0"/>
                  <w:marBottom w:val="0"/>
                  <w:divBdr>
                    <w:top w:val="none" w:sz="0" w:space="0" w:color="auto"/>
                    <w:left w:val="none" w:sz="0" w:space="0" w:color="auto"/>
                    <w:bottom w:val="none" w:sz="0" w:space="0" w:color="auto"/>
                    <w:right w:val="none" w:sz="0" w:space="0" w:color="auto"/>
                  </w:divBdr>
                  <w:divsChild>
                    <w:div w:id="1597712265">
                      <w:marLeft w:val="0"/>
                      <w:marRight w:val="0"/>
                      <w:marTop w:val="0"/>
                      <w:marBottom w:val="0"/>
                      <w:divBdr>
                        <w:top w:val="none" w:sz="0" w:space="0" w:color="auto"/>
                        <w:left w:val="none" w:sz="0" w:space="0" w:color="auto"/>
                        <w:bottom w:val="none" w:sz="0" w:space="0" w:color="auto"/>
                        <w:right w:val="none" w:sz="0" w:space="0" w:color="auto"/>
                      </w:divBdr>
                    </w:div>
                  </w:divsChild>
                </w:div>
                <w:div w:id="1433354106">
                  <w:marLeft w:val="0"/>
                  <w:marRight w:val="0"/>
                  <w:marTop w:val="0"/>
                  <w:marBottom w:val="0"/>
                  <w:divBdr>
                    <w:top w:val="none" w:sz="0" w:space="0" w:color="auto"/>
                    <w:left w:val="none" w:sz="0" w:space="0" w:color="auto"/>
                    <w:bottom w:val="none" w:sz="0" w:space="0" w:color="auto"/>
                    <w:right w:val="none" w:sz="0" w:space="0" w:color="auto"/>
                  </w:divBdr>
                  <w:divsChild>
                    <w:div w:id="988947701">
                      <w:marLeft w:val="0"/>
                      <w:marRight w:val="0"/>
                      <w:marTop w:val="0"/>
                      <w:marBottom w:val="0"/>
                      <w:divBdr>
                        <w:top w:val="none" w:sz="0" w:space="0" w:color="auto"/>
                        <w:left w:val="none" w:sz="0" w:space="0" w:color="auto"/>
                        <w:bottom w:val="none" w:sz="0" w:space="0" w:color="auto"/>
                        <w:right w:val="none" w:sz="0" w:space="0" w:color="auto"/>
                      </w:divBdr>
                    </w:div>
                  </w:divsChild>
                </w:div>
                <w:div w:id="1452238656">
                  <w:marLeft w:val="0"/>
                  <w:marRight w:val="0"/>
                  <w:marTop w:val="0"/>
                  <w:marBottom w:val="0"/>
                  <w:divBdr>
                    <w:top w:val="none" w:sz="0" w:space="0" w:color="auto"/>
                    <w:left w:val="none" w:sz="0" w:space="0" w:color="auto"/>
                    <w:bottom w:val="none" w:sz="0" w:space="0" w:color="auto"/>
                    <w:right w:val="none" w:sz="0" w:space="0" w:color="auto"/>
                  </w:divBdr>
                  <w:divsChild>
                    <w:div w:id="67121241">
                      <w:marLeft w:val="0"/>
                      <w:marRight w:val="0"/>
                      <w:marTop w:val="0"/>
                      <w:marBottom w:val="0"/>
                      <w:divBdr>
                        <w:top w:val="none" w:sz="0" w:space="0" w:color="auto"/>
                        <w:left w:val="none" w:sz="0" w:space="0" w:color="auto"/>
                        <w:bottom w:val="none" w:sz="0" w:space="0" w:color="auto"/>
                        <w:right w:val="none" w:sz="0" w:space="0" w:color="auto"/>
                      </w:divBdr>
                    </w:div>
                  </w:divsChild>
                </w:div>
                <w:div w:id="1453091462">
                  <w:marLeft w:val="0"/>
                  <w:marRight w:val="0"/>
                  <w:marTop w:val="0"/>
                  <w:marBottom w:val="0"/>
                  <w:divBdr>
                    <w:top w:val="none" w:sz="0" w:space="0" w:color="auto"/>
                    <w:left w:val="none" w:sz="0" w:space="0" w:color="auto"/>
                    <w:bottom w:val="none" w:sz="0" w:space="0" w:color="auto"/>
                    <w:right w:val="none" w:sz="0" w:space="0" w:color="auto"/>
                  </w:divBdr>
                  <w:divsChild>
                    <w:div w:id="1451392258">
                      <w:marLeft w:val="0"/>
                      <w:marRight w:val="0"/>
                      <w:marTop w:val="0"/>
                      <w:marBottom w:val="0"/>
                      <w:divBdr>
                        <w:top w:val="none" w:sz="0" w:space="0" w:color="auto"/>
                        <w:left w:val="none" w:sz="0" w:space="0" w:color="auto"/>
                        <w:bottom w:val="none" w:sz="0" w:space="0" w:color="auto"/>
                        <w:right w:val="none" w:sz="0" w:space="0" w:color="auto"/>
                      </w:divBdr>
                    </w:div>
                  </w:divsChild>
                </w:div>
                <w:div w:id="1455707764">
                  <w:marLeft w:val="0"/>
                  <w:marRight w:val="0"/>
                  <w:marTop w:val="0"/>
                  <w:marBottom w:val="0"/>
                  <w:divBdr>
                    <w:top w:val="none" w:sz="0" w:space="0" w:color="auto"/>
                    <w:left w:val="none" w:sz="0" w:space="0" w:color="auto"/>
                    <w:bottom w:val="none" w:sz="0" w:space="0" w:color="auto"/>
                    <w:right w:val="none" w:sz="0" w:space="0" w:color="auto"/>
                  </w:divBdr>
                  <w:divsChild>
                    <w:div w:id="172426850">
                      <w:marLeft w:val="0"/>
                      <w:marRight w:val="0"/>
                      <w:marTop w:val="0"/>
                      <w:marBottom w:val="0"/>
                      <w:divBdr>
                        <w:top w:val="none" w:sz="0" w:space="0" w:color="auto"/>
                        <w:left w:val="none" w:sz="0" w:space="0" w:color="auto"/>
                        <w:bottom w:val="none" w:sz="0" w:space="0" w:color="auto"/>
                        <w:right w:val="none" w:sz="0" w:space="0" w:color="auto"/>
                      </w:divBdr>
                    </w:div>
                  </w:divsChild>
                </w:div>
                <w:div w:id="1468235070">
                  <w:marLeft w:val="0"/>
                  <w:marRight w:val="0"/>
                  <w:marTop w:val="0"/>
                  <w:marBottom w:val="0"/>
                  <w:divBdr>
                    <w:top w:val="none" w:sz="0" w:space="0" w:color="auto"/>
                    <w:left w:val="none" w:sz="0" w:space="0" w:color="auto"/>
                    <w:bottom w:val="none" w:sz="0" w:space="0" w:color="auto"/>
                    <w:right w:val="none" w:sz="0" w:space="0" w:color="auto"/>
                  </w:divBdr>
                  <w:divsChild>
                    <w:div w:id="425998916">
                      <w:marLeft w:val="0"/>
                      <w:marRight w:val="0"/>
                      <w:marTop w:val="0"/>
                      <w:marBottom w:val="0"/>
                      <w:divBdr>
                        <w:top w:val="none" w:sz="0" w:space="0" w:color="auto"/>
                        <w:left w:val="none" w:sz="0" w:space="0" w:color="auto"/>
                        <w:bottom w:val="none" w:sz="0" w:space="0" w:color="auto"/>
                        <w:right w:val="none" w:sz="0" w:space="0" w:color="auto"/>
                      </w:divBdr>
                    </w:div>
                  </w:divsChild>
                </w:div>
                <w:div w:id="1473862587">
                  <w:marLeft w:val="0"/>
                  <w:marRight w:val="0"/>
                  <w:marTop w:val="0"/>
                  <w:marBottom w:val="0"/>
                  <w:divBdr>
                    <w:top w:val="none" w:sz="0" w:space="0" w:color="auto"/>
                    <w:left w:val="none" w:sz="0" w:space="0" w:color="auto"/>
                    <w:bottom w:val="none" w:sz="0" w:space="0" w:color="auto"/>
                    <w:right w:val="none" w:sz="0" w:space="0" w:color="auto"/>
                  </w:divBdr>
                  <w:divsChild>
                    <w:div w:id="1178736921">
                      <w:marLeft w:val="0"/>
                      <w:marRight w:val="0"/>
                      <w:marTop w:val="0"/>
                      <w:marBottom w:val="0"/>
                      <w:divBdr>
                        <w:top w:val="none" w:sz="0" w:space="0" w:color="auto"/>
                        <w:left w:val="none" w:sz="0" w:space="0" w:color="auto"/>
                        <w:bottom w:val="none" w:sz="0" w:space="0" w:color="auto"/>
                        <w:right w:val="none" w:sz="0" w:space="0" w:color="auto"/>
                      </w:divBdr>
                    </w:div>
                  </w:divsChild>
                </w:div>
                <w:div w:id="1478567407">
                  <w:marLeft w:val="0"/>
                  <w:marRight w:val="0"/>
                  <w:marTop w:val="0"/>
                  <w:marBottom w:val="0"/>
                  <w:divBdr>
                    <w:top w:val="none" w:sz="0" w:space="0" w:color="auto"/>
                    <w:left w:val="none" w:sz="0" w:space="0" w:color="auto"/>
                    <w:bottom w:val="none" w:sz="0" w:space="0" w:color="auto"/>
                    <w:right w:val="none" w:sz="0" w:space="0" w:color="auto"/>
                  </w:divBdr>
                  <w:divsChild>
                    <w:div w:id="1833373913">
                      <w:marLeft w:val="0"/>
                      <w:marRight w:val="0"/>
                      <w:marTop w:val="0"/>
                      <w:marBottom w:val="0"/>
                      <w:divBdr>
                        <w:top w:val="none" w:sz="0" w:space="0" w:color="auto"/>
                        <w:left w:val="none" w:sz="0" w:space="0" w:color="auto"/>
                        <w:bottom w:val="none" w:sz="0" w:space="0" w:color="auto"/>
                        <w:right w:val="none" w:sz="0" w:space="0" w:color="auto"/>
                      </w:divBdr>
                    </w:div>
                  </w:divsChild>
                </w:div>
                <w:div w:id="1483622911">
                  <w:marLeft w:val="0"/>
                  <w:marRight w:val="0"/>
                  <w:marTop w:val="0"/>
                  <w:marBottom w:val="0"/>
                  <w:divBdr>
                    <w:top w:val="none" w:sz="0" w:space="0" w:color="auto"/>
                    <w:left w:val="none" w:sz="0" w:space="0" w:color="auto"/>
                    <w:bottom w:val="none" w:sz="0" w:space="0" w:color="auto"/>
                    <w:right w:val="none" w:sz="0" w:space="0" w:color="auto"/>
                  </w:divBdr>
                  <w:divsChild>
                    <w:div w:id="1659650538">
                      <w:marLeft w:val="0"/>
                      <w:marRight w:val="0"/>
                      <w:marTop w:val="0"/>
                      <w:marBottom w:val="0"/>
                      <w:divBdr>
                        <w:top w:val="none" w:sz="0" w:space="0" w:color="auto"/>
                        <w:left w:val="none" w:sz="0" w:space="0" w:color="auto"/>
                        <w:bottom w:val="none" w:sz="0" w:space="0" w:color="auto"/>
                        <w:right w:val="none" w:sz="0" w:space="0" w:color="auto"/>
                      </w:divBdr>
                    </w:div>
                  </w:divsChild>
                </w:div>
                <w:div w:id="1500390969">
                  <w:marLeft w:val="0"/>
                  <w:marRight w:val="0"/>
                  <w:marTop w:val="0"/>
                  <w:marBottom w:val="0"/>
                  <w:divBdr>
                    <w:top w:val="none" w:sz="0" w:space="0" w:color="auto"/>
                    <w:left w:val="none" w:sz="0" w:space="0" w:color="auto"/>
                    <w:bottom w:val="none" w:sz="0" w:space="0" w:color="auto"/>
                    <w:right w:val="none" w:sz="0" w:space="0" w:color="auto"/>
                  </w:divBdr>
                  <w:divsChild>
                    <w:div w:id="333185386">
                      <w:marLeft w:val="0"/>
                      <w:marRight w:val="0"/>
                      <w:marTop w:val="0"/>
                      <w:marBottom w:val="0"/>
                      <w:divBdr>
                        <w:top w:val="none" w:sz="0" w:space="0" w:color="auto"/>
                        <w:left w:val="none" w:sz="0" w:space="0" w:color="auto"/>
                        <w:bottom w:val="none" w:sz="0" w:space="0" w:color="auto"/>
                        <w:right w:val="none" w:sz="0" w:space="0" w:color="auto"/>
                      </w:divBdr>
                    </w:div>
                  </w:divsChild>
                </w:div>
                <w:div w:id="1504198657">
                  <w:marLeft w:val="0"/>
                  <w:marRight w:val="0"/>
                  <w:marTop w:val="0"/>
                  <w:marBottom w:val="0"/>
                  <w:divBdr>
                    <w:top w:val="none" w:sz="0" w:space="0" w:color="auto"/>
                    <w:left w:val="none" w:sz="0" w:space="0" w:color="auto"/>
                    <w:bottom w:val="none" w:sz="0" w:space="0" w:color="auto"/>
                    <w:right w:val="none" w:sz="0" w:space="0" w:color="auto"/>
                  </w:divBdr>
                  <w:divsChild>
                    <w:div w:id="452865930">
                      <w:marLeft w:val="0"/>
                      <w:marRight w:val="0"/>
                      <w:marTop w:val="0"/>
                      <w:marBottom w:val="0"/>
                      <w:divBdr>
                        <w:top w:val="none" w:sz="0" w:space="0" w:color="auto"/>
                        <w:left w:val="none" w:sz="0" w:space="0" w:color="auto"/>
                        <w:bottom w:val="none" w:sz="0" w:space="0" w:color="auto"/>
                        <w:right w:val="none" w:sz="0" w:space="0" w:color="auto"/>
                      </w:divBdr>
                    </w:div>
                  </w:divsChild>
                </w:div>
                <w:div w:id="1536575582">
                  <w:marLeft w:val="0"/>
                  <w:marRight w:val="0"/>
                  <w:marTop w:val="0"/>
                  <w:marBottom w:val="0"/>
                  <w:divBdr>
                    <w:top w:val="none" w:sz="0" w:space="0" w:color="auto"/>
                    <w:left w:val="none" w:sz="0" w:space="0" w:color="auto"/>
                    <w:bottom w:val="none" w:sz="0" w:space="0" w:color="auto"/>
                    <w:right w:val="none" w:sz="0" w:space="0" w:color="auto"/>
                  </w:divBdr>
                  <w:divsChild>
                    <w:div w:id="1414931197">
                      <w:marLeft w:val="0"/>
                      <w:marRight w:val="0"/>
                      <w:marTop w:val="0"/>
                      <w:marBottom w:val="0"/>
                      <w:divBdr>
                        <w:top w:val="none" w:sz="0" w:space="0" w:color="auto"/>
                        <w:left w:val="none" w:sz="0" w:space="0" w:color="auto"/>
                        <w:bottom w:val="none" w:sz="0" w:space="0" w:color="auto"/>
                        <w:right w:val="none" w:sz="0" w:space="0" w:color="auto"/>
                      </w:divBdr>
                    </w:div>
                  </w:divsChild>
                </w:div>
                <w:div w:id="1546408641">
                  <w:marLeft w:val="0"/>
                  <w:marRight w:val="0"/>
                  <w:marTop w:val="0"/>
                  <w:marBottom w:val="0"/>
                  <w:divBdr>
                    <w:top w:val="none" w:sz="0" w:space="0" w:color="auto"/>
                    <w:left w:val="none" w:sz="0" w:space="0" w:color="auto"/>
                    <w:bottom w:val="none" w:sz="0" w:space="0" w:color="auto"/>
                    <w:right w:val="none" w:sz="0" w:space="0" w:color="auto"/>
                  </w:divBdr>
                  <w:divsChild>
                    <w:div w:id="1105154079">
                      <w:marLeft w:val="0"/>
                      <w:marRight w:val="0"/>
                      <w:marTop w:val="0"/>
                      <w:marBottom w:val="0"/>
                      <w:divBdr>
                        <w:top w:val="none" w:sz="0" w:space="0" w:color="auto"/>
                        <w:left w:val="none" w:sz="0" w:space="0" w:color="auto"/>
                        <w:bottom w:val="none" w:sz="0" w:space="0" w:color="auto"/>
                        <w:right w:val="none" w:sz="0" w:space="0" w:color="auto"/>
                      </w:divBdr>
                    </w:div>
                  </w:divsChild>
                </w:div>
                <w:div w:id="1567105899">
                  <w:marLeft w:val="0"/>
                  <w:marRight w:val="0"/>
                  <w:marTop w:val="0"/>
                  <w:marBottom w:val="0"/>
                  <w:divBdr>
                    <w:top w:val="none" w:sz="0" w:space="0" w:color="auto"/>
                    <w:left w:val="none" w:sz="0" w:space="0" w:color="auto"/>
                    <w:bottom w:val="none" w:sz="0" w:space="0" w:color="auto"/>
                    <w:right w:val="none" w:sz="0" w:space="0" w:color="auto"/>
                  </w:divBdr>
                  <w:divsChild>
                    <w:div w:id="474880134">
                      <w:marLeft w:val="0"/>
                      <w:marRight w:val="0"/>
                      <w:marTop w:val="0"/>
                      <w:marBottom w:val="0"/>
                      <w:divBdr>
                        <w:top w:val="none" w:sz="0" w:space="0" w:color="auto"/>
                        <w:left w:val="none" w:sz="0" w:space="0" w:color="auto"/>
                        <w:bottom w:val="none" w:sz="0" w:space="0" w:color="auto"/>
                        <w:right w:val="none" w:sz="0" w:space="0" w:color="auto"/>
                      </w:divBdr>
                    </w:div>
                  </w:divsChild>
                </w:div>
                <w:div w:id="1581064486">
                  <w:marLeft w:val="0"/>
                  <w:marRight w:val="0"/>
                  <w:marTop w:val="0"/>
                  <w:marBottom w:val="0"/>
                  <w:divBdr>
                    <w:top w:val="none" w:sz="0" w:space="0" w:color="auto"/>
                    <w:left w:val="none" w:sz="0" w:space="0" w:color="auto"/>
                    <w:bottom w:val="none" w:sz="0" w:space="0" w:color="auto"/>
                    <w:right w:val="none" w:sz="0" w:space="0" w:color="auto"/>
                  </w:divBdr>
                  <w:divsChild>
                    <w:div w:id="34157541">
                      <w:marLeft w:val="0"/>
                      <w:marRight w:val="0"/>
                      <w:marTop w:val="0"/>
                      <w:marBottom w:val="0"/>
                      <w:divBdr>
                        <w:top w:val="none" w:sz="0" w:space="0" w:color="auto"/>
                        <w:left w:val="none" w:sz="0" w:space="0" w:color="auto"/>
                        <w:bottom w:val="none" w:sz="0" w:space="0" w:color="auto"/>
                        <w:right w:val="none" w:sz="0" w:space="0" w:color="auto"/>
                      </w:divBdr>
                    </w:div>
                  </w:divsChild>
                </w:div>
                <w:div w:id="1586842256">
                  <w:marLeft w:val="0"/>
                  <w:marRight w:val="0"/>
                  <w:marTop w:val="0"/>
                  <w:marBottom w:val="0"/>
                  <w:divBdr>
                    <w:top w:val="none" w:sz="0" w:space="0" w:color="auto"/>
                    <w:left w:val="none" w:sz="0" w:space="0" w:color="auto"/>
                    <w:bottom w:val="none" w:sz="0" w:space="0" w:color="auto"/>
                    <w:right w:val="none" w:sz="0" w:space="0" w:color="auto"/>
                  </w:divBdr>
                  <w:divsChild>
                    <w:div w:id="1088574219">
                      <w:marLeft w:val="0"/>
                      <w:marRight w:val="0"/>
                      <w:marTop w:val="0"/>
                      <w:marBottom w:val="0"/>
                      <w:divBdr>
                        <w:top w:val="none" w:sz="0" w:space="0" w:color="auto"/>
                        <w:left w:val="none" w:sz="0" w:space="0" w:color="auto"/>
                        <w:bottom w:val="none" w:sz="0" w:space="0" w:color="auto"/>
                        <w:right w:val="none" w:sz="0" w:space="0" w:color="auto"/>
                      </w:divBdr>
                    </w:div>
                  </w:divsChild>
                </w:div>
                <w:div w:id="1592159057">
                  <w:marLeft w:val="0"/>
                  <w:marRight w:val="0"/>
                  <w:marTop w:val="0"/>
                  <w:marBottom w:val="0"/>
                  <w:divBdr>
                    <w:top w:val="none" w:sz="0" w:space="0" w:color="auto"/>
                    <w:left w:val="none" w:sz="0" w:space="0" w:color="auto"/>
                    <w:bottom w:val="none" w:sz="0" w:space="0" w:color="auto"/>
                    <w:right w:val="none" w:sz="0" w:space="0" w:color="auto"/>
                  </w:divBdr>
                  <w:divsChild>
                    <w:div w:id="55126004">
                      <w:marLeft w:val="0"/>
                      <w:marRight w:val="0"/>
                      <w:marTop w:val="0"/>
                      <w:marBottom w:val="0"/>
                      <w:divBdr>
                        <w:top w:val="none" w:sz="0" w:space="0" w:color="auto"/>
                        <w:left w:val="none" w:sz="0" w:space="0" w:color="auto"/>
                        <w:bottom w:val="none" w:sz="0" w:space="0" w:color="auto"/>
                        <w:right w:val="none" w:sz="0" w:space="0" w:color="auto"/>
                      </w:divBdr>
                    </w:div>
                  </w:divsChild>
                </w:div>
                <w:div w:id="1593124476">
                  <w:marLeft w:val="0"/>
                  <w:marRight w:val="0"/>
                  <w:marTop w:val="0"/>
                  <w:marBottom w:val="0"/>
                  <w:divBdr>
                    <w:top w:val="none" w:sz="0" w:space="0" w:color="auto"/>
                    <w:left w:val="none" w:sz="0" w:space="0" w:color="auto"/>
                    <w:bottom w:val="none" w:sz="0" w:space="0" w:color="auto"/>
                    <w:right w:val="none" w:sz="0" w:space="0" w:color="auto"/>
                  </w:divBdr>
                  <w:divsChild>
                    <w:div w:id="529143849">
                      <w:marLeft w:val="0"/>
                      <w:marRight w:val="0"/>
                      <w:marTop w:val="0"/>
                      <w:marBottom w:val="0"/>
                      <w:divBdr>
                        <w:top w:val="none" w:sz="0" w:space="0" w:color="auto"/>
                        <w:left w:val="none" w:sz="0" w:space="0" w:color="auto"/>
                        <w:bottom w:val="none" w:sz="0" w:space="0" w:color="auto"/>
                        <w:right w:val="none" w:sz="0" w:space="0" w:color="auto"/>
                      </w:divBdr>
                    </w:div>
                  </w:divsChild>
                </w:div>
                <w:div w:id="1609972071">
                  <w:marLeft w:val="0"/>
                  <w:marRight w:val="0"/>
                  <w:marTop w:val="0"/>
                  <w:marBottom w:val="0"/>
                  <w:divBdr>
                    <w:top w:val="none" w:sz="0" w:space="0" w:color="auto"/>
                    <w:left w:val="none" w:sz="0" w:space="0" w:color="auto"/>
                    <w:bottom w:val="none" w:sz="0" w:space="0" w:color="auto"/>
                    <w:right w:val="none" w:sz="0" w:space="0" w:color="auto"/>
                  </w:divBdr>
                  <w:divsChild>
                    <w:div w:id="2060784604">
                      <w:marLeft w:val="0"/>
                      <w:marRight w:val="0"/>
                      <w:marTop w:val="0"/>
                      <w:marBottom w:val="0"/>
                      <w:divBdr>
                        <w:top w:val="none" w:sz="0" w:space="0" w:color="auto"/>
                        <w:left w:val="none" w:sz="0" w:space="0" w:color="auto"/>
                        <w:bottom w:val="none" w:sz="0" w:space="0" w:color="auto"/>
                        <w:right w:val="none" w:sz="0" w:space="0" w:color="auto"/>
                      </w:divBdr>
                    </w:div>
                  </w:divsChild>
                </w:div>
                <w:div w:id="1612513827">
                  <w:marLeft w:val="0"/>
                  <w:marRight w:val="0"/>
                  <w:marTop w:val="0"/>
                  <w:marBottom w:val="0"/>
                  <w:divBdr>
                    <w:top w:val="none" w:sz="0" w:space="0" w:color="auto"/>
                    <w:left w:val="none" w:sz="0" w:space="0" w:color="auto"/>
                    <w:bottom w:val="none" w:sz="0" w:space="0" w:color="auto"/>
                    <w:right w:val="none" w:sz="0" w:space="0" w:color="auto"/>
                  </w:divBdr>
                  <w:divsChild>
                    <w:div w:id="667559020">
                      <w:marLeft w:val="0"/>
                      <w:marRight w:val="0"/>
                      <w:marTop w:val="0"/>
                      <w:marBottom w:val="0"/>
                      <w:divBdr>
                        <w:top w:val="none" w:sz="0" w:space="0" w:color="auto"/>
                        <w:left w:val="none" w:sz="0" w:space="0" w:color="auto"/>
                        <w:bottom w:val="none" w:sz="0" w:space="0" w:color="auto"/>
                        <w:right w:val="none" w:sz="0" w:space="0" w:color="auto"/>
                      </w:divBdr>
                    </w:div>
                  </w:divsChild>
                </w:div>
                <w:div w:id="1622344278">
                  <w:marLeft w:val="0"/>
                  <w:marRight w:val="0"/>
                  <w:marTop w:val="0"/>
                  <w:marBottom w:val="0"/>
                  <w:divBdr>
                    <w:top w:val="none" w:sz="0" w:space="0" w:color="auto"/>
                    <w:left w:val="none" w:sz="0" w:space="0" w:color="auto"/>
                    <w:bottom w:val="none" w:sz="0" w:space="0" w:color="auto"/>
                    <w:right w:val="none" w:sz="0" w:space="0" w:color="auto"/>
                  </w:divBdr>
                  <w:divsChild>
                    <w:div w:id="588540303">
                      <w:marLeft w:val="0"/>
                      <w:marRight w:val="0"/>
                      <w:marTop w:val="0"/>
                      <w:marBottom w:val="0"/>
                      <w:divBdr>
                        <w:top w:val="none" w:sz="0" w:space="0" w:color="auto"/>
                        <w:left w:val="none" w:sz="0" w:space="0" w:color="auto"/>
                        <w:bottom w:val="none" w:sz="0" w:space="0" w:color="auto"/>
                        <w:right w:val="none" w:sz="0" w:space="0" w:color="auto"/>
                      </w:divBdr>
                    </w:div>
                    <w:div w:id="615647314">
                      <w:marLeft w:val="0"/>
                      <w:marRight w:val="0"/>
                      <w:marTop w:val="0"/>
                      <w:marBottom w:val="0"/>
                      <w:divBdr>
                        <w:top w:val="none" w:sz="0" w:space="0" w:color="auto"/>
                        <w:left w:val="none" w:sz="0" w:space="0" w:color="auto"/>
                        <w:bottom w:val="none" w:sz="0" w:space="0" w:color="auto"/>
                        <w:right w:val="none" w:sz="0" w:space="0" w:color="auto"/>
                      </w:divBdr>
                    </w:div>
                    <w:div w:id="663243762">
                      <w:marLeft w:val="0"/>
                      <w:marRight w:val="0"/>
                      <w:marTop w:val="0"/>
                      <w:marBottom w:val="0"/>
                      <w:divBdr>
                        <w:top w:val="none" w:sz="0" w:space="0" w:color="auto"/>
                        <w:left w:val="none" w:sz="0" w:space="0" w:color="auto"/>
                        <w:bottom w:val="none" w:sz="0" w:space="0" w:color="auto"/>
                        <w:right w:val="none" w:sz="0" w:space="0" w:color="auto"/>
                      </w:divBdr>
                    </w:div>
                    <w:div w:id="784694032">
                      <w:marLeft w:val="0"/>
                      <w:marRight w:val="0"/>
                      <w:marTop w:val="0"/>
                      <w:marBottom w:val="0"/>
                      <w:divBdr>
                        <w:top w:val="none" w:sz="0" w:space="0" w:color="auto"/>
                        <w:left w:val="none" w:sz="0" w:space="0" w:color="auto"/>
                        <w:bottom w:val="none" w:sz="0" w:space="0" w:color="auto"/>
                        <w:right w:val="none" w:sz="0" w:space="0" w:color="auto"/>
                      </w:divBdr>
                    </w:div>
                    <w:div w:id="1122458141">
                      <w:marLeft w:val="0"/>
                      <w:marRight w:val="0"/>
                      <w:marTop w:val="0"/>
                      <w:marBottom w:val="0"/>
                      <w:divBdr>
                        <w:top w:val="none" w:sz="0" w:space="0" w:color="auto"/>
                        <w:left w:val="none" w:sz="0" w:space="0" w:color="auto"/>
                        <w:bottom w:val="none" w:sz="0" w:space="0" w:color="auto"/>
                        <w:right w:val="none" w:sz="0" w:space="0" w:color="auto"/>
                      </w:divBdr>
                    </w:div>
                    <w:div w:id="1404720370">
                      <w:marLeft w:val="0"/>
                      <w:marRight w:val="0"/>
                      <w:marTop w:val="0"/>
                      <w:marBottom w:val="0"/>
                      <w:divBdr>
                        <w:top w:val="none" w:sz="0" w:space="0" w:color="auto"/>
                        <w:left w:val="none" w:sz="0" w:space="0" w:color="auto"/>
                        <w:bottom w:val="none" w:sz="0" w:space="0" w:color="auto"/>
                        <w:right w:val="none" w:sz="0" w:space="0" w:color="auto"/>
                      </w:divBdr>
                    </w:div>
                  </w:divsChild>
                </w:div>
                <w:div w:id="1638561398">
                  <w:marLeft w:val="0"/>
                  <w:marRight w:val="0"/>
                  <w:marTop w:val="0"/>
                  <w:marBottom w:val="0"/>
                  <w:divBdr>
                    <w:top w:val="none" w:sz="0" w:space="0" w:color="auto"/>
                    <w:left w:val="none" w:sz="0" w:space="0" w:color="auto"/>
                    <w:bottom w:val="none" w:sz="0" w:space="0" w:color="auto"/>
                    <w:right w:val="none" w:sz="0" w:space="0" w:color="auto"/>
                  </w:divBdr>
                  <w:divsChild>
                    <w:div w:id="584875289">
                      <w:marLeft w:val="0"/>
                      <w:marRight w:val="0"/>
                      <w:marTop w:val="0"/>
                      <w:marBottom w:val="0"/>
                      <w:divBdr>
                        <w:top w:val="none" w:sz="0" w:space="0" w:color="auto"/>
                        <w:left w:val="none" w:sz="0" w:space="0" w:color="auto"/>
                        <w:bottom w:val="none" w:sz="0" w:space="0" w:color="auto"/>
                        <w:right w:val="none" w:sz="0" w:space="0" w:color="auto"/>
                      </w:divBdr>
                    </w:div>
                  </w:divsChild>
                </w:div>
                <w:div w:id="1646930732">
                  <w:marLeft w:val="0"/>
                  <w:marRight w:val="0"/>
                  <w:marTop w:val="0"/>
                  <w:marBottom w:val="0"/>
                  <w:divBdr>
                    <w:top w:val="none" w:sz="0" w:space="0" w:color="auto"/>
                    <w:left w:val="none" w:sz="0" w:space="0" w:color="auto"/>
                    <w:bottom w:val="none" w:sz="0" w:space="0" w:color="auto"/>
                    <w:right w:val="none" w:sz="0" w:space="0" w:color="auto"/>
                  </w:divBdr>
                  <w:divsChild>
                    <w:div w:id="689066079">
                      <w:marLeft w:val="0"/>
                      <w:marRight w:val="0"/>
                      <w:marTop w:val="0"/>
                      <w:marBottom w:val="0"/>
                      <w:divBdr>
                        <w:top w:val="none" w:sz="0" w:space="0" w:color="auto"/>
                        <w:left w:val="none" w:sz="0" w:space="0" w:color="auto"/>
                        <w:bottom w:val="none" w:sz="0" w:space="0" w:color="auto"/>
                        <w:right w:val="none" w:sz="0" w:space="0" w:color="auto"/>
                      </w:divBdr>
                    </w:div>
                  </w:divsChild>
                </w:div>
                <w:div w:id="1666782352">
                  <w:marLeft w:val="0"/>
                  <w:marRight w:val="0"/>
                  <w:marTop w:val="0"/>
                  <w:marBottom w:val="0"/>
                  <w:divBdr>
                    <w:top w:val="none" w:sz="0" w:space="0" w:color="auto"/>
                    <w:left w:val="none" w:sz="0" w:space="0" w:color="auto"/>
                    <w:bottom w:val="none" w:sz="0" w:space="0" w:color="auto"/>
                    <w:right w:val="none" w:sz="0" w:space="0" w:color="auto"/>
                  </w:divBdr>
                  <w:divsChild>
                    <w:div w:id="1668172621">
                      <w:marLeft w:val="0"/>
                      <w:marRight w:val="0"/>
                      <w:marTop w:val="0"/>
                      <w:marBottom w:val="0"/>
                      <w:divBdr>
                        <w:top w:val="none" w:sz="0" w:space="0" w:color="auto"/>
                        <w:left w:val="none" w:sz="0" w:space="0" w:color="auto"/>
                        <w:bottom w:val="none" w:sz="0" w:space="0" w:color="auto"/>
                        <w:right w:val="none" w:sz="0" w:space="0" w:color="auto"/>
                      </w:divBdr>
                    </w:div>
                  </w:divsChild>
                </w:div>
                <w:div w:id="1668707809">
                  <w:marLeft w:val="0"/>
                  <w:marRight w:val="0"/>
                  <w:marTop w:val="0"/>
                  <w:marBottom w:val="0"/>
                  <w:divBdr>
                    <w:top w:val="none" w:sz="0" w:space="0" w:color="auto"/>
                    <w:left w:val="none" w:sz="0" w:space="0" w:color="auto"/>
                    <w:bottom w:val="none" w:sz="0" w:space="0" w:color="auto"/>
                    <w:right w:val="none" w:sz="0" w:space="0" w:color="auto"/>
                  </w:divBdr>
                  <w:divsChild>
                    <w:div w:id="40911802">
                      <w:marLeft w:val="0"/>
                      <w:marRight w:val="0"/>
                      <w:marTop w:val="0"/>
                      <w:marBottom w:val="0"/>
                      <w:divBdr>
                        <w:top w:val="none" w:sz="0" w:space="0" w:color="auto"/>
                        <w:left w:val="none" w:sz="0" w:space="0" w:color="auto"/>
                        <w:bottom w:val="none" w:sz="0" w:space="0" w:color="auto"/>
                        <w:right w:val="none" w:sz="0" w:space="0" w:color="auto"/>
                      </w:divBdr>
                    </w:div>
                  </w:divsChild>
                </w:div>
                <w:div w:id="1684670424">
                  <w:marLeft w:val="0"/>
                  <w:marRight w:val="0"/>
                  <w:marTop w:val="0"/>
                  <w:marBottom w:val="0"/>
                  <w:divBdr>
                    <w:top w:val="none" w:sz="0" w:space="0" w:color="auto"/>
                    <w:left w:val="none" w:sz="0" w:space="0" w:color="auto"/>
                    <w:bottom w:val="none" w:sz="0" w:space="0" w:color="auto"/>
                    <w:right w:val="none" w:sz="0" w:space="0" w:color="auto"/>
                  </w:divBdr>
                  <w:divsChild>
                    <w:div w:id="247425754">
                      <w:marLeft w:val="0"/>
                      <w:marRight w:val="0"/>
                      <w:marTop w:val="0"/>
                      <w:marBottom w:val="0"/>
                      <w:divBdr>
                        <w:top w:val="none" w:sz="0" w:space="0" w:color="auto"/>
                        <w:left w:val="none" w:sz="0" w:space="0" w:color="auto"/>
                        <w:bottom w:val="none" w:sz="0" w:space="0" w:color="auto"/>
                        <w:right w:val="none" w:sz="0" w:space="0" w:color="auto"/>
                      </w:divBdr>
                    </w:div>
                  </w:divsChild>
                </w:div>
                <w:div w:id="1710689629">
                  <w:marLeft w:val="0"/>
                  <w:marRight w:val="0"/>
                  <w:marTop w:val="0"/>
                  <w:marBottom w:val="0"/>
                  <w:divBdr>
                    <w:top w:val="none" w:sz="0" w:space="0" w:color="auto"/>
                    <w:left w:val="none" w:sz="0" w:space="0" w:color="auto"/>
                    <w:bottom w:val="none" w:sz="0" w:space="0" w:color="auto"/>
                    <w:right w:val="none" w:sz="0" w:space="0" w:color="auto"/>
                  </w:divBdr>
                  <w:divsChild>
                    <w:div w:id="1905335230">
                      <w:marLeft w:val="0"/>
                      <w:marRight w:val="0"/>
                      <w:marTop w:val="0"/>
                      <w:marBottom w:val="0"/>
                      <w:divBdr>
                        <w:top w:val="none" w:sz="0" w:space="0" w:color="auto"/>
                        <w:left w:val="none" w:sz="0" w:space="0" w:color="auto"/>
                        <w:bottom w:val="none" w:sz="0" w:space="0" w:color="auto"/>
                        <w:right w:val="none" w:sz="0" w:space="0" w:color="auto"/>
                      </w:divBdr>
                    </w:div>
                  </w:divsChild>
                </w:div>
                <w:div w:id="1716083202">
                  <w:marLeft w:val="0"/>
                  <w:marRight w:val="0"/>
                  <w:marTop w:val="0"/>
                  <w:marBottom w:val="0"/>
                  <w:divBdr>
                    <w:top w:val="none" w:sz="0" w:space="0" w:color="auto"/>
                    <w:left w:val="none" w:sz="0" w:space="0" w:color="auto"/>
                    <w:bottom w:val="none" w:sz="0" w:space="0" w:color="auto"/>
                    <w:right w:val="none" w:sz="0" w:space="0" w:color="auto"/>
                  </w:divBdr>
                  <w:divsChild>
                    <w:div w:id="555701967">
                      <w:marLeft w:val="0"/>
                      <w:marRight w:val="0"/>
                      <w:marTop w:val="0"/>
                      <w:marBottom w:val="0"/>
                      <w:divBdr>
                        <w:top w:val="none" w:sz="0" w:space="0" w:color="auto"/>
                        <w:left w:val="none" w:sz="0" w:space="0" w:color="auto"/>
                        <w:bottom w:val="none" w:sz="0" w:space="0" w:color="auto"/>
                        <w:right w:val="none" w:sz="0" w:space="0" w:color="auto"/>
                      </w:divBdr>
                    </w:div>
                  </w:divsChild>
                </w:div>
                <w:div w:id="1717851094">
                  <w:marLeft w:val="0"/>
                  <w:marRight w:val="0"/>
                  <w:marTop w:val="0"/>
                  <w:marBottom w:val="0"/>
                  <w:divBdr>
                    <w:top w:val="none" w:sz="0" w:space="0" w:color="auto"/>
                    <w:left w:val="none" w:sz="0" w:space="0" w:color="auto"/>
                    <w:bottom w:val="none" w:sz="0" w:space="0" w:color="auto"/>
                    <w:right w:val="none" w:sz="0" w:space="0" w:color="auto"/>
                  </w:divBdr>
                  <w:divsChild>
                    <w:div w:id="1530414938">
                      <w:marLeft w:val="0"/>
                      <w:marRight w:val="0"/>
                      <w:marTop w:val="0"/>
                      <w:marBottom w:val="0"/>
                      <w:divBdr>
                        <w:top w:val="none" w:sz="0" w:space="0" w:color="auto"/>
                        <w:left w:val="none" w:sz="0" w:space="0" w:color="auto"/>
                        <w:bottom w:val="none" w:sz="0" w:space="0" w:color="auto"/>
                        <w:right w:val="none" w:sz="0" w:space="0" w:color="auto"/>
                      </w:divBdr>
                    </w:div>
                  </w:divsChild>
                </w:div>
                <w:div w:id="1723750888">
                  <w:marLeft w:val="0"/>
                  <w:marRight w:val="0"/>
                  <w:marTop w:val="0"/>
                  <w:marBottom w:val="0"/>
                  <w:divBdr>
                    <w:top w:val="none" w:sz="0" w:space="0" w:color="auto"/>
                    <w:left w:val="none" w:sz="0" w:space="0" w:color="auto"/>
                    <w:bottom w:val="none" w:sz="0" w:space="0" w:color="auto"/>
                    <w:right w:val="none" w:sz="0" w:space="0" w:color="auto"/>
                  </w:divBdr>
                  <w:divsChild>
                    <w:div w:id="358052217">
                      <w:marLeft w:val="0"/>
                      <w:marRight w:val="0"/>
                      <w:marTop w:val="0"/>
                      <w:marBottom w:val="0"/>
                      <w:divBdr>
                        <w:top w:val="none" w:sz="0" w:space="0" w:color="auto"/>
                        <w:left w:val="none" w:sz="0" w:space="0" w:color="auto"/>
                        <w:bottom w:val="none" w:sz="0" w:space="0" w:color="auto"/>
                        <w:right w:val="none" w:sz="0" w:space="0" w:color="auto"/>
                      </w:divBdr>
                    </w:div>
                  </w:divsChild>
                </w:div>
                <w:div w:id="1746295582">
                  <w:marLeft w:val="0"/>
                  <w:marRight w:val="0"/>
                  <w:marTop w:val="0"/>
                  <w:marBottom w:val="0"/>
                  <w:divBdr>
                    <w:top w:val="none" w:sz="0" w:space="0" w:color="auto"/>
                    <w:left w:val="none" w:sz="0" w:space="0" w:color="auto"/>
                    <w:bottom w:val="none" w:sz="0" w:space="0" w:color="auto"/>
                    <w:right w:val="none" w:sz="0" w:space="0" w:color="auto"/>
                  </w:divBdr>
                  <w:divsChild>
                    <w:div w:id="667832712">
                      <w:marLeft w:val="0"/>
                      <w:marRight w:val="0"/>
                      <w:marTop w:val="0"/>
                      <w:marBottom w:val="0"/>
                      <w:divBdr>
                        <w:top w:val="none" w:sz="0" w:space="0" w:color="auto"/>
                        <w:left w:val="none" w:sz="0" w:space="0" w:color="auto"/>
                        <w:bottom w:val="none" w:sz="0" w:space="0" w:color="auto"/>
                        <w:right w:val="none" w:sz="0" w:space="0" w:color="auto"/>
                      </w:divBdr>
                    </w:div>
                  </w:divsChild>
                </w:div>
                <w:div w:id="1746798593">
                  <w:marLeft w:val="0"/>
                  <w:marRight w:val="0"/>
                  <w:marTop w:val="0"/>
                  <w:marBottom w:val="0"/>
                  <w:divBdr>
                    <w:top w:val="none" w:sz="0" w:space="0" w:color="auto"/>
                    <w:left w:val="none" w:sz="0" w:space="0" w:color="auto"/>
                    <w:bottom w:val="none" w:sz="0" w:space="0" w:color="auto"/>
                    <w:right w:val="none" w:sz="0" w:space="0" w:color="auto"/>
                  </w:divBdr>
                  <w:divsChild>
                    <w:div w:id="1357537266">
                      <w:marLeft w:val="0"/>
                      <w:marRight w:val="0"/>
                      <w:marTop w:val="0"/>
                      <w:marBottom w:val="0"/>
                      <w:divBdr>
                        <w:top w:val="none" w:sz="0" w:space="0" w:color="auto"/>
                        <w:left w:val="none" w:sz="0" w:space="0" w:color="auto"/>
                        <w:bottom w:val="none" w:sz="0" w:space="0" w:color="auto"/>
                        <w:right w:val="none" w:sz="0" w:space="0" w:color="auto"/>
                      </w:divBdr>
                    </w:div>
                  </w:divsChild>
                </w:div>
                <w:div w:id="1768577902">
                  <w:marLeft w:val="0"/>
                  <w:marRight w:val="0"/>
                  <w:marTop w:val="0"/>
                  <w:marBottom w:val="0"/>
                  <w:divBdr>
                    <w:top w:val="none" w:sz="0" w:space="0" w:color="auto"/>
                    <w:left w:val="none" w:sz="0" w:space="0" w:color="auto"/>
                    <w:bottom w:val="none" w:sz="0" w:space="0" w:color="auto"/>
                    <w:right w:val="none" w:sz="0" w:space="0" w:color="auto"/>
                  </w:divBdr>
                  <w:divsChild>
                    <w:div w:id="1306469328">
                      <w:marLeft w:val="0"/>
                      <w:marRight w:val="0"/>
                      <w:marTop w:val="0"/>
                      <w:marBottom w:val="0"/>
                      <w:divBdr>
                        <w:top w:val="none" w:sz="0" w:space="0" w:color="auto"/>
                        <w:left w:val="none" w:sz="0" w:space="0" w:color="auto"/>
                        <w:bottom w:val="none" w:sz="0" w:space="0" w:color="auto"/>
                        <w:right w:val="none" w:sz="0" w:space="0" w:color="auto"/>
                      </w:divBdr>
                    </w:div>
                  </w:divsChild>
                </w:div>
                <w:div w:id="1777480389">
                  <w:marLeft w:val="0"/>
                  <w:marRight w:val="0"/>
                  <w:marTop w:val="0"/>
                  <w:marBottom w:val="0"/>
                  <w:divBdr>
                    <w:top w:val="none" w:sz="0" w:space="0" w:color="auto"/>
                    <w:left w:val="none" w:sz="0" w:space="0" w:color="auto"/>
                    <w:bottom w:val="none" w:sz="0" w:space="0" w:color="auto"/>
                    <w:right w:val="none" w:sz="0" w:space="0" w:color="auto"/>
                  </w:divBdr>
                  <w:divsChild>
                    <w:div w:id="128281840">
                      <w:marLeft w:val="0"/>
                      <w:marRight w:val="0"/>
                      <w:marTop w:val="0"/>
                      <w:marBottom w:val="0"/>
                      <w:divBdr>
                        <w:top w:val="none" w:sz="0" w:space="0" w:color="auto"/>
                        <w:left w:val="none" w:sz="0" w:space="0" w:color="auto"/>
                        <w:bottom w:val="none" w:sz="0" w:space="0" w:color="auto"/>
                        <w:right w:val="none" w:sz="0" w:space="0" w:color="auto"/>
                      </w:divBdr>
                    </w:div>
                    <w:div w:id="383724037">
                      <w:marLeft w:val="0"/>
                      <w:marRight w:val="0"/>
                      <w:marTop w:val="0"/>
                      <w:marBottom w:val="0"/>
                      <w:divBdr>
                        <w:top w:val="none" w:sz="0" w:space="0" w:color="auto"/>
                        <w:left w:val="none" w:sz="0" w:space="0" w:color="auto"/>
                        <w:bottom w:val="none" w:sz="0" w:space="0" w:color="auto"/>
                        <w:right w:val="none" w:sz="0" w:space="0" w:color="auto"/>
                      </w:divBdr>
                    </w:div>
                    <w:div w:id="448740289">
                      <w:marLeft w:val="0"/>
                      <w:marRight w:val="0"/>
                      <w:marTop w:val="0"/>
                      <w:marBottom w:val="0"/>
                      <w:divBdr>
                        <w:top w:val="none" w:sz="0" w:space="0" w:color="auto"/>
                        <w:left w:val="none" w:sz="0" w:space="0" w:color="auto"/>
                        <w:bottom w:val="none" w:sz="0" w:space="0" w:color="auto"/>
                        <w:right w:val="none" w:sz="0" w:space="0" w:color="auto"/>
                      </w:divBdr>
                    </w:div>
                    <w:div w:id="569342991">
                      <w:marLeft w:val="0"/>
                      <w:marRight w:val="0"/>
                      <w:marTop w:val="0"/>
                      <w:marBottom w:val="0"/>
                      <w:divBdr>
                        <w:top w:val="none" w:sz="0" w:space="0" w:color="auto"/>
                        <w:left w:val="none" w:sz="0" w:space="0" w:color="auto"/>
                        <w:bottom w:val="none" w:sz="0" w:space="0" w:color="auto"/>
                        <w:right w:val="none" w:sz="0" w:space="0" w:color="auto"/>
                      </w:divBdr>
                    </w:div>
                    <w:div w:id="858086820">
                      <w:marLeft w:val="0"/>
                      <w:marRight w:val="0"/>
                      <w:marTop w:val="0"/>
                      <w:marBottom w:val="0"/>
                      <w:divBdr>
                        <w:top w:val="none" w:sz="0" w:space="0" w:color="auto"/>
                        <w:left w:val="none" w:sz="0" w:space="0" w:color="auto"/>
                        <w:bottom w:val="none" w:sz="0" w:space="0" w:color="auto"/>
                        <w:right w:val="none" w:sz="0" w:space="0" w:color="auto"/>
                      </w:divBdr>
                    </w:div>
                    <w:div w:id="1248659857">
                      <w:marLeft w:val="0"/>
                      <w:marRight w:val="0"/>
                      <w:marTop w:val="0"/>
                      <w:marBottom w:val="0"/>
                      <w:divBdr>
                        <w:top w:val="none" w:sz="0" w:space="0" w:color="auto"/>
                        <w:left w:val="none" w:sz="0" w:space="0" w:color="auto"/>
                        <w:bottom w:val="none" w:sz="0" w:space="0" w:color="auto"/>
                        <w:right w:val="none" w:sz="0" w:space="0" w:color="auto"/>
                      </w:divBdr>
                    </w:div>
                    <w:div w:id="1382245746">
                      <w:marLeft w:val="0"/>
                      <w:marRight w:val="0"/>
                      <w:marTop w:val="0"/>
                      <w:marBottom w:val="0"/>
                      <w:divBdr>
                        <w:top w:val="none" w:sz="0" w:space="0" w:color="auto"/>
                        <w:left w:val="none" w:sz="0" w:space="0" w:color="auto"/>
                        <w:bottom w:val="none" w:sz="0" w:space="0" w:color="auto"/>
                        <w:right w:val="none" w:sz="0" w:space="0" w:color="auto"/>
                      </w:divBdr>
                    </w:div>
                    <w:div w:id="2016304098">
                      <w:marLeft w:val="0"/>
                      <w:marRight w:val="0"/>
                      <w:marTop w:val="0"/>
                      <w:marBottom w:val="0"/>
                      <w:divBdr>
                        <w:top w:val="none" w:sz="0" w:space="0" w:color="auto"/>
                        <w:left w:val="none" w:sz="0" w:space="0" w:color="auto"/>
                        <w:bottom w:val="none" w:sz="0" w:space="0" w:color="auto"/>
                        <w:right w:val="none" w:sz="0" w:space="0" w:color="auto"/>
                      </w:divBdr>
                    </w:div>
                  </w:divsChild>
                </w:div>
                <w:div w:id="1782338359">
                  <w:marLeft w:val="0"/>
                  <w:marRight w:val="0"/>
                  <w:marTop w:val="0"/>
                  <w:marBottom w:val="0"/>
                  <w:divBdr>
                    <w:top w:val="none" w:sz="0" w:space="0" w:color="auto"/>
                    <w:left w:val="none" w:sz="0" w:space="0" w:color="auto"/>
                    <w:bottom w:val="none" w:sz="0" w:space="0" w:color="auto"/>
                    <w:right w:val="none" w:sz="0" w:space="0" w:color="auto"/>
                  </w:divBdr>
                  <w:divsChild>
                    <w:div w:id="1086419015">
                      <w:marLeft w:val="0"/>
                      <w:marRight w:val="0"/>
                      <w:marTop w:val="0"/>
                      <w:marBottom w:val="0"/>
                      <w:divBdr>
                        <w:top w:val="none" w:sz="0" w:space="0" w:color="auto"/>
                        <w:left w:val="none" w:sz="0" w:space="0" w:color="auto"/>
                        <w:bottom w:val="none" w:sz="0" w:space="0" w:color="auto"/>
                        <w:right w:val="none" w:sz="0" w:space="0" w:color="auto"/>
                      </w:divBdr>
                    </w:div>
                  </w:divsChild>
                </w:div>
                <w:div w:id="1784299971">
                  <w:marLeft w:val="0"/>
                  <w:marRight w:val="0"/>
                  <w:marTop w:val="0"/>
                  <w:marBottom w:val="0"/>
                  <w:divBdr>
                    <w:top w:val="none" w:sz="0" w:space="0" w:color="auto"/>
                    <w:left w:val="none" w:sz="0" w:space="0" w:color="auto"/>
                    <w:bottom w:val="none" w:sz="0" w:space="0" w:color="auto"/>
                    <w:right w:val="none" w:sz="0" w:space="0" w:color="auto"/>
                  </w:divBdr>
                  <w:divsChild>
                    <w:div w:id="920604287">
                      <w:marLeft w:val="0"/>
                      <w:marRight w:val="0"/>
                      <w:marTop w:val="0"/>
                      <w:marBottom w:val="0"/>
                      <w:divBdr>
                        <w:top w:val="none" w:sz="0" w:space="0" w:color="auto"/>
                        <w:left w:val="none" w:sz="0" w:space="0" w:color="auto"/>
                        <w:bottom w:val="none" w:sz="0" w:space="0" w:color="auto"/>
                        <w:right w:val="none" w:sz="0" w:space="0" w:color="auto"/>
                      </w:divBdr>
                    </w:div>
                  </w:divsChild>
                </w:div>
                <w:div w:id="1812863713">
                  <w:marLeft w:val="0"/>
                  <w:marRight w:val="0"/>
                  <w:marTop w:val="0"/>
                  <w:marBottom w:val="0"/>
                  <w:divBdr>
                    <w:top w:val="none" w:sz="0" w:space="0" w:color="auto"/>
                    <w:left w:val="none" w:sz="0" w:space="0" w:color="auto"/>
                    <w:bottom w:val="none" w:sz="0" w:space="0" w:color="auto"/>
                    <w:right w:val="none" w:sz="0" w:space="0" w:color="auto"/>
                  </w:divBdr>
                  <w:divsChild>
                    <w:div w:id="599527054">
                      <w:marLeft w:val="0"/>
                      <w:marRight w:val="0"/>
                      <w:marTop w:val="0"/>
                      <w:marBottom w:val="0"/>
                      <w:divBdr>
                        <w:top w:val="none" w:sz="0" w:space="0" w:color="auto"/>
                        <w:left w:val="none" w:sz="0" w:space="0" w:color="auto"/>
                        <w:bottom w:val="none" w:sz="0" w:space="0" w:color="auto"/>
                        <w:right w:val="none" w:sz="0" w:space="0" w:color="auto"/>
                      </w:divBdr>
                    </w:div>
                  </w:divsChild>
                </w:div>
                <w:div w:id="1816290152">
                  <w:marLeft w:val="0"/>
                  <w:marRight w:val="0"/>
                  <w:marTop w:val="0"/>
                  <w:marBottom w:val="0"/>
                  <w:divBdr>
                    <w:top w:val="none" w:sz="0" w:space="0" w:color="auto"/>
                    <w:left w:val="none" w:sz="0" w:space="0" w:color="auto"/>
                    <w:bottom w:val="none" w:sz="0" w:space="0" w:color="auto"/>
                    <w:right w:val="none" w:sz="0" w:space="0" w:color="auto"/>
                  </w:divBdr>
                  <w:divsChild>
                    <w:div w:id="749156822">
                      <w:marLeft w:val="0"/>
                      <w:marRight w:val="0"/>
                      <w:marTop w:val="0"/>
                      <w:marBottom w:val="0"/>
                      <w:divBdr>
                        <w:top w:val="none" w:sz="0" w:space="0" w:color="auto"/>
                        <w:left w:val="none" w:sz="0" w:space="0" w:color="auto"/>
                        <w:bottom w:val="none" w:sz="0" w:space="0" w:color="auto"/>
                        <w:right w:val="none" w:sz="0" w:space="0" w:color="auto"/>
                      </w:divBdr>
                    </w:div>
                  </w:divsChild>
                </w:div>
                <w:div w:id="1819153683">
                  <w:marLeft w:val="0"/>
                  <w:marRight w:val="0"/>
                  <w:marTop w:val="0"/>
                  <w:marBottom w:val="0"/>
                  <w:divBdr>
                    <w:top w:val="none" w:sz="0" w:space="0" w:color="auto"/>
                    <w:left w:val="none" w:sz="0" w:space="0" w:color="auto"/>
                    <w:bottom w:val="none" w:sz="0" w:space="0" w:color="auto"/>
                    <w:right w:val="none" w:sz="0" w:space="0" w:color="auto"/>
                  </w:divBdr>
                  <w:divsChild>
                    <w:div w:id="1115055731">
                      <w:marLeft w:val="0"/>
                      <w:marRight w:val="0"/>
                      <w:marTop w:val="0"/>
                      <w:marBottom w:val="0"/>
                      <w:divBdr>
                        <w:top w:val="none" w:sz="0" w:space="0" w:color="auto"/>
                        <w:left w:val="none" w:sz="0" w:space="0" w:color="auto"/>
                        <w:bottom w:val="none" w:sz="0" w:space="0" w:color="auto"/>
                        <w:right w:val="none" w:sz="0" w:space="0" w:color="auto"/>
                      </w:divBdr>
                    </w:div>
                  </w:divsChild>
                </w:div>
                <w:div w:id="1821116566">
                  <w:marLeft w:val="0"/>
                  <w:marRight w:val="0"/>
                  <w:marTop w:val="0"/>
                  <w:marBottom w:val="0"/>
                  <w:divBdr>
                    <w:top w:val="none" w:sz="0" w:space="0" w:color="auto"/>
                    <w:left w:val="none" w:sz="0" w:space="0" w:color="auto"/>
                    <w:bottom w:val="none" w:sz="0" w:space="0" w:color="auto"/>
                    <w:right w:val="none" w:sz="0" w:space="0" w:color="auto"/>
                  </w:divBdr>
                  <w:divsChild>
                    <w:div w:id="313072638">
                      <w:marLeft w:val="0"/>
                      <w:marRight w:val="0"/>
                      <w:marTop w:val="0"/>
                      <w:marBottom w:val="0"/>
                      <w:divBdr>
                        <w:top w:val="none" w:sz="0" w:space="0" w:color="auto"/>
                        <w:left w:val="none" w:sz="0" w:space="0" w:color="auto"/>
                        <w:bottom w:val="none" w:sz="0" w:space="0" w:color="auto"/>
                        <w:right w:val="none" w:sz="0" w:space="0" w:color="auto"/>
                      </w:divBdr>
                    </w:div>
                  </w:divsChild>
                </w:div>
                <w:div w:id="1831748403">
                  <w:marLeft w:val="0"/>
                  <w:marRight w:val="0"/>
                  <w:marTop w:val="0"/>
                  <w:marBottom w:val="0"/>
                  <w:divBdr>
                    <w:top w:val="none" w:sz="0" w:space="0" w:color="auto"/>
                    <w:left w:val="none" w:sz="0" w:space="0" w:color="auto"/>
                    <w:bottom w:val="none" w:sz="0" w:space="0" w:color="auto"/>
                    <w:right w:val="none" w:sz="0" w:space="0" w:color="auto"/>
                  </w:divBdr>
                  <w:divsChild>
                    <w:div w:id="1178957695">
                      <w:marLeft w:val="0"/>
                      <w:marRight w:val="0"/>
                      <w:marTop w:val="0"/>
                      <w:marBottom w:val="0"/>
                      <w:divBdr>
                        <w:top w:val="none" w:sz="0" w:space="0" w:color="auto"/>
                        <w:left w:val="none" w:sz="0" w:space="0" w:color="auto"/>
                        <w:bottom w:val="none" w:sz="0" w:space="0" w:color="auto"/>
                        <w:right w:val="none" w:sz="0" w:space="0" w:color="auto"/>
                      </w:divBdr>
                    </w:div>
                  </w:divsChild>
                </w:div>
                <w:div w:id="1844971180">
                  <w:marLeft w:val="0"/>
                  <w:marRight w:val="0"/>
                  <w:marTop w:val="0"/>
                  <w:marBottom w:val="0"/>
                  <w:divBdr>
                    <w:top w:val="none" w:sz="0" w:space="0" w:color="auto"/>
                    <w:left w:val="none" w:sz="0" w:space="0" w:color="auto"/>
                    <w:bottom w:val="none" w:sz="0" w:space="0" w:color="auto"/>
                    <w:right w:val="none" w:sz="0" w:space="0" w:color="auto"/>
                  </w:divBdr>
                  <w:divsChild>
                    <w:div w:id="371005548">
                      <w:marLeft w:val="0"/>
                      <w:marRight w:val="0"/>
                      <w:marTop w:val="0"/>
                      <w:marBottom w:val="0"/>
                      <w:divBdr>
                        <w:top w:val="none" w:sz="0" w:space="0" w:color="auto"/>
                        <w:left w:val="none" w:sz="0" w:space="0" w:color="auto"/>
                        <w:bottom w:val="none" w:sz="0" w:space="0" w:color="auto"/>
                        <w:right w:val="none" w:sz="0" w:space="0" w:color="auto"/>
                      </w:divBdr>
                    </w:div>
                  </w:divsChild>
                </w:div>
                <w:div w:id="1847599076">
                  <w:marLeft w:val="0"/>
                  <w:marRight w:val="0"/>
                  <w:marTop w:val="0"/>
                  <w:marBottom w:val="0"/>
                  <w:divBdr>
                    <w:top w:val="none" w:sz="0" w:space="0" w:color="auto"/>
                    <w:left w:val="none" w:sz="0" w:space="0" w:color="auto"/>
                    <w:bottom w:val="none" w:sz="0" w:space="0" w:color="auto"/>
                    <w:right w:val="none" w:sz="0" w:space="0" w:color="auto"/>
                  </w:divBdr>
                  <w:divsChild>
                    <w:div w:id="1528910640">
                      <w:marLeft w:val="0"/>
                      <w:marRight w:val="0"/>
                      <w:marTop w:val="0"/>
                      <w:marBottom w:val="0"/>
                      <w:divBdr>
                        <w:top w:val="none" w:sz="0" w:space="0" w:color="auto"/>
                        <w:left w:val="none" w:sz="0" w:space="0" w:color="auto"/>
                        <w:bottom w:val="none" w:sz="0" w:space="0" w:color="auto"/>
                        <w:right w:val="none" w:sz="0" w:space="0" w:color="auto"/>
                      </w:divBdr>
                    </w:div>
                  </w:divsChild>
                </w:div>
                <w:div w:id="1867137056">
                  <w:marLeft w:val="0"/>
                  <w:marRight w:val="0"/>
                  <w:marTop w:val="0"/>
                  <w:marBottom w:val="0"/>
                  <w:divBdr>
                    <w:top w:val="none" w:sz="0" w:space="0" w:color="auto"/>
                    <w:left w:val="none" w:sz="0" w:space="0" w:color="auto"/>
                    <w:bottom w:val="none" w:sz="0" w:space="0" w:color="auto"/>
                    <w:right w:val="none" w:sz="0" w:space="0" w:color="auto"/>
                  </w:divBdr>
                  <w:divsChild>
                    <w:div w:id="2042318289">
                      <w:marLeft w:val="0"/>
                      <w:marRight w:val="0"/>
                      <w:marTop w:val="0"/>
                      <w:marBottom w:val="0"/>
                      <w:divBdr>
                        <w:top w:val="none" w:sz="0" w:space="0" w:color="auto"/>
                        <w:left w:val="none" w:sz="0" w:space="0" w:color="auto"/>
                        <w:bottom w:val="none" w:sz="0" w:space="0" w:color="auto"/>
                        <w:right w:val="none" w:sz="0" w:space="0" w:color="auto"/>
                      </w:divBdr>
                    </w:div>
                  </w:divsChild>
                </w:div>
                <w:div w:id="1899591624">
                  <w:marLeft w:val="0"/>
                  <w:marRight w:val="0"/>
                  <w:marTop w:val="0"/>
                  <w:marBottom w:val="0"/>
                  <w:divBdr>
                    <w:top w:val="none" w:sz="0" w:space="0" w:color="auto"/>
                    <w:left w:val="none" w:sz="0" w:space="0" w:color="auto"/>
                    <w:bottom w:val="none" w:sz="0" w:space="0" w:color="auto"/>
                    <w:right w:val="none" w:sz="0" w:space="0" w:color="auto"/>
                  </w:divBdr>
                  <w:divsChild>
                    <w:div w:id="233273375">
                      <w:marLeft w:val="0"/>
                      <w:marRight w:val="0"/>
                      <w:marTop w:val="0"/>
                      <w:marBottom w:val="0"/>
                      <w:divBdr>
                        <w:top w:val="none" w:sz="0" w:space="0" w:color="auto"/>
                        <w:left w:val="none" w:sz="0" w:space="0" w:color="auto"/>
                        <w:bottom w:val="none" w:sz="0" w:space="0" w:color="auto"/>
                        <w:right w:val="none" w:sz="0" w:space="0" w:color="auto"/>
                      </w:divBdr>
                    </w:div>
                  </w:divsChild>
                </w:div>
                <w:div w:id="1917591658">
                  <w:marLeft w:val="0"/>
                  <w:marRight w:val="0"/>
                  <w:marTop w:val="0"/>
                  <w:marBottom w:val="0"/>
                  <w:divBdr>
                    <w:top w:val="none" w:sz="0" w:space="0" w:color="auto"/>
                    <w:left w:val="none" w:sz="0" w:space="0" w:color="auto"/>
                    <w:bottom w:val="none" w:sz="0" w:space="0" w:color="auto"/>
                    <w:right w:val="none" w:sz="0" w:space="0" w:color="auto"/>
                  </w:divBdr>
                  <w:divsChild>
                    <w:div w:id="198711234">
                      <w:marLeft w:val="0"/>
                      <w:marRight w:val="0"/>
                      <w:marTop w:val="0"/>
                      <w:marBottom w:val="0"/>
                      <w:divBdr>
                        <w:top w:val="none" w:sz="0" w:space="0" w:color="auto"/>
                        <w:left w:val="none" w:sz="0" w:space="0" w:color="auto"/>
                        <w:bottom w:val="none" w:sz="0" w:space="0" w:color="auto"/>
                        <w:right w:val="none" w:sz="0" w:space="0" w:color="auto"/>
                      </w:divBdr>
                    </w:div>
                  </w:divsChild>
                </w:div>
                <w:div w:id="1928726326">
                  <w:marLeft w:val="0"/>
                  <w:marRight w:val="0"/>
                  <w:marTop w:val="0"/>
                  <w:marBottom w:val="0"/>
                  <w:divBdr>
                    <w:top w:val="none" w:sz="0" w:space="0" w:color="auto"/>
                    <w:left w:val="none" w:sz="0" w:space="0" w:color="auto"/>
                    <w:bottom w:val="none" w:sz="0" w:space="0" w:color="auto"/>
                    <w:right w:val="none" w:sz="0" w:space="0" w:color="auto"/>
                  </w:divBdr>
                  <w:divsChild>
                    <w:div w:id="1455756499">
                      <w:marLeft w:val="0"/>
                      <w:marRight w:val="0"/>
                      <w:marTop w:val="0"/>
                      <w:marBottom w:val="0"/>
                      <w:divBdr>
                        <w:top w:val="none" w:sz="0" w:space="0" w:color="auto"/>
                        <w:left w:val="none" w:sz="0" w:space="0" w:color="auto"/>
                        <w:bottom w:val="none" w:sz="0" w:space="0" w:color="auto"/>
                        <w:right w:val="none" w:sz="0" w:space="0" w:color="auto"/>
                      </w:divBdr>
                    </w:div>
                  </w:divsChild>
                </w:div>
                <w:div w:id="1962414838">
                  <w:marLeft w:val="0"/>
                  <w:marRight w:val="0"/>
                  <w:marTop w:val="0"/>
                  <w:marBottom w:val="0"/>
                  <w:divBdr>
                    <w:top w:val="none" w:sz="0" w:space="0" w:color="auto"/>
                    <w:left w:val="none" w:sz="0" w:space="0" w:color="auto"/>
                    <w:bottom w:val="none" w:sz="0" w:space="0" w:color="auto"/>
                    <w:right w:val="none" w:sz="0" w:space="0" w:color="auto"/>
                  </w:divBdr>
                  <w:divsChild>
                    <w:div w:id="1887570217">
                      <w:marLeft w:val="0"/>
                      <w:marRight w:val="0"/>
                      <w:marTop w:val="0"/>
                      <w:marBottom w:val="0"/>
                      <w:divBdr>
                        <w:top w:val="none" w:sz="0" w:space="0" w:color="auto"/>
                        <w:left w:val="none" w:sz="0" w:space="0" w:color="auto"/>
                        <w:bottom w:val="none" w:sz="0" w:space="0" w:color="auto"/>
                        <w:right w:val="none" w:sz="0" w:space="0" w:color="auto"/>
                      </w:divBdr>
                    </w:div>
                  </w:divsChild>
                </w:div>
                <w:div w:id="2045054876">
                  <w:marLeft w:val="0"/>
                  <w:marRight w:val="0"/>
                  <w:marTop w:val="0"/>
                  <w:marBottom w:val="0"/>
                  <w:divBdr>
                    <w:top w:val="none" w:sz="0" w:space="0" w:color="auto"/>
                    <w:left w:val="none" w:sz="0" w:space="0" w:color="auto"/>
                    <w:bottom w:val="none" w:sz="0" w:space="0" w:color="auto"/>
                    <w:right w:val="none" w:sz="0" w:space="0" w:color="auto"/>
                  </w:divBdr>
                  <w:divsChild>
                    <w:div w:id="522405462">
                      <w:marLeft w:val="0"/>
                      <w:marRight w:val="0"/>
                      <w:marTop w:val="0"/>
                      <w:marBottom w:val="0"/>
                      <w:divBdr>
                        <w:top w:val="none" w:sz="0" w:space="0" w:color="auto"/>
                        <w:left w:val="none" w:sz="0" w:space="0" w:color="auto"/>
                        <w:bottom w:val="none" w:sz="0" w:space="0" w:color="auto"/>
                        <w:right w:val="none" w:sz="0" w:space="0" w:color="auto"/>
                      </w:divBdr>
                    </w:div>
                  </w:divsChild>
                </w:div>
                <w:div w:id="2046902356">
                  <w:marLeft w:val="0"/>
                  <w:marRight w:val="0"/>
                  <w:marTop w:val="0"/>
                  <w:marBottom w:val="0"/>
                  <w:divBdr>
                    <w:top w:val="none" w:sz="0" w:space="0" w:color="auto"/>
                    <w:left w:val="none" w:sz="0" w:space="0" w:color="auto"/>
                    <w:bottom w:val="none" w:sz="0" w:space="0" w:color="auto"/>
                    <w:right w:val="none" w:sz="0" w:space="0" w:color="auto"/>
                  </w:divBdr>
                  <w:divsChild>
                    <w:div w:id="339820855">
                      <w:marLeft w:val="0"/>
                      <w:marRight w:val="0"/>
                      <w:marTop w:val="0"/>
                      <w:marBottom w:val="0"/>
                      <w:divBdr>
                        <w:top w:val="none" w:sz="0" w:space="0" w:color="auto"/>
                        <w:left w:val="none" w:sz="0" w:space="0" w:color="auto"/>
                        <w:bottom w:val="none" w:sz="0" w:space="0" w:color="auto"/>
                        <w:right w:val="none" w:sz="0" w:space="0" w:color="auto"/>
                      </w:divBdr>
                    </w:div>
                  </w:divsChild>
                </w:div>
                <w:div w:id="2049908942">
                  <w:marLeft w:val="0"/>
                  <w:marRight w:val="0"/>
                  <w:marTop w:val="0"/>
                  <w:marBottom w:val="0"/>
                  <w:divBdr>
                    <w:top w:val="none" w:sz="0" w:space="0" w:color="auto"/>
                    <w:left w:val="none" w:sz="0" w:space="0" w:color="auto"/>
                    <w:bottom w:val="none" w:sz="0" w:space="0" w:color="auto"/>
                    <w:right w:val="none" w:sz="0" w:space="0" w:color="auto"/>
                  </w:divBdr>
                  <w:divsChild>
                    <w:div w:id="793712721">
                      <w:marLeft w:val="0"/>
                      <w:marRight w:val="0"/>
                      <w:marTop w:val="0"/>
                      <w:marBottom w:val="0"/>
                      <w:divBdr>
                        <w:top w:val="none" w:sz="0" w:space="0" w:color="auto"/>
                        <w:left w:val="none" w:sz="0" w:space="0" w:color="auto"/>
                        <w:bottom w:val="none" w:sz="0" w:space="0" w:color="auto"/>
                        <w:right w:val="none" w:sz="0" w:space="0" w:color="auto"/>
                      </w:divBdr>
                    </w:div>
                  </w:divsChild>
                </w:div>
                <w:div w:id="2057731678">
                  <w:marLeft w:val="0"/>
                  <w:marRight w:val="0"/>
                  <w:marTop w:val="0"/>
                  <w:marBottom w:val="0"/>
                  <w:divBdr>
                    <w:top w:val="none" w:sz="0" w:space="0" w:color="auto"/>
                    <w:left w:val="none" w:sz="0" w:space="0" w:color="auto"/>
                    <w:bottom w:val="none" w:sz="0" w:space="0" w:color="auto"/>
                    <w:right w:val="none" w:sz="0" w:space="0" w:color="auto"/>
                  </w:divBdr>
                  <w:divsChild>
                    <w:div w:id="176971809">
                      <w:marLeft w:val="0"/>
                      <w:marRight w:val="0"/>
                      <w:marTop w:val="0"/>
                      <w:marBottom w:val="0"/>
                      <w:divBdr>
                        <w:top w:val="none" w:sz="0" w:space="0" w:color="auto"/>
                        <w:left w:val="none" w:sz="0" w:space="0" w:color="auto"/>
                        <w:bottom w:val="none" w:sz="0" w:space="0" w:color="auto"/>
                        <w:right w:val="none" w:sz="0" w:space="0" w:color="auto"/>
                      </w:divBdr>
                    </w:div>
                  </w:divsChild>
                </w:div>
                <w:div w:id="2069260104">
                  <w:marLeft w:val="0"/>
                  <w:marRight w:val="0"/>
                  <w:marTop w:val="0"/>
                  <w:marBottom w:val="0"/>
                  <w:divBdr>
                    <w:top w:val="none" w:sz="0" w:space="0" w:color="auto"/>
                    <w:left w:val="none" w:sz="0" w:space="0" w:color="auto"/>
                    <w:bottom w:val="none" w:sz="0" w:space="0" w:color="auto"/>
                    <w:right w:val="none" w:sz="0" w:space="0" w:color="auto"/>
                  </w:divBdr>
                  <w:divsChild>
                    <w:div w:id="815955279">
                      <w:marLeft w:val="0"/>
                      <w:marRight w:val="0"/>
                      <w:marTop w:val="0"/>
                      <w:marBottom w:val="0"/>
                      <w:divBdr>
                        <w:top w:val="none" w:sz="0" w:space="0" w:color="auto"/>
                        <w:left w:val="none" w:sz="0" w:space="0" w:color="auto"/>
                        <w:bottom w:val="none" w:sz="0" w:space="0" w:color="auto"/>
                        <w:right w:val="none" w:sz="0" w:space="0" w:color="auto"/>
                      </w:divBdr>
                    </w:div>
                  </w:divsChild>
                </w:div>
                <w:div w:id="2074041630">
                  <w:marLeft w:val="0"/>
                  <w:marRight w:val="0"/>
                  <w:marTop w:val="0"/>
                  <w:marBottom w:val="0"/>
                  <w:divBdr>
                    <w:top w:val="none" w:sz="0" w:space="0" w:color="auto"/>
                    <w:left w:val="none" w:sz="0" w:space="0" w:color="auto"/>
                    <w:bottom w:val="none" w:sz="0" w:space="0" w:color="auto"/>
                    <w:right w:val="none" w:sz="0" w:space="0" w:color="auto"/>
                  </w:divBdr>
                  <w:divsChild>
                    <w:div w:id="1011833192">
                      <w:marLeft w:val="0"/>
                      <w:marRight w:val="0"/>
                      <w:marTop w:val="0"/>
                      <w:marBottom w:val="0"/>
                      <w:divBdr>
                        <w:top w:val="none" w:sz="0" w:space="0" w:color="auto"/>
                        <w:left w:val="none" w:sz="0" w:space="0" w:color="auto"/>
                        <w:bottom w:val="none" w:sz="0" w:space="0" w:color="auto"/>
                        <w:right w:val="none" w:sz="0" w:space="0" w:color="auto"/>
                      </w:divBdr>
                    </w:div>
                  </w:divsChild>
                </w:div>
                <w:div w:id="2107266313">
                  <w:marLeft w:val="0"/>
                  <w:marRight w:val="0"/>
                  <w:marTop w:val="0"/>
                  <w:marBottom w:val="0"/>
                  <w:divBdr>
                    <w:top w:val="none" w:sz="0" w:space="0" w:color="auto"/>
                    <w:left w:val="none" w:sz="0" w:space="0" w:color="auto"/>
                    <w:bottom w:val="none" w:sz="0" w:space="0" w:color="auto"/>
                    <w:right w:val="none" w:sz="0" w:space="0" w:color="auto"/>
                  </w:divBdr>
                  <w:divsChild>
                    <w:div w:id="93939709">
                      <w:marLeft w:val="0"/>
                      <w:marRight w:val="0"/>
                      <w:marTop w:val="0"/>
                      <w:marBottom w:val="0"/>
                      <w:divBdr>
                        <w:top w:val="none" w:sz="0" w:space="0" w:color="auto"/>
                        <w:left w:val="none" w:sz="0" w:space="0" w:color="auto"/>
                        <w:bottom w:val="none" w:sz="0" w:space="0" w:color="auto"/>
                        <w:right w:val="none" w:sz="0" w:space="0" w:color="auto"/>
                      </w:divBdr>
                    </w:div>
                  </w:divsChild>
                </w:div>
                <w:div w:id="2126070773">
                  <w:marLeft w:val="0"/>
                  <w:marRight w:val="0"/>
                  <w:marTop w:val="0"/>
                  <w:marBottom w:val="0"/>
                  <w:divBdr>
                    <w:top w:val="none" w:sz="0" w:space="0" w:color="auto"/>
                    <w:left w:val="none" w:sz="0" w:space="0" w:color="auto"/>
                    <w:bottom w:val="none" w:sz="0" w:space="0" w:color="auto"/>
                    <w:right w:val="none" w:sz="0" w:space="0" w:color="auto"/>
                  </w:divBdr>
                  <w:divsChild>
                    <w:div w:id="1073315485">
                      <w:marLeft w:val="0"/>
                      <w:marRight w:val="0"/>
                      <w:marTop w:val="0"/>
                      <w:marBottom w:val="0"/>
                      <w:divBdr>
                        <w:top w:val="none" w:sz="0" w:space="0" w:color="auto"/>
                        <w:left w:val="none" w:sz="0" w:space="0" w:color="auto"/>
                        <w:bottom w:val="none" w:sz="0" w:space="0" w:color="auto"/>
                        <w:right w:val="none" w:sz="0" w:space="0" w:color="auto"/>
                      </w:divBdr>
                    </w:div>
                  </w:divsChild>
                </w:div>
                <w:div w:id="2133356012">
                  <w:marLeft w:val="0"/>
                  <w:marRight w:val="0"/>
                  <w:marTop w:val="0"/>
                  <w:marBottom w:val="0"/>
                  <w:divBdr>
                    <w:top w:val="none" w:sz="0" w:space="0" w:color="auto"/>
                    <w:left w:val="none" w:sz="0" w:space="0" w:color="auto"/>
                    <w:bottom w:val="none" w:sz="0" w:space="0" w:color="auto"/>
                    <w:right w:val="none" w:sz="0" w:space="0" w:color="auto"/>
                  </w:divBdr>
                  <w:divsChild>
                    <w:div w:id="1160273790">
                      <w:marLeft w:val="0"/>
                      <w:marRight w:val="0"/>
                      <w:marTop w:val="0"/>
                      <w:marBottom w:val="0"/>
                      <w:divBdr>
                        <w:top w:val="none" w:sz="0" w:space="0" w:color="auto"/>
                        <w:left w:val="none" w:sz="0" w:space="0" w:color="auto"/>
                        <w:bottom w:val="none" w:sz="0" w:space="0" w:color="auto"/>
                        <w:right w:val="none" w:sz="0" w:space="0" w:color="auto"/>
                      </w:divBdr>
                    </w:div>
                  </w:divsChild>
                </w:div>
                <w:div w:id="2133939882">
                  <w:marLeft w:val="0"/>
                  <w:marRight w:val="0"/>
                  <w:marTop w:val="0"/>
                  <w:marBottom w:val="0"/>
                  <w:divBdr>
                    <w:top w:val="none" w:sz="0" w:space="0" w:color="auto"/>
                    <w:left w:val="none" w:sz="0" w:space="0" w:color="auto"/>
                    <w:bottom w:val="none" w:sz="0" w:space="0" w:color="auto"/>
                    <w:right w:val="none" w:sz="0" w:space="0" w:color="auto"/>
                  </w:divBdr>
                  <w:divsChild>
                    <w:div w:id="1191379454">
                      <w:marLeft w:val="0"/>
                      <w:marRight w:val="0"/>
                      <w:marTop w:val="0"/>
                      <w:marBottom w:val="0"/>
                      <w:divBdr>
                        <w:top w:val="none" w:sz="0" w:space="0" w:color="auto"/>
                        <w:left w:val="none" w:sz="0" w:space="0" w:color="auto"/>
                        <w:bottom w:val="none" w:sz="0" w:space="0" w:color="auto"/>
                        <w:right w:val="none" w:sz="0" w:space="0" w:color="auto"/>
                      </w:divBdr>
                    </w:div>
                  </w:divsChild>
                </w:div>
                <w:div w:id="2137336445">
                  <w:marLeft w:val="0"/>
                  <w:marRight w:val="0"/>
                  <w:marTop w:val="0"/>
                  <w:marBottom w:val="0"/>
                  <w:divBdr>
                    <w:top w:val="none" w:sz="0" w:space="0" w:color="auto"/>
                    <w:left w:val="none" w:sz="0" w:space="0" w:color="auto"/>
                    <w:bottom w:val="none" w:sz="0" w:space="0" w:color="auto"/>
                    <w:right w:val="none" w:sz="0" w:space="0" w:color="auto"/>
                  </w:divBdr>
                  <w:divsChild>
                    <w:div w:id="111438171">
                      <w:marLeft w:val="0"/>
                      <w:marRight w:val="0"/>
                      <w:marTop w:val="0"/>
                      <w:marBottom w:val="0"/>
                      <w:divBdr>
                        <w:top w:val="none" w:sz="0" w:space="0" w:color="auto"/>
                        <w:left w:val="none" w:sz="0" w:space="0" w:color="auto"/>
                        <w:bottom w:val="none" w:sz="0" w:space="0" w:color="auto"/>
                        <w:right w:val="none" w:sz="0" w:space="0" w:color="auto"/>
                      </w:divBdr>
                    </w:div>
                  </w:divsChild>
                </w:div>
                <w:div w:id="2143689437">
                  <w:marLeft w:val="0"/>
                  <w:marRight w:val="0"/>
                  <w:marTop w:val="0"/>
                  <w:marBottom w:val="0"/>
                  <w:divBdr>
                    <w:top w:val="none" w:sz="0" w:space="0" w:color="auto"/>
                    <w:left w:val="none" w:sz="0" w:space="0" w:color="auto"/>
                    <w:bottom w:val="none" w:sz="0" w:space="0" w:color="auto"/>
                    <w:right w:val="none" w:sz="0" w:space="0" w:color="auto"/>
                  </w:divBdr>
                  <w:divsChild>
                    <w:div w:id="90199753">
                      <w:marLeft w:val="0"/>
                      <w:marRight w:val="0"/>
                      <w:marTop w:val="0"/>
                      <w:marBottom w:val="0"/>
                      <w:divBdr>
                        <w:top w:val="none" w:sz="0" w:space="0" w:color="auto"/>
                        <w:left w:val="none" w:sz="0" w:space="0" w:color="auto"/>
                        <w:bottom w:val="none" w:sz="0" w:space="0" w:color="auto"/>
                        <w:right w:val="none" w:sz="0" w:space="0" w:color="auto"/>
                      </w:divBdr>
                    </w:div>
                    <w:div w:id="171529448">
                      <w:marLeft w:val="0"/>
                      <w:marRight w:val="0"/>
                      <w:marTop w:val="0"/>
                      <w:marBottom w:val="0"/>
                      <w:divBdr>
                        <w:top w:val="none" w:sz="0" w:space="0" w:color="auto"/>
                        <w:left w:val="none" w:sz="0" w:space="0" w:color="auto"/>
                        <w:bottom w:val="none" w:sz="0" w:space="0" w:color="auto"/>
                        <w:right w:val="none" w:sz="0" w:space="0" w:color="auto"/>
                      </w:divBdr>
                    </w:div>
                    <w:div w:id="270599385">
                      <w:marLeft w:val="0"/>
                      <w:marRight w:val="0"/>
                      <w:marTop w:val="0"/>
                      <w:marBottom w:val="0"/>
                      <w:divBdr>
                        <w:top w:val="none" w:sz="0" w:space="0" w:color="auto"/>
                        <w:left w:val="none" w:sz="0" w:space="0" w:color="auto"/>
                        <w:bottom w:val="none" w:sz="0" w:space="0" w:color="auto"/>
                        <w:right w:val="none" w:sz="0" w:space="0" w:color="auto"/>
                      </w:divBdr>
                    </w:div>
                    <w:div w:id="1547179490">
                      <w:marLeft w:val="0"/>
                      <w:marRight w:val="0"/>
                      <w:marTop w:val="0"/>
                      <w:marBottom w:val="0"/>
                      <w:divBdr>
                        <w:top w:val="none" w:sz="0" w:space="0" w:color="auto"/>
                        <w:left w:val="none" w:sz="0" w:space="0" w:color="auto"/>
                        <w:bottom w:val="none" w:sz="0" w:space="0" w:color="auto"/>
                        <w:right w:val="none" w:sz="0" w:space="0" w:color="auto"/>
                      </w:divBdr>
                    </w:div>
                    <w:div w:id="1600986905">
                      <w:marLeft w:val="0"/>
                      <w:marRight w:val="0"/>
                      <w:marTop w:val="0"/>
                      <w:marBottom w:val="0"/>
                      <w:divBdr>
                        <w:top w:val="none" w:sz="0" w:space="0" w:color="auto"/>
                        <w:left w:val="none" w:sz="0" w:space="0" w:color="auto"/>
                        <w:bottom w:val="none" w:sz="0" w:space="0" w:color="auto"/>
                        <w:right w:val="none" w:sz="0" w:space="0" w:color="auto"/>
                      </w:divBdr>
                    </w:div>
                    <w:div w:id="1883319438">
                      <w:marLeft w:val="0"/>
                      <w:marRight w:val="0"/>
                      <w:marTop w:val="0"/>
                      <w:marBottom w:val="0"/>
                      <w:divBdr>
                        <w:top w:val="none" w:sz="0" w:space="0" w:color="auto"/>
                        <w:left w:val="none" w:sz="0" w:space="0" w:color="auto"/>
                        <w:bottom w:val="none" w:sz="0" w:space="0" w:color="auto"/>
                        <w:right w:val="none" w:sz="0" w:space="0" w:color="auto"/>
                      </w:divBdr>
                    </w:div>
                    <w:div w:id="20165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480255">
      <w:bodyDiv w:val="1"/>
      <w:marLeft w:val="0"/>
      <w:marRight w:val="0"/>
      <w:marTop w:val="0"/>
      <w:marBottom w:val="0"/>
      <w:divBdr>
        <w:top w:val="none" w:sz="0" w:space="0" w:color="auto"/>
        <w:left w:val="none" w:sz="0" w:space="0" w:color="auto"/>
        <w:bottom w:val="none" w:sz="0" w:space="0" w:color="auto"/>
        <w:right w:val="none" w:sz="0" w:space="0" w:color="auto"/>
      </w:divBdr>
    </w:div>
    <w:div w:id="768162639">
      <w:bodyDiv w:val="1"/>
      <w:marLeft w:val="0"/>
      <w:marRight w:val="0"/>
      <w:marTop w:val="0"/>
      <w:marBottom w:val="0"/>
      <w:divBdr>
        <w:top w:val="none" w:sz="0" w:space="0" w:color="auto"/>
        <w:left w:val="none" w:sz="0" w:space="0" w:color="auto"/>
        <w:bottom w:val="none" w:sz="0" w:space="0" w:color="auto"/>
        <w:right w:val="none" w:sz="0" w:space="0" w:color="auto"/>
      </w:divBdr>
    </w:div>
    <w:div w:id="784035518">
      <w:bodyDiv w:val="1"/>
      <w:marLeft w:val="0"/>
      <w:marRight w:val="0"/>
      <w:marTop w:val="0"/>
      <w:marBottom w:val="0"/>
      <w:divBdr>
        <w:top w:val="none" w:sz="0" w:space="0" w:color="auto"/>
        <w:left w:val="none" w:sz="0" w:space="0" w:color="auto"/>
        <w:bottom w:val="none" w:sz="0" w:space="0" w:color="auto"/>
        <w:right w:val="none" w:sz="0" w:space="0" w:color="auto"/>
      </w:divBdr>
      <w:divsChild>
        <w:div w:id="1426657657">
          <w:marLeft w:val="0"/>
          <w:marRight w:val="0"/>
          <w:marTop w:val="0"/>
          <w:marBottom w:val="0"/>
          <w:divBdr>
            <w:top w:val="none" w:sz="0" w:space="0" w:color="auto"/>
            <w:left w:val="none" w:sz="0" w:space="0" w:color="auto"/>
            <w:bottom w:val="none" w:sz="0" w:space="0" w:color="auto"/>
            <w:right w:val="none" w:sz="0" w:space="0" w:color="auto"/>
          </w:divBdr>
          <w:divsChild>
            <w:div w:id="40370207">
              <w:marLeft w:val="0"/>
              <w:marRight w:val="0"/>
              <w:marTop w:val="0"/>
              <w:marBottom w:val="0"/>
              <w:divBdr>
                <w:top w:val="none" w:sz="0" w:space="0" w:color="auto"/>
                <w:left w:val="none" w:sz="0" w:space="0" w:color="auto"/>
                <w:bottom w:val="none" w:sz="0" w:space="0" w:color="auto"/>
                <w:right w:val="none" w:sz="0" w:space="0" w:color="auto"/>
              </w:divBdr>
            </w:div>
            <w:div w:id="264923212">
              <w:marLeft w:val="0"/>
              <w:marRight w:val="0"/>
              <w:marTop w:val="0"/>
              <w:marBottom w:val="0"/>
              <w:divBdr>
                <w:top w:val="none" w:sz="0" w:space="0" w:color="auto"/>
                <w:left w:val="none" w:sz="0" w:space="0" w:color="auto"/>
                <w:bottom w:val="none" w:sz="0" w:space="0" w:color="auto"/>
                <w:right w:val="none" w:sz="0" w:space="0" w:color="auto"/>
              </w:divBdr>
            </w:div>
            <w:div w:id="334957638">
              <w:marLeft w:val="0"/>
              <w:marRight w:val="0"/>
              <w:marTop w:val="0"/>
              <w:marBottom w:val="0"/>
              <w:divBdr>
                <w:top w:val="none" w:sz="0" w:space="0" w:color="auto"/>
                <w:left w:val="none" w:sz="0" w:space="0" w:color="auto"/>
                <w:bottom w:val="none" w:sz="0" w:space="0" w:color="auto"/>
                <w:right w:val="none" w:sz="0" w:space="0" w:color="auto"/>
              </w:divBdr>
            </w:div>
            <w:div w:id="399716084">
              <w:marLeft w:val="0"/>
              <w:marRight w:val="0"/>
              <w:marTop w:val="0"/>
              <w:marBottom w:val="0"/>
              <w:divBdr>
                <w:top w:val="none" w:sz="0" w:space="0" w:color="auto"/>
                <w:left w:val="none" w:sz="0" w:space="0" w:color="auto"/>
                <w:bottom w:val="none" w:sz="0" w:space="0" w:color="auto"/>
                <w:right w:val="none" w:sz="0" w:space="0" w:color="auto"/>
              </w:divBdr>
            </w:div>
            <w:div w:id="467015915">
              <w:marLeft w:val="0"/>
              <w:marRight w:val="0"/>
              <w:marTop w:val="0"/>
              <w:marBottom w:val="0"/>
              <w:divBdr>
                <w:top w:val="none" w:sz="0" w:space="0" w:color="auto"/>
                <w:left w:val="none" w:sz="0" w:space="0" w:color="auto"/>
                <w:bottom w:val="none" w:sz="0" w:space="0" w:color="auto"/>
                <w:right w:val="none" w:sz="0" w:space="0" w:color="auto"/>
              </w:divBdr>
            </w:div>
            <w:div w:id="714164797">
              <w:marLeft w:val="0"/>
              <w:marRight w:val="0"/>
              <w:marTop w:val="0"/>
              <w:marBottom w:val="0"/>
              <w:divBdr>
                <w:top w:val="none" w:sz="0" w:space="0" w:color="auto"/>
                <w:left w:val="none" w:sz="0" w:space="0" w:color="auto"/>
                <w:bottom w:val="none" w:sz="0" w:space="0" w:color="auto"/>
                <w:right w:val="none" w:sz="0" w:space="0" w:color="auto"/>
              </w:divBdr>
            </w:div>
            <w:div w:id="750397104">
              <w:marLeft w:val="0"/>
              <w:marRight w:val="0"/>
              <w:marTop w:val="0"/>
              <w:marBottom w:val="0"/>
              <w:divBdr>
                <w:top w:val="none" w:sz="0" w:space="0" w:color="auto"/>
                <w:left w:val="none" w:sz="0" w:space="0" w:color="auto"/>
                <w:bottom w:val="none" w:sz="0" w:space="0" w:color="auto"/>
                <w:right w:val="none" w:sz="0" w:space="0" w:color="auto"/>
              </w:divBdr>
            </w:div>
            <w:div w:id="873812017">
              <w:marLeft w:val="0"/>
              <w:marRight w:val="0"/>
              <w:marTop w:val="0"/>
              <w:marBottom w:val="0"/>
              <w:divBdr>
                <w:top w:val="none" w:sz="0" w:space="0" w:color="auto"/>
                <w:left w:val="none" w:sz="0" w:space="0" w:color="auto"/>
                <w:bottom w:val="none" w:sz="0" w:space="0" w:color="auto"/>
                <w:right w:val="none" w:sz="0" w:space="0" w:color="auto"/>
              </w:divBdr>
            </w:div>
            <w:div w:id="902721251">
              <w:marLeft w:val="0"/>
              <w:marRight w:val="0"/>
              <w:marTop w:val="0"/>
              <w:marBottom w:val="0"/>
              <w:divBdr>
                <w:top w:val="none" w:sz="0" w:space="0" w:color="auto"/>
                <w:left w:val="none" w:sz="0" w:space="0" w:color="auto"/>
                <w:bottom w:val="none" w:sz="0" w:space="0" w:color="auto"/>
                <w:right w:val="none" w:sz="0" w:space="0" w:color="auto"/>
              </w:divBdr>
            </w:div>
            <w:div w:id="917055206">
              <w:marLeft w:val="0"/>
              <w:marRight w:val="0"/>
              <w:marTop w:val="0"/>
              <w:marBottom w:val="0"/>
              <w:divBdr>
                <w:top w:val="none" w:sz="0" w:space="0" w:color="auto"/>
                <w:left w:val="none" w:sz="0" w:space="0" w:color="auto"/>
                <w:bottom w:val="none" w:sz="0" w:space="0" w:color="auto"/>
                <w:right w:val="none" w:sz="0" w:space="0" w:color="auto"/>
              </w:divBdr>
            </w:div>
            <w:div w:id="928779243">
              <w:marLeft w:val="0"/>
              <w:marRight w:val="0"/>
              <w:marTop w:val="0"/>
              <w:marBottom w:val="0"/>
              <w:divBdr>
                <w:top w:val="none" w:sz="0" w:space="0" w:color="auto"/>
                <w:left w:val="none" w:sz="0" w:space="0" w:color="auto"/>
                <w:bottom w:val="none" w:sz="0" w:space="0" w:color="auto"/>
                <w:right w:val="none" w:sz="0" w:space="0" w:color="auto"/>
              </w:divBdr>
            </w:div>
            <w:div w:id="978269927">
              <w:marLeft w:val="0"/>
              <w:marRight w:val="0"/>
              <w:marTop w:val="0"/>
              <w:marBottom w:val="0"/>
              <w:divBdr>
                <w:top w:val="none" w:sz="0" w:space="0" w:color="auto"/>
                <w:left w:val="none" w:sz="0" w:space="0" w:color="auto"/>
                <w:bottom w:val="none" w:sz="0" w:space="0" w:color="auto"/>
                <w:right w:val="none" w:sz="0" w:space="0" w:color="auto"/>
              </w:divBdr>
            </w:div>
            <w:div w:id="1094546179">
              <w:marLeft w:val="0"/>
              <w:marRight w:val="0"/>
              <w:marTop w:val="0"/>
              <w:marBottom w:val="0"/>
              <w:divBdr>
                <w:top w:val="none" w:sz="0" w:space="0" w:color="auto"/>
                <w:left w:val="none" w:sz="0" w:space="0" w:color="auto"/>
                <w:bottom w:val="none" w:sz="0" w:space="0" w:color="auto"/>
                <w:right w:val="none" w:sz="0" w:space="0" w:color="auto"/>
              </w:divBdr>
            </w:div>
            <w:div w:id="1141265810">
              <w:marLeft w:val="0"/>
              <w:marRight w:val="0"/>
              <w:marTop w:val="0"/>
              <w:marBottom w:val="0"/>
              <w:divBdr>
                <w:top w:val="none" w:sz="0" w:space="0" w:color="auto"/>
                <w:left w:val="none" w:sz="0" w:space="0" w:color="auto"/>
                <w:bottom w:val="none" w:sz="0" w:space="0" w:color="auto"/>
                <w:right w:val="none" w:sz="0" w:space="0" w:color="auto"/>
              </w:divBdr>
            </w:div>
            <w:div w:id="1616062425">
              <w:marLeft w:val="0"/>
              <w:marRight w:val="0"/>
              <w:marTop w:val="0"/>
              <w:marBottom w:val="0"/>
              <w:divBdr>
                <w:top w:val="none" w:sz="0" w:space="0" w:color="auto"/>
                <w:left w:val="none" w:sz="0" w:space="0" w:color="auto"/>
                <w:bottom w:val="none" w:sz="0" w:space="0" w:color="auto"/>
                <w:right w:val="none" w:sz="0" w:space="0" w:color="auto"/>
              </w:divBdr>
            </w:div>
            <w:div w:id="1715496314">
              <w:marLeft w:val="0"/>
              <w:marRight w:val="0"/>
              <w:marTop w:val="0"/>
              <w:marBottom w:val="0"/>
              <w:divBdr>
                <w:top w:val="none" w:sz="0" w:space="0" w:color="auto"/>
                <w:left w:val="none" w:sz="0" w:space="0" w:color="auto"/>
                <w:bottom w:val="none" w:sz="0" w:space="0" w:color="auto"/>
                <w:right w:val="none" w:sz="0" w:space="0" w:color="auto"/>
              </w:divBdr>
            </w:div>
            <w:div w:id="1873954374">
              <w:marLeft w:val="0"/>
              <w:marRight w:val="0"/>
              <w:marTop w:val="0"/>
              <w:marBottom w:val="0"/>
              <w:divBdr>
                <w:top w:val="none" w:sz="0" w:space="0" w:color="auto"/>
                <w:left w:val="none" w:sz="0" w:space="0" w:color="auto"/>
                <w:bottom w:val="none" w:sz="0" w:space="0" w:color="auto"/>
                <w:right w:val="none" w:sz="0" w:space="0" w:color="auto"/>
              </w:divBdr>
            </w:div>
            <w:div w:id="1955742749">
              <w:marLeft w:val="0"/>
              <w:marRight w:val="0"/>
              <w:marTop w:val="0"/>
              <w:marBottom w:val="0"/>
              <w:divBdr>
                <w:top w:val="none" w:sz="0" w:space="0" w:color="auto"/>
                <w:left w:val="none" w:sz="0" w:space="0" w:color="auto"/>
                <w:bottom w:val="none" w:sz="0" w:space="0" w:color="auto"/>
                <w:right w:val="none" w:sz="0" w:space="0" w:color="auto"/>
              </w:divBdr>
            </w:div>
            <w:div w:id="2087217078">
              <w:marLeft w:val="0"/>
              <w:marRight w:val="0"/>
              <w:marTop w:val="0"/>
              <w:marBottom w:val="0"/>
              <w:divBdr>
                <w:top w:val="none" w:sz="0" w:space="0" w:color="auto"/>
                <w:left w:val="none" w:sz="0" w:space="0" w:color="auto"/>
                <w:bottom w:val="none" w:sz="0" w:space="0" w:color="auto"/>
                <w:right w:val="none" w:sz="0" w:space="0" w:color="auto"/>
              </w:divBdr>
            </w:div>
            <w:div w:id="2095128586">
              <w:marLeft w:val="0"/>
              <w:marRight w:val="0"/>
              <w:marTop w:val="0"/>
              <w:marBottom w:val="0"/>
              <w:divBdr>
                <w:top w:val="none" w:sz="0" w:space="0" w:color="auto"/>
                <w:left w:val="none" w:sz="0" w:space="0" w:color="auto"/>
                <w:bottom w:val="none" w:sz="0" w:space="0" w:color="auto"/>
                <w:right w:val="none" w:sz="0" w:space="0" w:color="auto"/>
              </w:divBdr>
            </w:div>
          </w:divsChild>
        </w:div>
        <w:div w:id="2111274591">
          <w:marLeft w:val="0"/>
          <w:marRight w:val="0"/>
          <w:marTop w:val="0"/>
          <w:marBottom w:val="0"/>
          <w:divBdr>
            <w:top w:val="none" w:sz="0" w:space="0" w:color="auto"/>
            <w:left w:val="none" w:sz="0" w:space="0" w:color="auto"/>
            <w:bottom w:val="none" w:sz="0" w:space="0" w:color="auto"/>
            <w:right w:val="none" w:sz="0" w:space="0" w:color="auto"/>
          </w:divBdr>
          <w:divsChild>
            <w:div w:id="218713229">
              <w:marLeft w:val="0"/>
              <w:marRight w:val="0"/>
              <w:marTop w:val="0"/>
              <w:marBottom w:val="0"/>
              <w:divBdr>
                <w:top w:val="none" w:sz="0" w:space="0" w:color="auto"/>
                <w:left w:val="none" w:sz="0" w:space="0" w:color="auto"/>
                <w:bottom w:val="none" w:sz="0" w:space="0" w:color="auto"/>
                <w:right w:val="none" w:sz="0" w:space="0" w:color="auto"/>
              </w:divBdr>
            </w:div>
            <w:div w:id="233708519">
              <w:marLeft w:val="0"/>
              <w:marRight w:val="0"/>
              <w:marTop w:val="0"/>
              <w:marBottom w:val="0"/>
              <w:divBdr>
                <w:top w:val="none" w:sz="0" w:space="0" w:color="auto"/>
                <w:left w:val="none" w:sz="0" w:space="0" w:color="auto"/>
                <w:bottom w:val="none" w:sz="0" w:space="0" w:color="auto"/>
                <w:right w:val="none" w:sz="0" w:space="0" w:color="auto"/>
              </w:divBdr>
            </w:div>
            <w:div w:id="258174764">
              <w:marLeft w:val="0"/>
              <w:marRight w:val="0"/>
              <w:marTop w:val="0"/>
              <w:marBottom w:val="0"/>
              <w:divBdr>
                <w:top w:val="none" w:sz="0" w:space="0" w:color="auto"/>
                <w:left w:val="none" w:sz="0" w:space="0" w:color="auto"/>
                <w:bottom w:val="none" w:sz="0" w:space="0" w:color="auto"/>
                <w:right w:val="none" w:sz="0" w:space="0" w:color="auto"/>
              </w:divBdr>
            </w:div>
            <w:div w:id="364446890">
              <w:marLeft w:val="0"/>
              <w:marRight w:val="0"/>
              <w:marTop w:val="0"/>
              <w:marBottom w:val="0"/>
              <w:divBdr>
                <w:top w:val="none" w:sz="0" w:space="0" w:color="auto"/>
                <w:left w:val="none" w:sz="0" w:space="0" w:color="auto"/>
                <w:bottom w:val="none" w:sz="0" w:space="0" w:color="auto"/>
                <w:right w:val="none" w:sz="0" w:space="0" w:color="auto"/>
              </w:divBdr>
            </w:div>
            <w:div w:id="446001856">
              <w:marLeft w:val="0"/>
              <w:marRight w:val="0"/>
              <w:marTop w:val="0"/>
              <w:marBottom w:val="0"/>
              <w:divBdr>
                <w:top w:val="none" w:sz="0" w:space="0" w:color="auto"/>
                <w:left w:val="none" w:sz="0" w:space="0" w:color="auto"/>
                <w:bottom w:val="none" w:sz="0" w:space="0" w:color="auto"/>
                <w:right w:val="none" w:sz="0" w:space="0" w:color="auto"/>
              </w:divBdr>
            </w:div>
            <w:div w:id="504053154">
              <w:marLeft w:val="0"/>
              <w:marRight w:val="0"/>
              <w:marTop w:val="0"/>
              <w:marBottom w:val="0"/>
              <w:divBdr>
                <w:top w:val="none" w:sz="0" w:space="0" w:color="auto"/>
                <w:left w:val="none" w:sz="0" w:space="0" w:color="auto"/>
                <w:bottom w:val="none" w:sz="0" w:space="0" w:color="auto"/>
                <w:right w:val="none" w:sz="0" w:space="0" w:color="auto"/>
              </w:divBdr>
            </w:div>
            <w:div w:id="849442676">
              <w:marLeft w:val="0"/>
              <w:marRight w:val="0"/>
              <w:marTop w:val="0"/>
              <w:marBottom w:val="0"/>
              <w:divBdr>
                <w:top w:val="none" w:sz="0" w:space="0" w:color="auto"/>
                <w:left w:val="none" w:sz="0" w:space="0" w:color="auto"/>
                <w:bottom w:val="none" w:sz="0" w:space="0" w:color="auto"/>
                <w:right w:val="none" w:sz="0" w:space="0" w:color="auto"/>
              </w:divBdr>
            </w:div>
            <w:div w:id="893539642">
              <w:marLeft w:val="0"/>
              <w:marRight w:val="0"/>
              <w:marTop w:val="0"/>
              <w:marBottom w:val="0"/>
              <w:divBdr>
                <w:top w:val="none" w:sz="0" w:space="0" w:color="auto"/>
                <w:left w:val="none" w:sz="0" w:space="0" w:color="auto"/>
                <w:bottom w:val="none" w:sz="0" w:space="0" w:color="auto"/>
                <w:right w:val="none" w:sz="0" w:space="0" w:color="auto"/>
              </w:divBdr>
            </w:div>
            <w:div w:id="1155486769">
              <w:marLeft w:val="0"/>
              <w:marRight w:val="0"/>
              <w:marTop w:val="0"/>
              <w:marBottom w:val="0"/>
              <w:divBdr>
                <w:top w:val="none" w:sz="0" w:space="0" w:color="auto"/>
                <w:left w:val="none" w:sz="0" w:space="0" w:color="auto"/>
                <w:bottom w:val="none" w:sz="0" w:space="0" w:color="auto"/>
                <w:right w:val="none" w:sz="0" w:space="0" w:color="auto"/>
              </w:divBdr>
            </w:div>
            <w:div w:id="1440300349">
              <w:marLeft w:val="0"/>
              <w:marRight w:val="0"/>
              <w:marTop w:val="0"/>
              <w:marBottom w:val="0"/>
              <w:divBdr>
                <w:top w:val="none" w:sz="0" w:space="0" w:color="auto"/>
                <w:left w:val="none" w:sz="0" w:space="0" w:color="auto"/>
                <w:bottom w:val="none" w:sz="0" w:space="0" w:color="auto"/>
                <w:right w:val="none" w:sz="0" w:space="0" w:color="auto"/>
              </w:divBdr>
            </w:div>
            <w:div w:id="1646158491">
              <w:marLeft w:val="0"/>
              <w:marRight w:val="0"/>
              <w:marTop w:val="0"/>
              <w:marBottom w:val="0"/>
              <w:divBdr>
                <w:top w:val="none" w:sz="0" w:space="0" w:color="auto"/>
                <w:left w:val="none" w:sz="0" w:space="0" w:color="auto"/>
                <w:bottom w:val="none" w:sz="0" w:space="0" w:color="auto"/>
                <w:right w:val="none" w:sz="0" w:space="0" w:color="auto"/>
              </w:divBdr>
            </w:div>
            <w:div w:id="1686058958">
              <w:marLeft w:val="0"/>
              <w:marRight w:val="0"/>
              <w:marTop w:val="0"/>
              <w:marBottom w:val="0"/>
              <w:divBdr>
                <w:top w:val="none" w:sz="0" w:space="0" w:color="auto"/>
                <w:left w:val="none" w:sz="0" w:space="0" w:color="auto"/>
                <w:bottom w:val="none" w:sz="0" w:space="0" w:color="auto"/>
                <w:right w:val="none" w:sz="0" w:space="0" w:color="auto"/>
              </w:divBdr>
            </w:div>
            <w:div w:id="1710254150">
              <w:marLeft w:val="0"/>
              <w:marRight w:val="0"/>
              <w:marTop w:val="0"/>
              <w:marBottom w:val="0"/>
              <w:divBdr>
                <w:top w:val="none" w:sz="0" w:space="0" w:color="auto"/>
                <w:left w:val="none" w:sz="0" w:space="0" w:color="auto"/>
                <w:bottom w:val="none" w:sz="0" w:space="0" w:color="auto"/>
                <w:right w:val="none" w:sz="0" w:space="0" w:color="auto"/>
              </w:divBdr>
            </w:div>
            <w:div w:id="1872721054">
              <w:marLeft w:val="0"/>
              <w:marRight w:val="0"/>
              <w:marTop w:val="0"/>
              <w:marBottom w:val="0"/>
              <w:divBdr>
                <w:top w:val="none" w:sz="0" w:space="0" w:color="auto"/>
                <w:left w:val="none" w:sz="0" w:space="0" w:color="auto"/>
                <w:bottom w:val="none" w:sz="0" w:space="0" w:color="auto"/>
                <w:right w:val="none" w:sz="0" w:space="0" w:color="auto"/>
              </w:divBdr>
            </w:div>
            <w:div w:id="1888637910">
              <w:marLeft w:val="0"/>
              <w:marRight w:val="0"/>
              <w:marTop w:val="0"/>
              <w:marBottom w:val="0"/>
              <w:divBdr>
                <w:top w:val="none" w:sz="0" w:space="0" w:color="auto"/>
                <w:left w:val="none" w:sz="0" w:space="0" w:color="auto"/>
                <w:bottom w:val="none" w:sz="0" w:space="0" w:color="auto"/>
                <w:right w:val="none" w:sz="0" w:space="0" w:color="auto"/>
              </w:divBdr>
            </w:div>
            <w:div w:id="1893273220">
              <w:marLeft w:val="0"/>
              <w:marRight w:val="0"/>
              <w:marTop w:val="0"/>
              <w:marBottom w:val="0"/>
              <w:divBdr>
                <w:top w:val="none" w:sz="0" w:space="0" w:color="auto"/>
                <w:left w:val="none" w:sz="0" w:space="0" w:color="auto"/>
                <w:bottom w:val="none" w:sz="0" w:space="0" w:color="auto"/>
                <w:right w:val="none" w:sz="0" w:space="0" w:color="auto"/>
              </w:divBdr>
            </w:div>
            <w:div w:id="1908224644">
              <w:marLeft w:val="0"/>
              <w:marRight w:val="0"/>
              <w:marTop w:val="0"/>
              <w:marBottom w:val="0"/>
              <w:divBdr>
                <w:top w:val="none" w:sz="0" w:space="0" w:color="auto"/>
                <w:left w:val="none" w:sz="0" w:space="0" w:color="auto"/>
                <w:bottom w:val="none" w:sz="0" w:space="0" w:color="auto"/>
                <w:right w:val="none" w:sz="0" w:space="0" w:color="auto"/>
              </w:divBdr>
            </w:div>
            <w:div w:id="1937211251">
              <w:marLeft w:val="0"/>
              <w:marRight w:val="0"/>
              <w:marTop w:val="0"/>
              <w:marBottom w:val="0"/>
              <w:divBdr>
                <w:top w:val="none" w:sz="0" w:space="0" w:color="auto"/>
                <w:left w:val="none" w:sz="0" w:space="0" w:color="auto"/>
                <w:bottom w:val="none" w:sz="0" w:space="0" w:color="auto"/>
                <w:right w:val="none" w:sz="0" w:space="0" w:color="auto"/>
              </w:divBdr>
            </w:div>
            <w:div w:id="1963875862">
              <w:marLeft w:val="0"/>
              <w:marRight w:val="0"/>
              <w:marTop w:val="0"/>
              <w:marBottom w:val="0"/>
              <w:divBdr>
                <w:top w:val="none" w:sz="0" w:space="0" w:color="auto"/>
                <w:left w:val="none" w:sz="0" w:space="0" w:color="auto"/>
                <w:bottom w:val="none" w:sz="0" w:space="0" w:color="auto"/>
                <w:right w:val="none" w:sz="0" w:space="0" w:color="auto"/>
              </w:divBdr>
            </w:div>
            <w:div w:id="20729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142048">
      <w:bodyDiv w:val="1"/>
      <w:marLeft w:val="0"/>
      <w:marRight w:val="0"/>
      <w:marTop w:val="0"/>
      <w:marBottom w:val="0"/>
      <w:divBdr>
        <w:top w:val="none" w:sz="0" w:space="0" w:color="auto"/>
        <w:left w:val="none" w:sz="0" w:space="0" w:color="auto"/>
        <w:bottom w:val="none" w:sz="0" w:space="0" w:color="auto"/>
        <w:right w:val="none" w:sz="0" w:space="0" w:color="auto"/>
      </w:divBdr>
      <w:divsChild>
        <w:div w:id="50927825">
          <w:marLeft w:val="0"/>
          <w:marRight w:val="0"/>
          <w:marTop w:val="0"/>
          <w:marBottom w:val="0"/>
          <w:divBdr>
            <w:top w:val="none" w:sz="0" w:space="0" w:color="auto"/>
            <w:left w:val="none" w:sz="0" w:space="0" w:color="auto"/>
            <w:bottom w:val="none" w:sz="0" w:space="0" w:color="auto"/>
            <w:right w:val="none" w:sz="0" w:space="0" w:color="auto"/>
          </w:divBdr>
        </w:div>
        <w:div w:id="475729509">
          <w:marLeft w:val="0"/>
          <w:marRight w:val="0"/>
          <w:marTop w:val="0"/>
          <w:marBottom w:val="0"/>
          <w:divBdr>
            <w:top w:val="none" w:sz="0" w:space="0" w:color="auto"/>
            <w:left w:val="none" w:sz="0" w:space="0" w:color="auto"/>
            <w:bottom w:val="none" w:sz="0" w:space="0" w:color="auto"/>
            <w:right w:val="none" w:sz="0" w:space="0" w:color="auto"/>
          </w:divBdr>
        </w:div>
        <w:div w:id="512302417">
          <w:marLeft w:val="0"/>
          <w:marRight w:val="0"/>
          <w:marTop w:val="0"/>
          <w:marBottom w:val="0"/>
          <w:divBdr>
            <w:top w:val="none" w:sz="0" w:space="0" w:color="auto"/>
            <w:left w:val="none" w:sz="0" w:space="0" w:color="auto"/>
            <w:bottom w:val="none" w:sz="0" w:space="0" w:color="auto"/>
            <w:right w:val="none" w:sz="0" w:space="0" w:color="auto"/>
          </w:divBdr>
          <w:divsChild>
            <w:div w:id="47803017">
              <w:marLeft w:val="0"/>
              <w:marRight w:val="0"/>
              <w:marTop w:val="0"/>
              <w:marBottom w:val="0"/>
              <w:divBdr>
                <w:top w:val="none" w:sz="0" w:space="0" w:color="auto"/>
                <w:left w:val="none" w:sz="0" w:space="0" w:color="auto"/>
                <w:bottom w:val="none" w:sz="0" w:space="0" w:color="auto"/>
                <w:right w:val="none" w:sz="0" w:space="0" w:color="auto"/>
              </w:divBdr>
            </w:div>
            <w:div w:id="56633089">
              <w:marLeft w:val="0"/>
              <w:marRight w:val="0"/>
              <w:marTop w:val="0"/>
              <w:marBottom w:val="0"/>
              <w:divBdr>
                <w:top w:val="none" w:sz="0" w:space="0" w:color="auto"/>
                <w:left w:val="none" w:sz="0" w:space="0" w:color="auto"/>
                <w:bottom w:val="none" w:sz="0" w:space="0" w:color="auto"/>
                <w:right w:val="none" w:sz="0" w:space="0" w:color="auto"/>
              </w:divBdr>
            </w:div>
            <w:div w:id="132724669">
              <w:marLeft w:val="0"/>
              <w:marRight w:val="0"/>
              <w:marTop w:val="0"/>
              <w:marBottom w:val="0"/>
              <w:divBdr>
                <w:top w:val="none" w:sz="0" w:space="0" w:color="auto"/>
                <w:left w:val="none" w:sz="0" w:space="0" w:color="auto"/>
                <w:bottom w:val="none" w:sz="0" w:space="0" w:color="auto"/>
                <w:right w:val="none" w:sz="0" w:space="0" w:color="auto"/>
              </w:divBdr>
            </w:div>
            <w:div w:id="219248486">
              <w:marLeft w:val="0"/>
              <w:marRight w:val="0"/>
              <w:marTop w:val="0"/>
              <w:marBottom w:val="0"/>
              <w:divBdr>
                <w:top w:val="none" w:sz="0" w:space="0" w:color="auto"/>
                <w:left w:val="none" w:sz="0" w:space="0" w:color="auto"/>
                <w:bottom w:val="none" w:sz="0" w:space="0" w:color="auto"/>
                <w:right w:val="none" w:sz="0" w:space="0" w:color="auto"/>
              </w:divBdr>
            </w:div>
            <w:div w:id="361905256">
              <w:marLeft w:val="0"/>
              <w:marRight w:val="0"/>
              <w:marTop w:val="0"/>
              <w:marBottom w:val="0"/>
              <w:divBdr>
                <w:top w:val="none" w:sz="0" w:space="0" w:color="auto"/>
                <w:left w:val="none" w:sz="0" w:space="0" w:color="auto"/>
                <w:bottom w:val="none" w:sz="0" w:space="0" w:color="auto"/>
                <w:right w:val="none" w:sz="0" w:space="0" w:color="auto"/>
              </w:divBdr>
            </w:div>
            <w:div w:id="450831841">
              <w:marLeft w:val="0"/>
              <w:marRight w:val="0"/>
              <w:marTop w:val="0"/>
              <w:marBottom w:val="0"/>
              <w:divBdr>
                <w:top w:val="none" w:sz="0" w:space="0" w:color="auto"/>
                <w:left w:val="none" w:sz="0" w:space="0" w:color="auto"/>
                <w:bottom w:val="none" w:sz="0" w:space="0" w:color="auto"/>
                <w:right w:val="none" w:sz="0" w:space="0" w:color="auto"/>
              </w:divBdr>
            </w:div>
            <w:div w:id="691221570">
              <w:marLeft w:val="0"/>
              <w:marRight w:val="0"/>
              <w:marTop w:val="0"/>
              <w:marBottom w:val="0"/>
              <w:divBdr>
                <w:top w:val="none" w:sz="0" w:space="0" w:color="auto"/>
                <w:left w:val="none" w:sz="0" w:space="0" w:color="auto"/>
                <w:bottom w:val="none" w:sz="0" w:space="0" w:color="auto"/>
                <w:right w:val="none" w:sz="0" w:space="0" w:color="auto"/>
              </w:divBdr>
            </w:div>
            <w:div w:id="768702495">
              <w:marLeft w:val="0"/>
              <w:marRight w:val="0"/>
              <w:marTop w:val="0"/>
              <w:marBottom w:val="0"/>
              <w:divBdr>
                <w:top w:val="none" w:sz="0" w:space="0" w:color="auto"/>
                <w:left w:val="none" w:sz="0" w:space="0" w:color="auto"/>
                <w:bottom w:val="none" w:sz="0" w:space="0" w:color="auto"/>
                <w:right w:val="none" w:sz="0" w:space="0" w:color="auto"/>
              </w:divBdr>
            </w:div>
            <w:div w:id="906496110">
              <w:marLeft w:val="0"/>
              <w:marRight w:val="0"/>
              <w:marTop w:val="0"/>
              <w:marBottom w:val="0"/>
              <w:divBdr>
                <w:top w:val="none" w:sz="0" w:space="0" w:color="auto"/>
                <w:left w:val="none" w:sz="0" w:space="0" w:color="auto"/>
                <w:bottom w:val="none" w:sz="0" w:space="0" w:color="auto"/>
                <w:right w:val="none" w:sz="0" w:space="0" w:color="auto"/>
              </w:divBdr>
            </w:div>
            <w:div w:id="1021974415">
              <w:marLeft w:val="0"/>
              <w:marRight w:val="0"/>
              <w:marTop w:val="0"/>
              <w:marBottom w:val="0"/>
              <w:divBdr>
                <w:top w:val="none" w:sz="0" w:space="0" w:color="auto"/>
                <w:left w:val="none" w:sz="0" w:space="0" w:color="auto"/>
                <w:bottom w:val="none" w:sz="0" w:space="0" w:color="auto"/>
                <w:right w:val="none" w:sz="0" w:space="0" w:color="auto"/>
              </w:divBdr>
            </w:div>
            <w:div w:id="1270159636">
              <w:marLeft w:val="0"/>
              <w:marRight w:val="0"/>
              <w:marTop w:val="0"/>
              <w:marBottom w:val="0"/>
              <w:divBdr>
                <w:top w:val="none" w:sz="0" w:space="0" w:color="auto"/>
                <w:left w:val="none" w:sz="0" w:space="0" w:color="auto"/>
                <w:bottom w:val="none" w:sz="0" w:space="0" w:color="auto"/>
                <w:right w:val="none" w:sz="0" w:space="0" w:color="auto"/>
              </w:divBdr>
            </w:div>
            <w:div w:id="1379088781">
              <w:marLeft w:val="0"/>
              <w:marRight w:val="0"/>
              <w:marTop w:val="0"/>
              <w:marBottom w:val="0"/>
              <w:divBdr>
                <w:top w:val="none" w:sz="0" w:space="0" w:color="auto"/>
                <w:left w:val="none" w:sz="0" w:space="0" w:color="auto"/>
                <w:bottom w:val="none" w:sz="0" w:space="0" w:color="auto"/>
                <w:right w:val="none" w:sz="0" w:space="0" w:color="auto"/>
              </w:divBdr>
            </w:div>
            <w:div w:id="1401714674">
              <w:marLeft w:val="0"/>
              <w:marRight w:val="0"/>
              <w:marTop w:val="0"/>
              <w:marBottom w:val="0"/>
              <w:divBdr>
                <w:top w:val="none" w:sz="0" w:space="0" w:color="auto"/>
                <w:left w:val="none" w:sz="0" w:space="0" w:color="auto"/>
                <w:bottom w:val="none" w:sz="0" w:space="0" w:color="auto"/>
                <w:right w:val="none" w:sz="0" w:space="0" w:color="auto"/>
              </w:divBdr>
            </w:div>
            <w:div w:id="1403916928">
              <w:marLeft w:val="0"/>
              <w:marRight w:val="0"/>
              <w:marTop w:val="0"/>
              <w:marBottom w:val="0"/>
              <w:divBdr>
                <w:top w:val="none" w:sz="0" w:space="0" w:color="auto"/>
                <w:left w:val="none" w:sz="0" w:space="0" w:color="auto"/>
                <w:bottom w:val="none" w:sz="0" w:space="0" w:color="auto"/>
                <w:right w:val="none" w:sz="0" w:space="0" w:color="auto"/>
              </w:divBdr>
            </w:div>
            <w:div w:id="1576285484">
              <w:marLeft w:val="0"/>
              <w:marRight w:val="0"/>
              <w:marTop w:val="0"/>
              <w:marBottom w:val="0"/>
              <w:divBdr>
                <w:top w:val="none" w:sz="0" w:space="0" w:color="auto"/>
                <w:left w:val="none" w:sz="0" w:space="0" w:color="auto"/>
                <w:bottom w:val="none" w:sz="0" w:space="0" w:color="auto"/>
                <w:right w:val="none" w:sz="0" w:space="0" w:color="auto"/>
              </w:divBdr>
            </w:div>
            <w:div w:id="1668243882">
              <w:marLeft w:val="0"/>
              <w:marRight w:val="0"/>
              <w:marTop w:val="0"/>
              <w:marBottom w:val="0"/>
              <w:divBdr>
                <w:top w:val="none" w:sz="0" w:space="0" w:color="auto"/>
                <w:left w:val="none" w:sz="0" w:space="0" w:color="auto"/>
                <w:bottom w:val="none" w:sz="0" w:space="0" w:color="auto"/>
                <w:right w:val="none" w:sz="0" w:space="0" w:color="auto"/>
              </w:divBdr>
            </w:div>
            <w:div w:id="1777602577">
              <w:marLeft w:val="0"/>
              <w:marRight w:val="0"/>
              <w:marTop w:val="0"/>
              <w:marBottom w:val="0"/>
              <w:divBdr>
                <w:top w:val="none" w:sz="0" w:space="0" w:color="auto"/>
                <w:left w:val="none" w:sz="0" w:space="0" w:color="auto"/>
                <w:bottom w:val="none" w:sz="0" w:space="0" w:color="auto"/>
                <w:right w:val="none" w:sz="0" w:space="0" w:color="auto"/>
              </w:divBdr>
            </w:div>
            <w:div w:id="1951207076">
              <w:marLeft w:val="0"/>
              <w:marRight w:val="0"/>
              <w:marTop w:val="0"/>
              <w:marBottom w:val="0"/>
              <w:divBdr>
                <w:top w:val="none" w:sz="0" w:space="0" w:color="auto"/>
                <w:left w:val="none" w:sz="0" w:space="0" w:color="auto"/>
                <w:bottom w:val="none" w:sz="0" w:space="0" w:color="auto"/>
                <w:right w:val="none" w:sz="0" w:space="0" w:color="auto"/>
              </w:divBdr>
            </w:div>
          </w:divsChild>
        </w:div>
        <w:div w:id="729501176">
          <w:marLeft w:val="0"/>
          <w:marRight w:val="0"/>
          <w:marTop w:val="0"/>
          <w:marBottom w:val="0"/>
          <w:divBdr>
            <w:top w:val="none" w:sz="0" w:space="0" w:color="auto"/>
            <w:left w:val="none" w:sz="0" w:space="0" w:color="auto"/>
            <w:bottom w:val="none" w:sz="0" w:space="0" w:color="auto"/>
            <w:right w:val="none" w:sz="0" w:space="0" w:color="auto"/>
          </w:divBdr>
        </w:div>
        <w:div w:id="731001640">
          <w:marLeft w:val="0"/>
          <w:marRight w:val="0"/>
          <w:marTop w:val="0"/>
          <w:marBottom w:val="0"/>
          <w:divBdr>
            <w:top w:val="none" w:sz="0" w:space="0" w:color="auto"/>
            <w:left w:val="none" w:sz="0" w:space="0" w:color="auto"/>
            <w:bottom w:val="none" w:sz="0" w:space="0" w:color="auto"/>
            <w:right w:val="none" w:sz="0" w:space="0" w:color="auto"/>
          </w:divBdr>
        </w:div>
        <w:div w:id="758261229">
          <w:marLeft w:val="0"/>
          <w:marRight w:val="0"/>
          <w:marTop w:val="0"/>
          <w:marBottom w:val="0"/>
          <w:divBdr>
            <w:top w:val="none" w:sz="0" w:space="0" w:color="auto"/>
            <w:left w:val="none" w:sz="0" w:space="0" w:color="auto"/>
            <w:bottom w:val="none" w:sz="0" w:space="0" w:color="auto"/>
            <w:right w:val="none" w:sz="0" w:space="0" w:color="auto"/>
          </w:divBdr>
        </w:div>
        <w:div w:id="846559068">
          <w:marLeft w:val="0"/>
          <w:marRight w:val="0"/>
          <w:marTop w:val="0"/>
          <w:marBottom w:val="0"/>
          <w:divBdr>
            <w:top w:val="none" w:sz="0" w:space="0" w:color="auto"/>
            <w:left w:val="none" w:sz="0" w:space="0" w:color="auto"/>
            <w:bottom w:val="none" w:sz="0" w:space="0" w:color="auto"/>
            <w:right w:val="none" w:sz="0" w:space="0" w:color="auto"/>
          </w:divBdr>
        </w:div>
        <w:div w:id="1077822987">
          <w:marLeft w:val="0"/>
          <w:marRight w:val="0"/>
          <w:marTop w:val="0"/>
          <w:marBottom w:val="0"/>
          <w:divBdr>
            <w:top w:val="none" w:sz="0" w:space="0" w:color="auto"/>
            <w:left w:val="none" w:sz="0" w:space="0" w:color="auto"/>
            <w:bottom w:val="none" w:sz="0" w:space="0" w:color="auto"/>
            <w:right w:val="none" w:sz="0" w:space="0" w:color="auto"/>
          </w:divBdr>
        </w:div>
        <w:div w:id="1077938912">
          <w:marLeft w:val="0"/>
          <w:marRight w:val="0"/>
          <w:marTop w:val="0"/>
          <w:marBottom w:val="0"/>
          <w:divBdr>
            <w:top w:val="none" w:sz="0" w:space="0" w:color="auto"/>
            <w:left w:val="none" w:sz="0" w:space="0" w:color="auto"/>
            <w:bottom w:val="none" w:sz="0" w:space="0" w:color="auto"/>
            <w:right w:val="none" w:sz="0" w:space="0" w:color="auto"/>
          </w:divBdr>
        </w:div>
        <w:div w:id="1824850987">
          <w:marLeft w:val="0"/>
          <w:marRight w:val="0"/>
          <w:marTop w:val="0"/>
          <w:marBottom w:val="0"/>
          <w:divBdr>
            <w:top w:val="none" w:sz="0" w:space="0" w:color="auto"/>
            <w:left w:val="none" w:sz="0" w:space="0" w:color="auto"/>
            <w:bottom w:val="none" w:sz="0" w:space="0" w:color="auto"/>
            <w:right w:val="none" w:sz="0" w:space="0" w:color="auto"/>
          </w:divBdr>
        </w:div>
        <w:div w:id="2023626698">
          <w:marLeft w:val="0"/>
          <w:marRight w:val="0"/>
          <w:marTop w:val="0"/>
          <w:marBottom w:val="0"/>
          <w:divBdr>
            <w:top w:val="none" w:sz="0" w:space="0" w:color="auto"/>
            <w:left w:val="none" w:sz="0" w:space="0" w:color="auto"/>
            <w:bottom w:val="none" w:sz="0" w:space="0" w:color="auto"/>
            <w:right w:val="none" w:sz="0" w:space="0" w:color="auto"/>
          </w:divBdr>
        </w:div>
      </w:divsChild>
    </w:div>
    <w:div w:id="927082888">
      <w:bodyDiv w:val="1"/>
      <w:marLeft w:val="0"/>
      <w:marRight w:val="0"/>
      <w:marTop w:val="0"/>
      <w:marBottom w:val="0"/>
      <w:divBdr>
        <w:top w:val="none" w:sz="0" w:space="0" w:color="auto"/>
        <w:left w:val="none" w:sz="0" w:space="0" w:color="auto"/>
        <w:bottom w:val="none" w:sz="0" w:space="0" w:color="auto"/>
        <w:right w:val="none" w:sz="0" w:space="0" w:color="auto"/>
      </w:divBdr>
      <w:divsChild>
        <w:div w:id="83109164">
          <w:marLeft w:val="0"/>
          <w:marRight w:val="0"/>
          <w:marTop w:val="0"/>
          <w:marBottom w:val="0"/>
          <w:divBdr>
            <w:top w:val="none" w:sz="0" w:space="0" w:color="auto"/>
            <w:left w:val="none" w:sz="0" w:space="0" w:color="auto"/>
            <w:bottom w:val="none" w:sz="0" w:space="0" w:color="auto"/>
            <w:right w:val="none" w:sz="0" w:space="0" w:color="auto"/>
          </w:divBdr>
        </w:div>
        <w:div w:id="213079326">
          <w:marLeft w:val="0"/>
          <w:marRight w:val="0"/>
          <w:marTop w:val="0"/>
          <w:marBottom w:val="0"/>
          <w:divBdr>
            <w:top w:val="none" w:sz="0" w:space="0" w:color="auto"/>
            <w:left w:val="none" w:sz="0" w:space="0" w:color="auto"/>
            <w:bottom w:val="none" w:sz="0" w:space="0" w:color="auto"/>
            <w:right w:val="none" w:sz="0" w:space="0" w:color="auto"/>
          </w:divBdr>
        </w:div>
        <w:div w:id="233510506">
          <w:marLeft w:val="0"/>
          <w:marRight w:val="0"/>
          <w:marTop w:val="0"/>
          <w:marBottom w:val="0"/>
          <w:divBdr>
            <w:top w:val="none" w:sz="0" w:space="0" w:color="auto"/>
            <w:left w:val="none" w:sz="0" w:space="0" w:color="auto"/>
            <w:bottom w:val="none" w:sz="0" w:space="0" w:color="auto"/>
            <w:right w:val="none" w:sz="0" w:space="0" w:color="auto"/>
          </w:divBdr>
        </w:div>
        <w:div w:id="333605782">
          <w:marLeft w:val="0"/>
          <w:marRight w:val="0"/>
          <w:marTop w:val="0"/>
          <w:marBottom w:val="0"/>
          <w:divBdr>
            <w:top w:val="none" w:sz="0" w:space="0" w:color="auto"/>
            <w:left w:val="none" w:sz="0" w:space="0" w:color="auto"/>
            <w:bottom w:val="none" w:sz="0" w:space="0" w:color="auto"/>
            <w:right w:val="none" w:sz="0" w:space="0" w:color="auto"/>
          </w:divBdr>
        </w:div>
        <w:div w:id="512720569">
          <w:marLeft w:val="0"/>
          <w:marRight w:val="0"/>
          <w:marTop w:val="0"/>
          <w:marBottom w:val="0"/>
          <w:divBdr>
            <w:top w:val="none" w:sz="0" w:space="0" w:color="auto"/>
            <w:left w:val="none" w:sz="0" w:space="0" w:color="auto"/>
            <w:bottom w:val="none" w:sz="0" w:space="0" w:color="auto"/>
            <w:right w:val="none" w:sz="0" w:space="0" w:color="auto"/>
          </w:divBdr>
        </w:div>
        <w:div w:id="533273306">
          <w:marLeft w:val="0"/>
          <w:marRight w:val="0"/>
          <w:marTop w:val="0"/>
          <w:marBottom w:val="0"/>
          <w:divBdr>
            <w:top w:val="none" w:sz="0" w:space="0" w:color="auto"/>
            <w:left w:val="none" w:sz="0" w:space="0" w:color="auto"/>
            <w:bottom w:val="none" w:sz="0" w:space="0" w:color="auto"/>
            <w:right w:val="none" w:sz="0" w:space="0" w:color="auto"/>
          </w:divBdr>
        </w:div>
        <w:div w:id="649401979">
          <w:marLeft w:val="0"/>
          <w:marRight w:val="0"/>
          <w:marTop w:val="0"/>
          <w:marBottom w:val="0"/>
          <w:divBdr>
            <w:top w:val="none" w:sz="0" w:space="0" w:color="auto"/>
            <w:left w:val="none" w:sz="0" w:space="0" w:color="auto"/>
            <w:bottom w:val="none" w:sz="0" w:space="0" w:color="auto"/>
            <w:right w:val="none" w:sz="0" w:space="0" w:color="auto"/>
          </w:divBdr>
        </w:div>
        <w:div w:id="794637763">
          <w:marLeft w:val="0"/>
          <w:marRight w:val="0"/>
          <w:marTop w:val="0"/>
          <w:marBottom w:val="0"/>
          <w:divBdr>
            <w:top w:val="none" w:sz="0" w:space="0" w:color="auto"/>
            <w:left w:val="none" w:sz="0" w:space="0" w:color="auto"/>
            <w:bottom w:val="none" w:sz="0" w:space="0" w:color="auto"/>
            <w:right w:val="none" w:sz="0" w:space="0" w:color="auto"/>
          </w:divBdr>
        </w:div>
        <w:div w:id="858005818">
          <w:marLeft w:val="0"/>
          <w:marRight w:val="0"/>
          <w:marTop w:val="0"/>
          <w:marBottom w:val="0"/>
          <w:divBdr>
            <w:top w:val="none" w:sz="0" w:space="0" w:color="auto"/>
            <w:left w:val="none" w:sz="0" w:space="0" w:color="auto"/>
            <w:bottom w:val="none" w:sz="0" w:space="0" w:color="auto"/>
            <w:right w:val="none" w:sz="0" w:space="0" w:color="auto"/>
          </w:divBdr>
        </w:div>
        <w:div w:id="886769331">
          <w:marLeft w:val="0"/>
          <w:marRight w:val="0"/>
          <w:marTop w:val="0"/>
          <w:marBottom w:val="0"/>
          <w:divBdr>
            <w:top w:val="none" w:sz="0" w:space="0" w:color="auto"/>
            <w:left w:val="none" w:sz="0" w:space="0" w:color="auto"/>
            <w:bottom w:val="none" w:sz="0" w:space="0" w:color="auto"/>
            <w:right w:val="none" w:sz="0" w:space="0" w:color="auto"/>
          </w:divBdr>
        </w:div>
        <w:div w:id="925650084">
          <w:marLeft w:val="0"/>
          <w:marRight w:val="0"/>
          <w:marTop w:val="0"/>
          <w:marBottom w:val="0"/>
          <w:divBdr>
            <w:top w:val="none" w:sz="0" w:space="0" w:color="auto"/>
            <w:left w:val="none" w:sz="0" w:space="0" w:color="auto"/>
            <w:bottom w:val="none" w:sz="0" w:space="0" w:color="auto"/>
            <w:right w:val="none" w:sz="0" w:space="0" w:color="auto"/>
          </w:divBdr>
        </w:div>
        <w:div w:id="1092899022">
          <w:marLeft w:val="0"/>
          <w:marRight w:val="0"/>
          <w:marTop w:val="0"/>
          <w:marBottom w:val="0"/>
          <w:divBdr>
            <w:top w:val="none" w:sz="0" w:space="0" w:color="auto"/>
            <w:left w:val="none" w:sz="0" w:space="0" w:color="auto"/>
            <w:bottom w:val="none" w:sz="0" w:space="0" w:color="auto"/>
            <w:right w:val="none" w:sz="0" w:space="0" w:color="auto"/>
          </w:divBdr>
        </w:div>
        <w:div w:id="1338653940">
          <w:marLeft w:val="0"/>
          <w:marRight w:val="0"/>
          <w:marTop w:val="0"/>
          <w:marBottom w:val="0"/>
          <w:divBdr>
            <w:top w:val="none" w:sz="0" w:space="0" w:color="auto"/>
            <w:left w:val="none" w:sz="0" w:space="0" w:color="auto"/>
            <w:bottom w:val="none" w:sz="0" w:space="0" w:color="auto"/>
            <w:right w:val="none" w:sz="0" w:space="0" w:color="auto"/>
          </w:divBdr>
        </w:div>
        <w:div w:id="1480611043">
          <w:marLeft w:val="0"/>
          <w:marRight w:val="0"/>
          <w:marTop w:val="0"/>
          <w:marBottom w:val="0"/>
          <w:divBdr>
            <w:top w:val="none" w:sz="0" w:space="0" w:color="auto"/>
            <w:left w:val="none" w:sz="0" w:space="0" w:color="auto"/>
            <w:bottom w:val="none" w:sz="0" w:space="0" w:color="auto"/>
            <w:right w:val="none" w:sz="0" w:space="0" w:color="auto"/>
          </w:divBdr>
        </w:div>
        <w:div w:id="1767268918">
          <w:marLeft w:val="0"/>
          <w:marRight w:val="0"/>
          <w:marTop w:val="0"/>
          <w:marBottom w:val="0"/>
          <w:divBdr>
            <w:top w:val="none" w:sz="0" w:space="0" w:color="auto"/>
            <w:left w:val="none" w:sz="0" w:space="0" w:color="auto"/>
            <w:bottom w:val="none" w:sz="0" w:space="0" w:color="auto"/>
            <w:right w:val="none" w:sz="0" w:space="0" w:color="auto"/>
          </w:divBdr>
        </w:div>
        <w:div w:id="1801877603">
          <w:marLeft w:val="0"/>
          <w:marRight w:val="0"/>
          <w:marTop w:val="0"/>
          <w:marBottom w:val="0"/>
          <w:divBdr>
            <w:top w:val="none" w:sz="0" w:space="0" w:color="auto"/>
            <w:left w:val="none" w:sz="0" w:space="0" w:color="auto"/>
            <w:bottom w:val="none" w:sz="0" w:space="0" w:color="auto"/>
            <w:right w:val="none" w:sz="0" w:space="0" w:color="auto"/>
          </w:divBdr>
        </w:div>
        <w:div w:id="1818256834">
          <w:marLeft w:val="0"/>
          <w:marRight w:val="0"/>
          <w:marTop w:val="0"/>
          <w:marBottom w:val="0"/>
          <w:divBdr>
            <w:top w:val="none" w:sz="0" w:space="0" w:color="auto"/>
            <w:left w:val="none" w:sz="0" w:space="0" w:color="auto"/>
            <w:bottom w:val="none" w:sz="0" w:space="0" w:color="auto"/>
            <w:right w:val="none" w:sz="0" w:space="0" w:color="auto"/>
          </w:divBdr>
        </w:div>
        <w:div w:id="1899513415">
          <w:marLeft w:val="0"/>
          <w:marRight w:val="0"/>
          <w:marTop w:val="0"/>
          <w:marBottom w:val="0"/>
          <w:divBdr>
            <w:top w:val="none" w:sz="0" w:space="0" w:color="auto"/>
            <w:left w:val="none" w:sz="0" w:space="0" w:color="auto"/>
            <w:bottom w:val="none" w:sz="0" w:space="0" w:color="auto"/>
            <w:right w:val="none" w:sz="0" w:space="0" w:color="auto"/>
          </w:divBdr>
          <w:divsChild>
            <w:div w:id="30737444">
              <w:marLeft w:val="0"/>
              <w:marRight w:val="0"/>
              <w:marTop w:val="0"/>
              <w:marBottom w:val="0"/>
              <w:divBdr>
                <w:top w:val="none" w:sz="0" w:space="0" w:color="auto"/>
                <w:left w:val="none" w:sz="0" w:space="0" w:color="auto"/>
                <w:bottom w:val="none" w:sz="0" w:space="0" w:color="auto"/>
                <w:right w:val="none" w:sz="0" w:space="0" w:color="auto"/>
              </w:divBdr>
            </w:div>
            <w:div w:id="60447362">
              <w:marLeft w:val="0"/>
              <w:marRight w:val="0"/>
              <w:marTop w:val="0"/>
              <w:marBottom w:val="0"/>
              <w:divBdr>
                <w:top w:val="none" w:sz="0" w:space="0" w:color="auto"/>
                <w:left w:val="none" w:sz="0" w:space="0" w:color="auto"/>
                <w:bottom w:val="none" w:sz="0" w:space="0" w:color="auto"/>
                <w:right w:val="none" w:sz="0" w:space="0" w:color="auto"/>
              </w:divBdr>
            </w:div>
            <w:div w:id="224536691">
              <w:marLeft w:val="0"/>
              <w:marRight w:val="0"/>
              <w:marTop w:val="0"/>
              <w:marBottom w:val="0"/>
              <w:divBdr>
                <w:top w:val="none" w:sz="0" w:space="0" w:color="auto"/>
                <w:left w:val="none" w:sz="0" w:space="0" w:color="auto"/>
                <w:bottom w:val="none" w:sz="0" w:space="0" w:color="auto"/>
                <w:right w:val="none" w:sz="0" w:space="0" w:color="auto"/>
              </w:divBdr>
            </w:div>
            <w:div w:id="263193124">
              <w:marLeft w:val="0"/>
              <w:marRight w:val="0"/>
              <w:marTop w:val="0"/>
              <w:marBottom w:val="0"/>
              <w:divBdr>
                <w:top w:val="none" w:sz="0" w:space="0" w:color="auto"/>
                <w:left w:val="none" w:sz="0" w:space="0" w:color="auto"/>
                <w:bottom w:val="none" w:sz="0" w:space="0" w:color="auto"/>
                <w:right w:val="none" w:sz="0" w:space="0" w:color="auto"/>
              </w:divBdr>
            </w:div>
            <w:div w:id="272591543">
              <w:marLeft w:val="0"/>
              <w:marRight w:val="0"/>
              <w:marTop w:val="0"/>
              <w:marBottom w:val="0"/>
              <w:divBdr>
                <w:top w:val="none" w:sz="0" w:space="0" w:color="auto"/>
                <w:left w:val="none" w:sz="0" w:space="0" w:color="auto"/>
                <w:bottom w:val="none" w:sz="0" w:space="0" w:color="auto"/>
                <w:right w:val="none" w:sz="0" w:space="0" w:color="auto"/>
              </w:divBdr>
            </w:div>
            <w:div w:id="452479189">
              <w:marLeft w:val="0"/>
              <w:marRight w:val="0"/>
              <w:marTop w:val="0"/>
              <w:marBottom w:val="0"/>
              <w:divBdr>
                <w:top w:val="none" w:sz="0" w:space="0" w:color="auto"/>
                <w:left w:val="none" w:sz="0" w:space="0" w:color="auto"/>
                <w:bottom w:val="none" w:sz="0" w:space="0" w:color="auto"/>
                <w:right w:val="none" w:sz="0" w:space="0" w:color="auto"/>
              </w:divBdr>
            </w:div>
            <w:div w:id="516770281">
              <w:marLeft w:val="0"/>
              <w:marRight w:val="0"/>
              <w:marTop w:val="0"/>
              <w:marBottom w:val="0"/>
              <w:divBdr>
                <w:top w:val="none" w:sz="0" w:space="0" w:color="auto"/>
                <w:left w:val="none" w:sz="0" w:space="0" w:color="auto"/>
                <w:bottom w:val="none" w:sz="0" w:space="0" w:color="auto"/>
                <w:right w:val="none" w:sz="0" w:space="0" w:color="auto"/>
              </w:divBdr>
            </w:div>
            <w:div w:id="538664179">
              <w:marLeft w:val="0"/>
              <w:marRight w:val="0"/>
              <w:marTop w:val="0"/>
              <w:marBottom w:val="0"/>
              <w:divBdr>
                <w:top w:val="none" w:sz="0" w:space="0" w:color="auto"/>
                <w:left w:val="none" w:sz="0" w:space="0" w:color="auto"/>
                <w:bottom w:val="none" w:sz="0" w:space="0" w:color="auto"/>
                <w:right w:val="none" w:sz="0" w:space="0" w:color="auto"/>
              </w:divBdr>
            </w:div>
            <w:div w:id="816145900">
              <w:marLeft w:val="0"/>
              <w:marRight w:val="0"/>
              <w:marTop w:val="0"/>
              <w:marBottom w:val="0"/>
              <w:divBdr>
                <w:top w:val="none" w:sz="0" w:space="0" w:color="auto"/>
                <w:left w:val="none" w:sz="0" w:space="0" w:color="auto"/>
                <w:bottom w:val="none" w:sz="0" w:space="0" w:color="auto"/>
                <w:right w:val="none" w:sz="0" w:space="0" w:color="auto"/>
              </w:divBdr>
            </w:div>
            <w:div w:id="877812306">
              <w:marLeft w:val="0"/>
              <w:marRight w:val="0"/>
              <w:marTop w:val="0"/>
              <w:marBottom w:val="0"/>
              <w:divBdr>
                <w:top w:val="none" w:sz="0" w:space="0" w:color="auto"/>
                <w:left w:val="none" w:sz="0" w:space="0" w:color="auto"/>
                <w:bottom w:val="none" w:sz="0" w:space="0" w:color="auto"/>
                <w:right w:val="none" w:sz="0" w:space="0" w:color="auto"/>
              </w:divBdr>
            </w:div>
            <w:div w:id="965235657">
              <w:marLeft w:val="0"/>
              <w:marRight w:val="0"/>
              <w:marTop w:val="0"/>
              <w:marBottom w:val="0"/>
              <w:divBdr>
                <w:top w:val="none" w:sz="0" w:space="0" w:color="auto"/>
                <w:left w:val="none" w:sz="0" w:space="0" w:color="auto"/>
                <w:bottom w:val="none" w:sz="0" w:space="0" w:color="auto"/>
                <w:right w:val="none" w:sz="0" w:space="0" w:color="auto"/>
              </w:divBdr>
            </w:div>
            <w:div w:id="969432700">
              <w:marLeft w:val="0"/>
              <w:marRight w:val="0"/>
              <w:marTop w:val="0"/>
              <w:marBottom w:val="0"/>
              <w:divBdr>
                <w:top w:val="none" w:sz="0" w:space="0" w:color="auto"/>
                <w:left w:val="none" w:sz="0" w:space="0" w:color="auto"/>
                <w:bottom w:val="none" w:sz="0" w:space="0" w:color="auto"/>
                <w:right w:val="none" w:sz="0" w:space="0" w:color="auto"/>
              </w:divBdr>
            </w:div>
            <w:div w:id="1066881442">
              <w:marLeft w:val="0"/>
              <w:marRight w:val="0"/>
              <w:marTop w:val="0"/>
              <w:marBottom w:val="0"/>
              <w:divBdr>
                <w:top w:val="none" w:sz="0" w:space="0" w:color="auto"/>
                <w:left w:val="none" w:sz="0" w:space="0" w:color="auto"/>
                <w:bottom w:val="none" w:sz="0" w:space="0" w:color="auto"/>
                <w:right w:val="none" w:sz="0" w:space="0" w:color="auto"/>
              </w:divBdr>
            </w:div>
            <w:div w:id="1128082193">
              <w:marLeft w:val="0"/>
              <w:marRight w:val="0"/>
              <w:marTop w:val="0"/>
              <w:marBottom w:val="0"/>
              <w:divBdr>
                <w:top w:val="none" w:sz="0" w:space="0" w:color="auto"/>
                <w:left w:val="none" w:sz="0" w:space="0" w:color="auto"/>
                <w:bottom w:val="none" w:sz="0" w:space="0" w:color="auto"/>
                <w:right w:val="none" w:sz="0" w:space="0" w:color="auto"/>
              </w:divBdr>
            </w:div>
            <w:div w:id="1273322023">
              <w:marLeft w:val="0"/>
              <w:marRight w:val="0"/>
              <w:marTop w:val="0"/>
              <w:marBottom w:val="0"/>
              <w:divBdr>
                <w:top w:val="none" w:sz="0" w:space="0" w:color="auto"/>
                <w:left w:val="none" w:sz="0" w:space="0" w:color="auto"/>
                <w:bottom w:val="none" w:sz="0" w:space="0" w:color="auto"/>
                <w:right w:val="none" w:sz="0" w:space="0" w:color="auto"/>
              </w:divBdr>
            </w:div>
            <w:div w:id="1485127498">
              <w:marLeft w:val="0"/>
              <w:marRight w:val="0"/>
              <w:marTop w:val="0"/>
              <w:marBottom w:val="0"/>
              <w:divBdr>
                <w:top w:val="none" w:sz="0" w:space="0" w:color="auto"/>
                <w:left w:val="none" w:sz="0" w:space="0" w:color="auto"/>
                <w:bottom w:val="none" w:sz="0" w:space="0" w:color="auto"/>
                <w:right w:val="none" w:sz="0" w:space="0" w:color="auto"/>
              </w:divBdr>
            </w:div>
            <w:div w:id="1494297301">
              <w:marLeft w:val="0"/>
              <w:marRight w:val="0"/>
              <w:marTop w:val="0"/>
              <w:marBottom w:val="0"/>
              <w:divBdr>
                <w:top w:val="none" w:sz="0" w:space="0" w:color="auto"/>
                <w:left w:val="none" w:sz="0" w:space="0" w:color="auto"/>
                <w:bottom w:val="none" w:sz="0" w:space="0" w:color="auto"/>
                <w:right w:val="none" w:sz="0" w:space="0" w:color="auto"/>
              </w:divBdr>
            </w:div>
            <w:div w:id="1569653668">
              <w:marLeft w:val="0"/>
              <w:marRight w:val="0"/>
              <w:marTop w:val="0"/>
              <w:marBottom w:val="0"/>
              <w:divBdr>
                <w:top w:val="none" w:sz="0" w:space="0" w:color="auto"/>
                <w:left w:val="none" w:sz="0" w:space="0" w:color="auto"/>
                <w:bottom w:val="none" w:sz="0" w:space="0" w:color="auto"/>
                <w:right w:val="none" w:sz="0" w:space="0" w:color="auto"/>
              </w:divBdr>
            </w:div>
            <w:div w:id="1667855842">
              <w:marLeft w:val="0"/>
              <w:marRight w:val="0"/>
              <w:marTop w:val="0"/>
              <w:marBottom w:val="0"/>
              <w:divBdr>
                <w:top w:val="none" w:sz="0" w:space="0" w:color="auto"/>
                <w:left w:val="none" w:sz="0" w:space="0" w:color="auto"/>
                <w:bottom w:val="none" w:sz="0" w:space="0" w:color="auto"/>
                <w:right w:val="none" w:sz="0" w:space="0" w:color="auto"/>
              </w:divBdr>
            </w:div>
            <w:div w:id="2007971649">
              <w:marLeft w:val="0"/>
              <w:marRight w:val="0"/>
              <w:marTop w:val="0"/>
              <w:marBottom w:val="0"/>
              <w:divBdr>
                <w:top w:val="none" w:sz="0" w:space="0" w:color="auto"/>
                <w:left w:val="none" w:sz="0" w:space="0" w:color="auto"/>
                <w:bottom w:val="none" w:sz="0" w:space="0" w:color="auto"/>
                <w:right w:val="none" w:sz="0" w:space="0" w:color="auto"/>
              </w:divBdr>
            </w:div>
          </w:divsChild>
        </w:div>
        <w:div w:id="1971475234">
          <w:marLeft w:val="0"/>
          <w:marRight w:val="0"/>
          <w:marTop w:val="0"/>
          <w:marBottom w:val="0"/>
          <w:divBdr>
            <w:top w:val="none" w:sz="0" w:space="0" w:color="auto"/>
            <w:left w:val="none" w:sz="0" w:space="0" w:color="auto"/>
            <w:bottom w:val="none" w:sz="0" w:space="0" w:color="auto"/>
            <w:right w:val="none" w:sz="0" w:space="0" w:color="auto"/>
          </w:divBdr>
        </w:div>
        <w:div w:id="1978756242">
          <w:marLeft w:val="0"/>
          <w:marRight w:val="0"/>
          <w:marTop w:val="0"/>
          <w:marBottom w:val="0"/>
          <w:divBdr>
            <w:top w:val="none" w:sz="0" w:space="0" w:color="auto"/>
            <w:left w:val="none" w:sz="0" w:space="0" w:color="auto"/>
            <w:bottom w:val="none" w:sz="0" w:space="0" w:color="auto"/>
            <w:right w:val="none" w:sz="0" w:space="0" w:color="auto"/>
          </w:divBdr>
        </w:div>
        <w:div w:id="2021619467">
          <w:marLeft w:val="0"/>
          <w:marRight w:val="0"/>
          <w:marTop w:val="0"/>
          <w:marBottom w:val="0"/>
          <w:divBdr>
            <w:top w:val="none" w:sz="0" w:space="0" w:color="auto"/>
            <w:left w:val="none" w:sz="0" w:space="0" w:color="auto"/>
            <w:bottom w:val="none" w:sz="0" w:space="0" w:color="auto"/>
            <w:right w:val="none" w:sz="0" w:space="0" w:color="auto"/>
          </w:divBdr>
        </w:div>
        <w:div w:id="2057073797">
          <w:marLeft w:val="0"/>
          <w:marRight w:val="0"/>
          <w:marTop w:val="0"/>
          <w:marBottom w:val="0"/>
          <w:divBdr>
            <w:top w:val="none" w:sz="0" w:space="0" w:color="auto"/>
            <w:left w:val="none" w:sz="0" w:space="0" w:color="auto"/>
            <w:bottom w:val="none" w:sz="0" w:space="0" w:color="auto"/>
            <w:right w:val="none" w:sz="0" w:space="0" w:color="auto"/>
          </w:divBdr>
        </w:div>
        <w:div w:id="2061783294">
          <w:marLeft w:val="0"/>
          <w:marRight w:val="0"/>
          <w:marTop w:val="0"/>
          <w:marBottom w:val="0"/>
          <w:divBdr>
            <w:top w:val="none" w:sz="0" w:space="0" w:color="auto"/>
            <w:left w:val="none" w:sz="0" w:space="0" w:color="auto"/>
            <w:bottom w:val="none" w:sz="0" w:space="0" w:color="auto"/>
            <w:right w:val="none" w:sz="0" w:space="0" w:color="auto"/>
          </w:divBdr>
        </w:div>
      </w:divsChild>
    </w:div>
    <w:div w:id="1188788612">
      <w:bodyDiv w:val="1"/>
      <w:marLeft w:val="0"/>
      <w:marRight w:val="0"/>
      <w:marTop w:val="0"/>
      <w:marBottom w:val="0"/>
      <w:divBdr>
        <w:top w:val="none" w:sz="0" w:space="0" w:color="auto"/>
        <w:left w:val="none" w:sz="0" w:space="0" w:color="auto"/>
        <w:bottom w:val="none" w:sz="0" w:space="0" w:color="auto"/>
        <w:right w:val="none" w:sz="0" w:space="0" w:color="auto"/>
      </w:divBdr>
      <w:divsChild>
        <w:div w:id="247543451">
          <w:marLeft w:val="0"/>
          <w:marRight w:val="0"/>
          <w:marTop w:val="0"/>
          <w:marBottom w:val="0"/>
          <w:divBdr>
            <w:top w:val="none" w:sz="0" w:space="0" w:color="auto"/>
            <w:left w:val="none" w:sz="0" w:space="0" w:color="auto"/>
            <w:bottom w:val="none" w:sz="0" w:space="0" w:color="auto"/>
            <w:right w:val="none" w:sz="0" w:space="0" w:color="auto"/>
          </w:divBdr>
        </w:div>
        <w:div w:id="254678781">
          <w:marLeft w:val="0"/>
          <w:marRight w:val="0"/>
          <w:marTop w:val="0"/>
          <w:marBottom w:val="0"/>
          <w:divBdr>
            <w:top w:val="none" w:sz="0" w:space="0" w:color="auto"/>
            <w:left w:val="none" w:sz="0" w:space="0" w:color="auto"/>
            <w:bottom w:val="none" w:sz="0" w:space="0" w:color="auto"/>
            <w:right w:val="none" w:sz="0" w:space="0" w:color="auto"/>
          </w:divBdr>
        </w:div>
        <w:div w:id="604846827">
          <w:marLeft w:val="0"/>
          <w:marRight w:val="0"/>
          <w:marTop w:val="0"/>
          <w:marBottom w:val="0"/>
          <w:divBdr>
            <w:top w:val="none" w:sz="0" w:space="0" w:color="auto"/>
            <w:left w:val="none" w:sz="0" w:space="0" w:color="auto"/>
            <w:bottom w:val="none" w:sz="0" w:space="0" w:color="auto"/>
            <w:right w:val="none" w:sz="0" w:space="0" w:color="auto"/>
          </w:divBdr>
        </w:div>
        <w:div w:id="1114902453">
          <w:marLeft w:val="0"/>
          <w:marRight w:val="0"/>
          <w:marTop w:val="0"/>
          <w:marBottom w:val="0"/>
          <w:divBdr>
            <w:top w:val="none" w:sz="0" w:space="0" w:color="auto"/>
            <w:left w:val="none" w:sz="0" w:space="0" w:color="auto"/>
            <w:bottom w:val="none" w:sz="0" w:space="0" w:color="auto"/>
            <w:right w:val="none" w:sz="0" w:space="0" w:color="auto"/>
          </w:divBdr>
        </w:div>
        <w:div w:id="1312439257">
          <w:marLeft w:val="0"/>
          <w:marRight w:val="0"/>
          <w:marTop w:val="0"/>
          <w:marBottom w:val="0"/>
          <w:divBdr>
            <w:top w:val="none" w:sz="0" w:space="0" w:color="auto"/>
            <w:left w:val="none" w:sz="0" w:space="0" w:color="auto"/>
            <w:bottom w:val="none" w:sz="0" w:space="0" w:color="auto"/>
            <w:right w:val="none" w:sz="0" w:space="0" w:color="auto"/>
          </w:divBdr>
        </w:div>
        <w:div w:id="1586261155">
          <w:marLeft w:val="0"/>
          <w:marRight w:val="0"/>
          <w:marTop w:val="0"/>
          <w:marBottom w:val="0"/>
          <w:divBdr>
            <w:top w:val="none" w:sz="0" w:space="0" w:color="auto"/>
            <w:left w:val="none" w:sz="0" w:space="0" w:color="auto"/>
            <w:bottom w:val="none" w:sz="0" w:space="0" w:color="auto"/>
            <w:right w:val="none" w:sz="0" w:space="0" w:color="auto"/>
          </w:divBdr>
        </w:div>
        <w:div w:id="1670912080">
          <w:marLeft w:val="0"/>
          <w:marRight w:val="0"/>
          <w:marTop w:val="0"/>
          <w:marBottom w:val="0"/>
          <w:divBdr>
            <w:top w:val="none" w:sz="0" w:space="0" w:color="auto"/>
            <w:left w:val="none" w:sz="0" w:space="0" w:color="auto"/>
            <w:bottom w:val="none" w:sz="0" w:space="0" w:color="auto"/>
            <w:right w:val="none" w:sz="0" w:space="0" w:color="auto"/>
          </w:divBdr>
        </w:div>
        <w:div w:id="1954634993">
          <w:marLeft w:val="0"/>
          <w:marRight w:val="0"/>
          <w:marTop w:val="0"/>
          <w:marBottom w:val="0"/>
          <w:divBdr>
            <w:top w:val="none" w:sz="0" w:space="0" w:color="auto"/>
            <w:left w:val="none" w:sz="0" w:space="0" w:color="auto"/>
            <w:bottom w:val="none" w:sz="0" w:space="0" w:color="auto"/>
            <w:right w:val="none" w:sz="0" w:space="0" w:color="auto"/>
          </w:divBdr>
        </w:div>
      </w:divsChild>
    </w:div>
    <w:div w:id="1368333797">
      <w:bodyDiv w:val="1"/>
      <w:marLeft w:val="0"/>
      <w:marRight w:val="0"/>
      <w:marTop w:val="0"/>
      <w:marBottom w:val="0"/>
      <w:divBdr>
        <w:top w:val="none" w:sz="0" w:space="0" w:color="auto"/>
        <w:left w:val="none" w:sz="0" w:space="0" w:color="auto"/>
        <w:bottom w:val="none" w:sz="0" w:space="0" w:color="auto"/>
        <w:right w:val="none" w:sz="0" w:space="0" w:color="auto"/>
      </w:divBdr>
      <w:divsChild>
        <w:div w:id="183906600">
          <w:marLeft w:val="0"/>
          <w:marRight w:val="0"/>
          <w:marTop w:val="0"/>
          <w:marBottom w:val="0"/>
          <w:divBdr>
            <w:top w:val="none" w:sz="0" w:space="0" w:color="auto"/>
            <w:left w:val="none" w:sz="0" w:space="0" w:color="auto"/>
            <w:bottom w:val="none" w:sz="0" w:space="0" w:color="auto"/>
            <w:right w:val="none" w:sz="0" w:space="0" w:color="auto"/>
          </w:divBdr>
        </w:div>
        <w:div w:id="1240823440">
          <w:marLeft w:val="0"/>
          <w:marRight w:val="0"/>
          <w:marTop w:val="0"/>
          <w:marBottom w:val="0"/>
          <w:divBdr>
            <w:top w:val="none" w:sz="0" w:space="0" w:color="auto"/>
            <w:left w:val="none" w:sz="0" w:space="0" w:color="auto"/>
            <w:bottom w:val="none" w:sz="0" w:space="0" w:color="auto"/>
            <w:right w:val="none" w:sz="0" w:space="0" w:color="auto"/>
          </w:divBdr>
          <w:divsChild>
            <w:div w:id="1111512375">
              <w:marLeft w:val="-75"/>
              <w:marRight w:val="0"/>
              <w:marTop w:val="30"/>
              <w:marBottom w:val="30"/>
              <w:divBdr>
                <w:top w:val="none" w:sz="0" w:space="0" w:color="auto"/>
                <w:left w:val="none" w:sz="0" w:space="0" w:color="auto"/>
                <w:bottom w:val="none" w:sz="0" w:space="0" w:color="auto"/>
                <w:right w:val="none" w:sz="0" w:space="0" w:color="auto"/>
              </w:divBdr>
              <w:divsChild>
                <w:div w:id="3671392">
                  <w:marLeft w:val="0"/>
                  <w:marRight w:val="0"/>
                  <w:marTop w:val="0"/>
                  <w:marBottom w:val="0"/>
                  <w:divBdr>
                    <w:top w:val="none" w:sz="0" w:space="0" w:color="auto"/>
                    <w:left w:val="none" w:sz="0" w:space="0" w:color="auto"/>
                    <w:bottom w:val="none" w:sz="0" w:space="0" w:color="auto"/>
                    <w:right w:val="none" w:sz="0" w:space="0" w:color="auto"/>
                  </w:divBdr>
                  <w:divsChild>
                    <w:div w:id="1228418565">
                      <w:marLeft w:val="0"/>
                      <w:marRight w:val="0"/>
                      <w:marTop w:val="0"/>
                      <w:marBottom w:val="0"/>
                      <w:divBdr>
                        <w:top w:val="none" w:sz="0" w:space="0" w:color="auto"/>
                        <w:left w:val="none" w:sz="0" w:space="0" w:color="auto"/>
                        <w:bottom w:val="none" w:sz="0" w:space="0" w:color="auto"/>
                        <w:right w:val="none" w:sz="0" w:space="0" w:color="auto"/>
                      </w:divBdr>
                    </w:div>
                  </w:divsChild>
                </w:div>
                <w:div w:id="7488334">
                  <w:marLeft w:val="0"/>
                  <w:marRight w:val="0"/>
                  <w:marTop w:val="0"/>
                  <w:marBottom w:val="0"/>
                  <w:divBdr>
                    <w:top w:val="none" w:sz="0" w:space="0" w:color="auto"/>
                    <w:left w:val="none" w:sz="0" w:space="0" w:color="auto"/>
                    <w:bottom w:val="none" w:sz="0" w:space="0" w:color="auto"/>
                    <w:right w:val="none" w:sz="0" w:space="0" w:color="auto"/>
                  </w:divBdr>
                  <w:divsChild>
                    <w:div w:id="1619949690">
                      <w:marLeft w:val="0"/>
                      <w:marRight w:val="0"/>
                      <w:marTop w:val="0"/>
                      <w:marBottom w:val="0"/>
                      <w:divBdr>
                        <w:top w:val="none" w:sz="0" w:space="0" w:color="auto"/>
                        <w:left w:val="none" w:sz="0" w:space="0" w:color="auto"/>
                        <w:bottom w:val="none" w:sz="0" w:space="0" w:color="auto"/>
                        <w:right w:val="none" w:sz="0" w:space="0" w:color="auto"/>
                      </w:divBdr>
                    </w:div>
                  </w:divsChild>
                </w:div>
                <w:div w:id="31200735">
                  <w:marLeft w:val="0"/>
                  <w:marRight w:val="0"/>
                  <w:marTop w:val="0"/>
                  <w:marBottom w:val="0"/>
                  <w:divBdr>
                    <w:top w:val="none" w:sz="0" w:space="0" w:color="auto"/>
                    <w:left w:val="none" w:sz="0" w:space="0" w:color="auto"/>
                    <w:bottom w:val="none" w:sz="0" w:space="0" w:color="auto"/>
                    <w:right w:val="none" w:sz="0" w:space="0" w:color="auto"/>
                  </w:divBdr>
                  <w:divsChild>
                    <w:div w:id="205874083">
                      <w:marLeft w:val="0"/>
                      <w:marRight w:val="0"/>
                      <w:marTop w:val="0"/>
                      <w:marBottom w:val="0"/>
                      <w:divBdr>
                        <w:top w:val="none" w:sz="0" w:space="0" w:color="auto"/>
                        <w:left w:val="none" w:sz="0" w:space="0" w:color="auto"/>
                        <w:bottom w:val="none" w:sz="0" w:space="0" w:color="auto"/>
                        <w:right w:val="none" w:sz="0" w:space="0" w:color="auto"/>
                      </w:divBdr>
                    </w:div>
                  </w:divsChild>
                </w:div>
                <w:div w:id="33429957">
                  <w:marLeft w:val="0"/>
                  <w:marRight w:val="0"/>
                  <w:marTop w:val="0"/>
                  <w:marBottom w:val="0"/>
                  <w:divBdr>
                    <w:top w:val="none" w:sz="0" w:space="0" w:color="auto"/>
                    <w:left w:val="none" w:sz="0" w:space="0" w:color="auto"/>
                    <w:bottom w:val="none" w:sz="0" w:space="0" w:color="auto"/>
                    <w:right w:val="none" w:sz="0" w:space="0" w:color="auto"/>
                  </w:divBdr>
                  <w:divsChild>
                    <w:div w:id="1631785728">
                      <w:marLeft w:val="0"/>
                      <w:marRight w:val="0"/>
                      <w:marTop w:val="0"/>
                      <w:marBottom w:val="0"/>
                      <w:divBdr>
                        <w:top w:val="none" w:sz="0" w:space="0" w:color="auto"/>
                        <w:left w:val="none" w:sz="0" w:space="0" w:color="auto"/>
                        <w:bottom w:val="none" w:sz="0" w:space="0" w:color="auto"/>
                        <w:right w:val="none" w:sz="0" w:space="0" w:color="auto"/>
                      </w:divBdr>
                    </w:div>
                  </w:divsChild>
                </w:div>
                <w:div w:id="34475778">
                  <w:marLeft w:val="0"/>
                  <w:marRight w:val="0"/>
                  <w:marTop w:val="0"/>
                  <w:marBottom w:val="0"/>
                  <w:divBdr>
                    <w:top w:val="none" w:sz="0" w:space="0" w:color="auto"/>
                    <w:left w:val="none" w:sz="0" w:space="0" w:color="auto"/>
                    <w:bottom w:val="none" w:sz="0" w:space="0" w:color="auto"/>
                    <w:right w:val="none" w:sz="0" w:space="0" w:color="auto"/>
                  </w:divBdr>
                  <w:divsChild>
                    <w:div w:id="2014408281">
                      <w:marLeft w:val="0"/>
                      <w:marRight w:val="0"/>
                      <w:marTop w:val="0"/>
                      <w:marBottom w:val="0"/>
                      <w:divBdr>
                        <w:top w:val="none" w:sz="0" w:space="0" w:color="auto"/>
                        <w:left w:val="none" w:sz="0" w:space="0" w:color="auto"/>
                        <w:bottom w:val="none" w:sz="0" w:space="0" w:color="auto"/>
                        <w:right w:val="none" w:sz="0" w:space="0" w:color="auto"/>
                      </w:divBdr>
                    </w:div>
                  </w:divsChild>
                </w:div>
                <w:div w:id="45877298">
                  <w:marLeft w:val="0"/>
                  <w:marRight w:val="0"/>
                  <w:marTop w:val="0"/>
                  <w:marBottom w:val="0"/>
                  <w:divBdr>
                    <w:top w:val="none" w:sz="0" w:space="0" w:color="auto"/>
                    <w:left w:val="none" w:sz="0" w:space="0" w:color="auto"/>
                    <w:bottom w:val="none" w:sz="0" w:space="0" w:color="auto"/>
                    <w:right w:val="none" w:sz="0" w:space="0" w:color="auto"/>
                  </w:divBdr>
                  <w:divsChild>
                    <w:div w:id="784084912">
                      <w:marLeft w:val="0"/>
                      <w:marRight w:val="0"/>
                      <w:marTop w:val="0"/>
                      <w:marBottom w:val="0"/>
                      <w:divBdr>
                        <w:top w:val="none" w:sz="0" w:space="0" w:color="auto"/>
                        <w:left w:val="none" w:sz="0" w:space="0" w:color="auto"/>
                        <w:bottom w:val="none" w:sz="0" w:space="0" w:color="auto"/>
                        <w:right w:val="none" w:sz="0" w:space="0" w:color="auto"/>
                      </w:divBdr>
                    </w:div>
                  </w:divsChild>
                </w:div>
                <w:div w:id="46074072">
                  <w:marLeft w:val="0"/>
                  <w:marRight w:val="0"/>
                  <w:marTop w:val="0"/>
                  <w:marBottom w:val="0"/>
                  <w:divBdr>
                    <w:top w:val="none" w:sz="0" w:space="0" w:color="auto"/>
                    <w:left w:val="none" w:sz="0" w:space="0" w:color="auto"/>
                    <w:bottom w:val="none" w:sz="0" w:space="0" w:color="auto"/>
                    <w:right w:val="none" w:sz="0" w:space="0" w:color="auto"/>
                  </w:divBdr>
                  <w:divsChild>
                    <w:div w:id="587154163">
                      <w:marLeft w:val="0"/>
                      <w:marRight w:val="0"/>
                      <w:marTop w:val="0"/>
                      <w:marBottom w:val="0"/>
                      <w:divBdr>
                        <w:top w:val="none" w:sz="0" w:space="0" w:color="auto"/>
                        <w:left w:val="none" w:sz="0" w:space="0" w:color="auto"/>
                        <w:bottom w:val="none" w:sz="0" w:space="0" w:color="auto"/>
                        <w:right w:val="none" w:sz="0" w:space="0" w:color="auto"/>
                      </w:divBdr>
                    </w:div>
                  </w:divsChild>
                </w:div>
                <w:div w:id="46493494">
                  <w:marLeft w:val="0"/>
                  <w:marRight w:val="0"/>
                  <w:marTop w:val="0"/>
                  <w:marBottom w:val="0"/>
                  <w:divBdr>
                    <w:top w:val="none" w:sz="0" w:space="0" w:color="auto"/>
                    <w:left w:val="none" w:sz="0" w:space="0" w:color="auto"/>
                    <w:bottom w:val="none" w:sz="0" w:space="0" w:color="auto"/>
                    <w:right w:val="none" w:sz="0" w:space="0" w:color="auto"/>
                  </w:divBdr>
                  <w:divsChild>
                    <w:div w:id="1827476088">
                      <w:marLeft w:val="0"/>
                      <w:marRight w:val="0"/>
                      <w:marTop w:val="0"/>
                      <w:marBottom w:val="0"/>
                      <w:divBdr>
                        <w:top w:val="none" w:sz="0" w:space="0" w:color="auto"/>
                        <w:left w:val="none" w:sz="0" w:space="0" w:color="auto"/>
                        <w:bottom w:val="none" w:sz="0" w:space="0" w:color="auto"/>
                        <w:right w:val="none" w:sz="0" w:space="0" w:color="auto"/>
                      </w:divBdr>
                    </w:div>
                  </w:divsChild>
                </w:div>
                <w:div w:id="56628893">
                  <w:marLeft w:val="0"/>
                  <w:marRight w:val="0"/>
                  <w:marTop w:val="0"/>
                  <w:marBottom w:val="0"/>
                  <w:divBdr>
                    <w:top w:val="none" w:sz="0" w:space="0" w:color="auto"/>
                    <w:left w:val="none" w:sz="0" w:space="0" w:color="auto"/>
                    <w:bottom w:val="none" w:sz="0" w:space="0" w:color="auto"/>
                    <w:right w:val="none" w:sz="0" w:space="0" w:color="auto"/>
                  </w:divBdr>
                  <w:divsChild>
                    <w:div w:id="691958715">
                      <w:marLeft w:val="0"/>
                      <w:marRight w:val="0"/>
                      <w:marTop w:val="0"/>
                      <w:marBottom w:val="0"/>
                      <w:divBdr>
                        <w:top w:val="none" w:sz="0" w:space="0" w:color="auto"/>
                        <w:left w:val="none" w:sz="0" w:space="0" w:color="auto"/>
                        <w:bottom w:val="none" w:sz="0" w:space="0" w:color="auto"/>
                        <w:right w:val="none" w:sz="0" w:space="0" w:color="auto"/>
                      </w:divBdr>
                    </w:div>
                  </w:divsChild>
                </w:div>
                <w:div w:id="63451919">
                  <w:marLeft w:val="0"/>
                  <w:marRight w:val="0"/>
                  <w:marTop w:val="0"/>
                  <w:marBottom w:val="0"/>
                  <w:divBdr>
                    <w:top w:val="none" w:sz="0" w:space="0" w:color="auto"/>
                    <w:left w:val="none" w:sz="0" w:space="0" w:color="auto"/>
                    <w:bottom w:val="none" w:sz="0" w:space="0" w:color="auto"/>
                    <w:right w:val="none" w:sz="0" w:space="0" w:color="auto"/>
                  </w:divBdr>
                  <w:divsChild>
                    <w:div w:id="277950834">
                      <w:marLeft w:val="0"/>
                      <w:marRight w:val="0"/>
                      <w:marTop w:val="0"/>
                      <w:marBottom w:val="0"/>
                      <w:divBdr>
                        <w:top w:val="none" w:sz="0" w:space="0" w:color="auto"/>
                        <w:left w:val="none" w:sz="0" w:space="0" w:color="auto"/>
                        <w:bottom w:val="none" w:sz="0" w:space="0" w:color="auto"/>
                        <w:right w:val="none" w:sz="0" w:space="0" w:color="auto"/>
                      </w:divBdr>
                    </w:div>
                  </w:divsChild>
                </w:div>
                <w:div w:id="64650076">
                  <w:marLeft w:val="0"/>
                  <w:marRight w:val="0"/>
                  <w:marTop w:val="0"/>
                  <w:marBottom w:val="0"/>
                  <w:divBdr>
                    <w:top w:val="none" w:sz="0" w:space="0" w:color="auto"/>
                    <w:left w:val="none" w:sz="0" w:space="0" w:color="auto"/>
                    <w:bottom w:val="none" w:sz="0" w:space="0" w:color="auto"/>
                    <w:right w:val="none" w:sz="0" w:space="0" w:color="auto"/>
                  </w:divBdr>
                  <w:divsChild>
                    <w:div w:id="2049837093">
                      <w:marLeft w:val="0"/>
                      <w:marRight w:val="0"/>
                      <w:marTop w:val="0"/>
                      <w:marBottom w:val="0"/>
                      <w:divBdr>
                        <w:top w:val="none" w:sz="0" w:space="0" w:color="auto"/>
                        <w:left w:val="none" w:sz="0" w:space="0" w:color="auto"/>
                        <w:bottom w:val="none" w:sz="0" w:space="0" w:color="auto"/>
                        <w:right w:val="none" w:sz="0" w:space="0" w:color="auto"/>
                      </w:divBdr>
                    </w:div>
                  </w:divsChild>
                </w:div>
                <w:div w:id="73481302">
                  <w:marLeft w:val="0"/>
                  <w:marRight w:val="0"/>
                  <w:marTop w:val="0"/>
                  <w:marBottom w:val="0"/>
                  <w:divBdr>
                    <w:top w:val="none" w:sz="0" w:space="0" w:color="auto"/>
                    <w:left w:val="none" w:sz="0" w:space="0" w:color="auto"/>
                    <w:bottom w:val="none" w:sz="0" w:space="0" w:color="auto"/>
                    <w:right w:val="none" w:sz="0" w:space="0" w:color="auto"/>
                  </w:divBdr>
                  <w:divsChild>
                    <w:div w:id="1146971266">
                      <w:marLeft w:val="0"/>
                      <w:marRight w:val="0"/>
                      <w:marTop w:val="0"/>
                      <w:marBottom w:val="0"/>
                      <w:divBdr>
                        <w:top w:val="none" w:sz="0" w:space="0" w:color="auto"/>
                        <w:left w:val="none" w:sz="0" w:space="0" w:color="auto"/>
                        <w:bottom w:val="none" w:sz="0" w:space="0" w:color="auto"/>
                        <w:right w:val="none" w:sz="0" w:space="0" w:color="auto"/>
                      </w:divBdr>
                    </w:div>
                  </w:divsChild>
                </w:div>
                <w:div w:id="83649902">
                  <w:marLeft w:val="0"/>
                  <w:marRight w:val="0"/>
                  <w:marTop w:val="0"/>
                  <w:marBottom w:val="0"/>
                  <w:divBdr>
                    <w:top w:val="none" w:sz="0" w:space="0" w:color="auto"/>
                    <w:left w:val="none" w:sz="0" w:space="0" w:color="auto"/>
                    <w:bottom w:val="none" w:sz="0" w:space="0" w:color="auto"/>
                    <w:right w:val="none" w:sz="0" w:space="0" w:color="auto"/>
                  </w:divBdr>
                  <w:divsChild>
                    <w:div w:id="11422812">
                      <w:marLeft w:val="0"/>
                      <w:marRight w:val="0"/>
                      <w:marTop w:val="0"/>
                      <w:marBottom w:val="0"/>
                      <w:divBdr>
                        <w:top w:val="none" w:sz="0" w:space="0" w:color="auto"/>
                        <w:left w:val="none" w:sz="0" w:space="0" w:color="auto"/>
                        <w:bottom w:val="none" w:sz="0" w:space="0" w:color="auto"/>
                        <w:right w:val="none" w:sz="0" w:space="0" w:color="auto"/>
                      </w:divBdr>
                    </w:div>
                  </w:divsChild>
                </w:div>
                <w:div w:id="93718114">
                  <w:marLeft w:val="0"/>
                  <w:marRight w:val="0"/>
                  <w:marTop w:val="0"/>
                  <w:marBottom w:val="0"/>
                  <w:divBdr>
                    <w:top w:val="none" w:sz="0" w:space="0" w:color="auto"/>
                    <w:left w:val="none" w:sz="0" w:space="0" w:color="auto"/>
                    <w:bottom w:val="none" w:sz="0" w:space="0" w:color="auto"/>
                    <w:right w:val="none" w:sz="0" w:space="0" w:color="auto"/>
                  </w:divBdr>
                  <w:divsChild>
                    <w:div w:id="1013263346">
                      <w:marLeft w:val="0"/>
                      <w:marRight w:val="0"/>
                      <w:marTop w:val="0"/>
                      <w:marBottom w:val="0"/>
                      <w:divBdr>
                        <w:top w:val="none" w:sz="0" w:space="0" w:color="auto"/>
                        <w:left w:val="none" w:sz="0" w:space="0" w:color="auto"/>
                        <w:bottom w:val="none" w:sz="0" w:space="0" w:color="auto"/>
                        <w:right w:val="none" w:sz="0" w:space="0" w:color="auto"/>
                      </w:divBdr>
                    </w:div>
                  </w:divsChild>
                </w:div>
                <w:div w:id="95945374">
                  <w:marLeft w:val="0"/>
                  <w:marRight w:val="0"/>
                  <w:marTop w:val="0"/>
                  <w:marBottom w:val="0"/>
                  <w:divBdr>
                    <w:top w:val="none" w:sz="0" w:space="0" w:color="auto"/>
                    <w:left w:val="none" w:sz="0" w:space="0" w:color="auto"/>
                    <w:bottom w:val="none" w:sz="0" w:space="0" w:color="auto"/>
                    <w:right w:val="none" w:sz="0" w:space="0" w:color="auto"/>
                  </w:divBdr>
                  <w:divsChild>
                    <w:div w:id="1537083676">
                      <w:marLeft w:val="0"/>
                      <w:marRight w:val="0"/>
                      <w:marTop w:val="0"/>
                      <w:marBottom w:val="0"/>
                      <w:divBdr>
                        <w:top w:val="none" w:sz="0" w:space="0" w:color="auto"/>
                        <w:left w:val="none" w:sz="0" w:space="0" w:color="auto"/>
                        <w:bottom w:val="none" w:sz="0" w:space="0" w:color="auto"/>
                        <w:right w:val="none" w:sz="0" w:space="0" w:color="auto"/>
                      </w:divBdr>
                    </w:div>
                    <w:div w:id="1598321728">
                      <w:marLeft w:val="0"/>
                      <w:marRight w:val="0"/>
                      <w:marTop w:val="0"/>
                      <w:marBottom w:val="0"/>
                      <w:divBdr>
                        <w:top w:val="none" w:sz="0" w:space="0" w:color="auto"/>
                        <w:left w:val="none" w:sz="0" w:space="0" w:color="auto"/>
                        <w:bottom w:val="none" w:sz="0" w:space="0" w:color="auto"/>
                        <w:right w:val="none" w:sz="0" w:space="0" w:color="auto"/>
                      </w:divBdr>
                    </w:div>
                  </w:divsChild>
                </w:div>
                <w:div w:id="116334768">
                  <w:marLeft w:val="0"/>
                  <w:marRight w:val="0"/>
                  <w:marTop w:val="0"/>
                  <w:marBottom w:val="0"/>
                  <w:divBdr>
                    <w:top w:val="none" w:sz="0" w:space="0" w:color="auto"/>
                    <w:left w:val="none" w:sz="0" w:space="0" w:color="auto"/>
                    <w:bottom w:val="none" w:sz="0" w:space="0" w:color="auto"/>
                    <w:right w:val="none" w:sz="0" w:space="0" w:color="auto"/>
                  </w:divBdr>
                  <w:divsChild>
                    <w:div w:id="999311455">
                      <w:marLeft w:val="0"/>
                      <w:marRight w:val="0"/>
                      <w:marTop w:val="0"/>
                      <w:marBottom w:val="0"/>
                      <w:divBdr>
                        <w:top w:val="none" w:sz="0" w:space="0" w:color="auto"/>
                        <w:left w:val="none" w:sz="0" w:space="0" w:color="auto"/>
                        <w:bottom w:val="none" w:sz="0" w:space="0" w:color="auto"/>
                        <w:right w:val="none" w:sz="0" w:space="0" w:color="auto"/>
                      </w:divBdr>
                    </w:div>
                  </w:divsChild>
                </w:div>
                <w:div w:id="123354705">
                  <w:marLeft w:val="0"/>
                  <w:marRight w:val="0"/>
                  <w:marTop w:val="0"/>
                  <w:marBottom w:val="0"/>
                  <w:divBdr>
                    <w:top w:val="none" w:sz="0" w:space="0" w:color="auto"/>
                    <w:left w:val="none" w:sz="0" w:space="0" w:color="auto"/>
                    <w:bottom w:val="none" w:sz="0" w:space="0" w:color="auto"/>
                    <w:right w:val="none" w:sz="0" w:space="0" w:color="auto"/>
                  </w:divBdr>
                  <w:divsChild>
                    <w:div w:id="524900869">
                      <w:marLeft w:val="0"/>
                      <w:marRight w:val="0"/>
                      <w:marTop w:val="0"/>
                      <w:marBottom w:val="0"/>
                      <w:divBdr>
                        <w:top w:val="none" w:sz="0" w:space="0" w:color="auto"/>
                        <w:left w:val="none" w:sz="0" w:space="0" w:color="auto"/>
                        <w:bottom w:val="none" w:sz="0" w:space="0" w:color="auto"/>
                        <w:right w:val="none" w:sz="0" w:space="0" w:color="auto"/>
                      </w:divBdr>
                    </w:div>
                  </w:divsChild>
                </w:div>
                <w:div w:id="123735412">
                  <w:marLeft w:val="0"/>
                  <w:marRight w:val="0"/>
                  <w:marTop w:val="0"/>
                  <w:marBottom w:val="0"/>
                  <w:divBdr>
                    <w:top w:val="none" w:sz="0" w:space="0" w:color="auto"/>
                    <w:left w:val="none" w:sz="0" w:space="0" w:color="auto"/>
                    <w:bottom w:val="none" w:sz="0" w:space="0" w:color="auto"/>
                    <w:right w:val="none" w:sz="0" w:space="0" w:color="auto"/>
                  </w:divBdr>
                  <w:divsChild>
                    <w:div w:id="1037777244">
                      <w:marLeft w:val="0"/>
                      <w:marRight w:val="0"/>
                      <w:marTop w:val="0"/>
                      <w:marBottom w:val="0"/>
                      <w:divBdr>
                        <w:top w:val="none" w:sz="0" w:space="0" w:color="auto"/>
                        <w:left w:val="none" w:sz="0" w:space="0" w:color="auto"/>
                        <w:bottom w:val="none" w:sz="0" w:space="0" w:color="auto"/>
                        <w:right w:val="none" w:sz="0" w:space="0" w:color="auto"/>
                      </w:divBdr>
                    </w:div>
                  </w:divsChild>
                </w:div>
                <w:div w:id="130483078">
                  <w:marLeft w:val="0"/>
                  <w:marRight w:val="0"/>
                  <w:marTop w:val="0"/>
                  <w:marBottom w:val="0"/>
                  <w:divBdr>
                    <w:top w:val="none" w:sz="0" w:space="0" w:color="auto"/>
                    <w:left w:val="none" w:sz="0" w:space="0" w:color="auto"/>
                    <w:bottom w:val="none" w:sz="0" w:space="0" w:color="auto"/>
                    <w:right w:val="none" w:sz="0" w:space="0" w:color="auto"/>
                  </w:divBdr>
                  <w:divsChild>
                    <w:div w:id="1660691712">
                      <w:marLeft w:val="0"/>
                      <w:marRight w:val="0"/>
                      <w:marTop w:val="0"/>
                      <w:marBottom w:val="0"/>
                      <w:divBdr>
                        <w:top w:val="none" w:sz="0" w:space="0" w:color="auto"/>
                        <w:left w:val="none" w:sz="0" w:space="0" w:color="auto"/>
                        <w:bottom w:val="none" w:sz="0" w:space="0" w:color="auto"/>
                        <w:right w:val="none" w:sz="0" w:space="0" w:color="auto"/>
                      </w:divBdr>
                    </w:div>
                  </w:divsChild>
                </w:div>
                <w:div w:id="157157563">
                  <w:marLeft w:val="0"/>
                  <w:marRight w:val="0"/>
                  <w:marTop w:val="0"/>
                  <w:marBottom w:val="0"/>
                  <w:divBdr>
                    <w:top w:val="none" w:sz="0" w:space="0" w:color="auto"/>
                    <w:left w:val="none" w:sz="0" w:space="0" w:color="auto"/>
                    <w:bottom w:val="none" w:sz="0" w:space="0" w:color="auto"/>
                    <w:right w:val="none" w:sz="0" w:space="0" w:color="auto"/>
                  </w:divBdr>
                  <w:divsChild>
                    <w:div w:id="1697004441">
                      <w:marLeft w:val="0"/>
                      <w:marRight w:val="0"/>
                      <w:marTop w:val="0"/>
                      <w:marBottom w:val="0"/>
                      <w:divBdr>
                        <w:top w:val="none" w:sz="0" w:space="0" w:color="auto"/>
                        <w:left w:val="none" w:sz="0" w:space="0" w:color="auto"/>
                        <w:bottom w:val="none" w:sz="0" w:space="0" w:color="auto"/>
                        <w:right w:val="none" w:sz="0" w:space="0" w:color="auto"/>
                      </w:divBdr>
                    </w:div>
                  </w:divsChild>
                </w:div>
                <w:div w:id="163129453">
                  <w:marLeft w:val="0"/>
                  <w:marRight w:val="0"/>
                  <w:marTop w:val="0"/>
                  <w:marBottom w:val="0"/>
                  <w:divBdr>
                    <w:top w:val="none" w:sz="0" w:space="0" w:color="auto"/>
                    <w:left w:val="none" w:sz="0" w:space="0" w:color="auto"/>
                    <w:bottom w:val="none" w:sz="0" w:space="0" w:color="auto"/>
                    <w:right w:val="none" w:sz="0" w:space="0" w:color="auto"/>
                  </w:divBdr>
                  <w:divsChild>
                    <w:div w:id="1279218007">
                      <w:marLeft w:val="0"/>
                      <w:marRight w:val="0"/>
                      <w:marTop w:val="0"/>
                      <w:marBottom w:val="0"/>
                      <w:divBdr>
                        <w:top w:val="none" w:sz="0" w:space="0" w:color="auto"/>
                        <w:left w:val="none" w:sz="0" w:space="0" w:color="auto"/>
                        <w:bottom w:val="none" w:sz="0" w:space="0" w:color="auto"/>
                        <w:right w:val="none" w:sz="0" w:space="0" w:color="auto"/>
                      </w:divBdr>
                    </w:div>
                  </w:divsChild>
                </w:div>
                <w:div w:id="178203638">
                  <w:marLeft w:val="0"/>
                  <w:marRight w:val="0"/>
                  <w:marTop w:val="0"/>
                  <w:marBottom w:val="0"/>
                  <w:divBdr>
                    <w:top w:val="none" w:sz="0" w:space="0" w:color="auto"/>
                    <w:left w:val="none" w:sz="0" w:space="0" w:color="auto"/>
                    <w:bottom w:val="none" w:sz="0" w:space="0" w:color="auto"/>
                    <w:right w:val="none" w:sz="0" w:space="0" w:color="auto"/>
                  </w:divBdr>
                  <w:divsChild>
                    <w:div w:id="747002169">
                      <w:marLeft w:val="0"/>
                      <w:marRight w:val="0"/>
                      <w:marTop w:val="0"/>
                      <w:marBottom w:val="0"/>
                      <w:divBdr>
                        <w:top w:val="none" w:sz="0" w:space="0" w:color="auto"/>
                        <w:left w:val="none" w:sz="0" w:space="0" w:color="auto"/>
                        <w:bottom w:val="none" w:sz="0" w:space="0" w:color="auto"/>
                        <w:right w:val="none" w:sz="0" w:space="0" w:color="auto"/>
                      </w:divBdr>
                    </w:div>
                  </w:divsChild>
                </w:div>
                <w:div w:id="181089376">
                  <w:marLeft w:val="0"/>
                  <w:marRight w:val="0"/>
                  <w:marTop w:val="0"/>
                  <w:marBottom w:val="0"/>
                  <w:divBdr>
                    <w:top w:val="none" w:sz="0" w:space="0" w:color="auto"/>
                    <w:left w:val="none" w:sz="0" w:space="0" w:color="auto"/>
                    <w:bottom w:val="none" w:sz="0" w:space="0" w:color="auto"/>
                    <w:right w:val="none" w:sz="0" w:space="0" w:color="auto"/>
                  </w:divBdr>
                  <w:divsChild>
                    <w:div w:id="758675868">
                      <w:marLeft w:val="0"/>
                      <w:marRight w:val="0"/>
                      <w:marTop w:val="0"/>
                      <w:marBottom w:val="0"/>
                      <w:divBdr>
                        <w:top w:val="none" w:sz="0" w:space="0" w:color="auto"/>
                        <w:left w:val="none" w:sz="0" w:space="0" w:color="auto"/>
                        <w:bottom w:val="none" w:sz="0" w:space="0" w:color="auto"/>
                        <w:right w:val="none" w:sz="0" w:space="0" w:color="auto"/>
                      </w:divBdr>
                    </w:div>
                  </w:divsChild>
                </w:div>
                <w:div w:id="183710431">
                  <w:marLeft w:val="0"/>
                  <w:marRight w:val="0"/>
                  <w:marTop w:val="0"/>
                  <w:marBottom w:val="0"/>
                  <w:divBdr>
                    <w:top w:val="none" w:sz="0" w:space="0" w:color="auto"/>
                    <w:left w:val="none" w:sz="0" w:space="0" w:color="auto"/>
                    <w:bottom w:val="none" w:sz="0" w:space="0" w:color="auto"/>
                    <w:right w:val="none" w:sz="0" w:space="0" w:color="auto"/>
                  </w:divBdr>
                  <w:divsChild>
                    <w:div w:id="1550190239">
                      <w:marLeft w:val="0"/>
                      <w:marRight w:val="0"/>
                      <w:marTop w:val="0"/>
                      <w:marBottom w:val="0"/>
                      <w:divBdr>
                        <w:top w:val="none" w:sz="0" w:space="0" w:color="auto"/>
                        <w:left w:val="none" w:sz="0" w:space="0" w:color="auto"/>
                        <w:bottom w:val="none" w:sz="0" w:space="0" w:color="auto"/>
                        <w:right w:val="none" w:sz="0" w:space="0" w:color="auto"/>
                      </w:divBdr>
                    </w:div>
                  </w:divsChild>
                </w:div>
                <w:div w:id="190338698">
                  <w:marLeft w:val="0"/>
                  <w:marRight w:val="0"/>
                  <w:marTop w:val="0"/>
                  <w:marBottom w:val="0"/>
                  <w:divBdr>
                    <w:top w:val="none" w:sz="0" w:space="0" w:color="auto"/>
                    <w:left w:val="none" w:sz="0" w:space="0" w:color="auto"/>
                    <w:bottom w:val="none" w:sz="0" w:space="0" w:color="auto"/>
                    <w:right w:val="none" w:sz="0" w:space="0" w:color="auto"/>
                  </w:divBdr>
                  <w:divsChild>
                    <w:div w:id="120197665">
                      <w:marLeft w:val="0"/>
                      <w:marRight w:val="0"/>
                      <w:marTop w:val="0"/>
                      <w:marBottom w:val="0"/>
                      <w:divBdr>
                        <w:top w:val="none" w:sz="0" w:space="0" w:color="auto"/>
                        <w:left w:val="none" w:sz="0" w:space="0" w:color="auto"/>
                        <w:bottom w:val="none" w:sz="0" w:space="0" w:color="auto"/>
                        <w:right w:val="none" w:sz="0" w:space="0" w:color="auto"/>
                      </w:divBdr>
                    </w:div>
                  </w:divsChild>
                </w:div>
                <w:div w:id="216745766">
                  <w:marLeft w:val="0"/>
                  <w:marRight w:val="0"/>
                  <w:marTop w:val="0"/>
                  <w:marBottom w:val="0"/>
                  <w:divBdr>
                    <w:top w:val="none" w:sz="0" w:space="0" w:color="auto"/>
                    <w:left w:val="none" w:sz="0" w:space="0" w:color="auto"/>
                    <w:bottom w:val="none" w:sz="0" w:space="0" w:color="auto"/>
                    <w:right w:val="none" w:sz="0" w:space="0" w:color="auto"/>
                  </w:divBdr>
                  <w:divsChild>
                    <w:div w:id="1695494828">
                      <w:marLeft w:val="0"/>
                      <w:marRight w:val="0"/>
                      <w:marTop w:val="0"/>
                      <w:marBottom w:val="0"/>
                      <w:divBdr>
                        <w:top w:val="none" w:sz="0" w:space="0" w:color="auto"/>
                        <w:left w:val="none" w:sz="0" w:space="0" w:color="auto"/>
                        <w:bottom w:val="none" w:sz="0" w:space="0" w:color="auto"/>
                        <w:right w:val="none" w:sz="0" w:space="0" w:color="auto"/>
                      </w:divBdr>
                    </w:div>
                  </w:divsChild>
                </w:div>
                <w:div w:id="218978054">
                  <w:marLeft w:val="0"/>
                  <w:marRight w:val="0"/>
                  <w:marTop w:val="0"/>
                  <w:marBottom w:val="0"/>
                  <w:divBdr>
                    <w:top w:val="none" w:sz="0" w:space="0" w:color="auto"/>
                    <w:left w:val="none" w:sz="0" w:space="0" w:color="auto"/>
                    <w:bottom w:val="none" w:sz="0" w:space="0" w:color="auto"/>
                    <w:right w:val="none" w:sz="0" w:space="0" w:color="auto"/>
                  </w:divBdr>
                  <w:divsChild>
                    <w:div w:id="1452748570">
                      <w:marLeft w:val="0"/>
                      <w:marRight w:val="0"/>
                      <w:marTop w:val="0"/>
                      <w:marBottom w:val="0"/>
                      <w:divBdr>
                        <w:top w:val="none" w:sz="0" w:space="0" w:color="auto"/>
                        <w:left w:val="none" w:sz="0" w:space="0" w:color="auto"/>
                        <w:bottom w:val="none" w:sz="0" w:space="0" w:color="auto"/>
                        <w:right w:val="none" w:sz="0" w:space="0" w:color="auto"/>
                      </w:divBdr>
                    </w:div>
                  </w:divsChild>
                </w:div>
                <w:div w:id="230509134">
                  <w:marLeft w:val="0"/>
                  <w:marRight w:val="0"/>
                  <w:marTop w:val="0"/>
                  <w:marBottom w:val="0"/>
                  <w:divBdr>
                    <w:top w:val="none" w:sz="0" w:space="0" w:color="auto"/>
                    <w:left w:val="none" w:sz="0" w:space="0" w:color="auto"/>
                    <w:bottom w:val="none" w:sz="0" w:space="0" w:color="auto"/>
                    <w:right w:val="none" w:sz="0" w:space="0" w:color="auto"/>
                  </w:divBdr>
                  <w:divsChild>
                    <w:div w:id="70811457">
                      <w:marLeft w:val="0"/>
                      <w:marRight w:val="0"/>
                      <w:marTop w:val="0"/>
                      <w:marBottom w:val="0"/>
                      <w:divBdr>
                        <w:top w:val="none" w:sz="0" w:space="0" w:color="auto"/>
                        <w:left w:val="none" w:sz="0" w:space="0" w:color="auto"/>
                        <w:bottom w:val="none" w:sz="0" w:space="0" w:color="auto"/>
                        <w:right w:val="none" w:sz="0" w:space="0" w:color="auto"/>
                      </w:divBdr>
                    </w:div>
                  </w:divsChild>
                </w:div>
                <w:div w:id="236290014">
                  <w:marLeft w:val="0"/>
                  <w:marRight w:val="0"/>
                  <w:marTop w:val="0"/>
                  <w:marBottom w:val="0"/>
                  <w:divBdr>
                    <w:top w:val="none" w:sz="0" w:space="0" w:color="auto"/>
                    <w:left w:val="none" w:sz="0" w:space="0" w:color="auto"/>
                    <w:bottom w:val="none" w:sz="0" w:space="0" w:color="auto"/>
                    <w:right w:val="none" w:sz="0" w:space="0" w:color="auto"/>
                  </w:divBdr>
                  <w:divsChild>
                    <w:div w:id="113444818">
                      <w:marLeft w:val="0"/>
                      <w:marRight w:val="0"/>
                      <w:marTop w:val="0"/>
                      <w:marBottom w:val="0"/>
                      <w:divBdr>
                        <w:top w:val="none" w:sz="0" w:space="0" w:color="auto"/>
                        <w:left w:val="none" w:sz="0" w:space="0" w:color="auto"/>
                        <w:bottom w:val="none" w:sz="0" w:space="0" w:color="auto"/>
                        <w:right w:val="none" w:sz="0" w:space="0" w:color="auto"/>
                      </w:divBdr>
                    </w:div>
                    <w:div w:id="339551238">
                      <w:marLeft w:val="0"/>
                      <w:marRight w:val="0"/>
                      <w:marTop w:val="0"/>
                      <w:marBottom w:val="0"/>
                      <w:divBdr>
                        <w:top w:val="none" w:sz="0" w:space="0" w:color="auto"/>
                        <w:left w:val="none" w:sz="0" w:space="0" w:color="auto"/>
                        <w:bottom w:val="none" w:sz="0" w:space="0" w:color="auto"/>
                        <w:right w:val="none" w:sz="0" w:space="0" w:color="auto"/>
                      </w:divBdr>
                    </w:div>
                    <w:div w:id="657922393">
                      <w:marLeft w:val="0"/>
                      <w:marRight w:val="0"/>
                      <w:marTop w:val="0"/>
                      <w:marBottom w:val="0"/>
                      <w:divBdr>
                        <w:top w:val="none" w:sz="0" w:space="0" w:color="auto"/>
                        <w:left w:val="none" w:sz="0" w:space="0" w:color="auto"/>
                        <w:bottom w:val="none" w:sz="0" w:space="0" w:color="auto"/>
                        <w:right w:val="none" w:sz="0" w:space="0" w:color="auto"/>
                      </w:divBdr>
                    </w:div>
                    <w:div w:id="767506280">
                      <w:marLeft w:val="0"/>
                      <w:marRight w:val="0"/>
                      <w:marTop w:val="0"/>
                      <w:marBottom w:val="0"/>
                      <w:divBdr>
                        <w:top w:val="none" w:sz="0" w:space="0" w:color="auto"/>
                        <w:left w:val="none" w:sz="0" w:space="0" w:color="auto"/>
                        <w:bottom w:val="none" w:sz="0" w:space="0" w:color="auto"/>
                        <w:right w:val="none" w:sz="0" w:space="0" w:color="auto"/>
                      </w:divBdr>
                    </w:div>
                    <w:div w:id="807892665">
                      <w:marLeft w:val="0"/>
                      <w:marRight w:val="0"/>
                      <w:marTop w:val="0"/>
                      <w:marBottom w:val="0"/>
                      <w:divBdr>
                        <w:top w:val="none" w:sz="0" w:space="0" w:color="auto"/>
                        <w:left w:val="none" w:sz="0" w:space="0" w:color="auto"/>
                        <w:bottom w:val="none" w:sz="0" w:space="0" w:color="auto"/>
                        <w:right w:val="none" w:sz="0" w:space="0" w:color="auto"/>
                      </w:divBdr>
                    </w:div>
                    <w:div w:id="876550282">
                      <w:marLeft w:val="0"/>
                      <w:marRight w:val="0"/>
                      <w:marTop w:val="0"/>
                      <w:marBottom w:val="0"/>
                      <w:divBdr>
                        <w:top w:val="none" w:sz="0" w:space="0" w:color="auto"/>
                        <w:left w:val="none" w:sz="0" w:space="0" w:color="auto"/>
                        <w:bottom w:val="none" w:sz="0" w:space="0" w:color="auto"/>
                        <w:right w:val="none" w:sz="0" w:space="0" w:color="auto"/>
                      </w:divBdr>
                    </w:div>
                    <w:div w:id="1073505837">
                      <w:marLeft w:val="0"/>
                      <w:marRight w:val="0"/>
                      <w:marTop w:val="0"/>
                      <w:marBottom w:val="0"/>
                      <w:divBdr>
                        <w:top w:val="none" w:sz="0" w:space="0" w:color="auto"/>
                        <w:left w:val="none" w:sz="0" w:space="0" w:color="auto"/>
                        <w:bottom w:val="none" w:sz="0" w:space="0" w:color="auto"/>
                        <w:right w:val="none" w:sz="0" w:space="0" w:color="auto"/>
                      </w:divBdr>
                    </w:div>
                    <w:div w:id="1260988805">
                      <w:marLeft w:val="0"/>
                      <w:marRight w:val="0"/>
                      <w:marTop w:val="0"/>
                      <w:marBottom w:val="0"/>
                      <w:divBdr>
                        <w:top w:val="none" w:sz="0" w:space="0" w:color="auto"/>
                        <w:left w:val="none" w:sz="0" w:space="0" w:color="auto"/>
                        <w:bottom w:val="none" w:sz="0" w:space="0" w:color="auto"/>
                        <w:right w:val="none" w:sz="0" w:space="0" w:color="auto"/>
                      </w:divBdr>
                    </w:div>
                    <w:div w:id="1421490228">
                      <w:marLeft w:val="0"/>
                      <w:marRight w:val="0"/>
                      <w:marTop w:val="0"/>
                      <w:marBottom w:val="0"/>
                      <w:divBdr>
                        <w:top w:val="none" w:sz="0" w:space="0" w:color="auto"/>
                        <w:left w:val="none" w:sz="0" w:space="0" w:color="auto"/>
                        <w:bottom w:val="none" w:sz="0" w:space="0" w:color="auto"/>
                        <w:right w:val="none" w:sz="0" w:space="0" w:color="auto"/>
                      </w:divBdr>
                    </w:div>
                    <w:div w:id="1536431498">
                      <w:marLeft w:val="0"/>
                      <w:marRight w:val="0"/>
                      <w:marTop w:val="0"/>
                      <w:marBottom w:val="0"/>
                      <w:divBdr>
                        <w:top w:val="none" w:sz="0" w:space="0" w:color="auto"/>
                        <w:left w:val="none" w:sz="0" w:space="0" w:color="auto"/>
                        <w:bottom w:val="none" w:sz="0" w:space="0" w:color="auto"/>
                        <w:right w:val="none" w:sz="0" w:space="0" w:color="auto"/>
                      </w:divBdr>
                    </w:div>
                    <w:div w:id="1939677679">
                      <w:marLeft w:val="0"/>
                      <w:marRight w:val="0"/>
                      <w:marTop w:val="0"/>
                      <w:marBottom w:val="0"/>
                      <w:divBdr>
                        <w:top w:val="none" w:sz="0" w:space="0" w:color="auto"/>
                        <w:left w:val="none" w:sz="0" w:space="0" w:color="auto"/>
                        <w:bottom w:val="none" w:sz="0" w:space="0" w:color="auto"/>
                        <w:right w:val="none" w:sz="0" w:space="0" w:color="auto"/>
                      </w:divBdr>
                    </w:div>
                  </w:divsChild>
                </w:div>
                <w:div w:id="239406843">
                  <w:marLeft w:val="0"/>
                  <w:marRight w:val="0"/>
                  <w:marTop w:val="0"/>
                  <w:marBottom w:val="0"/>
                  <w:divBdr>
                    <w:top w:val="none" w:sz="0" w:space="0" w:color="auto"/>
                    <w:left w:val="none" w:sz="0" w:space="0" w:color="auto"/>
                    <w:bottom w:val="none" w:sz="0" w:space="0" w:color="auto"/>
                    <w:right w:val="none" w:sz="0" w:space="0" w:color="auto"/>
                  </w:divBdr>
                  <w:divsChild>
                    <w:div w:id="1219046934">
                      <w:marLeft w:val="0"/>
                      <w:marRight w:val="0"/>
                      <w:marTop w:val="0"/>
                      <w:marBottom w:val="0"/>
                      <w:divBdr>
                        <w:top w:val="none" w:sz="0" w:space="0" w:color="auto"/>
                        <w:left w:val="none" w:sz="0" w:space="0" w:color="auto"/>
                        <w:bottom w:val="none" w:sz="0" w:space="0" w:color="auto"/>
                        <w:right w:val="none" w:sz="0" w:space="0" w:color="auto"/>
                      </w:divBdr>
                    </w:div>
                  </w:divsChild>
                </w:div>
                <w:div w:id="244069972">
                  <w:marLeft w:val="0"/>
                  <w:marRight w:val="0"/>
                  <w:marTop w:val="0"/>
                  <w:marBottom w:val="0"/>
                  <w:divBdr>
                    <w:top w:val="none" w:sz="0" w:space="0" w:color="auto"/>
                    <w:left w:val="none" w:sz="0" w:space="0" w:color="auto"/>
                    <w:bottom w:val="none" w:sz="0" w:space="0" w:color="auto"/>
                    <w:right w:val="none" w:sz="0" w:space="0" w:color="auto"/>
                  </w:divBdr>
                  <w:divsChild>
                    <w:div w:id="1889144269">
                      <w:marLeft w:val="0"/>
                      <w:marRight w:val="0"/>
                      <w:marTop w:val="0"/>
                      <w:marBottom w:val="0"/>
                      <w:divBdr>
                        <w:top w:val="none" w:sz="0" w:space="0" w:color="auto"/>
                        <w:left w:val="none" w:sz="0" w:space="0" w:color="auto"/>
                        <w:bottom w:val="none" w:sz="0" w:space="0" w:color="auto"/>
                        <w:right w:val="none" w:sz="0" w:space="0" w:color="auto"/>
                      </w:divBdr>
                    </w:div>
                  </w:divsChild>
                </w:div>
                <w:div w:id="244262582">
                  <w:marLeft w:val="0"/>
                  <w:marRight w:val="0"/>
                  <w:marTop w:val="0"/>
                  <w:marBottom w:val="0"/>
                  <w:divBdr>
                    <w:top w:val="none" w:sz="0" w:space="0" w:color="auto"/>
                    <w:left w:val="none" w:sz="0" w:space="0" w:color="auto"/>
                    <w:bottom w:val="none" w:sz="0" w:space="0" w:color="auto"/>
                    <w:right w:val="none" w:sz="0" w:space="0" w:color="auto"/>
                  </w:divBdr>
                  <w:divsChild>
                    <w:div w:id="304554498">
                      <w:marLeft w:val="0"/>
                      <w:marRight w:val="0"/>
                      <w:marTop w:val="0"/>
                      <w:marBottom w:val="0"/>
                      <w:divBdr>
                        <w:top w:val="none" w:sz="0" w:space="0" w:color="auto"/>
                        <w:left w:val="none" w:sz="0" w:space="0" w:color="auto"/>
                        <w:bottom w:val="none" w:sz="0" w:space="0" w:color="auto"/>
                        <w:right w:val="none" w:sz="0" w:space="0" w:color="auto"/>
                      </w:divBdr>
                    </w:div>
                    <w:div w:id="1232081591">
                      <w:marLeft w:val="0"/>
                      <w:marRight w:val="0"/>
                      <w:marTop w:val="0"/>
                      <w:marBottom w:val="0"/>
                      <w:divBdr>
                        <w:top w:val="none" w:sz="0" w:space="0" w:color="auto"/>
                        <w:left w:val="none" w:sz="0" w:space="0" w:color="auto"/>
                        <w:bottom w:val="none" w:sz="0" w:space="0" w:color="auto"/>
                        <w:right w:val="none" w:sz="0" w:space="0" w:color="auto"/>
                      </w:divBdr>
                    </w:div>
                  </w:divsChild>
                </w:div>
                <w:div w:id="247354501">
                  <w:marLeft w:val="0"/>
                  <w:marRight w:val="0"/>
                  <w:marTop w:val="0"/>
                  <w:marBottom w:val="0"/>
                  <w:divBdr>
                    <w:top w:val="none" w:sz="0" w:space="0" w:color="auto"/>
                    <w:left w:val="none" w:sz="0" w:space="0" w:color="auto"/>
                    <w:bottom w:val="none" w:sz="0" w:space="0" w:color="auto"/>
                    <w:right w:val="none" w:sz="0" w:space="0" w:color="auto"/>
                  </w:divBdr>
                  <w:divsChild>
                    <w:div w:id="1548952716">
                      <w:marLeft w:val="0"/>
                      <w:marRight w:val="0"/>
                      <w:marTop w:val="0"/>
                      <w:marBottom w:val="0"/>
                      <w:divBdr>
                        <w:top w:val="none" w:sz="0" w:space="0" w:color="auto"/>
                        <w:left w:val="none" w:sz="0" w:space="0" w:color="auto"/>
                        <w:bottom w:val="none" w:sz="0" w:space="0" w:color="auto"/>
                        <w:right w:val="none" w:sz="0" w:space="0" w:color="auto"/>
                      </w:divBdr>
                    </w:div>
                  </w:divsChild>
                </w:div>
                <w:div w:id="257375324">
                  <w:marLeft w:val="0"/>
                  <w:marRight w:val="0"/>
                  <w:marTop w:val="0"/>
                  <w:marBottom w:val="0"/>
                  <w:divBdr>
                    <w:top w:val="none" w:sz="0" w:space="0" w:color="auto"/>
                    <w:left w:val="none" w:sz="0" w:space="0" w:color="auto"/>
                    <w:bottom w:val="none" w:sz="0" w:space="0" w:color="auto"/>
                    <w:right w:val="none" w:sz="0" w:space="0" w:color="auto"/>
                  </w:divBdr>
                  <w:divsChild>
                    <w:div w:id="344065183">
                      <w:marLeft w:val="0"/>
                      <w:marRight w:val="0"/>
                      <w:marTop w:val="0"/>
                      <w:marBottom w:val="0"/>
                      <w:divBdr>
                        <w:top w:val="none" w:sz="0" w:space="0" w:color="auto"/>
                        <w:left w:val="none" w:sz="0" w:space="0" w:color="auto"/>
                        <w:bottom w:val="none" w:sz="0" w:space="0" w:color="auto"/>
                        <w:right w:val="none" w:sz="0" w:space="0" w:color="auto"/>
                      </w:divBdr>
                    </w:div>
                    <w:div w:id="423578293">
                      <w:marLeft w:val="0"/>
                      <w:marRight w:val="0"/>
                      <w:marTop w:val="0"/>
                      <w:marBottom w:val="0"/>
                      <w:divBdr>
                        <w:top w:val="none" w:sz="0" w:space="0" w:color="auto"/>
                        <w:left w:val="none" w:sz="0" w:space="0" w:color="auto"/>
                        <w:bottom w:val="none" w:sz="0" w:space="0" w:color="auto"/>
                        <w:right w:val="none" w:sz="0" w:space="0" w:color="auto"/>
                      </w:divBdr>
                    </w:div>
                    <w:div w:id="493837614">
                      <w:marLeft w:val="0"/>
                      <w:marRight w:val="0"/>
                      <w:marTop w:val="0"/>
                      <w:marBottom w:val="0"/>
                      <w:divBdr>
                        <w:top w:val="none" w:sz="0" w:space="0" w:color="auto"/>
                        <w:left w:val="none" w:sz="0" w:space="0" w:color="auto"/>
                        <w:bottom w:val="none" w:sz="0" w:space="0" w:color="auto"/>
                        <w:right w:val="none" w:sz="0" w:space="0" w:color="auto"/>
                      </w:divBdr>
                    </w:div>
                    <w:div w:id="558126539">
                      <w:marLeft w:val="0"/>
                      <w:marRight w:val="0"/>
                      <w:marTop w:val="0"/>
                      <w:marBottom w:val="0"/>
                      <w:divBdr>
                        <w:top w:val="none" w:sz="0" w:space="0" w:color="auto"/>
                        <w:left w:val="none" w:sz="0" w:space="0" w:color="auto"/>
                        <w:bottom w:val="none" w:sz="0" w:space="0" w:color="auto"/>
                        <w:right w:val="none" w:sz="0" w:space="0" w:color="auto"/>
                      </w:divBdr>
                    </w:div>
                    <w:div w:id="756753677">
                      <w:marLeft w:val="0"/>
                      <w:marRight w:val="0"/>
                      <w:marTop w:val="0"/>
                      <w:marBottom w:val="0"/>
                      <w:divBdr>
                        <w:top w:val="none" w:sz="0" w:space="0" w:color="auto"/>
                        <w:left w:val="none" w:sz="0" w:space="0" w:color="auto"/>
                        <w:bottom w:val="none" w:sz="0" w:space="0" w:color="auto"/>
                        <w:right w:val="none" w:sz="0" w:space="0" w:color="auto"/>
                      </w:divBdr>
                    </w:div>
                    <w:div w:id="958150243">
                      <w:marLeft w:val="0"/>
                      <w:marRight w:val="0"/>
                      <w:marTop w:val="0"/>
                      <w:marBottom w:val="0"/>
                      <w:divBdr>
                        <w:top w:val="none" w:sz="0" w:space="0" w:color="auto"/>
                        <w:left w:val="none" w:sz="0" w:space="0" w:color="auto"/>
                        <w:bottom w:val="none" w:sz="0" w:space="0" w:color="auto"/>
                        <w:right w:val="none" w:sz="0" w:space="0" w:color="auto"/>
                      </w:divBdr>
                    </w:div>
                    <w:div w:id="1307709929">
                      <w:marLeft w:val="0"/>
                      <w:marRight w:val="0"/>
                      <w:marTop w:val="0"/>
                      <w:marBottom w:val="0"/>
                      <w:divBdr>
                        <w:top w:val="none" w:sz="0" w:space="0" w:color="auto"/>
                        <w:left w:val="none" w:sz="0" w:space="0" w:color="auto"/>
                        <w:bottom w:val="none" w:sz="0" w:space="0" w:color="auto"/>
                        <w:right w:val="none" w:sz="0" w:space="0" w:color="auto"/>
                      </w:divBdr>
                    </w:div>
                    <w:div w:id="1315990916">
                      <w:marLeft w:val="0"/>
                      <w:marRight w:val="0"/>
                      <w:marTop w:val="0"/>
                      <w:marBottom w:val="0"/>
                      <w:divBdr>
                        <w:top w:val="none" w:sz="0" w:space="0" w:color="auto"/>
                        <w:left w:val="none" w:sz="0" w:space="0" w:color="auto"/>
                        <w:bottom w:val="none" w:sz="0" w:space="0" w:color="auto"/>
                        <w:right w:val="none" w:sz="0" w:space="0" w:color="auto"/>
                      </w:divBdr>
                    </w:div>
                    <w:div w:id="1483236409">
                      <w:marLeft w:val="0"/>
                      <w:marRight w:val="0"/>
                      <w:marTop w:val="0"/>
                      <w:marBottom w:val="0"/>
                      <w:divBdr>
                        <w:top w:val="none" w:sz="0" w:space="0" w:color="auto"/>
                        <w:left w:val="none" w:sz="0" w:space="0" w:color="auto"/>
                        <w:bottom w:val="none" w:sz="0" w:space="0" w:color="auto"/>
                        <w:right w:val="none" w:sz="0" w:space="0" w:color="auto"/>
                      </w:divBdr>
                    </w:div>
                    <w:div w:id="2020764987">
                      <w:marLeft w:val="0"/>
                      <w:marRight w:val="0"/>
                      <w:marTop w:val="0"/>
                      <w:marBottom w:val="0"/>
                      <w:divBdr>
                        <w:top w:val="none" w:sz="0" w:space="0" w:color="auto"/>
                        <w:left w:val="none" w:sz="0" w:space="0" w:color="auto"/>
                        <w:bottom w:val="none" w:sz="0" w:space="0" w:color="auto"/>
                        <w:right w:val="none" w:sz="0" w:space="0" w:color="auto"/>
                      </w:divBdr>
                    </w:div>
                  </w:divsChild>
                </w:div>
                <w:div w:id="264964307">
                  <w:marLeft w:val="0"/>
                  <w:marRight w:val="0"/>
                  <w:marTop w:val="0"/>
                  <w:marBottom w:val="0"/>
                  <w:divBdr>
                    <w:top w:val="none" w:sz="0" w:space="0" w:color="auto"/>
                    <w:left w:val="none" w:sz="0" w:space="0" w:color="auto"/>
                    <w:bottom w:val="none" w:sz="0" w:space="0" w:color="auto"/>
                    <w:right w:val="none" w:sz="0" w:space="0" w:color="auto"/>
                  </w:divBdr>
                  <w:divsChild>
                    <w:div w:id="1533836607">
                      <w:marLeft w:val="0"/>
                      <w:marRight w:val="0"/>
                      <w:marTop w:val="0"/>
                      <w:marBottom w:val="0"/>
                      <w:divBdr>
                        <w:top w:val="none" w:sz="0" w:space="0" w:color="auto"/>
                        <w:left w:val="none" w:sz="0" w:space="0" w:color="auto"/>
                        <w:bottom w:val="none" w:sz="0" w:space="0" w:color="auto"/>
                        <w:right w:val="none" w:sz="0" w:space="0" w:color="auto"/>
                      </w:divBdr>
                    </w:div>
                  </w:divsChild>
                </w:div>
                <w:div w:id="287787743">
                  <w:marLeft w:val="0"/>
                  <w:marRight w:val="0"/>
                  <w:marTop w:val="0"/>
                  <w:marBottom w:val="0"/>
                  <w:divBdr>
                    <w:top w:val="none" w:sz="0" w:space="0" w:color="auto"/>
                    <w:left w:val="none" w:sz="0" w:space="0" w:color="auto"/>
                    <w:bottom w:val="none" w:sz="0" w:space="0" w:color="auto"/>
                    <w:right w:val="none" w:sz="0" w:space="0" w:color="auto"/>
                  </w:divBdr>
                  <w:divsChild>
                    <w:div w:id="1046904214">
                      <w:marLeft w:val="0"/>
                      <w:marRight w:val="0"/>
                      <w:marTop w:val="0"/>
                      <w:marBottom w:val="0"/>
                      <w:divBdr>
                        <w:top w:val="none" w:sz="0" w:space="0" w:color="auto"/>
                        <w:left w:val="none" w:sz="0" w:space="0" w:color="auto"/>
                        <w:bottom w:val="none" w:sz="0" w:space="0" w:color="auto"/>
                        <w:right w:val="none" w:sz="0" w:space="0" w:color="auto"/>
                      </w:divBdr>
                    </w:div>
                  </w:divsChild>
                </w:div>
                <w:div w:id="293487671">
                  <w:marLeft w:val="0"/>
                  <w:marRight w:val="0"/>
                  <w:marTop w:val="0"/>
                  <w:marBottom w:val="0"/>
                  <w:divBdr>
                    <w:top w:val="none" w:sz="0" w:space="0" w:color="auto"/>
                    <w:left w:val="none" w:sz="0" w:space="0" w:color="auto"/>
                    <w:bottom w:val="none" w:sz="0" w:space="0" w:color="auto"/>
                    <w:right w:val="none" w:sz="0" w:space="0" w:color="auto"/>
                  </w:divBdr>
                  <w:divsChild>
                    <w:div w:id="158469446">
                      <w:marLeft w:val="0"/>
                      <w:marRight w:val="0"/>
                      <w:marTop w:val="0"/>
                      <w:marBottom w:val="0"/>
                      <w:divBdr>
                        <w:top w:val="none" w:sz="0" w:space="0" w:color="auto"/>
                        <w:left w:val="none" w:sz="0" w:space="0" w:color="auto"/>
                        <w:bottom w:val="none" w:sz="0" w:space="0" w:color="auto"/>
                        <w:right w:val="none" w:sz="0" w:space="0" w:color="auto"/>
                      </w:divBdr>
                    </w:div>
                    <w:div w:id="944921512">
                      <w:marLeft w:val="0"/>
                      <w:marRight w:val="0"/>
                      <w:marTop w:val="0"/>
                      <w:marBottom w:val="0"/>
                      <w:divBdr>
                        <w:top w:val="none" w:sz="0" w:space="0" w:color="auto"/>
                        <w:left w:val="none" w:sz="0" w:space="0" w:color="auto"/>
                        <w:bottom w:val="none" w:sz="0" w:space="0" w:color="auto"/>
                        <w:right w:val="none" w:sz="0" w:space="0" w:color="auto"/>
                      </w:divBdr>
                    </w:div>
                    <w:div w:id="1452744850">
                      <w:marLeft w:val="0"/>
                      <w:marRight w:val="0"/>
                      <w:marTop w:val="0"/>
                      <w:marBottom w:val="0"/>
                      <w:divBdr>
                        <w:top w:val="none" w:sz="0" w:space="0" w:color="auto"/>
                        <w:left w:val="none" w:sz="0" w:space="0" w:color="auto"/>
                        <w:bottom w:val="none" w:sz="0" w:space="0" w:color="auto"/>
                        <w:right w:val="none" w:sz="0" w:space="0" w:color="auto"/>
                      </w:divBdr>
                    </w:div>
                  </w:divsChild>
                </w:div>
                <w:div w:id="300160024">
                  <w:marLeft w:val="0"/>
                  <w:marRight w:val="0"/>
                  <w:marTop w:val="0"/>
                  <w:marBottom w:val="0"/>
                  <w:divBdr>
                    <w:top w:val="none" w:sz="0" w:space="0" w:color="auto"/>
                    <w:left w:val="none" w:sz="0" w:space="0" w:color="auto"/>
                    <w:bottom w:val="none" w:sz="0" w:space="0" w:color="auto"/>
                    <w:right w:val="none" w:sz="0" w:space="0" w:color="auto"/>
                  </w:divBdr>
                  <w:divsChild>
                    <w:div w:id="78257651">
                      <w:marLeft w:val="0"/>
                      <w:marRight w:val="0"/>
                      <w:marTop w:val="0"/>
                      <w:marBottom w:val="0"/>
                      <w:divBdr>
                        <w:top w:val="none" w:sz="0" w:space="0" w:color="auto"/>
                        <w:left w:val="none" w:sz="0" w:space="0" w:color="auto"/>
                        <w:bottom w:val="none" w:sz="0" w:space="0" w:color="auto"/>
                        <w:right w:val="none" w:sz="0" w:space="0" w:color="auto"/>
                      </w:divBdr>
                    </w:div>
                  </w:divsChild>
                </w:div>
                <w:div w:id="304549083">
                  <w:marLeft w:val="0"/>
                  <w:marRight w:val="0"/>
                  <w:marTop w:val="0"/>
                  <w:marBottom w:val="0"/>
                  <w:divBdr>
                    <w:top w:val="none" w:sz="0" w:space="0" w:color="auto"/>
                    <w:left w:val="none" w:sz="0" w:space="0" w:color="auto"/>
                    <w:bottom w:val="none" w:sz="0" w:space="0" w:color="auto"/>
                    <w:right w:val="none" w:sz="0" w:space="0" w:color="auto"/>
                  </w:divBdr>
                  <w:divsChild>
                    <w:div w:id="399013383">
                      <w:marLeft w:val="0"/>
                      <w:marRight w:val="0"/>
                      <w:marTop w:val="0"/>
                      <w:marBottom w:val="0"/>
                      <w:divBdr>
                        <w:top w:val="none" w:sz="0" w:space="0" w:color="auto"/>
                        <w:left w:val="none" w:sz="0" w:space="0" w:color="auto"/>
                        <w:bottom w:val="none" w:sz="0" w:space="0" w:color="auto"/>
                        <w:right w:val="none" w:sz="0" w:space="0" w:color="auto"/>
                      </w:divBdr>
                    </w:div>
                  </w:divsChild>
                </w:div>
                <w:div w:id="305935138">
                  <w:marLeft w:val="0"/>
                  <w:marRight w:val="0"/>
                  <w:marTop w:val="0"/>
                  <w:marBottom w:val="0"/>
                  <w:divBdr>
                    <w:top w:val="none" w:sz="0" w:space="0" w:color="auto"/>
                    <w:left w:val="none" w:sz="0" w:space="0" w:color="auto"/>
                    <w:bottom w:val="none" w:sz="0" w:space="0" w:color="auto"/>
                    <w:right w:val="none" w:sz="0" w:space="0" w:color="auto"/>
                  </w:divBdr>
                  <w:divsChild>
                    <w:div w:id="769397048">
                      <w:marLeft w:val="0"/>
                      <w:marRight w:val="0"/>
                      <w:marTop w:val="0"/>
                      <w:marBottom w:val="0"/>
                      <w:divBdr>
                        <w:top w:val="none" w:sz="0" w:space="0" w:color="auto"/>
                        <w:left w:val="none" w:sz="0" w:space="0" w:color="auto"/>
                        <w:bottom w:val="none" w:sz="0" w:space="0" w:color="auto"/>
                        <w:right w:val="none" w:sz="0" w:space="0" w:color="auto"/>
                      </w:divBdr>
                    </w:div>
                  </w:divsChild>
                </w:div>
                <w:div w:id="310184193">
                  <w:marLeft w:val="0"/>
                  <w:marRight w:val="0"/>
                  <w:marTop w:val="0"/>
                  <w:marBottom w:val="0"/>
                  <w:divBdr>
                    <w:top w:val="none" w:sz="0" w:space="0" w:color="auto"/>
                    <w:left w:val="none" w:sz="0" w:space="0" w:color="auto"/>
                    <w:bottom w:val="none" w:sz="0" w:space="0" w:color="auto"/>
                    <w:right w:val="none" w:sz="0" w:space="0" w:color="auto"/>
                  </w:divBdr>
                  <w:divsChild>
                    <w:div w:id="207645821">
                      <w:marLeft w:val="0"/>
                      <w:marRight w:val="0"/>
                      <w:marTop w:val="0"/>
                      <w:marBottom w:val="0"/>
                      <w:divBdr>
                        <w:top w:val="none" w:sz="0" w:space="0" w:color="auto"/>
                        <w:left w:val="none" w:sz="0" w:space="0" w:color="auto"/>
                        <w:bottom w:val="none" w:sz="0" w:space="0" w:color="auto"/>
                        <w:right w:val="none" w:sz="0" w:space="0" w:color="auto"/>
                      </w:divBdr>
                    </w:div>
                  </w:divsChild>
                </w:div>
                <w:div w:id="336351779">
                  <w:marLeft w:val="0"/>
                  <w:marRight w:val="0"/>
                  <w:marTop w:val="0"/>
                  <w:marBottom w:val="0"/>
                  <w:divBdr>
                    <w:top w:val="none" w:sz="0" w:space="0" w:color="auto"/>
                    <w:left w:val="none" w:sz="0" w:space="0" w:color="auto"/>
                    <w:bottom w:val="none" w:sz="0" w:space="0" w:color="auto"/>
                    <w:right w:val="none" w:sz="0" w:space="0" w:color="auto"/>
                  </w:divBdr>
                  <w:divsChild>
                    <w:div w:id="174880573">
                      <w:marLeft w:val="0"/>
                      <w:marRight w:val="0"/>
                      <w:marTop w:val="0"/>
                      <w:marBottom w:val="0"/>
                      <w:divBdr>
                        <w:top w:val="none" w:sz="0" w:space="0" w:color="auto"/>
                        <w:left w:val="none" w:sz="0" w:space="0" w:color="auto"/>
                        <w:bottom w:val="none" w:sz="0" w:space="0" w:color="auto"/>
                        <w:right w:val="none" w:sz="0" w:space="0" w:color="auto"/>
                      </w:divBdr>
                    </w:div>
                  </w:divsChild>
                </w:div>
                <w:div w:id="344748633">
                  <w:marLeft w:val="0"/>
                  <w:marRight w:val="0"/>
                  <w:marTop w:val="0"/>
                  <w:marBottom w:val="0"/>
                  <w:divBdr>
                    <w:top w:val="none" w:sz="0" w:space="0" w:color="auto"/>
                    <w:left w:val="none" w:sz="0" w:space="0" w:color="auto"/>
                    <w:bottom w:val="none" w:sz="0" w:space="0" w:color="auto"/>
                    <w:right w:val="none" w:sz="0" w:space="0" w:color="auto"/>
                  </w:divBdr>
                  <w:divsChild>
                    <w:div w:id="407651500">
                      <w:marLeft w:val="0"/>
                      <w:marRight w:val="0"/>
                      <w:marTop w:val="0"/>
                      <w:marBottom w:val="0"/>
                      <w:divBdr>
                        <w:top w:val="none" w:sz="0" w:space="0" w:color="auto"/>
                        <w:left w:val="none" w:sz="0" w:space="0" w:color="auto"/>
                        <w:bottom w:val="none" w:sz="0" w:space="0" w:color="auto"/>
                        <w:right w:val="none" w:sz="0" w:space="0" w:color="auto"/>
                      </w:divBdr>
                    </w:div>
                  </w:divsChild>
                </w:div>
                <w:div w:id="381294910">
                  <w:marLeft w:val="0"/>
                  <w:marRight w:val="0"/>
                  <w:marTop w:val="0"/>
                  <w:marBottom w:val="0"/>
                  <w:divBdr>
                    <w:top w:val="none" w:sz="0" w:space="0" w:color="auto"/>
                    <w:left w:val="none" w:sz="0" w:space="0" w:color="auto"/>
                    <w:bottom w:val="none" w:sz="0" w:space="0" w:color="auto"/>
                    <w:right w:val="none" w:sz="0" w:space="0" w:color="auto"/>
                  </w:divBdr>
                  <w:divsChild>
                    <w:div w:id="1072387325">
                      <w:marLeft w:val="0"/>
                      <w:marRight w:val="0"/>
                      <w:marTop w:val="0"/>
                      <w:marBottom w:val="0"/>
                      <w:divBdr>
                        <w:top w:val="none" w:sz="0" w:space="0" w:color="auto"/>
                        <w:left w:val="none" w:sz="0" w:space="0" w:color="auto"/>
                        <w:bottom w:val="none" w:sz="0" w:space="0" w:color="auto"/>
                        <w:right w:val="none" w:sz="0" w:space="0" w:color="auto"/>
                      </w:divBdr>
                    </w:div>
                    <w:div w:id="1830052562">
                      <w:marLeft w:val="0"/>
                      <w:marRight w:val="0"/>
                      <w:marTop w:val="0"/>
                      <w:marBottom w:val="0"/>
                      <w:divBdr>
                        <w:top w:val="none" w:sz="0" w:space="0" w:color="auto"/>
                        <w:left w:val="none" w:sz="0" w:space="0" w:color="auto"/>
                        <w:bottom w:val="none" w:sz="0" w:space="0" w:color="auto"/>
                        <w:right w:val="none" w:sz="0" w:space="0" w:color="auto"/>
                      </w:divBdr>
                    </w:div>
                  </w:divsChild>
                </w:div>
                <w:div w:id="385031363">
                  <w:marLeft w:val="0"/>
                  <w:marRight w:val="0"/>
                  <w:marTop w:val="0"/>
                  <w:marBottom w:val="0"/>
                  <w:divBdr>
                    <w:top w:val="none" w:sz="0" w:space="0" w:color="auto"/>
                    <w:left w:val="none" w:sz="0" w:space="0" w:color="auto"/>
                    <w:bottom w:val="none" w:sz="0" w:space="0" w:color="auto"/>
                    <w:right w:val="none" w:sz="0" w:space="0" w:color="auto"/>
                  </w:divBdr>
                  <w:divsChild>
                    <w:div w:id="1200777020">
                      <w:marLeft w:val="0"/>
                      <w:marRight w:val="0"/>
                      <w:marTop w:val="0"/>
                      <w:marBottom w:val="0"/>
                      <w:divBdr>
                        <w:top w:val="none" w:sz="0" w:space="0" w:color="auto"/>
                        <w:left w:val="none" w:sz="0" w:space="0" w:color="auto"/>
                        <w:bottom w:val="none" w:sz="0" w:space="0" w:color="auto"/>
                        <w:right w:val="none" w:sz="0" w:space="0" w:color="auto"/>
                      </w:divBdr>
                    </w:div>
                  </w:divsChild>
                </w:div>
                <w:div w:id="398017874">
                  <w:marLeft w:val="0"/>
                  <w:marRight w:val="0"/>
                  <w:marTop w:val="0"/>
                  <w:marBottom w:val="0"/>
                  <w:divBdr>
                    <w:top w:val="none" w:sz="0" w:space="0" w:color="auto"/>
                    <w:left w:val="none" w:sz="0" w:space="0" w:color="auto"/>
                    <w:bottom w:val="none" w:sz="0" w:space="0" w:color="auto"/>
                    <w:right w:val="none" w:sz="0" w:space="0" w:color="auto"/>
                  </w:divBdr>
                  <w:divsChild>
                    <w:div w:id="261574712">
                      <w:marLeft w:val="0"/>
                      <w:marRight w:val="0"/>
                      <w:marTop w:val="0"/>
                      <w:marBottom w:val="0"/>
                      <w:divBdr>
                        <w:top w:val="none" w:sz="0" w:space="0" w:color="auto"/>
                        <w:left w:val="none" w:sz="0" w:space="0" w:color="auto"/>
                        <w:bottom w:val="none" w:sz="0" w:space="0" w:color="auto"/>
                        <w:right w:val="none" w:sz="0" w:space="0" w:color="auto"/>
                      </w:divBdr>
                    </w:div>
                  </w:divsChild>
                </w:div>
                <w:div w:id="406804212">
                  <w:marLeft w:val="0"/>
                  <w:marRight w:val="0"/>
                  <w:marTop w:val="0"/>
                  <w:marBottom w:val="0"/>
                  <w:divBdr>
                    <w:top w:val="none" w:sz="0" w:space="0" w:color="auto"/>
                    <w:left w:val="none" w:sz="0" w:space="0" w:color="auto"/>
                    <w:bottom w:val="none" w:sz="0" w:space="0" w:color="auto"/>
                    <w:right w:val="none" w:sz="0" w:space="0" w:color="auto"/>
                  </w:divBdr>
                  <w:divsChild>
                    <w:div w:id="805126679">
                      <w:marLeft w:val="0"/>
                      <w:marRight w:val="0"/>
                      <w:marTop w:val="0"/>
                      <w:marBottom w:val="0"/>
                      <w:divBdr>
                        <w:top w:val="none" w:sz="0" w:space="0" w:color="auto"/>
                        <w:left w:val="none" w:sz="0" w:space="0" w:color="auto"/>
                        <w:bottom w:val="none" w:sz="0" w:space="0" w:color="auto"/>
                        <w:right w:val="none" w:sz="0" w:space="0" w:color="auto"/>
                      </w:divBdr>
                    </w:div>
                  </w:divsChild>
                </w:div>
                <w:div w:id="411706880">
                  <w:marLeft w:val="0"/>
                  <w:marRight w:val="0"/>
                  <w:marTop w:val="0"/>
                  <w:marBottom w:val="0"/>
                  <w:divBdr>
                    <w:top w:val="none" w:sz="0" w:space="0" w:color="auto"/>
                    <w:left w:val="none" w:sz="0" w:space="0" w:color="auto"/>
                    <w:bottom w:val="none" w:sz="0" w:space="0" w:color="auto"/>
                    <w:right w:val="none" w:sz="0" w:space="0" w:color="auto"/>
                  </w:divBdr>
                  <w:divsChild>
                    <w:div w:id="1215238399">
                      <w:marLeft w:val="0"/>
                      <w:marRight w:val="0"/>
                      <w:marTop w:val="0"/>
                      <w:marBottom w:val="0"/>
                      <w:divBdr>
                        <w:top w:val="none" w:sz="0" w:space="0" w:color="auto"/>
                        <w:left w:val="none" w:sz="0" w:space="0" w:color="auto"/>
                        <w:bottom w:val="none" w:sz="0" w:space="0" w:color="auto"/>
                        <w:right w:val="none" w:sz="0" w:space="0" w:color="auto"/>
                      </w:divBdr>
                    </w:div>
                  </w:divsChild>
                </w:div>
                <w:div w:id="413169293">
                  <w:marLeft w:val="0"/>
                  <w:marRight w:val="0"/>
                  <w:marTop w:val="0"/>
                  <w:marBottom w:val="0"/>
                  <w:divBdr>
                    <w:top w:val="none" w:sz="0" w:space="0" w:color="auto"/>
                    <w:left w:val="none" w:sz="0" w:space="0" w:color="auto"/>
                    <w:bottom w:val="none" w:sz="0" w:space="0" w:color="auto"/>
                    <w:right w:val="none" w:sz="0" w:space="0" w:color="auto"/>
                  </w:divBdr>
                  <w:divsChild>
                    <w:div w:id="1476994031">
                      <w:marLeft w:val="0"/>
                      <w:marRight w:val="0"/>
                      <w:marTop w:val="0"/>
                      <w:marBottom w:val="0"/>
                      <w:divBdr>
                        <w:top w:val="none" w:sz="0" w:space="0" w:color="auto"/>
                        <w:left w:val="none" w:sz="0" w:space="0" w:color="auto"/>
                        <w:bottom w:val="none" w:sz="0" w:space="0" w:color="auto"/>
                        <w:right w:val="none" w:sz="0" w:space="0" w:color="auto"/>
                      </w:divBdr>
                    </w:div>
                  </w:divsChild>
                </w:div>
                <w:div w:id="419371320">
                  <w:marLeft w:val="0"/>
                  <w:marRight w:val="0"/>
                  <w:marTop w:val="0"/>
                  <w:marBottom w:val="0"/>
                  <w:divBdr>
                    <w:top w:val="none" w:sz="0" w:space="0" w:color="auto"/>
                    <w:left w:val="none" w:sz="0" w:space="0" w:color="auto"/>
                    <w:bottom w:val="none" w:sz="0" w:space="0" w:color="auto"/>
                    <w:right w:val="none" w:sz="0" w:space="0" w:color="auto"/>
                  </w:divBdr>
                  <w:divsChild>
                    <w:div w:id="1266427133">
                      <w:marLeft w:val="0"/>
                      <w:marRight w:val="0"/>
                      <w:marTop w:val="0"/>
                      <w:marBottom w:val="0"/>
                      <w:divBdr>
                        <w:top w:val="none" w:sz="0" w:space="0" w:color="auto"/>
                        <w:left w:val="none" w:sz="0" w:space="0" w:color="auto"/>
                        <w:bottom w:val="none" w:sz="0" w:space="0" w:color="auto"/>
                        <w:right w:val="none" w:sz="0" w:space="0" w:color="auto"/>
                      </w:divBdr>
                    </w:div>
                  </w:divsChild>
                </w:div>
                <w:div w:id="421419716">
                  <w:marLeft w:val="0"/>
                  <w:marRight w:val="0"/>
                  <w:marTop w:val="0"/>
                  <w:marBottom w:val="0"/>
                  <w:divBdr>
                    <w:top w:val="none" w:sz="0" w:space="0" w:color="auto"/>
                    <w:left w:val="none" w:sz="0" w:space="0" w:color="auto"/>
                    <w:bottom w:val="none" w:sz="0" w:space="0" w:color="auto"/>
                    <w:right w:val="none" w:sz="0" w:space="0" w:color="auto"/>
                  </w:divBdr>
                  <w:divsChild>
                    <w:div w:id="472407010">
                      <w:marLeft w:val="0"/>
                      <w:marRight w:val="0"/>
                      <w:marTop w:val="0"/>
                      <w:marBottom w:val="0"/>
                      <w:divBdr>
                        <w:top w:val="none" w:sz="0" w:space="0" w:color="auto"/>
                        <w:left w:val="none" w:sz="0" w:space="0" w:color="auto"/>
                        <w:bottom w:val="none" w:sz="0" w:space="0" w:color="auto"/>
                        <w:right w:val="none" w:sz="0" w:space="0" w:color="auto"/>
                      </w:divBdr>
                    </w:div>
                  </w:divsChild>
                </w:div>
                <w:div w:id="427847016">
                  <w:marLeft w:val="0"/>
                  <w:marRight w:val="0"/>
                  <w:marTop w:val="0"/>
                  <w:marBottom w:val="0"/>
                  <w:divBdr>
                    <w:top w:val="none" w:sz="0" w:space="0" w:color="auto"/>
                    <w:left w:val="none" w:sz="0" w:space="0" w:color="auto"/>
                    <w:bottom w:val="none" w:sz="0" w:space="0" w:color="auto"/>
                    <w:right w:val="none" w:sz="0" w:space="0" w:color="auto"/>
                  </w:divBdr>
                  <w:divsChild>
                    <w:div w:id="650866449">
                      <w:marLeft w:val="0"/>
                      <w:marRight w:val="0"/>
                      <w:marTop w:val="0"/>
                      <w:marBottom w:val="0"/>
                      <w:divBdr>
                        <w:top w:val="none" w:sz="0" w:space="0" w:color="auto"/>
                        <w:left w:val="none" w:sz="0" w:space="0" w:color="auto"/>
                        <w:bottom w:val="none" w:sz="0" w:space="0" w:color="auto"/>
                        <w:right w:val="none" w:sz="0" w:space="0" w:color="auto"/>
                      </w:divBdr>
                    </w:div>
                  </w:divsChild>
                </w:div>
                <w:div w:id="433942719">
                  <w:marLeft w:val="0"/>
                  <w:marRight w:val="0"/>
                  <w:marTop w:val="0"/>
                  <w:marBottom w:val="0"/>
                  <w:divBdr>
                    <w:top w:val="none" w:sz="0" w:space="0" w:color="auto"/>
                    <w:left w:val="none" w:sz="0" w:space="0" w:color="auto"/>
                    <w:bottom w:val="none" w:sz="0" w:space="0" w:color="auto"/>
                    <w:right w:val="none" w:sz="0" w:space="0" w:color="auto"/>
                  </w:divBdr>
                  <w:divsChild>
                    <w:div w:id="387728876">
                      <w:marLeft w:val="0"/>
                      <w:marRight w:val="0"/>
                      <w:marTop w:val="0"/>
                      <w:marBottom w:val="0"/>
                      <w:divBdr>
                        <w:top w:val="none" w:sz="0" w:space="0" w:color="auto"/>
                        <w:left w:val="none" w:sz="0" w:space="0" w:color="auto"/>
                        <w:bottom w:val="none" w:sz="0" w:space="0" w:color="auto"/>
                        <w:right w:val="none" w:sz="0" w:space="0" w:color="auto"/>
                      </w:divBdr>
                    </w:div>
                  </w:divsChild>
                </w:div>
                <w:div w:id="444349620">
                  <w:marLeft w:val="0"/>
                  <w:marRight w:val="0"/>
                  <w:marTop w:val="0"/>
                  <w:marBottom w:val="0"/>
                  <w:divBdr>
                    <w:top w:val="none" w:sz="0" w:space="0" w:color="auto"/>
                    <w:left w:val="none" w:sz="0" w:space="0" w:color="auto"/>
                    <w:bottom w:val="none" w:sz="0" w:space="0" w:color="auto"/>
                    <w:right w:val="none" w:sz="0" w:space="0" w:color="auto"/>
                  </w:divBdr>
                  <w:divsChild>
                    <w:div w:id="1039820471">
                      <w:marLeft w:val="0"/>
                      <w:marRight w:val="0"/>
                      <w:marTop w:val="0"/>
                      <w:marBottom w:val="0"/>
                      <w:divBdr>
                        <w:top w:val="none" w:sz="0" w:space="0" w:color="auto"/>
                        <w:left w:val="none" w:sz="0" w:space="0" w:color="auto"/>
                        <w:bottom w:val="none" w:sz="0" w:space="0" w:color="auto"/>
                        <w:right w:val="none" w:sz="0" w:space="0" w:color="auto"/>
                      </w:divBdr>
                    </w:div>
                  </w:divsChild>
                </w:div>
                <w:div w:id="447623485">
                  <w:marLeft w:val="0"/>
                  <w:marRight w:val="0"/>
                  <w:marTop w:val="0"/>
                  <w:marBottom w:val="0"/>
                  <w:divBdr>
                    <w:top w:val="none" w:sz="0" w:space="0" w:color="auto"/>
                    <w:left w:val="none" w:sz="0" w:space="0" w:color="auto"/>
                    <w:bottom w:val="none" w:sz="0" w:space="0" w:color="auto"/>
                    <w:right w:val="none" w:sz="0" w:space="0" w:color="auto"/>
                  </w:divBdr>
                  <w:divsChild>
                    <w:div w:id="1366296701">
                      <w:marLeft w:val="0"/>
                      <w:marRight w:val="0"/>
                      <w:marTop w:val="0"/>
                      <w:marBottom w:val="0"/>
                      <w:divBdr>
                        <w:top w:val="none" w:sz="0" w:space="0" w:color="auto"/>
                        <w:left w:val="none" w:sz="0" w:space="0" w:color="auto"/>
                        <w:bottom w:val="none" w:sz="0" w:space="0" w:color="auto"/>
                        <w:right w:val="none" w:sz="0" w:space="0" w:color="auto"/>
                      </w:divBdr>
                    </w:div>
                  </w:divsChild>
                </w:div>
                <w:div w:id="484981233">
                  <w:marLeft w:val="0"/>
                  <w:marRight w:val="0"/>
                  <w:marTop w:val="0"/>
                  <w:marBottom w:val="0"/>
                  <w:divBdr>
                    <w:top w:val="none" w:sz="0" w:space="0" w:color="auto"/>
                    <w:left w:val="none" w:sz="0" w:space="0" w:color="auto"/>
                    <w:bottom w:val="none" w:sz="0" w:space="0" w:color="auto"/>
                    <w:right w:val="none" w:sz="0" w:space="0" w:color="auto"/>
                  </w:divBdr>
                  <w:divsChild>
                    <w:div w:id="53623109">
                      <w:marLeft w:val="0"/>
                      <w:marRight w:val="0"/>
                      <w:marTop w:val="0"/>
                      <w:marBottom w:val="0"/>
                      <w:divBdr>
                        <w:top w:val="none" w:sz="0" w:space="0" w:color="auto"/>
                        <w:left w:val="none" w:sz="0" w:space="0" w:color="auto"/>
                        <w:bottom w:val="none" w:sz="0" w:space="0" w:color="auto"/>
                        <w:right w:val="none" w:sz="0" w:space="0" w:color="auto"/>
                      </w:divBdr>
                    </w:div>
                  </w:divsChild>
                </w:div>
                <w:div w:id="491457776">
                  <w:marLeft w:val="0"/>
                  <w:marRight w:val="0"/>
                  <w:marTop w:val="0"/>
                  <w:marBottom w:val="0"/>
                  <w:divBdr>
                    <w:top w:val="none" w:sz="0" w:space="0" w:color="auto"/>
                    <w:left w:val="none" w:sz="0" w:space="0" w:color="auto"/>
                    <w:bottom w:val="none" w:sz="0" w:space="0" w:color="auto"/>
                    <w:right w:val="none" w:sz="0" w:space="0" w:color="auto"/>
                  </w:divBdr>
                  <w:divsChild>
                    <w:div w:id="1086027591">
                      <w:marLeft w:val="0"/>
                      <w:marRight w:val="0"/>
                      <w:marTop w:val="0"/>
                      <w:marBottom w:val="0"/>
                      <w:divBdr>
                        <w:top w:val="none" w:sz="0" w:space="0" w:color="auto"/>
                        <w:left w:val="none" w:sz="0" w:space="0" w:color="auto"/>
                        <w:bottom w:val="none" w:sz="0" w:space="0" w:color="auto"/>
                        <w:right w:val="none" w:sz="0" w:space="0" w:color="auto"/>
                      </w:divBdr>
                    </w:div>
                  </w:divsChild>
                </w:div>
                <w:div w:id="501941465">
                  <w:marLeft w:val="0"/>
                  <w:marRight w:val="0"/>
                  <w:marTop w:val="0"/>
                  <w:marBottom w:val="0"/>
                  <w:divBdr>
                    <w:top w:val="none" w:sz="0" w:space="0" w:color="auto"/>
                    <w:left w:val="none" w:sz="0" w:space="0" w:color="auto"/>
                    <w:bottom w:val="none" w:sz="0" w:space="0" w:color="auto"/>
                    <w:right w:val="none" w:sz="0" w:space="0" w:color="auto"/>
                  </w:divBdr>
                  <w:divsChild>
                    <w:div w:id="677075695">
                      <w:marLeft w:val="0"/>
                      <w:marRight w:val="0"/>
                      <w:marTop w:val="0"/>
                      <w:marBottom w:val="0"/>
                      <w:divBdr>
                        <w:top w:val="none" w:sz="0" w:space="0" w:color="auto"/>
                        <w:left w:val="none" w:sz="0" w:space="0" w:color="auto"/>
                        <w:bottom w:val="none" w:sz="0" w:space="0" w:color="auto"/>
                        <w:right w:val="none" w:sz="0" w:space="0" w:color="auto"/>
                      </w:divBdr>
                    </w:div>
                  </w:divsChild>
                </w:div>
                <w:div w:id="507332455">
                  <w:marLeft w:val="0"/>
                  <w:marRight w:val="0"/>
                  <w:marTop w:val="0"/>
                  <w:marBottom w:val="0"/>
                  <w:divBdr>
                    <w:top w:val="none" w:sz="0" w:space="0" w:color="auto"/>
                    <w:left w:val="none" w:sz="0" w:space="0" w:color="auto"/>
                    <w:bottom w:val="none" w:sz="0" w:space="0" w:color="auto"/>
                    <w:right w:val="none" w:sz="0" w:space="0" w:color="auto"/>
                  </w:divBdr>
                  <w:divsChild>
                    <w:div w:id="1399085780">
                      <w:marLeft w:val="0"/>
                      <w:marRight w:val="0"/>
                      <w:marTop w:val="0"/>
                      <w:marBottom w:val="0"/>
                      <w:divBdr>
                        <w:top w:val="none" w:sz="0" w:space="0" w:color="auto"/>
                        <w:left w:val="none" w:sz="0" w:space="0" w:color="auto"/>
                        <w:bottom w:val="none" w:sz="0" w:space="0" w:color="auto"/>
                        <w:right w:val="none" w:sz="0" w:space="0" w:color="auto"/>
                      </w:divBdr>
                    </w:div>
                  </w:divsChild>
                </w:div>
                <w:div w:id="514223139">
                  <w:marLeft w:val="0"/>
                  <w:marRight w:val="0"/>
                  <w:marTop w:val="0"/>
                  <w:marBottom w:val="0"/>
                  <w:divBdr>
                    <w:top w:val="none" w:sz="0" w:space="0" w:color="auto"/>
                    <w:left w:val="none" w:sz="0" w:space="0" w:color="auto"/>
                    <w:bottom w:val="none" w:sz="0" w:space="0" w:color="auto"/>
                    <w:right w:val="none" w:sz="0" w:space="0" w:color="auto"/>
                  </w:divBdr>
                  <w:divsChild>
                    <w:div w:id="211620776">
                      <w:marLeft w:val="0"/>
                      <w:marRight w:val="0"/>
                      <w:marTop w:val="0"/>
                      <w:marBottom w:val="0"/>
                      <w:divBdr>
                        <w:top w:val="none" w:sz="0" w:space="0" w:color="auto"/>
                        <w:left w:val="none" w:sz="0" w:space="0" w:color="auto"/>
                        <w:bottom w:val="none" w:sz="0" w:space="0" w:color="auto"/>
                        <w:right w:val="none" w:sz="0" w:space="0" w:color="auto"/>
                      </w:divBdr>
                    </w:div>
                  </w:divsChild>
                </w:div>
                <w:div w:id="539785204">
                  <w:marLeft w:val="0"/>
                  <w:marRight w:val="0"/>
                  <w:marTop w:val="0"/>
                  <w:marBottom w:val="0"/>
                  <w:divBdr>
                    <w:top w:val="none" w:sz="0" w:space="0" w:color="auto"/>
                    <w:left w:val="none" w:sz="0" w:space="0" w:color="auto"/>
                    <w:bottom w:val="none" w:sz="0" w:space="0" w:color="auto"/>
                    <w:right w:val="none" w:sz="0" w:space="0" w:color="auto"/>
                  </w:divBdr>
                  <w:divsChild>
                    <w:div w:id="28070158">
                      <w:marLeft w:val="0"/>
                      <w:marRight w:val="0"/>
                      <w:marTop w:val="0"/>
                      <w:marBottom w:val="0"/>
                      <w:divBdr>
                        <w:top w:val="none" w:sz="0" w:space="0" w:color="auto"/>
                        <w:left w:val="none" w:sz="0" w:space="0" w:color="auto"/>
                        <w:bottom w:val="none" w:sz="0" w:space="0" w:color="auto"/>
                        <w:right w:val="none" w:sz="0" w:space="0" w:color="auto"/>
                      </w:divBdr>
                    </w:div>
                  </w:divsChild>
                </w:div>
                <w:div w:id="540560073">
                  <w:marLeft w:val="0"/>
                  <w:marRight w:val="0"/>
                  <w:marTop w:val="0"/>
                  <w:marBottom w:val="0"/>
                  <w:divBdr>
                    <w:top w:val="none" w:sz="0" w:space="0" w:color="auto"/>
                    <w:left w:val="none" w:sz="0" w:space="0" w:color="auto"/>
                    <w:bottom w:val="none" w:sz="0" w:space="0" w:color="auto"/>
                    <w:right w:val="none" w:sz="0" w:space="0" w:color="auto"/>
                  </w:divBdr>
                  <w:divsChild>
                    <w:div w:id="1947035683">
                      <w:marLeft w:val="0"/>
                      <w:marRight w:val="0"/>
                      <w:marTop w:val="0"/>
                      <w:marBottom w:val="0"/>
                      <w:divBdr>
                        <w:top w:val="none" w:sz="0" w:space="0" w:color="auto"/>
                        <w:left w:val="none" w:sz="0" w:space="0" w:color="auto"/>
                        <w:bottom w:val="none" w:sz="0" w:space="0" w:color="auto"/>
                        <w:right w:val="none" w:sz="0" w:space="0" w:color="auto"/>
                      </w:divBdr>
                    </w:div>
                  </w:divsChild>
                </w:div>
                <w:div w:id="545145730">
                  <w:marLeft w:val="0"/>
                  <w:marRight w:val="0"/>
                  <w:marTop w:val="0"/>
                  <w:marBottom w:val="0"/>
                  <w:divBdr>
                    <w:top w:val="none" w:sz="0" w:space="0" w:color="auto"/>
                    <w:left w:val="none" w:sz="0" w:space="0" w:color="auto"/>
                    <w:bottom w:val="none" w:sz="0" w:space="0" w:color="auto"/>
                    <w:right w:val="none" w:sz="0" w:space="0" w:color="auto"/>
                  </w:divBdr>
                  <w:divsChild>
                    <w:div w:id="338889349">
                      <w:marLeft w:val="0"/>
                      <w:marRight w:val="0"/>
                      <w:marTop w:val="0"/>
                      <w:marBottom w:val="0"/>
                      <w:divBdr>
                        <w:top w:val="none" w:sz="0" w:space="0" w:color="auto"/>
                        <w:left w:val="none" w:sz="0" w:space="0" w:color="auto"/>
                        <w:bottom w:val="none" w:sz="0" w:space="0" w:color="auto"/>
                        <w:right w:val="none" w:sz="0" w:space="0" w:color="auto"/>
                      </w:divBdr>
                    </w:div>
                  </w:divsChild>
                </w:div>
                <w:div w:id="547299706">
                  <w:marLeft w:val="0"/>
                  <w:marRight w:val="0"/>
                  <w:marTop w:val="0"/>
                  <w:marBottom w:val="0"/>
                  <w:divBdr>
                    <w:top w:val="none" w:sz="0" w:space="0" w:color="auto"/>
                    <w:left w:val="none" w:sz="0" w:space="0" w:color="auto"/>
                    <w:bottom w:val="none" w:sz="0" w:space="0" w:color="auto"/>
                    <w:right w:val="none" w:sz="0" w:space="0" w:color="auto"/>
                  </w:divBdr>
                  <w:divsChild>
                    <w:div w:id="478813567">
                      <w:marLeft w:val="0"/>
                      <w:marRight w:val="0"/>
                      <w:marTop w:val="0"/>
                      <w:marBottom w:val="0"/>
                      <w:divBdr>
                        <w:top w:val="none" w:sz="0" w:space="0" w:color="auto"/>
                        <w:left w:val="none" w:sz="0" w:space="0" w:color="auto"/>
                        <w:bottom w:val="none" w:sz="0" w:space="0" w:color="auto"/>
                        <w:right w:val="none" w:sz="0" w:space="0" w:color="auto"/>
                      </w:divBdr>
                    </w:div>
                  </w:divsChild>
                </w:div>
                <w:div w:id="549270387">
                  <w:marLeft w:val="0"/>
                  <w:marRight w:val="0"/>
                  <w:marTop w:val="0"/>
                  <w:marBottom w:val="0"/>
                  <w:divBdr>
                    <w:top w:val="none" w:sz="0" w:space="0" w:color="auto"/>
                    <w:left w:val="none" w:sz="0" w:space="0" w:color="auto"/>
                    <w:bottom w:val="none" w:sz="0" w:space="0" w:color="auto"/>
                    <w:right w:val="none" w:sz="0" w:space="0" w:color="auto"/>
                  </w:divBdr>
                  <w:divsChild>
                    <w:div w:id="177276285">
                      <w:marLeft w:val="0"/>
                      <w:marRight w:val="0"/>
                      <w:marTop w:val="0"/>
                      <w:marBottom w:val="0"/>
                      <w:divBdr>
                        <w:top w:val="none" w:sz="0" w:space="0" w:color="auto"/>
                        <w:left w:val="none" w:sz="0" w:space="0" w:color="auto"/>
                        <w:bottom w:val="none" w:sz="0" w:space="0" w:color="auto"/>
                        <w:right w:val="none" w:sz="0" w:space="0" w:color="auto"/>
                      </w:divBdr>
                    </w:div>
                  </w:divsChild>
                </w:div>
                <w:div w:id="565187590">
                  <w:marLeft w:val="0"/>
                  <w:marRight w:val="0"/>
                  <w:marTop w:val="0"/>
                  <w:marBottom w:val="0"/>
                  <w:divBdr>
                    <w:top w:val="none" w:sz="0" w:space="0" w:color="auto"/>
                    <w:left w:val="none" w:sz="0" w:space="0" w:color="auto"/>
                    <w:bottom w:val="none" w:sz="0" w:space="0" w:color="auto"/>
                    <w:right w:val="none" w:sz="0" w:space="0" w:color="auto"/>
                  </w:divBdr>
                  <w:divsChild>
                    <w:div w:id="1284262314">
                      <w:marLeft w:val="0"/>
                      <w:marRight w:val="0"/>
                      <w:marTop w:val="0"/>
                      <w:marBottom w:val="0"/>
                      <w:divBdr>
                        <w:top w:val="none" w:sz="0" w:space="0" w:color="auto"/>
                        <w:left w:val="none" w:sz="0" w:space="0" w:color="auto"/>
                        <w:bottom w:val="none" w:sz="0" w:space="0" w:color="auto"/>
                        <w:right w:val="none" w:sz="0" w:space="0" w:color="auto"/>
                      </w:divBdr>
                    </w:div>
                  </w:divsChild>
                </w:div>
                <w:div w:id="566182888">
                  <w:marLeft w:val="0"/>
                  <w:marRight w:val="0"/>
                  <w:marTop w:val="0"/>
                  <w:marBottom w:val="0"/>
                  <w:divBdr>
                    <w:top w:val="none" w:sz="0" w:space="0" w:color="auto"/>
                    <w:left w:val="none" w:sz="0" w:space="0" w:color="auto"/>
                    <w:bottom w:val="none" w:sz="0" w:space="0" w:color="auto"/>
                    <w:right w:val="none" w:sz="0" w:space="0" w:color="auto"/>
                  </w:divBdr>
                  <w:divsChild>
                    <w:div w:id="718670793">
                      <w:marLeft w:val="0"/>
                      <w:marRight w:val="0"/>
                      <w:marTop w:val="0"/>
                      <w:marBottom w:val="0"/>
                      <w:divBdr>
                        <w:top w:val="none" w:sz="0" w:space="0" w:color="auto"/>
                        <w:left w:val="none" w:sz="0" w:space="0" w:color="auto"/>
                        <w:bottom w:val="none" w:sz="0" w:space="0" w:color="auto"/>
                        <w:right w:val="none" w:sz="0" w:space="0" w:color="auto"/>
                      </w:divBdr>
                    </w:div>
                  </w:divsChild>
                </w:div>
                <w:div w:id="569467611">
                  <w:marLeft w:val="0"/>
                  <w:marRight w:val="0"/>
                  <w:marTop w:val="0"/>
                  <w:marBottom w:val="0"/>
                  <w:divBdr>
                    <w:top w:val="none" w:sz="0" w:space="0" w:color="auto"/>
                    <w:left w:val="none" w:sz="0" w:space="0" w:color="auto"/>
                    <w:bottom w:val="none" w:sz="0" w:space="0" w:color="auto"/>
                    <w:right w:val="none" w:sz="0" w:space="0" w:color="auto"/>
                  </w:divBdr>
                  <w:divsChild>
                    <w:div w:id="22904261">
                      <w:marLeft w:val="0"/>
                      <w:marRight w:val="0"/>
                      <w:marTop w:val="0"/>
                      <w:marBottom w:val="0"/>
                      <w:divBdr>
                        <w:top w:val="none" w:sz="0" w:space="0" w:color="auto"/>
                        <w:left w:val="none" w:sz="0" w:space="0" w:color="auto"/>
                        <w:bottom w:val="none" w:sz="0" w:space="0" w:color="auto"/>
                        <w:right w:val="none" w:sz="0" w:space="0" w:color="auto"/>
                      </w:divBdr>
                    </w:div>
                  </w:divsChild>
                </w:div>
                <w:div w:id="570312746">
                  <w:marLeft w:val="0"/>
                  <w:marRight w:val="0"/>
                  <w:marTop w:val="0"/>
                  <w:marBottom w:val="0"/>
                  <w:divBdr>
                    <w:top w:val="none" w:sz="0" w:space="0" w:color="auto"/>
                    <w:left w:val="none" w:sz="0" w:space="0" w:color="auto"/>
                    <w:bottom w:val="none" w:sz="0" w:space="0" w:color="auto"/>
                    <w:right w:val="none" w:sz="0" w:space="0" w:color="auto"/>
                  </w:divBdr>
                  <w:divsChild>
                    <w:div w:id="264847709">
                      <w:marLeft w:val="0"/>
                      <w:marRight w:val="0"/>
                      <w:marTop w:val="0"/>
                      <w:marBottom w:val="0"/>
                      <w:divBdr>
                        <w:top w:val="none" w:sz="0" w:space="0" w:color="auto"/>
                        <w:left w:val="none" w:sz="0" w:space="0" w:color="auto"/>
                        <w:bottom w:val="none" w:sz="0" w:space="0" w:color="auto"/>
                        <w:right w:val="none" w:sz="0" w:space="0" w:color="auto"/>
                      </w:divBdr>
                    </w:div>
                  </w:divsChild>
                </w:div>
                <w:div w:id="570889971">
                  <w:marLeft w:val="0"/>
                  <w:marRight w:val="0"/>
                  <w:marTop w:val="0"/>
                  <w:marBottom w:val="0"/>
                  <w:divBdr>
                    <w:top w:val="none" w:sz="0" w:space="0" w:color="auto"/>
                    <w:left w:val="none" w:sz="0" w:space="0" w:color="auto"/>
                    <w:bottom w:val="none" w:sz="0" w:space="0" w:color="auto"/>
                    <w:right w:val="none" w:sz="0" w:space="0" w:color="auto"/>
                  </w:divBdr>
                  <w:divsChild>
                    <w:div w:id="8797252">
                      <w:marLeft w:val="0"/>
                      <w:marRight w:val="0"/>
                      <w:marTop w:val="0"/>
                      <w:marBottom w:val="0"/>
                      <w:divBdr>
                        <w:top w:val="none" w:sz="0" w:space="0" w:color="auto"/>
                        <w:left w:val="none" w:sz="0" w:space="0" w:color="auto"/>
                        <w:bottom w:val="none" w:sz="0" w:space="0" w:color="auto"/>
                        <w:right w:val="none" w:sz="0" w:space="0" w:color="auto"/>
                      </w:divBdr>
                    </w:div>
                  </w:divsChild>
                </w:div>
                <w:div w:id="582374917">
                  <w:marLeft w:val="0"/>
                  <w:marRight w:val="0"/>
                  <w:marTop w:val="0"/>
                  <w:marBottom w:val="0"/>
                  <w:divBdr>
                    <w:top w:val="none" w:sz="0" w:space="0" w:color="auto"/>
                    <w:left w:val="none" w:sz="0" w:space="0" w:color="auto"/>
                    <w:bottom w:val="none" w:sz="0" w:space="0" w:color="auto"/>
                    <w:right w:val="none" w:sz="0" w:space="0" w:color="auto"/>
                  </w:divBdr>
                  <w:divsChild>
                    <w:div w:id="2129473093">
                      <w:marLeft w:val="0"/>
                      <w:marRight w:val="0"/>
                      <w:marTop w:val="0"/>
                      <w:marBottom w:val="0"/>
                      <w:divBdr>
                        <w:top w:val="none" w:sz="0" w:space="0" w:color="auto"/>
                        <w:left w:val="none" w:sz="0" w:space="0" w:color="auto"/>
                        <w:bottom w:val="none" w:sz="0" w:space="0" w:color="auto"/>
                        <w:right w:val="none" w:sz="0" w:space="0" w:color="auto"/>
                      </w:divBdr>
                    </w:div>
                  </w:divsChild>
                </w:div>
                <w:div w:id="582684499">
                  <w:marLeft w:val="0"/>
                  <w:marRight w:val="0"/>
                  <w:marTop w:val="0"/>
                  <w:marBottom w:val="0"/>
                  <w:divBdr>
                    <w:top w:val="none" w:sz="0" w:space="0" w:color="auto"/>
                    <w:left w:val="none" w:sz="0" w:space="0" w:color="auto"/>
                    <w:bottom w:val="none" w:sz="0" w:space="0" w:color="auto"/>
                    <w:right w:val="none" w:sz="0" w:space="0" w:color="auto"/>
                  </w:divBdr>
                  <w:divsChild>
                    <w:div w:id="96562394">
                      <w:marLeft w:val="0"/>
                      <w:marRight w:val="0"/>
                      <w:marTop w:val="0"/>
                      <w:marBottom w:val="0"/>
                      <w:divBdr>
                        <w:top w:val="none" w:sz="0" w:space="0" w:color="auto"/>
                        <w:left w:val="none" w:sz="0" w:space="0" w:color="auto"/>
                        <w:bottom w:val="none" w:sz="0" w:space="0" w:color="auto"/>
                        <w:right w:val="none" w:sz="0" w:space="0" w:color="auto"/>
                      </w:divBdr>
                    </w:div>
                  </w:divsChild>
                </w:div>
                <w:div w:id="612327708">
                  <w:marLeft w:val="0"/>
                  <w:marRight w:val="0"/>
                  <w:marTop w:val="0"/>
                  <w:marBottom w:val="0"/>
                  <w:divBdr>
                    <w:top w:val="none" w:sz="0" w:space="0" w:color="auto"/>
                    <w:left w:val="none" w:sz="0" w:space="0" w:color="auto"/>
                    <w:bottom w:val="none" w:sz="0" w:space="0" w:color="auto"/>
                    <w:right w:val="none" w:sz="0" w:space="0" w:color="auto"/>
                  </w:divBdr>
                  <w:divsChild>
                    <w:div w:id="542333409">
                      <w:marLeft w:val="0"/>
                      <w:marRight w:val="0"/>
                      <w:marTop w:val="0"/>
                      <w:marBottom w:val="0"/>
                      <w:divBdr>
                        <w:top w:val="none" w:sz="0" w:space="0" w:color="auto"/>
                        <w:left w:val="none" w:sz="0" w:space="0" w:color="auto"/>
                        <w:bottom w:val="none" w:sz="0" w:space="0" w:color="auto"/>
                        <w:right w:val="none" w:sz="0" w:space="0" w:color="auto"/>
                      </w:divBdr>
                    </w:div>
                  </w:divsChild>
                </w:div>
                <w:div w:id="614026067">
                  <w:marLeft w:val="0"/>
                  <w:marRight w:val="0"/>
                  <w:marTop w:val="0"/>
                  <w:marBottom w:val="0"/>
                  <w:divBdr>
                    <w:top w:val="none" w:sz="0" w:space="0" w:color="auto"/>
                    <w:left w:val="none" w:sz="0" w:space="0" w:color="auto"/>
                    <w:bottom w:val="none" w:sz="0" w:space="0" w:color="auto"/>
                    <w:right w:val="none" w:sz="0" w:space="0" w:color="auto"/>
                  </w:divBdr>
                  <w:divsChild>
                    <w:div w:id="1541934899">
                      <w:marLeft w:val="0"/>
                      <w:marRight w:val="0"/>
                      <w:marTop w:val="0"/>
                      <w:marBottom w:val="0"/>
                      <w:divBdr>
                        <w:top w:val="none" w:sz="0" w:space="0" w:color="auto"/>
                        <w:left w:val="none" w:sz="0" w:space="0" w:color="auto"/>
                        <w:bottom w:val="none" w:sz="0" w:space="0" w:color="auto"/>
                        <w:right w:val="none" w:sz="0" w:space="0" w:color="auto"/>
                      </w:divBdr>
                    </w:div>
                  </w:divsChild>
                </w:div>
                <w:div w:id="620303834">
                  <w:marLeft w:val="0"/>
                  <w:marRight w:val="0"/>
                  <w:marTop w:val="0"/>
                  <w:marBottom w:val="0"/>
                  <w:divBdr>
                    <w:top w:val="none" w:sz="0" w:space="0" w:color="auto"/>
                    <w:left w:val="none" w:sz="0" w:space="0" w:color="auto"/>
                    <w:bottom w:val="none" w:sz="0" w:space="0" w:color="auto"/>
                    <w:right w:val="none" w:sz="0" w:space="0" w:color="auto"/>
                  </w:divBdr>
                  <w:divsChild>
                    <w:div w:id="1780640122">
                      <w:marLeft w:val="0"/>
                      <w:marRight w:val="0"/>
                      <w:marTop w:val="0"/>
                      <w:marBottom w:val="0"/>
                      <w:divBdr>
                        <w:top w:val="none" w:sz="0" w:space="0" w:color="auto"/>
                        <w:left w:val="none" w:sz="0" w:space="0" w:color="auto"/>
                        <w:bottom w:val="none" w:sz="0" w:space="0" w:color="auto"/>
                        <w:right w:val="none" w:sz="0" w:space="0" w:color="auto"/>
                      </w:divBdr>
                    </w:div>
                  </w:divsChild>
                </w:div>
                <w:div w:id="621039849">
                  <w:marLeft w:val="0"/>
                  <w:marRight w:val="0"/>
                  <w:marTop w:val="0"/>
                  <w:marBottom w:val="0"/>
                  <w:divBdr>
                    <w:top w:val="none" w:sz="0" w:space="0" w:color="auto"/>
                    <w:left w:val="none" w:sz="0" w:space="0" w:color="auto"/>
                    <w:bottom w:val="none" w:sz="0" w:space="0" w:color="auto"/>
                    <w:right w:val="none" w:sz="0" w:space="0" w:color="auto"/>
                  </w:divBdr>
                  <w:divsChild>
                    <w:div w:id="252977969">
                      <w:marLeft w:val="0"/>
                      <w:marRight w:val="0"/>
                      <w:marTop w:val="0"/>
                      <w:marBottom w:val="0"/>
                      <w:divBdr>
                        <w:top w:val="none" w:sz="0" w:space="0" w:color="auto"/>
                        <w:left w:val="none" w:sz="0" w:space="0" w:color="auto"/>
                        <w:bottom w:val="none" w:sz="0" w:space="0" w:color="auto"/>
                        <w:right w:val="none" w:sz="0" w:space="0" w:color="auto"/>
                      </w:divBdr>
                    </w:div>
                  </w:divsChild>
                </w:div>
                <w:div w:id="623343839">
                  <w:marLeft w:val="0"/>
                  <w:marRight w:val="0"/>
                  <w:marTop w:val="0"/>
                  <w:marBottom w:val="0"/>
                  <w:divBdr>
                    <w:top w:val="none" w:sz="0" w:space="0" w:color="auto"/>
                    <w:left w:val="none" w:sz="0" w:space="0" w:color="auto"/>
                    <w:bottom w:val="none" w:sz="0" w:space="0" w:color="auto"/>
                    <w:right w:val="none" w:sz="0" w:space="0" w:color="auto"/>
                  </w:divBdr>
                  <w:divsChild>
                    <w:div w:id="22246346">
                      <w:marLeft w:val="0"/>
                      <w:marRight w:val="0"/>
                      <w:marTop w:val="0"/>
                      <w:marBottom w:val="0"/>
                      <w:divBdr>
                        <w:top w:val="none" w:sz="0" w:space="0" w:color="auto"/>
                        <w:left w:val="none" w:sz="0" w:space="0" w:color="auto"/>
                        <w:bottom w:val="none" w:sz="0" w:space="0" w:color="auto"/>
                        <w:right w:val="none" w:sz="0" w:space="0" w:color="auto"/>
                      </w:divBdr>
                    </w:div>
                  </w:divsChild>
                </w:div>
                <w:div w:id="627399735">
                  <w:marLeft w:val="0"/>
                  <w:marRight w:val="0"/>
                  <w:marTop w:val="0"/>
                  <w:marBottom w:val="0"/>
                  <w:divBdr>
                    <w:top w:val="none" w:sz="0" w:space="0" w:color="auto"/>
                    <w:left w:val="none" w:sz="0" w:space="0" w:color="auto"/>
                    <w:bottom w:val="none" w:sz="0" w:space="0" w:color="auto"/>
                    <w:right w:val="none" w:sz="0" w:space="0" w:color="auto"/>
                  </w:divBdr>
                  <w:divsChild>
                    <w:div w:id="1081834739">
                      <w:marLeft w:val="0"/>
                      <w:marRight w:val="0"/>
                      <w:marTop w:val="0"/>
                      <w:marBottom w:val="0"/>
                      <w:divBdr>
                        <w:top w:val="none" w:sz="0" w:space="0" w:color="auto"/>
                        <w:left w:val="none" w:sz="0" w:space="0" w:color="auto"/>
                        <w:bottom w:val="none" w:sz="0" w:space="0" w:color="auto"/>
                        <w:right w:val="none" w:sz="0" w:space="0" w:color="auto"/>
                      </w:divBdr>
                    </w:div>
                  </w:divsChild>
                </w:div>
                <w:div w:id="643315730">
                  <w:marLeft w:val="0"/>
                  <w:marRight w:val="0"/>
                  <w:marTop w:val="0"/>
                  <w:marBottom w:val="0"/>
                  <w:divBdr>
                    <w:top w:val="none" w:sz="0" w:space="0" w:color="auto"/>
                    <w:left w:val="none" w:sz="0" w:space="0" w:color="auto"/>
                    <w:bottom w:val="none" w:sz="0" w:space="0" w:color="auto"/>
                    <w:right w:val="none" w:sz="0" w:space="0" w:color="auto"/>
                  </w:divBdr>
                  <w:divsChild>
                    <w:div w:id="1515998488">
                      <w:marLeft w:val="0"/>
                      <w:marRight w:val="0"/>
                      <w:marTop w:val="0"/>
                      <w:marBottom w:val="0"/>
                      <w:divBdr>
                        <w:top w:val="none" w:sz="0" w:space="0" w:color="auto"/>
                        <w:left w:val="none" w:sz="0" w:space="0" w:color="auto"/>
                        <w:bottom w:val="none" w:sz="0" w:space="0" w:color="auto"/>
                        <w:right w:val="none" w:sz="0" w:space="0" w:color="auto"/>
                      </w:divBdr>
                    </w:div>
                  </w:divsChild>
                </w:div>
                <w:div w:id="650643861">
                  <w:marLeft w:val="0"/>
                  <w:marRight w:val="0"/>
                  <w:marTop w:val="0"/>
                  <w:marBottom w:val="0"/>
                  <w:divBdr>
                    <w:top w:val="none" w:sz="0" w:space="0" w:color="auto"/>
                    <w:left w:val="none" w:sz="0" w:space="0" w:color="auto"/>
                    <w:bottom w:val="none" w:sz="0" w:space="0" w:color="auto"/>
                    <w:right w:val="none" w:sz="0" w:space="0" w:color="auto"/>
                  </w:divBdr>
                  <w:divsChild>
                    <w:div w:id="1574730241">
                      <w:marLeft w:val="0"/>
                      <w:marRight w:val="0"/>
                      <w:marTop w:val="0"/>
                      <w:marBottom w:val="0"/>
                      <w:divBdr>
                        <w:top w:val="none" w:sz="0" w:space="0" w:color="auto"/>
                        <w:left w:val="none" w:sz="0" w:space="0" w:color="auto"/>
                        <w:bottom w:val="none" w:sz="0" w:space="0" w:color="auto"/>
                        <w:right w:val="none" w:sz="0" w:space="0" w:color="auto"/>
                      </w:divBdr>
                    </w:div>
                  </w:divsChild>
                </w:div>
                <w:div w:id="651954865">
                  <w:marLeft w:val="0"/>
                  <w:marRight w:val="0"/>
                  <w:marTop w:val="0"/>
                  <w:marBottom w:val="0"/>
                  <w:divBdr>
                    <w:top w:val="none" w:sz="0" w:space="0" w:color="auto"/>
                    <w:left w:val="none" w:sz="0" w:space="0" w:color="auto"/>
                    <w:bottom w:val="none" w:sz="0" w:space="0" w:color="auto"/>
                    <w:right w:val="none" w:sz="0" w:space="0" w:color="auto"/>
                  </w:divBdr>
                  <w:divsChild>
                    <w:div w:id="676463297">
                      <w:marLeft w:val="0"/>
                      <w:marRight w:val="0"/>
                      <w:marTop w:val="0"/>
                      <w:marBottom w:val="0"/>
                      <w:divBdr>
                        <w:top w:val="none" w:sz="0" w:space="0" w:color="auto"/>
                        <w:left w:val="none" w:sz="0" w:space="0" w:color="auto"/>
                        <w:bottom w:val="none" w:sz="0" w:space="0" w:color="auto"/>
                        <w:right w:val="none" w:sz="0" w:space="0" w:color="auto"/>
                      </w:divBdr>
                    </w:div>
                  </w:divsChild>
                </w:div>
                <w:div w:id="653217945">
                  <w:marLeft w:val="0"/>
                  <w:marRight w:val="0"/>
                  <w:marTop w:val="0"/>
                  <w:marBottom w:val="0"/>
                  <w:divBdr>
                    <w:top w:val="none" w:sz="0" w:space="0" w:color="auto"/>
                    <w:left w:val="none" w:sz="0" w:space="0" w:color="auto"/>
                    <w:bottom w:val="none" w:sz="0" w:space="0" w:color="auto"/>
                    <w:right w:val="none" w:sz="0" w:space="0" w:color="auto"/>
                  </w:divBdr>
                  <w:divsChild>
                    <w:div w:id="1722288663">
                      <w:marLeft w:val="0"/>
                      <w:marRight w:val="0"/>
                      <w:marTop w:val="0"/>
                      <w:marBottom w:val="0"/>
                      <w:divBdr>
                        <w:top w:val="none" w:sz="0" w:space="0" w:color="auto"/>
                        <w:left w:val="none" w:sz="0" w:space="0" w:color="auto"/>
                        <w:bottom w:val="none" w:sz="0" w:space="0" w:color="auto"/>
                        <w:right w:val="none" w:sz="0" w:space="0" w:color="auto"/>
                      </w:divBdr>
                    </w:div>
                  </w:divsChild>
                </w:div>
                <w:div w:id="655574207">
                  <w:marLeft w:val="0"/>
                  <w:marRight w:val="0"/>
                  <w:marTop w:val="0"/>
                  <w:marBottom w:val="0"/>
                  <w:divBdr>
                    <w:top w:val="none" w:sz="0" w:space="0" w:color="auto"/>
                    <w:left w:val="none" w:sz="0" w:space="0" w:color="auto"/>
                    <w:bottom w:val="none" w:sz="0" w:space="0" w:color="auto"/>
                    <w:right w:val="none" w:sz="0" w:space="0" w:color="auto"/>
                  </w:divBdr>
                  <w:divsChild>
                    <w:div w:id="599608900">
                      <w:marLeft w:val="0"/>
                      <w:marRight w:val="0"/>
                      <w:marTop w:val="0"/>
                      <w:marBottom w:val="0"/>
                      <w:divBdr>
                        <w:top w:val="none" w:sz="0" w:space="0" w:color="auto"/>
                        <w:left w:val="none" w:sz="0" w:space="0" w:color="auto"/>
                        <w:bottom w:val="none" w:sz="0" w:space="0" w:color="auto"/>
                        <w:right w:val="none" w:sz="0" w:space="0" w:color="auto"/>
                      </w:divBdr>
                    </w:div>
                  </w:divsChild>
                </w:div>
                <w:div w:id="662860608">
                  <w:marLeft w:val="0"/>
                  <w:marRight w:val="0"/>
                  <w:marTop w:val="0"/>
                  <w:marBottom w:val="0"/>
                  <w:divBdr>
                    <w:top w:val="none" w:sz="0" w:space="0" w:color="auto"/>
                    <w:left w:val="none" w:sz="0" w:space="0" w:color="auto"/>
                    <w:bottom w:val="none" w:sz="0" w:space="0" w:color="auto"/>
                    <w:right w:val="none" w:sz="0" w:space="0" w:color="auto"/>
                  </w:divBdr>
                  <w:divsChild>
                    <w:div w:id="1341157919">
                      <w:marLeft w:val="0"/>
                      <w:marRight w:val="0"/>
                      <w:marTop w:val="0"/>
                      <w:marBottom w:val="0"/>
                      <w:divBdr>
                        <w:top w:val="none" w:sz="0" w:space="0" w:color="auto"/>
                        <w:left w:val="none" w:sz="0" w:space="0" w:color="auto"/>
                        <w:bottom w:val="none" w:sz="0" w:space="0" w:color="auto"/>
                        <w:right w:val="none" w:sz="0" w:space="0" w:color="auto"/>
                      </w:divBdr>
                    </w:div>
                    <w:div w:id="1434324331">
                      <w:marLeft w:val="0"/>
                      <w:marRight w:val="0"/>
                      <w:marTop w:val="0"/>
                      <w:marBottom w:val="0"/>
                      <w:divBdr>
                        <w:top w:val="none" w:sz="0" w:space="0" w:color="auto"/>
                        <w:left w:val="none" w:sz="0" w:space="0" w:color="auto"/>
                        <w:bottom w:val="none" w:sz="0" w:space="0" w:color="auto"/>
                        <w:right w:val="none" w:sz="0" w:space="0" w:color="auto"/>
                      </w:divBdr>
                    </w:div>
                    <w:div w:id="1744831654">
                      <w:marLeft w:val="0"/>
                      <w:marRight w:val="0"/>
                      <w:marTop w:val="0"/>
                      <w:marBottom w:val="0"/>
                      <w:divBdr>
                        <w:top w:val="none" w:sz="0" w:space="0" w:color="auto"/>
                        <w:left w:val="none" w:sz="0" w:space="0" w:color="auto"/>
                        <w:bottom w:val="none" w:sz="0" w:space="0" w:color="auto"/>
                        <w:right w:val="none" w:sz="0" w:space="0" w:color="auto"/>
                      </w:divBdr>
                    </w:div>
                  </w:divsChild>
                </w:div>
                <w:div w:id="671875156">
                  <w:marLeft w:val="0"/>
                  <w:marRight w:val="0"/>
                  <w:marTop w:val="0"/>
                  <w:marBottom w:val="0"/>
                  <w:divBdr>
                    <w:top w:val="none" w:sz="0" w:space="0" w:color="auto"/>
                    <w:left w:val="none" w:sz="0" w:space="0" w:color="auto"/>
                    <w:bottom w:val="none" w:sz="0" w:space="0" w:color="auto"/>
                    <w:right w:val="none" w:sz="0" w:space="0" w:color="auto"/>
                  </w:divBdr>
                  <w:divsChild>
                    <w:div w:id="469980747">
                      <w:marLeft w:val="0"/>
                      <w:marRight w:val="0"/>
                      <w:marTop w:val="0"/>
                      <w:marBottom w:val="0"/>
                      <w:divBdr>
                        <w:top w:val="none" w:sz="0" w:space="0" w:color="auto"/>
                        <w:left w:val="none" w:sz="0" w:space="0" w:color="auto"/>
                        <w:bottom w:val="none" w:sz="0" w:space="0" w:color="auto"/>
                        <w:right w:val="none" w:sz="0" w:space="0" w:color="auto"/>
                      </w:divBdr>
                    </w:div>
                  </w:divsChild>
                </w:div>
                <w:div w:id="681129702">
                  <w:marLeft w:val="0"/>
                  <w:marRight w:val="0"/>
                  <w:marTop w:val="0"/>
                  <w:marBottom w:val="0"/>
                  <w:divBdr>
                    <w:top w:val="none" w:sz="0" w:space="0" w:color="auto"/>
                    <w:left w:val="none" w:sz="0" w:space="0" w:color="auto"/>
                    <w:bottom w:val="none" w:sz="0" w:space="0" w:color="auto"/>
                    <w:right w:val="none" w:sz="0" w:space="0" w:color="auto"/>
                  </w:divBdr>
                  <w:divsChild>
                    <w:div w:id="1154299425">
                      <w:marLeft w:val="0"/>
                      <w:marRight w:val="0"/>
                      <w:marTop w:val="0"/>
                      <w:marBottom w:val="0"/>
                      <w:divBdr>
                        <w:top w:val="none" w:sz="0" w:space="0" w:color="auto"/>
                        <w:left w:val="none" w:sz="0" w:space="0" w:color="auto"/>
                        <w:bottom w:val="none" w:sz="0" w:space="0" w:color="auto"/>
                        <w:right w:val="none" w:sz="0" w:space="0" w:color="auto"/>
                      </w:divBdr>
                    </w:div>
                  </w:divsChild>
                </w:div>
                <w:div w:id="683283542">
                  <w:marLeft w:val="0"/>
                  <w:marRight w:val="0"/>
                  <w:marTop w:val="0"/>
                  <w:marBottom w:val="0"/>
                  <w:divBdr>
                    <w:top w:val="none" w:sz="0" w:space="0" w:color="auto"/>
                    <w:left w:val="none" w:sz="0" w:space="0" w:color="auto"/>
                    <w:bottom w:val="none" w:sz="0" w:space="0" w:color="auto"/>
                    <w:right w:val="none" w:sz="0" w:space="0" w:color="auto"/>
                  </w:divBdr>
                  <w:divsChild>
                    <w:div w:id="678695404">
                      <w:marLeft w:val="0"/>
                      <w:marRight w:val="0"/>
                      <w:marTop w:val="0"/>
                      <w:marBottom w:val="0"/>
                      <w:divBdr>
                        <w:top w:val="none" w:sz="0" w:space="0" w:color="auto"/>
                        <w:left w:val="none" w:sz="0" w:space="0" w:color="auto"/>
                        <w:bottom w:val="none" w:sz="0" w:space="0" w:color="auto"/>
                        <w:right w:val="none" w:sz="0" w:space="0" w:color="auto"/>
                      </w:divBdr>
                    </w:div>
                  </w:divsChild>
                </w:div>
                <w:div w:id="683896991">
                  <w:marLeft w:val="0"/>
                  <w:marRight w:val="0"/>
                  <w:marTop w:val="0"/>
                  <w:marBottom w:val="0"/>
                  <w:divBdr>
                    <w:top w:val="none" w:sz="0" w:space="0" w:color="auto"/>
                    <w:left w:val="none" w:sz="0" w:space="0" w:color="auto"/>
                    <w:bottom w:val="none" w:sz="0" w:space="0" w:color="auto"/>
                    <w:right w:val="none" w:sz="0" w:space="0" w:color="auto"/>
                  </w:divBdr>
                  <w:divsChild>
                    <w:div w:id="1738359430">
                      <w:marLeft w:val="0"/>
                      <w:marRight w:val="0"/>
                      <w:marTop w:val="0"/>
                      <w:marBottom w:val="0"/>
                      <w:divBdr>
                        <w:top w:val="none" w:sz="0" w:space="0" w:color="auto"/>
                        <w:left w:val="none" w:sz="0" w:space="0" w:color="auto"/>
                        <w:bottom w:val="none" w:sz="0" w:space="0" w:color="auto"/>
                        <w:right w:val="none" w:sz="0" w:space="0" w:color="auto"/>
                      </w:divBdr>
                    </w:div>
                  </w:divsChild>
                </w:div>
                <w:div w:id="690569288">
                  <w:marLeft w:val="0"/>
                  <w:marRight w:val="0"/>
                  <w:marTop w:val="0"/>
                  <w:marBottom w:val="0"/>
                  <w:divBdr>
                    <w:top w:val="none" w:sz="0" w:space="0" w:color="auto"/>
                    <w:left w:val="none" w:sz="0" w:space="0" w:color="auto"/>
                    <w:bottom w:val="none" w:sz="0" w:space="0" w:color="auto"/>
                    <w:right w:val="none" w:sz="0" w:space="0" w:color="auto"/>
                  </w:divBdr>
                  <w:divsChild>
                    <w:div w:id="1857426488">
                      <w:marLeft w:val="0"/>
                      <w:marRight w:val="0"/>
                      <w:marTop w:val="0"/>
                      <w:marBottom w:val="0"/>
                      <w:divBdr>
                        <w:top w:val="none" w:sz="0" w:space="0" w:color="auto"/>
                        <w:left w:val="none" w:sz="0" w:space="0" w:color="auto"/>
                        <w:bottom w:val="none" w:sz="0" w:space="0" w:color="auto"/>
                        <w:right w:val="none" w:sz="0" w:space="0" w:color="auto"/>
                      </w:divBdr>
                    </w:div>
                  </w:divsChild>
                </w:div>
                <w:div w:id="694766080">
                  <w:marLeft w:val="0"/>
                  <w:marRight w:val="0"/>
                  <w:marTop w:val="0"/>
                  <w:marBottom w:val="0"/>
                  <w:divBdr>
                    <w:top w:val="none" w:sz="0" w:space="0" w:color="auto"/>
                    <w:left w:val="none" w:sz="0" w:space="0" w:color="auto"/>
                    <w:bottom w:val="none" w:sz="0" w:space="0" w:color="auto"/>
                    <w:right w:val="none" w:sz="0" w:space="0" w:color="auto"/>
                  </w:divBdr>
                  <w:divsChild>
                    <w:div w:id="1870949138">
                      <w:marLeft w:val="0"/>
                      <w:marRight w:val="0"/>
                      <w:marTop w:val="0"/>
                      <w:marBottom w:val="0"/>
                      <w:divBdr>
                        <w:top w:val="none" w:sz="0" w:space="0" w:color="auto"/>
                        <w:left w:val="none" w:sz="0" w:space="0" w:color="auto"/>
                        <w:bottom w:val="none" w:sz="0" w:space="0" w:color="auto"/>
                        <w:right w:val="none" w:sz="0" w:space="0" w:color="auto"/>
                      </w:divBdr>
                    </w:div>
                  </w:divsChild>
                </w:div>
                <w:div w:id="707026988">
                  <w:marLeft w:val="0"/>
                  <w:marRight w:val="0"/>
                  <w:marTop w:val="0"/>
                  <w:marBottom w:val="0"/>
                  <w:divBdr>
                    <w:top w:val="none" w:sz="0" w:space="0" w:color="auto"/>
                    <w:left w:val="none" w:sz="0" w:space="0" w:color="auto"/>
                    <w:bottom w:val="none" w:sz="0" w:space="0" w:color="auto"/>
                    <w:right w:val="none" w:sz="0" w:space="0" w:color="auto"/>
                  </w:divBdr>
                  <w:divsChild>
                    <w:div w:id="1281373846">
                      <w:marLeft w:val="0"/>
                      <w:marRight w:val="0"/>
                      <w:marTop w:val="0"/>
                      <w:marBottom w:val="0"/>
                      <w:divBdr>
                        <w:top w:val="none" w:sz="0" w:space="0" w:color="auto"/>
                        <w:left w:val="none" w:sz="0" w:space="0" w:color="auto"/>
                        <w:bottom w:val="none" w:sz="0" w:space="0" w:color="auto"/>
                        <w:right w:val="none" w:sz="0" w:space="0" w:color="auto"/>
                      </w:divBdr>
                    </w:div>
                  </w:divsChild>
                </w:div>
                <w:div w:id="711541862">
                  <w:marLeft w:val="0"/>
                  <w:marRight w:val="0"/>
                  <w:marTop w:val="0"/>
                  <w:marBottom w:val="0"/>
                  <w:divBdr>
                    <w:top w:val="none" w:sz="0" w:space="0" w:color="auto"/>
                    <w:left w:val="none" w:sz="0" w:space="0" w:color="auto"/>
                    <w:bottom w:val="none" w:sz="0" w:space="0" w:color="auto"/>
                    <w:right w:val="none" w:sz="0" w:space="0" w:color="auto"/>
                  </w:divBdr>
                  <w:divsChild>
                    <w:div w:id="364213758">
                      <w:marLeft w:val="0"/>
                      <w:marRight w:val="0"/>
                      <w:marTop w:val="0"/>
                      <w:marBottom w:val="0"/>
                      <w:divBdr>
                        <w:top w:val="none" w:sz="0" w:space="0" w:color="auto"/>
                        <w:left w:val="none" w:sz="0" w:space="0" w:color="auto"/>
                        <w:bottom w:val="none" w:sz="0" w:space="0" w:color="auto"/>
                        <w:right w:val="none" w:sz="0" w:space="0" w:color="auto"/>
                      </w:divBdr>
                    </w:div>
                  </w:divsChild>
                </w:div>
                <w:div w:id="713039788">
                  <w:marLeft w:val="0"/>
                  <w:marRight w:val="0"/>
                  <w:marTop w:val="0"/>
                  <w:marBottom w:val="0"/>
                  <w:divBdr>
                    <w:top w:val="none" w:sz="0" w:space="0" w:color="auto"/>
                    <w:left w:val="none" w:sz="0" w:space="0" w:color="auto"/>
                    <w:bottom w:val="none" w:sz="0" w:space="0" w:color="auto"/>
                    <w:right w:val="none" w:sz="0" w:space="0" w:color="auto"/>
                  </w:divBdr>
                  <w:divsChild>
                    <w:div w:id="1065251932">
                      <w:marLeft w:val="0"/>
                      <w:marRight w:val="0"/>
                      <w:marTop w:val="0"/>
                      <w:marBottom w:val="0"/>
                      <w:divBdr>
                        <w:top w:val="none" w:sz="0" w:space="0" w:color="auto"/>
                        <w:left w:val="none" w:sz="0" w:space="0" w:color="auto"/>
                        <w:bottom w:val="none" w:sz="0" w:space="0" w:color="auto"/>
                        <w:right w:val="none" w:sz="0" w:space="0" w:color="auto"/>
                      </w:divBdr>
                    </w:div>
                  </w:divsChild>
                </w:div>
                <w:div w:id="718821426">
                  <w:marLeft w:val="0"/>
                  <w:marRight w:val="0"/>
                  <w:marTop w:val="0"/>
                  <w:marBottom w:val="0"/>
                  <w:divBdr>
                    <w:top w:val="none" w:sz="0" w:space="0" w:color="auto"/>
                    <w:left w:val="none" w:sz="0" w:space="0" w:color="auto"/>
                    <w:bottom w:val="none" w:sz="0" w:space="0" w:color="auto"/>
                    <w:right w:val="none" w:sz="0" w:space="0" w:color="auto"/>
                  </w:divBdr>
                  <w:divsChild>
                    <w:div w:id="1759718004">
                      <w:marLeft w:val="0"/>
                      <w:marRight w:val="0"/>
                      <w:marTop w:val="0"/>
                      <w:marBottom w:val="0"/>
                      <w:divBdr>
                        <w:top w:val="none" w:sz="0" w:space="0" w:color="auto"/>
                        <w:left w:val="none" w:sz="0" w:space="0" w:color="auto"/>
                        <w:bottom w:val="none" w:sz="0" w:space="0" w:color="auto"/>
                        <w:right w:val="none" w:sz="0" w:space="0" w:color="auto"/>
                      </w:divBdr>
                    </w:div>
                  </w:divsChild>
                </w:div>
                <w:div w:id="730344061">
                  <w:marLeft w:val="0"/>
                  <w:marRight w:val="0"/>
                  <w:marTop w:val="0"/>
                  <w:marBottom w:val="0"/>
                  <w:divBdr>
                    <w:top w:val="none" w:sz="0" w:space="0" w:color="auto"/>
                    <w:left w:val="none" w:sz="0" w:space="0" w:color="auto"/>
                    <w:bottom w:val="none" w:sz="0" w:space="0" w:color="auto"/>
                    <w:right w:val="none" w:sz="0" w:space="0" w:color="auto"/>
                  </w:divBdr>
                  <w:divsChild>
                    <w:div w:id="1926378447">
                      <w:marLeft w:val="0"/>
                      <w:marRight w:val="0"/>
                      <w:marTop w:val="0"/>
                      <w:marBottom w:val="0"/>
                      <w:divBdr>
                        <w:top w:val="none" w:sz="0" w:space="0" w:color="auto"/>
                        <w:left w:val="none" w:sz="0" w:space="0" w:color="auto"/>
                        <w:bottom w:val="none" w:sz="0" w:space="0" w:color="auto"/>
                        <w:right w:val="none" w:sz="0" w:space="0" w:color="auto"/>
                      </w:divBdr>
                    </w:div>
                  </w:divsChild>
                </w:div>
                <w:div w:id="731927581">
                  <w:marLeft w:val="0"/>
                  <w:marRight w:val="0"/>
                  <w:marTop w:val="0"/>
                  <w:marBottom w:val="0"/>
                  <w:divBdr>
                    <w:top w:val="none" w:sz="0" w:space="0" w:color="auto"/>
                    <w:left w:val="none" w:sz="0" w:space="0" w:color="auto"/>
                    <w:bottom w:val="none" w:sz="0" w:space="0" w:color="auto"/>
                    <w:right w:val="none" w:sz="0" w:space="0" w:color="auto"/>
                  </w:divBdr>
                  <w:divsChild>
                    <w:div w:id="573977735">
                      <w:marLeft w:val="0"/>
                      <w:marRight w:val="0"/>
                      <w:marTop w:val="0"/>
                      <w:marBottom w:val="0"/>
                      <w:divBdr>
                        <w:top w:val="none" w:sz="0" w:space="0" w:color="auto"/>
                        <w:left w:val="none" w:sz="0" w:space="0" w:color="auto"/>
                        <w:bottom w:val="none" w:sz="0" w:space="0" w:color="auto"/>
                        <w:right w:val="none" w:sz="0" w:space="0" w:color="auto"/>
                      </w:divBdr>
                    </w:div>
                  </w:divsChild>
                </w:div>
                <w:div w:id="733897258">
                  <w:marLeft w:val="0"/>
                  <w:marRight w:val="0"/>
                  <w:marTop w:val="0"/>
                  <w:marBottom w:val="0"/>
                  <w:divBdr>
                    <w:top w:val="none" w:sz="0" w:space="0" w:color="auto"/>
                    <w:left w:val="none" w:sz="0" w:space="0" w:color="auto"/>
                    <w:bottom w:val="none" w:sz="0" w:space="0" w:color="auto"/>
                    <w:right w:val="none" w:sz="0" w:space="0" w:color="auto"/>
                  </w:divBdr>
                  <w:divsChild>
                    <w:div w:id="1023482342">
                      <w:marLeft w:val="0"/>
                      <w:marRight w:val="0"/>
                      <w:marTop w:val="0"/>
                      <w:marBottom w:val="0"/>
                      <w:divBdr>
                        <w:top w:val="none" w:sz="0" w:space="0" w:color="auto"/>
                        <w:left w:val="none" w:sz="0" w:space="0" w:color="auto"/>
                        <w:bottom w:val="none" w:sz="0" w:space="0" w:color="auto"/>
                        <w:right w:val="none" w:sz="0" w:space="0" w:color="auto"/>
                      </w:divBdr>
                    </w:div>
                  </w:divsChild>
                </w:div>
                <w:div w:id="739714172">
                  <w:marLeft w:val="0"/>
                  <w:marRight w:val="0"/>
                  <w:marTop w:val="0"/>
                  <w:marBottom w:val="0"/>
                  <w:divBdr>
                    <w:top w:val="none" w:sz="0" w:space="0" w:color="auto"/>
                    <w:left w:val="none" w:sz="0" w:space="0" w:color="auto"/>
                    <w:bottom w:val="none" w:sz="0" w:space="0" w:color="auto"/>
                    <w:right w:val="none" w:sz="0" w:space="0" w:color="auto"/>
                  </w:divBdr>
                  <w:divsChild>
                    <w:div w:id="8795654">
                      <w:marLeft w:val="0"/>
                      <w:marRight w:val="0"/>
                      <w:marTop w:val="0"/>
                      <w:marBottom w:val="0"/>
                      <w:divBdr>
                        <w:top w:val="none" w:sz="0" w:space="0" w:color="auto"/>
                        <w:left w:val="none" w:sz="0" w:space="0" w:color="auto"/>
                        <w:bottom w:val="none" w:sz="0" w:space="0" w:color="auto"/>
                        <w:right w:val="none" w:sz="0" w:space="0" w:color="auto"/>
                      </w:divBdr>
                    </w:div>
                  </w:divsChild>
                </w:div>
                <w:div w:id="750271796">
                  <w:marLeft w:val="0"/>
                  <w:marRight w:val="0"/>
                  <w:marTop w:val="0"/>
                  <w:marBottom w:val="0"/>
                  <w:divBdr>
                    <w:top w:val="none" w:sz="0" w:space="0" w:color="auto"/>
                    <w:left w:val="none" w:sz="0" w:space="0" w:color="auto"/>
                    <w:bottom w:val="none" w:sz="0" w:space="0" w:color="auto"/>
                    <w:right w:val="none" w:sz="0" w:space="0" w:color="auto"/>
                  </w:divBdr>
                  <w:divsChild>
                    <w:div w:id="1913662952">
                      <w:marLeft w:val="0"/>
                      <w:marRight w:val="0"/>
                      <w:marTop w:val="0"/>
                      <w:marBottom w:val="0"/>
                      <w:divBdr>
                        <w:top w:val="none" w:sz="0" w:space="0" w:color="auto"/>
                        <w:left w:val="none" w:sz="0" w:space="0" w:color="auto"/>
                        <w:bottom w:val="none" w:sz="0" w:space="0" w:color="auto"/>
                        <w:right w:val="none" w:sz="0" w:space="0" w:color="auto"/>
                      </w:divBdr>
                    </w:div>
                  </w:divsChild>
                </w:div>
                <w:div w:id="750735854">
                  <w:marLeft w:val="0"/>
                  <w:marRight w:val="0"/>
                  <w:marTop w:val="0"/>
                  <w:marBottom w:val="0"/>
                  <w:divBdr>
                    <w:top w:val="none" w:sz="0" w:space="0" w:color="auto"/>
                    <w:left w:val="none" w:sz="0" w:space="0" w:color="auto"/>
                    <w:bottom w:val="none" w:sz="0" w:space="0" w:color="auto"/>
                    <w:right w:val="none" w:sz="0" w:space="0" w:color="auto"/>
                  </w:divBdr>
                  <w:divsChild>
                    <w:div w:id="479347788">
                      <w:marLeft w:val="0"/>
                      <w:marRight w:val="0"/>
                      <w:marTop w:val="0"/>
                      <w:marBottom w:val="0"/>
                      <w:divBdr>
                        <w:top w:val="none" w:sz="0" w:space="0" w:color="auto"/>
                        <w:left w:val="none" w:sz="0" w:space="0" w:color="auto"/>
                        <w:bottom w:val="none" w:sz="0" w:space="0" w:color="auto"/>
                        <w:right w:val="none" w:sz="0" w:space="0" w:color="auto"/>
                      </w:divBdr>
                    </w:div>
                  </w:divsChild>
                </w:div>
                <w:div w:id="756709220">
                  <w:marLeft w:val="0"/>
                  <w:marRight w:val="0"/>
                  <w:marTop w:val="0"/>
                  <w:marBottom w:val="0"/>
                  <w:divBdr>
                    <w:top w:val="none" w:sz="0" w:space="0" w:color="auto"/>
                    <w:left w:val="none" w:sz="0" w:space="0" w:color="auto"/>
                    <w:bottom w:val="none" w:sz="0" w:space="0" w:color="auto"/>
                    <w:right w:val="none" w:sz="0" w:space="0" w:color="auto"/>
                  </w:divBdr>
                  <w:divsChild>
                    <w:div w:id="489097204">
                      <w:marLeft w:val="0"/>
                      <w:marRight w:val="0"/>
                      <w:marTop w:val="0"/>
                      <w:marBottom w:val="0"/>
                      <w:divBdr>
                        <w:top w:val="none" w:sz="0" w:space="0" w:color="auto"/>
                        <w:left w:val="none" w:sz="0" w:space="0" w:color="auto"/>
                        <w:bottom w:val="none" w:sz="0" w:space="0" w:color="auto"/>
                        <w:right w:val="none" w:sz="0" w:space="0" w:color="auto"/>
                      </w:divBdr>
                    </w:div>
                  </w:divsChild>
                </w:div>
                <w:div w:id="770316481">
                  <w:marLeft w:val="0"/>
                  <w:marRight w:val="0"/>
                  <w:marTop w:val="0"/>
                  <w:marBottom w:val="0"/>
                  <w:divBdr>
                    <w:top w:val="none" w:sz="0" w:space="0" w:color="auto"/>
                    <w:left w:val="none" w:sz="0" w:space="0" w:color="auto"/>
                    <w:bottom w:val="none" w:sz="0" w:space="0" w:color="auto"/>
                    <w:right w:val="none" w:sz="0" w:space="0" w:color="auto"/>
                  </w:divBdr>
                  <w:divsChild>
                    <w:div w:id="869221475">
                      <w:marLeft w:val="0"/>
                      <w:marRight w:val="0"/>
                      <w:marTop w:val="0"/>
                      <w:marBottom w:val="0"/>
                      <w:divBdr>
                        <w:top w:val="none" w:sz="0" w:space="0" w:color="auto"/>
                        <w:left w:val="none" w:sz="0" w:space="0" w:color="auto"/>
                        <w:bottom w:val="none" w:sz="0" w:space="0" w:color="auto"/>
                        <w:right w:val="none" w:sz="0" w:space="0" w:color="auto"/>
                      </w:divBdr>
                    </w:div>
                  </w:divsChild>
                </w:div>
                <w:div w:id="780343781">
                  <w:marLeft w:val="0"/>
                  <w:marRight w:val="0"/>
                  <w:marTop w:val="0"/>
                  <w:marBottom w:val="0"/>
                  <w:divBdr>
                    <w:top w:val="none" w:sz="0" w:space="0" w:color="auto"/>
                    <w:left w:val="none" w:sz="0" w:space="0" w:color="auto"/>
                    <w:bottom w:val="none" w:sz="0" w:space="0" w:color="auto"/>
                    <w:right w:val="none" w:sz="0" w:space="0" w:color="auto"/>
                  </w:divBdr>
                  <w:divsChild>
                    <w:div w:id="1349605086">
                      <w:marLeft w:val="0"/>
                      <w:marRight w:val="0"/>
                      <w:marTop w:val="0"/>
                      <w:marBottom w:val="0"/>
                      <w:divBdr>
                        <w:top w:val="none" w:sz="0" w:space="0" w:color="auto"/>
                        <w:left w:val="none" w:sz="0" w:space="0" w:color="auto"/>
                        <w:bottom w:val="none" w:sz="0" w:space="0" w:color="auto"/>
                        <w:right w:val="none" w:sz="0" w:space="0" w:color="auto"/>
                      </w:divBdr>
                    </w:div>
                  </w:divsChild>
                </w:div>
                <w:div w:id="794714742">
                  <w:marLeft w:val="0"/>
                  <w:marRight w:val="0"/>
                  <w:marTop w:val="0"/>
                  <w:marBottom w:val="0"/>
                  <w:divBdr>
                    <w:top w:val="none" w:sz="0" w:space="0" w:color="auto"/>
                    <w:left w:val="none" w:sz="0" w:space="0" w:color="auto"/>
                    <w:bottom w:val="none" w:sz="0" w:space="0" w:color="auto"/>
                    <w:right w:val="none" w:sz="0" w:space="0" w:color="auto"/>
                  </w:divBdr>
                  <w:divsChild>
                    <w:div w:id="711350239">
                      <w:marLeft w:val="0"/>
                      <w:marRight w:val="0"/>
                      <w:marTop w:val="0"/>
                      <w:marBottom w:val="0"/>
                      <w:divBdr>
                        <w:top w:val="none" w:sz="0" w:space="0" w:color="auto"/>
                        <w:left w:val="none" w:sz="0" w:space="0" w:color="auto"/>
                        <w:bottom w:val="none" w:sz="0" w:space="0" w:color="auto"/>
                        <w:right w:val="none" w:sz="0" w:space="0" w:color="auto"/>
                      </w:divBdr>
                    </w:div>
                  </w:divsChild>
                </w:div>
                <w:div w:id="811606095">
                  <w:marLeft w:val="0"/>
                  <w:marRight w:val="0"/>
                  <w:marTop w:val="0"/>
                  <w:marBottom w:val="0"/>
                  <w:divBdr>
                    <w:top w:val="none" w:sz="0" w:space="0" w:color="auto"/>
                    <w:left w:val="none" w:sz="0" w:space="0" w:color="auto"/>
                    <w:bottom w:val="none" w:sz="0" w:space="0" w:color="auto"/>
                    <w:right w:val="none" w:sz="0" w:space="0" w:color="auto"/>
                  </w:divBdr>
                  <w:divsChild>
                    <w:div w:id="1932465735">
                      <w:marLeft w:val="0"/>
                      <w:marRight w:val="0"/>
                      <w:marTop w:val="0"/>
                      <w:marBottom w:val="0"/>
                      <w:divBdr>
                        <w:top w:val="none" w:sz="0" w:space="0" w:color="auto"/>
                        <w:left w:val="none" w:sz="0" w:space="0" w:color="auto"/>
                        <w:bottom w:val="none" w:sz="0" w:space="0" w:color="auto"/>
                        <w:right w:val="none" w:sz="0" w:space="0" w:color="auto"/>
                      </w:divBdr>
                    </w:div>
                  </w:divsChild>
                </w:div>
                <w:div w:id="811680618">
                  <w:marLeft w:val="0"/>
                  <w:marRight w:val="0"/>
                  <w:marTop w:val="0"/>
                  <w:marBottom w:val="0"/>
                  <w:divBdr>
                    <w:top w:val="none" w:sz="0" w:space="0" w:color="auto"/>
                    <w:left w:val="none" w:sz="0" w:space="0" w:color="auto"/>
                    <w:bottom w:val="none" w:sz="0" w:space="0" w:color="auto"/>
                    <w:right w:val="none" w:sz="0" w:space="0" w:color="auto"/>
                  </w:divBdr>
                  <w:divsChild>
                    <w:div w:id="2062515667">
                      <w:marLeft w:val="0"/>
                      <w:marRight w:val="0"/>
                      <w:marTop w:val="0"/>
                      <w:marBottom w:val="0"/>
                      <w:divBdr>
                        <w:top w:val="none" w:sz="0" w:space="0" w:color="auto"/>
                        <w:left w:val="none" w:sz="0" w:space="0" w:color="auto"/>
                        <w:bottom w:val="none" w:sz="0" w:space="0" w:color="auto"/>
                        <w:right w:val="none" w:sz="0" w:space="0" w:color="auto"/>
                      </w:divBdr>
                    </w:div>
                  </w:divsChild>
                </w:div>
                <w:div w:id="812600971">
                  <w:marLeft w:val="0"/>
                  <w:marRight w:val="0"/>
                  <w:marTop w:val="0"/>
                  <w:marBottom w:val="0"/>
                  <w:divBdr>
                    <w:top w:val="none" w:sz="0" w:space="0" w:color="auto"/>
                    <w:left w:val="none" w:sz="0" w:space="0" w:color="auto"/>
                    <w:bottom w:val="none" w:sz="0" w:space="0" w:color="auto"/>
                    <w:right w:val="none" w:sz="0" w:space="0" w:color="auto"/>
                  </w:divBdr>
                  <w:divsChild>
                    <w:div w:id="463232685">
                      <w:marLeft w:val="0"/>
                      <w:marRight w:val="0"/>
                      <w:marTop w:val="0"/>
                      <w:marBottom w:val="0"/>
                      <w:divBdr>
                        <w:top w:val="none" w:sz="0" w:space="0" w:color="auto"/>
                        <w:left w:val="none" w:sz="0" w:space="0" w:color="auto"/>
                        <w:bottom w:val="none" w:sz="0" w:space="0" w:color="auto"/>
                        <w:right w:val="none" w:sz="0" w:space="0" w:color="auto"/>
                      </w:divBdr>
                    </w:div>
                  </w:divsChild>
                </w:div>
                <w:div w:id="812871382">
                  <w:marLeft w:val="0"/>
                  <w:marRight w:val="0"/>
                  <w:marTop w:val="0"/>
                  <w:marBottom w:val="0"/>
                  <w:divBdr>
                    <w:top w:val="none" w:sz="0" w:space="0" w:color="auto"/>
                    <w:left w:val="none" w:sz="0" w:space="0" w:color="auto"/>
                    <w:bottom w:val="none" w:sz="0" w:space="0" w:color="auto"/>
                    <w:right w:val="none" w:sz="0" w:space="0" w:color="auto"/>
                  </w:divBdr>
                  <w:divsChild>
                    <w:div w:id="187987327">
                      <w:marLeft w:val="0"/>
                      <w:marRight w:val="0"/>
                      <w:marTop w:val="0"/>
                      <w:marBottom w:val="0"/>
                      <w:divBdr>
                        <w:top w:val="none" w:sz="0" w:space="0" w:color="auto"/>
                        <w:left w:val="none" w:sz="0" w:space="0" w:color="auto"/>
                        <w:bottom w:val="none" w:sz="0" w:space="0" w:color="auto"/>
                        <w:right w:val="none" w:sz="0" w:space="0" w:color="auto"/>
                      </w:divBdr>
                    </w:div>
                  </w:divsChild>
                </w:div>
                <w:div w:id="816410260">
                  <w:marLeft w:val="0"/>
                  <w:marRight w:val="0"/>
                  <w:marTop w:val="0"/>
                  <w:marBottom w:val="0"/>
                  <w:divBdr>
                    <w:top w:val="none" w:sz="0" w:space="0" w:color="auto"/>
                    <w:left w:val="none" w:sz="0" w:space="0" w:color="auto"/>
                    <w:bottom w:val="none" w:sz="0" w:space="0" w:color="auto"/>
                    <w:right w:val="none" w:sz="0" w:space="0" w:color="auto"/>
                  </w:divBdr>
                  <w:divsChild>
                    <w:div w:id="1523930282">
                      <w:marLeft w:val="0"/>
                      <w:marRight w:val="0"/>
                      <w:marTop w:val="0"/>
                      <w:marBottom w:val="0"/>
                      <w:divBdr>
                        <w:top w:val="none" w:sz="0" w:space="0" w:color="auto"/>
                        <w:left w:val="none" w:sz="0" w:space="0" w:color="auto"/>
                        <w:bottom w:val="none" w:sz="0" w:space="0" w:color="auto"/>
                        <w:right w:val="none" w:sz="0" w:space="0" w:color="auto"/>
                      </w:divBdr>
                    </w:div>
                  </w:divsChild>
                </w:div>
                <w:div w:id="819660625">
                  <w:marLeft w:val="0"/>
                  <w:marRight w:val="0"/>
                  <w:marTop w:val="0"/>
                  <w:marBottom w:val="0"/>
                  <w:divBdr>
                    <w:top w:val="none" w:sz="0" w:space="0" w:color="auto"/>
                    <w:left w:val="none" w:sz="0" w:space="0" w:color="auto"/>
                    <w:bottom w:val="none" w:sz="0" w:space="0" w:color="auto"/>
                    <w:right w:val="none" w:sz="0" w:space="0" w:color="auto"/>
                  </w:divBdr>
                  <w:divsChild>
                    <w:div w:id="583609682">
                      <w:marLeft w:val="0"/>
                      <w:marRight w:val="0"/>
                      <w:marTop w:val="0"/>
                      <w:marBottom w:val="0"/>
                      <w:divBdr>
                        <w:top w:val="none" w:sz="0" w:space="0" w:color="auto"/>
                        <w:left w:val="none" w:sz="0" w:space="0" w:color="auto"/>
                        <w:bottom w:val="none" w:sz="0" w:space="0" w:color="auto"/>
                        <w:right w:val="none" w:sz="0" w:space="0" w:color="auto"/>
                      </w:divBdr>
                    </w:div>
                  </w:divsChild>
                </w:div>
                <w:div w:id="825244127">
                  <w:marLeft w:val="0"/>
                  <w:marRight w:val="0"/>
                  <w:marTop w:val="0"/>
                  <w:marBottom w:val="0"/>
                  <w:divBdr>
                    <w:top w:val="none" w:sz="0" w:space="0" w:color="auto"/>
                    <w:left w:val="none" w:sz="0" w:space="0" w:color="auto"/>
                    <w:bottom w:val="none" w:sz="0" w:space="0" w:color="auto"/>
                    <w:right w:val="none" w:sz="0" w:space="0" w:color="auto"/>
                  </w:divBdr>
                  <w:divsChild>
                    <w:div w:id="669064675">
                      <w:marLeft w:val="0"/>
                      <w:marRight w:val="0"/>
                      <w:marTop w:val="0"/>
                      <w:marBottom w:val="0"/>
                      <w:divBdr>
                        <w:top w:val="none" w:sz="0" w:space="0" w:color="auto"/>
                        <w:left w:val="none" w:sz="0" w:space="0" w:color="auto"/>
                        <w:bottom w:val="none" w:sz="0" w:space="0" w:color="auto"/>
                        <w:right w:val="none" w:sz="0" w:space="0" w:color="auto"/>
                      </w:divBdr>
                    </w:div>
                  </w:divsChild>
                </w:div>
                <w:div w:id="828441900">
                  <w:marLeft w:val="0"/>
                  <w:marRight w:val="0"/>
                  <w:marTop w:val="0"/>
                  <w:marBottom w:val="0"/>
                  <w:divBdr>
                    <w:top w:val="none" w:sz="0" w:space="0" w:color="auto"/>
                    <w:left w:val="none" w:sz="0" w:space="0" w:color="auto"/>
                    <w:bottom w:val="none" w:sz="0" w:space="0" w:color="auto"/>
                    <w:right w:val="none" w:sz="0" w:space="0" w:color="auto"/>
                  </w:divBdr>
                  <w:divsChild>
                    <w:div w:id="570579292">
                      <w:marLeft w:val="0"/>
                      <w:marRight w:val="0"/>
                      <w:marTop w:val="0"/>
                      <w:marBottom w:val="0"/>
                      <w:divBdr>
                        <w:top w:val="none" w:sz="0" w:space="0" w:color="auto"/>
                        <w:left w:val="none" w:sz="0" w:space="0" w:color="auto"/>
                        <w:bottom w:val="none" w:sz="0" w:space="0" w:color="auto"/>
                        <w:right w:val="none" w:sz="0" w:space="0" w:color="auto"/>
                      </w:divBdr>
                    </w:div>
                  </w:divsChild>
                </w:div>
                <w:div w:id="843058705">
                  <w:marLeft w:val="0"/>
                  <w:marRight w:val="0"/>
                  <w:marTop w:val="0"/>
                  <w:marBottom w:val="0"/>
                  <w:divBdr>
                    <w:top w:val="none" w:sz="0" w:space="0" w:color="auto"/>
                    <w:left w:val="none" w:sz="0" w:space="0" w:color="auto"/>
                    <w:bottom w:val="none" w:sz="0" w:space="0" w:color="auto"/>
                    <w:right w:val="none" w:sz="0" w:space="0" w:color="auto"/>
                  </w:divBdr>
                  <w:divsChild>
                    <w:div w:id="218979873">
                      <w:marLeft w:val="0"/>
                      <w:marRight w:val="0"/>
                      <w:marTop w:val="0"/>
                      <w:marBottom w:val="0"/>
                      <w:divBdr>
                        <w:top w:val="none" w:sz="0" w:space="0" w:color="auto"/>
                        <w:left w:val="none" w:sz="0" w:space="0" w:color="auto"/>
                        <w:bottom w:val="none" w:sz="0" w:space="0" w:color="auto"/>
                        <w:right w:val="none" w:sz="0" w:space="0" w:color="auto"/>
                      </w:divBdr>
                    </w:div>
                  </w:divsChild>
                </w:div>
                <w:div w:id="844053186">
                  <w:marLeft w:val="0"/>
                  <w:marRight w:val="0"/>
                  <w:marTop w:val="0"/>
                  <w:marBottom w:val="0"/>
                  <w:divBdr>
                    <w:top w:val="none" w:sz="0" w:space="0" w:color="auto"/>
                    <w:left w:val="none" w:sz="0" w:space="0" w:color="auto"/>
                    <w:bottom w:val="none" w:sz="0" w:space="0" w:color="auto"/>
                    <w:right w:val="none" w:sz="0" w:space="0" w:color="auto"/>
                  </w:divBdr>
                  <w:divsChild>
                    <w:div w:id="1539121929">
                      <w:marLeft w:val="0"/>
                      <w:marRight w:val="0"/>
                      <w:marTop w:val="0"/>
                      <w:marBottom w:val="0"/>
                      <w:divBdr>
                        <w:top w:val="none" w:sz="0" w:space="0" w:color="auto"/>
                        <w:left w:val="none" w:sz="0" w:space="0" w:color="auto"/>
                        <w:bottom w:val="none" w:sz="0" w:space="0" w:color="auto"/>
                        <w:right w:val="none" w:sz="0" w:space="0" w:color="auto"/>
                      </w:divBdr>
                    </w:div>
                  </w:divsChild>
                </w:div>
                <w:div w:id="847015263">
                  <w:marLeft w:val="0"/>
                  <w:marRight w:val="0"/>
                  <w:marTop w:val="0"/>
                  <w:marBottom w:val="0"/>
                  <w:divBdr>
                    <w:top w:val="none" w:sz="0" w:space="0" w:color="auto"/>
                    <w:left w:val="none" w:sz="0" w:space="0" w:color="auto"/>
                    <w:bottom w:val="none" w:sz="0" w:space="0" w:color="auto"/>
                    <w:right w:val="none" w:sz="0" w:space="0" w:color="auto"/>
                  </w:divBdr>
                  <w:divsChild>
                    <w:div w:id="1203202840">
                      <w:marLeft w:val="0"/>
                      <w:marRight w:val="0"/>
                      <w:marTop w:val="0"/>
                      <w:marBottom w:val="0"/>
                      <w:divBdr>
                        <w:top w:val="none" w:sz="0" w:space="0" w:color="auto"/>
                        <w:left w:val="none" w:sz="0" w:space="0" w:color="auto"/>
                        <w:bottom w:val="none" w:sz="0" w:space="0" w:color="auto"/>
                        <w:right w:val="none" w:sz="0" w:space="0" w:color="auto"/>
                      </w:divBdr>
                    </w:div>
                    <w:div w:id="2122407994">
                      <w:marLeft w:val="0"/>
                      <w:marRight w:val="0"/>
                      <w:marTop w:val="0"/>
                      <w:marBottom w:val="0"/>
                      <w:divBdr>
                        <w:top w:val="none" w:sz="0" w:space="0" w:color="auto"/>
                        <w:left w:val="none" w:sz="0" w:space="0" w:color="auto"/>
                        <w:bottom w:val="none" w:sz="0" w:space="0" w:color="auto"/>
                        <w:right w:val="none" w:sz="0" w:space="0" w:color="auto"/>
                      </w:divBdr>
                    </w:div>
                  </w:divsChild>
                </w:div>
                <w:div w:id="862784327">
                  <w:marLeft w:val="0"/>
                  <w:marRight w:val="0"/>
                  <w:marTop w:val="0"/>
                  <w:marBottom w:val="0"/>
                  <w:divBdr>
                    <w:top w:val="none" w:sz="0" w:space="0" w:color="auto"/>
                    <w:left w:val="none" w:sz="0" w:space="0" w:color="auto"/>
                    <w:bottom w:val="none" w:sz="0" w:space="0" w:color="auto"/>
                    <w:right w:val="none" w:sz="0" w:space="0" w:color="auto"/>
                  </w:divBdr>
                  <w:divsChild>
                    <w:div w:id="1105080241">
                      <w:marLeft w:val="0"/>
                      <w:marRight w:val="0"/>
                      <w:marTop w:val="0"/>
                      <w:marBottom w:val="0"/>
                      <w:divBdr>
                        <w:top w:val="none" w:sz="0" w:space="0" w:color="auto"/>
                        <w:left w:val="none" w:sz="0" w:space="0" w:color="auto"/>
                        <w:bottom w:val="none" w:sz="0" w:space="0" w:color="auto"/>
                        <w:right w:val="none" w:sz="0" w:space="0" w:color="auto"/>
                      </w:divBdr>
                    </w:div>
                  </w:divsChild>
                </w:div>
                <w:div w:id="865828337">
                  <w:marLeft w:val="0"/>
                  <w:marRight w:val="0"/>
                  <w:marTop w:val="0"/>
                  <w:marBottom w:val="0"/>
                  <w:divBdr>
                    <w:top w:val="none" w:sz="0" w:space="0" w:color="auto"/>
                    <w:left w:val="none" w:sz="0" w:space="0" w:color="auto"/>
                    <w:bottom w:val="none" w:sz="0" w:space="0" w:color="auto"/>
                    <w:right w:val="none" w:sz="0" w:space="0" w:color="auto"/>
                  </w:divBdr>
                  <w:divsChild>
                    <w:div w:id="766078978">
                      <w:marLeft w:val="0"/>
                      <w:marRight w:val="0"/>
                      <w:marTop w:val="0"/>
                      <w:marBottom w:val="0"/>
                      <w:divBdr>
                        <w:top w:val="none" w:sz="0" w:space="0" w:color="auto"/>
                        <w:left w:val="none" w:sz="0" w:space="0" w:color="auto"/>
                        <w:bottom w:val="none" w:sz="0" w:space="0" w:color="auto"/>
                        <w:right w:val="none" w:sz="0" w:space="0" w:color="auto"/>
                      </w:divBdr>
                    </w:div>
                  </w:divsChild>
                </w:div>
                <w:div w:id="869414179">
                  <w:marLeft w:val="0"/>
                  <w:marRight w:val="0"/>
                  <w:marTop w:val="0"/>
                  <w:marBottom w:val="0"/>
                  <w:divBdr>
                    <w:top w:val="none" w:sz="0" w:space="0" w:color="auto"/>
                    <w:left w:val="none" w:sz="0" w:space="0" w:color="auto"/>
                    <w:bottom w:val="none" w:sz="0" w:space="0" w:color="auto"/>
                    <w:right w:val="none" w:sz="0" w:space="0" w:color="auto"/>
                  </w:divBdr>
                  <w:divsChild>
                    <w:div w:id="1021009514">
                      <w:marLeft w:val="0"/>
                      <w:marRight w:val="0"/>
                      <w:marTop w:val="0"/>
                      <w:marBottom w:val="0"/>
                      <w:divBdr>
                        <w:top w:val="none" w:sz="0" w:space="0" w:color="auto"/>
                        <w:left w:val="none" w:sz="0" w:space="0" w:color="auto"/>
                        <w:bottom w:val="none" w:sz="0" w:space="0" w:color="auto"/>
                        <w:right w:val="none" w:sz="0" w:space="0" w:color="auto"/>
                      </w:divBdr>
                    </w:div>
                  </w:divsChild>
                </w:div>
                <w:div w:id="877086321">
                  <w:marLeft w:val="0"/>
                  <w:marRight w:val="0"/>
                  <w:marTop w:val="0"/>
                  <w:marBottom w:val="0"/>
                  <w:divBdr>
                    <w:top w:val="none" w:sz="0" w:space="0" w:color="auto"/>
                    <w:left w:val="none" w:sz="0" w:space="0" w:color="auto"/>
                    <w:bottom w:val="none" w:sz="0" w:space="0" w:color="auto"/>
                    <w:right w:val="none" w:sz="0" w:space="0" w:color="auto"/>
                  </w:divBdr>
                  <w:divsChild>
                    <w:div w:id="1906336703">
                      <w:marLeft w:val="0"/>
                      <w:marRight w:val="0"/>
                      <w:marTop w:val="0"/>
                      <w:marBottom w:val="0"/>
                      <w:divBdr>
                        <w:top w:val="none" w:sz="0" w:space="0" w:color="auto"/>
                        <w:left w:val="none" w:sz="0" w:space="0" w:color="auto"/>
                        <w:bottom w:val="none" w:sz="0" w:space="0" w:color="auto"/>
                        <w:right w:val="none" w:sz="0" w:space="0" w:color="auto"/>
                      </w:divBdr>
                    </w:div>
                  </w:divsChild>
                </w:div>
                <w:div w:id="878904216">
                  <w:marLeft w:val="0"/>
                  <w:marRight w:val="0"/>
                  <w:marTop w:val="0"/>
                  <w:marBottom w:val="0"/>
                  <w:divBdr>
                    <w:top w:val="none" w:sz="0" w:space="0" w:color="auto"/>
                    <w:left w:val="none" w:sz="0" w:space="0" w:color="auto"/>
                    <w:bottom w:val="none" w:sz="0" w:space="0" w:color="auto"/>
                    <w:right w:val="none" w:sz="0" w:space="0" w:color="auto"/>
                  </w:divBdr>
                  <w:divsChild>
                    <w:div w:id="1077560219">
                      <w:marLeft w:val="0"/>
                      <w:marRight w:val="0"/>
                      <w:marTop w:val="0"/>
                      <w:marBottom w:val="0"/>
                      <w:divBdr>
                        <w:top w:val="none" w:sz="0" w:space="0" w:color="auto"/>
                        <w:left w:val="none" w:sz="0" w:space="0" w:color="auto"/>
                        <w:bottom w:val="none" w:sz="0" w:space="0" w:color="auto"/>
                        <w:right w:val="none" w:sz="0" w:space="0" w:color="auto"/>
                      </w:divBdr>
                    </w:div>
                  </w:divsChild>
                </w:div>
                <w:div w:id="898633623">
                  <w:marLeft w:val="0"/>
                  <w:marRight w:val="0"/>
                  <w:marTop w:val="0"/>
                  <w:marBottom w:val="0"/>
                  <w:divBdr>
                    <w:top w:val="none" w:sz="0" w:space="0" w:color="auto"/>
                    <w:left w:val="none" w:sz="0" w:space="0" w:color="auto"/>
                    <w:bottom w:val="none" w:sz="0" w:space="0" w:color="auto"/>
                    <w:right w:val="none" w:sz="0" w:space="0" w:color="auto"/>
                  </w:divBdr>
                  <w:divsChild>
                    <w:div w:id="2028872958">
                      <w:marLeft w:val="0"/>
                      <w:marRight w:val="0"/>
                      <w:marTop w:val="0"/>
                      <w:marBottom w:val="0"/>
                      <w:divBdr>
                        <w:top w:val="none" w:sz="0" w:space="0" w:color="auto"/>
                        <w:left w:val="none" w:sz="0" w:space="0" w:color="auto"/>
                        <w:bottom w:val="none" w:sz="0" w:space="0" w:color="auto"/>
                        <w:right w:val="none" w:sz="0" w:space="0" w:color="auto"/>
                      </w:divBdr>
                    </w:div>
                  </w:divsChild>
                </w:div>
                <w:div w:id="910038965">
                  <w:marLeft w:val="0"/>
                  <w:marRight w:val="0"/>
                  <w:marTop w:val="0"/>
                  <w:marBottom w:val="0"/>
                  <w:divBdr>
                    <w:top w:val="none" w:sz="0" w:space="0" w:color="auto"/>
                    <w:left w:val="none" w:sz="0" w:space="0" w:color="auto"/>
                    <w:bottom w:val="none" w:sz="0" w:space="0" w:color="auto"/>
                    <w:right w:val="none" w:sz="0" w:space="0" w:color="auto"/>
                  </w:divBdr>
                  <w:divsChild>
                    <w:div w:id="176433827">
                      <w:marLeft w:val="0"/>
                      <w:marRight w:val="0"/>
                      <w:marTop w:val="0"/>
                      <w:marBottom w:val="0"/>
                      <w:divBdr>
                        <w:top w:val="none" w:sz="0" w:space="0" w:color="auto"/>
                        <w:left w:val="none" w:sz="0" w:space="0" w:color="auto"/>
                        <w:bottom w:val="none" w:sz="0" w:space="0" w:color="auto"/>
                        <w:right w:val="none" w:sz="0" w:space="0" w:color="auto"/>
                      </w:divBdr>
                    </w:div>
                  </w:divsChild>
                </w:div>
                <w:div w:id="910165394">
                  <w:marLeft w:val="0"/>
                  <w:marRight w:val="0"/>
                  <w:marTop w:val="0"/>
                  <w:marBottom w:val="0"/>
                  <w:divBdr>
                    <w:top w:val="none" w:sz="0" w:space="0" w:color="auto"/>
                    <w:left w:val="none" w:sz="0" w:space="0" w:color="auto"/>
                    <w:bottom w:val="none" w:sz="0" w:space="0" w:color="auto"/>
                    <w:right w:val="none" w:sz="0" w:space="0" w:color="auto"/>
                  </w:divBdr>
                  <w:divsChild>
                    <w:div w:id="1704400315">
                      <w:marLeft w:val="0"/>
                      <w:marRight w:val="0"/>
                      <w:marTop w:val="0"/>
                      <w:marBottom w:val="0"/>
                      <w:divBdr>
                        <w:top w:val="none" w:sz="0" w:space="0" w:color="auto"/>
                        <w:left w:val="none" w:sz="0" w:space="0" w:color="auto"/>
                        <w:bottom w:val="none" w:sz="0" w:space="0" w:color="auto"/>
                        <w:right w:val="none" w:sz="0" w:space="0" w:color="auto"/>
                      </w:divBdr>
                    </w:div>
                  </w:divsChild>
                </w:div>
                <w:div w:id="922298592">
                  <w:marLeft w:val="0"/>
                  <w:marRight w:val="0"/>
                  <w:marTop w:val="0"/>
                  <w:marBottom w:val="0"/>
                  <w:divBdr>
                    <w:top w:val="none" w:sz="0" w:space="0" w:color="auto"/>
                    <w:left w:val="none" w:sz="0" w:space="0" w:color="auto"/>
                    <w:bottom w:val="none" w:sz="0" w:space="0" w:color="auto"/>
                    <w:right w:val="none" w:sz="0" w:space="0" w:color="auto"/>
                  </w:divBdr>
                  <w:divsChild>
                    <w:div w:id="732041609">
                      <w:marLeft w:val="0"/>
                      <w:marRight w:val="0"/>
                      <w:marTop w:val="0"/>
                      <w:marBottom w:val="0"/>
                      <w:divBdr>
                        <w:top w:val="none" w:sz="0" w:space="0" w:color="auto"/>
                        <w:left w:val="none" w:sz="0" w:space="0" w:color="auto"/>
                        <w:bottom w:val="none" w:sz="0" w:space="0" w:color="auto"/>
                        <w:right w:val="none" w:sz="0" w:space="0" w:color="auto"/>
                      </w:divBdr>
                    </w:div>
                  </w:divsChild>
                </w:div>
                <w:div w:id="933127387">
                  <w:marLeft w:val="0"/>
                  <w:marRight w:val="0"/>
                  <w:marTop w:val="0"/>
                  <w:marBottom w:val="0"/>
                  <w:divBdr>
                    <w:top w:val="none" w:sz="0" w:space="0" w:color="auto"/>
                    <w:left w:val="none" w:sz="0" w:space="0" w:color="auto"/>
                    <w:bottom w:val="none" w:sz="0" w:space="0" w:color="auto"/>
                    <w:right w:val="none" w:sz="0" w:space="0" w:color="auto"/>
                  </w:divBdr>
                  <w:divsChild>
                    <w:div w:id="1306860944">
                      <w:marLeft w:val="0"/>
                      <w:marRight w:val="0"/>
                      <w:marTop w:val="0"/>
                      <w:marBottom w:val="0"/>
                      <w:divBdr>
                        <w:top w:val="none" w:sz="0" w:space="0" w:color="auto"/>
                        <w:left w:val="none" w:sz="0" w:space="0" w:color="auto"/>
                        <w:bottom w:val="none" w:sz="0" w:space="0" w:color="auto"/>
                        <w:right w:val="none" w:sz="0" w:space="0" w:color="auto"/>
                      </w:divBdr>
                    </w:div>
                  </w:divsChild>
                </w:div>
                <w:div w:id="933512900">
                  <w:marLeft w:val="0"/>
                  <w:marRight w:val="0"/>
                  <w:marTop w:val="0"/>
                  <w:marBottom w:val="0"/>
                  <w:divBdr>
                    <w:top w:val="none" w:sz="0" w:space="0" w:color="auto"/>
                    <w:left w:val="none" w:sz="0" w:space="0" w:color="auto"/>
                    <w:bottom w:val="none" w:sz="0" w:space="0" w:color="auto"/>
                    <w:right w:val="none" w:sz="0" w:space="0" w:color="auto"/>
                  </w:divBdr>
                  <w:divsChild>
                    <w:div w:id="1807039817">
                      <w:marLeft w:val="0"/>
                      <w:marRight w:val="0"/>
                      <w:marTop w:val="0"/>
                      <w:marBottom w:val="0"/>
                      <w:divBdr>
                        <w:top w:val="none" w:sz="0" w:space="0" w:color="auto"/>
                        <w:left w:val="none" w:sz="0" w:space="0" w:color="auto"/>
                        <w:bottom w:val="none" w:sz="0" w:space="0" w:color="auto"/>
                        <w:right w:val="none" w:sz="0" w:space="0" w:color="auto"/>
                      </w:divBdr>
                    </w:div>
                  </w:divsChild>
                </w:div>
                <w:div w:id="953361236">
                  <w:marLeft w:val="0"/>
                  <w:marRight w:val="0"/>
                  <w:marTop w:val="0"/>
                  <w:marBottom w:val="0"/>
                  <w:divBdr>
                    <w:top w:val="none" w:sz="0" w:space="0" w:color="auto"/>
                    <w:left w:val="none" w:sz="0" w:space="0" w:color="auto"/>
                    <w:bottom w:val="none" w:sz="0" w:space="0" w:color="auto"/>
                    <w:right w:val="none" w:sz="0" w:space="0" w:color="auto"/>
                  </w:divBdr>
                  <w:divsChild>
                    <w:div w:id="465396274">
                      <w:marLeft w:val="0"/>
                      <w:marRight w:val="0"/>
                      <w:marTop w:val="0"/>
                      <w:marBottom w:val="0"/>
                      <w:divBdr>
                        <w:top w:val="none" w:sz="0" w:space="0" w:color="auto"/>
                        <w:left w:val="none" w:sz="0" w:space="0" w:color="auto"/>
                        <w:bottom w:val="none" w:sz="0" w:space="0" w:color="auto"/>
                        <w:right w:val="none" w:sz="0" w:space="0" w:color="auto"/>
                      </w:divBdr>
                    </w:div>
                  </w:divsChild>
                </w:div>
                <w:div w:id="955332518">
                  <w:marLeft w:val="0"/>
                  <w:marRight w:val="0"/>
                  <w:marTop w:val="0"/>
                  <w:marBottom w:val="0"/>
                  <w:divBdr>
                    <w:top w:val="none" w:sz="0" w:space="0" w:color="auto"/>
                    <w:left w:val="none" w:sz="0" w:space="0" w:color="auto"/>
                    <w:bottom w:val="none" w:sz="0" w:space="0" w:color="auto"/>
                    <w:right w:val="none" w:sz="0" w:space="0" w:color="auto"/>
                  </w:divBdr>
                  <w:divsChild>
                    <w:div w:id="655376713">
                      <w:marLeft w:val="0"/>
                      <w:marRight w:val="0"/>
                      <w:marTop w:val="0"/>
                      <w:marBottom w:val="0"/>
                      <w:divBdr>
                        <w:top w:val="none" w:sz="0" w:space="0" w:color="auto"/>
                        <w:left w:val="none" w:sz="0" w:space="0" w:color="auto"/>
                        <w:bottom w:val="none" w:sz="0" w:space="0" w:color="auto"/>
                        <w:right w:val="none" w:sz="0" w:space="0" w:color="auto"/>
                      </w:divBdr>
                    </w:div>
                  </w:divsChild>
                </w:div>
                <w:div w:id="961809483">
                  <w:marLeft w:val="0"/>
                  <w:marRight w:val="0"/>
                  <w:marTop w:val="0"/>
                  <w:marBottom w:val="0"/>
                  <w:divBdr>
                    <w:top w:val="none" w:sz="0" w:space="0" w:color="auto"/>
                    <w:left w:val="none" w:sz="0" w:space="0" w:color="auto"/>
                    <w:bottom w:val="none" w:sz="0" w:space="0" w:color="auto"/>
                    <w:right w:val="none" w:sz="0" w:space="0" w:color="auto"/>
                  </w:divBdr>
                  <w:divsChild>
                    <w:div w:id="1163469211">
                      <w:marLeft w:val="0"/>
                      <w:marRight w:val="0"/>
                      <w:marTop w:val="0"/>
                      <w:marBottom w:val="0"/>
                      <w:divBdr>
                        <w:top w:val="none" w:sz="0" w:space="0" w:color="auto"/>
                        <w:left w:val="none" w:sz="0" w:space="0" w:color="auto"/>
                        <w:bottom w:val="none" w:sz="0" w:space="0" w:color="auto"/>
                        <w:right w:val="none" w:sz="0" w:space="0" w:color="auto"/>
                      </w:divBdr>
                    </w:div>
                  </w:divsChild>
                </w:div>
                <w:div w:id="973370439">
                  <w:marLeft w:val="0"/>
                  <w:marRight w:val="0"/>
                  <w:marTop w:val="0"/>
                  <w:marBottom w:val="0"/>
                  <w:divBdr>
                    <w:top w:val="none" w:sz="0" w:space="0" w:color="auto"/>
                    <w:left w:val="none" w:sz="0" w:space="0" w:color="auto"/>
                    <w:bottom w:val="none" w:sz="0" w:space="0" w:color="auto"/>
                    <w:right w:val="none" w:sz="0" w:space="0" w:color="auto"/>
                  </w:divBdr>
                  <w:divsChild>
                    <w:div w:id="548690415">
                      <w:marLeft w:val="0"/>
                      <w:marRight w:val="0"/>
                      <w:marTop w:val="0"/>
                      <w:marBottom w:val="0"/>
                      <w:divBdr>
                        <w:top w:val="none" w:sz="0" w:space="0" w:color="auto"/>
                        <w:left w:val="none" w:sz="0" w:space="0" w:color="auto"/>
                        <w:bottom w:val="none" w:sz="0" w:space="0" w:color="auto"/>
                        <w:right w:val="none" w:sz="0" w:space="0" w:color="auto"/>
                      </w:divBdr>
                    </w:div>
                  </w:divsChild>
                </w:div>
                <w:div w:id="976298518">
                  <w:marLeft w:val="0"/>
                  <w:marRight w:val="0"/>
                  <w:marTop w:val="0"/>
                  <w:marBottom w:val="0"/>
                  <w:divBdr>
                    <w:top w:val="none" w:sz="0" w:space="0" w:color="auto"/>
                    <w:left w:val="none" w:sz="0" w:space="0" w:color="auto"/>
                    <w:bottom w:val="none" w:sz="0" w:space="0" w:color="auto"/>
                    <w:right w:val="none" w:sz="0" w:space="0" w:color="auto"/>
                  </w:divBdr>
                  <w:divsChild>
                    <w:div w:id="985403211">
                      <w:marLeft w:val="0"/>
                      <w:marRight w:val="0"/>
                      <w:marTop w:val="0"/>
                      <w:marBottom w:val="0"/>
                      <w:divBdr>
                        <w:top w:val="none" w:sz="0" w:space="0" w:color="auto"/>
                        <w:left w:val="none" w:sz="0" w:space="0" w:color="auto"/>
                        <w:bottom w:val="none" w:sz="0" w:space="0" w:color="auto"/>
                        <w:right w:val="none" w:sz="0" w:space="0" w:color="auto"/>
                      </w:divBdr>
                    </w:div>
                  </w:divsChild>
                </w:div>
                <w:div w:id="991522532">
                  <w:marLeft w:val="0"/>
                  <w:marRight w:val="0"/>
                  <w:marTop w:val="0"/>
                  <w:marBottom w:val="0"/>
                  <w:divBdr>
                    <w:top w:val="none" w:sz="0" w:space="0" w:color="auto"/>
                    <w:left w:val="none" w:sz="0" w:space="0" w:color="auto"/>
                    <w:bottom w:val="none" w:sz="0" w:space="0" w:color="auto"/>
                    <w:right w:val="none" w:sz="0" w:space="0" w:color="auto"/>
                  </w:divBdr>
                  <w:divsChild>
                    <w:div w:id="721514212">
                      <w:marLeft w:val="0"/>
                      <w:marRight w:val="0"/>
                      <w:marTop w:val="0"/>
                      <w:marBottom w:val="0"/>
                      <w:divBdr>
                        <w:top w:val="none" w:sz="0" w:space="0" w:color="auto"/>
                        <w:left w:val="none" w:sz="0" w:space="0" w:color="auto"/>
                        <w:bottom w:val="none" w:sz="0" w:space="0" w:color="auto"/>
                        <w:right w:val="none" w:sz="0" w:space="0" w:color="auto"/>
                      </w:divBdr>
                    </w:div>
                  </w:divsChild>
                </w:div>
                <w:div w:id="992366769">
                  <w:marLeft w:val="0"/>
                  <w:marRight w:val="0"/>
                  <w:marTop w:val="0"/>
                  <w:marBottom w:val="0"/>
                  <w:divBdr>
                    <w:top w:val="none" w:sz="0" w:space="0" w:color="auto"/>
                    <w:left w:val="none" w:sz="0" w:space="0" w:color="auto"/>
                    <w:bottom w:val="none" w:sz="0" w:space="0" w:color="auto"/>
                    <w:right w:val="none" w:sz="0" w:space="0" w:color="auto"/>
                  </w:divBdr>
                  <w:divsChild>
                    <w:div w:id="1875729920">
                      <w:marLeft w:val="0"/>
                      <w:marRight w:val="0"/>
                      <w:marTop w:val="0"/>
                      <w:marBottom w:val="0"/>
                      <w:divBdr>
                        <w:top w:val="none" w:sz="0" w:space="0" w:color="auto"/>
                        <w:left w:val="none" w:sz="0" w:space="0" w:color="auto"/>
                        <w:bottom w:val="none" w:sz="0" w:space="0" w:color="auto"/>
                        <w:right w:val="none" w:sz="0" w:space="0" w:color="auto"/>
                      </w:divBdr>
                    </w:div>
                  </w:divsChild>
                </w:div>
                <w:div w:id="1006131248">
                  <w:marLeft w:val="0"/>
                  <w:marRight w:val="0"/>
                  <w:marTop w:val="0"/>
                  <w:marBottom w:val="0"/>
                  <w:divBdr>
                    <w:top w:val="none" w:sz="0" w:space="0" w:color="auto"/>
                    <w:left w:val="none" w:sz="0" w:space="0" w:color="auto"/>
                    <w:bottom w:val="none" w:sz="0" w:space="0" w:color="auto"/>
                    <w:right w:val="none" w:sz="0" w:space="0" w:color="auto"/>
                  </w:divBdr>
                  <w:divsChild>
                    <w:div w:id="617637913">
                      <w:marLeft w:val="0"/>
                      <w:marRight w:val="0"/>
                      <w:marTop w:val="0"/>
                      <w:marBottom w:val="0"/>
                      <w:divBdr>
                        <w:top w:val="none" w:sz="0" w:space="0" w:color="auto"/>
                        <w:left w:val="none" w:sz="0" w:space="0" w:color="auto"/>
                        <w:bottom w:val="none" w:sz="0" w:space="0" w:color="auto"/>
                        <w:right w:val="none" w:sz="0" w:space="0" w:color="auto"/>
                      </w:divBdr>
                    </w:div>
                  </w:divsChild>
                </w:div>
                <w:div w:id="1011226668">
                  <w:marLeft w:val="0"/>
                  <w:marRight w:val="0"/>
                  <w:marTop w:val="0"/>
                  <w:marBottom w:val="0"/>
                  <w:divBdr>
                    <w:top w:val="none" w:sz="0" w:space="0" w:color="auto"/>
                    <w:left w:val="none" w:sz="0" w:space="0" w:color="auto"/>
                    <w:bottom w:val="none" w:sz="0" w:space="0" w:color="auto"/>
                    <w:right w:val="none" w:sz="0" w:space="0" w:color="auto"/>
                  </w:divBdr>
                  <w:divsChild>
                    <w:div w:id="1147555547">
                      <w:marLeft w:val="0"/>
                      <w:marRight w:val="0"/>
                      <w:marTop w:val="0"/>
                      <w:marBottom w:val="0"/>
                      <w:divBdr>
                        <w:top w:val="none" w:sz="0" w:space="0" w:color="auto"/>
                        <w:left w:val="none" w:sz="0" w:space="0" w:color="auto"/>
                        <w:bottom w:val="none" w:sz="0" w:space="0" w:color="auto"/>
                        <w:right w:val="none" w:sz="0" w:space="0" w:color="auto"/>
                      </w:divBdr>
                    </w:div>
                  </w:divsChild>
                </w:div>
                <w:div w:id="1011882373">
                  <w:marLeft w:val="0"/>
                  <w:marRight w:val="0"/>
                  <w:marTop w:val="0"/>
                  <w:marBottom w:val="0"/>
                  <w:divBdr>
                    <w:top w:val="none" w:sz="0" w:space="0" w:color="auto"/>
                    <w:left w:val="none" w:sz="0" w:space="0" w:color="auto"/>
                    <w:bottom w:val="none" w:sz="0" w:space="0" w:color="auto"/>
                    <w:right w:val="none" w:sz="0" w:space="0" w:color="auto"/>
                  </w:divBdr>
                  <w:divsChild>
                    <w:div w:id="1417358444">
                      <w:marLeft w:val="0"/>
                      <w:marRight w:val="0"/>
                      <w:marTop w:val="0"/>
                      <w:marBottom w:val="0"/>
                      <w:divBdr>
                        <w:top w:val="none" w:sz="0" w:space="0" w:color="auto"/>
                        <w:left w:val="none" w:sz="0" w:space="0" w:color="auto"/>
                        <w:bottom w:val="none" w:sz="0" w:space="0" w:color="auto"/>
                        <w:right w:val="none" w:sz="0" w:space="0" w:color="auto"/>
                      </w:divBdr>
                    </w:div>
                  </w:divsChild>
                </w:div>
                <w:div w:id="1015885579">
                  <w:marLeft w:val="0"/>
                  <w:marRight w:val="0"/>
                  <w:marTop w:val="0"/>
                  <w:marBottom w:val="0"/>
                  <w:divBdr>
                    <w:top w:val="none" w:sz="0" w:space="0" w:color="auto"/>
                    <w:left w:val="none" w:sz="0" w:space="0" w:color="auto"/>
                    <w:bottom w:val="none" w:sz="0" w:space="0" w:color="auto"/>
                    <w:right w:val="none" w:sz="0" w:space="0" w:color="auto"/>
                  </w:divBdr>
                  <w:divsChild>
                    <w:div w:id="1726754921">
                      <w:marLeft w:val="0"/>
                      <w:marRight w:val="0"/>
                      <w:marTop w:val="0"/>
                      <w:marBottom w:val="0"/>
                      <w:divBdr>
                        <w:top w:val="none" w:sz="0" w:space="0" w:color="auto"/>
                        <w:left w:val="none" w:sz="0" w:space="0" w:color="auto"/>
                        <w:bottom w:val="none" w:sz="0" w:space="0" w:color="auto"/>
                        <w:right w:val="none" w:sz="0" w:space="0" w:color="auto"/>
                      </w:divBdr>
                    </w:div>
                  </w:divsChild>
                </w:div>
                <w:div w:id="1021976322">
                  <w:marLeft w:val="0"/>
                  <w:marRight w:val="0"/>
                  <w:marTop w:val="0"/>
                  <w:marBottom w:val="0"/>
                  <w:divBdr>
                    <w:top w:val="none" w:sz="0" w:space="0" w:color="auto"/>
                    <w:left w:val="none" w:sz="0" w:space="0" w:color="auto"/>
                    <w:bottom w:val="none" w:sz="0" w:space="0" w:color="auto"/>
                    <w:right w:val="none" w:sz="0" w:space="0" w:color="auto"/>
                  </w:divBdr>
                  <w:divsChild>
                    <w:div w:id="414399991">
                      <w:marLeft w:val="0"/>
                      <w:marRight w:val="0"/>
                      <w:marTop w:val="0"/>
                      <w:marBottom w:val="0"/>
                      <w:divBdr>
                        <w:top w:val="none" w:sz="0" w:space="0" w:color="auto"/>
                        <w:left w:val="none" w:sz="0" w:space="0" w:color="auto"/>
                        <w:bottom w:val="none" w:sz="0" w:space="0" w:color="auto"/>
                        <w:right w:val="none" w:sz="0" w:space="0" w:color="auto"/>
                      </w:divBdr>
                    </w:div>
                  </w:divsChild>
                </w:div>
                <w:div w:id="1023441272">
                  <w:marLeft w:val="0"/>
                  <w:marRight w:val="0"/>
                  <w:marTop w:val="0"/>
                  <w:marBottom w:val="0"/>
                  <w:divBdr>
                    <w:top w:val="none" w:sz="0" w:space="0" w:color="auto"/>
                    <w:left w:val="none" w:sz="0" w:space="0" w:color="auto"/>
                    <w:bottom w:val="none" w:sz="0" w:space="0" w:color="auto"/>
                    <w:right w:val="none" w:sz="0" w:space="0" w:color="auto"/>
                  </w:divBdr>
                  <w:divsChild>
                    <w:div w:id="2133283711">
                      <w:marLeft w:val="0"/>
                      <w:marRight w:val="0"/>
                      <w:marTop w:val="0"/>
                      <w:marBottom w:val="0"/>
                      <w:divBdr>
                        <w:top w:val="none" w:sz="0" w:space="0" w:color="auto"/>
                        <w:left w:val="none" w:sz="0" w:space="0" w:color="auto"/>
                        <w:bottom w:val="none" w:sz="0" w:space="0" w:color="auto"/>
                        <w:right w:val="none" w:sz="0" w:space="0" w:color="auto"/>
                      </w:divBdr>
                    </w:div>
                  </w:divsChild>
                </w:div>
                <w:div w:id="1026055916">
                  <w:marLeft w:val="0"/>
                  <w:marRight w:val="0"/>
                  <w:marTop w:val="0"/>
                  <w:marBottom w:val="0"/>
                  <w:divBdr>
                    <w:top w:val="none" w:sz="0" w:space="0" w:color="auto"/>
                    <w:left w:val="none" w:sz="0" w:space="0" w:color="auto"/>
                    <w:bottom w:val="none" w:sz="0" w:space="0" w:color="auto"/>
                    <w:right w:val="none" w:sz="0" w:space="0" w:color="auto"/>
                  </w:divBdr>
                  <w:divsChild>
                    <w:div w:id="632754802">
                      <w:marLeft w:val="0"/>
                      <w:marRight w:val="0"/>
                      <w:marTop w:val="0"/>
                      <w:marBottom w:val="0"/>
                      <w:divBdr>
                        <w:top w:val="none" w:sz="0" w:space="0" w:color="auto"/>
                        <w:left w:val="none" w:sz="0" w:space="0" w:color="auto"/>
                        <w:bottom w:val="none" w:sz="0" w:space="0" w:color="auto"/>
                        <w:right w:val="none" w:sz="0" w:space="0" w:color="auto"/>
                      </w:divBdr>
                    </w:div>
                  </w:divsChild>
                </w:div>
                <w:div w:id="1032608942">
                  <w:marLeft w:val="0"/>
                  <w:marRight w:val="0"/>
                  <w:marTop w:val="0"/>
                  <w:marBottom w:val="0"/>
                  <w:divBdr>
                    <w:top w:val="none" w:sz="0" w:space="0" w:color="auto"/>
                    <w:left w:val="none" w:sz="0" w:space="0" w:color="auto"/>
                    <w:bottom w:val="none" w:sz="0" w:space="0" w:color="auto"/>
                    <w:right w:val="none" w:sz="0" w:space="0" w:color="auto"/>
                  </w:divBdr>
                  <w:divsChild>
                    <w:div w:id="1109860649">
                      <w:marLeft w:val="0"/>
                      <w:marRight w:val="0"/>
                      <w:marTop w:val="0"/>
                      <w:marBottom w:val="0"/>
                      <w:divBdr>
                        <w:top w:val="none" w:sz="0" w:space="0" w:color="auto"/>
                        <w:left w:val="none" w:sz="0" w:space="0" w:color="auto"/>
                        <w:bottom w:val="none" w:sz="0" w:space="0" w:color="auto"/>
                        <w:right w:val="none" w:sz="0" w:space="0" w:color="auto"/>
                      </w:divBdr>
                    </w:div>
                  </w:divsChild>
                </w:div>
                <w:div w:id="1033842232">
                  <w:marLeft w:val="0"/>
                  <w:marRight w:val="0"/>
                  <w:marTop w:val="0"/>
                  <w:marBottom w:val="0"/>
                  <w:divBdr>
                    <w:top w:val="none" w:sz="0" w:space="0" w:color="auto"/>
                    <w:left w:val="none" w:sz="0" w:space="0" w:color="auto"/>
                    <w:bottom w:val="none" w:sz="0" w:space="0" w:color="auto"/>
                    <w:right w:val="none" w:sz="0" w:space="0" w:color="auto"/>
                  </w:divBdr>
                  <w:divsChild>
                    <w:div w:id="467667103">
                      <w:marLeft w:val="0"/>
                      <w:marRight w:val="0"/>
                      <w:marTop w:val="0"/>
                      <w:marBottom w:val="0"/>
                      <w:divBdr>
                        <w:top w:val="none" w:sz="0" w:space="0" w:color="auto"/>
                        <w:left w:val="none" w:sz="0" w:space="0" w:color="auto"/>
                        <w:bottom w:val="none" w:sz="0" w:space="0" w:color="auto"/>
                        <w:right w:val="none" w:sz="0" w:space="0" w:color="auto"/>
                      </w:divBdr>
                    </w:div>
                  </w:divsChild>
                </w:div>
                <w:div w:id="1046563483">
                  <w:marLeft w:val="0"/>
                  <w:marRight w:val="0"/>
                  <w:marTop w:val="0"/>
                  <w:marBottom w:val="0"/>
                  <w:divBdr>
                    <w:top w:val="none" w:sz="0" w:space="0" w:color="auto"/>
                    <w:left w:val="none" w:sz="0" w:space="0" w:color="auto"/>
                    <w:bottom w:val="none" w:sz="0" w:space="0" w:color="auto"/>
                    <w:right w:val="none" w:sz="0" w:space="0" w:color="auto"/>
                  </w:divBdr>
                  <w:divsChild>
                    <w:div w:id="716321093">
                      <w:marLeft w:val="0"/>
                      <w:marRight w:val="0"/>
                      <w:marTop w:val="0"/>
                      <w:marBottom w:val="0"/>
                      <w:divBdr>
                        <w:top w:val="none" w:sz="0" w:space="0" w:color="auto"/>
                        <w:left w:val="none" w:sz="0" w:space="0" w:color="auto"/>
                        <w:bottom w:val="none" w:sz="0" w:space="0" w:color="auto"/>
                        <w:right w:val="none" w:sz="0" w:space="0" w:color="auto"/>
                      </w:divBdr>
                    </w:div>
                  </w:divsChild>
                </w:div>
                <w:div w:id="1050494853">
                  <w:marLeft w:val="0"/>
                  <w:marRight w:val="0"/>
                  <w:marTop w:val="0"/>
                  <w:marBottom w:val="0"/>
                  <w:divBdr>
                    <w:top w:val="none" w:sz="0" w:space="0" w:color="auto"/>
                    <w:left w:val="none" w:sz="0" w:space="0" w:color="auto"/>
                    <w:bottom w:val="none" w:sz="0" w:space="0" w:color="auto"/>
                    <w:right w:val="none" w:sz="0" w:space="0" w:color="auto"/>
                  </w:divBdr>
                  <w:divsChild>
                    <w:div w:id="567770362">
                      <w:marLeft w:val="0"/>
                      <w:marRight w:val="0"/>
                      <w:marTop w:val="0"/>
                      <w:marBottom w:val="0"/>
                      <w:divBdr>
                        <w:top w:val="none" w:sz="0" w:space="0" w:color="auto"/>
                        <w:left w:val="none" w:sz="0" w:space="0" w:color="auto"/>
                        <w:bottom w:val="none" w:sz="0" w:space="0" w:color="auto"/>
                        <w:right w:val="none" w:sz="0" w:space="0" w:color="auto"/>
                      </w:divBdr>
                    </w:div>
                  </w:divsChild>
                </w:div>
                <w:div w:id="1050569103">
                  <w:marLeft w:val="0"/>
                  <w:marRight w:val="0"/>
                  <w:marTop w:val="0"/>
                  <w:marBottom w:val="0"/>
                  <w:divBdr>
                    <w:top w:val="none" w:sz="0" w:space="0" w:color="auto"/>
                    <w:left w:val="none" w:sz="0" w:space="0" w:color="auto"/>
                    <w:bottom w:val="none" w:sz="0" w:space="0" w:color="auto"/>
                    <w:right w:val="none" w:sz="0" w:space="0" w:color="auto"/>
                  </w:divBdr>
                  <w:divsChild>
                    <w:div w:id="1550454740">
                      <w:marLeft w:val="0"/>
                      <w:marRight w:val="0"/>
                      <w:marTop w:val="0"/>
                      <w:marBottom w:val="0"/>
                      <w:divBdr>
                        <w:top w:val="none" w:sz="0" w:space="0" w:color="auto"/>
                        <w:left w:val="none" w:sz="0" w:space="0" w:color="auto"/>
                        <w:bottom w:val="none" w:sz="0" w:space="0" w:color="auto"/>
                        <w:right w:val="none" w:sz="0" w:space="0" w:color="auto"/>
                      </w:divBdr>
                    </w:div>
                  </w:divsChild>
                </w:div>
                <w:div w:id="1053046692">
                  <w:marLeft w:val="0"/>
                  <w:marRight w:val="0"/>
                  <w:marTop w:val="0"/>
                  <w:marBottom w:val="0"/>
                  <w:divBdr>
                    <w:top w:val="none" w:sz="0" w:space="0" w:color="auto"/>
                    <w:left w:val="none" w:sz="0" w:space="0" w:color="auto"/>
                    <w:bottom w:val="none" w:sz="0" w:space="0" w:color="auto"/>
                    <w:right w:val="none" w:sz="0" w:space="0" w:color="auto"/>
                  </w:divBdr>
                  <w:divsChild>
                    <w:div w:id="443770825">
                      <w:marLeft w:val="0"/>
                      <w:marRight w:val="0"/>
                      <w:marTop w:val="0"/>
                      <w:marBottom w:val="0"/>
                      <w:divBdr>
                        <w:top w:val="none" w:sz="0" w:space="0" w:color="auto"/>
                        <w:left w:val="none" w:sz="0" w:space="0" w:color="auto"/>
                        <w:bottom w:val="none" w:sz="0" w:space="0" w:color="auto"/>
                        <w:right w:val="none" w:sz="0" w:space="0" w:color="auto"/>
                      </w:divBdr>
                    </w:div>
                  </w:divsChild>
                </w:div>
                <w:div w:id="1059866688">
                  <w:marLeft w:val="0"/>
                  <w:marRight w:val="0"/>
                  <w:marTop w:val="0"/>
                  <w:marBottom w:val="0"/>
                  <w:divBdr>
                    <w:top w:val="none" w:sz="0" w:space="0" w:color="auto"/>
                    <w:left w:val="none" w:sz="0" w:space="0" w:color="auto"/>
                    <w:bottom w:val="none" w:sz="0" w:space="0" w:color="auto"/>
                    <w:right w:val="none" w:sz="0" w:space="0" w:color="auto"/>
                  </w:divBdr>
                  <w:divsChild>
                    <w:div w:id="476605472">
                      <w:marLeft w:val="0"/>
                      <w:marRight w:val="0"/>
                      <w:marTop w:val="0"/>
                      <w:marBottom w:val="0"/>
                      <w:divBdr>
                        <w:top w:val="none" w:sz="0" w:space="0" w:color="auto"/>
                        <w:left w:val="none" w:sz="0" w:space="0" w:color="auto"/>
                        <w:bottom w:val="none" w:sz="0" w:space="0" w:color="auto"/>
                        <w:right w:val="none" w:sz="0" w:space="0" w:color="auto"/>
                      </w:divBdr>
                    </w:div>
                  </w:divsChild>
                </w:div>
                <w:div w:id="1062406160">
                  <w:marLeft w:val="0"/>
                  <w:marRight w:val="0"/>
                  <w:marTop w:val="0"/>
                  <w:marBottom w:val="0"/>
                  <w:divBdr>
                    <w:top w:val="none" w:sz="0" w:space="0" w:color="auto"/>
                    <w:left w:val="none" w:sz="0" w:space="0" w:color="auto"/>
                    <w:bottom w:val="none" w:sz="0" w:space="0" w:color="auto"/>
                    <w:right w:val="none" w:sz="0" w:space="0" w:color="auto"/>
                  </w:divBdr>
                  <w:divsChild>
                    <w:div w:id="2142140866">
                      <w:marLeft w:val="0"/>
                      <w:marRight w:val="0"/>
                      <w:marTop w:val="0"/>
                      <w:marBottom w:val="0"/>
                      <w:divBdr>
                        <w:top w:val="none" w:sz="0" w:space="0" w:color="auto"/>
                        <w:left w:val="none" w:sz="0" w:space="0" w:color="auto"/>
                        <w:bottom w:val="none" w:sz="0" w:space="0" w:color="auto"/>
                        <w:right w:val="none" w:sz="0" w:space="0" w:color="auto"/>
                      </w:divBdr>
                    </w:div>
                  </w:divsChild>
                </w:div>
                <w:div w:id="1065448012">
                  <w:marLeft w:val="0"/>
                  <w:marRight w:val="0"/>
                  <w:marTop w:val="0"/>
                  <w:marBottom w:val="0"/>
                  <w:divBdr>
                    <w:top w:val="none" w:sz="0" w:space="0" w:color="auto"/>
                    <w:left w:val="none" w:sz="0" w:space="0" w:color="auto"/>
                    <w:bottom w:val="none" w:sz="0" w:space="0" w:color="auto"/>
                    <w:right w:val="none" w:sz="0" w:space="0" w:color="auto"/>
                  </w:divBdr>
                  <w:divsChild>
                    <w:div w:id="1865095715">
                      <w:marLeft w:val="0"/>
                      <w:marRight w:val="0"/>
                      <w:marTop w:val="0"/>
                      <w:marBottom w:val="0"/>
                      <w:divBdr>
                        <w:top w:val="none" w:sz="0" w:space="0" w:color="auto"/>
                        <w:left w:val="none" w:sz="0" w:space="0" w:color="auto"/>
                        <w:bottom w:val="none" w:sz="0" w:space="0" w:color="auto"/>
                        <w:right w:val="none" w:sz="0" w:space="0" w:color="auto"/>
                      </w:divBdr>
                    </w:div>
                  </w:divsChild>
                </w:div>
                <w:div w:id="1070233443">
                  <w:marLeft w:val="0"/>
                  <w:marRight w:val="0"/>
                  <w:marTop w:val="0"/>
                  <w:marBottom w:val="0"/>
                  <w:divBdr>
                    <w:top w:val="none" w:sz="0" w:space="0" w:color="auto"/>
                    <w:left w:val="none" w:sz="0" w:space="0" w:color="auto"/>
                    <w:bottom w:val="none" w:sz="0" w:space="0" w:color="auto"/>
                    <w:right w:val="none" w:sz="0" w:space="0" w:color="auto"/>
                  </w:divBdr>
                  <w:divsChild>
                    <w:div w:id="17436958">
                      <w:marLeft w:val="0"/>
                      <w:marRight w:val="0"/>
                      <w:marTop w:val="0"/>
                      <w:marBottom w:val="0"/>
                      <w:divBdr>
                        <w:top w:val="none" w:sz="0" w:space="0" w:color="auto"/>
                        <w:left w:val="none" w:sz="0" w:space="0" w:color="auto"/>
                        <w:bottom w:val="none" w:sz="0" w:space="0" w:color="auto"/>
                        <w:right w:val="none" w:sz="0" w:space="0" w:color="auto"/>
                      </w:divBdr>
                    </w:div>
                  </w:divsChild>
                </w:div>
                <w:div w:id="1075474990">
                  <w:marLeft w:val="0"/>
                  <w:marRight w:val="0"/>
                  <w:marTop w:val="0"/>
                  <w:marBottom w:val="0"/>
                  <w:divBdr>
                    <w:top w:val="none" w:sz="0" w:space="0" w:color="auto"/>
                    <w:left w:val="none" w:sz="0" w:space="0" w:color="auto"/>
                    <w:bottom w:val="none" w:sz="0" w:space="0" w:color="auto"/>
                    <w:right w:val="none" w:sz="0" w:space="0" w:color="auto"/>
                  </w:divBdr>
                  <w:divsChild>
                    <w:div w:id="1025909994">
                      <w:marLeft w:val="0"/>
                      <w:marRight w:val="0"/>
                      <w:marTop w:val="0"/>
                      <w:marBottom w:val="0"/>
                      <w:divBdr>
                        <w:top w:val="none" w:sz="0" w:space="0" w:color="auto"/>
                        <w:left w:val="none" w:sz="0" w:space="0" w:color="auto"/>
                        <w:bottom w:val="none" w:sz="0" w:space="0" w:color="auto"/>
                        <w:right w:val="none" w:sz="0" w:space="0" w:color="auto"/>
                      </w:divBdr>
                    </w:div>
                  </w:divsChild>
                </w:div>
                <w:div w:id="1079979211">
                  <w:marLeft w:val="0"/>
                  <w:marRight w:val="0"/>
                  <w:marTop w:val="0"/>
                  <w:marBottom w:val="0"/>
                  <w:divBdr>
                    <w:top w:val="none" w:sz="0" w:space="0" w:color="auto"/>
                    <w:left w:val="none" w:sz="0" w:space="0" w:color="auto"/>
                    <w:bottom w:val="none" w:sz="0" w:space="0" w:color="auto"/>
                    <w:right w:val="none" w:sz="0" w:space="0" w:color="auto"/>
                  </w:divBdr>
                  <w:divsChild>
                    <w:div w:id="564335799">
                      <w:marLeft w:val="0"/>
                      <w:marRight w:val="0"/>
                      <w:marTop w:val="0"/>
                      <w:marBottom w:val="0"/>
                      <w:divBdr>
                        <w:top w:val="none" w:sz="0" w:space="0" w:color="auto"/>
                        <w:left w:val="none" w:sz="0" w:space="0" w:color="auto"/>
                        <w:bottom w:val="none" w:sz="0" w:space="0" w:color="auto"/>
                        <w:right w:val="none" w:sz="0" w:space="0" w:color="auto"/>
                      </w:divBdr>
                    </w:div>
                  </w:divsChild>
                </w:div>
                <w:div w:id="1080298873">
                  <w:marLeft w:val="0"/>
                  <w:marRight w:val="0"/>
                  <w:marTop w:val="0"/>
                  <w:marBottom w:val="0"/>
                  <w:divBdr>
                    <w:top w:val="none" w:sz="0" w:space="0" w:color="auto"/>
                    <w:left w:val="none" w:sz="0" w:space="0" w:color="auto"/>
                    <w:bottom w:val="none" w:sz="0" w:space="0" w:color="auto"/>
                    <w:right w:val="none" w:sz="0" w:space="0" w:color="auto"/>
                  </w:divBdr>
                  <w:divsChild>
                    <w:div w:id="2096705711">
                      <w:marLeft w:val="0"/>
                      <w:marRight w:val="0"/>
                      <w:marTop w:val="0"/>
                      <w:marBottom w:val="0"/>
                      <w:divBdr>
                        <w:top w:val="none" w:sz="0" w:space="0" w:color="auto"/>
                        <w:left w:val="none" w:sz="0" w:space="0" w:color="auto"/>
                        <w:bottom w:val="none" w:sz="0" w:space="0" w:color="auto"/>
                        <w:right w:val="none" w:sz="0" w:space="0" w:color="auto"/>
                      </w:divBdr>
                    </w:div>
                  </w:divsChild>
                </w:div>
                <w:div w:id="1090584795">
                  <w:marLeft w:val="0"/>
                  <w:marRight w:val="0"/>
                  <w:marTop w:val="0"/>
                  <w:marBottom w:val="0"/>
                  <w:divBdr>
                    <w:top w:val="none" w:sz="0" w:space="0" w:color="auto"/>
                    <w:left w:val="none" w:sz="0" w:space="0" w:color="auto"/>
                    <w:bottom w:val="none" w:sz="0" w:space="0" w:color="auto"/>
                    <w:right w:val="none" w:sz="0" w:space="0" w:color="auto"/>
                  </w:divBdr>
                  <w:divsChild>
                    <w:div w:id="1550067323">
                      <w:marLeft w:val="0"/>
                      <w:marRight w:val="0"/>
                      <w:marTop w:val="0"/>
                      <w:marBottom w:val="0"/>
                      <w:divBdr>
                        <w:top w:val="none" w:sz="0" w:space="0" w:color="auto"/>
                        <w:left w:val="none" w:sz="0" w:space="0" w:color="auto"/>
                        <w:bottom w:val="none" w:sz="0" w:space="0" w:color="auto"/>
                        <w:right w:val="none" w:sz="0" w:space="0" w:color="auto"/>
                      </w:divBdr>
                    </w:div>
                  </w:divsChild>
                </w:div>
                <w:div w:id="1095786496">
                  <w:marLeft w:val="0"/>
                  <w:marRight w:val="0"/>
                  <w:marTop w:val="0"/>
                  <w:marBottom w:val="0"/>
                  <w:divBdr>
                    <w:top w:val="none" w:sz="0" w:space="0" w:color="auto"/>
                    <w:left w:val="none" w:sz="0" w:space="0" w:color="auto"/>
                    <w:bottom w:val="none" w:sz="0" w:space="0" w:color="auto"/>
                    <w:right w:val="none" w:sz="0" w:space="0" w:color="auto"/>
                  </w:divBdr>
                  <w:divsChild>
                    <w:div w:id="71002234">
                      <w:marLeft w:val="0"/>
                      <w:marRight w:val="0"/>
                      <w:marTop w:val="0"/>
                      <w:marBottom w:val="0"/>
                      <w:divBdr>
                        <w:top w:val="none" w:sz="0" w:space="0" w:color="auto"/>
                        <w:left w:val="none" w:sz="0" w:space="0" w:color="auto"/>
                        <w:bottom w:val="none" w:sz="0" w:space="0" w:color="auto"/>
                        <w:right w:val="none" w:sz="0" w:space="0" w:color="auto"/>
                      </w:divBdr>
                    </w:div>
                  </w:divsChild>
                </w:div>
                <w:div w:id="1101030880">
                  <w:marLeft w:val="0"/>
                  <w:marRight w:val="0"/>
                  <w:marTop w:val="0"/>
                  <w:marBottom w:val="0"/>
                  <w:divBdr>
                    <w:top w:val="none" w:sz="0" w:space="0" w:color="auto"/>
                    <w:left w:val="none" w:sz="0" w:space="0" w:color="auto"/>
                    <w:bottom w:val="none" w:sz="0" w:space="0" w:color="auto"/>
                    <w:right w:val="none" w:sz="0" w:space="0" w:color="auto"/>
                  </w:divBdr>
                  <w:divsChild>
                    <w:div w:id="695354731">
                      <w:marLeft w:val="0"/>
                      <w:marRight w:val="0"/>
                      <w:marTop w:val="0"/>
                      <w:marBottom w:val="0"/>
                      <w:divBdr>
                        <w:top w:val="none" w:sz="0" w:space="0" w:color="auto"/>
                        <w:left w:val="none" w:sz="0" w:space="0" w:color="auto"/>
                        <w:bottom w:val="none" w:sz="0" w:space="0" w:color="auto"/>
                        <w:right w:val="none" w:sz="0" w:space="0" w:color="auto"/>
                      </w:divBdr>
                    </w:div>
                  </w:divsChild>
                </w:div>
                <w:div w:id="1104806642">
                  <w:marLeft w:val="0"/>
                  <w:marRight w:val="0"/>
                  <w:marTop w:val="0"/>
                  <w:marBottom w:val="0"/>
                  <w:divBdr>
                    <w:top w:val="none" w:sz="0" w:space="0" w:color="auto"/>
                    <w:left w:val="none" w:sz="0" w:space="0" w:color="auto"/>
                    <w:bottom w:val="none" w:sz="0" w:space="0" w:color="auto"/>
                    <w:right w:val="none" w:sz="0" w:space="0" w:color="auto"/>
                  </w:divBdr>
                  <w:divsChild>
                    <w:div w:id="2131512127">
                      <w:marLeft w:val="0"/>
                      <w:marRight w:val="0"/>
                      <w:marTop w:val="0"/>
                      <w:marBottom w:val="0"/>
                      <w:divBdr>
                        <w:top w:val="none" w:sz="0" w:space="0" w:color="auto"/>
                        <w:left w:val="none" w:sz="0" w:space="0" w:color="auto"/>
                        <w:bottom w:val="none" w:sz="0" w:space="0" w:color="auto"/>
                        <w:right w:val="none" w:sz="0" w:space="0" w:color="auto"/>
                      </w:divBdr>
                    </w:div>
                  </w:divsChild>
                </w:div>
                <w:div w:id="1107119598">
                  <w:marLeft w:val="0"/>
                  <w:marRight w:val="0"/>
                  <w:marTop w:val="0"/>
                  <w:marBottom w:val="0"/>
                  <w:divBdr>
                    <w:top w:val="none" w:sz="0" w:space="0" w:color="auto"/>
                    <w:left w:val="none" w:sz="0" w:space="0" w:color="auto"/>
                    <w:bottom w:val="none" w:sz="0" w:space="0" w:color="auto"/>
                    <w:right w:val="none" w:sz="0" w:space="0" w:color="auto"/>
                  </w:divBdr>
                  <w:divsChild>
                    <w:div w:id="417680401">
                      <w:marLeft w:val="0"/>
                      <w:marRight w:val="0"/>
                      <w:marTop w:val="0"/>
                      <w:marBottom w:val="0"/>
                      <w:divBdr>
                        <w:top w:val="none" w:sz="0" w:space="0" w:color="auto"/>
                        <w:left w:val="none" w:sz="0" w:space="0" w:color="auto"/>
                        <w:bottom w:val="none" w:sz="0" w:space="0" w:color="auto"/>
                        <w:right w:val="none" w:sz="0" w:space="0" w:color="auto"/>
                      </w:divBdr>
                    </w:div>
                  </w:divsChild>
                </w:div>
                <w:div w:id="1115561339">
                  <w:marLeft w:val="0"/>
                  <w:marRight w:val="0"/>
                  <w:marTop w:val="0"/>
                  <w:marBottom w:val="0"/>
                  <w:divBdr>
                    <w:top w:val="none" w:sz="0" w:space="0" w:color="auto"/>
                    <w:left w:val="none" w:sz="0" w:space="0" w:color="auto"/>
                    <w:bottom w:val="none" w:sz="0" w:space="0" w:color="auto"/>
                    <w:right w:val="none" w:sz="0" w:space="0" w:color="auto"/>
                  </w:divBdr>
                  <w:divsChild>
                    <w:div w:id="767577959">
                      <w:marLeft w:val="0"/>
                      <w:marRight w:val="0"/>
                      <w:marTop w:val="0"/>
                      <w:marBottom w:val="0"/>
                      <w:divBdr>
                        <w:top w:val="none" w:sz="0" w:space="0" w:color="auto"/>
                        <w:left w:val="none" w:sz="0" w:space="0" w:color="auto"/>
                        <w:bottom w:val="none" w:sz="0" w:space="0" w:color="auto"/>
                        <w:right w:val="none" w:sz="0" w:space="0" w:color="auto"/>
                      </w:divBdr>
                    </w:div>
                  </w:divsChild>
                </w:div>
                <w:div w:id="1116485844">
                  <w:marLeft w:val="0"/>
                  <w:marRight w:val="0"/>
                  <w:marTop w:val="0"/>
                  <w:marBottom w:val="0"/>
                  <w:divBdr>
                    <w:top w:val="none" w:sz="0" w:space="0" w:color="auto"/>
                    <w:left w:val="none" w:sz="0" w:space="0" w:color="auto"/>
                    <w:bottom w:val="none" w:sz="0" w:space="0" w:color="auto"/>
                    <w:right w:val="none" w:sz="0" w:space="0" w:color="auto"/>
                  </w:divBdr>
                  <w:divsChild>
                    <w:div w:id="1088189146">
                      <w:marLeft w:val="0"/>
                      <w:marRight w:val="0"/>
                      <w:marTop w:val="0"/>
                      <w:marBottom w:val="0"/>
                      <w:divBdr>
                        <w:top w:val="none" w:sz="0" w:space="0" w:color="auto"/>
                        <w:left w:val="none" w:sz="0" w:space="0" w:color="auto"/>
                        <w:bottom w:val="none" w:sz="0" w:space="0" w:color="auto"/>
                        <w:right w:val="none" w:sz="0" w:space="0" w:color="auto"/>
                      </w:divBdr>
                    </w:div>
                  </w:divsChild>
                </w:div>
                <w:div w:id="1117262736">
                  <w:marLeft w:val="0"/>
                  <w:marRight w:val="0"/>
                  <w:marTop w:val="0"/>
                  <w:marBottom w:val="0"/>
                  <w:divBdr>
                    <w:top w:val="none" w:sz="0" w:space="0" w:color="auto"/>
                    <w:left w:val="none" w:sz="0" w:space="0" w:color="auto"/>
                    <w:bottom w:val="none" w:sz="0" w:space="0" w:color="auto"/>
                    <w:right w:val="none" w:sz="0" w:space="0" w:color="auto"/>
                  </w:divBdr>
                  <w:divsChild>
                    <w:div w:id="1909924564">
                      <w:marLeft w:val="0"/>
                      <w:marRight w:val="0"/>
                      <w:marTop w:val="0"/>
                      <w:marBottom w:val="0"/>
                      <w:divBdr>
                        <w:top w:val="none" w:sz="0" w:space="0" w:color="auto"/>
                        <w:left w:val="none" w:sz="0" w:space="0" w:color="auto"/>
                        <w:bottom w:val="none" w:sz="0" w:space="0" w:color="auto"/>
                        <w:right w:val="none" w:sz="0" w:space="0" w:color="auto"/>
                      </w:divBdr>
                    </w:div>
                  </w:divsChild>
                </w:div>
                <w:div w:id="1123498275">
                  <w:marLeft w:val="0"/>
                  <w:marRight w:val="0"/>
                  <w:marTop w:val="0"/>
                  <w:marBottom w:val="0"/>
                  <w:divBdr>
                    <w:top w:val="none" w:sz="0" w:space="0" w:color="auto"/>
                    <w:left w:val="none" w:sz="0" w:space="0" w:color="auto"/>
                    <w:bottom w:val="none" w:sz="0" w:space="0" w:color="auto"/>
                    <w:right w:val="none" w:sz="0" w:space="0" w:color="auto"/>
                  </w:divBdr>
                  <w:divsChild>
                    <w:div w:id="1830517463">
                      <w:marLeft w:val="0"/>
                      <w:marRight w:val="0"/>
                      <w:marTop w:val="0"/>
                      <w:marBottom w:val="0"/>
                      <w:divBdr>
                        <w:top w:val="none" w:sz="0" w:space="0" w:color="auto"/>
                        <w:left w:val="none" w:sz="0" w:space="0" w:color="auto"/>
                        <w:bottom w:val="none" w:sz="0" w:space="0" w:color="auto"/>
                        <w:right w:val="none" w:sz="0" w:space="0" w:color="auto"/>
                      </w:divBdr>
                    </w:div>
                  </w:divsChild>
                </w:div>
                <w:div w:id="1137527767">
                  <w:marLeft w:val="0"/>
                  <w:marRight w:val="0"/>
                  <w:marTop w:val="0"/>
                  <w:marBottom w:val="0"/>
                  <w:divBdr>
                    <w:top w:val="none" w:sz="0" w:space="0" w:color="auto"/>
                    <w:left w:val="none" w:sz="0" w:space="0" w:color="auto"/>
                    <w:bottom w:val="none" w:sz="0" w:space="0" w:color="auto"/>
                    <w:right w:val="none" w:sz="0" w:space="0" w:color="auto"/>
                  </w:divBdr>
                  <w:divsChild>
                    <w:div w:id="168062809">
                      <w:marLeft w:val="0"/>
                      <w:marRight w:val="0"/>
                      <w:marTop w:val="0"/>
                      <w:marBottom w:val="0"/>
                      <w:divBdr>
                        <w:top w:val="none" w:sz="0" w:space="0" w:color="auto"/>
                        <w:left w:val="none" w:sz="0" w:space="0" w:color="auto"/>
                        <w:bottom w:val="none" w:sz="0" w:space="0" w:color="auto"/>
                        <w:right w:val="none" w:sz="0" w:space="0" w:color="auto"/>
                      </w:divBdr>
                    </w:div>
                    <w:div w:id="669257528">
                      <w:marLeft w:val="0"/>
                      <w:marRight w:val="0"/>
                      <w:marTop w:val="0"/>
                      <w:marBottom w:val="0"/>
                      <w:divBdr>
                        <w:top w:val="none" w:sz="0" w:space="0" w:color="auto"/>
                        <w:left w:val="none" w:sz="0" w:space="0" w:color="auto"/>
                        <w:bottom w:val="none" w:sz="0" w:space="0" w:color="auto"/>
                        <w:right w:val="none" w:sz="0" w:space="0" w:color="auto"/>
                      </w:divBdr>
                    </w:div>
                    <w:div w:id="1222903207">
                      <w:marLeft w:val="0"/>
                      <w:marRight w:val="0"/>
                      <w:marTop w:val="0"/>
                      <w:marBottom w:val="0"/>
                      <w:divBdr>
                        <w:top w:val="none" w:sz="0" w:space="0" w:color="auto"/>
                        <w:left w:val="none" w:sz="0" w:space="0" w:color="auto"/>
                        <w:bottom w:val="none" w:sz="0" w:space="0" w:color="auto"/>
                        <w:right w:val="none" w:sz="0" w:space="0" w:color="auto"/>
                      </w:divBdr>
                    </w:div>
                    <w:div w:id="1735156913">
                      <w:marLeft w:val="0"/>
                      <w:marRight w:val="0"/>
                      <w:marTop w:val="0"/>
                      <w:marBottom w:val="0"/>
                      <w:divBdr>
                        <w:top w:val="none" w:sz="0" w:space="0" w:color="auto"/>
                        <w:left w:val="none" w:sz="0" w:space="0" w:color="auto"/>
                        <w:bottom w:val="none" w:sz="0" w:space="0" w:color="auto"/>
                        <w:right w:val="none" w:sz="0" w:space="0" w:color="auto"/>
                      </w:divBdr>
                    </w:div>
                    <w:div w:id="1741754592">
                      <w:marLeft w:val="0"/>
                      <w:marRight w:val="0"/>
                      <w:marTop w:val="0"/>
                      <w:marBottom w:val="0"/>
                      <w:divBdr>
                        <w:top w:val="none" w:sz="0" w:space="0" w:color="auto"/>
                        <w:left w:val="none" w:sz="0" w:space="0" w:color="auto"/>
                        <w:bottom w:val="none" w:sz="0" w:space="0" w:color="auto"/>
                        <w:right w:val="none" w:sz="0" w:space="0" w:color="auto"/>
                      </w:divBdr>
                    </w:div>
                    <w:div w:id="1832720732">
                      <w:marLeft w:val="0"/>
                      <w:marRight w:val="0"/>
                      <w:marTop w:val="0"/>
                      <w:marBottom w:val="0"/>
                      <w:divBdr>
                        <w:top w:val="none" w:sz="0" w:space="0" w:color="auto"/>
                        <w:left w:val="none" w:sz="0" w:space="0" w:color="auto"/>
                        <w:bottom w:val="none" w:sz="0" w:space="0" w:color="auto"/>
                        <w:right w:val="none" w:sz="0" w:space="0" w:color="auto"/>
                      </w:divBdr>
                    </w:div>
                    <w:div w:id="1890215711">
                      <w:marLeft w:val="0"/>
                      <w:marRight w:val="0"/>
                      <w:marTop w:val="0"/>
                      <w:marBottom w:val="0"/>
                      <w:divBdr>
                        <w:top w:val="none" w:sz="0" w:space="0" w:color="auto"/>
                        <w:left w:val="none" w:sz="0" w:space="0" w:color="auto"/>
                        <w:bottom w:val="none" w:sz="0" w:space="0" w:color="auto"/>
                        <w:right w:val="none" w:sz="0" w:space="0" w:color="auto"/>
                      </w:divBdr>
                    </w:div>
                    <w:div w:id="1968076859">
                      <w:marLeft w:val="0"/>
                      <w:marRight w:val="0"/>
                      <w:marTop w:val="0"/>
                      <w:marBottom w:val="0"/>
                      <w:divBdr>
                        <w:top w:val="none" w:sz="0" w:space="0" w:color="auto"/>
                        <w:left w:val="none" w:sz="0" w:space="0" w:color="auto"/>
                        <w:bottom w:val="none" w:sz="0" w:space="0" w:color="auto"/>
                        <w:right w:val="none" w:sz="0" w:space="0" w:color="auto"/>
                      </w:divBdr>
                    </w:div>
                    <w:div w:id="2146464123">
                      <w:marLeft w:val="0"/>
                      <w:marRight w:val="0"/>
                      <w:marTop w:val="0"/>
                      <w:marBottom w:val="0"/>
                      <w:divBdr>
                        <w:top w:val="none" w:sz="0" w:space="0" w:color="auto"/>
                        <w:left w:val="none" w:sz="0" w:space="0" w:color="auto"/>
                        <w:bottom w:val="none" w:sz="0" w:space="0" w:color="auto"/>
                        <w:right w:val="none" w:sz="0" w:space="0" w:color="auto"/>
                      </w:divBdr>
                    </w:div>
                  </w:divsChild>
                </w:div>
                <w:div w:id="1137919501">
                  <w:marLeft w:val="0"/>
                  <w:marRight w:val="0"/>
                  <w:marTop w:val="0"/>
                  <w:marBottom w:val="0"/>
                  <w:divBdr>
                    <w:top w:val="none" w:sz="0" w:space="0" w:color="auto"/>
                    <w:left w:val="none" w:sz="0" w:space="0" w:color="auto"/>
                    <w:bottom w:val="none" w:sz="0" w:space="0" w:color="auto"/>
                    <w:right w:val="none" w:sz="0" w:space="0" w:color="auto"/>
                  </w:divBdr>
                  <w:divsChild>
                    <w:div w:id="345836880">
                      <w:marLeft w:val="0"/>
                      <w:marRight w:val="0"/>
                      <w:marTop w:val="0"/>
                      <w:marBottom w:val="0"/>
                      <w:divBdr>
                        <w:top w:val="none" w:sz="0" w:space="0" w:color="auto"/>
                        <w:left w:val="none" w:sz="0" w:space="0" w:color="auto"/>
                        <w:bottom w:val="none" w:sz="0" w:space="0" w:color="auto"/>
                        <w:right w:val="none" w:sz="0" w:space="0" w:color="auto"/>
                      </w:divBdr>
                    </w:div>
                  </w:divsChild>
                </w:div>
                <w:div w:id="1159273707">
                  <w:marLeft w:val="0"/>
                  <w:marRight w:val="0"/>
                  <w:marTop w:val="0"/>
                  <w:marBottom w:val="0"/>
                  <w:divBdr>
                    <w:top w:val="none" w:sz="0" w:space="0" w:color="auto"/>
                    <w:left w:val="none" w:sz="0" w:space="0" w:color="auto"/>
                    <w:bottom w:val="none" w:sz="0" w:space="0" w:color="auto"/>
                    <w:right w:val="none" w:sz="0" w:space="0" w:color="auto"/>
                  </w:divBdr>
                  <w:divsChild>
                    <w:div w:id="606960477">
                      <w:marLeft w:val="0"/>
                      <w:marRight w:val="0"/>
                      <w:marTop w:val="0"/>
                      <w:marBottom w:val="0"/>
                      <w:divBdr>
                        <w:top w:val="none" w:sz="0" w:space="0" w:color="auto"/>
                        <w:left w:val="none" w:sz="0" w:space="0" w:color="auto"/>
                        <w:bottom w:val="none" w:sz="0" w:space="0" w:color="auto"/>
                        <w:right w:val="none" w:sz="0" w:space="0" w:color="auto"/>
                      </w:divBdr>
                    </w:div>
                  </w:divsChild>
                </w:div>
                <w:div w:id="1160999668">
                  <w:marLeft w:val="0"/>
                  <w:marRight w:val="0"/>
                  <w:marTop w:val="0"/>
                  <w:marBottom w:val="0"/>
                  <w:divBdr>
                    <w:top w:val="none" w:sz="0" w:space="0" w:color="auto"/>
                    <w:left w:val="none" w:sz="0" w:space="0" w:color="auto"/>
                    <w:bottom w:val="none" w:sz="0" w:space="0" w:color="auto"/>
                    <w:right w:val="none" w:sz="0" w:space="0" w:color="auto"/>
                  </w:divBdr>
                  <w:divsChild>
                    <w:div w:id="125706411">
                      <w:marLeft w:val="0"/>
                      <w:marRight w:val="0"/>
                      <w:marTop w:val="0"/>
                      <w:marBottom w:val="0"/>
                      <w:divBdr>
                        <w:top w:val="none" w:sz="0" w:space="0" w:color="auto"/>
                        <w:left w:val="none" w:sz="0" w:space="0" w:color="auto"/>
                        <w:bottom w:val="none" w:sz="0" w:space="0" w:color="auto"/>
                        <w:right w:val="none" w:sz="0" w:space="0" w:color="auto"/>
                      </w:divBdr>
                    </w:div>
                  </w:divsChild>
                </w:div>
                <w:div w:id="1178500598">
                  <w:marLeft w:val="0"/>
                  <w:marRight w:val="0"/>
                  <w:marTop w:val="0"/>
                  <w:marBottom w:val="0"/>
                  <w:divBdr>
                    <w:top w:val="none" w:sz="0" w:space="0" w:color="auto"/>
                    <w:left w:val="none" w:sz="0" w:space="0" w:color="auto"/>
                    <w:bottom w:val="none" w:sz="0" w:space="0" w:color="auto"/>
                    <w:right w:val="none" w:sz="0" w:space="0" w:color="auto"/>
                  </w:divBdr>
                  <w:divsChild>
                    <w:div w:id="478377570">
                      <w:marLeft w:val="0"/>
                      <w:marRight w:val="0"/>
                      <w:marTop w:val="0"/>
                      <w:marBottom w:val="0"/>
                      <w:divBdr>
                        <w:top w:val="none" w:sz="0" w:space="0" w:color="auto"/>
                        <w:left w:val="none" w:sz="0" w:space="0" w:color="auto"/>
                        <w:bottom w:val="none" w:sz="0" w:space="0" w:color="auto"/>
                        <w:right w:val="none" w:sz="0" w:space="0" w:color="auto"/>
                      </w:divBdr>
                    </w:div>
                  </w:divsChild>
                </w:div>
                <w:div w:id="1180974196">
                  <w:marLeft w:val="0"/>
                  <w:marRight w:val="0"/>
                  <w:marTop w:val="0"/>
                  <w:marBottom w:val="0"/>
                  <w:divBdr>
                    <w:top w:val="none" w:sz="0" w:space="0" w:color="auto"/>
                    <w:left w:val="none" w:sz="0" w:space="0" w:color="auto"/>
                    <w:bottom w:val="none" w:sz="0" w:space="0" w:color="auto"/>
                    <w:right w:val="none" w:sz="0" w:space="0" w:color="auto"/>
                  </w:divBdr>
                  <w:divsChild>
                    <w:div w:id="1067268639">
                      <w:marLeft w:val="0"/>
                      <w:marRight w:val="0"/>
                      <w:marTop w:val="0"/>
                      <w:marBottom w:val="0"/>
                      <w:divBdr>
                        <w:top w:val="none" w:sz="0" w:space="0" w:color="auto"/>
                        <w:left w:val="none" w:sz="0" w:space="0" w:color="auto"/>
                        <w:bottom w:val="none" w:sz="0" w:space="0" w:color="auto"/>
                        <w:right w:val="none" w:sz="0" w:space="0" w:color="auto"/>
                      </w:divBdr>
                    </w:div>
                  </w:divsChild>
                </w:div>
                <w:div w:id="1181165701">
                  <w:marLeft w:val="0"/>
                  <w:marRight w:val="0"/>
                  <w:marTop w:val="0"/>
                  <w:marBottom w:val="0"/>
                  <w:divBdr>
                    <w:top w:val="none" w:sz="0" w:space="0" w:color="auto"/>
                    <w:left w:val="none" w:sz="0" w:space="0" w:color="auto"/>
                    <w:bottom w:val="none" w:sz="0" w:space="0" w:color="auto"/>
                    <w:right w:val="none" w:sz="0" w:space="0" w:color="auto"/>
                  </w:divBdr>
                  <w:divsChild>
                    <w:div w:id="2057653802">
                      <w:marLeft w:val="0"/>
                      <w:marRight w:val="0"/>
                      <w:marTop w:val="0"/>
                      <w:marBottom w:val="0"/>
                      <w:divBdr>
                        <w:top w:val="none" w:sz="0" w:space="0" w:color="auto"/>
                        <w:left w:val="none" w:sz="0" w:space="0" w:color="auto"/>
                        <w:bottom w:val="none" w:sz="0" w:space="0" w:color="auto"/>
                        <w:right w:val="none" w:sz="0" w:space="0" w:color="auto"/>
                      </w:divBdr>
                    </w:div>
                  </w:divsChild>
                </w:div>
                <w:div w:id="1183743398">
                  <w:marLeft w:val="0"/>
                  <w:marRight w:val="0"/>
                  <w:marTop w:val="0"/>
                  <w:marBottom w:val="0"/>
                  <w:divBdr>
                    <w:top w:val="none" w:sz="0" w:space="0" w:color="auto"/>
                    <w:left w:val="none" w:sz="0" w:space="0" w:color="auto"/>
                    <w:bottom w:val="none" w:sz="0" w:space="0" w:color="auto"/>
                    <w:right w:val="none" w:sz="0" w:space="0" w:color="auto"/>
                  </w:divBdr>
                  <w:divsChild>
                    <w:div w:id="616181245">
                      <w:marLeft w:val="0"/>
                      <w:marRight w:val="0"/>
                      <w:marTop w:val="0"/>
                      <w:marBottom w:val="0"/>
                      <w:divBdr>
                        <w:top w:val="none" w:sz="0" w:space="0" w:color="auto"/>
                        <w:left w:val="none" w:sz="0" w:space="0" w:color="auto"/>
                        <w:bottom w:val="none" w:sz="0" w:space="0" w:color="auto"/>
                        <w:right w:val="none" w:sz="0" w:space="0" w:color="auto"/>
                      </w:divBdr>
                    </w:div>
                  </w:divsChild>
                </w:div>
                <w:div w:id="1185560621">
                  <w:marLeft w:val="0"/>
                  <w:marRight w:val="0"/>
                  <w:marTop w:val="0"/>
                  <w:marBottom w:val="0"/>
                  <w:divBdr>
                    <w:top w:val="none" w:sz="0" w:space="0" w:color="auto"/>
                    <w:left w:val="none" w:sz="0" w:space="0" w:color="auto"/>
                    <w:bottom w:val="none" w:sz="0" w:space="0" w:color="auto"/>
                    <w:right w:val="none" w:sz="0" w:space="0" w:color="auto"/>
                  </w:divBdr>
                  <w:divsChild>
                    <w:div w:id="462963268">
                      <w:marLeft w:val="0"/>
                      <w:marRight w:val="0"/>
                      <w:marTop w:val="0"/>
                      <w:marBottom w:val="0"/>
                      <w:divBdr>
                        <w:top w:val="none" w:sz="0" w:space="0" w:color="auto"/>
                        <w:left w:val="none" w:sz="0" w:space="0" w:color="auto"/>
                        <w:bottom w:val="none" w:sz="0" w:space="0" w:color="auto"/>
                        <w:right w:val="none" w:sz="0" w:space="0" w:color="auto"/>
                      </w:divBdr>
                    </w:div>
                  </w:divsChild>
                </w:div>
                <w:div w:id="1192381901">
                  <w:marLeft w:val="0"/>
                  <w:marRight w:val="0"/>
                  <w:marTop w:val="0"/>
                  <w:marBottom w:val="0"/>
                  <w:divBdr>
                    <w:top w:val="none" w:sz="0" w:space="0" w:color="auto"/>
                    <w:left w:val="none" w:sz="0" w:space="0" w:color="auto"/>
                    <w:bottom w:val="none" w:sz="0" w:space="0" w:color="auto"/>
                    <w:right w:val="none" w:sz="0" w:space="0" w:color="auto"/>
                  </w:divBdr>
                  <w:divsChild>
                    <w:div w:id="1742478950">
                      <w:marLeft w:val="0"/>
                      <w:marRight w:val="0"/>
                      <w:marTop w:val="0"/>
                      <w:marBottom w:val="0"/>
                      <w:divBdr>
                        <w:top w:val="none" w:sz="0" w:space="0" w:color="auto"/>
                        <w:left w:val="none" w:sz="0" w:space="0" w:color="auto"/>
                        <w:bottom w:val="none" w:sz="0" w:space="0" w:color="auto"/>
                        <w:right w:val="none" w:sz="0" w:space="0" w:color="auto"/>
                      </w:divBdr>
                    </w:div>
                  </w:divsChild>
                </w:div>
                <w:div w:id="1192576152">
                  <w:marLeft w:val="0"/>
                  <w:marRight w:val="0"/>
                  <w:marTop w:val="0"/>
                  <w:marBottom w:val="0"/>
                  <w:divBdr>
                    <w:top w:val="none" w:sz="0" w:space="0" w:color="auto"/>
                    <w:left w:val="none" w:sz="0" w:space="0" w:color="auto"/>
                    <w:bottom w:val="none" w:sz="0" w:space="0" w:color="auto"/>
                    <w:right w:val="none" w:sz="0" w:space="0" w:color="auto"/>
                  </w:divBdr>
                  <w:divsChild>
                    <w:div w:id="915407727">
                      <w:marLeft w:val="0"/>
                      <w:marRight w:val="0"/>
                      <w:marTop w:val="0"/>
                      <w:marBottom w:val="0"/>
                      <w:divBdr>
                        <w:top w:val="none" w:sz="0" w:space="0" w:color="auto"/>
                        <w:left w:val="none" w:sz="0" w:space="0" w:color="auto"/>
                        <w:bottom w:val="none" w:sz="0" w:space="0" w:color="auto"/>
                        <w:right w:val="none" w:sz="0" w:space="0" w:color="auto"/>
                      </w:divBdr>
                    </w:div>
                  </w:divsChild>
                </w:div>
                <w:div w:id="1195078269">
                  <w:marLeft w:val="0"/>
                  <w:marRight w:val="0"/>
                  <w:marTop w:val="0"/>
                  <w:marBottom w:val="0"/>
                  <w:divBdr>
                    <w:top w:val="none" w:sz="0" w:space="0" w:color="auto"/>
                    <w:left w:val="none" w:sz="0" w:space="0" w:color="auto"/>
                    <w:bottom w:val="none" w:sz="0" w:space="0" w:color="auto"/>
                    <w:right w:val="none" w:sz="0" w:space="0" w:color="auto"/>
                  </w:divBdr>
                  <w:divsChild>
                    <w:div w:id="13655285">
                      <w:marLeft w:val="0"/>
                      <w:marRight w:val="0"/>
                      <w:marTop w:val="0"/>
                      <w:marBottom w:val="0"/>
                      <w:divBdr>
                        <w:top w:val="none" w:sz="0" w:space="0" w:color="auto"/>
                        <w:left w:val="none" w:sz="0" w:space="0" w:color="auto"/>
                        <w:bottom w:val="none" w:sz="0" w:space="0" w:color="auto"/>
                        <w:right w:val="none" w:sz="0" w:space="0" w:color="auto"/>
                      </w:divBdr>
                    </w:div>
                  </w:divsChild>
                </w:div>
                <w:div w:id="1197885708">
                  <w:marLeft w:val="0"/>
                  <w:marRight w:val="0"/>
                  <w:marTop w:val="0"/>
                  <w:marBottom w:val="0"/>
                  <w:divBdr>
                    <w:top w:val="none" w:sz="0" w:space="0" w:color="auto"/>
                    <w:left w:val="none" w:sz="0" w:space="0" w:color="auto"/>
                    <w:bottom w:val="none" w:sz="0" w:space="0" w:color="auto"/>
                    <w:right w:val="none" w:sz="0" w:space="0" w:color="auto"/>
                  </w:divBdr>
                  <w:divsChild>
                    <w:div w:id="878861961">
                      <w:marLeft w:val="0"/>
                      <w:marRight w:val="0"/>
                      <w:marTop w:val="0"/>
                      <w:marBottom w:val="0"/>
                      <w:divBdr>
                        <w:top w:val="none" w:sz="0" w:space="0" w:color="auto"/>
                        <w:left w:val="none" w:sz="0" w:space="0" w:color="auto"/>
                        <w:bottom w:val="none" w:sz="0" w:space="0" w:color="auto"/>
                        <w:right w:val="none" w:sz="0" w:space="0" w:color="auto"/>
                      </w:divBdr>
                    </w:div>
                  </w:divsChild>
                </w:div>
                <w:div w:id="1208252275">
                  <w:marLeft w:val="0"/>
                  <w:marRight w:val="0"/>
                  <w:marTop w:val="0"/>
                  <w:marBottom w:val="0"/>
                  <w:divBdr>
                    <w:top w:val="none" w:sz="0" w:space="0" w:color="auto"/>
                    <w:left w:val="none" w:sz="0" w:space="0" w:color="auto"/>
                    <w:bottom w:val="none" w:sz="0" w:space="0" w:color="auto"/>
                    <w:right w:val="none" w:sz="0" w:space="0" w:color="auto"/>
                  </w:divBdr>
                  <w:divsChild>
                    <w:div w:id="158663542">
                      <w:marLeft w:val="0"/>
                      <w:marRight w:val="0"/>
                      <w:marTop w:val="0"/>
                      <w:marBottom w:val="0"/>
                      <w:divBdr>
                        <w:top w:val="none" w:sz="0" w:space="0" w:color="auto"/>
                        <w:left w:val="none" w:sz="0" w:space="0" w:color="auto"/>
                        <w:bottom w:val="none" w:sz="0" w:space="0" w:color="auto"/>
                        <w:right w:val="none" w:sz="0" w:space="0" w:color="auto"/>
                      </w:divBdr>
                    </w:div>
                  </w:divsChild>
                </w:div>
                <w:div w:id="1209024886">
                  <w:marLeft w:val="0"/>
                  <w:marRight w:val="0"/>
                  <w:marTop w:val="0"/>
                  <w:marBottom w:val="0"/>
                  <w:divBdr>
                    <w:top w:val="none" w:sz="0" w:space="0" w:color="auto"/>
                    <w:left w:val="none" w:sz="0" w:space="0" w:color="auto"/>
                    <w:bottom w:val="none" w:sz="0" w:space="0" w:color="auto"/>
                    <w:right w:val="none" w:sz="0" w:space="0" w:color="auto"/>
                  </w:divBdr>
                  <w:divsChild>
                    <w:div w:id="1089813977">
                      <w:marLeft w:val="0"/>
                      <w:marRight w:val="0"/>
                      <w:marTop w:val="0"/>
                      <w:marBottom w:val="0"/>
                      <w:divBdr>
                        <w:top w:val="none" w:sz="0" w:space="0" w:color="auto"/>
                        <w:left w:val="none" w:sz="0" w:space="0" w:color="auto"/>
                        <w:bottom w:val="none" w:sz="0" w:space="0" w:color="auto"/>
                        <w:right w:val="none" w:sz="0" w:space="0" w:color="auto"/>
                      </w:divBdr>
                    </w:div>
                  </w:divsChild>
                </w:div>
                <w:div w:id="1222255547">
                  <w:marLeft w:val="0"/>
                  <w:marRight w:val="0"/>
                  <w:marTop w:val="0"/>
                  <w:marBottom w:val="0"/>
                  <w:divBdr>
                    <w:top w:val="none" w:sz="0" w:space="0" w:color="auto"/>
                    <w:left w:val="none" w:sz="0" w:space="0" w:color="auto"/>
                    <w:bottom w:val="none" w:sz="0" w:space="0" w:color="auto"/>
                    <w:right w:val="none" w:sz="0" w:space="0" w:color="auto"/>
                  </w:divBdr>
                  <w:divsChild>
                    <w:div w:id="1880895433">
                      <w:marLeft w:val="0"/>
                      <w:marRight w:val="0"/>
                      <w:marTop w:val="0"/>
                      <w:marBottom w:val="0"/>
                      <w:divBdr>
                        <w:top w:val="none" w:sz="0" w:space="0" w:color="auto"/>
                        <w:left w:val="none" w:sz="0" w:space="0" w:color="auto"/>
                        <w:bottom w:val="none" w:sz="0" w:space="0" w:color="auto"/>
                        <w:right w:val="none" w:sz="0" w:space="0" w:color="auto"/>
                      </w:divBdr>
                    </w:div>
                  </w:divsChild>
                </w:div>
                <w:div w:id="1224095949">
                  <w:marLeft w:val="0"/>
                  <w:marRight w:val="0"/>
                  <w:marTop w:val="0"/>
                  <w:marBottom w:val="0"/>
                  <w:divBdr>
                    <w:top w:val="none" w:sz="0" w:space="0" w:color="auto"/>
                    <w:left w:val="none" w:sz="0" w:space="0" w:color="auto"/>
                    <w:bottom w:val="none" w:sz="0" w:space="0" w:color="auto"/>
                    <w:right w:val="none" w:sz="0" w:space="0" w:color="auto"/>
                  </w:divBdr>
                  <w:divsChild>
                    <w:div w:id="1469666425">
                      <w:marLeft w:val="0"/>
                      <w:marRight w:val="0"/>
                      <w:marTop w:val="0"/>
                      <w:marBottom w:val="0"/>
                      <w:divBdr>
                        <w:top w:val="none" w:sz="0" w:space="0" w:color="auto"/>
                        <w:left w:val="none" w:sz="0" w:space="0" w:color="auto"/>
                        <w:bottom w:val="none" w:sz="0" w:space="0" w:color="auto"/>
                        <w:right w:val="none" w:sz="0" w:space="0" w:color="auto"/>
                      </w:divBdr>
                    </w:div>
                  </w:divsChild>
                </w:div>
                <w:div w:id="1226993209">
                  <w:marLeft w:val="0"/>
                  <w:marRight w:val="0"/>
                  <w:marTop w:val="0"/>
                  <w:marBottom w:val="0"/>
                  <w:divBdr>
                    <w:top w:val="none" w:sz="0" w:space="0" w:color="auto"/>
                    <w:left w:val="none" w:sz="0" w:space="0" w:color="auto"/>
                    <w:bottom w:val="none" w:sz="0" w:space="0" w:color="auto"/>
                    <w:right w:val="none" w:sz="0" w:space="0" w:color="auto"/>
                  </w:divBdr>
                  <w:divsChild>
                    <w:div w:id="1942029287">
                      <w:marLeft w:val="0"/>
                      <w:marRight w:val="0"/>
                      <w:marTop w:val="0"/>
                      <w:marBottom w:val="0"/>
                      <w:divBdr>
                        <w:top w:val="none" w:sz="0" w:space="0" w:color="auto"/>
                        <w:left w:val="none" w:sz="0" w:space="0" w:color="auto"/>
                        <w:bottom w:val="none" w:sz="0" w:space="0" w:color="auto"/>
                        <w:right w:val="none" w:sz="0" w:space="0" w:color="auto"/>
                      </w:divBdr>
                    </w:div>
                  </w:divsChild>
                </w:div>
                <w:div w:id="1228490659">
                  <w:marLeft w:val="0"/>
                  <w:marRight w:val="0"/>
                  <w:marTop w:val="0"/>
                  <w:marBottom w:val="0"/>
                  <w:divBdr>
                    <w:top w:val="none" w:sz="0" w:space="0" w:color="auto"/>
                    <w:left w:val="none" w:sz="0" w:space="0" w:color="auto"/>
                    <w:bottom w:val="none" w:sz="0" w:space="0" w:color="auto"/>
                    <w:right w:val="none" w:sz="0" w:space="0" w:color="auto"/>
                  </w:divBdr>
                  <w:divsChild>
                    <w:div w:id="537663488">
                      <w:marLeft w:val="0"/>
                      <w:marRight w:val="0"/>
                      <w:marTop w:val="0"/>
                      <w:marBottom w:val="0"/>
                      <w:divBdr>
                        <w:top w:val="none" w:sz="0" w:space="0" w:color="auto"/>
                        <w:left w:val="none" w:sz="0" w:space="0" w:color="auto"/>
                        <w:bottom w:val="none" w:sz="0" w:space="0" w:color="auto"/>
                        <w:right w:val="none" w:sz="0" w:space="0" w:color="auto"/>
                      </w:divBdr>
                    </w:div>
                  </w:divsChild>
                </w:div>
                <w:div w:id="1229850476">
                  <w:marLeft w:val="0"/>
                  <w:marRight w:val="0"/>
                  <w:marTop w:val="0"/>
                  <w:marBottom w:val="0"/>
                  <w:divBdr>
                    <w:top w:val="none" w:sz="0" w:space="0" w:color="auto"/>
                    <w:left w:val="none" w:sz="0" w:space="0" w:color="auto"/>
                    <w:bottom w:val="none" w:sz="0" w:space="0" w:color="auto"/>
                    <w:right w:val="none" w:sz="0" w:space="0" w:color="auto"/>
                  </w:divBdr>
                  <w:divsChild>
                    <w:div w:id="2032609151">
                      <w:marLeft w:val="0"/>
                      <w:marRight w:val="0"/>
                      <w:marTop w:val="0"/>
                      <w:marBottom w:val="0"/>
                      <w:divBdr>
                        <w:top w:val="none" w:sz="0" w:space="0" w:color="auto"/>
                        <w:left w:val="none" w:sz="0" w:space="0" w:color="auto"/>
                        <w:bottom w:val="none" w:sz="0" w:space="0" w:color="auto"/>
                        <w:right w:val="none" w:sz="0" w:space="0" w:color="auto"/>
                      </w:divBdr>
                    </w:div>
                  </w:divsChild>
                </w:div>
                <w:div w:id="1230917973">
                  <w:marLeft w:val="0"/>
                  <w:marRight w:val="0"/>
                  <w:marTop w:val="0"/>
                  <w:marBottom w:val="0"/>
                  <w:divBdr>
                    <w:top w:val="none" w:sz="0" w:space="0" w:color="auto"/>
                    <w:left w:val="none" w:sz="0" w:space="0" w:color="auto"/>
                    <w:bottom w:val="none" w:sz="0" w:space="0" w:color="auto"/>
                    <w:right w:val="none" w:sz="0" w:space="0" w:color="auto"/>
                  </w:divBdr>
                  <w:divsChild>
                    <w:div w:id="1695226166">
                      <w:marLeft w:val="0"/>
                      <w:marRight w:val="0"/>
                      <w:marTop w:val="0"/>
                      <w:marBottom w:val="0"/>
                      <w:divBdr>
                        <w:top w:val="none" w:sz="0" w:space="0" w:color="auto"/>
                        <w:left w:val="none" w:sz="0" w:space="0" w:color="auto"/>
                        <w:bottom w:val="none" w:sz="0" w:space="0" w:color="auto"/>
                        <w:right w:val="none" w:sz="0" w:space="0" w:color="auto"/>
                      </w:divBdr>
                    </w:div>
                  </w:divsChild>
                </w:div>
                <w:div w:id="1246766727">
                  <w:marLeft w:val="0"/>
                  <w:marRight w:val="0"/>
                  <w:marTop w:val="0"/>
                  <w:marBottom w:val="0"/>
                  <w:divBdr>
                    <w:top w:val="none" w:sz="0" w:space="0" w:color="auto"/>
                    <w:left w:val="none" w:sz="0" w:space="0" w:color="auto"/>
                    <w:bottom w:val="none" w:sz="0" w:space="0" w:color="auto"/>
                    <w:right w:val="none" w:sz="0" w:space="0" w:color="auto"/>
                  </w:divBdr>
                  <w:divsChild>
                    <w:div w:id="309600293">
                      <w:marLeft w:val="0"/>
                      <w:marRight w:val="0"/>
                      <w:marTop w:val="0"/>
                      <w:marBottom w:val="0"/>
                      <w:divBdr>
                        <w:top w:val="none" w:sz="0" w:space="0" w:color="auto"/>
                        <w:left w:val="none" w:sz="0" w:space="0" w:color="auto"/>
                        <w:bottom w:val="none" w:sz="0" w:space="0" w:color="auto"/>
                        <w:right w:val="none" w:sz="0" w:space="0" w:color="auto"/>
                      </w:divBdr>
                    </w:div>
                  </w:divsChild>
                </w:div>
                <w:div w:id="1247884301">
                  <w:marLeft w:val="0"/>
                  <w:marRight w:val="0"/>
                  <w:marTop w:val="0"/>
                  <w:marBottom w:val="0"/>
                  <w:divBdr>
                    <w:top w:val="none" w:sz="0" w:space="0" w:color="auto"/>
                    <w:left w:val="none" w:sz="0" w:space="0" w:color="auto"/>
                    <w:bottom w:val="none" w:sz="0" w:space="0" w:color="auto"/>
                    <w:right w:val="none" w:sz="0" w:space="0" w:color="auto"/>
                  </w:divBdr>
                  <w:divsChild>
                    <w:div w:id="694354836">
                      <w:marLeft w:val="0"/>
                      <w:marRight w:val="0"/>
                      <w:marTop w:val="0"/>
                      <w:marBottom w:val="0"/>
                      <w:divBdr>
                        <w:top w:val="none" w:sz="0" w:space="0" w:color="auto"/>
                        <w:left w:val="none" w:sz="0" w:space="0" w:color="auto"/>
                        <w:bottom w:val="none" w:sz="0" w:space="0" w:color="auto"/>
                        <w:right w:val="none" w:sz="0" w:space="0" w:color="auto"/>
                      </w:divBdr>
                    </w:div>
                  </w:divsChild>
                </w:div>
                <w:div w:id="1258100906">
                  <w:marLeft w:val="0"/>
                  <w:marRight w:val="0"/>
                  <w:marTop w:val="0"/>
                  <w:marBottom w:val="0"/>
                  <w:divBdr>
                    <w:top w:val="none" w:sz="0" w:space="0" w:color="auto"/>
                    <w:left w:val="none" w:sz="0" w:space="0" w:color="auto"/>
                    <w:bottom w:val="none" w:sz="0" w:space="0" w:color="auto"/>
                    <w:right w:val="none" w:sz="0" w:space="0" w:color="auto"/>
                  </w:divBdr>
                  <w:divsChild>
                    <w:div w:id="1598518839">
                      <w:marLeft w:val="0"/>
                      <w:marRight w:val="0"/>
                      <w:marTop w:val="0"/>
                      <w:marBottom w:val="0"/>
                      <w:divBdr>
                        <w:top w:val="none" w:sz="0" w:space="0" w:color="auto"/>
                        <w:left w:val="none" w:sz="0" w:space="0" w:color="auto"/>
                        <w:bottom w:val="none" w:sz="0" w:space="0" w:color="auto"/>
                        <w:right w:val="none" w:sz="0" w:space="0" w:color="auto"/>
                      </w:divBdr>
                    </w:div>
                  </w:divsChild>
                </w:div>
                <w:div w:id="1258832997">
                  <w:marLeft w:val="0"/>
                  <w:marRight w:val="0"/>
                  <w:marTop w:val="0"/>
                  <w:marBottom w:val="0"/>
                  <w:divBdr>
                    <w:top w:val="none" w:sz="0" w:space="0" w:color="auto"/>
                    <w:left w:val="none" w:sz="0" w:space="0" w:color="auto"/>
                    <w:bottom w:val="none" w:sz="0" w:space="0" w:color="auto"/>
                    <w:right w:val="none" w:sz="0" w:space="0" w:color="auto"/>
                  </w:divBdr>
                  <w:divsChild>
                    <w:div w:id="733896856">
                      <w:marLeft w:val="0"/>
                      <w:marRight w:val="0"/>
                      <w:marTop w:val="0"/>
                      <w:marBottom w:val="0"/>
                      <w:divBdr>
                        <w:top w:val="none" w:sz="0" w:space="0" w:color="auto"/>
                        <w:left w:val="none" w:sz="0" w:space="0" w:color="auto"/>
                        <w:bottom w:val="none" w:sz="0" w:space="0" w:color="auto"/>
                        <w:right w:val="none" w:sz="0" w:space="0" w:color="auto"/>
                      </w:divBdr>
                    </w:div>
                  </w:divsChild>
                </w:div>
                <w:div w:id="1265766895">
                  <w:marLeft w:val="0"/>
                  <w:marRight w:val="0"/>
                  <w:marTop w:val="0"/>
                  <w:marBottom w:val="0"/>
                  <w:divBdr>
                    <w:top w:val="none" w:sz="0" w:space="0" w:color="auto"/>
                    <w:left w:val="none" w:sz="0" w:space="0" w:color="auto"/>
                    <w:bottom w:val="none" w:sz="0" w:space="0" w:color="auto"/>
                    <w:right w:val="none" w:sz="0" w:space="0" w:color="auto"/>
                  </w:divBdr>
                  <w:divsChild>
                    <w:div w:id="1291014358">
                      <w:marLeft w:val="0"/>
                      <w:marRight w:val="0"/>
                      <w:marTop w:val="0"/>
                      <w:marBottom w:val="0"/>
                      <w:divBdr>
                        <w:top w:val="none" w:sz="0" w:space="0" w:color="auto"/>
                        <w:left w:val="none" w:sz="0" w:space="0" w:color="auto"/>
                        <w:bottom w:val="none" w:sz="0" w:space="0" w:color="auto"/>
                        <w:right w:val="none" w:sz="0" w:space="0" w:color="auto"/>
                      </w:divBdr>
                    </w:div>
                  </w:divsChild>
                </w:div>
                <w:div w:id="1269312742">
                  <w:marLeft w:val="0"/>
                  <w:marRight w:val="0"/>
                  <w:marTop w:val="0"/>
                  <w:marBottom w:val="0"/>
                  <w:divBdr>
                    <w:top w:val="none" w:sz="0" w:space="0" w:color="auto"/>
                    <w:left w:val="none" w:sz="0" w:space="0" w:color="auto"/>
                    <w:bottom w:val="none" w:sz="0" w:space="0" w:color="auto"/>
                    <w:right w:val="none" w:sz="0" w:space="0" w:color="auto"/>
                  </w:divBdr>
                  <w:divsChild>
                    <w:div w:id="869532751">
                      <w:marLeft w:val="0"/>
                      <w:marRight w:val="0"/>
                      <w:marTop w:val="0"/>
                      <w:marBottom w:val="0"/>
                      <w:divBdr>
                        <w:top w:val="none" w:sz="0" w:space="0" w:color="auto"/>
                        <w:left w:val="none" w:sz="0" w:space="0" w:color="auto"/>
                        <w:bottom w:val="none" w:sz="0" w:space="0" w:color="auto"/>
                        <w:right w:val="none" w:sz="0" w:space="0" w:color="auto"/>
                      </w:divBdr>
                    </w:div>
                  </w:divsChild>
                </w:div>
                <w:div w:id="1271739708">
                  <w:marLeft w:val="0"/>
                  <w:marRight w:val="0"/>
                  <w:marTop w:val="0"/>
                  <w:marBottom w:val="0"/>
                  <w:divBdr>
                    <w:top w:val="none" w:sz="0" w:space="0" w:color="auto"/>
                    <w:left w:val="none" w:sz="0" w:space="0" w:color="auto"/>
                    <w:bottom w:val="none" w:sz="0" w:space="0" w:color="auto"/>
                    <w:right w:val="none" w:sz="0" w:space="0" w:color="auto"/>
                  </w:divBdr>
                  <w:divsChild>
                    <w:div w:id="499656855">
                      <w:marLeft w:val="0"/>
                      <w:marRight w:val="0"/>
                      <w:marTop w:val="0"/>
                      <w:marBottom w:val="0"/>
                      <w:divBdr>
                        <w:top w:val="none" w:sz="0" w:space="0" w:color="auto"/>
                        <w:left w:val="none" w:sz="0" w:space="0" w:color="auto"/>
                        <w:bottom w:val="none" w:sz="0" w:space="0" w:color="auto"/>
                        <w:right w:val="none" w:sz="0" w:space="0" w:color="auto"/>
                      </w:divBdr>
                    </w:div>
                  </w:divsChild>
                </w:div>
                <w:div w:id="1275213707">
                  <w:marLeft w:val="0"/>
                  <w:marRight w:val="0"/>
                  <w:marTop w:val="0"/>
                  <w:marBottom w:val="0"/>
                  <w:divBdr>
                    <w:top w:val="none" w:sz="0" w:space="0" w:color="auto"/>
                    <w:left w:val="none" w:sz="0" w:space="0" w:color="auto"/>
                    <w:bottom w:val="none" w:sz="0" w:space="0" w:color="auto"/>
                    <w:right w:val="none" w:sz="0" w:space="0" w:color="auto"/>
                  </w:divBdr>
                  <w:divsChild>
                    <w:div w:id="1816406614">
                      <w:marLeft w:val="0"/>
                      <w:marRight w:val="0"/>
                      <w:marTop w:val="0"/>
                      <w:marBottom w:val="0"/>
                      <w:divBdr>
                        <w:top w:val="none" w:sz="0" w:space="0" w:color="auto"/>
                        <w:left w:val="none" w:sz="0" w:space="0" w:color="auto"/>
                        <w:bottom w:val="none" w:sz="0" w:space="0" w:color="auto"/>
                        <w:right w:val="none" w:sz="0" w:space="0" w:color="auto"/>
                      </w:divBdr>
                    </w:div>
                  </w:divsChild>
                </w:div>
                <w:div w:id="1279752700">
                  <w:marLeft w:val="0"/>
                  <w:marRight w:val="0"/>
                  <w:marTop w:val="0"/>
                  <w:marBottom w:val="0"/>
                  <w:divBdr>
                    <w:top w:val="none" w:sz="0" w:space="0" w:color="auto"/>
                    <w:left w:val="none" w:sz="0" w:space="0" w:color="auto"/>
                    <w:bottom w:val="none" w:sz="0" w:space="0" w:color="auto"/>
                    <w:right w:val="none" w:sz="0" w:space="0" w:color="auto"/>
                  </w:divBdr>
                  <w:divsChild>
                    <w:div w:id="16926934">
                      <w:marLeft w:val="0"/>
                      <w:marRight w:val="0"/>
                      <w:marTop w:val="0"/>
                      <w:marBottom w:val="0"/>
                      <w:divBdr>
                        <w:top w:val="none" w:sz="0" w:space="0" w:color="auto"/>
                        <w:left w:val="none" w:sz="0" w:space="0" w:color="auto"/>
                        <w:bottom w:val="none" w:sz="0" w:space="0" w:color="auto"/>
                        <w:right w:val="none" w:sz="0" w:space="0" w:color="auto"/>
                      </w:divBdr>
                    </w:div>
                  </w:divsChild>
                </w:div>
                <w:div w:id="1283223121">
                  <w:marLeft w:val="0"/>
                  <w:marRight w:val="0"/>
                  <w:marTop w:val="0"/>
                  <w:marBottom w:val="0"/>
                  <w:divBdr>
                    <w:top w:val="none" w:sz="0" w:space="0" w:color="auto"/>
                    <w:left w:val="none" w:sz="0" w:space="0" w:color="auto"/>
                    <w:bottom w:val="none" w:sz="0" w:space="0" w:color="auto"/>
                    <w:right w:val="none" w:sz="0" w:space="0" w:color="auto"/>
                  </w:divBdr>
                  <w:divsChild>
                    <w:div w:id="852381480">
                      <w:marLeft w:val="0"/>
                      <w:marRight w:val="0"/>
                      <w:marTop w:val="0"/>
                      <w:marBottom w:val="0"/>
                      <w:divBdr>
                        <w:top w:val="none" w:sz="0" w:space="0" w:color="auto"/>
                        <w:left w:val="none" w:sz="0" w:space="0" w:color="auto"/>
                        <w:bottom w:val="none" w:sz="0" w:space="0" w:color="auto"/>
                        <w:right w:val="none" w:sz="0" w:space="0" w:color="auto"/>
                      </w:divBdr>
                    </w:div>
                  </w:divsChild>
                </w:div>
                <w:div w:id="1287814759">
                  <w:marLeft w:val="0"/>
                  <w:marRight w:val="0"/>
                  <w:marTop w:val="0"/>
                  <w:marBottom w:val="0"/>
                  <w:divBdr>
                    <w:top w:val="none" w:sz="0" w:space="0" w:color="auto"/>
                    <w:left w:val="none" w:sz="0" w:space="0" w:color="auto"/>
                    <w:bottom w:val="none" w:sz="0" w:space="0" w:color="auto"/>
                    <w:right w:val="none" w:sz="0" w:space="0" w:color="auto"/>
                  </w:divBdr>
                  <w:divsChild>
                    <w:div w:id="1306275151">
                      <w:marLeft w:val="0"/>
                      <w:marRight w:val="0"/>
                      <w:marTop w:val="0"/>
                      <w:marBottom w:val="0"/>
                      <w:divBdr>
                        <w:top w:val="none" w:sz="0" w:space="0" w:color="auto"/>
                        <w:left w:val="none" w:sz="0" w:space="0" w:color="auto"/>
                        <w:bottom w:val="none" w:sz="0" w:space="0" w:color="auto"/>
                        <w:right w:val="none" w:sz="0" w:space="0" w:color="auto"/>
                      </w:divBdr>
                    </w:div>
                  </w:divsChild>
                </w:div>
                <w:div w:id="1293289699">
                  <w:marLeft w:val="0"/>
                  <w:marRight w:val="0"/>
                  <w:marTop w:val="0"/>
                  <w:marBottom w:val="0"/>
                  <w:divBdr>
                    <w:top w:val="none" w:sz="0" w:space="0" w:color="auto"/>
                    <w:left w:val="none" w:sz="0" w:space="0" w:color="auto"/>
                    <w:bottom w:val="none" w:sz="0" w:space="0" w:color="auto"/>
                    <w:right w:val="none" w:sz="0" w:space="0" w:color="auto"/>
                  </w:divBdr>
                  <w:divsChild>
                    <w:div w:id="608051908">
                      <w:marLeft w:val="0"/>
                      <w:marRight w:val="0"/>
                      <w:marTop w:val="0"/>
                      <w:marBottom w:val="0"/>
                      <w:divBdr>
                        <w:top w:val="none" w:sz="0" w:space="0" w:color="auto"/>
                        <w:left w:val="none" w:sz="0" w:space="0" w:color="auto"/>
                        <w:bottom w:val="none" w:sz="0" w:space="0" w:color="auto"/>
                        <w:right w:val="none" w:sz="0" w:space="0" w:color="auto"/>
                      </w:divBdr>
                    </w:div>
                  </w:divsChild>
                </w:div>
                <w:div w:id="1293973216">
                  <w:marLeft w:val="0"/>
                  <w:marRight w:val="0"/>
                  <w:marTop w:val="0"/>
                  <w:marBottom w:val="0"/>
                  <w:divBdr>
                    <w:top w:val="none" w:sz="0" w:space="0" w:color="auto"/>
                    <w:left w:val="none" w:sz="0" w:space="0" w:color="auto"/>
                    <w:bottom w:val="none" w:sz="0" w:space="0" w:color="auto"/>
                    <w:right w:val="none" w:sz="0" w:space="0" w:color="auto"/>
                  </w:divBdr>
                  <w:divsChild>
                    <w:div w:id="664210892">
                      <w:marLeft w:val="0"/>
                      <w:marRight w:val="0"/>
                      <w:marTop w:val="0"/>
                      <w:marBottom w:val="0"/>
                      <w:divBdr>
                        <w:top w:val="none" w:sz="0" w:space="0" w:color="auto"/>
                        <w:left w:val="none" w:sz="0" w:space="0" w:color="auto"/>
                        <w:bottom w:val="none" w:sz="0" w:space="0" w:color="auto"/>
                        <w:right w:val="none" w:sz="0" w:space="0" w:color="auto"/>
                      </w:divBdr>
                    </w:div>
                  </w:divsChild>
                </w:div>
                <w:div w:id="1299065348">
                  <w:marLeft w:val="0"/>
                  <w:marRight w:val="0"/>
                  <w:marTop w:val="0"/>
                  <w:marBottom w:val="0"/>
                  <w:divBdr>
                    <w:top w:val="none" w:sz="0" w:space="0" w:color="auto"/>
                    <w:left w:val="none" w:sz="0" w:space="0" w:color="auto"/>
                    <w:bottom w:val="none" w:sz="0" w:space="0" w:color="auto"/>
                    <w:right w:val="none" w:sz="0" w:space="0" w:color="auto"/>
                  </w:divBdr>
                  <w:divsChild>
                    <w:div w:id="703213273">
                      <w:marLeft w:val="0"/>
                      <w:marRight w:val="0"/>
                      <w:marTop w:val="0"/>
                      <w:marBottom w:val="0"/>
                      <w:divBdr>
                        <w:top w:val="none" w:sz="0" w:space="0" w:color="auto"/>
                        <w:left w:val="none" w:sz="0" w:space="0" w:color="auto"/>
                        <w:bottom w:val="none" w:sz="0" w:space="0" w:color="auto"/>
                        <w:right w:val="none" w:sz="0" w:space="0" w:color="auto"/>
                      </w:divBdr>
                    </w:div>
                  </w:divsChild>
                </w:div>
                <w:div w:id="1305963519">
                  <w:marLeft w:val="0"/>
                  <w:marRight w:val="0"/>
                  <w:marTop w:val="0"/>
                  <w:marBottom w:val="0"/>
                  <w:divBdr>
                    <w:top w:val="none" w:sz="0" w:space="0" w:color="auto"/>
                    <w:left w:val="none" w:sz="0" w:space="0" w:color="auto"/>
                    <w:bottom w:val="none" w:sz="0" w:space="0" w:color="auto"/>
                    <w:right w:val="none" w:sz="0" w:space="0" w:color="auto"/>
                  </w:divBdr>
                  <w:divsChild>
                    <w:div w:id="1981036263">
                      <w:marLeft w:val="0"/>
                      <w:marRight w:val="0"/>
                      <w:marTop w:val="0"/>
                      <w:marBottom w:val="0"/>
                      <w:divBdr>
                        <w:top w:val="none" w:sz="0" w:space="0" w:color="auto"/>
                        <w:left w:val="none" w:sz="0" w:space="0" w:color="auto"/>
                        <w:bottom w:val="none" w:sz="0" w:space="0" w:color="auto"/>
                        <w:right w:val="none" w:sz="0" w:space="0" w:color="auto"/>
                      </w:divBdr>
                    </w:div>
                  </w:divsChild>
                </w:div>
                <w:div w:id="1308973829">
                  <w:marLeft w:val="0"/>
                  <w:marRight w:val="0"/>
                  <w:marTop w:val="0"/>
                  <w:marBottom w:val="0"/>
                  <w:divBdr>
                    <w:top w:val="none" w:sz="0" w:space="0" w:color="auto"/>
                    <w:left w:val="none" w:sz="0" w:space="0" w:color="auto"/>
                    <w:bottom w:val="none" w:sz="0" w:space="0" w:color="auto"/>
                    <w:right w:val="none" w:sz="0" w:space="0" w:color="auto"/>
                  </w:divBdr>
                  <w:divsChild>
                    <w:div w:id="688216316">
                      <w:marLeft w:val="0"/>
                      <w:marRight w:val="0"/>
                      <w:marTop w:val="0"/>
                      <w:marBottom w:val="0"/>
                      <w:divBdr>
                        <w:top w:val="none" w:sz="0" w:space="0" w:color="auto"/>
                        <w:left w:val="none" w:sz="0" w:space="0" w:color="auto"/>
                        <w:bottom w:val="none" w:sz="0" w:space="0" w:color="auto"/>
                        <w:right w:val="none" w:sz="0" w:space="0" w:color="auto"/>
                      </w:divBdr>
                    </w:div>
                  </w:divsChild>
                </w:div>
                <w:div w:id="1311203926">
                  <w:marLeft w:val="0"/>
                  <w:marRight w:val="0"/>
                  <w:marTop w:val="0"/>
                  <w:marBottom w:val="0"/>
                  <w:divBdr>
                    <w:top w:val="none" w:sz="0" w:space="0" w:color="auto"/>
                    <w:left w:val="none" w:sz="0" w:space="0" w:color="auto"/>
                    <w:bottom w:val="none" w:sz="0" w:space="0" w:color="auto"/>
                    <w:right w:val="none" w:sz="0" w:space="0" w:color="auto"/>
                  </w:divBdr>
                  <w:divsChild>
                    <w:div w:id="2086880620">
                      <w:marLeft w:val="0"/>
                      <w:marRight w:val="0"/>
                      <w:marTop w:val="0"/>
                      <w:marBottom w:val="0"/>
                      <w:divBdr>
                        <w:top w:val="none" w:sz="0" w:space="0" w:color="auto"/>
                        <w:left w:val="none" w:sz="0" w:space="0" w:color="auto"/>
                        <w:bottom w:val="none" w:sz="0" w:space="0" w:color="auto"/>
                        <w:right w:val="none" w:sz="0" w:space="0" w:color="auto"/>
                      </w:divBdr>
                    </w:div>
                  </w:divsChild>
                </w:div>
                <w:div w:id="1322923100">
                  <w:marLeft w:val="0"/>
                  <w:marRight w:val="0"/>
                  <w:marTop w:val="0"/>
                  <w:marBottom w:val="0"/>
                  <w:divBdr>
                    <w:top w:val="none" w:sz="0" w:space="0" w:color="auto"/>
                    <w:left w:val="none" w:sz="0" w:space="0" w:color="auto"/>
                    <w:bottom w:val="none" w:sz="0" w:space="0" w:color="auto"/>
                    <w:right w:val="none" w:sz="0" w:space="0" w:color="auto"/>
                  </w:divBdr>
                  <w:divsChild>
                    <w:div w:id="1379627768">
                      <w:marLeft w:val="0"/>
                      <w:marRight w:val="0"/>
                      <w:marTop w:val="0"/>
                      <w:marBottom w:val="0"/>
                      <w:divBdr>
                        <w:top w:val="none" w:sz="0" w:space="0" w:color="auto"/>
                        <w:left w:val="none" w:sz="0" w:space="0" w:color="auto"/>
                        <w:bottom w:val="none" w:sz="0" w:space="0" w:color="auto"/>
                        <w:right w:val="none" w:sz="0" w:space="0" w:color="auto"/>
                      </w:divBdr>
                    </w:div>
                  </w:divsChild>
                </w:div>
                <w:div w:id="1325626284">
                  <w:marLeft w:val="0"/>
                  <w:marRight w:val="0"/>
                  <w:marTop w:val="0"/>
                  <w:marBottom w:val="0"/>
                  <w:divBdr>
                    <w:top w:val="none" w:sz="0" w:space="0" w:color="auto"/>
                    <w:left w:val="none" w:sz="0" w:space="0" w:color="auto"/>
                    <w:bottom w:val="none" w:sz="0" w:space="0" w:color="auto"/>
                    <w:right w:val="none" w:sz="0" w:space="0" w:color="auto"/>
                  </w:divBdr>
                  <w:divsChild>
                    <w:div w:id="15467365">
                      <w:marLeft w:val="0"/>
                      <w:marRight w:val="0"/>
                      <w:marTop w:val="0"/>
                      <w:marBottom w:val="0"/>
                      <w:divBdr>
                        <w:top w:val="none" w:sz="0" w:space="0" w:color="auto"/>
                        <w:left w:val="none" w:sz="0" w:space="0" w:color="auto"/>
                        <w:bottom w:val="none" w:sz="0" w:space="0" w:color="auto"/>
                        <w:right w:val="none" w:sz="0" w:space="0" w:color="auto"/>
                      </w:divBdr>
                    </w:div>
                  </w:divsChild>
                </w:div>
                <w:div w:id="1353023420">
                  <w:marLeft w:val="0"/>
                  <w:marRight w:val="0"/>
                  <w:marTop w:val="0"/>
                  <w:marBottom w:val="0"/>
                  <w:divBdr>
                    <w:top w:val="none" w:sz="0" w:space="0" w:color="auto"/>
                    <w:left w:val="none" w:sz="0" w:space="0" w:color="auto"/>
                    <w:bottom w:val="none" w:sz="0" w:space="0" w:color="auto"/>
                    <w:right w:val="none" w:sz="0" w:space="0" w:color="auto"/>
                  </w:divBdr>
                  <w:divsChild>
                    <w:div w:id="961813351">
                      <w:marLeft w:val="0"/>
                      <w:marRight w:val="0"/>
                      <w:marTop w:val="0"/>
                      <w:marBottom w:val="0"/>
                      <w:divBdr>
                        <w:top w:val="none" w:sz="0" w:space="0" w:color="auto"/>
                        <w:left w:val="none" w:sz="0" w:space="0" w:color="auto"/>
                        <w:bottom w:val="none" w:sz="0" w:space="0" w:color="auto"/>
                        <w:right w:val="none" w:sz="0" w:space="0" w:color="auto"/>
                      </w:divBdr>
                    </w:div>
                  </w:divsChild>
                </w:div>
                <w:div w:id="1354578930">
                  <w:marLeft w:val="0"/>
                  <w:marRight w:val="0"/>
                  <w:marTop w:val="0"/>
                  <w:marBottom w:val="0"/>
                  <w:divBdr>
                    <w:top w:val="none" w:sz="0" w:space="0" w:color="auto"/>
                    <w:left w:val="none" w:sz="0" w:space="0" w:color="auto"/>
                    <w:bottom w:val="none" w:sz="0" w:space="0" w:color="auto"/>
                    <w:right w:val="none" w:sz="0" w:space="0" w:color="auto"/>
                  </w:divBdr>
                  <w:divsChild>
                    <w:div w:id="1703357608">
                      <w:marLeft w:val="0"/>
                      <w:marRight w:val="0"/>
                      <w:marTop w:val="0"/>
                      <w:marBottom w:val="0"/>
                      <w:divBdr>
                        <w:top w:val="none" w:sz="0" w:space="0" w:color="auto"/>
                        <w:left w:val="none" w:sz="0" w:space="0" w:color="auto"/>
                        <w:bottom w:val="none" w:sz="0" w:space="0" w:color="auto"/>
                        <w:right w:val="none" w:sz="0" w:space="0" w:color="auto"/>
                      </w:divBdr>
                    </w:div>
                  </w:divsChild>
                </w:div>
                <w:div w:id="1356081760">
                  <w:marLeft w:val="0"/>
                  <w:marRight w:val="0"/>
                  <w:marTop w:val="0"/>
                  <w:marBottom w:val="0"/>
                  <w:divBdr>
                    <w:top w:val="none" w:sz="0" w:space="0" w:color="auto"/>
                    <w:left w:val="none" w:sz="0" w:space="0" w:color="auto"/>
                    <w:bottom w:val="none" w:sz="0" w:space="0" w:color="auto"/>
                    <w:right w:val="none" w:sz="0" w:space="0" w:color="auto"/>
                  </w:divBdr>
                  <w:divsChild>
                    <w:div w:id="495152685">
                      <w:marLeft w:val="0"/>
                      <w:marRight w:val="0"/>
                      <w:marTop w:val="0"/>
                      <w:marBottom w:val="0"/>
                      <w:divBdr>
                        <w:top w:val="none" w:sz="0" w:space="0" w:color="auto"/>
                        <w:left w:val="none" w:sz="0" w:space="0" w:color="auto"/>
                        <w:bottom w:val="none" w:sz="0" w:space="0" w:color="auto"/>
                        <w:right w:val="none" w:sz="0" w:space="0" w:color="auto"/>
                      </w:divBdr>
                    </w:div>
                  </w:divsChild>
                </w:div>
                <w:div w:id="1364939003">
                  <w:marLeft w:val="0"/>
                  <w:marRight w:val="0"/>
                  <w:marTop w:val="0"/>
                  <w:marBottom w:val="0"/>
                  <w:divBdr>
                    <w:top w:val="none" w:sz="0" w:space="0" w:color="auto"/>
                    <w:left w:val="none" w:sz="0" w:space="0" w:color="auto"/>
                    <w:bottom w:val="none" w:sz="0" w:space="0" w:color="auto"/>
                    <w:right w:val="none" w:sz="0" w:space="0" w:color="auto"/>
                  </w:divBdr>
                  <w:divsChild>
                    <w:div w:id="316500621">
                      <w:marLeft w:val="0"/>
                      <w:marRight w:val="0"/>
                      <w:marTop w:val="0"/>
                      <w:marBottom w:val="0"/>
                      <w:divBdr>
                        <w:top w:val="none" w:sz="0" w:space="0" w:color="auto"/>
                        <w:left w:val="none" w:sz="0" w:space="0" w:color="auto"/>
                        <w:bottom w:val="none" w:sz="0" w:space="0" w:color="auto"/>
                        <w:right w:val="none" w:sz="0" w:space="0" w:color="auto"/>
                      </w:divBdr>
                    </w:div>
                  </w:divsChild>
                </w:div>
                <w:div w:id="1399477738">
                  <w:marLeft w:val="0"/>
                  <w:marRight w:val="0"/>
                  <w:marTop w:val="0"/>
                  <w:marBottom w:val="0"/>
                  <w:divBdr>
                    <w:top w:val="none" w:sz="0" w:space="0" w:color="auto"/>
                    <w:left w:val="none" w:sz="0" w:space="0" w:color="auto"/>
                    <w:bottom w:val="none" w:sz="0" w:space="0" w:color="auto"/>
                    <w:right w:val="none" w:sz="0" w:space="0" w:color="auto"/>
                  </w:divBdr>
                  <w:divsChild>
                    <w:div w:id="191891625">
                      <w:marLeft w:val="0"/>
                      <w:marRight w:val="0"/>
                      <w:marTop w:val="0"/>
                      <w:marBottom w:val="0"/>
                      <w:divBdr>
                        <w:top w:val="none" w:sz="0" w:space="0" w:color="auto"/>
                        <w:left w:val="none" w:sz="0" w:space="0" w:color="auto"/>
                        <w:bottom w:val="none" w:sz="0" w:space="0" w:color="auto"/>
                        <w:right w:val="none" w:sz="0" w:space="0" w:color="auto"/>
                      </w:divBdr>
                    </w:div>
                  </w:divsChild>
                </w:div>
                <w:div w:id="1423339597">
                  <w:marLeft w:val="0"/>
                  <w:marRight w:val="0"/>
                  <w:marTop w:val="0"/>
                  <w:marBottom w:val="0"/>
                  <w:divBdr>
                    <w:top w:val="none" w:sz="0" w:space="0" w:color="auto"/>
                    <w:left w:val="none" w:sz="0" w:space="0" w:color="auto"/>
                    <w:bottom w:val="none" w:sz="0" w:space="0" w:color="auto"/>
                    <w:right w:val="none" w:sz="0" w:space="0" w:color="auto"/>
                  </w:divBdr>
                  <w:divsChild>
                    <w:div w:id="403572645">
                      <w:marLeft w:val="0"/>
                      <w:marRight w:val="0"/>
                      <w:marTop w:val="0"/>
                      <w:marBottom w:val="0"/>
                      <w:divBdr>
                        <w:top w:val="none" w:sz="0" w:space="0" w:color="auto"/>
                        <w:left w:val="none" w:sz="0" w:space="0" w:color="auto"/>
                        <w:bottom w:val="none" w:sz="0" w:space="0" w:color="auto"/>
                        <w:right w:val="none" w:sz="0" w:space="0" w:color="auto"/>
                      </w:divBdr>
                    </w:div>
                  </w:divsChild>
                </w:div>
                <w:div w:id="1440027243">
                  <w:marLeft w:val="0"/>
                  <w:marRight w:val="0"/>
                  <w:marTop w:val="0"/>
                  <w:marBottom w:val="0"/>
                  <w:divBdr>
                    <w:top w:val="none" w:sz="0" w:space="0" w:color="auto"/>
                    <w:left w:val="none" w:sz="0" w:space="0" w:color="auto"/>
                    <w:bottom w:val="none" w:sz="0" w:space="0" w:color="auto"/>
                    <w:right w:val="none" w:sz="0" w:space="0" w:color="auto"/>
                  </w:divBdr>
                  <w:divsChild>
                    <w:div w:id="1000236655">
                      <w:marLeft w:val="0"/>
                      <w:marRight w:val="0"/>
                      <w:marTop w:val="0"/>
                      <w:marBottom w:val="0"/>
                      <w:divBdr>
                        <w:top w:val="none" w:sz="0" w:space="0" w:color="auto"/>
                        <w:left w:val="none" w:sz="0" w:space="0" w:color="auto"/>
                        <w:bottom w:val="none" w:sz="0" w:space="0" w:color="auto"/>
                        <w:right w:val="none" w:sz="0" w:space="0" w:color="auto"/>
                      </w:divBdr>
                    </w:div>
                  </w:divsChild>
                </w:div>
                <w:div w:id="1442649644">
                  <w:marLeft w:val="0"/>
                  <w:marRight w:val="0"/>
                  <w:marTop w:val="0"/>
                  <w:marBottom w:val="0"/>
                  <w:divBdr>
                    <w:top w:val="none" w:sz="0" w:space="0" w:color="auto"/>
                    <w:left w:val="none" w:sz="0" w:space="0" w:color="auto"/>
                    <w:bottom w:val="none" w:sz="0" w:space="0" w:color="auto"/>
                    <w:right w:val="none" w:sz="0" w:space="0" w:color="auto"/>
                  </w:divBdr>
                  <w:divsChild>
                    <w:div w:id="661474151">
                      <w:marLeft w:val="0"/>
                      <w:marRight w:val="0"/>
                      <w:marTop w:val="0"/>
                      <w:marBottom w:val="0"/>
                      <w:divBdr>
                        <w:top w:val="none" w:sz="0" w:space="0" w:color="auto"/>
                        <w:left w:val="none" w:sz="0" w:space="0" w:color="auto"/>
                        <w:bottom w:val="none" w:sz="0" w:space="0" w:color="auto"/>
                        <w:right w:val="none" w:sz="0" w:space="0" w:color="auto"/>
                      </w:divBdr>
                    </w:div>
                  </w:divsChild>
                </w:div>
                <w:div w:id="1442799639">
                  <w:marLeft w:val="0"/>
                  <w:marRight w:val="0"/>
                  <w:marTop w:val="0"/>
                  <w:marBottom w:val="0"/>
                  <w:divBdr>
                    <w:top w:val="none" w:sz="0" w:space="0" w:color="auto"/>
                    <w:left w:val="none" w:sz="0" w:space="0" w:color="auto"/>
                    <w:bottom w:val="none" w:sz="0" w:space="0" w:color="auto"/>
                    <w:right w:val="none" w:sz="0" w:space="0" w:color="auto"/>
                  </w:divBdr>
                  <w:divsChild>
                    <w:div w:id="1392004193">
                      <w:marLeft w:val="0"/>
                      <w:marRight w:val="0"/>
                      <w:marTop w:val="0"/>
                      <w:marBottom w:val="0"/>
                      <w:divBdr>
                        <w:top w:val="none" w:sz="0" w:space="0" w:color="auto"/>
                        <w:left w:val="none" w:sz="0" w:space="0" w:color="auto"/>
                        <w:bottom w:val="none" w:sz="0" w:space="0" w:color="auto"/>
                        <w:right w:val="none" w:sz="0" w:space="0" w:color="auto"/>
                      </w:divBdr>
                    </w:div>
                  </w:divsChild>
                </w:div>
                <w:div w:id="1444224723">
                  <w:marLeft w:val="0"/>
                  <w:marRight w:val="0"/>
                  <w:marTop w:val="0"/>
                  <w:marBottom w:val="0"/>
                  <w:divBdr>
                    <w:top w:val="none" w:sz="0" w:space="0" w:color="auto"/>
                    <w:left w:val="none" w:sz="0" w:space="0" w:color="auto"/>
                    <w:bottom w:val="none" w:sz="0" w:space="0" w:color="auto"/>
                    <w:right w:val="none" w:sz="0" w:space="0" w:color="auto"/>
                  </w:divBdr>
                  <w:divsChild>
                    <w:div w:id="1129124824">
                      <w:marLeft w:val="0"/>
                      <w:marRight w:val="0"/>
                      <w:marTop w:val="0"/>
                      <w:marBottom w:val="0"/>
                      <w:divBdr>
                        <w:top w:val="none" w:sz="0" w:space="0" w:color="auto"/>
                        <w:left w:val="none" w:sz="0" w:space="0" w:color="auto"/>
                        <w:bottom w:val="none" w:sz="0" w:space="0" w:color="auto"/>
                        <w:right w:val="none" w:sz="0" w:space="0" w:color="auto"/>
                      </w:divBdr>
                    </w:div>
                  </w:divsChild>
                </w:div>
                <w:div w:id="1448353681">
                  <w:marLeft w:val="0"/>
                  <w:marRight w:val="0"/>
                  <w:marTop w:val="0"/>
                  <w:marBottom w:val="0"/>
                  <w:divBdr>
                    <w:top w:val="none" w:sz="0" w:space="0" w:color="auto"/>
                    <w:left w:val="none" w:sz="0" w:space="0" w:color="auto"/>
                    <w:bottom w:val="none" w:sz="0" w:space="0" w:color="auto"/>
                    <w:right w:val="none" w:sz="0" w:space="0" w:color="auto"/>
                  </w:divBdr>
                  <w:divsChild>
                    <w:div w:id="1421757601">
                      <w:marLeft w:val="0"/>
                      <w:marRight w:val="0"/>
                      <w:marTop w:val="0"/>
                      <w:marBottom w:val="0"/>
                      <w:divBdr>
                        <w:top w:val="none" w:sz="0" w:space="0" w:color="auto"/>
                        <w:left w:val="none" w:sz="0" w:space="0" w:color="auto"/>
                        <w:bottom w:val="none" w:sz="0" w:space="0" w:color="auto"/>
                        <w:right w:val="none" w:sz="0" w:space="0" w:color="auto"/>
                      </w:divBdr>
                    </w:div>
                  </w:divsChild>
                </w:div>
                <w:div w:id="1451628229">
                  <w:marLeft w:val="0"/>
                  <w:marRight w:val="0"/>
                  <w:marTop w:val="0"/>
                  <w:marBottom w:val="0"/>
                  <w:divBdr>
                    <w:top w:val="none" w:sz="0" w:space="0" w:color="auto"/>
                    <w:left w:val="none" w:sz="0" w:space="0" w:color="auto"/>
                    <w:bottom w:val="none" w:sz="0" w:space="0" w:color="auto"/>
                    <w:right w:val="none" w:sz="0" w:space="0" w:color="auto"/>
                  </w:divBdr>
                  <w:divsChild>
                    <w:div w:id="341202388">
                      <w:marLeft w:val="0"/>
                      <w:marRight w:val="0"/>
                      <w:marTop w:val="0"/>
                      <w:marBottom w:val="0"/>
                      <w:divBdr>
                        <w:top w:val="none" w:sz="0" w:space="0" w:color="auto"/>
                        <w:left w:val="none" w:sz="0" w:space="0" w:color="auto"/>
                        <w:bottom w:val="none" w:sz="0" w:space="0" w:color="auto"/>
                        <w:right w:val="none" w:sz="0" w:space="0" w:color="auto"/>
                      </w:divBdr>
                    </w:div>
                  </w:divsChild>
                </w:div>
                <w:div w:id="1467550576">
                  <w:marLeft w:val="0"/>
                  <w:marRight w:val="0"/>
                  <w:marTop w:val="0"/>
                  <w:marBottom w:val="0"/>
                  <w:divBdr>
                    <w:top w:val="none" w:sz="0" w:space="0" w:color="auto"/>
                    <w:left w:val="none" w:sz="0" w:space="0" w:color="auto"/>
                    <w:bottom w:val="none" w:sz="0" w:space="0" w:color="auto"/>
                    <w:right w:val="none" w:sz="0" w:space="0" w:color="auto"/>
                  </w:divBdr>
                  <w:divsChild>
                    <w:div w:id="1111782727">
                      <w:marLeft w:val="0"/>
                      <w:marRight w:val="0"/>
                      <w:marTop w:val="0"/>
                      <w:marBottom w:val="0"/>
                      <w:divBdr>
                        <w:top w:val="none" w:sz="0" w:space="0" w:color="auto"/>
                        <w:left w:val="none" w:sz="0" w:space="0" w:color="auto"/>
                        <w:bottom w:val="none" w:sz="0" w:space="0" w:color="auto"/>
                        <w:right w:val="none" w:sz="0" w:space="0" w:color="auto"/>
                      </w:divBdr>
                    </w:div>
                  </w:divsChild>
                </w:div>
                <w:div w:id="1467772000">
                  <w:marLeft w:val="0"/>
                  <w:marRight w:val="0"/>
                  <w:marTop w:val="0"/>
                  <w:marBottom w:val="0"/>
                  <w:divBdr>
                    <w:top w:val="none" w:sz="0" w:space="0" w:color="auto"/>
                    <w:left w:val="none" w:sz="0" w:space="0" w:color="auto"/>
                    <w:bottom w:val="none" w:sz="0" w:space="0" w:color="auto"/>
                    <w:right w:val="none" w:sz="0" w:space="0" w:color="auto"/>
                  </w:divBdr>
                  <w:divsChild>
                    <w:div w:id="663364049">
                      <w:marLeft w:val="0"/>
                      <w:marRight w:val="0"/>
                      <w:marTop w:val="0"/>
                      <w:marBottom w:val="0"/>
                      <w:divBdr>
                        <w:top w:val="none" w:sz="0" w:space="0" w:color="auto"/>
                        <w:left w:val="none" w:sz="0" w:space="0" w:color="auto"/>
                        <w:bottom w:val="none" w:sz="0" w:space="0" w:color="auto"/>
                        <w:right w:val="none" w:sz="0" w:space="0" w:color="auto"/>
                      </w:divBdr>
                    </w:div>
                  </w:divsChild>
                </w:div>
                <w:div w:id="1487555396">
                  <w:marLeft w:val="0"/>
                  <w:marRight w:val="0"/>
                  <w:marTop w:val="0"/>
                  <w:marBottom w:val="0"/>
                  <w:divBdr>
                    <w:top w:val="none" w:sz="0" w:space="0" w:color="auto"/>
                    <w:left w:val="none" w:sz="0" w:space="0" w:color="auto"/>
                    <w:bottom w:val="none" w:sz="0" w:space="0" w:color="auto"/>
                    <w:right w:val="none" w:sz="0" w:space="0" w:color="auto"/>
                  </w:divBdr>
                  <w:divsChild>
                    <w:div w:id="1802918667">
                      <w:marLeft w:val="0"/>
                      <w:marRight w:val="0"/>
                      <w:marTop w:val="0"/>
                      <w:marBottom w:val="0"/>
                      <w:divBdr>
                        <w:top w:val="none" w:sz="0" w:space="0" w:color="auto"/>
                        <w:left w:val="none" w:sz="0" w:space="0" w:color="auto"/>
                        <w:bottom w:val="none" w:sz="0" w:space="0" w:color="auto"/>
                        <w:right w:val="none" w:sz="0" w:space="0" w:color="auto"/>
                      </w:divBdr>
                    </w:div>
                  </w:divsChild>
                </w:div>
                <w:div w:id="1488593962">
                  <w:marLeft w:val="0"/>
                  <w:marRight w:val="0"/>
                  <w:marTop w:val="0"/>
                  <w:marBottom w:val="0"/>
                  <w:divBdr>
                    <w:top w:val="none" w:sz="0" w:space="0" w:color="auto"/>
                    <w:left w:val="none" w:sz="0" w:space="0" w:color="auto"/>
                    <w:bottom w:val="none" w:sz="0" w:space="0" w:color="auto"/>
                    <w:right w:val="none" w:sz="0" w:space="0" w:color="auto"/>
                  </w:divBdr>
                  <w:divsChild>
                    <w:div w:id="520632766">
                      <w:marLeft w:val="0"/>
                      <w:marRight w:val="0"/>
                      <w:marTop w:val="0"/>
                      <w:marBottom w:val="0"/>
                      <w:divBdr>
                        <w:top w:val="none" w:sz="0" w:space="0" w:color="auto"/>
                        <w:left w:val="none" w:sz="0" w:space="0" w:color="auto"/>
                        <w:bottom w:val="none" w:sz="0" w:space="0" w:color="auto"/>
                        <w:right w:val="none" w:sz="0" w:space="0" w:color="auto"/>
                      </w:divBdr>
                    </w:div>
                  </w:divsChild>
                </w:div>
                <w:div w:id="1491942125">
                  <w:marLeft w:val="0"/>
                  <w:marRight w:val="0"/>
                  <w:marTop w:val="0"/>
                  <w:marBottom w:val="0"/>
                  <w:divBdr>
                    <w:top w:val="none" w:sz="0" w:space="0" w:color="auto"/>
                    <w:left w:val="none" w:sz="0" w:space="0" w:color="auto"/>
                    <w:bottom w:val="none" w:sz="0" w:space="0" w:color="auto"/>
                    <w:right w:val="none" w:sz="0" w:space="0" w:color="auto"/>
                  </w:divBdr>
                  <w:divsChild>
                    <w:div w:id="934554329">
                      <w:marLeft w:val="0"/>
                      <w:marRight w:val="0"/>
                      <w:marTop w:val="0"/>
                      <w:marBottom w:val="0"/>
                      <w:divBdr>
                        <w:top w:val="none" w:sz="0" w:space="0" w:color="auto"/>
                        <w:left w:val="none" w:sz="0" w:space="0" w:color="auto"/>
                        <w:bottom w:val="none" w:sz="0" w:space="0" w:color="auto"/>
                        <w:right w:val="none" w:sz="0" w:space="0" w:color="auto"/>
                      </w:divBdr>
                    </w:div>
                  </w:divsChild>
                </w:div>
                <w:div w:id="1491949023">
                  <w:marLeft w:val="0"/>
                  <w:marRight w:val="0"/>
                  <w:marTop w:val="0"/>
                  <w:marBottom w:val="0"/>
                  <w:divBdr>
                    <w:top w:val="none" w:sz="0" w:space="0" w:color="auto"/>
                    <w:left w:val="none" w:sz="0" w:space="0" w:color="auto"/>
                    <w:bottom w:val="none" w:sz="0" w:space="0" w:color="auto"/>
                    <w:right w:val="none" w:sz="0" w:space="0" w:color="auto"/>
                  </w:divBdr>
                  <w:divsChild>
                    <w:div w:id="1956136930">
                      <w:marLeft w:val="0"/>
                      <w:marRight w:val="0"/>
                      <w:marTop w:val="0"/>
                      <w:marBottom w:val="0"/>
                      <w:divBdr>
                        <w:top w:val="none" w:sz="0" w:space="0" w:color="auto"/>
                        <w:left w:val="none" w:sz="0" w:space="0" w:color="auto"/>
                        <w:bottom w:val="none" w:sz="0" w:space="0" w:color="auto"/>
                        <w:right w:val="none" w:sz="0" w:space="0" w:color="auto"/>
                      </w:divBdr>
                    </w:div>
                  </w:divsChild>
                </w:div>
                <w:div w:id="1501770850">
                  <w:marLeft w:val="0"/>
                  <w:marRight w:val="0"/>
                  <w:marTop w:val="0"/>
                  <w:marBottom w:val="0"/>
                  <w:divBdr>
                    <w:top w:val="none" w:sz="0" w:space="0" w:color="auto"/>
                    <w:left w:val="none" w:sz="0" w:space="0" w:color="auto"/>
                    <w:bottom w:val="none" w:sz="0" w:space="0" w:color="auto"/>
                    <w:right w:val="none" w:sz="0" w:space="0" w:color="auto"/>
                  </w:divBdr>
                  <w:divsChild>
                    <w:div w:id="72364727">
                      <w:marLeft w:val="0"/>
                      <w:marRight w:val="0"/>
                      <w:marTop w:val="0"/>
                      <w:marBottom w:val="0"/>
                      <w:divBdr>
                        <w:top w:val="none" w:sz="0" w:space="0" w:color="auto"/>
                        <w:left w:val="none" w:sz="0" w:space="0" w:color="auto"/>
                        <w:bottom w:val="none" w:sz="0" w:space="0" w:color="auto"/>
                        <w:right w:val="none" w:sz="0" w:space="0" w:color="auto"/>
                      </w:divBdr>
                    </w:div>
                    <w:div w:id="362635492">
                      <w:marLeft w:val="0"/>
                      <w:marRight w:val="0"/>
                      <w:marTop w:val="0"/>
                      <w:marBottom w:val="0"/>
                      <w:divBdr>
                        <w:top w:val="none" w:sz="0" w:space="0" w:color="auto"/>
                        <w:left w:val="none" w:sz="0" w:space="0" w:color="auto"/>
                        <w:bottom w:val="none" w:sz="0" w:space="0" w:color="auto"/>
                        <w:right w:val="none" w:sz="0" w:space="0" w:color="auto"/>
                      </w:divBdr>
                    </w:div>
                    <w:div w:id="479884573">
                      <w:marLeft w:val="0"/>
                      <w:marRight w:val="0"/>
                      <w:marTop w:val="0"/>
                      <w:marBottom w:val="0"/>
                      <w:divBdr>
                        <w:top w:val="none" w:sz="0" w:space="0" w:color="auto"/>
                        <w:left w:val="none" w:sz="0" w:space="0" w:color="auto"/>
                        <w:bottom w:val="none" w:sz="0" w:space="0" w:color="auto"/>
                        <w:right w:val="none" w:sz="0" w:space="0" w:color="auto"/>
                      </w:divBdr>
                    </w:div>
                    <w:div w:id="593904947">
                      <w:marLeft w:val="0"/>
                      <w:marRight w:val="0"/>
                      <w:marTop w:val="0"/>
                      <w:marBottom w:val="0"/>
                      <w:divBdr>
                        <w:top w:val="none" w:sz="0" w:space="0" w:color="auto"/>
                        <w:left w:val="none" w:sz="0" w:space="0" w:color="auto"/>
                        <w:bottom w:val="none" w:sz="0" w:space="0" w:color="auto"/>
                        <w:right w:val="none" w:sz="0" w:space="0" w:color="auto"/>
                      </w:divBdr>
                    </w:div>
                    <w:div w:id="978460001">
                      <w:marLeft w:val="0"/>
                      <w:marRight w:val="0"/>
                      <w:marTop w:val="0"/>
                      <w:marBottom w:val="0"/>
                      <w:divBdr>
                        <w:top w:val="none" w:sz="0" w:space="0" w:color="auto"/>
                        <w:left w:val="none" w:sz="0" w:space="0" w:color="auto"/>
                        <w:bottom w:val="none" w:sz="0" w:space="0" w:color="auto"/>
                        <w:right w:val="none" w:sz="0" w:space="0" w:color="auto"/>
                      </w:divBdr>
                    </w:div>
                    <w:div w:id="1260218037">
                      <w:marLeft w:val="0"/>
                      <w:marRight w:val="0"/>
                      <w:marTop w:val="0"/>
                      <w:marBottom w:val="0"/>
                      <w:divBdr>
                        <w:top w:val="none" w:sz="0" w:space="0" w:color="auto"/>
                        <w:left w:val="none" w:sz="0" w:space="0" w:color="auto"/>
                        <w:bottom w:val="none" w:sz="0" w:space="0" w:color="auto"/>
                        <w:right w:val="none" w:sz="0" w:space="0" w:color="auto"/>
                      </w:divBdr>
                    </w:div>
                    <w:div w:id="1271820031">
                      <w:marLeft w:val="0"/>
                      <w:marRight w:val="0"/>
                      <w:marTop w:val="0"/>
                      <w:marBottom w:val="0"/>
                      <w:divBdr>
                        <w:top w:val="none" w:sz="0" w:space="0" w:color="auto"/>
                        <w:left w:val="none" w:sz="0" w:space="0" w:color="auto"/>
                        <w:bottom w:val="none" w:sz="0" w:space="0" w:color="auto"/>
                        <w:right w:val="none" w:sz="0" w:space="0" w:color="auto"/>
                      </w:divBdr>
                    </w:div>
                    <w:div w:id="1384451233">
                      <w:marLeft w:val="0"/>
                      <w:marRight w:val="0"/>
                      <w:marTop w:val="0"/>
                      <w:marBottom w:val="0"/>
                      <w:divBdr>
                        <w:top w:val="none" w:sz="0" w:space="0" w:color="auto"/>
                        <w:left w:val="none" w:sz="0" w:space="0" w:color="auto"/>
                        <w:bottom w:val="none" w:sz="0" w:space="0" w:color="auto"/>
                        <w:right w:val="none" w:sz="0" w:space="0" w:color="auto"/>
                      </w:divBdr>
                    </w:div>
                    <w:div w:id="1615676661">
                      <w:marLeft w:val="0"/>
                      <w:marRight w:val="0"/>
                      <w:marTop w:val="0"/>
                      <w:marBottom w:val="0"/>
                      <w:divBdr>
                        <w:top w:val="none" w:sz="0" w:space="0" w:color="auto"/>
                        <w:left w:val="none" w:sz="0" w:space="0" w:color="auto"/>
                        <w:bottom w:val="none" w:sz="0" w:space="0" w:color="auto"/>
                        <w:right w:val="none" w:sz="0" w:space="0" w:color="auto"/>
                      </w:divBdr>
                    </w:div>
                    <w:div w:id="1832789581">
                      <w:marLeft w:val="0"/>
                      <w:marRight w:val="0"/>
                      <w:marTop w:val="0"/>
                      <w:marBottom w:val="0"/>
                      <w:divBdr>
                        <w:top w:val="none" w:sz="0" w:space="0" w:color="auto"/>
                        <w:left w:val="none" w:sz="0" w:space="0" w:color="auto"/>
                        <w:bottom w:val="none" w:sz="0" w:space="0" w:color="auto"/>
                        <w:right w:val="none" w:sz="0" w:space="0" w:color="auto"/>
                      </w:divBdr>
                    </w:div>
                    <w:div w:id="1889563064">
                      <w:marLeft w:val="0"/>
                      <w:marRight w:val="0"/>
                      <w:marTop w:val="0"/>
                      <w:marBottom w:val="0"/>
                      <w:divBdr>
                        <w:top w:val="none" w:sz="0" w:space="0" w:color="auto"/>
                        <w:left w:val="none" w:sz="0" w:space="0" w:color="auto"/>
                        <w:bottom w:val="none" w:sz="0" w:space="0" w:color="auto"/>
                        <w:right w:val="none" w:sz="0" w:space="0" w:color="auto"/>
                      </w:divBdr>
                    </w:div>
                    <w:div w:id="1949893058">
                      <w:marLeft w:val="0"/>
                      <w:marRight w:val="0"/>
                      <w:marTop w:val="0"/>
                      <w:marBottom w:val="0"/>
                      <w:divBdr>
                        <w:top w:val="none" w:sz="0" w:space="0" w:color="auto"/>
                        <w:left w:val="none" w:sz="0" w:space="0" w:color="auto"/>
                        <w:bottom w:val="none" w:sz="0" w:space="0" w:color="auto"/>
                        <w:right w:val="none" w:sz="0" w:space="0" w:color="auto"/>
                      </w:divBdr>
                    </w:div>
                    <w:div w:id="1984892123">
                      <w:marLeft w:val="0"/>
                      <w:marRight w:val="0"/>
                      <w:marTop w:val="0"/>
                      <w:marBottom w:val="0"/>
                      <w:divBdr>
                        <w:top w:val="none" w:sz="0" w:space="0" w:color="auto"/>
                        <w:left w:val="none" w:sz="0" w:space="0" w:color="auto"/>
                        <w:bottom w:val="none" w:sz="0" w:space="0" w:color="auto"/>
                        <w:right w:val="none" w:sz="0" w:space="0" w:color="auto"/>
                      </w:divBdr>
                    </w:div>
                  </w:divsChild>
                </w:div>
                <w:div w:id="1512641277">
                  <w:marLeft w:val="0"/>
                  <w:marRight w:val="0"/>
                  <w:marTop w:val="0"/>
                  <w:marBottom w:val="0"/>
                  <w:divBdr>
                    <w:top w:val="none" w:sz="0" w:space="0" w:color="auto"/>
                    <w:left w:val="none" w:sz="0" w:space="0" w:color="auto"/>
                    <w:bottom w:val="none" w:sz="0" w:space="0" w:color="auto"/>
                    <w:right w:val="none" w:sz="0" w:space="0" w:color="auto"/>
                  </w:divBdr>
                  <w:divsChild>
                    <w:div w:id="24211316">
                      <w:marLeft w:val="0"/>
                      <w:marRight w:val="0"/>
                      <w:marTop w:val="0"/>
                      <w:marBottom w:val="0"/>
                      <w:divBdr>
                        <w:top w:val="none" w:sz="0" w:space="0" w:color="auto"/>
                        <w:left w:val="none" w:sz="0" w:space="0" w:color="auto"/>
                        <w:bottom w:val="none" w:sz="0" w:space="0" w:color="auto"/>
                        <w:right w:val="none" w:sz="0" w:space="0" w:color="auto"/>
                      </w:divBdr>
                    </w:div>
                  </w:divsChild>
                </w:div>
                <w:div w:id="1527257985">
                  <w:marLeft w:val="0"/>
                  <w:marRight w:val="0"/>
                  <w:marTop w:val="0"/>
                  <w:marBottom w:val="0"/>
                  <w:divBdr>
                    <w:top w:val="none" w:sz="0" w:space="0" w:color="auto"/>
                    <w:left w:val="none" w:sz="0" w:space="0" w:color="auto"/>
                    <w:bottom w:val="none" w:sz="0" w:space="0" w:color="auto"/>
                    <w:right w:val="none" w:sz="0" w:space="0" w:color="auto"/>
                  </w:divBdr>
                  <w:divsChild>
                    <w:div w:id="851454341">
                      <w:marLeft w:val="0"/>
                      <w:marRight w:val="0"/>
                      <w:marTop w:val="0"/>
                      <w:marBottom w:val="0"/>
                      <w:divBdr>
                        <w:top w:val="none" w:sz="0" w:space="0" w:color="auto"/>
                        <w:left w:val="none" w:sz="0" w:space="0" w:color="auto"/>
                        <w:bottom w:val="none" w:sz="0" w:space="0" w:color="auto"/>
                        <w:right w:val="none" w:sz="0" w:space="0" w:color="auto"/>
                      </w:divBdr>
                    </w:div>
                  </w:divsChild>
                </w:div>
                <w:div w:id="1528374320">
                  <w:marLeft w:val="0"/>
                  <w:marRight w:val="0"/>
                  <w:marTop w:val="0"/>
                  <w:marBottom w:val="0"/>
                  <w:divBdr>
                    <w:top w:val="none" w:sz="0" w:space="0" w:color="auto"/>
                    <w:left w:val="none" w:sz="0" w:space="0" w:color="auto"/>
                    <w:bottom w:val="none" w:sz="0" w:space="0" w:color="auto"/>
                    <w:right w:val="none" w:sz="0" w:space="0" w:color="auto"/>
                  </w:divBdr>
                  <w:divsChild>
                    <w:div w:id="1848134083">
                      <w:marLeft w:val="0"/>
                      <w:marRight w:val="0"/>
                      <w:marTop w:val="0"/>
                      <w:marBottom w:val="0"/>
                      <w:divBdr>
                        <w:top w:val="none" w:sz="0" w:space="0" w:color="auto"/>
                        <w:left w:val="none" w:sz="0" w:space="0" w:color="auto"/>
                        <w:bottom w:val="none" w:sz="0" w:space="0" w:color="auto"/>
                        <w:right w:val="none" w:sz="0" w:space="0" w:color="auto"/>
                      </w:divBdr>
                    </w:div>
                  </w:divsChild>
                </w:div>
                <w:div w:id="1530289725">
                  <w:marLeft w:val="0"/>
                  <w:marRight w:val="0"/>
                  <w:marTop w:val="0"/>
                  <w:marBottom w:val="0"/>
                  <w:divBdr>
                    <w:top w:val="none" w:sz="0" w:space="0" w:color="auto"/>
                    <w:left w:val="none" w:sz="0" w:space="0" w:color="auto"/>
                    <w:bottom w:val="none" w:sz="0" w:space="0" w:color="auto"/>
                    <w:right w:val="none" w:sz="0" w:space="0" w:color="auto"/>
                  </w:divBdr>
                  <w:divsChild>
                    <w:div w:id="1648852796">
                      <w:marLeft w:val="0"/>
                      <w:marRight w:val="0"/>
                      <w:marTop w:val="0"/>
                      <w:marBottom w:val="0"/>
                      <w:divBdr>
                        <w:top w:val="none" w:sz="0" w:space="0" w:color="auto"/>
                        <w:left w:val="none" w:sz="0" w:space="0" w:color="auto"/>
                        <w:bottom w:val="none" w:sz="0" w:space="0" w:color="auto"/>
                        <w:right w:val="none" w:sz="0" w:space="0" w:color="auto"/>
                      </w:divBdr>
                    </w:div>
                  </w:divsChild>
                </w:div>
                <w:div w:id="1537501607">
                  <w:marLeft w:val="0"/>
                  <w:marRight w:val="0"/>
                  <w:marTop w:val="0"/>
                  <w:marBottom w:val="0"/>
                  <w:divBdr>
                    <w:top w:val="none" w:sz="0" w:space="0" w:color="auto"/>
                    <w:left w:val="none" w:sz="0" w:space="0" w:color="auto"/>
                    <w:bottom w:val="none" w:sz="0" w:space="0" w:color="auto"/>
                    <w:right w:val="none" w:sz="0" w:space="0" w:color="auto"/>
                  </w:divBdr>
                  <w:divsChild>
                    <w:div w:id="892816578">
                      <w:marLeft w:val="0"/>
                      <w:marRight w:val="0"/>
                      <w:marTop w:val="0"/>
                      <w:marBottom w:val="0"/>
                      <w:divBdr>
                        <w:top w:val="none" w:sz="0" w:space="0" w:color="auto"/>
                        <w:left w:val="none" w:sz="0" w:space="0" w:color="auto"/>
                        <w:bottom w:val="none" w:sz="0" w:space="0" w:color="auto"/>
                        <w:right w:val="none" w:sz="0" w:space="0" w:color="auto"/>
                      </w:divBdr>
                    </w:div>
                  </w:divsChild>
                </w:div>
                <w:div w:id="1551383728">
                  <w:marLeft w:val="0"/>
                  <w:marRight w:val="0"/>
                  <w:marTop w:val="0"/>
                  <w:marBottom w:val="0"/>
                  <w:divBdr>
                    <w:top w:val="none" w:sz="0" w:space="0" w:color="auto"/>
                    <w:left w:val="none" w:sz="0" w:space="0" w:color="auto"/>
                    <w:bottom w:val="none" w:sz="0" w:space="0" w:color="auto"/>
                    <w:right w:val="none" w:sz="0" w:space="0" w:color="auto"/>
                  </w:divBdr>
                  <w:divsChild>
                    <w:div w:id="187256193">
                      <w:marLeft w:val="0"/>
                      <w:marRight w:val="0"/>
                      <w:marTop w:val="0"/>
                      <w:marBottom w:val="0"/>
                      <w:divBdr>
                        <w:top w:val="none" w:sz="0" w:space="0" w:color="auto"/>
                        <w:left w:val="none" w:sz="0" w:space="0" w:color="auto"/>
                        <w:bottom w:val="none" w:sz="0" w:space="0" w:color="auto"/>
                        <w:right w:val="none" w:sz="0" w:space="0" w:color="auto"/>
                      </w:divBdr>
                    </w:div>
                  </w:divsChild>
                </w:div>
                <w:div w:id="1554464281">
                  <w:marLeft w:val="0"/>
                  <w:marRight w:val="0"/>
                  <w:marTop w:val="0"/>
                  <w:marBottom w:val="0"/>
                  <w:divBdr>
                    <w:top w:val="none" w:sz="0" w:space="0" w:color="auto"/>
                    <w:left w:val="none" w:sz="0" w:space="0" w:color="auto"/>
                    <w:bottom w:val="none" w:sz="0" w:space="0" w:color="auto"/>
                    <w:right w:val="none" w:sz="0" w:space="0" w:color="auto"/>
                  </w:divBdr>
                  <w:divsChild>
                    <w:div w:id="1825194444">
                      <w:marLeft w:val="0"/>
                      <w:marRight w:val="0"/>
                      <w:marTop w:val="0"/>
                      <w:marBottom w:val="0"/>
                      <w:divBdr>
                        <w:top w:val="none" w:sz="0" w:space="0" w:color="auto"/>
                        <w:left w:val="none" w:sz="0" w:space="0" w:color="auto"/>
                        <w:bottom w:val="none" w:sz="0" w:space="0" w:color="auto"/>
                        <w:right w:val="none" w:sz="0" w:space="0" w:color="auto"/>
                      </w:divBdr>
                    </w:div>
                  </w:divsChild>
                </w:div>
                <w:div w:id="1554926109">
                  <w:marLeft w:val="0"/>
                  <w:marRight w:val="0"/>
                  <w:marTop w:val="0"/>
                  <w:marBottom w:val="0"/>
                  <w:divBdr>
                    <w:top w:val="none" w:sz="0" w:space="0" w:color="auto"/>
                    <w:left w:val="none" w:sz="0" w:space="0" w:color="auto"/>
                    <w:bottom w:val="none" w:sz="0" w:space="0" w:color="auto"/>
                    <w:right w:val="none" w:sz="0" w:space="0" w:color="auto"/>
                  </w:divBdr>
                  <w:divsChild>
                    <w:div w:id="664211283">
                      <w:marLeft w:val="0"/>
                      <w:marRight w:val="0"/>
                      <w:marTop w:val="0"/>
                      <w:marBottom w:val="0"/>
                      <w:divBdr>
                        <w:top w:val="none" w:sz="0" w:space="0" w:color="auto"/>
                        <w:left w:val="none" w:sz="0" w:space="0" w:color="auto"/>
                        <w:bottom w:val="none" w:sz="0" w:space="0" w:color="auto"/>
                        <w:right w:val="none" w:sz="0" w:space="0" w:color="auto"/>
                      </w:divBdr>
                    </w:div>
                  </w:divsChild>
                </w:div>
                <w:div w:id="1556042454">
                  <w:marLeft w:val="0"/>
                  <w:marRight w:val="0"/>
                  <w:marTop w:val="0"/>
                  <w:marBottom w:val="0"/>
                  <w:divBdr>
                    <w:top w:val="none" w:sz="0" w:space="0" w:color="auto"/>
                    <w:left w:val="none" w:sz="0" w:space="0" w:color="auto"/>
                    <w:bottom w:val="none" w:sz="0" w:space="0" w:color="auto"/>
                    <w:right w:val="none" w:sz="0" w:space="0" w:color="auto"/>
                  </w:divBdr>
                  <w:divsChild>
                    <w:div w:id="1683584224">
                      <w:marLeft w:val="0"/>
                      <w:marRight w:val="0"/>
                      <w:marTop w:val="0"/>
                      <w:marBottom w:val="0"/>
                      <w:divBdr>
                        <w:top w:val="none" w:sz="0" w:space="0" w:color="auto"/>
                        <w:left w:val="none" w:sz="0" w:space="0" w:color="auto"/>
                        <w:bottom w:val="none" w:sz="0" w:space="0" w:color="auto"/>
                        <w:right w:val="none" w:sz="0" w:space="0" w:color="auto"/>
                      </w:divBdr>
                    </w:div>
                  </w:divsChild>
                </w:div>
                <w:div w:id="1566598046">
                  <w:marLeft w:val="0"/>
                  <w:marRight w:val="0"/>
                  <w:marTop w:val="0"/>
                  <w:marBottom w:val="0"/>
                  <w:divBdr>
                    <w:top w:val="none" w:sz="0" w:space="0" w:color="auto"/>
                    <w:left w:val="none" w:sz="0" w:space="0" w:color="auto"/>
                    <w:bottom w:val="none" w:sz="0" w:space="0" w:color="auto"/>
                    <w:right w:val="none" w:sz="0" w:space="0" w:color="auto"/>
                  </w:divBdr>
                  <w:divsChild>
                    <w:div w:id="23333387">
                      <w:marLeft w:val="0"/>
                      <w:marRight w:val="0"/>
                      <w:marTop w:val="0"/>
                      <w:marBottom w:val="0"/>
                      <w:divBdr>
                        <w:top w:val="none" w:sz="0" w:space="0" w:color="auto"/>
                        <w:left w:val="none" w:sz="0" w:space="0" w:color="auto"/>
                        <w:bottom w:val="none" w:sz="0" w:space="0" w:color="auto"/>
                        <w:right w:val="none" w:sz="0" w:space="0" w:color="auto"/>
                      </w:divBdr>
                    </w:div>
                    <w:div w:id="1470853952">
                      <w:marLeft w:val="0"/>
                      <w:marRight w:val="0"/>
                      <w:marTop w:val="0"/>
                      <w:marBottom w:val="0"/>
                      <w:divBdr>
                        <w:top w:val="none" w:sz="0" w:space="0" w:color="auto"/>
                        <w:left w:val="none" w:sz="0" w:space="0" w:color="auto"/>
                        <w:bottom w:val="none" w:sz="0" w:space="0" w:color="auto"/>
                        <w:right w:val="none" w:sz="0" w:space="0" w:color="auto"/>
                      </w:divBdr>
                    </w:div>
                  </w:divsChild>
                </w:div>
                <w:div w:id="1571109495">
                  <w:marLeft w:val="0"/>
                  <w:marRight w:val="0"/>
                  <w:marTop w:val="0"/>
                  <w:marBottom w:val="0"/>
                  <w:divBdr>
                    <w:top w:val="none" w:sz="0" w:space="0" w:color="auto"/>
                    <w:left w:val="none" w:sz="0" w:space="0" w:color="auto"/>
                    <w:bottom w:val="none" w:sz="0" w:space="0" w:color="auto"/>
                    <w:right w:val="none" w:sz="0" w:space="0" w:color="auto"/>
                  </w:divBdr>
                  <w:divsChild>
                    <w:div w:id="1219241399">
                      <w:marLeft w:val="0"/>
                      <w:marRight w:val="0"/>
                      <w:marTop w:val="0"/>
                      <w:marBottom w:val="0"/>
                      <w:divBdr>
                        <w:top w:val="none" w:sz="0" w:space="0" w:color="auto"/>
                        <w:left w:val="none" w:sz="0" w:space="0" w:color="auto"/>
                        <w:bottom w:val="none" w:sz="0" w:space="0" w:color="auto"/>
                        <w:right w:val="none" w:sz="0" w:space="0" w:color="auto"/>
                      </w:divBdr>
                    </w:div>
                  </w:divsChild>
                </w:div>
                <w:div w:id="1578593250">
                  <w:marLeft w:val="0"/>
                  <w:marRight w:val="0"/>
                  <w:marTop w:val="0"/>
                  <w:marBottom w:val="0"/>
                  <w:divBdr>
                    <w:top w:val="none" w:sz="0" w:space="0" w:color="auto"/>
                    <w:left w:val="none" w:sz="0" w:space="0" w:color="auto"/>
                    <w:bottom w:val="none" w:sz="0" w:space="0" w:color="auto"/>
                    <w:right w:val="none" w:sz="0" w:space="0" w:color="auto"/>
                  </w:divBdr>
                  <w:divsChild>
                    <w:div w:id="1821969154">
                      <w:marLeft w:val="0"/>
                      <w:marRight w:val="0"/>
                      <w:marTop w:val="0"/>
                      <w:marBottom w:val="0"/>
                      <w:divBdr>
                        <w:top w:val="none" w:sz="0" w:space="0" w:color="auto"/>
                        <w:left w:val="none" w:sz="0" w:space="0" w:color="auto"/>
                        <w:bottom w:val="none" w:sz="0" w:space="0" w:color="auto"/>
                        <w:right w:val="none" w:sz="0" w:space="0" w:color="auto"/>
                      </w:divBdr>
                    </w:div>
                  </w:divsChild>
                </w:div>
                <w:div w:id="1579515689">
                  <w:marLeft w:val="0"/>
                  <w:marRight w:val="0"/>
                  <w:marTop w:val="0"/>
                  <w:marBottom w:val="0"/>
                  <w:divBdr>
                    <w:top w:val="none" w:sz="0" w:space="0" w:color="auto"/>
                    <w:left w:val="none" w:sz="0" w:space="0" w:color="auto"/>
                    <w:bottom w:val="none" w:sz="0" w:space="0" w:color="auto"/>
                    <w:right w:val="none" w:sz="0" w:space="0" w:color="auto"/>
                  </w:divBdr>
                  <w:divsChild>
                    <w:div w:id="1013727846">
                      <w:marLeft w:val="0"/>
                      <w:marRight w:val="0"/>
                      <w:marTop w:val="0"/>
                      <w:marBottom w:val="0"/>
                      <w:divBdr>
                        <w:top w:val="none" w:sz="0" w:space="0" w:color="auto"/>
                        <w:left w:val="none" w:sz="0" w:space="0" w:color="auto"/>
                        <w:bottom w:val="none" w:sz="0" w:space="0" w:color="auto"/>
                        <w:right w:val="none" w:sz="0" w:space="0" w:color="auto"/>
                      </w:divBdr>
                    </w:div>
                  </w:divsChild>
                </w:div>
                <w:div w:id="1584492692">
                  <w:marLeft w:val="0"/>
                  <w:marRight w:val="0"/>
                  <w:marTop w:val="0"/>
                  <w:marBottom w:val="0"/>
                  <w:divBdr>
                    <w:top w:val="none" w:sz="0" w:space="0" w:color="auto"/>
                    <w:left w:val="none" w:sz="0" w:space="0" w:color="auto"/>
                    <w:bottom w:val="none" w:sz="0" w:space="0" w:color="auto"/>
                    <w:right w:val="none" w:sz="0" w:space="0" w:color="auto"/>
                  </w:divBdr>
                  <w:divsChild>
                    <w:div w:id="962925128">
                      <w:marLeft w:val="0"/>
                      <w:marRight w:val="0"/>
                      <w:marTop w:val="0"/>
                      <w:marBottom w:val="0"/>
                      <w:divBdr>
                        <w:top w:val="none" w:sz="0" w:space="0" w:color="auto"/>
                        <w:left w:val="none" w:sz="0" w:space="0" w:color="auto"/>
                        <w:bottom w:val="none" w:sz="0" w:space="0" w:color="auto"/>
                        <w:right w:val="none" w:sz="0" w:space="0" w:color="auto"/>
                      </w:divBdr>
                    </w:div>
                    <w:div w:id="1375693286">
                      <w:marLeft w:val="0"/>
                      <w:marRight w:val="0"/>
                      <w:marTop w:val="0"/>
                      <w:marBottom w:val="0"/>
                      <w:divBdr>
                        <w:top w:val="none" w:sz="0" w:space="0" w:color="auto"/>
                        <w:left w:val="none" w:sz="0" w:space="0" w:color="auto"/>
                        <w:bottom w:val="none" w:sz="0" w:space="0" w:color="auto"/>
                        <w:right w:val="none" w:sz="0" w:space="0" w:color="auto"/>
                      </w:divBdr>
                    </w:div>
                  </w:divsChild>
                </w:div>
                <w:div w:id="1586963395">
                  <w:marLeft w:val="0"/>
                  <w:marRight w:val="0"/>
                  <w:marTop w:val="0"/>
                  <w:marBottom w:val="0"/>
                  <w:divBdr>
                    <w:top w:val="none" w:sz="0" w:space="0" w:color="auto"/>
                    <w:left w:val="none" w:sz="0" w:space="0" w:color="auto"/>
                    <w:bottom w:val="none" w:sz="0" w:space="0" w:color="auto"/>
                    <w:right w:val="none" w:sz="0" w:space="0" w:color="auto"/>
                  </w:divBdr>
                  <w:divsChild>
                    <w:div w:id="743571635">
                      <w:marLeft w:val="0"/>
                      <w:marRight w:val="0"/>
                      <w:marTop w:val="0"/>
                      <w:marBottom w:val="0"/>
                      <w:divBdr>
                        <w:top w:val="none" w:sz="0" w:space="0" w:color="auto"/>
                        <w:left w:val="none" w:sz="0" w:space="0" w:color="auto"/>
                        <w:bottom w:val="none" w:sz="0" w:space="0" w:color="auto"/>
                        <w:right w:val="none" w:sz="0" w:space="0" w:color="auto"/>
                      </w:divBdr>
                    </w:div>
                  </w:divsChild>
                </w:div>
                <w:div w:id="1587307030">
                  <w:marLeft w:val="0"/>
                  <w:marRight w:val="0"/>
                  <w:marTop w:val="0"/>
                  <w:marBottom w:val="0"/>
                  <w:divBdr>
                    <w:top w:val="none" w:sz="0" w:space="0" w:color="auto"/>
                    <w:left w:val="none" w:sz="0" w:space="0" w:color="auto"/>
                    <w:bottom w:val="none" w:sz="0" w:space="0" w:color="auto"/>
                    <w:right w:val="none" w:sz="0" w:space="0" w:color="auto"/>
                  </w:divBdr>
                  <w:divsChild>
                    <w:div w:id="1629630890">
                      <w:marLeft w:val="0"/>
                      <w:marRight w:val="0"/>
                      <w:marTop w:val="0"/>
                      <w:marBottom w:val="0"/>
                      <w:divBdr>
                        <w:top w:val="none" w:sz="0" w:space="0" w:color="auto"/>
                        <w:left w:val="none" w:sz="0" w:space="0" w:color="auto"/>
                        <w:bottom w:val="none" w:sz="0" w:space="0" w:color="auto"/>
                        <w:right w:val="none" w:sz="0" w:space="0" w:color="auto"/>
                      </w:divBdr>
                    </w:div>
                  </w:divsChild>
                </w:div>
                <w:div w:id="1590653625">
                  <w:marLeft w:val="0"/>
                  <w:marRight w:val="0"/>
                  <w:marTop w:val="0"/>
                  <w:marBottom w:val="0"/>
                  <w:divBdr>
                    <w:top w:val="none" w:sz="0" w:space="0" w:color="auto"/>
                    <w:left w:val="none" w:sz="0" w:space="0" w:color="auto"/>
                    <w:bottom w:val="none" w:sz="0" w:space="0" w:color="auto"/>
                    <w:right w:val="none" w:sz="0" w:space="0" w:color="auto"/>
                  </w:divBdr>
                  <w:divsChild>
                    <w:div w:id="977297574">
                      <w:marLeft w:val="0"/>
                      <w:marRight w:val="0"/>
                      <w:marTop w:val="0"/>
                      <w:marBottom w:val="0"/>
                      <w:divBdr>
                        <w:top w:val="none" w:sz="0" w:space="0" w:color="auto"/>
                        <w:left w:val="none" w:sz="0" w:space="0" w:color="auto"/>
                        <w:bottom w:val="none" w:sz="0" w:space="0" w:color="auto"/>
                        <w:right w:val="none" w:sz="0" w:space="0" w:color="auto"/>
                      </w:divBdr>
                    </w:div>
                  </w:divsChild>
                </w:div>
                <w:div w:id="1595821403">
                  <w:marLeft w:val="0"/>
                  <w:marRight w:val="0"/>
                  <w:marTop w:val="0"/>
                  <w:marBottom w:val="0"/>
                  <w:divBdr>
                    <w:top w:val="none" w:sz="0" w:space="0" w:color="auto"/>
                    <w:left w:val="none" w:sz="0" w:space="0" w:color="auto"/>
                    <w:bottom w:val="none" w:sz="0" w:space="0" w:color="auto"/>
                    <w:right w:val="none" w:sz="0" w:space="0" w:color="auto"/>
                  </w:divBdr>
                  <w:divsChild>
                    <w:div w:id="2100178840">
                      <w:marLeft w:val="0"/>
                      <w:marRight w:val="0"/>
                      <w:marTop w:val="0"/>
                      <w:marBottom w:val="0"/>
                      <w:divBdr>
                        <w:top w:val="none" w:sz="0" w:space="0" w:color="auto"/>
                        <w:left w:val="none" w:sz="0" w:space="0" w:color="auto"/>
                        <w:bottom w:val="none" w:sz="0" w:space="0" w:color="auto"/>
                        <w:right w:val="none" w:sz="0" w:space="0" w:color="auto"/>
                      </w:divBdr>
                    </w:div>
                  </w:divsChild>
                </w:div>
                <w:div w:id="1601142741">
                  <w:marLeft w:val="0"/>
                  <w:marRight w:val="0"/>
                  <w:marTop w:val="0"/>
                  <w:marBottom w:val="0"/>
                  <w:divBdr>
                    <w:top w:val="none" w:sz="0" w:space="0" w:color="auto"/>
                    <w:left w:val="none" w:sz="0" w:space="0" w:color="auto"/>
                    <w:bottom w:val="none" w:sz="0" w:space="0" w:color="auto"/>
                    <w:right w:val="none" w:sz="0" w:space="0" w:color="auto"/>
                  </w:divBdr>
                  <w:divsChild>
                    <w:div w:id="1432623518">
                      <w:marLeft w:val="0"/>
                      <w:marRight w:val="0"/>
                      <w:marTop w:val="0"/>
                      <w:marBottom w:val="0"/>
                      <w:divBdr>
                        <w:top w:val="none" w:sz="0" w:space="0" w:color="auto"/>
                        <w:left w:val="none" w:sz="0" w:space="0" w:color="auto"/>
                        <w:bottom w:val="none" w:sz="0" w:space="0" w:color="auto"/>
                        <w:right w:val="none" w:sz="0" w:space="0" w:color="auto"/>
                      </w:divBdr>
                    </w:div>
                  </w:divsChild>
                </w:div>
                <w:div w:id="1618443003">
                  <w:marLeft w:val="0"/>
                  <w:marRight w:val="0"/>
                  <w:marTop w:val="0"/>
                  <w:marBottom w:val="0"/>
                  <w:divBdr>
                    <w:top w:val="none" w:sz="0" w:space="0" w:color="auto"/>
                    <w:left w:val="none" w:sz="0" w:space="0" w:color="auto"/>
                    <w:bottom w:val="none" w:sz="0" w:space="0" w:color="auto"/>
                    <w:right w:val="none" w:sz="0" w:space="0" w:color="auto"/>
                  </w:divBdr>
                  <w:divsChild>
                    <w:div w:id="478811537">
                      <w:marLeft w:val="0"/>
                      <w:marRight w:val="0"/>
                      <w:marTop w:val="0"/>
                      <w:marBottom w:val="0"/>
                      <w:divBdr>
                        <w:top w:val="none" w:sz="0" w:space="0" w:color="auto"/>
                        <w:left w:val="none" w:sz="0" w:space="0" w:color="auto"/>
                        <w:bottom w:val="none" w:sz="0" w:space="0" w:color="auto"/>
                        <w:right w:val="none" w:sz="0" w:space="0" w:color="auto"/>
                      </w:divBdr>
                    </w:div>
                  </w:divsChild>
                </w:div>
                <w:div w:id="1623999974">
                  <w:marLeft w:val="0"/>
                  <w:marRight w:val="0"/>
                  <w:marTop w:val="0"/>
                  <w:marBottom w:val="0"/>
                  <w:divBdr>
                    <w:top w:val="none" w:sz="0" w:space="0" w:color="auto"/>
                    <w:left w:val="none" w:sz="0" w:space="0" w:color="auto"/>
                    <w:bottom w:val="none" w:sz="0" w:space="0" w:color="auto"/>
                    <w:right w:val="none" w:sz="0" w:space="0" w:color="auto"/>
                  </w:divBdr>
                  <w:divsChild>
                    <w:div w:id="1366372942">
                      <w:marLeft w:val="0"/>
                      <w:marRight w:val="0"/>
                      <w:marTop w:val="0"/>
                      <w:marBottom w:val="0"/>
                      <w:divBdr>
                        <w:top w:val="none" w:sz="0" w:space="0" w:color="auto"/>
                        <w:left w:val="none" w:sz="0" w:space="0" w:color="auto"/>
                        <w:bottom w:val="none" w:sz="0" w:space="0" w:color="auto"/>
                        <w:right w:val="none" w:sz="0" w:space="0" w:color="auto"/>
                      </w:divBdr>
                    </w:div>
                  </w:divsChild>
                </w:div>
                <w:div w:id="1633292337">
                  <w:marLeft w:val="0"/>
                  <w:marRight w:val="0"/>
                  <w:marTop w:val="0"/>
                  <w:marBottom w:val="0"/>
                  <w:divBdr>
                    <w:top w:val="none" w:sz="0" w:space="0" w:color="auto"/>
                    <w:left w:val="none" w:sz="0" w:space="0" w:color="auto"/>
                    <w:bottom w:val="none" w:sz="0" w:space="0" w:color="auto"/>
                    <w:right w:val="none" w:sz="0" w:space="0" w:color="auto"/>
                  </w:divBdr>
                  <w:divsChild>
                    <w:div w:id="1342708053">
                      <w:marLeft w:val="0"/>
                      <w:marRight w:val="0"/>
                      <w:marTop w:val="0"/>
                      <w:marBottom w:val="0"/>
                      <w:divBdr>
                        <w:top w:val="none" w:sz="0" w:space="0" w:color="auto"/>
                        <w:left w:val="none" w:sz="0" w:space="0" w:color="auto"/>
                        <w:bottom w:val="none" w:sz="0" w:space="0" w:color="auto"/>
                        <w:right w:val="none" w:sz="0" w:space="0" w:color="auto"/>
                      </w:divBdr>
                    </w:div>
                  </w:divsChild>
                </w:div>
                <w:div w:id="1640843327">
                  <w:marLeft w:val="0"/>
                  <w:marRight w:val="0"/>
                  <w:marTop w:val="0"/>
                  <w:marBottom w:val="0"/>
                  <w:divBdr>
                    <w:top w:val="none" w:sz="0" w:space="0" w:color="auto"/>
                    <w:left w:val="none" w:sz="0" w:space="0" w:color="auto"/>
                    <w:bottom w:val="none" w:sz="0" w:space="0" w:color="auto"/>
                    <w:right w:val="none" w:sz="0" w:space="0" w:color="auto"/>
                  </w:divBdr>
                  <w:divsChild>
                    <w:div w:id="292906504">
                      <w:marLeft w:val="0"/>
                      <w:marRight w:val="0"/>
                      <w:marTop w:val="0"/>
                      <w:marBottom w:val="0"/>
                      <w:divBdr>
                        <w:top w:val="none" w:sz="0" w:space="0" w:color="auto"/>
                        <w:left w:val="none" w:sz="0" w:space="0" w:color="auto"/>
                        <w:bottom w:val="none" w:sz="0" w:space="0" w:color="auto"/>
                        <w:right w:val="none" w:sz="0" w:space="0" w:color="auto"/>
                      </w:divBdr>
                    </w:div>
                  </w:divsChild>
                </w:div>
                <w:div w:id="1642495933">
                  <w:marLeft w:val="0"/>
                  <w:marRight w:val="0"/>
                  <w:marTop w:val="0"/>
                  <w:marBottom w:val="0"/>
                  <w:divBdr>
                    <w:top w:val="none" w:sz="0" w:space="0" w:color="auto"/>
                    <w:left w:val="none" w:sz="0" w:space="0" w:color="auto"/>
                    <w:bottom w:val="none" w:sz="0" w:space="0" w:color="auto"/>
                    <w:right w:val="none" w:sz="0" w:space="0" w:color="auto"/>
                  </w:divBdr>
                  <w:divsChild>
                    <w:div w:id="1856338425">
                      <w:marLeft w:val="0"/>
                      <w:marRight w:val="0"/>
                      <w:marTop w:val="0"/>
                      <w:marBottom w:val="0"/>
                      <w:divBdr>
                        <w:top w:val="none" w:sz="0" w:space="0" w:color="auto"/>
                        <w:left w:val="none" w:sz="0" w:space="0" w:color="auto"/>
                        <w:bottom w:val="none" w:sz="0" w:space="0" w:color="auto"/>
                        <w:right w:val="none" w:sz="0" w:space="0" w:color="auto"/>
                      </w:divBdr>
                    </w:div>
                  </w:divsChild>
                </w:div>
                <w:div w:id="1647314754">
                  <w:marLeft w:val="0"/>
                  <w:marRight w:val="0"/>
                  <w:marTop w:val="0"/>
                  <w:marBottom w:val="0"/>
                  <w:divBdr>
                    <w:top w:val="none" w:sz="0" w:space="0" w:color="auto"/>
                    <w:left w:val="none" w:sz="0" w:space="0" w:color="auto"/>
                    <w:bottom w:val="none" w:sz="0" w:space="0" w:color="auto"/>
                    <w:right w:val="none" w:sz="0" w:space="0" w:color="auto"/>
                  </w:divBdr>
                  <w:divsChild>
                    <w:div w:id="1088887549">
                      <w:marLeft w:val="0"/>
                      <w:marRight w:val="0"/>
                      <w:marTop w:val="0"/>
                      <w:marBottom w:val="0"/>
                      <w:divBdr>
                        <w:top w:val="none" w:sz="0" w:space="0" w:color="auto"/>
                        <w:left w:val="none" w:sz="0" w:space="0" w:color="auto"/>
                        <w:bottom w:val="none" w:sz="0" w:space="0" w:color="auto"/>
                        <w:right w:val="none" w:sz="0" w:space="0" w:color="auto"/>
                      </w:divBdr>
                    </w:div>
                  </w:divsChild>
                </w:div>
                <w:div w:id="1653943090">
                  <w:marLeft w:val="0"/>
                  <w:marRight w:val="0"/>
                  <w:marTop w:val="0"/>
                  <w:marBottom w:val="0"/>
                  <w:divBdr>
                    <w:top w:val="none" w:sz="0" w:space="0" w:color="auto"/>
                    <w:left w:val="none" w:sz="0" w:space="0" w:color="auto"/>
                    <w:bottom w:val="none" w:sz="0" w:space="0" w:color="auto"/>
                    <w:right w:val="none" w:sz="0" w:space="0" w:color="auto"/>
                  </w:divBdr>
                  <w:divsChild>
                    <w:div w:id="425922026">
                      <w:marLeft w:val="0"/>
                      <w:marRight w:val="0"/>
                      <w:marTop w:val="0"/>
                      <w:marBottom w:val="0"/>
                      <w:divBdr>
                        <w:top w:val="none" w:sz="0" w:space="0" w:color="auto"/>
                        <w:left w:val="none" w:sz="0" w:space="0" w:color="auto"/>
                        <w:bottom w:val="none" w:sz="0" w:space="0" w:color="auto"/>
                        <w:right w:val="none" w:sz="0" w:space="0" w:color="auto"/>
                      </w:divBdr>
                    </w:div>
                  </w:divsChild>
                </w:div>
                <w:div w:id="1654336232">
                  <w:marLeft w:val="0"/>
                  <w:marRight w:val="0"/>
                  <w:marTop w:val="0"/>
                  <w:marBottom w:val="0"/>
                  <w:divBdr>
                    <w:top w:val="none" w:sz="0" w:space="0" w:color="auto"/>
                    <w:left w:val="none" w:sz="0" w:space="0" w:color="auto"/>
                    <w:bottom w:val="none" w:sz="0" w:space="0" w:color="auto"/>
                    <w:right w:val="none" w:sz="0" w:space="0" w:color="auto"/>
                  </w:divBdr>
                  <w:divsChild>
                    <w:div w:id="1272709666">
                      <w:marLeft w:val="0"/>
                      <w:marRight w:val="0"/>
                      <w:marTop w:val="0"/>
                      <w:marBottom w:val="0"/>
                      <w:divBdr>
                        <w:top w:val="none" w:sz="0" w:space="0" w:color="auto"/>
                        <w:left w:val="none" w:sz="0" w:space="0" w:color="auto"/>
                        <w:bottom w:val="none" w:sz="0" w:space="0" w:color="auto"/>
                        <w:right w:val="none" w:sz="0" w:space="0" w:color="auto"/>
                      </w:divBdr>
                    </w:div>
                  </w:divsChild>
                </w:div>
                <w:div w:id="1654527847">
                  <w:marLeft w:val="0"/>
                  <w:marRight w:val="0"/>
                  <w:marTop w:val="0"/>
                  <w:marBottom w:val="0"/>
                  <w:divBdr>
                    <w:top w:val="none" w:sz="0" w:space="0" w:color="auto"/>
                    <w:left w:val="none" w:sz="0" w:space="0" w:color="auto"/>
                    <w:bottom w:val="none" w:sz="0" w:space="0" w:color="auto"/>
                    <w:right w:val="none" w:sz="0" w:space="0" w:color="auto"/>
                  </w:divBdr>
                  <w:divsChild>
                    <w:div w:id="1553733616">
                      <w:marLeft w:val="0"/>
                      <w:marRight w:val="0"/>
                      <w:marTop w:val="0"/>
                      <w:marBottom w:val="0"/>
                      <w:divBdr>
                        <w:top w:val="none" w:sz="0" w:space="0" w:color="auto"/>
                        <w:left w:val="none" w:sz="0" w:space="0" w:color="auto"/>
                        <w:bottom w:val="none" w:sz="0" w:space="0" w:color="auto"/>
                        <w:right w:val="none" w:sz="0" w:space="0" w:color="auto"/>
                      </w:divBdr>
                    </w:div>
                  </w:divsChild>
                </w:div>
                <w:div w:id="1655572869">
                  <w:marLeft w:val="0"/>
                  <w:marRight w:val="0"/>
                  <w:marTop w:val="0"/>
                  <w:marBottom w:val="0"/>
                  <w:divBdr>
                    <w:top w:val="none" w:sz="0" w:space="0" w:color="auto"/>
                    <w:left w:val="none" w:sz="0" w:space="0" w:color="auto"/>
                    <w:bottom w:val="none" w:sz="0" w:space="0" w:color="auto"/>
                    <w:right w:val="none" w:sz="0" w:space="0" w:color="auto"/>
                  </w:divBdr>
                  <w:divsChild>
                    <w:div w:id="24185412">
                      <w:marLeft w:val="0"/>
                      <w:marRight w:val="0"/>
                      <w:marTop w:val="0"/>
                      <w:marBottom w:val="0"/>
                      <w:divBdr>
                        <w:top w:val="none" w:sz="0" w:space="0" w:color="auto"/>
                        <w:left w:val="none" w:sz="0" w:space="0" w:color="auto"/>
                        <w:bottom w:val="none" w:sz="0" w:space="0" w:color="auto"/>
                        <w:right w:val="none" w:sz="0" w:space="0" w:color="auto"/>
                      </w:divBdr>
                    </w:div>
                  </w:divsChild>
                </w:div>
                <w:div w:id="1656571095">
                  <w:marLeft w:val="0"/>
                  <w:marRight w:val="0"/>
                  <w:marTop w:val="0"/>
                  <w:marBottom w:val="0"/>
                  <w:divBdr>
                    <w:top w:val="none" w:sz="0" w:space="0" w:color="auto"/>
                    <w:left w:val="none" w:sz="0" w:space="0" w:color="auto"/>
                    <w:bottom w:val="none" w:sz="0" w:space="0" w:color="auto"/>
                    <w:right w:val="none" w:sz="0" w:space="0" w:color="auto"/>
                  </w:divBdr>
                  <w:divsChild>
                    <w:div w:id="1779636145">
                      <w:marLeft w:val="0"/>
                      <w:marRight w:val="0"/>
                      <w:marTop w:val="0"/>
                      <w:marBottom w:val="0"/>
                      <w:divBdr>
                        <w:top w:val="none" w:sz="0" w:space="0" w:color="auto"/>
                        <w:left w:val="none" w:sz="0" w:space="0" w:color="auto"/>
                        <w:bottom w:val="none" w:sz="0" w:space="0" w:color="auto"/>
                        <w:right w:val="none" w:sz="0" w:space="0" w:color="auto"/>
                      </w:divBdr>
                    </w:div>
                  </w:divsChild>
                </w:div>
                <w:div w:id="1663313030">
                  <w:marLeft w:val="0"/>
                  <w:marRight w:val="0"/>
                  <w:marTop w:val="0"/>
                  <w:marBottom w:val="0"/>
                  <w:divBdr>
                    <w:top w:val="none" w:sz="0" w:space="0" w:color="auto"/>
                    <w:left w:val="none" w:sz="0" w:space="0" w:color="auto"/>
                    <w:bottom w:val="none" w:sz="0" w:space="0" w:color="auto"/>
                    <w:right w:val="none" w:sz="0" w:space="0" w:color="auto"/>
                  </w:divBdr>
                  <w:divsChild>
                    <w:div w:id="768814493">
                      <w:marLeft w:val="0"/>
                      <w:marRight w:val="0"/>
                      <w:marTop w:val="0"/>
                      <w:marBottom w:val="0"/>
                      <w:divBdr>
                        <w:top w:val="none" w:sz="0" w:space="0" w:color="auto"/>
                        <w:left w:val="none" w:sz="0" w:space="0" w:color="auto"/>
                        <w:bottom w:val="none" w:sz="0" w:space="0" w:color="auto"/>
                        <w:right w:val="none" w:sz="0" w:space="0" w:color="auto"/>
                      </w:divBdr>
                    </w:div>
                  </w:divsChild>
                </w:div>
                <w:div w:id="1666398422">
                  <w:marLeft w:val="0"/>
                  <w:marRight w:val="0"/>
                  <w:marTop w:val="0"/>
                  <w:marBottom w:val="0"/>
                  <w:divBdr>
                    <w:top w:val="none" w:sz="0" w:space="0" w:color="auto"/>
                    <w:left w:val="none" w:sz="0" w:space="0" w:color="auto"/>
                    <w:bottom w:val="none" w:sz="0" w:space="0" w:color="auto"/>
                    <w:right w:val="none" w:sz="0" w:space="0" w:color="auto"/>
                  </w:divBdr>
                  <w:divsChild>
                    <w:div w:id="32927110">
                      <w:marLeft w:val="0"/>
                      <w:marRight w:val="0"/>
                      <w:marTop w:val="0"/>
                      <w:marBottom w:val="0"/>
                      <w:divBdr>
                        <w:top w:val="none" w:sz="0" w:space="0" w:color="auto"/>
                        <w:left w:val="none" w:sz="0" w:space="0" w:color="auto"/>
                        <w:bottom w:val="none" w:sz="0" w:space="0" w:color="auto"/>
                        <w:right w:val="none" w:sz="0" w:space="0" w:color="auto"/>
                      </w:divBdr>
                    </w:div>
                  </w:divsChild>
                </w:div>
                <w:div w:id="1666668210">
                  <w:marLeft w:val="0"/>
                  <w:marRight w:val="0"/>
                  <w:marTop w:val="0"/>
                  <w:marBottom w:val="0"/>
                  <w:divBdr>
                    <w:top w:val="none" w:sz="0" w:space="0" w:color="auto"/>
                    <w:left w:val="none" w:sz="0" w:space="0" w:color="auto"/>
                    <w:bottom w:val="none" w:sz="0" w:space="0" w:color="auto"/>
                    <w:right w:val="none" w:sz="0" w:space="0" w:color="auto"/>
                  </w:divBdr>
                  <w:divsChild>
                    <w:div w:id="1093210079">
                      <w:marLeft w:val="0"/>
                      <w:marRight w:val="0"/>
                      <w:marTop w:val="0"/>
                      <w:marBottom w:val="0"/>
                      <w:divBdr>
                        <w:top w:val="none" w:sz="0" w:space="0" w:color="auto"/>
                        <w:left w:val="none" w:sz="0" w:space="0" w:color="auto"/>
                        <w:bottom w:val="none" w:sz="0" w:space="0" w:color="auto"/>
                        <w:right w:val="none" w:sz="0" w:space="0" w:color="auto"/>
                      </w:divBdr>
                    </w:div>
                  </w:divsChild>
                </w:div>
                <w:div w:id="1679186476">
                  <w:marLeft w:val="0"/>
                  <w:marRight w:val="0"/>
                  <w:marTop w:val="0"/>
                  <w:marBottom w:val="0"/>
                  <w:divBdr>
                    <w:top w:val="none" w:sz="0" w:space="0" w:color="auto"/>
                    <w:left w:val="none" w:sz="0" w:space="0" w:color="auto"/>
                    <w:bottom w:val="none" w:sz="0" w:space="0" w:color="auto"/>
                    <w:right w:val="none" w:sz="0" w:space="0" w:color="auto"/>
                  </w:divBdr>
                  <w:divsChild>
                    <w:div w:id="323440078">
                      <w:marLeft w:val="0"/>
                      <w:marRight w:val="0"/>
                      <w:marTop w:val="0"/>
                      <w:marBottom w:val="0"/>
                      <w:divBdr>
                        <w:top w:val="none" w:sz="0" w:space="0" w:color="auto"/>
                        <w:left w:val="none" w:sz="0" w:space="0" w:color="auto"/>
                        <w:bottom w:val="none" w:sz="0" w:space="0" w:color="auto"/>
                        <w:right w:val="none" w:sz="0" w:space="0" w:color="auto"/>
                      </w:divBdr>
                    </w:div>
                  </w:divsChild>
                </w:div>
                <w:div w:id="1686786863">
                  <w:marLeft w:val="0"/>
                  <w:marRight w:val="0"/>
                  <w:marTop w:val="0"/>
                  <w:marBottom w:val="0"/>
                  <w:divBdr>
                    <w:top w:val="none" w:sz="0" w:space="0" w:color="auto"/>
                    <w:left w:val="none" w:sz="0" w:space="0" w:color="auto"/>
                    <w:bottom w:val="none" w:sz="0" w:space="0" w:color="auto"/>
                    <w:right w:val="none" w:sz="0" w:space="0" w:color="auto"/>
                  </w:divBdr>
                  <w:divsChild>
                    <w:div w:id="90787171">
                      <w:marLeft w:val="0"/>
                      <w:marRight w:val="0"/>
                      <w:marTop w:val="0"/>
                      <w:marBottom w:val="0"/>
                      <w:divBdr>
                        <w:top w:val="none" w:sz="0" w:space="0" w:color="auto"/>
                        <w:left w:val="none" w:sz="0" w:space="0" w:color="auto"/>
                        <w:bottom w:val="none" w:sz="0" w:space="0" w:color="auto"/>
                        <w:right w:val="none" w:sz="0" w:space="0" w:color="auto"/>
                      </w:divBdr>
                    </w:div>
                  </w:divsChild>
                </w:div>
                <w:div w:id="1703047207">
                  <w:marLeft w:val="0"/>
                  <w:marRight w:val="0"/>
                  <w:marTop w:val="0"/>
                  <w:marBottom w:val="0"/>
                  <w:divBdr>
                    <w:top w:val="none" w:sz="0" w:space="0" w:color="auto"/>
                    <w:left w:val="none" w:sz="0" w:space="0" w:color="auto"/>
                    <w:bottom w:val="none" w:sz="0" w:space="0" w:color="auto"/>
                    <w:right w:val="none" w:sz="0" w:space="0" w:color="auto"/>
                  </w:divBdr>
                  <w:divsChild>
                    <w:div w:id="1892882516">
                      <w:marLeft w:val="0"/>
                      <w:marRight w:val="0"/>
                      <w:marTop w:val="0"/>
                      <w:marBottom w:val="0"/>
                      <w:divBdr>
                        <w:top w:val="none" w:sz="0" w:space="0" w:color="auto"/>
                        <w:left w:val="none" w:sz="0" w:space="0" w:color="auto"/>
                        <w:bottom w:val="none" w:sz="0" w:space="0" w:color="auto"/>
                        <w:right w:val="none" w:sz="0" w:space="0" w:color="auto"/>
                      </w:divBdr>
                    </w:div>
                  </w:divsChild>
                </w:div>
                <w:div w:id="1704943022">
                  <w:marLeft w:val="0"/>
                  <w:marRight w:val="0"/>
                  <w:marTop w:val="0"/>
                  <w:marBottom w:val="0"/>
                  <w:divBdr>
                    <w:top w:val="none" w:sz="0" w:space="0" w:color="auto"/>
                    <w:left w:val="none" w:sz="0" w:space="0" w:color="auto"/>
                    <w:bottom w:val="none" w:sz="0" w:space="0" w:color="auto"/>
                    <w:right w:val="none" w:sz="0" w:space="0" w:color="auto"/>
                  </w:divBdr>
                  <w:divsChild>
                    <w:div w:id="1184901045">
                      <w:marLeft w:val="0"/>
                      <w:marRight w:val="0"/>
                      <w:marTop w:val="0"/>
                      <w:marBottom w:val="0"/>
                      <w:divBdr>
                        <w:top w:val="none" w:sz="0" w:space="0" w:color="auto"/>
                        <w:left w:val="none" w:sz="0" w:space="0" w:color="auto"/>
                        <w:bottom w:val="none" w:sz="0" w:space="0" w:color="auto"/>
                        <w:right w:val="none" w:sz="0" w:space="0" w:color="auto"/>
                      </w:divBdr>
                    </w:div>
                  </w:divsChild>
                </w:div>
                <w:div w:id="1707637298">
                  <w:marLeft w:val="0"/>
                  <w:marRight w:val="0"/>
                  <w:marTop w:val="0"/>
                  <w:marBottom w:val="0"/>
                  <w:divBdr>
                    <w:top w:val="none" w:sz="0" w:space="0" w:color="auto"/>
                    <w:left w:val="none" w:sz="0" w:space="0" w:color="auto"/>
                    <w:bottom w:val="none" w:sz="0" w:space="0" w:color="auto"/>
                    <w:right w:val="none" w:sz="0" w:space="0" w:color="auto"/>
                  </w:divBdr>
                  <w:divsChild>
                    <w:div w:id="1603146929">
                      <w:marLeft w:val="0"/>
                      <w:marRight w:val="0"/>
                      <w:marTop w:val="0"/>
                      <w:marBottom w:val="0"/>
                      <w:divBdr>
                        <w:top w:val="none" w:sz="0" w:space="0" w:color="auto"/>
                        <w:left w:val="none" w:sz="0" w:space="0" w:color="auto"/>
                        <w:bottom w:val="none" w:sz="0" w:space="0" w:color="auto"/>
                        <w:right w:val="none" w:sz="0" w:space="0" w:color="auto"/>
                      </w:divBdr>
                    </w:div>
                  </w:divsChild>
                </w:div>
                <w:div w:id="1709332353">
                  <w:marLeft w:val="0"/>
                  <w:marRight w:val="0"/>
                  <w:marTop w:val="0"/>
                  <w:marBottom w:val="0"/>
                  <w:divBdr>
                    <w:top w:val="none" w:sz="0" w:space="0" w:color="auto"/>
                    <w:left w:val="none" w:sz="0" w:space="0" w:color="auto"/>
                    <w:bottom w:val="none" w:sz="0" w:space="0" w:color="auto"/>
                    <w:right w:val="none" w:sz="0" w:space="0" w:color="auto"/>
                  </w:divBdr>
                  <w:divsChild>
                    <w:div w:id="1063679617">
                      <w:marLeft w:val="0"/>
                      <w:marRight w:val="0"/>
                      <w:marTop w:val="0"/>
                      <w:marBottom w:val="0"/>
                      <w:divBdr>
                        <w:top w:val="none" w:sz="0" w:space="0" w:color="auto"/>
                        <w:left w:val="none" w:sz="0" w:space="0" w:color="auto"/>
                        <w:bottom w:val="none" w:sz="0" w:space="0" w:color="auto"/>
                        <w:right w:val="none" w:sz="0" w:space="0" w:color="auto"/>
                      </w:divBdr>
                    </w:div>
                  </w:divsChild>
                </w:div>
                <w:div w:id="1719208235">
                  <w:marLeft w:val="0"/>
                  <w:marRight w:val="0"/>
                  <w:marTop w:val="0"/>
                  <w:marBottom w:val="0"/>
                  <w:divBdr>
                    <w:top w:val="none" w:sz="0" w:space="0" w:color="auto"/>
                    <w:left w:val="none" w:sz="0" w:space="0" w:color="auto"/>
                    <w:bottom w:val="none" w:sz="0" w:space="0" w:color="auto"/>
                    <w:right w:val="none" w:sz="0" w:space="0" w:color="auto"/>
                  </w:divBdr>
                  <w:divsChild>
                    <w:div w:id="648486483">
                      <w:marLeft w:val="0"/>
                      <w:marRight w:val="0"/>
                      <w:marTop w:val="0"/>
                      <w:marBottom w:val="0"/>
                      <w:divBdr>
                        <w:top w:val="none" w:sz="0" w:space="0" w:color="auto"/>
                        <w:left w:val="none" w:sz="0" w:space="0" w:color="auto"/>
                        <w:bottom w:val="none" w:sz="0" w:space="0" w:color="auto"/>
                        <w:right w:val="none" w:sz="0" w:space="0" w:color="auto"/>
                      </w:divBdr>
                    </w:div>
                  </w:divsChild>
                </w:div>
                <w:div w:id="1731343468">
                  <w:marLeft w:val="0"/>
                  <w:marRight w:val="0"/>
                  <w:marTop w:val="0"/>
                  <w:marBottom w:val="0"/>
                  <w:divBdr>
                    <w:top w:val="none" w:sz="0" w:space="0" w:color="auto"/>
                    <w:left w:val="none" w:sz="0" w:space="0" w:color="auto"/>
                    <w:bottom w:val="none" w:sz="0" w:space="0" w:color="auto"/>
                    <w:right w:val="none" w:sz="0" w:space="0" w:color="auto"/>
                  </w:divBdr>
                  <w:divsChild>
                    <w:div w:id="554901782">
                      <w:marLeft w:val="0"/>
                      <w:marRight w:val="0"/>
                      <w:marTop w:val="0"/>
                      <w:marBottom w:val="0"/>
                      <w:divBdr>
                        <w:top w:val="none" w:sz="0" w:space="0" w:color="auto"/>
                        <w:left w:val="none" w:sz="0" w:space="0" w:color="auto"/>
                        <w:bottom w:val="none" w:sz="0" w:space="0" w:color="auto"/>
                        <w:right w:val="none" w:sz="0" w:space="0" w:color="auto"/>
                      </w:divBdr>
                    </w:div>
                  </w:divsChild>
                </w:div>
                <w:div w:id="1737435492">
                  <w:marLeft w:val="0"/>
                  <w:marRight w:val="0"/>
                  <w:marTop w:val="0"/>
                  <w:marBottom w:val="0"/>
                  <w:divBdr>
                    <w:top w:val="none" w:sz="0" w:space="0" w:color="auto"/>
                    <w:left w:val="none" w:sz="0" w:space="0" w:color="auto"/>
                    <w:bottom w:val="none" w:sz="0" w:space="0" w:color="auto"/>
                    <w:right w:val="none" w:sz="0" w:space="0" w:color="auto"/>
                  </w:divBdr>
                  <w:divsChild>
                    <w:div w:id="331762222">
                      <w:marLeft w:val="0"/>
                      <w:marRight w:val="0"/>
                      <w:marTop w:val="0"/>
                      <w:marBottom w:val="0"/>
                      <w:divBdr>
                        <w:top w:val="none" w:sz="0" w:space="0" w:color="auto"/>
                        <w:left w:val="none" w:sz="0" w:space="0" w:color="auto"/>
                        <w:bottom w:val="none" w:sz="0" w:space="0" w:color="auto"/>
                        <w:right w:val="none" w:sz="0" w:space="0" w:color="auto"/>
                      </w:divBdr>
                    </w:div>
                  </w:divsChild>
                </w:div>
                <w:div w:id="1743716441">
                  <w:marLeft w:val="0"/>
                  <w:marRight w:val="0"/>
                  <w:marTop w:val="0"/>
                  <w:marBottom w:val="0"/>
                  <w:divBdr>
                    <w:top w:val="none" w:sz="0" w:space="0" w:color="auto"/>
                    <w:left w:val="none" w:sz="0" w:space="0" w:color="auto"/>
                    <w:bottom w:val="none" w:sz="0" w:space="0" w:color="auto"/>
                    <w:right w:val="none" w:sz="0" w:space="0" w:color="auto"/>
                  </w:divBdr>
                  <w:divsChild>
                    <w:div w:id="769548251">
                      <w:marLeft w:val="0"/>
                      <w:marRight w:val="0"/>
                      <w:marTop w:val="0"/>
                      <w:marBottom w:val="0"/>
                      <w:divBdr>
                        <w:top w:val="none" w:sz="0" w:space="0" w:color="auto"/>
                        <w:left w:val="none" w:sz="0" w:space="0" w:color="auto"/>
                        <w:bottom w:val="none" w:sz="0" w:space="0" w:color="auto"/>
                        <w:right w:val="none" w:sz="0" w:space="0" w:color="auto"/>
                      </w:divBdr>
                    </w:div>
                  </w:divsChild>
                </w:div>
                <w:div w:id="1750614945">
                  <w:marLeft w:val="0"/>
                  <w:marRight w:val="0"/>
                  <w:marTop w:val="0"/>
                  <w:marBottom w:val="0"/>
                  <w:divBdr>
                    <w:top w:val="none" w:sz="0" w:space="0" w:color="auto"/>
                    <w:left w:val="none" w:sz="0" w:space="0" w:color="auto"/>
                    <w:bottom w:val="none" w:sz="0" w:space="0" w:color="auto"/>
                    <w:right w:val="none" w:sz="0" w:space="0" w:color="auto"/>
                  </w:divBdr>
                  <w:divsChild>
                    <w:div w:id="375277219">
                      <w:marLeft w:val="0"/>
                      <w:marRight w:val="0"/>
                      <w:marTop w:val="0"/>
                      <w:marBottom w:val="0"/>
                      <w:divBdr>
                        <w:top w:val="none" w:sz="0" w:space="0" w:color="auto"/>
                        <w:left w:val="none" w:sz="0" w:space="0" w:color="auto"/>
                        <w:bottom w:val="none" w:sz="0" w:space="0" w:color="auto"/>
                        <w:right w:val="none" w:sz="0" w:space="0" w:color="auto"/>
                      </w:divBdr>
                    </w:div>
                  </w:divsChild>
                </w:div>
                <w:div w:id="1762139902">
                  <w:marLeft w:val="0"/>
                  <w:marRight w:val="0"/>
                  <w:marTop w:val="0"/>
                  <w:marBottom w:val="0"/>
                  <w:divBdr>
                    <w:top w:val="none" w:sz="0" w:space="0" w:color="auto"/>
                    <w:left w:val="none" w:sz="0" w:space="0" w:color="auto"/>
                    <w:bottom w:val="none" w:sz="0" w:space="0" w:color="auto"/>
                    <w:right w:val="none" w:sz="0" w:space="0" w:color="auto"/>
                  </w:divBdr>
                  <w:divsChild>
                    <w:div w:id="1007320676">
                      <w:marLeft w:val="0"/>
                      <w:marRight w:val="0"/>
                      <w:marTop w:val="0"/>
                      <w:marBottom w:val="0"/>
                      <w:divBdr>
                        <w:top w:val="none" w:sz="0" w:space="0" w:color="auto"/>
                        <w:left w:val="none" w:sz="0" w:space="0" w:color="auto"/>
                        <w:bottom w:val="none" w:sz="0" w:space="0" w:color="auto"/>
                        <w:right w:val="none" w:sz="0" w:space="0" w:color="auto"/>
                      </w:divBdr>
                    </w:div>
                  </w:divsChild>
                </w:div>
                <w:div w:id="1765690122">
                  <w:marLeft w:val="0"/>
                  <w:marRight w:val="0"/>
                  <w:marTop w:val="0"/>
                  <w:marBottom w:val="0"/>
                  <w:divBdr>
                    <w:top w:val="none" w:sz="0" w:space="0" w:color="auto"/>
                    <w:left w:val="none" w:sz="0" w:space="0" w:color="auto"/>
                    <w:bottom w:val="none" w:sz="0" w:space="0" w:color="auto"/>
                    <w:right w:val="none" w:sz="0" w:space="0" w:color="auto"/>
                  </w:divBdr>
                  <w:divsChild>
                    <w:div w:id="1313633327">
                      <w:marLeft w:val="0"/>
                      <w:marRight w:val="0"/>
                      <w:marTop w:val="0"/>
                      <w:marBottom w:val="0"/>
                      <w:divBdr>
                        <w:top w:val="none" w:sz="0" w:space="0" w:color="auto"/>
                        <w:left w:val="none" w:sz="0" w:space="0" w:color="auto"/>
                        <w:bottom w:val="none" w:sz="0" w:space="0" w:color="auto"/>
                        <w:right w:val="none" w:sz="0" w:space="0" w:color="auto"/>
                      </w:divBdr>
                    </w:div>
                  </w:divsChild>
                </w:div>
                <w:div w:id="1802571732">
                  <w:marLeft w:val="0"/>
                  <w:marRight w:val="0"/>
                  <w:marTop w:val="0"/>
                  <w:marBottom w:val="0"/>
                  <w:divBdr>
                    <w:top w:val="none" w:sz="0" w:space="0" w:color="auto"/>
                    <w:left w:val="none" w:sz="0" w:space="0" w:color="auto"/>
                    <w:bottom w:val="none" w:sz="0" w:space="0" w:color="auto"/>
                    <w:right w:val="none" w:sz="0" w:space="0" w:color="auto"/>
                  </w:divBdr>
                  <w:divsChild>
                    <w:div w:id="611327044">
                      <w:marLeft w:val="0"/>
                      <w:marRight w:val="0"/>
                      <w:marTop w:val="0"/>
                      <w:marBottom w:val="0"/>
                      <w:divBdr>
                        <w:top w:val="none" w:sz="0" w:space="0" w:color="auto"/>
                        <w:left w:val="none" w:sz="0" w:space="0" w:color="auto"/>
                        <w:bottom w:val="none" w:sz="0" w:space="0" w:color="auto"/>
                        <w:right w:val="none" w:sz="0" w:space="0" w:color="auto"/>
                      </w:divBdr>
                    </w:div>
                  </w:divsChild>
                </w:div>
                <w:div w:id="1815950794">
                  <w:marLeft w:val="0"/>
                  <w:marRight w:val="0"/>
                  <w:marTop w:val="0"/>
                  <w:marBottom w:val="0"/>
                  <w:divBdr>
                    <w:top w:val="none" w:sz="0" w:space="0" w:color="auto"/>
                    <w:left w:val="none" w:sz="0" w:space="0" w:color="auto"/>
                    <w:bottom w:val="none" w:sz="0" w:space="0" w:color="auto"/>
                    <w:right w:val="none" w:sz="0" w:space="0" w:color="auto"/>
                  </w:divBdr>
                  <w:divsChild>
                    <w:div w:id="1758162995">
                      <w:marLeft w:val="0"/>
                      <w:marRight w:val="0"/>
                      <w:marTop w:val="0"/>
                      <w:marBottom w:val="0"/>
                      <w:divBdr>
                        <w:top w:val="none" w:sz="0" w:space="0" w:color="auto"/>
                        <w:left w:val="none" w:sz="0" w:space="0" w:color="auto"/>
                        <w:bottom w:val="none" w:sz="0" w:space="0" w:color="auto"/>
                        <w:right w:val="none" w:sz="0" w:space="0" w:color="auto"/>
                      </w:divBdr>
                    </w:div>
                  </w:divsChild>
                </w:div>
                <w:div w:id="1820031589">
                  <w:marLeft w:val="0"/>
                  <w:marRight w:val="0"/>
                  <w:marTop w:val="0"/>
                  <w:marBottom w:val="0"/>
                  <w:divBdr>
                    <w:top w:val="none" w:sz="0" w:space="0" w:color="auto"/>
                    <w:left w:val="none" w:sz="0" w:space="0" w:color="auto"/>
                    <w:bottom w:val="none" w:sz="0" w:space="0" w:color="auto"/>
                    <w:right w:val="none" w:sz="0" w:space="0" w:color="auto"/>
                  </w:divBdr>
                  <w:divsChild>
                    <w:div w:id="1854831247">
                      <w:marLeft w:val="0"/>
                      <w:marRight w:val="0"/>
                      <w:marTop w:val="0"/>
                      <w:marBottom w:val="0"/>
                      <w:divBdr>
                        <w:top w:val="none" w:sz="0" w:space="0" w:color="auto"/>
                        <w:left w:val="none" w:sz="0" w:space="0" w:color="auto"/>
                        <w:bottom w:val="none" w:sz="0" w:space="0" w:color="auto"/>
                        <w:right w:val="none" w:sz="0" w:space="0" w:color="auto"/>
                      </w:divBdr>
                    </w:div>
                  </w:divsChild>
                </w:div>
                <w:div w:id="1820222248">
                  <w:marLeft w:val="0"/>
                  <w:marRight w:val="0"/>
                  <w:marTop w:val="0"/>
                  <w:marBottom w:val="0"/>
                  <w:divBdr>
                    <w:top w:val="none" w:sz="0" w:space="0" w:color="auto"/>
                    <w:left w:val="none" w:sz="0" w:space="0" w:color="auto"/>
                    <w:bottom w:val="none" w:sz="0" w:space="0" w:color="auto"/>
                    <w:right w:val="none" w:sz="0" w:space="0" w:color="auto"/>
                  </w:divBdr>
                  <w:divsChild>
                    <w:div w:id="811795569">
                      <w:marLeft w:val="0"/>
                      <w:marRight w:val="0"/>
                      <w:marTop w:val="0"/>
                      <w:marBottom w:val="0"/>
                      <w:divBdr>
                        <w:top w:val="none" w:sz="0" w:space="0" w:color="auto"/>
                        <w:left w:val="none" w:sz="0" w:space="0" w:color="auto"/>
                        <w:bottom w:val="none" w:sz="0" w:space="0" w:color="auto"/>
                        <w:right w:val="none" w:sz="0" w:space="0" w:color="auto"/>
                      </w:divBdr>
                    </w:div>
                  </w:divsChild>
                </w:div>
                <w:div w:id="1820883328">
                  <w:marLeft w:val="0"/>
                  <w:marRight w:val="0"/>
                  <w:marTop w:val="0"/>
                  <w:marBottom w:val="0"/>
                  <w:divBdr>
                    <w:top w:val="none" w:sz="0" w:space="0" w:color="auto"/>
                    <w:left w:val="none" w:sz="0" w:space="0" w:color="auto"/>
                    <w:bottom w:val="none" w:sz="0" w:space="0" w:color="auto"/>
                    <w:right w:val="none" w:sz="0" w:space="0" w:color="auto"/>
                  </w:divBdr>
                  <w:divsChild>
                    <w:div w:id="723716256">
                      <w:marLeft w:val="0"/>
                      <w:marRight w:val="0"/>
                      <w:marTop w:val="0"/>
                      <w:marBottom w:val="0"/>
                      <w:divBdr>
                        <w:top w:val="none" w:sz="0" w:space="0" w:color="auto"/>
                        <w:left w:val="none" w:sz="0" w:space="0" w:color="auto"/>
                        <w:bottom w:val="none" w:sz="0" w:space="0" w:color="auto"/>
                        <w:right w:val="none" w:sz="0" w:space="0" w:color="auto"/>
                      </w:divBdr>
                    </w:div>
                  </w:divsChild>
                </w:div>
                <w:div w:id="1821118362">
                  <w:marLeft w:val="0"/>
                  <w:marRight w:val="0"/>
                  <w:marTop w:val="0"/>
                  <w:marBottom w:val="0"/>
                  <w:divBdr>
                    <w:top w:val="none" w:sz="0" w:space="0" w:color="auto"/>
                    <w:left w:val="none" w:sz="0" w:space="0" w:color="auto"/>
                    <w:bottom w:val="none" w:sz="0" w:space="0" w:color="auto"/>
                    <w:right w:val="none" w:sz="0" w:space="0" w:color="auto"/>
                  </w:divBdr>
                  <w:divsChild>
                    <w:div w:id="1737505305">
                      <w:marLeft w:val="0"/>
                      <w:marRight w:val="0"/>
                      <w:marTop w:val="0"/>
                      <w:marBottom w:val="0"/>
                      <w:divBdr>
                        <w:top w:val="none" w:sz="0" w:space="0" w:color="auto"/>
                        <w:left w:val="none" w:sz="0" w:space="0" w:color="auto"/>
                        <w:bottom w:val="none" w:sz="0" w:space="0" w:color="auto"/>
                        <w:right w:val="none" w:sz="0" w:space="0" w:color="auto"/>
                      </w:divBdr>
                    </w:div>
                  </w:divsChild>
                </w:div>
                <w:div w:id="1821533699">
                  <w:marLeft w:val="0"/>
                  <w:marRight w:val="0"/>
                  <w:marTop w:val="0"/>
                  <w:marBottom w:val="0"/>
                  <w:divBdr>
                    <w:top w:val="none" w:sz="0" w:space="0" w:color="auto"/>
                    <w:left w:val="none" w:sz="0" w:space="0" w:color="auto"/>
                    <w:bottom w:val="none" w:sz="0" w:space="0" w:color="auto"/>
                    <w:right w:val="none" w:sz="0" w:space="0" w:color="auto"/>
                  </w:divBdr>
                  <w:divsChild>
                    <w:div w:id="1791589481">
                      <w:marLeft w:val="0"/>
                      <w:marRight w:val="0"/>
                      <w:marTop w:val="0"/>
                      <w:marBottom w:val="0"/>
                      <w:divBdr>
                        <w:top w:val="none" w:sz="0" w:space="0" w:color="auto"/>
                        <w:left w:val="none" w:sz="0" w:space="0" w:color="auto"/>
                        <w:bottom w:val="none" w:sz="0" w:space="0" w:color="auto"/>
                        <w:right w:val="none" w:sz="0" w:space="0" w:color="auto"/>
                      </w:divBdr>
                    </w:div>
                  </w:divsChild>
                </w:div>
                <w:div w:id="1822699395">
                  <w:marLeft w:val="0"/>
                  <w:marRight w:val="0"/>
                  <w:marTop w:val="0"/>
                  <w:marBottom w:val="0"/>
                  <w:divBdr>
                    <w:top w:val="none" w:sz="0" w:space="0" w:color="auto"/>
                    <w:left w:val="none" w:sz="0" w:space="0" w:color="auto"/>
                    <w:bottom w:val="none" w:sz="0" w:space="0" w:color="auto"/>
                    <w:right w:val="none" w:sz="0" w:space="0" w:color="auto"/>
                  </w:divBdr>
                  <w:divsChild>
                    <w:div w:id="176164401">
                      <w:marLeft w:val="0"/>
                      <w:marRight w:val="0"/>
                      <w:marTop w:val="0"/>
                      <w:marBottom w:val="0"/>
                      <w:divBdr>
                        <w:top w:val="none" w:sz="0" w:space="0" w:color="auto"/>
                        <w:left w:val="none" w:sz="0" w:space="0" w:color="auto"/>
                        <w:bottom w:val="none" w:sz="0" w:space="0" w:color="auto"/>
                        <w:right w:val="none" w:sz="0" w:space="0" w:color="auto"/>
                      </w:divBdr>
                    </w:div>
                    <w:div w:id="1189489217">
                      <w:marLeft w:val="0"/>
                      <w:marRight w:val="0"/>
                      <w:marTop w:val="0"/>
                      <w:marBottom w:val="0"/>
                      <w:divBdr>
                        <w:top w:val="none" w:sz="0" w:space="0" w:color="auto"/>
                        <w:left w:val="none" w:sz="0" w:space="0" w:color="auto"/>
                        <w:bottom w:val="none" w:sz="0" w:space="0" w:color="auto"/>
                        <w:right w:val="none" w:sz="0" w:space="0" w:color="auto"/>
                      </w:divBdr>
                    </w:div>
                    <w:div w:id="1956787880">
                      <w:marLeft w:val="0"/>
                      <w:marRight w:val="0"/>
                      <w:marTop w:val="0"/>
                      <w:marBottom w:val="0"/>
                      <w:divBdr>
                        <w:top w:val="none" w:sz="0" w:space="0" w:color="auto"/>
                        <w:left w:val="none" w:sz="0" w:space="0" w:color="auto"/>
                        <w:bottom w:val="none" w:sz="0" w:space="0" w:color="auto"/>
                        <w:right w:val="none" w:sz="0" w:space="0" w:color="auto"/>
                      </w:divBdr>
                    </w:div>
                  </w:divsChild>
                </w:div>
                <w:div w:id="1835142006">
                  <w:marLeft w:val="0"/>
                  <w:marRight w:val="0"/>
                  <w:marTop w:val="0"/>
                  <w:marBottom w:val="0"/>
                  <w:divBdr>
                    <w:top w:val="none" w:sz="0" w:space="0" w:color="auto"/>
                    <w:left w:val="none" w:sz="0" w:space="0" w:color="auto"/>
                    <w:bottom w:val="none" w:sz="0" w:space="0" w:color="auto"/>
                    <w:right w:val="none" w:sz="0" w:space="0" w:color="auto"/>
                  </w:divBdr>
                  <w:divsChild>
                    <w:div w:id="631600306">
                      <w:marLeft w:val="0"/>
                      <w:marRight w:val="0"/>
                      <w:marTop w:val="0"/>
                      <w:marBottom w:val="0"/>
                      <w:divBdr>
                        <w:top w:val="none" w:sz="0" w:space="0" w:color="auto"/>
                        <w:left w:val="none" w:sz="0" w:space="0" w:color="auto"/>
                        <w:bottom w:val="none" w:sz="0" w:space="0" w:color="auto"/>
                        <w:right w:val="none" w:sz="0" w:space="0" w:color="auto"/>
                      </w:divBdr>
                    </w:div>
                  </w:divsChild>
                </w:div>
                <w:div w:id="1843009748">
                  <w:marLeft w:val="0"/>
                  <w:marRight w:val="0"/>
                  <w:marTop w:val="0"/>
                  <w:marBottom w:val="0"/>
                  <w:divBdr>
                    <w:top w:val="none" w:sz="0" w:space="0" w:color="auto"/>
                    <w:left w:val="none" w:sz="0" w:space="0" w:color="auto"/>
                    <w:bottom w:val="none" w:sz="0" w:space="0" w:color="auto"/>
                    <w:right w:val="none" w:sz="0" w:space="0" w:color="auto"/>
                  </w:divBdr>
                  <w:divsChild>
                    <w:div w:id="871573193">
                      <w:marLeft w:val="0"/>
                      <w:marRight w:val="0"/>
                      <w:marTop w:val="0"/>
                      <w:marBottom w:val="0"/>
                      <w:divBdr>
                        <w:top w:val="none" w:sz="0" w:space="0" w:color="auto"/>
                        <w:left w:val="none" w:sz="0" w:space="0" w:color="auto"/>
                        <w:bottom w:val="none" w:sz="0" w:space="0" w:color="auto"/>
                        <w:right w:val="none" w:sz="0" w:space="0" w:color="auto"/>
                      </w:divBdr>
                    </w:div>
                  </w:divsChild>
                </w:div>
                <w:div w:id="1865555259">
                  <w:marLeft w:val="0"/>
                  <w:marRight w:val="0"/>
                  <w:marTop w:val="0"/>
                  <w:marBottom w:val="0"/>
                  <w:divBdr>
                    <w:top w:val="none" w:sz="0" w:space="0" w:color="auto"/>
                    <w:left w:val="none" w:sz="0" w:space="0" w:color="auto"/>
                    <w:bottom w:val="none" w:sz="0" w:space="0" w:color="auto"/>
                    <w:right w:val="none" w:sz="0" w:space="0" w:color="auto"/>
                  </w:divBdr>
                  <w:divsChild>
                    <w:div w:id="1641956126">
                      <w:marLeft w:val="0"/>
                      <w:marRight w:val="0"/>
                      <w:marTop w:val="0"/>
                      <w:marBottom w:val="0"/>
                      <w:divBdr>
                        <w:top w:val="none" w:sz="0" w:space="0" w:color="auto"/>
                        <w:left w:val="none" w:sz="0" w:space="0" w:color="auto"/>
                        <w:bottom w:val="none" w:sz="0" w:space="0" w:color="auto"/>
                        <w:right w:val="none" w:sz="0" w:space="0" w:color="auto"/>
                      </w:divBdr>
                    </w:div>
                  </w:divsChild>
                </w:div>
                <w:div w:id="1868981375">
                  <w:marLeft w:val="0"/>
                  <w:marRight w:val="0"/>
                  <w:marTop w:val="0"/>
                  <w:marBottom w:val="0"/>
                  <w:divBdr>
                    <w:top w:val="none" w:sz="0" w:space="0" w:color="auto"/>
                    <w:left w:val="none" w:sz="0" w:space="0" w:color="auto"/>
                    <w:bottom w:val="none" w:sz="0" w:space="0" w:color="auto"/>
                    <w:right w:val="none" w:sz="0" w:space="0" w:color="auto"/>
                  </w:divBdr>
                  <w:divsChild>
                    <w:div w:id="341009678">
                      <w:marLeft w:val="0"/>
                      <w:marRight w:val="0"/>
                      <w:marTop w:val="0"/>
                      <w:marBottom w:val="0"/>
                      <w:divBdr>
                        <w:top w:val="none" w:sz="0" w:space="0" w:color="auto"/>
                        <w:left w:val="none" w:sz="0" w:space="0" w:color="auto"/>
                        <w:bottom w:val="none" w:sz="0" w:space="0" w:color="auto"/>
                        <w:right w:val="none" w:sz="0" w:space="0" w:color="auto"/>
                      </w:divBdr>
                    </w:div>
                  </w:divsChild>
                </w:div>
                <w:div w:id="1882133346">
                  <w:marLeft w:val="0"/>
                  <w:marRight w:val="0"/>
                  <w:marTop w:val="0"/>
                  <w:marBottom w:val="0"/>
                  <w:divBdr>
                    <w:top w:val="none" w:sz="0" w:space="0" w:color="auto"/>
                    <w:left w:val="none" w:sz="0" w:space="0" w:color="auto"/>
                    <w:bottom w:val="none" w:sz="0" w:space="0" w:color="auto"/>
                    <w:right w:val="none" w:sz="0" w:space="0" w:color="auto"/>
                  </w:divBdr>
                  <w:divsChild>
                    <w:div w:id="468594601">
                      <w:marLeft w:val="0"/>
                      <w:marRight w:val="0"/>
                      <w:marTop w:val="0"/>
                      <w:marBottom w:val="0"/>
                      <w:divBdr>
                        <w:top w:val="none" w:sz="0" w:space="0" w:color="auto"/>
                        <w:left w:val="none" w:sz="0" w:space="0" w:color="auto"/>
                        <w:bottom w:val="none" w:sz="0" w:space="0" w:color="auto"/>
                        <w:right w:val="none" w:sz="0" w:space="0" w:color="auto"/>
                      </w:divBdr>
                    </w:div>
                  </w:divsChild>
                </w:div>
                <w:div w:id="1884101387">
                  <w:marLeft w:val="0"/>
                  <w:marRight w:val="0"/>
                  <w:marTop w:val="0"/>
                  <w:marBottom w:val="0"/>
                  <w:divBdr>
                    <w:top w:val="none" w:sz="0" w:space="0" w:color="auto"/>
                    <w:left w:val="none" w:sz="0" w:space="0" w:color="auto"/>
                    <w:bottom w:val="none" w:sz="0" w:space="0" w:color="auto"/>
                    <w:right w:val="none" w:sz="0" w:space="0" w:color="auto"/>
                  </w:divBdr>
                  <w:divsChild>
                    <w:div w:id="1781024943">
                      <w:marLeft w:val="0"/>
                      <w:marRight w:val="0"/>
                      <w:marTop w:val="0"/>
                      <w:marBottom w:val="0"/>
                      <w:divBdr>
                        <w:top w:val="none" w:sz="0" w:space="0" w:color="auto"/>
                        <w:left w:val="none" w:sz="0" w:space="0" w:color="auto"/>
                        <w:bottom w:val="none" w:sz="0" w:space="0" w:color="auto"/>
                        <w:right w:val="none" w:sz="0" w:space="0" w:color="auto"/>
                      </w:divBdr>
                    </w:div>
                  </w:divsChild>
                </w:div>
                <w:div w:id="1897274809">
                  <w:marLeft w:val="0"/>
                  <w:marRight w:val="0"/>
                  <w:marTop w:val="0"/>
                  <w:marBottom w:val="0"/>
                  <w:divBdr>
                    <w:top w:val="none" w:sz="0" w:space="0" w:color="auto"/>
                    <w:left w:val="none" w:sz="0" w:space="0" w:color="auto"/>
                    <w:bottom w:val="none" w:sz="0" w:space="0" w:color="auto"/>
                    <w:right w:val="none" w:sz="0" w:space="0" w:color="auto"/>
                  </w:divBdr>
                  <w:divsChild>
                    <w:div w:id="44572937">
                      <w:marLeft w:val="0"/>
                      <w:marRight w:val="0"/>
                      <w:marTop w:val="0"/>
                      <w:marBottom w:val="0"/>
                      <w:divBdr>
                        <w:top w:val="none" w:sz="0" w:space="0" w:color="auto"/>
                        <w:left w:val="none" w:sz="0" w:space="0" w:color="auto"/>
                        <w:bottom w:val="none" w:sz="0" w:space="0" w:color="auto"/>
                        <w:right w:val="none" w:sz="0" w:space="0" w:color="auto"/>
                      </w:divBdr>
                    </w:div>
                  </w:divsChild>
                </w:div>
                <w:div w:id="1900091967">
                  <w:marLeft w:val="0"/>
                  <w:marRight w:val="0"/>
                  <w:marTop w:val="0"/>
                  <w:marBottom w:val="0"/>
                  <w:divBdr>
                    <w:top w:val="none" w:sz="0" w:space="0" w:color="auto"/>
                    <w:left w:val="none" w:sz="0" w:space="0" w:color="auto"/>
                    <w:bottom w:val="none" w:sz="0" w:space="0" w:color="auto"/>
                    <w:right w:val="none" w:sz="0" w:space="0" w:color="auto"/>
                  </w:divBdr>
                  <w:divsChild>
                    <w:div w:id="577521245">
                      <w:marLeft w:val="0"/>
                      <w:marRight w:val="0"/>
                      <w:marTop w:val="0"/>
                      <w:marBottom w:val="0"/>
                      <w:divBdr>
                        <w:top w:val="none" w:sz="0" w:space="0" w:color="auto"/>
                        <w:left w:val="none" w:sz="0" w:space="0" w:color="auto"/>
                        <w:bottom w:val="none" w:sz="0" w:space="0" w:color="auto"/>
                        <w:right w:val="none" w:sz="0" w:space="0" w:color="auto"/>
                      </w:divBdr>
                    </w:div>
                  </w:divsChild>
                </w:div>
                <w:div w:id="1901280360">
                  <w:marLeft w:val="0"/>
                  <w:marRight w:val="0"/>
                  <w:marTop w:val="0"/>
                  <w:marBottom w:val="0"/>
                  <w:divBdr>
                    <w:top w:val="none" w:sz="0" w:space="0" w:color="auto"/>
                    <w:left w:val="none" w:sz="0" w:space="0" w:color="auto"/>
                    <w:bottom w:val="none" w:sz="0" w:space="0" w:color="auto"/>
                    <w:right w:val="none" w:sz="0" w:space="0" w:color="auto"/>
                  </w:divBdr>
                  <w:divsChild>
                    <w:div w:id="164323331">
                      <w:marLeft w:val="0"/>
                      <w:marRight w:val="0"/>
                      <w:marTop w:val="0"/>
                      <w:marBottom w:val="0"/>
                      <w:divBdr>
                        <w:top w:val="none" w:sz="0" w:space="0" w:color="auto"/>
                        <w:left w:val="none" w:sz="0" w:space="0" w:color="auto"/>
                        <w:bottom w:val="none" w:sz="0" w:space="0" w:color="auto"/>
                        <w:right w:val="none" w:sz="0" w:space="0" w:color="auto"/>
                      </w:divBdr>
                    </w:div>
                  </w:divsChild>
                </w:div>
                <w:div w:id="1902515078">
                  <w:marLeft w:val="0"/>
                  <w:marRight w:val="0"/>
                  <w:marTop w:val="0"/>
                  <w:marBottom w:val="0"/>
                  <w:divBdr>
                    <w:top w:val="none" w:sz="0" w:space="0" w:color="auto"/>
                    <w:left w:val="none" w:sz="0" w:space="0" w:color="auto"/>
                    <w:bottom w:val="none" w:sz="0" w:space="0" w:color="auto"/>
                    <w:right w:val="none" w:sz="0" w:space="0" w:color="auto"/>
                  </w:divBdr>
                  <w:divsChild>
                    <w:div w:id="556628923">
                      <w:marLeft w:val="0"/>
                      <w:marRight w:val="0"/>
                      <w:marTop w:val="0"/>
                      <w:marBottom w:val="0"/>
                      <w:divBdr>
                        <w:top w:val="none" w:sz="0" w:space="0" w:color="auto"/>
                        <w:left w:val="none" w:sz="0" w:space="0" w:color="auto"/>
                        <w:bottom w:val="none" w:sz="0" w:space="0" w:color="auto"/>
                        <w:right w:val="none" w:sz="0" w:space="0" w:color="auto"/>
                      </w:divBdr>
                    </w:div>
                  </w:divsChild>
                </w:div>
                <w:div w:id="1905987977">
                  <w:marLeft w:val="0"/>
                  <w:marRight w:val="0"/>
                  <w:marTop w:val="0"/>
                  <w:marBottom w:val="0"/>
                  <w:divBdr>
                    <w:top w:val="none" w:sz="0" w:space="0" w:color="auto"/>
                    <w:left w:val="none" w:sz="0" w:space="0" w:color="auto"/>
                    <w:bottom w:val="none" w:sz="0" w:space="0" w:color="auto"/>
                    <w:right w:val="none" w:sz="0" w:space="0" w:color="auto"/>
                  </w:divBdr>
                  <w:divsChild>
                    <w:div w:id="1857842413">
                      <w:marLeft w:val="0"/>
                      <w:marRight w:val="0"/>
                      <w:marTop w:val="0"/>
                      <w:marBottom w:val="0"/>
                      <w:divBdr>
                        <w:top w:val="none" w:sz="0" w:space="0" w:color="auto"/>
                        <w:left w:val="none" w:sz="0" w:space="0" w:color="auto"/>
                        <w:bottom w:val="none" w:sz="0" w:space="0" w:color="auto"/>
                        <w:right w:val="none" w:sz="0" w:space="0" w:color="auto"/>
                      </w:divBdr>
                    </w:div>
                  </w:divsChild>
                </w:div>
                <w:div w:id="1906257727">
                  <w:marLeft w:val="0"/>
                  <w:marRight w:val="0"/>
                  <w:marTop w:val="0"/>
                  <w:marBottom w:val="0"/>
                  <w:divBdr>
                    <w:top w:val="none" w:sz="0" w:space="0" w:color="auto"/>
                    <w:left w:val="none" w:sz="0" w:space="0" w:color="auto"/>
                    <w:bottom w:val="none" w:sz="0" w:space="0" w:color="auto"/>
                    <w:right w:val="none" w:sz="0" w:space="0" w:color="auto"/>
                  </w:divBdr>
                  <w:divsChild>
                    <w:div w:id="119617486">
                      <w:marLeft w:val="0"/>
                      <w:marRight w:val="0"/>
                      <w:marTop w:val="0"/>
                      <w:marBottom w:val="0"/>
                      <w:divBdr>
                        <w:top w:val="none" w:sz="0" w:space="0" w:color="auto"/>
                        <w:left w:val="none" w:sz="0" w:space="0" w:color="auto"/>
                        <w:bottom w:val="none" w:sz="0" w:space="0" w:color="auto"/>
                        <w:right w:val="none" w:sz="0" w:space="0" w:color="auto"/>
                      </w:divBdr>
                    </w:div>
                  </w:divsChild>
                </w:div>
                <w:div w:id="1934432563">
                  <w:marLeft w:val="0"/>
                  <w:marRight w:val="0"/>
                  <w:marTop w:val="0"/>
                  <w:marBottom w:val="0"/>
                  <w:divBdr>
                    <w:top w:val="none" w:sz="0" w:space="0" w:color="auto"/>
                    <w:left w:val="none" w:sz="0" w:space="0" w:color="auto"/>
                    <w:bottom w:val="none" w:sz="0" w:space="0" w:color="auto"/>
                    <w:right w:val="none" w:sz="0" w:space="0" w:color="auto"/>
                  </w:divBdr>
                  <w:divsChild>
                    <w:div w:id="1596135422">
                      <w:marLeft w:val="0"/>
                      <w:marRight w:val="0"/>
                      <w:marTop w:val="0"/>
                      <w:marBottom w:val="0"/>
                      <w:divBdr>
                        <w:top w:val="none" w:sz="0" w:space="0" w:color="auto"/>
                        <w:left w:val="none" w:sz="0" w:space="0" w:color="auto"/>
                        <w:bottom w:val="none" w:sz="0" w:space="0" w:color="auto"/>
                        <w:right w:val="none" w:sz="0" w:space="0" w:color="auto"/>
                      </w:divBdr>
                    </w:div>
                  </w:divsChild>
                </w:div>
                <w:div w:id="1943757685">
                  <w:marLeft w:val="0"/>
                  <w:marRight w:val="0"/>
                  <w:marTop w:val="0"/>
                  <w:marBottom w:val="0"/>
                  <w:divBdr>
                    <w:top w:val="none" w:sz="0" w:space="0" w:color="auto"/>
                    <w:left w:val="none" w:sz="0" w:space="0" w:color="auto"/>
                    <w:bottom w:val="none" w:sz="0" w:space="0" w:color="auto"/>
                    <w:right w:val="none" w:sz="0" w:space="0" w:color="auto"/>
                  </w:divBdr>
                  <w:divsChild>
                    <w:div w:id="376122748">
                      <w:marLeft w:val="0"/>
                      <w:marRight w:val="0"/>
                      <w:marTop w:val="0"/>
                      <w:marBottom w:val="0"/>
                      <w:divBdr>
                        <w:top w:val="none" w:sz="0" w:space="0" w:color="auto"/>
                        <w:left w:val="none" w:sz="0" w:space="0" w:color="auto"/>
                        <w:bottom w:val="none" w:sz="0" w:space="0" w:color="auto"/>
                        <w:right w:val="none" w:sz="0" w:space="0" w:color="auto"/>
                      </w:divBdr>
                    </w:div>
                  </w:divsChild>
                </w:div>
                <w:div w:id="1954818889">
                  <w:marLeft w:val="0"/>
                  <w:marRight w:val="0"/>
                  <w:marTop w:val="0"/>
                  <w:marBottom w:val="0"/>
                  <w:divBdr>
                    <w:top w:val="none" w:sz="0" w:space="0" w:color="auto"/>
                    <w:left w:val="none" w:sz="0" w:space="0" w:color="auto"/>
                    <w:bottom w:val="none" w:sz="0" w:space="0" w:color="auto"/>
                    <w:right w:val="none" w:sz="0" w:space="0" w:color="auto"/>
                  </w:divBdr>
                  <w:divsChild>
                    <w:div w:id="1746220165">
                      <w:marLeft w:val="0"/>
                      <w:marRight w:val="0"/>
                      <w:marTop w:val="0"/>
                      <w:marBottom w:val="0"/>
                      <w:divBdr>
                        <w:top w:val="none" w:sz="0" w:space="0" w:color="auto"/>
                        <w:left w:val="none" w:sz="0" w:space="0" w:color="auto"/>
                        <w:bottom w:val="none" w:sz="0" w:space="0" w:color="auto"/>
                        <w:right w:val="none" w:sz="0" w:space="0" w:color="auto"/>
                      </w:divBdr>
                    </w:div>
                  </w:divsChild>
                </w:div>
                <w:div w:id="1957133342">
                  <w:marLeft w:val="0"/>
                  <w:marRight w:val="0"/>
                  <w:marTop w:val="0"/>
                  <w:marBottom w:val="0"/>
                  <w:divBdr>
                    <w:top w:val="none" w:sz="0" w:space="0" w:color="auto"/>
                    <w:left w:val="none" w:sz="0" w:space="0" w:color="auto"/>
                    <w:bottom w:val="none" w:sz="0" w:space="0" w:color="auto"/>
                    <w:right w:val="none" w:sz="0" w:space="0" w:color="auto"/>
                  </w:divBdr>
                  <w:divsChild>
                    <w:div w:id="1458912497">
                      <w:marLeft w:val="0"/>
                      <w:marRight w:val="0"/>
                      <w:marTop w:val="0"/>
                      <w:marBottom w:val="0"/>
                      <w:divBdr>
                        <w:top w:val="none" w:sz="0" w:space="0" w:color="auto"/>
                        <w:left w:val="none" w:sz="0" w:space="0" w:color="auto"/>
                        <w:bottom w:val="none" w:sz="0" w:space="0" w:color="auto"/>
                        <w:right w:val="none" w:sz="0" w:space="0" w:color="auto"/>
                      </w:divBdr>
                    </w:div>
                  </w:divsChild>
                </w:div>
                <w:div w:id="1958292142">
                  <w:marLeft w:val="0"/>
                  <w:marRight w:val="0"/>
                  <w:marTop w:val="0"/>
                  <w:marBottom w:val="0"/>
                  <w:divBdr>
                    <w:top w:val="none" w:sz="0" w:space="0" w:color="auto"/>
                    <w:left w:val="none" w:sz="0" w:space="0" w:color="auto"/>
                    <w:bottom w:val="none" w:sz="0" w:space="0" w:color="auto"/>
                    <w:right w:val="none" w:sz="0" w:space="0" w:color="auto"/>
                  </w:divBdr>
                  <w:divsChild>
                    <w:div w:id="149372158">
                      <w:marLeft w:val="0"/>
                      <w:marRight w:val="0"/>
                      <w:marTop w:val="0"/>
                      <w:marBottom w:val="0"/>
                      <w:divBdr>
                        <w:top w:val="none" w:sz="0" w:space="0" w:color="auto"/>
                        <w:left w:val="none" w:sz="0" w:space="0" w:color="auto"/>
                        <w:bottom w:val="none" w:sz="0" w:space="0" w:color="auto"/>
                        <w:right w:val="none" w:sz="0" w:space="0" w:color="auto"/>
                      </w:divBdr>
                    </w:div>
                  </w:divsChild>
                </w:div>
                <w:div w:id="1960647730">
                  <w:marLeft w:val="0"/>
                  <w:marRight w:val="0"/>
                  <w:marTop w:val="0"/>
                  <w:marBottom w:val="0"/>
                  <w:divBdr>
                    <w:top w:val="none" w:sz="0" w:space="0" w:color="auto"/>
                    <w:left w:val="none" w:sz="0" w:space="0" w:color="auto"/>
                    <w:bottom w:val="none" w:sz="0" w:space="0" w:color="auto"/>
                    <w:right w:val="none" w:sz="0" w:space="0" w:color="auto"/>
                  </w:divBdr>
                  <w:divsChild>
                    <w:div w:id="1059862902">
                      <w:marLeft w:val="0"/>
                      <w:marRight w:val="0"/>
                      <w:marTop w:val="0"/>
                      <w:marBottom w:val="0"/>
                      <w:divBdr>
                        <w:top w:val="none" w:sz="0" w:space="0" w:color="auto"/>
                        <w:left w:val="none" w:sz="0" w:space="0" w:color="auto"/>
                        <w:bottom w:val="none" w:sz="0" w:space="0" w:color="auto"/>
                        <w:right w:val="none" w:sz="0" w:space="0" w:color="auto"/>
                      </w:divBdr>
                    </w:div>
                  </w:divsChild>
                </w:div>
                <w:div w:id="1961066274">
                  <w:marLeft w:val="0"/>
                  <w:marRight w:val="0"/>
                  <w:marTop w:val="0"/>
                  <w:marBottom w:val="0"/>
                  <w:divBdr>
                    <w:top w:val="none" w:sz="0" w:space="0" w:color="auto"/>
                    <w:left w:val="none" w:sz="0" w:space="0" w:color="auto"/>
                    <w:bottom w:val="none" w:sz="0" w:space="0" w:color="auto"/>
                    <w:right w:val="none" w:sz="0" w:space="0" w:color="auto"/>
                  </w:divBdr>
                  <w:divsChild>
                    <w:div w:id="1599682370">
                      <w:marLeft w:val="0"/>
                      <w:marRight w:val="0"/>
                      <w:marTop w:val="0"/>
                      <w:marBottom w:val="0"/>
                      <w:divBdr>
                        <w:top w:val="none" w:sz="0" w:space="0" w:color="auto"/>
                        <w:left w:val="none" w:sz="0" w:space="0" w:color="auto"/>
                        <w:bottom w:val="none" w:sz="0" w:space="0" w:color="auto"/>
                        <w:right w:val="none" w:sz="0" w:space="0" w:color="auto"/>
                      </w:divBdr>
                    </w:div>
                  </w:divsChild>
                </w:div>
                <w:div w:id="1964459150">
                  <w:marLeft w:val="0"/>
                  <w:marRight w:val="0"/>
                  <w:marTop w:val="0"/>
                  <w:marBottom w:val="0"/>
                  <w:divBdr>
                    <w:top w:val="none" w:sz="0" w:space="0" w:color="auto"/>
                    <w:left w:val="none" w:sz="0" w:space="0" w:color="auto"/>
                    <w:bottom w:val="none" w:sz="0" w:space="0" w:color="auto"/>
                    <w:right w:val="none" w:sz="0" w:space="0" w:color="auto"/>
                  </w:divBdr>
                  <w:divsChild>
                    <w:div w:id="572354104">
                      <w:marLeft w:val="0"/>
                      <w:marRight w:val="0"/>
                      <w:marTop w:val="0"/>
                      <w:marBottom w:val="0"/>
                      <w:divBdr>
                        <w:top w:val="none" w:sz="0" w:space="0" w:color="auto"/>
                        <w:left w:val="none" w:sz="0" w:space="0" w:color="auto"/>
                        <w:bottom w:val="none" w:sz="0" w:space="0" w:color="auto"/>
                        <w:right w:val="none" w:sz="0" w:space="0" w:color="auto"/>
                      </w:divBdr>
                    </w:div>
                  </w:divsChild>
                </w:div>
                <w:div w:id="1967589622">
                  <w:marLeft w:val="0"/>
                  <w:marRight w:val="0"/>
                  <w:marTop w:val="0"/>
                  <w:marBottom w:val="0"/>
                  <w:divBdr>
                    <w:top w:val="none" w:sz="0" w:space="0" w:color="auto"/>
                    <w:left w:val="none" w:sz="0" w:space="0" w:color="auto"/>
                    <w:bottom w:val="none" w:sz="0" w:space="0" w:color="auto"/>
                    <w:right w:val="none" w:sz="0" w:space="0" w:color="auto"/>
                  </w:divBdr>
                  <w:divsChild>
                    <w:div w:id="1817650041">
                      <w:marLeft w:val="0"/>
                      <w:marRight w:val="0"/>
                      <w:marTop w:val="0"/>
                      <w:marBottom w:val="0"/>
                      <w:divBdr>
                        <w:top w:val="none" w:sz="0" w:space="0" w:color="auto"/>
                        <w:left w:val="none" w:sz="0" w:space="0" w:color="auto"/>
                        <w:bottom w:val="none" w:sz="0" w:space="0" w:color="auto"/>
                        <w:right w:val="none" w:sz="0" w:space="0" w:color="auto"/>
                      </w:divBdr>
                    </w:div>
                  </w:divsChild>
                </w:div>
                <w:div w:id="1969163622">
                  <w:marLeft w:val="0"/>
                  <w:marRight w:val="0"/>
                  <w:marTop w:val="0"/>
                  <w:marBottom w:val="0"/>
                  <w:divBdr>
                    <w:top w:val="none" w:sz="0" w:space="0" w:color="auto"/>
                    <w:left w:val="none" w:sz="0" w:space="0" w:color="auto"/>
                    <w:bottom w:val="none" w:sz="0" w:space="0" w:color="auto"/>
                    <w:right w:val="none" w:sz="0" w:space="0" w:color="auto"/>
                  </w:divBdr>
                  <w:divsChild>
                    <w:div w:id="721294914">
                      <w:marLeft w:val="0"/>
                      <w:marRight w:val="0"/>
                      <w:marTop w:val="0"/>
                      <w:marBottom w:val="0"/>
                      <w:divBdr>
                        <w:top w:val="none" w:sz="0" w:space="0" w:color="auto"/>
                        <w:left w:val="none" w:sz="0" w:space="0" w:color="auto"/>
                        <w:bottom w:val="none" w:sz="0" w:space="0" w:color="auto"/>
                        <w:right w:val="none" w:sz="0" w:space="0" w:color="auto"/>
                      </w:divBdr>
                    </w:div>
                  </w:divsChild>
                </w:div>
                <w:div w:id="1969237042">
                  <w:marLeft w:val="0"/>
                  <w:marRight w:val="0"/>
                  <w:marTop w:val="0"/>
                  <w:marBottom w:val="0"/>
                  <w:divBdr>
                    <w:top w:val="none" w:sz="0" w:space="0" w:color="auto"/>
                    <w:left w:val="none" w:sz="0" w:space="0" w:color="auto"/>
                    <w:bottom w:val="none" w:sz="0" w:space="0" w:color="auto"/>
                    <w:right w:val="none" w:sz="0" w:space="0" w:color="auto"/>
                  </w:divBdr>
                  <w:divsChild>
                    <w:div w:id="1076047651">
                      <w:marLeft w:val="0"/>
                      <w:marRight w:val="0"/>
                      <w:marTop w:val="0"/>
                      <w:marBottom w:val="0"/>
                      <w:divBdr>
                        <w:top w:val="none" w:sz="0" w:space="0" w:color="auto"/>
                        <w:left w:val="none" w:sz="0" w:space="0" w:color="auto"/>
                        <w:bottom w:val="none" w:sz="0" w:space="0" w:color="auto"/>
                        <w:right w:val="none" w:sz="0" w:space="0" w:color="auto"/>
                      </w:divBdr>
                    </w:div>
                  </w:divsChild>
                </w:div>
                <w:div w:id="1993555165">
                  <w:marLeft w:val="0"/>
                  <w:marRight w:val="0"/>
                  <w:marTop w:val="0"/>
                  <w:marBottom w:val="0"/>
                  <w:divBdr>
                    <w:top w:val="none" w:sz="0" w:space="0" w:color="auto"/>
                    <w:left w:val="none" w:sz="0" w:space="0" w:color="auto"/>
                    <w:bottom w:val="none" w:sz="0" w:space="0" w:color="auto"/>
                    <w:right w:val="none" w:sz="0" w:space="0" w:color="auto"/>
                  </w:divBdr>
                  <w:divsChild>
                    <w:div w:id="690496271">
                      <w:marLeft w:val="0"/>
                      <w:marRight w:val="0"/>
                      <w:marTop w:val="0"/>
                      <w:marBottom w:val="0"/>
                      <w:divBdr>
                        <w:top w:val="none" w:sz="0" w:space="0" w:color="auto"/>
                        <w:left w:val="none" w:sz="0" w:space="0" w:color="auto"/>
                        <w:bottom w:val="none" w:sz="0" w:space="0" w:color="auto"/>
                        <w:right w:val="none" w:sz="0" w:space="0" w:color="auto"/>
                      </w:divBdr>
                    </w:div>
                  </w:divsChild>
                </w:div>
                <w:div w:id="2016229475">
                  <w:marLeft w:val="0"/>
                  <w:marRight w:val="0"/>
                  <w:marTop w:val="0"/>
                  <w:marBottom w:val="0"/>
                  <w:divBdr>
                    <w:top w:val="none" w:sz="0" w:space="0" w:color="auto"/>
                    <w:left w:val="none" w:sz="0" w:space="0" w:color="auto"/>
                    <w:bottom w:val="none" w:sz="0" w:space="0" w:color="auto"/>
                    <w:right w:val="none" w:sz="0" w:space="0" w:color="auto"/>
                  </w:divBdr>
                  <w:divsChild>
                    <w:div w:id="1547595807">
                      <w:marLeft w:val="0"/>
                      <w:marRight w:val="0"/>
                      <w:marTop w:val="0"/>
                      <w:marBottom w:val="0"/>
                      <w:divBdr>
                        <w:top w:val="none" w:sz="0" w:space="0" w:color="auto"/>
                        <w:left w:val="none" w:sz="0" w:space="0" w:color="auto"/>
                        <w:bottom w:val="none" w:sz="0" w:space="0" w:color="auto"/>
                        <w:right w:val="none" w:sz="0" w:space="0" w:color="auto"/>
                      </w:divBdr>
                    </w:div>
                  </w:divsChild>
                </w:div>
                <w:div w:id="2033526457">
                  <w:marLeft w:val="0"/>
                  <w:marRight w:val="0"/>
                  <w:marTop w:val="0"/>
                  <w:marBottom w:val="0"/>
                  <w:divBdr>
                    <w:top w:val="none" w:sz="0" w:space="0" w:color="auto"/>
                    <w:left w:val="none" w:sz="0" w:space="0" w:color="auto"/>
                    <w:bottom w:val="none" w:sz="0" w:space="0" w:color="auto"/>
                    <w:right w:val="none" w:sz="0" w:space="0" w:color="auto"/>
                  </w:divBdr>
                  <w:divsChild>
                    <w:div w:id="1250580462">
                      <w:marLeft w:val="0"/>
                      <w:marRight w:val="0"/>
                      <w:marTop w:val="0"/>
                      <w:marBottom w:val="0"/>
                      <w:divBdr>
                        <w:top w:val="none" w:sz="0" w:space="0" w:color="auto"/>
                        <w:left w:val="none" w:sz="0" w:space="0" w:color="auto"/>
                        <w:bottom w:val="none" w:sz="0" w:space="0" w:color="auto"/>
                        <w:right w:val="none" w:sz="0" w:space="0" w:color="auto"/>
                      </w:divBdr>
                    </w:div>
                  </w:divsChild>
                </w:div>
                <w:div w:id="2042896186">
                  <w:marLeft w:val="0"/>
                  <w:marRight w:val="0"/>
                  <w:marTop w:val="0"/>
                  <w:marBottom w:val="0"/>
                  <w:divBdr>
                    <w:top w:val="none" w:sz="0" w:space="0" w:color="auto"/>
                    <w:left w:val="none" w:sz="0" w:space="0" w:color="auto"/>
                    <w:bottom w:val="none" w:sz="0" w:space="0" w:color="auto"/>
                    <w:right w:val="none" w:sz="0" w:space="0" w:color="auto"/>
                  </w:divBdr>
                  <w:divsChild>
                    <w:div w:id="795485223">
                      <w:marLeft w:val="0"/>
                      <w:marRight w:val="0"/>
                      <w:marTop w:val="0"/>
                      <w:marBottom w:val="0"/>
                      <w:divBdr>
                        <w:top w:val="none" w:sz="0" w:space="0" w:color="auto"/>
                        <w:left w:val="none" w:sz="0" w:space="0" w:color="auto"/>
                        <w:bottom w:val="none" w:sz="0" w:space="0" w:color="auto"/>
                        <w:right w:val="none" w:sz="0" w:space="0" w:color="auto"/>
                      </w:divBdr>
                    </w:div>
                  </w:divsChild>
                </w:div>
                <w:div w:id="2056850514">
                  <w:marLeft w:val="0"/>
                  <w:marRight w:val="0"/>
                  <w:marTop w:val="0"/>
                  <w:marBottom w:val="0"/>
                  <w:divBdr>
                    <w:top w:val="none" w:sz="0" w:space="0" w:color="auto"/>
                    <w:left w:val="none" w:sz="0" w:space="0" w:color="auto"/>
                    <w:bottom w:val="none" w:sz="0" w:space="0" w:color="auto"/>
                    <w:right w:val="none" w:sz="0" w:space="0" w:color="auto"/>
                  </w:divBdr>
                  <w:divsChild>
                    <w:div w:id="454911830">
                      <w:marLeft w:val="0"/>
                      <w:marRight w:val="0"/>
                      <w:marTop w:val="0"/>
                      <w:marBottom w:val="0"/>
                      <w:divBdr>
                        <w:top w:val="none" w:sz="0" w:space="0" w:color="auto"/>
                        <w:left w:val="none" w:sz="0" w:space="0" w:color="auto"/>
                        <w:bottom w:val="none" w:sz="0" w:space="0" w:color="auto"/>
                        <w:right w:val="none" w:sz="0" w:space="0" w:color="auto"/>
                      </w:divBdr>
                    </w:div>
                  </w:divsChild>
                </w:div>
                <w:div w:id="2062825406">
                  <w:marLeft w:val="0"/>
                  <w:marRight w:val="0"/>
                  <w:marTop w:val="0"/>
                  <w:marBottom w:val="0"/>
                  <w:divBdr>
                    <w:top w:val="none" w:sz="0" w:space="0" w:color="auto"/>
                    <w:left w:val="none" w:sz="0" w:space="0" w:color="auto"/>
                    <w:bottom w:val="none" w:sz="0" w:space="0" w:color="auto"/>
                    <w:right w:val="none" w:sz="0" w:space="0" w:color="auto"/>
                  </w:divBdr>
                  <w:divsChild>
                    <w:div w:id="1482237884">
                      <w:marLeft w:val="0"/>
                      <w:marRight w:val="0"/>
                      <w:marTop w:val="0"/>
                      <w:marBottom w:val="0"/>
                      <w:divBdr>
                        <w:top w:val="none" w:sz="0" w:space="0" w:color="auto"/>
                        <w:left w:val="none" w:sz="0" w:space="0" w:color="auto"/>
                        <w:bottom w:val="none" w:sz="0" w:space="0" w:color="auto"/>
                        <w:right w:val="none" w:sz="0" w:space="0" w:color="auto"/>
                      </w:divBdr>
                    </w:div>
                  </w:divsChild>
                </w:div>
                <w:div w:id="2067026443">
                  <w:marLeft w:val="0"/>
                  <w:marRight w:val="0"/>
                  <w:marTop w:val="0"/>
                  <w:marBottom w:val="0"/>
                  <w:divBdr>
                    <w:top w:val="none" w:sz="0" w:space="0" w:color="auto"/>
                    <w:left w:val="none" w:sz="0" w:space="0" w:color="auto"/>
                    <w:bottom w:val="none" w:sz="0" w:space="0" w:color="auto"/>
                    <w:right w:val="none" w:sz="0" w:space="0" w:color="auto"/>
                  </w:divBdr>
                  <w:divsChild>
                    <w:div w:id="1791510786">
                      <w:marLeft w:val="0"/>
                      <w:marRight w:val="0"/>
                      <w:marTop w:val="0"/>
                      <w:marBottom w:val="0"/>
                      <w:divBdr>
                        <w:top w:val="none" w:sz="0" w:space="0" w:color="auto"/>
                        <w:left w:val="none" w:sz="0" w:space="0" w:color="auto"/>
                        <w:bottom w:val="none" w:sz="0" w:space="0" w:color="auto"/>
                        <w:right w:val="none" w:sz="0" w:space="0" w:color="auto"/>
                      </w:divBdr>
                    </w:div>
                  </w:divsChild>
                </w:div>
                <w:div w:id="2073310977">
                  <w:marLeft w:val="0"/>
                  <w:marRight w:val="0"/>
                  <w:marTop w:val="0"/>
                  <w:marBottom w:val="0"/>
                  <w:divBdr>
                    <w:top w:val="none" w:sz="0" w:space="0" w:color="auto"/>
                    <w:left w:val="none" w:sz="0" w:space="0" w:color="auto"/>
                    <w:bottom w:val="none" w:sz="0" w:space="0" w:color="auto"/>
                    <w:right w:val="none" w:sz="0" w:space="0" w:color="auto"/>
                  </w:divBdr>
                  <w:divsChild>
                    <w:div w:id="1054087073">
                      <w:marLeft w:val="0"/>
                      <w:marRight w:val="0"/>
                      <w:marTop w:val="0"/>
                      <w:marBottom w:val="0"/>
                      <w:divBdr>
                        <w:top w:val="none" w:sz="0" w:space="0" w:color="auto"/>
                        <w:left w:val="none" w:sz="0" w:space="0" w:color="auto"/>
                        <w:bottom w:val="none" w:sz="0" w:space="0" w:color="auto"/>
                        <w:right w:val="none" w:sz="0" w:space="0" w:color="auto"/>
                      </w:divBdr>
                    </w:div>
                  </w:divsChild>
                </w:div>
                <w:div w:id="2074504176">
                  <w:marLeft w:val="0"/>
                  <w:marRight w:val="0"/>
                  <w:marTop w:val="0"/>
                  <w:marBottom w:val="0"/>
                  <w:divBdr>
                    <w:top w:val="none" w:sz="0" w:space="0" w:color="auto"/>
                    <w:left w:val="none" w:sz="0" w:space="0" w:color="auto"/>
                    <w:bottom w:val="none" w:sz="0" w:space="0" w:color="auto"/>
                    <w:right w:val="none" w:sz="0" w:space="0" w:color="auto"/>
                  </w:divBdr>
                  <w:divsChild>
                    <w:div w:id="388111115">
                      <w:marLeft w:val="0"/>
                      <w:marRight w:val="0"/>
                      <w:marTop w:val="0"/>
                      <w:marBottom w:val="0"/>
                      <w:divBdr>
                        <w:top w:val="none" w:sz="0" w:space="0" w:color="auto"/>
                        <w:left w:val="none" w:sz="0" w:space="0" w:color="auto"/>
                        <w:bottom w:val="none" w:sz="0" w:space="0" w:color="auto"/>
                        <w:right w:val="none" w:sz="0" w:space="0" w:color="auto"/>
                      </w:divBdr>
                    </w:div>
                  </w:divsChild>
                </w:div>
                <w:div w:id="2084333211">
                  <w:marLeft w:val="0"/>
                  <w:marRight w:val="0"/>
                  <w:marTop w:val="0"/>
                  <w:marBottom w:val="0"/>
                  <w:divBdr>
                    <w:top w:val="none" w:sz="0" w:space="0" w:color="auto"/>
                    <w:left w:val="none" w:sz="0" w:space="0" w:color="auto"/>
                    <w:bottom w:val="none" w:sz="0" w:space="0" w:color="auto"/>
                    <w:right w:val="none" w:sz="0" w:space="0" w:color="auto"/>
                  </w:divBdr>
                  <w:divsChild>
                    <w:div w:id="593559648">
                      <w:marLeft w:val="0"/>
                      <w:marRight w:val="0"/>
                      <w:marTop w:val="0"/>
                      <w:marBottom w:val="0"/>
                      <w:divBdr>
                        <w:top w:val="none" w:sz="0" w:space="0" w:color="auto"/>
                        <w:left w:val="none" w:sz="0" w:space="0" w:color="auto"/>
                        <w:bottom w:val="none" w:sz="0" w:space="0" w:color="auto"/>
                        <w:right w:val="none" w:sz="0" w:space="0" w:color="auto"/>
                      </w:divBdr>
                    </w:div>
                  </w:divsChild>
                </w:div>
                <w:div w:id="2085561166">
                  <w:marLeft w:val="0"/>
                  <w:marRight w:val="0"/>
                  <w:marTop w:val="0"/>
                  <w:marBottom w:val="0"/>
                  <w:divBdr>
                    <w:top w:val="none" w:sz="0" w:space="0" w:color="auto"/>
                    <w:left w:val="none" w:sz="0" w:space="0" w:color="auto"/>
                    <w:bottom w:val="none" w:sz="0" w:space="0" w:color="auto"/>
                    <w:right w:val="none" w:sz="0" w:space="0" w:color="auto"/>
                  </w:divBdr>
                  <w:divsChild>
                    <w:div w:id="2143307364">
                      <w:marLeft w:val="0"/>
                      <w:marRight w:val="0"/>
                      <w:marTop w:val="0"/>
                      <w:marBottom w:val="0"/>
                      <w:divBdr>
                        <w:top w:val="none" w:sz="0" w:space="0" w:color="auto"/>
                        <w:left w:val="none" w:sz="0" w:space="0" w:color="auto"/>
                        <w:bottom w:val="none" w:sz="0" w:space="0" w:color="auto"/>
                        <w:right w:val="none" w:sz="0" w:space="0" w:color="auto"/>
                      </w:divBdr>
                    </w:div>
                  </w:divsChild>
                </w:div>
                <w:div w:id="2102097909">
                  <w:marLeft w:val="0"/>
                  <w:marRight w:val="0"/>
                  <w:marTop w:val="0"/>
                  <w:marBottom w:val="0"/>
                  <w:divBdr>
                    <w:top w:val="none" w:sz="0" w:space="0" w:color="auto"/>
                    <w:left w:val="none" w:sz="0" w:space="0" w:color="auto"/>
                    <w:bottom w:val="none" w:sz="0" w:space="0" w:color="auto"/>
                    <w:right w:val="none" w:sz="0" w:space="0" w:color="auto"/>
                  </w:divBdr>
                  <w:divsChild>
                    <w:div w:id="1499536689">
                      <w:marLeft w:val="0"/>
                      <w:marRight w:val="0"/>
                      <w:marTop w:val="0"/>
                      <w:marBottom w:val="0"/>
                      <w:divBdr>
                        <w:top w:val="none" w:sz="0" w:space="0" w:color="auto"/>
                        <w:left w:val="none" w:sz="0" w:space="0" w:color="auto"/>
                        <w:bottom w:val="none" w:sz="0" w:space="0" w:color="auto"/>
                        <w:right w:val="none" w:sz="0" w:space="0" w:color="auto"/>
                      </w:divBdr>
                    </w:div>
                  </w:divsChild>
                </w:div>
                <w:div w:id="2102944752">
                  <w:marLeft w:val="0"/>
                  <w:marRight w:val="0"/>
                  <w:marTop w:val="0"/>
                  <w:marBottom w:val="0"/>
                  <w:divBdr>
                    <w:top w:val="none" w:sz="0" w:space="0" w:color="auto"/>
                    <w:left w:val="none" w:sz="0" w:space="0" w:color="auto"/>
                    <w:bottom w:val="none" w:sz="0" w:space="0" w:color="auto"/>
                    <w:right w:val="none" w:sz="0" w:space="0" w:color="auto"/>
                  </w:divBdr>
                  <w:divsChild>
                    <w:div w:id="1456682731">
                      <w:marLeft w:val="0"/>
                      <w:marRight w:val="0"/>
                      <w:marTop w:val="0"/>
                      <w:marBottom w:val="0"/>
                      <w:divBdr>
                        <w:top w:val="none" w:sz="0" w:space="0" w:color="auto"/>
                        <w:left w:val="none" w:sz="0" w:space="0" w:color="auto"/>
                        <w:bottom w:val="none" w:sz="0" w:space="0" w:color="auto"/>
                        <w:right w:val="none" w:sz="0" w:space="0" w:color="auto"/>
                      </w:divBdr>
                    </w:div>
                  </w:divsChild>
                </w:div>
                <w:div w:id="2108191709">
                  <w:marLeft w:val="0"/>
                  <w:marRight w:val="0"/>
                  <w:marTop w:val="0"/>
                  <w:marBottom w:val="0"/>
                  <w:divBdr>
                    <w:top w:val="none" w:sz="0" w:space="0" w:color="auto"/>
                    <w:left w:val="none" w:sz="0" w:space="0" w:color="auto"/>
                    <w:bottom w:val="none" w:sz="0" w:space="0" w:color="auto"/>
                    <w:right w:val="none" w:sz="0" w:space="0" w:color="auto"/>
                  </w:divBdr>
                  <w:divsChild>
                    <w:div w:id="1563757262">
                      <w:marLeft w:val="0"/>
                      <w:marRight w:val="0"/>
                      <w:marTop w:val="0"/>
                      <w:marBottom w:val="0"/>
                      <w:divBdr>
                        <w:top w:val="none" w:sz="0" w:space="0" w:color="auto"/>
                        <w:left w:val="none" w:sz="0" w:space="0" w:color="auto"/>
                        <w:bottom w:val="none" w:sz="0" w:space="0" w:color="auto"/>
                        <w:right w:val="none" w:sz="0" w:space="0" w:color="auto"/>
                      </w:divBdr>
                    </w:div>
                  </w:divsChild>
                </w:div>
                <w:div w:id="2111318312">
                  <w:marLeft w:val="0"/>
                  <w:marRight w:val="0"/>
                  <w:marTop w:val="0"/>
                  <w:marBottom w:val="0"/>
                  <w:divBdr>
                    <w:top w:val="none" w:sz="0" w:space="0" w:color="auto"/>
                    <w:left w:val="none" w:sz="0" w:space="0" w:color="auto"/>
                    <w:bottom w:val="none" w:sz="0" w:space="0" w:color="auto"/>
                    <w:right w:val="none" w:sz="0" w:space="0" w:color="auto"/>
                  </w:divBdr>
                  <w:divsChild>
                    <w:div w:id="1728872350">
                      <w:marLeft w:val="0"/>
                      <w:marRight w:val="0"/>
                      <w:marTop w:val="0"/>
                      <w:marBottom w:val="0"/>
                      <w:divBdr>
                        <w:top w:val="none" w:sz="0" w:space="0" w:color="auto"/>
                        <w:left w:val="none" w:sz="0" w:space="0" w:color="auto"/>
                        <w:bottom w:val="none" w:sz="0" w:space="0" w:color="auto"/>
                        <w:right w:val="none" w:sz="0" w:space="0" w:color="auto"/>
                      </w:divBdr>
                    </w:div>
                  </w:divsChild>
                </w:div>
                <w:div w:id="2119715013">
                  <w:marLeft w:val="0"/>
                  <w:marRight w:val="0"/>
                  <w:marTop w:val="0"/>
                  <w:marBottom w:val="0"/>
                  <w:divBdr>
                    <w:top w:val="none" w:sz="0" w:space="0" w:color="auto"/>
                    <w:left w:val="none" w:sz="0" w:space="0" w:color="auto"/>
                    <w:bottom w:val="none" w:sz="0" w:space="0" w:color="auto"/>
                    <w:right w:val="none" w:sz="0" w:space="0" w:color="auto"/>
                  </w:divBdr>
                  <w:divsChild>
                    <w:div w:id="785855074">
                      <w:marLeft w:val="0"/>
                      <w:marRight w:val="0"/>
                      <w:marTop w:val="0"/>
                      <w:marBottom w:val="0"/>
                      <w:divBdr>
                        <w:top w:val="none" w:sz="0" w:space="0" w:color="auto"/>
                        <w:left w:val="none" w:sz="0" w:space="0" w:color="auto"/>
                        <w:bottom w:val="none" w:sz="0" w:space="0" w:color="auto"/>
                        <w:right w:val="none" w:sz="0" w:space="0" w:color="auto"/>
                      </w:divBdr>
                    </w:div>
                  </w:divsChild>
                </w:div>
                <w:div w:id="2121027458">
                  <w:marLeft w:val="0"/>
                  <w:marRight w:val="0"/>
                  <w:marTop w:val="0"/>
                  <w:marBottom w:val="0"/>
                  <w:divBdr>
                    <w:top w:val="none" w:sz="0" w:space="0" w:color="auto"/>
                    <w:left w:val="none" w:sz="0" w:space="0" w:color="auto"/>
                    <w:bottom w:val="none" w:sz="0" w:space="0" w:color="auto"/>
                    <w:right w:val="none" w:sz="0" w:space="0" w:color="auto"/>
                  </w:divBdr>
                  <w:divsChild>
                    <w:div w:id="677394165">
                      <w:marLeft w:val="0"/>
                      <w:marRight w:val="0"/>
                      <w:marTop w:val="0"/>
                      <w:marBottom w:val="0"/>
                      <w:divBdr>
                        <w:top w:val="none" w:sz="0" w:space="0" w:color="auto"/>
                        <w:left w:val="none" w:sz="0" w:space="0" w:color="auto"/>
                        <w:bottom w:val="none" w:sz="0" w:space="0" w:color="auto"/>
                        <w:right w:val="none" w:sz="0" w:space="0" w:color="auto"/>
                      </w:divBdr>
                    </w:div>
                  </w:divsChild>
                </w:div>
                <w:div w:id="2123575946">
                  <w:marLeft w:val="0"/>
                  <w:marRight w:val="0"/>
                  <w:marTop w:val="0"/>
                  <w:marBottom w:val="0"/>
                  <w:divBdr>
                    <w:top w:val="none" w:sz="0" w:space="0" w:color="auto"/>
                    <w:left w:val="none" w:sz="0" w:space="0" w:color="auto"/>
                    <w:bottom w:val="none" w:sz="0" w:space="0" w:color="auto"/>
                    <w:right w:val="none" w:sz="0" w:space="0" w:color="auto"/>
                  </w:divBdr>
                  <w:divsChild>
                    <w:div w:id="670259443">
                      <w:marLeft w:val="0"/>
                      <w:marRight w:val="0"/>
                      <w:marTop w:val="0"/>
                      <w:marBottom w:val="0"/>
                      <w:divBdr>
                        <w:top w:val="none" w:sz="0" w:space="0" w:color="auto"/>
                        <w:left w:val="none" w:sz="0" w:space="0" w:color="auto"/>
                        <w:bottom w:val="none" w:sz="0" w:space="0" w:color="auto"/>
                        <w:right w:val="none" w:sz="0" w:space="0" w:color="auto"/>
                      </w:divBdr>
                    </w:div>
                  </w:divsChild>
                </w:div>
                <w:div w:id="2125151987">
                  <w:marLeft w:val="0"/>
                  <w:marRight w:val="0"/>
                  <w:marTop w:val="0"/>
                  <w:marBottom w:val="0"/>
                  <w:divBdr>
                    <w:top w:val="none" w:sz="0" w:space="0" w:color="auto"/>
                    <w:left w:val="none" w:sz="0" w:space="0" w:color="auto"/>
                    <w:bottom w:val="none" w:sz="0" w:space="0" w:color="auto"/>
                    <w:right w:val="none" w:sz="0" w:space="0" w:color="auto"/>
                  </w:divBdr>
                  <w:divsChild>
                    <w:div w:id="194660824">
                      <w:marLeft w:val="0"/>
                      <w:marRight w:val="0"/>
                      <w:marTop w:val="0"/>
                      <w:marBottom w:val="0"/>
                      <w:divBdr>
                        <w:top w:val="none" w:sz="0" w:space="0" w:color="auto"/>
                        <w:left w:val="none" w:sz="0" w:space="0" w:color="auto"/>
                        <w:bottom w:val="none" w:sz="0" w:space="0" w:color="auto"/>
                        <w:right w:val="none" w:sz="0" w:space="0" w:color="auto"/>
                      </w:divBdr>
                    </w:div>
                  </w:divsChild>
                </w:div>
                <w:div w:id="2145347389">
                  <w:marLeft w:val="0"/>
                  <w:marRight w:val="0"/>
                  <w:marTop w:val="0"/>
                  <w:marBottom w:val="0"/>
                  <w:divBdr>
                    <w:top w:val="none" w:sz="0" w:space="0" w:color="auto"/>
                    <w:left w:val="none" w:sz="0" w:space="0" w:color="auto"/>
                    <w:bottom w:val="none" w:sz="0" w:space="0" w:color="auto"/>
                    <w:right w:val="none" w:sz="0" w:space="0" w:color="auto"/>
                  </w:divBdr>
                  <w:divsChild>
                    <w:div w:id="212012513">
                      <w:marLeft w:val="0"/>
                      <w:marRight w:val="0"/>
                      <w:marTop w:val="0"/>
                      <w:marBottom w:val="0"/>
                      <w:divBdr>
                        <w:top w:val="none" w:sz="0" w:space="0" w:color="auto"/>
                        <w:left w:val="none" w:sz="0" w:space="0" w:color="auto"/>
                        <w:bottom w:val="none" w:sz="0" w:space="0" w:color="auto"/>
                        <w:right w:val="none" w:sz="0" w:space="0" w:color="auto"/>
                      </w:divBdr>
                    </w:div>
                  </w:divsChild>
                </w:div>
                <w:div w:id="2145416756">
                  <w:marLeft w:val="0"/>
                  <w:marRight w:val="0"/>
                  <w:marTop w:val="0"/>
                  <w:marBottom w:val="0"/>
                  <w:divBdr>
                    <w:top w:val="none" w:sz="0" w:space="0" w:color="auto"/>
                    <w:left w:val="none" w:sz="0" w:space="0" w:color="auto"/>
                    <w:bottom w:val="none" w:sz="0" w:space="0" w:color="auto"/>
                    <w:right w:val="none" w:sz="0" w:space="0" w:color="auto"/>
                  </w:divBdr>
                  <w:divsChild>
                    <w:div w:id="16320471">
                      <w:marLeft w:val="0"/>
                      <w:marRight w:val="0"/>
                      <w:marTop w:val="0"/>
                      <w:marBottom w:val="0"/>
                      <w:divBdr>
                        <w:top w:val="none" w:sz="0" w:space="0" w:color="auto"/>
                        <w:left w:val="none" w:sz="0" w:space="0" w:color="auto"/>
                        <w:bottom w:val="none" w:sz="0" w:space="0" w:color="auto"/>
                        <w:right w:val="none" w:sz="0" w:space="0" w:color="auto"/>
                      </w:divBdr>
                    </w:div>
                    <w:div w:id="22292922">
                      <w:marLeft w:val="0"/>
                      <w:marRight w:val="0"/>
                      <w:marTop w:val="0"/>
                      <w:marBottom w:val="0"/>
                      <w:divBdr>
                        <w:top w:val="none" w:sz="0" w:space="0" w:color="auto"/>
                        <w:left w:val="none" w:sz="0" w:space="0" w:color="auto"/>
                        <w:bottom w:val="none" w:sz="0" w:space="0" w:color="auto"/>
                        <w:right w:val="none" w:sz="0" w:space="0" w:color="auto"/>
                      </w:divBdr>
                    </w:div>
                    <w:div w:id="171529564">
                      <w:marLeft w:val="0"/>
                      <w:marRight w:val="0"/>
                      <w:marTop w:val="0"/>
                      <w:marBottom w:val="0"/>
                      <w:divBdr>
                        <w:top w:val="none" w:sz="0" w:space="0" w:color="auto"/>
                        <w:left w:val="none" w:sz="0" w:space="0" w:color="auto"/>
                        <w:bottom w:val="none" w:sz="0" w:space="0" w:color="auto"/>
                        <w:right w:val="none" w:sz="0" w:space="0" w:color="auto"/>
                      </w:divBdr>
                    </w:div>
                    <w:div w:id="187571786">
                      <w:marLeft w:val="0"/>
                      <w:marRight w:val="0"/>
                      <w:marTop w:val="0"/>
                      <w:marBottom w:val="0"/>
                      <w:divBdr>
                        <w:top w:val="none" w:sz="0" w:space="0" w:color="auto"/>
                        <w:left w:val="none" w:sz="0" w:space="0" w:color="auto"/>
                        <w:bottom w:val="none" w:sz="0" w:space="0" w:color="auto"/>
                        <w:right w:val="none" w:sz="0" w:space="0" w:color="auto"/>
                      </w:divBdr>
                    </w:div>
                    <w:div w:id="315497856">
                      <w:marLeft w:val="0"/>
                      <w:marRight w:val="0"/>
                      <w:marTop w:val="0"/>
                      <w:marBottom w:val="0"/>
                      <w:divBdr>
                        <w:top w:val="none" w:sz="0" w:space="0" w:color="auto"/>
                        <w:left w:val="none" w:sz="0" w:space="0" w:color="auto"/>
                        <w:bottom w:val="none" w:sz="0" w:space="0" w:color="auto"/>
                        <w:right w:val="none" w:sz="0" w:space="0" w:color="auto"/>
                      </w:divBdr>
                    </w:div>
                    <w:div w:id="562183754">
                      <w:marLeft w:val="0"/>
                      <w:marRight w:val="0"/>
                      <w:marTop w:val="0"/>
                      <w:marBottom w:val="0"/>
                      <w:divBdr>
                        <w:top w:val="none" w:sz="0" w:space="0" w:color="auto"/>
                        <w:left w:val="none" w:sz="0" w:space="0" w:color="auto"/>
                        <w:bottom w:val="none" w:sz="0" w:space="0" w:color="auto"/>
                        <w:right w:val="none" w:sz="0" w:space="0" w:color="auto"/>
                      </w:divBdr>
                    </w:div>
                    <w:div w:id="573781439">
                      <w:marLeft w:val="0"/>
                      <w:marRight w:val="0"/>
                      <w:marTop w:val="0"/>
                      <w:marBottom w:val="0"/>
                      <w:divBdr>
                        <w:top w:val="none" w:sz="0" w:space="0" w:color="auto"/>
                        <w:left w:val="none" w:sz="0" w:space="0" w:color="auto"/>
                        <w:bottom w:val="none" w:sz="0" w:space="0" w:color="auto"/>
                        <w:right w:val="none" w:sz="0" w:space="0" w:color="auto"/>
                      </w:divBdr>
                    </w:div>
                    <w:div w:id="933710280">
                      <w:marLeft w:val="0"/>
                      <w:marRight w:val="0"/>
                      <w:marTop w:val="0"/>
                      <w:marBottom w:val="0"/>
                      <w:divBdr>
                        <w:top w:val="none" w:sz="0" w:space="0" w:color="auto"/>
                        <w:left w:val="none" w:sz="0" w:space="0" w:color="auto"/>
                        <w:bottom w:val="none" w:sz="0" w:space="0" w:color="auto"/>
                        <w:right w:val="none" w:sz="0" w:space="0" w:color="auto"/>
                      </w:divBdr>
                    </w:div>
                    <w:div w:id="1022584869">
                      <w:marLeft w:val="0"/>
                      <w:marRight w:val="0"/>
                      <w:marTop w:val="0"/>
                      <w:marBottom w:val="0"/>
                      <w:divBdr>
                        <w:top w:val="none" w:sz="0" w:space="0" w:color="auto"/>
                        <w:left w:val="none" w:sz="0" w:space="0" w:color="auto"/>
                        <w:bottom w:val="none" w:sz="0" w:space="0" w:color="auto"/>
                        <w:right w:val="none" w:sz="0" w:space="0" w:color="auto"/>
                      </w:divBdr>
                    </w:div>
                    <w:div w:id="1105464335">
                      <w:marLeft w:val="0"/>
                      <w:marRight w:val="0"/>
                      <w:marTop w:val="0"/>
                      <w:marBottom w:val="0"/>
                      <w:divBdr>
                        <w:top w:val="none" w:sz="0" w:space="0" w:color="auto"/>
                        <w:left w:val="none" w:sz="0" w:space="0" w:color="auto"/>
                        <w:bottom w:val="none" w:sz="0" w:space="0" w:color="auto"/>
                        <w:right w:val="none" w:sz="0" w:space="0" w:color="auto"/>
                      </w:divBdr>
                    </w:div>
                    <w:div w:id="1155143191">
                      <w:marLeft w:val="0"/>
                      <w:marRight w:val="0"/>
                      <w:marTop w:val="0"/>
                      <w:marBottom w:val="0"/>
                      <w:divBdr>
                        <w:top w:val="none" w:sz="0" w:space="0" w:color="auto"/>
                        <w:left w:val="none" w:sz="0" w:space="0" w:color="auto"/>
                        <w:bottom w:val="none" w:sz="0" w:space="0" w:color="auto"/>
                        <w:right w:val="none" w:sz="0" w:space="0" w:color="auto"/>
                      </w:divBdr>
                    </w:div>
                    <w:div w:id="1213810439">
                      <w:marLeft w:val="0"/>
                      <w:marRight w:val="0"/>
                      <w:marTop w:val="0"/>
                      <w:marBottom w:val="0"/>
                      <w:divBdr>
                        <w:top w:val="none" w:sz="0" w:space="0" w:color="auto"/>
                        <w:left w:val="none" w:sz="0" w:space="0" w:color="auto"/>
                        <w:bottom w:val="none" w:sz="0" w:space="0" w:color="auto"/>
                        <w:right w:val="none" w:sz="0" w:space="0" w:color="auto"/>
                      </w:divBdr>
                    </w:div>
                    <w:div w:id="1344437442">
                      <w:marLeft w:val="0"/>
                      <w:marRight w:val="0"/>
                      <w:marTop w:val="0"/>
                      <w:marBottom w:val="0"/>
                      <w:divBdr>
                        <w:top w:val="none" w:sz="0" w:space="0" w:color="auto"/>
                        <w:left w:val="none" w:sz="0" w:space="0" w:color="auto"/>
                        <w:bottom w:val="none" w:sz="0" w:space="0" w:color="auto"/>
                        <w:right w:val="none" w:sz="0" w:space="0" w:color="auto"/>
                      </w:divBdr>
                    </w:div>
                    <w:div w:id="1398480909">
                      <w:marLeft w:val="0"/>
                      <w:marRight w:val="0"/>
                      <w:marTop w:val="0"/>
                      <w:marBottom w:val="0"/>
                      <w:divBdr>
                        <w:top w:val="none" w:sz="0" w:space="0" w:color="auto"/>
                        <w:left w:val="none" w:sz="0" w:space="0" w:color="auto"/>
                        <w:bottom w:val="none" w:sz="0" w:space="0" w:color="auto"/>
                        <w:right w:val="none" w:sz="0" w:space="0" w:color="auto"/>
                      </w:divBdr>
                    </w:div>
                    <w:div w:id="1522933676">
                      <w:marLeft w:val="0"/>
                      <w:marRight w:val="0"/>
                      <w:marTop w:val="0"/>
                      <w:marBottom w:val="0"/>
                      <w:divBdr>
                        <w:top w:val="none" w:sz="0" w:space="0" w:color="auto"/>
                        <w:left w:val="none" w:sz="0" w:space="0" w:color="auto"/>
                        <w:bottom w:val="none" w:sz="0" w:space="0" w:color="auto"/>
                        <w:right w:val="none" w:sz="0" w:space="0" w:color="auto"/>
                      </w:divBdr>
                    </w:div>
                  </w:divsChild>
                </w:div>
                <w:div w:id="2146582987">
                  <w:marLeft w:val="0"/>
                  <w:marRight w:val="0"/>
                  <w:marTop w:val="0"/>
                  <w:marBottom w:val="0"/>
                  <w:divBdr>
                    <w:top w:val="none" w:sz="0" w:space="0" w:color="auto"/>
                    <w:left w:val="none" w:sz="0" w:space="0" w:color="auto"/>
                    <w:bottom w:val="none" w:sz="0" w:space="0" w:color="auto"/>
                    <w:right w:val="none" w:sz="0" w:space="0" w:color="auto"/>
                  </w:divBdr>
                  <w:divsChild>
                    <w:div w:id="63768426">
                      <w:marLeft w:val="0"/>
                      <w:marRight w:val="0"/>
                      <w:marTop w:val="0"/>
                      <w:marBottom w:val="0"/>
                      <w:divBdr>
                        <w:top w:val="none" w:sz="0" w:space="0" w:color="auto"/>
                        <w:left w:val="none" w:sz="0" w:space="0" w:color="auto"/>
                        <w:bottom w:val="none" w:sz="0" w:space="0" w:color="auto"/>
                        <w:right w:val="none" w:sz="0" w:space="0" w:color="auto"/>
                      </w:divBdr>
                    </w:div>
                  </w:divsChild>
                </w:div>
                <w:div w:id="2146845265">
                  <w:marLeft w:val="0"/>
                  <w:marRight w:val="0"/>
                  <w:marTop w:val="0"/>
                  <w:marBottom w:val="0"/>
                  <w:divBdr>
                    <w:top w:val="none" w:sz="0" w:space="0" w:color="auto"/>
                    <w:left w:val="none" w:sz="0" w:space="0" w:color="auto"/>
                    <w:bottom w:val="none" w:sz="0" w:space="0" w:color="auto"/>
                    <w:right w:val="none" w:sz="0" w:space="0" w:color="auto"/>
                  </w:divBdr>
                  <w:divsChild>
                    <w:div w:id="14813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74936">
          <w:marLeft w:val="0"/>
          <w:marRight w:val="0"/>
          <w:marTop w:val="0"/>
          <w:marBottom w:val="0"/>
          <w:divBdr>
            <w:top w:val="none" w:sz="0" w:space="0" w:color="auto"/>
            <w:left w:val="none" w:sz="0" w:space="0" w:color="auto"/>
            <w:bottom w:val="none" w:sz="0" w:space="0" w:color="auto"/>
            <w:right w:val="none" w:sz="0" w:space="0" w:color="auto"/>
          </w:divBdr>
        </w:div>
      </w:divsChild>
    </w:div>
    <w:div w:id="1385065350">
      <w:bodyDiv w:val="1"/>
      <w:marLeft w:val="0"/>
      <w:marRight w:val="0"/>
      <w:marTop w:val="0"/>
      <w:marBottom w:val="0"/>
      <w:divBdr>
        <w:top w:val="none" w:sz="0" w:space="0" w:color="auto"/>
        <w:left w:val="none" w:sz="0" w:space="0" w:color="auto"/>
        <w:bottom w:val="none" w:sz="0" w:space="0" w:color="auto"/>
        <w:right w:val="none" w:sz="0" w:space="0" w:color="auto"/>
      </w:divBdr>
      <w:divsChild>
        <w:div w:id="553124236">
          <w:marLeft w:val="0"/>
          <w:marRight w:val="0"/>
          <w:marTop w:val="0"/>
          <w:marBottom w:val="0"/>
          <w:divBdr>
            <w:top w:val="none" w:sz="0" w:space="0" w:color="auto"/>
            <w:left w:val="none" w:sz="0" w:space="0" w:color="auto"/>
            <w:bottom w:val="none" w:sz="0" w:space="0" w:color="auto"/>
            <w:right w:val="none" w:sz="0" w:space="0" w:color="auto"/>
          </w:divBdr>
        </w:div>
        <w:div w:id="721371009">
          <w:marLeft w:val="0"/>
          <w:marRight w:val="0"/>
          <w:marTop w:val="0"/>
          <w:marBottom w:val="0"/>
          <w:divBdr>
            <w:top w:val="none" w:sz="0" w:space="0" w:color="auto"/>
            <w:left w:val="none" w:sz="0" w:space="0" w:color="auto"/>
            <w:bottom w:val="none" w:sz="0" w:space="0" w:color="auto"/>
            <w:right w:val="none" w:sz="0" w:space="0" w:color="auto"/>
          </w:divBdr>
        </w:div>
        <w:div w:id="1229615423">
          <w:marLeft w:val="0"/>
          <w:marRight w:val="0"/>
          <w:marTop w:val="0"/>
          <w:marBottom w:val="0"/>
          <w:divBdr>
            <w:top w:val="none" w:sz="0" w:space="0" w:color="auto"/>
            <w:left w:val="none" w:sz="0" w:space="0" w:color="auto"/>
            <w:bottom w:val="none" w:sz="0" w:space="0" w:color="auto"/>
            <w:right w:val="none" w:sz="0" w:space="0" w:color="auto"/>
          </w:divBdr>
          <w:divsChild>
            <w:div w:id="1576238918">
              <w:marLeft w:val="-75"/>
              <w:marRight w:val="0"/>
              <w:marTop w:val="30"/>
              <w:marBottom w:val="30"/>
              <w:divBdr>
                <w:top w:val="none" w:sz="0" w:space="0" w:color="auto"/>
                <w:left w:val="none" w:sz="0" w:space="0" w:color="auto"/>
                <w:bottom w:val="none" w:sz="0" w:space="0" w:color="auto"/>
                <w:right w:val="none" w:sz="0" w:space="0" w:color="auto"/>
              </w:divBdr>
              <w:divsChild>
                <w:div w:id="6567536">
                  <w:marLeft w:val="0"/>
                  <w:marRight w:val="0"/>
                  <w:marTop w:val="0"/>
                  <w:marBottom w:val="0"/>
                  <w:divBdr>
                    <w:top w:val="none" w:sz="0" w:space="0" w:color="auto"/>
                    <w:left w:val="none" w:sz="0" w:space="0" w:color="auto"/>
                    <w:bottom w:val="none" w:sz="0" w:space="0" w:color="auto"/>
                    <w:right w:val="none" w:sz="0" w:space="0" w:color="auto"/>
                  </w:divBdr>
                  <w:divsChild>
                    <w:div w:id="324482252">
                      <w:marLeft w:val="0"/>
                      <w:marRight w:val="0"/>
                      <w:marTop w:val="0"/>
                      <w:marBottom w:val="0"/>
                      <w:divBdr>
                        <w:top w:val="none" w:sz="0" w:space="0" w:color="auto"/>
                        <w:left w:val="none" w:sz="0" w:space="0" w:color="auto"/>
                        <w:bottom w:val="none" w:sz="0" w:space="0" w:color="auto"/>
                        <w:right w:val="none" w:sz="0" w:space="0" w:color="auto"/>
                      </w:divBdr>
                    </w:div>
                  </w:divsChild>
                </w:div>
                <w:div w:id="13966657">
                  <w:marLeft w:val="0"/>
                  <w:marRight w:val="0"/>
                  <w:marTop w:val="0"/>
                  <w:marBottom w:val="0"/>
                  <w:divBdr>
                    <w:top w:val="none" w:sz="0" w:space="0" w:color="auto"/>
                    <w:left w:val="none" w:sz="0" w:space="0" w:color="auto"/>
                    <w:bottom w:val="none" w:sz="0" w:space="0" w:color="auto"/>
                    <w:right w:val="none" w:sz="0" w:space="0" w:color="auto"/>
                  </w:divBdr>
                  <w:divsChild>
                    <w:div w:id="1521430144">
                      <w:marLeft w:val="0"/>
                      <w:marRight w:val="0"/>
                      <w:marTop w:val="0"/>
                      <w:marBottom w:val="0"/>
                      <w:divBdr>
                        <w:top w:val="none" w:sz="0" w:space="0" w:color="auto"/>
                        <w:left w:val="none" w:sz="0" w:space="0" w:color="auto"/>
                        <w:bottom w:val="none" w:sz="0" w:space="0" w:color="auto"/>
                        <w:right w:val="none" w:sz="0" w:space="0" w:color="auto"/>
                      </w:divBdr>
                    </w:div>
                  </w:divsChild>
                </w:div>
                <w:div w:id="14892947">
                  <w:marLeft w:val="0"/>
                  <w:marRight w:val="0"/>
                  <w:marTop w:val="0"/>
                  <w:marBottom w:val="0"/>
                  <w:divBdr>
                    <w:top w:val="none" w:sz="0" w:space="0" w:color="auto"/>
                    <w:left w:val="none" w:sz="0" w:space="0" w:color="auto"/>
                    <w:bottom w:val="none" w:sz="0" w:space="0" w:color="auto"/>
                    <w:right w:val="none" w:sz="0" w:space="0" w:color="auto"/>
                  </w:divBdr>
                  <w:divsChild>
                    <w:div w:id="698942244">
                      <w:marLeft w:val="0"/>
                      <w:marRight w:val="0"/>
                      <w:marTop w:val="0"/>
                      <w:marBottom w:val="0"/>
                      <w:divBdr>
                        <w:top w:val="none" w:sz="0" w:space="0" w:color="auto"/>
                        <w:left w:val="none" w:sz="0" w:space="0" w:color="auto"/>
                        <w:bottom w:val="none" w:sz="0" w:space="0" w:color="auto"/>
                        <w:right w:val="none" w:sz="0" w:space="0" w:color="auto"/>
                      </w:divBdr>
                    </w:div>
                  </w:divsChild>
                </w:div>
                <w:div w:id="37779278">
                  <w:marLeft w:val="0"/>
                  <w:marRight w:val="0"/>
                  <w:marTop w:val="0"/>
                  <w:marBottom w:val="0"/>
                  <w:divBdr>
                    <w:top w:val="none" w:sz="0" w:space="0" w:color="auto"/>
                    <w:left w:val="none" w:sz="0" w:space="0" w:color="auto"/>
                    <w:bottom w:val="none" w:sz="0" w:space="0" w:color="auto"/>
                    <w:right w:val="none" w:sz="0" w:space="0" w:color="auto"/>
                  </w:divBdr>
                  <w:divsChild>
                    <w:div w:id="912157033">
                      <w:marLeft w:val="0"/>
                      <w:marRight w:val="0"/>
                      <w:marTop w:val="0"/>
                      <w:marBottom w:val="0"/>
                      <w:divBdr>
                        <w:top w:val="none" w:sz="0" w:space="0" w:color="auto"/>
                        <w:left w:val="none" w:sz="0" w:space="0" w:color="auto"/>
                        <w:bottom w:val="none" w:sz="0" w:space="0" w:color="auto"/>
                        <w:right w:val="none" w:sz="0" w:space="0" w:color="auto"/>
                      </w:divBdr>
                    </w:div>
                  </w:divsChild>
                </w:div>
                <w:div w:id="43604162">
                  <w:marLeft w:val="0"/>
                  <w:marRight w:val="0"/>
                  <w:marTop w:val="0"/>
                  <w:marBottom w:val="0"/>
                  <w:divBdr>
                    <w:top w:val="none" w:sz="0" w:space="0" w:color="auto"/>
                    <w:left w:val="none" w:sz="0" w:space="0" w:color="auto"/>
                    <w:bottom w:val="none" w:sz="0" w:space="0" w:color="auto"/>
                    <w:right w:val="none" w:sz="0" w:space="0" w:color="auto"/>
                  </w:divBdr>
                  <w:divsChild>
                    <w:div w:id="128666436">
                      <w:marLeft w:val="0"/>
                      <w:marRight w:val="0"/>
                      <w:marTop w:val="0"/>
                      <w:marBottom w:val="0"/>
                      <w:divBdr>
                        <w:top w:val="none" w:sz="0" w:space="0" w:color="auto"/>
                        <w:left w:val="none" w:sz="0" w:space="0" w:color="auto"/>
                        <w:bottom w:val="none" w:sz="0" w:space="0" w:color="auto"/>
                        <w:right w:val="none" w:sz="0" w:space="0" w:color="auto"/>
                      </w:divBdr>
                    </w:div>
                  </w:divsChild>
                </w:div>
                <w:div w:id="50928534">
                  <w:marLeft w:val="0"/>
                  <w:marRight w:val="0"/>
                  <w:marTop w:val="0"/>
                  <w:marBottom w:val="0"/>
                  <w:divBdr>
                    <w:top w:val="none" w:sz="0" w:space="0" w:color="auto"/>
                    <w:left w:val="none" w:sz="0" w:space="0" w:color="auto"/>
                    <w:bottom w:val="none" w:sz="0" w:space="0" w:color="auto"/>
                    <w:right w:val="none" w:sz="0" w:space="0" w:color="auto"/>
                  </w:divBdr>
                  <w:divsChild>
                    <w:div w:id="1692875780">
                      <w:marLeft w:val="0"/>
                      <w:marRight w:val="0"/>
                      <w:marTop w:val="0"/>
                      <w:marBottom w:val="0"/>
                      <w:divBdr>
                        <w:top w:val="none" w:sz="0" w:space="0" w:color="auto"/>
                        <w:left w:val="none" w:sz="0" w:space="0" w:color="auto"/>
                        <w:bottom w:val="none" w:sz="0" w:space="0" w:color="auto"/>
                        <w:right w:val="none" w:sz="0" w:space="0" w:color="auto"/>
                      </w:divBdr>
                    </w:div>
                  </w:divsChild>
                </w:div>
                <w:div w:id="77799078">
                  <w:marLeft w:val="0"/>
                  <w:marRight w:val="0"/>
                  <w:marTop w:val="0"/>
                  <w:marBottom w:val="0"/>
                  <w:divBdr>
                    <w:top w:val="none" w:sz="0" w:space="0" w:color="auto"/>
                    <w:left w:val="none" w:sz="0" w:space="0" w:color="auto"/>
                    <w:bottom w:val="none" w:sz="0" w:space="0" w:color="auto"/>
                    <w:right w:val="none" w:sz="0" w:space="0" w:color="auto"/>
                  </w:divBdr>
                  <w:divsChild>
                    <w:div w:id="1562326787">
                      <w:marLeft w:val="0"/>
                      <w:marRight w:val="0"/>
                      <w:marTop w:val="0"/>
                      <w:marBottom w:val="0"/>
                      <w:divBdr>
                        <w:top w:val="none" w:sz="0" w:space="0" w:color="auto"/>
                        <w:left w:val="none" w:sz="0" w:space="0" w:color="auto"/>
                        <w:bottom w:val="none" w:sz="0" w:space="0" w:color="auto"/>
                        <w:right w:val="none" w:sz="0" w:space="0" w:color="auto"/>
                      </w:divBdr>
                    </w:div>
                  </w:divsChild>
                </w:div>
                <w:div w:id="78841258">
                  <w:marLeft w:val="0"/>
                  <w:marRight w:val="0"/>
                  <w:marTop w:val="0"/>
                  <w:marBottom w:val="0"/>
                  <w:divBdr>
                    <w:top w:val="none" w:sz="0" w:space="0" w:color="auto"/>
                    <w:left w:val="none" w:sz="0" w:space="0" w:color="auto"/>
                    <w:bottom w:val="none" w:sz="0" w:space="0" w:color="auto"/>
                    <w:right w:val="none" w:sz="0" w:space="0" w:color="auto"/>
                  </w:divBdr>
                  <w:divsChild>
                    <w:div w:id="1839228792">
                      <w:marLeft w:val="0"/>
                      <w:marRight w:val="0"/>
                      <w:marTop w:val="0"/>
                      <w:marBottom w:val="0"/>
                      <w:divBdr>
                        <w:top w:val="none" w:sz="0" w:space="0" w:color="auto"/>
                        <w:left w:val="none" w:sz="0" w:space="0" w:color="auto"/>
                        <w:bottom w:val="none" w:sz="0" w:space="0" w:color="auto"/>
                        <w:right w:val="none" w:sz="0" w:space="0" w:color="auto"/>
                      </w:divBdr>
                    </w:div>
                  </w:divsChild>
                </w:div>
                <w:div w:id="129396883">
                  <w:marLeft w:val="0"/>
                  <w:marRight w:val="0"/>
                  <w:marTop w:val="0"/>
                  <w:marBottom w:val="0"/>
                  <w:divBdr>
                    <w:top w:val="none" w:sz="0" w:space="0" w:color="auto"/>
                    <w:left w:val="none" w:sz="0" w:space="0" w:color="auto"/>
                    <w:bottom w:val="none" w:sz="0" w:space="0" w:color="auto"/>
                    <w:right w:val="none" w:sz="0" w:space="0" w:color="auto"/>
                  </w:divBdr>
                  <w:divsChild>
                    <w:div w:id="545876706">
                      <w:marLeft w:val="0"/>
                      <w:marRight w:val="0"/>
                      <w:marTop w:val="0"/>
                      <w:marBottom w:val="0"/>
                      <w:divBdr>
                        <w:top w:val="none" w:sz="0" w:space="0" w:color="auto"/>
                        <w:left w:val="none" w:sz="0" w:space="0" w:color="auto"/>
                        <w:bottom w:val="none" w:sz="0" w:space="0" w:color="auto"/>
                        <w:right w:val="none" w:sz="0" w:space="0" w:color="auto"/>
                      </w:divBdr>
                    </w:div>
                  </w:divsChild>
                </w:div>
                <w:div w:id="159583652">
                  <w:marLeft w:val="0"/>
                  <w:marRight w:val="0"/>
                  <w:marTop w:val="0"/>
                  <w:marBottom w:val="0"/>
                  <w:divBdr>
                    <w:top w:val="none" w:sz="0" w:space="0" w:color="auto"/>
                    <w:left w:val="none" w:sz="0" w:space="0" w:color="auto"/>
                    <w:bottom w:val="none" w:sz="0" w:space="0" w:color="auto"/>
                    <w:right w:val="none" w:sz="0" w:space="0" w:color="auto"/>
                  </w:divBdr>
                  <w:divsChild>
                    <w:div w:id="954557447">
                      <w:marLeft w:val="0"/>
                      <w:marRight w:val="0"/>
                      <w:marTop w:val="0"/>
                      <w:marBottom w:val="0"/>
                      <w:divBdr>
                        <w:top w:val="none" w:sz="0" w:space="0" w:color="auto"/>
                        <w:left w:val="none" w:sz="0" w:space="0" w:color="auto"/>
                        <w:bottom w:val="none" w:sz="0" w:space="0" w:color="auto"/>
                        <w:right w:val="none" w:sz="0" w:space="0" w:color="auto"/>
                      </w:divBdr>
                    </w:div>
                  </w:divsChild>
                </w:div>
                <w:div w:id="161897148">
                  <w:marLeft w:val="0"/>
                  <w:marRight w:val="0"/>
                  <w:marTop w:val="0"/>
                  <w:marBottom w:val="0"/>
                  <w:divBdr>
                    <w:top w:val="none" w:sz="0" w:space="0" w:color="auto"/>
                    <w:left w:val="none" w:sz="0" w:space="0" w:color="auto"/>
                    <w:bottom w:val="none" w:sz="0" w:space="0" w:color="auto"/>
                    <w:right w:val="none" w:sz="0" w:space="0" w:color="auto"/>
                  </w:divBdr>
                  <w:divsChild>
                    <w:div w:id="270285778">
                      <w:marLeft w:val="0"/>
                      <w:marRight w:val="0"/>
                      <w:marTop w:val="0"/>
                      <w:marBottom w:val="0"/>
                      <w:divBdr>
                        <w:top w:val="none" w:sz="0" w:space="0" w:color="auto"/>
                        <w:left w:val="none" w:sz="0" w:space="0" w:color="auto"/>
                        <w:bottom w:val="none" w:sz="0" w:space="0" w:color="auto"/>
                        <w:right w:val="none" w:sz="0" w:space="0" w:color="auto"/>
                      </w:divBdr>
                    </w:div>
                  </w:divsChild>
                </w:div>
                <w:div w:id="177740364">
                  <w:marLeft w:val="0"/>
                  <w:marRight w:val="0"/>
                  <w:marTop w:val="0"/>
                  <w:marBottom w:val="0"/>
                  <w:divBdr>
                    <w:top w:val="none" w:sz="0" w:space="0" w:color="auto"/>
                    <w:left w:val="none" w:sz="0" w:space="0" w:color="auto"/>
                    <w:bottom w:val="none" w:sz="0" w:space="0" w:color="auto"/>
                    <w:right w:val="none" w:sz="0" w:space="0" w:color="auto"/>
                  </w:divBdr>
                  <w:divsChild>
                    <w:div w:id="1400787687">
                      <w:marLeft w:val="0"/>
                      <w:marRight w:val="0"/>
                      <w:marTop w:val="0"/>
                      <w:marBottom w:val="0"/>
                      <w:divBdr>
                        <w:top w:val="none" w:sz="0" w:space="0" w:color="auto"/>
                        <w:left w:val="none" w:sz="0" w:space="0" w:color="auto"/>
                        <w:bottom w:val="none" w:sz="0" w:space="0" w:color="auto"/>
                        <w:right w:val="none" w:sz="0" w:space="0" w:color="auto"/>
                      </w:divBdr>
                    </w:div>
                  </w:divsChild>
                </w:div>
                <w:div w:id="185339759">
                  <w:marLeft w:val="0"/>
                  <w:marRight w:val="0"/>
                  <w:marTop w:val="0"/>
                  <w:marBottom w:val="0"/>
                  <w:divBdr>
                    <w:top w:val="none" w:sz="0" w:space="0" w:color="auto"/>
                    <w:left w:val="none" w:sz="0" w:space="0" w:color="auto"/>
                    <w:bottom w:val="none" w:sz="0" w:space="0" w:color="auto"/>
                    <w:right w:val="none" w:sz="0" w:space="0" w:color="auto"/>
                  </w:divBdr>
                  <w:divsChild>
                    <w:div w:id="223874119">
                      <w:marLeft w:val="0"/>
                      <w:marRight w:val="0"/>
                      <w:marTop w:val="0"/>
                      <w:marBottom w:val="0"/>
                      <w:divBdr>
                        <w:top w:val="none" w:sz="0" w:space="0" w:color="auto"/>
                        <w:left w:val="none" w:sz="0" w:space="0" w:color="auto"/>
                        <w:bottom w:val="none" w:sz="0" w:space="0" w:color="auto"/>
                        <w:right w:val="none" w:sz="0" w:space="0" w:color="auto"/>
                      </w:divBdr>
                    </w:div>
                  </w:divsChild>
                </w:div>
                <w:div w:id="188643854">
                  <w:marLeft w:val="0"/>
                  <w:marRight w:val="0"/>
                  <w:marTop w:val="0"/>
                  <w:marBottom w:val="0"/>
                  <w:divBdr>
                    <w:top w:val="none" w:sz="0" w:space="0" w:color="auto"/>
                    <w:left w:val="none" w:sz="0" w:space="0" w:color="auto"/>
                    <w:bottom w:val="none" w:sz="0" w:space="0" w:color="auto"/>
                    <w:right w:val="none" w:sz="0" w:space="0" w:color="auto"/>
                  </w:divBdr>
                  <w:divsChild>
                    <w:div w:id="611327604">
                      <w:marLeft w:val="0"/>
                      <w:marRight w:val="0"/>
                      <w:marTop w:val="0"/>
                      <w:marBottom w:val="0"/>
                      <w:divBdr>
                        <w:top w:val="none" w:sz="0" w:space="0" w:color="auto"/>
                        <w:left w:val="none" w:sz="0" w:space="0" w:color="auto"/>
                        <w:bottom w:val="none" w:sz="0" w:space="0" w:color="auto"/>
                        <w:right w:val="none" w:sz="0" w:space="0" w:color="auto"/>
                      </w:divBdr>
                    </w:div>
                    <w:div w:id="913667519">
                      <w:marLeft w:val="0"/>
                      <w:marRight w:val="0"/>
                      <w:marTop w:val="0"/>
                      <w:marBottom w:val="0"/>
                      <w:divBdr>
                        <w:top w:val="none" w:sz="0" w:space="0" w:color="auto"/>
                        <w:left w:val="none" w:sz="0" w:space="0" w:color="auto"/>
                        <w:bottom w:val="none" w:sz="0" w:space="0" w:color="auto"/>
                        <w:right w:val="none" w:sz="0" w:space="0" w:color="auto"/>
                      </w:divBdr>
                    </w:div>
                    <w:div w:id="1227566156">
                      <w:marLeft w:val="0"/>
                      <w:marRight w:val="0"/>
                      <w:marTop w:val="0"/>
                      <w:marBottom w:val="0"/>
                      <w:divBdr>
                        <w:top w:val="none" w:sz="0" w:space="0" w:color="auto"/>
                        <w:left w:val="none" w:sz="0" w:space="0" w:color="auto"/>
                        <w:bottom w:val="none" w:sz="0" w:space="0" w:color="auto"/>
                        <w:right w:val="none" w:sz="0" w:space="0" w:color="auto"/>
                      </w:divBdr>
                    </w:div>
                    <w:div w:id="1285768154">
                      <w:marLeft w:val="0"/>
                      <w:marRight w:val="0"/>
                      <w:marTop w:val="0"/>
                      <w:marBottom w:val="0"/>
                      <w:divBdr>
                        <w:top w:val="none" w:sz="0" w:space="0" w:color="auto"/>
                        <w:left w:val="none" w:sz="0" w:space="0" w:color="auto"/>
                        <w:bottom w:val="none" w:sz="0" w:space="0" w:color="auto"/>
                        <w:right w:val="none" w:sz="0" w:space="0" w:color="auto"/>
                      </w:divBdr>
                    </w:div>
                    <w:div w:id="1301810198">
                      <w:marLeft w:val="0"/>
                      <w:marRight w:val="0"/>
                      <w:marTop w:val="0"/>
                      <w:marBottom w:val="0"/>
                      <w:divBdr>
                        <w:top w:val="none" w:sz="0" w:space="0" w:color="auto"/>
                        <w:left w:val="none" w:sz="0" w:space="0" w:color="auto"/>
                        <w:bottom w:val="none" w:sz="0" w:space="0" w:color="auto"/>
                        <w:right w:val="none" w:sz="0" w:space="0" w:color="auto"/>
                      </w:divBdr>
                    </w:div>
                    <w:div w:id="1404524410">
                      <w:marLeft w:val="0"/>
                      <w:marRight w:val="0"/>
                      <w:marTop w:val="0"/>
                      <w:marBottom w:val="0"/>
                      <w:divBdr>
                        <w:top w:val="none" w:sz="0" w:space="0" w:color="auto"/>
                        <w:left w:val="none" w:sz="0" w:space="0" w:color="auto"/>
                        <w:bottom w:val="none" w:sz="0" w:space="0" w:color="auto"/>
                        <w:right w:val="none" w:sz="0" w:space="0" w:color="auto"/>
                      </w:divBdr>
                    </w:div>
                    <w:div w:id="1974675142">
                      <w:marLeft w:val="0"/>
                      <w:marRight w:val="0"/>
                      <w:marTop w:val="0"/>
                      <w:marBottom w:val="0"/>
                      <w:divBdr>
                        <w:top w:val="none" w:sz="0" w:space="0" w:color="auto"/>
                        <w:left w:val="none" w:sz="0" w:space="0" w:color="auto"/>
                        <w:bottom w:val="none" w:sz="0" w:space="0" w:color="auto"/>
                        <w:right w:val="none" w:sz="0" w:space="0" w:color="auto"/>
                      </w:divBdr>
                    </w:div>
                  </w:divsChild>
                </w:div>
                <w:div w:id="198015523">
                  <w:marLeft w:val="0"/>
                  <w:marRight w:val="0"/>
                  <w:marTop w:val="0"/>
                  <w:marBottom w:val="0"/>
                  <w:divBdr>
                    <w:top w:val="none" w:sz="0" w:space="0" w:color="auto"/>
                    <w:left w:val="none" w:sz="0" w:space="0" w:color="auto"/>
                    <w:bottom w:val="none" w:sz="0" w:space="0" w:color="auto"/>
                    <w:right w:val="none" w:sz="0" w:space="0" w:color="auto"/>
                  </w:divBdr>
                  <w:divsChild>
                    <w:div w:id="263193834">
                      <w:marLeft w:val="0"/>
                      <w:marRight w:val="0"/>
                      <w:marTop w:val="0"/>
                      <w:marBottom w:val="0"/>
                      <w:divBdr>
                        <w:top w:val="none" w:sz="0" w:space="0" w:color="auto"/>
                        <w:left w:val="none" w:sz="0" w:space="0" w:color="auto"/>
                        <w:bottom w:val="none" w:sz="0" w:space="0" w:color="auto"/>
                        <w:right w:val="none" w:sz="0" w:space="0" w:color="auto"/>
                      </w:divBdr>
                    </w:div>
                  </w:divsChild>
                </w:div>
                <w:div w:id="205333342">
                  <w:marLeft w:val="0"/>
                  <w:marRight w:val="0"/>
                  <w:marTop w:val="0"/>
                  <w:marBottom w:val="0"/>
                  <w:divBdr>
                    <w:top w:val="none" w:sz="0" w:space="0" w:color="auto"/>
                    <w:left w:val="none" w:sz="0" w:space="0" w:color="auto"/>
                    <w:bottom w:val="none" w:sz="0" w:space="0" w:color="auto"/>
                    <w:right w:val="none" w:sz="0" w:space="0" w:color="auto"/>
                  </w:divBdr>
                  <w:divsChild>
                    <w:div w:id="503669377">
                      <w:marLeft w:val="0"/>
                      <w:marRight w:val="0"/>
                      <w:marTop w:val="0"/>
                      <w:marBottom w:val="0"/>
                      <w:divBdr>
                        <w:top w:val="none" w:sz="0" w:space="0" w:color="auto"/>
                        <w:left w:val="none" w:sz="0" w:space="0" w:color="auto"/>
                        <w:bottom w:val="none" w:sz="0" w:space="0" w:color="auto"/>
                        <w:right w:val="none" w:sz="0" w:space="0" w:color="auto"/>
                      </w:divBdr>
                    </w:div>
                  </w:divsChild>
                </w:div>
                <w:div w:id="210311495">
                  <w:marLeft w:val="0"/>
                  <w:marRight w:val="0"/>
                  <w:marTop w:val="0"/>
                  <w:marBottom w:val="0"/>
                  <w:divBdr>
                    <w:top w:val="none" w:sz="0" w:space="0" w:color="auto"/>
                    <w:left w:val="none" w:sz="0" w:space="0" w:color="auto"/>
                    <w:bottom w:val="none" w:sz="0" w:space="0" w:color="auto"/>
                    <w:right w:val="none" w:sz="0" w:space="0" w:color="auto"/>
                  </w:divBdr>
                  <w:divsChild>
                    <w:div w:id="1453204760">
                      <w:marLeft w:val="0"/>
                      <w:marRight w:val="0"/>
                      <w:marTop w:val="0"/>
                      <w:marBottom w:val="0"/>
                      <w:divBdr>
                        <w:top w:val="none" w:sz="0" w:space="0" w:color="auto"/>
                        <w:left w:val="none" w:sz="0" w:space="0" w:color="auto"/>
                        <w:bottom w:val="none" w:sz="0" w:space="0" w:color="auto"/>
                        <w:right w:val="none" w:sz="0" w:space="0" w:color="auto"/>
                      </w:divBdr>
                    </w:div>
                  </w:divsChild>
                </w:div>
                <w:div w:id="215246354">
                  <w:marLeft w:val="0"/>
                  <w:marRight w:val="0"/>
                  <w:marTop w:val="0"/>
                  <w:marBottom w:val="0"/>
                  <w:divBdr>
                    <w:top w:val="none" w:sz="0" w:space="0" w:color="auto"/>
                    <w:left w:val="none" w:sz="0" w:space="0" w:color="auto"/>
                    <w:bottom w:val="none" w:sz="0" w:space="0" w:color="auto"/>
                    <w:right w:val="none" w:sz="0" w:space="0" w:color="auto"/>
                  </w:divBdr>
                  <w:divsChild>
                    <w:div w:id="1925065284">
                      <w:marLeft w:val="0"/>
                      <w:marRight w:val="0"/>
                      <w:marTop w:val="0"/>
                      <w:marBottom w:val="0"/>
                      <w:divBdr>
                        <w:top w:val="none" w:sz="0" w:space="0" w:color="auto"/>
                        <w:left w:val="none" w:sz="0" w:space="0" w:color="auto"/>
                        <w:bottom w:val="none" w:sz="0" w:space="0" w:color="auto"/>
                        <w:right w:val="none" w:sz="0" w:space="0" w:color="auto"/>
                      </w:divBdr>
                    </w:div>
                  </w:divsChild>
                </w:div>
                <w:div w:id="240255397">
                  <w:marLeft w:val="0"/>
                  <w:marRight w:val="0"/>
                  <w:marTop w:val="0"/>
                  <w:marBottom w:val="0"/>
                  <w:divBdr>
                    <w:top w:val="none" w:sz="0" w:space="0" w:color="auto"/>
                    <w:left w:val="none" w:sz="0" w:space="0" w:color="auto"/>
                    <w:bottom w:val="none" w:sz="0" w:space="0" w:color="auto"/>
                    <w:right w:val="none" w:sz="0" w:space="0" w:color="auto"/>
                  </w:divBdr>
                  <w:divsChild>
                    <w:div w:id="145630995">
                      <w:marLeft w:val="0"/>
                      <w:marRight w:val="0"/>
                      <w:marTop w:val="0"/>
                      <w:marBottom w:val="0"/>
                      <w:divBdr>
                        <w:top w:val="none" w:sz="0" w:space="0" w:color="auto"/>
                        <w:left w:val="none" w:sz="0" w:space="0" w:color="auto"/>
                        <w:bottom w:val="none" w:sz="0" w:space="0" w:color="auto"/>
                        <w:right w:val="none" w:sz="0" w:space="0" w:color="auto"/>
                      </w:divBdr>
                    </w:div>
                  </w:divsChild>
                </w:div>
                <w:div w:id="244188875">
                  <w:marLeft w:val="0"/>
                  <w:marRight w:val="0"/>
                  <w:marTop w:val="0"/>
                  <w:marBottom w:val="0"/>
                  <w:divBdr>
                    <w:top w:val="none" w:sz="0" w:space="0" w:color="auto"/>
                    <w:left w:val="none" w:sz="0" w:space="0" w:color="auto"/>
                    <w:bottom w:val="none" w:sz="0" w:space="0" w:color="auto"/>
                    <w:right w:val="none" w:sz="0" w:space="0" w:color="auto"/>
                  </w:divBdr>
                  <w:divsChild>
                    <w:div w:id="600837204">
                      <w:marLeft w:val="0"/>
                      <w:marRight w:val="0"/>
                      <w:marTop w:val="0"/>
                      <w:marBottom w:val="0"/>
                      <w:divBdr>
                        <w:top w:val="none" w:sz="0" w:space="0" w:color="auto"/>
                        <w:left w:val="none" w:sz="0" w:space="0" w:color="auto"/>
                        <w:bottom w:val="none" w:sz="0" w:space="0" w:color="auto"/>
                        <w:right w:val="none" w:sz="0" w:space="0" w:color="auto"/>
                      </w:divBdr>
                    </w:div>
                  </w:divsChild>
                </w:div>
                <w:div w:id="258023362">
                  <w:marLeft w:val="0"/>
                  <w:marRight w:val="0"/>
                  <w:marTop w:val="0"/>
                  <w:marBottom w:val="0"/>
                  <w:divBdr>
                    <w:top w:val="none" w:sz="0" w:space="0" w:color="auto"/>
                    <w:left w:val="none" w:sz="0" w:space="0" w:color="auto"/>
                    <w:bottom w:val="none" w:sz="0" w:space="0" w:color="auto"/>
                    <w:right w:val="none" w:sz="0" w:space="0" w:color="auto"/>
                  </w:divBdr>
                  <w:divsChild>
                    <w:div w:id="42676925">
                      <w:marLeft w:val="0"/>
                      <w:marRight w:val="0"/>
                      <w:marTop w:val="0"/>
                      <w:marBottom w:val="0"/>
                      <w:divBdr>
                        <w:top w:val="none" w:sz="0" w:space="0" w:color="auto"/>
                        <w:left w:val="none" w:sz="0" w:space="0" w:color="auto"/>
                        <w:bottom w:val="none" w:sz="0" w:space="0" w:color="auto"/>
                        <w:right w:val="none" w:sz="0" w:space="0" w:color="auto"/>
                      </w:divBdr>
                    </w:div>
                  </w:divsChild>
                </w:div>
                <w:div w:id="298993695">
                  <w:marLeft w:val="0"/>
                  <w:marRight w:val="0"/>
                  <w:marTop w:val="0"/>
                  <w:marBottom w:val="0"/>
                  <w:divBdr>
                    <w:top w:val="none" w:sz="0" w:space="0" w:color="auto"/>
                    <w:left w:val="none" w:sz="0" w:space="0" w:color="auto"/>
                    <w:bottom w:val="none" w:sz="0" w:space="0" w:color="auto"/>
                    <w:right w:val="none" w:sz="0" w:space="0" w:color="auto"/>
                  </w:divBdr>
                  <w:divsChild>
                    <w:div w:id="846795914">
                      <w:marLeft w:val="0"/>
                      <w:marRight w:val="0"/>
                      <w:marTop w:val="0"/>
                      <w:marBottom w:val="0"/>
                      <w:divBdr>
                        <w:top w:val="none" w:sz="0" w:space="0" w:color="auto"/>
                        <w:left w:val="none" w:sz="0" w:space="0" w:color="auto"/>
                        <w:bottom w:val="none" w:sz="0" w:space="0" w:color="auto"/>
                        <w:right w:val="none" w:sz="0" w:space="0" w:color="auto"/>
                      </w:divBdr>
                    </w:div>
                  </w:divsChild>
                </w:div>
                <w:div w:id="301859163">
                  <w:marLeft w:val="0"/>
                  <w:marRight w:val="0"/>
                  <w:marTop w:val="0"/>
                  <w:marBottom w:val="0"/>
                  <w:divBdr>
                    <w:top w:val="none" w:sz="0" w:space="0" w:color="auto"/>
                    <w:left w:val="none" w:sz="0" w:space="0" w:color="auto"/>
                    <w:bottom w:val="none" w:sz="0" w:space="0" w:color="auto"/>
                    <w:right w:val="none" w:sz="0" w:space="0" w:color="auto"/>
                  </w:divBdr>
                  <w:divsChild>
                    <w:div w:id="1477213393">
                      <w:marLeft w:val="0"/>
                      <w:marRight w:val="0"/>
                      <w:marTop w:val="0"/>
                      <w:marBottom w:val="0"/>
                      <w:divBdr>
                        <w:top w:val="none" w:sz="0" w:space="0" w:color="auto"/>
                        <w:left w:val="none" w:sz="0" w:space="0" w:color="auto"/>
                        <w:bottom w:val="none" w:sz="0" w:space="0" w:color="auto"/>
                        <w:right w:val="none" w:sz="0" w:space="0" w:color="auto"/>
                      </w:divBdr>
                    </w:div>
                  </w:divsChild>
                </w:div>
                <w:div w:id="335571840">
                  <w:marLeft w:val="0"/>
                  <w:marRight w:val="0"/>
                  <w:marTop w:val="0"/>
                  <w:marBottom w:val="0"/>
                  <w:divBdr>
                    <w:top w:val="none" w:sz="0" w:space="0" w:color="auto"/>
                    <w:left w:val="none" w:sz="0" w:space="0" w:color="auto"/>
                    <w:bottom w:val="none" w:sz="0" w:space="0" w:color="auto"/>
                    <w:right w:val="none" w:sz="0" w:space="0" w:color="auto"/>
                  </w:divBdr>
                  <w:divsChild>
                    <w:div w:id="2123305248">
                      <w:marLeft w:val="0"/>
                      <w:marRight w:val="0"/>
                      <w:marTop w:val="0"/>
                      <w:marBottom w:val="0"/>
                      <w:divBdr>
                        <w:top w:val="none" w:sz="0" w:space="0" w:color="auto"/>
                        <w:left w:val="none" w:sz="0" w:space="0" w:color="auto"/>
                        <w:bottom w:val="none" w:sz="0" w:space="0" w:color="auto"/>
                        <w:right w:val="none" w:sz="0" w:space="0" w:color="auto"/>
                      </w:divBdr>
                    </w:div>
                  </w:divsChild>
                </w:div>
                <w:div w:id="340206968">
                  <w:marLeft w:val="0"/>
                  <w:marRight w:val="0"/>
                  <w:marTop w:val="0"/>
                  <w:marBottom w:val="0"/>
                  <w:divBdr>
                    <w:top w:val="none" w:sz="0" w:space="0" w:color="auto"/>
                    <w:left w:val="none" w:sz="0" w:space="0" w:color="auto"/>
                    <w:bottom w:val="none" w:sz="0" w:space="0" w:color="auto"/>
                    <w:right w:val="none" w:sz="0" w:space="0" w:color="auto"/>
                  </w:divBdr>
                  <w:divsChild>
                    <w:div w:id="236551774">
                      <w:marLeft w:val="0"/>
                      <w:marRight w:val="0"/>
                      <w:marTop w:val="0"/>
                      <w:marBottom w:val="0"/>
                      <w:divBdr>
                        <w:top w:val="none" w:sz="0" w:space="0" w:color="auto"/>
                        <w:left w:val="none" w:sz="0" w:space="0" w:color="auto"/>
                        <w:bottom w:val="none" w:sz="0" w:space="0" w:color="auto"/>
                        <w:right w:val="none" w:sz="0" w:space="0" w:color="auto"/>
                      </w:divBdr>
                    </w:div>
                  </w:divsChild>
                </w:div>
                <w:div w:id="367072684">
                  <w:marLeft w:val="0"/>
                  <w:marRight w:val="0"/>
                  <w:marTop w:val="0"/>
                  <w:marBottom w:val="0"/>
                  <w:divBdr>
                    <w:top w:val="none" w:sz="0" w:space="0" w:color="auto"/>
                    <w:left w:val="none" w:sz="0" w:space="0" w:color="auto"/>
                    <w:bottom w:val="none" w:sz="0" w:space="0" w:color="auto"/>
                    <w:right w:val="none" w:sz="0" w:space="0" w:color="auto"/>
                  </w:divBdr>
                  <w:divsChild>
                    <w:div w:id="1674646199">
                      <w:marLeft w:val="0"/>
                      <w:marRight w:val="0"/>
                      <w:marTop w:val="0"/>
                      <w:marBottom w:val="0"/>
                      <w:divBdr>
                        <w:top w:val="none" w:sz="0" w:space="0" w:color="auto"/>
                        <w:left w:val="none" w:sz="0" w:space="0" w:color="auto"/>
                        <w:bottom w:val="none" w:sz="0" w:space="0" w:color="auto"/>
                        <w:right w:val="none" w:sz="0" w:space="0" w:color="auto"/>
                      </w:divBdr>
                    </w:div>
                  </w:divsChild>
                </w:div>
                <w:div w:id="370614935">
                  <w:marLeft w:val="0"/>
                  <w:marRight w:val="0"/>
                  <w:marTop w:val="0"/>
                  <w:marBottom w:val="0"/>
                  <w:divBdr>
                    <w:top w:val="none" w:sz="0" w:space="0" w:color="auto"/>
                    <w:left w:val="none" w:sz="0" w:space="0" w:color="auto"/>
                    <w:bottom w:val="none" w:sz="0" w:space="0" w:color="auto"/>
                    <w:right w:val="none" w:sz="0" w:space="0" w:color="auto"/>
                  </w:divBdr>
                  <w:divsChild>
                    <w:div w:id="834805125">
                      <w:marLeft w:val="0"/>
                      <w:marRight w:val="0"/>
                      <w:marTop w:val="0"/>
                      <w:marBottom w:val="0"/>
                      <w:divBdr>
                        <w:top w:val="none" w:sz="0" w:space="0" w:color="auto"/>
                        <w:left w:val="none" w:sz="0" w:space="0" w:color="auto"/>
                        <w:bottom w:val="none" w:sz="0" w:space="0" w:color="auto"/>
                        <w:right w:val="none" w:sz="0" w:space="0" w:color="auto"/>
                      </w:divBdr>
                    </w:div>
                  </w:divsChild>
                </w:div>
                <w:div w:id="382412588">
                  <w:marLeft w:val="0"/>
                  <w:marRight w:val="0"/>
                  <w:marTop w:val="0"/>
                  <w:marBottom w:val="0"/>
                  <w:divBdr>
                    <w:top w:val="none" w:sz="0" w:space="0" w:color="auto"/>
                    <w:left w:val="none" w:sz="0" w:space="0" w:color="auto"/>
                    <w:bottom w:val="none" w:sz="0" w:space="0" w:color="auto"/>
                    <w:right w:val="none" w:sz="0" w:space="0" w:color="auto"/>
                  </w:divBdr>
                  <w:divsChild>
                    <w:div w:id="1970040523">
                      <w:marLeft w:val="0"/>
                      <w:marRight w:val="0"/>
                      <w:marTop w:val="0"/>
                      <w:marBottom w:val="0"/>
                      <w:divBdr>
                        <w:top w:val="none" w:sz="0" w:space="0" w:color="auto"/>
                        <w:left w:val="none" w:sz="0" w:space="0" w:color="auto"/>
                        <w:bottom w:val="none" w:sz="0" w:space="0" w:color="auto"/>
                        <w:right w:val="none" w:sz="0" w:space="0" w:color="auto"/>
                      </w:divBdr>
                    </w:div>
                  </w:divsChild>
                </w:div>
                <w:div w:id="386729235">
                  <w:marLeft w:val="0"/>
                  <w:marRight w:val="0"/>
                  <w:marTop w:val="0"/>
                  <w:marBottom w:val="0"/>
                  <w:divBdr>
                    <w:top w:val="none" w:sz="0" w:space="0" w:color="auto"/>
                    <w:left w:val="none" w:sz="0" w:space="0" w:color="auto"/>
                    <w:bottom w:val="none" w:sz="0" w:space="0" w:color="auto"/>
                    <w:right w:val="none" w:sz="0" w:space="0" w:color="auto"/>
                  </w:divBdr>
                  <w:divsChild>
                    <w:div w:id="500656816">
                      <w:marLeft w:val="0"/>
                      <w:marRight w:val="0"/>
                      <w:marTop w:val="0"/>
                      <w:marBottom w:val="0"/>
                      <w:divBdr>
                        <w:top w:val="none" w:sz="0" w:space="0" w:color="auto"/>
                        <w:left w:val="none" w:sz="0" w:space="0" w:color="auto"/>
                        <w:bottom w:val="none" w:sz="0" w:space="0" w:color="auto"/>
                        <w:right w:val="none" w:sz="0" w:space="0" w:color="auto"/>
                      </w:divBdr>
                    </w:div>
                  </w:divsChild>
                </w:div>
                <w:div w:id="389812573">
                  <w:marLeft w:val="0"/>
                  <w:marRight w:val="0"/>
                  <w:marTop w:val="0"/>
                  <w:marBottom w:val="0"/>
                  <w:divBdr>
                    <w:top w:val="none" w:sz="0" w:space="0" w:color="auto"/>
                    <w:left w:val="none" w:sz="0" w:space="0" w:color="auto"/>
                    <w:bottom w:val="none" w:sz="0" w:space="0" w:color="auto"/>
                    <w:right w:val="none" w:sz="0" w:space="0" w:color="auto"/>
                  </w:divBdr>
                  <w:divsChild>
                    <w:div w:id="1819809030">
                      <w:marLeft w:val="0"/>
                      <w:marRight w:val="0"/>
                      <w:marTop w:val="0"/>
                      <w:marBottom w:val="0"/>
                      <w:divBdr>
                        <w:top w:val="none" w:sz="0" w:space="0" w:color="auto"/>
                        <w:left w:val="none" w:sz="0" w:space="0" w:color="auto"/>
                        <w:bottom w:val="none" w:sz="0" w:space="0" w:color="auto"/>
                        <w:right w:val="none" w:sz="0" w:space="0" w:color="auto"/>
                      </w:divBdr>
                    </w:div>
                  </w:divsChild>
                </w:div>
                <w:div w:id="424346710">
                  <w:marLeft w:val="0"/>
                  <w:marRight w:val="0"/>
                  <w:marTop w:val="0"/>
                  <w:marBottom w:val="0"/>
                  <w:divBdr>
                    <w:top w:val="none" w:sz="0" w:space="0" w:color="auto"/>
                    <w:left w:val="none" w:sz="0" w:space="0" w:color="auto"/>
                    <w:bottom w:val="none" w:sz="0" w:space="0" w:color="auto"/>
                    <w:right w:val="none" w:sz="0" w:space="0" w:color="auto"/>
                  </w:divBdr>
                  <w:divsChild>
                    <w:div w:id="1728450795">
                      <w:marLeft w:val="0"/>
                      <w:marRight w:val="0"/>
                      <w:marTop w:val="0"/>
                      <w:marBottom w:val="0"/>
                      <w:divBdr>
                        <w:top w:val="none" w:sz="0" w:space="0" w:color="auto"/>
                        <w:left w:val="none" w:sz="0" w:space="0" w:color="auto"/>
                        <w:bottom w:val="none" w:sz="0" w:space="0" w:color="auto"/>
                        <w:right w:val="none" w:sz="0" w:space="0" w:color="auto"/>
                      </w:divBdr>
                    </w:div>
                  </w:divsChild>
                </w:div>
                <w:div w:id="431777940">
                  <w:marLeft w:val="0"/>
                  <w:marRight w:val="0"/>
                  <w:marTop w:val="0"/>
                  <w:marBottom w:val="0"/>
                  <w:divBdr>
                    <w:top w:val="none" w:sz="0" w:space="0" w:color="auto"/>
                    <w:left w:val="none" w:sz="0" w:space="0" w:color="auto"/>
                    <w:bottom w:val="none" w:sz="0" w:space="0" w:color="auto"/>
                    <w:right w:val="none" w:sz="0" w:space="0" w:color="auto"/>
                  </w:divBdr>
                  <w:divsChild>
                    <w:div w:id="1092748342">
                      <w:marLeft w:val="0"/>
                      <w:marRight w:val="0"/>
                      <w:marTop w:val="0"/>
                      <w:marBottom w:val="0"/>
                      <w:divBdr>
                        <w:top w:val="none" w:sz="0" w:space="0" w:color="auto"/>
                        <w:left w:val="none" w:sz="0" w:space="0" w:color="auto"/>
                        <w:bottom w:val="none" w:sz="0" w:space="0" w:color="auto"/>
                        <w:right w:val="none" w:sz="0" w:space="0" w:color="auto"/>
                      </w:divBdr>
                    </w:div>
                  </w:divsChild>
                </w:div>
                <w:div w:id="432626148">
                  <w:marLeft w:val="0"/>
                  <w:marRight w:val="0"/>
                  <w:marTop w:val="0"/>
                  <w:marBottom w:val="0"/>
                  <w:divBdr>
                    <w:top w:val="none" w:sz="0" w:space="0" w:color="auto"/>
                    <w:left w:val="none" w:sz="0" w:space="0" w:color="auto"/>
                    <w:bottom w:val="none" w:sz="0" w:space="0" w:color="auto"/>
                    <w:right w:val="none" w:sz="0" w:space="0" w:color="auto"/>
                  </w:divBdr>
                  <w:divsChild>
                    <w:div w:id="619533292">
                      <w:marLeft w:val="0"/>
                      <w:marRight w:val="0"/>
                      <w:marTop w:val="0"/>
                      <w:marBottom w:val="0"/>
                      <w:divBdr>
                        <w:top w:val="none" w:sz="0" w:space="0" w:color="auto"/>
                        <w:left w:val="none" w:sz="0" w:space="0" w:color="auto"/>
                        <w:bottom w:val="none" w:sz="0" w:space="0" w:color="auto"/>
                        <w:right w:val="none" w:sz="0" w:space="0" w:color="auto"/>
                      </w:divBdr>
                    </w:div>
                  </w:divsChild>
                </w:div>
                <w:div w:id="435560469">
                  <w:marLeft w:val="0"/>
                  <w:marRight w:val="0"/>
                  <w:marTop w:val="0"/>
                  <w:marBottom w:val="0"/>
                  <w:divBdr>
                    <w:top w:val="none" w:sz="0" w:space="0" w:color="auto"/>
                    <w:left w:val="none" w:sz="0" w:space="0" w:color="auto"/>
                    <w:bottom w:val="none" w:sz="0" w:space="0" w:color="auto"/>
                    <w:right w:val="none" w:sz="0" w:space="0" w:color="auto"/>
                  </w:divBdr>
                  <w:divsChild>
                    <w:div w:id="1726100911">
                      <w:marLeft w:val="0"/>
                      <w:marRight w:val="0"/>
                      <w:marTop w:val="0"/>
                      <w:marBottom w:val="0"/>
                      <w:divBdr>
                        <w:top w:val="none" w:sz="0" w:space="0" w:color="auto"/>
                        <w:left w:val="none" w:sz="0" w:space="0" w:color="auto"/>
                        <w:bottom w:val="none" w:sz="0" w:space="0" w:color="auto"/>
                        <w:right w:val="none" w:sz="0" w:space="0" w:color="auto"/>
                      </w:divBdr>
                    </w:div>
                  </w:divsChild>
                </w:div>
                <w:div w:id="438456156">
                  <w:marLeft w:val="0"/>
                  <w:marRight w:val="0"/>
                  <w:marTop w:val="0"/>
                  <w:marBottom w:val="0"/>
                  <w:divBdr>
                    <w:top w:val="none" w:sz="0" w:space="0" w:color="auto"/>
                    <w:left w:val="none" w:sz="0" w:space="0" w:color="auto"/>
                    <w:bottom w:val="none" w:sz="0" w:space="0" w:color="auto"/>
                    <w:right w:val="none" w:sz="0" w:space="0" w:color="auto"/>
                  </w:divBdr>
                  <w:divsChild>
                    <w:div w:id="773983630">
                      <w:marLeft w:val="0"/>
                      <w:marRight w:val="0"/>
                      <w:marTop w:val="0"/>
                      <w:marBottom w:val="0"/>
                      <w:divBdr>
                        <w:top w:val="none" w:sz="0" w:space="0" w:color="auto"/>
                        <w:left w:val="none" w:sz="0" w:space="0" w:color="auto"/>
                        <w:bottom w:val="none" w:sz="0" w:space="0" w:color="auto"/>
                        <w:right w:val="none" w:sz="0" w:space="0" w:color="auto"/>
                      </w:divBdr>
                    </w:div>
                  </w:divsChild>
                </w:div>
                <w:div w:id="439104394">
                  <w:marLeft w:val="0"/>
                  <w:marRight w:val="0"/>
                  <w:marTop w:val="0"/>
                  <w:marBottom w:val="0"/>
                  <w:divBdr>
                    <w:top w:val="none" w:sz="0" w:space="0" w:color="auto"/>
                    <w:left w:val="none" w:sz="0" w:space="0" w:color="auto"/>
                    <w:bottom w:val="none" w:sz="0" w:space="0" w:color="auto"/>
                    <w:right w:val="none" w:sz="0" w:space="0" w:color="auto"/>
                  </w:divBdr>
                  <w:divsChild>
                    <w:div w:id="338697639">
                      <w:marLeft w:val="0"/>
                      <w:marRight w:val="0"/>
                      <w:marTop w:val="0"/>
                      <w:marBottom w:val="0"/>
                      <w:divBdr>
                        <w:top w:val="none" w:sz="0" w:space="0" w:color="auto"/>
                        <w:left w:val="none" w:sz="0" w:space="0" w:color="auto"/>
                        <w:bottom w:val="none" w:sz="0" w:space="0" w:color="auto"/>
                        <w:right w:val="none" w:sz="0" w:space="0" w:color="auto"/>
                      </w:divBdr>
                    </w:div>
                  </w:divsChild>
                </w:div>
                <w:div w:id="440154314">
                  <w:marLeft w:val="0"/>
                  <w:marRight w:val="0"/>
                  <w:marTop w:val="0"/>
                  <w:marBottom w:val="0"/>
                  <w:divBdr>
                    <w:top w:val="none" w:sz="0" w:space="0" w:color="auto"/>
                    <w:left w:val="none" w:sz="0" w:space="0" w:color="auto"/>
                    <w:bottom w:val="none" w:sz="0" w:space="0" w:color="auto"/>
                    <w:right w:val="none" w:sz="0" w:space="0" w:color="auto"/>
                  </w:divBdr>
                  <w:divsChild>
                    <w:div w:id="1058167692">
                      <w:marLeft w:val="0"/>
                      <w:marRight w:val="0"/>
                      <w:marTop w:val="0"/>
                      <w:marBottom w:val="0"/>
                      <w:divBdr>
                        <w:top w:val="none" w:sz="0" w:space="0" w:color="auto"/>
                        <w:left w:val="none" w:sz="0" w:space="0" w:color="auto"/>
                        <w:bottom w:val="none" w:sz="0" w:space="0" w:color="auto"/>
                        <w:right w:val="none" w:sz="0" w:space="0" w:color="auto"/>
                      </w:divBdr>
                    </w:div>
                  </w:divsChild>
                </w:div>
                <w:div w:id="445151441">
                  <w:marLeft w:val="0"/>
                  <w:marRight w:val="0"/>
                  <w:marTop w:val="0"/>
                  <w:marBottom w:val="0"/>
                  <w:divBdr>
                    <w:top w:val="none" w:sz="0" w:space="0" w:color="auto"/>
                    <w:left w:val="none" w:sz="0" w:space="0" w:color="auto"/>
                    <w:bottom w:val="none" w:sz="0" w:space="0" w:color="auto"/>
                    <w:right w:val="none" w:sz="0" w:space="0" w:color="auto"/>
                  </w:divBdr>
                  <w:divsChild>
                    <w:div w:id="695354243">
                      <w:marLeft w:val="0"/>
                      <w:marRight w:val="0"/>
                      <w:marTop w:val="0"/>
                      <w:marBottom w:val="0"/>
                      <w:divBdr>
                        <w:top w:val="none" w:sz="0" w:space="0" w:color="auto"/>
                        <w:left w:val="none" w:sz="0" w:space="0" w:color="auto"/>
                        <w:bottom w:val="none" w:sz="0" w:space="0" w:color="auto"/>
                        <w:right w:val="none" w:sz="0" w:space="0" w:color="auto"/>
                      </w:divBdr>
                    </w:div>
                  </w:divsChild>
                </w:div>
                <w:div w:id="455418306">
                  <w:marLeft w:val="0"/>
                  <w:marRight w:val="0"/>
                  <w:marTop w:val="0"/>
                  <w:marBottom w:val="0"/>
                  <w:divBdr>
                    <w:top w:val="none" w:sz="0" w:space="0" w:color="auto"/>
                    <w:left w:val="none" w:sz="0" w:space="0" w:color="auto"/>
                    <w:bottom w:val="none" w:sz="0" w:space="0" w:color="auto"/>
                    <w:right w:val="none" w:sz="0" w:space="0" w:color="auto"/>
                  </w:divBdr>
                  <w:divsChild>
                    <w:div w:id="1245728120">
                      <w:marLeft w:val="0"/>
                      <w:marRight w:val="0"/>
                      <w:marTop w:val="0"/>
                      <w:marBottom w:val="0"/>
                      <w:divBdr>
                        <w:top w:val="none" w:sz="0" w:space="0" w:color="auto"/>
                        <w:left w:val="none" w:sz="0" w:space="0" w:color="auto"/>
                        <w:bottom w:val="none" w:sz="0" w:space="0" w:color="auto"/>
                        <w:right w:val="none" w:sz="0" w:space="0" w:color="auto"/>
                      </w:divBdr>
                    </w:div>
                  </w:divsChild>
                </w:div>
                <w:div w:id="456223926">
                  <w:marLeft w:val="0"/>
                  <w:marRight w:val="0"/>
                  <w:marTop w:val="0"/>
                  <w:marBottom w:val="0"/>
                  <w:divBdr>
                    <w:top w:val="none" w:sz="0" w:space="0" w:color="auto"/>
                    <w:left w:val="none" w:sz="0" w:space="0" w:color="auto"/>
                    <w:bottom w:val="none" w:sz="0" w:space="0" w:color="auto"/>
                    <w:right w:val="none" w:sz="0" w:space="0" w:color="auto"/>
                  </w:divBdr>
                  <w:divsChild>
                    <w:div w:id="658385406">
                      <w:marLeft w:val="0"/>
                      <w:marRight w:val="0"/>
                      <w:marTop w:val="0"/>
                      <w:marBottom w:val="0"/>
                      <w:divBdr>
                        <w:top w:val="none" w:sz="0" w:space="0" w:color="auto"/>
                        <w:left w:val="none" w:sz="0" w:space="0" w:color="auto"/>
                        <w:bottom w:val="none" w:sz="0" w:space="0" w:color="auto"/>
                        <w:right w:val="none" w:sz="0" w:space="0" w:color="auto"/>
                      </w:divBdr>
                    </w:div>
                  </w:divsChild>
                </w:div>
                <w:div w:id="476841553">
                  <w:marLeft w:val="0"/>
                  <w:marRight w:val="0"/>
                  <w:marTop w:val="0"/>
                  <w:marBottom w:val="0"/>
                  <w:divBdr>
                    <w:top w:val="none" w:sz="0" w:space="0" w:color="auto"/>
                    <w:left w:val="none" w:sz="0" w:space="0" w:color="auto"/>
                    <w:bottom w:val="none" w:sz="0" w:space="0" w:color="auto"/>
                    <w:right w:val="none" w:sz="0" w:space="0" w:color="auto"/>
                  </w:divBdr>
                  <w:divsChild>
                    <w:div w:id="1474787093">
                      <w:marLeft w:val="0"/>
                      <w:marRight w:val="0"/>
                      <w:marTop w:val="0"/>
                      <w:marBottom w:val="0"/>
                      <w:divBdr>
                        <w:top w:val="none" w:sz="0" w:space="0" w:color="auto"/>
                        <w:left w:val="none" w:sz="0" w:space="0" w:color="auto"/>
                        <w:bottom w:val="none" w:sz="0" w:space="0" w:color="auto"/>
                        <w:right w:val="none" w:sz="0" w:space="0" w:color="auto"/>
                      </w:divBdr>
                    </w:div>
                  </w:divsChild>
                </w:div>
                <w:div w:id="535044720">
                  <w:marLeft w:val="0"/>
                  <w:marRight w:val="0"/>
                  <w:marTop w:val="0"/>
                  <w:marBottom w:val="0"/>
                  <w:divBdr>
                    <w:top w:val="none" w:sz="0" w:space="0" w:color="auto"/>
                    <w:left w:val="none" w:sz="0" w:space="0" w:color="auto"/>
                    <w:bottom w:val="none" w:sz="0" w:space="0" w:color="auto"/>
                    <w:right w:val="none" w:sz="0" w:space="0" w:color="auto"/>
                  </w:divBdr>
                  <w:divsChild>
                    <w:div w:id="835807907">
                      <w:marLeft w:val="0"/>
                      <w:marRight w:val="0"/>
                      <w:marTop w:val="0"/>
                      <w:marBottom w:val="0"/>
                      <w:divBdr>
                        <w:top w:val="none" w:sz="0" w:space="0" w:color="auto"/>
                        <w:left w:val="none" w:sz="0" w:space="0" w:color="auto"/>
                        <w:bottom w:val="none" w:sz="0" w:space="0" w:color="auto"/>
                        <w:right w:val="none" w:sz="0" w:space="0" w:color="auto"/>
                      </w:divBdr>
                    </w:div>
                  </w:divsChild>
                </w:div>
                <w:div w:id="545721577">
                  <w:marLeft w:val="0"/>
                  <w:marRight w:val="0"/>
                  <w:marTop w:val="0"/>
                  <w:marBottom w:val="0"/>
                  <w:divBdr>
                    <w:top w:val="none" w:sz="0" w:space="0" w:color="auto"/>
                    <w:left w:val="none" w:sz="0" w:space="0" w:color="auto"/>
                    <w:bottom w:val="none" w:sz="0" w:space="0" w:color="auto"/>
                    <w:right w:val="none" w:sz="0" w:space="0" w:color="auto"/>
                  </w:divBdr>
                  <w:divsChild>
                    <w:div w:id="807632065">
                      <w:marLeft w:val="0"/>
                      <w:marRight w:val="0"/>
                      <w:marTop w:val="0"/>
                      <w:marBottom w:val="0"/>
                      <w:divBdr>
                        <w:top w:val="none" w:sz="0" w:space="0" w:color="auto"/>
                        <w:left w:val="none" w:sz="0" w:space="0" w:color="auto"/>
                        <w:bottom w:val="none" w:sz="0" w:space="0" w:color="auto"/>
                        <w:right w:val="none" w:sz="0" w:space="0" w:color="auto"/>
                      </w:divBdr>
                    </w:div>
                  </w:divsChild>
                </w:div>
                <w:div w:id="557282063">
                  <w:marLeft w:val="0"/>
                  <w:marRight w:val="0"/>
                  <w:marTop w:val="0"/>
                  <w:marBottom w:val="0"/>
                  <w:divBdr>
                    <w:top w:val="none" w:sz="0" w:space="0" w:color="auto"/>
                    <w:left w:val="none" w:sz="0" w:space="0" w:color="auto"/>
                    <w:bottom w:val="none" w:sz="0" w:space="0" w:color="auto"/>
                    <w:right w:val="none" w:sz="0" w:space="0" w:color="auto"/>
                  </w:divBdr>
                  <w:divsChild>
                    <w:div w:id="50423146">
                      <w:marLeft w:val="0"/>
                      <w:marRight w:val="0"/>
                      <w:marTop w:val="0"/>
                      <w:marBottom w:val="0"/>
                      <w:divBdr>
                        <w:top w:val="none" w:sz="0" w:space="0" w:color="auto"/>
                        <w:left w:val="none" w:sz="0" w:space="0" w:color="auto"/>
                        <w:bottom w:val="none" w:sz="0" w:space="0" w:color="auto"/>
                        <w:right w:val="none" w:sz="0" w:space="0" w:color="auto"/>
                      </w:divBdr>
                    </w:div>
                    <w:div w:id="565148831">
                      <w:marLeft w:val="0"/>
                      <w:marRight w:val="0"/>
                      <w:marTop w:val="0"/>
                      <w:marBottom w:val="0"/>
                      <w:divBdr>
                        <w:top w:val="none" w:sz="0" w:space="0" w:color="auto"/>
                        <w:left w:val="none" w:sz="0" w:space="0" w:color="auto"/>
                        <w:bottom w:val="none" w:sz="0" w:space="0" w:color="auto"/>
                        <w:right w:val="none" w:sz="0" w:space="0" w:color="auto"/>
                      </w:divBdr>
                    </w:div>
                    <w:div w:id="694960578">
                      <w:marLeft w:val="0"/>
                      <w:marRight w:val="0"/>
                      <w:marTop w:val="0"/>
                      <w:marBottom w:val="0"/>
                      <w:divBdr>
                        <w:top w:val="none" w:sz="0" w:space="0" w:color="auto"/>
                        <w:left w:val="none" w:sz="0" w:space="0" w:color="auto"/>
                        <w:bottom w:val="none" w:sz="0" w:space="0" w:color="auto"/>
                        <w:right w:val="none" w:sz="0" w:space="0" w:color="auto"/>
                      </w:divBdr>
                    </w:div>
                    <w:div w:id="977540091">
                      <w:marLeft w:val="0"/>
                      <w:marRight w:val="0"/>
                      <w:marTop w:val="0"/>
                      <w:marBottom w:val="0"/>
                      <w:divBdr>
                        <w:top w:val="none" w:sz="0" w:space="0" w:color="auto"/>
                        <w:left w:val="none" w:sz="0" w:space="0" w:color="auto"/>
                        <w:bottom w:val="none" w:sz="0" w:space="0" w:color="auto"/>
                        <w:right w:val="none" w:sz="0" w:space="0" w:color="auto"/>
                      </w:divBdr>
                    </w:div>
                    <w:div w:id="1205630460">
                      <w:marLeft w:val="0"/>
                      <w:marRight w:val="0"/>
                      <w:marTop w:val="0"/>
                      <w:marBottom w:val="0"/>
                      <w:divBdr>
                        <w:top w:val="none" w:sz="0" w:space="0" w:color="auto"/>
                        <w:left w:val="none" w:sz="0" w:space="0" w:color="auto"/>
                        <w:bottom w:val="none" w:sz="0" w:space="0" w:color="auto"/>
                        <w:right w:val="none" w:sz="0" w:space="0" w:color="auto"/>
                      </w:divBdr>
                    </w:div>
                    <w:div w:id="2013950899">
                      <w:marLeft w:val="0"/>
                      <w:marRight w:val="0"/>
                      <w:marTop w:val="0"/>
                      <w:marBottom w:val="0"/>
                      <w:divBdr>
                        <w:top w:val="none" w:sz="0" w:space="0" w:color="auto"/>
                        <w:left w:val="none" w:sz="0" w:space="0" w:color="auto"/>
                        <w:bottom w:val="none" w:sz="0" w:space="0" w:color="auto"/>
                        <w:right w:val="none" w:sz="0" w:space="0" w:color="auto"/>
                      </w:divBdr>
                    </w:div>
                    <w:div w:id="2047102999">
                      <w:marLeft w:val="0"/>
                      <w:marRight w:val="0"/>
                      <w:marTop w:val="0"/>
                      <w:marBottom w:val="0"/>
                      <w:divBdr>
                        <w:top w:val="none" w:sz="0" w:space="0" w:color="auto"/>
                        <w:left w:val="none" w:sz="0" w:space="0" w:color="auto"/>
                        <w:bottom w:val="none" w:sz="0" w:space="0" w:color="auto"/>
                        <w:right w:val="none" w:sz="0" w:space="0" w:color="auto"/>
                      </w:divBdr>
                    </w:div>
                  </w:divsChild>
                </w:div>
                <w:div w:id="558245750">
                  <w:marLeft w:val="0"/>
                  <w:marRight w:val="0"/>
                  <w:marTop w:val="0"/>
                  <w:marBottom w:val="0"/>
                  <w:divBdr>
                    <w:top w:val="none" w:sz="0" w:space="0" w:color="auto"/>
                    <w:left w:val="none" w:sz="0" w:space="0" w:color="auto"/>
                    <w:bottom w:val="none" w:sz="0" w:space="0" w:color="auto"/>
                    <w:right w:val="none" w:sz="0" w:space="0" w:color="auto"/>
                  </w:divBdr>
                  <w:divsChild>
                    <w:div w:id="265969268">
                      <w:marLeft w:val="0"/>
                      <w:marRight w:val="0"/>
                      <w:marTop w:val="0"/>
                      <w:marBottom w:val="0"/>
                      <w:divBdr>
                        <w:top w:val="none" w:sz="0" w:space="0" w:color="auto"/>
                        <w:left w:val="none" w:sz="0" w:space="0" w:color="auto"/>
                        <w:bottom w:val="none" w:sz="0" w:space="0" w:color="auto"/>
                        <w:right w:val="none" w:sz="0" w:space="0" w:color="auto"/>
                      </w:divBdr>
                    </w:div>
                  </w:divsChild>
                </w:div>
                <w:div w:id="576208653">
                  <w:marLeft w:val="0"/>
                  <w:marRight w:val="0"/>
                  <w:marTop w:val="0"/>
                  <w:marBottom w:val="0"/>
                  <w:divBdr>
                    <w:top w:val="none" w:sz="0" w:space="0" w:color="auto"/>
                    <w:left w:val="none" w:sz="0" w:space="0" w:color="auto"/>
                    <w:bottom w:val="none" w:sz="0" w:space="0" w:color="auto"/>
                    <w:right w:val="none" w:sz="0" w:space="0" w:color="auto"/>
                  </w:divBdr>
                  <w:divsChild>
                    <w:div w:id="1984430531">
                      <w:marLeft w:val="0"/>
                      <w:marRight w:val="0"/>
                      <w:marTop w:val="0"/>
                      <w:marBottom w:val="0"/>
                      <w:divBdr>
                        <w:top w:val="none" w:sz="0" w:space="0" w:color="auto"/>
                        <w:left w:val="none" w:sz="0" w:space="0" w:color="auto"/>
                        <w:bottom w:val="none" w:sz="0" w:space="0" w:color="auto"/>
                        <w:right w:val="none" w:sz="0" w:space="0" w:color="auto"/>
                      </w:divBdr>
                    </w:div>
                  </w:divsChild>
                </w:div>
                <w:div w:id="576979720">
                  <w:marLeft w:val="0"/>
                  <w:marRight w:val="0"/>
                  <w:marTop w:val="0"/>
                  <w:marBottom w:val="0"/>
                  <w:divBdr>
                    <w:top w:val="none" w:sz="0" w:space="0" w:color="auto"/>
                    <w:left w:val="none" w:sz="0" w:space="0" w:color="auto"/>
                    <w:bottom w:val="none" w:sz="0" w:space="0" w:color="auto"/>
                    <w:right w:val="none" w:sz="0" w:space="0" w:color="auto"/>
                  </w:divBdr>
                  <w:divsChild>
                    <w:div w:id="1656106211">
                      <w:marLeft w:val="0"/>
                      <w:marRight w:val="0"/>
                      <w:marTop w:val="0"/>
                      <w:marBottom w:val="0"/>
                      <w:divBdr>
                        <w:top w:val="none" w:sz="0" w:space="0" w:color="auto"/>
                        <w:left w:val="none" w:sz="0" w:space="0" w:color="auto"/>
                        <w:bottom w:val="none" w:sz="0" w:space="0" w:color="auto"/>
                        <w:right w:val="none" w:sz="0" w:space="0" w:color="auto"/>
                      </w:divBdr>
                    </w:div>
                  </w:divsChild>
                </w:div>
                <w:div w:id="632910887">
                  <w:marLeft w:val="0"/>
                  <w:marRight w:val="0"/>
                  <w:marTop w:val="0"/>
                  <w:marBottom w:val="0"/>
                  <w:divBdr>
                    <w:top w:val="none" w:sz="0" w:space="0" w:color="auto"/>
                    <w:left w:val="none" w:sz="0" w:space="0" w:color="auto"/>
                    <w:bottom w:val="none" w:sz="0" w:space="0" w:color="auto"/>
                    <w:right w:val="none" w:sz="0" w:space="0" w:color="auto"/>
                  </w:divBdr>
                  <w:divsChild>
                    <w:div w:id="416830551">
                      <w:marLeft w:val="0"/>
                      <w:marRight w:val="0"/>
                      <w:marTop w:val="0"/>
                      <w:marBottom w:val="0"/>
                      <w:divBdr>
                        <w:top w:val="none" w:sz="0" w:space="0" w:color="auto"/>
                        <w:left w:val="none" w:sz="0" w:space="0" w:color="auto"/>
                        <w:bottom w:val="none" w:sz="0" w:space="0" w:color="auto"/>
                        <w:right w:val="none" w:sz="0" w:space="0" w:color="auto"/>
                      </w:divBdr>
                    </w:div>
                  </w:divsChild>
                </w:div>
                <w:div w:id="634717308">
                  <w:marLeft w:val="0"/>
                  <w:marRight w:val="0"/>
                  <w:marTop w:val="0"/>
                  <w:marBottom w:val="0"/>
                  <w:divBdr>
                    <w:top w:val="none" w:sz="0" w:space="0" w:color="auto"/>
                    <w:left w:val="none" w:sz="0" w:space="0" w:color="auto"/>
                    <w:bottom w:val="none" w:sz="0" w:space="0" w:color="auto"/>
                    <w:right w:val="none" w:sz="0" w:space="0" w:color="auto"/>
                  </w:divBdr>
                  <w:divsChild>
                    <w:div w:id="1586495933">
                      <w:marLeft w:val="0"/>
                      <w:marRight w:val="0"/>
                      <w:marTop w:val="0"/>
                      <w:marBottom w:val="0"/>
                      <w:divBdr>
                        <w:top w:val="none" w:sz="0" w:space="0" w:color="auto"/>
                        <w:left w:val="none" w:sz="0" w:space="0" w:color="auto"/>
                        <w:bottom w:val="none" w:sz="0" w:space="0" w:color="auto"/>
                        <w:right w:val="none" w:sz="0" w:space="0" w:color="auto"/>
                      </w:divBdr>
                    </w:div>
                  </w:divsChild>
                </w:div>
                <w:div w:id="642395986">
                  <w:marLeft w:val="0"/>
                  <w:marRight w:val="0"/>
                  <w:marTop w:val="0"/>
                  <w:marBottom w:val="0"/>
                  <w:divBdr>
                    <w:top w:val="none" w:sz="0" w:space="0" w:color="auto"/>
                    <w:left w:val="none" w:sz="0" w:space="0" w:color="auto"/>
                    <w:bottom w:val="none" w:sz="0" w:space="0" w:color="auto"/>
                    <w:right w:val="none" w:sz="0" w:space="0" w:color="auto"/>
                  </w:divBdr>
                  <w:divsChild>
                    <w:div w:id="659501320">
                      <w:marLeft w:val="0"/>
                      <w:marRight w:val="0"/>
                      <w:marTop w:val="0"/>
                      <w:marBottom w:val="0"/>
                      <w:divBdr>
                        <w:top w:val="none" w:sz="0" w:space="0" w:color="auto"/>
                        <w:left w:val="none" w:sz="0" w:space="0" w:color="auto"/>
                        <w:bottom w:val="none" w:sz="0" w:space="0" w:color="auto"/>
                        <w:right w:val="none" w:sz="0" w:space="0" w:color="auto"/>
                      </w:divBdr>
                    </w:div>
                  </w:divsChild>
                </w:div>
                <w:div w:id="648486917">
                  <w:marLeft w:val="0"/>
                  <w:marRight w:val="0"/>
                  <w:marTop w:val="0"/>
                  <w:marBottom w:val="0"/>
                  <w:divBdr>
                    <w:top w:val="none" w:sz="0" w:space="0" w:color="auto"/>
                    <w:left w:val="none" w:sz="0" w:space="0" w:color="auto"/>
                    <w:bottom w:val="none" w:sz="0" w:space="0" w:color="auto"/>
                    <w:right w:val="none" w:sz="0" w:space="0" w:color="auto"/>
                  </w:divBdr>
                  <w:divsChild>
                    <w:div w:id="1083600781">
                      <w:marLeft w:val="0"/>
                      <w:marRight w:val="0"/>
                      <w:marTop w:val="0"/>
                      <w:marBottom w:val="0"/>
                      <w:divBdr>
                        <w:top w:val="none" w:sz="0" w:space="0" w:color="auto"/>
                        <w:left w:val="none" w:sz="0" w:space="0" w:color="auto"/>
                        <w:bottom w:val="none" w:sz="0" w:space="0" w:color="auto"/>
                        <w:right w:val="none" w:sz="0" w:space="0" w:color="auto"/>
                      </w:divBdr>
                    </w:div>
                  </w:divsChild>
                </w:div>
                <w:div w:id="654801841">
                  <w:marLeft w:val="0"/>
                  <w:marRight w:val="0"/>
                  <w:marTop w:val="0"/>
                  <w:marBottom w:val="0"/>
                  <w:divBdr>
                    <w:top w:val="none" w:sz="0" w:space="0" w:color="auto"/>
                    <w:left w:val="none" w:sz="0" w:space="0" w:color="auto"/>
                    <w:bottom w:val="none" w:sz="0" w:space="0" w:color="auto"/>
                    <w:right w:val="none" w:sz="0" w:space="0" w:color="auto"/>
                  </w:divBdr>
                  <w:divsChild>
                    <w:div w:id="1581138930">
                      <w:marLeft w:val="0"/>
                      <w:marRight w:val="0"/>
                      <w:marTop w:val="0"/>
                      <w:marBottom w:val="0"/>
                      <w:divBdr>
                        <w:top w:val="none" w:sz="0" w:space="0" w:color="auto"/>
                        <w:left w:val="none" w:sz="0" w:space="0" w:color="auto"/>
                        <w:bottom w:val="none" w:sz="0" w:space="0" w:color="auto"/>
                        <w:right w:val="none" w:sz="0" w:space="0" w:color="auto"/>
                      </w:divBdr>
                    </w:div>
                  </w:divsChild>
                </w:div>
                <w:div w:id="661929342">
                  <w:marLeft w:val="0"/>
                  <w:marRight w:val="0"/>
                  <w:marTop w:val="0"/>
                  <w:marBottom w:val="0"/>
                  <w:divBdr>
                    <w:top w:val="none" w:sz="0" w:space="0" w:color="auto"/>
                    <w:left w:val="none" w:sz="0" w:space="0" w:color="auto"/>
                    <w:bottom w:val="none" w:sz="0" w:space="0" w:color="auto"/>
                    <w:right w:val="none" w:sz="0" w:space="0" w:color="auto"/>
                  </w:divBdr>
                  <w:divsChild>
                    <w:div w:id="1023167024">
                      <w:marLeft w:val="0"/>
                      <w:marRight w:val="0"/>
                      <w:marTop w:val="0"/>
                      <w:marBottom w:val="0"/>
                      <w:divBdr>
                        <w:top w:val="none" w:sz="0" w:space="0" w:color="auto"/>
                        <w:left w:val="none" w:sz="0" w:space="0" w:color="auto"/>
                        <w:bottom w:val="none" w:sz="0" w:space="0" w:color="auto"/>
                        <w:right w:val="none" w:sz="0" w:space="0" w:color="auto"/>
                      </w:divBdr>
                    </w:div>
                  </w:divsChild>
                </w:div>
                <w:div w:id="668293955">
                  <w:marLeft w:val="0"/>
                  <w:marRight w:val="0"/>
                  <w:marTop w:val="0"/>
                  <w:marBottom w:val="0"/>
                  <w:divBdr>
                    <w:top w:val="none" w:sz="0" w:space="0" w:color="auto"/>
                    <w:left w:val="none" w:sz="0" w:space="0" w:color="auto"/>
                    <w:bottom w:val="none" w:sz="0" w:space="0" w:color="auto"/>
                    <w:right w:val="none" w:sz="0" w:space="0" w:color="auto"/>
                  </w:divBdr>
                  <w:divsChild>
                    <w:div w:id="1536309393">
                      <w:marLeft w:val="0"/>
                      <w:marRight w:val="0"/>
                      <w:marTop w:val="0"/>
                      <w:marBottom w:val="0"/>
                      <w:divBdr>
                        <w:top w:val="none" w:sz="0" w:space="0" w:color="auto"/>
                        <w:left w:val="none" w:sz="0" w:space="0" w:color="auto"/>
                        <w:bottom w:val="none" w:sz="0" w:space="0" w:color="auto"/>
                        <w:right w:val="none" w:sz="0" w:space="0" w:color="auto"/>
                      </w:divBdr>
                    </w:div>
                  </w:divsChild>
                </w:div>
                <w:div w:id="672607270">
                  <w:marLeft w:val="0"/>
                  <w:marRight w:val="0"/>
                  <w:marTop w:val="0"/>
                  <w:marBottom w:val="0"/>
                  <w:divBdr>
                    <w:top w:val="none" w:sz="0" w:space="0" w:color="auto"/>
                    <w:left w:val="none" w:sz="0" w:space="0" w:color="auto"/>
                    <w:bottom w:val="none" w:sz="0" w:space="0" w:color="auto"/>
                    <w:right w:val="none" w:sz="0" w:space="0" w:color="auto"/>
                  </w:divBdr>
                  <w:divsChild>
                    <w:div w:id="316307572">
                      <w:marLeft w:val="0"/>
                      <w:marRight w:val="0"/>
                      <w:marTop w:val="0"/>
                      <w:marBottom w:val="0"/>
                      <w:divBdr>
                        <w:top w:val="none" w:sz="0" w:space="0" w:color="auto"/>
                        <w:left w:val="none" w:sz="0" w:space="0" w:color="auto"/>
                        <w:bottom w:val="none" w:sz="0" w:space="0" w:color="auto"/>
                        <w:right w:val="none" w:sz="0" w:space="0" w:color="auto"/>
                      </w:divBdr>
                    </w:div>
                  </w:divsChild>
                </w:div>
                <w:div w:id="682435979">
                  <w:marLeft w:val="0"/>
                  <w:marRight w:val="0"/>
                  <w:marTop w:val="0"/>
                  <w:marBottom w:val="0"/>
                  <w:divBdr>
                    <w:top w:val="none" w:sz="0" w:space="0" w:color="auto"/>
                    <w:left w:val="none" w:sz="0" w:space="0" w:color="auto"/>
                    <w:bottom w:val="none" w:sz="0" w:space="0" w:color="auto"/>
                    <w:right w:val="none" w:sz="0" w:space="0" w:color="auto"/>
                  </w:divBdr>
                  <w:divsChild>
                    <w:div w:id="1730302923">
                      <w:marLeft w:val="0"/>
                      <w:marRight w:val="0"/>
                      <w:marTop w:val="0"/>
                      <w:marBottom w:val="0"/>
                      <w:divBdr>
                        <w:top w:val="none" w:sz="0" w:space="0" w:color="auto"/>
                        <w:left w:val="none" w:sz="0" w:space="0" w:color="auto"/>
                        <w:bottom w:val="none" w:sz="0" w:space="0" w:color="auto"/>
                        <w:right w:val="none" w:sz="0" w:space="0" w:color="auto"/>
                      </w:divBdr>
                    </w:div>
                  </w:divsChild>
                </w:div>
                <w:div w:id="696391119">
                  <w:marLeft w:val="0"/>
                  <w:marRight w:val="0"/>
                  <w:marTop w:val="0"/>
                  <w:marBottom w:val="0"/>
                  <w:divBdr>
                    <w:top w:val="none" w:sz="0" w:space="0" w:color="auto"/>
                    <w:left w:val="none" w:sz="0" w:space="0" w:color="auto"/>
                    <w:bottom w:val="none" w:sz="0" w:space="0" w:color="auto"/>
                    <w:right w:val="none" w:sz="0" w:space="0" w:color="auto"/>
                  </w:divBdr>
                  <w:divsChild>
                    <w:div w:id="1069112948">
                      <w:marLeft w:val="0"/>
                      <w:marRight w:val="0"/>
                      <w:marTop w:val="0"/>
                      <w:marBottom w:val="0"/>
                      <w:divBdr>
                        <w:top w:val="none" w:sz="0" w:space="0" w:color="auto"/>
                        <w:left w:val="none" w:sz="0" w:space="0" w:color="auto"/>
                        <w:bottom w:val="none" w:sz="0" w:space="0" w:color="auto"/>
                        <w:right w:val="none" w:sz="0" w:space="0" w:color="auto"/>
                      </w:divBdr>
                    </w:div>
                  </w:divsChild>
                </w:div>
                <w:div w:id="699286419">
                  <w:marLeft w:val="0"/>
                  <w:marRight w:val="0"/>
                  <w:marTop w:val="0"/>
                  <w:marBottom w:val="0"/>
                  <w:divBdr>
                    <w:top w:val="none" w:sz="0" w:space="0" w:color="auto"/>
                    <w:left w:val="none" w:sz="0" w:space="0" w:color="auto"/>
                    <w:bottom w:val="none" w:sz="0" w:space="0" w:color="auto"/>
                    <w:right w:val="none" w:sz="0" w:space="0" w:color="auto"/>
                  </w:divBdr>
                  <w:divsChild>
                    <w:div w:id="1194461903">
                      <w:marLeft w:val="0"/>
                      <w:marRight w:val="0"/>
                      <w:marTop w:val="0"/>
                      <w:marBottom w:val="0"/>
                      <w:divBdr>
                        <w:top w:val="none" w:sz="0" w:space="0" w:color="auto"/>
                        <w:left w:val="none" w:sz="0" w:space="0" w:color="auto"/>
                        <w:bottom w:val="none" w:sz="0" w:space="0" w:color="auto"/>
                        <w:right w:val="none" w:sz="0" w:space="0" w:color="auto"/>
                      </w:divBdr>
                    </w:div>
                  </w:divsChild>
                </w:div>
                <w:div w:id="700283374">
                  <w:marLeft w:val="0"/>
                  <w:marRight w:val="0"/>
                  <w:marTop w:val="0"/>
                  <w:marBottom w:val="0"/>
                  <w:divBdr>
                    <w:top w:val="none" w:sz="0" w:space="0" w:color="auto"/>
                    <w:left w:val="none" w:sz="0" w:space="0" w:color="auto"/>
                    <w:bottom w:val="none" w:sz="0" w:space="0" w:color="auto"/>
                    <w:right w:val="none" w:sz="0" w:space="0" w:color="auto"/>
                  </w:divBdr>
                  <w:divsChild>
                    <w:div w:id="254943592">
                      <w:marLeft w:val="0"/>
                      <w:marRight w:val="0"/>
                      <w:marTop w:val="0"/>
                      <w:marBottom w:val="0"/>
                      <w:divBdr>
                        <w:top w:val="none" w:sz="0" w:space="0" w:color="auto"/>
                        <w:left w:val="none" w:sz="0" w:space="0" w:color="auto"/>
                        <w:bottom w:val="none" w:sz="0" w:space="0" w:color="auto"/>
                        <w:right w:val="none" w:sz="0" w:space="0" w:color="auto"/>
                      </w:divBdr>
                    </w:div>
                  </w:divsChild>
                </w:div>
                <w:div w:id="704210222">
                  <w:marLeft w:val="0"/>
                  <w:marRight w:val="0"/>
                  <w:marTop w:val="0"/>
                  <w:marBottom w:val="0"/>
                  <w:divBdr>
                    <w:top w:val="none" w:sz="0" w:space="0" w:color="auto"/>
                    <w:left w:val="none" w:sz="0" w:space="0" w:color="auto"/>
                    <w:bottom w:val="none" w:sz="0" w:space="0" w:color="auto"/>
                    <w:right w:val="none" w:sz="0" w:space="0" w:color="auto"/>
                  </w:divBdr>
                  <w:divsChild>
                    <w:div w:id="1445997345">
                      <w:marLeft w:val="0"/>
                      <w:marRight w:val="0"/>
                      <w:marTop w:val="0"/>
                      <w:marBottom w:val="0"/>
                      <w:divBdr>
                        <w:top w:val="none" w:sz="0" w:space="0" w:color="auto"/>
                        <w:left w:val="none" w:sz="0" w:space="0" w:color="auto"/>
                        <w:bottom w:val="none" w:sz="0" w:space="0" w:color="auto"/>
                        <w:right w:val="none" w:sz="0" w:space="0" w:color="auto"/>
                      </w:divBdr>
                    </w:div>
                  </w:divsChild>
                </w:div>
                <w:div w:id="720789906">
                  <w:marLeft w:val="0"/>
                  <w:marRight w:val="0"/>
                  <w:marTop w:val="0"/>
                  <w:marBottom w:val="0"/>
                  <w:divBdr>
                    <w:top w:val="none" w:sz="0" w:space="0" w:color="auto"/>
                    <w:left w:val="none" w:sz="0" w:space="0" w:color="auto"/>
                    <w:bottom w:val="none" w:sz="0" w:space="0" w:color="auto"/>
                    <w:right w:val="none" w:sz="0" w:space="0" w:color="auto"/>
                  </w:divBdr>
                  <w:divsChild>
                    <w:div w:id="426971422">
                      <w:marLeft w:val="0"/>
                      <w:marRight w:val="0"/>
                      <w:marTop w:val="0"/>
                      <w:marBottom w:val="0"/>
                      <w:divBdr>
                        <w:top w:val="none" w:sz="0" w:space="0" w:color="auto"/>
                        <w:left w:val="none" w:sz="0" w:space="0" w:color="auto"/>
                        <w:bottom w:val="none" w:sz="0" w:space="0" w:color="auto"/>
                        <w:right w:val="none" w:sz="0" w:space="0" w:color="auto"/>
                      </w:divBdr>
                    </w:div>
                  </w:divsChild>
                </w:div>
                <w:div w:id="729692213">
                  <w:marLeft w:val="0"/>
                  <w:marRight w:val="0"/>
                  <w:marTop w:val="0"/>
                  <w:marBottom w:val="0"/>
                  <w:divBdr>
                    <w:top w:val="none" w:sz="0" w:space="0" w:color="auto"/>
                    <w:left w:val="none" w:sz="0" w:space="0" w:color="auto"/>
                    <w:bottom w:val="none" w:sz="0" w:space="0" w:color="auto"/>
                    <w:right w:val="none" w:sz="0" w:space="0" w:color="auto"/>
                  </w:divBdr>
                  <w:divsChild>
                    <w:div w:id="342242766">
                      <w:marLeft w:val="0"/>
                      <w:marRight w:val="0"/>
                      <w:marTop w:val="0"/>
                      <w:marBottom w:val="0"/>
                      <w:divBdr>
                        <w:top w:val="none" w:sz="0" w:space="0" w:color="auto"/>
                        <w:left w:val="none" w:sz="0" w:space="0" w:color="auto"/>
                        <w:bottom w:val="none" w:sz="0" w:space="0" w:color="auto"/>
                        <w:right w:val="none" w:sz="0" w:space="0" w:color="auto"/>
                      </w:divBdr>
                    </w:div>
                  </w:divsChild>
                </w:div>
                <w:div w:id="738868716">
                  <w:marLeft w:val="0"/>
                  <w:marRight w:val="0"/>
                  <w:marTop w:val="0"/>
                  <w:marBottom w:val="0"/>
                  <w:divBdr>
                    <w:top w:val="none" w:sz="0" w:space="0" w:color="auto"/>
                    <w:left w:val="none" w:sz="0" w:space="0" w:color="auto"/>
                    <w:bottom w:val="none" w:sz="0" w:space="0" w:color="auto"/>
                    <w:right w:val="none" w:sz="0" w:space="0" w:color="auto"/>
                  </w:divBdr>
                  <w:divsChild>
                    <w:div w:id="1460371272">
                      <w:marLeft w:val="0"/>
                      <w:marRight w:val="0"/>
                      <w:marTop w:val="0"/>
                      <w:marBottom w:val="0"/>
                      <w:divBdr>
                        <w:top w:val="none" w:sz="0" w:space="0" w:color="auto"/>
                        <w:left w:val="none" w:sz="0" w:space="0" w:color="auto"/>
                        <w:bottom w:val="none" w:sz="0" w:space="0" w:color="auto"/>
                        <w:right w:val="none" w:sz="0" w:space="0" w:color="auto"/>
                      </w:divBdr>
                    </w:div>
                  </w:divsChild>
                </w:div>
                <w:div w:id="742340663">
                  <w:marLeft w:val="0"/>
                  <w:marRight w:val="0"/>
                  <w:marTop w:val="0"/>
                  <w:marBottom w:val="0"/>
                  <w:divBdr>
                    <w:top w:val="none" w:sz="0" w:space="0" w:color="auto"/>
                    <w:left w:val="none" w:sz="0" w:space="0" w:color="auto"/>
                    <w:bottom w:val="none" w:sz="0" w:space="0" w:color="auto"/>
                    <w:right w:val="none" w:sz="0" w:space="0" w:color="auto"/>
                  </w:divBdr>
                  <w:divsChild>
                    <w:div w:id="1331056026">
                      <w:marLeft w:val="0"/>
                      <w:marRight w:val="0"/>
                      <w:marTop w:val="0"/>
                      <w:marBottom w:val="0"/>
                      <w:divBdr>
                        <w:top w:val="none" w:sz="0" w:space="0" w:color="auto"/>
                        <w:left w:val="none" w:sz="0" w:space="0" w:color="auto"/>
                        <w:bottom w:val="none" w:sz="0" w:space="0" w:color="auto"/>
                        <w:right w:val="none" w:sz="0" w:space="0" w:color="auto"/>
                      </w:divBdr>
                    </w:div>
                  </w:divsChild>
                </w:div>
                <w:div w:id="751580824">
                  <w:marLeft w:val="0"/>
                  <w:marRight w:val="0"/>
                  <w:marTop w:val="0"/>
                  <w:marBottom w:val="0"/>
                  <w:divBdr>
                    <w:top w:val="none" w:sz="0" w:space="0" w:color="auto"/>
                    <w:left w:val="none" w:sz="0" w:space="0" w:color="auto"/>
                    <w:bottom w:val="none" w:sz="0" w:space="0" w:color="auto"/>
                    <w:right w:val="none" w:sz="0" w:space="0" w:color="auto"/>
                  </w:divBdr>
                  <w:divsChild>
                    <w:div w:id="1329022752">
                      <w:marLeft w:val="0"/>
                      <w:marRight w:val="0"/>
                      <w:marTop w:val="0"/>
                      <w:marBottom w:val="0"/>
                      <w:divBdr>
                        <w:top w:val="none" w:sz="0" w:space="0" w:color="auto"/>
                        <w:left w:val="none" w:sz="0" w:space="0" w:color="auto"/>
                        <w:bottom w:val="none" w:sz="0" w:space="0" w:color="auto"/>
                        <w:right w:val="none" w:sz="0" w:space="0" w:color="auto"/>
                      </w:divBdr>
                    </w:div>
                  </w:divsChild>
                </w:div>
                <w:div w:id="778838321">
                  <w:marLeft w:val="0"/>
                  <w:marRight w:val="0"/>
                  <w:marTop w:val="0"/>
                  <w:marBottom w:val="0"/>
                  <w:divBdr>
                    <w:top w:val="none" w:sz="0" w:space="0" w:color="auto"/>
                    <w:left w:val="none" w:sz="0" w:space="0" w:color="auto"/>
                    <w:bottom w:val="none" w:sz="0" w:space="0" w:color="auto"/>
                    <w:right w:val="none" w:sz="0" w:space="0" w:color="auto"/>
                  </w:divBdr>
                  <w:divsChild>
                    <w:div w:id="1429347982">
                      <w:marLeft w:val="0"/>
                      <w:marRight w:val="0"/>
                      <w:marTop w:val="0"/>
                      <w:marBottom w:val="0"/>
                      <w:divBdr>
                        <w:top w:val="none" w:sz="0" w:space="0" w:color="auto"/>
                        <w:left w:val="none" w:sz="0" w:space="0" w:color="auto"/>
                        <w:bottom w:val="none" w:sz="0" w:space="0" w:color="auto"/>
                        <w:right w:val="none" w:sz="0" w:space="0" w:color="auto"/>
                      </w:divBdr>
                    </w:div>
                  </w:divsChild>
                </w:div>
                <w:div w:id="790396311">
                  <w:marLeft w:val="0"/>
                  <w:marRight w:val="0"/>
                  <w:marTop w:val="0"/>
                  <w:marBottom w:val="0"/>
                  <w:divBdr>
                    <w:top w:val="none" w:sz="0" w:space="0" w:color="auto"/>
                    <w:left w:val="none" w:sz="0" w:space="0" w:color="auto"/>
                    <w:bottom w:val="none" w:sz="0" w:space="0" w:color="auto"/>
                    <w:right w:val="none" w:sz="0" w:space="0" w:color="auto"/>
                  </w:divBdr>
                  <w:divsChild>
                    <w:div w:id="623197263">
                      <w:marLeft w:val="0"/>
                      <w:marRight w:val="0"/>
                      <w:marTop w:val="0"/>
                      <w:marBottom w:val="0"/>
                      <w:divBdr>
                        <w:top w:val="none" w:sz="0" w:space="0" w:color="auto"/>
                        <w:left w:val="none" w:sz="0" w:space="0" w:color="auto"/>
                        <w:bottom w:val="none" w:sz="0" w:space="0" w:color="auto"/>
                        <w:right w:val="none" w:sz="0" w:space="0" w:color="auto"/>
                      </w:divBdr>
                    </w:div>
                  </w:divsChild>
                </w:div>
                <w:div w:id="791944049">
                  <w:marLeft w:val="0"/>
                  <w:marRight w:val="0"/>
                  <w:marTop w:val="0"/>
                  <w:marBottom w:val="0"/>
                  <w:divBdr>
                    <w:top w:val="none" w:sz="0" w:space="0" w:color="auto"/>
                    <w:left w:val="none" w:sz="0" w:space="0" w:color="auto"/>
                    <w:bottom w:val="none" w:sz="0" w:space="0" w:color="auto"/>
                    <w:right w:val="none" w:sz="0" w:space="0" w:color="auto"/>
                  </w:divBdr>
                  <w:divsChild>
                    <w:div w:id="757294118">
                      <w:marLeft w:val="0"/>
                      <w:marRight w:val="0"/>
                      <w:marTop w:val="0"/>
                      <w:marBottom w:val="0"/>
                      <w:divBdr>
                        <w:top w:val="none" w:sz="0" w:space="0" w:color="auto"/>
                        <w:left w:val="none" w:sz="0" w:space="0" w:color="auto"/>
                        <w:bottom w:val="none" w:sz="0" w:space="0" w:color="auto"/>
                        <w:right w:val="none" w:sz="0" w:space="0" w:color="auto"/>
                      </w:divBdr>
                    </w:div>
                  </w:divsChild>
                </w:div>
                <w:div w:id="801464481">
                  <w:marLeft w:val="0"/>
                  <w:marRight w:val="0"/>
                  <w:marTop w:val="0"/>
                  <w:marBottom w:val="0"/>
                  <w:divBdr>
                    <w:top w:val="none" w:sz="0" w:space="0" w:color="auto"/>
                    <w:left w:val="none" w:sz="0" w:space="0" w:color="auto"/>
                    <w:bottom w:val="none" w:sz="0" w:space="0" w:color="auto"/>
                    <w:right w:val="none" w:sz="0" w:space="0" w:color="auto"/>
                  </w:divBdr>
                  <w:divsChild>
                    <w:div w:id="1033725073">
                      <w:marLeft w:val="0"/>
                      <w:marRight w:val="0"/>
                      <w:marTop w:val="0"/>
                      <w:marBottom w:val="0"/>
                      <w:divBdr>
                        <w:top w:val="none" w:sz="0" w:space="0" w:color="auto"/>
                        <w:left w:val="none" w:sz="0" w:space="0" w:color="auto"/>
                        <w:bottom w:val="none" w:sz="0" w:space="0" w:color="auto"/>
                        <w:right w:val="none" w:sz="0" w:space="0" w:color="auto"/>
                      </w:divBdr>
                    </w:div>
                  </w:divsChild>
                </w:div>
                <w:div w:id="803620437">
                  <w:marLeft w:val="0"/>
                  <w:marRight w:val="0"/>
                  <w:marTop w:val="0"/>
                  <w:marBottom w:val="0"/>
                  <w:divBdr>
                    <w:top w:val="none" w:sz="0" w:space="0" w:color="auto"/>
                    <w:left w:val="none" w:sz="0" w:space="0" w:color="auto"/>
                    <w:bottom w:val="none" w:sz="0" w:space="0" w:color="auto"/>
                    <w:right w:val="none" w:sz="0" w:space="0" w:color="auto"/>
                  </w:divBdr>
                  <w:divsChild>
                    <w:div w:id="624459009">
                      <w:marLeft w:val="0"/>
                      <w:marRight w:val="0"/>
                      <w:marTop w:val="0"/>
                      <w:marBottom w:val="0"/>
                      <w:divBdr>
                        <w:top w:val="none" w:sz="0" w:space="0" w:color="auto"/>
                        <w:left w:val="none" w:sz="0" w:space="0" w:color="auto"/>
                        <w:bottom w:val="none" w:sz="0" w:space="0" w:color="auto"/>
                        <w:right w:val="none" w:sz="0" w:space="0" w:color="auto"/>
                      </w:divBdr>
                    </w:div>
                  </w:divsChild>
                </w:div>
                <w:div w:id="808549804">
                  <w:marLeft w:val="0"/>
                  <w:marRight w:val="0"/>
                  <w:marTop w:val="0"/>
                  <w:marBottom w:val="0"/>
                  <w:divBdr>
                    <w:top w:val="none" w:sz="0" w:space="0" w:color="auto"/>
                    <w:left w:val="none" w:sz="0" w:space="0" w:color="auto"/>
                    <w:bottom w:val="none" w:sz="0" w:space="0" w:color="auto"/>
                    <w:right w:val="none" w:sz="0" w:space="0" w:color="auto"/>
                  </w:divBdr>
                  <w:divsChild>
                    <w:div w:id="1558516592">
                      <w:marLeft w:val="0"/>
                      <w:marRight w:val="0"/>
                      <w:marTop w:val="0"/>
                      <w:marBottom w:val="0"/>
                      <w:divBdr>
                        <w:top w:val="none" w:sz="0" w:space="0" w:color="auto"/>
                        <w:left w:val="none" w:sz="0" w:space="0" w:color="auto"/>
                        <w:bottom w:val="none" w:sz="0" w:space="0" w:color="auto"/>
                        <w:right w:val="none" w:sz="0" w:space="0" w:color="auto"/>
                      </w:divBdr>
                    </w:div>
                  </w:divsChild>
                </w:div>
                <w:div w:id="821506740">
                  <w:marLeft w:val="0"/>
                  <w:marRight w:val="0"/>
                  <w:marTop w:val="0"/>
                  <w:marBottom w:val="0"/>
                  <w:divBdr>
                    <w:top w:val="none" w:sz="0" w:space="0" w:color="auto"/>
                    <w:left w:val="none" w:sz="0" w:space="0" w:color="auto"/>
                    <w:bottom w:val="none" w:sz="0" w:space="0" w:color="auto"/>
                    <w:right w:val="none" w:sz="0" w:space="0" w:color="auto"/>
                  </w:divBdr>
                  <w:divsChild>
                    <w:div w:id="1485732440">
                      <w:marLeft w:val="0"/>
                      <w:marRight w:val="0"/>
                      <w:marTop w:val="0"/>
                      <w:marBottom w:val="0"/>
                      <w:divBdr>
                        <w:top w:val="none" w:sz="0" w:space="0" w:color="auto"/>
                        <w:left w:val="none" w:sz="0" w:space="0" w:color="auto"/>
                        <w:bottom w:val="none" w:sz="0" w:space="0" w:color="auto"/>
                        <w:right w:val="none" w:sz="0" w:space="0" w:color="auto"/>
                      </w:divBdr>
                    </w:div>
                  </w:divsChild>
                </w:div>
                <w:div w:id="853346620">
                  <w:marLeft w:val="0"/>
                  <w:marRight w:val="0"/>
                  <w:marTop w:val="0"/>
                  <w:marBottom w:val="0"/>
                  <w:divBdr>
                    <w:top w:val="none" w:sz="0" w:space="0" w:color="auto"/>
                    <w:left w:val="none" w:sz="0" w:space="0" w:color="auto"/>
                    <w:bottom w:val="none" w:sz="0" w:space="0" w:color="auto"/>
                    <w:right w:val="none" w:sz="0" w:space="0" w:color="auto"/>
                  </w:divBdr>
                  <w:divsChild>
                    <w:div w:id="1430814230">
                      <w:marLeft w:val="0"/>
                      <w:marRight w:val="0"/>
                      <w:marTop w:val="0"/>
                      <w:marBottom w:val="0"/>
                      <w:divBdr>
                        <w:top w:val="none" w:sz="0" w:space="0" w:color="auto"/>
                        <w:left w:val="none" w:sz="0" w:space="0" w:color="auto"/>
                        <w:bottom w:val="none" w:sz="0" w:space="0" w:color="auto"/>
                        <w:right w:val="none" w:sz="0" w:space="0" w:color="auto"/>
                      </w:divBdr>
                    </w:div>
                  </w:divsChild>
                </w:div>
                <w:div w:id="874199134">
                  <w:marLeft w:val="0"/>
                  <w:marRight w:val="0"/>
                  <w:marTop w:val="0"/>
                  <w:marBottom w:val="0"/>
                  <w:divBdr>
                    <w:top w:val="none" w:sz="0" w:space="0" w:color="auto"/>
                    <w:left w:val="none" w:sz="0" w:space="0" w:color="auto"/>
                    <w:bottom w:val="none" w:sz="0" w:space="0" w:color="auto"/>
                    <w:right w:val="none" w:sz="0" w:space="0" w:color="auto"/>
                  </w:divBdr>
                  <w:divsChild>
                    <w:div w:id="211384847">
                      <w:marLeft w:val="0"/>
                      <w:marRight w:val="0"/>
                      <w:marTop w:val="0"/>
                      <w:marBottom w:val="0"/>
                      <w:divBdr>
                        <w:top w:val="none" w:sz="0" w:space="0" w:color="auto"/>
                        <w:left w:val="none" w:sz="0" w:space="0" w:color="auto"/>
                        <w:bottom w:val="none" w:sz="0" w:space="0" w:color="auto"/>
                        <w:right w:val="none" w:sz="0" w:space="0" w:color="auto"/>
                      </w:divBdr>
                    </w:div>
                  </w:divsChild>
                </w:div>
                <w:div w:id="898901858">
                  <w:marLeft w:val="0"/>
                  <w:marRight w:val="0"/>
                  <w:marTop w:val="0"/>
                  <w:marBottom w:val="0"/>
                  <w:divBdr>
                    <w:top w:val="none" w:sz="0" w:space="0" w:color="auto"/>
                    <w:left w:val="none" w:sz="0" w:space="0" w:color="auto"/>
                    <w:bottom w:val="none" w:sz="0" w:space="0" w:color="auto"/>
                    <w:right w:val="none" w:sz="0" w:space="0" w:color="auto"/>
                  </w:divBdr>
                  <w:divsChild>
                    <w:div w:id="1762796094">
                      <w:marLeft w:val="0"/>
                      <w:marRight w:val="0"/>
                      <w:marTop w:val="0"/>
                      <w:marBottom w:val="0"/>
                      <w:divBdr>
                        <w:top w:val="none" w:sz="0" w:space="0" w:color="auto"/>
                        <w:left w:val="none" w:sz="0" w:space="0" w:color="auto"/>
                        <w:bottom w:val="none" w:sz="0" w:space="0" w:color="auto"/>
                        <w:right w:val="none" w:sz="0" w:space="0" w:color="auto"/>
                      </w:divBdr>
                    </w:div>
                  </w:divsChild>
                </w:div>
                <w:div w:id="899443229">
                  <w:marLeft w:val="0"/>
                  <w:marRight w:val="0"/>
                  <w:marTop w:val="0"/>
                  <w:marBottom w:val="0"/>
                  <w:divBdr>
                    <w:top w:val="none" w:sz="0" w:space="0" w:color="auto"/>
                    <w:left w:val="none" w:sz="0" w:space="0" w:color="auto"/>
                    <w:bottom w:val="none" w:sz="0" w:space="0" w:color="auto"/>
                    <w:right w:val="none" w:sz="0" w:space="0" w:color="auto"/>
                  </w:divBdr>
                  <w:divsChild>
                    <w:div w:id="1024403984">
                      <w:marLeft w:val="0"/>
                      <w:marRight w:val="0"/>
                      <w:marTop w:val="0"/>
                      <w:marBottom w:val="0"/>
                      <w:divBdr>
                        <w:top w:val="none" w:sz="0" w:space="0" w:color="auto"/>
                        <w:left w:val="none" w:sz="0" w:space="0" w:color="auto"/>
                        <w:bottom w:val="none" w:sz="0" w:space="0" w:color="auto"/>
                        <w:right w:val="none" w:sz="0" w:space="0" w:color="auto"/>
                      </w:divBdr>
                    </w:div>
                  </w:divsChild>
                </w:div>
                <w:div w:id="902644881">
                  <w:marLeft w:val="0"/>
                  <w:marRight w:val="0"/>
                  <w:marTop w:val="0"/>
                  <w:marBottom w:val="0"/>
                  <w:divBdr>
                    <w:top w:val="none" w:sz="0" w:space="0" w:color="auto"/>
                    <w:left w:val="none" w:sz="0" w:space="0" w:color="auto"/>
                    <w:bottom w:val="none" w:sz="0" w:space="0" w:color="auto"/>
                    <w:right w:val="none" w:sz="0" w:space="0" w:color="auto"/>
                  </w:divBdr>
                  <w:divsChild>
                    <w:div w:id="2070224409">
                      <w:marLeft w:val="0"/>
                      <w:marRight w:val="0"/>
                      <w:marTop w:val="0"/>
                      <w:marBottom w:val="0"/>
                      <w:divBdr>
                        <w:top w:val="none" w:sz="0" w:space="0" w:color="auto"/>
                        <w:left w:val="none" w:sz="0" w:space="0" w:color="auto"/>
                        <w:bottom w:val="none" w:sz="0" w:space="0" w:color="auto"/>
                        <w:right w:val="none" w:sz="0" w:space="0" w:color="auto"/>
                      </w:divBdr>
                    </w:div>
                  </w:divsChild>
                </w:div>
                <w:div w:id="931550865">
                  <w:marLeft w:val="0"/>
                  <w:marRight w:val="0"/>
                  <w:marTop w:val="0"/>
                  <w:marBottom w:val="0"/>
                  <w:divBdr>
                    <w:top w:val="none" w:sz="0" w:space="0" w:color="auto"/>
                    <w:left w:val="none" w:sz="0" w:space="0" w:color="auto"/>
                    <w:bottom w:val="none" w:sz="0" w:space="0" w:color="auto"/>
                    <w:right w:val="none" w:sz="0" w:space="0" w:color="auto"/>
                  </w:divBdr>
                  <w:divsChild>
                    <w:div w:id="615067616">
                      <w:marLeft w:val="0"/>
                      <w:marRight w:val="0"/>
                      <w:marTop w:val="0"/>
                      <w:marBottom w:val="0"/>
                      <w:divBdr>
                        <w:top w:val="none" w:sz="0" w:space="0" w:color="auto"/>
                        <w:left w:val="none" w:sz="0" w:space="0" w:color="auto"/>
                        <w:bottom w:val="none" w:sz="0" w:space="0" w:color="auto"/>
                        <w:right w:val="none" w:sz="0" w:space="0" w:color="auto"/>
                      </w:divBdr>
                    </w:div>
                  </w:divsChild>
                </w:div>
                <w:div w:id="935284337">
                  <w:marLeft w:val="0"/>
                  <w:marRight w:val="0"/>
                  <w:marTop w:val="0"/>
                  <w:marBottom w:val="0"/>
                  <w:divBdr>
                    <w:top w:val="none" w:sz="0" w:space="0" w:color="auto"/>
                    <w:left w:val="none" w:sz="0" w:space="0" w:color="auto"/>
                    <w:bottom w:val="none" w:sz="0" w:space="0" w:color="auto"/>
                    <w:right w:val="none" w:sz="0" w:space="0" w:color="auto"/>
                  </w:divBdr>
                  <w:divsChild>
                    <w:div w:id="106431199">
                      <w:marLeft w:val="0"/>
                      <w:marRight w:val="0"/>
                      <w:marTop w:val="0"/>
                      <w:marBottom w:val="0"/>
                      <w:divBdr>
                        <w:top w:val="none" w:sz="0" w:space="0" w:color="auto"/>
                        <w:left w:val="none" w:sz="0" w:space="0" w:color="auto"/>
                        <w:bottom w:val="none" w:sz="0" w:space="0" w:color="auto"/>
                        <w:right w:val="none" w:sz="0" w:space="0" w:color="auto"/>
                      </w:divBdr>
                    </w:div>
                  </w:divsChild>
                </w:div>
                <w:div w:id="937634763">
                  <w:marLeft w:val="0"/>
                  <w:marRight w:val="0"/>
                  <w:marTop w:val="0"/>
                  <w:marBottom w:val="0"/>
                  <w:divBdr>
                    <w:top w:val="none" w:sz="0" w:space="0" w:color="auto"/>
                    <w:left w:val="none" w:sz="0" w:space="0" w:color="auto"/>
                    <w:bottom w:val="none" w:sz="0" w:space="0" w:color="auto"/>
                    <w:right w:val="none" w:sz="0" w:space="0" w:color="auto"/>
                  </w:divBdr>
                  <w:divsChild>
                    <w:div w:id="1324550166">
                      <w:marLeft w:val="0"/>
                      <w:marRight w:val="0"/>
                      <w:marTop w:val="0"/>
                      <w:marBottom w:val="0"/>
                      <w:divBdr>
                        <w:top w:val="none" w:sz="0" w:space="0" w:color="auto"/>
                        <w:left w:val="none" w:sz="0" w:space="0" w:color="auto"/>
                        <w:bottom w:val="none" w:sz="0" w:space="0" w:color="auto"/>
                        <w:right w:val="none" w:sz="0" w:space="0" w:color="auto"/>
                      </w:divBdr>
                    </w:div>
                  </w:divsChild>
                </w:div>
                <w:div w:id="967007643">
                  <w:marLeft w:val="0"/>
                  <w:marRight w:val="0"/>
                  <w:marTop w:val="0"/>
                  <w:marBottom w:val="0"/>
                  <w:divBdr>
                    <w:top w:val="none" w:sz="0" w:space="0" w:color="auto"/>
                    <w:left w:val="none" w:sz="0" w:space="0" w:color="auto"/>
                    <w:bottom w:val="none" w:sz="0" w:space="0" w:color="auto"/>
                    <w:right w:val="none" w:sz="0" w:space="0" w:color="auto"/>
                  </w:divBdr>
                  <w:divsChild>
                    <w:div w:id="231235165">
                      <w:marLeft w:val="0"/>
                      <w:marRight w:val="0"/>
                      <w:marTop w:val="0"/>
                      <w:marBottom w:val="0"/>
                      <w:divBdr>
                        <w:top w:val="none" w:sz="0" w:space="0" w:color="auto"/>
                        <w:left w:val="none" w:sz="0" w:space="0" w:color="auto"/>
                        <w:bottom w:val="none" w:sz="0" w:space="0" w:color="auto"/>
                        <w:right w:val="none" w:sz="0" w:space="0" w:color="auto"/>
                      </w:divBdr>
                    </w:div>
                  </w:divsChild>
                </w:div>
                <w:div w:id="979503681">
                  <w:marLeft w:val="0"/>
                  <w:marRight w:val="0"/>
                  <w:marTop w:val="0"/>
                  <w:marBottom w:val="0"/>
                  <w:divBdr>
                    <w:top w:val="none" w:sz="0" w:space="0" w:color="auto"/>
                    <w:left w:val="none" w:sz="0" w:space="0" w:color="auto"/>
                    <w:bottom w:val="none" w:sz="0" w:space="0" w:color="auto"/>
                    <w:right w:val="none" w:sz="0" w:space="0" w:color="auto"/>
                  </w:divBdr>
                  <w:divsChild>
                    <w:div w:id="2067221771">
                      <w:marLeft w:val="0"/>
                      <w:marRight w:val="0"/>
                      <w:marTop w:val="0"/>
                      <w:marBottom w:val="0"/>
                      <w:divBdr>
                        <w:top w:val="none" w:sz="0" w:space="0" w:color="auto"/>
                        <w:left w:val="none" w:sz="0" w:space="0" w:color="auto"/>
                        <w:bottom w:val="none" w:sz="0" w:space="0" w:color="auto"/>
                        <w:right w:val="none" w:sz="0" w:space="0" w:color="auto"/>
                      </w:divBdr>
                    </w:div>
                  </w:divsChild>
                </w:div>
                <w:div w:id="992102699">
                  <w:marLeft w:val="0"/>
                  <w:marRight w:val="0"/>
                  <w:marTop w:val="0"/>
                  <w:marBottom w:val="0"/>
                  <w:divBdr>
                    <w:top w:val="none" w:sz="0" w:space="0" w:color="auto"/>
                    <w:left w:val="none" w:sz="0" w:space="0" w:color="auto"/>
                    <w:bottom w:val="none" w:sz="0" w:space="0" w:color="auto"/>
                    <w:right w:val="none" w:sz="0" w:space="0" w:color="auto"/>
                  </w:divBdr>
                  <w:divsChild>
                    <w:div w:id="1573930664">
                      <w:marLeft w:val="0"/>
                      <w:marRight w:val="0"/>
                      <w:marTop w:val="0"/>
                      <w:marBottom w:val="0"/>
                      <w:divBdr>
                        <w:top w:val="none" w:sz="0" w:space="0" w:color="auto"/>
                        <w:left w:val="none" w:sz="0" w:space="0" w:color="auto"/>
                        <w:bottom w:val="none" w:sz="0" w:space="0" w:color="auto"/>
                        <w:right w:val="none" w:sz="0" w:space="0" w:color="auto"/>
                      </w:divBdr>
                    </w:div>
                  </w:divsChild>
                </w:div>
                <w:div w:id="995839663">
                  <w:marLeft w:val="0"/>
                  <w:marRight w:val="0"/>
                  <w:marTop w:val="0"/>
                  <w:marBottom w:val="0"/>
                  <w:divBdr>
                    <w:top w:val="none" w:sz="0" w:space="0" w:color="auto"/>
                    <w:left w:val="none" w:sz="0" w:space="0" w:color="auto"/>
                    <w:bottom w:val="none" w:sz="0" w:space="0" w:color="auto"/>
                    <w:right w:val="none" w:sz="0" w:space="0" w:color="auto"/>
                  </w:divBdr>
                  <w:divsChild>
                    <w:div w:id="1594586238">
                      <w:marLeft w:val="0"/>
                      <w:marRight w:val="0"/>
                      <w:marTop w:val="0"/>
                      <w:marBottom w:val="0"/>
                      <w:divBdr>
                        <w:top w:val="none" w:sz="0" w:space="0" w:color="auto"/>
                        <w:left w:val="none" w:sz="0" w:space="0" w:color="auto"/>
                        <w:bottom w:val="none" w:sz="0" w:space="0" w:color="auto"/>
                        <w:right w:val="none" w:sz="0" w:space="0" w:color="auto"/>
                      </w:divBdr>
                    </w:div>
                  </w:divsChild>
                </w:div>
                <w:div w:id="1020161774">
                  <w:marLeft w:val="0"/>
                  <w:marRight w:val="0"/>
                  <w:marTop w:val="0"/>
                  <w:marBottom w:val="0"/>
                  <w:divBdr>
                    <w:top w:val="none" w:sz="0" w:space="0" w:color="auto"/>
                    <w:left w:val="none" w:sz="0" w:space="0" w:color="auto"/>
                    <w:bottom w:val="none" w:sz="0" w:space="0" w:color="auto"/>
                    <w:right w:val="none" w:sz="0" w:space="0" w:color="auto"/>
                  </w:divBdr>
                  <w:divsChild>
                    <w:div w:id="1884442594">
                      <w:marLeft w:val="0"/>
                      <w:marRight w:val="0"/>
                      <w:marTop w:val="0"/>
                      <w:marBottom w:val="0"/>
                      <w:divBdr>
                        <w:top w:val="none" w:sz="0" w:space="0" w:color="auto"/>
                        <w:left w:val="none" w:sz="0" w:space="0" w:color="auto"/>
                        <w:bottom w:val="none" w:sz="0" w:space="0" w:color="auto"/>
                        <w:right w:val="none" w:sz="0" w:space="0" w:color="auto"/>
                      </w:divBdr>
                    </w:div>
                  </w:divsChild>
                </w:div>
                <w:div w:id="1028217716">
                  <w:marLeft w:val="0"/>
                  <w:marRight w:val="0"/>
                  <w:marTop w:val="0"/>
                  <w:marBottom w:val="0"/>
                  <w:divBdr>
                    <w:top w:val="none" w:sz="0" w:space="0" w:color="auto"/>
                    <w:left w:val="none" w:sz="0" w:space="0" w:color="auto"/>
                    <w:bottom w:val="none" w:sz="0" w:space="0" w:color="auto"/>
                    <w:right w:val="none" w:sz="0" w:space="0" w:color="auto"/>
                  </w:divBdr>
                  <w:divsChild>
                    <w:div w:id="788738013">
                      <w:marLeft w:val="0"/>
                      <w:marRight w:val="0"/>
                      <w:marTop w:val="0"/>
                      <w:marBottom w:val="0"/>
                      <w:divBdr>
                        <w:top w:val="none" w:sz="0" w:space="0" w:color="auto"/>
                        <w:left w:val="none" w:sz="0" w:space="0" w:color="auto"/>
                        <w:bottom w:val="none" w:sz="0" w:space="0" w:color="auto"/>
                        <w:right w:val="none" w:sz="0" w:space="0" w:color="auto"/>
                      </w:divBdr>
                    </w:div>
                  </w:divsChild>
                </w:div>
                <w:div w:id="1074666106">
                  <w:marLeft w:val="0"/>
                  <w:marRight w:val="0"/>
                  <w:marTop w:val="0"/>
                  <w:marBottom w:val="0"/>
                  <w:divBdr>
                    <w:top w:val="none" w:sz="0" w:space="0" w:color="auto"/>
                    <w:left w:val="none" w:sz="0" w:space="0" w:color="auto"/>
                    <w:bottom w:val="none" w:sz="0" w:space="0" w:color="auto"/>
                    <w:right w:val="none" w:sz="0" w:space="0" w:color="auto"/>
                  </w:divBdr>
                  <w:divsChild>
                    <w:div w:id="1250165018">
                      <w:marLeft w:val="0"/>
                      <w:marRight w:val="0"/>
                      <w:marTop w:val="0"/>
                      <w:marBottom w:val="0"/>
                      <w:divBdr>
                        <w:top w:val="none" w:sz="0" w:space="0" w:color="auto"/>
                        <w:left w:val="none" w:sz="0" w:space="0" w:color="auto"/>
                        <w:bottom w:val="none" w:sz="0" w:space="0" w:color="auto"/>
                        <w:right w:val="none" w:sz="0" w:space="0" w:color="auto"/>
                      </w:divBdr>
                    </w:div>
                  </w:divsChild>
                </w:div>
                <w:div w:id="1095246872">
                  <w:marLeft w:val="0"/>
                  <w:marRight w:val="0"/>
                  <w:marTop w:val="0"/>
                  <w:marBottom w:val="0"/>
                  <w:divBdr>
                    <w:top w:val="none" w:sz="0" w:space="0" w:color="auto"/>
                    <w:left w:val="none" w:sz="0" w:space="0" w:color="auto"/>
                    <w:bottom w:val="none" w:sz="0" w:space="0" w:color="auto"/>
                    <w:right w:val="none" w:sz="0" w:space="0" w:color="auto"/>
                  </w:divBdr>
                  <w:divsChild>
                    <w:div w:id="2133740000">
                      <w:marLeft w:val="0"/>
                      <w:marRight w:val="0"/>
                      <w:marTop w:val="0"/>
                      <w:marBottom w:val="0"/>
                      <w:divBdr>
                        <w:top w:val="none" w:sz="0" w:space="0" w:color="auto"/>
                        <w:left w:val="none" w:sz="0" w:space="0" w:color="auto"/>
                        <w:bottom w:val="none" w:sz="0" w:space="0" w:color="auto"/>
                        <w:right w:val="none" w:sz="0" w:space="0" w:color="auto"/>
                      </w:divBdr>
                    </w:div>
                  </w:divsChild>
                </w:div>
                <w:div w:id="1114858708">
                  <w:marLeft w:val="0"/>
                  <w:marRight w:val="0"/>
                  <w:marTop w:val="0"/>
                  <w:marBottom w:val="0"/>
                  <w:divBdr>
                    <w:top w:val="none" w:sz="0" w:space="0" w:color="auto"/>
                    <w:left w:val="none" w:sz="0" w:space="0" w:color="auto"/>
                    <w:bottom w:val="none" w:sz="0" w:space="0" w:color="auto"/>
                    <w:right w:val="none" w:sz="0" w:space="0" w:color="auto"/>
                  </w:divBdr>
                  <w:divsChild>
                    <w:div w:id="1110584822">
                      <w:marLeft w:val="0"/>
                      <w:marRight w:val="0"/>
                      <w:marTop w:val="0"/>
                      <w:marBottom w:val="0"/>
                      <w:divBdr>
                        <w:top w:val="none" w:sz="0" w:space="0" w:color="auto"/>
                        <w:left w:val="none" w:sz="0" w:space="0" w:color="auto"/>
                        <w:bottom w:val="none" w:sz="0" w:space="0" w:color="auto"/>
                        <w:right w:val="none" w:sz="0" w:space="0" w:color="auto"/>
                      </w:divBdr>
                    </w:div>
                  </w:divsChild>
                </w:div>
                <w:div w:id="1117917891">
                  <w:marLeft w:val="0"/>
                  <w:marRight w:val="0"/>
                  <w:marTop w:val="0"/>
                  <w:marBottom w:val="0"/>
                  <w:divBdr>
                    <w:top w:val="none" w:sz="0" w:space="0" w:color="auto"/>
                    <w:left w:val="none" w:sz="0" w:space="0" w:color="auto"/>
                    <w:bottom w:val="none" w:sz="0" w:space="0" w:color="auto"/>
                    <w:right w:val="none" w:sz="0" w:space="0" w:color="auto"/>
                  </w:divBdr>
                  <w:divsChild>
                    <w:div w:id="2106923759">
                      <w:marLeft w:val="0"/>
                      <w:marRight w:val="0"/>
                      <w:marTop w:val="0"/>
                      <w:marBottom w:val="0"/>
                      <w:divBdr>
                        <w:top w:val="none" w:sz="0" w:space="0" w:color="auto"/>
                        <w:left w:val="none" w:sz="0" w:space="0" w:color="auto"/>
                        <w:bottom w:val="none" w:sz="0" w:space="0" w:color="auto"/>
                        <w:right w:val="none" w:sz="0" w:space="0" w:color="auto"/>
                      </w:divBdr>
                    </w:div>
                  </w:divsChild>
                </w:div>
                <w:div w:id="1122533014">
                  <w:marLeft w:val="0"/>
                  <w:marRight w:val="0"/>
                  <w:marTop w:val="0"/>
                  <w:marBottom w:val="0"/>
                  <w:divBdr>
                    <w:top w:val="none" w:sz="0" w:space="0" w:color="auto"/>
                    <w:left w:val="none" w:sz="0" w:space="0" w:color="auto"/>
                    <w:bottom w:val="none" w:sz="0" w:space="0" w:color="auto"/>
                    <w:right w:val="none" w:sz="0" w:space="0" w:color="auto"/>
                  </w:divBdr>
                  <w:divsChild>
                    <w:div w:id="1834561271">
                      <w:marLeft w:val="0"/>
                      <w:marRight w:val="0"/>
                      <w:marTop w:val="0"/>
                      <w:marBottom w:val="0"/>
                      <w:divBdr>
                        <w:top w:val="none" w:sz="0" w:space="0" w:color="auto"/>
                        <w:left w:val="none" w:sz="0" w:space="0" w:color="auto"/>
                        <w:bottom w:val="none" w:sz="0" w:space="0" w:color="auto"/>
                        <w:right w:val="none" w:sz="0" w:space="0" w:color="auto"/>
                      </w:divBdr>
                    </w:div>
                  </w:divsChild>
                </w:div>
                <w:div w:id="1125393925">
                  <w:marLeft w:val="0"/>
                  <w:marRight w:val="0"/>
                  <w:marTop w:val="0"/>
                  <w:marBottom w:val="0"/>
                  <w:divBdr>
                    <w:top w:val="none" w:sz="0" w:space="0" w:color="auto"/>
                    <w:left w:val="none" w:sz="0" w:space="0" w:color="auto"/>
                    <w:bottom w:val="none" w:sz="0" w:space="0" w:color="auto"/>
                    <w:right w:val="none" w:sz="0" w:space="0" w:color="auto"/>
                  </w:divBdr>
                  <w:divsChild>
                    <w:div w:id="850147050">
                      <w:marLeft w:val="0"/>
                      <w:marRight w:val="0"/>
                      <w:marTop w:val="0"/>
                      <w:marBottom w:val="0"/>
                      <w:divBdr>
                        <w:top w:val="none" w:sz="0" w:space="0" w:color="auto"/>
                        <w:left w:val="none" w:sz="0" w:space="0" w:color="auto"/>
                        <w:bottom w:val="none" w:sz="0" w:space="0" w:color="auto"/>
                        <w:right w:val="none" w:sz="0" w:space="0" w:color="auto"/>
                      </w:divBdr>
                    </w:div>
                  </w:divsChild>
                </w:div>
                <w:div w:id="1127579060">
                  <w:marLeft w:val="0"/>
                  <w:marRight w:val="0"/>
                  <w:marTop w:val="0"/>
                  <w:marBottom w:val="0"/>
                  <w:divBdr>
                    <w:top w:val="none" w:sz="0" w:space="0" w:color="auto"/>
                    <w:left w:val="none" w:sz="0" w:space="0" w:color="auto"/>
                    <w:bottom w:val="none" w:sz="0" w:space="0" w:color="auto"/>
                    <w:right w:val="none" w:sz="0" w:space="0" w:color="auto"/>
                  </w:divBdr>
                  <w:divsChild>
                    <w:div w:id="870260616">
                      <w:marLeft w:val="0"/>
                      <w:marRight w:val="0"/>
                      <w:marTop w:val="0"/>
                      <w:marBottom w:val="0"/>
                      <w:divBdr>
                        <w:top w:val="none" w:sz="0" w:space="0" w:color="auto"/>
                        <w:left w:val="none" w:sz="0" w:space="0" w:color="auto"/>
                        <w:bottom w:val="none" w:sz="0" w:space="0" w:color="auto"/>
                        <w:right w:val="none" w:sz="0" w:space="0" w:color="auto"/>
                      </w:divBdr>
                    </w:div>
                  </w:divsChild>
                </w:div>
                <w:div w:id="1182821575">
                  <w:marLeft w:val="0"/>
                  <w:marRight w:val="0"/>
                  <w:marTop w:val="0"/>
                  <w:marBottom w:val="0"/>
                  <w:divBdr>
                    <w:top w:val="none" w:sz="0" w:space="0" w:color="auto"/>
                    <w:left w:val="none" w:sz="0" w:space="0" w:color="auto"/>
                    <w:bottom w:val="none" w:sz="0" w:space="0" w:color="auto"/>
                    <w:right w:val="none" w:sz="0" w:space="0" w:color="auto"/>
                  </w:divBdr>
                  <w:divsChild>
                    <w:div w:id="976489631">
                      <w:marLeft w:val="0"/>
                      <w:marRight w:val="0"/>
                      <w:marTop w:val="0"/>
                      <w:marBottom w:val="0"/>
                      <w:divBdr>
                        <w:top w:val="none" w:sz="0" w:space="0" w:color="auto"/>
                        <w:left w:val="none" w:sz="0" w:space="0" w:color="auto"/>
                        <w:bottom w:val="none" w:sz="0" w:space="0" w:color="auto"/>
                        <w:right w:val="none" w:sz="0" w:space="0" w:color="auto"/>
                      </w:divBdr>
                    </w:div>
                  </w:divsChild>
                </w:div>
                <w:div w:id="1217932999">
                  <w:marLeft w:val="0"/>
                  <w:marRight w:val="0"/>
                  <w:marTop w:val="0"/>
                  <w:marBottom w:val="0"/>
                  <w:divBdr>
                    <w:top w:val="none" w:sz="0" w:space="0" w:color="auto"/>
                    <w:left w:val="none" w:sz="0" w:space="0" w:color="auto"/>
                    <w:bottom w:val="none" w:sz="0" w:space="0" w:color="auto"/>
                    <w:right w:val="none" w:sz="0" w:space="0" w:color="auto"/>
                  </w:divBdr>
                  <w:divsChild>
                    <w:div w:id="1908803663">
                      <w:marLeft w:val="0"/>
                      <w:marRight w:val="0"/>
                      <w:marTop w:val="0"/>
                      <w:marBottom w:val="0"/>
                      <w:divBdr>
                        <w:top w:val="none" w:sz="0" w:space="0" w:color="auto"/>
                        <w:left w:val="none" w:sz="0" w:space="0" w:color="auto"/>
                        <w:bottom w:val="none" w:sz="0" w:space="0" w:color="auto"/>
                        <w:right w:val="none" w:sz="0" w:space="0" w:color="auto"/>
                      </w:divBdr>
                    </w:div>
                  </w:divsChild>
                </w:div>
                <w:div w:id="1223563552">
                  <w:marLeft w:val="0"/>
                  <w:marRight w:val="0"/>
                  <w:marTop w:val="0"/>
                  <w:marBottom w:val="0"/>
                  <w:divBdr>
                    <w:top w:val="none" w:sz="0" w:space="0" w:color="auto"/>
                    <w:left w:val="none" w:sz="0" w:space="0" w:color="auto"/>
                    <w:bottom w:val="none" w:sz="0" w:space="0" w:color="auto"/>
                    <w:right w:val="none" w:sz="0" w:space="0" w:color="auto"/>
                  </w:divBdr>
                  <w:divsChild>
                    <w:div w:id="379868527">
                      <w:marLeft w:val="0"/>
                      <w:marRight w:val="0"/>
                      <w:marTop w:val="0"/>
                      <w:marBottom w:val="0"/>
                      <w:divBdr>
                        <w:top w:val="none" w:sz="0" w:space="0" w:color="auto"/>
                        <w:left w:val="none" w:sz="0" w:space="0" w:color="auto"/>
                        <w:bottom w:val="none" w:sz="0" w:space="0" w:color="auto"/>
                        <w:right w:val="none" w:sz="0" w:space="0" w:color="auto"/>
                      </w:divBdr>
                    </w:div>
                    <w:div w:id="418603728">
                      <w:marLeft w:val="0"/>
                      <w:marRight w:val="0"/>
                      <w:marTop w:val="0"/>
                      <w:marBottom w:val="0"/>
                      <w:divBdr>
                        <w:top w:val="none" w:sz="0" w:space="0" w:color="auto"/>
                        <w:left w:val="none" w:sz="0" w:space="0" w:color="auto"/>
                        <w:bottom w:val="none" w:sz="0" w:space="0" w:color="auto"/>
                        <w:right w:val="none" w:sz="0" w:space="0" w:color="auto"/>
                      </w:divBdr>
                    </w:div>
                    <w:div w:id="814835995">
                      <w:marLeft w:val="0"/>
                      <w:marRight w:val="0"/>
                      <w:marTop w:val="0"/>
                      <w:marBottom w:val="0"/>
                      <w:divBdr>
                        <w:top w:val="none" w:sz="0" w:space="0" w:color="auto"/>
                        <w:left w:val="none" w:sz="0" w:space="0" w:color="auto"/>
                        <w:bottom w:val="none" w:sz="0" w:space="0" w:color="auto"/>
                        <w:right w:val="none" w:sz="0" w:space="0" w:color="auto"/>
                      </w:divBdr>
                    </w:div>
                    <w:div w:id="894657397">
                      <w:marLeft w:val="0"/>
                      <w:marRight w:val="0"/>
                      <w:marTop w:val="0"/>
                      <w:marBottom w:val="0"/>
                      <w:divBdr>
                        <w:top w:val="none" w:sz="0" w:space="0" w:color="auto"/>
                        <w:left w:val="none" w:sz="0" w:space="0" w:color="auto"/>
                        <w:bottom w:val="none" w:sz="0" w:space="0" w:color="auto"/>
                        <w:right w:val="none" w:sz="0" w:space="0" w:color="auto"/>
                      </w:divBdr>
                    </w:div>
                    <w:div w:id="951594055">
                      <w:marLeft w:val="0"/>
                      <w:marRight w:val="0"/>
                      <w:marTop w:val="0"/>
                      <w:marBottom w:val="0"/>
                      <w:divBdr>
                        <w:top w:val="none" w:sz="0" w:space="0" w:color="auto"/>
                        <w:left w:val="none" w:sz="0" w:space="0" w:color="auto"/>
                        <w:bottom w:val="none" w:sz="0" w:space="0" w:color="auto"/>
                        <w:right w:val="none" w:sz="0" w:space="0" w:color="auto"/>
                      </w:divBdr>
                    </w:div>
                    <w:div w:id="1311903140">
                      <w:marLeft w:val="0"/>
                      <w:marRight w:val="0"/>
                      <w:marTop w:val="0"/>
                      <w:marBottom w:val="0"/>
                      <w:divBdr>
                        <w:top w:val="none" w:sz="0" w:space="0" w:color="auto"/>
                        <w:left w:val="none" w:sz="0" w:space="0" w:color="auto"/>
                        <w:bottom w:val="none" w:sz="0" w:space="0" w:color="auto"/>
                        <w:right w:val="none" w:sz="0" w:space="0" w:color="auto"/>
                      </w:divBdr>
                    </w:div>
                    <w:div w:id="1433938235">
                      <w:marLeft w:val="0"/>
                      <w:marRight w:val="0"/>
                      <w:marTop w:val="0"/>
                      <w:marBottom w:val="0"/>
                      <w:divBdr>
                        <w:top w:val="none" w:sz="0" w:space="0" w:color="auto"/>
                        <w:left w:val="none" w:sz="0" w:space="0" w:color="auto"/>
                        <w:bottom w:val="none" w:sz="0" w:space="0" w:color="auto"/>
                        <w:right w:val="none" w:sz="0" w:space="0" w:color="auto"/>
                      </w:divBdr>
                    </w:div>
                    <w:div w:id="1561792452">
                      <w:marLeft w:val="0"/>
                      <w:marRight w:val="0"/>
                      <w:marTop w:val="0"/>
                      <w:marBottom w:val="0"/>
                      <w:divBdr>
                        <w:top w:val="none" w:sz="0" w:space="0" w:color="auto"/>
                        <w:left w:val="none" w:sz="0" w:space="0" w:color="auto"/>
                        <w:bottom w:val="none" w:sz="0" w:space="0" w:color="auto"/>
                        <w:right w:val="none" w:sz="0" w:space="0" w:color="auto"/>
                      </w:divBdr>
                    </w:div>
                    <w:div w:id="1607616842">
                      <w:marLeft w:val="0"/>
                      <w:marRight w:val="0"/>
                      <w:marTop w:val="0"/>
                      <w:marBottom w:val="0"/>
                      <w:divBdr>
                        <w:top w:val="none" w:sz="0" w:space="0" w:color="auto"/>
                        <w:left w:val="none" w:sz="0" w:space="0" w:color="auto"/>
                        <w:bottom w:val="none" w:sz="0" w:space="0" w:color="auto"/>
                        <w:right w:val="none" w:sz="0" w:space="0" w:color="auto"/>
                      </w:divBdr>
                    </w:div>
                    <w:div w:id="1641230118">
                      <w:marLeft w:val="0"/>
                      <w:marRight w:val="0"/>
                      <w:marTop w:val="0"/>
                      <w:marBottom w:val="0"/>
                      <w:divBdr>
                        <w:top w:val="none" w:sz="0" w:space="0" w:color="auto"/>
                        <w:left w:val="none" w:sz="0" w:space="0" w:color="auto"/>
                        <w:bottom w:val="none" w:sz="0" w:space="0" w:color="auto"/>
                        <w:right w:val="none" w:sz="0" w:space="0" w:color="auto"/>
                      </w:divBdr>
                    </w:div>
                  </w:divsChild>
                </w:div>
                <w:div w:id="1232235673">
                  <w:marLeft w:val="0"/>
                  <w:marRight w:val="0"/>
                  <w:marTop w:val="0"/>
                  <w:marBottom w:val="0"/>
                  <w:divBdr>
                    <w:top w:val="none" w:sz="0" w:space="0" w:color="auto"/>
                    <w:left w:val="none" w:sz="0" w:space="0" w:color="auto"/>
                    <w:bottom w:val="none" w:sz="0" w:space="0" w:color="auto"/>
                    <w:right w:val="none" w:sz="0" w:space="0" w:color="auto"/>
                  </w:divBdr>
                  <w:divsChild>
                    <w:div w:id="979651197">
                      <w:marLeft w:val="0"/>
                      <w:marRight w:val="0"/>
                      <w:marTop w:val="0"/>
                      <w:marBottom w:val="0"/>
                      <w:divBdr>
                        <w:top w:val="none" w:sz="0" w:space="0" w:color="auto"/>
                        <w:left w:val="none" w:sz="0" w:space="0" w:color="auto"/>
                        <w:bottom w:val="none" w:sz="0" w:space="0" w:color="auto"/>
                        <w:right w:val="none" w:sz="0" w:space="0" w:color="auto"/>
                      </w:divBdr>
                    </w:div>
                  </w:divsChild>
                </w:div>
                <w:div w:id="1241717062">
                  <w:marLeft w:val="0"/>
                  <w:marRight w:val="0"/>
                  <w:marTop w:val="0"/>
                  <w:marBottom w:val="0"/>
                  <w:divBdr>
                    <w:top w:val="none" w:sz="0" w:space="0" w:color="auto"/>
                    <w:left w:val="none" w:sz="0" w:space="0" w:color="auto"/>
                    <w:bottom w:val="none" w:sz="0" w:space="0" w:color="auto"/>
                    <w:right w:val="none" w:sz="0" w:space="0" w:color="auto"/>
                  </w:divBdr>
                  <w:divsChild>
                    <w:div w:id="183566668">
                      <w:marLeft w:val="0"/>
                      <w:marRight w:val="0"/>
                      <w:marTop w:val="0"/>
                      <w:marBottom w:val="0"/>
                      <w:divBdr>
                        <w:top w:val="none" w:sz="0" w:space="0" w:color="auto"/>
                        <w:left w:val="none" w:sz="0" w:space="0" w:color="auto"/>
                        <w:bottom w:val="none" w:sz="0" w:space="0" w:color="auto"/>
                        <w:right w:val="none" w:sz="0" w:space="0" w:color="auto"/>
                      </w:divBdr>
                    </w:div>
                  </w:divsChild>
                </w:div>
                <w:div w:id="1279947207">
                  <w:marLeft w:val="0"/>
                  <w:marRight w:val="0"/>
                  <w:marTop w:val="0"/>
                  <w:marBottom w:val="0"/>
                  <w:divBdr>
                    <w:top w:val="none" w:sz="0" w:space="0" w:color="auto"/>
                    <w:left w:val="none" w:sz="0" w:space="0" w:color="auto"/>
                    <w:bottom w:val="none" w:sz="0" w:space="0" w:color="auto"/>
                    <w:right w:val="none" w:sz="0" w:space="0" w:color="auto"/>
                  </w:divBdr>
                  <w:divsChild>
                    <w:div w:id="1481340938">
                      <w:marLeft w:val="0"/>
                      <w:marRight w:val="0"/>
                      <w:marTop w:val="0"/>
                      <w:marBottom w:val="0"/>
                      <w:divBdr>
                        <w:top w:val="none" w:sz="0" w:space="0" w:color="auto"/>
                        <w:left w:val="none" w:sz="0" w:space="0" w:color="auto"/>
                        <w:bottom w:val="none" w:sz="0" w:space="0" w:color="auto"/>
                        <w:right w:val="none" w:sz="0" w:space="0" w:color="auto"/>
                      </w:divBdr>
                    </w:div>
                  </w:divsChild>
                </w:div>
                <w:div w:id="1283806539">
                  <w:marLeft w:val="0"/>
                  <w:marRight w:val="0"/>
                  <w:marTop w:val="0"/>
                  <w:marBottom w:val="0"/>
                  <w:divBdr>
                    <w:top w:val="none" w:sz="0" w:space="0" w:color="auto"/>
                    <w:left w:val="none" w:sz="0" w:space="0" w:color="auto"/>
                    <w:bottom w:val="none" w:sz="0" w:space="0" w:color="auto"/>
                    <w:right w:val="none" w:sz="0" w:space="0" w:color="auto"/>
                  </w:divBdr>
                  <w:divsChild>
                    <w:div w:id="744106633">
                      <w:marLeft w:val="0"/>
                      <w:marRight w:val="0"/>
                      <w:marTop w:val="0"/>
                      <w:marBottom w:val="0"/>
                      <w:divBdr>
                        <w:top w:val="none" w:sz="0" w:space="0" w:color="auto"/>
                        <w:left w:val="none" w:sz="0" w:space="0" w:color="auto"/>
                        <w:bottom w:val="none" w:sz="0" w:space="0" w:color="auto"/>
                        <w:right w:val="none" w:sz="0" w:space="0" w:color="auto"/>
                      </w:divBdr>
                    </w:div>
                  </w:divsChild>
                </w:div>
                <w:div w:id="1297174915">
                  <w:marLeft w:val="0"/>
                  <w:marRight w:val="0"/>
                  <w:marTop w:val="0"/>
                  <w:marBottom w:val="0"/>
                  <w:divBdr>
                    <w:top w:val="none" w:sz="0" w:space="0" w:color="auto"/>
                    <w:left w:val="none" w:sz="0" w:space="0" w:color="auto"/>
                    <w:bottom w:val="none" w:sz="0" w:space="0" w:color="auto"/>
                    <w:right w:val="none" w:sz="0" w:space="0" w:color="auto"/>
                  </w:divBdr>
                  <w:divsChild>
                    <w:div w:id="726146375">
                      <w:marLeft w:val="0"/>
                      <w:marRight w:val="0"/>
                      <w:marTop w:val="0"/>
                      <w:marBottom w:val="0"/>
                      <w:divBdr>
                        <w:top w:val="none" w:sz="0" w:space="0" w:color="auto"/>
                        <w:left w:val="none" w:sz="0" w:space="0" w:color="auto"/>
                        <w:bottom w:val="none" w:sz="0" w:space="0" w:color="auto"/>
                        <w:right w:val="none" w:sz="0" w:space="0" w:color="auto"/>
                      </w:divBdr>
                    </w:div>
                  </w:divsChild>
                </w:div>
                <w:div w:id="1302075341">
                  <w:marLeft w:val="0"/>
                  <w:marRight w:val="0"/>
                  <w:marTop w:val="0"/>
                  <w:marBottom w:val="0"/>
                  <w:divBdr>
                    <w:top w:val="none" w:sz="0" w:space="0" w:color="auto"/>
                    <w:left w:val="none" w:sz="0" w:space="0" w:color="auto"/>
                    <w:bottom w:val="none" w:sz="0" w:space="0" w:color="auto"/>
                    <w:right w:val="none" w:sz="0" w:space="0" w:color="auto"/>
                  </w:divBdr>
                  <w:divsChild>
                    <w:div w:id="491335782">
                      <w:marLeft w:val="0"/>
                      <w:marRight w:val="0"/>
                      <w:marTop w:val="0"/>
                      <w:marBottom w:val="0"/>
                      <w:divBdr>
                        <w:top w:val="none" w:sz="0" w:space="0" w:color="auto"/>
                        <w:left w:val="none" w:sz="0" w:space="0" w:color="auto"/>
                        <w:bottom w:val="none" w:sz="0" w:space="0" w:color="auto"/>
                        <w:right w:val="none" w:sz="0" w:space="0" w:color="auto"/>
                      </w:divBdr>
                    </w:div>
                  </w:divsChild>
                </w:div>
                <w:div w:id="1325813956">
                  <w:marLeft w:val="0"/>
                  <w:marRight w:val="0"/>
                  <w:marTop w:val="0"/>
                  <w:marBottom w:val="0"/>
                  <w:divBdr>
                    <w:top w:val="none" w:sz="0" w:space="0" w:color="auto"/>
                    <w:left w:val="none" w:sz="0" w:space="0" w:color="auto"/>
                    <w:bottom w:val="none" w:sz="0" w:space="0" w:color="auto"/>
                    <w:right w:val="none" w:sz="0" w:space="0" w:color="auto"/>
                  </w:divBdr>
                  <w:divsChild>
                    <w:div w:id="619841195">
                      <w:marLeft w:val="0"/>
                      <w:marRight w:val="0"/>
                      <w:marTop w:val="0"/>
                      <w:marBottom w:val="0"/>
                      <w:divBdr>
                        <w:top w:val="none" w:sz="0" w:space="0" w:color="auto"/>
                        <w:left w:val="none" w:sz="0" w:space="0" w:color="auto"/>
                        <w:bottom w:val="none" w:sz="0" w:space="0" w:color="auto"/>
                        <w:right w:val="none" w:sz="0" w:space="0" w:color="auto"/>
                      </w:divBdr>
                    </w:div>
                  </w:divsChild>
                </w:div>
                <w:div w:id="1353149709">
                  <w:marLeft w:val="0"/>
                  <w:marRight w:val="0"/>
                  <w:marTop w:val="0"/>
                  <w:marBottom w:val="0"/>
                  <w:divBdr>
                    <w:top w:val="none" w:sz="0" w:space="0" w:color="auto"/>
                    <w:left w:val="none" w:sz="0" w:space="0" w:color="auto"/>
                    <w:bottom w:val="none" w:sz="0" w:space="0" w:color="auto"/>
                    <w:right w:val="none" w:sz="0" w:space="0" w:color="auto"/>
                  </w:divBdr>
                  <w:divsChild>
                    <w:div w:id="858809353">
                      <w:marLeft w:val="0"/>
                      <w:marRight w:val="0"/>
                      <w:marTop w:val="0"/>
                      <w:marBottom w:val="0"/>
                      <w:divBdr>
                        <w:top w:val="none" w:sz="0" w:space="0" w:color="auto"/>
                        <w:left w:val="none" w:sz="0" w:space="0" w:color="auto"/>
                        <w:bottom w:val="none" w:sz="0" w:space="0" w:color="auto"/>
                        <w:right w:val="none" w:sz="0" w:space="0" w:color="auto"/>
                      </w:divBdr>
                    </w:div>
                  </w:divsChild>
                </w:div>
                <w:div w:id="1359158542">
                  <w:marLeft w:val="0"/>
                  <w:marRight w:val="0"/>
                  <w:marTop w:val="0"/>
                  <w:marBottom w:val="0"/>
                  <w:divBdr>
                    <w:top w:val="none" w:sz="0" w:space="0" w:color="auto"/>
                    <w:left w:val="none" w:sz="0" w:space="0" w:color="auto"/>
                    <w:bottom w:val="none" w:sz="0" w:space="0" w:color="auto"/>
                    <w:right w:val="none" w:sz="0" w:space="0" w:color="auto"/>
                  </w:divBdr>
                  <w:divsChild>
                    <w:div w:id="1165320985">
                      <w:marLeft w:val="0"/>
                      <w:marRight w:val="0"/>
                      <w:marTop w:val="0"/>
                      <w:marBottom w:val="0"/>
                      <w:divBdr>
                        <w:top w:val="none" w:sz="0" w:space="0" w:color="auto"/>
                        <w:left w:val="none" w:sz="0" w:space="0" w:color="auto"/>
                        <w:bottom w:val="none" w:sz="0" w:space="0" w:color="auto"/>
                        <w:right w:val="none" w:sz="0" w:space="0" w:color="auto"/>
                      </w:divBdr>
                    </w:div>
                  </w:divsChild>
                </w:div>
                <w:div w:id="1363896191">
                  <w:marLeft w:val="0"/>
                  <w:marRight w:val="0"/>
                  <w:marTop w:val="0"/>
                  <w:marBottom w:val="0"/>
                  <w:divBdr>
                    <w:top w:val="none" w:sz="0" w:space="0" w:color="auto"/>
                    <w:left w:val="none" w:sz="0" w:space="0" w:color="auto"/>
                    <w:bottom w:val="none" w:sz="0" w:space="0" w:color="auto"/>
                    <w:right w:val="none" w:sz="0" w:space="0" w:color="auto"/>
                  </w:divBdr>
                  <w:divsChild>
                    <w:div w:id="499464775">
                      <w:marLeft w:val="0"/>
                      <w:marRight w:val="0"/>
                      <w:marTop w:val="0"/>
                      <w:marBottom w:val="0"/>
                      <w:divBdr>
                        <w:top w:val="none" w:sz="0" w:space="0" w:color="auto"/>
                        <w:left w:val="none" w:sz="0" w:space="0" w:color="auto"/>
                        <w:bottom w:val="none" w:sz="0" w:space="0" w:color="auto"/>
                        <w:right w:val="none" w:sz="0" w:space="0" w:color="auto"/>
                      </w:divBdr>
                    </w:div>
                    <w:div w:id="812218992">
                      <w:marLeft w:val="0"/>
                      <w:marRight w:val="0"/>
                      <w:marTop w:val="0"/>
                      <w:marBottom w:val="0"/>
                      <w:divBdr>
                        <w:top w:val="none" w:sz="0" w:space="0" w:color="auto"/>
                        <w:left w:val="none" w:sz="0" w:space="0" w:color="auto"/>
                        <w:bottom w:val="none" w:sz="0" w:space="0" w:color="auto"/>
                        <w:right w:val="none" w:sz="0" w:space="0" w:color="auto"/>
                      </w:divBdr>
                    </w:div>
                    <w:div w:id="1245186036">
                      <w:marLeft w:val="0"/>
                      <w:marRight w:val="0"/>
                      <w:marTop w:val="0"/>
                      <w:marBottom w:val="0"/>
                      <w:divBdr>
                        <w:top w:val="none" w:sz="0" w:space="0" w:color="auto"/>
                        <w:left w:val="none" w:sz="0" w:space="0" w:color="auto"/>
                        <w:bottom w:val="none" w:sz="0" w:space="0" w:color="auto"/>
                        <w:right w:val="none" w:sz="0" w:space="0" w:color="auto"/>
                      </w:divBdr>
                    </w:div>
                    <w:div w:id="1574048355">
                      <w:marLeft w:val="0"/>
                      <w:marRight w:val="0"/>
                      <w:marTop w:val="0"/>
                      <w:marBottom w:val="0"/>
                      <w:divBdr>
                        <w:top w:val="none" w:sz="0" w:space="0" w:color="auto"/>
                        <w:left w:val="none" w:sz="0" w:space="0" w:color="auto"/>
                        <w:bottom w:val="none" w:sz="0" w:space="0" w:color="auto"/>
                        <w:right w:val="none" w:sz="0" w:space="0" w:color="auto"/>
                      </w:divBdr>
                    </w:div>
                    <w:div w:id="1934973905">
                      <w:marLeft w:val="0"/>
                      <w:marRight w:val="0"/>
                      <w:marTop w:val="0"/>
                      <w:marBottom w:val="0"/>
                      <w:divBdr>
                        <w:top w:val="none" w:sz="0" w:space="0" w:color="auto"/>
                        <w:left w:val="none" w:sz="0" w:space="0" w:color="auto"/>
                        <w:bottom w:val="none" w:sz="0" w:space="0" w:color="auto"/>
                        <w:right w:val="none" w:sz="0" w:space="0" w:color="auto"/>
                      </w:divBdr>
                    </w:div>
                    <w:div w:id="2100059654">
                      <w:marLeft w:val="0"/>
                      <w:marRight w:val="0"/>
                      <w:marTop w:val="0"/>
                      <w:marBottom w:val="0"/>
                      <w:divBdr>
                        <w:top w:val="none" w:sz="0" w:space="0" w:color="auto"/>
                        <w:left w:val="none" w:sz="0" w:space="0" w:color="auto"/>
                        <w:bottom w:val="none" w:sz="0" w:space="0" w:color="auto"/>
                        <w:right w:val="none" w:sz="0" w:space="0" w:color="auto"/>
                      </w:divBdr>
                    </w:div>
                  </w:divsChild>
                </w:div>
                <w:div w:id="1366981739">
                  <w:marLeft w:val="0"/>
                  <w:marRight w:val="0"/>
                  <w:marTop w:val="0"/>
                  <w:marBottom w:val="0"/>
                  <w:divBdr>
                    <w:top w:val="none" w:sz="0" w:space="0" w:color="auto"/>
                    <w:left w:val="none" w:sz="0" w:space="0" w:color="auto"/>
                    <w:bottom w:val="none" w:sz="0" w:space="0" w:color="auto"/>
                    <w:right w:val="none" w:sz="0" w:space="0" w:color="auto"/>
                  </w:divBdr>
                  <w:divsChild>
                    <w:div w:id="576937335">
                      <w:marLeft w:val="0"/>
                      <w:marRight w:val="0"/>
                      <w:marTop w:val="0"/>
                      <w:marBottom w:val="0"/>
                      <w:divBdr>
                        <w:top w:val="none" w:sz="0" w:space="0" w:color="auto"/>
                        <w:left w:val="none" w:sz="0" w:space="0" w:color="auto"/>
                        <w:bottom w:val="none" w:sz="0" w:space="0" w:color="auto"/>
                        <w:right w:val="none" w:sz="0" w:space="0" w:color="auto"/>
                      </w:divBdr>
                    </w:div>
                  </w:divsChild>
                </w:div>
                <w:div w:id="1375883638">
                  <w:marLeft w:val="0"/>
                  <w:marRight w:val="0"/>
                  <w:marTop w:val="0"/>
                  <w:marBottom w:val="0"/>
                  <w:divBdr>
                    <w:top w:val="none" w:sz="0" w:space="0" w:color="auto"/>
                    <w:left w:val="none" w:sz="0" w:space="0" w:color="auto"/>
                    <w:bottom w:val="none" w:sz="0" w:space="0" w:color="auto"/>
                    <w:right w:val="none" w:sz="0" w:space="0" w:color="auto"/>
                  </w:divBdr>
                  <w:divsChild>
                    <w:div w:id="1096169872">
                      <w:marLeft w:val="0"/>
                      <w:marRight w:val="0"/>
                      <w:marTop w:val="0"/>
                      <w:marBottom w:val="0"/>
                      <w:divBdr>
                        <w:top w:val="none" w:sz="0" w:space="0" w:color="auto"/>
                        <w:left w:val="none" w:sz="0" w:space="0" w:color="auto"/>
                        <w:bottom w:val="none" w:sz="0" w:space="0" w:color="auto"/>
                        <w:right w:val="none" w:sz="0" w:space="0" w:color="auto"/>
                      </w:divBdr>
                    </w:div>
                  </w:divsChild>
                </w:div>
                <w:div w:id="1391542222">
                  <w:marLeft w:val="0"/>
                  <w:marRight w:val="0"/>
                  <w:marTop w:val="0"/>
                  <w:marBottom w:val="0"/>
                  <w:divBdr>
                    <w:top w:val="none" w:sz="0" w:space="0" w:color="auto"/>
                    <w:left w:val="none" w:sz="0" w:space="0" w:color="auto"/>
                    <w:bottom w:val="none" w:sz="0" w:space="0" w:color="auto"/>
                    <w:right w:val="none" w:sz="0" w:space="0" w:color="auto"/>
                  </w:divBdr>
                  <w:divsChild>
                    <w:div w:id="833255785">
                      <w:marLeft w:val="0"/>
                      <w:marRight w:val="0"/>
                      <w:marTop w:val="0"/>
                      <w:marBottom w:val="0"/>
                      <w:divBdr>
                        <w:top w:val="none" w:sz="0" w:space="0" w:color="auto"/>
                        <w:left w:val="none" w:sz="0" w:space="0" w:color="auto"/>
                        <w:bottom w:val="none" w:sz="0" w:space="0" w:color="auto"/>
                        <w:right w:val="none" w:sz="0" w:space="0" w:color="auto"/>
                      </w:divBdr>
                    </w:div>
                  </w:divsChild>
                </w:div>
                <w:div w:id="1406607102">
                  <w:marLeft w:val="0"/>
                  <w:marRight w:val="0"/>
                  <w:marTop w:val="0"/>
                  <w:marBottom w:val="0"/>
                  <w:divBdr>
                    <w:top w:val="none" w:sz="0" w:space="0" w:color="auto"/>
                    <w:left w:val="none" w:sz="0" w:space="0" w:color="auto"/>
                    <w:bottom w:val="none" w:sz="0" w:space="0" w:color="auto"/>
                    <w:right w:val="none" w:sz="0" w:space="0" w:color="auto"/>
                  </w:divBdr>
                  <w:divsChild>
                    <w:div w:id="474764363">
                      <w:marLeft w:val="0"/>
                      <w:marRight w:val="0"/>
                      <w:marTop w:val="0"/>
                      <w:marBottom w:val="0"/>
                      <w:divBdr>
                        <w:top w:val="none" w:sz="0" w:space="0" w:color="auto"/>
                        <w:left w:val="none" w:sz="0" w:space="0" w:color="auto"/>
                        <w:bottom w:val="none" w:sz="0" w:space="0" w:color="auto"/>
                        <w:right w:val="none" w:sz="0" w:space="0" w:color="auto"/>
                      </w:divBdr>
                    </w:div>
                  </w:divsChild>
                </w:div>
                <w:div w:id="1407804648">
                  <w:marLeft w:val="0"/>
                  <w:marRight w:val="0"/>
                  <w:marTop w:val="0"/>
                  <w:marBottom w:val="0"/>
                  <w:divBdr>
                    <w:top w:val="none" w:sz="0" w:space="0" w:color="auto"/>
                    <w:left w:val="none" w:sz="0" w:space="0" w:color="auto"/>
                    <w:bottom w:val="none" w:sz="0" w:space="0" w:color="auto"/>
                    <w:right w:val="none" w:sz="0" w:space="0" w:color="auto"/>
                  </w:divBdr>
                  <w:divsChild>
                    <w:div w:id="343098061">
                      <w:marLeft w:val="0"/>
                      <w:marRight w:val="0"/>
                      <w:marTop w:val="0"/>
                      <w:marBottom w:val="0"/>
                      <w:divBdr>
                        <w:top w:val="none" w:sz="0" w:space="0" w:color="auto"/>
                        <w:left w:val="none" w:sz="0" w:space="0" w:color="auto"/>
                        <w:bottom w:val="none" w:sz="0" w:space="0" w:color="auto"/>
                        <w:right w:val="none" w:sz="0" w:space="0" w:color="auto"/>
                      </w:divBdr>
                    </w:div>
                  </w:divsChild>
                </w:div>
                <w:div w:id="1421368503">
                  <w:marLeft w:val="0"/>
                  <w:marRight w:val="0"/>
                  <w:marTop w:val="0"/>
                  <w:marBottom w:val="0"/>
                  <w:divBdr>
                    <w:top w:val="none" w:sz="0" w:space="0" w:color="auto"/>
                    <w:left w:val="none" w:sz="0" w:space="0" w:color="auto"/>
                    <w:bottom w:val="none" w:sz="0" w:space="0" w:color="auto"/>
                    <w:right w:val="none" w:sz="0" w:space="0" w:color="auto"/>
                  </w:divBdr>
                  <w:divsChild>
                    <w:div w:id="1564947455">
                      <w:marLeft w:val="0"/>
                      <w:marRight w:val="0"/>
                      <w:marTop w:val="0"/>
                      <w:marBottom w:val="0"/>
                      <w:divBdr>
                        <w:top w:val="none" w:sz="0" w:space="0" w:color="auto"/>
                        <w:left w:val="none" w:sz="0" w:space="0" w:color="auto"/>
                        <w:bottom w:val="none" w:sz="0" w:space="0" w:color="auto"/>
                        <w:right w:val="none" w:sz="0" w:space="0" w:color="auto"/>
                      </w:divBdr>
                    </w:div>
                  </w:divsChild>
                </w:div>
                <w:div w:id="1437478153">
                  <w:marLeft w:val="0"/>
                  <w:marRight w:val="0"/>
                  <w:marTop w:val="0"/>
                  <w:marBottom w:val="0"/>
                  <w:divBdr>
                    <w:top w:val="none" w:sz="0" w:space="0" w:color="auto"/>
                    <w:left w:val="none" w:sz="0" w:space="0" w:color="auto"/>
                    <w:bottom w:val="none" w:sz="0" w:space="0" w:color="auto"/>
                    <w:right w:val="none" w:sz="0" w:space="0" w:color="auto"/>
                  </w:divBdr>
                  <w:divsChild>
                    <w:div w:id="1222521358">
                      <w:marLeft w:val="0"/>
                      <w:marRight w:val="0"/>
                      <w:marTop w:val="0"/>
                      <w:marBottom w:val="0"/>
                      <w:divBdr>
                        <w:top w:val="none" w:sz="0" w:space="0" w:color="auto"/>
                        <w:left w:val="none" w:sz="0" w:space="0" w:color="auto"/>
                        <w:bottom w:val="none" w:sz="0" w:space="0" w:color="auto"/>
                        <w:right w:val="none" w:sz="0" w:space="0" w:color="auto"/>
                      </w:divBdr>
                    </w:div>
                  </w:divsChild>
                </w:div>
                <w:div w:id="1456489247">
                  <w:marLeft w:val="0"/>
                  <w:marRight w:val="0"/>
                  <w:marTop w:val="0"/>
                  <w:marBottom w:val="0"/>
                  <w:divBdr>
                    <w:top w:val="none" w:sz="0" w:space="0" w:color="auto"/>
                    <w:left w:val="none" w:sz="0" w:space="0" w:color="auto"/>
                    <w:bottom w:val="none" w:sz="0" w:space="0" w:color="auto"/>
                    <w:right w:val="none" w:sz="0" w:space="0" w:color="auto"/>
                  </w:divBdr>
                  <w:divsChild>
                    <w:div w:id="1996451890">
                      <w:marLeft w:val="0"/>
                      <w:marRight w:val="0"/>
                      <w:marTop w:val="0"/>
                      <w:marBottom w:val="0"/>
                      <w:divBdr>
                        <w:top w:val="none" w:sz="0" w:space="0" w:color="auto"/>
                        <w:left w:val="none" w:sz="0" w:space="0" w:color="auto"/>
                        <w:bottom w:val="none" w:sz="0" w:space="0" w:color="auto"/>
                        <w:right w:val="none" w:sz="0" w:space="0" w:color="auto"/>
                      </w:divBdr>
                    </w:div>
                  </w:divsChild>
                </w:div>
                <w:div w:id="1485387142">
                  <w:marLeft w:val="0"/>
                  <w:marRight w:val="0"/>
                  <w:marTop w:val="0"/>
                  <w:marBottom w:val="0"/>
                  <w:divBdr>
                    <w:top w:val="none" w:sz="0" w:space="0" w:color="auto"/>
                    <w:left w:val="none" w:sz="0" w:space="0" w:color="auto"/>
                    <w:bottom w:val="none" w:sz="0" w:space="0" w:color="auto"/>
                    <w:right w:val="none" w:sz="0" w:space="0" w:color="auto"/>
                  </w:divBdr>
                  <w:divsChild>
                    <w:div w:id="1847016391">
                      <w:marLeft w:val="0"/>
                      <w:marRight w:val="0"/>
                      <w:marTop w:val="0"/>
                      <w:marBottom w:val="0"/>
                      <w:divBdr>
                        <w:top w:val="none" w:sz="0" w:space="0" w:color="auto"/>
                        <w:left w:val="none" w:sz="0" w:space="0" w:color="auto"/>
                        <w:bottom w:val="none" w:sz="0" w:space="0" w:color="auto"/>
                        <w:right w:val="none" w:sz="0" w:space="0" w:color="auto"/>
                      </w:divBdr>
                    </w:div>
                  </w:divsChild>
                </w:div>
                <w:div w:id="1491217485">
                  <w:marLeft w:val="0"/>
                  <w:marRight w:val="0"/>
                  <w:marTop w:val="0"/>
                  <w:marBottom w:val="0"/>
                  <w:divBdr>
                    <w:top w:val="none" w:sz="0" w:space="0" w:color="auto"/>
                    <w:left w:val="none" w:sz="0" w:space="0" w:color="auto"/>
                    <w:bottom w:val="none" w:sz="0" w:space="0" w:color="auto"/>
                    <w:right w:val="none" w:sz="0" w:space="0" w:color="auto"/>
                  </w:divBdr>
                  <w:divsChild>
                    <w:div w:id="1369990857">
                      <w:marLeft w:val="0"/>
                      <w:marRight w:val="0"/>
                      <w:marTop w:val="0"/>
                      <w:marBottom w:val="0"/>
                      <w:divBdr>
                        <w:top w:val="none" w:sz="0" w:space="0" w:color="auto"/>
                        <w:left w:val="none" w:sz="0" w:space="0" w:color="auto"/>
                        <w:bottom w:val="none" w:sz="0" w:space="0" w:color="auto"/>
                        <w:right w:val="none" w:sz="0" w:space="0" w:color="auto"/>
                      </w:divBdr>
                    </w:div>
                  </w:divsChild>
                </w:div>
                <w:div w:id="1491679024">
                  <w:marLeft w:val="0"/>
                  <w:marRight w:val="0"/>
                  <w:marTop w:val="0"/>
                  <w:marBottom w:val="0"/>
                  <w:divBdr>
                    <w:top w:val="none" w:sz="0" w:space="0" w:color="auto"/>
                    <w:left w:val="none" w:sz="0" w:space="0" w:color="auto"/>
                    <w:bottom w:val="none" w:sz="0" w:space="0" w:color="auto"/>
                    <w:right w:val="none" w:sz="0" w:space="0" w:color="auto"/>
                  </w:divBdr>
                  <w:divsChild>
                    <w:div w:id="378601531">
                      <w:marLeft w:val="0"/>
                      <w:marRight w:val="0"/>
                      <w:marTop w:val="0"/>
                      <w:marBottom w:val="0"/>
                      <w:divBdr>
                        <w:top w:val="none" w:sz="0" w:space="0" w:color="auto"/>
                        <w:left w:val="none" w:sz="0" w:space="0" w:color="auto"/>
                        <w:bottom w:val="none" w:sz="0" w:space="0" w:color="auto"/>
                        <w:right w:val="none" w:sz="0" w:space="0" w:color="auto"/>
                      </w:divBdr>
                    </w:div>
                  </w:divsChild>
                </w:div>
                <w:div w:id="1510943605">
                  <w:marLeft w:val="0"/>
                  <w:marRight w:val="0"/>
                  <w:marTop w:val="0"/>
                  <w:marBottom w:val="0"/>
                  <w:divBdr>
                    <w:top w:val="none" w:sz="0" w:space="0" w:color="auto"/>
                    <w:left w:val="none" w:sz="0" w:space="0" w:color="auto"/>
                    <w:bottom w:val="none" w:sz="0" w:space="0" w:color="auto"/>
                    <w:right w:val="none" w:sz="0" w:space="0" w:color="auto"/>
                  </w:divBdr>
                  <w:divsChild>
                    <w:div w:id="1228608045">
                      <w:marLeft w:val="0"/>
                      <w:marRight w:val="0"/>
                      <w:marTop w:val="0"/>
                      <w:marBottom w:val="0"/>
                      <w:divBdr>
                        <w:top w:val="none" w:sz="0" w:space="0" w:color="auto"/>
                        <w:left w:val="none" w:sz="0" w:space="0" w:color="auto"/>
                        <w:bottom w:val="none" w:sz="0" w:space="0" w:color="auto"/>
                        <w:right w:val="none" w:sz="0" w:space="0" w:color="auto"/>
                      </w:divBdr>
                    </w:div>
                  </w:divsChild>
                </w:div>
                <w:div w:id="1524317213">
                  <w:marLeft w:val="0"/>
                  <w:marRight w:val="0"/>
                  <w:marTop w:val="0"/>
                  <w:marBottom w:val="0"/>
                  <w:divBdr>
                    <w:top w:val="none" w:sz="0" w:space="0" w:color="auto"/>
                    <w:left w:val="none" w:sz="0" w:space="0" w:color="auto"/>
                    <w:bottom w:val="none" w:sz="0" w:space="0" w:color="auto"/>
                    <w:right w:val="none" w:sz="0" w:space="0" w:color="auto"/>
                  </w:divBdr>
                  <w:divsChild>
                    <w:div w:id="2094625232">
                      <w:marLeft w:val="0"/>
                      <w:marRight w:val="0"/>
                      <w:marTop w:val="0"/>
                      <w:marBottom w:val="0"/>
                      <w:divBdr>
                        <w:top w:val="none" w:sz="0" w:space="0" w:color="auto"/>
                        <w:left w:val="none" w:sz="0" w:space="0" w:color="auto"/>
                        <w:bottom w:val="none" w:sz="0" w:space="0" w:color="auto"/>
                        <w:right w:val="none" w:sz="0" w:space="0" w:color="auto"/>
                      </w:divBdr>
                    </w:div>
                  </w:divsChild>
                </w:div>
                <w:div w:id="1524438873">
                  <w:marLeft w:val="0"/>
                  <w:marRight w:val="0"/>
                  <w:marTop w:val="0"/>
                  <w:marBottom w:val="0"/>
                  <w:divBdr>
                    <w:top w:val="none" w:sz="0" w:space="0" w:color="auto"/>
                    <w:left w:val="none" w:sz="0" w:space="0" w:color="auto"/>
                    <w:bottom w:val="none" w:sz="0" w:space="0" w:color="auto"/>
                    <w:right w:val="none" w:sz="0" w:space="0" w:color="auto"/>
                  </w:divBdr>
                  <w:divsChild>
                    <w:div w:id="696084493">
                      <w:marLeft w:val="0"/>
                      <w:marRight w:val="0"/>
                      <w:marTop w:val="0"/>
                      <w:marBottom w:val="0"/>
                      <w:divBdr>
                        <w:top w:val="none" w:sz="0" w:space="0" w:color="auto"/>
                        <w:left w:val="none" w:sz="0" w:space="0" w:color="auto"/>
                        <w:bottom w:val="none" w:sz="0" w:space="0" w:color="auto"/>
                        <w:right w:val="none" w:sz="0" w:space="0" w:color="auto"/>
                      </w:divBdr>
                    </w:div>
                  </w:divsChild>
                </w:div>
                <w:div w:id="1531603911">
                  <w:marLeft w:val="0"/>
                  <w:marRight w:val="0"/>
                  <w:marTop w:val="0"/>
                  <w:marBottom w:val="0"/>
                  <w:divBdr>
                    <w:top w:val="none" w:sz="0" w:space="0" w:color="auto"/>
                    <w:left w:val="none" w:sz="0" w:space="0" w:color="auto"/>
                    <w:bottom w:val="none" w:sz="0" w:space="0" w:color="auto"/>
                    <w:right w:val="none" w:sz="0" w:space="0" w:color="auto"/>
                  </w:divBdr>
                  <w:divsChild>
                    <w:div w:id="646007592">
                      <w:marLeft w:val="0"/>
                      <w:marRight w:val="0"/>
                      <w:marTop w:val="0"/>
                      <w:marBottom w:val="0"/>
                      <w:divBdr>
                        <w:top w:val="none" w:sz="0" w:space="0" w:color="auto"/>
                        <w:left w:val="none" w:sz="0" w:space="0" w:color="auto"/>
                        <w:bottom w:val="none" w:sz="0" w:space="0" w:color="auto"/>
                        <w:right w:val="none" w:sz="0" w:space="0" w:color="auto"/>
                      </w:divBdr>
                    </w:div>
                  </w:divsChild>
                </w:div>
                <w:div w:id="1533306396">
                  <w:marLeft w:val="0"/>
                  <w:marRight w:val="0"/>
                  <w:marTop w:val="0"/>
                  <w:marBottom w:val="0"/>
                  <w:divBdr>
                    <w:top w:val="none" w:sz="0" w:space="0" w:color="auto"/>
                    <w:left w:val="none" w:sz="0" w:space="0" w:color="auto"/>
                    <w:bottom w:val="none" w:sz="0" w:space="0" w:color="auto"/>
                    <w:right w:val="none" w:sz="0" w:space="0" w:color="auto"/>
                  </w:divBdr>
                  <w:divsChild>
                    <w:div w:id="400759782">
                      <w:marLeft w:val="0"/>
                      <w:marRight w:val="0"/>
                      <w:marTop w:val="0"/>
                      <w:marBottom w:val="0"/>
                      <w:divBdr>
                        <w:top w:val="none" w:sz="0" w:space="0" w:color="auto"/>
                        <w:left w:val="none" w:sz="0" w:space="0" w:color="auto"/>
                        <w:bottom w:val="none" w:sz="0" w:space="0" w:color="auto"/>
                        <w:right w:val="none" w:sz="0" w:space="0" w:color="auto"/>
                      </w:divBdr>
                    </w:div>
                  </w:divsChild>
                </w:div>
                <w:div w:id="1558475329">
                  <w:marLeft w:val="0"/>
                  <w:marRight w:val="0"/>
                  <w:marTop w:val="0"/>
                  <w:marBottom w:val="0"/>
                  <w:divBdr>
                    <w:top w:val="none" w:sz="0" w:space="0" w:color="auto"/>
                    <w:left w:val="none" w:sz="0" w:space="0" w:color="auto"/>
                    <w:bottom w:val="none" w:sz="0" w:space="0" w:color="auto"/>
                    <w:right w:val="none" w:sz="0" w:space="0" w:color="auto"/>
                  </w:divBdr>
                  <w:divsChild>
                    <w:div w:id="844132963">
                      <w:marLeft w:val="0"/>
                      <w:marRight w:val="0"/>
                      <w:marTop w:val="0"/>
                      <w:marBottom w:val="0"/>
                      <w:divBdr>
                        <w:top w:val="none" w:sz="0" w:space="0" w:color="auto"/>
                        <w:left w:val="none" w:sz="0" w:space="0" w:color="auto"/>
                        <w:bottom w:val="none" w:sz="0" w:space="0" w:color="auto"/>
                        <w:right w:val="none" w:sz="0" w:space="0" w:color="auto"/>
                      </w:divBdr>
                    </w:div>
                  </w:divsChild>
                </w:div>
                <w:div w:id="1574316579">
                  <w:marLeft w:val="0"/>
                  <w:marRight w:val="0"/>
                  <w:marTop w:val="0"/>
                  <w:marBottom w:val="0"/>
                  <w:divBdr>
                    <w:top w:val="none" w:sz="0" w:space="0" w:color="auto"/>
                    <w:left w:val="none" w:sz="0" w:space="0" w:color="auto"/>
                    <w:bottom w:val="none" w:sz="0" w:space="0" w:color="auto"/>
                    <w:right w:val="none" w:sz="0" w:space="0" w:color="auto"/>
                  </w:divBdr>
                  <w:divsChild>
                    <w:div w:id="11223387">
                      <w:marLeft w:val="0"/>
                      <w:marRight w:val="0"/>
                      <w:marTop w:val="0"/>
                      <w:marBottom w:val="0"/>
                      <w:divBdr>
                        <w:top w:val="none" w:sz="0" w:space="0" w:color="auto"/>
                        <w:left w:val="none" w:sz="0" w:space="0" w:color="auto"/>
                        <w:bottom w:val="none" w:sz="0" w:space="0" w:color="auto"/>
                        <w:right w:val="none" w:sz="0" w:space="0" w:color="auto"/>
                      </w:divBdr>
                    </w:div>
                  </w:divsChild>
                </w:div>
                <w:div w:id="1576473061">
                  <w:marLeft w:val="0"/>
                  <w:marRight w:val="0"/>
                  <w:marTop w:val="0"/>
                  <w:marBottom w:val="0"/>
                  <w:divBdr>
                    <w:top w:val="none" w:sz="0" w:space="0" w:color="auto"/>
                    <w:left w:val="none" w:sz="0" w:space="0" w:color="auto"/>
                    <w:bottom w:val="none" w:sz="0" w:space="0" w:color="auto"/>
                    <w:right w:val="none" w:sz="0" w:space="0" w:color="auto"/>
                  </w:divBdr>
                  <w:divsChild>
                    <w:div w:id="592980447">
                      <w:marLeft w:val="0"/>
                      <w:marRight w:val="0"/>
                      <w:marTop w:val="0"/>
                      <w:marBottom w:val="0"/>
                      <w:divBdr>
                        <w:top w:val="none" w:sz="0" w:space="0" w:color="auto"/>
                        <w:left w:val="none" w:sz="0" w:space="0" w:color="auto"/>
                        <w:bottom w:val="none" w:sz="0" w:space="0" w:color="auto"/>
                        <w:right w:val="none" w:sz="0" w:space="0" w:color="auto"/>
                      </w:divBdr>
                    </w:div>
                  </w:divsChild>
                </w:div>
                <w:div w:id="1579248008">
                  <w:marLeft w:val="0"/>
                  <w:marRight w:val="0"/>
                  <w:marTop w:val="0"/>
                  <w:marBottom w:val="0"/>
                  <w:divBdr>
                    <w:top w:val="none" w:sz="0" w:space="0" w:color="auto"/>
                    <w:left w:val="none" w:sz="0" w:space="0" w:color="auto"/>
                    <w:bottom w:val="none" w:sz="0" w:space="0" w:color="auto"/>
                    <w:right w:val="none" w:sz="0" w:space="0" w:color="auto"/>
                  </w:divBdr>
                  <w:divsChild>
                    <w:div w:id="255017020">
                      <w:marLeft w:val="0"/>
                      <w:marRight w:val="0"/>
                      <w:marTop w:val="0"/>
                      <w:marBottom w:val="0"/>
                      <w:divBdr>
                        <w:top w:val="none" w:sz="0" w:space="0" w:color="auto"/>
                        <w:left w:val="none" w:sz="0" w:space="0" w:color="auto"/>
                        <w:bottom w:val="none" w:sz="0" w:space="0" w:color="auto"/>
                        <w:right w:val="none" w:sz="0" w:space="0" w:color="auto"/>
                      </w:divBdr>
                    </w:div>
                  </w:divsChild>
                </w:div>
                <w:div w:id="1581327014">
                  <w:marLeft w:val="0"/>
                  <w:marRight w:val="0"/>
                  <w:marTop w:val="0"/>
                  <w:marBottom w:val="0"/>
                  <w:divBdr>
                    <w:top w:val="none" w:sz="0" w:space="0" w:color="auto"/>
                    <w:left w:val="none" w:sz="0" w:space="0" w:color="auto"/>
                    <w:bottom w:val="none" w:sz="0" w:space="0" w:color="auto"/>
                    <w:right w:val="none" w:sz="0" w:space="0" w:color="auto"/>
                  </w:divBdr>
                  <w:divsChild>
                    <w:div w:id="1719283591">
                      <w:marLeft w:val="0"/>
                      <w:marRight w:val="0"/>
                      <w:marTop w:val="0"/>
                      <w:marBottom w:val="0"/>
                      <w:divBdr>
                        <w:top w:val="none" w:sz="0" w:space="0" w:color="auto"/>
                        <w:left w:val="none" w:sz="0" w:space="0" w:color="auto"/>
                        <w:bottom w:val="none" w:sz="0" w:space="0" w:color="auto"/>
                        <w:right w:val="none" w:sz="0" w:space="0" w:color="auto"/>
                      </w:divBdr>
                    </w:div>
                  </w:divsChild>
                </w:div>
                <w:div w:id="1602109602">
                  <w:marLeft w:val="0"/>
                  <w:marRight w:val="0"/>
                  <w:marTop w:val="0"/>
                  <w:marBottom w:val="0"/>
                  <w:divBdr>
                    <w:top w:val="none" w:sz="0" w:space="0" w:color="auto"/>
                    <w:left w:val="none" w:sz="0" w:space="0" w:color="auto"/>
                    <w:bottom w:val="none" w:sz="0" w:space="0" w:color="auto"/>
                    <w:right w:val="none" w:sz="0" w:space="0" w:color="auto"/>
                  </w:divBdr>
                  <w:divsChild>
                    <w:div w:id="1956981428">
                      <w:marLeft w:val="0"/>
                      <w:marRight w:val="0"/>
                      <w:marTop w:val="0"/>
                      <w:marBottom w:val="0"/>
                      <w:divBdr>
                        <w:top w:val="none" w:sz="0" w:space="0" w:color="auto"/>
                        <w:left w:val="none" w:sz="0" w:space="0" w:color="auto"/>
                        <w:bottom w:val="none" w:sz="0" w:space="0" w:color="auto"/>
                        <w:right w:val="none" w:sz="0" w:space="0" w:color="auto"/>
                      </w:divBdr>
                    </w:div>
                  </w:divsChild>
                </w:div>
                <w:div w:id="1614285511">
                  <w:marLeft w:val="0"/>
                  <w:marRight w:val="0"/>
                  <w:marTop w:val="0"/>
                  <w:marBottom w:val="0"/>
                  <w:divBdr>
                    <w:top w:val="none" w:sz="0" w:space="0" w:color="auto"/>
                    <w:left w:val="none" w:sz="0" w:space="0" w:color="auto"/>
                    <w:bottom w:val="none" w:sz="0" w:space="0" w:color="auto"/>
                    <w:right w:val="none" w:sz="0" w:space="0" w:color="auto"/>
                  </w:divBdr>
                  <w:divsChild>
                    <w:div w:id="821892066">
                      <w:marLeft w:val="0"/>
                      <w:marRight w:val="0"/>
                      <w:marTop w:val="0"/>
                      <w:marBottom w:val="0"/>
                      <w:divBdr>
                        <w:top w:val="none" w:sz="0" w:space="0" w:color="auto"/>
                        <w:left w:val="none" w:sz="0" w:space="0" w:color="auto"/>
                        <w:bottom w:val="none" w:sz="0" w:space="0" w:color="auto"/>
                        <w:right w:val="none" w:sz="0" w:space="0" w:color="auto"/>
                      </w:divBdr>
                    </w:div>
                  </w:divsChild>
                </w:div>
                <w:div w:id="1621104713">
                  <w:marLeft w:val="0"/>
                  <w:marRight w:val="0"/>
                  <w:marTop w:val="0"/>
                  <w:marBottom w:val="0"/>
                  <w:divBdr>
                    <w:top w:val="none" w:sz="0" w:space="0" w:color="auto"/>
                    <w:left w:val="none" w:sz="0" w:space="0" w:color="auto"/>
                    <w:bottom w:val="none" w:sz="0" w:space="0" w:color="auto"/>
                    <w:right w:val="none" w:sz="0" w:space="0" w:color="auto"/>
                  </w:divBdr>
                  <w:divsChild>
                    <w:div w:id="20401467">
                      <w:marLeft w:val="0"/>
                      <w:marRight w:val="0"/>
                      <w:marTop w:val="0"/>
                      <w:marBottom w:val="0"/>
                      <w:divBdr>
                        <w:top w:val="none" w:sz="0" w:space="0" w:color="auto"/>
                        <w:left w:val="none" w:sz="0" w:space="0" w:color="auto"/>
                        <w:bottom w:val="none" w:sz="0" w:space="0" w:color="auto"/>
                        <w:right w:val="none" w:sz="0" w:space="0" w:color="auto"/>
                      </w:divBdr>
                    </w:div>
                  </w:divsChild>
                </w:div>
                <w:div w:id="1633826370">
                  <w:marLeft w:val="0"/>
                  <w:marRight w:val="0"/>
                  <w:marTop w:val="0"/>
                  <w:marBottom w:val="0"/>
                  <w:divBdr>
                    <w:top w:val="none" w:sz="0" w:space="0" w:color="auto"/>
                    <w:left w:val="none" w:sz="0" w:space="0" w:color="auto"/>
                    <w:bottom w:val="none" w:sz="0" w:space="0" w:color="auto"/>
                    <w:right w:val="none" w:sz="0" w:space="0" w:color="auto"/>
                  </w:divBdr>
                  <w:divsChild>
                    <w:div w:id="1409614333">
                      <w:marLeft w:val="0"/>
                      <w:marRight w:val="0"/>
                      <w:marTop w:val="0"/>
                      <w:marBottom w:val="0"/>
                      <w:divBdr>
                        <w:top w:val="none" w:sz="0" w:space="0" w:color="auto"/>
                        <w:left w:val="none" w:sz="0" w:space="0" w:color="auto"/>
                        <w:bottom w:val="none" w:sz="0" w:space="0" w:color="auto"/>
                        <w:right w:val="none" w:sz="0" w:space="0" w:color="auto"/>
                      </w:divBdr>
                    </w:div>
                  </w:divsChild>
                </w:div>
                <w:div w:id="1634361397">
                  <w:marLeft w:val="0"/>
                  <w:marRight w:val="0"/>
                  <w:marTop w:val="0"/>
                  <w:marBottom w:val="0"/>
                  <w:divBdr>
                    <w:top w:val="none" w:sz="0" w:space="0" w:color="auto"/>
                    <w:left w:val="none" w:sz="0" w:space="0" w:color="auto"/>
                    <w:bottom w:val="none" w:sz="0" w:space="0" w:color="auto"/>
                    <w:right w:val="none" w:sz="0" w:space="0" w:color="auto"/>
                  </w:divBdr>
                  <w:divsChild>
                    <w:div w:id="1202356145">
                      <w:marLeft w:val="0"/>
                      <w:marRight w:val="0"/>
                      <w:marTop w:val="0"/>
                      <w:marBottom w:val="0"/>
                      <w:divBdr>
                        <w:top w:val="none" w:sz="0" w:space="0" w:color="auto"/>
                        <w:left w:val="none" w:sz="0" w:space="0" w:color="auto"/>
                        <w:bottom w:val="none" w:sz="0" w:space="0" w:color="auto"/>
                        <w:right w:val="none" w:sz="0" w:space="0" w:color="auto"/>
                      </w:divBdr>
                    </w:div>
                  </w:divsChild>
                </w:div>
                <w:div w:id="1641960137">
                  <w:marLeft w:val="0"/>
                  <w:marRight w:val="0"/>
                  <w:marTop w:val="0"/>
                  <w:marBottom w:val="0"/>
                  <w:divBdr>
                    <w:top w:val="none" w:sz="0" w:space="0" w:color="auto"/>
                    <w:left w:val="none" w:sz="0" w:space="0" w:color="auto"/>
                    <w:bottom w:val="none" w:sz="0" w:space="0" w:color="auto"/>
                    <w:right w:val="none" w:sz="0" w:space="0" w:color="auto"/>
                  </w:divBdr>
                  <w:divsChild>
                    <w:div w:id="556861616">
                      <w:marLeft w:val="0"/>
                      <w:marRight w:val="0"/>
                      <w:marTop w:val="0"/>
                      <w:marBottom w:val="0"/>
                      <w:divBdr>
                        <w:top w:val="none" w:sz="0" w:space="0" w:color="auto"/>
                        <w:left w:val="none" w:sz="0" w:space="0" w:color="auto"/>
                        <w:bottom w:val="none" w:sz="0" w:space="0" w:color="auto"/>
                        <w:right w:val="none" w:sz="0" w:space="0" w:color="auto"/>
                      </w:divBdr>
                    </w:div>
                  </w:divsChild>
                </w:div>
                <w:div w:id="1643580960">
                  <w:marLeft w:val="0"/>
                  <w:marRight w:val="0"/>
                  <w:marTop w:val="0"/>
                  <w:marBottom w:val="0"/>
                  <w:divBdr>
                    <w:top w:val="none" w:sz="0" w:space="0" w:color="auto"/>
                    <w:left w:val="none" w:sz="0" w:space="0" w:color="auto"/>
                    <w:bottom w:val="none" w:sz="0" w:space="0" w:color="auto"/>
                    <w:right w:val="none" w:sz="0" w:space="0" w:color="auto"/>
                  </w:divBdr>
                  <w:divsChild>
                    <w:div w:id="222102584">
                      <w:marLeft w:val="0"/>
                      <w:marRight w:val="0"/>
                      <w:marTop w:val="0"/>
                      <w:marBottom w:val="0"/>
                      <w:divBdr>
                        <w:top w:val="none" w:sz="0" w:space="0" w:color="auto"/>
                        <w:left w:val="none" w:sz="0" w:space="0" w:color="auto"/>
                        <w:bottom w:val="none" w:sz="0" w:space="0" w:color="auto"/>
                        <w:right w:val="none" w:sz="0" w:space="0" w:color="auto"/>
                      </w:divBdr>
                    </w:div>
                  </w:divsChild>
                </w:div>
                <w:div w:id="1645814217">
                  <w:marLeft w:val="0"/>
                  <w:marRight w:val="0"/>
                  <w:marTop w:val="0"/>
                  <w:marBottom w:val="0"/>
                  <w:divBdr>
                    <w:top w:val="none" w:sz="0" w:space="0" w:color="auto"/>
                    <w:left w:val="none" w:sz="0" w:space="0" w:color="auto"/>
                    <w:bottom w:val="none" w:sz="0" w:space="0" w:color="auto"/>
                    <w:right w:val="none" w:sz="0" w:space="0" w:color="auto"/>
                  </w:divBdr>
                  <w:divsChild>
                    <w:div w:id="289408413">
                      <w:marLeft w:val="0"/>
                      <w:marRight w:val="0"/>
                      <w:marTop w:val="0"/>
                      <w:marBottom w:val="0"/>
                      <w:divBdr>
                        <w:top w:val="none" w:sz="0" w:space="0" w:color="auto"/>
                        <w:left w:val="none" w:sz="0" w:space="0" w:color="auto"/>
                        <w:bottom w:val="none" w:sz="0" w:space="0" w:color="auto"/>
                        <w:right w:val="none" w:sz="0" w:space="0" w:color="auto"/>
                      </w:divBdr>
                    </w:div>
                  </w:divsChild>
                </w:div>
                <w:div w:id="1681541052">
                  <w:marLeft w:val="0"/>
                  <w:marRight w:val="0"/>
                  <w:marTop w:val="0"/>
                  <w:marBottom w:val="0"/>
                  <w:divBdr>
                    <w:top w:val="none" w:sz="0" w:space="0" w:color="auto"/>
                    <w:left w:val="none" w:sz="0" w:space="0" w:color="auto"/>
                    <w:bottom w:val="none" w:sz="0" w:space="0" w:color="auto"/>
                    <w:right w:val="none" w:sz="0" w:space="0" w:color="auto"/>
                  </w:divBdr>
                  <w:divsChild>
                    <w:div w:id="2049327992">
                      <w:marLeft w:val="0"/>
                      <w:marRight w:val="0"/>
                      <w:marTop w:val="0"/>
                      <w:marBottom w:val="0"/>
                      <w:divBdr>
                        <w:top w:val="none" w:sz="0" w:space="0" w:color="auto"/>
                        <w:left w:val="none" w:sz="0" w:space="0" w:color="auto"/>
                        <w:bottom w:val="none" w:sz="0" w:space="0" w:color="auto"/>
                        <w:right w:val="none" w:sz="0" w:space="0" w:color="auto"/>
                      </w:divBdr>
                    </w:div>
                  </w:divsChild>
                </w:div>
                <w:div w:id="1709254667">
                  <w:marLeft w:val="0"/>
                  <w:marRight w:val="0"/>
                  <w:marTop w:val="0"/>
                  <w:marBottom w:val="0"/>
                  <w:divBdr>
                    <w:top w:val="none" w:sz="0" w:space="0" w:color="auto"/>
                    <w:left w:val="none" w:sz="0" w:space="0" w:color="auto"/>
                    <w:bottom w:val="none" w:sz="0" w:space="0" w:color="auto"/>
                    <w:right w:val="none" w:sz="0" w:space="0" w:color="auto"/>
                  </w:divBdr>
                  <w:divsChild>
                    <w:div w:id="160511726">
                      <w:marLeft w:val="0"/>
                      <w:marRight w:val="0"/>
                      <w:marTop w:val="0"/>
                      <w:marBottom w:val="0"/>
                      <w:divBdr>
                        <w:top w:val="none" w:sz="0" w:space="0" w:color="auto"/>
                        <w:left w:val="none" w:sz="0" w:space="0" w:color="auto"/>
                        <w:bottom w:val="none" w:sz="0" w:space="0" w:color="auto"/>
                        <w:right w:val="none" w:sz="0" w:space="0" w:color="auto"/>
                      </w:divBdr>
                    </w:div>
                  </w:divsChild>
                </w:div>
                <w:div w:id="1711109792">
                  <w:marLeft w:val="0"/>
                  <w:marRight w:val="0"/>
                  <w:marTop w:val="0"/>
                  <w:marBottom w:val="0"/>
                  <w:divBdr>
                    <w:top w:val="none" w:sz="0" w:space="0" w:color="auto"/>
                    <w:left w:val="none" w:sz="0" w:space="0" w:color="auto"/>
                    <w:bottom w:val="none" w:sz="0" w:space="0" w:color="auto"/>
                    <w:right w:val="none" w:sz="0" w:space="0" w:color="auto"/>
                  </w:divBdr>
                  <w:divsChild>
                    <w:div w:id="1159420740">
                      <w:marLeft w:val="0"/>
                      <w:marRight w:val="0"/>
                      <w:marTop w:val="0"/>
                      <w:marBottom w:val="0"/>
                      <w:divBdr>
                        <w:top w:val="none" w:sz="0" w:space="0" w:color="auto"/>
                        <w:left w:val="none" w:sz="0" w:space="0" w:color="auto"/>
                        <w:bottom w:val="none" w:sz="0" w:space="0" w:color="auto"/>
                        <w:right w:val="none" w:sz="0" w:space="0" w:color="auto"/>
                      </w:divBdr>
                    </w:div>
                  </w:divsChild>
                </w:div>
                <w:div w:id="1714960302">
                  <w:marLeft w:val="0"/>
                  <w:marRight w:val="0"/>
                  <w:marTop w:val="0"/>
                  <w:marBottom w:val="0"/>
                  <w:divBdr>
                    <w:top w:val="none" w:sz="0" w:space="0" w:color="auto"/>
                    <w:left w:val="none" w:sz="0" w:space="0" w:color="auto"/>
                    <w:bottom w:val="none" w:sz="0" w:space="0" w:color="auto"/>
                    <w:right w:val="none" w:sz="0" w:space="0" w:color="auto"/>
                  </w:divBdr>
                  <w:divsChild>
                    <w:div w:id="342318746">
                      <w:marLeft w:val="0"/>
                      <w:marRight w:val="0"/>
                      <w:marTop w:val="0"/>
                      <w:marBottom w:val="0"/>
                      <w:divBdr>
                        <w:top w:val="none" w:sz="0" w:space="0" w:color="auto"/>
                        <w:left w:val="none" w:sz="0" w:space="0" w:color="auto"/>
                        <w:bottom w:val="none" w:sz="0" w:space="0" w:color="auto"/>
                        <w:right w:val="none" w:sz="0" w:space="0" w:color="auto"/>
                      </w:divBdr>
                    </w:div>
                  </w:divsChild>
                </w:div>
                <w:div w:id="1722289728">
                  <w:marLeft w:val="0"/>
                  <w:marRight w:val="0"/>
                  <w:marTop w:val="0"/>
                  <w:marBottom w:val="0"/>
                  <w:divBdr>
                    <w:top w:val="none" w:sz="0" w:space="0" w:color="auto"/>
                    <w:left w:val="none" w:sz="0" w:space="0" w:color="auto"/>
                    <w:bottom w:val="none" w:sz="0" w:space="0" w:color="auto"/>
                    <w:right w:val="none" w:sz="0" w:space="0" w:color="auto"/>
                  </w:divBdr>
                  <w:divsChild>
                    <w:div w:id="1282034209">
                      <w:marLeft w:val="0"/>
                      <w:marRight w:val="0"/>
                      <w:marTop w:val="0"/>
                      <w:marBottom w:val="0"/>
                      <w:divBdr>
                        <w:top w:val="none" w:sz="0" w:space="0" w:color="auto"/>
                        <w:left w:val="none" w:sz="0" w:space="0" w:color="auto"/>
                        <w:bottom w:val="none" w:sz="0" w:space="0" w:color="auto"/>
                        <w:right w:val="none" w:sz="0" w:space="0" w:color="auto"/>
                      </w:divBdr>
                    </w:div>
                  </w:divsChild>
                </w:div>
                <w:div w:id="1758404825">
                  <w:marLeft w:val="0"/>
                  <w:marRight w:val="0"/>
                  <w:marTop w:val="0"/>
                  <w:marBottom w:val="0"/>
                  <w:divBdr>
                    <w:top w:val="none" w:sz="0" w:space="0" w:color="auto"/>
                    <w:left w:val="none" w:sz="0" w:space="0" w:color="auto"/>
                    <w:bottom w:val="none" w:sz="0" w:space="0" w:color="auto"/>
                    <w:right w:val="none" w:sz="0" w:space="0" w:color="auto"/>
                  </w:divBdr>
                  <w:divsChild>
                    <w:div w:id="1400715754">
                      <w:marLeft w:val="0"/>
                      <w:marRight w:val="0"/>
                      <w:marTop w:val="0"/>
                      <w:marBottom w:val="0"/>
                      <w:divBdr>
                        <w:top w:val="none" w:sz="0" w:space="0" w:color="auto"/>
                        <w:left w:val="none" w:sz="0" w:space="0" w:color="auto"/>
                        <w:bottom w:val="none" w:sz="0" w:space="0" w:color="auto"/>
                        <w:right w:val="none" w:sz="0" w:space="0" w:color="auto"/>
                      </w:divBdr>
                    </w:div>
                  </w:divsChild>
                </w:div>
                <w:div w:id="1760248475">
                  <w:marLeft w:val="0"/>
                  <w:marRight w:val="0"/>
                  <w:marTop w:val="0"/>
                  <w:marBottom w:val="0"/>
                  <w:divBdr>
                    <w:top w:val="none" w:sz="0" w:space="0" w:color="auto"/>
                    <w:left w:val="none" w:sz="0" w:space="0" w:color="auto"/>
                    <w:bottom w:val="none" w:sz="0" w:space="0" w:color="auto"/>
                    <w:right w:val="none" w:sz="0" w:space="0" w:color="auto"/>
                  </w:divBdr>
                  <w:divsChild>
                    <w:div w:id="1637105377">
                      <w:marLeft w:val="0"/>
                      <w:marRight w:val="0"/>
                      <w:marTop w:val="0"/>
                      <w:marBottom w:val="0"/>
                      <w:divBdr>
                        <w:top w:val="none" w:sz="0" w:space="0" w:color="auto"/>
                        <w:left w:val="none" w:sz="0" w:space="0" w:color="auto"/>
                        <w:bottom w:val="none" w:sz="0" w:space="0" w:color="auto"/>
                        <w:right w:val="none" w:sz="0" w:space="0" w:color="auto"/>
                      </w:divBdr>
                    </w:div>
                  </w:divsChild>
                </w:div>
                <w:div w:id="1765226854">
                  <w:marLeft w:val="0"/>
                  <w:marRight w:val="0"/>
                  <w:marTop w:val="0"/>
                  <w:marBottom w:val="0"/>
                  <w:divBdr>
                    <w:top w:val="none" w:sz="0" w:space="0" w:color="auto"/>
                    <w:left w:val="none" w:sz="0" w:space="0" w:color="auto"/>
                    <w:bottom w:val="none" w:sz="0" w:space="0" w:color="auto"/>
                    <w:right w:val="none" w:sz="0" w:space="0" w:color="auto"/>
                  </w:divBdr>
                  <w:divsChild>
                    <w:div w:id="1684555156">
                      <w:marLeft w:val="0"/>
                      <w:marRight w:val="0"/>
                      <w:marTop w:val="0"/>
                      <w:marBottom w:val="0"/>
                      <w:divBdr>
                        <w:top w:val="none" w:sz="0" w:space="0" w:color="auto"/>
                        <w:left w:val="none" w:sz="0" w:space="0" w:color="auto"/>
                        <w:bottom w:val="none" w:sz="0" w:space="0" w:color="auto"/>
                        <w:right w:val="none" w:sz="0" w:space="0" w:color="auto"/>
                      </w:divBdr>
                    </w:div>
                  </w:divsChild>
                </w:div>
                <w:div w:id="1803841024">
                  <w:marLeft w:val="0"/>
                  <w:marRight w:val="0"/>
                  <w:marTop w:val="0"/>
                  <w:marBottom w:val="0"/>
                  <w:divBdr>
                    <w:top w:val="none" w:sz="0" w:space="0" w:color="auto"/>
                    <w:left w:val="none" w:sz="0" w:space="0" w:color="auto"/>
                    <w:bottom w:val="none" w:sz="0" w:space="0" w:color="auto"/>
                    <w:right w:val="none" w:sz="0" w:space="0" w:color="auto"/>
                  </w:divBdr>
                  <w:divsChild>
                    <w:div w:id="860633902">
                      <w:marLeft w:val="0"/>
                      <w:marRight w:val="0"/>
                      <w:marTop w:val="0"/>
                      <w:marBottom w:val="0"/>
                      <w:divBdr>
                        <w:top w:val="none" w:sz="0" w:space="0" w:color="auto"/>
                        <w:left w:val="none" w:sz="0" w:space="0" w:color="auto"/>
                        <w:bottom w:val="none" w:sz="0" w:space="0" w:color="auto"/>
                        <w:right w:val="none" w:sz="0" w:space="0" w:color="auto"/>
                      </w:divBdr>
                    </w:div>
                  </w:divsChild>
                </w:div>
                <w:div w:id="1816950898">
                  <w:marLeft w:val="0"/>
                  <w:marRight w:val="0"/>
                  <w:marTop w:val="0"/>
                  <w:marBottom w:val="0"/>
                  <w:divBdr>
                    <w:top w:val="none" w:sz="0" w:space="0" w:color="auto"/>
                    <w:left w:val="none" w:sz="0" w:space="0" w:color="auto"/>
                    <w:bottom w:val="none" w:sz="0" w:space="0" w:color="auto"/>
                    <w:right w:val="none" w:sz="0" w:space="0" w:color="auto"/>
                  </w:divBdr>
                  <w:divsChild>
                    <w:div w:id="1404792846">
                      <w:marLeft w:val="0"/>
                      <w:marRight w:val="0"/>
                      <w:marTop w:val="0"/>
                      <w:marBottom w:val="0"/>
                      <w:divBdr>
                        <w:top w:val="none" w:sz="0" w:space="0" w:color="auto"/>
                        <w:left w:val="none" w:sz="0" w:space="0" w:color="auto"/>
                        <w:bottom w:val="none" w:sz="0" w:space="0" w:color="auto"/>
                        <w:right w:val="none" w:sz="0" w:space="0" w:color="auto"/>
                      </w:divBdr>
                    </w:div>
                  </w:divsChild>
                </w:div>
                <w:div w:id="1818064683">
                  <w:marLeft w:val="0"/>
                  <w:marRight w:val="0"/>
                  <w:marTop w:val="0"/>
                  <w:marBottom w:val="0"/>
                  <w:divBdr>
                    <w:top w:val="none" w:sz="0" w:space="0" w:color="auto"/>
                    <w:left w:val="none" w:sz="0" w:space="0" w:color="auto"/>
                    <w:bottom w:val="none" w:sz="0" w:space="0" w:color="auto"/>
                    <w:right w:val="none" w:sz="0" w:space="0" w:color="auto"/>
                  </w:divBdr>
                  <w:divsChild>
                    <w:div w:id="301808283">
                      <w:marLeft w:val="0"/>
                      <w:marRight w:val="0"/>
                      <w:marTop w:val="0"/>
                      <w:marBottom w:val="0"/>
                      <w:divBdr>
                        <w:top w:val="none" w:sz="0" w:space="0" w:color="auto"/>
                        <w:left w:val="none" w:sz="0" w:space="0" w:color="auto"/>
                        <w:bottom w:val="none" w:sz="0" w:space="0" w:color="auto"/>
                        <w:right w:val="none" w:sz="0" w:space="0" w:color="auto"/>
                      </w:divBdr>
                    </w:div>
                  </w:divsChild>
                </w:div>
                <w:div w:id="1823963413">
                  <w:marLeft w:val="0"/>
                  <w:marRight w:val="0"/>
                  <w:marTop w:val="0"/>
                  <w:marBottom w:val="0"/>
                  <w:divBdr>
                    <w:top w:val="none" w:sz="0" w:space="0" w:color="auto"/>
                    <w:left w:val="none" w:sz="0" w:space="0" w:color="auto"/>
                    <w:bottom w:val="none" w:sz="0" w:space="0" w:color="auto"/>
                    <w:right w:val="none" w:sz="0" w:space="0" w:color="auto"/>
                  </w:divBdr>
                  <w:divsChild>
                    <w:div w:id="1568687155">
                      <w:marLeft w:val="0"/>
                      <w:marRight w:val="0"/>
                      <w:marTop w:val="0"/>
                      <w:marBottom w:val="0"/>
                      <w:divBdr>
                        <w:top w:val="none" w:sz="0" w:space="0" w:color="auto"/>
                        <w:left w:val="none" w:sz="0" w:space="0" w:color="auto"/>
                        <w:bottom w:val="none" w:sz="0" w:space="0" w:color="auto"/>
                        <w:right w:val="none" w:sz="0" w:space="0" w:color="auto"/>
                      </w:divBdr>
                    </w:div>
                  </w:divsChild>
                </w:div>
                <w:div w:id="1824664953">
                  <w:marLeft w:val="0"/>
                  <w:marRight w:val="0"/>
                  <w:marTop w:val="0"/>
                  <w:marBottom w:val="0"/>
                  <w:divBdr>
                    <w:top w:val="none" w:sz="0" w:space="0" w:color="auto"/>
                    <w:left w:val="none" w:sz="0" w:space="0" w:color="auto"/>
                    <w:bottom w:val="none" w:sz="0" w:space="0" w:color="auto"/>
                    <w:right w:val="none" w:sz="0" w:space="0" w:color="auto"/>
                  </w:divBdr>
                  <w:divsChild>
                    <w:div w:id="964385174">
                      <w:marLeft w:val="0"/>
                      <w:marRight w:val="0"/>
                      <w:marTop w:val="0"/>
                      <w:marBottom w:val="0"/>
                      <w:divBdr>
                        <w:top w:val="none" w:sz="0" w:space="0" w:color="auto"/>
                        <w:left w:val="none" w:sz="0" w:space="0" w:color="auto"/>
                        <w:bottom w:val="none" w:sz="0" w:space="0" w:color="auto"/>
                        <w:right w:val="none" w:sz="0" w:space="0" w:color="auto"/>
                      </w:divBdr>
                    </w:div>
                  </w:divsChild>
                </w:div>
                <w:div w:id="1844977966">
                  <w:marLeft w:val="0"/>
                  <w:marRight w:val="0"/>
                  <w:marTop w:val="0"/>
                  <w:marBottom w:val="0"/>
                  <w:divBdr>
                    <w:top w:val="none" w:sz="0" w:space="0" w:color="auto"/>
                    <w:left w:val="none" w:sz="0" w:space="0" w:color="auto"/>
                    <w:bottom w:val="none" w:sz="0" w:space="0" w:color="auto"/>
                    <w:right w:val="none" w:sz="0" w:space="0" w:color="auto"/>
                  </w:divBdr>
                  <w:divsChild>
                    <w:div w:id="803933031">
                      <w:marLeft w:val="0"/>
                      <w:marRight w:val="0"/>
                      <w:marTop w:val="0"/>
                      <w:marBottom w:val="0"/>
                      <w:divBdr>
                        <w:top w:val="none" w:sz="0" w:space="0" w:color="auto"/>
                        <w:left w:val="none" w:sz="0" w:space="0" w:color="auto"/>
                        <w:bottom w:val="none" w:sz="0" w:space="0" w:color="auto"/>
                        <w:right w:val="none" w:sz="0" w:space="0" w:color="auto"/>
                      </w:divBdr>
                    </w:div>
                  </w:divsChild>
                </w:div>
                <w:div w:id="1854145275">
                  <w:marLeft w:val="0"/>
                  <w:marRight w:val="0"/>
                  <w:marTop w:val="0"/>
                  <w:marBottom w:val="0"/>
                  <w:divBdr>
                    <w:top w:val="none" w:sz="0" w:space="0" w:color="auto"/>
                    <w:left w:val="none" w:sz="0" w:space="0" w:color="auto"/>
                    <w:bottom w:val="none" w:sz="0" w:space="0" w:color="auto"/>
                    <w:right w:val="none" w:sz="0" w:space="0" w:color="auto"/>
                  </w:divBdr>
                  <w:divsChild>
                    <w:div w:id="1860776446">
                      <w:marLeft w:val="0"/>
                      <w:marRight w:val="0"/>
                      <w:marTop w:val="0"/>
                      <w:marBottom w:val="0"/>
                      <w:divBdr>
                        <w:top w:val="none" w:sz="0" w:space="0" w:color="auto"/>
                        <w:left w:val="none" w:sz="0" w:space="0" w:color="auto"/>
                        <w:bottom w:val="none" w:sz="0" w:space="0" w:color="auto"/>
                        <w:right w:val="none" w:sz="0" w:space="0" w:color="auto"/>
                      </w:divBdr>
                    </w:div>
                  </w:divsChild>
                </w:div>
                <w:div w:id="1855268557">
                  <w:marLeft w:val="0"/>
                  <w:marRight w:val="0"/>
                  <w:marTop w:val="0"/>
                  <w:marBottom w:val="0"/>
                  <w:divBdr>
                    <w:top w:val="none" w:sz="0" w:space="0" w:color="auto"/>
                    <w:left w:val="none" w:sz="0" w:space="0" w:color="auto"/>
                    <w:bottom w:val="none" w:sz="0" w:space="0" w:color="auto"/>
                    <w:right w:val="none" w:sz="0" w:space="0" w:color="auto"/>
                  </w:divBdr>
                  <w:divsChild>
                    <w:div w:id="2128699181">
                      <w:marLeft w:val="0"/>
                      <w:marRight w:val="0"/>
                      <w:marTop w:val="0"/>
                      <w:marBottom w:val="0"/>
                      <w:divBdr>
                        <w:top w:val="none" w:sz="0" w:space="0" w:color="auto"/>
                        <w:left w:val="none" w:sz="0" w:space="0" w:color="auto"/>
                        <w:bottom w:val="none" w:sz="0" w:space="0" w:color="auto"/>
                        <w:right w:val="none" w:sz="0" w:space="0" w:color="auto"/>
                      </w:divBdr>
                    </w:div>
                  </w:divsChild>
                </w:div>
                <w:div w:id="1861121800">
                  <w:marLeft w:val="0"/>
                  <w:marRight w:val="0"/>
                  <w:marTop w:val="0"/>
                  <w:marBottom w:val="0"/>
                  <w:divBdr>
                    <w:top w:val="none" w:sz="0" w:space="0" w:color="auto"/>
                    <w:left w:val="none" w:sz="0" w:space="0" w:color="auto"/>
                    <w:bottom w:val="none" w:sz="0" w:space="0" w:color="auto"/>
                    <w:right w:val="none" w:sz="0" w:space="0" w:color="auto"/>
                  </w:divBdr>
                  <w:divsChild>
                    <w:div w:id="1114713201">
                      <w:marLeft w:val="0"/>
                      <w:marRight w:val="0"/>
                      <w:marTop w:val="0"/>
                      <w:marBottom w:val="0"/>
                      <w:divBdr>
                        <w:top w:val="none" w:sz="0" w:space="0" w:color="auto"/>
                        <w:left w:val="none" w:sz="0" w:space="0" w:color="auto"/>
                        <w:bottom w:val="none" w:sz="0" w:space="0" w:color="auto"/>
                        <w:right w:val="none" w:sz="0" w:space="0" w:color="auto"/>
                      </w:divBdr>
                    </w:div>
                  </w:divsChild>
                </w:div>
                <w:div w:id="1862160207">
                  <w:marLeft w:val="0"/>
                  <w:marRight w:val="0"/>
                  <w:marTop w:val="0"/>
                  <w:marBottom w:val="0"/>
                  <w:divBdr>
                    <w:top w:val="none" w:sz="0" w:space="0" w:color="auto"/>
                    <w:left w:val="none" w:sz="0" w:space="0" w:color="auto"/>
                    <w:bottom w:val="none" w:sz="0" w:space="0" w:color="auto"/>
                    <w:right w:val="none" w:sz="0" w:space="0" w:color="auto"/>
                  </w:divBdr>
                  <w:divsChild>
                    <w:div w:id="125852207">
                      <w:marLeft w:val="0"/>
                      <w:marRight w:val="0"/>
                      <w:marTop w:val="0"/>
                      <w:marBottom w:val="0"/>
                      <w:divBdr>
                        <w:top w:val="none" w:sz="0" w:space="0" w:color="auto"/>
                        <w:left w:val="none" w:sz="0" w:space="0" w:color="auto"/>
                        <w:bottom w:val="none" w:sz="0" w:space="0" w:color="auto"/>
                        <w:right w:val="none" w:sz="0" w:space="0" w:color="auto"/>
                      </w:divBdr>
                    </w:div>
                  </w:divsChild>
                </w:div>
                <w:div w:id="1873566770">
                  <w:marLeft w:val="0"/>
                  <w:marRight w:val="0"/>
                  <w:marTop w:val="0"/>
                  <w:marBottom w:val="0"/>
                  <w:divBdr>
                    <w:top w:val="none" w:sz="0" w:space="0" w:color="auto"/>
                    <w:left w:val="none" w:sz="0" w:space="0" w:color="auto"/>
                    <w:bottom w:val="none" w:sz="0" w:space="0" w:color="auto"/>
                    <w:right w:val="none" w:sz="0" w:space="0" w:color="auto"/>
                  </w:divBdr>
                  <w:divsChild>
                    <w:div w:id="2079549410">
                      <w:marLeft w:val="0"/>
                      <w:marRight w:val="0"/>
                      <w:marTop w:val="0"/>
                      <w:marBottom w:val="0"/>
                      <w:divBdr>
                        <w:top w:val="none" w:sz="0" w:space="0" w:color="auto"/>
                        <w:left w:val="none" w:sz="0" w:space="0" w:color="auto"/>
                        <w:bottom w:val="none" w:sz="0" w:space="0" w:color="auto"/>
                        <w:right w:val="none" w:sz="0" w:space="0" w:color="auto"/>
                      </w:divBdr>
                    </w:div>
                  </w:divsChild>
                </w:div>
                <w:div w:id="1883905888">
                  <w:marLeft w:val="0"/>
                  <w:marRight w:val="0"/>
                  <w:marTop w:val="0"/>
                  <w:marBottom w:val="0"/>
                  <w:divBdr>
                    <w:top w:val="none" w:sz="0" w:space="0" w:color="auto"/>
                    <w:left w:val="none" w:sz="0" w:space="0" w:color="auto"/>
                    <w:bottom w:val="none" w:sz="0" w:space="0" w:color="auto"/>
                    <w:right w:val="none" w:sz="0" w:space="0" w:color="auto"/>
                  </w:divBdr>
                  <w:divsChild>
                    <w:div w:id="1841698797">
                      <w:marLeft w:val="0"/>
                      <w:marRight w:val="0"/>
                      <w:marTop w:val="0"/>
                      <w:marBottom w:val="0"/>
                      <w:divBdr>
                        <w:top w:val="none" w:sz="0" w:space="0" w:color="auto"/>
                        <w:left w:val="none" w:sz="0" w:space="0" w:color="auto"/>
                        <w:bottom w:val="none" w:sz="0" w:space="0" w:color="auto"/>
                        <w:right w:val="none" w:sz="0" w:space="0" w:color="auto"/>
                      </w:divBdr>
                    </w:div>
                  </w:divsChild>
                </w:div>
                <w:div w:id="1884125964">
                  <w:marLeft w:val="0"/>
                  <w:marRight w:val="0"/>
                  <w:marTop w:val="0"/>
                  <w:marBottom w:val="0"/>
                  <w:divBdr>
                    <w:top w:val="none" w:sz="0" w:space="0" w:color="auto"/>
                    <w:left w:val="none" w:sz="0" w:space="0" w:color="auto"/>
                    <w:bottom w:val="none" w:sz="0" w:space="0" w:color="auto"/>
                    <w:right w:val="none" w:sz="0" w:space="0" w:color="auto"/>
                  </w:divBdr>
                  <w:divsChild>
                    <w:div w:id="1565287837">
                      <w:marLeft w:val="0"/>
                      <w:marRight w:val="0"/>
                      <w:marTop w:val="0"/>
                      <w:marBottom w:val="0"/>
                      <w:divBdr>
                        <w:top w:val="none" w:sz="0" w:space="0" w:color="auto"/>
                        <w:left w:val="none" w:sz="0" w:space="0" w:color="auto"/>
                        <w:bottom w:val="none" w:sz="0" w:space="0" w:color="auto"/>
                        <w:right w:val="none" w:sz="0" w:space="0" w:color="auto"/>
                      </w:divBdr>
                    </w:div>
                  </w:divsChild>
                </w:div>
                <w:div w:id="1884443254">
                  <w:marLeft w:val="0"/>
                  <w:marRight w:val="0"/>
                  <w:marTop w:val="0"/>
                  <w:marBottom w:val="0"/>
                  <w:divBdr>
                    <w:top w:val="none" w:sz="0" w:space="0" w:color="auto"/>
                    <w:left w:val="none" w:sz="0" w:space="0" w:color="auto"/>
                    <w:bottom w:val="none" w:sz="0" w:space="0" w:color="auto"/>
                    <w:right w:val="none" w:sz="0" w:space="0" w:color="auto"/>
                  </w:divBdr>
                  <w:divsChild>
                    <w:div w:id="917401250">
                      <w:marLeft w:val="0"/>
                      <w:marRight w:val="0"/>
                      <w:marTop w:val="0"/>
                      <w:marBottom w:val="0"/>
                      <w:divBdr>
                        <w:top w:val="none" w:sz="0" w:space="0" w:color="auto"/>
                        <w:left w:val="none" w:sz="0" w:space="0" w:color="auto"/>
                        <w:bottom w:val="none" w:sz="0" w:space="0" w:color="auto"/>
                        <w:right w:val="none" w:sz="0" w:space="0" w:color="auto"/>
                      </w:divBdr>
                    </w:div>
                  </w:divsChild>
                </w:div>
                <w:div w:id="1892379511">
                  <w:marLeft w:val="0"/>
                  <w:marRight w:val="0"/>
                  <w:marTop w:val="0"/>
                  <w:marBottom w:val="0"/>
                  <w:divBdr>
                    <w:top w:val="none" w:sz="0" w:space="0" w:color="auto"/>
                    <w:left w:val="none" w:sz="0" w:space="0" w:color="auto"/>
                    <w:bottom w:val="none" w:sz="0" w:space="0" w:color="auto"/>
                    <w:right w:val="none" w:sz="0" w:space="0" w:color="auto"/>
                  </w:divBdr>
                  <w:divsChild>
                    <w:div w:id="747970198">
                      <w:marLeft w:val="0"/>
                      <w:marRight w:val="0"/>
                      <w:marTop w:val="0"/>
                      <w:marBottom w:val="0"/>
                      <w:divBdr>
                        <w:top w:val="none" w:sz="0" w:space="0" w:color="auto"/>
                        <w:left w:val="none" w:sz="0" w:space="0" w:color="auto"/>
                        <w:bottom w:val="none" w:sz="0" w:space="0" w:color="auto"/>
                        <w:right w:val="none" w:sz="0" w:space="0" w:color="auto"/>
                      </w:divBdr>
                    </w:div>
                  </w:divsChild>
                </w:div>
                <w:div w:id="1906140692">
                  <w:marLeft w:val="0"/>
                  <w:marRight w:val="0"/>
                  <w:marTop w:val="0"/>
                  <w:marBottom w:val="0"/>
                  <w:divBdr>
                    <w:top w:val="none" w:sz="0" w:space="0" w:color="auto"/>
                    <w:left w:val="none" w:sz="0" w:space="0" w:color="auto"/>
                    <w:bottom w:val="none" w:sz="0" w:space="0" w:color="auto"/>
                    <w:right w:val="none" w:sz="0" w:space="0" w:color="auto"/>
                  </w:divBdr>
                  <w:divsChild>
                    <w:div w:id="1959987961">
                      <w:marLeft w:val="0"/>
                      <w:marRight w:val="0"/>
                      <w:marTop w:val="0"/>
                      <w:marBottom w:val="0"/>
                      <w:divBdr>
                        <w:top w:val="none" w:sz="0" w:space="0" w:color="auto"/>
                        <w:left w:val="none" w:sz="0" w:space="0" w:color="auto"/>
                        <w:bottom w:val="none" w:sz="0" w:space="0" w:color="auto"/>
                        <w:right w:val="none" w:sz="0" w:space="0" w:color="auto"/>
                      </w:divBdr>
                    </w:div>
                  </w:divsChild>
                </w:div>
                <w:div w:id="1932657350">
                  <w:marLeft w:val="0"/>
                  <w:marRight w:val="0"/>
                  <w:marTop w:val="0"/>
                  <w:marBottom w:val="0"/>
                  <w:divBdr>
                    <w:top w:val="none" w:sz="0" w:space="0" w:color="auto"/>
                    <w:left w:val="none" w:sz="0" w:space="0" w:color="auto"/>
                    <w:bottom w:val="none" w:sz="0" w:space="0" w:color="auto"/>
                    <w:right w:val="none" w:sz="0" w:space="0" w:color="auto"/>
                  </w:divBdr>
                  <w:divsChild>
                    <w:div w:id="1210217009">
                      <w:marLeft w:val="0"/>
                      <w:marRight w:val="0"/>
                      <w:marTop w:val="0"/>
                      <w:marBottom w:val="0"/>
                      <w:divBdr>
                        <w:top w:val="none" w:sz="0" w:space="0" w:color="auto"/>
                        <w:left w:val="none" w:sz="0" w:space="0" w:color="auto"/>
                        <w:bottom w:val="none" w:sz="0" w:space="0" w:color="auto"/>
                        <w:right w:val="none" w:sz="0" w:space="0" w:color="auto"/>
                      </w:divBdr>
                    </w:div>
                  </w:divsChild>
                </w:div>
                <w:div w:id="1939022169">
                  <w:marLeft w:val="0"/>
                  <w:marRight w:val="0"/>
                  <w:marTop w:val="0"/>
                  <w:marBottom w:val="0"/>
                  <w:divBdr>
                    <w:top w:val="none" w:sz="0" w:space="0" w:color="auto"/>
                    <w:left w:val="none" w:sz="0" w:space="0" w:color="auto"/>
                    <w:bottom w:val="none" w:sz="0" w:space="0" w:color="auto"/>
                    <w:right w:val="none" w:sz="0" w:space="0" w:color="auto"/>
                  </w:divBdr>
                  <w:divsChild>
                    <w:div w:id="693964182">
                      <w:marLeft w:val="0"/>
                      <w:marRight w:val="0"/>
                      <w:marTop w:val="0"/>
                      <w:marBottom w:val="0"/>
                      <w:divBdr>
                        <w:top w:val="none" w:sz="0" w:space="0" w:color="auto"/>
                        <w:left w:val="none" w:sz="0" w:space="0" w:color="auto"/>
                        <w:bottom w:val="none" w:sz="0" w:space="0" w:color="auto"/>
                        <w:right w:val="none" w:sz="0" w:space="0" w:color="auto"/>
                      </w:divBdr>
                    </w:div>
                    <w:div w:id="874344302">
                      <w:marLeft w:val="0"/>
                      <w:marRight w:val="0"/>
                      <w:marTop w:val="0"/>
                      <w:marBottom w:val="0"/>
                      <w:divBdr>
                        <w:top w:val="none" w:sz="0" w:space="0" w:color="auto"/>
                        <w:left w:val="none" w:sz="0" w:space="0" w:color="auto"/>
                        <w:bottom w:val="none" w:sz="0" w:space="0" w:color="auto"/>
                        <w:right w:val="none" w:sz="0" w:space="0" w:color="auto"/>
                      </w:divBdr>
                    </w:div>
                  </w:divsChild>
                </w:div>
                <w:div w:id="1939606336">
                  <w:marLeft w:val="0"/>
                  <w:marRight w:val="0"/>
                  <w:marTop w:val="0"/>
                  <w:marBottom w:val="0"/>
                  <w:divBdr>
                    <w:top w:val="none" w:sz="0" w:space="0" w:color="auto"/>
                    <w:left w:val="none" w:sz="0" w:space="0" w:color="auto"/>
                    <w:bottom w:val="none" w:sz="0" w:space="0" w:color="auto"/>
                    <w:right w:val="none" w:sz="0" w:space="0" w:color="auto"/>
                  </w:divBdr>
                  <w:divsChild>
                    <w:div w:id="264314905">
                      <w:marLeft w:val="0"/>
                      <w:marRight w:val="0"/>
                      <w:marTop w:val="0"/>
                      <w:marBottom w:val="0"/>
                      <w:divBdr>
                        <w:top w:val="none" w:sz="0" w:space="0" w:color="auto"/>
                        <w:left w:val="none" w:sz="0" w:space="0" w:color="auto"/>
                        <w:bottom w:val="none" w:sz="0" w:space="0" w:color="auto"/>
                        <w:right w:val="none" w:sz="0" w:space="0" w:color="auto"/>
                      </w:divBdr>
                    </w:div>
                  </w:divsChild>
                </w:div>
                <w:div w:id="1957253616">
                  <w:marLeft w:val="0"/>
                  <w:marRight w:val="0"/>
                  <w:marTop w:val="0"/>
                  <w:marBottom w:val="0"/>
                  <w:divBdr>
                    <w:top w:val="none" w:sz="0" w:space="0" w:color="auto"/>
                    <w:left w:val="none" w:sz="0" w:space="0" w:color="auto"/>
                    <w:bottom w:val="none" w:sz="0" w:space="0" w:color="auto"/>
                    <w:right w:val="none" w:sz="0" w:space="0" w:color="auto"/>
                  </w:divBdr>
                  <w:divsChild>
                    <w:div w:id="336813736">
                      <w:marLeft w:val="0"/>
                      <w:marRight w:val="0"/>
                      <w:marTop w:val="0"/>
                      <w:marBottom w:val="0"/>
                      <w:divBdr>
                        <w:top w:val="none" w:sz="0" w:space="0" w:color="auto"/>
                        <w:left w:val="none" w:sz="0" w:space="0" w:color="auto"/>
                        <w:bottom w:val="none" w:sz="0" w:space="0" w:color="auto"/>
                        <w:right w:val="none" w:sz="0" w:space="0" w:color="auto"/>
                      </w:divBdr>
                    </w:div>
                  </w:divsChild>
                </w:div>
                <w:div w:id="1958826175">
                  <w:marLeft w:val="0"/>
                  <w:marRight w:val="0"/>
                  <w:marTop w:val="0"/>
                  <w:marBottom w:val="0"/>
                  <w:divBdr>
                    <w:top w:val="none" w:sz="0" w:space="0" w:color="auto"/>
                    <w:left w:val="none" w:sz="0" w:space="0" w:color="auto"/>
                    <w:bottom w:val="none" w:sz="0" w:space="0" w:color="auto"/>
                    <w:right w:val="none" w:sz="0" w:space="0" w:color="auto"/>
                  </w:divBdr>
                  <w:divsChild>
                    <w:div w:id="1769228096">
                      <w:marLeft w:val="0"/>
                      <w:marRight w:val="0"/>
                      <w:marTop w:val="0"/>
                      <w:marBottom w:val="0"/>
                      <w:divBdr>
                        <w:top w:val="none" w:sz="0" w:space="0" w:color="auto"/>
                        <w:left w:val="none" w:sz="0" w:space="0" w:color="auto"/>
                        <w:bottom w:val="none" w:sz="0" w:space="0" w:color="auto"/>
                        <w:right w:val="none" w:sz="0" w:space="0" w:color="auto"/>
                      </w:divBdr>
                    </w:div>
                  </w:divsChild>
                </w:div>
                <w:div w:id="1978954218">
                  <w:marLeft w:val="0"/>
                  <w:marRight w:val="0"/>
                  <w:marTop w:val="0"/>
                  <w:marBottom w:val="0"/>
                  <w:divBdr>
                    <w:top w:val="none" w:sz="0" w:space="0" w:color="auto"/>
                    <w:left w:val="none" w:sz="0" w:space="0" w:color="auto"/>
                    <w:bottom w:val="none" w:sz="0" w:space="0" w:color="auto"/>
                    <w:right w:val="none" w:sz="0" w:space="0" w:color="auto"/>
                  </w:divBdr>
                  <w:divsChild>
                    <w:div w:id="1602033402">
                      <w:marLeft w:val="0"/>
                      <w:marRight w:val="0"/>
                      <w:marTop w:val="0"/>
                      <w:marBottom w:val="0"/>
                      <w:divBdr>
                        <w:top w:val="none" w:sz="0" w:space="0" w:color="auto"/>
                        <w:left w:val="none" w:sz="0" w:space="0" w:color="auto"/>
                        <w:bottom w:val="none" w:sz="0" w:space="0" w:color="auto"/>
                        <w:right w:val="none" w:sz="0" w:space="0" w:color="auto"/>
                      </w:divBdr>
                    </w:div>
                  </w:divsChild>
                </w:div>
                <w:div w:id="1988168823">
                  <w:marLeft w:val="0"/>
                  <w:marRight w:val="0"/>
                  <w:marTop w:val="0"/>
                  <w:marBottom w:val="0"/>
                  <w:divBdr>
                    <w:top w:val="none" w:sz="0" w:space="0" w:color="auto"/>
                    <w:left w:val="none" w:sz="0" w:space="0" w:color="auto"/>
                    <w:bottom w:val="none" w:sz="0" w:space="0" w:color="auto"/>
                    <w:right w:val="none" w:sz="0" w:space="0" w:color="auto"/>
                  </w:divBdr>
                  <w:divsChild>
                    <w:div w:id="1923024716">
                      <w:marLeft w:val="0"/>
                      <w:marRight w:val="0"/>
                      <w:marTop w:val="0"/>
                      <w:marBottom w:val="0"/>
                      <w:divBdr>
                        <w:top w:val="none" w:sz="0" w:space="0" w:color="auto"/>
                        <w:left w:val="none" w:sz="0" w:space="0" w:color="auto"/>
                        <w:bottom w:val="none" w:sz="0" w:space="0" w:color="auto"/>
                        <w:right w:val="none" w:sz="0" w:space="0" w:color="auto"/>
                      </w:divBdr>
                    </w:div>
                  </w:divsChild>
                </w:div>
                <w:div w:id="1988701247">
                  <w:marLeft w:val="0"/>
                  <w:marRight w:val="0"/>
                  <w:marTop w:val="0"/>
                  <w:marBottom w:val="0"/>
                  <w:divBdr>
                    <w:top w:val="none" w:sz="0" w:space="0" w:color="auto"/>
                    <w:left w:val="none" w:sz="0" w:space="0" w:color="auto"/>
                    <w:bottom w:val="none" w:sz="0" w:space="0" w:color="auto"/>
                    <w:right w:val="none" w:sz="0" w:space="0" w:color="auto"/>
                  </w:divBdr>
                  <w:divsChild>
                    <w:div w:id="1562672136">
                      <w:marLeft w:val="0"/>
                      <w:marRight w:val="0"/>
                      <w:marTop w:val="0"/>
                      <w:marBottom w:val="0"/>
                      <w:divBdr>
                        <w:top w:val="none" w:sz="0" w:space="0" w:color="auto"/>
                        <w:left w:val="none" w:sz="0" w:space="0" w:color="auto"/>
                        <w:bottom w:val="none" w:sz="0" w:space="0" w:color="auto"/>
                        <w:right w:val="none" w:sz="0" w:space="0" w:color="auto"/>
                      </w:divBdr>
                    </w:div>
                  </w:divsChild>
                </w:div>
                <w:div w:id="2004504663">
                  <w:marLeft w:val="0"/>
                  <w:marRight w:val="0"/>
                  <w:marTop w:val="0"/>
                  <w:marBottom w:val="0"/>
                  <w:divBdr>
                    <w:top w:val="none" w:sz="0" w:space="0" w:color="auto"/>
                    <w:left w:val="none" w:sz="0" w:space="0" w:color="auto"/>
                    <w:bottom w:val="none" w:sz="0" w:space="0" w:color="auto"/>
                    <w:right w:val="none" w:sz="0" w:space="0" w:color="auto"/>
                  </w:divBdr>
                  <w:divsChild>
                    <w:div w:id="179590940">
                      <w:marLeft w:val="0"/>
                      <w:marRight w:val="0"/>
                      <w:marTop w:val="0"/>
                      <w:marBottom w:val="0"/>
                      <w:divBdr>
                        <w:top w:val="none" w:sz="0" w:space="0" w:color="auto"/>
                        <w:left w:val="none" w:sz="0" w:space="0" w:color="auto"/>
                        <w:bottom w:val="none" w:sz="0" w:space="0" w:color="auto"/>
                        <w:right w:val="none" w:sz="0" w:space="0" w:color="auto"/>
                      </w:divBdr>
                    </w:div>
                  </w:divsChild>
                </w:div>
                <w:div w:id="2006977416">
                  <w:marLeft w:val="0"/>
                  <w:marRight w:val="0"/>
                  <w:marTop w:val="0"/>
                  <w:marBottom w:val="0"/>
                  <w:divBdr>
                    <w:top w:val="none" w:sz="0" w:space="0" w:color="auto"/>
                    <w:left w:val="none" w:sz="0" w:space="0" w:color="auto"/>
                    <w:bottom w:val="none" w:sz="0" w:space="0" w:color="auto"/>
                    <w:right w:val="none" w:sz="0" w:space="0" w:color="auto"/>
                  </w:divBdr>
                  <w:divsChild>
                    <w:div w:id="1681006707">
                      <w:marLeft w:val="0"/>
                      <w:marRight w:val="0"/>
                      <w:marTop w:val="0"/>
                      <w:marBottom w:val="0"/>
                      <w:divBdr>
                        <w:top w:val="none" w:sz="0" w:space="0" w:color="auto"/>
                        <w:left w:val="none" w:sz="0" w:space="0" w:color="auto"/>
                        <w:bottom w:val="none" w:sz="0" w:space="0" w:color="auto"/>
                        <w:right w:val="none" w:sz="0" w:space="0" w:color="auto"/>
                      </w:divBdr>
                    </w:div>
                  </w:divsChild>
                </w:div>
                <w:div w:id="2041125963">
                  <w:marLeft w:val="0"/>
                  <w:marRight w:val="0"/>
                  <w:marTop w:val="0"/>
                  <w:marBottom w:val="0"/>
                  <w:divBdr>
                    <w:top w:val="none" w:sz="0" w:space="0" w:color="auto"/>
                    <w:left w:val="none" w:sz="0" w:space="0" w:color="auto"/>
                    <w:bottom w:val="none" w:sz="0" w:space="0" w:color="auto"/>
                    <w:right w:val="none" w:sz="0" w:space="0" w:color="auto"/>
                  </w:divBdr>
                  <w:divsChild>
                    <w:div w:id="158160184">
                      <w:marLeft w:val="0"/>
                      <w:marRight w:val="0"/>
                      <w:marTop w:val="0"/>
                      <w:marBottom w:val="0"/>
                      <w:divBdr>
                        <w:top w:val="none" w:sz="0" w:space="0" w:color="auto"/>
                        <w:left w:val="none" w:sz="0" w:space="0" w:color="auto"/>
                        <w:bottom w:val="none" w:sz="0" w:space="0" w:color="auto"/>
                        <w:right w:val="none" w:sz="0" w:space="0" w:color="auto"/>
                      </w:divBdr>
                    </w:div>
                  </w:divsChild>
                </w:div>
                <w:div w:id="2063091589">
                  <w:marLeft w:val="0"/>
                  <w:marRight w:val="0"/>
                  <w:marTop w:val="0"/>
                  <w:marBottom w:val="0"/>
                  <w:divBdr>
                    <w:top w:val="none" w:sz="0" w:space="0" w:color="auto"/>
                    <w:left w:val="none" w:sz="0" w:space="0" w:color="auto"/>
                    <w:bottom w:val="none" w:sz="0" w:space="0" w:color="auto"/>
                    <w:right w:val="none" w:sz="0" w:space="0" w:color="auto"/>
                  </w:divBdr>
                  <w:divsChild>
                    <w:div w:id="929235361">
                      <w:marLeft w:val="0"/>
                      <w:marRight w:val="0"/>
                      <w:marTop w:val="0"/>
                      <w:marBottom w:val="0"/>
                      <w:divBdr>
                        <w:top w:val="none" w:sz="0" w:space="0" w:color="auto"/>
                        <w:left w:val="none" w:sz="0" w:space="0" w:color="auto"/>
                        <w:bottom w:val="none" w:sz="0" w:space="0" w:color="auto"/>
                        <w:right w:val="none" w:sz="0" w:space="0" w:color="auto"/>
                      </w:divBdr>
                    </w:div>
                  </w:divsChild>
                </w:div>
                <w:div w:id="2086220483">
                  <w:marLeft w:val="0"/>
                  <w:marRight w:val="0"/>
                  <w:marTop w:val="0"/>
                  <w:marBottom w:val="0"/>
                  <w:divBdr>
                    <w:top w:val="none" w:sz="0" w:space="0" w:color="auto"/>
                    <w:left w:val="none" w:sz="0" w:space="0" w:color="auto"/>
                    <w:bottom w:val="none" w:sz="0" w:space="0" w:color="auto"/>
                    <w:right w:val="none" w:sz="0" w:space="0" w:color="auto"/>
                  </w:divBdr>
                  <w:divsChild>
                    <w:div w:id="1362245866">
                      <w:marLeft w:val="0"/>
                      <w:marRight w:val="0"/>
                      <w:marTop w:val="0"/>
                      <w:marBottom w:val="0"/>
                      <w:divBdr>
                        <w:top w:val="none" w:sz="0" w:space="0" w:color="auto"/>
                        <w:left w:val="none" w:sz="0" w:space="0" w:color="auto"/>
                        <w:bottom w:val="none" w:sz="0" w:space="0" w:color="auto"/>
                        <w:right w:val="none" w:sz="0" w:space="0" w:color="auto"/>
                      </w:divBdr>
                    </w:div>
                  </w:divsChild>
                </w:div>
                <w:div w:id="2092040723">
                  <w:marLeft w:val="0"/>
                  <w:marRight w:val="0"/>
                  <w:marTop w:val="0"/>
                  <w:marBottom w:val="0"/>
                  <w:divBdr>
                    <w:top w:val="none" w:sz="0" w:space="0" w:color="auto"/>
                    <w:left w:val="none" w:sz="0" w:space="0" w:color="auto"/>
                    <w:bottom w:val="none" w:sz="0" w:space="0" w:color="auto"/>
                    <w:right w:val="none" w:sz="0" w:space="0" w:color="auto"/>
                  </w:divBdr>
                  <w:divsChild>
                    <w:div w:id="1263536075">
                      <w:marLeft w:val="0"/>
                      <w:marRight w:val="0"/>
                      <w:marTop w:val="0"/>
                      <w:marBottom w:val="0"/>
                      <w:divBdr>
                        <w:top w:val="none" w:sz="0" w:space="0" w:color="auto"/>
                        <w:left w:val="none" w:sz="0" w:space="0" w:color="auto"/>
                        <w:bottom w:val="none" w:sz="0" w:space="0" w:color="auto"/>
                        <w:right w:val="none" w:sz="0" w:space="0" w:color="auto"/>
                      </w:divBdr>
                    </w:div>
                  </w:divsChild>
                </w:div>
                <w:div w:id="2096434306">
                  <w:marLeft w:val="0"/>
                  <w:marRight w:val="0"/>
                  <w:marTop w:val="0"/>
                  <w:marBottom w:val="0"/>
                  <w:divBdr>
                    <w:top w:val="none" w:sz="0" w:space="0" w:color="auto"/>
                    <w:left w:val="none" w:sz="0" w:space="0" w:color="auto"/>
                    <w:bottom w:val="none" w:sz="0" w:space="0" w:color="auto"/>
                    <w:right w:val="none" w:sz="0" w:space="0" w:color="auto"/>
                  </w:divBdr>
                  <w:divsChild>
                    <w:div w:id="182520416">
                      <w:marLeft w:val="0"/>
                      <w:marRight w:val="0"/>
                      <w:marTop w:val="0"/>
                      <w:marBottom w:val="0"/>
                      <w:divBdr>
                        <w:top w:val="none" w:sz="0" w:space="0" w:color="auto"/>
                        <w:left w:val="none" w:sz="0" w:space="0" w:color="auto"/>
                        <w:bottom w:val="none" w:sz="0" w:space="0" w:color="auto"/>
                        <w:right w:val="none" w:sz="0" w:space="0" w:color="auto"/>
                      </w:divBdr>
                    </w:div>
                  </w:divsChild>
                </w:div>
                <w:div w:id="2112360749">
                  <w:marLeft w:val="0"/>
                  <w:marRight w:val="0"/>
                  <w:marTop w:val="0"/>
                  <w:marBottom w:val="0"/>
                  <w:divBdr>
                    <w:top w:val="none" w:sz="0" w:space="0" w:color="auto"/>
                    <w:left w:val="none" w:sz="0" w:space="0" w:color="auto"/>
                    <w:bottom w:val="none" w:sz="0" w:space="0" w:color="auto"/>
                    <w:right w:val="none" w:sz="0" w:space="0" w:color="auto"/>
                  </w:divBdr>
                  <w:divsChild>
                    <w:div w:id="792594476">
                      <w:marLeft w:val="0"/>
                      <w:marRight w:val="0"/>
                      <w:marTop w:val="0"/>
                      <w:marBottom w:val="0"/>
                      <w:divBdr>
                        <w:top w:val="none" w:sz="0" w:space="0" w:color="auto"/>
                        <w:left w:val="none" w:sz="0" w:space="0" w:color="auto"/>
                        <w:bottom w:val="none" w:sz="0" w:space="0" w:color="auto"/>
                        <w:right w:val="none" w:sz="0" w:space="0" w:color="auto"/>
                      </w:divBdr>
                    </w:div>
                  </w:divsChild>
                </w:div>
                <w:div w:id="2132939357">
                  <w:marLeft w:val="0"/>
                  <w:marRight w:val="0"/>
                  <w:marTop w:val="0"/>
                  <w:marBottom w:val="0"/>
                  <w:divBdr>
                    <w:top w:val="none" w:sz="0" w:space="0" w:color="auto"/>
                    <w:left w:val="none" w:sz="0" w:space="0" w:color="auto"/>
                    <w:bottom w:val="none" w:sz="0" w:space="0" w:color="auto"/>
                    <w:right w:val="none" w:sz="0" w:space="0" w:color="auto"/>
                  </w:divBdr>
                  <w:divsChild>
                    <w:div w:id="1575897406">
                      <w:marLeft w:val="0"/>
                      <w:marRight w:val="0"/>
                      <w:marTop w:val="0"/>
                      <w:marBottom w:val="0"/>
                      <w:divBdr>
                        <w:top w:val="none" w:sz="0" w:space="0" w:color="auto"/>
                        <w:left w:val="none" w:sz="0" w:space="0" w:color="auto"/>
                        <w:bottom w:val="none" w:sz="0" w:space="0" w:color="auto"/>
                        <w:right w:val="none" w:sz="0" w:space="0" w:color="auto"/>
                      </w:divBdr>
                    </w:div>
                  </w:divsChild>
                </w:div>
                <w:div w:id="2139912997">
                  <w:marLeft w:val="0"/>
                  <w:marRight w:val="0"/>
                  <w:marTop w:val="0"/>
                  <w:marBottom w:val="0"/>
                  <w:divBdr>
                    <w:top w:val="none" w:sz="0" w:space="0" w:color="auto"/>
                    <w:left w:val="none" w:sz="0" w:space="0" w:color="auto"/>
                    <w:bottom w:val="none" w:sz="0" w:space="0" w:color="auto"/>
                    <w:right w:val="none" w:sz="0" w:space="0" w:color="auto"/>
                  </w:divBdr>
                  <w:divsChild>
                    <w:div w:id="89083244">
                      <w:marLeft w:val="0"/>
                      <w:marRight w:val="0"/>
                      <w:marTop w:val="0"/>
                      <w:marBottom w:val="0"/>
                      <w:divBdr>
                        <w:top w:val="none" w:sz="0" w:space="0" w:color="auto"/>
                        <w:left w:val="none" w:sz="0" w:space="0" w:color="auto"/>
                        <w:bottom w:val="none" w:sz="0" w:space="0" w:color="auto"/>
                        <w:right w:val="none" w:sz="0" w:space="0" w:color="auto"/>
                      </w:divBdr>
                    </w:div>
                    <w:div w:id="243805003">
                      <w:marLeft w:val="0"/>
                      <w:marRight w:val="0"/>
                      <w:marTop w:val="0"/>
                      <w:marBottom w:val="0"/>
                      <w:divBdr>
                        <w:top w:val="none" w:sz="0" w:space="0" w:color="auto"/>
                        <w:left w:val="none" w:sz="0" w:space="0" w:color="auto"/>
                        <w:bottom w:val="none" w:sz="0" w:space="0" w:color="auto"/>
                        <w:right w:val="none" w:sz="0" w:space="0" w:color="auto"/>
                      </w:divBdr>
                    </w:div>
                    <w:div w:id="479730258">
                      <w:marLeft w:val="0"/>
                      <w:marRight w:val="0"/>
                      <w:marTop w:val="0"/>
                      <w:marBottom w:val="0"/>
                      <w:divBdr>
                        <w:top w:val="none" w:sz="0" w:space="0" w:color="auto"/>
                        <w:left w:val="none" w:sz="0" w:space="0" w:color="auto"/>
                        <w:bottom w:val="none" w:sz="0" w:space="0" w:color="auto"/>
                        <w:right w:val="none" w:sz="0" w:space="0" w:color="auto"/>
                      </w:divBdr>
                    </w:div>
                    <w:div w:id="1260023215">
                      <w:marLeft w:val="0"/>
                      <w:marRight w:val="0"/>
                      <w:marTop w:val="0"/>
                      <w:marBottom w:val="0"/>
                      <w:divBdr>
                        <w:top w:val="none" w:sz="0" w:space="0" w:color="auto"/>
                        <w:left w:val="none" w:sz="0" w:space="0" w:color="auto"/>
                        <w:bottom w:val="none" w:sz="0" w:space="0" w:color="auto"/>
                        <w:right w:val="none" w:sz="0" w:space="0" w:color="auto"/>
                      </w:divBdr>
                    </w:div>
                    <w:div w:id="1475290651">
                      <w:marLeft w:val="0"/>
                      <w:marRight w:val="0"/>
                      <w:marTop w:val="0"/>
                      <w:marBottom w:val="0"/>
                      <w:divBdr>
                        <w:top w:val="none" w:sz="0" w:space="0" w:color="auto"/>
                        <w:left w:val="none" w:sz="0" w:space="0" w:color="auto"/>
                        <w:bottom w:val="none" w:sz="0" w:space="0" w:color="auto"/>
                        <w:right w:val="none" w:sz="0" w:space="0" w:color="auto"/>
                      </w:divBdr>
                    </w:div>
                    <w:div w:id="1498499683">
                      <w:marLeft w:val="0"/>
                      <w:marRight w:val="0"/>
                      <w:marTop w:val="0"/>
                      <w:marBottom w:val="0"/>
                      <w:divBdr>
                        <w:top w:val="none" w:sz="0" w:space="0" w:color="auto"/>
                        <w:left w:val="none" w:sz="0" w:space="0" w:color="auto"/>
                        <w:bottom w:val="none" w:sz="0" w:space="0" w:color="auto"/>
                        <w:right w:val="none" w:sz="0" w:space="0" w:color="auto"/>
                      </w:divBdr>
                    </w:div>
                    <w:div w:id="1811288789">
                      <w:marLeft w:val="0"/>
                      <w:marRight w:val="0"/>
                      <w:marTop w:val="0"/>
                      <w:marBottom w:val="0"/>
                      <w:divBdr>
                        <w:top w:val="none" w:sz="0" w:space="0" w:color="auto"/>
                        <w:left w:val="none" w:sz="0" w:space="0" w:color="auto"/>
                        <w:bottom w:val="none" w:sz="0" w:space="0" w:color="auto"/>
                        <w:right w:val="none" w:sz="0" w:space="0" w:color="auto"/>
                      </w:divBdr>
                    </w:div>
                    <w:div w:id="1933471365">
                      <w:marLeft w:val="0"/>
                      <w:marRight w:val="0"/>
                      <w:marTop w:val="0"/>
                      <w:marBottom w:val="0"/>
                      <w:divBdr>
                        <w:top w:val="none" w:sz="0" w:space="0" w:color="auto"/>
                        <w:left w:val="none" w:sz="0" w:space="0" w:color="auto"/>
                        <w:bottom w:val="none" w:sz="0" w:space="0" w:color="auto"/>
                        <w:right w:val="none" w:sz="0" w:space="0" w:color="auto"/>
                      </w:divBdr>
                    </w:div>
                  </w:divsChild>
                </w:div>
                <w:div w:id="2146964227">
                  <w:marLeft w:val="0"/>
                  <w:marRight w:val="0"/>
                  <w:marTop w:val="0"/>
                  <w:marBottom w:val="0"/>
                  <w:divBdr>
                    <w:top w:val="none" w:sz="0" w:space="0" w:color="auto"/>
                    <w:left w:val="none" w:sz="0" w:space="0" w:color="auto"/>
                    <w:bottom w:val="none" w:sz="0" w:space="0" w:color="auto"/>
                    <w:right w:val="none" w:sz="0" w:space="0" w:color="auto"/>
                  </w:divBdr>
                  <w:divsChild>
                    <w:div w:id="3184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292066">
      <w:bodyDiv w:val="1"/>
      <w:marLeft w:val="0"/>
      <w:marRight w:val="0"/>
      <w:marTop w:val="0"/>
      <w:marBottom w:val="0"/>
      <w:divBdr>
        <w:top w:val="none" w:sz="0" w:space="0" w:color="auto"/>
        <w:left w:val="none" w:sz="0" w:space="0" w:color="auto"/>
        <w:bottom w:val="none" w:sz="0" w:space="0" w:color="auto"/>
        <w:right w:val="none" w:sz="0" w:space="0" w:color="auto"/>
      </w:divBdr>
    </w:div>
    <w:div w:id="1550725875">
      <w:bodyDiv w:val="1"/>
      <w:marLeft w:val="0"/>
      <w:marRight w:val="0"/>
      <w:marTop w:val="0"/>
      <w:marBottom w:val="0"/>
      <w:divBdr>
        <w:top w:val="none" w:sz="0" w:space="0" w:color="auto"/>
        <w:left w:val="none" w:sz="0" w:space="0" w:color="auto"/>
        <w:bottom w:val="none" w:sz="0" w:space="0" w:color="auto"/>
        <w:right w:val="none" w:sz="0" w:space="0" w:color="auto"/>
      </w:divBdr>
    </w:div>
    <w:div w:id="1660382335">
      <w:bodyDiv w:val="1"/>
      <w:marLeft w:val="0"/>
      <w:marRight w:val="0"/>
      <w:marTop w:val="0"/>
      <w:marBottom w:val="0"/>
      <w:divBdr>
        <w:top w:val="none" w:sz="0" w:space="0" w:color="auto"/>
        <w:left w:val="none" w:sz="0" w:space="0" w:color="auto"/>
        <w:bottom w:val="none" w:sz="0" w:space="0" w:color="auto"/>
        <w:right w:val="none" w:sz="0" w:space="0" w:color="auto"/>
      </w:divBdr>
      <w:divsChild>
        <w:div w:id="695544898">
          <w:marLeft w:val="0"/>
          <w:marRight w:val="0"/>
          <w:marTop w:val="0"/>
          <w:marBottom w:val="0"/>
          <w:divBdr>
            <w:top w:val="none" w:sz="0" w:space="0" w:color="auto"/>
            <w:left w:val="none" w:sz="0" w:space="0" w:color="auto"/>
            <w:bottom w:val="none" w:sz="0" w:space="0" w:color="auto"/>
            <w:right w:val="none" w:sz="0" w:space="0" w:color="auto"/>
          </w:divBdr>
          <w:divsChild>
            <w:div w:id="76445347">
              <w:marLeft w:val="0"/>
              <w:marRight w:val="0"/>
              <w:marTop w:val="0"/>
              <w:marBottom w:val="0"/>
              <w:divBdr>
                <w:top w:val="none" w:sz="0" w:space="0" w:color="auto"/>
                <w:left w:val="none" w:sz="0" w:space="0" w:color="auto"/>
                <w:bottom w:val="none" w:sz="0" w:space="0" w:color="auto"/>
                <w:right w:val="none" w:sz="0" w:space="0" w:color="auto"/>
              </w:divBdr>
            </w:div>
            <w:div w:id="105659549">
              <w:marLeft w:val="0"/>
              <w:marRight w:val="0"/>
              <w:marTop w:val="0"/>
              <w:marBottom w:val="0"/>
              <w:divBdr>
                <w:top w:val="none" w:sz="0" w:space="0" w:color="auto"/>
                <w:left w:val="none" w:sz="0" w:space="0" w:color="auto"/>
                <w:bottom w:val="none" w:sz="0" w:space="0" w:color="auto"/>
                <w:right w:val="none" w:sz="0" w:space="0" w:color="auto"/>
              </w:divBdr>
            </w:div>
            <w:div w:id="152646920">
              <w:marLeft w:val="0"/>
              <w:marRight w:val="0"/>
              <w:marTop w:val="0"/>
              <w:marBottom w:val="0"/>
              <w:divBdr>
                <w:top w:val="none" w:sz="0" w:space="0" w:color="auto"/>
                <w:left w:val="none" w:sz="0" w:space="0" w:color="auto"/>
                <w:bottom w:val="none" w:sz="0" w:space="0" w:color="auto"/>
                <w:right w:val="none" w:sz="0" w:space="0" w:color="auto"/>
              </w:divBdr>
            </w:div>
            <w:div w:id="316308319">
              <w:marLeft w:val="0"/>
              <w:marRight w:val="0"/>
              <w:marTop w:val="0"/>
              <w:marBottom w:val="0"/>
              <w:divBdr>
                <w:top w:val="none" w:sz="0" w:space="0" w:color="auto"/>
                <w:left w:val="none" w:sz="0" w:space="0" w:color="auto"/>
                <w:bottom w:val="none" w:sz="0" w:space="0" w:color="auto"/>
                <w:right w:val="none" w:sz="0" w:space="0" w:color="auto"/>
              </w:divBdr>
            </w:div>
            <w:div w:id="366220341">
              <w:marLeft w:val="0"/>
              <w:marRight w:val="0"/>
              <w:marTop w:val="0"/>
              <w:marBottom w:val="0"/>
              <w:divBdr>
                <w:top w:val="none" w:sz="0" w:space="0" w:color="auto"/>
                <w:left w:val="none" w:sz="0" w:space="0" w:color="auto"/>
                <w:bottom w:val="none" w:sz="0" w:space="0" w:color="auto"/>
                <w:right w:val="none" w:sz="0" w:space="0" w:color="auto"/>
              </w:divBdr>
            </w:div>
            <w:div w:id="556554747">
              <w:marLeft w:val="0"/>
              <w:marRight w:val="0"/>
              <w:marTop w:val="0"/>
              <w:marBottom w:val="0"/>
              <w:divBdr>
                <w:top w:val="none" w:sz="0" w:space="0" w:color="auto"/>
                <w:left w:val="none" w:sz="0" w:space="0" w:color="auto"/>
                <w:bottom w:val="none" w:sz="0" w:space="0" w:color="auto"/>
                <w:right w:val="none" w:sz="0" w:space="0" w:color="auto"/>
              </w:divBdr>
            </w:div>
            <w:div w:id="624121546">
              <w:marLeft w:val="0"/>
              <w:marRight w:val="0"/>
              <w:marTop w:val="0"/>
              <w:marBottom w:val="0"/>
              <w:divBdr>
                <w:top w:val="none" w:sz="0" w:space="0" w:color="auto"/>
                <w:left w:val="none" w:sz="0" w:space="0" w:color="auto"/>
                <w:bottom w:val="none" w:sz="0" w:space="0" w:color="auto"/>
                <w:right w:val="none" w:sz="0" w:space="0" w:color="auto"/>
              </w:divBdr>
            </w:div>
            <w:div w:id="808939465">
              <w:marLeft w:val="0"/>
              <w:marRight w:val="0"/>
              <w:marTop w:val="0"/>
              <w:marBottom w:val="0"/>
              <w:divBdr>
                <w:top w:val="none" w:sz="0" w:space="0" w:color="auto"/>
                <w:left w:val="none" w:sz="0" w:space="0" w:color="auto"/>
                <w:bottom w:val="none" w:sz="0" w:space="0" w:color="auto"/>
                <w:right w:val="none" w:sz="0" w:space="0" w:color="auto"/>
              </w:divBdr>
            </w:div>
            <w:div w:id="828600620">
              <w:marLeft w:val="0"/>
              <w:marRight w:val="0"/>
              <w:marTop w:val="0"/>
              <w:marBottom w:val="0"/>
              <w:divBdr>
                <w:top w:val="none" w:sz="0" w:space="0" w:color="auto"/>
                <w:left w:val="none" w:sz="0" w:space="0" w:color="auto"/>
                <w:bottom w:val="none" w:sz="0" w:space="0" w:color="auto"/>
                <w:right w:val="none" w:sz="0" w:space="0" w:color="auto"/>
              </w:divBdr>
            </w:div>
            <w:div w:id="901451292">
              <w:marLeft w:val="0"/>
              <w:marRight w:val="0"/>
              <w:marTop w:val="0"/>
              <w:marBottom w:val="0"/>
              <w:divBdr>
                <w:top w:val="none" w:sz="0" w:space="0" w:color="auto"/>
                <w:left w:val="none" w:sz="0" w:space="0" w:color="auto"/>
                <w:bottom w:val="none" w:sz="0" w:space="0" w:color="auto"/>
                <w:right w:val="none" w:sz="0" w:space="0" w:color="auto"/>
              </w:divBdr>
            </w:div>
            <w:div w:id="1122383848">
              <w:marLeft w:val="0"/>
              <w:marRight w:val="0"/>
              <w:marTop w:val="0"/>
              <w:marBottom w:val="0"/>
              <w:divBdr>
                <w:top w:val="none" w:sz="0" w:space="0" w:color="auto"/>
                <w:left w:val="none" w:sz="0" w:space="0" w:color="auto"/>
                <w:bottom w:val="none" w:sz="0" w:space="0" w:color="auto"/>
                <w:right w:val="none" w:sz="0" w:space="0" w:color="auto"/>
              </w:divBdr>
            </w:div>
            <w:div w:id="1142114816">
              <w:marLeft w:val="0"/>
              <w:marRight w:val="0"/>
              <w:marTop w:val="0"/>
              <w:marBottom w:val="0"/>
              <w:divBdr>
                <w:top w:val="none" w:sz="0" w:space="0" w:color="auto"/>
                <w:left w:val="none" w:sz="0" w:space="0" w:color="auto"/>
                <w:bottom w:val="none" w:sz="0" w:space="0" w:color="auto"/>
                <w:right w:val="none" w:sz="0" w:space="0" w:color="auto"/>
              </w:divBdr>
            </w:div>
            <w:div w:id="1160774149">
              <w:marLeft w:val="0"/>
              <w:marRight w:val="0"/>
              <w:marTop w:val="0"/>
              <w:marBottom w:val="0"/>
              <w:divBdr>
                <w:top w:val="none" w:sz="0" w:space="0" w:color="auto"/>
                <w:left w:val="none" w:sz="0" w:space="0" w:color="auto"/>
                <w:bottom w:val="none" w:sz="0" w:space="0" w:color="auto"/>
                <w:right w:val="none" w:sz="0" w:space="0" w:color="auto"/>
              </w:divBdr>
            </w:div>
            <w:div w:id="1258640967">
              <w:marLeft w:val="0"/>
              <w:marRight w:val="0"/>
              <w:marTop w:val="0"/>
              <w:marBottom w:val="0"/>
              <w:divBdr>
                <w:top w:val="none" w:sz="0" w:space="0" w:color="auto"/>
                <w:left w:val="none" w:sz="0" w:space="0" w:color="auto"/>
                <w:bottom w:val="none" w:sz="0" w:space="0" w:color="auto"/>
                <w:right w:val="none" w:sz="0" w:space="0" w:color="auto"/>
              </w:divBdr>
            </w:div>
            <w:div w:id="1478230118">
              <w:marLeft w:val="0"/>
              <w:marRight w:val="0"/>
              <w:marTop w:val="0"/>
              <w:marBottom w:val="0"/>
              <w:divBdr>
                <w:top w:val="none" w:sz="0" w:space="0" w:color="auto"/>
                <w:left w:val="none" w:sz="0" w:space="0" w:color="auto"/>
                <w:bottom w:val="none" w:sz="0" w:space="0" w:color="auto"/>
                <w:right w:val="none" w:sz="0" w:space="0" w:color="auto"/>
              </w:divBdr>
            </w:div>
            <w:div w:id="1537739815">
              <w:marLeft w:val="0"/>
              <w:marRight w:val="0"/>
              <w:marTop w:val="0"/>
              <w:marBottom w:val="0"/>
              <w:divBdr>
                <w:top w:val="none" w:sz="0" w:space="0" w:color="auto"/>
                <w:left w:val="none" w:sz="0" w:space="0" w:color="auto"/>
                <w:bottom w:val="none" w:sz="0" w:space="0" w:color="auto"/>
                <w:right w:val="none" w:sz="0" w:space="0" w:color="auto"/>
              </w:divBdr>
            </w:div>
            <w:div w:id="1571036256">
              <w:marLeft w:val="0"/>
              <w:marRight w:val="0"/>
              <w:marTop w:val="0"/>
              <w:marBottom w:val="0"/>
              <w:divBdr>
                <w:top w:val="none" w:sz="0" w:space="0" w:color="auto"/>
                <w:left w:val="none" w:sz="0" w:space="0" w:color="auto"/>
                <w:bottom w:val="none" w:sz="0" w:space="0" w:color="auto"/>
                <w:right w:val="none" w:sz="0" w:space="0" w:color="auto"/>
              </w:divBdr>
            </w:div>
            <w:div w:id="1697272972">
              <w:marLeft w:val="0"/>
              <w:marRight w:val="0"/>
              <w:marTop w:val="0"/>
              <w:marBottom w:val="0"/>
              <w:divBdr>
                <w:top w:val="none" w:sz="0" w:space="0" w:color="auto"/>
                <w:left w:val="none" w:sz="0" w:space="0" w:color="auto"/>
                <w:bottom w:val="none" w:sz="0" w:space="0" w:color="auto"/>
                <w:right w:val="none" w:sz="0" w:space="0" w:color="auto"/>
              </w:divBdr>
            </w:div>
            <w:div w:id="1845391479">
              <w:marLeft w:val="0"/>
              <w:marRight w:val="0"/>
              <w:marTop w:val="0"/>
              <w:marBottom w:val="0"/>
              <w:divBdr>
                <w:top w:val="none" w:sz="0" w:space="0" w:color="auto"/>
                <w:left w:val="none" w:sz="0" w:space="0" w:color="auto"/>
                <w:bottom w:val="none" w:sz="0" w:space="0" w:color="auto"/>
                <w:right w:val="none" w:sz="0" w:space="0" w:color="auto"/>
              </w:divBdr>
            </w:div>
            <w:div w:id="1848907747">
              <w:marLeft w:val="0"/>
              <w:marRight w:val="0"/>
              <w:marTop w:val="0"/>
              <w:marBottom w:val="0"/>
              <w:divBdr>
                <w:top w:val="none" w:sz="0" w:space="0" w:color="auto"/>
                <w:left w:val="none" w:sz="0" w:space="0" w:color="auto"/>
                <w:bottom w:val="none" w:sz="0" w:space="0" w:color="auto"/>
                <w:right w:val="none" w:sz="0" w:space="0" w:color="auto"/>
              </w:divBdr>
            </w:div>
          </w:divsChild>
        </w:div>
        <w:div w:id="1754354579">
          <w:marLeft w:val="0"/>
          <w:marRight w:val="0"/>
          <w:marTop w:val="0"/>
          <w:marBottom w:val="0"/>
          <w:divBdr>
            <w:top w:val="none" w:sz="0" w:space="0" w:color="auto"/>
            <w:left w:val="none" w:sz="0" w:space="0" w:color="auto"/>
            <w:bottom w:val="none" w:sz="0" w:space="0" w:color="auto"/>
            <w:right w:val="none" w:sz="0" w:space="0" w:color="auto"/>
          </w:divBdr>
          <w:divsChild>
            <w:div w:id="219294561">
              <w:marLeft w:val="0"/>
              <w:marRight w:val="0"/>
              <w:marTop w:val="0"/>
              <w:marBottom w:val="0"/>
              <w:divBdr>
                <w:top w:val="none" w:sz="0" w:space="0" w:color="auto"/>
                <w:left w:val="none" w:sz="0" w:space="0" w:color="auto"/>
                <w:bottom w:val="none" w:sz="0" w:space="0" w:color="auto"/>
                <w:right w:val="none" w:sz="0" w:space="0" w:color="auto"/>
              </w:divBdr>
            </w:div>
            <w:div w:id="274143773">
              <w:marLeft w:val="0"/>
              <w:marRight w:val="0"/>
              <w:marTop w:val="0"/>
              <w:marBottom w:val="0"/>
              <w:divBdr>
                <w:top w:val="none" w:sz="0" w:space="0" w:color="auto"/>
                <w:left w:val="none" w:sz="0" w:space="0" w:color="auto"/>
                <w:bottom w:val="none" w:sz="0" w:space="0" w:color="auto"/>
                <w:right w:val="none" w:sz="0" w:space="0" w:color="auto"/>
              </w:divBdr>
            </w:div>
            <w:div w:id="422993514">
              <w:marLeft w:val="0"/>
              <w:marRight w:val="0"/>
              <w:marTop w:val="0"/>
              <w:marBottom w:val="0"/>
              <w:divBdr>
                <w:top w:val="none" w:sz="0" w:space="0" w:color="auto"/>
                <w:left w:val="none" w:sz="0" w:space="0" w:color="auto"/>
                <w:bottom w:val="none" w:sz="0" w:space="0" w:color="auto"/>
                <w:right w:val="none" w:sz="0" w:space="0" w:color="auto"/>
              </w:divBdr>
            </w:div>
            <w:div w:id="539559853">
              <w:marLeft w:val="0"/>
              <w:marRight w:val="0"/>
              <w:marTop w:val="0"/>
              <w:marBottom w:val="0"/>
              <w:divBdr>
                <w:top w:val="none" w:sz="0" w:space="0" w:color="auto"/>
                <w:left w:val="none" w:sz="0" w:space="0" w:color="auto"/>
                <w:bottom w:val="none" w:sz="0" w:space="0" w:color="auto"/>
                <w:right w:val="none" w:sz="0" w:space="0" w:color="auto"/>
              </w:divBdr>
            </w:div>
            <w:div w:id="685792219">
              <w:marLeft w:val="0"/>
              <w:marRight w:val="0"/>
              <w:marTop w:val="0"/>
              <w:marBottom w:val="0"/>
              <w:divBdr>
                <w:top w:val="none" w:sz="0" w:space="0" w:color="auto"/>
                <w:left w:val="none" w:sz="0" w:space="0" w:color="auto"/>
                <w:bottom w:val="none" w:sz="0" w:space="0" w:color="auto"/>
                <w:right w:val="none" w:sz="0" w:space="0" w:color="auto"/>
              </w:divBdr>
            </w:div>
            <w:div w:id="824055412">
              <w:marLeft w:val="0"/>
              <w:marRight w:val="0"/>
              <w:marTop w:val="0"/>
              <w:marBottom w:val="0"/>
              <w:divBdr>
                <w:top w:val="none" w:sz="0" w:space="0" w:color="auto"/>
                <w:left w:val="none" w:sz="0" w:space="0" w:color="auto"/>
                <w:bottom w:val="none" w:sz="0" w:space="0" w:color="auto"/>
                <w:right w:val="none" w:sz="0" w:space="0" w:color="auto"/>
              </w:divBdr>
            </w:div>
            <w:div w:id="992026561">
              <w:marLeft w:val="0"/>
              <w:marRight w:val="0"/>
              <w:marTop w:val="0"/>
              <w:marBottom w:val="0"/>
              <w:divBdr>
                <w:top w:val="none" w:sz="0" w:space="0" w:color="auto"/>
                <w:left w:val="none" w:sz="0" w:space="0" w:color="auto"/>
                <w:bottom w:val="none" w:sz="0" w:space="0" w:color="auto"/>
                <w:right w:val="none" w:sz="0" w:space="0" w:color="auto"/>
              </w:divBdr>
            </w:div>
            <w:div w:id="1315179267">
              <w:marLeft w:val="0"/>
              <w:marRight w:val="0"/>
              <w:marTop w:val="0"/>
              <w:marBottom w:val="0"/>
              <w:divBdr>
                <w:top w:val="none" w:sz="0" w:space="0" w:color="auto"/>
                <w:left w:val="none" w:sz="0" w:space="0" w:color="auto"/>
                <w:bottom w:val="none" w:sz="0" w:space="0" w:color="auto"/>
                <w:right w:val="none" w:sz="0" w:space="0" w:color="auto"/>
              </w:divBdr>
            </w:div>
            <w:div w:id="1374579018">
              <w:marLeft w:val="0"/>
              <w:marRight w:val="0"/>
              <w:marTop w:val="0"/>
              <w:marBottom w:val="0"/>
              <w:divBdr>
                <w:top w:val="none" w:sz="0" w:space="0" w:color="auto"/>
                <w:left w:val="none" w:sz="0" w:space="0" w:color="auto"/>
                <w:bottom w:val="none" w:sz="0" w:space="0" w:color="auto"/>
                <w:right w:val="none" w:sz="0" w:space="0" w:color="auto"/>
              </w:divBdr>
            </w:div>
            <w:div w:id="1429696860">
              <w:marLeft w:val="0"/>
              <w:marRight w:val="0"/>
              <w:marTop w:val="0"/>
              <w:marBottom w:val="0"/>
              <w:divBdr>
                <w:top w:val="none" w:sz="0" w:space="0" w:color="auto"/>
                <w:left w:val="none" w:sz="0" w:space="0" w:color="auto"/>
                <w:bottom w:val="none" w:sz="0" w:space="0" w:color="auto"/>
                <w:right w:val="none" w:sz="0" w:space="0" w:color="auto"/>
              </w:divBdr>
            </w:div>
            <w:div w:id="1451824306">
              <w:marLeft w:val="0"/>
              <w:marRight w:val="0"/>
              <w:marTop w:val="0"/>
              <w:marBottom w:val="0"/>
              <w:divBdr>
                <w:top w:val="none" w:sz="0" w:space="0" w:color="auto"/>
                <w:left w:val="none" w:sz="0" w:space="0" w:color="auto"/>
                <w:bottom w:val="none" w:sz="0" w:space="0" w:color="auto"/>
                <w:right w:val="none" w:sz="0" w:space="0" w:color="auto"/>
              </w:divBdr>
            </w:div>
            <w:div w:id="1536190889">
              <w:marLeft w:val="0"/>
              <w:marRight w:val="0"/>
              <w:marTop w:val="0"/>
              <w:marBottom w:val="0"/>
              <w:divBdr>
                <w:top w:val="none" w:sz="0" w:space="0" w:color="auto"/>
                <w:left w:val="none" w:sz="0" w:space="0" w:color="auto"/>
                <w:bottom w:val="none" w:sz="0" w:space="0" w:color="auto"/>
                <w:right w:val="none" w:sz="0" w:space="0" w:color="auto"/>
              </w:divBdr>
            </w:div>
            <w:div w:id="1753577062">
              <w:marLeft w:val="0"/>
              <w:marRight w:val="0"/>
              <w:marTop w:val="0"/>
              <w:marBottom w:val="0"/>
              <w:divBdr>
                <w:top w:val="none" w:sz="0" w:space="0" w:color="auto"/>
                <w:left w:val="none" w:sz="0" w:space="0" w:color="auto"/>
                <w:bottom w:val="none" w:sz="0" w:space="0" w:color="auto"/>
                <w:right w:val="none" w:sz="0" w:space="0" w:color="auto"/>
              </w:divBdr>
            </w:div>
            <w:div w:id="1768501726">
              <w:marLeft w:val="0"/>
              <w:marRight w:val="0"/>
              <w:marTop w:val="0"/>
              <w:marBottom w:val="0"/>
              <w:divBdr>
                <w:top w:val="none" w:sz="0" w:space="0" w:color="auto"/>
                <w:left w:val="none" w:sz="0" w:space="0" w:color="auto"/>
                <w:bottom w:val="none" w:sz="0" w:space="0" w:color="auto"/>
                <w:right w:val="none" w:sz="0" w:space="0" w:color="auto"/>
              </w:divBdr>
            </w:div>
            <w:div w:id="1947883896">
              <w:marLeft w:val="0"/>
              <w:marRight w:val="0"/>
              <w:marTop w:val="0"/>
              <w:marBottom w:val="0"/>
              <w:divBdr>
                <w:top w:val="none" w:sz="0" w:space="0" w:color="auto"/>
                <w:left w:val="none" w:sz="0" w:space="0" w:color="auto"/>
                <w:bottom w:val="none" w:sz="0" w:space="0" w:color="auto"/>
                <w:right w:val="none" w:sz="0" w:space="0" w:color="auto"/>
              </w:divBdr>
            </w:div>
            <w:div w:id="1973556532">
              <w:marLeft w:val="0"/>
              <w:marRight w:val="0"/>
              <w:marTop w:val="0"/>
              <w:marBottom w:val="0"/>
              <w:divBdr>
                <w:top w:val="none" w:sz="0" w:space="0" w:color="auto"/>
                <w:left w:val="none" w:sz="0" w:space="0" w:color="auto"/>
                <w:bottom w:val="none" w:sz="0" w:space="0" w:color="auto"/>
                <w:right w:val="none" w:sz="0" w:space="0" w:color="auto"/>
              </w:divBdr>
            </w:div>
            <w:div w:id="2031178951">
              <w:marLeft w:val="0"/>
              <w:marRight w:val="0"/>
              <w:marTop w:val="0"/>
              <w:marBottom w:val="0"/>
              <w:divBdr>
                <w:top w:val="none" w:sz="0" w:space="0" w:color="auto"/>
                <w:left w:val="none" w:sz="0" w:space="0" w:color="auto"/>
                <w:bottom w:val="none" w:sz="0" w:space="0" w:color="auto"/>
                <w:right w:val="none" w:sz="0" w:space="0" w:color="auto"/>
              </w:divBdr>
            </w:div>
            <w:div w:id="2066681849">
              <w:marLeft w:val="0"/>
              <w:marRight w:val="0"/>
              <w:marTop w:val="0"/>
              <w:marBottom w:val="0"/>
              <w:divBdr>
                <w:top w:val="none" w:sz="0" w:space="0" w:color="auto"/>
                <w:left w:val="none" w:sz="0" w:space="0" w:color="auto"/>
                <w:bottom w:val="none" w:sz="0" w:space="0" w:color="auto"/>
                <w:right w:val="none" w:sz="0" w:space="0" w:color="auto"/>
              </w:divBdr>
            </w:div>
            <w:div w:id="2079742038">
              <w:marLeft w:val="0"/>
              <w:marRight w:val="0"/>
              <w:marTop w:val="0"/>
              <w:marBottom w:val="0"/>
              <w:divBdr>
                <w:top w:val="none" w:sz="0" w:space="0" w:color="auto"/>
                <w:left w:val="none" w:sz="0" w:space="0" w:color="auto"/>
                <w:bottom w:val="none" w:sz="0" w:space="0" w:color="auto"/>
                <w:right w:val="none" w:sz="0" w:space="0" w:color="auto"/>
              </w:divBdr>
            </w:div>
            <w:div w:id="214264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586161">
      <w:bodyDiv w:val="1"/>
      <w:marLeft w:val="0"/>
      <w:marRight w:val="0"/>
      <w:marTop w:val="0"/>
      <w:marBottom w:val="0"/>
      <w:divBdr>
        <w:top w:val="none" w:sz="0" w:space="0" w:color="auto"/>
        <w:left w:val="none" w:sz="0" w:space="0" w:color="auto"/>
        <w:bottom w:val="none" w:sz="0" w:space="0" w:color="auto"/>
        <w:right w:val="none" w:sz="0" w:space="0" w:color="auto"/>
      </w:divBdr>
      <w:divsChild>
        <w:div w:id="17515623">
          <w:marLeft w:val="0"/>
          <w:marRight w:val="0"/>
          <w:marTop w:val="0"/>
          <w:marBottom w:val="0"/>
          <w:divBdr>
            <w:top w:val="none" w:sz="0" w:space="0" w:color="auto"/>
            <w:left w:val="none" w:sz="0" w:space="0" w:color="auto"/>
            <w:bottom w:val="none" w:sz="0" w:space="0" w:color="auto"/>
            <w:right w:val="none" w:sz="0" w:space="0" w:color="auto"/>
          </w:divBdr>
          <w:divsChild>
            <w:div w:id="1461193752">
              <w:marLeft w:val="-75"/>
              <w:marRight w:val="0"/>
              <w:marTop w:val="30"/>
              <w:marBottom w:val="30"/>
              <w:divBdr>
                <w:top w:val="none" w:sz="0" w:space="0" w:color="auto"/>
                <w:left w:val="none" w:sz="0" w:space="0" w:color="auto"/>
                <w:bottom w:val="none" w:sz="0" w:space="0" w:color="auto"/>
                <w:right w:val="none" w:sz="0" w:space="0" w:color="auto"/>
              </w:divBdr>
              <w:divsChild>
                <w:div w:id="2634335">
                  <w:marLeft w:val="0"/>
                  <w:marRight w:val="0"/>
                  <w:marTop w:val="0"/>
                  <w:marBottom w:val="0"/>
                  <w:divBdr>
                    <w:top w:val="none" w:sz="0" w:space="0" w:color="auto"/>
                    <w:left w:val="none" w:sz="0" w:space="0" w:color="auto"/>
                    <w:bottom w:val="none" w:sz="0" w:space="0" w:color="auto"/>
                    <w:right w:val="none" w:sz="0" w:space="0" w:color="auto"/>
                  </w:divBdr>
                  <w:divsChild>
                    <w:div w:id="1902211290">
                      <w:marLeft w:val="0"/>
                      <w:marRight w:val="0"/>
                      <w:marTop w:val="0"/>
                      <w:marBottom w:val="0"/>
                      <w:divBdr>
                        <w:top w:val="none" w:sz="0" w:space="0" w:color="auto"/>
                        <w:left w:val="none" w:sz="0" w:space="0" w:color="auto"/>
                        <w:bottom w:val="none" w:sz="0" w:space="0" w:color="auto"/>
                        <w:right w:val="none" w:sz="0" w:space="0" w:color="auto"/>
                      </w:divBdr>
                    </w:div>
                  </w:divsChild>
                </w:div>
                <w:div w:id="2972447">
                  <w:marLeft w:val="0"/>
                  <w:marRight w:val="0"/>
                  <w:marTop w:val="0"/>
                  <w:marBottom w:val="0"/>
                  <w:divBdr>
                    <w:top w:val="none" w:sz="0" w:space="0" w:color="auto"/>
                    <w:left w:val="none" w:sz="0" w:space="0" w:color="auto"/>
                    <w:bottom w:val="none" w:sz="0" w:space="0" w:color="auto"/>
                    <w:right w:val="none" w:sz="0" w:space="0" w:color="auto"/>
                  </w:divBdr>
                  <w:divsChild>
                    <w:div w:id="145706510">
                      <w:marLeft w:val="0"/>
                      <w:marRight w:val="0"/>
                      <w:marTop w:val="0"/>
                      <w:marBottom w:val="0"/>
                      <w:divBdr>
                        <w:top w:val="none" w:sz="0" w:space="0" w:color="auto"/>
                        <w:left w:val="none" w:sz="0" w:space="0" w:color="auto"/>
                        <w:bottom w:val="none" w:sz="0" w:space="0" w:color="auto"/>
                        <w:right w:val="none" w:sz="0" w:space="0" w:color="auto"/>
                      </w:divBdr>
                    </w:div>
                  </w:divsChild>
                </w:div>
                <w:div w:id="6173924">
                  <w:marLeft w:val="0"/>
                  <w:marRight w:val="0"/>
                  <w:marTop w:val="0"/>
                  <w:marBottom w:val="0"/>
                  <w:divBdr>
                    <w:top w:val="none" w:sz="0" w:space="0" w:color="auto"/>
                    <w:left w:val="none" w:sz="0" w:space="0" w:color="auto"/>
                    <w:bottom w:val="none" w:sz="0" w:space="0" w:color="auto"/>
                    <w:right w:val="none" w:sz="0" w:space="0" w:color="auto"/>
                  </w:divBdr>
                  <w:divsChild>
                    <w:div w:id="758258063">
                      <w:marLeft w:val="0"/>
                      <w:marRight w:val="0"/>
                      <w:marTop w:val="0"/>
                      <w:marBottom w:val="0"/>
                      <w:divBdr>
                        <w:top w:val="none" w:sz="0" w:space="0" w:color="auto"/>
                        <w:left w:val="none" w:sz="0" w:space="0" w:color="auto"/>
                        <w:bottom w:val="none" w:sz="0" w:space="0" w:color="auto"/>
                        <w:right w:val="none" w:sz="0" w:space="0" w:color="auto"/>
                      </w:divBdr>
                    </w:div>
                  </w:divsChild>
                </w:div>
                <w:div w:id="21253847">
                  <w:marLeft w:val="0"/>
                  <w:marRight w:val="0"/>
                  <w:marTop w:val="0"/>
                  <w:marBottom w:val="0"/>
                  <w:divBdr>
                    <w:top w:val="none" w:sz="0" w:space="0" w:color="auto"/>
                    <w:left w:val="none" w:sz="0" w:space="0" w:color="auto"/>
                    <w:bottom w:val="none" w:sz="0" w:space="0" w:color="auto"/>
                    <w:right w:val="none" w:sz="0" w:space="0" w:color="auto"/>
                  </w:divBdr>
                  <w:divsChild>
                    <w:div w:id="1343046571">
                      <w:marLeft w:val="0"/>
                      <w:marRight w:val="0"/>
                      <w:marTop w:val="0"/>
                      <w:marBottom w:val="0"/>
                      <w:divBdr>
                        <w:top w:val="none" w:sz="0" w:space="0" w:color="auto"/>
                        <w:left w:val="none" w:sz="0" w:space="0" w:color="auto"/>
                        <w:bottom w:val="none" w:sz="0" w:space="0" w:color="auto"/>
                        <w:right w:val="none" w:sz="0" w:space="0" w:color="auto"/>
                      </w:divBdr>
                    </w:div>
                  </w:divsChild>
                </w:div>
                <w:div w:id="26222198">
                  <w:marLeft w:val="0"/>
                  <w:marRight w:val="0"/>
                  <w:marTop w:val="0"/>
                  <w:marBottom w:val="0"/>
                  <w:divBdr>
                    <w:top w:val="none" w:sz="0" w:space="0" w:color="auto"/>
                    <w:left w:val="none" w:sz="0" w:space="0" w:color="auto"/>
                    <w:bottom w:val="none" w:sz="0" w:space="0" w:color="auto"/>
                    <w:right w:val="none" w:sz="0" w:space="0" w:color="auto"/>
                  </w:divBdr>
                  <w:divsChild>
                    <w:div w:id="1511943759">
                      <w:marLeft w:val="0"/>
                      <w:marRight w:val="0"/>
                      <w:marTop w:val="0"/>
                      <w:marBottom w:val="0"/>
                      <w:divBdr>
                        <w:top w:val="none" w:sz="0" w:space="0" w:color="auto"/>
                        <w:left w:val="none" w:sz="0" w:space="0" w:color="auto"/>
                        <w:bottom w:val="none" w:sz="0" w:space="0" w:color="auto"/>
                        <w:right w:val="none" w:sz="0" w:space="0" w:color="auto"/>
                      </w:divBdr>
                    </w:div>
                  </w:divsChild>
                </w:div>
                <w:div w:id="34164460">
                  <w:marLeft w:val="0"/>
                  <w:marRight w:val="0"/>
                  <w:marTop w:val="0"/>
                  <w:marBottom w:val="0"/>
                  <w:divBdr>
                    <w:top w:val="none" w:sz="0" w:space="0" w:color="auto"/>
                    <w:left w:val="none" w:sz="0" w:space="0" w:color="auto"/>
                    <w:bottom w:val="none" w:sz="0" w:space="0" w:color="auto"/>
                    <w:right w:val="none" w:sz="0" w:space="0" w:color="auto"/>
                  </w:divBdr>
                  <w:divsChild>
                    <w:div w:id="1438285613">
                      <w:marLeft w:val="0"/>
                      <w:marRight w:val="0"/>
                      <w:marTop w:val="0"/>
                      <w:marBottom w:val="0"/>
                      <w:divBdr>
                        <w:top w:val="none" w:sz="0" w:space="0" w:color="auto"/>
                        <w:left w:val="none" w:sz="0" w:space="0" w:color="auto"/>
                        <w:bottom w:val="none" w:sz="0" w:space="0" w:color="auto"/>
                        <w:right w:val="none" w:sz="0" w:space="0" w:color="auto"/>
                      </w:divBdr>
                    </w:div>
                  </w:divsChild>
                </w:div>
                <w:div w:id="39718742">
                  <w:marLeft w:val="0"/>
                  <w:marRight w:val="0"/>
                  <w:marTop w:val="0"/>
                  <w:marBottom w:val="0"/>
                  <w:divBdr>
                    <w:top w:val="none" w:sz="0" w:space="0" w:color="auto"/>
                    <w:left w:val="none" w:sz="0" w:space="0" w:color="auto"/>
                    <w:bottom w:val="none" w:sz="0" w:space="0" w:color="auto"/>
                    <w:right w:val="none" w:sz="0" w:space="0" w:color="auto"/>
                  </w:divBdr>
                  <w:divsChild>
                    <w:div w:id="94332682">
                      <w:marLeft w:val="0"/>
                      <w:marRight w:val="0"/>
                      <w:marTop w:val="0"/>
                      <w:marBottom w:val="0"/>
                      <w:divBdr>
                        <w:top w:val="none" w:sz="0" w:space="0" w:color="auto"/>
                        <w:left w:val="none" w:sz="0" w:space="0" w:color="auto"/>
                        <w:bottom w:val="none" w:sz="0" w:space="0" w:color="auto"/>
                        <w:right w:val="none" w:sz="0" w:space="0" w:color="auto"/>
                      </w:divBdr>
                    </w:div>
                  </w:divsChild>
                </w:div>
                <w:div w:id="67116630">
                  <w:marLeft w:val="0"/>
                  <w:marRight w:val="0"/>
                  <w:marTop w:val="0"/>
                  <w:marBottom w:val="0"/>
                  <w:divBdr>
                    <w:top w:val="none" w:sz="0" w:space="0" w:color="auto"/>
                    <w:left w:val="none" w:sz="0" w:space="0" w:color="auto"/>
                    <w:bottom w:val="none" w:sz="0" w:space="0" w:color="auto"/>
                    <w:right w:val="none" w:sz="0" w:space="0" w:color="auto"/>
                  </w:divBdr>
                  <w:divsChild>
                    <w:div w:id="1134565688">
                      <w:marLeft w:val="0"/>
                      <w:marRight w:val="0"/>
                      <w:marTop w:val="0"/>
                      <w:marBottom w:val="0"/>
                      <w:divBdr>
                        <w:top w:val="none" w:sz="0" w:space="0" w:color="auto"/>
                        <w:left w:val="none" w:sz="0" w:space="0" w:color="auto"/>
                        <w:bottom w:val="none" w:sz="0" w:space="0" w:color="auto"/>
                        <w:right w:val="none" w:sz="0" w:space="0" w:color="auto"/>
                      </w:divBdr>
                    </w:div>
                  </w:divsChild>
                </w:div>
                <w:div w:id="69542725">
                  <w:marLeft w:val="0"/>
                  <w:marRight w:val="0"/>
                  <w:marTop w:val="0"/>
                  <w:marBottom w:val="0"/>
                  <w:divBdr>
                    <w:top w:val="none" w:sz="0" w:space="0" w:color="auto"/>
                    <w:left w:val="none" w:sz="0" w:space="0" w:color="auto"/>
                    <w:bottom w:val="none" w:sz="0" w:space="0" w:color="auto"/>
                    <w:right w:val="none" w:sz="0" w:space="0" w:color="auto"/>
                  </w:divBdr>
                  <w:divsChild>
                    <w:div w:id="608895730">
                      <w:marLeft w:val="0"/>
                      <w:marRight w:val="0"/>
                      <w:marTop w:val="0"/>
                      <w:marBottom w:val="0"/>
                      <w:divBdr>
                        <w:top w:val="none" w:sz="0" w:space="0" w:color="auto"/>
                        <w:left w:val="none" w:sz="0" w:space="0" w:color="auto"/>
                        <w:bottom w:val="none" w:sz="0" w:space="0" w:color="auto"/>
                        <w:right w:val="none" w:sz="0" w:space="0" w:color="auto"/>
                      </w:divBdr>
                    </w:div>
                  </w:divsChild>
                </w:div>
                <w:div w:id="94323535">
                  <w:marLeft w:val="0"/>
                  <w:marRight w:val="0"/>
                  <w:marTop w:val="0"/>
                  <w:marBottom w:val="0"/>
                  <w:divBdr>
                    <w:top w:val="none" w:sz="0" w:space="0" w:color="auto"/>
                    <w:left w:val="none" w:sz="0" w:space="0" w:color="auto"/>
                    <w:bottom w:val="none" w:sz="0" w:space="0" w:color="auto"/>
                    <w:right w:val="none" w:sz="0" w:space="0" w:color="auto"/>
                  </w:divBdr>
                  <w:divsChild>
                    <w:div w:id="1000423232">
                      <w:marLeft w:val="0"/>
                      <w:marRight w:val="0"/>
                      <w:marTop w:val="0"/>
                      <w:marBottom w:val="0"/>
                      <w:divBdr>
                        <w:top w:val="none" w:sz="0" w:space="0" w:color="auto"/>
                        <w:left w:val="none" w:sz="0" w:space="0" w:color="auto"/>
                        <w:bottom w:val="none" w:sz="0" w:space="0" w:color="auto"/>
                        <w:right w:val="none" w:sz="0" w:space="0" w:color="auto"/>
                      </w:divBdr>
                    </w:div>
                  </w:divsChild>
                </w:div>
                <w:div w:id="97912713">
                  <w:marLeft w:val="0"/>
                  <w:marRight w:val="0"/>
                  <w:marTop w:val="0"/>
                  <w:marBottom w:val="0"/>
                  <w:divBdr>
                    <w:top w:val="none" w:sz="0" w:space="0" w:color="auto"/>
                    <w:left w:val="none" w:sz="0" w:space="0" w:color="auto"/>
                    <w:bottom w:val="none" w:sz="0" w:space="0" w:color="auto"/>
                    <w:right w:val="none" w:sz="0" w:space="0" w:color="auto"/>
                  </w:divBdr>
                  <w:divsChild>
                    <w:div w:id="775447215">
                      <w:marLeft w:val="0"/>
                      <w:marRight w:val="0"/>
                      <w:marTop w:val="0"/>
                      <w:marBottom w:val="0"/>
                      <w:divBdr>
                        <w:top w:val="none" w:sz="0" w:space="0" w:color="auto"/>
                        <w:left w:val="none" w:sz="0" w:space="0" w:color="auto"/>
                        <w:bottom w:val="none" w:sz="0" w:space="0" w:color="auto"/>
                        <w:right w:val="none" w:sz="0" w:space="0" w:color="auto"/>
                      </w:divBdr>
                    </w:div>
                  </w:divsChild>
                </w:div>
                <w:div w:id="100875894">
                  <w:marLeft w:val="0"/>
                  <w:marRight w:val="0"/>
                  <w:marTop w:val="0"/>
                  <w:marBottom w:val="0"/>
                  <w:divBdr>
                    <w:top w:val="none" w:sz="0" w:space="0" w:color="auto"/>
                    <w:left w:val="none" w:sz="0" w:space="0" w:color="auto"/>
                    <w:bottom w:val="none" w:sz="0" w:space="0" w:color="auto"/>
                    <w:right w:val="none" w:sz="0" w:space="0" w:color="auto"/>
                  </w:divBdr>
                  <w:divsChild>
                    <w:div w:id="2104719128">
                      <w:marLeft w:val="0"/>
                      <w:marRight w:val="0"/>
                      <w:marTop w:val="0"/>
                      <w:marBottom w:val="0"/>
                      <w:divBdr>
                        <w:top w:val="none" w:sz="0" w:space="0" w:color="auto"/>
                        <w:left w:val="none" w:sz="0" w:space="0" w:color="auto"/>
                        <w:bottom w:val="none" w:sz="0" w:space="0" w:color="auto"/>
                        <w:right w:val="none" w:sz="0" w:space="0" w:color="auto"/>
                      </w:divBdr>
                    </w:div>
                  </w:divsChild>
                </w:div>
                <w:div w:id="108160720">
                  <w:marLeft w:val="0"/>
                  <w:marRight w:val="0"/>
                  <w:marTop w:val="0"/>
                  <w:marBottom w:val="0"/>
                  <w:divBdr>
                    <w:top w:val="none" w:sz="0" w:space="0" w:color="auto"/>
                    <w:left w:val="none" w:sz="0" w:space="0" w:color="auto"/>
                    <w:bottom w:val="none" w:sz="0" w:space="0" w:color="auto"/>
                    <w:right w:val="none" w:sz="0" w:space="0" w:color="auto"/>
                  </w:divBdr>
                  <w:divsChild>
                    <w:div w:id="847721723">
                      <w:marLeft w:val="0"/>
                      <w:marRight w:val="0"/>
                      <w:marTop w:val="0"/>
                      <w:marBottom w:val="0"/>
                      <w:divBdr>
                        <w:top w:val="none" w:sz="0" w:space="0" w:color="auto"/>
                        <w:left w:val="none" w:sz="0" w:space="0" w:color="auto"/>
                        <w:bottom w:val="none" w:sz="0" w:space="0" w:color="auto"/>
                        <w:right w:val="none" w:sz="0" w:space="0" w:color="auto"/>
                      </w:divBdr>
                    </w:div>
                  </w:divsChild>
                </w:div>
                <w:div w:id="109471183">
                  <w:marLeft w:val="0"/>
                  <w:marRight w:val="0"/>
                  <w:marTop w:val="0"/>
                  <w:marBottom w:val="0"/>
                  <w:divBdr>
                    <w:top w:val="none" w:sz="0" w:space="0" w:color="auto"/>
                    <w:left w:val="none" w:sz="0" w:space="0" w:color="auto"/>
                    <w:bottom w:val="none" w:sz="0" w:space="0" w:color="auto"/>
                    <w:right w:val="none" w:sz="0" w:space="0" w:color="auto"/>
                  </w:divBdr>
                  <w:divsChild>
                    <w:div w:id="1833830154">
                      <w:marLeft w:val="0"/>
                      <w:marRight w:val="0"/>
                      <w:marTop w:val="0"/>
                      <w:marBottom w:val="0"/>
                      <w:divBdr>
                        <w:top w:val="none" w:sz="0" w:space="0" w:color="auto"/>
                        <w:left w:val="none" w:sz="0" w:space="0" w:color="auto"/>
                        <w:bottom w:val="none" w:sz="0" w:space="0" w:color="auto"/>
                        <w:right w:val="none" w:sz="0" w:space="0" w:color="auto"/>
                      </w:divBdr>
                    </w:div>
                  </w:divsChild>
                </w:div>
                <w:div w:id="128790058">
                  <w:marLeft w:val="0"/>
                  <w:marRight w:val="0"/>
                  <w:marTop w:val="0"/>
                  <w:marBottom w:val="0"/>
                  <w:divBdr>
                    <w:top w:val="none" w:sz="0" w:space="0" w:color="auto"/>
                    <w:left w:val="none" w:sz="0" w:space="0" w:color="auto"/>
                    <w:bottom w:val="none" w:sz="0" w:space="0" w:color="auto"/>
                    <w:right w:val="none" w:sz="0" w:space="0" w:color="auto"/>
                  </w:divBdr>
                  <w:divsChild>
                    <w:div w:id="1939286236">
                      <w:marLeft w:val="0"/>
                      <w:marRight w:val="0"/>
                      <w:marTop w:val="0"/>
                      <w:marBottom w:val="0"/>
                      <w:divBdr>
                        <w:top w:val="none" w:sz="0" w:space="0" w:color="auto"/>
                        <w:left w:val="none" w:sz="0" w:space="0" w:color="auto"/>
                        <w:bottom w:val="none" w:sz="0" w:space="0" w:color="auto"/>
                        <w:right w:val="none" w:sz="0" w:space="0" w:color="auto"/>
                      </w:divBdr>
                    </w:div>
                  </w:divsChild>
                </w:div>
                <w:div w:id="129902514">
                  <w:marLeft w:val="0"/>
                  <w:marRight w:val="0"/>
                  <w:marTop w:val="0"/>
                  <w:marBottom w:val="0"/>
                  <w:divBdr>
                    <w:top w:val="none" w:sz="0" w:space="0" w:color="auto"/>
                    <w:left w:val="none" w:sz="0" w:space="0" w:color="auto"/>
                    <w:bottom w:val="none" w:sz="0" w:space="0" w:color="auto"/>
                    <w:right w:val="none" w:sz="0" w:space="0" w:color="auto"/>
                  </w:divBdr>
                  <w:divsChild>
                    <w:div w:id="1249998613">
                      <w:marLeft w:val="0"/>
                      <w:marRight w:val="0"/>
                      <w:marTop w:val="0"/>
                      <w:marBottom w:val="0"/>
                      <w:divBdr>
                        <w:top w:val="none" w:sz="0" w:space="0" w:color="auto"/>
                        <w:left w:val="none" w:sz="0" w:space="0" w:color="auto"/>
                        <w:bottom w:val="none" w:sz="0" w:space="0" w:color="auto"/>
                        <w:right w:val="none" w:sz="0" w:space="0" w:color="auto"/>
                      </w:divBdr>
                    </w:div>
                  </w:divsChild>
                </w:div>
                <w:div w:id="131214830">
                  <w:marLeft w:val="0"/>
                  <w:marRight w:val="0"/>
                  <w:marTop w:val="0"/>
                  <w:marBottom w:val="0"/>
                  <w:divBdr>
                    <w:top w:val="none" w:sz="0" w:space="0" w:color="auto"/>
                    <w:left w:val="none" w:sz="0" w:space="0" w:color="auto"/>
                    <w:bottom w:val="none" w:sz="0" w:space="0" w:color="auto"/>
                    <w:right w:val="none" w:sz="0" w:space="0" w:color="auto"/>
                  </w:divBdr>
                  <w:divsChild>
                    <w:div w:id="1402020226">
                      <w:marLeft w:val="0"/>
                      <w:marRight w:val="0"/>
                      <w:marTop w:val="0"/>
                      <w:marBottom w:val="0"/>
                      <w:divBdr>
                        <w:top w:val="none" w:sz="0" w:space="0" w:color="auto"/>
                        <w:left w:val="none" w:sz="0" w:space="0" w:color="auto"/>
                        <w:bottom w:val="none" w:sz="0" w:space="0" w:color="auto"/>
                        <w:right w:val="none" w:sz="0" w:space="0" w:color="auto"/>
                      </w:divBdr>
                    </w:div>
                  </w:divsChild>
                </w:div>
                <w:div w:id="145359726">
                  <w:marLeft w:val="0"/>
                  <w:marRight w:val="0"/>
                  <w:marTop w:val="0"/>
                  <w:marBottom w:val="0"/>
                  <w:divBdr>
                    <w:top w:val="none" w:sz="0" w:space="0" w:color="auto"/>
                    <w:left w:val="none" w:sz="0" w:space="0" w:color="auto"/>
                    <w:bottom w:val="none" w:sz="0" w:space="0" w:color="auto"/>
                    <w:right w:val="none" w:sz="0" w:space="0" w:color="auto"/>
                  </w:divBdr>
                  <w:divsChild>
                    <w:div w:id="190995973">
                      <w:marLeft w:val="0"/>
                      <w:marRight w:val="0"/>
                      <w:marTop w:val="0"/>
                      <w:marBottom w:val="0"/>
                      <w:divBdr>
                        <w:top w:val="none" w:sz="0" w:space="0" w:color="auto"/>
                        <w:left w:val="none" w:sz="0" w:space="0" w:color="auto"/>
                        <w:bottom w:val="none" w:sz="0" w:space="0" w:color="auto"/>
                        <w:right w:val="none" w:sz="0" w:space="0" w:color="auto"/>
                      </w:divBdr>
                    </w:div>
                  </w:divsChild>
                </w:div>
                <w:div w:id="146092757">
                  <w:marLeft w:val="0"/>
                  <w:marRight w:val="0"/>
                  <w:marTop w:val="0"/>
                  <w:marBottom w:val="0"/>
                  <w:divBdr>
                    <w:top w:val="none" w:sz="0" w:space="0" w:color="auto"/>
                    <w:left w:val="none" w:sz="0" w:space="0" w:color="auto"/>
                    <w:bottom w:val="none" w:sz="0" w:space="0" w:color="auto"/>
                    <w:right w:val="none" w:sz="0" w:space="0" w:color="auto"/>
                  </w:divBdr>
                  <w:divsChild>
                    <w:div w:id="595987147">
                      <w:marLeft w:val="0"/>
                      <w:marRight w:val="0"/>
                      <w:marTop w:val="0"/>
                      <w:marBottom w:val="0"/>
                      <w:divBdr>
                        <w:top w:val="none" w:sz="0" w:space="0" w:color="auto"/>
                        <w:left w:val="none" w:sz="0" w:space="0" w:color="auto"/>
                        <w:bottom w:val="none" w:sz="0" w:space="0" w:color="auto"/>
                        <w:right w:val="none" w:sz="0" w:space="0" w:color="auto"/>
                      </w:divBdr>
                    </w:div>
                  </w:divsChild>
                </w:div>
                <w:div w:id="159347670">
                  <w:marLeft w:val="0"/>
                  <w:marRight w:val="0"/>
                  <w:marTop w:val="0"/>
                  <w:marBottom w:val="0"/>
                  <w:divBdr>
                    <w:top w:val="none" w:sz="0" w:space="0" w:color="auto"/>
                    <w:left w:val="none" w:sz="0" w:space="0" w:color="auto"/>
                    <w:bottom w:val="none" w:sz="0" w:space="0" w:color="auto"/>
                    <w:right w:val="none" w:sz="0" w:space="0" w:color="auto"/>
                  </w:divBdr>
                  <w:divsChild>
                    <w:div w:id="1633632834">
                      <w:marLeft w:val="0"/>
                      <w:marRight w:val="0"/>
                      <w:marTop w:val="0"/>
                      <w:marBottom w:val="0"/>
                      <w:divBdr>
                        <w:top w:val="none" w:sz="0" w:space="0" w:color="auto"/>
                        <w:left w:val="none" w:sz="0" w:space="0" w:color="auto"/>
                        <w:bottom w:val="none" w:sz="0" w:space="0" w:color="auto"/>
                        <w:right w:val="none" w:sz="0" w:space="0" w:color="auto"/>
                      </w:divBdr>
                    </w:div>
                  </w:divsChild>
                </w:div>
                <w:div w:id="211622607">
                  <w:marLeft w:val="0"/>
                  <w:marRight w:val="0"/>
                  <w:marTop w:val="0"/>
                  <w:marBottom w:val="0"/>
                  <w:divBdr>
                    <w:top w:val="none" w:sz="0" w:space="0" w:color="auto"/>
                    <w:left w:val="none" w:sz="0" w:space="0" w:color="auto"/>
                    <w:bottom w:val="none" w:sz="0" w:space="0" w:color="auto"/>
                    <w:right w:val="none" w:sz="0" w:space="0" w:color="auto"/>
                  </w:divBdr>
                  <w:divsChild>
                    <w:div w:id="807667666">
                      <w:marLeft w:val="0"/>
                      <w:marRight w:val="0"/>
                      <w:marTop w:val="0"/>
                      <w:marBottom w:val="0"/>
                      <w:divBdr>
                        <w:top w:val="none" w:sz="0" w:space="0" w:color="auto"/>
                        <w:left w:val="none" w:sz="0" w:space="0" w:color="auto"/>
                        <w:bottom w:val="none" w:sz="0" w:space="0" w:color="auto"/>
                        <w:right w:val="none" w:sz="0" w:space="0" w:color="auto"/>
                      </w:divBdr>
                    </w:div>
                  </w:divsChild>
                </w:div>
                <w:div w:id="237446397">
                  <w:marLeft w:val="0"/>
                  <w:marRight w:val="0"/>
                  <w:marTop w:val="0"/>
                  <w:marBottom w:val="0"/>
                  <w:divBdr>
                    <w:top w:val="none" w:sz="0" w:space="0" w:color="auto"/>
                    <w:left w:val="none" w:sz="0" w:space="0" w:color="auto"/>
                    <w:bottom w:val="none" w:sz="0" w:space="0" w:color="auto"/>
                    <w:right w:val="none" w:sz="0" w:space="0" w:color="auto"/>
                  </w:divBdr>
                  <w:divsChild>
                    <w:div w:id="1946961675">
                      <w:marLeft w:val="0"/>
                      <w:marRight w:val="0"/>
                      <w:marTop w:val="0"/>
                      <w:marBottom w:val="0"/>
                      <w:divBdr>
                        <w:top w:val="none" w:sz="0" w:space="0" w:color="auto"/>
                        <w:left w:val="none" w:sz="0" w:space="0" w:color="auto"/>
                        <w:bottom w:val="none" w:sz="0" w:space="0" w:color="auto"/>
                        <w:right w:val="none" w:sz="0" w:space="0" w:color="auto"/>
                      </w:divBdr>
                    </w:div>
                  </w:divsChild>
                </w:div>
                <w:div w:id="244269210">
                  <w:marLeft w:val="0"/>
                  <w:marRight w:val="0"/>
                  <w:marTop w:val="0"/>
                  <w:marBottom w:val="0"/>
                  <w:divBdr>
                    <w:top w:val="none" w:sz="0" w:space="0" w:color="auto"/>
                    <w:left w:val="none" w:sz="0" w:space="0" w:color="auto"/>
                    <w:bottom w:val="none" w:sz="0" w:space="0" w:color="auto"/>
                    <w:right w:val="none" w:sz="0" w:space="0" w:color="auto"/>
                  </w:divBdr>
                  <w:divsChild>
                    <w:div w:id="857742505">
                      <w:marLeft w:val="0"/>
                      <w:marRight w:val="0"/>
                      <w:marTop w:val="0"/>
                      <w:marBottom w:val="0"/>
                      <w:divBdr>
                        <w:top w:val="none" w:sz="0" w:space="0" w:color="auto"/>
                        <w:left w:val="none" w:sz="0" w:space="0" w:color="auto"/>
                        <w:bottom w:val="none" w:sz="0" w:space="0" w:color="auto"/>
                        <w:right w:val="none" w:sz="0" w:space="0" w:color="auto"/>
                      </w:divBdr>
                    </w:div>
                  </w:divsChild>
                </w:div>
                <w:div w:id="246889620">
                  <w:marLeft w:val="0"/>
                  <w:marRight w:val="0"/>
                  <w:marTop w:val="0"/>
                  <w:marBottom w:val="0"/>
                  <w:divBdr>
                    <w:top w:val="none" w:sz="0" w:space="0" w:color="auto"/>
                    <w:left w:val="none" w:sz="0" w:space="0" w:color="auto"/>
                    <w:bottom w:val="none" w:sz="0" w:space="0" w:color="auto"/>
                    <w:right w:val="none" w:sz="0" w:space="0" w:color="auto"/>
                  </w:divBdr>
                  <w:divsChild>
                    <w:div w:id="1413087406">
                      <w:marLeft w:val="0"/>
                      <w:marRight w:val="0"/>
                      <w:marTop w:val="0"/>
                      <w:marBottom w:val="0"/>
                      <w:divBdr>
                        <w:top w:val="none" w:sz="0" w:space="0" w:color="auto"/>
                        <w:left w:val="none" w:sz="0" w:space="0" w:color="auto"/>
                        <w:bottom w:val="none" w:sz="0" w:space="0" w:color="auto"/>
                        <w:right w:val="none" w:sz="0" w:space="0" w:color="auto"/>
                      </w:divBdr>
                    </w:div>
                  </w:divsChild>
                </w:div>
                <w:div w:id="288048780">
                  <w:marLeft w:val="0"/>
                  <w:marRight w:val="0"/>
                  <w:marTop w:val="0"/>
                  <w:marBottom w:val="0"/>
                  <w:divBdr>
                    <w:top w:val="none" w:sz="0" w:space="0" w:color="auto"/>
                    <w:left w:val="none" w:sz="0" w:space="0" w:color="auto"/>
                    <w:bottom w:val="none" w:sz="0" w:space="0" w:color="auto"/>
                    <w:right w:val="none" w:sz="0" w:space="0" w:color="auto"/>
                  </w:divBdr>
                  <w:divsChild>
                    <w:div w:id="72897802">
                      <w:marLeft w:val="0"/>
                      <w:marRight w:val="0"/>
                      <w:marTop w:val="0"/>
                      <w:marBottom w:val="0"/>
                      <w:divBdr>
                        <w:top w:val="none" w:sz="0" w:space="0" w:color="auto"/>
                        <w:left w:val="none" w:sz="0" w:space="0" w:color="auto"/>
                        <w:bottom w:val="none" w:sz="0" w:space="0" w:color="auto"/>
                        <w:right w:val="none" w:sz="0" w:space="0" w:color="auto"/>
                      </w:divBdr>
                    </w:div>
                  </w:divsChild>
                </w:div>
                <w:div w:id="288634364">
                  <w:marLeft w:val="0"/>
                  <w:marRight w:val="0"/>
                  <w:marTop w:val="0"/>
                  <w:marBottom w:val="0"/>
                  <w:divBdr>
                    <w:top w:val="none" w:sz="0" w:space="0" w:color="auto"/>
                    <w:left w:val="none" w:sz="0" w:space="0" w:color="auto"/>
                    <w:bottom w:val="none" w:sz="0" w:space="0" w:color="auto"/>
                    <w:right w:val="none" w:sz="0" w:space="0" w:color="auto"/>
                  </w:divBdr>
                  <w:divsChild>
                    <w:div w:id="1222907762">
                      <w:marLeft w:val="0"/>
                      <w:marRight w:val="0"/>
                      <w:marTop w:val="0"/>
                      <w:marBottom w:val="0"/>
                      <w:divBdr>
                        <w:top w:val="none" w:sz="0" w:space="0" w:color="auto"/>
                        <w:left w:val="none" w:sz="0" w:space="0" w:color="auto"/>
                        <w:bottom w:val="none" w:sz="0" w:space="0" w:color="auto"/>
                        <w:right w:val="none" w:sz="0" w:space="0" w:color="auto"/>
                      </w:divBdr>
                    </w:div>
                  </w:divsChild>
                </w:div>
                <w:div w:id="298851716">
                  <w:marLeft w:val="0"/>
                  <w:marRight w:val="0"/>
                  <w:marTop w:val="0"/>
                  <w:marBottom w:val="0"/>
                  <w:divBdr>
                    <w:top w:val="none" w:sz="0" w:space="0" w:color="auto"/>
                    <w:left w:val="none" w:sz="0" w:space="0" w:color="auto"/>
                    <w:bottom w:val="none" w:sz="0" w:space="0" w:color="auto"/>
                    <w:right w:val="none" w:sz="0" w:space="0" w:color="auto"/>
                  </w:divBdr>
                  <w:divsChild>
                    <w:div w:id="175390645">
                      <w:marLeft w:val="0"/>
                      <w:marRight w:val="0"/>
                      <w:marTop w:val="0"/>
                      <w:marBottom w:val="0"/>
                      <w:divBdr>
                        <w:top w:val="none" w:sz="0" w:space="0" w:color="auto"/>
                        <w:left w:val="none" w:sz="0" w:space="0" w:color="auto"/>
                        <w:bottom w:val="none" w:sz="0" w:space="0" w:color="auto"/>
                        <w:right w:val="none" w:sz="0" w:space="0" w:color="auto"/>
                      </w:divBdr>
                    </w:div>
                  </w:divsChild>
                </w:div>
                <w:div w:id="318509682">
                  <w:marLeft w:val="0"/>
                  <w:marRight w:val="0"/>
                  <w:marTop w:val="0"/>
                  <w:marBottom w:val="0"/>
                  <w:divBdr>
                    <w:top w:val="none" w:sz="0" w:space="0" w:color="auto"/>
                    <w:left w:val="none" w:sz="0" w:space="0" w:color="auto"/>
                    <w:bottom w:val="none" w:sz="0" w:space="0" w:color="auto"/>
                    <w:right w:val="none" w:sz="0" w:space="0" w:color="auto"/>
                  </w:divBdr>
                  <w:divsChild>
                    <w:div w:id="1365789735">
                      <w:marLeft w:val="0"/>
                      <w:marRight w:val="0"/>
                      <w:marTop w:val="0"/>
                      <w:marBottom w:val="0"/>
                      <w:divBdr>
                        <w:top w:val="none" w:sz="0" w:space="0" w:color="auto"/>
                        <w:left w:val="none" w:sz="0" w:space="0" w:color="auto"/>
                        <w:bottom w:val="none" w:sz="0" w:space="0" w:color="auto"/>
                        <w:right w:val="none" w:sz="0" w:space="0" w:color="auto"/>
                      </w:divBdr>
                    </w:div>
                  </w:divsChild>
                </w:div>
                <w:div w:id="325593717">
                  <w:marLeft w:val="0"/>
                  <w:marRight w:val="0"/>
                  <w:marTop w:val="0"/>
                  <w:marBottom w:val="0"/>
                  <w:divBdr>
                    <w:top w:val="none" w:sz="0" w:space="0" w:color="auto"/>
                    <w:left w:val="none" w:sz="0" w:space="0" w:color="auto"/>
                    <w:bottom w:val="none" w:sz="0" w:space="0" w:color="auto"/>
                    <w:right w:val="none" w:sz="0" w:space="0" w:color="auto"/>
                  </w:divBdr>
                  <w:divsChild>
                    <w:div w:id="1693915355">
                      <w:marLeft w:val="0"/>
                      <w:marRight w:val="0"/>
                      <w:marTop w:val="0"/>
                      <w:marBottom w:val="0"/>
                      <w:divBdr>
                        <w:top w:val="none" w:sz="0" w:space="0" w:color="auto"/>
                        <w:left w:val="none" w:sz="0" w:space="0" w:color="auto"/>
                        <w:bottom w:val="none" w:sz="0" w:space="0" w:color="auto"/>
                        <w:right w:val="none" w:sz="0" w:space="0" w:color="auto"/>
                      </w:divBdr>
                    </w:div>
                  </w:divsChild>
                </w:div>
                <w:div w:id="335614636">
                  <w:marLeft w:val="0"/>
                  <w:marRight w:val="0"/>
                  <w:marTop w:val="0"/>
                  <w:marBottom w:val="0"/>
                  <w:divBdr>
                    <w:top w:val="none" w:sz="0" w:space="0" w:color="auto"/>
                    <w:left w:val="none" w:sz="0" w:space="0" w:color="auto"/>
                    <w:bottom w:val="none" w:sz="0" w:space="0" w:color="auto"/>
                    <w:right w:val="none" w:sz="0" w:space="0" w:color="auto"/>
                  </w:divBdr>
                  <w:divsChild>
                    <w:div w:id="1282222420">
                      <w:marLeft w:val="0"/>
                      <w:marRight w:val="0"/>
                      <w:marTop w:val="0"/>
                      <w:marBottom w:val="0"/>
                      <w:divBdr>
                        <w:top w:val="none" w:sz="0" w:space="0" w:color="auto"/>
                        <w:left w:val="none" w:sz="0" w:space="0" w:color="auto"/>
                        <w:bottom w:val="none" w:sz="0" w:space="0" w:color="auto"/>
                        <w:right w:val="none" w:sz="0" w:space="0" w:color="auto"/>
                      </w:divBdr>
                    </w:div>
                  </w:divsChild>
                </w:div>
                <w:div w:id="357044206">
                  <w:marLeft w:val="0"/>
                  <w:marRight w:val="0"/>
                  <w:marTop w:val="0"/>
                  <w:marBottom w:val="0"/>
                  <w:divBdr>
                    <w:top w:val="none" w:sz="0" w:space="0" w:color="auto"/>
                    <w:left w:val="none" w:sz="0" w:space="0" w:color="auto"/>
                    <w:bottom w:val="none" w:sz="0" w:space="0" w:color="auto"/>
                    <w:right w:val="none" w:sz="0" w:space="0" w:color="auto"/>
                  </w:divBdr>
                  <w:divsChild>
                    <w:div w:id="401216777">
                      <w:marLeft w:val="0"/>
                      <w:marRight w:val="0"/>
                      <w:marTop w:val="0"/>
                      <w:marBottom w:val="0"/>
                      <w:divBdr>
                        <w:top w:val="none" w:sz="0" w:space="0" w:color="auto"/>
                        <w:left w:val="none" w:sz="0" w:space="0" w:color="auto"/>
                        <w:bottom w:val="none" w:sz="0" w:space="0" w:color="auto"/>
                        <w:right w:val="none" w:sz="0" w:space="0" w:color="auto"/>
                      </w:divBdr>
                    </w:div>
                  </w:divsChild>
                </w:div>
                <w:div w:id="371925025">
                  <w:marLeft w:val="0"/>
                  <w:marRight w:val="0"/>
                  <w:marTop w:val="0"/>
                  <w:marBottom w:val="0"/>
                  <w:divBdr>
                    <w:top w:val="none" w:sz="0" w:space="0" w:color="auto"/>
                    <w:left w:val="none" w:sz="0" w:space="0" w:color="auto"/>
                    <w:bottom w:val="none" w:sz="0" w:space="0" w:color="auto"/>
                    <w:right w:val="none" w:sz="0" w:space="0" w:color="auto"/>
                  </w:divBdr>
                  <w:divsChild>
                    <w:div w:id="925499583">
                      <w:marLeft w:val="0"/>
                      <w:marRight w:val="0"/>
                      <w:marTop w:val="0"/>
                      <w:marBottom w:val="0"/>
                      <w:divBdr>
                        <w:top w:val="none" w:sz="0" w:space="0" w:color="auto"/>
                        <w:left w:val="none" w:sz="0" w:space="0" w:color="auto"/>
                        <w:bottom w:val="none" w:sz="0" w:space="0" w:color="auto"/>
                        <w:right w:val="none" w:sz="0" w:space="0" w:color="auto"/>
                      </w:divBdr>
                    </w:div>
                  </w:divsChild>
                </w:div>
                <w:div w:id="376856231">
                  <w:marLeft w:val="0"/>
                  <w:marRight w:val="0"/>
                  <w:marTop w:val="0"/>
                  <w:marBottom w:val="0"/>
                  <w:divBdr>
                    <w:top w:val="none" w:sz="0" w:space="0" w:color="auto"/>
                    <w:left w:val="none" w:sz="0" w:space="0" w:color="auto"/>
                    <w:bottom w:val="none" w:sz="0" w:space="0" w:color="auto"/>
                    <w:right w:val="none" w:sz="0" w:space="0" w:color="auto"/>
                  </w:divBdr>
                  <w:divsChild>
                    <w:div w:id="97071084">
                      <w:marLeft w:val="0"/>
                      <w:marRight w:val="0"/>
                      <w:marTop w:val="0"/>
                      <w:marBottom w:val="0"/>
                      <w:divBdr>
                        <w:top w:val="none" w:sz="0" w:space="0" w:color="auto"/>
                        <w:left w:val="none" w:sz="0" w:space="0" w:color="auto"/>
                        <w:bottom w:val="none" w:sz="0" w:space="0" w:color="auto"/>
                        <w:right w:val="none" w:sz="0" w:space="0" w:color="auto"/>
                      </w:divBdr>
                    </w:div>
                  </w:divsChild>
                </w:div>
                <w:div w:id="379086706">
                  <w:marLeft w:val="0"/>
                  <w:marRight w:val="0"/>
                  <w:marTop w:val="0"/>
                  <w:marBottom w:val="0"/>
                  <w:divBdr>
                    <w:top w:val="none" w:sz="0" w:space="0" w:color="auto"/>
                    <w:left w:val="none" w:sz="0" w:space="0" w:color="auto"/>
                    <w:bottom w:val="none" w:sz="0" w:space="0" w:color="auto"/>
                    <w:right w:val="none" w:sz="0" w:space="0" w:color="auto"/>
                  </w:divBdr>
                  <w:divsChild>
                    <w:div w:id="1862544421">
                      <w:marLeft w:val="0"/>
                      <w:marRight w:val="0"/>
                      <w:marTop w:val="0"/>
                      <w:marBottom w:val="0"/>
                      <w:divBdr>
                        <w:top w:val="none" w:sz="0" w:space="0" w:color="auto"/>
                        <w:left w:val="none" w:sz="0" w:space="0" w:color="auto"/>
                        <w:bottom w:val="none" w:sz="0" w:space="0" w:color="auto"/>
                        <w:right w:val="none" w:sz="0" w:space="0" w:color="auto"/>
                      </w:divBdr>
                    </w:div>
                  </w:divsChild>
                </w:div>
                <w:div w:id="398284935">
                  <w:marLeft w:val="0"/>
                  <w:marRight w:val="0"/>
                  <w:marTop w:val="0"/>
                  <w:marBottom w:val="0"/>
                  <w:divBdr>
                    <w:top w:val="none" w:sz="0" w:space="0" w:color="auto"/>
                    <w:left w:val="none" w:sz="0" w:space="0" w:color="auto"/>
                    <w:bottom w:val="none" w:sz="0" w:space="0" w:color="auto"/>
                    <w:right w:val="none" w:sz="0" w:space="0" w:color="auto"/>
                  </w:divBdr>
                  <w:divsChild>
                    <w:div w:id="148058249">
                      <w:marLeft w:val="0"/>
                      <w:marRight w:val="0"/>
                      <w:marTop w:val="0"/>
                      <w:marBottom w:val="0"/>
                      <w:divBdr>
                        <w:top w:val="none" w:sz="0" w:space="0" w:color="auto"/>
                        <w:left w:val="none" w:sz="0" w:space="0" w:color="auto"/>
                        <w:bottom w:val="none" w:sz="0" w:space="0" w:color="auto"/>
                        <w:right w:val="none" w:sz="0" w:space="0" w:color="auto"/>
                      </w:divBdr>
                    </w:div>
                  </w:divsChild>
                </w:div>
                <w:div w:id="403337350">
                  <w:marLeft w:val="0"/>
                  <w:marRight w:val="0"/>
                  <w:marTop w:val="0"/>
                  <w:marBottom w:val="0"/>
                  <w:divBdr>
                    <w:top w:val="none" w:sz="0" w:space="0" w:color="auto"/>
                    <w:left w:val="none" w:sz="0" w:space="0" w:color="auto"/>
                    <w:bottom w:val="none" w:sz="0" w:space="0" w:color="auto"/>
                    <w:right w:val="none" w:sz="0" w:space="0" w:color="auto"/>
                  </w:divBdr>
                  <w:divsChild>
                    <w:div w:id="2132089118">
                      <w:marLeft w:val="0"/>
                      <w:marRight w:val="0"/>
                      <w:marTop w:val="0"/>
                      <w:marBottom w:val="0"/>
                      <w:divBdr>
                        <w:top w:val="none" w:sz="0" w:space="0" w:color="auto"/>
                        <w:left w:val="none" w:sz="0" w:space="0" w:color="auto"/>
                        <w:bottom w:val="none" w:sz="0" w:space="0" w:color="auto"/>
                        <w:right w:val="none" w:sz="0" w:space="0" w:color="auto"/>
                      </w:divBdr>
                    </w:div>
                  </w:divsChild>
                </w:div>
                <w:div w:id="417943976">
                  <w:marLeft w:val="0"/>
                  <w:marRight w:val="0"/>
                  <w:marTop w:val="0"/>
                  <w:marBottom w:val="0"/>
                  <w:divBdr>
                    <w:top w:val="none" w:sz="0" w:space="0" w:color="auto"/>
                    <w:left w:val="none" w:sz="0" w:space="0" w:color="auto"/>
                    <w:bottom w:val="none" w:sz="0" w:space="0" w:color="auto"/>
                    <w:right w:val="none" w:sz="0" w:space="0" w:color="auto"/>
                  </w:divBdr>
                  <w:divsChild>
                    <w:div w:id="742341126">
                      <w:marLeft w:val="0"/>
                      <w:marRight w:val="0"/>
                      <w:marTop w:val="0"/>
                      <w:marBottom w:val="0"/>
                      <w:divBdr>
                        <w:top w:val="none" w:sz="0" w:space="0" w:color="auto"/>
                        <w:left w:val="none" w:sz="0" w:space="0" w:color="auto"/>
                        <w:bottom w:val="none" w:sz="0" w:space="0" w:color="auto"/>
                        <w:right w:val="none" w:sz="0" w:space="0" w:color="auto"/>
                      </w:divBdr>
                    </w:div>
                  </w:divsChild>
                </w:div>
                <w:div w:id="440927235">
                  <w:marLeft w:val="0"/>
                  <w:marRight w:val="0"/>
                  <w:marTop w:val="0"/>
                  <w:marBottom w:val="0"/>
                  <w:divBdr>
                    <w:top w:val="none" w:sz="0" w:space="0" w:color="auto"/>
                    <w:left w:val="none" w:sz="0" w:space="0" w:color="auto"/>
                    <w:bottom w:val="none" w:sz="0" w:space="0" w:color="auto"/>
                    <w:right w:val="none" w:sz="0" w:space="0" w:color="auto"/>
                  </w:divBdr>
                  <w:divsChild>
                    <w:div w:id="246883708">
                      <w:marLeft w:val="0"/>
                      <w:marRight w:val="0"/>
                      <w:marTop w:val="0"/>
                      <w:marBottom w:val="0"/>
                      <w:divBdr>
                        <w:top w:val="none" w:sz="0" w:space="0" w:color="auto"/>
                        <w:left w:val="none" w:sz="0" w:space="0" w:color="auto"/>
                        <w:bottom w:val="none" w:sz="0" w:space="0" w:color="auto"/>
                        <w:right w:val="none" w:sz="0" w:space="0" w:color="auto"/>
                      </w:divBdr>
                    </w:div>
                  </w:divsChild>
                </w:div>
                <w:div w:id="454951539">
                  <w:marLeft w:val="0"/>
                  <w:marRight w:val="0"/>
                  <w:marTop w:val="0"/>
                  <w:marBottom w:val="0"/>
                  <w:divBdr>
                    <w:top w:val="none" w:sz="0" w:space="0" w:color="auto"/>
                    <w:left w:val="none" w:sz="0" w:space="0" w:color="auto"/>
                    <w:bottom w:val="none" w:sz="0" w:space="0" w:color="auto"/>
                    <w:right w:val="none" w:sz="0" w:space="0" w:color="auto"/>
                  </w:divBdr>
                  <w:divsChild>
                    <w:div w:id="46533697">
                      <w:marLeft w:val="0"/>
                      <w:marRight w:val="0"/>
                      <w:marTop w:val="0"/>
                      <w:marBottom w:val="0"/>
                      <w:divBdr>
                        <w:top w:val="none" w:sz="0" w:space="0" w:color="auto"/>
                        <w:left w:val="none" w:sz="0" w:space="0" w:color="auto"/>
                        <w:bottom w:val="none" w:sz="0" w:space="0" w:color="auto"/>
                        <w:right w:val="none" w:sz="0" w:space="0" w:color="auto"/>
                      </w:divBdr>
                    </w:div>
                    <w:div w:id="893076428">
                      <w:marLeft w:val="0"/>
                      <w:marRight w:val="0"/>
                      <w:marTop w:val="0"/>
                      <w:marBottom w:val="0"/>
                      <w:divBdr>
                        <w:top w:val="none" w:sz="0" w:space="0" w:color="auto"/>
                        <w:left w:val="none" w:sz="0" w:space="0" w:color="auto"/>
                        <w:bottom w:val="none" w:sz="0" w:space="0" w:color="auto"/>
                        <w:right w:val="none" w:sz="0" w:space="0" w:color="auto"/>
                      </w:divBdr>
                    </w:div>
                  </w:divsChild>
                </w:div>
                <w:div w:id="497580490">
                  <w:marLeft w:val="0"/>
                  <w:marRight w:val="0"/>
                  <w:marTop w:val="0"/>
                  <w:marBottom w:val="0"/>
                  <w:divBdr>
                    <w:top w:val="none" w:sz="0" w:space="0" w:color="auto"/>
                    <w:left w:val="none" w:sz="0" w:space="0" w:color="auto"/>
                    <w:bottom w:val="none" w:sz="0" w:space="0" w:color="auto"/>
                    <w:right w:val="none" w:sz="0" w:space="0" w:color="auto"/>
                  </w:divBdr>
                  <w:divsChild>
                    <w:div w:id="787167143">
                      <w:marLeft w:val="0"/>
                      <w:marRight w:val="0"/>
                      <w:marTop w:val="0"/>
                      <w:marBottom w:val="0"/>
                      <w:divBdr>
                        <w:top w:val="none" w:sz="0" w:space="0" w:color="auto"/>
                        <w:left w:val="none" w:sz="0" w:space="0" w:color="auto"/>
                        <w:bottom w:val="none" w:sz="0" w:space="0" w:color="auto"/>
                        <w:right w:val="none" w:sz="0" w:space="0" w:color="auto"/>
                      </w:divBdr>
                    </w:div>
                  </w:divsChild>
                </w:div>
                <w:div w:id="505638007">
                  <w:marLeft w:val="0"/>
                  <w:marRight w:val="0"/>
                  <w:marTop w:val="0"/>
                  <w:marBottom w:val="0"/>
                  <w:divBdr>
                    <w:top w:val="none" w:sz="0" w:space="0" w:color="auto"/>
                    <w:left w:val="none" w:sz="0" w:space="0" w:color="auto"/>
                    <w:bottom w:val="none" w:sz="0" w:space="0" w:color="auto"/>
                    <w:right w:val="none" w:sz="0" w:space="0" w:color="auto"/>
                  </w:divBdr>
                  <w:divsChild>
                    <w:div w:id="1152677233">
                      <w:marLeft w:val="0"/>
                      <w:marRight w:val="0"/>
                      <w:marTop w:val="0"/>
                      <w:marBottom w:val="0"/>
                      <w:divBdr>
                        <w:top w:val="none" w:sz="0" w:space="0" w:color="auto"/>
                        <w:left w:val="none" w:sz="0" w:space="0" w:color="auto"/>
                        <w:bottom w:val="none" w:sz="0" w:space="0" w:color="auto"/>
                        <w:right w:val="none" w:sz="0" w:space="0" w:color="auto"/>
                      </w:divBdr>
                    </w:div>
                  </w:divsChild>
                </w:div>
                <w:div w:id="521480170">
                  <w:marLeft w:val="0"/>
                  <w:marRight w:val="0"/>
                  <w:marTop w:val="0"/>
                  <w:marBottom w:val="0"/>
                  <w:divBdr>
                    <w:top w:val="none" w:sz="0" w:space="0" w:color="auto"/>
                    <w:left w:val="none" w:sz="0" w:space="0" w:color="auto"/>
                    <w:bottom w:val="none" w:sz="0" w:space="0" w:color="auto"/>
                    <w:right w:val="none" w:sz="0" w:space="0" w:color="auto"/>
                  </w:divBdr>
                  <w:divsChild>
                    <w:div w:id="1662931337">
                      <w:marLeft w:val="0"/>
                      <w:marRight w:val="0"/>
                      <w:marTop w:val="0"/>
                      <w:marBottom w:val="0"/>
                      <w:divBdr>
                        <w:top w:val="none" w:sz="0" w:space="0" w:color="auto"/>
                        <w:left w:val="none" w:sz="0" w:space="0" w:color="auto"/>
                        <w:bottom w:val="none" w:sz="0" w:space="0" w:color="auto"/>
                        <w:right w:val="none" w:sz="0" w:space="0" w:color="auto"/>
                      </w:divBdr>
                    </w:div>
                  </w:divsChild>
                </w:div>
                <w:div w:id="525213002">
                  <w:marLeft w:val="0"/>
                  <w:marRight w:val="0"/>
                  <w:marTop w:val="0"/>
                  <w:marBottom w:val="0"/>
                  <w:divBdr>
                    <w:top w:val="none" w:sz="0" w:space="0" w:color="auto"/>
                    <w:left w:val="none" w:sz="0" w:space="0" w:color="auto"/>
                    <w:bottom w:val="none" w:sz="0" w:space="0" w:color="auto"/>
                    <w:right w:val="none" w:sz="0" w:space="0" w:color="auto"/>
                  </w:divBdr>
                  <w:divsChild>
                    <w:div w:id="1455977854">
                      <w:marLeft w:val="0"/>
                      <w:marRight w:val="0"/>
                      <w:marTop w:val="0"/>
                      <w:marBottom w:val="0"/>
                      <w:divBdr>
                        <w:top w:val="none" w:sz="0" w:space="0" w:color="auto"/>
                        <w:left w:val="none" w:sz="0" w:space="0" w:color="auto"/>
                        <w:bottom w:val="none" w:sz="0" w:space="0" w:color="auto"/>
                        <w:right w:val="none" w:sz="0" w:space="0" w:color="auto"/>
                      </w:divBdr>
                    </w:div>
                  </w:divsChild>
                </w:div>
                <w:div w:id="532690797">
                  <w:marLeft w:val="0"/>
                  <w:marRight w:val="0"/>
                  <w:marTop w:val="0"/>
                  <w:marBottom w:val="0"/>
                  <w:divBdr>
                    <w:top w:val="none" w:sz="0" w:space="0" w:color="auto"/>
                    <w:left w:val="none" w:sz="0" w:space="0" w:color="auto"/>
                    <w:bottom w:val="none" w:sz="0" w:space="0" w:color="auto"/>
                    <w:right w:val="none" w:sz="0" w:space="0" w:color="auto"/>
                  </w:divBdr>
                  <w:divsChild>
                    <w:div w:id="359169093">
                      <w:marLeft w:val="0"/>
                      <w:marRight w:val="0"/>
                      <w:marTop w:val="0"/>
                      <w:marBottom w:val="0"/>
                      <w:divBdr>
                        <w:top w:val="none" w:sz="0" w:space="0" w:color="auto"/>
                        <w:left w:val="none" w:sz="0" w:space="0" w:color="auto"/>
                        <w:bottom w:val="none" w:sz="0" w:space="0" w:color="auto"/>
                        <w:right w:val="none" w:sz="0" w:space="0" w:color="auto"/>
                      </w:divBdr>
                    </w:div>
                  </w:divsChild>
                </w:div>
                <w:div w:id="542597724">
                  <w:marLeft w:val="0"/>
                  <w:marRight w:val="0"/>
                  <w:marTop w:val="0"/>
                  <w:marBottom w:val="0"/>
                  <w:divBdr>
                    <w:top w:val="none" w:sz="0" w:space="0" w:color="auto"/>
                    <w:left w:val="none" w:sz="0" w:space="0" w:color="auto"/>
                    <w:bottom w:val="none" w:sz="0" w:space="0" w:color="auto"/>
                    <w:right w:val="none" w:sz="0" w:space="0" w:color="auto"/>
                  </w:divBdr>
                  <w:divsChild>
                    <w:div w:id="2051343364">
                      <w:marLeft w:val="0"/>
                      <w:marRight w:val="0"/>
                      <w:marTop w:val="0"/>
                      <w:marBottom w:val="0"/>
                      <w:divBdr>
                        <w:top w:val="none" w:sz="0" w:space="0" w:color="auto"/>
                        <w:left w:val="none" w:sz="0" w:space="0" w:color="auto"/>
                        <w:bottom w:val="none" w:sz="0" w:space="0" w:color="auto"/>
                        <w:right w:val="none" w:sz="0" w:space="0" w:color="auto"/>
                      </w:divBdr>
                    </w:div>
                  </w:divsChild>
                </w:div>
                <w:div w:id="543098320">
                  <w:marLeft w:val="0"/>
                  <w:marRight w:val="0"/>
                  <w:marTop w:val="0"/>
                  <w:marBottom w:val="0"/>
                  <w:divBdr>
                    <w:top w:val="none" w:sz="0" w:space="0" w:color="auto"/>
                    <w:left w:val="none" w:sz="0" w:space="0" w:color="auto"/>
                    <w:bottom w:val="none" w:sz="0" w:space="0" w:color="auto"/>
                    <w:right w:val="none" w:sz="0" w:space="0" w:color="auto"/>
                  </w:divBdr>
                  <w:divsChild>
                    <w:div w:id="628051204">
                      <w:marLeft w:val="0"/>
                      <w:marRight w:val="0"/>
                      <w:marTop w:val="0"/>
                      <w:marBottom w:val="0"/>
                      <w:divBdr>
                        <w:top w:val="none" w:sz="0" w:space="0" w:color="auto"/>
                        <w:left w:val="none" w:sz="0" w:space="0" w:color="auto"/>
                        <w:bottom w:val="none" w:sz="0" w:space="0" w:color="auto"/>
                        <w:right w:val="none" w:sz="0" w:space="0" w:color="auto"/>
                      </w:divBdr>
                    </w:div>
                  </w:divsChild>
                </w:div>
                <w:div w:id="552156340">
                  <w:marLeft w:val="0"/>
                  <w:marRight w:val="0"/>
                  <w:marTop w:val="0"/>
                  <w:marBottom w:val="0"/>
                  <w:divBdr>
                    <w:top w:val="none" w:sz="0" w:space="0" w:color="auto"/>
                    <w:left w:val="none" w:sz="0" w:space="0" w:color="auto"/>
                    <w:bottom w:val="none" w:sz="0" w:space="0" w:color="auto"/>
                    <w:right w:val="none" w:sz="0" w:space="0" w:color="auto"/>
                  </w:divBdr>
                  <w:divsChild>
                    <w:div w:id="978000769">
                      <w:marLeft w:val="0"/>
                      <w:marRight w:val="0"/>
                      <w:marTop w:val="0"/>
                      <w:marBottom w:val="0"/>
                      <w:divBdr>
                        <w:top w:val="none" w:sz="0" w:space="0" w:color="auto"/>
                        <w:left w:val="none" w:sz="0" w:space="0" w:color="auto"/>
                        <w:bottom w:val="none" w:sz="0" w:space="0" w:color="auto"/>
                        <w:right w:val="none" w:sz="0" w:space="0" w:color="auto"/>
                      </w:divBdr>
                    </w:div>
                  </w:divsChild>
                </w:div>
                <w:div w:id="562638783">
                  <w:marLeft w:val="0"/>
                  <w:marRight w:val="0"/>
                  <w:marTop w:val="0"/>
                  <w:marBottom w:val="0"/>
                  <w:divBdr>
                    <w:top w:val="none" w:sz="0" w:space="0" w:color="auto"/>
                    <w:left w:val="none" w:sz="0" w:space="0" w:color="auto"/>
                    <w:bottom w:val="none" w:sz="0" w:space="0" w:color="auto"/>
                    <w:right w:val="none" w:sz="0" w:space="0" w:color="auto"/>
                  </w:divBdr>
                  <w:divsChild>
                    <w:div w:id="936907791">
                      <w:marLeft w:val="0"/>
                      <w:marRight w:val="0"/>
                      <w:marTop w:val="0"/>
                      <w:marBottom w:val="0"/>
                      <w:divBdr>
                        <w:top w:val="none" w:sz="0" w:space="0" w:color="auto"/>
                        <w:left w:val="none" w:sz="0" w:space="0" w:color="auto"/>
                        <w:bottom w:val="none" w:sz="0" w:space="0" w:color="auto"/>
                        <w:right w:val="none" w:sz="0" w:space="0" w:color="auto"/>
                      </w:divBdr>
                    </w:div>
                  </w:divsChild>
                </w:div>
                <w:div w:id="568728695">
                  <w:marLeft w:val="0"/>
                  <w:marRight w:val="0"/>
                  <w:marTop w:val="0"/>
                  <w:marBottom w:val="0"/>
                  <w:divBdr>
                    <w:top w:val="none" w:sz="0" w:space="0" w:color="auto"/>
                    <w:left w:val="none" w:sz="0" w:space="0" w:color="auto"/>
                    <w:bottom w:val="none" w:sz="0" w:space="0" w:color="auto"/>
                    <w:right w:val="none" w:sz="0" w:space="0" w:color="auto"/>
                  </w:divBdr>
                  <w:divsChild>
                    <w:div w:id="291399418">
                      <w:marLeft w:val="0"/>
                      <w:marRight w:val="0"/>
                      <w:marTop w:val="0"/>
                      <w:marBottom w:val="0"/>
                      <w:divBdr>
                        <w:top w:val="none" w:sz="0" w:space="0" w:color="auto"/>
                        <w:left w:val="none" w:sz="0" w:space="0" w:color="auto"/>
                        <w:bottom w:val="none" w:sz="0" w:space="0" w:color="auto"/>
                        <w:right w:val="none" w:sz="0" w:space="0" w:color="auto"/>
                      </w:divBdr>
                    </w:div>
                  </w:divsChild>
                </w:div>
                <w:div w:id="591471520">
                  <w:marLeft w:val="0"/>
                  <w:marRight w:val="0"/>
                  <w:marTop w:val="0"/>
                  <w:marBottom w:val="0"/>
                  <w:divBdr>
                    <w:top w:val="none" w:sz="0" w:space="0" w:color="auto"/>
                    <w:left w:val="none" w:sz="0" w:space="0" w:color="auto"/>
                    <w:bottom w:val="none" w:sz="0" w:space="0" w:color="auto"/>
                    <w:right w:val="none" w:sz="0" w:space="0" w:color="auto"/>
                  </w:divBdr>
                  <w:divsChild>
                    <w:div w:id="10567732">
                      <w:marLeft w:val="0"/>
                      <w:marRight w:val="0"/>
                      <w:marTop w:val="0"/>
                      <w:marBottom w:val="0"/>
                      <w:divBdr>
                        <w:top w:val="none" w:sz="0" w:space="0" w:color="auto"/>
                        <w:left w:val="none" w:sz="0" w:space="0" w:color="auto"/>
                        <w:bottom w:val="none" w:sz="0" w:space="0" w:color="auto"/>
                        <w:right w:val="none" w:sz="0" w:space="0" w:color="auto"/>
                      </w:divBdr>
                    </w:div>
                  </w:divsChild>
                </w:div>
                <w:div w:id="594560128">
                  <w:marLeft w:val="0"/>
                  <w:marRight w:val="0"/>
                  <w:marTop w:val="0"/>
                  <w:marBottom w:val="0"/>
                  <w:divBdr>
                    <w:top w:val="none" w:sz="0" w:space="0" w:color="auto"/>
                    <w:left w:val="none" w:sz="0" w:space="0" w:color="auto"/>
                    <w:bottom w:val="none" w:sz="0" w:space="0" w:color="auto"/>
                    <w:right w:val="none" w:sz="0" w:space="0" w:color="auto"/>
                  </w:divBdr>
                  <w:divsChild>
                    <w:div w:id="116260965">
                      <w:marLeft w:val="0"/>
                      <w:marRight w:val="0"/>
                      <w:marTop w:val="0"/>
                      <w:marBottom w:val="0"/>
                      <w:divBdr>
                        <w:top w:val="none" w:sz="0" w:space="0" w:color="auto"/>
                        <w:left w:val="none" w:sz="0" w:space="0" w:color="auto"/>
                        <w:bottom w:val="none" w:sz="0" w:space="0" w:color="auto"/>
                        <w:right w:val="none" w:sz="0" w:space="0" w:color="auto"/>
                      </w:divBdr>
                    </w:div>
                  </w:divsChild>
                </w:div>
                <w:div w:id="620382259">
                  <w:marLeft w:val="0"/>
                  <w:marRight w:val="0"/>
                  <w:marTop w:val="0"/>
                  <w:marBottom w:val="0"/>
                  <w:divBdr>
                    <w:top w:val="none" w:sz="0" w:space="0" w:color="auto"/>
                    <w:left w:val="none" w:sz="0" w:space="0" w:color="auto"/>
                    <w:bottom w:val="none" w:sz="0" w:space="0" w:color="auto"/>
                    <w:right w:val="none" w:sz="0" w:space="0" w:color="auto"/>
                  </w:divBdr>
                  <w:divsChild>
                    <w:div w:id="1070884805">
                      <w:marLeft w:val="0"/>
                      <w:marRight w:val="0"/>
                      <w:marTop w:val="0"/>
                      <w:marBottom w:val="0"/>
                      <w:divBdr>
                        <w:top w:val="none" w:sz="0" w:space="0" w:color="auto"/>
                        <w:left w:val="none" w:sz="0" w:space="0" w:color="auto"/>
                        <w:bottom w:val="none" w:sz="0" w:space="0" w:color="auto"/>
                        <w:right w:val="none" w:sz="0" w:space="0" w:color="auto"/>
                      </w:divBdr>
                    </w:div>
                  </w:divsChild>
                </w:div>
                <w:div w:id="637224191">
                  <w:marLeft w:val="0"/>
                  <w:marRight w:val="0"/>
                  <w:marTop w:val="0"/>
                  <w:marBottom w:val="0"/>
                  <w:divBdr>
                    <w:top w:val="none" w:sz="0" w:space="0" w:color="auto"/>
                    <w:left w:val="none" w:sz="0" w:space="0" w:color="auto"/>
                    <w:bottom w:val="none" w:sz="0" w:space="0" w:color="auto"/>
                    <w:right w:val="none" w:sz="0" w:space="0" w:color="auto"/>
                  </w:divBdr>
                  <w:divsChild>
                    <w:div w:id="669912566">
                      <w:marLeft w:val="0"/>
                      <w:marRight w:val="0"/>
                      <w:marTop w:val="0"/>
                      <w:marBottom w:val="0"/>
                      <w:divBdr>
                        <w:top w:val="none" w:sz="0" w:space="0" w:color="auto"/>
                        <w:left w:val="none" w:sz="0" w:space="0" w:color="auto"/>
                        <w:bottom w:val="none" w:sz="0" w:space="0" w:color="auto"/>
                        <w:right w:val="none" w:sz="0" w:space="0" w:color="auto"/>
                      </w:divBdr>
                    </w:div>
                  </w:divsChild>
                </w:div>
                <w:div w:id="641883035">
                  <w:marLeft w:val="0"/>
                  <w:marRight w:val="0"/>
                  <w:marTop w:val="0"/>
                  <w:marBottom w:val="0"/>
                  <w:divBdr>
                    <w:top w:val="none" w:sz="0" w:space="0" w:color="auto"/>
                    <w:left w:val="none" w:sz="0" w:space="0" w:color="auto"/>
                    <w:bottom w:val="none" w:sz="0" w:space="0" w:color="auto"/>
                    <w:right w:val="none" w:sz="0" w:space="0" w:color="auto"/>
                  </w:divBdr>
                  <w:divsChild>
                    <w:div w:id="1148938455">
                      <w:marLeft w:val="0"/>
                      <w:marRight w:val="0"/>
                      <w:marTop w:val="0"/>
                      <w:marBottom w:val="0"/>
                      <w:divBdr>
                        <w:top w:val="none" w:sz="0" w:space="0" w:color="auto"/>
                        <w:left w:val="none" w:sz="0" w:space="0" w:color="auto"/>
                        <w:bottom w:val="none" w:sz="0" w:space="0" w:color="auto"/>
                        <w:right w:val="none" w:sz="0" w:space="0" w:color="auto"/>
                      </w:divBdr>
                    </w:div>
                  </w:divsChild>
                </w:div>
                <w:div w:id="655496428">
                  <w:marLeft w:val="0"/>
                  <w:marRight w:val="0"/>
                  <w:marTop w:val="0"/>
                  <w:marBottom w:val="0"/>
                  <w:divBdr>
                    <w:top w:val="none" w:sz="0" w:space="0" w:color="auto"/>
                    <w:left w:val="none" w:sz="0" w:space="0" w:color="auto"/>
                    <w:bottom w:val="none" w:sz="0" w:space="0" w:color="auto"/>
                    <w:right w:val="none" w:sz="0" w:space="0" w:color="auto"/>
                  </w:divBdr>
                  <w:divsChild>
                    <w:div w:id="2019185731">
                      <w:marLeft w:val="0"/>
                      <w:marRight w:val="0"/>
                      <w:marTop w:val="0"/>
                      <w:marBottom w:val="0"/>
                      <w:divBdr>
                        <w:top w:val="none" w:sz="0" w:space="0" w:color="auto"/>
                        <w:left w:val="none" w:sz="0" w:space="0" w:color="auto"/>
                        <w:bottom w:val="none" w:sz="0" w:space="0" w:color="auto"/>
                        <w:right w:val="none" w:sz="0" w:space="0" w:color="auto"/>
                      </w:divBdr>
                    </w:div>
                  </w:divsChild>
                </w:div>
                <w:div w:id="658651673">
                  <w:marLeft w:val="0"/>
                  <w:marRight w:val="0"/>
                  <w:marTop w:val="0"/>
                  <w:marBottom w:val="0"/>
                  <w:divBdr>
                    <w:top w:val="none" w:sz="0" w:space="0" w:color="auto"/>
                    <w:left w:val="none" w:sz="0" w:space="0" w:color="auto"/>
                    <w:bottom w:val="none" w:sz="0" w:space="0" w:color="auto"/>
                    <w:right w:val="none" w:sz="0" w:space="0" w:color="auto"/>
                  </w:divBdr>
                  <w:divsChild>
                    <w:div w:id="982546565">
                      <w:marLeft w:val="0"/>
                      <w:marRight w:val="0"/>
                      <w:marTop w:val="0"/>
                      <w:marBottom w:val="0"/>
                      <w:divBdr>
                        <w:top w:val="none" w:sz="0" w:space="0" w:color="auto"/>
                        <w:left w:val="none" w:sz="0" w:space="0" w:color="auto"/>
                        <w:bottom w:val="none" w:sz="0" w:space="0" w:color="auto"/>
                        <w:right w:val="none" w:sz="0" w:space="0" w:color="auto"/>
                      </w:divBdr>
                    </w:div>
                  </w:divsChild>
                </w:div>
                <w:div w:id="687482801">
                  <w:marLeft w:val="0"/>
                  <w:marRight w:val="0"/>
                  <w:marTop w:val="0"/>
                  <w:marBottom w:val="0"/>
                  <w:divBdr>
                    <w:top w:val="none" w:sz="0" w:space="0" w:color="auto"/>
                    <w:left w:val="none" w:sz="0" w:space="0" w:color="auto"/>
                    <w:bottom w:val="none" w:sz="0" w:space="0" w:color="auto"/>
                    <w:right w:val="none" w:sz="0" w:space="0" w:color="auto"/>
                  </w:divBdr>
                  <w:divsChild>
                    <w:div w:id="193887392">
                      <w:marLeft w:val="0"/>
                      <w:marRight w:val="0"/>
                      <w:marTop w:val="0"/>
                      <w:marBottom w:val="0"/>
                      <w:divBdr>
                        <w:top w:val="none" w:sz="0" w:space="0" w:color="auto"/>
                        <w:left w:val="none" w:sz="0" w:space="0" w:color="auto"/>
                        <w:bottom w:val="none" w:sz="0" w:space="0" w:color="auto"/>
                        <w:right w:val="none" w:sz="0" w:space="0" w:color="auto"/>
                      </w:divBdr>
                    </w:div>
                  </w:divsChild>
                </w:div>
                <w:div w:id="687636228">
                  <w:marLeft w:val="0"/>
                  <w:marRight w:val="0"/>
                  <w:marTop w:val="0"/>
                  <w:marBottom w:val="0"/>
                  <w:divBdr>
                    <w:top w:val="none" w:sz="0" w:space="0" w:color="auto"/>
                    <w:left w:val="none" w:sz="0" w:space="0" w:color="auto"/>
                    <w:bottom w:val="none" w:sz="0" w:space="0" w:color="auto"/>
                    <w:right w:val="none" w:sz="0" w:space="0" w:color="auto"/>
                  </w:divBdr>
                  <w:divsChild>
                    <w:div w:id="1724064912">
                      <w:marLeft w:val="0"/>
                      <w:marRight w:val="0"/>
                      <w:marTop w:val="0"/>
                      <w:marBottom w:val="0"/>
                      <w:divBdr>
                        <w:top w:val="none" w:sz="0" w:space="0" w:color="auto"/>
                        <w:left w:val="none" w:sz="0" w:space="0" w:color="auto"/>
                        <w:bottom w:val="none" w:sz="0" w:space="0" w:color="auto"/>
                        <w:right w:val="none" w:sz="0" w:space="0" w:color="auto"/>
                      </w:divBdr>
                    </w:div>
                  </w:divsChild>
                </w:div>
                <w:div w:id="719014060">
                  <w:marLeft w:val="0"/>
                  <w:marRight w:val="0"/>
                  <w:marTop w:val="0"/>
                  <w:marBottom w:val="0"/>
                  <w:divBdr>
                    <w:top w:val="none" w:sz="0" w:space="0" w:color="auto"/>
                    <w:left w:val="none" w:sz="0" w:space="0" w:color="auto"/>
                    <w:bottom w:val="none" w:sz="0" w:space="0" w:color="auto"/>
                    <w:right w:val="none" w:sz="0" w:space="0" w:color="auto"/>
                  </w:divBdr>
                  <w:divsChild>
                    <w:div w:id="636761306">
                      <w:marLeft w:val="0"/>
                      <w:marRight w:val="0"/>
                      <w:marTop w:val="0"/>
                      <w:marBottom w:val="0"/>
                      <w:divBdr>
                        <w:top w:val="none" w:sz="0" w:space="0" w:color="auto"/>
                        <w:left w:val="none" w:sz="0" w:space="0" w:color="auto"/>
                        <w:bottom w:val="none" w:sz="0" w:space="0" w:color="auto"/>
                        <w:right w:val="none" w:sz="0" w:space="0" w:color="auto"/>
                      </w:divBdr>
                    </w:div>
                  </w:divsChild>
                </w:div>
                <w:div w:id="733746320">
                  <w:marLeft w:val="0"/>
                  <w:marRight w:val="0"/>
                  <w:marTop w:val="0"/>
                  <w:marBottom w:val="0"/>
                  <w:divBdr>
                    <w:top w:val="none" w:sz="0" w:space="0" w:color="auto"/>
                    <w:left w:val="none" w:sz="0" w:space="0" w:color="auto"/>
                    <w:bottom w:val="none" w:sz="0" w:space="0" w:color="auto"/>
                    <w:right w:val="none" w:sz="0" w:space="0" w:color="auto"/>
                  </w:divBdr>
                  <w:divsChild>
                    <w:div w:id="1045373945">
                      <w:marLeft w:val="0"/>
                      <w:marRight w:val="0"/>
                      <w:marTop w:val="0"/>
                      <w:marBottom w:val="0"/>
                      <w:divBdr>
                        <w:top w:val="none" w:sz="0" w:space="0" w:color="auto"/>
                        <w:left w:val="none" w:sz="0" w:space="0" w:color="auto"/>
                        <w:bottom w:val="none" w:sz="0" w:space="0" w:color="auto"/>
                        <w:right w:val="none" w:sz="0" w:space="0" w:color="auto"/>
                      </w:divBdr>
                    </w:div>
                  </w:divsChild>
                </w:div>
                <w:div w:id="745803417">
                  <w:marLeft w:val="0"/>
                  <w:marRight w:val="0"/>
                  <w:marTop w:val="0"/>
                  <w:marBottom w:val="0"/>
                  <w:divBdr>
                    <w:top w:val="none" w:sz="0" w:space="0" w:color="auto"/>
                    <w:left w:val="none" w:sz="0" w:space="0" w:color="auto"/>
                    <w:bottom w:val="none" w:sz="0" w:space="0" w:color="auto"/>
                    <w:right w:val="none" w:sz="0" w:space="0" w:color="auto"/>
                  </w:divBdr>
                  <w:divsChild>
                    <w:div w:id="2130779736">
                      <w:marLeft w:val="0"/>
                      <w:marRight w:val="0"/>
                      <w:marTop w:val="0"/>
                      <w:marBottom w:val="0"/>
                      <w:divBdr>
                        <w:top w:val="none" w:sz="0" w:space="0" w:color="auto"/>
                        <w:left w:val="none" w:sz="0" w:space="0" w:color="auto"/>
                        <w:bottom w:val="none" w:sz="0" w:space="0" w:color="auto"/>
                        <w:right w:val="none" w:sz="0" w:space="0" w:color="auto"/>
                      </w:divBdr>
                    </w:div>
                  </w:divsChild>
                </w:div>
                <w:div w:id="745954459">
                  <w:marLeft w:val="0"/>
                  <w:marRight w:val="0"/>
                  <w:marTop w:val="0"/>
                  <w:marBottom w:val="0"/>
                  <w:divBdr>
                    <w:top w:val="none" w:sz="0" w:space="0" w:color="auto"/>
                    <w:left w:val="none" w:sz="0" w:space="0" w:color="auto"/>
                    <w:bottom w:val="none" w:sz="0" w:space="0" w:color="auto"/>
                    <w:right w:val="none" w:sz="0" w:space="0" w:color="auto"/>
                  </w:divBdr>
                  <w:divsChild>
                    <w:div w:id="1030762090">
                      <w:marLeft w:val="0"/>
                      <w:marRight w:val="0"/>
                      <w:marTop w:val="0"/>
                      <w:marBottom w:val="0"/>
                      <w:divBdr>
                        <w:top w:val="none" w:sz="0" w:space="0" w:color="auto"/>
                        <w:left w:val="none" w:sz="0" w:space="0" w:color="auto"/>
                        <w:bottom w:val="none" w:sz="0" w:space="0" w:color="auto"/>
                        <w:right w:val="none" w:sz="0" w:space="0" w:color="auto"/>
                      </w:divBdr>
                    </w:div>
                  </w:divsChild>
                </w:div>
                <w:div w:id="752091781">
                  <w:marLeft w:val="0"/>
                  <w:marRight w:val="0"/>
                  <w:marTop w:val="0"/>
                  <w:marBottom w:val="0"/>
                  <w:divBdr>
                    <w:top w:val="none" w:sz="0" w:space="0" w:color="auto"/>
                    <w:left w:val="none" w:sz="0" w:space="0" w:color="auto"/>
                    <w:bottom w:val="none" w:sz="0" w:space="0" w:color="auto"/>
                    <w:right w:val="none" w:sz="0" w:space="0" w:color="auto"/>
                  </w:divBdr>
                  <w:divsChild>
                    <w:div w:id="1716420077">
                      <w:marLeft w:val="0"/>
                      <w:marRight w:val="0"/>
                      <w:marTop w:val="0"/>
                      <w:marBottom w:val="0"/>
                      <w:divBdr>
                        <w:top w:val="none" w:sz="0" w:space="0" w:color="auto"/>
                        <w:left w:val="none" w:sz="0" w:space="0" w:color="auto"/>
                        <w:bottom w:val="none" w:sz="0" w:space="0" w:color="auto"/>
                        <w:right w:val="none" w:sz="0" w:space="0" w:color="auto"/>
                      </w:divBdr>
                    </w:div>
                  </w:divsChild>
                </w:div>
                <w:div w:id="756636973">
                  <w:marLeft w:val="0"/>
                  <w:marRight w:val="0"/>
                  <w:marTop w:val="0"/>
                  <w:marBottom w:val="0"/>
                  <w:divBdr>
                    <w:top w:val="none" w:sz="0" w:space="0" w:color="auto"/>
                    <w:left w:val="none" w:sz="0" w:space="0" w:color="auto"/>
                    <w:bottom w:val="none" w:sz="0" w:space="0" w:color="auto"/>
                    <w:right w:val="none" w:sz="0" w:space="0" w:color="auto"/>
                  </w:divBdr>
                  <w:divsChild>
                    <w:div w:id="302463104">
                      <w:marLeft w:val="0"/>
                      <w:marRight w:val="0"/>
                      <w:marTop w:val="0"/>
                      <w:marBottom w:val="0"/>
                      <w:divBdr>
                        <w:top w:val="none" w:sz="0" w:space="0" w:color="auto"/>
                        <w:left w:val="none" w:sz="0" w:space="0" w:color="auto"/>
                        <w:bottom w:val="none" w:sz="0" w:space="0" w:color="auto"/>
                        <w:right w:val="none" w:sz="0" w:space="0" w:color="auto"/>
                      </w:divBdr>
                    </w:div>
                  </w:divsChild>
                </w:div>
                <w:div w:id="777141996">
                  <w:marLeft w:val="0"/>
                  <w:marRight w:val="0"/>
                  <w:marTop w:val="0"/>
                  <w:marBottom w:val="0"/>
                  <w:divBdr>
                    <w:top w:val="none" w:sz="0" w:space="0" w:color="auto"/>
                    <w:left w:val="none" w:sz="0" w:space="0" w:color="auto"/>
                    <w:bottom w:val="none" w:sz="0" w:space="0" w:color="auto"/>
                    <w:right w:val="none" w:sz="0" w:space="0" w:color="auto"/>
                  </w:divBdr>
                  <w:divsChild>
                    <w:div w:id="48921857">
                      <w:marLeft w:val="0"/>
                      <w:marRight w:val="0"/>
                      <w:marTop w:val="0"/>
                      <w:marBottom w:val="0"/>
                      <w:divBdr>
                        <w:top w:val="none" w:sz="0" w:space="0" w:color="auto"/>
                        <w:left w:val="none" w:sz="0" w:space="0" w:color="auto"/>
                        <w:bottom w:val="none" w:sz="0" w:space="0" w:color="auto"/>
                        <w:right w:val="none" w:sz="0" w:space="0" w:color="auto"/>
                      </w:divBdr>
                    </w:div>
                  </w:divsChild>
                </w:div>
                <w:div w:id="778834211">
                  <w:marLeft w:val="0"/>
                  <w:marRight w:val="0"/>
                  <w:marTop w:val="0"/>
                  <w:marBottom w:val="0"/>
                  <w:divBdr>
                    <w:top w:val="none" w:sz="0" w:space="0" w:color="auto"/>
                    <w:left w:val="none" w:sz="0" w:space="0" w:color="auto"/>
                    <w:bottom w:val="none" w:sz="0" w:space="0" w:color="auto"/>
                    <w:right w:val="none" w:sz="0" w:space="0" w:color="auto"/>
                  </w:divBdr>
                  <w:divsChild>
                    <w:div w:id="1482850274">
                      <w:marLeft w:val="0"/>
                      <w:marRight w:val="0"/>
                      <w:marTop w:val="0"/>
                      <w:marBottom w:val="0"/>
                      <w:divBdr>
                        <w:top w:val="none" w:sz="0" w:space="0" w:color="auto"/>
                        <w:left w:val="none" w:sz="0" w:space="0" w:color="auto"/>
                        <w:bottom w:val="none" w:sz="0" w:space="0" w:color="auto"/>
                        <w:right w:val="none" w:sz="0" w:space="0" w:color="auto"/>
                      </w:divBdr>
                    </w:div>
                  </w:divsChild>
                </w:div>
                <w:div w:id="785197634">
                  <w:marLeft w:val="0"/>
                  <w:marRight w:val="0"/>
                  <w:marTop w:val="0"/>
                  <w:marBottom w:val="0"/>
                  <w:divBdr>
                    <w:top w:val="none" w:sz="0" w:space="0" w:color="auto"/>
                    <w:left w:val="none" w:sz="0" w:space="0" w:color="auto"/>
                    <w:bottom w:val="none" w:sz="0" w:space="0" w:color="auto"/>
                    <w:right w:val="none" w:sz="0" w:space="0" w:color="auto"/>
                  </w:divBdr>
                  <w:divsChild>
                    <w:div w:id="603733451">
                      <w:marLeft w:val="0"/>
                      <w:marRight w:val="0"/>
                      <w:marTop w:val="0"/>
                      <w:marBottom w:val="0"/>
                      <w:divBdr>
                        <w:top w:val="none" w:sz="0" w:space="0" w:color="auto"/>
                        <w:left w:val="none" w:sz="0" w:space="0" w:color="auto"/>
                        <w:bottom w:val="none" w:sz="0" w:space="0" w:color="auto"/>
                        <w:right w:val="none" w:sz="0" w:space="0" w:color="auto"/>
                      </w:divBdr>
                    </w:div>
                  </w:divsChild>
                </w:div>
                <w:div w:id="832642123">
                  <w:marLeft w:val="0"/>
                  <w:marRight w:val="0"/>
                  <w:marTop w:val="0"/>
                  <w:marBottom w:val="0"/>
                  <w:divBdr>
                    <w:top w:val="none" w:sz="0" w:space="0" w:color="auto"/>
                    <w:left w:val="none" w:sz="0" w:space="0" w:color="auto"/>
                    <w:bottom w:val="none" w:sz="0" w:space="0" w:color="auto"/>
                    <w:right w:val="none" w:sz="0" w:space="0" w:color="auto"/>
                  </w:divBdr>
                  <w:divsChild>
                    <w:div w:id="314144050">
                      <w:marLeft w:val="0"/>
                      <w:marRight w:val="0"/>
                      <w:marTop w:val="0"/>
                      <w:marBottom w:val="0"/>
                      <w:divBdr>
                        <w:top w:val="none" w:sz="0" w:space="0" w:color="auto"/>
                        <w:left w:val="none" w:sz="0" w:space="0" w:color="auto"/>
                        <w:bottom w:val="none" w:sz="0" w:space="0" w:color="auto"/>
                        <w:right w:val="none" w:sz="0" w:space="0" w:color="auto"/>
                      </w:divBdr>
                    </w:div>
                  </w:divsChild>
                </w:div>
                <w:div w:id="833569501">
                  <w:marLeft w:val="0"/>
                  <w:marRight w:val="0"/>
                  <w:marTop w:val="0"/>
                  <w:marBottom w:val="0"/>
                  <w:divBdr>
                    <w:top w:val="none" w:sz="0" w:space="0" w:color="auto"/>
                    <w:left w:val="none" w:sz="0" w:space="0" w:color="auto"/>
                    <w:bottom w:val="none" w:sz="0" w:space="0" w:color="auto"/>
                    <w:right w:val="none" w:sz="0" w:space="0" w:color="auto"/>
                  </w:divBdr>
                  <w:divsChild>
                    <w:div w:id="137114392">
                      <w:marLeft w:val="0"/>
                      <w:marRight w:val="0"/>
                      <w:marTop w:val="0"/>
                      <w:marBottom w:val="0"/>
                      <w:divBdr>
                        <w:top w:val="none" w:sz="0" w:space="0" w:color="auto"/>
                        <w:left w:val="none" w:sz="0" w:space="0" w:color="auto"/>
                        <w:bottom w:val="none" w:sz="0" w:space="0" w:color="auto"/>
                        <w:right w:val="none" w:sz="0" w:space="0" w:color="auto"/>
                      </w:divBdr>
                    </w:div>
                  </w:divsChild>
                </w:div>
                <w:div w:id="865409661">
                  <w:marLeft w:val="0"/>
                  <w:marRight w:val="0"/>
                  <w:marTop w:val="0"/>
                  <w:marBottom w:val="0"/>
                  <w:divBdr>
                    <w:top w:val="none" w:sz="0" w:space="0" w:color="auto"/>
                    <w:left w:val="none" w:sz="0" w:space="0" w:color="auto"/>
                    <w:bottom w:val="none" w:sz="0" w:space="0" w:color="auto"/>
                    <w:right w:val="none" w:sz="0" w:space="0" w:color="auto"/>
                  </w:divBdr>
                  <w:divsChild>
                    <w:div w:id="264659753">
                      <w:marLeft w:val="0"/>
                      <w:marRight w:val="0"/>
                      <w:marTop w:val="0"/>
                      <w:marBottom w:val="0"/>
                      <w:divBdr>
                        <w:top w:val="none" w:sz="0" w:space="0" w:color="auto"/>
                        <w:left w:val="none" w:sz="0" w:space="0" w:color="auto"/>
                        <w:bottom w:val="none" w:sz="0" w:space="0" w:color="auto"/>
                        <w:right w:val="none" w:sz="0" w:space="0" w:color="auto"/>
                      </w:divBdr>
                    </w:div>
                  </w:divsChild>
                </w:div>
                <w:div w:id="883907325">
                  <w:marLeft w:val="0"/>
                  <w:marRight w:val="0"/>
                  <w:marTop w:val="0"/>
                  <w:marBottom w:val="0"/>
                  <w:divBdr>
                    <w:top w:val="none" w:sz="0" w:space="0" w:color="auto"/>
                    <w:left w:val="none" w:sz="0" w:space="0" w:color="auto"/>
                    <w:bottom w:val="none" w:sz="0" w:space="0" w:color="auto"/>
                    <w:right w:val="none" w:sz="0" w:space="0" w:color="auto"/>
                  </w:divBdr>
                  <w:divsChild>
                    <w:div w:id="1959296530">
                      <w:marLeft w:val="0"/>
                      <w:marRight w:val="0"/>
                      <w:marTop w:val="0"/>
                      <w:marBottom w:val="0"/>
                      <w:divBdr>
                        <w:top w:val="none" w:sz="0" w:space="0" w:color="auto"/>
                        <w:left w:val="none" w:sz="0" w:space="0" w:color="auto"/>
                        <w:bottom w:val="none" w:sz="0" w:space="0" w:color="auto"/>
                        <w:right w:val="none" w:sz="0" w:space="0" w:color="auto"/>
                      </w:divBdr>
                    </w:div>
                  </w:divsChild>
                </w:div>
                <w:div w:id="910506190">
                  <w:marLeft w:val="0"/>
                  <w:marRight w:val="0"/>
                  <w:marTop w:val="0"/>
                  <w:marBottom w:val="0"/>
                  <w:divBdr>
                    <w:top w:val="none" w:sz="0" w:space="0" w:color="auto"/>
                    <w:left w:val="none" w:sz="0" w:space="0" w:color="auto"/>
                    <w:bottom w:val="none" w:sz="0" w:space="0" w:color="auto"/>
                    <w:right w:val="none" w:sz="0" w:space="0" w:color="auto"/>
                  </w:divBdr>
                  <w:divsChild>
                    <w:div w:id="2010062848">
                      <w:marLeft w:val="0"/>
                      <w:marRight w:val="0"/>
                      <w:marTop w:val="0"/>
                      <w:marBottom w:val="0"/>
                      <w:divBdr>
                        <w:top w:val="none" w:sz="0" w:space="0" w:color="auto"/>
                        <w:left w:val="none" w:sz="0" w:space="0" w:color="auto"/>
                        <w:bottom w:val="none" w:sz="0" w:space="0" w:color="auto"/>
                        <w:right w:val="none" w:sz="0" w:space="0" w:color="auto"/>
                      </w:divBdr>
                    </w:div>
                  </w:divsChild>
                </w:div>
                <w:div w:id="913390283">
                  <w:marLeft w:val="0"/>
                  <w:marRight w:val="0"/>
                  <w:marTop w:val="0"/>
                  <w:marBottom w:val="0"/>
                  <w:divBdr>
                    <w:top w:val="none" w:sz="0" w:space="0" w:color="auto"/>
                    <w:left w:val="none" w:sz="0" w:space="0" w:color="auto"/>
                    <w:bottom w:val="none" w:sz="0" w:space="0" w:color="auto"/>
                    <w:right w:val="none" w:sz="0" w:space="0" w:color="auto"/>
                  </w:divBdr>
                  <w:divsChild>
                    <w:div w:id="2067800398">
                      <w:marLeft w:val="0"/>
                      <w:marRight w:val="0"/>
                      <w:marTop w:val="0"/>
                      <w:marBottom w:val="0"/>
                      <w:divBdr>
                        <w:top w:val="none" w:sz="0" w:space="0" w:color="auto"/>
                        <w:left w:val="none" w:sz="0" w:space="0" w:color="auto"/>
                        <w:bottom w:val="none" w:sz="0" w:space="0" w:color="auto"/>
                        <w:right w:val="none" w:sz="0" w:space="0" w:color="auto"/>
                      </w:divBdr>
                    </w:div>
                  </w:divsChild>
                </w:div>
                <w:div w:id="934895885">
                  <w:marLeft w:val="0"/>
                  <w:marRight w:val="0"/>
                  <w:marTop w:val="0"/>
                  <w:marBottom w:val="0"/>
                  <w:divBdr>
                    <w:top w:val="none" w:sz="0" w:space="0" w:color="auto"/>
                    <w:left w:val="none" w:sz="0" w:space="0" w:color="auto"/>
                    <w:bottom w:val="none" w:sz="0" w:space="0" w:color="auto"/>
                    <w:right w:val="none" w:sz="0" w:space="0" w:color="auto"/>
                  </w:divBdr>
                  <w:divsChild>
                    <w:div w:id="428046776">
                      <w:marLeft w:val="0"/>
                      <w:marRight w:val="0"/>
                      <w:marTop w:val="0"/>
                      <w:marBottom w:val="0"/>
                      <w:divBdr>
                        <w:top w:val="none" w:sz="0" w:space="0" w:color="auto"/>
                        <w:left w:val="none" w:sz="0" w:space="0" w:color="auto"/>
                        <w:bottom w:val="none" w:sz="0" w:space="0" w:color="auto"/>
                        <w:right w:val="none" w:sz="0" w:space="0" w:color="auto"/>
                      </w:divBdr>
                    </w:div>
                  </w:divsChild>
                </w:div>
                <w:div w:id="944314310">
                  <w:marLeft w:val="0"/>
                  <w:marRight w:val="0"/>
                  <w:marTop w:val="0"/>
                  <w:marBottom w:val="0"/>
                  <w:divBdr>
                    <w:top w:val="none" w:sz="0" w:space="0" w:color="auto"/>
                    <w:left w:val="none" w:sz="0" w:space="0" w:color="auto"/>
                    <w:bottom w:val="none" w:sz="0" w:space="0" w:color="auto"/>
                    <w:right w:val="none" w:sz="0" w:space="0" w:color="auto"/>
                  </w:divBdr>
                  <w:divsChild>
                    <w:div w:id="9455619">
                      <w:marLeft w:val="0"/>
                      <w:marRight w:val="0"/>
                      <w:marTop w:val="0"/>
                      <w:marBottom w:val="0"/>
                      <w:divBdr>
                        <w:top w:val="none" w:sz="0" w:space="0" w:color="auto"/>
                        <w:left w:val="none" w:sz="0" w:space="0" w:color="auto"/>
                        <w:bottom w:val="none" w:sz="0" w:space="0" w:color="auto"/>
                        <w:right w:val="none" w:sz="0" w:space="0" w:color="auto"/>
                      </w:divBdr>
                    </w:div>
                  </w:divsChild>
                </w:div>
                <w:div w:id="944506653">
                  <w:marLeft w:val="0"/>
                  <w:marRight w:val="0"/>
                  <w:marTop w:val="0"/>
                  <w:marBottom w:val="0"/>
                  <w:divBdr>
                    <w:top w:val="none" w:sz="0" w:space="0" w:color="auto"/>
                    <w:left w:val="none" w:sz="0" w:space="0" w:color="auto"/>
                    <w:bottom w:val="none" w:sz="0" w:space="0" w:color="auto"/>
                    <w:right w:val="none" w:sz="0" w:space="0" w:color="auto"/>
                  </w:divBdr>
                  <w:divsChild>
                    <w:div w:id="1017344803">
                      <w:marLeft w:val="0"/>
                      <w:marRight w:val="0"/>
                      <w:marTop w:val="0"/>
                      <w:marBottom w:val="0"/>
                      <w:divBdr>
                        <w:top w:val="none" w:sz="0" w:space="0" w:color="auto"/>
                        <w:left w:val="none" w:sz="0" w:space="0" w:color="auto"/>
                        <w:bottom w:val="none" w:sz="0" w:space="0" w:color="auto"/>
                        <w:right w:val="none" w:sz="0" w:space="0" w:color="auto"/>
                      </w:divBdr>
                    </w:div>
                  </w:divsChild>
                </w:div>
                <w:div w:id="958224707">
                  <w:marLeft w:val="0"/>
                  <w:marRight w:val="0"/>
                  <w:marTop w:val="0"/>
                  <w:marBottom w:val="0"/>
                  <w:divBdr>
                    <w:top w:val="none" w:sz="0" w:space="0" w:color="auto"/>
                    <w:left w:val="none" w:sz="0" w:space="0" w:color="auto"/>
                    <w:bottom w:val="none" w:sz="0" w:space="0" w:color="auto"/>
                    <w:right w:val="none" w:sz="0" w:space="0" w:color="auto"/>
                  </w:divBdr>
                  <w:divsChild>
                    <w:div w:id="1711149159">
                      <w:marLeft w:val="0"/>
                      <w:marRight w:val="0"/>
                      <w:marTop w:val="0"/>
                      <w:marBottom w:val="0"/>
                      <w:divBdr>
                        <w:top w:val="none" w:sz="0" w:space="0" w:color="auto"/>
                        <w:left w:val="none" w:sz="0" w:space="0" w:color="auto"/>
                        <w:bottom w:val="none" w:sz="0" w:space="0" w:color="auto"/>
                        <w:right w:val="none" w:sz="0" w:space="0" w:color="auto"/>
                      </w:divBdr>
                    </w:div>
                  </w:divsChild>
                </w:div>
                <w:div w:id="960570297">
                  <w:marLeft w:val="0"/>
                  <w:marRight w:val="0"/>
                  <w:marTop w:val="0"/>
                  <w:marBottom w:val="0"/>
                  <w:divBdr>
                    <w:top w:val="none" w:sz="0" w:space="0" w:color="auto"/>
                    <w:left w:val="none" w:sz="0" w:space="0" w:color="auto"/>
                    <w:bottom w:val="none" w:sz="0" w:space="0" w:color="auto"/>
                    <w:right w:val="none" w:sz="0" w:space="0" w:color="auto"/>
                  </w:divBdr>
                  <w:divsChild>
                    <w:div w:id="2017492632">
                      <w:marLeft w:val="0"/>
                      <w:marRight w:val="0"/>
                      <w:marTop w:val="0"/>
                      <w:marBottom w:val="0"/>
                      <w:divBdr>
                        <w:top w:val="none" w:sz="0" w:space="0" w:color="auto"/>
                        <w:left w:val="none" w:sz="0" w:space="0" w:color="auto"/>
                        <w:bottom w:val="none" w:sz="0" w:space="0" w:color="auto"/>
                        <w:right w:val="none" w:sz="0" w:space="0" w:color="auto"/>
                      </w:divBdr>
                    </w:div>
                  </w:divsChild>
                </w:div>
                <w:div w:id="967472012">
                  <w:marLeft w:val="0"/>
                  <w:marRight w:val="0"/>
                  <w:marTop w:val="0"/>
                  <w:marBottom w:val="0"/>
                  <w:divBdr>
                    <w:top w:val="none" w:sz="0" w:space="0" w:color="auto"/>
                    <w:left w:val="none" w:sz="0" w:space="0" w:color="auto"/>
                    <w:bottom w:val="none" w:sz="0" w:space="0" w:color="auto"/>
                    <w:right w:val="none" w:sz="0" w:space="0" w:color="auto"/>
                  </w:divBdr>
                  <w:divsChild>
                    <w:div w:id="1522087191">
                      <w:marLeft w:val="0"/>
                      <w:marRight w:val="0"/>
                      <w:marTop w:val="0"/>
                      <w:marBottom w:val="0"/>
                      <w:divBdr>
                        <w:top w:val="none" w:sz="0" w:space="0" w:color="auto"/>
                        <w:left w:val="none" w:sz="0" w:space="0" w:color="auto"/>
                        <w:bottom w:val="none" w:sz="0" w:space="0" w:color="auto"/>
                        <w:right w:val="none" w:sz="0" w:space="0" w:color="auto"/>
                      </w:divBdr>
                    </w:div>
                  </w:divsChild>
                </w:div>
                <w:div w:id="974718964">
                  <w:marLeft w:val="0"/>
                  <w:marRight w:val="0"/>
                  <w:marTop w:val="0"/>
                  <w:marBottom w:val="0"/>
                  <w:divBdr>
                    <w:top w:val="none" w:sz="0" w:space="0" w:color="auto"/>
                    <w:left w:val="none" w:sz="0" w:space="0" w:color="auto"/>
                    <w:bottom w:val="none" w:sz="0" w:space="0" w:color="auto"/>
                    <w:right w:val="none" w:sz="0" w:space="0" w:color="auto"/>
                  </w:divBdr>
                  <w:divsChild>
                    <w:div w:id="1862889995">
                      <w:marLeft w:val="0"/>
                      <w:marRight w:val="0"/>
                      <w:marTop w:val="0"/>
                      <w:marBottom w:val="0"/>
                      <w:divBdr>
                        <w:top w:val="none" w:sz="0" w:space="0" w:color="auto"/>
                        <w:left w:val="none" w:sz="0" w:space="0" w:color="auto"/>
                        <w:bottom w:val="none" w:sz="0" w:space="0" w:color="auto"/>
                        <w:right w:val="none" w:sz="0" w:space="0" w:color="auto"/>
                      </w:divBdr>
                    </w:div>
                  </w:divsChild>
                </w:div>
                <w:div w:id="978725779">
                  <w:marLeft w:val="0"/>
                  <w:marRight w:val="0"/>
                  <w:marTop w:val="0"/>
                  <w:marBottom w:val="0"/>
                  <w:divBdr>
                    <w:top w:val="none" w:sz="0" w:space="0" w:color="auto"/>
                    <w:left w:val="none" w:sz="0" w:space="0" w:color="auto"/>
                    <w:bottom w:val="none" w:sz="0" w:space="0" w:color="auto"/>
                    <w:right w:val="none" w:sz="0" w:space="0" w:color="auto"/>
                  </w:divBdr>
                  <w:divsChild>
                    <w:div w:id="1113944250">
                      <w:marLeft w:val="0"/>
                      <w:marRight w:val="0"/>
                      <w:marTop w:val="0"/>
                      <w:marBottom w:val="0"/>
                      <w:divBdr>
                        <w:top w:val="none" w:sz="0" w:space="0" w:color="auto"/>
                        <w:left w:val="none" w:sz="0" w:space="0" w:color="auto"/>
                        <w:bottom w:val="none" w:sz="0" w:space="0" w:color="auto"/>
                        <w:right w:val="none" w:sz="0" w:space="0" w:color="auto"/>
                      </w:divBdr>
                    </w:div>
                  </w:divsChild>
                </w:div>
                <w:div w:id="988948681">
                  <w:marLeft w:val="0"/>
                  <w:marRight w:val="0"/>
                  <w:marTop w:val="0"/>
                  <w:marBottom w:val="0"/>
                  <w:divBdr>
                    <w:top w:val="none" w:sz="0" w:space="0" w:color="auto"/>
                    <w:left w:val="none" w:sz="0" w:space="0" w:color="auto"/>
                    <w:bottom w:val="none" w:sz="0" w:space="0" w:color="auto"/>
                    <w:right w:val="none" w:sz="0" w:space="0" w:color="auto"/>
                  </w:divBdr>
                  <w:divsChild>
                    <w:div w:id="1275018165">
                      <w:marLeft w:val="0"/>
                      <w:marRight w:val="0"/>
                      <w:marTop w:val="0"/>
                      <w:marBottom w:val="0"/>
                      <w:divBdr>
                        <w:top w:val="none" w:sz="0" w:space="0" w:color="auto"/>
                        <w:left w:val="none" w:sz="0" w:space="0" w:color="auto"/>
                        <w:bottom w:val="none" w:sz="0" w:space="0" w:color="auto"/>
                        <w:right w:val="none" w:sz="0" w:space="0" w:color="auto"/>
                      </w:divBdr>
                    </w:div>
                  </w:divsChild>
                </w:div>
                <w:div w:id="990670583">
                  <w:marLeft w:val="0"/>
                  <w:marRight w:val="0"/>
                  <w:marTop w:val="0"/>
                  <w:marBottom w:val="0"/>
                  <w:divBdr>
                    <w:top w:val="none" w:sz="0" w:space="0" w:color="auto"/>
                    <w:left w:val="none" w:sz="0" w:space="0" w:color="auto"/>
                    <w:bottom w:val="none" w:sz="0" w:space="0" w:color="auto"/>
                    <w:right w:val="none" w:sz="0" w:space="0" w:color="auto"/>
                  </w:divBdr>
                  <w:divsChild>
                    <w:div w:id="1209993191">
                      <w:marLeft w:val="0"/>
                      <w:marRight w:val="0"/>
                      <w:marTop w:val="0"/>
                      <w:marBottom w:val="0"/>
                      <w:divBdr>
                        <w:top w:val="none" w:sz="0" w:space="0" w:color="auto"/>
                        <w:left w:val="none" w:sz="0" w:space="0" w:color="auto"/>
                        <w:bottom w:val="none" w:sz="0" w:space="0" w:color="auto"/>
                        <w:right w:val="none" w:sz="0" w:space="0" w:color="auto"/>
                      </w:divBdr>
                    </w:div>
                  </w:divsChild>
                </w:div>
                <w:div w:id="1007635683">
                  <w:marLeft w:val="0"/>
                  <w:marRight w:val="0"/>
                  <w:marTop w:val="0"/>
                  <w:marBottom w:val="0"/>
                  <w:divBdr>
                    <w:top w:val="none" w:sz="0" w:space="0" w:color="auto"/>
                    <w:left w:val="none" w:sz="0" w:space="0" w:color="auto"/>
                    <w:bottom w:val="none" w:sz="0" w:space="0" w:color="auto"/>
                    <w:right w:val="none" w:sz="0" w:space="0" w:color="auto"/>
                  </w:divBdr>
                  <w:divsChild>
                    <w:div w:id="1035497401">
                      <w:marLeft w:val="0"/>
                      <w:marRight w:val="0"/>
                      <w:marTop w:val="0"/>
                      <w:marBottom w:val="0"/>
                      <w:divBdr>
                        <w:top w:val="none" w:sz="0" w:space="0" w:color="auto"/>
                        <w:left w:val="none" w:sz="0" w:space="0" w:color="auto"/>
                        <w:bottom w:val="none" w:sz="0" w:space="0" w:color="auto"/>
                        <w:right w:val="none" w:sz="0" w:space="0" w:color="auto"/>
                      </w:divBdr>
                    </w:div>
                  </w:divsChild>
                </w:div>
                <w:div w:id="1010185337">
                  <w:marLeft w:val="0"/>
                  <w:marRight w:val="0"/>
                  <w:marTop w:val="0"/>
                  <w:marBottom w:val="0"/>
                  <w:divBdr>
                    <w:top w:val="none" w:sz="0" w:space="0" w:color="auto"/>
                    <w:left w:val="none" w:sz="0" w:space="0" w:color="auto"/>
                    <w:bottom w:val="none" w:sz="0" w:space="0" w:color="auto"/>
                    <w:right w:val="none" w:sz="0" w:space="0" w:color="auto"/>
                  </w:divBdr>
                  <w:divsChild>
                    <w:div w:id="1154833453">
                      <w:marLeft w:val="0"/>
                      <w:marRight w:val="0"/>
                      <w:marTop w:val="0"/>
                      <w:marBottom w:val="0"/>
                      <w:divBdr>
                        <w:top w:val="none" w:sz="0" w:space="0" w:color="auto"/>
                        <w:left w:val="none" w:sz="0" w:space="0" w:color="auto"/>
                        <w:bottom w:val="none" w:sz="0" w:space="0" w:color="auto"/>
                        <w:right w:val="none" w:sz="0" w:space="0" w:color="auto"/>
                      </w:divBdr>
                    </w:div>
                  </w:divsChild>
                </w:div>
                <w:div w:id="1020472766">
                  <w:marLeft w:val="0"/>
                  <w:marRight w:val="0"/>
                  <w:marTop w:val="0"/>
                  <w:marBottom w:val="0"/>
                  <w:divBdr>
                    <w:top w:val="none" w:sz="0" w:space="0" w:color="auto"/>
                    <w:left w:val="none" w:sz="0" w:space="0" w:color="auto"/>
                    <w:bottom w:val="none" w:sz="0" w:space="0" w:color="auto"/>
                    <w:right w:val="none" w:sz="0" w:space="0" w:color="auto"/>
                  </w:divBdr>
                  <w:divsChild>
                    <w:div w:id="611715905">
                      <w:marLeft w:val="0"/>
                      <w:marRight w:val="0"/>
                      <w:marTop w:val="0"/>
                      <w:marBottom w:val="0"/>
                      <w:divBdr>
                        <w:top w:val="none" w:sz="0" w:space="0" w:color="auto"/>
                        <w:left w:val="none" w:sz="0" w:space="0" w:color="auto"/>
                        <w:bottom w:val="none" w:sz="0" w:space="0" w:color="auto"/>
                        <w:right w:val="none" w:sz="0" w:space="0" w:color="auto"/>
                      </w:divBdr>
                    </w:div>
                  </w:divsChild>
                </w:div>
                <w:div w:id="1030960679">
                  <w:marLeft w:val="0"/>
                  <w:marRight w:val="0"/>
                  <w:marTop w:val="0"/>
                  <w:marBottom w:val="0"/>
                  <w:divBdr>
                    <w:top w:val="none" w:sz="0" w:space="0" w:color="auto"/>
                    <w:left w:val="none" w:sz="0" w:space="0" w:color="auto"/>
                    <w:bottom w:val="none" w:sz="0" w:space="0" w:color="auto"/>
                    <w:right w:val="none" w:sz="0" w:space="0" w:color="auto"/>
                  </w:divBdr>
                  <w:divsChild>
                    <w:div w:id="1427921140">
                      <w:marLeft w:val="0"/>
                      <w:marRight w:val="0"/>
                      <w:marTop w:val="0"/>
                      <w:marBottom w:val="0"/>
                      <w:divBdr>
                        <w:top w:val="none" w:sz="0" w:space="0" w:color="auto"/>
                        <w:left w:val="none" w:sz="0" w:space="0" w:color="auto"/>
                        <w:bottom w:val="none" w:sz="0" w:space="0" w:color="auto"/>
                        <w:right w:val="none" w:sz="0" w:space="0" w:color="auto"/>
                      </w:divBdr>
                    </w:div>
                  </w:divsChild>
                </w:div>
                <w:div w:id="1031684504">
                  <w:marLeft w:val="0"/>
                  <w:marRight w:val="0"/>
                  <w:marTop w:val="0"/>
                  <w:marBottom w:val="0"/>
                  <w:divBdr>
                    <w:top w:val="none" w:sz="0" w:space="0" w:color="auto"/>
                    <w:left w:val="none" w:sz="0" w:space="0" w:color="auto"/>
                    <w:bottom w:val="none" w:sz="0" w:space="0" w:color="auto"/>
                    <w:right w:val="none" w:sz="0" w:space="0" w:color="auto"/>
                  </w:divBdr>
                  <w:divsChild>
                    <w:div w:id="144322381">
                      <w:marLeft w:val="0"/>
                      <w:marRight w:val="0"/>
                      <w:marTop w:val="0"/>
                      <w:marBottom w:val="0"/>
                      <w:divBdr>
                        <w:top w:val="none" w:sz="0" w:space="0" w:color="auto"/>
                        <w:left w:val="none" w:sz="0" w:space="0" w:color="auto"/>
                        <w:bottom w:val="none" w:sz="0" w:space="0" w:color="auto"/>
                        <w:right w:val="none" w:sz="0" w:space="0" w:color="auto"/>
                      </w:divBdr>
                    </w:div>
                  </w:divsChild>
                </w:div>
                <w:div w:id="1032805063">
                  <w:marLeft w:val="0"/>
                  <w:marRight w:val="0"/>
                  <w:marTop w:val="0"/>
                  <w:marBottom w:val="0"/>
                  <w:divBdr>
                    <w:top w:val="none" w:sz="0" w:space="0" w:color="auto"/>
                    <w:left w:val="none" w:sz="0" w:space="0" w:color="auto"/>
                    <w:bottom w:val="none" w:sz="0" w:space="0" w:color="auto"/>
                    <w:right w:val="none" w:sz="0" w:space="0" w:color="auto"/>
                  </w:divBdr>
                  <w:divsChild>
                    <w:div w:id="1940020359">
                      <w:marLeft w:val="0"/>
                      <w:marRight w:val="0"/>
                      <w:marTop w:val="0"/>
                      <w:marBottom w:val="0"/>
                      <w:divBdr>
                        <w:top w:val="none" w:sz="0" w:space="0" w:color="auto"/>
                        <w:left w:val="none" w:sz="0" w:space="0" w:color="auto"/>
                        <w:bottom w:val="none" w:sz="0" w:space="0" w:color="auto"/>
                        <w:right w:val="none" w:sz="0" w:space="0" w:color="auto"/>
                      </w:divBdr>
                    </w:div>
                  </w:divsChild>
                </w:div>
                <w:div w:id="1055003866">
                  <w:marLeft w:val="0"/>
                  <w:marRight w:val="0"/>
                  <w:marTop w:val="0"/>
                  <w:marBottom w:val="0"/>
                  <w:divBdr>
                    <w:top w:val="none" w:sz="0" w:space="0" w:color="auto"/>
                    <w:left w:val="none" w:sz="0" w:space="0" w:color="auto"/>
                    <w:bottom w:val="none" w:sz="0" w:space="0" w:color="auto"/>
                    <w:right w:val="none" w:sz="0" w:space="0" w:color="auto"/>
                  </w:divBdr>
                  <w:divsChild>
                    <w:div w:id="284165355">
                      <w:marLeft w:val="0"/>
                      <w:marRight w:val="0"/>
                      <w:marTop w:val="0"/>
                      <w:marBottom w:val="0"/>
                      <w:divBdr>
                        <w:top w:val="none" w:sz="0" w:space="0" w:color="auto"/>
                        <w:left w:val="none" w:sz="0" w:space="0" w:color="auto"/>
                        <w:bottom w:val="none" w:sz="0" w:space="0" w:color="auto"/>
                        <w:right w:val="none" w:sz="0" w:space="0" w:color="auto"/>
                      </w:divBdr>
                    </w:div>
                  </w:divsChild>
                </w:div>
                <w:div w:id="1062216409">
                  <w:marLeft w:val="0"/>
                  <w:marRight w:val="0"/>
                  <w:marTop w:val="0"/>
                  <w:marBottom w:val="0"/>
                  <w:divBdr>
                    <w:top w:val="none" w:sz="0" w:space="0" w:color="auto"/>
                    <w:left w:val="none" w:sz="0" w:space="0" w:color="auto"/>
                    <w:bottom w:val="none" w:sz="0" w:space="0" w:color="auto"/>
                    <w:right w:val="none" w:sz="0" w:space="0" w:color="auto"/>
                  </w:divBdr>
                  <w:divsChild>
                    <w:div w:id="1561093829">
                      <w:marLeft w:val="0"/>
                      <w:marRight w:val="0"/>
                      <w:marTop w:val="0"/>
                      <w:marBottom w:val="0"/>
                      <w:divBdr>
                        <w:top w:val="none" w:sz="0" w:space="0" w:color="auto"/>
                        <w:left w:val="none" w:sz="0" w:space="0" w:color="auto"/>
                        <w:bottom w:val="none" w:sz="0" w:space="0" w:color="auto"/>
                        <w:right w:val="none" w:sz="0" w:space="0" w:color="auto"/>
                      </w:divBdr>
                    </w:div>
                  </w:divsChild>
                </w:div>
                <w:div w:id="1065107329">
                  <w:marLeft w:val="0"/>
                  <w:marRight w:val="0"/>
                  <w:marTop w:val="0"/>
                  <w:marBottom w:val="0"/>
                  <w:divBdr>
                    <w:top w:val="none" w:sz="0" w:space="0" w:color="auto"/>
                    <w:left w:val="none" w:sz="0" w:space="0" w:color="auto"/>
                    <w:bottom w:val="none" w:sz="0" w:space="0" w:color="auto"/>
                    <w:right w:val="none" w:sz="0" w:space="0" w:color="auto"/>
                  </w:divBdr>
                  <w:divsChild>
                    <w:div w:id="1491098268">
                      <w:marLeft w:val="0"/>
                      <w:marRight w:val="0"/>
                      <w:marTop w:val="0"/>
                      <w:marBottom w:val="0"/>
                      <w:divBdr>
                        <w:top w:val="none" w:sz="0" w:space="0" w:color="auto"/>
                        <w:left w:val="none" w:sz="0" w:space="0" w:color="auto"/>
                        <w:bottom w:val="none" w:sz="0" w:space="0" w:color="auto"/>
                        <w:right w:val="none" w:sz="0" w:space="0" w:color="auto"/>
                      </w:divBdr>
                    </w:div>
                  </w:divsChild>
                </w:div>
                <w:div w:id="1065496581">
                  <w:marLeft w:val="0"/>
                  <w:marRight w:val="0"/>
                  <w:marTop w:val="0"/>
                  <w:marBottom w:val="0"/>
                  <w:divBdr>
                    <w:top w:val="none" w:sz="0" w:space="0" w:color="auto"/>
                    <w:left w:val="none" w:sz="0" w:space="0" w:color="auto"/>
                    <w:bottom w:val="none" w:sz="0" w:space="0" w:color="auto"/>
                    <w:right w:val="none" w:sz="0" w:space="0" w:color="auto"/>
                  </w:divBdr>
                  <w:divsChild>
                    <w:div w:id="687218098">
                      <w:marLeft w:val="0"/>
                      <w:marRight w:val="0"/>
                      <w:marTop w:val="0"/>
                      <w:marBottom w:val="0"/>
                      <w:divBdr>
                        <w:top w:val="none" w:sz="0" w:space="0" w:color="auto"/>
                        <w:left w:val="none" w:sz="0" w:space="0" w:color="auto"/>
                        <w:bottom w:val="none" w:sz="0" w:space="0" w:color="auto"/>
                        <w:right w:val="none" w:sz="0" w:space="0" w:color="auto"/>
                      </w:divBdr>
                    </w:div>
                  </w:divsChild>
                </w:div>
                <w:div w:id="1091123867">
                  <w:marLeft w:val="0"/>
                  <w:marRight w:val="0"/>
                  <w:marTop w:val="0"/>
                  <w:marBottom w:val="0"/>
                  <w:divBdr>
                    <w:top w:val="none" w:sz="0" w:space="0" w:color="auto"/>
                    <w:left w:val="none" w:sz="0" w:space="0" w:color="auto"/>
                    <w:bottom w:val="none" w:sz="0" w:space="0" w:color="auto"/>
                    <w:right w:val="none" w:sz="0" w:space="0" w:color="auto"/>
                  </w:divBdr>
                  <w:divsChild>
                    <w:div w:id="504323894">
                      <w:marLeft w:val="0"/>
                      <w:marRight w:val="0"/>
                      <w:marTop w:val="0"/>
                      <w:marBottom w:val="0"/>
                      <w:divBdr>
                        <w:top w:val="none" w:sz="0" w:space="0" w:color="auto"/>
                        <w:left w:val="none" w:sz="0" w:space="0" w:color="auto"/>
                        <w:bottom w:val="none" w:sz="0" w:space="0" w:color="auto"/>
                        <w:right w:val="none" w:sz="0" w:space="0" w:color="auto"/>
                      </w:divBdr>
                    </w:div>
                  </w:divsChild>
                </w:div>
                <w:div w:id="1098719241">
                  <w:marLeft w:val="0"/>
                  <w:marRight w:val="0"/>
                  <w:marTop w:val="0"/>
                  <w:marBottom w:val="0"/>
                  <w:divBdr>
                    <w:top w:val="none" w:sz="0" w:space="0" w:color="auto"/>
                    <w:left w:val="none" w:sz="0" w:space="0" w:color="auto"/>
                    <w:bottom w:val="none" w:sz="0" w:space="0" w:color="auto"/>
                    <w:right w:val="none" w:sz="0" w:space="0" w:color="auto"/>
                  </w:divBdr>
                  <w:divsChild>
                    <w:div w:id="1231968210">
                      <w:marLeft w:val="0"/>
                      <w:marRight w:val="0"/>
                      <w:marTop w:val="0"/>
                      <w:marBottom w:val="0"/>
                      <w:divBdr>
                        <w:top w:val="none" w:sz="0" w:space="0" w:color="auto"/>
                        <w:left w:val="none" w:sz="0" w:space="0" w:color="auto"/>
                        <w:bottom w:val="none" w:sz="0" w:space="0" w:color="auto"/>
                        <w:right w:val="none" w:sz="0" w:space="0" w:color="auto"/>
                      </w:divBdr>
                    </w:div>
                  </w:divsChild>
                </w:div>
                <w:div w:id="1125809336">
                  <w:marLeft w:val="0"/>
                  <w:marRight w:val="0"/>
                  <w:marTop w:val="0"/>
                  <w:marBottom w:val="0"/>
                  <w:divBdr>
                    <w:top w:val="none" w:sz="0" w:space="0" w:color="auto"/>
                    <w:left w:val="none" w:sz="0" w:space="0" w:color="auto"/>
                    <w:bottom w:val="none" w:sz="0" w:space="0" w:color="auto"/>
                    <w:right w:val="none" w:sz="0" w:space="0" w:color="auto"/>
                  </w:divBdr>
                  <w:divsChild>
                    <w:div w:id="67114685">
                      <w:marLeft w:val="0"/>
                      <w:marRight w:val="0"/>
                      <w:marTop w:val="0"/>
                      <w:marBottom w:val="0"/>
                      <w:divBdr>
                        <w:top w:val="none" w:sz="0" w:space="0" w:color="auto"/>
                        <w:left w:val="none" w:sz="0" w:space="0" w:color="auto"/>
                        <w:bottom w:val="none" w:sz="0" w:space="0" w:color="auto"/>
                        <w:right w:val="none" w:sz="0" w:space="0" w:color="auto"/>
                      </w:divBdr>
                    </w:div>
                    <w:div w:id="106773631">
                      <w:marLeft w:val="0"/>
                      <w:marRight w:val="0"/>
                      <w:marTop w:val="0"/>
                      <w:marBottom w:val="0"/>
                      <w:divBdr>
                        <w:top w:val="none" w:sz="0" w:space="0" w:color="auto"/>
                        <w:left w:val="none" w:sz="0" w:space="0" w:color="auto"/>
                        <w:bottom w:val="none" w:sz="0" w:space="0" w:color="auto"/>
                        <w:right w:val="none" w:sz="0" w:space="0" w:color="auto"/>
                      </w:divBdr>
                    </w:div>
                    <w:div w:id="270548951">
                      <w:marLeft w:val="0"/>
                      <w:marRight w:val="0"/>
                      <w:marTop w:val="0"/>
                      <w:marBottom w:val="0"/>
                      <w:divBdr>
                        <w:top w:val="none" w:sz="0" w:space="0" w:color="auto"/>
                        <w:left w:val="none" w:sz="0" w:space="0" w:color="auto"/>
                        <w:bottom w:val="none" w:sz="0" w:space="0" w:color="auto"/>
                        <w:right w:val="none" w:sz="0" w:space="0" w:color="auto"/>
                      </w:divBdr>
                    </w:div>
                    <w:div w:id="911086046">
                      <w:marLeft w:val="0"/>
                      <w:marRight w:val="0"/>
                      <w:marTop w:val="0"/>
                      <w:marBottom w:val="0"/>
                      <w:divBdr>
                        <w:top w:val="none" w:sz="0" w:space="0" w:color="auto"/>
                        <w:left w:val="none" w:sz="0" w:space="0" w:color="auto"/>
                        <w:bottom w:val="none" w:sz="0" w:space="0" w:color="auto"/>
                        <w:right w:val="none" w:sz="0" w:space="0" w:color="auto"/>
                      </w:divBdr>
                    </w:div>
                    <w:div w:id="1732270594">
                      <w:marLeft w:val="0"/>
                      <w:marRight w:val="0"/>
                      <w:marTop w:val="0"/>
                      <w:marBottom w:val="0"/>
                      <w:divBdr>
                        <w:top w:val="none" w:sz="0" w:space="0" w:color="auto"/>
                        <w:left w:val="none" w:sz="0" w:space="0" w:color="auto"/>
                        <w:bottom w:val="none" w:sz="0" w:space="0" w:color="auto"/>
                        <w:right w:val="none" w:sz="0" w:space="0" w:color="auto"/>
                      </w:divBdr>
                    </w:div>
                    <w:div w:id="1755013893">
                      <w:marLeft w:val="0"/>
                      <w:marRight w:val="0"/>
                      <w:marTop w:val="0"/>
                      <w:marBottom w:val="0"/>
                      <w:divBdr>
                        <w:top w:val="none" w:sz="0" w:space="0" w:color="auto"/>
                        <w:left w:val="none" w:sz="0" w:space="0" w:color="auto"/>
                        <w:bottom w:val="none" w:sz="0" w:space="0" w:color="auto"/>
                        <w:right w:val="none" w:sz="0" w:space="0" w:color="auto"/>
                      </w:divBdr>
                    </w:div>
                    <w:div w:id="1821998995">
                      <w:marLeft w:val="0"/>
                      <w:marRight w:val="0"/>
                      <w:marTop w:val="0"/>
                      <w:marBottom w:val="0"/>
                      <w:divBdr>
                        <w:top w:val="none" w:sz="0" w:space="0" w:color="auto"/>
                        <w:left w:val="none" w:sz="0" w:space="0" w:color="auto"/>
                        <w:bottom w:val="none" w:sz="0" w:space="0" w:color="auto"/>
                        <w:right w:val="none" w:sz="0" w:space="0" w:color="auto"/>
                      </w:divBdr>
                    </w:div>
                    <w:div w:id="2080050470">
                      <w:marLeft w:val="0"/>
                      <w:marRight w:val="0"/>
                      <w:marTop w:val="0"/>
                      <w:marBottom w:val="0"/>
                      <w:divBdr>
                        <w:top w:val="none" w:sz="0" w:space="0" w:color="auto"/>
                        <w:left w:val="none" w:sz="0" w:space="0" w:color="auto"/>
                        <w:bottom w:val="none" w:sz="0" w:space="0" w:color="auto"/>
                        <w:right w:val="none" w:sz="0" w:space="0" w:color="auto"/>
                      </w:divBdr>
                    </w:div>
                  </w:divsChild>
                </w:div>
                <w:div w:id="1161584048">
                  <w:marLeft w:val="0"/>
                  <w:marRight w:val="0"/>
                  <w:marTop w:val="0"/>
                  <w:marBottom w:val="0"/>
                  <w:divBdr>
                    <w:top w:val="none" w:sz="0" w:space="0" w:color="auto"/>
                    <w:left w:val="none" w:sz="0" w:space="0" w:color="auto"/>
                    <w:bottom w:val="none" w:sz="0" w:space="0" w:color="auto"/>
                    <w:right w:val="none" w:sz="0" w:space="0" w:color="auto"/>
                  </w:divBdr>
                  <w:divsChild>
                    <w:div w:id="324670287">
                      <w:marLeft w:val="0"/>
                      <w:marRight w:val="0"/>
                      <w:marTop w:val="0"/>
                      <w:marBottom w:val="0"/>
                      <w:divBdr>
                        <w:top w:val="none" w:sz="0" w:space="0" w:color="auto"/>
                        <w:left w:val="none" w:sz="0" w:space="0" w:color="auto"/>
                        <w:bottom w:val="none" w:sz="0" w:space="0" w:color="auto"/>
                        <w:right w:val="none" w:sz="0" w:space="0" w:color="auto"/>
                      </w:divBdr>
                    </w:div>
                  </w:divsChild>
                </w:div>
                <w:div w:id="1168132375">
                  <w:marLeft w:val="0"/>
                  <w:marRight w:val="0"/>
                  <w:marTop w:val="0"/>
                  <w:marBottom w:val="0"/>
                  <w:divBdr>
                    <w:top w:val="none" w:sz="0" w:space="0" w:color="auto"/>
                    <w:left w:val="none" w:sz="0" w:space="0" w:color="auto"/>
                    <w:bottom w:val="none" w:sz="0" w:space="0" w:color="auto"/>
                    <w:right w:val="none" w:sz="0" w:space="0" w:color="auto"/>
                  </w:divBdr>
                  <w:divsChild>
                    <w:div w:id="661158158">
                      <w:marLeft w:val="0"/>
                      <w:marRight w:val="0"/>
                      <w:marTop w:val="0"/>
                      <w:marBottom w:val="0"/>
                      <w:divBdr>
                        <w:top w:val="none" w:sz="0" w:space="0" w:color="auto"/>
                        <w:left w:val="none" w:sz="0" w:space="0" w:color="auto"/>
                        <w:bottom w:val="none" w:sz="0" w:space="0" w:color="auto"/>
                        <w:right w:val="none" w:sz="0" w:space="0" w:color="auto"/>
                      </w:divBdr>
                    </w:div>
                  </w:divsChild>
                </w:div>
                <w:div w:id="1184394407">
                  <w:marLeft w:val="0"/>
                  <w:marRight w:val="0"/>
                  <w:marTop w:val="0"/>
                  <w:marBottom w:val="0"/>
                  <w:divBdr>
                    <w:top w:val="none" w:sz="0" w:space="0" w:color="auto"/>
                    <w:left w:val="none" w:sz="0" w:space="0" w:color="auto"/>
                    <w:bottom w:val="none" w:sz="0" w:space="0" w:color="auto"/>
                    <w:right w:val="none" w:sz="0" w:space="0" w:color="auto"/>
                  </w:divBdr>
                  <w:divsChild>
                    <w:div w:id="251201761">
                      <w:marLeft w:val="0"/>
                      <w:marRight w:val="0"/>
                      <w:marTop w:val="0"/>
                      <w:marBottom w:val="0"/>
                      <w:divBdr>
                        <w:top w:val="none" w:sz="0" w:space="0" w:color="auto"/>
                        <w:left w:val="none" w:sz="0" w:space="0" w:color="auto"/>
                        <w:bottom w:val="none" w:sz="0" w:space="0" w:color="auto"/>
                        <w:right w:val="none" w:sz="0" w:space="0" w:color="auto"/>
                      </w:divBdr>
                    </w:div>
                    <w:div w:id="503982178">
                      <w:marLeft w:val="0"/>
                      <w:marRight w:val="0"/>
                      <w:marTop w:val="0"/>
                      <w:marBottom w:val="0"/>
                      <w:divBdr>
                        <w:top w:val="none" w:sz="0" w:space="0" w:color="auto"/>
                        <w:left w:val="none" w:sz="0" w:space="0" w:color="auto"/>
                        <w:bottom w:val="none" w:sz="0" w:space="0" w:color="auto"/>
                        <w:right w:val="none" w:sz="0" w:space="0" w:color="auto"/>
                      </w:divBdr>
                    </w:div>
                    <w:div w:id="540678987">
                      <w:marLeft w:val="0"/>
                      <w:marRight w:val="0"/>
                      <w:marTop w:val="0"/>
                      <w:marBottom w:val="0"/>
                      <w:divBdr>
                        <w:top w:val="none" w:sz="0" w:space="0" w:color="auto"/>
                        <w:left w:val="none" w:sz="0" w:space="0" w:color="auto"/>
                        <w:bottom w:val="none" w:sz="0" w:space="0" w:color="auto"/>
                        <w:right w:val="none" w:sz="0" w:space="0" w:color="auto"/>
                      </w:divBdr>
                    </w:div>
                    <w:div w:id="1323318249">
                      <w:marLeft w:val="0"/>
                      <w:marRight w:val="0"/>
                      <w:marTop w:val="0"/>
                      <w:marBottom w:val="0"/>
                      <w:divBdr>
                        <w:top w:val="none" w:sz="0" w:space="0" w:color="auto"/>
                        <w:left w:val="none" w:sz="0" w:space="0" w:color="auto"/>
                        <w:bottom w:val="none" w:sz="0" w:space="0" w:color="auto"/>
                        <w:right w:val="none" w:sz="0" w:space="0" w:color="auto"/>
                      </w:divBdr>
                    </w:div>
                    <w:div w:id="1395932267">
                      <w:marLeft w:val="0"/>
                      <w:marRight w:val="0"/>
                      <w:marTop w:val="0"/>
                      <w:marBottom w:val="0"/>
                      <w:divBdr>
                        <w:top w:val="none" w:sz="0" w:space="0" w:color="auto"/>
                        <w:left w:val="none" w:sz="0" w:space="0" w:color="auto"/>
                        <w:bottom w:val="none" w:sz="0" w:space="0" w:color="auto"/>
                        <w:right w:val="none" w:sz="0" w:space="0" w:color="auto"/>
                      </w:divBdr>
                    </w:div>
                    <w:div w:id="2092266371">
                      <w:marLeft w:val="0"/>
                      <w:marRight w:val="0"/>
                      <w:marTop w:val="0"/>
                      <w:marBottom w:val="0"/>
                      <w:divBdr>
                        <w:top w:val="none" w:sz="0" w:space="0" w:color="auto"/>
                        <w:left w:val="none" w:sz="0" w:space="0" w:color="auto"/>
                        <w:bottom w:val="none" w:sz="0" w:space="0" w:color="auto"/>
                        <w:right w:val="none" w:sz="0" w:space="0" w:color="auto"/>
                      </w:divBdr>
                    </w:div>
                    <w:div w:id="2144417995">
                      <w:marLeft w:val="0"/>
                      <w:marRight w:val="0"/>
                      <w:marTop w:val="0"/>
                      <w:marBottom w:val="0"/>
                      <w:divBdr>
                        <w:top w:val="none" w:sz="0" w:space="0" w:color="auto"/>
                        <w:left w:val="none" w:sz="0" w:space="0" w:color="auto"/>
                        <w:bottom w:val="none" w:sz="0" w:space="0" w:color="auto"/>
                        <w:right w:val="none" w:sz="0" w:space="0" w:color="auto"/>
                      </w:divBdr>
                    </w:div>
                  </w:divsChild>
                </w:div>
                <w:div w:id="1192375882">
                  <w:marLeft w:val="0"/>
                  <w:marRight w:val="0"/>
                  <w:marTop w:val="0"/>
                  <w:marBottom w:val="0"/>
                  <w:divBdr>
                    <w:top w:val="none" w:sz="0" w:space="0" w:color="auto"/>
                    <w:left w:val="none" w:sz="0" w:space="0" w:color="auto"/>
                    <w:bottom w:val="none" w:sz="0" w:space="0" w:color="auto"/>
                    <w:right w:val="none" w:sz="0" w:space="0" w:color="auto"/>
                  </w:divBdr>
                  <w:divsChild>
                    <w:div w:id="973830861">
                      <w:marLeft w:val="0"/>
                      <w:marRight w:val="0"/>
                      <w:marTop w:val="0"/>
                      <w:marBottom w:val="0"/>
                      <w:divBdr>
                        <w:top w:val="none" w:sz="0" w:space="0" w:color="auto"/>
                        <w:left w:val="none" w:sz="0" w:space="0" w:color="auto"/>
                        <w:bottom w:val="none" w:sz="0" w:space="0" w:color="auto"/>
                        <w:right w:val="none" w:sz="0" w:space="0" w:color="auto"/>
                      </w:divBdr>
                    </w:div>
                  </w:divsChild>
                </w:div>
                <w:div w:id="1219783763">
                  <w:marLeft w:val="0"/>
                  <w:marRight w:val="0"/>
                  <w:marTop w:val="0"/>
                  <w:marBottom w:val="0"/>
                  <w:divBdr>
                    <w:top w:val="none" w:sz="0" w:space="0" w:color="auto"/>
                    <w:left w:val="none" w:sz="0" w:space="0" w:color="auto"/>
                    <w:bottom w:val="none" w:sz="0" w:space="0" w:color="auto"/>
                    <w:right w:val="none" w:sz="0" w:space="0" w:color="auto"/>
                  </w:divBdr>
                  <w:divsChild>
                    <w:div w:id="244609353">
                      <w:marLeft w:val="0"/>
                      <w:marRight w:val="0"/>
                      <w:marTop w:val="0"/>
                      <w:marBottom w:val="0"/>
                      <w:divBdr>
                        <w:top w:val="none" w:sz="0" w:space="0" w:color="auto"/>
                        <w:left w:val="none" w:sz="0" w:space="0" w:color="auto"/>
                        <w:bottom w:val="none" w:sz="0" w:space="0" w:color="auto"/>
                        <w:right w:val="none" w:sz="0" w:space="0" w:color="auto"/>
                      </w:divBdr>
                    </w:div>
                    <w:div w:id="430704002">
                      <w:marLeft w:val="0"/>
                      <w:marRight w:val="0"/>
                      <w:marTop w:val="0"/>
                      <w:marBottom w:val="0"/>
                      <w:divBdr>
                        <w:top w:val="none" w:sz="0" w:space="0" w:color="auto"/>
                        <w:left w:val="none" w:sz="0" w:space="0" w:color="auto"/>
                        <w:bottom w:val="none" w:sz="0" w:space="0" w:color="auto"/>
                        <w:right w:val="none" w:sz="0" w:space="0" w:color="auto"/>
                      </w:divBdr>
                    </w:div>
                    <w:div w:id="687096139">
                      <w:marLeft w:val="0"/>
                      <w:marRight w:val="0"/>
                      <w:marTop w:val="0"/>
                      <w:marBottom w:val="0"/>
                      <w:divBdr>
                        <w:top w:val="none" w:sz="0" w:space="0" w:color="auto"/>
                        <w:left w:val="none" w:sz="0" w:space="0" w:color="auto"/>
                        <w:bottom w:val="none" w:sz="0" w:space="0" w:color="auto"/>
                        <w:right w:val="none" w:sz="0" w:space="0" w:color="auto"/>
                      </w:divBdr>
                    </w:div>
                    <w:div w:id="729620695">
                      <w:marLeft w:val="0"/>
                      <w:marRight w:val="0"/>
                      <w:marTop w:val="0"/>
                      <w:marBottom w:val="0"/>
                      <w:divBdr>
                        <w:top w:val="none" w:sz="0" w:space="0" w:color="auto"/>
                        <w:left w:val="none" w:sz="0" w:space="0" w:color="auto"/>
                        <w:bottom w:val="none" w:sz="0" w:space="0" w:color="auto"/>
                        <w:right w:val="none" w:sz="0" w:space="0" w:color="auto"/>
                      </w:divBdr>
                    </w:div>
                    <w:div w:id="1103262335">
                      <w:marLeft w:val="0"/>
                      <w:marRight w:val="0"/>
                      <w:marTop w:val="0"/>
                      <w:marBottom w:val="0"/>
                      <w:divBdr>
                        <w:top w:val="none" w:sz="0" w:space="0" w:color="auto"/>
                        <w:left w:val="none" w:sz="0" w:space="0" w:color="auto"/>
                        <w:bottom w:val="none" w:sz="0" w:space="0" w:color="auto"/>
                        <w:right w:val="none" w:sz="0" w:space="0" w:color="auto"/>
                      </w:divBdr>
                    </w:div>
                    <w:div w:id="1717123417">
                      <w:marLeft w:val="0"/>
                      <w:marRight w:val="0"/>
                      <w:marTop w:val="0"/>
                      <w:marBottom w:val="0"/>
                      <w:divBdr>
                        <w:top w:val="none" w:sz="0" w:space="0" w:color="auto"/>
                        <w:left w:val="none" w:sz="0" w:space="0" w:color="auto"/>
                        <w:bottom w:val="none" w:sz="0" w:space="0" w:color="auto"/>
                        <w:right w:val="none" w:sz="0" w:space="0" w:color="auto"/>
                      </w:divBdr>
                    </w:div>
                    <w:div w:id="2049257786">
                      <w:marLeft w:val="0"/>
                      <w:marRight w:val="0"/>
                      <w:marTop w:val="0"/>
                      <w:marBottom w:val="0"/>
                      <w:divBdr>
                        <w:top w:val="none" w:sz="0" w:space="0" w:color="auto"/>
                        <w:left w:val="none" w:sz="0" w:space="0" w:color="auto"/>
                        <w:bottom w:val="none" w:sz="0" w:space="0" w:color="auto"/>
                        <w:right w:val="none" w:sz="0" w:space="0" w:color="auto"/>
                      </w:divBdr>
                    </w:div>
                  </w:divsChild>
                </w:div>
                <w:div w:id="1227960585">
                  <w:marLeft w:val="0"/>
                  <w:marRight w:val="0"/>
                  <w:marTop w:val="0"/>
                  <w:marBottom w:val="0"/>
                  <w:divBdr>
                    <w:top w:val="none" w:sz="0" w:space="0" w:color="auto"/>
                    <w:left w:val="none" w:sz="0" w:space="0" w:color="auto"/>
                    <w:bottom w:val="none" w:sz="0" w:space="0" w:color="auto"/>
                    <w:right w:val="none" w:sz="0" w:space="0" w:color="auto"/>
                  </w:divBdr>
                  <w:divsChild>
                    <w:div w:id="7562482">
                      <w:marLeft w:val="0"/>
                      <w:marRight w:val="0"/>
                      <w:marTop w:val="0"/>
                      <w:marBottom w:val="0"/>
                      <w:divBdr>
                        <w:top w:val="none" w:sz="0" w:space="0" w:color="auto"/>
                        <w:left w:val="none" w:sz="0" w:space="0" w:color="auto"/>
                        <w:bottom w:val="none" w:sz="0" w:space="0" w:color="auto"/>
                        <w:right w:val="none" w:sz="0" w:space="0" w:color="auto"/>
                      </w:divBdr>
                    </w:div>
                  </w:divsChild>
                </w:div>
                <w:div w:id="1242639005">
                  <w:marLeft w:val="0"/>
                  <w:marRight w:val="0"/>
                  <w:marTop w:val="0"/>
                  <w:marBottom w:val="0"/>
                  <w:divBdr>
                    <w:top w:val="none" w:sz="0" w:space="0" w:color="auto"/>
                    <w:left w:val="none" w:sz="0" w:space="0" w:color="auto"/>
                    <w:bottom w:val="none" w:sz="0" w:space="0" w:color="auto"/>
                    <w:right w:val="none" w:sz="0" w:space="0" w:color="auto"/>
                  </w:divBdr>
                  <w:divsChild>
                    <w:div w:id="1275753065">
                      <w:marLeft w:val="0"/>
                      <w:marRight w:val="0"/>
                      <w:marTop w:val="0"/>
                      <w:marBottom w:val="0"/>
                      <w:divBdr>
                        <w:top w:val="none" w:sz="0" w:space="0" w:color="auto"/>
                        <w:left w:val="none" w:sz="0" w:space="0" w:color="auto"/>
                        <w:bottom w:val="none" w:sz="0" w:space="0" w:color="auto"/>
                        <w:right w:val="none" w:sz="0" w:space="0" w:color="auto"/>
                      </w:divBdr>
                    </w:div>
                  </w:divsChild>
                </w:div>
                <w:div w:id="1254047866">
                  <w:marLeft w:val="0"/>
                  <w:marRight w:val="0"/>
                  <w:marTop w:val="0"/>
                  <w:marBottom w:val="0"/>
                  <w:divBdr>
                    <w:top w:val="none" w:sz="0" w:space="0" w:color="auto"/>
                    <w:left w:val="none" w:sz="0" w:space="0" w:color="auto"/>
                    <w:bottom w:val="none" w:sz="0" w:space="0" w:color="auto"/>
                    <w:right w:val="none" w:sz="0" w:space="0" w:color="auto"/>
                  </w:divBdr>
                  <w:divsChild>
                    <w:div w:id="1987398333">
                      <w:marLeft w:val="0"/>
                      <w:marRight w:val="0"/>
                      <w:marTop w:val="0"/>
                      <w:marBottom w:val="0"/>
                      <w:divBdr>
                        <w:top w:val="none" w:sz="0" w:space="0" w:color="auto"/>
                        <w:left w:val="none" w:sz="0" w:space="0" w:color="auto"/>
                        <w:bottom w:val="none" w:sz="0" w:space="0" w:color="auto"/>
                        <w:right w:val="none" w:sz="0" w:space="0" w:color="auto"/>
                      </w:divBdr>
                    </w:div>
                  </w:divsChild>
                </w:div>
                <w:div w:id="1260259978">
                  <w:marLeft w:val="0"/>
                  <w:marRight w:val="0"/>
                  <w:marTop w:val="0"/>
                  <w:marBottom w:val="0"/>
                  <w:divBdr>
                    <w:top w:val="none" w:sz="0" w:space="0" w:color="auto"/>
                    <w:left w:val="none" w:sz="0" w:space="0" w:color="auto"/>
                    <w:bottom w:val="none" w:sz="0" w:space="0" w:color="auto"/>
                    <w:right w:val="none" w:sz="0" w:space="0" w:color="auto"/>
                  </w:divBdr>
                  <w:divsChild>
                    <w:div w:id="1883398586">
                      <w:marLeft w:val="0"/>
                      <w:marRight w:val="0"/>
                      <w:marTop w:val="0"/>
                      <w:marBottom w:val="0"/>
                      <w:divBdr>
                        <w:top w:val="none" w:sz="0" w:space="0" w:color="auto"/>
                        <w:left w:val="none" w:sz="0" w:space="0" w:color="auto"/>
                        <w:bottom w:val="none" w:sz="0" w:space="0" w:color="auto"/>
                        <w:right w:val="none" w:sz="0" w:space="0" w:color="auto"/>
                      </w:divBdr>
                    </w:div>
                  </w:divsChild>
                </w:div>
                <w:div w:id="1263801011">
                  <w:marLeft w:val="0"/>
                  <w:marRight w:val="0"/>
                  <w:marTop w:val="0"/>
                  <w:marBottom w:val="0"/>
                  <w:divBdr>
                    <w:top w:val="none" w:sz="0" w:space="0" w:color="auto"/>
                    <w:left w:val="none" w:sz="0" w:space="0" w:color="auto"/>
                    <w:bottom w:val="none" w:sz="0" w:space="0" w:color="auto"/>
                    <w:right w:val="none" w:sz="0" w:space="0" w:color="auto"/>
                  </w:divBdr>
                  <w:divsChild>
                    <w:div w:id="242953925">
                      <w:marLeft w:val="0"/>
                      <w:marRight w:val="0"/>
                      <w:marTop w:val="0"/>
                      <w:marBottom w:val="0"/>
                      <w:divBdr>
                        <w:top w:val="none" w:sz="0" w:space="0" w:color="auto"/>
                        <w:left w:val="none" w:sz="0" w:space="0" w:color="auto"/>
                        <w:bottom w:val="none" w:sz="0" w:space="0" w:color="auto"/>
                        <w:right w:val="none" w:sz="0" w:space="0" w:color="auto"/>
                      </w:divBdr>
                    </w:div>
                  </w:divsChild>
                </w:div>
                <w:div w:id="1268152943">
                  <w:marLeft w:val="0"/>
                  <w:marRight w:val="0"/>
                  <w:marTop w:val="0"/>
                  <w:marBottom w:val="0"/>
                  <w:divBdr>
                    <w:top w:val="none" w:sz="0" w:space="0" w:color="auto"/>
                    <w:left w:val="none" w:sz="0" w:space="0" w:color="auto"/>
                    <w:bottom w:val="none" w:sz="0" w:space="0" w:color="auto"/>
                    <w:right w:val="none" w:sz="0" w:space="0" w:color="auto"/>
                  </w:divBdr>
                  <w:divsChild>
                    <w:div w:id="46808307">
                      <w:marLeft w:val="0"/>
                      <w:marRight w:val="0"/>
                      <w:marTop w:val="0"/>
                      <w:marBottom w:val="0"/>
                      <w:divBdr>
                        <w:top w:val="none" w:sz="0" w:space="0" w:color="auto"/>
                        <w:left w:val="none" w:sz="0" w:space="0" w:color="auto"/>
                        <w:bottom w:val="none" w:sz="0" w:space="0" w:color="auto"/>
                        <w:right w:val="none" w:sz="0" w:space="0" w:color="auto"/>
                      </w:divBdr>
                    </w:div>
                    <w:div w:id="682244277">
                      <w:marLeft w:val="0"/>
                      <w:marRight w:val="0"/>
                      <w:marTop w:val="0"/>
                      <w:marBottom w:val="0"/>
                      <w:divBdr>
                        <w:top w:val="none" w:sz="0" w:space="0" w:color="auto"/>
                        <w:left w:val="none" w:sz="0" w:space="0" w:color="auto"/>
                        <w:bottom w:val="none" w:sz="0" w:space="0" w:color="auto"/>
                        <w:right w:val="none" w:sz="0" w:space="0" w:color="auto"/>
                      </w:divBdr>
                    </w:div>
                    <w:div w:id="1167788276">
                      <w:marLeft w:val="0"/>
                      <w:marRight w:val="0"/>
                      <w:marTop w:val="0"/>
                      <w:marBottom w:val="0"/>
                      <w:divBdr>
                        <w:top w:val="none" w:sz="0" w:space="0" w:color="auto"/>
                        <w:left w:val="none" w:sz="0" w:space="0" w:color="auto"/>
                        <w:bottom w:val="none" w:sz="0" w:space="0" w:color="auto"/>
                        <w:right w:val="none" w:sz="0" w:space="0" w:color="auto"/>
                      </w:divBdr>
                    </w:div>
                    <w:div w:id="1419519063">
                      <w:marLeft w:val="0"/>
                      <w:marRight w:val="0"/>
                      <w:marTop w:val="0"/>
                      <w:marBottom w:val="0"/>
                      <w:divBdr>
                        <w:top w:val="none" w:sz="0" w:space="0" w:color="auto"/>
                        <w:left w:val="none" w:sz="0" w:space="0" w:color="auto"/>
                        <w:bottom w:val="none" w:sz="0" w:space="0" w:color="auto"/>
                        <w:right w:val="none" w:sz="0" w:space="0" w:color="auto"/>
                      </w:divBdr>
                    </w:div>
                    <w:div w:id="1615867532">
                      <w:marLeft w:val="0"/>
                      <w:marRight w:val="0"/>
                      <w:marTop w:val="0"/>
                      <w:marBottom w:val="0"/>
                      <w:divBdr>
                        <w:top w:val="none" w:sz="0" w:space="0" w:color="auto"/>
                        <w:left w:val="none" w:sz="0" w:space="0" w:color="auto"/>
                        <w:bottom w:val="none" w:sz="0" w:space="0" w:color="auto"/>
                        <w:right w:val="none" w:sz="0" w:space="0" w:color="auto"/>
                      </w:divBdr>
                    </w:div>
                    <w:div w:id="1955207008">
                      <w:marLeft w:val="0"/>
                      <w:marRight w:val="0"/>
                      <w:marTop w:val="0"/>
                      <w:marBottom w:val="0"/>
                      <w:divBdr>
                        <w:top w:val="none" w:sz="0" w:space="0" w:color="auto"/>
                        <w:left w:val="none" w:sz="0" w:space="0" w:color="auto"/>
                        <w:bottom w:val="none" w:sz="0" w:space="0" w:color="auto"/>
                        <w:right w:val="none" w:sz="0" w:space="0" w:color="auto"/>
                      </w:divBdr>
                    </w:div>
                  </w:divsChild>
                </w:div>
                <w:div w:id="1268587157">
                  <w:marLeft w:val="0"/>
                  <w:marRight w:val="0"/>
                  <w:marTop w:val="0"/>
                  <w:marBottom w:val="0"/>
                  <w:divBdr>
                    <w:top w:val="none" w:sz="0" w:space="0" w:color="auto"/>
                    <w:left w:val="none" w:sz="0" w:space="0" w:color="auto"/>
                    <w:bottom w:val="none" w:sz="0" w:space="0" w:color="auto"/>
                    <w:right w:val="none" w:sz="0" w:space="0" w:color="auto"/>
                  </w:divBdr>
                  <w:divsChild>
                    <w:div w:id="1909732664">
                      <w:marLeft w:val="0"/>
                      <w:marRight w:val="0"/>
                      <w:marTop w:val="0"/>
                      <w:marBottom w:val="0"/>
                      <w:divBdr>
                        <w:top w:val="none" w:sz="0" w:space="0" w:color="auto"/>
                        <w:left w:val="none" w:sz="0" w:space="0" w:color="auto"/>
                        <w:bottom w:val="none" w:sz="0" w:space="0" w:color="auto"/>
                        <w:right w:val="none" w:sz="0" w:space="0" w:color="auto"/>
                      </w:divBdr>
                    </w:div>
                  </w:divsChild>
                </w:div>
                <w:div w:id="1272979234">
                  <w:marLeft w:val="0"/>
                  <w:marRight w:val="0"/>
                  <w:marTop w:val="0"/>
                  <w:marBottom w:val="0"/>
                  <w:divBdr>
                    <w:top w:val="none" w:sz="0" w:space="0" w:color="auto"/>
                    <w:left w:val="none" w:sz="0" w:space="0" w:color="auto"/>
                    <w:bottom w:val="none" w:sz="0" w:space="0" w:color="auto"/>
                    <w:right w:val="none" w:sz="0" w:space="0" w:color="auto"/>
                  </w:divBdr>
                  <w:divsChild>
                    <w:div w:id="346953254">
                      <w:marLeft w:val="0"/>
                      <w:marRight w:val="0"/>
                      <w:marTop w:val="0"/>
                      <w:marBottom w:val="0"/>
                      <w:divBdr>
                        <w:top w:val="none" w:sz="0" w:space="0" w:color="auto"/>
                        <w:left w:val="none" w:sz="0" w:space="0" w:color="auto"/>
                        <w:bottom w:val="none" w:sz="0" w:space="0" w:color="auto"/>
                        <w:right w:val="none" w:sz="0" w:space="0" w:color="auto"/>
                      </w:divBdr>
                    </w:div>
                  </w:divsChild>
                </w:div>
                <w:div w:id="1335303120">
                  <w:marLeft w:val="0"/>
                  <w:marRight w:val="0"/>
                  <w:marTop w:val="0"/>
                  <w:marBottom w:val="0"/>
                  <w:divBdr>
                    <w:top w:val="none" w:sz="0" w:space="0" w:color="auto"/>
                    <w:left w:val="none" w:sz="0" w:space="0" w:color="auto"/>
                    <w:bottom w:val="none" w:sz="0" w:space="0" w:color="auto"/>
                    <w:right w:val="none" w:sz="0" w:space="0" w:color="auto"/>
                  </w:divBdr>
                  <w:divsChild>
                    <w:div w:id="301616986">
                      <w:marLeft w:val="0"/>
                      <w:marRight w:val="0"/>
                      <w:marTop w:val="0"/>
                      <w:marBottom w:val="0"/>
                      <w:divBdr>
                        <w:top w:val="none" w:sz="0" w:space="0" w:color="auto"/>
                        <w:left w:val="none" w:sz="0" w:space="0" w:color="auto"/>
                        <w:bottom w:val="none" w:sz="0" w:space="0" w:color="auto"/>
                        <w:right w:val="none" w:sz="0" w:space="0" w:color="auto"/>
                      </w:divBdr>
                    </w:div>
                  </w:divsChild>
                </w:div>
                <w:div w:id="1375159101">
                  <w:marLeft w:val="0"/>
                  <w:marRight w:val="0"/>
                  <w:marTop w:val="0"/>
                  <w:marBottom w:val="0"/>
                  <w:divBdr>
                    <w:top w:val="none" w:sz="0" w:space="0" w:color="auto"/>
                    <w:left w:val="none" w:sz="0" w:space="0" w:color="auto"/>
                    <w:bottom w:val="none" w:sz="0" w:space="0" w:color="auto"/>
                    <w:right w:val="none" w:sz="0" w:space="0" w:color="auto"/>
                  </w:divBdr>
                  <w:divsChild>
                    <w:div w:id="748423414">
                      <w:marLeft w:val="0"/>
                      <w:marRight w:val="0"/>
                      <w:marTop w:val="0"/>
                      <w:marBottom w:val="0"/>
                      <w:divBdr>
                        <w:top w:val="none" w:sz="0" w:space="0" w:color="auto"/>
                        <w:left w:val="none" w:sz="0" w:space="0" w:color="auto"/>
                        <w:bottom w:val="none" w:sz="0" w:space="0" w:color="auto"/>
                        <w:right w:val="none" w:sz="0" w:space="0" w:color="auto"/>
                      </w:divBdr>
                    </w:div>
                  </w:divsChild>
                </w:div>
                <w:div w:id="1385446605">
                  <w:marLeft w:val="0"/>
                  <w:marRight w:val="0"/>
                  <w:marTop w:val="0"/>
                  <w:marBottom w:val="0"/>
                  <w:divBdr>
                    <w:top w:val="none" w:sz="0" w:space="0" w:color="auto"/>
                    <w:left w:val="none" w:sz="0" w:space="0" w:color="auto"/>
                    <w:bottom w:val="none" w:sz="0" w:space="0" w:color="auto"/>
                    <w:right w:val="none" w:sz="0" w:space="0" w:color="auto"/>
                  </w:divBdr>
                  <w:divsChild>
                    <w:div w:id="1274362065">
                      <w:marLeft w:val="0"/>
                      <w:marRight w:val="0"/>
                      <w:marTop w:val="0"/>
                      <w:marBottom w:val="0"/>
                      <w:divBdr>
                        <w:top w:val="none" w:sz="0" w:space="0" w:color="auto"/>
                        <w:left w:val="none" w:sz="0" w:space="0" w:color="auto"/>
                        <w:bottom w:val="none" w:sz="0" w:space="0" w:color="auto"/>
                        <w:right w:val="none" w:sz="0" w:space="0" w:color="auto"/>
                      </w:divBdr>
                    </w:div>
                  </w:divsChild>
                </w:div>
                <w:div w:id="1391998926">
                  <w:marLeft w:val="0"/>
                  <w:marRight w:val="0"/>
                  <w:marTop w:val="0"/>
                  <w:marBottom w:val="0"/>
                  <w:divBdr>
                    <w:top w:val="none" w:sz="0" w:space="0" w:color="auto"/>
                    <w:left w:val="none" w:sz="0" w:space="0" w:color="auto"/>
                    <w:bottom w:val="none" w:sz="0" w:space="0" w:color="auto"/>
                    <w:right w:val="none" w:sz="0" w:space="0" w:color="auto"/>
                  </w:divBdr>
                  <w:divsChild>
                    <w:div w:id="575553946">
                      <w:marLeft w:val="0"/>
                      <w:marRight w:val="0"/>
                      <w:marTop w:val="0"/>
                      <w:marBottom w:val="0"/>
                      <w:divBdr>
                        <w:top w:val="none" w:sz="0" w:space="0" w:color="auto"/>
                        <w:left w:val="none" w:sz="0" w:space="0" w:color="auto"/>
                        <w:bottom w:val="none" w:sz="0" w:space="0" w:color="auto"/>
                        <w:right w:val="none" w:sz="0" w:space="0" w:color="auto"/>
                      </w:divBdr>
                    </w:div>
                  </w:divsChild>
                </w:div>
                <w:div w:id="1392575223">
                  <w:marLeft w:val="0"/>
                  <w:marRight w:val="0"/>
                  <w:marTop w:val="0"/>
                  <w:marBottom w:val="0"/>
                  <w:divBdr>
                    <w:top w:val="none" w:sz="0" w:space="0" w:color="auto"/>
                    <w:left w:val="none" w:sz="0" w:space="0" w:color="auto"/>
                    <w:bottom w:val="none" w:sz="0" w:space="0" w:color="auto"/>
                    <w:right w:val="none" w:sz="0" w:space="0" w:color="auto"/>
                  </w:divBdr>
                  <w:divsChild>
                    <w:div w:id="926039393">
                      <w:marLeft w:val="0"/>
                      <w:marRight w:val="0"/>
                      <w:marTop w:val="0"/>
                      <w:marBottom w:val="0"/>
                      <w:divBdr>
                        <w:top w:val="none" w:sz="0" w:space="0" w:color="auto"/>
                        <w:left w:val="none" w:sz="0" w:space="0" w:color="auto"/>
                        <w:bottom w:val="none" w:sz="0" w:space="0" w:color="auto"/>
                        <w:right w:val="none" w:sz="0" w:space="0" w:color="auto"/>
                      </w:divBdr>
                    </w:div>
                  </w:divsChild>
                </w:div>
                <w:div w:id="1405565889">
                  <w:marLeft w:val="0"/>
                  <w:marRight w:val="0"/>
                  <w:marTop w:val="0"/>
                  <w:marBottom w:val="0"/>
                  <w:divBdr>
                    <w:top w:val="none" w:sz="0" w:space="0" w:color="auto"/>
                    <w:left w:val="none" w:sz="0" w:space="0" w:color="auto"/>
                    <w:bottom w:val="none" w:sz="0" w:space="0" w:color="auto"/>
                    <w:right w:val="none" w:sz="0" w:space="0" w:color="auto"/>
                  </w:divBdr>
                  <w:divsChild>
                    <w:div w:id="1598171371">
                      <w:marLeft w:val="0"/>
                      <w:marRight w:val="0"/>
                      <w:marTop w:val="0"/>
                      <w:marBottom w:val="0"/>
                      <w:divBdr>
                        <w:top w:val="none" w:sz="0" w:space="0" w:color="auto"/>
                        <w:left w:val="none" w:sz="0" w:space="0" w:color="auto"/>
                        <w:bottom w:val="none" w:sz="0" w:space="0" w:color="auto"/>
                        <w:right w:val="none" w:sz="0" w:space="0" w:color="auto"/>
                      </w:divBdr>
                    </w:div>
                  </w:divsChild>
                </w:div>
                <w:div w:id="1407846000">
                  <w:marLeft w:val="0"/>
                  <w:marRight w:val="0"/>
                  <w:marTop w:val="0"/>
                  <w:marBottom w:val="0"/>
                  <w:divBdr>
                    <w:top w:val="none" w:sz="0" w:space="0" w:color="auto"/>
                    <w:left w:val="none" w:sz="0" w:space="0" w:color="auto"/>
                    <w:bottom w:val="none" w:sz="0" w:space="0" w:color="auto"/>
                    <w:right w:val="none" w:sz="0" w:space="0" w:color="auto"/>
                  </w:divBdr>
                  <w:divsChild>
                    <w:div w:id="2048213312">
                      <w:marLeft w:val="0"/>
                      <w:marRight w:val="0"/>
                      <w:marTop w:val="0"/>
                      <w:marBottom w:val="0"/>
                      <w:divBdr>
                        <w:top w:val="none" w:sz="0" w:space="0" w:color="auto"/>
                        <w:left w:val="none" w:sz="0" w:space="0" w:color="auto"/>
                        <w:bottom w:val="none" w:sz="0" w:space="0" w:color="auto"/>
                        <w:right w:val="none" w:sz="0" w:space="0" w:color="auto"/>
                      </w:divBdr>
                    </w:div>
                  </w:divsChild>
                </w:div>
                <w:div w:id="1412698802">
                  <w:marLeft w:val="0"/>
                  <w:marRight w:val="0"/>
                  <w:marTop w:val="0"/>
                  <w:marBottom w:val="0"/>
                  <w:divBdr>
                    <w:top w:val="none" w:sz="0" w:space="0" w:color="auto"/>
                    <w:left w:val="none" w:sz="0" w:space="0" w:color="auto"/>
                    <w:bottom w:val="none" w:sz="0" w:space="0" w:color="auto"/>
                    <w:right w:val="none" w:sz="0" w:space="0" w:color="auto"/>
                  </w:divBdr>
                  <w:divsChild>
                    <w:div w:id="1483427644">
                      <w:marLeft w:val="0"/>
                      <w:marRight w:val="0"/>
                      <w:marTop w:val="0"/>
                      <w:marBottom w:val="0"/>
                      <w:divBdr>
                        <w:top w:val="none" w:sz="0" w:space="0" w:color="auto"/>
                        <w:left w:val="none" w:sz="0" w:space="0" w:color="auto"/>
                        <w:bottom w:val="none" w:sz="0" w:space="0" w:color="auto"/>
                        <w:right w:val="none" w:sz="0" w:space="0" w:color="auto"/>
                      </w:divBdr>
                    </w:div>
                  </w:divsChild>
                </w:div>
                <w:div w:id="1432778116">
                  <w:marLeft w:val="0"/>
                  <w:marRight w:val="0"/>
                  <w:marTop w:val="0"/>
                  <w:marBottom w:val="0"/>
                  <w:divBdr>
                    <w:top w:val="none" w:sz="0" w:space="0" w:color="auto"/>
                    <w:left w:val="none" w:sz="0" w:space="0" w:color="auto"/>
                    <w:bottom w:val="none" w:sz="0" w:space="0" w:color="auto"/>
                    <w:right w:val="none" w:sz="0" w:space="0" w:color="auto"/>
                  </w:divBdr>
                  <w:divsChild>
                    <w:div w:id="2134782251">
                      <w:marLeft w:val="0"/>
                      <w:marRight w:val="0"/>
                      <w:marTop w:val="0"/>
                      <w:marBottom w:val="0"/>
                      <w:divBdr>
                        <w:top w:val="none" w:sz="0" w:space="0" w:color="auto"/>
                        <w:left w:val="none" w:sz="0" w:space="0" w:color="auto"/>
                        <w:bottom w:val="none" w:sz="0" w:space="0" w:color="auto"/>
                        <w:right w:val="none" w:sz="0" w:space="0" w:color="auto"/>
                      </w:divBdr>
                    </w:div>
                  </w:divsChild>
                </w:div>
                <w:div w:id="1433668869">
                  <w:marLeft w:val="0"/>
                  <w:marRight w:val="0"/>
                  <w:marTop w:val="0"/>
                  <w:marBottom w:val="0"/>
                  <w:divBdr>
                    <w:top w:val="none" w:sz="0" w:space="0" w:color="auto"/>
                    <w:left w:val="none" w:sz="0" w:space="0" w:color="auto"/>
                    <w:bottom w:val="none" w:sz="0" w:space="0" w:color="auto"/>
                    <w:right w:val="none" w:sz="0" w:space="0" w:color="auto"/>
                  </w:divBdr>
                  <w:divsChild>
                    <w:div w:id="1299187114">
                      <w:marLeft w:val="0"/>
                      <w:marRight w:val="0"/>
                      <w:marTop w:val="0"/>
                      <w:marBottom w:val="0"/>
                      <w:divBdr>
                        <w:top w:val="none" w:sz="0" w:space="0" w:color="auto"/>
                        <w:left w:val="none" w:sz="0" w:space="0" w:color="auto"/>
                        <w:bottom w:val="none" w:sz="0" w:space="0" w:color="auto"/>
                        <w:right w:val="none" w:sz="0" w:space="0" w:color="auto"/>
                      </w:divBdr>
                    </w:div>
                  </w:divsChild>
                </w:div>
                <w:div w:id="1445730526">
                  <w:marLeft w:val="0"/>
                  <w:marRight w:val="0"/>
                  <w:marTop w:val="0"/>
                  <w:marBottom w:val="0"/>
                  <w:divBdr>
                    <w:top w:val="none" w:sz="0" w:space="0" w:color="auto"/>
                    <w:left w:val="none" w:sz="0" w:space="0" w:color="auto"/>
                    <w:bottom w:val="none" w:sz="0" w:space="0" w:color="auto"/>
                    <w:right w:val="none" w:sz="0" w:space="0" w:color="auto"/>
                  </w:divBdr>
                  <w:divsChild>
                    <w:div w:id="1450666304">
                      <w:marLeft w:val="0"/>
                      <w:marRight w:val="0"/>
                      <w:marTop w:val="0"/>
                      <w:marBottom w:val="0"/>
                      <w:divBdr>
                        <w:top w:val="none" w:sz="0" w:space="0" w:color="auto"/>
                        <w:left w:val="none" w:sz="0" w:space="0" w:color="auto"/>
                        <w:bottom w:val="none" w:sz="0" w:space="0" w:color="auto"/>
                        <w:right w:val="none" w:sz="0" w:space="0" w:color="auto"/>
                      </w:divBdr>
                    </w:div>
                  </w:divsChild>
                </w:div>
                <w:div w:id="1463694006">
                  <w:marLeft w:val="0"/>
                  <w:marRight w:val="0"/>
                  <w:marTop w:val="0"/>
                  <w:marBottom w:val="0"/>
                  <w:divBdr>
                    <w:top w:val="none" w:sz="0" w:space="0" w:color="auto"/>
                    <w:left w:val="none" w:sz="0" w:space="0" w:color="auto"/>
                    <w:bottom w:val="none" w:sz="0" w:space="0" w:color="auto"/>
                    <w:right w:val="none" w:sz="0" w:space="0" w:color="auto"/>
                  </w:divBdr>
                  <w:divsChild>
                    <w:div w:id="384986278">
                      <w:marLeft w:val="0"/>
                      <w:marRight w:val="0"/>
                      <w:marTop w:val="0"/>
                      <w:marBottom w:val="0"/>
                      <w:divBdr>
                        <w:top w:val="none" w:sz="0" w:space="0" w:color="auto"/>
                        <w:left w:val="none" w:sz="0" w:space="0" w:color="auto"/>
                        <w:bottom w:val="none" w:sz="0" w:space="0" w:color="auto"/>
                        <w:right w:val="none" w:sz="0" w:space="0" w:color="auto"/>
                      </w:divBdr>
                    </w:div>
                  </w:divsChild>
                </w:div>
                <w:div w:id="1468746407">
                  <w:marLeft w:val="0"/>
                  <w:marRight w:val="0"/>
                  <w:marTop w:val="0"/>
                  <w:marBottom w:val="0"/>
                  <w:divBdr>
                    <w:top w:val="none" w:sz="0" w:space="0" w:color="auto"/>
                    <w:left w:val="none" w:sz="0" w:space="0" w:color="auto"/>
                    <w:bottom w:val="none" w:sz="0" w:space="0" w:color="auto"/>
                    <w:right w:val="none" w:sz="0" w:space="0" w:color="auto"/>
                  </w:divBdr>
                  <w:divsChild>
                    <w:div w:id="1331252011">
                      <w:marLeft w:val="0"/>
                      <w:marRight w:val="0"/>
                      <w:marTop w:val="0"/>
                      <w:marBottom w:val="0"/>
                      <w:divBdr>
                        <w:top w:val="none" w:sz="0" w:space="0" w:color="auto"/>
                        <w:left w:val="none" w:sz="0" w:space="0" w:color="auto"/>
                        <w:bottom w:val="none" w:sz="0" w:space="0" w:color="auto"/>
                        <w:right w:val="none" w:sz="0" w:space="0" w:color="auto"/>
                      </w:divBdr>
                    </w:div>
                  </w:divsChild>
                </w:div>
                <w:div w:id="1510756815">
                  <w:marLeft w:val="0"/>
                  <w:marRight w:val="0"/>
                  <w:marTop w:val="0"/>
                  <w:marBottom w:val="0"/>
                  <w:divBdr>
                    <w:top w:val="none" w:sz="0" w:space="0" w:color="auto"/>
                    <w:left w:val="none" w:sz="0" w:space="0" w:color="auto"/>
                    <w:bottom w:val="none" w:sz="0" w:space="0" w:color="auto"/>
                    <w:right w:val="none" w:sz="0" w:space="0" w:color="auto"/>
                  </w:divBdr>
                  <w:divsChild>
                    <w:div w:id="1036780863">
                      <w:marLeft w:val="0"/>
                      <w:marRight w:val="0"/>
                      <w:marTop w:val="0"/>
                      <w:marBottom w:val="0"/>
                      <w:divBdr>
                        <w:top w:val="none" w:sz="0" w:space="0" w:color="auto"/>
                        <w:left w:val="none" w:sz="0" w:space="0" w:color="auto"/>
                        <w:bottom w:val="none" w:sz="0" w:space="0" w:color="auto"/>
                        <w:right w:val="none" w:sz="0" w:space="0" w:color="auto"/>
                      </w:divBdr>
                    </w:div>
                  </w:divsChild>
                </w:div>
                <w:div w:id="1535575462">
                  <w:marLeft w:val="0"/>
                  <w:marRight w:val="0"/>
                  <w:marTop w:val="0"/>
                  <w:marBottom w:val="0"/>
                  <w:divBdr>
                    <w:top w:val="none" w:sz="0" w:space="0" w:color="auto"/>
                    <w:left w:val="none" w:sz="0" w:space="0" w:color="auto"/>
                    <w:bottom w:val="none" w:sz="0" w:space="0" w:color="auto"/>
                    <w:right w:val="none" w:sz="0" w:space="0" w:color="auto"/>
                  </w:divBdr>
                  <w:divsChild>
                    <w:div w:id="1672486036">
                      <w:marLeft w:val="0"/>
                      <w:marRight w:val="0"/>
                      <w:marTop w:val="0"/>
                      <w:marBottom w:val="0"/>
                      <w:divBdr>
                        <w:top w:val="none" w:sz="0" w:space="0" w:color="auto"/>
                        <w:left w:val="none" w:sz="0" w:space="0" w:color="auto"/>
                        <w:bottom w:val="none" w:sz="0" w:space="0" w:color="auto"/>
                        <w:right w:val="none" w:sz="0" w:space="0" w:color="auto"/>
                      </w:divBdr>
                    </w:div>
                  </w:divsChild>
                </w:div>
                <w:div w:id="1549414479">
                  <w:marLeft w:val="0"/>
                  <w:marRight w:val="0"/>
                  <w:marTop w:val="0"/>
                  <w:marBottom w:val="0"/>
                  <w:divBdr>
                    <w:top w:val="none" w:sz="0" w:space="0" w:color="auto"/>
                    <w:left w:val="none" w:sz="0" w:space="0" w:color="auto"/>
                    <w:bottom w:val="none" w:sz="0" w:space="0" w:color="auto"/>
                    <w:right w:val="none" w:sz="0" w:space="0" w:color="auto"/>
                  </w:divBdr>
                  <w:divsChild>
                    <w:div w:id="412431613">
                      <w:marLeft w:val="0"/>
                      <w:marRight w:val="0"/>
                      <w:marTop w:val="0"/>
                      <w:marBottom w:val="0"/>
                      <w:divBdr>
                        <w:top w:val="none" w:sz="0" w:space="0" w:color="auto"/>
                        <w:left w:val="none" w:sz="0" w:space="0" w:color="auto"/>
                        <w:bottom w:val="none" w:sz="0" w:space="0" w:color="auto"/>
                        <w:right w:val="none" w:sz="0" w:space="0" w:color="auto"/>
                      </w:divBdr>
                    </w:div>
                  </w:divsChild>
                </w:div>
                <w:div w:id="1549993237">
                  <w:marLeft w:val="0"/>
                  <w:marRight w:val="0"/>
                  <w:marTop w:val="0"/>
                  <w:marBottom w:val="0"/>
                  <w:divBdr>
                    <w:top w:val="none" w:sz="0" w:space="0" w:color="auto"/>
                    <w:left w:val="none" w:sz="0" w:space="0" w:color="auto"/>
                    <w:bottom w:val="none" w:sz="0" w:space="0" w:color="auto"/>
                    <w:right w:val="none" w:sz="0" w:space="0" w:color="auto"/>
                  </w:divBdr>
                  <w:divsChild>
                    <w:div w:id="324941497">
                      <w:marLeft w:val="0"/>
                      <w:marRight w:val="0"/>
                      <w:marTop w:val="0"/>
                      <w:marBottom w:val="0"/>
                      <w:divBdr>
                        <w:top w:val="none" w:sz="0" w:space="0" w:color="auto"/>
                        <w:left w:val="none" w:sz="0" w:space="0" w:color="auto"/>
                        <w:bottom w:val="none" w:sz="0" w:space="0" w:color="auto"/>
                        <w:right w:val="none" w:sz="0" w:space="0" w:color="auto"/>
                      </w:divBdr>
                    </w:div>
                  </w:divsChild>
                </w:div>
                <w:div w:id="1555577859">
                  <w:marLeft w:val="0"/>
                  <w:marRight w:val="0"/>
                  <w:marTop w:val="0"/>
                  <w:marBottom w:val="0"/>
                  <w:divBdr>
                    <w:top w:val="none" w:sz="0" w:space="0" w:color="auto"/>
                    <w:left w:val="none" w:sz="0" w:space="0" w:color="auto"/>
                    <w:bottom w:val="none" w:sz="0" w:space="0" w:color="auto"/>
                    <w:right w:val="none" w:sz="0" w:space="0" w:color="auto"/>
                  </w:divBdr>
                  <w:divsChild>
                    <w:div w:id="423037932">
                      <w:marLeft w:val="0"/>
                      <w:marRight w:val="0"/>
                      <w:marTop w:val="0"/>
                      <w:marBottom w:val="0"/>
                      <w:divBdr>
                        <w:top w:val="none" w:sz="0" w:space="0" w:color="auto"/>
                        <w:left w:val="none" w:sz="0" w:space="0" w:color="auto"/>
                        <w:bottom w:val="none" w:sz="0" w:space="0" w:color="auto"/>
                        <w:right w:val="none" w:sz="0" w:space="0" w:color="auto"/>
                      </w:divBdr>
                    </w:div>
                  </w:divsChild>
                </w:div>
                <w:div w:id="1568149687">
                  <w:marLeft w:val="0"/>
                  <w:marRight w:val="0"/>
                  <w:marTop w:val="0"/>
                  <w:marBottom w:val="0"/>
                  <w:divBdr>
                    <w:top w:val="none" w:sz="0" w:space="0" w:color="auto"/>
                    <w:left w:val="none" w:sz="0" w:space="0" w:color="auto"/>
                    <w:bottom w:val="none" w:sz="0" w:space="0" w:color="auto"/>
                    <w:right w:val="none" w:sz="0" w:space="0" w:color="auto"/>
                  </w:divBdr>
                  <w:divsChild>
                    <w:div w:id="337779373">
                      <w:marLeft w:val="0"/>
                      <w:marRight w:val="0"/>
                      <w:marTop w:val="0"/>
                      <w:marBottom w:val="0"/>
                      <w:divBdr>
                        <w:top w:val="none" w:sz="0" w:space="0" w:color="auto"/>
                        <w:left w:val="none" w:sz="0" w:space="0" w:color="auto"/>
                        <w:bottom w:val="none" w:sz="0" w:space="0" w:color="auto"/>
                        <w:right w:val="none" w:sz="0" w:space="0" w:color="auto"/>
                      </w:divBdr>
                    </w:div>
                  </w:divsChild>
                </w:div>
                <w:div w:id="1599100625">
                  <w:marLeft w:val="0"/>
                  <w:marRight w:val="0"/>
                  <w:marTop w:val="0"/>
                  <w:marBottom w:val="0"/>
                  <w:divBdr>
                    <w:top w:val="none" w:sz="0" w:space="0" w:color="auto"/>
                    <w:left w:val="none" w:sz="0" w:space="0" w:color="auto"/>
                    <w:bottom w:val="none" w:sz="0" w:space="0" w:color="auto"/>
                    <w:right w:val="none" w:sz="0" w:space="0" w:color="auto"/>
                  </w:divBdr>
                  <w:divsChild>
                    <w:div w:id="1916746261">
                      <w:marLeft w:val="0"/>
                      <w:marRight w:val="0"/>
                      <w:marTop w:val="0"/>
                      <w:marBottom w:val="0"/>
                      <w:divBdr>
                        <w:top w:val="none" w:sz="0" w:space="0" w:color="auto"/>
                        <w:left w:val="none" w:sz="0" w:space="0" w:color="auto"/>
                        <w:bottom w:val="none" w:sz="0" w:space="0" w:color="auto"/>
                        <w:right w:val="none" w:sz="0" w:space="0" w:color="auto"/>
                      </w:divBdr>
                    </w:div>
                  </w:divsChild>
                </w:div>
                <w:div w:id="1622034512">
                  <w:marLeft w:val="0"/>
                  <w:marRight w:val="0"/>
                  <w:marTop w:val="0"/>
                  <w:marBottom w:val="0"/>
                  <w:divBdr>
                    <w:top w:val="none" w:sz="0" w:space="0" w:color="auto"/>
                    <w:left w:val="none" w:sz="0" w:space="0" w:color="auto"/>
                    <w:bottom w:val="none" w:sz="0" w:space="0" w:color="auto"/>
                    <w:right w:val="none" w:sz="0" w:space="0" w:color="auto"/>
                  </w:divBdr>
                  <w:divsChild>
                    <w:div w:id="871576909">
                      <w:marLeft w:val="0"/>
                      <w:marRight w:val="0"/>
                      <w:marTop w:val="0"/>
                      <w:marBottom w:val="0"/>
                      <w:divBdr>
                        <w:top w:val="none" w:sz="0" w:space="0" w:color="auto"/>
                        <w:left w:val="none" w:sz="0" w:space="0" w:color="auto"/>
                        <w:bottom w:val="none" w:sz="0" w:space="0" w:color="auto"/>
                        <w:right w:val="none" w:sz="0" w:space="0" w:color="auto"/>
                      </w:divBdr>
                    </w:div>
                  </w:divsChild>
                </w:div>
                <w:div w:id="1632057683">
                  <w:marLeft w:val="0"/>
                  <w:marRight w:val="0"/>
                  <w:marTop w:val="0"/>
                  <w:marBottom w:val="0"/>
                  <w:divBdr>
                    <w:top w:val="none" w:sz="0" w:space="0" w:color="auto"/>
                    <w:left w:val="none" w:sz="0" w:space="0" w:color="auto"/>
                    <w:bottom w:val="none" w:sz="0" w:space="0" w:color="auto"/>
                    <w:right w:val="none" w:sz="0" w:space="0" w:color="auto"/>
                  </w:divBdr>
                  <w:divsChild>
                    <w:div w:id="1677730537">
                      <w:marLeft w:val="0"/>
                      <w:marRight w:val="0"/>
                      <w:marTop w:val="0"/>
                      <w:marBottom w:val="0"/>
                      <w:divBdr>
                        <w:top w:val="none" w:sz="0" w:space="0" w:color="auto"/>
                        <w:left w:val="none" w:sz="0" w:space="0" w:color="auto"/>
                        <w:bottom w:val="none" w:sz="0" w:space="0" w:color="auto"/>
                        <w:right w:val="none" w:sz="0" w:space="0" w:color="auto"/>
                      </w:divBdr>
                    </w:div>
                  </w:divsChild>
                </w:div>
                <w:div w:id="1635865974">
                  <w:marLeft w:val="0"/>
                  <w:marRight w:val="0"/>
                  <w:marTop w:val="0"/>
                  <w:marBottom w:val="0"/>
                  <w:divBdr>
                    <w:top w:val="none" w:sz="0" w:space="0" w:color="auto"/>
                    <w:left w:val="none" w:sz="0" w:space="0" w:color="auto"/>
                    <w:bottom w:val="none" w:sz="0" w:space="0" w:color="auto"/>
                    <w:right w:val="none" w:sz="0" w:space="0" w:color="auto"/>
                  </w:divBdr>
                  <w:divsChild>
                    <w:div w:id="1954168458">
                      <w:marLeft w:val="0"/>
                      <w:marRight w:val="0"/>
                      <w:marTop w:val="0"/>
                      <w:marBottom w:val="0"/>
                      <w:divBdr>
                        <w:top w:val="none" w:sz="0" w:space="0" w:color="auto"/>
                        <w:left w:val="none" w:sz="0" w:space="0" w:color="auto"/>
                        <w:bottom w:val="none" w:sz="0" w:space="0" w:color="auto"/>
                        <w:right w:val="none" w:sz="0" w:space="0" w:color="auto"/>
                      </w:divBdr>
                    </w:div>
                  </w:divsChild>
                </w:div>
                <w:div w:id="1646466768">
                  <w:marLeft w:val="0"/>
                  <w:marRight w:val="0"/>
                  <w:marTop w:val="0"/>
                  <w:marBottom w:val="0"/>
                  <w:divBdr>
                    <w:top w:val="none" w:sz="0" w:space="0" w:color="auto"/>
                    <w:left w:val="none" w:sz="0" w:space="0" w:color="auto"/>
                    <w:bottom w:val="none" w:sz="0" w:space="0" w:color="auto"/>
                    <w:right w:val="none" w:sz="0" w:space="0" w:color="auto"/>
                  </w:divBdr>
                  <w:divsChild>
                    <w:div w:id="99490186">
                      <w:marLeft w:val="0"/>
                      <w:marRight w:val="0"/>
                      <w:marTop w:val="0"/>
                      <w:marBottom w:val="0"/>
                      <w:divBdr>
                        <w:top w:val="none" w:sz="0" w:space="0" w:color="auto"/>
                        <w:left w:val="none" w:sz="0" w:space="0" w:color="auto"/>
                        <w:bottom w:val="none" w:sz="0" w:space="0" w:color="auto"/>
                        <w:right w:val="none" w:sz="0" w:space="0" w:color="auto"/>
                      </w:divBdr>
                    </w:div>
                  </w:divsChild>
                </w:div>
                <w:div w:id="1695375284">
                  <w:marLeft w:val="0"/>
                  <w:marRight w:val="0"/>
                  <w:marTop w:val="0"/>
                  <w:marBottom w:val="0"/>
                  <w:divBdr>
                    <w:top w:val="none" w:sz="0" w:space="0" w:color="auto"/>
                    <w:left w:val="none" w:sz="0" w:space="0" w:color="auto"/>
                    <w:bottom w:val="none" w:sz="0" w:space="0" w:color="auto"/>
                    <w:right w:val="none" w:sz="0" w:space="0" w:color="auto"/>
                  </w:divBdr>
                  <w:divsChild>
                    <w:div w:id="240018862">
                      <w:marLeft w:val="0"/>
                      <w:marRight w:val="0"/>
                      <w:marTop w:val="0"/>
                      <w:marBottom w:val="0"/>
                      <w:divBdr>
                        <w:top w:val="none" w:sz="0" w:space="0" w:color="auto"/>
                        <w:left w:val="none" w:sz="0" w:space="0" w:color="auto"/>
                        <w:bottom w:val="none" w:sz="0" w:space="0" w:color="auto"/>
                        <w:right w:val="none" w:sz="0" w:space="0" w:color="auto"/>
                      </w:divBdr>
                    </w:div>
                  </w:divsChild>
                </w:div>
                <w:div w:id="1698459607">
                  <w:marLeft w:val="0"/>
                  <w:marRight w:val="0"/>
                  <w:marTop w:val="0"/>
                  <w:marBottom w:val="0"/>
                  <w:divBdr>
                    <w:top w:val="none" w:sz="0" w:space="0" w:color="auto"/>
                    <w:left w:val="none" w:sz="0" w:space="0" w:color="auto"/>
                    <w:bottom w:val="none" w:sz="0" w:space="0" w:color="auto"/>
                    <w:right w:val="none" w:sz="0" w:space="0" w:color="auto"/>
                  </w:divBdr>
                  <w:divsChild>
                    <w:div w:id="966205158">
                      <w:marLeft w:val="0"/>
                      <w:marRight w:val="0"/>
                      <w:marTop w:val="0"/>
                      <w:marBottom w:val="0"/>
                      <w:divBdr>
                        <w:top w:val="none" w:sz="0" w:space="0" w:color="auto"/>
                        <w:left w:val="none" w:sz="0" w:space="0" w:color="auto"/>
                        <w:bottom w:val="none" w:sz="0" w:space="0" w:color="auto"/>
                        <w:right w:val="none" w:sz="0" w:space="0" w:color="auto"/>
                      </w:divBdr>
                    </w:div>
                  </w:divsChild>
                </w:div>
                <w:div w:id="1705322794">
                  <w:marLeft w:val="0"/>
                  <w:marRight w:val="0"/>
                  <w:marTop w:val="0"/>
                  <w:marBottom w:val="0"/>
                  <w:divBdr>
                    <w:top w:val="none" w:sz="0" w:space="0" w:color="auto"/>
                    <w:left w:val="none" w:sz="0" w:space="0" w:color="auto"/>
                    <w:bottom w:val="none" w:sz="0" w:space="0" w:color="auto"/>
                    <w:right w:val="none" w:sz="0" w:space="0" w:color="auto"/>
                  </w:divBdr>
                  <w:divsChild>
                    <w:div w:id="1973822556">
                      <w:marLeft w:val="0"/>
                      <w:marRight w:val="0"/>
                      <w:marTop w:val="0"/>
                      <w:marBottom w:val="0"/>
                      <w:divBdr>
                        <w:top w:val="none" w:sz="0" w:space="0" w:color="auto"/>
                        <w:left w:val="none" w:sz="0" w:space="0" w:color="auto"/>
                        <w:bottom w:val="none" w:sz="0" w:space="0" w:color="auto"/>
                        <w:right w:val="none" w:sz="0" w:space="0" w:color="auto"/>
                      </w:divBdr>
                    </w:div>
                  </w:divsChild>
                </w:div>
                <w:div w:id="1714496193">
                  <w:marLeft w:val="0"/>
                  <w:marRight w:val="0"/>
                  <w:marTop w:val="0"/>
                  <w:marBottom w:val="0"/>
                  <w:divBdr>
                    <w:top w:val="none" w:sz="0" w:space="0" w:color="auto"/>
                    <w:left w:val="none" w:sz="0" w:space="0" w:color="auto"/>
                    <w:bottom w:val="none" w:sz="0" w:space="0" w:color="auto"/>
                    <w:right w:val="none" w:sz="0" w:space="0" w:color="auto"/>
                  </w:divBdr>
                  <w:divsChild>
                    <w:div w:id="1146432040">
                      <w:marLeft w:val="0"/>
                      <w:marRight w:val="0"/>
                      <w:marTop w:val="0"/>
                      <w:marBottom w:val="0"/>
                      <w:divBdr>
                        <w:top w:val="none" w:sz="0" w:space="0" w:color="auto"/>
                        <w:left w:val="none" w:sz="0" w:space="0" w:color="auto"/>
                        <w:bottom w:val="none" w:sz="0" w:space="0" w:color="auto"/>
                        <w:right w:val="none" w:sz="0" w:space="0" w:color="auto"/>
                      </w:divBdr>
                    </w:div>
                  </w:divsChild>
                </w:div>
                <w:div w:id="1723597013">
                  <w:marLeft w:val="0"/>
                  <w:marRight w:val="0"/>
                  <w:marTop w:val="0"/>
                  <w:marBottom w:val="0"/>
                  <w:divBdr>
                    <w:top w:val="none" w:sz="0" w:space="0" w:color="auto"/>
                    <w:left w:val="none" w:sz="0" w:space="0" w:color="auto"/>
                    <w:bottom w:val="none" w:sz="0" w:space="0" w:color="auto"/>
                    <w:right w:val="none" w:sz="0" w:space="0" w:color="auto"/>
                  </w:divBdr>
                  <w:divsChild>
                    <w:div w:id="1983080174">
                      <w:marLeft w:val="0"/>
                      <w:marRight w:val="0"/>
                      <w:marTop w:val="0"/>
                      <w:marBottom w:val="0"/>
                      <w:divBdr>
                        <w:top w:val="none" w:sz="0" w:space="0" w:color="auto"/>
                        <w:left w:val="none" w:sz="0" w:space="0" w:color="auto"/>
                        <w:bottom w:val="none" w:sz="0" w:space="0" w:color="auto"/>
                        <w:right w:val="none" w:sz="0" w:space="0" w:color="auto"/>
                      </w:divBdr>
                    </w:div>
                  </w:divsChild>
                </w:div>
                <w:div w:id="1734353553">
                  <w:marLeft w:val="0"/>
                  <w:marRight w:val="0"/>
                  <w:marTop w:val="0"/>
                  <w:marBottom w:val="0"/>
                  <w:divBdr>
                    <w:top w:val="none" w:sz="0" w:space="0" w:color="auto"/>
                    <w:left w:val="none" w:sz="0" w:space="0" w:color="auto"/>
                    <w:bottom w:val="none" w:sz="0" w:space="0" w:color="auto"/>
                    <w:right w:val="none" w:sz="0" w:space="0" w:color="auto"/>
                  </w:divBdr>
                  <w:divsChild>
                    <w:div w:id="1125541604">
                      <w:marLeft w:val="0"/>
                      <w:marRight w:val="0"/>
                      <w:marTop w:val="0"/>
                      <w:marBottom w:val="0"/>
                      <w:divBdr>
                        <w:top w:val="none" w:sz="0" w:space="0" w:color="auto"/>
                        <w:left w:val="none" w:sz="0" w:space="0" w:color="auto"/>
                        <w:bottom w:val="none" w:sz="0" w:space="0" w:color="auto"/>
                        <w:right w:val="none" w:sz="0" w:space="0" w:color="auto"/>
                      </w:divBdr>
                    </w:div>
                  </w:divsChild>
                </w:div>
                <w:div w:id="1736465939">
                  <w:marLeft w:val="0"/>
                  <w:marRight w:val="0"/>
                  <w:marTop w:val="0"/>
                  <w:marBottom w:val="0"/>
                  <w:divBdr>
                    <w:top w:val="none" w:sz="0" w:space="0" w:color="auto"/>
                    <w:left w:val="none" w:sz="0" w:space="0" w:color="auto"/>
                    <w:bottom w:val="none" w:sz="0" w:space="0" w:color="auto"/>
                    <w:right w:val="none" w:sz="0" w:space="0" w:color="auto"/>
                  </w:divBdr>
                  <w:divsChild>
                    <w:div w:id="570770301">
                      <w:marLeft w:val="0"/>
                      <w:marRight w:val="0"/>
                      <w:marTop w:val="0"/>
                      <w:marBottom w:val="0"/>
                      <w:divBdr>
                        <w:top w:val="none" w:sz="0" w:space="0" w:color="auto"/>
                        <w:left w:val="none" w:sz="0" w:space="0" w:color="auto"/>
                        <w:bottom w:val="none" w:sz="0" w:space="0" w:color="auto"/>
                        <w:right w:val="none" w:sz="0" w:space="0" w:color="auto"/>
                      </w:divBdr>
                    </w:div>
                    <w:div w:id="773675970">
                      <w:marLeft w:val="0"/>
                      <w:marRight w:val="0"/>
                      <w:marTop w:val="0"/>
                      <w:marBottom w:val="0"/>
                      <w:divBdr>
                        <w:top w:val="none" w:sz="0" w:space="0" w:color="auto"/>
                        <w:left w:val="none" w:sz="0" w:space="0" w:color="auto"/>
                        <w:bottom w:val="none" w:sz="0" w:space="0" w:color="auto"/>
                        <w:right w:val="none" w:sz="0" w:space="0" w:color="auto"/>
                      </w:divBdr>
                    </w:div>
                    <w:div w:id="853878503">
                      <w:marLeft w:val="0"/>
                      <w:marRight w:val="0"/>
                      <w:marTop w:val="0"/>
                      <w:marBottom w:val="0"/>
                      <w:divBdr>
                        <w:top w:val="none" w:sz="0" w:space="0" w:color="auto"/>
                        <w:left w:val="none" w:sz="0" w:space="0" w:color="auto"/>
                        <w:bottom w:val="none" w:sz="0" w:space="0" w:color="auto"/>
                        <w:right w:val="none" w:sz="0" w:space="0" w:color="auto"/>
                      </w:divBdr>
                    </w:div>
                    <w:div w:id="1249925283">
                      <w:marLeft w:val="0"/>
                      <w:marRight w:val="0"/>
                      <w:marTop w:val="0"/>
                      <w:marBottom w:val="0"/>
                      <w:divBdr>
                        <w:top w:val="none" w:sz="0" w:space="0" w:color="auto"/>
                        <w:left w:val="none" w:sz="0" w:space="0" w:color="auto"/>
                        <w:bottom w:val="none" w:sz="0" w:space="0" w:color="auto"/>
                        <w:right w:val="none" w:sz="0" w:space="0" w:color="auto"/>
                      </w:divBdr>
                    </w:div>
                    <w:div w:id="1282225737">
                      <w:marLeft w:val="0"/>
                      <w:marRight w:val="0"/>
                      <w:marTop w:val="0"/>
                      <w:marBottom w:val="0"/>
                      <w:divBdr>
                        <w:top w:val="none" w:sz="0" w:space="0" w:color="auto"/>
                        <w:left w:val="none" w:sz="0" w:space="0" w:color="auto"/>
                        <w:bottom w:val="none" w:sz="0" w:space="0" w:color="auto"/>
                        <w:right w:val="none" w:sz="0" w:space="0" w:color="auto"/>
                      </w:divBdr>
                    </w:div>
                    <w:div w:id="1395007936">
                      <w:marLeft w:val="0"/>
                      <w:marRight w:val="0"/>
                      <w:marTop w:val="0"/>
                      <w:marBottom w:val="0"/>
                      <w:divBdr>
                        <w:top w:val="none" w:sz="0" w:space="0" w:color="auto"/>
                        <w:left w:val="none" w:sz="0" w:space="0" w:color="auto"/>
                        <w:bottom w:val="none" w:sz="0" w:space="0" w:color="auto"/>
                        <w:right w:val="none" w:sz="0" w:space="0" w:color="auto"/>
                      </w:divBdr>
                    </w:div>
                    <w:div w:id="1646084423">
                      <w:marLeft w:val="0"/>
                      <w:marRight w:val="0"/>
                      <w:marTop w:val="0"/>
                      <w:marBottom w:val="0"/>
                      <w:divBdr>
                        <w:top w:val="none" w:sz="0" w:space="0" w:color="auto"/>
                        <w:left w:val="none" w:sz="0" w:space="0" w:color="auto"/>
                        <w:bottom w:val="none" w:sz="0" w:space="0" w:color="auto"/>
                        <w:right w:val="none" w:sz="0" w:space="0" w:color="auto"/>
                      </w:divBdr>
                    </w:div>
                    <w:div w:id="1684480412">
                      <w:marLeft w:val="0"/>
                      <w:marRight w:val="0"/>
                      <w:marTop w:val="0"/>
                      <w:marBottom w:val="0"/>
                      <w:divBdr>
                        <w:top w:val="none" w:sz="0" w:space="0" w:color="auto"/>
                        <w:left w:val="none" w:sz="0" w:space="0" w:color="auto"/>
                        <w:bottom w:val="none" w:sz="0" w:space="0" w:color="auto"/>
                        <w:right w:val="none" w:sz="0" w:space="0" w:color="auto"/>
                      </w:divBdr>
                    </w:div>
                    <w:div w:id="1958292189">
                      <w:marLeft w:val="0"/>
                      <w:marRight w:val="0"/>
                      <w:marTop w:val="0"/>
                      <w:marBottom w:val="0"/>
                      <w:divBdr>
                        <w:top w:val="none" w:sz="0" w:space="0" w:color="auto"/>
                        <w:left w:val="none" w:sz="0" w:space="0" w:color="auto"/>
                        <w:bottom w:val="none" w:sz="0" w:space="0" w:color="auto"/>
                        <w:right w:val="none" w:sz="0" w:space="0" w:color="auto"/>
                      </w:divBdr>
                    </w:div>
                    <w:div w:id="2047171306">
                      <w:marLeft w:val="0"/>
                      <w:marRight w:val="0"/>
                      <w:marTop w:val="0"/>
                      <w:marBottom w:val="0"/>
                      <w:divBdr>
                        <w:top w:val="none" w:sz="0" w:space="0" w:color="auto"/>
                        <w:left w:val="none" w:sz="0" w:space="0" w:color="auto"/>
                        <w:bottom w:val="none" w:sz="0" w:space="0" w:color="auto"/>
                        <w:right w:val="none" w:sz="0" w:space="0" w:color="auto"/>
                      </w:divBdr>
                    </w:div>
                  </w:divsChild>
                </w:div>
                <w:div w:id="1756785864">
                  <w:marLeft w:val="0"/>
                  <w:marRight w:val="0"/>
                  <w:marTop w:val="0"/>
                  <w:marBottom w:val="0"/>
                  <w:divBdr>
                    <w:top w:val="none" w:sz="0" w:space="0" w:color="auto"/>
                    <w:left w:val="none" w:sz="0" w:space="0" w:color="auto"/>
                    <w:bottom w:val="none" w:sz="0" w:space="0" w:color="auto"/>
                    <w:right w:val="none" w:sz="0" w:space="0" w:color="auto"/>
                  </w:divBdr>
                  <w:divsChild>
                    <w:div w:id="1330865919">
                      <w:marLeft w:val="0"/>
                      <w:marRight w:val="0"/>
                      <w:marTop w:val="0"/>
                      <w:marBottom w:val="0"/>
                      <w:divBdr>
                        <w:top w:val="none" w:sz="0" w:space="0" w:color="auto"/>
                        <w:left w:val="none" w:sz="0" w:space="0" w:color="auto"/>
                        <w:bottom w:val="none" w:sz="0" w:space="0" w:color="auto"/>
                        <w:right w:val="none" w:sz="0" w:space="0" w:color="auto"/>
                      </w:divBdr>
                    </w:div>
                  </w:divsChild>
                </w:div>
                <w:div w:id="1768649323">
                  <w:marLeft w:val="0"/>
                  <w:marRight w:val="0"/>
                  <w:marTop w:val="0"/>
                  <w:marBottom w:val="0"/>
                  <w:divBdr>
                    <w:top w:val="none" w:sz="0" w:space="0" w:color="auto"/>
                    <w:left w:val="none" w:sz="0" w:space="0" w:color="auto"/>
                    <w:bottom w:val="none" w:sz="0" w:space="0" w:color="auto"/>
                    <w:right w:val="none" w:sz="0" w:space="0" w:color="auto"/>
                  </w:divBdr>
                  <w:divsChild>
                    <w:div w:id="2067143661">
                      <w:marLeft w:val="0"/>
                      <w:marRight w:val="0"/>
                      <w:marTop w:val="0"/>
                      <w:marBottom w:val="0"/>
                      <w:divBdr>
                        <w:top w:val="none" w:sz="0" w:space="0" w:color="auto"/>
                        <w:left w:val="none" w:sz="0" w:space="0" w:color="auto"/>
                        <w:bottom w:val="none" w:sz="0" w:space="0" w:color="auto"/>
                        <w:right w:val="none" w:sz="0" w:space="0" w:color="auto"/>
                      </w:divBdr>
                    </w:div>
                  </w:divsChild>
                </w:div>
                <w:div w:id="1774980127">
                  <w:marLeft w:val="0"/>
                  <w:marRight w:val="0"/>
                  <w:marTop w:val="0"/>
                  <w:marBottom w:val="0"/>
                  <w:divBdr>
                    <w:top w:val="none" w:sz="0" w:space="0" w:color="auto"/>
                    <w:left w:val="none" w:sz="0" w:space="0" w:color="auto"/>
                    <w:bottom w:val="none" w:sz="0" w:space="0" w:color="auto"/>
                    <w:right w:val="none" w:sz="0" w:space="0" w:color="auto"/>
                  </w:divBdr>
                  <w:divsChild>
                    <w:div w:id="1569849847">
                      <w:marLeft w:val="0"/>
                      <w:marRight w:val="0"/>
                      <w:marTop w:val="0"/>
                      <w:marBottom w:val="0"/>
                      <w:divBdr>
                        <w:top w:val="none" w:sz="0" w:space="0" w:color="auto"/>
                        <w:left w:val="none" w:sz="0" w:space="0" w:color="auto"/>
                        <w:bottom w:val="none" w:sz="0" w:space="0" w:color="auto"/>
                        <w:right w:val="none" w:sz="0" w:space="0" w:color="auto"/>
                      </w:divBdr>
                    </w:div>
                  </w:divsChild>
                </w:div>
                <w:div w:id="1779370623">
                  <w:marLeft w:val="0"/>
                  <w:marRight w:val="0"/>
                  <w:marTop w:val="0"/>
                  <w:marBottom w:val="0"/>
                  <w:divBdr>
                    <w:top w:val="none" w:sz="0" w:space="0" w:color="auto"/>
                    <w:left w:val="none" w:sz="0" w:space="0" w:color="auto"/>
                    <w:bottom w:val="none" w:sz="0" w:space="0" w:color="auto"/>
                    <w:right w:val="none" w:sz="0" w:space="0" w:color="auto"/>
                  </w:divBdr>
                  <w:divsChild>
                    <w:div w:id="1201893697">
                      <w:marLeft w:val="0"/>
                      <w:marRight w:val="0"/>
                      <w:marTop w:val="0"/>
                      <w:marBottom w:val="0"/>
                      <w:divBdr>
                        <w:top w:val="none" w:sz="0" w:space="0" w:color="auto"/>
                        <w:left w:val="none" w:sz="0" w:space="0" w:color="auto"/>
                        <w:bottom w:val="none" w:sz="0" w:space="0" w:color="auto"/>
                        <w:right w:val="none" w:sz="0" w:space="0" w:color="auto"/>
                      </w:divBdr>
                    </w:div>
                  </w:divsChild>
                </w:div>
                <w:div w:id="1799492375">
                  <w:marLeft w:val="0"/>
                  <w:marRight w:val="0"/>
                  <w:marTop w:val="0"/>
                  <w:marBottom w:val="0"/>
                  <w:divBdr>
                    <w:top w:val="none" w:sz="0" w:space="0" w:color="auto"/>
                    <w:left w:val="none" w:sz="0" w:space="0" w:color="auto"/>
                    <w:bottom w:val="none" w:sz="0" w:space="0" w:color="auto"/>
                    <w:right w:val="none" w:sz="0" w:space="0" w:color="auto"/>
                  </w:divBdr>
                  <w:divsChild>
                    <w:div w:id="1316030694">
                      <w:marLeft w:val="0"/>
                      <w:marRight w:val="0"/>
                      <w:marTop w:val="0"/>
                      <w:marBottom w:val="0"/>
                      <w:divBdr>
                        <w:top w:val="none" w:sz="0" w:space="0" w:color="auto"/>
                        <w:left w:val="none" w:sz="0" w:space="0" w:color="auto"/>
                        <w:bottom w:val="none" w:sz="0" w:space="0" w:color="auto"/>
                        <w:right w:val="none" w:sz="0" w:space="0" w:color="auto"/>
                      </w:divBdr>
                    </w:div>
                  </w:divsChild>
                </w:div>
                <w:div w:id="1801221964">
                  <w:marLeft w:val="0"/>
                  <w:marRight w:val="0"/>
                  <w:marTop w:val="0"/>
                  <w:marBottom w:val="0"/>
                  <w:divBdr>
                    <w:top w:val="none" w:sz="0" w:space="0" w:color="auto"/>
                    <w:left w:val="none" w:sz="0" w:space="0" w:color="auto"/>
                    <w:bottom w:val="none" w:sz="0" w:space="0" w:color="auto"/>
                    <w:right w:val="none" w:sz="0" w:space="0" w:color="auto"/>
                  </w:divBdr>
                  <w:divsChild>
                    <w:div w:id="752118918">
                      <w:marLeft w:val="0"/>
                      <w:marRight w:val="0"/>
                      <w:marTop w:val="0"/>
                      <w:marBottom w:val="0"/>
                      <w:divBdr>
                        <w:top w:val="none" w:sz="0" w:space="0" w:color="auto"/>
                        <w:left w:val="none" w:sz="0" w:space="0" w:color="auto"/>
                        <w:bottom w:val="none" w:sz="0" w:space="0" w:color="auto"/>
                        <w:right w:val="none" w:sz="0" w:space="0" w:color="auto"/>
                      </w:divBdr>
                    </w:div>
                  </w:divsChild>
                </w:div>
                <w:div w:id="1825005259">
                  <w:marLeft w:val="0"/>
                  <w:marRight w:val="0"/>
                  <w:marTop w:val="0"/>
                  <w:marBottom w:val="0"/>
                  <w:divBdr>
                    <w:top w:val="none" w:sz="0" w:space="0" w:color="auto"/>
                    <w:left w:val="none" w:sz="0" w:space="0" w:color="auto"/>
                    <w:bottom w:val="none" w:sz="0" w:space="0" w:color="auto"/>
                    <w:right w:val="none" w:sz="0" w:space="0" w:color="auto"/>
                  </w:divBdr>
                  <w:divsChild>
                    <w:div w:id="1371110615">
                      <w:marLeft w:val="0"/>
                      <w:marRight w:val="0"/>
                      <w:marTop w:val="0"/>
                      <w:marBottom w:val="0"/>
                      <w:divBdr>
                        <w:top w:val="none" w:sz="0" w:space="0" w:color="auto"/>
                        <w:left w:val="none" w:sz="0" w:space="0" w:color="auto"/>
                        <w:bottom w:val="none" w:sz="0" w:space="0" w:color="auto"/>
                        <w:right w:val="none" w:sz="0" w:space="0" w:color="auto"/>
                      </w:divBdr>
                    </w:div>
                  </w:divsChild>
                </w:div>
                <w:div w:id="1827546873">
                  <w:marLeft w:val="0"/>
                  <w:marRight w:val="0"/>
                  <w:marTop w:val="0"/>
                  <w:marBottom w:val="0"/>
                  <w:divBdr>
                    <w:top w:val="none" w:sz="0" w:space="0" w:color="auto"/>
                    <w:left w:val="none" w:sz="0" w:space="0" w:color="auto"/>
                    <w:bottom w:val="none" w:sz="0" w:space="0" w:color="auto"/>
                    <w:right w:val="none" w:sz="0" w:space="0" w:color="auto"/>
                  </w:divBdr>
                  <w:divsChild>
                    <w:div w:id="1633363533">
                      <w:marLeft w:val="0"/>
                      <w:marRight w:val="0"/>
                      <w:marTop w:val="0"/>
                      <w:marBottom w:val="0"/>
                      <w:divBdr>
                        <w:top w:val="none" w:sz="0" w:space="0" w:color="auto"/>
                        <w:left w:val="none" w:sz="0" w:space="0" w:color="auto"/>
                        <w:bottom w:val="none" w:sz="0" w:space="0" w:color="auto"/>
                        <w:right w:val="none" w:sz="0" w:space="0" w:color="auto"/>
                      </w:divBdr>
                    </w:div>
                  </w:divsChild>
                </w:div>
                <w:div w:id="1831218324">
                  <w:marLeft w:val="0"/>
                  <w:marRight w:val="0"/>
                  <w:marTop w:val="0"/>
                  <w:marBottom w:val="0"/>
                  <w:divBdr>
                    <w:top w:val="none" w:sz="0" w:space="0" w:color="auto"/>
                    <w:left w:val="none" w:sz="0" w:space="0" w:color="auto"/>
                    <w:bottom w:val="none" w:sz="0" w:space="0" w:color="auto"/>
                    <w:right w:val="none" w:sz="0" w:space="0" w:color="auto"/>
                  </w:divBdr>
                  <w:divsChild>
                    <w:div w:id="1511525196">
                      <w:marLeft w:val="0"/>
                      <w:marRight w:val="0"/>
                      <w:marTop w:val="0"/>
                      <w:marBottom w:val="0"/>
                      <w:divBdr>
                        <w:top w:val="none" w:sz="0" w:space="0" w:color="auto"/>
                        <w:left w:val="none" w:sz="0" w:space="0" w:color="auto"/>
                        <w:bottom w:val="none" w:sz="0" w:space="0" w:color="auto"/>
                        <w:right w:val="none" w:sz="0" w:space="0" w:color="auto"/>
                      </w:divBdr>
                    </w:div>
                  </w:divsChild>
                </w:div>
                <w:div w:id="1833175943">
                  <w:marLeft w:val="0"/>
                  <w:marRight w:val="0"/>
                  <w:marTop w:val="0"/>
                  <w:marBottom w:val="0"/>
                  <w:divBdr>
                    <w:top w:val="none" w:sz="0" w:space="0" w:color="auto"/>
                    <w:left w:val="none" w:sz="0" w:space="0" w:color="auto"/>
                    <w:bottom w:val="none" w:sz="0" w:space="0" w:color="auto"/>
                    <w:right w:val="none" w:sz="0" w:space="0" w:color="auto"/>
                  </w:divBdr>
                  <w:divsChild>
                    <w:div w:id="1816992129">
                      <w:marLeft w:val="0"/>
                      <w:marRight w:val="0"/>
                      <w:marTop w:val="0"/>
                      <w:marBottom w:val="0"/>
                      <w:divBdr>
                        <w:top w:val="none" w:sz="0" w:space="0" w:color="auto"/>
                        <w:left w:val="none" w:sz="0" w:space="0" w:color="auto"/>
                        <w:bottom w:val="none" w:sz="0" w:space="0" w:color="auto"/>
                        <w:right w:val="none" w:sz="0" w:space="0" w:color="auto"/>
                      </w:divBdr>
                    </w:div>
                  </w:divsChild>
                </w:div>
                <w:div w:id="1839728137">
                  <w:marLeft w:val="0"/>
                  <w:marRight w:val="0"/>
                  <w:marTop w:val="0"/>
                  <w:marBottom w:val="0"/>
                  <w:divBdr>
                    <w:top w:val="none" w:sz="0" w:space="0" w:color="auto"/>
                    <w:left w:val="none" w:sz="0" w:space="0" w:color="auto"/>
                    <w:bottom w:val="none" w:sz="0" w:space="0" w:color="auto"/>
                    <w:right w:val="none" w:sz="0" w:space="0" w:color="auto"/>
                  </w:divBdr>
                  <w:divsChild>
                    <w:div w:id="1587569507">
                      <w:marLeft w:val="0"/>
                      <w:marRight w:val="0"/>
                      <w:marTop w:val="0"/>
                      <w:marBottom w:val="0"/>
                      <w:divBdr>
                        <w:top w:val="none" w:sz="0" w:space="0" w:color="auto"/>
                        <w:left w:val="none" w:sz="0" w:space="0" w:color="auto"/>
                        <w:bottom w:val="none" w:sz="0" w:space="0" w:color="auto"/>
                        <w:right w:val="none" w:sz="0" w:space="0" w:color="auto"/>
                      </w:divBdr>
                    </w:div>
                  </w:divsChild>
                </w:div>
                <w:div w:id="1841122506">
                  <w:marLeft w:val="0"/>
                  <w:marRight w:val="0"/>
                  <w:marTop w:val="0"/>
                  <w:marBottom w:val="0"/>
                  <w:divBdr>
                    <w:top w:val="none" w:sz="0" w:space="0" w:color="auto"/>
                    <w:left w:val="none" w:sz="0" w:space="0" w:color="auto"/>
                    <w:bottom w:val="none" w:sz="0" w:space="0" w:color="auto"/>
                    <w:right w:val="none" w:sz="0" w:space="0" w:color="auto"/>
                  </w:divBdr>
                  <w:divsChild>
                    <w:div w:id="431898394">
                      <w:marLeft w:val="0"/>
                      <w:marRight w:val="0"/>
                      <w:marTop w:val="0"/>
                      <w:marBottom w:val="0"/>
                      <w:divBdr>
                        <w:top w:val="none" w:sz="0" w:space="0" w:color="auto"/>
                        <w:left w:val="none" w:sz="0" w:space="0" w:color="auto"/>
                        <w:bottom w:val="none" w:sz="0" w:space="0" w:color="auto"/>
                        <w:right w:val="none" w:sz="0" w:space="0" w:color="auto"/>
                      </w:divBdr>
                    </w:div>
                  </w:divsChild>
                </w:div>
                <w:div w:id="1860850736">
                  <w:marLeft w:val="0"/>
                  <w:marRight w:val="0"/>
                  <w:marTop w:val="0"/>
                  <w:marBottom w:val="0"/>
                  <w:divBdr>
                    <w:top w:val="none" w:sz="0" w:space="0" w:color="auto"/>
                    <w:left w:val="none" w:sz="0" w:space="0" w:color="auto"/>
                    <w:bottom w:val="none" w:sz="0" w:space="0" w:color="auto"/>
                    <w:right w:val="none" w:sz="0" w:space="0" w:color="auto"/>
                  </w:divBdr>
                  <w:divsChild>
                    <w:div w:id="1719083503">
                      <w:marLeft w:val="0"/>
                      <w:marRight w:val="0"/>
                      <w:marTop w:val="0"/>
                      <w:marBottom w:val="0"/>
                      <w:divBdr>
                        <w:top w:val="none" w:sz="0" w:space="0" w:color="auto"/>
                        <w:left w:val="none" w:sz="0" w:space="0" w:color="auto"/>
                        <w:bottom w:val="none" w:sz="0" w:space="0" w:color="auto"/>
                        <w:right w:val="none" w:sz="0" w:space="0" w:color="auto"/>
                      </w:divBdr>
                    </w:div>
                  </w:divsChild>
                </w:div>
                <w:div w:id="1871993948">
                  <w:marLeft w:val="0"/>
                  <w:marRight w:val="0"/>
                  <w:marTop w:val="0"/>
                  <w:marBottom w:val="0"/>
                  <w:divBdr>
                    <w:top w:val="none" w:sz="0" w:space="0" w:color="auto"/>
                    <w:left w:val="none" w:sz="0" w:space="0" w:color="auto"/>
                    <w:bottom w:val="none" w:sz="0" w:space="0" w:color="auto"/>
                    <w:right w:val="none" w:sz="0" w:space="0" w:color="auto"/>
                  </w:divBdr>
                  <w:divsChild>
                    <w:div w:id="1969585384">
                      <w:marLeft w:val="0"/>
                      <w:marRight w:val="0"/>
                      <w:marTop w:val="0"/>
                      <w:marBottom w:val="0"/>
                      <w:divBdr>
                        <w:top w:val="none" w:sz="0" w:space="0" w:color="auto"/>
                        <w:left w:val="none" w:sz="0" w:space="0" w:color="auto"/>
                        <w:bottom w:val="none" w:sz="0" w:space="0" w:color="auto"/>
                        <w:right w:val="none" w:sz="0" w:space="0" w:color="auto"/>
                      </w:divBdr>
                    </w:div>
                  </w:divsChild>
                </w:div>
                <w:div w:id="1879968165">
                  <w:marLeft w:val="0"/>
                  <w:marRight w:val="0"/>
                  <w:marTop w:val="0"/>
                  <w:marBottom w:val="0"/>
                  <w:divBdr>
                    <w:top w:val="none" w:sz="0" w:space="0" w:color="auto"/>
                    <w:left w:val="none" w:sz="0" w:space="0" w:color="auto"/>
                    <w:bottom w:val="none" w:sz="0" w:space="0" w:color="auto"/>
                    <w:right w:val="none" w:sz="0" w:space="0" w:color="auto"/>
                  </w:divBdr>
                  <w:divsChild>
                    <w:div w:id="640886990">
                      <w:marLeft w:val="0"/>
                      <w:marRight w:val="0"/>
                      <w:marTop w:val="0"/>
                      <w:marBottom w:val="0"/>
                      <w:divBdr>
                        <w:top w:val="none" w:sz="0" w:space="0" w:color="auto"/>
                        <w:left w:val="none" w:sz="0" w:space="0" w:color="auto"/>
                        <w:bottom w:val="none" w:sz="0" w:space="0" w:color="auto"/>
                        <w:right w:val="none" w:sz="0" w:space="0" w:color="auto"/>
                      </w:divBdr>
                    </w:div>
                  </w:divsChild>
                </w:div>
                <w:div w:id="1898734357">
                  <w:marLeft w:val="0"/>
                  <w:marRight w:val="0"/>
                  <w:marTop w:val="0"/>
                  <w:marBottom w:val="0"/>
                  <w:divBdr>
                    <w:top w:val="none" w:sz="0" w:space="0" w:color="auto"/>
                    <w:left w:val="none" w:sz="0" w:space="0" w:color="auto"/>
                    <w:bottom w:val="none" w:sz="0" w:space="0" w:color="auto"/>
                    <w:right w:val="none" w:sz="0" w:space="0" w:color="auto"/>
                  </w:divBdr>
                  <w:divsChild>
                    <w:div w:id="597103854">
                      <w:marLeft w:val="0"/>
                      <w:marRight w:val="0"/>
                      <w:marTop w:val="0"/>
                      <w:marBottom w:val="0"/>
                      <w:divBdr>
                        <w:top w:val="none" w:sz="0" w:space="0" w:color="auto"/>
                        <w:left w:val="none" w:sz="0" w:space="0" w:color="auto"/>
                        <w:bottom w:val="none" w:sz="0" w:space="0" w:color="auto"/>
                        <w:right w:val="none" w:sz="0" w:space="0" w:color="auto"/>
                      </w:divBdr>
                    </w:div>
                  </w:divsChild>
                </w:div>
                <w:div w:id="1905144567">
                  <w:marLeft w:val="0"/>
                  <w:marRight w:val="0"/>
                  <w:marTop w:val="0"/>
                  <w:marBottom w:val="0"/>
                  <w:divBdr>
                    <w:top w:val="none" w:sz="0" w:space="0" w:color="auto"/>
                    <w:left w:val="none" w:sz="0" w:space="0" w:color="auto"/>
                    <w:bottom w:val="none" w:sz="0" w:space="0" w:color="auto"/>
                    <w:right w:val="none" w:sz="0" w:space="0" w:color="auto"/>
                  </w:divBdr>
                  <w:divsChild>
                    <w:div w:id="1214540940">
                      <w:marLeft w:val="0"/>
                      <w:marRight w:val="0"/>
                      <w:marTop w:val="0"/>
                      <w:marBottom w:val="0"/>
                      <w:divBdr>
                        <w:top w:val="none" w:sz="0" w:space="0" w:color="auto"/>
                        <w:left w:val="none" w:sz="0" w:space="0" w:color="auto"/>
                        <w:bottom w:val="none" w:sz="0" w:space="0" w:color="auto"/>
                        <w:right w:val="none" w:sz="0" w:space="0" w:color="auto"/>
                      </w:divBdr>
                    </w:div>
                  </w:divsChild>
                </w:div>
                <w:div w:id="1919704835">
                  <w:marLeft w:val="0"/>
                  <w:marRight w:val="0"/>
                  <w:marTop w:val="0"/>
                  <w:marBottom w:val="0"/>
                  <w:divBdr>
                    <w:top w:val="none" w:sz="0" w:space="0" w:color="auto"/>
                    <w:left w:val="none" w:sz="0" w:space="0" w:color="auto"/>
                    <w:bottom w:val="none" w:sz="0" w:space="0" w:color="auto"/>
                    <w:right w:val="none" w:sz="0" w:space="0" w:color="auto"/>
                  </w:divBdr>
                  <w:divsChild>
                    <w:div w:id="939801500">
                      <w:marLeft w:val="0"/>
                      <w:marRight w:val="0"/>
                      <w:marTop w:val="0"/>
                      <w:marBottom w:val="0"/>
                      <w:divBdr>
                        <w:top w:val="none" w:sz="0" w:space="0" w:color="auto"/>
                        <w:left w:val="none" w:sz="0" w:space="0" w:color="auto"/>
                        <w:bottom w:val="none" w:sz="0" w:space="0" w:color="auto"/>
                        <w:right w:val="none" w:sz="0" w:space="0" w:color="auto"/>
                      </w:divBdr>
                    </w:div>
                  </w:divsChild>
                </w:div>
                <w:div w:id="1931158249">
                  <w:marLeft w:val="0"/>
                  <w:marRight w:val="0"/>
                  <w:marTop w:val="0"/>
                  <w:marBottom w:val="0"/>
                  <w:divBdr>
                    <w:top w:val="none" w:sz="0" w:space="0" w:color="auto"/>
                    <w:left w:val="none" w:sz="0" w:space="0" w:color="auto"/>
                    <w:bottom w:val="none" w:sz="0" w:space="0" w:color="auto"/>
                    <w:right w:val="none" w:sz="0" w:space="0" w:color="auto"/>
                  </w:divBdr>
                  <w:divsChild>
                    <w:div w:id="809059953">
                      <w:marLeft w:val="0"/>
                      <w:marRight w:val="0"/>
                      <w:marTop w:val="0"/>
                      <w:marBottom w:val="0"/>
                      <w:divBdr>
                        <w:top w:val="none" w:sz="0" w:space="0" w:color="auto"/>
                        <w:left w:val="none" w:sz="0" w:space="0" w:color="auto"/>
                        <w:bottom w:val="none" w:sz="0" w:space="0" w:color="auto"/>
                        <w:right w:val="none" w:sz="0" w:space="0" w:color="auto"/>
                      </w:divBdr>
                    </w:div>
                  </w:divsChild>
                </w:div>
                <w:div w:id="1931884936">
                  <w:marLeft w:val="0"/>
                  <w:marRight w:val="0"/>
                  <w:marTop w:val="0"/>
                  <w:marBottom w:val="0"/>
                  <w:divBdr>
                    <w:top w:val="none" w:sz="0" w:space="0" w:color="auto"/>
                    <w:left w:val="none" w:sz="0" w:space="0" w:color="auto"/>
                    <w:bottom w:val="none" w:sz="0" w:space="0" w:color="auto"/>
                    <w:right w:val="none" w:sz="0" w:space="0" w:color="auto"/>
                  </w:divBdr>
                  <w:divsChild>
                    <w:div w:id="1094207983">
                      <w:marLeft w:val="0"/>
                      <w:marRight w:val="0"/>
                      <w:marTop w:val="0"/>
                      <w:marBottom w:val="0"/>
                      <w:divBdr>
                        <w:top w:val="none" w:sz="0" w:space="0" w:color="auto"/>
                        <w:left w:val="none" w:sz="0" w:space="0" w:color="auto"/>
                        <w:bottom w:val="none" w:sz="0" w:space="0" w:color="auto"/>
                        <w:right w:val="none" w:sz="0" w:space="0" w:color="auto"/>
                      </w:divBdr>
                    </w:div>
                  </w:divsChild>
                </w:div>
                <w:div w:id="1935478895">
                  <w:marLeft w:val="0"/>
                  <w:marRight w:val="0"/>
                  <w:marTop w:val="0"/>
                  <w:marBottom w:val="0"/>
                  <w:divBdr>
                    <w:top w:val="none" w:sz="0" w:space="0" w:color="auto"/>
                    <w:left w:val="none" w:sz="0" w:space="0" w:color="auto"/>
                    <w:bottom w:val="none" w:sz="0" w:space="0" w:color="auto"/>
                    <w:right w:val="none" w:sz="0" w:space="0" w:color="auto"/>
                  </w:divBdr>
                  <w:divsChild>
                    <w:div w:id="1008289813">
                      <w:marLeft w:val="0"/>
                      <w:marRight w:val="0"/>
                      <w:marTop w:val="0"/>
                      <w:marBottom w:val="0"/>
                      <w:divBdr>
                        <w:top w:val="none" w:sz="0" w:space="0" w:color="auto"/>
                        <w:left w:val="none" w:sz="0" w:space="0" w:color="auto"/>
                        <w:bottom w:val="none" w:sz="0" w:space="0" w:color="auto"/>
                        <w:right w:val="none" w:sz="0" w:space="0" w:color="auto"/>
                      </w:divBdr>
                    </w:div>
                  </w:divsChild>
                </w:div>
                <w:div w:id="1944217415">
                  <w:marLeft w:val="0"/>
                  <w:marRight w:val="0"/>
                  <w:marTop w:val="0"/>
                  <w:marBottom w:val="0"/>
                  <w:divBdr>
                    <w:top w:val="none" w:sz="0" w:space="0" w:color="auto"/>
                    <w:left w:val="none" w:sz="0" w:space="0" w:color="auto"/>
                    <w:bottom w:val="none" w:sz="0" w:space="0" w:color="auto"/>
                    <w:right w:val="none" w:sz="0" w:space="0" w:color="auto"/>
                  </w:divBdr>
                  <w:divsChild>
                    <w:div w:id="880090621">
                      <w:marLeft w:val="0"/>
                      <w:marRight w:val="0"/>
                      <w:marTop w:val="0"/>
                      <w:marBottom w:val="0"/>
                      <w:divBdr>
                        <w:top w:val="none" w:sz="0" w:space="0" w:color="auto"/>
                        <w:left w:val="none" w:sz="0" w:space="0" w:color="auto"/>
                        <w:bottom w:val="none" w:sz="0" w:space="0" w:color="auto"/>
                        <w:right w:val="none" w:sz="0" w:space="0" w:color="auto"/>
                      </w:divBdr>
                    </w:div>
                  </w:divsChild>
                </w:div>
                <w:div w:id="1974827150">
                  <w:marLeft w:val="0"/>
                  <w:marRight w:val="0"/>
                  <w:marTop w:val="0"/>
                  <w:marBottom w:val="0"/>
                  <w:divBdr>
                    <w:top w:val="none" w:sz="0" w:space="0" w:color="auto"/>
                    <w:left w:val="none" w:sz="0" w:space="0" w:color="auto"/>
                    <w:bottom w:val="none" w:sz="0" w:space="0" w:color="auto"/>
                    <w:right w:val="none" w:sz="0" w:space="0" w:color="auto"/>
                  </w:divBdr>
                  <w:divsChild>
                    <w:div w:id="1789543425">
                      <w:marLeft w:val="0"/>
                      <w:marRight w:val="0"/>
                      <w:marTop w:val="0"/>
                      <w:marBottom w:val="0"/>
                      <w:divBdr>
                        <w:top w:val="none" w:sz="0" w:space="0" w:color="auto"/>
                        <w:left w:val="none" w:sz="0" w:space="0" w:color="auto"/>
                        <w:bottom w:val="none" w:sz="0" w:space="0" w:color="auto"/>
                        <w:right w:val="none" w:sz="0" w:space="0" w:color="auto"/>
                      </w:divBdr>
                    </w:div>
                  </w:divsChild>
                </w:div>
                <w:div w:id="1975521348">
                  <w:marLeft w:val="0"/>
                  <w:marRight w:val="0"/>
                  <w:marTop w:val="0"/>
                  <w:marBottom w:val="0"/>
                  <w:divBdr>
                    <w:top w:val="none" w:sz="0" w:space="0" w:color="auto"/>
                    <w:left w:val="none" w:sz="0" w:space="0" w:color="auto"/>
                    <w:bottom w:val="none" w:sz="0" w:space="0" w:color="auto"/>
                    <w:right w:val="none" w:sz="0" w:space="0" w:color="auto"/>
                  </w:divBdr>
                  <w:divsChild>
                    <w:div w:id="1448312100">
                      <w:marLeft w:val="0"/>
                      <w:marRight w:val="0"/>
                      <w:marTop w:val="0"/>
                      <w:marBottom w:val="0"/>
                      <w:divBdr>
                        <w:top w:val="none" w:sz="0" w:space="0" w:color="auto"/>
                        <w:left w:val="none" w:sz="0" w:space="0" w:color="auto"/>
                        <w:bottom w:val="none" w:sz="0" w:space="0" w:color="auto"/>
                        <w:right w:val="none" w:sz="0" w:space="0" w:color="auto"/>
                      </w:divBdr>
                    </w:div>
                  </w:divsChild>
                </w:div>
                <w:div w:id="1977681628">
                  <w:marLeft w:val="0"/>
                  <w:marRight w:val="0"/>
                  <w:marTop w:val="0"/>
                  <w:marBottom w:val="0"/>
                  <w:divBdr>
                    <w:top w:val="none" w:sz="0" w:space="0" w:color="auto"/>
                    <w:left w:val="none" w:sz="0" w:space="0" w:color="auto"/>
                    <w:bottom w:val="none" w:sz="0" w:space="0" w:color="auto"/>
                    <w:right w:val="none" w:sz="0" w:space="0" w:color="auto"/>
                  </w:divBdr>
                  <w:divsChild>
                    <w:div w:id="1448549921">
                      <w:marLeft w:val="0"/>
                      <w:marRight w:val="0"/>
                      <w:marTop w:val="0"/>
                      <w:marBottom w:val="0"/>
                      <w:divBdr>
                        <w:top w:val="none" w:sz="0" w:space="0" w:color="auto"/>
                        <w:left w:val="none" w:sz="0" w:space="0" w:color="auto"/>
                        <w:bottom w:val="none" w:sz="0" w:space="0" w:color="auto"/>
                        <w:right w:val="none" w:sz="0" w:space="0" w:color="auto"/>
                      </w:divBdr>
                    </w:div>
                  </w:divsChild>
                </w:div>
                <w:div w:id="1988851792">
                  <w:marLeft w:val="0"/>
                  <w:marRight w:val="0"/>
                  <w:marTop w:val="0"/>
                  <w:marBottom w:val="0"/>
                  <w:divBdr>
                    <w:top w:val="none" w:sz="0" w:space="0" w:color="auto"/>
                    <w:left w:val="none" w:sz="0" w:space="0" w:color="auto"/>
                    <w:bottom w:val="none" w:sz="0" w:space="0" w:color="auto"/>
                    <w:right w:val="none" w:sz="0" w:space="0" w:color="auto"/>
                  </w:divBdr>
                  <w:divsChild>
                    <w:div w:id="1235627164">
                      <w:marLeft w:val="0"/>
                      <w:marRight w:val="0"/>
                      <w:marTop w:val="0"/>
                      <w:marBottom w:val="0"/>
                      <w:divBdr>
                        <w:top w:val="none" w:sz="0" w:space="0" w:color="auto"/>
                        <w:left w:val="none" w:sz="0" w:space="0" w:color="auto"/>
                        <w:bottom w:val="none" w:sz="0" w:space="0" w:color="auto"/>
                        <w:right w:val="none" w:sz="0" w:space="0" w:color="auto"/>
                      </w:divBdr>
                    </w:div>
                  </w:divsChild>
                </w:div>
                <w:div w:id="2001688613">
                  <w:marLeft w:val="0"/>
                  <w:marRight w:val="0"/>
                  <w:marTop w:val="0"/>
                  <w:marBottom w:val="0"/>
                  <w:divBdr>
                    <w:top w:val="none" w:sz="0" w:space="0" w:color="auto"/>
                    <w:left w:val="none" w:sz="0" w:space="0" w:color="auto"/>
                    <w:bottom w:val="none" w:sz="0" w:space="0" w:color="auto"/>
                    <w:right w:val="none" w:sz="0" w:space="0" w:color="auto"/>
                  </w:divBdr>
                  <w:divsChild>
                    <w:div w:id="1019431664">
                      <w:marLeft w:val="0"/>
                      <w:marRight w:val="0"/>
                      <w:marTop w:val="0"/>
                      <w:marBottom w:val="0"/>
                      <w:divBdr>
                        <w:top w:val="none" w:sz="0" w:space="0" w:color="auto"/>
                        <w:left w:val="none" w:sz="0" w:space="0" w:color="auto"/>
                        <w:bottom w:val="none" w:sz="0" w:space="0" w:color="auto"/>
                        <w:right w:val="none" w:sz="0" w:space="0" w:color="auto"/>
                      </w:divBdr>
                    </w:div>
                  </w:divsChild>
                </w:div>
                <w:div w:id="2005862012">
                  <w:marLeft w:val="0"/>
                  <w:marRight w:val="0"/>
                  <w:marTop w:val="0"/>
                  <w:marBottom w:val="0"/>
                  <w:divBdr>
                    <w:top w:val="none" w:sz="0" w:space="0" w:color="auto"/>
                    <w:left w:val="none" w:sz="0" w:space="0" w:color="auto"/>
                    <w:bottom w:val="none" w:sz="0" w:space="0" w:color="auto"/>
                    <w:right w:val="none" w:sz="0" w:space="0" w:color="auto"/>
                  </w:divBdr>
                  <w:divsChild>
                    <w:div w:id="1538735488">
                      <w:marLeft w:val="0"/>
                      <w:marRight w:val="0"/>
                      <w:marTop w:val="0"/>
                      <w:marBottom w:val="0"/>
                      <w:divBdr>
                        <w:top w:val="none" w:sz="0" w:space="0" w:color="auto"/>
                        <w:left w:val="none" w:sz="0" w:space="0" w:color="auto"/>
                        <w:bottom w:val="none" w:sz="0" w:space="0" w:color="auto"/>
                        <w:right w:val="none" w:sz="0" w:space="0" w:color="auto"/>
                      </w:divBdr>
                    </w:div>
                  </w:divsChild>
                </w:div>
                <w:div w:id="2032218861">
                  <w:marLeft w:val="0"/>
                  <w:marRight w:val="0"/>
                  <w:marTop w:val="0"/>
                  <w:marBottom w:val="0"/>
                  <w:divBdr>
                    <w:top w:val="none" w:sz="0" w:space="0" w:color="auto"/>
                    <w:left w:val="none" w:sz="0" w:space="0" w:color="auto"/>
                    <w:bottom w:val="none" w:sz="0" w:space="0" w:color="auto"/>
                    <w:right w:val="none" w:sz="0" w:space="0" w:color="auto"/>
                  </w:divBdr>
                  <w:divsChild>
                    <w:div w:id="950816723">
                      <w:marLeft w:val="0"/>
                      <w:marRight w:val="0"/>
                      <w:marTop w:val="0"/>
                      <w:marBottom w:val="0"/>
                      <w:divBdr>
                        <w:top w:val="none" w:sz="0" w:space="0" w:color="auto"/>
                        <w:left w:val="none" w:sz="0" w:space="0" w:color="auto"/>
                        <w:bottom w:val="none" w:sz="0" w:space="0" w:color="auto"/>
                        <w:right w:val="none" w:sz="0" w:space="0" w:color="auto"/>
                      </w:divBdr>
                    </w:div>
                  </w:divsChild>
                </w:div>
                <w:div w:id="2032955829">
                  <w:marLeft w:val="0"/>
                  <w:marRight w:val="0"/>
                  <w:marTop w:val="0"/>
                  <w:marBottom w:val="0"/>
                  <w:divBdr>
                    <w:top w:val="none" w:sz="0" w:space="0" w:color="auto"/>
                    <w:left w:val="none" w:sz="0" w:space="0" w:color="auto"/>
                    <w:bottom w:val="none" w:sz="0" w:space="0" w:color="auto"/>
                    <w:right w:val="none" w:sz="0" w:space="0" w:color="auto"/>
                  </w:divBdr>
                  <w:divsChild>
                    <w:div w:id="85467652">
                      <w:marLeft w:val="0"/>
                      <w:marRight w:val="0"/>
                      <w:marTop w:val="0"/>
                      <w:marBottom w:val="0"/>
                      <w:divBdr>
                        <w:top w:val="none" w:sz="0" w:space="0" w:color="auto"/>
                        <w:left w:val="none" w:sz="0" w:space="0" w:color="auto"/>
                        <w:bottom w:val="none" w:sz="0" w:space="0" w:color="auto"/>
                        <w:right w:val="none" w:sz="0" w:space="0" w:color="auto"/>
                      </w:divBdr>
                    </w:div>
                  </w:divsChild>
                </w:div>
                <w:div w:id="2055738644">
                  <w:marLeft w:val="0"/>
                  <w:marRight w:val="0"/>
                  <w:marTop w:val="0"/>
                  <w:marBottom w:val="0"/>
                  <w:divBdr>
                    <w:top w:val="none" w:sz="0" w:space="0" w:color="auto"/>
                    <w:left w:val="none" w:sz="0" w:space="0" w:color="auto"/>
                    <w:bottom w:val="none" w:sz="0" w:space="0" w:color="auto"/>
                    <w:right w:val="none" w:sz="0" w:space="0" w:color="auto"/>
                  </w:divBdr>
                  <w:divsChild>
                    <w:div w:id="194928229">
                      <w:marLeft w:val="0"/>
                      <w:marRight w:val="0"/>
                      <w:marTop w:val="0"/>
                      <w:marBottom w:val="0"/>
                      <w:divBdr>
                        <w:top w:val="none" w:sz="0" w:space="0" w:color="auto"/>
                        <w:left w:val="none" w:sz="0" w:space="0" w:color="auto"/>
                        <w:bottom w:val="none" w:sz="0" w:space="0" w:color="auto"/>
                        <w:right w:val="none" w:sz="0" w:space="0" w:color="auto"/>
                      </w:divBdr>
                    </w:div>
                  </w:divsChild>
                </w:div>
                <w:div w:id="2091656579">
                  <w:marLeft w:val="0"/>
                  <w:marRight w:val="0"/>
                  <w:marTop w:val="0"/>
                  <w:marBottom w:val="0"/>
                  <w:divBdr>
                    <w:top w:val="none" w:sz="0" w:space="0" w:color="auto"/>
                    <w:left w:val="none" w:sz="0" w:space="0" w:color="auto"/>
                    <w:bottom w:val="none" w:sz="0" w:space="0" w:color="auto"/>
                    <w:right w:val="none" w:sz="0" w:space="0" w:color="auto"/>
                  </w:divBdr>
                  <w:divsChild>
                    <w:div w:id="1333877589">
                      <w:marLeft w:val="0"/>
                      <w:marRight w:val="0"/>
                      <w:marTop w:val="0"/>
                      <w:marBottom w:val="0"/>
                      <w:divBdr>
                        <w:top w:val="none" w:sz="0" w:space="0" w:color="auto"/>
                        <w:left w:val="none" w:sz="0" w:space="0" w:color="auto"/>
                        <w:bottom w:val="none" w:sz="0" w:space="0" w:color="auto"/>
                        <w:right w:val="none" w:sz="0" w:space="0" w:color="auto"/>
                      </w:divBdr>
                    </w:div>
                  </w:divsChild>
                </w:div>
                <w:div w:id="2095977009">
                  <w:marLeft w:val="0"/>
                  <w:marRight w:val="0"/>
                  <w:marTop w:val="0"/>
                  <w:marBottom w:val="0"/>
                  <w:divBdr>
                    <w:top w:val="none" w:sz="0" w:space="0" w:color="auto"/>
                    <w:left w:val="none" w:sz="0" w:space="0" w:color="auto"/>
                    <w:bottom w:val="none" w:sz="0" w:space="0" w:color="auto"/>
                    <w:right w:val="none" w:sz="0" w:space="0" w:color="auto"/>
                  </w:divBdr>
                  <w:divsChild>
                    <w:div w:id="1178080567">
                      <w:marLeft w:val="0"/>
                      <w:marRight w:val="0"/>
                      <w:marTop w:val="0"/>
                      <w:marBottom w:val="0"/>
                      <w:divBdr>
                        <w:top w:val="none" w:sz="0" w:space="0" w:color="auto"/>
                        <w:left w:val="none" w:sz="0" w:space="0" w:color="auto"/>
                        <w:bottom w:val="none" w:sz="0" w:space="0" w:color="auto"/>
                        <w:right w:val="none" w:sz="0" w:space="0" w:color="auto"/>
                      </w:divBdr>
                    </w:div>
                  </w:divsChild>
                </w:div>
                <w:div w:id="2099787102">
                  <w:marLeft w:val="0"/>
                  <w:marRight w:val="0"/>
                  <w:marTop w:val="0"/>
                  <w:marBottom w:val="0"/>
                  <w:divBdr>
                    <w:top w:val="none" w:sz="0" w:space="0" w:color="auto"/>
                    <w:left w:val="none" w:sz="0" w:space="0" w:color="auto"/>
                    <w:bottom w:val="none" w:sz="0" w:space="0" w:color="auto"/>
                    <w:right w:val="none" w:sz="0" w:space="0" w:color="auto"/>
                  </w:divBdr>
                  <w:divsChild>
                    <w:div w:id="43062016">
                      <w:marLeft w:val="0"/>
                      <w:marRight w:val="0"/>
                      <w:marTop w:val="0"/>
                      <w:marBottom w:val="0"/>
                      <w:divBdr>
                        <w:top w:val="none" w:sz="0" w:space="0" w:color="auto"/>
                        <w:left w:val="none" w:sz="0" w:space="0" w:color="auto"/>
                        <w:bottom w:val="none" w:sz="0" w:space="0" w:color="auto"/>
                        <w:right w:val="none" w:sz="0" w:space="0" w:color="auto"/>
                      </w:divBdr>
                    </w:div>
                  </w:divsChild>
                </w:div>
                <w:div w:id="2105300392">
                  <w:marLeft w:val="0"/>
                  <w:marRight w:val="0"/>
                  <w:marTop w:val="0"/>
                  <w:marBottom w:val="0"/>
                  <w:divBdr>
                    <w:top w:val="none" w:sz="0" w:space="0" w:color="auto"/>
                    <w:left w:val="none" w:sz="0" w:space="0" w:color="auto"/>
                    <w:bottom w:val="none" w:sz="0" w:space="0" w:color="auto"/>
                    <w:right w:val="none" w:sz="0" w:space="0" w:color="auto"/>
                  </w:divBdr>
                  <w:divsChild>
                    <w:div w:id="579369789">
                      <w:marLeft w:val="0"/>
                      <w:marRight w:val="0"/>
                      <w:marTop w:val="0"/>
                      <w:marBottom w:val="0"/>
                      <w:divBdr>
                        <w:top w:val="none" w:sz="0" w:space="0" w:color="auto"/>
                        <w:left w:val="none" w:sz="0" w:space="0" w:color="auto"/>
                        <w:bottom w:val="none" w:sz="0" w:space="0" w:color="auto"/>
                        <w:right w:val="none" w:sz="0" w:space="0" w:color="auto"/>
                      </w:divBdr>
                    </w:div>
                  </w:divsChild>
                </w:div>
                <w:div w:id="2118215891">
                  <w:marLeft w:val="0"/>
                  <w:marRight w:val="0"/>
                  <w:marTop w:val="0"/>
                  <w:marBottom w:val="0"/>
                  <w:divBdr>
                    <w:top w:val="none" w:sz="0" w:space="0" w:color="auto"/>
                    <w:left w:val="none" w:sz="0" w:space="0" w:color="auto"/>
                    <w:bottom w:val="none" w:sz="0" w:space="0" w:color="auto"/>
                    <w:right w:val="none" w:sz="0" w:space="0" w:color="auto"/>
                  </w:divBdr>
                  <w:divsChild>
                    <w:div w:id="690571382">
                      <w:marLeft w:val="0"/>
                      <w:marRight w:val="0"/>
                      <w:marTop w:val="0"/>
                      <w:marBottom w:val="0"/>
                      <w:divBdr>
                        <w:top w:val="none" w:sz="0" w:space="0" w:color="auto"/>
                        <w:left w:val="none" w:sz="0" w:space="0" w:color="auto"/>
                        <w:bottom w:val="none" w:sz="0" w:space="0" w:color="auto"/>
                        <w:right w:val="none" w:sz="0" w:space="0" w:color="auto"/>
                      </w:divBdr>
                    </w:div>
                  </w:divsChild>
                </w:div>
                <w:div w:id="2128573375">
                  <w:marLeft w:val="0"/>
                  <w:marRight w:val="0"/>
                  <w:marTop w:val="0"/>
                  <w:marBottom w:val="0"/>
                  <w:divBdr>
                    <w:top w:val="none" w:sz="0" w:space="0" w:color="auto"/>
                    <w:left w:val="none" w:sz="0" w:space="0" w:color="auto"/>
                    <w:bottom w:val="none" w:sz="0" w:space="0" w:color="auto"/>
                    <w:right w:val="none" w:sz="0" w:space="0" w:color="auto"/>
                  </w:divBdr>
                  <w:divsChild>
                    <w:div w:id="416290624">
                      <w:marLeft w:val="0"/>
                      <w:marRight w:val="0"/>
                      <w:marTop w:val="0"/>
                      <w:marBottom w:val="0"/>
                      <w:divBdr>
                        <w:top w:val="none" w:sz="0" w:space="0" w:color="auto"/>
                        <w:left w:val="none" w:sz="0" w:space="0" w:color="auto"/>
                        <w:bottom w:val="none" w:sz="0" w:space="0" w:color="auto"/>
                        <w:right w:val="none" w:sz="0" w:space="0" w:color="auto"/>
                      </w:divBdr>
                    </w:div>
                  </w:divsChild>
                </w:div>
                <w:div w:id="2131052838">
                  <w:marLeft w:val="0"/>
                  <w:marRight w:val="0"/>
                  <w:marTop w:val="0"/>
                  <w:marBottom w:val="0"/>
                  <w:divBdr>
                    <w:top w:val="none" w:sz="0" w:space="0" w:color="auto"/>
                    <w:left w:val="none" w:sz="0" w:space="0" w:color="auto"/>
                    <w:bottom w:val="none" w:sz="0" w:space="0" w:color="auto"/>
                    <w:right w:val="none" w:sz="0" w:space="0" w:color="auto"/>
                  </w:divBdr>
                  <w:divsChild>
                    <w:div w:id="203240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37352">
          <w:marLeft w:val="0"/>
          <w:marRight w:val="0"/>
          <w:marTop w:val="0"/>
          <w:marBottom w:val="0"/>
          <w:divBdr>
            <w:top w:val="none" w:sz="0" w:space="0" w:color="auto"/>
            <w:left w:val="none" w:sz="0" w:space="0" w:color="auto"/>
            <w:bottom w:val="none" w:sz="0" w:space="0" w:color="auto"/>
            <w:right w:val="none" w:sz="0" w:space="0" w:color="auto"/>
          </w:divBdr>
        </w:div>
        <w:div w:id="1277055258">
          <w:marLeft w:val="0"/>
          <w:marRight w:val="0"/>
          <w:marTop w:val="0"/>
          <w:marBottom w:val="0"/>
          <w:divBdr>
            <w:top w:val="none" w:sz="0" w:space="0" w:color="auto"/>
            <w:left w:val="none" w:sz="0" w:space="0" w:color="auto"/>
            <w:bottom w:val="none" w:sz="0" w:space="0" w:color="auto"/>
            <w:right w:val="none" w:sz="0" w:space="0" w:color="auto"/>
          </w:divBdr>
        </w:div>
      </w:divsChild>
    </w:div>
    <w:div w:id="1724328371">
      <w:bodyDiv w:val="1"/>
      <w:marLeft w:val="0"/>
      <w:marRight w:val="0"/>
      <w:marTop w:val="0"/>
      <w:marBottom w:val="0"/>
      <w:divBdr>
        <w:top w:val="none" w:sz="0" w:space="0" w:color="auto"/>
        <w:left w:val="none" w:sz="0" w:space="0" w:color="auto"/>
        <w:bottom w:val="none" w:sz="0" w:space="0" w:color="auto"/>
        <w:right w:val="none" w:sz="0" w:space="0" w:color="auto"/>
      </w:divBdr>
    </w:div>
    <w:div w:id="1730106582">
      <w:bodyDiv w:val="1"/>
      <w:marLeft w:val="0"/>
      <w:marRight w:val="0"/>
      <w:marTop w:val="0"/>
      <w:marBottom w:val="0"/>
      <w:divBdr>
        <w:top w:val="none" w:sz="0" w:space="0" w:color="auto"/>
        <w:left w:val="none" w:sz="0" w:space="0" w:color="auto"/>
        <w:bottom w:val="none" w:sz="0" w:space="0" w:color="auto"/>
        <w:right w:val="none" w:sz="0" w:space="0" w:color="auto"/>
      </w:divBdr>
    </w:div>
    <w:div w:id="1735738969">
      <w:bodyDiv w:val="1"/>
      <w:marLeft w:val="0"/>
      <w:marRight w:val="0"/>
      <w:marTop w:val="0"/>
      <w:marBottom w:val="0"/>
      <w:divBdr>
        <w:top w:val="none" w:sz="0" w:space="0" w:color="auto"/>
        <w:left w:val="none" w:sz="0" w:space="0" w:color="auto"/>
        <w:bottom w:val="none" w:sz="0" w:space="0" w:color="auto"/>
        <w:right w:val="none" w:sz="0" w:space="0" w:color="auto"/>
      </w:divBdr>
    </w:div>
    <w:div w:id="1783575861">
      <w:bodyDiv w:val="1"/>
      <w:marLeft w:val="0"/>
      <w:marRight w:val="0"/>
      <w:marTop w:val="0"/>
      <w:marBottom w:val="0"/>
      <w:divBdr>
        <w:top w:val="none" w:sz="0" w:space="0" w:color="auto"/>
        <w:left w:val="none" w:sz="0" w:space="0" w:color="auto"/>
        <w:bottom w:val="none" w:sz="0" w:space="0" w:color="auto"/>
        <w:right w:val="none" w:sz="0" w:space="0" w:color="auto"/>
      </w:divBdr>
      <w:divsChild>
        <w:div w:id="99111591">
          <w:marLeft w:val="0"/>
          <w:marRight w:val="0"/>
          <w:marTop w:val="0"/>
          <w:marBottom w:val="0"/>
          <w:divBdr>
            <w:top w:val="none" w:sz="0" w:space="0" w:color="auto"/>
            <w:left w:val="none" w:sz="0" w:space="0" w:color="auto"/>
            <w:bottom w:val="none" w:sz="0" w:space="0" w:color="auto"/>
            <w:right w:val="none" w:sz="0" w:space="0" w:color="auto"/>
          </w:divBdr>
        </w:div>
        <w:div w:id="512770297">
          <w:marLeft w:val="0"/>
          <w:marRight w:val="0"/>
          <w:marTop w:val="0"/>
          <w:marBottom w:val="0"/>
          <w:divBdr>
            <w:top w:val="none" w:sz="0" w:space="0" w:color="auto"/>
            <w:left w:val="none" w:sz="0" w:space="0" w:color="auto"/>
            <w:bottom w:val="none" w:sz="0" w:space="0" w:color="auto"/>
            <w:right w:val="none" w:sz="0" w:space="0" w:color="auto"/>
          </w:divBdr>
        </w:div>
        <w:div w:id="866912635">
          <w:marLeft w:val="0"/>
          <w:marRight w:val="0"/>
          <w:marTop w:val="0"/>
          <w:marBottom w:val="0"/>
          <w:divBdr>
            <w:top w:val="none" w:sz="0" w:space="0" w:color="auto"/>
            <w:left w:val="none" w:sz="0" w:space="0" w:color="auto"/>
            <w:bottom w:val="none" w:sz="0" w:space="0" w:color="auto"/>
            <w:right w:val="none" w:sz="0" w:space="0" w:color="auto"/>
          </w:divBdr>
        </w:div>
        <w:div w:id="966281167">
          <w:marLeft w:val="0"/>
          <w:marRight w:val="0"/>
          <w:marTop w:val="0"/>
          <w:marBottom w:val="0"/>
          <w:divBdr>
            <w:top w:val="none" w:sz="0" w:space="0" w:color="auto"/>
            <w:left w:val="none" w:sz="0" w:space="0" w:color="auto"/>
            <w:bottom w:val="none" w:sz="0" w:space="0" w:color="auto"/>
            <w:right w:val="none" w:sz="0" w:space="0" w:color="auto"/>
          </w:divBdr>
        </w:div>
        <w:div w:id="1031609101">
          <w:marLeft w:val="0"/>
          <w:marRight w:val="0"/>
          <w:marTop w:val="0"/>
          <w:marBottom w:val="0"/>
          <w:divBdr>
            <w:top w:val="none" w:sz="0" w:space="0" w:color="auto"/>
            <w:left w:val="none" w:sz="0" w:space="0" w:color="auto"/>
            <w:bottom w:val="none" w:sz="0" w:space="0" w:color="auto"/>
            <w:right w:val="none" w:sz="0" w:space="0" w:color="auto"/>
          </w:divBdr>
        </w:div>
        <w:div w:id="1647120819">
          <w:marLeft w:val="0"/>
          <w:marRight w:val="0"/>
          <w:marTop w:val="0"/>
          <w:marBottom w:val="0"/>
          <w:divBdr>
            <w:top w:val="none" w:sz="0" w:space="0" w:color="auto"/>
            <w:left w:val="none" w:sz="0" w:space="0" w:color="auto"/>
            <w:bottom w:val="none" w:sz="0" w:space="0" w:color="auto"/>
            <w:right w:val="none" w:sz="0" w:space="0" w:color="auto"/>
          </w:divBdr>
        </w:div>
        <w:div w:id="2011372494">
          <w:marLeft w:val="0"/>
          <w:marRight w:val="0"/>
          <w:marTop w:val="0"/>
          <w:marBottom w:val="0"/>
          <w:divBdr>
            <w:top w:val="none" w:sz="0" w:space="0" w:color="auto"/>
            <w:left w:val="none" w:sz="0" w:space="0" w:color="auto"/>
            <w:bottom w:val="none" w:sz="0" w:space="0" w:color="auto"/>
            <w:right w:val="none" w:sz="0" w:space="0" w:color="auto"/>
          </w:divBdr>
        </w:div>
        <w:div w:id="2089374947">
          <w:marLeft w:val="0"/>
          <w:marRight w:val="0"/>
          <w:marTop w:val="0"/>
          <w:marBottom w:val="0"/>
          <w:divBdr>
            <w:top w:val="none" w:sz="0" w:space="0" w:color="auto"/>
            <w:left w:val="none" w:sz="0" w:space="0" w:color="auto"/>
            <w:bottom w:val="none" w:sz="0" w:space="0" w:color="auto"/>
            <w:right w:val="none" w:sz="0" w:space="0" w:color="auto"/>
          </w:divBdr>
        </w:div>
      </w:divsChild>
    </w:div>
    <w:div w:id="1931087161">
      <w:bodyDiv w:val="1"/>
      <w:marLeft w:val="0"/>
      <w:marRight w:val="0"/>
      <w:marTop w:val="0"/>
      <w:marBottom w:val="0"/>
      <w:divBdr>
        <w:top w:val="none" w:sz="0" w:space="0" w:color="auto"/>
        <w:left w:val="none" w:sz="0" w:space="0" w:color="auto"/>
        <w:bottom w:val="none" w:sz="0" w:space="0" w:color="auto"/>
        <w:right w:val="none" w:sz="0" w:space="0" w:color="auto"/>
      </w:divBdr>
    </w:div>
    <w:div w:id="2128740849">
      <w:bodyDiv w:val="1"/>
      <w:marLeft w:val="0"/>
      <w:marRight w:val="0"/>
      <w:marTop w:val="0"/>
      <w:marBottom w:val="0"/>
      <w:divBdr>
        <w:top w:val="none" w:sz="0" w:space="0" w:color="auto"/>
        <w:left w:val="none" w:sz="0" w:space="0" w:color="auto"/>
        <w:bottom w:val="none" w:sz="0" w:space="0" w:color="auto"/>
        <w:right w:val="none" w:sz="0" w:space="0" w:color="auto"/>
      </w:divBdr>
      <w:divsChild>
        <w:div w:id="600603620">
          <w:marLeft w:val="0"/>
          <w:marRight w:val="0"/>
          <w:marTop w:val="0"/>
          <w:marBottom w:val="0"/>
          <w:divBdr>
            <w:top w:val="none" w:sz="0" w:space="0" w:color="auto"/>
            <w:left w:val="none" w:sz="0" w:space="0" w:color="auto"/>
            <w:bottom w:val="none" w:sz="0" w:space="0" w:color="auto"/>
            <w:right w:val="none" w:sz="0" w:space="0" w:color="auto"/>
          </w:divBdr>
          <w:divsChild>
            <w:div w:id="35858935">
              <w:marLeft w:val="0"/>
              <w:marRight w:val="0"/>
              <w:marTop w:val="0"/>
              <w:marBottom w:val="0"/>
              <w:divBdr>
                <w:top w:val="none" w:sz="0" w:space="0" w:color="auto"/>
                <w:left w:val="none" w:sz="0" w:space="0" w:color="auto"/>
                <w:bottom w:val="none" w:sz="0" w:space="0" w:color="auto"/>
                <w:right w:val="none" w:sz="0" w:space="0" w:color="auto"/>
              </w:divBdr>
            </w:div>
            <w:div w:id="108207862">
              <w:marLeft w:val="0"/>
              <w:marRight w:val="0"/>
              <w:marTop w:val="0"/>
              <w:marBottom w:val="0"/>
              <w:divBdr>
                <w:top w:val="none" w:sz="0" w:space="0" w:color="auto"/>
                <w:left w:val="none" w:sz="0" w:space="0" w:color="auto"/>
                <w:bottom w:val="none" w:sz="0" w:space="0" w:color="auto"/>
                <w:right w:val="none" w:sz="0" w:space="0" w:color="auto"/>
              </w:divBdr>
            </w:div>
            <w:div w:id="145439990">
              <w:marLeft w:val="0"/>
              <w:marRight w:val="0"/>
              <w:marTop w:val="0"/>
              <w:marBottom w:val="0"/>
              <w:divBdr>
                <w:top w:val="none" w:sz="0" w:space="0" w:color="auto"/>
                <w:left w:val="none" w:sz="0" w:space="0" w:color="auto"/>
                <w:bottom w:val="none" w:sz="0" w:space="0" w:color="auto"/>
                <w:right w:val="none" w:sz="0" w:space="0" w:color="auto"/>
              </w:divBdr>
            </w:div>
            <w:div w:id="296111683">
              <w:marLeft w:val="0"/>
              <w:marRight w:val="0"/>
              <w:marTop w:val="0"/>
              <w:marBottom w:val="0"/>
              <w:divBdr>
                <w:top w:val="none" w:sz="0" w:space="0" w:color="auto"/>
                <w:left w:val="none" w:sz="0" w:space="0" w:color="auto"/>
                <w:bottom w:val="none" w:sz="0" w:space="0" w:color="auto"/>
                <w:right w:val="none" w:sz="0" w:space="0" w:color="auto"/>
              </w:divBdr>
            </w:div>
            <w:div w:id="473838609">
              <w:marLeft w:val="0"/>
              <w:marRight w:val="0"/>
              <w:marTop w:val="0"/>
              <w:marBottom w:val="0"/>
              <w:divBdr>
                <w:top w:val="none" w:sz="0" w:space="0" w:color="auto"/>
                <w:left w:val="none" w:sz="0" w:space="0" w:color="auto"/>
                <w:bottom w:val="none" w:sz="0" w:space="0" w:color="auto"/>
                <w:right w:val="none" w:sz="0" w:space="0" w:color="auto"/>
              </w:divBdr>
            </w:div>
            <w:div w:id="479466992">
              <w:marLeft w:val="0"/>
              <w:marRight w:val="0"/>
              <w:marTop w:val="0"/>
              <w:marBottom w:val="0"/>
              <w:divBdr>
                <w:top w:val="none" w:sz="0" w:space="0" w:color="auto"/>
                <w:left w:val="none" w:sz="0" w:space="0" w:color="auto"/>
                <w:bottom w:val="none" w:sz="0" w:space="0" w:color="auto"/>
                <w:right w:val="none" w:sz="0" w:space="0" w:color="auto"/>
              </w:divBdr>
            </w:div>
            <w:div w:id="602225345">
              <w:marLeft w:val="0"/>
              <w:marRight w:val="0"/>
              <w:marTop w:val="0"/>
              <w:marBottom w:val="0"/>
              <w:divBdr>
                <w:top w:val="none" w:sz="0" w:space="0" w:color="auto"/>
                <w:left w:val="none" w:sz="0" w:space="0" w:color="auto"/>
                <w:bottom w:val="none" w:sz="0" w:space="0" w:color="auto"/>
                <w:right w:val="none" w:sz="0" w:space="0" w:color="auto"/>
              </w:divBdr>
            </w:div>
            <w:div w:id="683477464">
              <w:marLeft w:val="0"/>
              <w:marRight w:val="0"/>
              <w:marTop w:val="0"/>
              <w:marBottom w:val="0"/>
              <w:divBdr>
                <w:top w:val="none" w:sz="0" w:space="0" w:color="auto"/>
                <w:left w:val="none" w:sz="0" w:space="0" w:color="auto"/>
                <w:bottom w:val="none" w:sz="0" w:space="0" w:color="auto"/>
                <w:right w:val="none" w:sz="0" w:space="0" w:color="auto"/>
              </w:divBdr>
            </w:div>
            <w:div w:id="722558736">
              <w:marLeft w:val="0"/>
              <w:marRight w:val="0"/>
              <w:marTop w:val="0"/>
              <w:marBottom w:val="0"/>
              <w:divBdr>
                <w:top w:val="none" w:sz="0" w:space="0" w:color="auto"/>
                <w:left w:val="none" w:sz="0" w:space="0" w:color="auto"/>
                <w:bottom w:val="none" w:sz="0" w:space="0" w:color="auto"/>
                <w:right w:val="none" w:sz="0" w:space="0" w:color="auto"/>
              </w:divBdr>
            </w:div>
            <w:div w:id="761997565">
              <w:marLeft w:val="0"/>
              <w:marRight w:val="0"/>
              <w:marTop w:val="0"/>
              <w:marBottom w:val="0"/>
              <w:divBdr>
                <w:top w:val="none" w:sz="0" w:space="0" w:color="auto"/>
                <w:left w:val="none" w:sz="0" w:space="0" w:color="auto"/>
                <w:bottom w:val="none" w:sz="0" w:space="0" w:color="auto"/>
                <w:right w:val="none" w:sz="0" w:space="0" w:color="auto"/>
              </w:divBdr>
            </w:div>
            <w:div w:id="1033388227">
              <w:marLeft w:val="0"/>
              <w:marRight w:val="0"/>
              <w:marTop w:val="0"/>
              <w:marBottom w:val="0"/>
              <w:divBdr>
                <w:top w:val="none" w:sz="0" w:space="0" w:color="auto"/>
                <w:left w:val="none" w:sz="0" w:space="0" w:color="auto"/>
                <w:bottom w:val="none" w:sz="0" w:space="0" w:color="auto"/>
                <w:right w:val="none" w:sz="0" w:space="0" w:color="auto"/>
              </w:divBdr>
            </w:div>
            <w:div w:id="1060245857">
              <w:marLeft w:val="0"/>
              <w:marRight w:val="0"/>
              <w:marTop w:val="0"/>
              <w:marBottom w:val="0"/>
              <w:divBdr>
                <w:top w:val="none" w:sz="0" w:space="0" w:color="auto"/>
                <w:left w:val="none" w:sz="0" w:space="0" w:color="auto"/>
                <w:bottom w:val="none" w:sz="0" w:space="0" w:color="auto"/>
                <w:right w:val="none" w:sz="0" w:space="0" w:color="auto"/>
              </w:divBdr>
            </w:div>
            <w:div w:id="1291059977">
              <w:marLeft w:val="0"/>
              <w:marRight w:val="0"/>
              <w:marTop w:val="0"/>
              <w:marBottom w:val="0"/>
              <w:divBdr>
                <w:top w:val="none" w:sz="0" w:space="0" w:color="auto"/>
                <w:left w:val="none" w:sz="0" w:space="0" w:color="auto"/>
                <w:bottom w:val="none" w:sz="0" w:space="0" w:color="auto"/>
                <w:right w:val="none" w:sz="0" w:space="0" w:color="auto"/>
              </w:divBdr>
            </w:div>
            <w:div w:id="1425762161">
              <w:marLeft w:val="0"/>
              <w:marRight w:val="0"/>
              <w:marTop w:val="0"/>
              <w:marBottom w:val="0"/>
              <w:divBdr>
                <w:top w:val="none" w:sz="0" w:space="0" w:color="auto"/>
                <w:left w:val="none" w:sz="0" w:space="0" w:color="auto"/>
                <w:bottom w:val="none" w:sz="0" w:space="0" w:color="auto"/>
                <w:right w:val="none" w:sz="0" w:space="0" w:color="auto"/>
              </w:divBdr>
            </w:div>
            <w:div w:id="1524250444">
              <w:marLeft w:val="0"/>
              <w:marRight w:val="0"/>
              <w:marTop w:val="0"/>
              <w:marBottom w:val="0"/>
              <w:divBdr>
                <w:top w:val="none" w:sz="0" w:space="0" w:color="auto"/>
                <w:left w:val="none" w:sz="0" w:space="0" w:color="auto"/>
                <w:bottom w:val="none" w:sz="0" w:space="0" w:color="auto"/>
                <w:right w:val="none" w:sz="0" w:space="0" w:color="auto"/>
              </w:divBdr>
            </w:div>
            <w:div w:id="1618902942">
              <w:marLeft w:val="0"/>
              <w:marRight w:val="0"/>
              <w:marTop w:val="0"/>
              <w:marBottom w:val="0"/>
              <w:divBdr>
                <w:top w:val="none" w:sz="0" w:space="0" w:color="auto"/>
                <w:left w:val="none" w:sz="0" w:space="0" w:color="auto"/>
                <w:bottom w:val="none" w:sz="0" w:space="0" w:color="auto"/>
                <w:right w:val="none" w:sz="0" w:space="0" w:color="auto"/>
              </w:divBdr>
            </w:div>
            <w:div w:id="1699769191">
              <w:marLeft w:val="0"/>
              <w:marRight w:val="0"/>
              <w:marTop w:val="0"/>
              <w:marBottom w:val="0"/>
              <w:divBdr>
                <w:top w:val="none" w:sz="0" w:space="0" w:color="auto"/>
                <w:left w:val="none" w:sz="0" w:space="0" w:color="auto"/>
                <w:bottom w:val="none" w:sz="0" w:space="0" w:color="auto"/>
                <w:right w:val="none" w:sz="0" w:space="0" w:color="auto"/>
              </w:divBdr>
            </w:div>
            <w:div w:id="1724673215">
              <w:marLeft w:val="0"/>
              <w:marRight w:val="0"/>
              <w:marTop w:val="0"/>
              <w:marBottom w:val="0"/>
              <w:divBdr>
                <w:top w:val="none" w:sz="0" w:space="0" w:color="auto"/>
                <w:left w:val="none" w:sz="0" w:space="0" w:color="auto"/>
                <w:bottom w:val="none" w:sz="0" w:space="0" w:color="auto"/>
                <w:right w:val="none" w:sz="0" w:space="0" w:color="auto"/>
              </w:divBdr>
            </w:div>
            <w:div w:id="2055108230">
              <w:marLeft w:val="0"/>
              <w:marRight w:val="0"/>
              <w:marTop w:val="0"/>
              <w:marBottom w:val="0"/>
              <w:divBdr>
                <w:top w:val="none" w:sz="0" w:space="0" w:color="auto"/>
                <w:left w:val="none" w:sz="0" w:space="0" w:color="auto"/>
                <w:bottom w:val="none" w:sz="0" w:space="0" w:color="auto"/>
                <w:right w:val="none" w:sz="0" w:space="0" w:color="auto"/>
              </w:divBdr>
            </w:div>
            <w:div w:id="2135370155">
              <w:marLeft w:val="0"/>
              <w:marRight w:val="0"/>
              <w:marTop w:val="0"/>
              <w:marBottom w:val="0"/>
              <w:divBdr>
                <w:top w:val="none" w:sz="0" w:space="0" w:color="auto"/>
                <w:left w:val="none" w:sz="0" w:space="0" w:color="auto"/>
                <w:bottom w:val="none" w:sz="0" w:space="0" w:color="auto"/>
                <w:right w:val="none" w:sz="0" w:space="0" w:color="auto"/>
              </w:divBdr>
            </w:div>
          </w:divsChild>
        </w:div>
        <w:div w:id="1259948548">
          <w:marLeft w:val="0"/>
          <w:marRight w:val="0"/>
          <w:marTop w:val="0"/>
          <w:marBottom w:val="0"/>
          <w:divBdr>
            <w:top w:val="none" w:sz="0" w:space="0" w:color="auto"/>
            <w:left w:val="none" w:sz="0" w:space="0" w:color="auto"/>
            <w:bottom w:val="none" w:sz="0" w:space="0" w:color="auto"/>
            <w:right w:val="none" w:sz="0" w:space="0" w:color="auto"/>
          </w:divBdr>
          <w:divsChild>
            <w:div w:id="111872318">
              <w:marLeft w:val="0"/>
              <w:marRight w:val="0"/>
              <w:marTop w:val="0"/>
              <w:marBottom w:val="0"/>
              <w:divBdr>
                <w:top w:val="none" w:sz="0" w:space="0" w:color="auto"/>
                <w:left w:val="none" w:sz="0" w:space="0" w:color="auto"/>
                <w:bottom w:val="none" w:sz="0" w:space="0" w:color="auto"/>
                <w:right w:val="none" w:sz="0" w:space="0" w:color="auto"/>
              </w:divBdr>
            </w:div>
            <w:div w:id="167333516">
              <w:marLeft w:val="0"/>
              <w:marRight w:val="0"/>
              <w:marTop w:val="0"/>
              <w:marBottom w:val="0"/>
              <w:divBdr>
                <w:top w:val="none" w:sz="0" w:space="0" w:color="auto"/>
                <w:left w:val="none" w:sz="0" w:space="0" w:color="auto"/>
                <w:bottom w:val="none" w:sz="0" w:space="0" w:color="auto"/>
                <w:right w:val="none" w:sz="0" w:space="0" w:color="auto"/>
              </w:divBdr>
            </w:div>
            <w:div w:id="228812613">
              <w:marLeft w:val="0"/>
              <w:marRight w:val="0"/>
              <w:marTop w:val="0"/>
              <w:marBottom w:val="0"/>
              <w:divBdr>
                <w:top w:val="none" w:sz="0" w:space="0" w:color="auto"/>
                <w:left w:val="none" w:sz="0" w:space="0" w:color="auto"/>
                <w:bottom w:val="none" w:sz="0" w:space="0" w:color="auto"/>
                <w:right w:val="none" w:sz="0" w:space="0" w:color="auto"/>
              </w:divBdr>
            </w:div>
            <w:div w:id="251595400">
              <w:marLeft w:val="0"/>
              <w:marRight w:val="0"/>
              <w:marTop w:val="0"/>
              <w:marBottom w:val="0"/>
              <w:divBdr>
                <w:top w:val="none" w:sz="0" w:space="0" w:color="auto"/>
                <w:left w:val="none" w:sz="0" w:space="0" w:color="auto"/>
                <w:bottom w:val="none" w:sz="0" w:space="0" w:color="auto"/>
                <w:right w:val="none" w:sz="0" w:space="0" w:color="auto"/>
              </w:divBdr>
            </w:div>
            <w:div w:id="466241591">
              <w:marLeft w:val="0"/>
              <w:marRight w:val="0"/>
              <w:marTop w:val="0"/>
              <w:marBottom w:val="0"/>
              <w:divBdr>
                <w:top w:val="none" w:sz="0" w:space="0" w:color="auto"/>
                <w:left w:val="none" w:sz="0" w:space="0" w:color="auto"/>
                <w:bottom w:val="none" w:sz="0" w:space="0" w:color="auto"/>
                <w:right w:val="none" w:sz="0" w:space="0" w:color="auto"/>
              </w:divBdr>
            </w:div>
            <w:div w:id="515274201">
              <w:marLeft w:val="0"/>
              <w:marRight w:val="0"/>
              <w:marTop w:val="0"/>
              <w:marBottom w:val="0"/>
              <w:divBdr>
                <w:top w:val="none" w:sz="0" w:space="0" w:color="auto"/>
                <w:left w:val="none" w:sz="0" w:space="0" w:color="auto"/>
                <w:bottom w:val="none" w:sz="0" w:space="0" w:color="auto"/>
                <w:right w:val="none" w:sz="0" w:space="0" w:color="auto"/>
              </w:divBdr>
            </w:div>
            <w:div w:id="542521147">
              <w:marLeft w:val="0"/>
              <w:marRight w:val="0"/>
              <w:marTop w:val="0"/>
              <w:marBottom w:val="0"/>
              <w:divBdr>
                <w:top w:val="none" w:sz="0" w:space="0" w:color="auto"/>
                <w:left w:val="none" w:sz="0" w:space="0" w:color="auto"/>
                <w:bottom w:val="none" w:sz="0" w:space="0" w:color="auto"/>
                <w:right w:val="none" w:sz="0" w:space="0" w:color="auto"/>
              </w:divBdr>
            </w:div>
            <w:div w:id="717096702">
              <w:marLeft w:val="0"/>
              <w:marRight w:val="0"/>
              <w:marTop w:val="0"/>
              <w:marBottom w:val="0"/>
              <w:divBdr>
                <w:top w:val="none" w:sz="0" w:space="0" w:color="auto"/>
                <w:left w:val="none" w:sz="0" w:space="0" w:color="auto"/>
                <w:bottom w:val="none" w:sz="0" w:space="0" w:color="auto"/>
                <w:right w:val="none" w:sz="0" w:space="0" w:color="auto"/>
              </w:divBdr>
            </w:div>
            <w:div w:id="757294640">
              <w:marLeft w:val="0"/>
              <w:marRight w:val="0"/>
              <w:marTop w:val="0"/>
              <w:marBottom w:val="0"/>
              <w:divBdr>
                <w:top w:val="none" w:sz="0" w:space="0" w:color="auto"/>
                <w:left w:val="none" w:sz="0" w:space="0" w:color="auto"/>
                <w:bottom w:val="none" w:sz="0" w:space="0" w:color="auto"/>
                <w:right w:val="none" w:sz="0" w:space="0" w:color="auto"/>
              </w:divBdr>
            </w:div>
            <w:div w:id="788162927">
              <w:marLeft w:val="0"/>
              <w:marRight w:val="0"/>
              <w:marTop w:val="0"/>
              <w:marBottom w:val="0"/>
              <w:divBdr>
                <w:top w:val="none" w:sz="0" w:space="0" w:color="auto"/>
                <w:left w:val="none" w:sz="0" w:space="0" w:color="auto"/>
                <w:bottom w:val="none" w:sz="0" w:space="0" w:color="auto"/>
                <w:right w:val="none" w:sz="0" w:space="0" w:color="auto"/>
              </w:divBdr>
            </w:div>
            <w:div w:id="1096318261">
              <w:marLeft w:val="0"/>
              <w:marRight w:val="0"/>
              <w:marTop w:val="0"/>
              <w:marBottom w:val="0"/>
              <w:divBdr>
                <w:top w:val="none" w:sz="0" w:space="0" w:color="auto"/>
                <w:left w:val="none" w:sz="0" w:space="0" w:color="auto"/>
                <w:bottom w:val="none" w:sz="0" w:space="0" w:color="auto"/>
                <w:right w:val="none" w:sz="0" w:space="0" w:color="auto"/>
              </w:divBdr>
            </w:div>
            <w:div w:id="1279723462">
              <w:marLeft w:val="0"/>
              <w:marRight w:val="0"/>
              <w:marTop w:val="0"/>
              <w:marBottom w:val="0"/>
              <w:divBdr>
                <w:top w:val="none" w:sz="0" w:space="0" w:color="auto"/>
                <w:left w:val="none" w:sz="0" w:space="0" w:color="auto"/>
                <w:bottom w:val="none" w:sz="0" w:space="0" w:color="auto"/>
                <w:right w:val="none" w:sz="0" w:space="0" w:color="auto"/>
              </w:divBdr>
            </w:div>
            <w:div w:id="1430665454">
              <w:marLeft w:val="0"/>
              <w:marRight w:val="0"/>
              <w:marTop w:val="0"/>
              <w:marBottom w:val="0"/>
              <w:divBdr>
                <w:top w:val="none" w:sz="0" w:space="0" w:color="auto"/>
                <w:left w:val="none" w:sz="0" w:space="0" w:color="auto"/>
                <w:bottom w:val="none" w:sz="0" w:space="0" w:color="auto"/>
                <w:right w:val="none" w:sz="0" w:space="0" w:color="auto"/>
              </w:divBdr>
            </w:div>
            <w:div w:id="1488128922">
              <w:marLeft w:val="0"/>
              <w:marRight w:val="0"/>
              <w:marTop w:val="0"/>
              <w:marBottom w:val="0"/>
              <w:divBdr>
                <w:top w:val="none" w:sz="0" w:space="0" w:color="auto"/>
                <w:left w:val="none" w:sz="0" w:space="0" w:color="auto"/>
                <w:bottom w:val="none" w:sz="0" w:space="0" w:color="auto"/>
                <w:right w:val="none" w:sz="0" w:space="0" w:color="auto"/>
              </w:divBdr>
            </w:div>
            <w:div w:id="1596937596">
              <w:marLeft w:val="0"/>
              <w:marRight w:val="0"/>
              <w:marTop w:val="0"/>
              <w:marBottom w:val="0"/>
              <w:divBdr>
                <w:top w:val="none" w:sz="0" w:space="0" w:color="auto"/>
                <w:left w:val="none" w:sz="0" w:space="0" w:color="auto"/>
                <w:bottom w:val="none" w:sz="0" w:space="0" w:color="auto"/>
                <w:right w:val="none" w:sz="0" w:space="0" w:color="auto"/>
              </w:divBdr>
            </w:div>
            <w:div w:id="1603879083">
              <w:marLeft w:val="0"/>
              <w:marRight w:val="0"/>
              <w:marTop w:val="0"/>
              <w:marBottom w:val="0"/>
              <w:divBdr>
                <w:top w:val="none" w:sz="0" w:space="0" w:color="auto"/>
                <w:left w:val="none" w:sz="0" w:space="0" w:color="auto"/>
                <w:bottom w:val="none" w:sz="0" w:space="0" w:color="auto"/>
                <w:right w:val="none" w:sz="0" w:space="0" w:color="auto"/>
              </w:divBdr>
            </w:div>
            <w:div w:id="1728071029">
              <w:marLeft w:val="0"/>
              <w:marRight w:val="0"/>
              <w:marTop w:val="0"/>
              <w:marBottom w:val="0"/>
              <w:divBdr>
                <w:top w:val="none" w:sz="0" w:space="0" w:color="auto"/>
                <w:left w:val="none" w:sz="0" w:space="0" w:color="auto"/>
                <w:bottom w:val="none" w:sz="0" w:space="0" w:color="auto"/>
                <w:right w:val="none" w:sz="0" w:space="0" w:color="auto"/>
              </w:divBdr>
            </w:div>
            <w:div w:id="1736512872">
              <w:marLeft w:val="0"/>
              <w:marRight w:val="0"/>
              <w:marTop w:val="0"/>
              <w:marBottom w:val="0"/>
              <w:divBdr>
                <w:top w:val="none" w:sz="0" w:space="0" w:color="auto"/>
                <w:left w:val="none" w:sz="0" w:space="0" w:color="auto"/>
                <w:bottom w:val="none" w:sz="0" w:space="0" w:color="auto"/>
                <w:right w:val="none" w:sz="0" w:space="0" w:color="auto"/>
              </w:divBdr>
            </w:div>
            <w:div w:id="1780224706">
              <w:marLeft w:val="0"/>
              <w:marRight w:val="0"/>
              <w:marTop w:val="0"/>
              <w:marBottom w:val="0"/>
              <w:divBdr>
                <w:top w:val="none" w:sz="0" w:space="0" w:color="auto"/>
                <w:left w:val="none" w:sz="0" w:space="0" w:color="auto"/>
                <w:bottom w:val="none" w:sz="0" w:space="0" w:color="auto"/>
                <w:right w:val="none" w:sz="0" w:space="0" w:color="auto"/>
              </w:divBdr>
            </w:div>
            <w:div w:id="191512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footer" Target="footer52.xml"/><Relationship Id="rId299" Type="http://schemas.openxmlformats.org/officeDocument/2006/relationships/header" Target="header144.xml"/><Relationship Id="rId303" Type="http://schemas.openxmlformats.org/officeDocument/2006/relationships/footer" Target="footer145.xml"/><Relationship Id="rId21" Type="http://schemas.openxmlformats.org/officeDocument/2006/relationships/footer" Target="footer5.xml"/><Relationship Id="rId42" Type="http://schemas.openxmlformats.org/officeDocument/2006/relationships/header" Target="header15.xml"/><Relationship Id="rId63" Type="http://schemas.openxmlformats.org/officeDocument/2006/relationships/footer" Target="footer25.xml"/><Relationship Id="rId84" Type="http://schemas.openxmlformats.org/officeDocument/2006/relationships/header" Target="header36.xml"/><Relationship Id="rId138" Type="http://schemas.openxmlformats.org/officeDocument/2006/relationships/header" Target="header63.xml"/><Relationship Id="rId159" Type="http://schemas.openxmlformats.org/officeDocument/2006/relationships/header" Target="header74.xml"/><Relationship Id="rId324" Type="http://schemas.openxmlformats.org/officeDocument/2006/relationships/header" Target="header156.xml"/><Relationship Id="rId170" Type="http://schemas.openxmlformats.org/officeDocument/2006/relationships/header" Target="header79.xml"/><Relationship Id="rId191" Type="http://schemas.openxmlformats.org/officeDocument/2006/relationships/header" Target="header90.xml"/><Relationship Id="rId205" Type="http://schemas.openxmlformats.org/officeDocument/2006/relationships/header" Target="header97.xml"/><Relationship Id="rId226" Type="http://schemas.openxmlformats.org/officeDocument/2006/relationships/footer" Target="footer106.xml"/><Relationship Id="rId247" Type="http://schemas.openxmlformats.org/officeDocument/2006/relationships/footer" Target="footer117.xml"/><Relationship Id="rId107" Type="http://schemas.openxmlformats.org/officeDocument/2006/relationships/footer" Target="footer47.xml"/><Relationship Id="rId268" Type="http://schemas.openxmlformats.org/officeDocument/2006/relationships/footer" Target="footer127.xml"/><Relationship Id="rId289" Type="http://schemas.openxmlformats.org/officeDocument/2006/relationships/footer" Target="footer138.xml"/><Relationship Id="rId11" Type="http://schemas.openxmlformats.org/officeDocument/2006/relationships/image" Target="media/image1.emf"/><Relationship Id="rId32" Type="http://schemas.openxmlformats.org/officeDocument/2006/relationships/footer" Target="footer10.xml"/><Relationship Id="rId53" Type="http://schemas.openxmlformats.org/officeDocument/2006/relationships/footer" Target="footer20.xml"/><Relationship Id="rId74" Type="http://schemas.openxmlformats.org/officeDocument/2006/relationships/header" Target="header31.xml"/><Relationship Id="rId128" Type="http://schemas.openxmlformats.org/officeDocument/2006/relationships/header" Target="header58.xml"/><Relationship Id="rId149" Type="http://schemas.openxmlformats.org/officeDocument/2006/relationships/footer" Target="footer68.xml"/><Relationship Id="rId314" Type="http://schemas.openxmlformats.org/officeDocument/2006/relationships/header" Target="header151.xml"/><Relationship Id="rId335" Type="http://schemas.openxmlformats.org/officeDocument/2006/relationships/theme" Target="theme/theme1.xml"/><Relationship Id="rId5" Type="http://schemas.openxmlformats.org/officeDocument/2006/relationships/numbering" Target="numbering.xml"/><Relationship Id="rId95" Type="http://schemas.openxmlformats.org/officeDocument/2006/relationships/footer" Target="footer41.xml"/><Relationship Id="rId160" Type="http://schemas.openxmlformats.org/officeDocument/2006/relationships/footer" Target="footer73.xml"/><Relationship Id="rId181" Type="http://schemas.openxmlformats.org/officeDocument/2006/relationships/footer" Target="footer84.xml"/><Relationship Id="rId216" Type="http://schemas.openxmlformats.org/officeDocument/2006/relationships/header" Target="header102.xml"/><Relationship Id="rId237" Type="http://schemas.openxmlformats.org/officeDocument/2006/relationships/header" Target="header113.xml"/><Relationship Id="rId258" Type="http://schemas.openxmlformats.org/officeDocument/2006/relationships/header" Target="header123.xml"/><Relationship Id="rId279" Type="http://schemas.openxmlformats.org/officeDocument/2006/relationships/footer" Target="footer133.xml"/><Relationship Id="rId22" Type="http://schemas.openxmlformats.org/officeDocument/2006/relationships/header" Target="header6.xml"/><Relationship Id="rId43" Type="http://schemas.openxmlformats.org/officeDocument/2006/relationships/header" Target="header16.xml"/><Relationship Id="rId64" Type="http://schemas.openxmlformats.org/officeDocument/2006/relationships/header" Target="header26.xml"/><Relationship Id="rId118" Type="http://schemas.openxmlformats.org/officeDocument/2006/relationships/header" Target="header53.xml"/><Relationship Id="rId139" Type="http://schemas.openxmlformats.org/officeDocument/2006/relationships/footer" Target="footer63.xml"/><Relationship Id="rId290" Type="http://schemas.openxmlformats.org/officeDocument/2006/relationships/header" Target="header139.xml"/><Relationship Id="rId304" Type="http://schemas.openxmlformats.org/officeDocument/2006/relationships/header" Target="header146.xml"/><Relationship Id="rId325" Type="http://schemas.openxmlformats.org/officeDocument/2006/relationships/header" Target="header157.xml"/><Relationship Id="rId85" Type="http://schemas.openxmlformats.org/officeDocument/2006/relationships/footer" Target="footer36.xml"/><Relationship Id="rId150" Type="http://schemas.openxmlformats.org/officeDocument/2006/relationships/header" Target="header69.xml"/><Relationship Id="rId171" Type="http://schemas.openxmlformats.org/officeDocument/2006/relationships/header" Target="header80.xml"/><Relationship Id="rId192" Type="http://schemas.openxmlformats.org/officeDocument/2006/relationships/footer" Target="footer89.xml"/><Relationship Id="rId206" Type="http://schemas.openxmlformats.org/officeDocument/2006/relationships/footer" Target="footer96.xml"/><Relationship Id="rId227" Type="http://schemas.openxmlformats.org/officeDocument/2006/relationships/footer" Target="footer107.xml"/><Relationship Id="rId248" Type="http://schemas.openxmlformats.org/officeDocument/2006/relationships/header" Target="header118.xml"/><Relationship Id="rId269" Type="http://schemas.openxmlformats.org/officeDocument/2006/relationships/footer" Target="footer128.xml"/><Relationship Id="rId12" Type="http://schemas.openxmlformats.org/officeDocument/2006/relationships/header" Target="header1.xml"/><Relationship Id="rId33" Type="http://schemas.openxmlformats.org/officeDocument/2006/relationships/footer" Target="footer11.xml"/><Relationship Id="rId108" Type="http://schemas.openxmlformats.org/officeDocument/2006/relationships/header" Target="header48.xml"/><Relationship Id="rId129" Type="http://schemas.openxmlformats.org/officeDocument/2006/relationships/header" Target="header59.xml"/><Relationship Id="rId280" Type="http://schemas.openxmlformats.org/officeDocument/2006/relationships/header" Target="header134.xml"/><Relationship Id="rId315" Type="http://schemas.openxmlformats.org/officeDocument/2006/relationships/footer" Target="footer151.xml"/><Relationship Id="rId54" Type="http://schemas.openxmlformats.org/officeDocument/2006/relationships/header" Target="header21.xml"/><Relationship Id="rId75" Type="http://schemas.openxmlformats.org/officeDocument/2006/relationships/footer" Target="footer31.xml"/><Relationship Id="rId96" Type="http://schemas.openxmlformats.org/officeDocument/2006/relationships/header" Target="header42.xml"/><Relationship Id="rId140" Type="http://schemas.openxmlformats.org/officeDocument/2006/relationships/header" Target="header64.xml"/><Relationship Id="rId161" Type="http://schemas.openxmlformats.org/officeDocument/2006/relationships/footer" Target="footer74.xml"/><Relationship Id="rId182" Type="http://schemas.openxmlformats.org/officeDocument/2006/relationships/header" Target="header85.xml"/><Relationship Id="rId217" Type="http://schemas.openxmlformats.org/officeDocument/2006/relationships/footer" Target="footer102.xml"/><Relationship Id="rId6" Type="http://schemas.openxmlformats.org/officeDocument/2006/relationships/styles" Target="styles.xml"/><Relationship Id="rId238" Type="http://schemas.openxmlformats.org/officeDocument/2006/relationships/footer" Target="footer112.xml"/><Relationship Id="rId259" Type="http://schemas.openxmlformats.org/officeDocument/2006/relationships/footer" Target="footer123.xml"/><Relationship Id="rId23" Type="http://schemas.openxmlformats.org/officeDocument/2006/relationships/footer" Target="footer6.xml"/><Relationship Id="rId119" Type="http://schemas.openxmlformats.org/officeDocument/2006/relationships/footer" Target="footer53.xml"/><Relationship Id="rId270" Type="http://schemas.openxmlformats.org/officeDocument/2006/relationships/header" Target="header129.xml"/><Relationship Id="rId291" Type="http://schemas.openxmlformats.org/officeDocument/2006/relationships/footer" Target="footer139.xml"/><Relationship Id="rId305" Type="http://schemas.openxmlformats.org/officeDocument/2006/relationships/header" Target="header147.xml"/><Relationship Id="rId326" Type="http://schemas.openxmlformats.org/officeDocument/2006/relationships/footer" Target="footer156.xml"/><Relationship Id="rId44" Type="http://schemas.openxmlformats.org/officeDocument/2006/relationships/footer" Target="footer15.xml"/><Relationship Id="rId65" Type="http://schemas.openxmlformats.org/officeDocument/2006/relationships/header" Target="header27.xml"/><Relationship Id="rId86" Type="http://schemas.openxmlformats.org/officeDocument/2006/relationships/header" Target="header37.xml"/><Relationship Id="rId130" Type="http://schemas.openxmlformats.org/officeDocument/2006/relationships/footer" Target="footer58.xml"/><Relationship Id="rId151" Type="http://schemas.openxmlformats.org/officeDocument/2006/relationships/footer" Target="footer69.xml"/><Relationship Id="rId172" Type="http://schemas.openxmlformats.org/officeDocument/2006/relationships/footer" Target="footer79.xml"/><Relationship Id="rId193" Type="http://schemas.openxmlformats.org/officeDocument/2006/relationships/footer" Target="footer90.xml"/><Relationship Id="rId207" Type="http://schemas.openxmlformats.org/officeDocument/2006/relationships/footer" Target="footer97.xml"/><Relationship Id="rId228" Type="http://schemas.openxmlformats.org/officeDocument/2006/relationships/header" Target="header108.xml"/><Relationship Id="rId249" Type="http://schemas.openxmlformats.org/officeDocument/2006/relationships/header" Target="header119.xml"/><Relationship Id="rId13" Type="http://schemas.openxmlformats.org/officeDocument/2006/relationships/header" Target="header2.xml"/><Relationship Id="rId109" Type="http://schemas.openxmlformats.org/officeDocument/2006/relationships/header" Target="header49.xml"/><Relationship Id="rId260" Type="http://schemas.openxmlformats.org/officeDocument/2006/relationships/header" Target="header124.xml"/><Relationship Id="rId281" Type="http://schemas.openxmlformats.org/officeDocument/2006/relationships/header" Target="header135.xml"/><Relationship Id="rId316" Type="http://schemas.openxmlformats.org/officeDocument/2006/relationships/header" Target="header152.xml"/><Relationship Id="rId34" Type="http://schemas.openxmlformats.org/officeDocument/2006/relationships/header" Target="header12.xml"/><Relationship Id="rId55" Type="http://schemas.openxmlformats.org/officeDocument/2006/relationships/header" Target="header22.xml"/><Relationship Id="rId76" Type="http://schemas.openxmlformats.org/officeDocument/2006/relationships/header" Target="header32.xml"/><Relationship Id="rId97" Type="http://schemas.openxmlformats.org/officeDocument/2006/relationships/footer" Target="footer42.xml"/><Relationship Id="rId120" Type="http://schemas.openxmlformats.org/officeDocument/2006/relationships/header" Target="header54.xml"/><Relationship Id="rId141" Type="http://schemas.openxmlformats.org/officeDocument/2006/relationships/header" Target="header65.xml"/><Relationship Id="rId7" Type="http://schemas.openxmlformats.org/officeDocument/2006/relationships/settings" Target="settings.xml"/><Relationship Id="rId162" Type="http://schemas.openxmlformats.org/officeDocument/2006/relationships/header" Target="header75.xml"/><Relationship Id="rId183" Type="http://schemas.openxmlformats.org/officeDocument/2006/relationships/footer" Target="footer85.xml"/><Relationship Id="rId218" Type="http://schemas.openxmlformats.org/officeDocument/2006/relationships/header" Target="header103.xml"/><Relationship Id="rId239" Type="http://schemas.openxmlformats.org/officeDocument/2006/relationships/footer" Target="footer113.xml"/><Relationship Id="rId250" Type="http://schemas.openxmlformats.org/officeDocument/2006/relationships/footer" Target="footer118.xml"/><Relationship Id="rId271" Type="http://schemas.openxmlformats.org/officeDocument/2006/relationships/footer" Target="footer129.xml"/><Relationship Id="rId292" Type="http://schemas.openxmlformats.org/officeDocument/2006/relationships/header" Target="header140.xml"/><Relationship Id="rId306" Type="http://schemas.openxmlformats.org/officeDocument/2006/relationships/footer" Target="footer146.xml"/><Relationship Id="rId24" Type="http://schemas.openxmlformats.org/officeDocument/2006/relationships/header" Target="header7.xml"/><Relationship Id="rId45" Type="http://schemas.openxmlformats.org/officeDocument/2006/relationships/footer" Target="footer16.xml"/><Relationship Id="rId66" Type="http://schemas.openxmlformats.org/officeDocument/2006/relationships/footer" Target="footer26.xml"/><Relationship Id="rId87" Type="http://schemas.openxmlformats.org/officeDocument/2006/relationships/header" Target="header38.xml"/><Relationship Id="rId110" Type="http://schemas.openxmlformats.org/officeDocument/2006/relationships/footer" Target="footer48.xml"/><Relationship Id="rId131" Type="http://schemas.openxmlformats.org/officeDocument/2006/relationships/footer" Target="footer59.xml"/><Relationship Id="rId327" Type="http://schemas.openxmlformats.org/officeDocument/2006/relationships/footer" Target="footer157.xml"/><Relationship Id="rId152" Type="http://schemas.openxmlformats.org/officeDocument/2006/relationships/header" Target="header70.xml"/><Relationship Id="rId173" Type="http://schemas.openxmlformats.org/officeDocument/2006/relationships/footer" Target="footer80.xml"/><Relationship Id="rId194" Type="http://schemas.openxmlformats.org/officeDocument/2006/relationships/header" Target="header91.xml"/><Relationship Id="rId208" Type="http://schemas.openxmlformats.org/officeDocument/2006/relationships/header" Target="header98.xml"/><Relationship Id="rId229" Type="http://schemas.openxmlformats.org/officeDocument/2006/relationships/footer" Target="footer108.xml"/><Relationship Id="rId240" Type="http://schemas.openxmlformats.org/officeDocument/2006/relationships/header" Target="header114.xml"/><Relationship Id="rId261" Type="http://schemas.openxmlformats.org/officeDocument/2006/relationships/header" Target="header125.xml"/><Relationship Id="rId14" Type="http://schemas.openxmlformats.org/officeDocument/2006/relationships/footer" Target="footer1.xml"/><Relationship Id="rId35" Type="http://schemas.openxmlformats.org/officeDocument/2006/relationships/footer" Target="footer12.xml"/><Relationship Id="rId56" Type="http://schemas.openxmlformats.org/officeDocument/2006/relationships/footer" Target="footer21.xml"/><Relationship Id="rId77" Type="http://schemas.openxmlformats.org/officeDocument/2006/relationships/footer" Target="footer32.xml"/><Relationship Id="rId100" Type="http://schemas.openxmlformats.org/officeDocument/2006/relationships/header" Target="header44.xml"/><Relationship Id="rId282" Type="http://schemas.openxmlformats.org/officeDocument/2006/relationships/footer" Target="footer134.xml"/><Relationship Id="rId317" Type="http://schemas.openxmlformats.org/officeDocument/2006/relationships/header" Target="header153.xml"/><Relationship Id="rId8" Type="http://schemas.openxmlformats.org/officeDocument/2006/relationships/webSettings" Target="webSettings.xml"/><Relationship Id="rId51" Type="http://schemas.openxmlformats.org/officeDocument/2006/relationships/footer" Target="footer19.xml"/><Relationship Id="rId72" Type="http://schemas.openxmlformats.org/officeDocument/2006/relationships/footer" Target="footer29.xml"/><Relationship Id="rId93" Type="http://schemas.openxmlformats.org/officeDocument/2006/relationships/header" Target="header41.xml"/><Relationship Id="rId98" Type="http://schemas.openxmlformats.org/officeDocument/2006/relationships/header" Target="header43.xml"/><Relationship Id="rId121" Type="http://schemas.openxmlformats.org/officeDocument/2006/relationships/footer" Target="footer54.xml"/><Relationship Id="rId142" Type="http://schemas.openxmlformats.org/officeDocument/2006/relationships/footer" Target="footer64.xml"/><Relationship Id="rId163" Type="http://schemas.openxmlformats.org/officeDocument/2006/relationships/footer" Target="footer75.xml"/><Relationship Id="rId184" Type="http://schemas.openxmlformats.org/officeDocument/2006/relationships/header" Target="header86.xml"/><Relationship Id="rId189" Type="http://schemas.openxmlformats.org/officeDocument/2006/relationships/footer" Target="footer88.xml"/><Relationship Id="rId219" Type="http://schemas.openxmlformats.org/officeDocument/2006/relationships/header" Target="header104.xml"/><Relationship Id="rId3" Type="http://schemas.openxmlformats.org/officeDocument/2006/relationships/customXml" Target="../customXml/item3.xml"/><Relationship Id="rId214" Type="http://schemas.openxmlformats.org/officeDocument/2006/relationships/footer" Target="footer100.xml"/><Relationship Id="rId230" Type="http://schemas.openxmlformats.org/officeDocument/2006/relationships/header" Target="header109.xml"/><Relationship Id="rId235" Type="http://schemas.openxmlformats.org/officeDocument/2006/relationships/footer" Target="footer111.xml"/><Relationship Id="rId251" Type="http://schemas.openxmlformats.org/officeDocument/2006/relationships/footer" Target="footer119.xml"/><Relationship Id="rId256" Type="http://schemas.openxmlformats.org/officeDocument/2006/relationships/footer" Target="footer121.xml"/><Relationship Id="rId277" Type="http://schemas.openxmlformats.org/officeDocument/2006/relationships/footer" Target="footer132.xml"/><Relationship Id="rId298" Type="http://schemas.openxmlformats.org/officeDocument/2006/relationships/header" Target="header143.xml"/><Relationship Id="rId25" Type="http://schemas.openxmlformats.org/officeDocument/2006/relationships/header" Target="header8.xml"/><Relationship Id="rId46" Type="http://schemas.openxmlformats.org/officeDocument/2006/relationships/header" Target="header17.xml"/><Relationship Id="rId67" Type="http://schemas.openxmlformats.org/officeDocument/2006/relationships/footer" Target="footer27.xml"/><Relationship Id="rId116" Type="http://schemas.openxmlformats.org/officeDocument/2006/relationships/footer" Target="footer51.xml"/><Relationship Id="rId137" Type="http://schemas.openxmlformats.org/officeDocument/2006/relationships/footer" Target="footer62.xml"/><Relationship Id="rId158" Type="http://schemas.openxmlformats.org/officeDocument/2006/relationships/header" Target="header73.xml"/><Relationship Id="rId272" Type="http://schemas.openxmlformats.org/officeDocument/2006/relationships/header" Target="header130.xml"/><Relationship Id="rId293" Type="http://schemas.openxmlformats.org/officeDocument/2006/relationships/header" Target="header141.xml"/><Relationship Id="rId302" Type="http://schemas.openxmlformats.org/officeDocument/2006/relationships/header" Target="header145.xml"/><Relationship Id="rId307" Type="http://schemas.openxmlformats.org/officeDocument/2006/relationships/footer" Target="footer147.xml"/><Relationship Id="rId323" Type="http://schemas.openxmlformats.org/officeDocument/2006/relationships/footer" Target="footer155.xml"/><Relationship Id="rId328" Type="http://schemas.openxmlformats.org/officeDocument/2006/relationships/header" Target="header158.xml"/><Relationship Id="rId20" Type="http://schemas.openxmlformats.org/officeDocument/2006/relationships/footer" Target="footer4.xml"/><Relationship Id="rId41" Type="http://schemas.openxmlformats.org/officeDocument/2006/relationships/footer" Target="footer14.xml"/><Relationship Id="rId62" Type="http://schemas.openxmlformats.org/officeDocument/2006/relationships/header" Target="header25.xml"/><Relationship Id="rId83" Type="http://schemas.openxmlformats.org/officeDocument/2006/relationships/footer" Target="footer35.xml"/><Relationship Id="rId88" Type="http://schemas.openxmlformats.org/officeDocument/2006/relationships/footer" Target="footer37.xml"/><Relationship Id="rId111" Type="http://schemas.openxmlformats.org/officeDocument/2006/relationships/footer" Target="footer49.xml"/><Relationship Id="rId132" Type="http://schemas.openxmlformats.org/officeDocument/2006/relationships/header" Target="header60.xml"/><Relationship Id="rId153" Type="http://schemas.openxmlformats.org/officeDocument/2006/relationships/header" Target="header71.xml"/><Relationship Id="rId174" Type="http://schemas.openxmlformats.org/officeDocument/2006/relationships/header" Target="header81.xml"/><Relationship Id="rId179" Type="http://schemas.openxmlformats.org/officeDocument/2006/relationships/header" Target="header84.xml"/><Relationship Id="rId195" Type="http://schemas.openxmlformats.org/officeDocument/2006/relationships/footer" Target="footer91.xml"/><Relationship Id="rId209" Type="http://schemas.openxmlformats.org/officeDocument/2006/relationships/footer" Target="footer98.xml"/><Relationship Id="rId190" Type="http://schemas.openxmlformats.org/officeDocument/2006/relationships/header" Target="header89.xml"/><Relationship Id="rId204" Type="http://schemas.openxmlformats.org/officeDocument/2006/relationships/header" Target="header96.xml"/><Relationship Id="rId220" Type="http://schemas.openxmlformats.org/officeDocument/2006/relationships/footer" Target="footer103.xml"/><Relationship Id="rId225" Type="http://schemas.openxmlformats.org/officeDocument/2006/relationships/header" Target="header107.xml"/><Relationship Id="rId241" Type="http://schemas.openxmlformats.org/officeDocument/2006/relationships/footer" Target="footer114.xml"/><Relationship Id="rId246" Type="http://schemas.openxmlformats.org/officeDocument/2006/relationships/header" Target="header117.xml"/><Relationship Id="rId267" Type="http://schemas.openxmlformats.org/officeDocument/2006/relationships/header" Target="header128.xml"/><Relationship Id="rId288" Type="http://schemas.openxmlformats.org/officeDocument/2006/relationships/footer" Target="footer137.xml"/><Relationship Id="rId15" Type="http://schemas.openxmlformats.org/officeDocument/2006/relationships/footer" Target="footer2.xml"/><Relationship Id="rId36" Type="http://schemas.openxmlformats.org/officeDocument/2006/relationships/hyperlink" Target="https://www.inps.it/" TargetMode="External"/><Relationship Id="rId57" Type="http://schemas.openxmlformats.org/officeDocument/2006/relationships/footer" Target="footer22.xml"/><Relationship Id="rId106" Type="http://schemas.openxmlformats.org/officeDocument/2006/relationships/header" Target="header47.xml"/><Relationship Id="rId127" Type="http://schemas.openxmlformats.org/officeDocument/2006/relationships/footer" Target="footer57.xml"/><Relationship Id="rId262" Type="http://schemas.openxmlformats.org/officeDocument/2006/relationships/footer" Target="footer124.xml"/><Relationship Id="rId283" Type="http://schemas.openxmlformats.org/officeDocument/2006/relationships/footer" Target="footer135.xml"/><Relationship Id="rId313" Type="http://schemas.openxmlformats.org/officeDocument/2006/relationships/footer" Target="footer150.xml"/><Relationship Id="rId318" Type="http://schemas.openxmlformats.org/officeDocument/2006/relationships/footer" Target="footer152.xml"/><Relationship Id="rId10" Type="http://schemas.openxmlformats.org/officeDocument/2006/relationships/endnotes" Target="endnotes.xml"/><Relationship Id="rId31" Type="http://schemas.openxmlformats.org/officeDocument/2006/relationships/header" Target="header11.xml"/><Relationship Id="rId52" Type="http://schemas.openxmlformats.org/officeDocument/2006/relationships/header" Target="header20.xml"/><Relationship Id="rId73" Type="http://schemas.openxmlformats.org/officeDocument/2006/relationships/footer" Target="footer30.xml"/><Relationship Id="rId78" Type="http://schemas.openxmlformats.org/officeDocument/2006/relationships/header" Target="header33.xml"/><Relationship Id="rId94" Type="http://schemas.openxmlformats.org/officeDocument/2006/relationships/footer" Target="footer40.xml"/><Relationship Id="rId99" Type="http://schemas.openxmlformats.org/officeDocument/2006/relationships/footer" Target="footer43.xml"/><Relationship Id="rId101" Type="http://schemas.openxmlformats.org/officeDocument/2006/relationships/footer" Target="footer44.xml"/><Relationship Id="rId122" Type="http://schemas.openxmlformats.org/officeDocument/2006/relationships/header" Target="header55.xml"/><Relationship Id="rId143" Type="http://schemas.openxmlformats.org/officeDocument/2006/relationships/footer" Target="footer65.xml"/><Relationship Id="rId148" Type="http://schemas.openxmlformats.org/officeDocument/2006/relationships/footer" Target="footer67.xml"/><Relationship Id="rId164" Type="http://schemas.openxmlformats.org/officeDocument/2006/relationships/header" Target="header76.xml"/><Relationship Id="rId169" Type="http://schemas.openxmlformats.org/officeDocument/2006/relationships/footer" Target="footer78.xml"/><Relationship Id="rId185" Type="http://schemas.openxmlformats.org/officeDocument/2006/relationships/header" Target="header87.xml"/><Relationship Id="rId33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footer" Target="footer83.xml"/><Relationship Id="rId210" Type="http://schemas.openxmlformats.org/officeDocument/2006/relationships/header" Target="header99.xml"/><Relationship Id="rId215" Type="http://schemas.openxmlformats.org/officeDocument/2006/relationships/footer" Target="footer101.xml"/><Relationship Id="rId236" Type="http://schemas.openxmlformats.org/officeDocument/2006/relationships/header" Target="header112.xml"/><Relationship Id="rId257" Type="http://schemas.openxmlformats.org/officeDocument/2006/relationships/footer" Target="footer122.xml"/><Relationship Id="rId278" Type="http://schemas.openxmlformats.org/officeDocument/2006/relationships/header" Target="header133.xml"/><Relationship Id="rId26" Type="http://schemas.openxmlformats.org/officeDocument/2006/relationships/footer" Target="footer7.xml"/><Relationship Id="rId231" Type="http://schemas.openxmlformats.org/officeDocument/2006/relationships/header" Target="header110.xml"/><Relationship Id="rId252" Type="http://schemas.openxmlformats.org/officeDocument/2006/relationships/header" Target="header120.xml"/><Relationship Id="rId273" Type="http://schemas.openxmlformats.org/officeDocument/2006/relationships/header" Target="header131.xml"/><Relationship Id="rId294" Type="http://schemas.openxmlformats.org/officeDocument/2006/relationships/footer" Target="footer140.xml"/><Relationship Id="rId308" Type="http://schemas.openxmlformats.org/officeDocument/2006/relationships/header" Target="header148.xml"/><Relationship Id="rId329" Type="http://schemas.openxmlformats.org/officeDocument/2006/relationships/footer" Target="footer158.xml"/><Relationship Id="rId47" Type="http://schemas.openxmlformats.org/officeDocument/2006/relationships/footer" Target="footer17.xml"/><Relationship Id="rId68" Type="http://schemas.openxmlformats.org/officeDocument/2006/relationships/header" Target="header28.xml"/><Relationship Id="rId89" Type="http://schemas.openxmlformats.org/officeDocument/2006/relationships/footer" Target="footer38.xml"/><Relationship Id="rId112" Type="http://schemas.openxmlformats.org/officeDocument/2006/relationships/header" Target="header50.xml"/><Relationship Id="rId133" Type="http://schemas.openxmlformats.org/officeDocument/2006/relationships/footer" Target="footer60.xml"/><Relationship Id="rId154" Type="http://schemas.openxmlformats.org/officeDocument/2006/relationships/footer" Target="footer70.xml"/><Relationship Id="rId175" Type="http://schemas.openxmlformats.org/officeDocument/2006/relationships/footer" Target="footer81.xml"/><Relationship Id="rId196" Type="http://schemas.openxmlformats.org/officeDocument/2006/relationships/header" Target="header92.xml"/><Relationship Id="rId200" Type="http://schemas.openxmlformats.org/officeDocument/2006/relationships/header" Target="header94.xml"/><Relationship Id="rId16" Type="http://schemas.openxmlformats.org/officeDocument/2006/relationships/header" Target="header3.xml"/><Relationship Id="rId221" Type="http://schemas.openxmlformats.org/officeDocument/2006/relationships/footer" Target="footer104.xml"/><Relationship Id="rId242" Type="http://schemas.openxmlformats.org/officeDocument/2006/relationships/header" Target="header115.xml"/><Relationship Id="rId263" Type="http://schemas.openxmlformats.org/officeDocument/2006/relationships/footer" Target="footer125.xml"/><Relationship Id="rId284" Type="http://schemas.openxmlformats.org/officeDocument/2006/relationships/header" Target="header136.xml"/><Relationship Id="rId319" Type="http://schemas.openxmlformats.org/officeDocument/2006/relationships/footer" Target="footer153.xml"/><Relationship Id="rId37" Type="http://schemas.openxmlformats.org/officeDocument/2006/relationships/hyperlink" Target="https://www.inps.it/" TargetMode="External"/><Relationship Id="rId58" Type="http://schemas.openxmlformats.org/officeDocument/2006/relationships/header" Target="header23.xml"/><Relationship Id="rId79" Type="http://schemas.openxmlformats.org/officeDocument/2006/relationships/footer" Target="footer33.xml"/><Relationship Id="rId102" Type="http://schemas.openxmlformats.org/officeDocument/2006/relationships/header" Target="header45.xml"/><Relationship Id="rId123" Type="http://schemas.openxmlformats.org/officeDocument/2006/relationships/header" Target="header56.xml"/><Relationship Id="rId144" Type="http://schemas.openxmlformats.org/officeDocument/2006/relationships/header" Target="header66.xml"/><Relationship Id="rId330" Type="http://schemas.openxmlformats.org/officeDocument/2006/relationships/header" Target="header159.xml"/><Relationship Id="rId90" Type="http://schemas.openxmlformats.org/officeDocument/2006/relationships/header" Target="header39.xml"/><Relationship Id="rId165" Type="http://schemas.openxmlformats.org/officeDocument/2006/relationships/header" Target="header77.xml"/><Relationship Id="rId186" Type="http://schemas.openxmlformats.org/officeDocument/2006/relationships/footer" Target="footer86.xml"/><Relationship Id="rId211" Type="http://schemas.openxmlformats.org/officeDocument/2006/relationships/footer" Target="footer99.xml"/><Relationship Id="rId232" Type="http://schemas.openxmlformats.org/officeDocument/2006/relationships/footer" Target="footer109.xml"/><Relationship Id="rId253" Type="http://schemas.openxmlformats.org/officeDocument/2006/relationships/footer" Target="footer120.xml"/><Relationship Id="rId274" Type="http://schemas.openxmlformats.org/officeDocument/2006/relationships/footer" Target="footer130.xml"/><Relationship Id="rId295" Type="http://schemas.openxmlformats.org/officeDocument/2006/relationships/footer" Target="footer141.xml"/><Relationship Id="rId309" Type="http://schemas.openxmlformats.org/officeDocument/2006/relationships/footer" Target="footer148.xml"/><Relationship Id="rId27" Type="http://schemas.openxmlformats.org/officeDocument/2006/relationships/footer" Target="footer8.xml"/><Relationship Id="rId48" Type="http://schemas.openxmlformats.org/officeDocument/2006/relationships/header" Target="header18.xml"/><Relationship Id="rId69" Type="http://schemas.openxmlformats.org/officeDocument/2006/relationships/footer" Target="footer28.xml"/><Relationship Id="rId113" Type="http://schemas.openxmlformats.org/officeDocument/2006/relationships/footer" Target="footer50.xml"/><Relationship Id="rId134" Type="http://schemas.openxmlformats.org/officeDocument/2006/relationships/header" Target="header61.xml"/><Relationship Id="rId320" Type="http://schemas.openxmlformats.org/officeDocument/2006/relationships/header" Target="header154.xml"/><Relationship Id="rId80" Type="http://schemas.openxmlformats.org/officeDocument/2006/relationships/header" Target="header34.xml"/><Relationship Id="rId155" Type="http://schemas.openxmlformats.org/officeDocument/2006/relationships/footer" Target="footer71.xml"/><Relationship Id="rId176" Type="http://schemas.openxmlformats.org/officeDocument/2006/relationships/header" Target="header82.xml"/><Relationship Id="rId197" Type="http://schemas.openxmlformats.org/officeDocument/2006/relationships/header" Target="header93.xml"/><Relationship Id="rId201" Type="http://schemas.openxmlformats.org/officeDocument/2006/relationships/footer" Target="footer94.xml"/><Relationship Id="rId222" Type="http://schemas.openxmlformats.org/officeDocument/2006/relationships/header" Target="header105.xml"/><Relationship Id="rId243" Type="http://schemas.openxmlformats.org/officeDocument/2006/relationships/header" Target="header116.xml"/><Relationship Id="rId264" Type="http://schemas.openxmlformats.org/officeDocument/2006/relationships/header" Target="header126.xml"/><Relationship Id="rId285" Type="http://schemas.openxmlformats.org/officeDocument/2006/relationships/footer" Target="footer136.xml"/><Relationship Id="rId17" Type="http://schemas.openxmlformats.org/officeDocument/2006/relationships/footer" Target="footer3.xml"/><Relationship Id="rId38" Type="http://schemas.openxmlformats.org/officeDocument/2006/relationships/header" Target="header13.xml"/><Relationship Id="rId59" Type="http://schemas.openxmlformats.org/officeDocument/2006/relationships/footer" Target="footer23.xml"/><Relationship Id="rId103" Type="http://schemas.openxmlformats.org/officeDocument/2006/relationships/header" Target="header46.xml"/><Relationship Id="rId124" Type="http://schemas.openxmlformats.org/officeDocument/2006/relationships/footer" Target="footer55.xml"/><Relationship Id="rId310" Type="http://schemas.openxmlformats.org/officeDocument/2006/relationships/header" Target="header149.xml"/><Relationship Id="rId70" Type="http://schemas.openxmlformats.org/officeDocument/2006/relationships/header" Target="header29.xml"/><Relationship Id="rId91" Type="http://schemas.openxmlformats.org/officeDocument/2006/relationships/footer" Target="footer39.xml"/><Relationship Id="rId145" Type="http://schemas.openxmlformats.org/officeDocument/2006/relationships/footer" Target="footer66.xml"/><Relationship Id="rId166" Type="http://schemas.openxmlformats.org/officeDocument/2006/relationships/footer" Target="footer76.xml"/><Relationship Id="rId187" Type="http://schemas.openxmlformats.org/officeDocument/2006/relationships/footer" Target="footer87.xml"/><Relationship Id="rId331" Type="http://schemas.openxmlformats.org/officeDocument/2006/relationships/footer" Target="footer159.xml"/><Relationship Id="rId1" Type="http://schemas.openxmlformats.org/officeDocument/2006/relationships/customXml" Target="../customXml/item1.xml"/><Relationship Id="rId212" Type="http://schemas.openxmlformats.org/officeDocument/2006/relationships/header" Target="header100.xml"/><Relationship Id="rId233" Type="http://schemas.openxmlformats.org/officeDocument/2006/relationships/footer" Target="footer110.xml"/><Relationship Id="rId254" Type="http://schemas.openxmlformats.org/officeDocument/2006/relationships/header" Target="header121.xml"/><Relationship Id="rId28" Type="http://schemas.openxmlformats.org/officeDocument/2006/relationships/header" Target="header9.xml"/><Relationship Id="rId49" Type="http://schemas.openxmlformats.org/officeDocument/2006/relationships/header" Target="header19.xml"/><Relationship Id="rId114" Type="http://schemas.openxmlformats.org/officeDocument/2006/relationships/header" Target="header51.xml"/><Relationship Id="rId275" Type="http://schemas.openxmlformats.org/officeDocument/2006/relationships/footer" Target="footer131.xml"/><Relationship Id="rId296" Type="http://schemas.openxmlformats.org/officeDocument/2006/relationships/header" Target="header142.xml"/><Relationship Id="rId300" Type="http://schemas.openxmlformats.org/officeDocument/2006/relationships/footer" Target="footer143.xml"/><Relationship Id="rId60" Type="http://schemas.openxmlformats.org/officeDocument/2006/relationships/header" Target="header24.xml"/><Relationship Id="rId81" Type="http://schemas.openxmlformats.org/officeDocument/2006/relationships/footer" Target="footer34.xml"/><Relationship Id="rId135" Type="http://schemas.openxmlformats.org/officeDocument/2006/relationships/header" Target="header62.xml"/><Relationship Id="rId156" Type="http://schemas.openxmlformats.org/officeDocument/2006/relationships/header" Target="header72.xml"/><Relationship Id="rId177" Type="http://schemas.openxmlformats.org/officeDocument/2006/relationships/footer" Target="footer82.xml"/><Relationship Id="rId198" Type="http://schemas.openxmlformats.org/officeDocument/2006/relationships/footer" Target="footer92.xml"/><Relationship Id="rId321" Type="http://schemas.openxmlformats.org/officeDocument/2006/relationships/footer" Target="footer154.xml"/><Relationship Id="rId202" Type="http://schemas.openxmlformats.org/officeDocument/2006/relationships/header" Target="header95.xml"/><Relationship Id="rId223" Type="http://schemas.openxmlformats.org/officeDocument/2006/relationships/footer" Target="footer105.xml"/><Relationship Id="rId244" Type="http://schemas.openxmlformats.org/officeDocument/2006/relationships/footer" Target="footer115.xml"/><Relationship Id="rId18" Type="http://schemas.openxmlformats.org/officeDocument/2006/relationships/header" Target="header4.xml"/><Relationship Id="rId39" Type="http://schemas.openxmlformats.org/officeDocument/2006/relationships/footer" Target="footer13.xml"/><Relationship Id="rId265" Type="http://schemas.openxmlformats.org/officeDocument/2006/relationships/footer" Target="footer126.xml"/><Relationship Id="rId286" Type="http://schemas.openxmlformats.org/officeDocument/2006/relationships/header" Target="header137.xml"/><Relationship Id="rId50" Type="http://schemas.openxmlformats.org/officeDocument/2006/relationships/footer" Target="footer18.xml"/><Relationship Id="rId104" Type="http://schemas.openxmlformats.org/officeDocument/2006/relationships/footer" Target="footer45.xml"/><Relationship Id="rId125" Type="http://schemas.openxmlformats.org/officeDocument/2006/relationships/footer" Target="footer56.xml"/><Relationship Id="rId146" Type="http://schemas.openxmlformats.org/officeDocument/2006/relationships/header" Target="header67.xml"/><Relationship Id="rId167" Type="http://schemas.openxmlformats.org/officeDocument/2006/relationships/footer" Target="footer77.xml"/><Relationship Id="rId188" Type="http://schemas.openxmlformats.org/officeDocument/2006/relationships/header" Target="header88.xml"/><Relationship Id="rId311" Type="http://schemas.openxmlformats.org/officeDocument/2006/relationships/header" Target="header150.xml"/><Relationship Id="rId332" Type="http://schemas.openxmlformats.org/officeDocument/2006/relationships/header" Target="header160.xml"/><Relationship Id="rId71" Type="http://schemas.openxmlformats.org/officeDocument/2006/relationships/header" Target="header30.xml"/><Relationship Id="rId92" Type="http://schemas.openxmlformats.org/officeDocument/2006/relationships/header" Target="header40.xml"/><Relationship Id="rId213" Type="http://schemas.openxmlformats.org/officeDocument/2006/relationships/header" Target="header101.xml"/><Relationship Id="rId234" Type="http://schemas.openxmlformats.org/officeDocument/2006/relationships/header" Target="header111.xml"/><Relationship Id="rId2" Type="http://schemas.openxmlformats.org/officeDocument/2006/relationships/customXml" Target="../customXml/item2.xml"/><Relationship Id="rId29" Type="http://schemas.openxmlformats.org/officeDocument/2006/relationships/footer" Target="footer9.xml"/><Relationship Id="rId255" Type="http://schemas.openxmlformats.org/officeDocument/2006/relationships/header" Target="header122.xml"/><Relationship Id="rId276" Type="http://schemas.openxmlformats.org/officeDocument/2006/relationships/header" Target="header132.xml"/><Relationship Id="rId297" Type="http://schemas.openxmlformats.org/officeDocument/2006/relationships/footer" Target="footer142.xml"/><Relationship Id="rId40" Type="http://schemas.openxmlformats.org/officeDocument/2006/relationships/header" Target="header14.xml"/><Relationship Id="rId115" Type="http://schemas.openxmlformats.org/officeDocument/2006/relationships/header" Target="header52.xml"/><Relationship Id="rId136" Type="http://schemas.openxmlformats.org/officeDocument/2006/relationships/footer" Target="footer61.xml"/><Relationship Id="rId157" Type="http://schemas.openxmlformats.org/officeDocument/2006/relationships/footer" Target="footer72.xml"/><Relationship Id="rId178" Type="http://schemas.openxmlformats.org/officeDocument/2006/relationships/header" Target="header83.xml"/><Relationship Id="rId301" Type="http://schemas.openxmlformats.org/officeDocument/2006/relationships/footer" Target="footer144.xml"/><Relationship Id="rId322" Type="http://schemas.openxmlformats.org/officeDocument/2006/relationships/header" Target="header155.xml"/><Relationship Id="rId61" Type="http://schemas.openxmlformats.org/officeDocument/2006/relationships/footer" Target="footer24.xml"/><Relationship Id="rId82" Type="http://schemas.openxmlformats.org/officeDocument/2006/relationships/header" Target="header35.xml"/><Relationship Id="rId199" Type="http://schemas.openxmlformats.org/officeDocument/2006/relationships/footer" Target="footer93.xml"/><Relationship Id="rId203" Type="http://schemas.openxmlformats.org/officeDocument/2006/relationships/footer" Target="footer95.xml"/><Relationship Id="rId19" Type="http://schemas.openxmlformats.org/officeDocument/2006/relationships/header" Target="header5.xml"/><Relationship Id="rId224" Type="http://schemas.openxmlformats.org/officeDocument/2006/relationships/header" Target="header106.xml"/><Relationship Id="rId245" Type="http://schemas.openxmlformats.org/officeDocument/2006/relationships/footer" Target="footer116.xml"/><Relationship Id="rId266" Type="http://schemas.openxmlformats.org/officeDocument/2006/relationships/header" Target="header127.xml"/><Relationship Id="rId287" Type="http://schemas.openxmlformats.org/officeDocument/2006/relationships/header" Target="header138.xml"/><Relationship Id="rId30" Type="http://schemas.openxmlformats.org/officeDocument/2006/relationships/header" Target="header10.xml"/><Relationship Id="rId105" Type="http://schemas.openxmlformats.org/officeDocument/2006/relationships/footer" Target="footer46.xml"/><Relationship Id="rId126" Type="http://schemas.openxmlformats.org/officeDocument/2006/relationships/header" Target="header57.xml"/><Relationship Id="rId147" Type="http://schemas.openxmlformats.org/officeDocument/2006/relationships/header" Target="header68.xml"/><Relationship Id="rId168" Type="http://schemas.openxmlformats.org/officeDocument/2006/relationships/header" Target="header78.xml"/><Relationship Id="rId312" Type="http://schemas.openxmlformats.org/officeDocument/2006/relationships/footer" Target="footer149.xml"/><Relationship Id="rId333" Type="http://schemas.openxmlformats.org/officeDocument/2006/relationships/footer" Target="footer16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resnumber xmlns="1700ab43-7395-48ff-866c-657c86ba7f4e" xsi:nil="true"/>
    <_ip_UnifiedCompliancePolicyUIAction xmlns="http://schemas.microsoft.com/sharepoint/v3" xsi:nil="true"/>
    <ISCreferencenumber xmlns="1700ab43-7395-48ff-866c-657c86ba7f4e" xsi:nil="true"/>
    <Status xmlns="1700ab43-7395-48ff-866c-657c86ba7f4e" xsi:nil="true"/>
    <Whoneedstoanswer xmlns="1700ab43-7395-48ff-866c-657c86ba7f4e" xsi:nil="true"/>
    <TaxCatchAll xmlns="e6c3bc29-9e11-4027-900b-c73633d7928a" xsi:nil="true"/>
    <Stage xmlns="1700ab43-7395-48ff-866c-657c86ba7f4e" xsi:nil="true"/>
    <lcf76f155ced4ddcb4097134ff3c332f xmlns="1700ab43-7395-48ff-866c-657c86ba7f4e">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_ip_UnifiedCompliancePolicyProperties xmlns="http://schemas.microsoft.com/sharepoint/v3" xsi:nil="true"/>
    <Level xmlns="1700ab43-7395-48ff-866c-657c86ba7f4e" xsi:nil="true"/>
    <Deadline xmlns="1700ab43-7395-48ff-866c-657c86ba7f4e" xsi:nil="true"/>
    <Answersent xmlns="1700ab43-7395-48ff-866c-657c86ba7f4e">false</Answersent>
    <Scope xmlns="1700ab43-7395-48ff-866c-657c86ba7f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094E9F29D6C04F85860C631ABC812A" ma:contentTypeVersion="29" ma:contentTypeDescription="Create a new document." ma:contentTypeScope="" ma:versionID="9db2e4c9d20f3bfed58be960cea45ab1">
  <xsd:schema xmlns:xsd="http://www.w3.org/2001/XMLSchema" xmlns:xs="http://www.w3.org/2001/XMLSchema" xmlns:p="http://schemas.microsoft.com/office/2006/metadata/properties" xmlns:ns1="http://schemas.microsoft.com/sharepoint/v3" xmlns:ns2="1700ab43-7395-48ff-866c-657c86ba7f4e" xmlns:ns3="e6c3bc29-9e11-4027-900b-c73633d7928a" targetNamespace="http://schemas.microsoft.com/office/2006/metadata/properties" ma:root="true" ma:fieldsID="148b552bb32bac13736f38ad3d6cdb2a" ns1:_="" ns2:_="" ns3:_="">
    <xsd:import namespace="http://schemas.microsoft.com/sharepoint/v3"/>
    <xsd:import namespace="1700ab43-7395-48ff-866c-657c86ba7f4e"/>
    <xsd:import namespace="e6c3bc29-9e11-4027-900b-c73633d7928a"/>
    <xsd:element name="properties">
      <xsd:complexType>
        <xsd:sequence>
          <xsd:element name="documentManagement">
            <xsd:complexType>
              <xsd:all>
                <xsd:element ref="ns2:Status" minOccurs="0"/>
                <xsd:element ref="ns2:Deadline" minOccurs="0"/>
                <xsd:element ref="ns2:ISCreferencenumber" minOccurs="0"/>
                <xsd:element ref="ns2:Answersent" minOccurs="0"/>
                <xsd:element ref="ns2:Whoneedstoanswer" minOccurs="0"/>
                <xsd:element ref="ns2:Stage" minOccurs="0"/>
                <xsd:element ref="ns2:Level" minOccurs="0"/>
                <xsd:element ref="ns2:Scope" minOccurs="0"/>
                <xsd:element ref="ns2:Aresnumber" minOccurs="0"/>
                <xsd:element ref="ns3:SharedWithUsers" minOccurs="0"/>
                <xsd:element ref="ns3:SharedWithDetails" minOccurs="0"/>
                <xsd:element ref="ns2:MediaServiceMetadata" minOccurs="0"/>
                <xsd:element ref="ns2:MediaServiceFastMetadata" minOccurs="0"/>
                <xsd:element ref="ns2:MediaServiceAutoKeyPoints" minOccurs="0"/>
                <xsd:element ref="ns1:_ip_UnifiedCompliancePolicyProperties" minOccurs="0"/>
                <xsd:element ref="ns1:_ip_UnifiedCompliancePolicyUIAction"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bjectDetectorVersions"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ma:readOnly="false">
      <xsd:simpleType>
        <xsd:restriction base="dms:Note"/>
      </xsd:simpleType>
    </xsd:element>
    <xsd:element name="_ip_UnifiedCompliancePolicyUIAction" ma:index="24"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00ab43-7395-48ff-866c-657c86ba7f4e" elementFormDefault="qualified">
    <xsd:import namespace="http://schemas.microsoft.com/office/2006/documentManagement/types"/>
    <xsd:import namespace="http://schemas.microsoft.com/office/infopath/2007/PartnerControls"/>
    <xsd:element name="Status" ma:index="2" nillable="true" ma:displayName="Status" ma:format="Dropdown" ma:internalName="Status" ma:readOnly="false">
      <xsd:simpleType>
        <xsd:restriction base="dms:Choice">
          <xsd:enumeration value="Ongoing"/>
          <xsd:enumeration value="Closed"/>
        </xsd:restriction>
      </xsd:simpleType>
    </xsd:element>
    <xsd:element name="Deadline" ma:index="3" nillable="true" ma:displayName="Deadline" ma:format="DateOnly" ma:internalName="Deadline" ma:readOnly="false">
      <xsd:simpleType>
        <xsd:restriction base="dms:DateTime"/>
      </xsd:simpleType>
    </xsd:element>
    <xsd:element name="ISCreferencenumber" ma:index="4" nillable="true" ma:displayName="ISC reference number" ma:format="Dropdown" ma:internalName="ISCreferencenumber" ma:readOnly="false">
      <xsd:simpleType>
        <xsd:restriction base="dms:Text">
          <xsd:maxLength value="255"/>
        </xsd:restriction>
      </xsd:simpleType>
    </xsd:element>
    <xsd:element name="Answersent" ma:index="5" nillable="true" ma:displayName="Answer sent" ma:default="0" ma:format="Dropdown" ma:internalName="Answersent" ma:readOnly="false">
      <xsd:simpleType>
        <xsd:restriction base="dms:Boolean"/>
      </xsd:simpleType>
    </xsd:element>
    <xsd:element name="Whoneedstoanswer" ma:index="6" nillable="true" ma:displayName="Who needs to answer" ma:description="please indicate who received the ISC" ma:format="Dropdown" ma:internalName="Whoneedstoanswer" ma:readOnly="false">
      <xsd:simpleType>
        <xsd:restriction base="dms:Choice">
          <xsd:enumeration value="ECFIN"/>
          <xsd:enumeration value="SG RECOVER"/>
          <xsd:enumeration value="Both"/>
        </xsd:restriction>
      </xsd:simpleType>
    </xsd:element>
    <xsd:element name="Stage" ma:index="7" nillable="true" ma:displayName="Phase" ma:format="Dropdown" ma:internalName="Stage">
      <xsd:complexType>
        <xsd:complexContent>
          <xsd:extension base="dms:MultiChoice">
            <xsd:sequence>
              <xsd:element name="Value" maxOccurs="unbounded" minOccurs="0" nillable="true">
                <xsd:simpleType>
                  <xsd:restriction base="dms:Choice">
                    <xsd:enumeration value="Preparation"/>
                    <xsd:enumeration value="1st payment request"/>
                    <xsd:enumeration value="3rd Payment request"/>
                    <xsd:enumeration value="4th Payment request"/>
                    <xsd:enumeration value="5th Payment request"/>
                    <xsd:enumeration value="6th Payment request"/>
                    <xsd:enumeration value="2nd payment request"/>
                    <xsd:enumeration value="7th Payment request"/>
                    <xsd:enumeration value="8th Payment request"/>
                  </xsd:restriction>
                </xsd:simpleType>
              </xsd:element>
            </xsd:sequence>
          </xsd:extension>
        </xsd:complexContent>
      </xsd:complexType>
    </xsd:element>
    <xsd:element name="Level" ma:index="8" nillable="true" ma:displayName="Level" ma:description="depending if E&amp;D attended" ma:format="Dropdown" ma:internalName="Level" ma:readOnly="false">
      <xsd:simpleType>
        <xsd:restriction base="dms:Choice">
          <xsd:enumeration value="Principals"/>
          <xsd:enumeration value="Technical"/>
        </xsd:restriction>
      </xsd:simpleType>
    </xsd:element>
    <xsd:element name="Scope" ma:index="9" nillable="true" ma:displayName="Scope" ma:format="Dropdown" ma:internalName="Scope" ma:readOnly="false">
      <xsd:simpleType>
        <xsd:restriction base="dms:Choice">
          <xsd:enumeration value="General"/>
          <xsd:enumeration value="Thematic"/>
        </xsd:restriction>
      </xsd:simpleType>
    </xsd:element>
    <xsd:element name="Aresnumber" ma:index="10" nillable="true" ma:displayName="Ares number" ma:format="Dropdown" ma:internalName="Aresnumber" ma:readOnly="false">
      <xsd:simpleType>
        <xsd:restriction base="dms:Text">
          <xsd:maxLength value="255"/>
        </xsd:restriction>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5" nillable="true" ma:displayName="KeyPoints" ma:hidden="true" ma:internalName="MediaServiceKeyPoint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OCR" ma:index="32" nillable="true" ma:displayName="Extracted Text" ma:hidden="true" ma:internalName="MediaServiceOCR" ma:readOnly="true">
      <xsd:simpleType>
        <xsd:restriction base="dms:Note"/>
      </xsd:simpleType>
    </xsd:element>
    <xsd:element name="MediaServiceLocation" ma:index="33" nillable="true" ma:displayName="Location" ma:hidden="true" ma:indexed="true" ma:internalName="MediaServiceLocation"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element name="MediaServiceSearchProperties" ma:index="3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c3bc29-9e11-4027-900b-c73633d7928a"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7" nillable="true" ma:displayName="Taxonomy Catch All Column" ma:hidden="true" ma:list="{bda955a7-c319-4d68-acea-690316db2eb1}" ma:internalName="TaxCatchAll" ma:readOnly="false" ma:showField="CatchAllData" ma:web="e6c3bc29-9e11-4027-900b-c73633d7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54A22-D7DC-4B95-88DF-C581E82E9925}">
  <ds:schemaRefs>
    <ds:schemaRef ds:uri="http://schemas.microsoft.com/sharepoint/v3/contenttype/forms"/>
  </ds:schemaRefs>
</ds:datastoreItem>
</file>

<file path=customXml/itemProps2.xml><?xml version="1.0" encoding="utf-8"?>
<ds:datastoreItem xmlns:ds="http://schemas.openxmlformats.org/officeDocument/2006/customXml" ds:itemID="{5AFCE501-1649-4A9D-8234-D4B586F9AF03}">
  <ds:schemaRefs>
    <ds:schemaRef ds:uri="http://schemas.microsoft.com/office/2006/metadata/properties"/>
    <ds:schemaRef ds:uri="http://schemas.microsoft.com/office/infopath/2007/PartnerControls"/>
    <ds:schemaRef ds:uri="1700ab43-7395-48ff-866c-657c86ba7f4e"/>
    <ds:schemaRef ds:uri="http://schemas.microsoft.com/sharepoint/v3"/>
    <ds:schemaRef ds:uri="e6c3bc29-9e11-4027-900b-c73633d7928a"/>
  </ds:schemaRefs>
</ds:datastoreItem>
</file>

<file path=customXml/itemProps3.xml><?xml version="1.0" encoding="utf-8"?>
<ds:datastoreItem xmlns:ds="http://schemas.openxmlformats.org/officeDocument/2006/customXml" ds:itemID="{6910E60D-D881-4077-B369-EC2426ECD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700ab43-7395-48ff-866c-657c86ba7f4e"/>
    <ds:schemaRef ds:uri="e6c3bc29-9e11-4027-900b-c73633d7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581503-4025-40FC-B2DC-B949B9E7A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112622</Words>
  <Characters>641951</Characters>
  <Application>Microsoft Office Word</Application>
  <DocSecurity>0</DocSecurity>
  <Lines>5349</Lines>
  <Paragraphs>1506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753067</CharactersWithSpaces>
  <SharedDoc>false</SharedDoc>
  <HLinks>
    <vt:vector size="60" baseType="variant">
      <vt:variant>
        <vt:i4>1245187</vt:i4>
      </vt:variant>
      <vt:variant>
        <vt:i4>3</vt:i4>
      </vt:variant>
      <vt:variant>
        <vt:i4>0</vt:i4>
      </vt:variant>
      <vt:variant>
        <vt:i4>5</vt:i4>
      </vt:variant>
      <vt:variant>
        <vt:lpwstr>https://www.inps.it/</vt:lpwstr>
      </vt:variant>
      <vt:variant>
        <vt:lpwstr/>
      </vt:variant>
      <vt:variant>
        <vt:i4>1245187</vt:i4>
      </vt:variant>
      <vt:variant>
        <vt:i4>0</vt:i4>
      </vt:variant>
      <vt:variant>
        <vt:i4>0</vt:i4>
      </vt:variant>
      <vt:variant>
        <vt:i4>5</vt:i4>
      </vt:variant>
      <vt:variant>
        <vt:lpwstr>https://www.inps.it/</vt:lpwstr>
      </vt:variant>
      <vt:variant>
        <vt:lpwstr/>
      </vt:variant>
      <vt:variant>
        <vt:i4>5308451</vt:i4>
      </vt:variant>
      <vt:variant>
        <vt:i4>21</vt:i4>
      </vt:variant>
      <vt:variant>
        <vt:i4>0</vt:i4>
      </vt:variant>
      <vt:variant>
        <vt:i4>5</vt:i4>
      </vt:variant>
      <vt:variant>
        <vt:lpwstr>mailto:Maria-Chiara.MORANDINI@ec.europa.eu</vt:lpwstr>
      </vt:variant>
      <vt:variant>
        <vt:lpwstr/>
      </vt:variant>
      <vt:variant>
        <vt:i4>4980840</vt:i4>
      </vt:variant>
      <vt:variant>
        <vt:i4>18</vt:i4>
      </vt:variant>
      <vt:variant>
        <vt:i4>0</vt:i4>
      </vt:variant>
      <vt:variant>
        <vt:i4>5</vt:i4>
      </vt:variant>
      <vt:variant>
        <vt:lpwstr>mailto:Valentina.RUSCONI@ec.europa.eu</vt:lpwstr>
      </vt:variant>
      <vt:variant>
        <vt:lpwstr/>
      </vt:variant>
      <vt:variant>
        <vt:i4>5308451</vt:i4>
      </vt:variant>
      <vt:variant>
        <vt:i4>15</vt:i4>
      </vt:variant>
      <vt:variant>
        <vt:i4>0</vt:i4>
      </vt:variant>
      <vt:variant>
        <vt:i4>5</vt:i4>
      </vt:variant>
      <vt:variant>
        <vt:lpwstr>mailto:Maria-Chiara.MORANDINI@ec.europa.eu</vt:lpwstr>
      </vt:variant>
      <vt:variant>
        <vt:lpwstr/>
      </vt:variant>
      <vt:variant>
        <vt:i4>4980840</vt:i4>
      </vt:variant>
      <vt:variant>
        <vt:i4>12</vt:i4>
      </vt:variant>
      <vt:variant>
        <vt:i4>0</vt:i4>
      </vt:variant>
      <vt:variant>
        <vt:i4>5</vt:i4>
      </vt:variant>
      <vt:variant>
        <vt:lpwstr>mailto:Valentina.RUSCONI@ec.europa.eu</vt:lpwstr>
      </vt:variant>
      <vt:variant>
        <vt:lpwstr/>
      </vt:variant>
      <vt:variant>
        <vt:i4>5308451</vt:i4>
      </vt:variant>
      <vt:variant>
        <vt:i4>9</vt:i4>
      </vt:variant>
      <vt:variant>
        <vt:i4>0</vt:i4>
      </vt:variant>
      <vt:variant>
        <vt:i4>5</vt:i4>
      </vt:variant>
      <vt:variant>
        <vt:lpwstr>mailto:Maria-Chiara.MORANDINI@ec.europa.eu</vt:lpwstr>
      </vt:variant>
      <vt:variant>
        <vt:lpwstr/>
      </vt:variant>
      <vt:variant>
        <vt:i4>4980840</vt:i4>
      </vt:variant>
      <vt:variant>
        <vt:i4>6</vt:i4>
      </vt:variant>
      <vt:variant>
        <vt:i4>0</vt:i4>
      </vt:variant>
      <vt:variant>
        <vt:i4>5</vt:i4>
      </vt:variant>
      <vt:variant>
        <vt:lpwstr>mailto:Valentina.RUSCONI@ec.europa.eu</vt:lpwstr>
      </vt:variant>
      <vt:variant>
        <vt:lpwstr/>
      </vt:variant>
      <vt:variant>
        <vt:i4>5308451</vt:i4>
      </vt:variant>
      <vt:variant>
        <vt:i4>3</vt:i4>
      </vt:variant>
      <vt:variant>
        <vt:i4>0</vt:i4>
      </vt:variant>
      <vt:variant>
        <vt:i4>5</vt:i4>
      </vt:variant>
      <vt:variant>
        <vt:lpwstr>mailto:Maria-Chiara.MORANDINI@ec.europa.eu</vt:lpwstr>
      </vt:variant>
      <vt:variant>
        <vt:lpwstr/>
      </vt:variant>
      <vt:variant>
        <vt:i4>4980840</vt:i4>
      </vt:variant>
      <vt:variant>
        <vt:i4>0</vt:i4>
      </vt:variant>
      <vt:variant>
        <vt:i4>0</vt:i4>
      </vt:variant>
      <vt:variant>
        <vt:i4>5</vt:i4>
      </vt:variant>
      <vt:variant>
        <vt:lpwstr>mailto:Valentina.RUSCONI@ec.europa.eu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9</cp:revision>
  <cp:lastPrinted>2025-10-28T07:47:00Z</cp:lastPrinted>
  <dcterms:created xsi:type="dcterms:W3CDTF">2025-11-03T19:17:00Z</dcterms:created>
  <dcterms:modified xsi:type="dcterms:W3CDTF">2025-11-11T18:07:00Z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2025-10-23T06:16:24Z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fd7a458d-847f-48cd-a977-57b575bcde44</vt:lpwstr>
  </property>
  <property fmtid="{D5CDD505-2E9C-101B-9397-08002B2CF9AE}" pid="8" name="MSIP_Label_6bd9ddd1-4d20-43f6-abfa-fc3c07406f94_ContentBits">
    <vt:lpwstr>0</vt:lpwstr>
  </property>
  <property fmtid="{D5CDD505-2E9C-101B-9397-08002B2CF9AE}" pid="9" name="MSIP_Label_6bd9ddd1-4d20-43f6-abfa-fc3c07406f94_Tag">
    <vt:lpwstr>10, 3, 0, 1</vt:lpwstr>
  </property>
  <property fmtid="{D5CDD505-2E9C-101B-9397-08002B2CF9AE}" pid="10" name="Level of sensitivity">
    <vt:lpwstr>Standard treatment</vt:lpwstr>
  </property>
  <property fmtid="{D5CDD505-2E9C-101B-9397-08002B2CF9AE}" pid="11" name="First annex">
    <vt:lpwstr>1</vt:lpwstr>
  </property>
  <property fmtid="{D5CDD505-2E9C-101B-9397-08002B2CF9AE}" pid="12" name="Last annex">
    <vt:lpwstr>1</vt:lpwstr>
  </property>
  <property fmtid="{D5CDD505-2E9C-101B-9397-08002B2CF9AE}" pid="13" name="Unique annex">
    <vt:lpwstr>1</vt:lpwstr>
  </property>
  <property fmtid="{D5CDD505-2E9C-101B-9397-08002B2CF9AE}" pid="14" name="Part">
    <vt:lpwstr>1</vt:lpwstr>
  </property>
  <property fmtid="{D5CDD505-2E9C-101B-9397-08002B2CF9AE}" pid="15" name="Total parts">
    <vt:lpwstr>1</vt:lpwstr>
  </property>
  <property fmtid="{D5CDD505-2E9C-101B-9397-08002B2CF9AE}" pid="16" name="DocStatus">
    <vt:lpwstr>Green</vt:lpwstr>
  </property>
  <property fmtid="{D5CDD505-2E9C-101B-9397-08002B2CF9AE}" pid="17" name="CPTemplateID">
    <vt:lpwstr>CP-036</vt:lpwstr>
  </property>
  <property fmtid="{D5CDD505-2E9C-101B-9397-08002B2CF9AE}" pid="18" name="Last edited using">
    <vt:lpwstr>LW 9.2, Build 20250828</vt:lpwstr>
  </property>
  <property fmtid="{D5CDD505-2E9C-101B-9397-08002B2CF9AE}" pid="19" name="Created using">
    <vt:lpwstr>LW 9.1, Build 20240808</vt:lpwstr>
  </property>
  <property fmtid="{D5CDD505-2E9C-101B-9397-08002B2CF9AE}" pid="20" name="ContentTypeId">
    <vt:lpwstr>0x01010062094E9F29D6C04F85860C631ABC812A</vt:lpwstr>
  </property>
  <property fmtid="{D5CDD505-2E9C-101B-9397-08002B2CF9AE}" pid="21" name="MediaServiceImageTags">
    <vt:lpwstr/>
  </property>
</Properties>
</file>